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65025" w:rsidRDefault="00DD7F83">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Submission on Migrant Domestic Workers in Hong Kong</w:t>
      </w:r>
    </w:p>
    <w:p w14:paraId="00000002" w14:textId="77777777" w:rsidR="00565025" w:rsidRDefault="00DD7F83">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to the United Nation Committee on the Elimination of Discrimination Against Women </w:t>
      </w:r>
    </w:p>
    <w:p w14:paraId="00000003" w14:textId="77777777" w:rsidR="00565025" w:rsidRDefault="00DD7F83">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on the implementation of the CEDAW in the Hong Kong Special Administrative Region, China </w:t>
      </w:r>
    </w:p>
    <w:p w14:paraId="00000004" w14:textId="77777777" w:rsidR="00565025" w:rsidRDefault="00DD7F8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behalf of The Coalition of Hong Kong Domestic Workers Concern Groups, we write in advance of the review of the People’s Republic of China by the UN Committee on the Elimination of Discrimination Against Women (hereafter “The Committee”) on its compliance with the International Covenant on the Elimination of Discrimination Against Women (hereafter “The Covenant”). We hope our submission will inform your consideration as the Committee drafts its list of issues for the future periodic report submitted by the People’s Republic of China (including Hong Kong and Macao Special Administrative Region).</w:t>
      </w:r>
    </w:p>
    <w:p w14:paraId="00000005" w14:textId="77777777" w:rsidR="00565025" w:rsidRDefault="00DD7F83">
      <w:pPr>
        <w:spacing w:before="20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2021, there were around 340,000 migrant domestic workers (MDWs) in Hong Kong, most coming from South East Asia and South Asia, predominantly female. Though MDWs are afforded basic legal protections under some (but not all) of Hong Kong’s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laws and anti-discrimination laws, MDWs face great barriers in enforcing their legal rights and accessing justice due to discriminatory immigration policies that target only MDWs. These discriminatory policies include but are not limited to the two-week rule, live-in policy, restrictions in changing occupations and visa rejection based on unfounded accusations of “job-hopping”. In addition, domestic workers are deliberately excluded from protection under key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legislations such as the Minimum Wage Ordinance (Cap.608), Mandatory Provident Fund Schemes Ordinance (Cap.485) and Occupational Safety and Health Ordinance (Cap.509).</w:t>
      </w:r>
    </w:p>
    <w:p w14:paraId="00000006" w14:textId="77777777" w:rsidR="00565025" w:rsidRDefault="00DD7F83">
      <w:pPr>
        <w:pBdr>
          <w:top w:val="nil"/>
          <w:left w:val="nil"/>
          <w:bottom w:val="nil"/>
          <w:right w:val="nil"/>
          <w:between w:val="nil"/>
        </w:pBdr>
        <w:spacing w:before="20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Discrimination during the Covid-19 pandemic (List of issues 1)</w:t>
      </w:r>
    </w:p>
    <w:p w14:paraId="00000007" w14:textId="77777777" w:rsidR="00565025" w:rsidRDefault="00DD7F8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Covid-19 outbreak only exacerbated such discrimination. Since the onset of Covid-19 pandemic, MDWs have always been labeled as virus carriers and blamed for the spread of Covid-19 by the government and the public. The call by the former Secretary for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and Welfare, Law Chi-Kong, to not allow MDWs to go out on Sundays was de facto telling employers to deprive MDWs of their right to </w:t>
      </w:r>
      <w:proofErr w:type="spellStart"/>
      <w:r>
        <w:rPr>
          <w:rFonts w:ascii="Times New Roman" w:eastAsia="Times New Roman" w:hAnsi="Times New Roman" w:cs="Times New Roman"/>
          <w:sz w:val="24"/>
          <w:szCs w:val="24"/>
        </w:rPr>
        <w:t>dayoffs</w:t>
      </w:r>
      <w:proofErr w:type="spellEnd"/>
      <w:r>
        <w:rPr>
          <w:rFonts w:ascii="Times New Roman" w:eastAsia="Times New Roman" w:hAnsi="Times New Roman" w:cs="Times New Roman"/>
          <w:sz w:val="24"/>
          <w:szCs w:val="24"/>
        </w:rPr>
        <w:t xml:space="preserve">. There were various discriminatory policies that altogether strengthened the stereotypes of MDWs as “virus carriers” during the Covid-19 pandemic, for </w:t>
      </w:r>
      <w:proofErr w:type="gramStart"/>
      <w:r>
        <w:rPr>
          <w:rFonts w:ascii="Times New Roman" w:eastAsia="Times New Roman" w:hAnsi="Times New Roman" w:cs="Times New Roman"/>
          <w:sz w:val="24"/>
          <w:szCs w:val="24"/>
        </w:rPr>
        <w:t>example,  the</w:t>
      </w:r>
      <w:proofErr w:type="gramEnd"/>
      <w:r>
        <w:rPr>
          <w:rFonts w:ascii="Times New Roman" w:eastAsia="Times New Roman" w:hAnsi="Times New Roman" w:cs="Times New Roman"/>
          <w:sz w:val="24"/>
          <w:szCs w:val="24"/>
        </w:rPr>
        <w:t xml:space="preserve"> sudden imposition of mandatory swab test and vaccination on MDWs on May 1, 2021, designated quarantine hotel for MDWs to separate them from other inbound travelers, and several high-profile massive joint-department actions sweeping parks and places where MDWs stay on Sundays and penalizing them with exorbitant amounts of fine.</w:t>
      </w:r>
    </w:p>
    <w:p w14:paraId="00000008" w14:textId="77777777" w:rsidR="00565025" w:rsidRDefault="00DD7F8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09" w14:textId="77777777" w:rsidR="00565025" w:rsidRDefault="00DD7F83">
      <w:pPr>
        <w:spacing w:before="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fifth wave of Covid-19 pandemic in Hong Kong, some migrant workers were kicked out of the house by employers for being tested positive and became homeless as they did not have </w:t>
      </w:r>
      <w:r>
        <w:rPr>
          <w:rFonts w:ascii="Times New Roman" w:eastAsia="Times New Roman" w:hAnsi="Times New Roman" w:cs="Times New Roman"/>
          <w:sz w:val="24"/>
          <w:szCs w:val="24"/>
        </w:rPr>
        <w:lastRenderedPageBreak/>
        <w:t>any other place to stay under the live-in policy. Due to the flight restriction at the time, the terminated Covid positive MDWs could not board a plane and overstayed their visa.</w:t>
      </w:r>
    </w:p>
    <w:p w14:paraId="0000000A" w14:textId="77777777" w:rsidR="00565025" w:rsidRDefault="00565025">
      <w:pPr>
        <w:spacing w:before="60"/>
        <w:jc w:val="both"/>
        <w:rPr>
          <w:rFonts w:ascii="Times New Roman" w:eastAsia="Times New Roman" w:hAnsi="Times New Roman" w:cs="Times New Roman"/>
          <w:sz w:val="24"/>
          <w:szCs w:val="24"/>
        </w:rPr>
      </w:pPr>
    </w:p>
    <w:p w14:paraId="0000000B" w14:textId="77777777" w:rsidR="00565025" w:rsidRDefault="00DD7F83">
      <w:pPr>
        <w:spacing w:before="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fails to follow its</w:t>
      </w:r>
      <w:hyperlink r:id="rId7">
        <w:r>
          <w:rPr>
            <w:rFonts w:ascii="Times New Roman" w:eastAsia="Times New Roman" w:hAnsi="Times New Roman" w:cs="Times New Roman"/>
            <w:sz w:val="24"/>
            <w:szCs w:val="24"/>
          </w:rPr>
          <w:t xml:space="preserve"> </w:t>
        </w:r>
      </w:hyperlink>
      <w:hyperlink r:id="rId8">
        <w:r>
          <w:rPr>
            <w:rFonts w:ascii="Times New Roman" w:eastAsia="Times New Roman" w:hAnsi="Times New Roman" w:cs="Times New Roman"/>
            <w:color w:val="1155CC"/>
            <w:sz w:val="24"/>
            <w:szCs w:val="24"/>
            <w:u w:val="single"/>
          </w:rPr>
          <w:t>Administrative Guidelines on Promotion of Racial Equality</w:t>
        </w:r>
      </w:hyperlink>
      <w:r>
        <w:rPr>
          <w:rFonts w:ascii="Times New Roman" w:eastAsia="Times New Roman" w:hAnsi="Times New Roman" w:cs="Times New Roman"/>
          <w:sz w:val="24"/>
          <w:szCs w:val="24"/>
        </w:rPr>
        <w:t xml:space="preserve"> in providing sufficient language services to MDWs. For example, a fixed penalty of HKD 10,000 (USD 1279, more than twice of MDWs’ minimum allowable wage) was given to MDWs for not complying with the compulsory testing order upon arrival during the pandemic, yet the government failed to inform the concerned MDWs of such a requirement in their native language. When seeking legal remedy, the interpretation service either takes too long or is simply not provided.</w:t>
      </w:r>
    </w:p>
    <w:p w14:paraId="0000000C" w14:textId="77777777" w:rsidR="00565025" w:rsidRDefault="00DD7F83">
      <w:pPr>
        <w:pBdr>
          <w:top w:val="nil"/>
          <w:left w:val="nil"/>
          <w:bottom w:val="nil"/>
          <w:right w:val="nil"/>
          <w:between w:val="nil"/>
        </w:pBd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improve the above situation, in particular to make sure that no discriminatory policy by the governing body will ever again target MDWs or communities alike in the future, we urge the government to 1) conduct internal equal opportunity education, 2) launch a rigorous, cross-department inspection within the government, conducted by third party equality advocacy bodies, and 3) change the official expression from “foreign domestic helper” to “migrant domestic worker” to avoid breeding discrimination from government practices and official language.</w:t>
      </w:r>
    </w:p>
    <w:p w14:paraId="0000000D" w14:textId="77777777" w:rsidR="00565025" w:rsidRDefault="00DD7F83">
      <w:pPr>
        <w:pBdr>
          <w:top w:val="nil"/>
          <w:left w:val="nil"/>
          <w:bottom w:val="nil"/>
          <w:right w:val="nil"/>
          <w:between w:val="nil"/>
        </w:pBdr>
        <w:spacing w:before="20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Alleged “job-hopping” silences migrant domestic workers facing abuse (State party’s report (SP)115)</w:t>
      </w:r>
    </w:p>
    <w:p w14:paraId="0000000E" w14:textId="77777777" w:rsidR="00565025" w:rsidRDefault="00DD7F8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Migrant domestic workers enjoy the equal right to change employment under the Employment Ordinance. Yet the government singles out and treats MDWs differently when MDWs exercise their legal right to terminate an employment contract prematurely, accusing them of job-hopping and rejecting visa applications without sufficient grounds. According to the Immigration Department (</w:t>
      </w:r>
      <w:proofErr w:type="spellStart"/>
      <w:r>
        <w:rPr>
          <w:rFonts w:ascii="Times New Roman" w:eastAsia="Times New Roman" w:hAnsi="Times New Roman" w:cs="Times New Roman"/>
          <w:sz w:val="24"/>
          <w:szCs w:val="24"/>
        </w:rPr>
        <w:t>ImmD</w:t>
      </w:r>
      <w:proofErr w:type="spellEnd"/>
      <w:r>
        <w:rPr>
          <w:rFonts w:ascii="Times New Roman" w:eastAsia="Times New Roman" w:hAnsi="Times New Roman" w:cs="Times New Roman"/>
          <w:sz w:val="24"/>
          <w:szCs w:val="24"/>
        </w:rPr>
        <w:t xml:space="preserve">), job-hopping undermines employment relationships and leads to unfairness and inconvenience to the employers. </w:t>
      </w:r>
    </w:p>
    <w:p w14:paraId="0000000F" w14:textId="77777777" w:rsidR="00565025" w:rsidRDefault="00DD7F8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number of visa rejections of MDWs based on Immigration Department’s (</w:t>
      </w:r>
      <w:proofErr w:type="spellStart"/>
      <w:r>
        <w:rPr>
          <w:rFonts w:ascii="Times New Roman" w:eastAsia="Times New Roman" w:hAnsi="Times New Roman" w:cs="Times New Roman"/>
          <w:sz w:val="24"/>
          <w:szCs w:val="24"/>
        </w:rPr>
        <w:t>ImmD</w:t>
      </w:r>
      <w:proofErr w:type="spellEnd"/>
      <w:r>
        <w:rPr>
          <w:rFonts w:ascii="Times New Roman" w:eastAsia="Times New Roman" w:hAnsi="Times New Roman" w:cs="Times New Roman"/>
          <w:sz w:val="24"/>
          <w:szCs w:val="24"/>
        </w:rPr>
        <w:t xml:space="preserve">) allegation of "job-hopping" has greatly increased during the Covid-19 pandemic. In 2021, of 5,844 visa applications cases that were referred to the special duty team (SDT) of </w:t>
      </w:r>
      <w:proofErr w:type="spellStart"/>
      <w:r>
        <w:rPr>
          <w:rFonts w:ascii="Times New Roman" w:eastAsia="Times New Roman" w:hAnsi="Times New Roman" w:cs="Times New Roman"/>
          <w:sz w:val="24"/>
          <w:szCs w:val="24"/>
        </w:rPr>
        <w:t>ImmD</w:t>
      </w:r>
      <w:proofErr w:type="spellEnd"/>
      <w:r>
        <w:rPr>
          <w:rFonts w:ascii="Times New Roman" w:eastAsia="Times New Roman" w:hAnsi="Times New Roman" w:cs="Times New Roman"/>
          <w:sz w:val="24"/>
          <w:szCs w:val="24"/>
        </w:rPr>
        <w:t xml:space="preserve"> due to suspicion of job-hopping, 2,833 applications were rejected, which is nine times more than the previous year </w:t>
      </w:r>
      <w:hyperlink r:id="rId9">
        <w:r>
          <w:rPr>
            <w:rFonts w:ascii="Times New Roman" w:eastAsia="Times New Roman" w:hAnsi="Times New Roman" w:cs="Times New Roman"/>
            <w:color w:val="1155CC"/>
            <w:sz w:val="24"/>
            <w:szCs w:val="24"/>
            <w:u w:val="single"/>
          </w:rPr>
          <w:t>(319 application rejected in 2020)</w:t>
        </w:r>
      </w:hyperlink>
      <w:r>
        <w:rPr>
          <w:rFonts w:ascii="Times New Roman" w:eastAsia="Times New Roman" w:hAnsi="Times New Roman" w:cs="Times New Roman"/>
          <w:sz w:val="24"/>
          <w:szCs w:val="24"/>
        </w:rPr>
        <w:t xml:space="preserve">; in the first six months of 2022, 1,052 (72%) out of 1,454 applications "investigated by the SDT" were rejected. In Mar 2023,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Department </w:t>
      </w:r>
      <w:hyperlink r:id="rId10">
        <w:r>
          <w:rPr>
            <w:rFonts w:ascii="Times New Roman" w:eastAsia="Times New Roman" w:hAnsi="Times New Roman" w:cs="Times New Roman"/>
            <w:color w:val="1155CC"/>
            <w:sz w:val="24"/>
            <w:szCs w:val="24"/>
            <w:u w:val="single"/>
          </w:rPr>
          <w:t>proposed to change the Code of Practice of Employment Agencies</w:t>
        </w:r>
      </w:hyperlink>
      <w:r>
        <w:rPr>
          <w:rFonts w:ascii="Times New Roman" w:eastAsia="Times New Roman" w:hAnsi="Times New Roman" w:cs="Times New Roman"/>
          <w:sz w:val="24"/>
          <w:szCs w:val="24"/>
        </w:rPr>
        <w:t xml:space="preserve"> at Legislative Council, adding articles to combat job-hopping of migrant domestic workers.  </w:t>
      </w:r>
    </w:p>
    <w:p w14:paraId="00000010" w14:textId="77777777" w:rsidR="00565025" w:rsidRDefault="00DD7F8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high cost of changing employment in Hong Kong, migrant domestic workers are usually afraid to change employers unless they are facing intolerable abuse or exploitation. The fact that </w:t>
      </w:r>
      <w:proofErr w:type="spellStart"/>
      <w:r>
        <w:rPr>
          <w:rFonts w:ascii="Times New Roman" w:eastAsia="Times New Roman" w:hAnsi="Times New Roman" w:cs="Times New Roman"/>
          <w:sz w:val="24"/>
          <w:szCs w:val="24"/>
        </w:rPr>
        <w:t>ImmD</w:t>
      </w:r>
      <w:proofErr w:type="spellEnd"/>
      <w:r>
        <w:rPr>
          <w:rFonts w:ascii="Times New Roman" w:eastAsia="Times New Roman" w:hAnsi="Times New Roman" w:cs="Times New Roman"/>
          <w:sz w:val="24"/>
          <w:szCs w:val="24"/>
        </w:rPr>
        <w:t xml:space="preserve"> only accepts contract termination by MDWs under “exceptional circumstances'' (meaning termination owing to the original employer's transfer, migration, death or where there is evidence </w:t>
      </w:r>
      <w:r>
        <w:rPr>
          <w:rFonts w:ascii="Times New Roman" w:eastAsia="Times New Roman" w:hAnsi="Times New Roman" w:cs="Times New Roman"/>
          <w:sz w:val="24"/>
          <w:szCs w:val="24"/>
        </w:rPr>
        <w:lastRenderedPageBreak/>
        <w:t xml:space="preserve">that the MDW has been abused or exploited), coupled with the lack of clear definition of ill-treatment under the Employment Ordinance, renders it extremely difficult for MDWs to seek alternative employment for better working conditions. </w:t>
      </w:r>
      <w:hyperlink r:id="rId11">
        <w:r>
          <w:rPr>
            <w:rFonts w:ascii="Times New Roman" w:eastAsia="Times New Roman" w:hAnsi="Times New Roman" w:cs="Times New Roman"/>
            <w:color w:val="1155CC"/>
            <w:sz w:val="24"/>
            <w:szCs w:val="24"/>
            <w:u w:val="single"/>
          </w:rPr>
          <w:t xml:space="preserve">A survey conducted by the Hong Kong Federation of Asian Domestic Workers Unions </w:t>
        </w:r>
      </w:hyperlink>
      <w:r>
        <w:rPr>
          <w:rFonts w:ascii="Times New Roman" w:eastAsia="Times New Roman" w:hAnsi="Times New Roman" w:cs="Times New Roman"/>
          <w:sz w:val="24"/>
          <w:szCs w:val="24"/>
        </w:rPr>
        <w:t>between November 2021 and May 2022 shows that 72% of the MDW respondents who faced abuse or exploitation did not terminate their contract due to a fear of future visa rejection under the immigration policy on so-called “job-hopping”. It has effectively silenced workers from speaking out on abuse and facilitated the exploitation of MDWs.</w:t>
      </w:r>
    </w:p>
    <w:p w14:paraId="00000011" w14:textId="77777777" w:rsidR="00565025" w:rsidRDefault="00DD7F83">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Hong Kong government should immediately abolish the practice of rejecting visas based on unfounded “job-hopping” allegations against MDWs, and avoid formalizing “job-hopping” in any government policies. </w:t>
      </w:r>
    </w:p>
    <w:p w14:paraId="00000012" w14:textId="77777777" w:rsidR="00565025" w:rsidRDefault="00DD7F83">
      <w:pPr>
        <w:spacing w:before="20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“Two-week” rule greatly increases the costs of labor migration (Concluding observation (CO)64-65, SP114-116)</w:t>
      </w:r>
    </w:p>
    <w:p w14:paraId="00000013" w14:textId="77777777" w:rsidR="00565025" w:rsidRDefault="00DD7F83">
      <w:pPr>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government regulation, MDWs are required to leave HK within two weeks upon contract termination if they cannot find a new employer. Only MDWs and migrant workers under the Supplementary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Scheme are discriminately restricted by the “two-week” rule. The lack of time for securing a new contract and work visa in HK often results in MDWs being forced to leave HK to wait for visas in another destination. As a result, the labor migration journey becomes a costly cycle characterized by exorbitant agency fees.</w:t>
      </w:r>
    </w:p>
    <w:p w14:paraId="00000014" w14:textId="77777777" w:rsidR="00565025" w:rsidRDefault="00DD7F83">
      <w:pPr>
        <w:spacing w:before="20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Regardless of the statement made by HK government in its ninth periodic report to CEDAW about the “significance” of the “two-week rule” to border control as well as to stop individual MDWs from taking up “illegal employment”, it is strongly believed that both MDWs and local employers could benefit from an extended period of stay for workers upon contract termination, as this could save both sides the time and effort in going through the time-consuming, costly hiring process.</w:t>
      </w:r>
      <w:r>
        <w:rPr>
          <w:rFonts w:ascii="Times New Roman" w:eastAsia="Times New Roman" w:hAnsi="Times New Roman" w:cs="Times New Roman"/>
          <w:b/>
          <w:sz w:val="24"/>
          <w:szCs w:val="24"/>
        </w:rPr>
        <w:t xml:space="preserve"> </w:t>
      </w:r>
    </w:p>
    <w:p w14:paraId="00000015" w14:textId="77777777" w:rsidR="00565025" w:rsidRDefault="00DD7F83">
      <w:pPr>
        <w:spacing w:before="20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MDWs who faced abuse or exploitation, the “two </w:t>
      </w:r>
      <w:proofErr w:type="gramStart"/>
      <w:r>
        <w:rPr>
          <w:rFonts w:ascii="Times New Roman" w:eastAsia="Times New Roman" w:hAnsi="Times New Roman" w:cs="Times New Roman"/>
          <w:sz w:val="24"/>
          <w:szCs w:val="24"/>
        </w:rPr>
        <w:t>week  rule</w:t>
      </w:r>
      <w:proofErr w:type="gramEnd"/>
      <w:r>
        <w:rPr>
          <w:rFonts w:ascii="Times New Roman" w:eastAsia="Times New Roman" w:hAnsi="Times New Roman" w:cs="Times New Roman"/>
          <w:sz w:val="24"/>
          <w:szCs w:val="24"/>
        </w:rPr>
        <w:t>” discourages them from speaking out and seeking legal redress as they fear being forced to leave Hong Kong, having to find another employer from afar and face another round of agency rip-off. Even if MDWs who faced exploitation or abuse decide to lodge a legal claim upon termination, visa extensions are granted on conditions that prohibit employment during the extended stay. The time and financial costs have deterred many from pursuing legal remedies against abusive employers. We urge the government to abolish the “two-week” rule to end the cycle of impunity for bad actors who are benefitting from the exploitation of MDWs in Hong Kong.</w:t>
      </w:r>
    </w:p>
    <w:p w14:paraId="00000016" w14:textId="77777777" w:rsidR="00565025" w:rsidRDefault="00DD7F83">
      <w:pPr>
        <w:pBdr>
          <w:top w:val="nil"/>
          <w:left w:val="nil"/>
          <w:bottom w:val="nil"/>
          <w:right w:val="nil"/>
          <w:between w:val="nil"/>
        </w:pBdr>
        <w:spacing w:before="20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Live-in policy risks modern-day slavery (CO64-65, SP117)</w:t>
      </w:r>
    </w:p>
    <w:p w14:paraId="00000017" w14:textId="77777777" w:rsidR="00565025" w:rsidRDefault="00DD7F83">
      <w:pPr>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Notwithstanding previous statements by the government about how the live-in policy constitutes a kind of non-monetary working bonus for MDWs in Hong Kong (as workers supposedly get free </w:t>
      </w:r>
      <w:r>
        <w:rPr>
          <w:rFonts w:ascii="Times New Roman" w:eastAsia="Times New Roman" w:hAnsi="Times New Roman" w:cs="Times New Roman"/>
          <w:sz w:val="24"/>
          <w:szCs w:val="24"/>
        </w:rPr>
        <w:lastRenderedPageBreak/>
        <w:t xml:space="preserve">accommodation in one of the world’s most densely populated city), the said policy nevertheless renders possible around-the-clock work schedules and consequently, extremely long working hours, as well as exposure to a higher risk of </w:t>
      </w:r>
      <w:proofErr w:type="gramStart"/>
      <w:r>
        <w:rPr>
          <w:rFonts w:ascii="Times New Roman" w:eastAsia="Times New Roman" w:hAnsi="Times New Roman" w:cs="Times New Roman"/>
          <w:sz w:val="24"/>
          <w:szCs w:val="24"/>
        </w:rPr>
        <w:t>gender based</w:t>
      </w:r>
      <w:proofErr w:type="gramEnd"/>
      <w:r>
        <w:rPr>
          <w:rFonts w:ascii="Times New Roman" w:eastAsia="Times New Roman" w:hAnsi="Times New Roman" w:cs="Times New Roman"/>
          <w:sz w:val="24"/>
          <w:szCs w:val="24"/>
        </w:rPr>
        <w:t xml:space="preserve"> violence and all forms of abuses behind closed doors.</w:t>
      </w:r>
    </w:p>
    <w:p w14:paraId="00000018" w14:textId="77777777" w:rsidR="00565025" w:rsidRDefault="00DD7F83">
      <w:pPr>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Bearing in mind that many extreme abuse cases of MDWs in Hong Kong, </w:t>
      </w:r>
      <w:proofErr w:type="gramStart"/>
      <w:r>
        <w:rPr>
          <w:rFonts w:ascii="Times New Roman" w:eastAsia="Times New Roman" w:hAnsi="Times New Roman" w:cs="Times New Roman"/>
          <w:sz w:val="24"/>
          <w:szCs w:val="24"/>
        </w:rPr>
        <w:t>e.g.</w:t>
      </w:r>
      <w:proofErr w:type="gramEnd"/>
      <w:r>
        <w:rPr>
          <w:rFonts w:ascii="Times New Roman" w:eastAsia="Times New Roman" w:hAnsi="Times New Roman" w:cs="Times New Roman"/>
          <w:sz w:val="24"/>
          <w:szCs w:val="24"/>
        </w:rPr>
        <w:t xml:space="preserve"> the appalling case of </w:t>
      </w:r>
      <w:r>
        <w:rPr>
          <w:rFonts w:ascii="Times New Roman" w:eastAsia="Times New Roman" w:hAnsi="Times New Roman" w:cs="Times New Roman"/>
          <w:sz w:val="24"/>
          <w:szCs w:val="24"/>
          <w:highlight w:val="white"/>
        </w:rPr>
        <w:t>Erwiana Sulistyaningsih in 2014, could become less devastating (if not eliminated) if alternatives to the live-in policy have been given serious consideration, we ask the government to reconsider the practicality of live-in policy and align it with the principle of respect and protection for MDWs.</w:t>
      </w:r>
    </w:p>
    <w:p w14:paraId="00000019" w14:textId="77777777" w:rsidR="00565025" w:rsidRDefault="00DD7F83">
      <w:pPr>
        <w:pBdr>
          <w:top w:val="nil"/>
          <w:left w:val="nil"/>
          <w:bottom w:val="nil"/>
          <w:right w:val="nil"/>
          <w:between w:val="nil"/>
        </w:pBdr>
        <w:spacing w:before="20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Lack of action on malpractice of employment agencies (CO64-65, SP112, 11G)</w:t>
      </w:r>
    </w:p>
    <w:p w14:paraId="0000001A" w14:textId="77777777" w:rsidR="00565025" w:rsidRDefault="00DD7F8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government established the Code of Practice on Employment Agencies (CoP) in 2017 in order to strengthen the monitoring of illegal practices of employment agencies. Yet, two studies carried out by the Hong Kong Federation of Asian Domestic Workers Unions in </w:t>
      </w:r>
      <w:hyperlink r:id="rId12">
        <w:r>
          <w:rPr>
            <w:rFonts w:ascii="Times New Roman" w:eastAsia="Times New Roman" w:hAnsi="Times New Roman" w:cs="Times New Roman"/>
            <w:color w:val="1155CC"/>
            <w:sz w:val="24"/>
            <w:szCs w:val="24"/>
            <w:u w:val="single"/>
          </w:rPr>
          <w:t>2018</w:t>
        </w:r>
      </w:hyperlink>
      <w:r>
        <w:rPr>
          <w:rFonts w:ascii="Times New Roman" w:eastAsia="Times New Roman" w:hAnsi="Times New Roman" w:cs="Times New Roman"/>
          <w:sz w:val="24"/>
          <w:szCs w:val="24"/>
        </w:rPr>
        <w:t xml:space="preserve"> and in </w:t>
      </w:r>
      <w:hyperlink r:id="rId13">
        <w:r>
          <w:rPr>
            <w:rFonts w:ascii="Times New Roman" w:eastAsia="Times New Roman" w:hAnsi="Times New Roman" w:cs="Times New Roman"/>
            <w:color w:val="1155CC"/>
            <w:sz w:val="24"/>
            <w:szCs w:val="24"/>
            <w:u w:val="single"/>
          </w:rPr>
          <w:t>2022</w:t>
        </w:r>
      </w:hyperlink>
      <w:r>
        <w:rPr>
          <w:rFonts w:ascii="Times New Roman" w:eastAsia="Times New Roman" w:hAnsi="Times New Roman" w:cs="Times New Roman"/>
          <w:sz w:val="24"/>
          <w:szCs w:val="24"/>
        </w:rPr>
        <w:t xml:space="preserve"> found that virtually all employment agencies (96% in 2018 and 100% in 2022) do not comply with the CoP, and the situation is almost unchanged 6 years after the implementation of CoP - if not worse.</w:t>
      </w:r>
    </w:p>
    <w:p w14:paraId="0000001B" w14:textId="77777777" w:rsidR="00565025" w:rsidRDefault="00DD7F8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2018 and 2022 research, 56% and 57% respondents respectively reported illegal overcharging by employment agencies, 24% and 29 % respondents reported confiscation of identity documents, mostly by employment agencies (72% and 70%) for the purpose of physical and financial control. Overcharging, which inevitably results in overwhelming debt that effectively indentures workers, along with the confiscation of personal identity documents, increasingly </w:t>
      </w:r>
      <w:proofErr w:type="gramStart"/>
      <w:r>
        <w:rPr>
          <w:rFonts w:ascii="Times New Roman" w:eastAsia="Times New Roman" w:hAnsi="Times New Roman" w:cs="Times New Roman"/>
          <w:sz w:val="24"/>
          <w:szCs w:val="24"/>
        </w:rPr>
        <w:t>put  MDWs</w:t>
      </w:r>
      <w:proofErr w:type="gramEnd"/>
      <w:r>
        <w:rPr>
          <w:rFonts w:ascii="Times New Roman" w:eastAsia="Times New Roman" w:hAnsi="Times New Roman" w:cs="Times New Roman"/>
          <w:sz w:val="24"/>
          <w:szCs w:val="24"/>
        </w:rPr>
        <w:t xml:space="preserve"> at risk of  human-trafficking and forced labor to an unprecedented extent.</w:t>
      </w:r>
    </w:p>
    <w:p w14:paraId="0000001C" w14:textId="77777777" w:rsidR="00565025" w:rsidRDefault="00DD7F83">
      <w:pPr>
        <w:spacing w:before="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rampant illegal practices by employment agencies, the conviction rate of agencies is very low. Between 2019 and 2021, there were only 10 convictions of employment agencies found to be in breach of the laws regulating agency practices in Hong Kong. For the small number of agencies found guilty, the average fine imposed was only HKD 16,660, which is too low to act as a deterrent.  In the past three years, only a handful of employment agencies have lost their licenses </w:t>
      </w:r>
      <w:hyperlink r:id="rId14">
        <w:r>
          <w:rPr>
            <w:rFonts w:ascii="Times New Roman" w:eastAsia="Times New Roman" w:hAnsi="Times New Roman" w:cs="Times New Roman"/>
            <w:color w:val="1155CC"/>
            <w:sz w:val="24"/>
            <w:szCs w:val="24"/>
            <w:u w:val="single"/>
          </w:rPr>
          <w:t>(7 in 2020, 7 in 2021 and 1 in 2022)</w:t>
        </w:r>
      </w:hyperlink>
      <w:r>
        <w:rPr>
          <w:rFonts w:ascii="Times New Roman" w:eastAsia="Times New Roman" w:hAnsi="Times New Roman" w:cs="Times New Roman"/>
          <w:sz w:val="24"/>
          <w:szCs w:val="24"/>
        </w:rPr>
        <w:t xml:space="preserve">. </w:t>
      </w:r>
    </w:p>
    <w:p w14:paraId="0000001D" w14:textId="77777777" w:rsidR="00565025" w:rsidRDefault="00DD7F83">
      <w:pPr>
        <w:pBdr>
          <w:top w:val="nil"/>
          <w:left w:val="nil"/>
          <w:bottom w:val="nil"/>
          <w:right w:val="nil"/>
          <w:between w:val="nil"/>
        </w:pBd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improve the above situation,​​ legislative measures are needed. This includes but should not be limited to: 1) Ensure that no MDWs will be charged illegal agency fee through more comprehensive legislation and stricter law enforcement; 2) Ensure any kind of confiscation of individual identities, be it by the employer or agency, will be immediately rendered illegal through law enforcement; 3) Legislate that any violation of CoP will result in revoking of license, fine and imprisonment. </w:t>
      </w:r>
    </w:p>
    <w:p w14:paraId="0000001E" w14:textId="77777777" w:rsidR="00565025" w:rsidRDefault="00DD7F83">
      <w:pPr>
        <w:pBdr>
          <w:top w:val="nil"/>
          <w:left w:val="nil"/>
          <w:bottom w:val="nil"/>
          <w:right w:val="nil"/>
          <w:between w:val="nil"/>
        </w:pBdr>
        <w:spacing w:before="20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Failure in providing fair and accessible redress mechanisms for </w:t>
      </w:r>
      <w:proofErr w:type="gramStart"/>
      <w:r>
        <w:rPr>
          <w:rFonts w:ascii="Times New Roman" w:eastAsia="Times New Roman" w:hAnsi="Times New Roman" w:cs="Times New Roman"/>
          <w:b/>
          <w:sz w:val="24"/>
          <w:szCs w:val="24"/>
        </w:rPr>
        <w:t>MDWs  (</w:t>
      </w:r>
      <w:proofErr w:type="gramEnd"/>
      <w:r>
        <w:rPr>
          <w:rFonts w:ascii="Times New Roman" w:eastAsia="Times New Roman" w:hAnsi="Times New Roman" w:cs="Times New Roman"/>
          <w:b/>
          <w:sz w:val="24"/>
          <w:szCs w:val="24"/>
        </w:rPr>
        <w:t>CO65, SP113, 11I)</w:t>
      </w:r>
    </w:p>
    <w:p w14:paraId="0000001F" w14:textId="77777777" w:rsidR="00565025" w:rsidRDefault="00DD7F8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dedicated hotline for MDWs set up by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Department is outsourced to an interpretation service provider. The operators can only answer general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enquiries within the law. For using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Department conciliation service, MDWs have to go to a nearest branch in person at working hours on working days, rendering it almost impossible for a MDW to file a case before termination.</w:t>
      </w:r>
    </w:p>
    <w:p w14:paraId="00000020" w14:textId="77777777" w:rsidR="00565025" w:rsidRDefault="00DD7F8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redress mechanisms in Hong Kong are both expensive and time-consuming for MDWs. A 2019 report</w:t>
      </w:r>
      <w:hyperlink r:id="rId15">
        <w:r>
          <w:rPr>
            <w:rFonts w:ascii="Times New Roman" w:eastAsia="Times New Roman" w:hAnsi="Times New Roman" w:cs="Times New Roman"/>
            <w:sz w:val="24"/>
            <w:szCs w:val="24"/>
          </w:rPr>
          <w:t xml:space="preserve"> “</w:t>
        </w:r>
      </w:hyperlink>
      <w:hyperlink r:id="rId16">
        <w:r>
          <w:rPr>
            <w:rFonts w:ascii="Times New Roman" w:eastAsia="Times New Roman" w:hAnsi="Times New Roman" w:cs="Times New Roman"/>
            <w:color w:val="1155CC"/>
            <w:sz w:val="24"/>
            <w:szCs w:val="24"/>
            <w:u w:val="single"/>
          </w:rPr>
          <w:t>The Price of Justice</w:t>
        </w:r>
      </w:hyperlink>
      <w:r>
        <w:rPr>
          <w:rFonts w:ascii="Times New Roman" w:eastAsia="Times New Roman" w:hAnsi="Times New Roman" w:cs="Times New Roman"/>
          <w:color w:val="1155CC"/>
          <w:sz w:val="24"/>
          <w:szCs w:val="24"/>
          <w:u w:val="single"/>
        </w:rPr>
        <w:t>”</w:t>
      </w:r>
      <w:r>
        <w:rPr>
          <w:rFonts w:ascii="Times New Roman" w:eastAsia="Times New Roman" w:hAnsi="Times New Roman" w:cs="Times New Roman"/>
          <w:sz w:val="24"/>
          <w:szCs w:val="24"/>
        </w:rPr>
        <w:t xml:space="preserve"> shows, the average time interviewees had to wait between filing their case and having it settled at the Minor Employment Claims Adjudication Board/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Tribunal was 58 days. The two-week rule, live-in policy, high costs of living in Hong Kong and prohibition against working while pursuing a claim put MDWs at an immediate and serious disadvantage, as a result, MDWs are frequently pressured into settling for less than what they are entitled to under the law. On average, the interviews were only awarded 40% of their claims. Employers who break the law are rarely prosecuted due to systemic difficulties for MDWs to stay in Hong Kong and testify. The power imbalance between workers and employers, the language barrier and the lack of support further impede workers’ pursuit of justice and legal remedies.</w:t>
      </w:r>
    </w:p>
    <w:p w14:paraId="00000021" w14:textId="77777777" w:rsidR="00565025" w:rsidRDefault="00DD7F8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Except those who seek justice through the existing redress procedures, the great majority of MDWs whose statutory or contractual rights are violated by their employers do not access the redress mechanism at all. For example, in 2018 less than 0.3% of the total MDW population filed an employment claim at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Department.</w:t>
      </w:r>
    </w:p>
    <w:p w14:paraId="00000022" w14:textId="77777777" w:rsidR="00565025" w:rsidRDefault="00DD7F83">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urge the government to:</w:t>
      </w:r>
    </w:p>
    <w:p w14:paraId="00000023" w14:textId="77777777" w:rsidR="00565025" w:rsidRDefault="00DD7F83">
      <w:pPr>
        <w:numPr>
          <w:ilvl w:val="0"/>
          <w:numId w:val="1"/>
        </w:num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repeal the “two-week rule” and “live-in policy”; </w:t>
      </w:r>
    </w:p>
    <w:p w14:paraId="00000024" w14:textId="77777777" w:rsidR="00565025" w:rsidRDefault="00DD7F83">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open office hours of Immigration Department and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Department on Sunday;</w:t>
      </w:r>
    </w:p>
    <w:p w14:paraId="00000025" w14:textId="77777777" w:rsidR="00565025" w:rsidRDefault="00DD7F83">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grant all MDWs with a pending case free visa extensions without restrictions on their right to work; </w:t>
      </w:r>
    </w:p>
    <w:p w14:paraId="00000026" w14:textId="77777777" w:rsidR="00565025" w:rsidRDefault="00DD7F83">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allow MDWs with a pending case access to public health care services at eligible persons’ rates of charges; </w:t>
      </w:r>
    </w:p>
    <w:p w14:paraId="00000027" w14:textId="77777777" w:rsidR="00565025" w:rsidRDefault="00DD7F83">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MDWs who seek compensation for human or labor rights abuses have effective access to psychosocial support such as food, shelter, medical and interpretation support;</w:t>
      </w:r>
    </w:p>
    <w:p w14:paraId="00000028" w14:textId="77777777" w:rsidR="00565025" w:rsidRDefault="00DD7F83">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reduce the evidential burden of proof on MDWs; and</w:t>
      </w:r>
    </w:p>
    <w:p w14:paraId="00000029" w14:textId="77777777" w:rsidR="00565025" w:rsidRDefault="00DD7F83">
      <w:pPr>
        <w:numPr>
          <w:ilvl w:val="0"/>
          <w:numId w:val="1"/>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allow in all instances third parties, including trade unions, NGOs or individuals to pursue the claim on behalf of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MDW.</w:t>
      </w:r>
    </w:p>
    <w:p w14:paraId="0000002A" w14:textId="77777777" w:rsidR="00565025" w:rsidRDefault="00DD7F83">
      <w:pPr>
        <w:pBdr>
          <w:top w:val="nil"/>
          <w:left w:val="nil"/>
          <w:bottom w:val="nil"/>
          <w:right w:val="nil"/>
          <w:between w:val="nil"/>
        </w:pBdr>
        <w:spacing w:before="20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Exclusion from statutory minimum wage, work safety protections &amp; mandatory pension scheme (SP110-111, 11F)</w:t>
      </w:r>
    </w:p>
    <w:p w14:paraId="0000002B" w14:textId="77777777" w:rsidR="00565025" w:rsidRDefault="00DD7F83">
      <w:pPr>
        <w:spacing w:before="20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MDWs are excluded from statutory minimum wage</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while all domestic workers (local and migrant) are excluded from legal protections under the Occupational Safety and Health Ordinance</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in Hong Kong. There is no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inspection of any form to ensure the safety and health of domestic workers who perform work in employers’ households, resulting in a lack of law enforcement relating to rest days, holidays, sick leave and work safety, etc. Further, domestic workers, local or migrant, are not eligible to enroll in the Mandatory Provident Fund, a compulsory pension scheme generally contributed to by both employers and employees.</w:t>
      </w:r>
    </w:p>
    <w:p w14:paraId="0000002C" w14:textId="77777777" w:rsidR="00565025" w:rsidRDefault="00DD7F83">
      <w:pPr>
        <w:spacing w:before="20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government should revise the Minimum Wage Ordinance and the Occupational Safety and Health Ordinance to afford equal protections to all domestic workers.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inspection policies should be introduced to ensure work safety for domestic workers who work and/or reside in employers’ households. We also urge the Government to introduce comprehensive social insurance to ensure that domestic workers, together with women casual workers and caregivers, receive adequate social and pension benefits in recognition of their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and contribution to Hong Kong’s economy.</w:t>
      </w:r>
    </w:p>
    <w:p w14:paraId="0000002D" w14:textId="77777777" w:rsidR="00565025" w:rsidRDefault="00DD7F83">
      <w:pPr>
        <w:spacing w:before="200" w:after="240"/>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Inadequate enforcement of maternity protection for pregnant MDWs (SP110-111, 11F)</w:t>
      </w:r>
    </w:p>
    <w:p w14:paraId="0000002E" w14:textId="77777777" w:rsidR="00565025" w:rsidRDefault="00DD7F83">
      <w:pPr>
        <w:spacing w:before="20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Pregnant MDWs are particularly vulnerable to discrimination and unlawful termination due to their pregnancy. An employer survey conducted by Pathfinders in 2020 revealed that the majority of employers in Hong Kong (84% of respondents) believed they could dismiss pregnant MDWs because they would not be able to perform work duties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The result points to a lack of education for employers by the government on the legal protections for pregnant workers, and the lack of monitoring of employment agencies who often play a critical role in facilitating the unlawful termination of pregnant MDWs. Once terminated, pregnant MDWs become heavily dependent on social welfare and medical support provided by charities as they are no longer eligible to public healthcare services at resident rates. </w:t>
      </w:r>
    </w:p>
    <w:p w14:paraId="0000002F" w14:textId="77777777" w:rsidR="00565025" w:rsidRDefault="00DD7F83">
      <w:pPr>
        <w:spacing w:before="20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urge the government to carry out mandatory education for employers and employment agencies on the existing laws, including laws against pregnancy discrimination. The government should also strengthen law enforcement against both employers and employment agencies (where agencies assisted in employers’ violation of the law) in cases of unlawful termination and discrimination of pregnant MDWs.</w:t>
      </w:r>
    </w:p>
    <w:p w14:paraId="00000030" w14:textId="77777777" w:rsidR="00565025" w:rsidRDefault="00DD7F83">
      <w:pPr>
        <w:spacing w:before="20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Denied access to public healthcare services at affordable rates upon termination (SP110-111, 11F)</w:t>
      </w:r>
    </w:p>
    <w:p w14:paraId="00000031" w14:textId="77777777" w:rsidR="00565025" w:rsidRDefault="00DD7F83">
      <w:pPr>
        <w:spacing w:before="20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MDWs lose access to public healthcare services and facilities at residents’ rates once they are out of employment in Hong Kong. MDWs who are diagnosed with serious illnesses such as cancer often face harsh treatment and discrimination by employers, including immediate termination which comes with devastating impacts on those in need of urgent medical treatment, see for example the case of Baby Jane </w:t>
      </w:r>
      <w:proofErr w:type="spellStart"/>
      <w:r>
        <w:rPr>
          <w:rFonts w:ascii="Times New Roman" w:eastAsia="Times New Roman" w:hAnsi="Times New Roman" w:cs="Times New Roman"/>
          <w:sz w:val="24"/>
          <w:szCs w:val="24"/>
        </w:rPr>
        <w:t>Allas</w:t>
      </w:r>
      <w:proofErr w:type="spellEnd"/>
      <w:r>
        <w:rPr>
          <w:rFonts w:ascii="Times New Roman" w:eastAsia="Times New Roman" w:hAnsi="Times New Roman" w:cs="Times New Roman"/>
          <w:sz w:val="24"/>
          <w:szCs w:val="24"/>
        </w:rPr>
        <w:t xml:space="preserve"> which was widely reported and sparked a public outcry in 2019</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Due to fear of termination, many MDWs diagnosed with cancer during employment endure harsh treatment, such as deduction of wages for taking time off for medical consultation. Those who are unlawfully terminated risk being denied medical treatment due to inability to afford healthcare services at the higher rates for non-residents. </w:t>
      </w:r>
    </w:p>
    <w:p w14:paraId="00000032" w14:textId="77777777" w:rsidR="00565025" w:rsidRDefault="00DD7F83">
      <w:pPr>
        <w:spacing w:before="20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urge the government to ensure that all MDWs, including those who have been dismissed or are pursuing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claims, are given continuous and equal access to medical healthcare services in public hospitals at the rate of charge for residents or “eligible persons”.</w:t>
      </w:r>
    </w:p>
    <w:p w14:paraId="00000033" w14:textId="77777777" w:rsidR="00565025" w:rsidRDefault="00DD7F83">
      <w:pPr>
        <w:spacing w:before="20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Lack of mandatory briefing and upskilling training (SP113, 11H)</w:t>
      </w:r>
    </w:p>
    <w:p w14:paraId="00000034" w14:textId="77777777" w:rsidR="00565025" w:rsidRDefault="00DD7F83">
      <w:pPr>
        <w:spacing w:before="20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Imported workers under the Supplementary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Scheme are required to attend a briefing by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Department with paid leave within 8 weeks upon their arrival in Hong Kong, while MDWs are not required to do so. The voluntary briefing session provided by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Department is so scarce, leaving the majority of MDWs not knowing about their rights and vulnerable to exploitation. The Code of Practice on Employment Agencies dictates that the employment agencies have a positive obligation to ensure MDWs know their rights, yet only </w:t>
      </w:r>
      <w:hyperlink r:id="rId17">
        <w:r>
          <w:rPr>
            <w:rFonts w:ascii="Times New Roman" w:eastAsia="Times New Roman" w:hAnsi="Times New Roman" w:cs="Times New Roman"/>
            <w:color w:val="1155CC"/>
            <w:sz w:val="24"/>
            <w:szCs w:val="24"/>
            <w:u w:val="single"/>
          </w:rPr>
          <w:t>53%</w:t>
        </w:r>
      </w:hyperlink>
      <w:r>
        <w:rPr>
          <w:rFonts w:ascii="Times New Roman" w:eastAsia="Times New Roman" w:hAnsi="Times New Roman" w:cs="Times New Roman"/>
          <w:sz w:val="24"/>
          <w:szCs w:val="24"/>
        </w:rPr>
        <w:t xml:space="preserve"> reported being briefed about their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rights under Hong Kong laws or being given referrals to relevant government agencies or organizations.</w:t>
      </w:r>
    </w:p>
    <w:p w14:paraId="00000035" w14:textId="77777777" w:rsidR="00565025" w:rsidRDefault="00DD7F83">
      <w:pPr>
        <w:spacing w:before="20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MDWs play a major role in caring for children, elderly and persons with disabilities/ chronic diseases in Hong Kong families. Performing these tasks is not easy, most domestic duties are classified as medium skills level work at the International Standards of Occupation. Yet the government provides next to zero support for MDWs skill training. </w:t>
      </w:r>
    </w:p>
    <w:p w14:paraId="00000036" w14:textId="77777777" w:rsidR="00565025" w:rsidRDefault="00DD7F83">
      <w:pPr>
        <w:spacing w:before="20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ask the government to provide mandatory briefing to all MDWs and invite unions to speak, provide comprehensive upskilling training for MDWs and require employers to give paid leave for them to join briefing and training.</w:t>
      </w:r>
    </w:p>
    <w:p w14:paraId="00000037" w14:textId="77777777" w:rsidR="00565025" w:rsidRDefault="00DD7F83">
      <w:pPr>
        <w:spacing w:before="20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Denial of the right to free choice of occupation and employment (Article 11)</w:t>
      </w:r>
    </w:p>
    <w:p w14:paraId="00000038" w14:textId="77777777" w:rsidR="00565025" w:rsidRDefault="00DD7F83">
      <w:pPr>
        <w:spacing w:before="20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Change of occupation is practically impossible for MDWs as permission to remain in Hong Kong is tied exclusively to their employment as domestic workers under a standard-form two-year contract, resulting in the denial of MDWs’ right to free choice of profession and employment. Non-local people of other occupations, on the other hand, are not subjected to such restrictions, thus able to freely choose employment of other occupations in the Hong Kong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 We urge the government to abolish all discriminatory immigration policies that unduly restrict MDWs’ right to free choice of occupation and employment.</w:t>
      </w:r>
    </w:p>
    <w:p w14:paraId="00000039" w14:textId="77777777" w:rsidR="00565025" w:rsidRDefault="00DD7F83">
      <w:pPr>
        <w:spacing w:before="20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Inequality in nationality laws (Article 9)</w:t>
      </w:r>
    </w:p>
    <w:p w14:paraId="0000003A" w14:textId="77777777" w:rsidR="00565025" w:rsidRDefault="00DD7F83">
      <w:pPr>
        <w:spacing w:before="20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Migrant domestic workers continue to be denied the right of abode regardless of the number of years they have worked and resided in Hong Kong, unlike people of other occupations, who can acquire permanent residence after 7 years of employment in Hong Kong. Following the Court of Final Appeal’s dismissal of the judicial review on this subject matter in 2013</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no further judicial means can be availed to challenge the denial of migrant domestic workers’ right of abode under Hong Kong’s existing legislations.</w:t>
      </w:r>
    </w:p>
    <w:p w14:paraId="0000003B" w14:textId="77777777" w:rsidR="00565025" w:rsidRDefault="00DD7F83">
      <w:pPr>
        <w:spacing w:before="20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should be no discrimination on the basis of an applicant’s occupation as an MDW. Hong Kong is increasingly dependent on MDWs, as well as imported care workers who are predominantly women, to meet the population’s growing care needs. The government should apply the same standard to workers of all backgrounds and occupations in regard to the acquisition of permanent residence in Hong Kong.</w:t>
      </w:r>
    </w:p>
    <w:p w14:paraId="0000003C" w14:textId="77777777" w:rsidR="00565025" w:rsidRDefault="00565025">
      <w:pPr>
        <w:spacing w:before="200" w:after="240"/>
        <w:jc w:val="both"/>
        <w:rPr>
          <w:rFonts w:ascii="Times New Roman" w:eastAsia="Times New Roman" w:hAnsi="Times New Roman" w:cs="Times New Roman"/>
          <w:sz w:val="24"/>
          <w:szCs w:val="24"/>
        </w:rPr>
      </w:pPr>
    </w:p>
    <w:p w14:paraId="0000003D" w14:textId="77777777" w:rsidR="00565025" w:rsidRDefault="00DD7F83">
      <w:pPr>
        <w:spacing w:before="200" w:after="240"/>
        <w:jc w:val="both"/>
      </w:pPr>
      <w:r>
        <w:rPr>
          <w:rFonts w:ascii="Times New Roman" w:eastAsia="Times New Roman" w:hAnsi="Times New Roman" w:cs="Times New Roman"/>
          <w:sz w:val="24"/>
          <w:szCs w:val="24"/>
        </w:rPr>
        <w:t xml:space="preserve">With the growing care needs in the population, the government should adopt comprehensive care policies, review the policies regarding MDWs, and ensure decent work for domestic workers. </w:t>
      </w:r>
    </w:p>
    <w:sectPr w:rsidR="00565025">
      <w:foot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CE40D" w14:textId="77777777" w:rsidR="002F664A" w:rsidRDefault="002F664A">
      <w:pPr>
        <w:spacing w:line="240" w:lineRule="auto"/>
      </w:pPr>
      <w:r>
        <w:separator/>
      </w:r>
    </w:p>
  </w:endnote>
  <w:endnote w:type="continuationSeparator" w:id="0">
    <w:p w14:paraId="6C743854" w14:textId="77777777" w:rsidR="002F664A" w:rsidRDefault="002F66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4" w14:textId="77777777" w:rsidR="00565025" w:rsidRDefault="005650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48C8A" w14:textId="77777777" w:rsidR="002F664A" w:rsidRDefault="002F664A">
      <w:pPr>
        <w:spacing w:line="240" w:lineRule="auto"/>
      </w:pPr>
      <w:r>
        <w:separator/>
      </w:r>
    </w:p>
  </w:footnote>
  <w:footnote w:type="continuationSeparator" w:id="0">
    <w:p w14:paraId="485D66E5" w14:textId="77777777" w:rsidR="002F664A" w:rsidRDefault="002F664A">
      <w:pPr>
        <w:spacing w:line="240" w:lineRule="auto"/>
      </w:pPr>
      <w:r>
        <w:continuationSeparator/>
      </w:r>
    </w:p>
  </w:footnote>
  <w:footnote w:id="1">
    <w:p w14:paraId="0000003E" w14:textId="77777777" w:rsidR="00565025" w:rsidRDefault="00DD7F83">
      <w:pPr>
        <w:spacing w:line="240" w:lineRule="auto"/>
        <w:rPr>
          <w:sz w:val="20"/>
          <w:szCs w:val="20"/>
        </w:rPr>
      </w:pPr>
      <w:r>
        <w:rPr>
          <w:vertAlign w:val="superscript"/>
        </w:rPr>
        <w:footnoteRef/>
      </w:r>
      <w:r>
        <w:rPr>
          <w:sz w:val="20"/>
          <w:szCs w:val="20"/>
        </w:rPr>
        <w:t xml:space="preserve"> See section 7(3) of the Minimum Wage Ordinance</w:t>
      </w:r>
    </w:p>
  </w:footnote>
  <w:footnote w:id="2">
    <w:p w14:paraId="0000003F" w14:textId="77777777" w:rsidR="00565025" w:rsidRDefault="00DD7F83">
      <w:pPr>
        <w:spacing w:line="240" w:lineRule="auto"/>
        <w:rPr>
          <w:sz w:val="20"/>
          <w:szCs w:val="20"/>
        </w:rPr>
      </w:pPr>
      <w:r>
        <w:rPr>
          <w:vertAlign w:val="superscript"/>
        </w:rPr>
        <w:footnoteRef/>
      </w:r>
      <w:r>
        <w:rPr>
          <w:sz w:val="20"/>
          <w:szCs w:val="20"/>
        </w:rPr>
        <w:t xml:space="preserve"> Under section 2 of the Occupational Safety and Health Ordinance, the definition of an “employee” specifically excludes domestic workers.</w:t>
      </w:r>
    </w:p>
  </w:footnote>
  <w:footnote w:id="3">
    <w:p w14:paraId="00000040" w14:textId="77777777" w:rsidR="00565025" w:rsidRDefault="00DD7F83">
      <w:pPr>
        <w:spacing w:line="240" w:lineRule="auto"/>
        <w:rPr>
          <w:sz w:val="20"/>
          <w:szCs w:val="20"/>
        </w:rPr>
      </w:pPr>
      <w:r>
        <w:rPr>
          <w:vertAlign w:val="superscript"/>
        </w:rPr>
        <w:footnoteRef/>
      </w:r>
      <w:r>
        <w:rPr>
          <w:sz w:val="20"/>
          <w:szCs w:val="20"/>
        </w:rPr>
        <w:t xml:space="preserve"> Employer Survey Report, Understanding Employer Attitudes Towards Migrant Domestic Workers Pregnancies and their Knowledge of Maternity Rights, June 2022. Available at: </w:t>
      </w:r>
      <w:hyperlink r:id="rId1">
        <w:r>
          <w:rPr>
            <w:color w:val="1155CC"/>
            <w:sz w:val="20"/>
            <w:szCs w:val="20"/>
            <w:u w:val="single"/>
          </w:rPr>
          <w:t>https://www.pathfinders.org.hk/wp-content/uploads/2022/11/PathFinders-Employer-Survey-Report-June-2022.pdf</w:t>
        </w:r>
      </w:hyperlink>
    </w:p>
    <w:p w14:paraId="00000041" w14:textId="77777777" w:rsidR="00565025" w:rsidRDefault="00565025">
      <w:pPr>
        <w:spacing w:line="240" w:lineRule="auto"/>
        <w:rPr>
          <w:sz w:val="20"/>
          <w:szCs w:val="20"/>
        </w:rPr>
      </w:pPr>
    </w:p>
  </w:footnote>
  <w:footnote w:id="4">
    <w:p w14:paraId="00000042" w14:textId="77777777" w:rsidR="00565025" w:rsidRDefault="00DD7F83">
      <w:pPr>
        <w:spacing w:line="240" w:lineRule="auto"/>
        <w:rPr>
          <w:sz w:val="20"/>
          <w:szCs w:val="20"/>
        </w:rPr>
      </w:pPr>
      <w:r>
        <w:rPr>
          <w:vertAlign w:val="superscript"/>
        </w:rPr>
        <w:footnoteRef/>
      </w:r>
      <w:r>
        <w:rPr>
          <w:sz w:val="20"/>
          <w:szCs w:val="20"/>
        </w:rPr>
        <w:t xml:space="preserve"> Follow-up report by Hong Kong Free Press in March 2021: </w:t>
      </w:r>
      <w:hyperlink r:id="rId2">
        <w:r>
          <w:rPr>
            <w:color w:val="1155CC"/>
            <w:sz w:val="20"/>
            <w:szCs w:val="20"/>
            <w:u w:val="single"/>
          </w:rPr>
          <w:t>https://hongkongfp.com/2021/03/31/hong-kong-domestic-worker-fired-for-having-cancer-in-2019-has-died-aged-40/</w:t>
        </w:r>
      </w:hyperlink>
    </w:p>
    <w:p w14:paraId="00000043" w14:textId="77777777" w:rsidR="00565025" w:rsidRDefault="00565025">
      <w:pPr>
        <w:spacing w:line="240" w:lineRule="auto"/>
        <w:rPr>
          <w:sz w:val="20"/>
          <w:szCs w:val="20"/>
        </w:rPr>
      </w:pPr>
    </w:p>
  </w:footnote>
  <w:footnote w:id="5">
    <w:p w14:paraId="00000045" w14:textId="77777777" w:rsidR="00565025" w:rsidRDefault="00DD7F83">
      <w:pPr>
        <w:spacing w:line="240" w:lineRule="auto"/>
        <w:rPr>
          <w:sz w:val="20"/>
          <w:szCs w:val="20"/>
        </w:rPr>
      </w:pPr>
      <w:r>
        <w:rPr>
          <w:vertAlign w:val="superscript"/>
        </w:rPr>
        <w:footnoteRef/>
      </w:r>
      <w:r>
        <w:rPr>
          <w:sz w:val="20"/>
          <w:szCs w:val="20"/>
        </w:rPr>
        <w:t xml:space="preserve"> </w:t>
      </w:r>
      <w:r>
        <w:rPr>
          <w:i/>
          <w:sz w:val="20"/>
          <w:szCs w:val="20"/>
        </w:rPr>
        <w:t>Vallejos Evangeline Banao v Commissioner of Registration and Registration of Persons Tribunal</w:t>
      </w:r>
      <w:r>
        <w:rPr>
          <w:sz w:val="20"/>
          <w:szCs w:val="20"/>
        </w:rPr>
        <w:t xml:space="preserve"> (2013) HKCFA 17: </w:t>
      </w:r>
      <w:hyperlink r:id="rId3">
        <w:r>
          <w:rPr>
            <w:color w:val="1155CC"/>
            <w:sz w:val="20"/>
            <w:szCs w:val="20"/>
            <w:u w:val="single"/>
          </w:rPr>
          <w:t>https://www.hklii.hk/cgi-bin/sinodisp/eng/hk/cases/hkcfa/2013/17.html?stem=&amp;synonyms=&amp;query=Vallejos%20Evangeline%20Banao</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20C3D"/>
    <w:multiLevelType w:val="multilevel"/>
    <w:tmpl w:val="70A625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70240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025"/>
    <w:rsid w:val="002F664A"/>
    <w:rsid w:val="00565025"/>
    <w:rsid w:val="008A45A1"/>
    <w:rsid w:val="00AD5971"/>
    <w:rsid w:val="00DD7F83"/>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T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mab.gov.hk/en/issues/equal_admin_guideline.htm" TargetMode="External"/><Relationship Id="rId13" Type="http://schemas.openxmlformats.org/officeDocument/2006/relationships/hyperlink" Target="https://idwfed.org/en/updates/hong-kong-pandemic-highlights-hong-kong2019s-reliance-on-migrant-domestic-workers-and-the-government2019s-failure-to-protect-the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mab.gov.hk/en/issues/equal_admin_guideline.htm" TargetMode="External"/><Relationship Id="rId12" Type="http://schemas.openxmlformats.org/officeDocument/2006/relationships/hyperlink" Target="https://idwfed.org/en/resources/agents-of-change-assessing-hong-kong-employment-agencies-compliance-with-the-code-of-practice" TargetMode="External"/><Relationship Id="rId17" Type="http://schemas.openxmlformats.org/officeDocument/2006/relationships/hyperlink" Target="https://idwfed.org/en/updates/hong-kong-pandemic-highlights-hong-kong2019s-reliance-on-migrant-domestic-workers-and-the-government2019s-failure-to-protect-them" TargetMode="External"/><Relationship Id="rId2" Type="http://schemas.openxmlformats.org/officeDocument/2006/relationships/styles" Target="styles.xml"/><Relationship Id="rId16" Type="http://schemas.openxmlformats.org/officeDocument/2006/relationships/hyperlink" Target="https://idwfed.org/the-price-of-justice-migrant-domestic-workers-experience-of-trying-to-resolve-labour-disputes-in-hong-kon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document/d/1TcsXtHQqgWX5sQZB-eLdSS7HYfF3XFEM/edit?usp=share_link&amp;ouid=110400299558417923163&amp;rtpof=true&amp;sd=true" TargetMode="External"/><Relationship Id="rId5" Type="http://schemas.openxmlformats.org/officeDocument/2006/relationships/footnotes" Target="footnotes.xml"/><Relationship Id="rId15" Type="http://schemas.openxmlformats.org/officeDocument/2006/relationships/hyperlink" Target="https://idwfed.org/the-price-of-justice-migrant-domestic-workers-experience-of-trying-to-resolve-labour-disputes-in-hong-kong/" TargetMode="External"/><Relationship Id="rId10" Type="http://schemas.openxmlformats.org/officeDocument/2006/relationships/hyperlink" Target="https://www.legco.gov.hk/yr2023/english/panels/mp/papers/mp20230321cb2-219-3-e.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nfo.gov.hk/gia/general/202201/19/P2022011900499.htm?fontSize=1" TargetMode="External"/><Relationship Id="rId14" Type="http://schemas.openxmlformats.org/officeDocument/2006/relationships/hyperlink" Target="https://www.legco.gov.hk/yr2023/english/panels/mp/papers/mp20230321cb2-219-3-e.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hklii.hk/cgi-bin/sinodisp/eng/hk/cases/hkcfa/2013/17.html?stem=&amp;synonyms=&amp;query=Vallejos%20Evangeline%20Banao" TargetMode="External"/><Relationship Id="rId2" Type="http://schemas.openxmlformats.org/officeDocument/2006/relationships/hyperlink" Target="https://hongkongfp.com/2021/03/31/hong-kong-domestic-worker-fired-for-having-cancer-in-2019-has-died-aged-40/" TargetMode="External"/><Relationship Id="rId1" Type="http://schemas.openxmlformats.org/officeDocument/2006/relationships/hyperlink" Target="https://www.pathfinders.org.hk/wp-content/uploads/2022/11/PathFinders-Employer-Survey-Report-June-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3333</Words>
  <Characters>19004</Characters>
  <Application>Microsoft Office Word</Application>
  <DocSecurity>0</DocSecurity>
  <Lines>158</Lines>
  <Paragraphs>44</Paragraphs>
  <ScaleCrop>false</ScaleCrop>
  <Company/>
  <LinksUpToDate>false</LinksUpToDate>
  <CharactersWithSpaces>22293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2023-04-17T10:46:00Z</dcterms:created>
  <dcterms:modified xsi:type="dcterms:W3CDTF">2023-04-17T10:46:00Z</dcterms:modified>
</cp:coreProperties>
</file>