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033B7" w14:textId="5B07FC3C" w:rsidR="000512D0" w:rsidRDefault="000512D0" w:rsidP="000512D0">
      <w:pPr>
        <w:ind w:hanging="300"/>
        <w:jc w:val="center"/>
        <w:rPr>
          <w:rFonts w:ascii="Tajawal" w:hAnsi="Tajawal" w:cs="Tajawal"/>
          <w:b/>
          <w:bCs/>
          <w:color w:val="0070C0"/>
          <w:sz w:val="36"/>
          <w:szCs w:val="36"/>
          <w:rtl/>
          <w:lang w:bidi="ar-EG"/>
        </w:rPr>
      </w:pPr>
      <w:r>
        <w:rPr>
          <w:rFonts w:ascii="Tajawal" w:hAnsi="Tajawal" w:cs="Tajawal" w:hint="cs"/>
          <w:b/>
          <w:bCs/>
          <w:color w:val="0070C0"/>
          <w:sz w:val="36"/>
          <w:szCs w:val="36"/>
          <w:rtl/>
          <w:lang w:bidi="ar-EG"/>
        </w:rPr>
        <w:t xml:space="preserve">تقرير مؤسسة ماعت المقدم </w:t>
      </w:r>
      <w:r w:rsidRPr="007052B0">
        <w:rPr>
          <w:rFonts w:ascii="Tajawal" w:hAnsi="Tajawal" w:cs="Tajawal" w:hint="cs"/>
          <w:b/>
          <w:bCs/>
          <w:color w:val="0070C0"/>
          <w:sz w:val="36"/>
          <w:szCs w:val="36"/>
          <w:rtl/>
          <w:lang w:bidi="ar-EG"/>
        </w:rPr>
        <w:t xml:space="preserve">إلى </w:t>
      </w:r>
      <w:r w:rsidRPr="00C9222E">
        <w:rPr>
          <w:rFonts w:ascii="Tajawal" w:hAnsi="Tajawal" w:cs="Tajawal" w:hint="cs"/>
          <w:b/>
          <w:bCs/>
          <w:color w:val="0070C0"/>
          <w:sz w:val="36"/>
          <w:szCs w:val="36"/>
          <w:rtl/>
          <w:lang w:bidi="ar-EG"/>
        </w:rPr>
        <w:t>لجنة</w:t>
      </w:r>
      <w:r>
        <w:rPr>
          <w:rFonts w:ascii="Tajawal" w:hAnsi="Tajawal" w:cs="Tajawal" w:hint="cs"/>
          <w:b/>
          <w:bCs/>
          <w:color w:val="0070C0"/>
          <w:sz w:val="36"/>
          <w:szCs w:val="36"/>
          <w:rtl/>
          <w:lang w:bidi="ar-EG"/>
        </w:rPr>
        <w:t xml:space="preserve"> حقوق الطفل </w:t>
      </w:r>
      <w:r w:rsidRPr="00C9222E">
        <w:rPr>
          <w:rFonts w:ascii="Tajawal" w:hAnsi="Tajawal" w:cs="Tajawal" w:hint="cs"/>
          <w:b/>
          <w:bCs/>
          <w:color w:val="0070C0"/>
          <w:sz w:val="36"/>
          <w:szCs w:val="36"/>
          <w:rtl/>
          <w:lang w:bidi="ar-EG"/>
        </w:rPr>
        <w:t>بخصوص دولة "</w:t>
      </w:r>
      <w:r>
        <w:rPr>
          <w:rFonts w:ascii="Tajawal" w:hAnsi="Tajawal" w:cs="Tajawal" w:hint="cs"/>
          <w:b/>
          <w:bCs/>
          <w:color w:val="0070C0"/>
          <w:sz w:val="36"/>
          <w:szCs w:val="36"/>
          <w:rtl/>
          <w:lang w:bidi="ar-EG"/>
        </w:rPr>
        <w:t>سلطنة عمان</w:t>
      </w:r>
      <w:r w:rsidRPr="00C9222E">
        <w:rPr>
          <w:rFonts w:ascii="Tajawal" w:hAnsi="Tajawal" w:cs="Tajawal" w:hint="cs"/>
          <w:b/>
          <w:bCs/>
          <w:color w:val="0070C0"/>
          <w:sz w:val="36"/>
          <w:szCs w:val="36"/>
          <w:rtl/>
          <w:lang w:bidi="ar-EG"/>
        </w:rPr>
        <w:t>"</w:t>
      </w:r>
    </w:p>
    <w:p w14:paraId="459CCB72" w14:textId="77777777" w:rsidR="000512D0" w:rsidRPr="00092156" w:rsidRDefault="000512D0" w:rsidP="000512D0">
      <w:pPr>
        <w:jc w:val="lowKashida"/>
        <w:rPr>
          <w:rFonts w:ascii="Tajawal" w:hAnsi="Tajawal" w:cs="Tajawal"/>
          <w:sz w:val="28"/>
          <w:szCs w:val="28"/>
          <w:rtl/>
          <w:lang w:bidi="ar-EG"/>
        </w:rPr>
      </w:pPr>
      <w:r w:rsidRPr="00092156">
        <w:rPr>
          <w:rFonts w:ascii="Tajawal" w:hAnsi="Tajawal" w:cs="Tajawal"/>
          <w:b/>
          <w:bCs/>
          <w:sz w:val="28"/>
          <w:szCs w:val="28"/>
          <w:u w:val="single"/>
          <w:rtl/>
          <w:lang w:bidi="ar-EG"/>
        </w:rPr>
        <w:t>مقدم من:</w:t>
      </w:r>
      <w:r w:rsidRPr="00092156">
        <w:rPr>
          <w:rFonts w:ascii="Tajawal" w:hAnsi="Tajawal" w:cs="Tajawal"/>
          <w:sz w:val="28"/>
          <w:szCs w:val="28"/>
          <w:rtl/>
          <w:lang w:bidi="ar-EG"/>
        </w:rPr>
        <w:t xml:space="preserve"> مؤسسة ماعت للسلام والتنمية وحقوق الانسان ذات المركز الاستشاري في المجلس الاقتصادي والاجتماعي في الامم المتحدة.</w:t>
      </w:r>
    </w:p>
    <w:p w14:paraId="2B35B7B2" w14:textId="77777777" w:rsidR="000512D0" w:rsidRDefault="000512D0" w:rsidP="000512D0">
      <w:pPr>
        <w:spacing w:line="240" w:lineRule="auto"/>
        <w:jc w:val="lowKashida"/>
        <w:rPr>
          <w:rFonts w:ascii="Sakkal Majalla" w:hAnsi="Sakkal Majalla" w:cs="Sakkal Majalla"/>
          <w:sz w:val="32"/>
          <w:szCs w:val="32"/>
          <w:rtl/>
          <w:lang w:bidi="ar-EG"/>
        </w:rPr>
      </w:pPr>
      <w:r w:rsidRPr="00092156">
        <w:rPr>
          <w:rFonts w:ascii="Tajawal" w:hAnsi="Tajawal" w:cs="Tajawal"/>
          <w:b/>
          <w:bCs/>
          <w:sz w:val="28"/>
          <w:szCs w:val="28"/>
          <w:u w:val="single"/>
          <w:rtl/>
          <w:lang w:bidi="ar-EG"/>
        </w:rPr>
        <w:t>مقدم إلى:</w:t>
      </w:r>
      <w:r w:rsidRPr="00092156">
        <w:rPr>
          <w:rFonts w:ascii="Tajawal" w:hAnsi="Tajawal" w:cs="Tajawal"/>
          <w:sz w:val="28"/>
          <w:szCs w:val="28"/>
          <w:rtl/>
          <w:lang w:bidi="ar-EG"/>
        </w:rPr>
        <w:t xml:space="preserve"> </w:t>
      </w:r>
      <w:r w:rsidRPr="007052B0">
        <w:rPr>
          <w:rFonts w:ascii="Tajawal" w:hAnsi="Tajawal" w:cs="Tajawal" w:hint="cs"/>
          <w:sz w:val="28"/>
          <w:szCs w:val="28"/>
          <w:rtl/>
          <w:lang w:bidi="ar-EG"/>
        </w:rPr>
        <w:t xml:space="preserve">اللجنة </w:t>
      </w:r>
      <w:r w:rsidRPr="00120DEC">
        <w:rPr>
          <w:rFonts w:ascii="Tajawal" w:hAnsi="Tajawal" w:cs="Tajawal" w:hint="cs"/>
          <w:sz w:val="24"/>
          <w:szCs w:val="24"/>
          <w:rtl/>
          <w:lang w:bidi="ar-EG"/>
        </w:rPr>
        <w:t>المعنية ب</w:t>
      </w:r>
      <w:r>
        <w:rPr>
          <w:rFonts w:ascii="Tajawal" w:hAnsi="Tajawal" w:cs="Tajawal" w:hint="cs"/>
          <w:sz w:val="24"/>
          <w:szCs w:val="24"/>
          <w:rtl/>
          <w:lang w:bidi="ar-EG"/>
        </w:rPr>
        <w:t>حقوق الطفل</w:t>
      </w:r>
    </w:p>
    <w:p w14:paraId="46D4F4FD" w14:textId="77777777" w:rsidR="000512D0" w:rsidRPr="00092156" w:rsidRDefault="000512D0" w:rsidP="000512D0">
      <w:pPr>
        <w:jc w:val="lowKashida"/>
        <w:rPr>
          <w:rFonts w:ascii="Tajawal" w:hAnsi="Tajawal" w:cs="Tajawal"/>
          <w:sz w:val="28"/>
          <w:szCs w:val="28"/>
          <w:rtl/>
          <w:lang w:bidi="ar-EG"/>
        </w:rPr>
      </w:pPr>
      <w:r>
        <w:rPr>
          <w:rFonts w:ascii="Tajawal" w:hAnsi="Tajawal" w:cs="Tajawal" w:hint="cs"/>
          <w:b/>
          <w:bCs/>
          <w:sz w:val="28"/>
          <w:szCs w:val="28"/>
          <w:u w:val="single"/>
          <w:rtl/>
          <w:lang w:bidi="ar-EG"/>
        </w:rPr>
        <w:t>التاريخ</w:t>
      </w:r>
      <w:r w:rsidRPr="00092156">
        <w:rPr>
          <w:rFonts w:ascii="Tajawal" w:hAnsi="Tajawal" w:cs="Tajawal"/>
          <w:b/>
          <w:bCs/>
          <w:sz w:val="28"/>
          <w:szCs w:val="28"/>
          <w:u w:val="single"/>
          <w:rtl/>
          <w:lang w:bidi="ar-EG"/>
        </w:rPr>
        <w:t>:</w:t>
      </w:r>
      <w:r w:rsidRPr="00092156">
        <w:rPr>
          <w:rFonts w:ascii="Tajawal" w:hAnsi="Tajawal" w:cs="Tajawal"/>
          <w:sz w:val="28"/>
          <w:szCs w:val="28"/>
          <w:rtl/>
          <w:lang w:bidi="ar-EG"/>
        </w:rPr>
        <w:t xml:space="preserve"> </w:t>
      </w:r>
      <w:r>
        <w:rPr>
          <w:rFonts w:ascii="Tajawal" w:hAnsi="Tajawal" w:cs="Tajawal" w:hint="cs"/>
          <w:sz w:val="28"/>
          <w:szCs w:val="28"/>
          <w:rtl/>
          <w:lang w:bidi="ar-EG"/>
        </w:rPr>
        <w:t>فبراير 2021</w:t>
      </w:r>
    </w:p>
    <w:p w14:paraId="72C77921" w14:textId="77777777" w:rsidR="000512D0" w:rsidRDefault="000512D0" w:rsidP="000512D0">
      <w:pPr>
        <w:ind w:left="-57" w:firstLine="0"/>
        <w:jc w:val="lowKashida"/>
        <w:rPr>
          <w:rFonts w:ascii="Tajawal" w:hAnsi="Tajawal" w:cs="Tajawal"/>
          <w:b/>
          <w:bCs/>
          <w:color w:val="0070C0"/>
          <w:sz w:val="40"/>
          <w:szCs w:val="40"/>
          <w:rtl/>
          <w:lang w:bidi="ar-EG"/>
        </w:rPr>
      </w:pPr>
      <w:r w:rsidRPr="00397CD6">
        <w:rPr>
          <w:rFonts w:ascii="Tajawal" w:hAnsi="Tajawal" w:cs="Tajawal"/>
          <w:b/>
          <w:bCs/>
          <w:color w:val="0070C0"/>
          <w:sz w:val="40"/>
          <w:szCs w:val="40"/>
          <w:rtl/>
          <w:lang w:bidi="ar-EG"/>
        </w:rPr>
        <w:t>تمهيد</w:t>
      </w:r>
    </w:p>
    <w:p w14:paraId="7F8A7FE3" w14:textId="77777777" w:rsidR="002C3B87" w:rsidRDefault="000512D0" w:rsidP="002C3B87">
      <w:pPr>
        <w:ind w:left="-57" w:firstLine="0"/>
        <w:jc w:val="lowKashida"/>
        <w:rPr>
          <w:rFonts w:ascii="Tajawal" w:hAnsi="Tajawal" w:cs="Tajawal"/>
          <w:sz w:val="28"/>
          <w:szCs w:val="28"/>
          <w:rtl/>
          <w:lang w:bidi="ar-EG"/>
        </w:rPr>
      </w:pPr>
      <w:r>
        <w:rPr>
          <w:rFonts w:ascii="Tajawal" w:hAnsi="Tajawal" w:cs="Tajawal" w:hint="cs"/>
          <w:sz w:val="28"/>
          <w:szCs w:val="28"/>
          <w:rtl/>
          <w:lang w:bidi="ar-EG"/>
        </w:rPr>
        <w:t>انضمت</w:t>
      </w:r>
      <w:r w:rsidRPr="00120DEC">
        <w:rPr>
          <w:rFonts w:ascii="Tajawal" w:hAnsi="Tajawal" w:cs="Tajawal"/>
          <w:sz w:val="28"/>
          <w:szCs w:val="28"/>
          <w:rtl/>
          <w:lang w:bidi="ar-EG"/>
        </w:rPr>
        <w:t xml:space="preserve"> </w:t>
      </w:r>
      <w:r w:rsidR="006F7D56">
        <w:rPr>
          <w:rFonts w:ascii="Tajawal" w:hAnsi="Tajawal" w:cs="Tajawal" w:hint="cs"/>
          <w:sz w:val="28"/>
          <w:szCs w:val="28"/>
          <w:rtl/>
          <w:lang w:bidi="ar-EG"/>
        </w:rPr>
        <w:t xml:space="preserve">سلطنة عمان إلى </w:t>
      </w:r>
      <w:r w:rsidR="006F7D56" w:rsidRPr="006F7D56">
        <w:rPr>
          <w:rFonts w:ascii="Tajawal" w:hAnsi="Tajawal" w:cs="Tajawal"/>
          <w:sz w:val="28"/>
          <w:szCs w:val="28"/>
          <w:rtl/>
          <w:lang w:bidi="ar-EG"/>
        </w:rPr>
        <w:t xml:space="preserve">اتفاقية حقوق الطفل في 9 ديسمبر عام 1996 بموجب المرسوم السلطاني رقم 54/96 المُعدل بالمرسوم السلطاني رقم 99 / 96. ودخلت الاتفاقية حيز التنفيذ في 8 يناير عام 1997، كما انضمت عُمان إلى البروتوكولين الاختياريين الملحقين باتفاقية حقوق الطفل، البروتكول الأول، بشأن إشراك الأطفال في النزاعات المسلحة، والثاني، بشأن بيع ودعارة الأطفال واستخدام الأطفال في العروض والمواد الإباحية بتاريخ 17 سبتمبر 2004، وذلك بموجب المرسوم السلطاني رقم 41/2004 ودخلا البروتوكولان حيز النفاذ في 17 اكتوبر 2004. ومع ترحيب مؤسسة </w:t>
      </w:r>
      <w:r w:rsidR="006F7D56" w:rsidRPr="002C3B87">
        <w:rPr>
          <w:rFonts w:ascii="Tajawal" w:hAnsi="Tajawal" w:cs="Tajawal"/>
          <w:b/>
          <w:bCs/>
          <w:sz w:val="28"/>
          <w:szCs w:val="28"/>
          <w:rtl/>
          <w:lang w:bidi="ar-EG"/>
        </w:rPr>
        <w:t>ماعت للسلام والتنمية وحقوق الإنسان</w:t>
      </w:r>
      <w:r w:rsidR="006F7D56" w:rsidRPr="006F7D56">
        <w:rPr>
          <w:rFonts w:ascii="Tajawal" w:hAnsi="Tajawal" w:cs="Tajawal"/>
          <w:sz w:val="28"/>
          <w:szCs w:val="28"/>
          <w:rtl/>
          <w:lang w:bidi="ar-EG"/>
        </w:rPr>
        <w:t xml:space="preserve"> بانضمام عُمان </w:t>
      </w:r>
      <w:r w:rsidR="002C3B87" w:rsidRPr="006F7D56">
        <w:rPr>
          <w:rFonts w:ascii="Tajawal" w:hAnsi="Tajawal" w:cs="Tajawal" w:hint="cs"/>
          <w:sz w:val="28"/>
          <w:szCs w:val="28"/>
          <w:rtl/>
          <w:lang w:bidi="ar-EG"/>
        </w:rPr>
        <w:t>إلى</w:t>
      </w:r>
      <w:r w:rsidR="006F7D56" w:rsidRPr="006F7D56">
        <w:rPr>
          <w:rFonts w:ascii="Tajawal" w:hAnsi="Tajawal" w:cs="Tajawal"/>
          <w:sz w:val="28"/>
          <w:szCs w:val="28"/>
          <w:rtl/>
          <w:lang w:bidi="ar-EG"/>
        </w:rPr>
        <w:t xml:space="preserve"> البروتوكولين الاختياريين المُلحقين بالاتفاقية، لكنها تٌلفت نظر الدولة بضرورة الانضمام </w:t>
      </w:r>
      <w:r w:rsidR="002C3B87" w:rsidRPr="006F7D56">
        <w:rPr>
          <w:rFonts w:ascii="Tajawal" w:hAnsi="Tajawal" w:cs="Tajawal" w:hint="cs"/>
          <w:sz w:val="28"/>
          <w:szCs w:val="28"/>
          <w:rtl/>
          <w:lang w:bidi="ar-EG"/>
        </w:rPr>
        <w:t>إلى</w:t>
      </w:r>
      <w:r w:rsidR="006F7D56" w:rsidRPr="006F7D56">
        <w:rPr>
          <w:rFonts w:ascii="Tajawal" w:hAnsi="Tajawal" w:cs="Tajawal"/>
          <w:sz w:val="28"/>
          <w:szCs w:val="28"/>
          <w:rtl/>
          <w:lang w:bidi="ar-EG"/>
        </w:rPr>
        <w:t xml:space="preserve"> البروتوكول الاختياري الثالث المُلحق بالاتفاقية والمتعلق بإجراء تقديم البلاغات، لما يُساهم ذلك في مواصلة تعزيز حقوق الطفل.</w:t>
      </w:r>
    </w:p>
    <w:p w14:paraId="5D23E0BA" w14:textId="09EE0FE3" w:rsidR="002C3B87" w:rsidRDefault="006F7D56" w:rsidP="002C3B87">
      <w:pPr>
        <w:ind w:left="-57" w:firstLine="0"/>
        <w:jc w:val="lowKashida"/>
        <w:rPr>
          <w:rFonts w:ascii="Tajawal" w:hAnsi="Tajawal" w:cs="Tajawal"/>
          <w:sz w:val="28"/>
          <w:szCs w:val="28"/>
          <w:rtl/>
          <w:lang w:bidi="ar-EG"/>
        </w:rPr>
      </w:pPr>
      <w:r w:rsidRPr="006F7D56">
        <w:rPr>
          <w:rFonts w:ascii="Tajawal" w:hAnsi="Tajawal" w:cs="Tajawal"/>
          <w:sz w:val="28"/>
          <w:szCs w:val="28"/>
          <w:rtl/>
          <w:lang w:bidi="ar-EG"/>
        </w:rPr>
        <w:lastRenderedPageBreak/>
        <w:t>و</w:t>
      </w:r>
      <w:r w:rsidR="002C3B87">
        <w:rPr>
          <w:rFonts w:ascii="Tajawal" w:hAnsi="Tajawal" w:cs="Tajawal" w:hint="cs"/>
          <w:sz w:val="28"/>
          <w:szCs w:val="28"/>
          <w:rtl/>
          <w:lang w:bidi="ar-EG"/>
        </w:rPr>
        <w:t xml:space="preserve">تثني </w:t>
      </w:r>
      <w:r w:rsidR="002C3B87" w:rsidRPr="00A508E7">
        <w:rPr>
          <w:rFonts w:ascii="Tajawal" w:hAnsi="Tajawal" w:cs="Tajawal" w:hint="cs"/>
          <w:b/>
          <w:bCs/>
          <w:sz w:val="28"/>
          <w:szCs w:val="28"/>
          <w:rtl/>
          <w:lang w:bidi="ar-EG"/>
        </w:rPr>
        <w:t>مؤسسة ماعت</w:t>
      </w:r>
      <w:r w:rsidR="002C3B87">
        <w:rPr>
          <w:rFonts w:ascii="Tajawal" w:hAnsi="Tajawal" w:cs="Tajawal" w:hint="cs"/>
          <w:sz w:val="28"/>
          <w:szCs w:val="28"/>
          <w:rtl/>
          <w:lang w:bidi="ar-EG"/>
        </w:rPr>
        <w:t xml:space="preserve"> على تقديم </w:t>
      </w:r>
      <w:r w:rsidR="00A508E7">
        <w:rPr>
          <w:rFonts w:ascii="Tajawal" w:hAnsi="Tajawal" w:cs="Tajawal" w:hint="cs"/>
          <w:sz w:val="28"/>
          <w:szCs w:val="28"/>
          <w:rtl/>
          <w:lang w:bidi="ar-EG"/>
        </w:rPr>
        <w:t xml:space="preserve">سلطنة </w:t>
      </w:r>
      <w:r w:rsidRPr="006F7D56">
        <w:rPr>
          <w:rFonts w:ascii="Tajawal" w:hAnsi="Tajawal" w:cs="Tajawal"/>
          <w:sz w:val="28"/>
          <w:szCs w:val="28"/>
          <w:rtl/>
          <w:lang w:bidi="ar-EG"/>
        </w:rPr>
        <w:t xml:space="preserve">عُمان </w:t>
      </w:r>
      <w:r w:rsidR="002C3B87">
        <w:rPr>
          <w:rFonts w:ascii="Tajawal" w:hAnsi="Tajawal" w:cs="Tajawal" w:hint="cs"/>
          <w:sz w:val="28"/>
          <w:szCs w:val="28"/>
          <w:rtl/>
          <w:lang w:bidi="ar-EG"/>
        </w:rPr>
        <w:t>ل</w:t>
      </w:r>
      <w:r w:rsidRPr="006F7D56">
        <w:rPr>
          <w:rFonts w:ascii="Tajawal" w:hAnsi="Tajawal" w:cs="Tajawal"/>
          <w:sz w:val="28"/>
          <w:szCs w:val="28"/>
          <w:rtl/>
          <w:lang w:bidi="ar-EG"/>
        </w:rPr>
        <w:t>تقاريرها الدورية إلى لجنة حقوق الطفل ب</w:t>
      </w:r>
      <w:r w:rsidR="002C3B87">
        <w:rPr>
          <w:rFonts w:ascii="Tajawal" w:hAnsi="Tajawal" w:cs="Tajawal" w:hint="cs"/>
          <w:sz w:val="28"/>
          <w:szCs w:val="28"/>
          <w:rtl/>
          <w:lang w:bidi="ar-EG"/>
        </w:rPr>
        <w:t>شكل منتظم وفي المواعيد المحددة</w:t>
      </w:r>
      <w:r w:rsidRPr="006F7D56">
        <w:rPr>
          <w:rFonts w:ascii="Tajawal" w:hAnsi="Tajawal" w:cs="Tajawal"/>
          <w:sz w:val="28"/>
          <w:szCs w:val="28"/>
          <w:rtl/>
          <w:lang w:bidi="ar-EG"/>
        </w:rPr>
        <w:t>، وقدمت تقريرها الأخير وهو التقرير الدوري الجامع للتقريرين الثالث والرابع إلى لجنة حقوق الطفل في 6 نوفمبر 2013، ومن المقرر ان تُقدم تقريرها الدوري الجامع للتقريرين من الخامس إلى الثامن في السابع من يناير لعام 2022</w:t>
      </w:r>
      <w:r w:rsidRPr="006F7D56">
        <w:rPr>
          <w:rStyle w:val="FootnoteReference"/>
          <w:rFonts w:ascii="Tajawal" w:hAnsi="Tajawal" w:cs="Tajawal"/>
          <w:sz w:val="28"/>
          <w:szCs w:val="28"/>
          <w:rtl/>
          <w:lang w:bidi="ar-EG"/>
        </w:rPr>
        <w:footnoteReference w:id="1"/>
      </w:r>
      <w:r w:rsidRPr="006F7D56">
        <w:rPr>
          <w:rFonts w:ascii="Tajawal" w:hAnsi="Tajawal" w:cs="Tajawal"/>
          <w:sz w:val="28"/>
          <w:szCs w:val="28"/>
          <w:rtl/>
          <w:lang w:bidi="ar-EG"/>
        </w:rPr>
        <w:t>.</w:t>
      </w:r>
    </w:p>
    <w:p w14:paraId="2BAA8ED2" w14:textId="77777777" w:rsidR="002C3B87" w:rsidRDefault="006F7D56" w:rsidP="002C3B87">
      <w:pPr>
        <w:ind w:left="-57" w:firstLine="0"/>
        <w:jc w:val="lowKashida"/>
        <w:rPr>
          <w:rFonts w:ascii="Tajawal" w:hAnsi="Tajawal" w:cs="Tajawal"/>
          <w:sz w:val="28"/>
          <w:szCs w:val="28"/>
          <w:rtl/>
          <w:lang w:bidi="ar-EG"/>
        </w:rPr>
      </w:pPr>
      <w:r w:rsidRPr="006F7D56">
        <w:rPr>
          <w:rFonts w:ascii="Tajawal" w:hAnsi="Tajawal" w:cs="Tajawal"/>
          <w:sz w:val="28"/>
          <w:szCs w:val="28"/>
          <w:rtl/>
          <w:lang w:bidi="ar-EG"/>
        </w:rPr>
        <w:t>وسحبت عمان تحفظاتها على اتفاقية حقوق الطفل بموجب المرسوم السلطاني رقم 86/ 2011 المنشور في الجريدة الرسمية بتاريخ 17 سبتمبر 2011 لكنها أبقت تحفظها على المادة 14 من الاتفاقية المتعلقة بحرية الأطفال في تكوين الأفكار والآراء وتحديد دينهم. وعلي الرغم من التقدم التي أحرزته عُمان في تنفيذ بعض جوانب الاتفاقية لاسيما بعد صدور قانون الطفل لعام 2014 ولائحته التنفيذية في أغسطس 2019 والتي انطوت علي بعض الضمانات التي تحد من الممارسات الضارة ناحية الأطفال، إلا أنه لا يزال هُناك قصوراً في الامتثال لبعض المواد الأخرى كما إن الدولة لم تُعالج عدد من الملاحظات الختامية التي وردت في تقرير لجنة حقوق الطفل علي التقرير الجامع للتقريرين الثالث والرابع، بل العكس ساءت حالة حقوق الطفل في عمان على أكثر من مستوي في دولة تبلغ نسبة الأطفال فيها لما يربو علي 43% من أجمالي عدد السكان.</w:t>
      </w:r>
    </w:p>
    <w:p w14:paraId="20FCD258" w14:textId="669100B0" w:rsidR="006F7D56" w:rsidRDefault="006F7D56" w:rsidP="002C3B87">
      <w:pPr>
        <w:ind w:left="-57" w:firstLine="0"/>
        <w:jc w:val="lowKashida"/>
        <w:rPr>
          <w:rFonts w:ascii="Tajawal" w:hAnsi="Tajawal" w:cs="Tajawal"/>
          <w:sz w:val="28"/>
          <w:szCs w:val="28"/>
          <w:rtl/>
          <w:lang w:bidi="ar-EG"/>
        </w:rPr>
      </w:pPr>
      <w:r w:rsidRPr="006F7D56">
        <w:rPr>
          <w:rFonts w:ascii="Tajawal" w:hAnsi="Tajawal" w:cs="Tajawal"/>
          <w:sz w:val="28"/>
          <w:szCs w:val="28"/>
          <w:rtl/>
          <w:lang w:bidi="ar-EG"/>
        </w:rPr>
        <w:t xml:space="preserve">وعليه تقدم </w:t>
      </w:r>
      <w:r w:rsidRPr="00A508E7">
        <w:rPr>
          <w:rFonts w:ascii="Tajawal" w:hAnsi="Tajawal" w:cs="Tajawal"/>
          <w:b/>
          <w:bCs/>
          <w:sz w:val="28"/>
          <w:szCs w:val="28"/>
          <w:rtl/>
          <w:lang w:bidi="ar-EG"/>
        </w:rPr>
        <w:t>مؤسسة ماعت</w:t>
      </w:r>
      <w:r w:rsidRPr="006F7D56">
        <w:rPr>
          <w:rFonts w:ascii="Tajawal" w:hAnsi="Tajawal" w:cs="Tajawal"/>
          <w:sz w:val="28"/>
          <w:szCs w:val="28"/>
          <w:rtl/>
          <w:lang w:bidi="ar-EG"/>
        </w:rPr>
        <w:t xml:space="preserve"> هذا التقرير إلى اللجنة المعنية بحقوق الطفل، </w:t>
      </w:r>
      <w:r w:rsidR="00F114C5">
        <w:rPr>
          <w:rFonts w:ascii="Tajawal" w:hAnsi="Tajawal" w:cs="Tajawal" w:hint="cs"/>
          <w:sz w:val="28"/>
          <w:szCs w:val="28"/>
          <w:rtl/>
          <w:lang w:bidi="ar-EG"/>
        </w:rPr>
        <w:t>ويسلط</w:t>
      </w:r>
      <w:r w:rsidRPr="006F7D56">
        <w:rPr>
          <w:rFonts w:ascii="Tajawal" w:hAnsi="Tajawal" w:cs="Tajawal"/>
          <w:sz w:val="28"/>
          <w:szCs w:val="28"/>
          <w:rtl/>
          <w:lang w:bidi="ar-EG"/>
        </w:rPr>
        <w:t xml:space="preserve"> التقرير الضوء على بعض القضايا التي لم تُعالجها دولة عُمان. وهو التمييز المُستمر بين الأطفال في عُمان، والعنف وإساءة معاملة الأطفال والممارسات الضارة، والحق في الجنسية والهوية للأطفال في عُمان، وأخيراً استمرار عمالة الأطفال في بعض القطاعات الاقتصادية التي لم يحظرها القانون العُماني.</w:t>
      </w:r>
    </w:p>
    <w:p w14:paraId="622BFCC5" w14:textId="77777777" w:rsidR="00F114C5" w:rsidRPr="00F114C5" w:rsidRDefault="00F114C5" w:rsidP="00F114C5">
      <w:pPr>
        <w:spacing w:after="0" w:line="240" w:lineRule="auto"/>
        <w:ind w:hanging="300"/>
        <w:jc w:val="lowKashida"/>
        <w:rPr>
          <w:rFonts w:ascii="Tajawal" w:hAnsi="Tajawal" w:cs="Tajawal"/>
          <w:b/>
          <w:bCs/>
          <w:sz w:val="28"/>
          <w:szCs w:val="28"/>
          <w:u w:val="single"/>
          <w:rtl/>
          <w:lang w:bidi="ar-EG"/>
        </w:rPr>
      </w:pPr>
      <w:r w:rsidRPr="00F114C5">
        <w:rPr>
          <w:rFonts w:ascii="Tajawal" w:hAnsi="Tajawal" w:cs="Tajawal"/>
          <w:b/>
          <w:bCs/>
          <w:sz w:val="28"/>
          <w:szCs w:val="28"/>
          <w:u w:val="single"/>
          <w:rtl/>
          <w:lang w:bidi="ar-EG"/>
        </w:rPr>
        <w:t>مبدأ عدم التمييز</w:t>
      </w:r>
    </w:p>
    <w:p w14:paraId="7D30A824" w14:textId="77777777" w:rsidR="00120974" w:rsidRDefault="00F114C5" w:rsidP="00120974">
      <w:pPr>
        <w:spacing w:after="0" w:line="240" w:lineRule="auto"/>
        <w:ind w:left="0" w:firstLine="0"/>
        <w:jc w:val="lowKashida"/>
        <w:rPr>
          <w:rFonts w:ascii="Tajawal" w:hAnsi="Tajawal" w:cs="Tajawal"/>
          <w:sz w:val="28"/>
          <w:szCs w:val="28"/>
          <w:rtl/>
          <w:lang w:bidi="ar-EG"/>
        </w:rPr>
      </w:pPr>
      <w:r w:rsidRPr="00F114C5">
        <w:rPr>
          <w:rFonts w:ascii="Tajawal" w:hAnsi="Tajawal" w:cs="Tajawal"/>
          <w:sz w:val="28"/>
          <w:szCs w:val="28"/>
          <w:rtl/>
          <w:lang w:bidi="ar-EG"/>
        </w:rPr>
        <w:t xml:space="preserve">يحظر النظام الأساسي (الدستور) لدولة عُمان والقوانين المحلية التمييز بكافة أشكاله بما في ذلك التمييز بين الأطفال بسبب الجنس </w:t>
      </w:r>
      <w:r>
        <w:rPr>
          <w:rFonts w:ascii="Tajawal" w:hAnsi="Tajawal" w:cs="Tajawal" w:hint="cs"/>
          <w:sz w:val="28"/>
          <w:szCs w:val="28"/>
          <w:rtl/>
          <w:lang w:bidi="ar-EG"/>
        </w:rPr>
        <w:t>أ</w:t>
      </w:r>
      <w:r w:rsidRPr="00F114C5">
        <w:rPr>
          <w:rFonts w:ascii="Tajawal" w:hAnsi="Tajawal" w:cs="Tajawal"/>
          <w:sz w:val="28"/>
          <w:szCs w:val="28"/>
          <w:rtl/>
          <w:lang w:bidi="ar-EG"/>
        </w:rPr>
        <w:t xml:space="preserve">و الأصل او اللون او الجنسية او الدين </w:t>
      </w:r>
      <w:r>
        <w:rPr>
          <w:rFonts w:ascii="Tajawal" w:hAnsi="Tajawal" w:cs="Tajawal" w:hint="cs"/>
          <w:sz w:val="28"/>
          <w:szCs w:val="28"/>
          <w:rtl/>
          <w:lang w:bidi="ar-EG"/>
        </w:rPr>
        <w:t>أ</w:t>
      </w:r>
      <w:r w:rsidRPr="00F114C5">
        <w:rPr>
          <w:rFonts w:ascii="Tajawal" w:hAnsi="Tajawal" w:cs="Tajawal"/>
          <w:sz w:val="28"/>
          <w:szCs w:val="28"/>
          <w:rtl/>
          <w:lang w:bidi="ar-EG"/>
        </w:rPr>
        <w:t xml:space="preserve">و المذهب </w:t>
      </w:r>
      <w:r>
        <w:rPr>
          <w:rFonts w:ascii="Tajawal" w:hAnsi="Tajawal" w:cs="Tajawal" w:hint="cs"/>
          <w:sz w:val="28"/>
          <w:szCs w:val="28"/>
          <w:rtl/>
          <w:lang w:bidi="ar-EG"/>
        </w:rPr>
        <w:t>أ</w:t>
      </w:r>
      <w:r w:rsidRPr="00F114C5">
        <w:rPr>
          <w:rFonts w:ascii="Tajawal" w:hAnsi="Tajawal" w:cs="Tajawal"/>
          <w:sz w:val="28"/>
          <w:szCs w:val="28"/>
          <w:rtl/>
          <w:lang w:bidi="ar-EG"/>
        </w:rPr>
        <w:t>و المركز الاجتماعي، وتنص المادة 21 من النظام الأساسي للدولة على ذلك</w:t>
      </w:r>
      <w:r w:rsidRPr="00F114C5">
        <w:rPr>
          <w:rStyle w:val="FootnoteReference"/>
          <w:rFonts w:ascii="Tajawal" w:hAnsi="Tajawal" w:cs="Tajawal"/>
          <w:sz w:val="28"/>
          <w:szCs w:val="28"/>
          <w:rtl/>
          <w:lang w:bidi="ar-EG"/>
        </w:rPr>
        <w:footnoteReference w:id="2"/>
      </w:r>
      <w:r w:rsidRPr="00F114C5">
        <w:rPr>
          <w:rFonts w:ascii="Tajawal" w:hAnsi="Tajawal" w:cs="Tajawal"/>
          <w:sz w:val="28"/>
          <w:szCs w:val="28"/>
          <w:rtl/>
          <w:lang w:bidi="ar-EG"/>
        </w:rPr>
        <w:t xml:space="preserve">. ولاقت </w:t>
      </w:r>
      <w:r w:rsidRPr="00120974">
        <w:rPr>
          <w:rFonts w:ascii="Tajawal" w:hAnsi="Tajawal" w:cs="Tajawal"/>
          <w:b/>
          <w:bCs/>
          <w:sz w:val="28"/>
          <w:szCs w:val="28"/>
          <w:rtl/>
          <w:lang w:bidi="ar-EG"/>
        </w:rPr>
        <w:t>مؤسسة ماعت</w:t>
      </w:r>
      <w:r w:rsidRPr="00F114C5">
        <w:rPr>
          <w:rFonts w:ascii="Tajawal" w:hAnsi="Tajawal" w:cs="Tajawal"/>
          <w:sz w:val="28"/>
          <w:szCs w:val="28"/>
          <w:rtl/>
          <w:lang w:bidi="ar-EG"/>
        </w:rPr>
        <w:t xml:space="preserve"> باستحسان ردود دولة عُمان علي الملاحظات الختامية علي التقرير الجامع للتقريرين الثالث والرابع بشكل خاص ما يتعلق بحقوق الأطفال خارج إطار العلاقة الزوجية، حيث أوضحت إنه من حق الأطفال الذي يولدون خارج إطار العلاقة الزوجية التمتع بكامل الحقوق كالحق في الحصول على الجنسية والحقوق الاجتماعية والاقتصادية، ويُمنح الطفل غير الشرعي اسما رباعياً متبوعا بقبيلة، وفي حال ثبوت النسب الصحيح يتم تصحيح القيد في السجل المدني وفقاً لنص المادة (20) من قانون الأحوال المدنية وقد نصت على </w:t>
      </w:r>
      <w:r w:rsidRPr="00F114C5">
        <w:rPr>
          <w:rFonts w:ascii="Tajawal" w:hAnsi="Tajawal" w:cs="Tajawal"/>
          <w:sz w:val="28"/>
          <w:szCs w:val="28"/>
          <w:rtl/>
          <w:lang w:bidi="ar-EG"/>
        </w:rPr>
        <w:lastRenderedPageBreak/>
        <w:t>أن "يكون قيد الطفل الغير الشرعي وفقاً للإجراءات التي تحددها اللائحة، وبما يتفق وأحكام الشريعة الإسلامية</w:t>
      </w:r>
      <w:r w:rsidRPr="00F114C5">
        <w:rPr>
          <w:rStyle w:val="FootnoteReference"/>
          <w:rFonts w:ascii="Tajawal" w:hAnsi="Tajawal" w:cs="Tajawal"/>
          <w:sz w:val="28"/>
          <w:szCs w:val="28"/>
          <w:rtl/>
          <w:lang w:bidi="ar-EG"/>
        </w:rPr>
        <w:footnoteReference w:id="3"/>
      </w:r>
      <w:r w:rsidRPr="00F114C5">
        <w:rPr>
          <w:rFonts w:ascii="Tajawal" w:hAnsi="Tajawal" w:cs="Tajawal"/>
          <w:sz w:val="28"/>
          <w:szCs w:val="28"/>
          <w:rtl/>
          <w:lang w:bidi="ar-EG"/>
        </w:rPr>
        <w:t>".</w:t>
      </w:r>
    </w:p>
    <w:p w14:paraId="587720B0" w14:textId="518F2FFC" w:rsidR="00F114C5" w:rsidRPr="00F114C5" w:rsidRDefault="00F114C5" w:rsidP="00120974">
      <w:pPr>
        <w:spacing w:after="0" w:line="240" w:lineRule="auto"/>
        <w:ind w:left="0" w:firstLine="0"/>
        <w:jc w:val="lowKashida"/>
        <w:rPr>
          <w:rFonts w:ascii="Tajawal" w:hAnsi="Tajawal" w:cs="Tajawal"/>
          <w:sz w:val="28"/>
          <w:szCs w:val="28"/>
          <w:rtl/>
          <w:lang w:bidi="ar-EG"/>
        </w:rPr>
      </w:pPr>
      <w:r w:rsidRPr="00F114C5">
        <w:rPr>
          <w:rFonts w:ascii="Tajawal" w:hAnsi="Tajawal" w:cs="Tajawal"/>
          <w:sz w:val="28"/>
          <w:szCs w:val="28"/>
          <w:rtl/>
          <w:lang w:bidi="ar-EG"/>
        </w:rPr>
        <w:t>ومع ذلك فعلي مستوي الممارسة أشارت تقارير حقوقية إلي تعرض أطفال العمال المهاجرين وهم نسبة كبيرة من أعداد الأطفال في عُمان والأطفال خارج إطار العلاقة الزوجية، والأطفال من ذوي الإعاقة، وغيرهم من الأطفال الذين يعيشون في فئات مُهشمة إلى طيف واسع من أشكال التمييز على مستويات عديدة من بينها الحصول على الخدمات الاجتماعية والرعاية الصحية وتكافؤ فرص التعليم والسكن الجيد، وتجدر الإشارة إلي أن عُمان ليست طرفاً في الاتفاقية الدولية لحماية العُمال المهاجرين وأفراد أسرهم، وهو ما يتطلب ضرورة إعادة النظر في الانضمام إلي الاتفاقية، وكان ذلك موضع ملاحظة لجنة حقوق الطفل في ملاحظتها الختامية على التقرير الأخير التي قدمتها عُمان إلى اللجنة.</w:t>
      </w:r>
    </w:p>
    <w:p w14:paraId="6D2DF19A" w14:textId="77777777" w:rsidR="00F114C5" w:rsidRPr="008A1047" w:rsidRDefault="00F114C5" w:rsidP="00F114C5">
      <w:pPr>
        <w:spacing w:after="0" w:line="240" w:lineRule="auto"/>
        <w:ind w:firstLine="0"/>
        <w:jc w:val="lowKashida"/>
        <w:rPr>
          <w:rFonts w:ascii="Tajawal" w:hAnsi="Tajawal" w:cs="Tajawal"/>
          <w:b/>
          <w:bCs/>
          <w:sz w:val="28"/>
          <w:szCs w:val="28"/>
          <w:u w:val="single"/>
          <w:rtl/>
          <w:lang w:bidi="ar-EG"/>
        </w:rPr>
      </w:pPr>
      <w:r w:rsidRPr="008A1047">
        <w:rPr>
          <w:rFonts w:ascii="Tajawal" w:hAnsi="Tajawal" w:cs="Tajawal"/>
          <w:b/>
          <w:bCs/>
          <w:sz w:val="28"/>
          <w:szCs w:val="28"/>
          <w:u w:val="single"/>
          <w:rtl/>
          <w:lang w:bidi="ar-EG"/>
        </w:rPr>
        <w:t>الأسئلة:</w:t>
      </w:r>
    </w:p>
    <w:p w14:paraId="169A8FD8" w14:textId="6ACA7F8C"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 xml:space="preserve">نأمل أن تطلب اللجنة من الدولة تقديم قدر كافي من المعلومات </w:t>
      </w:r>
      <w:r w:rsidR="008A1047">
        <w:rPr>
          <w:rFonts w:ascii="Tajawal" w:hAnsi="Tajawal" w:cs="Tajawal" w:hint="cs"/>
          <w:sz w:val="28"/>
          <w:szCs w:val="28"/>
          <w:rtl/>
          <w:lang w:bidi="ar-EG"/>
        </w:rPr>
        <w:t>الخاصة ب</w:t>
      </w:r>
      <w:r w:rsidRPr="00F114C5">
        <w:rPr>
          <w:rFonts w:ascii="Tajawal" w:hAnsi="Tajawal" w:cs="Tajawal"/>
          <w:sz w:val="28"/>
          <w:szCs w:val="28"/>
          <w:rtl/>
          <w:lang w:bidi="ar-EG"/>
        </w:rPr>
        <w:t xml:space="preserve">التمييز التي يتعرض له العمال المهاجرين عن تسجيل أطفالهم والحصول على شهادات ميلاد، والتمييز الذي </w:t>
      </w:r>
      <w:r w:rsidR="008A1047">
        <w:rPr>
          <w:rFonts w:ascii="Tajawal" w:hAnsi="Tajawal" w:cs="Tajawal" w:hint="cs"/>
          <w:sz w:val="28"/>
          <w:szCs w:val="28"/>
          <w:rtl/>
          <w:lang w:bidi="ar-EG"/>
        </w:rPr>
        <w:t>ي</w:t>
      </w:r>
      <w:r w:rsidRPr="00F114C5">
        <w:rPr>
          <w:rFonts w:ascii="Tajawal" w:hAnsi="Tajawal" w:cs="Tajawal"/>
          <w:sz w:val="28"/>
          <w:szCs w:val="28"/>
          <w:rtl/>
          <w:lang w:bidi="ar-EG"/>
        </w:rPr>
        <w:t>واجه الأطفال خارج إطار العلاقة الزوجية والأطفال من ذوي الإعاقة، وما هي التدابير التي اتخذتها الدولة للقضاء على هذا التمييز وضمان المساواة بين جميع الأطفال على مستوي الممارسة؟</w:t>
      </w:r>
    </w:p>
    <w:p w14:paraId="428CFE5A" w14:textId="77777777" w:rsidR="00F114C5" w:rsidRPr="00F114C5" w:rsidRDefault="00F114C5" w:rsidP="00F114C5">
      <w:pPr>
        <w:spacing w:after="0" w:line="240" w:lineRule="auto"/>
        <w:ind w:firstLine="0"/>
        <w:jc w:val="lowKashida"/>
        <w:rPr>
          <w:rFonts w:ascii="Tajawal" w:hAnsi="Tajawal" w:cs="Tajawal"/>
          <w:b/>
          <w:bCs/>
          <w:sz w:val="28"/>
          <w:szCs w:val="28"/>
          <w:u w:val="single"/>
          <w:rtl/>
          <w:lang w:bidi="ar-EG"/>
        </w:rPr>
      </w:pPr>
      <w:r w:rsidRPr="00F114C5">
        <w:rPr>
          <w:rFonts w:ascii="Tajawal" w:hAnsi="Tajawal" w:cs="Tajawal"/>
          <w:b/>
          <w:bCs/>
          <w:sz w:val="28"/>
          <w:szCs w:val="28"/>
          <w:u w:val="single"/>
          <w:rtl/>
          <w:lang w:bidi="ar-EG"/>
        </w:rPr>
        <w:t xml:space="preserve">العنف ضد الأطفال وإساءة المعاملة، والممارسات الضارة </w:t>
      </w:r>
    </w:p>
    <w:p w14:paraId="360694F8" w14:textId="7D8BF90D" w:rsidR="00F114C5" w:rsidRPr="00F114C5" w:rsidRDefault="00F114C5" w:rsidP="00F114C5">
      <w:pPr>
        <w:spacing w:after="0" w:line="240" w:lineRule="auto"/>
        <w:ind w:firstLine="0"/>
        <w:jc w:val="lowKashida"/>
        <w:rPr>
          <w:rFonts w:ascii="Tajawal" w:hAnsi="Tajawal" w:cs="Tajawal"/>
          <w:sz w:val="28"/>
          <w:szCs w:val="28"/>
          <w:rtl/>
          <w:lang w:bidi="ar-EG"/>
        </w:rPr>
      </w:pPr>
      <w:r w:rsidRPr="008A1047">
        <w:rPr>
          <w:rFonts w:ascii="Tajawal" w:hAnsi="Tajawal" w:cs="Tajawal"/>
          <w:b/>
          <w:bCs/>
          <w:sz w:val="28"/>
          <w:szCs w:val="28"/>
          <w:u w:val="single"/>
          <w:rtl/>
          <w:lang w:bidi="ar-EG"/>
        </w:rPr>
        <w:t>أولا، العقاب البدني:</w:t>
      </w:r>
      <w:r w:rsidRPr="00F114C5">
        <w:rPr>
          <w:rFonts w:ascii="Tajawal" w:hAnsi="Tajawal" w:cs="Tajawal"/>
          <w:sz w:val="28"/>
          <w:szCs w:val="28"/>
          <w:rtl/>
          <w:lang w:bidi="ar-EG"/>
        </w:rPr>
        <w:t xml:space="preserve"> تكفل المادة السابعة من قانون الطفل رقم 22 لعام 2014 الحماية للأطفال من العنف والاستغلال والإساءة وتمنحهم الحق في معاملة كريمة تحفظ له كرامته وسمعته وشرفه</w:t>
      </w:r>
      <w:r w:rsidRPr="00F114C5">
        <w:rPr>
          <w:rStyle w:val="FootnoteReference"/>
          <w:rFonts w:ascii="Tajawal" w:hAnsi="Tajawal" w:cs="Tajawal"/>
          <w:sz w:val="28"/>
          <w:szCs w:val="28"/>
          <w:rtl/>
          <w:lang w:bidi="ar-EG"/>
        </w:rPr>
        <w:footnoteReference w:id="4"/>
      </w:r>
      <w:r w:rsidR="008A1047">
        <w:rPr>
          <w:rFonts w:ascii="Tajawal" w:hAnsi="Tajawal" w:cs="Tajawal" w:hint="cs"/>
          <w:sz w:val="28"/>
          <w:szCs w:val="28"/>
          <w:rtl/>
          <w:lang w:bidi="ar-EG"/>
        </w:rPr>
        <w:t>،</w:t>
      </w:r>
      <w:r w:rsidRPr="00F114C5">
        <w:rPr>
          <w:rFonts w:ascii="Tajawal" w:hAnsi="Tajawal" w:cs="Tajawal"/>
          <w:sz w:val="28"/>
          <w:szCs w:val="28"/>
          <w:rtl/>
          <w:lang w:bidi="ar-EG"/>
        </w:rPr>
        <w:t xml:space="preserve"> مع ذلك فإن العقاب البدني كنوع من إساءة معاملة الأطفال والذي يتعارض مع بعض المواد في اتفاقية حقوق الطفل غير محظور في المنزل حيث تنص المادة 44(أ) من قانون الجزاء (قانون الإجراءات الجنائية) رقم 7 لعام 2018، علي حق الآباء ومن في حكمهم في تأديب أطفالهم في حدود ما هو مقرر شرعاً وقانوناً</w:t>
      </w:r>
      <w:r w:rsidRPr="00F114C5">
        <w:rPr>
          <w:rStyle w:val="FootnoteReference"/>
          <w:rFonts w:ascii="Tajawal" w:hAnsi="Tajawal" w:cs="Tajawal"/>
          <w:sz w:val="28"/>
          <w:szCs w:val="28"/>
          <w:rtl/>
          <w:lang w:bidi="ar-EG"/>
        </w:rPr>
        <w:footnoteReference w:id="5"/>
      </w:r>
      <w:r w:rsidRPr="00F114C5">
        <w:rPr>
          <w:rFonts w:ascii="Tajawal" w:hAnsi="Tajawal" w:cs="Tajawal"/>
          <w:sz w:val="28"/>
          <w:szCs w:val="28"/>
          <w:rtl/>
          <w:lang w:bidi="ar-EG"/>
        </w:rPr>
        <w:t>، تتعارض هذه المادة مع المعاهدات الدولية التي تحظر كافة اشكال العقاب البدني للأطفال ومع التعليق العام للجنة حقوق الطفل رقم 8 لعام 2006 بشأن حق الطفل من الحماية من العقاب البدني وغيره من ضروب المعاملة القاسية أو المهينة. وقد بلغ عدد الأطفال المعرضين للإساءة والاستغلال في عمان في عام 2019، والتي تعاملت معهم وحدة حماية الطفل لما يربو على 488 طفلاً، من بينهم 422 طفلاً عمانيا و66 طفلاً غير عمانية، لكن تقارير أوضحت إن إحصائيات الإساءة والاعتداء البدني ضد الأطفال في عمان أعلي الإحصائيات الرسمية</w:t>
      </w:r>
      <w:r w:rsidRPr="00F114C5">
        <w:rPr>
          <w:rStyle w:val="FootnoteReference"/>
          <w:rFonts w:ascii="Tajawal" w:hAnsi="Tajawal" w:cs="Tajawal"/>
          <w:sz w:val="28"/>
          <w:szCs w:val="28"/>
          <w:rtl/>
          <w:lang w:bidi="ar-EG"/>
        </w:rPr>
        <w:footnoteReference w:id="6"/>
      </w:r>
      <w:r w:rsidRPr="00F114C5">
        <w:rPr>
          <w:rFonts w:ascii="Tajawal" w:hAnsi="Tajawal" w:cs="Tajawal"/>
          <w:sz w:val="28"/>
          <w:szCs w:val="28"/>
          <w:rtl/>
          <w:lang w:bidi="ar-EG"/>
        </w:rPr>
        <w:t xml:space="preserve">. </w:t>
      </w:r>
    </w:p>
    <w:p w14:paraId="358DB281"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 xml:space="preserve">ومن المفترض اتساقا مع جوهر اتفاقية حقوق الطفل إلغاء استخدام العقاب الجسدي، وحظر جميع أشكال العقاب البدني، مهما كان هذا العقاب خفيفاً وإيان كان مرتكب هذه العقاب. حيث يُساء استخدام هذه المادة في انتشار العقاب البدني ضد الأطفال في </w:t>
      </w:r>
      <w:r w:rsidRPr="00F114C5">
        <w:rPr>
          <w:rFonts w:ascii="Tajawal" w:hAnsi="Tajawal" w:cs="Tajawal"/>
          <w:sz w:val="28"/>
          <w:szCs w:val="28"/>
          <w:rtl/>
          <w:lang w:bidi="ar-EG"/>
        </w:rPr>
        <w:lastRenderedPageBreak/>
        <w:t>عمان على نطاق واسع. في سياق متصل فإن العقاب البدني، محظور في المدارس في عُمان بموجب القوانين المُنظمة لمدارس التعليم العام والتي تتضمن النهي عن إهانة الطلاب أو معاملتهم بقسوة، لكن في نفس الوقت فإن هذا الحظر لا يسري علي مؤسسات الرعاية البديلة، والرعاية النهارية، حيث يُعتبر العقاب البدني مشروعاً، وإجراءً تأديبيا طبيعياً</w:t>
      </w:r>
      <w:r w:rsidRPr="00F114C5">
        <w:rPr>
          <w:rStyle w:val="FootnoteReference"/>
          <w:rFonts w:ascii="Tajawal" w:hAnsi="Tajawal" w:cs="Tajawal"/>
          <w:sz w:val="28"/>
          <w:szCs w:val="28"/>
          <w:rtl/>
          <w:lang w:bidi="ar-EG"/>
        </w:rPr>
        <w:footnoteReference w:id="7"/>
      </w:r>
      <w:r w:rsidRPr="00F114C5">
        <w:rPr>
          <w:rFonts w:ascii="Tajawal" w:hAnsi="Tajawal" w:cs="Tajawal"/>
          <w:sz w:val="28"/>
          <w:szCs w:val="28"/>
          <w:rtl/>
          <w:lang w:bidi="ar-EG"/>
        </w:rPr>
        <w:t>.</w:t>
      </w:r>
    </w:p>
    <w:p w14:paraId="1805D27C"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8A1047">
        <w:rPr>
          <w:rFonts w:ascii="Tajawal" w:hAnsi="Tajawal" w:cs="Tajawal"/>
          <w:b/>
          <w:bCs/>
          <w:sz w:val="28"/>
          <w:szCs w:val="28"/>
          <w:u w:val="single"/>
          <w:rtl/>
          <w:lang w:bidi="ar-EG"/>
        </w:rPr>
        <w:t>ثانيا، الزواج المبكر</w:t>
      </w:r>
      <w:r w:rsidRPr="00F114C5">
        <w:rPr>
          <w:rFonts w:ascii="Tajawal" w:hAnsi="Tajawal" w:cs="Tajawal"/>
          <w:sz w:val="28"/>
          <w:szCs w:val="28"/>
          <w:u w:val="single"/>
          <w:rtl/>
          <w:lang w:bidi="ar-EG"/>
        </w:rPr>
        <w:t>:</w:t>
      </w:r>
      <w:r w:rsidRPr="00F114C5">
        <w:rPr>
          <w:rFonts w:ascii="Tajawal" w:hAnsi="Tajawal" w:cs="Tajawal"/>
          <w:sz w:val="28"/>
          <w:szCs w:val="28"/>
          <w:rtl/>
          <w:lang w:bidi="ar-EG"/>
        </w:rPr>
        <w:t xml:space="preserve"> يحظر قانون الأحوال الشخصية رقم 32 لعام 1997 الزواج المبكر في عمان وحدد السن القانوني للزواج بـ 18 عاماً، لكنه يتيح للقاضي أو الأسرة بالسماح بالزواج في أقل من ذلك، إذا كان ذلك في مصلحة القاصر وبقرار من القاضي، وتنتشر هذه الظاهرة في المناطق الريفية على نطاق واسع دون أي ملاحقة للمسؤولين عن هذه الظاهرة</w:t>
      </w:r>
      <w:r w:rsidRPr="00F114C5">
        <w:rPr>
          <w:rStyle w:val="FootnoteReference"/>
          <w:rFonts w:ascii="Tajawal" w:hAnsi="Tajawal" w:cs="Tajawal"/>
          <w:sz w:val="28"/>
          <w:szCs w:val="28"/>
          <w:rtl/>
          <w:lang w:bidi="ar-EG"/>
        </w:rPr>
        <w:footnoteReference w:id="8"/>
      </w:r>
      <w:r w:rsidRPr="00F114C5">
        <w:rPr>
          <w:rFonts w:ascii="Tajawal" w:hAnsi="Tajawal" w:cs="Tajawal"/>
          <w:sz w:val="28"/>
          <w:szCs w:val="28"/>
          <w:rtl/>
          <w:lang w:bidi="ar-EG"/>
        </w:rPr>
        <w:t xml:space="preserve">. </w:t>
      </w:r>
    </w:p>
    <w:p w14:paraId="3268ADCC"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8A1047">
        <w:rPr>
          <w:rFonts w:ascii="Tajawal" w:hAnsi="Tajawal" w:cs="Tajawal"/>
          <w:b/>
          <w:bCs/>
          <w:sz w:val="28"/>
          <w:szCs w:val="28"/>
          <w:u w:val="single"/>
          <w:rtl/>
          <w:lang w:bidi="ar-EG"/>
        </w:rPr>
        <w:t>ثالثا ختان الإناث</w:t>
      </w:r>
      <w:r w:rsidRPr="00F114C5">
        <w:rPr>
          <w:rFonts w:ascii="Tajawal" w:hAnsi="Tajawal" w:cs="Tajawal"/>
          <w:sz w:val="28"/>
          <w:szCs w:val="28"/>
          <w:rtl/>
          <w:lang w:bidi="ar-EG"/>
        </w:rPr>
        <w:t>: تعتبر اللائحة التنفيذية لقانون الطفل الصادرة في 19أغسطس 2019 إن ختان الإناث او بتر الأعضاء التناسلية للأنثى من بين الممارسات الضارة، ووفقا لقانون الطفل سالف الذكر فإنه يعاقب من يروج أو يساعد على هذه الممارسات بما في ذلك الأطباء والممرضين وأولياء الأمر بالسجن لمدة لا تقل عن 6 شهور ولا تزيد على 3 سنوات، “وتضاعف العقوبة بحديها الأدنى والأقصى في حالة التكرار لهذه الممارسات</w:t>
      </w:r>
      <w:r w:rsidRPr="00F114C5">
        <w:rPr>
          <w:rStyle w:val="FootnoteReference"/>
          <w:rFonts w:ascii="Tajawal" w:hAnsi="Tajawal" w:cs="Tajawal"/>
          <w:sz w:val="28"/>
          <w:szCs w:val="28"/>
          <w:rtl/>
          <w:lang w:bidi="ar-EG"/>
        </w:rPr>
        <w:footnoteReference w:id="9"/>
      </w:r>
      <w:r w:rsidRPr="00F114C5">
        <w:rPr>
          <w:rFonts w:ascii="Tajawal" w:hAnsi="Tajawal" w:cs="Tajawal"/>
          <w:sz w:val="28"/>
          <w:szCs w:val="28"/>
          <w:rtl/>
          <w:lang w:bidi="ar-EG"/>
        </w:rPr>
        <w:t>. مع ذلك فإن عمان تتبوأ مكانة أولي مقارنة بباقي دول الخليج في انتشار ختان الإناث، ويرتبط الانتشار الواسع لهذه الظاهرة في عمان بتأييد هذه الظاهرة من قبل رجال الدين الذين يتولون مناصب رسمية، فعلي سبيل المثال صرح مفتي عمان في مارس 2020 بإن الختان ليس انتهاكاً لحقوق الفتيات واعتبره نوعاً من أنواع تحسين العلاقة بين الفتاة وزوجها</w:t>
      </w:r>
      <w:r w:rsidRPr="00F114C5">
        <w:rPr>
          <w:rStyle w:val="FootnoteReference"/>
          <w:rFonts w:ascii="Tajawal" w:hAnsi="Tajawal" w:cs="Tajawal"/>
          <w:sz w:val="28"/>
          <w:szCs w:val="28"/>
          <w:rtl/>
          <w:lang w:bidi="ar-EG"/>
        </w:rPr>
        <w:footnoteReference w:id="10"/>
      </w:r>
      <w:r w:rsidRPr="00F114C5">
        <w:rPr>
          <w:rFonts w:ascii="Tajawal" w:hAnsi="Tajawal" w:cs="Tajawal"/>
          <w:sz w:val="28"/>
          <w:szCs w:val="28"/>
          <w:rtl/>
          <w:lang w:bidi="ar-EG"/>
        </w:rPr>
        <w:t>.</w:t>
      </w:r>
    </w:p>
    <w:p w14:paraId="74E04146" w14:textId="618C2964" w:rsidR="00F114C5" w:rsidRPr="008A1047" w:rsidRDefault="00F114C5" w:rsidP="00F114C5">
      <w:pPr>
        <w:spacing w:after="0" w:line="240" w:lineRule="auto"/>
        <w:ind w:firstLine="0"/>
        <w:jc w:val="lowKashida"/>
        <w:rPr>
          <w:rFonts w:ascii="Tajawal" w:hAnsi="Tajawal" w:cs="Tajawal"/>
          <w:sz w:val="28"/>
          <w:szCs w:val="28"/>
          <w:rtl/>
          <w:lang w:bidi="ar-EG"/>
        </w:rPr>
      </w:pPr>
      <w:r w:rsidRPr="008A1047">
        <w:rPr>
          <w:rFonts w:ascii="Tajawal" w:hAnsi="Tajawal" w:cs="Tajawal"/>
          <w:b/>
          <w:bCs/>
          <w:sz w:val="28"/>
          <w:szCs w:val="28"/>
          <w:rtl/>
          <w:lang w:bidi="ar-EG"/>
        </w:rPr>
        <w:t>الأسئل</w:t>
      </w:r>
      <w:r w:rsidR="008A1047">
        <w:rPr>
          <w:rFonts w:ascii="Tajawal" w:hAnsi="Tajawal" w:cs="Tajawal" w:hint="cs"/>
          <w:b/>
          <w:bCs/>
          <w:sz w:val="28"/>
          <w:szCs w:val="28"/>
          <w:rtl/>
          <w:lang w:bidi="ar-EG"/>
        </w:rPr>
        <w:t>ة:</w:t>
      </w:r>
      <w:r w:rsidRPr="008A1047">
        <w:rPr>
          <w:rFonts w:ascii="Tajawal" w:hAnsi="Tajawal" w:cs="Tajawal"/>
          <w:sz w:val="28"/>
          <w:szCs w:val="28"/>
          <w:rtl/>
          <w:lang w:bidi="ar-EG"/>
        </w:rPr>
        <w:t xml:space="preserve"> </w:t>
      </w:r>
    </w:p>
    <w:p w14:paraId="5A351649" w14:textId="3143C089"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 xml:space="preserve">1- هل </w:t>
      </w:r>
      <w:r w:rsidR="008A1047">
        <w:rPr>
          <w:rFonts w:ascii="Tajawal" w:hAnsi="Tajawal" w:cs="Tajawal" w:hint="cs"/>
          <w:sz w:val="28"/>
          <w:szCs w:val="28"/>
          <w:rtl/>
          <w:lang w:bidi="ar-EG"/>
        </w:rPr>
        <w:t xml:space="preserve">يمكن </w:t>
      </w:r>
      <w:r w:rsidRPr="00F114C5">
        <w:rPr>
          <w:rFonts w:ascii="Tajawal" w:hAnsi="Tajawal" w:cs="Tajawal"/>
          <w:sz w:val="28"/>
          <w:szCs w:val="28"/>
          <w:rtl/>
          <w:lang w:bidi="ar-EG"/>
        </w:rPr>
        <w:t>للدولة أن تبلغ اللجنة بالإجراءات التي اتخذتها في سبيل مواجهة العقاب البدني في مؤسسات الرعاية البديلة وفي المنزل؟</w:t>
      </w:r>
    </w:p>
    <w:p w14:paraId="41A4D219"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2-هل يمكن للدولة أن تُبلغ اللجنة بسبل مواجهة ظاهرة زواج القاصرات اللاتي لما يبلغن الثمانية عشر عاماً لاسيما العائشات في المناطق الريفية؟</w:t>
      </w:r>
    </w:p>
    <w:p w14:paraId="6B1CF247"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3-هل للجنة ان تبلغ الدولة الطرف بالإجراءات التي قامت بها في إطار مواجهة الخطاب الرسمي لبعض المسؤولين العُمانيين لاسيما القيادات الدينية الذين يعتبرون فيها إن ظاهرة الختان ليس من الممارسات الضارة بالفتاة؟</w:t>
      </w:r>
    </w:p>
    <w:p w14:paraId="50878EE5" w14:textId="77777777" w:rsidR="00F114C5" w:rsidRPr="00F114C5" w:rsidRDefault="00F114C5" w:rsidP="00F114C5">
      <w:pPr>
        <w:spacing w:after="0" w:line="240" w:lineRule="auto"/>
        <w:ind w:firstLine="0"/>
        <w:jc w:val="lowKashida"/>
        <w:rPr>
          <w:rFonts w:ascii="Tajawal" w:hAnsi="Tajawal" w:cs="Tajawal"/>
          <w:b/>
          <w:bCs/>
          <w:sz w:val="28"/>
          <w:szCs w:val="28"/>
          <w:u w:val="single"/>
          <w:rtl/>
          <w:lang w:bidi="ar-EG"/>
        </w:rPr>
      </w:pPr>
      <w:r w:rsidRPr="00F114C5">
        <w:rPr>
          <w:rFonts w:ascii="Tajawal" w:hAnsi="Tajawal" w:cs="Tajawal"/>
          <w:b/>
          <w:bCs/>
          <w:sz w:val="28"/>
          <w:szCs w:val="28"/>
          <w:u w:val="single"/>
          <w:rtl/>
          <w:lang w:bidi="ar-EG"/>
        </w:rPr>
        <w:t xml:space="preserve">الحق في الجنسية والهوية </w:t>
      </w:r>
    </w:p>
    <w:p w14:paraId="7B81BFD4" w14:textId="2C69F27C"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 xml:space="preserve">يعتبر حق الحصول على الجنسية من أهم الحقوق الواجبة للإنسان في حياته، والتي من المفترض أن يحصل عليها بعد ولادته مباشرة من خلال ثبوت الجنسية التي يحملها أحد والديه، أو ثبوت جنسية الدولة التي يولد فيها، وهو حق لا يقل شأنه عن حق الفرد في الحياة، فإذا لم يحصل الإنسان على الجنسية لن يتمكن من التمتع بالعديد من الحقوق داخل الدولة التي يعيش فيها، سواء كانت حقوقا سياسية أم مدنية، وللطفل متي وُلد </w:t>
      </w:r>
      <w:r w:rsidRPr="00F114C5">
        <w:rPr>
          <w:rFonts w:ascii="Tajawal" w:hAnsi="Tajawal" w:cs="Tajawal"/>
          <w:sz w:val="28"/>
          <w:szCs w:val="28"/>
          <w:rtl/>
          <w:lang w:bidi="ar-EG"/>
        </w:rPr>
        <w:lastRenderedPageBreak/>
        <w:t>في عُمان الحق في أن تكون له جنسية، وجاءت المادة رقم (10) من قانون الطفل لتؤكد على ذلك، حيث نصت على أن "للطفل منذ ولادته الحق في أن تكون له جنسية، وتكفل له الدولة التمتع بهذا الحق وفقاً لأحكام قانون تنظيم الجنسية العمانية"، ونظم قانون الجنسية العُمانية الصادر بالمرسوم رقم (38/2014) حالات اكتساب الجنسية، فالمادة 11 من القانون أشارت إلي أنه يعتبر عمانياً كل من ولد في عُمان وفي خارجها من أب عماني، كما يعتبر عُمانياً من ولد من أم أجنبية وكان أبوه عُمانياً بصفة أصلية وأصبح بلا جنسية بعد ذلك، شريطة أن يكون زواج أبويه قد تم بالموافقة المسبقة من وزارة الداخلية. كما يمكن أن يحصل الطفل على الجنسية تبعاً لأمه العُمانية في حال أن المولود لم يثبت نسبه شرعاً لأب، سواء ولد في عُمان أو خارجها، أو من ولد من أم عُمانية وكان أبوه عُمانياً ثم أصبح بلا جنسية</w:t>
      </w:r>
      <w:r w:rsidRPr="00F114C5">
        <w:rPr>
          <w:rStyle w:val="FootnoteReference"/>
          <w:rFonts w:ascii="Tajawal" w:hAnsi="Tajawal" w:cs="Tajawal"/>
          <w:sz w:val="28"/>
          <w:szCs w:val="28"/>
          <w:rtl/>
          <w:lang w:bidi="ar-EG"/>
        </w:rPr>
        <w:footnoteReference w:id="11"/>
      </w:r>
      <w:r w:rsidRPr="00F114C5">
        <w:rPr>
          <w:rFonts w:ascii="Tajawal" w:hAnsi="Tajawal" w:cs="Tajawal"/>
          <w:sz w:val="28"/>
          <w:szCs w:val="28"/>
          <w:rtl/>
          <w:lang w:bidi="ar-EG"/>
        </w:rPr>
        <w:t xml:space="preserve">. </w:t>
      </w:r>
    </w:p>
    <w:p w14:paraId="3BA923A6"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b/>
          <w:bCs/>
          <w:sz w:val="28"/>
          <w:szCs w:val="28"/>
          <w:rtl/>
          <w:lang w:bidi="ar-EG"/>
        </w:rPr>
        <w:t>لكن القانون السابق تغاضي عن الحالة التي يكون فيها الطفل مولوداً من أم عُمانية وأب أجنبي ولم يمنح الحق للأم العُمانية المتزوجة من أجنبي الحق في نقل الجنسية إلى أطفالها</w:t>
      </w:r>
      <w:r w:rsidRPr="00F114C5">
        <w:rPr>
          <w:rFonts w:ascii="Tajawal" w:hAnsi="Tajawal" w:cs="Tajawal"/>
          <w:sz w:val="28"/>
          <w:szCs w:val="28"/>
          <w:rtl/>
          <w:lang w:bidi="ar-EG"/>
        </w:rPr>
        <w:t xml:space="preserve">، بما يتعارض مع المادة 7 من اتفاقية حقوق الطفل والمادة 9 من اتفاقية القضاء على جميع أشكال التمييز ضد المرأة. ويترتب على هذا عدد من الحالات للأطفال عديمي الجنسية، وفي السياق ذاته أوضحت تقارير حقوقية إنه في حالات كثيرة عانى الأطفال المولودين لأم عمانية وأب أجنبي من التمييز ضدهم، ومن نقص الخدمات الذين يحصلون عليها في الرعاية الصحية والتعليم </w:t>
      </w:r>
      <w:r w:rsidRPr="00F114C5">
        <w:rPr>
          <w:rStyle w:val="FootnoteReference"/>
          <w:rFonts w:ascii="Tajawal" w:hAnsi="Tajawal" w:cs="Tajawal"/>
          <w:sz w:val="28"/>
          <w:szCs w:val="28"/>
          <w:rtl/>
          <w:lang w:bidi="ar-EG"/>
        </w:rPr>
        <w:footnoteReference w:id="12"/>
      </w:r>
      <w:r w:rsidRPr="00F114C5">
        <w:rPr>
          <w:rFonts w:ascii="Tajawal" w:hAnsi="Tajawal" w:cs="Tajawal"/>
          <w:sz w:val="28"/>
          <w:szCs w:val="28"/>
          <w:rtl/>
          <w:lang w:bidi="ar-EG"/>
        </w:rPr>
        <w:t xml:space="preserve">. </w:t>
      </w:r>
    </w:p>
    <w:p w14:paraId="635CFD40" w14:textId="77777777" w:rsidR="00F114C5" w:rsidRPr="00F114C5" w:rsidRDefault="00F114C5" w:rsidP="00F114C5">
      <w:pPr>
        <w:spacing w:after="0" w:line="240" w:lineRule="auto"/>
        <w:ind w:firstLine="0"/>
        <w:jc w:val="lowKashida"/>
        <w:rPr>
          <w:rFonts w:ascii="Tajawal" w:hAnsi="Tajawal" w:cs="Tajawal"/>
          <w:b/>
          <w:bCs/>
          <w:sz w:val="28"/>
          <w:szCs w:val="28"/>
          <w:u w:val="single"/>
          <w:rtl/>
          <w:lang w:bidi="ar-EG"/>
        </w:rPr>
      </w:pPr>
      <w:r w:rsidRPr="00F114C5">
        <w:rPr>
          <w:rFonts w:ascii="Tajawal" w:hAnsi="Tajawal" w:cs="Tajawal"/>
          <w:b/>
          <w:bCs/>
          <w:sz w:val="28"/>
          <w:szCs w:val="28"/>
          <w:u w:val="single"/>
          <w:rtl/>
          <w:lang w:bidi="ar-EG"/>
        </w:rPr>
        <w:t xml:space="preserve">عمالة الأطفال </w:t>
      </w:r>
    </w:p>
    <w:p w14:paraId="016C7C1C" w14:textId="77777777"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نص قانون العمل الصادر بالمرسوم السلطاني رقم (35/2003) على حقوق العمل بالنسبة للأطفال الحدث، كما نظم قانون الطفل في الفصل السابع الخاص بالحقوق الاقتصادية مسألة تشغيل الأطفال في عُمان، وحظرت المادة رقم (45) تشغيل أي طفل في الأعمال أو الصناعات التي يرجح أن تؤدي بطبيعتها، أو الأعمال الأخرى بفعل الظروف التي تزاول فيها قد تؤد إلى الإضرار بصحته، أو سلامته، أو سلوكه الأخلاقي، وتحدد تلك الأعمال والصناعات بقرار من وزير القوى العاملة.</w:t>
      </w:r>
    </w:p>
    <w:p w14:paraId="39E1FB50" w14:textId="7788384A" w:rsidR="00F114C5" w:rsidRPr="00F114C5" w:rsidRDefault="00F114C5" w:rsidP="00F114C5">
      <w:pPr>
        <w:spacing w:after="0" w:line="240" w:lineRule="auto"/>
        <w:ind w:firstLine="0"/>
        <w:jc w:val="lowKashida"/>
        <w:rPr>
          <w:rFonts w:ascii="Tajawal" w:hAnsi="Tajawal" w:cs="Tajawal"/>
          <w:sz w:val="28"/>
          <w:szCs w:val="28"/>
          <w:rtl/>
          <w:lang w:bidi="ar-EG"/>
        </w:rPr>
      </w:pPr>
      <w:r w:rsidRPr="00F114C5">
        <w:rPr>
          <w:rFonts w:ascii="Tajawal" w:hAnsi="Tajawal" w:cs="Tajawal"/>
          <w:sz w:val="28"/>
          <w:szCs w:val="28"/>
          <w:rtl/>
          <w:lang w:bidi="ar-EG"/>
        </w:rPr>
        <w:t>وفي أغسطس 2019</w:t>
      </w:r>
      <w:r w:rsidR="008A1047">
        <w:rPr>
          <w:rFonts w:ascii="Tajawal" w:hAnsi="Tajawal" w:cs="Tajawal" w:hint="cs"/>
          <w:sz w:val="28"/>
          <w:szCs w:val="28"/>
          <w:rtl/>
          <w:lang w:bidi="ar-EG"/>
        </w:rPr>
        <w:t xml:space="preserve"> </w:t>
      </w:r>
      <w:r w:rsidRPr="00F114C5">
        <w:rPr>
          <w:rFonts w:ascii="Tajawal" w:hAnsi="Tajawal" w:cs="Tajawal"/>
          <w:sz w:val="28"/>
          <w:szCs w:val="28"/>
          <w:rtl/>
          <w:lang w:bidi="ar-EG"/>
        </w:rPr>
        <w:t xml:space="preserve">أصدرت وزارة التنمية الاجتماعية اللائحة التنفيذية لقانون الطفل، وعلي الرغم من إن القانون يحظر تشغيل الأطفال الذين لم يُكملوا سن الخامسة عشر من العمر (المادة 46) في غير الأعمال التي يحددها وزير القوي العاملة، </w:t>
      </w:r>
      <w:r w:rsidRPr="00F114C5">
        <w:rPr>
          <w:rFonts w:ascii="Tajawal" w:hAnsi="Tajawal" w:cs="Tajawal"/>
          <w:sz w:val="28"/>
          <w:szCs w:val="28"/>
          <w:u w:val="single"/>
          <w:rtl/>
          <w:lang w:bidi="ar-EG"/>
        </w:rPr>
        <w:t>بيد إن القانون يستثني من هذا الحظر عمل الأطفال في بعض القطاعات من بينها، القطاع الزراعي، والصيد البحري، والأعمال الصناعية والحرفية والإدارية،</w:t>
      </w:r>
      <w:r w:rsidRPr="00F114C5">
        <w:rPr>
          <w:rFonts w:ascii="Tajawal" w:hAnsi="Tajawal" w:cs="Tajawal"/>
          <w:sz w:val="28"/>
          <w:szCs w:val="28"/>
          <w:rtl/>
          <w:lang w:bidi="ar-EG"/>
        </w:rPr>
        <w:t xml:space="preserve"> ويشترط أن يُمارس الطفل تلك الأعمال في منشأة تتضمن أفراد الأسرة الواحدة، ولا يؤثر علي صحة الطفل</w:t>
      </w:r>
      <w:r w:rsidRPr="00F114C5">
        <w:rPr>
          <w:rFonts w:ascii="Tajawal" w:hAnsi="Tajawal" w:cs="Tajawal"/>
          <w:sz w:val="28"/>
          <w:szCs w:val="28"/>
          <w:lang w:bidi="ar-EG"/>
        </w:rPr>
        <w:t xml:space="preserve"> </w:t>
      </w:r>
      <w:r w:rsidRPr="00F114C5">
        <w:rPr>
          <w:rFonts w:ascii="Tajawal" w:hAnsi="Tajawal" w:cs="Tajawal"/>
          <w:sz w:val="28"/>
          <w:szCs w:val="28"/>
          <w:rtl/>
          <w:lang w:bidi="ar-EG"/>
        </w:rPr>
        <w:t xml:space="preserve"> أو نموه أو تعليمه، إلا أن تقارير حقوقية أوضحت إن ذلك يُعد شكلاً من أشكال من عمالة الأطفال، ويتعارض مع المعايير الدولية لحقوق الطفل</w:t>
      </w:r>
      <w:r w:rsidRPr="00F114C5">
        <w:rPr>
          <w:rStyle w:val="FootnoteReference"/>
          <w:rFonts w:ascii="Tajawal" w:hAnsi="Tajawal" w:cs="Tajawal"/>
          <w:sz w:val="28"/>
          <w:szCs w:val="28"/>
          <w:rtl/>
          <w:lang w:bidi="ar-EG"/>
        </w:rPr>
        <w:footnoteReference w:id="13"/>
      </w:r>
      <w:r w:rsidRPr="00F114C5">
        <w:rPr>
          <w:rFonts w:ascii="Tajawal" w:hAnsi="Tajawal" w:cs="Tajawal"/>
          <w:sz w:val="28"/>
          <w:szCs w:val="28"/>
          <w:rtl/>
          <w:lang w:bidi="ar-EG"/>
        </w:rPr>
        <w:t xml:space="preserve">.إضافة إلي ذلك فإن تقارير محلية أشارت إلي الظروف السيئة المُحيطة بالأطفال الذين يعملون في مهن مثل صيد الأسماك كحرارة الجو الشديدة والغرق في البحر والمعاملة السيئة لأصحاب العمل، إضافة إلى </w:t>
      </w:r>
      <w:r w:rsidRPr="00F114C5">
        <w:rPr>
          <w:rFonts w:ascii="Tajawal" w:hAnsi="Tajawal" w:cs="Tajawal"/>
          <w:sz w:val="28"/>
          <w:szCs w:val="28"/>
          <w:rtl/>
          <w:lang w:bidi="ar-EG"/>
        </w:rPr>
        <w:lastRenderedPageBreak/>
        <w:t>التأثير السلبي لهذه المهن على صحة الطفل النفسية والجسدية، ناهيك عن تسرب طيف واسع من هؤلاء الأطفال عن التعليم نهائيا، في حين إن 36% من هؤلاء الأطفال الذين يعملون في مهنة الصيد البحري مستواهم الدراسي مُتدني، ويتطلب ذلك من دولة عُمان مساعدة الآسر التي تسمح لأطفالها بالعمل في مثل هذه الظروف نتيجة الدخول المنخفضة وحاجة تلك الأسر لتحسين مستواهم المادي، حتي لا يضطروا من الزج بأطفالهم في آتون هذه المهن ما يؤثر علي صحتهم وعلي مستواهم التعليمي</w:t>
      </w:r>
      <w:r w:rsidRPr="00F114C5">
        <w:rPr>
          <w:rStyle w:val="FootnoteReference"/>
          <w:rFonts w:ascii="Tajawal" w:hAnsi="Tajawal" w:cs="Tajawal"/>
          <w:sz w:val="28"/>
          <w:szCs w:val="28"/>
          <w:rtl/>
          <w:lang w:bidi="ar-EG"/>
        </w:rPr>
        <w:footnoteReference w:id="14"/>
      </w:r>
      <w:r w:rsidRPr="00F114C5">
        <w:rPr>
          <w:rFonts w:ascii="Tajawal" w:hAnsi="Tajawal" w:cs="Tajawal"/>
          <w:sz w:val="28"/>
          <w:szCs w:val="28"/>
          <w:rtl/>
          <w:lang w:bidi="ar-EG"/>
        </w:rPr>
        <w:t>.</w:t>
      </w:r>
    </w:p>
    <w:p w14:paraId="2D730E4C" w14:textId="77777777" w:rsidR="00F114C5" w:rsidRPr="00F114C5" w:rsidRDefault="00F114C5" w:rsidP="00F114C5">
      <w:pPr>
        <w:spacing w:after="0" w:line="240" w:lineRule="auto"/>
        <w:ind w:firstLine="0"/>
        <w:jc w:val="lowKashida"/>
        <w:rPr>
          <w:rFonts w:ascii="Tajawal" w:hAnsi="Tajawal" w:cs="Tajawal"/>
          <w:b/>
          <w:bCs/>
          <w:sz w:val="28"/>
          <w:szCs w:val="28"/>
          <w:u w:val="single"/>
          <w:rtl/>
          <w:lang w:bidi="ar-EG"/>
        </w:rPr>
      </w:pPr>
      <w:r w:rsidRPr="00F114C5">
        <w:rPr>
          <w:rFonts w:ascii="Tajawal" w:hAnsi="Tajawal" w:cs="Tajawal"/>
          <w:b/>
          <w:bCs/>
          <w:sz w:val="28"/>
          <w:szCs w:val="28"/>
          <w:u w:val="single"/>
          <w:rtl/>
          <w:lang w:bidi="ar-EG"/>
        </w:rPr>
        <w:t>توصي مؤسسة ماعت للسلام والتنمية وحقوق الإنسان بالآتي:</w:t>
      </w:r>
    </w:p>
    <w:p w14:paraId="4CB34EBE" w14:textId="77777777" w:rsidR="008A1047" w:rsidRDefault="008A1047" w:rsidP="008A1047">
      <w:pPr>
        <w:spacing w:after="0" w:line="240" w:lineRule="auto"/>
        <w:ind w:left="0" w:firstLine="0"/>
        <w:jc w:val="lowKashida"/>
        <w:rPr>
          <w:rFonts w:ascii="Tajawal" w:hAnsi="Tajawal" w:cs="Tajawal"/>
          <w:sz w:val="28"/>
          <w:szCs w:val="28"/>
          <w:rtl/>
          <w:lang w:bidi="ar-EG"/>
        </w:rPr>
      </w:pPr>
    </w:p>
    <w:p w14:paraId="22FB38A8" w14:textId="77777777" w:rsid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ضرورة النظر في التصديق على البروتوكول الاختياري المتعلق بإجراء تقديم البلاغات، والتصديق أيضا على الاتفاقية الدولية لحماية العمال المهاجرين وأفراد أسرهم.</w:t>
      </w:r>
    </w:p>
    <w:p w14:paraId="4FF50BBF" w14:textId="77777777" w:rsid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حظر كافة أشكال التمييز ضد الأطفال المهاجرين والأطفال خارج إطار العلاقة الزوجية والأطفال من ذوي الإعاقة لاسيما التمييز التي لاحظته لجنة حقوق الطفل في حصول هؤلاء الأطفال على الخدمات الاجتماعية والرعاية الصحية والتعليم</w:t>
      </w:r>
      <w:r w:rsidR="008A1047">
        <w:rPr>
          <w:rFonts w:ascii="Tajawal" w:hAnsi="Tajawal" w:cs="Tajawal" w:hint="cs"/>
          <w:sz w:val="28"/>
          <w:szCs w:val="28"/>
          <w:rtl/>
          <w:lang w:bidi="ar-EG"/>
        </w:rPr>
        <w:t>.</w:t>
      </w:r>
    </w:p>
    <w:p w14:paraId="1B12253B" w14:textId="77777777" w:rsid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 xml:space="preserve">إلغاء المادة 44 (أ) من قانون الجزاء العماني التي تُجيز العقوبة البدنية، على ان يتم حظر العقاب البدني وكافة أشكال العنف في جميع الأماكن بما في ذلك المنزل </w:t>
      </w:r>
      <w:r w:rsidR="008A1047">
        <w:rPr>
          <w:rFonts w:ascii="Tajawal" w:hAnsi="Tajawal" w:cs="Tajawal" w:hint="cs"/>
          <w:sz w:val="28"/>
          <w:szCs w:val="28"/>
          <w:rtl/>
          <w:lang w:bidi="ar-EG"/>
        </w:rPr>
        <w:t>و</w:t>
      </w:r>
      <w:r w:rsidRPr="008A1047">
        <w:rPr>
          <w:rFonts w:ascii="Tajawal" w:hAnsi="Tajawal" w:cs="Tajawal"/>
          <w:sz w:val="28"/>
          <w:szCs w:val="28"/>
          <w:rtl/>
          <w:lang w:bidi="ar-EG"/>
        </w:rPr>
        <w:t>المؤسسات الرعاية البديلة.</w:t>
      </w:r>
    </w:p>
    <w:p w14:paraId="62A65323" w14:textId="77777777" w:rsid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اتخاذ تدابير إضافية من أجل تطبيق حظر تام على ظاهرة ختان الإناث على مستوي الممارسة ومواجهة الخطاب الرسمي الذي يشرعن الظاهرة، وتغليظ العقوبة الواردة في قانون الطفل، وملاحقة كل من يثبت تورطه في استمرارية هذه الظاهرة.</w:t>
      </w:r>
    </w:p>
    <w:p w14:paraId="462EC84F" w14:textId="77777777" w:rsid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تعديل قانون الجنسية العُمانية الصادر بالمرسوم رقم (38/2014) ليعطي الحق للأم العمانية المتزوجة من أجنبي في منح الجنسية لأطفالها.</w:t>
      </w:r>
    </w:p>
    <w:p w14:paraId="540F59CA" w14:textId="09380BF1" w:rsidR="00F114C5" w:rsidRPr="008A1047" w:rsidRDefault="00F114C5" w:rsidP="008A1047">
      <w:pPr>
        <w:pStyle w:val="ListParagraph"/>
        <w:numPr>
          <w:ilvl w:val="0"/>
          <w:numId w:val="31"/>
        </w:numPr>
        <w:spacing w:after="0" w:line="240" w:lineRule="auto"/>
        <w:jc w:val="lowKashida"/>
        <w:rPr>
          <w:rFonts w:ascii="Tajawal" w:hAnsi="Tajawal" w:cs="Tajawal"/>
          <w:sz w:val="28"/>
          <w:szCs w:val="28"/>
          <w:lang w:bidi="ar-EG"/>
        </w:rPr>
      </w:pPr>
      <w:r w:rsidRPr="008A1047">
        <w:rPr>
          <w:rFonts w:ascii="Tajawal" w:hAnsi="Tajawal" w:cs="Tajawal"/>
          <w:sz w:val="28"/>
          <w:szCs w:val="28"/>
          <w:rtl/>
          <w:lang w:bidi="ar-EG"/>
        </w:rPr>
        <w:t>اتخاذ تدابير إضافية لمنع الاستغلال الاقتصادي للأطفال، بتعديل نص المادة 46 من قانون الطفل لمواجهة عمل الأطفال بما في ذلك الأعمال التجارية الأسرية.</w:t>
      </w:r>
    </w:p>
    <w:p w14:paraId="63D44A1C" w14:textId="77777777" w:rsidR="00F114C5" w:rsidRPr="00F114C5" w:rsidRDefault="00F114C5" w:rsidP="002C3B87">
      <w:pPr>
        <w:ind w:left="-57" w:firstLine="0"/>
        <w:jc w:val="lowKashida"/>
        <w:rPr>
          <w:rFonts w:ascii="Tajawal" w:hAnsi="Tajawal" w:cs="Tajawal"/>
          <w:sz w:val="28"/>
          <w:szCs w:val="28"/>
          <w:rtl/>
          <w:lang w:bidi="ar-EG"/>
        </w:rPr>
      </w:pPr>
    </w:p>
    <w:p w14:paraId="7B3B3167" w14:textId="77777777" w:rsidR="002C3B87" w:rsidRDefault="002C3B87" w:rsidP="002C3B87">
      <w:pPr>
        <w:ind w:left="-57" w:firstLine="0"/>
        <w:jc w:val="lowKashida"/>
        <w:rPr>
          <w:rFonts w:ascii="Tajawal" w:hAnsi="Tajawal" w:cs="Tajawal"/>
          <w:sz w:val="28"/>
          <w:szCs w:val="28"/>
          <w:rtl/>
          <w:lang w:bidi="ar-EG"/>
        </w:rPr>
      </w:pPr>
    </w:p>
    <w:p w14:paraId="2F0F4599" w14:textId="77777777" w:rsidR="002C3B87" w:rsidRPr="006F7D56" w:rsidRDefault="002C3B87" w:rsidP="002C3B87">
      <w:pPr>
        <w:ind w:left="-57" w:firstLine="0"/>
        <w:jc w:val="lowKashida"/>
        <w:rPr>
          <w:rFonts w:ascii="Tajawal" w:hAnsi="Tajawal" w:cs="Tajawal"/>
          <w:sz w:val="28"/>
          <w:szCs w:val="28"/>
          <w:rtl/>
          <w:lang w:bidi="ar-EG"/>
        </w:rPr>
      </w:pPr>
    </w:p>
    <w:p w14:paraId="110F2095" w14:textId="1C445C3D" w:rsidR="0013131A" w:rsidRDefault="006F7D56" w:rsidP="006F7D56">
      <w:pPr>
        <w:ind w:left="-57" w:firstLine="0"/>
        <w:jc w:val="lowKashida"/>
        <w:rPr>
          <w:szCs w:val="24"/>
          <w:lang w:bidi="ar-EG"/>
        </w:rPr>
      </w:pPr>
      <w:r>
        <w:rPr>
          <w:rFonts w:ascii="Tajawal" w:hAnsi="Tajawal" w:cs="Tajawal" w:hint="cs"/>
          <w:sz w:val="28"/>
          <w:szCs w:val="28"/>
          <w:rtl/>
          <w:lang w:bidi="ar-EG"/>
        </w:rPr>
        <w:t xml:space="preserve">  </w:t>
      </w:r>
    </w:p>
    <w:sectPr w:rsidR="0013131A"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194BD" w14:textId="77777777" w:rsidR="00C42CAE" w:rsidRDefault="00C42CAE" w:rsidP="00DA726A">
      <w:pPr>
        <w:spacing w:after="0" w:line="240" w:lineRule="auto"/>
      </w:pPr>
      <w:r>
        <w:separator/>
      </w:r>
    </w:p>
  </w:endnote>
  <w:endnote w:type="continuationSeparator" w:id="0">
    <w:p w14:paraId="3B4CA455" w14:textId="77777777" w:rsidR="00C42CAE" w:rsidRDefault="00C42CAE"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ajawal">
    <w:panose1 w:val="00000500000000000000"/>
    <w:charset w:val="00"/>
    <w:family w:val="auto"/>
    <w:pitch w:val="variable"/>
    <w:sig w:usb0="8000202F" w:usb1="9000204A" w:usb2="00000008" w:usb3="00000000" w:csb0="00000041" w:csb1="00000000"/>
  </w:font>
  <w:font w:name="Sakkal Majalla">
    <w:altName w:val="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EACA6" w14:textId="77777777"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13131A" w:rsidRPr="0013131A">
      <w:rPr>
        <w:b/>
        <w:bCs/>
        <w:noProof/>
        <w:sz w:val="28"/>
        <w:szCs w:val="28"/>
        <w:rtl/>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58788" w14:textId="4FE13EC5" w:rsidR="0078744D" w:rsidRDefault="008A1047"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3CDD744D" wp14:editId="1E020E09">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59547A8B" w14:textId="77777777" w:rsidTr="00F109FB">
                            <w:trPr>
                              <w:trHeight w:val="340"/>
                            </w:trPr>
                            <w:tc>
                              <w:tcPr>
                                <w:tcW w:w="10214" w:type="dxa"/>
                                <w:gridSpan w:val="5"/>
                                <w:tcBorders>
                                  <w:bottom w:val="nil"/>
                                </w:tcBorders>
                                <w:vAlign w:val="center"/>
                              </w:tcPr>
                              <w:p w14:paraId="65B12E92"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7ED1A66D" w14:textId="77777777" w:rsidTr="00F109FB">
                            <w:trPr>
                              <w:trHeight w:val="340"/>
                            </w:trPr>
                            <w:tc>
                              <w:tcPr>
                                <w:tcW w:w="10214" w:type="dxa"/>
                                <w:gridSpan w:val="5"/>
                                <w:tcBorders>
                                  <w:bottom w:val="nil"/>
                                </w:tcBorders>
                                <w:vAlign w:val="center"/>
                              </w:tcPr>
                              <w:p w14:paraId="18EE08BB"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35B8412" w14:textId="77777777" w:rsidTr="0078744D">
                            <w:trPr>
                              <w:trHeight w:val="340"/>
                            </w:trPr>
                            <w:tc>
                              <w:tcPr>
                                <w:tcW w:w="10214" w:type="dxa"/>
                                <w:gridSpan w:val="5"/>
                                <w:tcBorders>
                                  <w:bottom w:val="nil"/>
                                </w:tcBorders>
                                <w:vAlign w:val="center"/>
                              </w:tcPr>
                              <w:p w14:paraId="4BEAA227"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 xml:space="preserve">Sq,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0C655226" w14:textId="77777777" w:rsidTr="0078744D">
                            <w:trPr>
                              <w:trHeight w:val="340"/>
                            </w:trPr>
                            <w:tc>
                              <w:tcPr>
                                <w:tcW w:w="7938" w:type="dxa"/>
                                <w:gridSpan w:val="3"/>
                                <w:tcBorders>
                                  <w:bottom w:val="nil"/>
                                  <w:right w:val="single" w:sz="12" w:space="0" w:color="808080" w:themeColor="background1" w:themeShade="80"/>
                                </w:tcBorders>
                                <w:vAlign w:val="center"/>
                              </w:tcPr>
                              <w:p w14:paraId="68E6481B"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sidRPr="009E5A85">
                                  <w:rPr>
                                    <w:rFonts w:ascii="Times New Roman" w:hAnsi="Times New Roman" w:cs="Times New Roman"/>
                                    <w:b/>
                                    <w:bCs/>
                                    <w:color w:val="000000"/>
                                    <w:sz w:val="20"/>
                                    <w:szCs w:val="20"/>
                                    <w:rtl/>
                                    <w:lang w:bidi="ar-EG"/>
                                  </w:rPr>
                                  <w:t>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proofErr w:type="gramEnd"/>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5691C08"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3FF7C412" w14:textId="77777777" w:rsidTr="0078744D">
                            <w:trPr>
                              <w:trHeight w:val="340"/>
                            </w:trPr>
                            <w:tc>
                              <w:tcPr>
                                <w:tcW w:w="7387" w:type="dxa"/>
                                <w:gridSpan w:val="2"/>
                                <w:tcBorders>
                                  <w:bottom w:val="nil"/>
                                  <w:right w:val="single" w:sz="12" w:space="0" w:color="7F7F7F"/>
                                </w:tcBorders>
                                <w:vAlign w:val="center"/>
                              </w:tcPr>
                              <w:p w14:paraId="260D3D38" w14:textId="77777777" w:rsidR="0078744D" w:rsidRPr="007F1F7C" w:rsidRDefault="0078744D"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64F256C6"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7702C301" w14:textId="77777777" w:rsidTr="0078744D">
                            <w:trPr>
                              <w:trHeight w:val="340"/>
                            </w:trPr>
                            <w:tc>
                              <w:tcPr>
                                <w:tcW w:w="5119" w:type="dxa"/>
                                <w:tcBorders>
                                  <w:right w:val="single" w:sz="12" w:space="0" w:color="7F7F7F"/>
                                </w:tcBorders>
                                <w:vAlign w:val="center"/>
                              </w:tcPr>
                              <w:p w14:paraId="1F29ADB9"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CFA5B1D"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4B863742"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FFFEA02" w14:textId="77777777" w:rsidR="0078744D" w:rsidRPr="007F1F7C" w:rsidRDefault="0078744D" w:rsidP="0078744D">
                          <w:pPr>
                            <w:spacing w:after="0" w:line="240" w:lineRule="auto"/>
                            <w:jc w:val="center"/>
                            <w:rPr>
                              <w:rFonts w:ascii="Times New Roman" w:hAnsi="Times New Roman" w:cs="Times New Roman"/>
                              <w:rtl/>
                              <w:lang w:bidi="ar-EG"/>
                            </w:rPr>
                          </w:pPr>
                        </w:p>
                        <w:p w14:paraId="57C13740"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DD744D"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59547A8B" w14:textId="77777777" w:rsidTr="00F109FB">
                      <w:trPr>
                        <w:trHeight w:val="340"/>
                      </w:trPr>
                      <w:tc>
                        <w:tcPr>
                          <w:tcW w:w="10214" w:type="dxa"/>
                          <w:gridSpan w:val="5"/>
                          <w:tcBorders>
                            <w:bottom w:val="nil"/>
                          </w:tcBorders>
                          <w:vAlign w:val="center"/>
                        </w:tcPr>
                        <w:p w14:paraId="65B12E92"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7ED1A66D" w14:textId="77777777" w:rsidTr="00F109FB">
                      <w:trPr>
                        <w:trHeight w:val="340"/>
                      </w:trPr>
                      <w:tc>
                        <w:tcPr>
                          <w:tcW w:w="10214" w:type="dxa"/>
                          <w:gridSpan w:val="5"/>
                          <w:tcBorders>
                            <w:bottom w:val="nil"/>
                          </w:tcBorders>
                          <w:vAlign w:val="center"/>
                        </w:tcPr>
                        <w:p w14:paraId="18EE08BB"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35B8412" w14:textId="77777777" w:rsidTr="0078744D">
                      <w:trPr>
                        <w:trHeight w:val="340"/>
                      </w:trPr>
                      <w:tc>
                        <w:tcPr>
                          <w:tcW w:w="10214" w:type="dxa"/>
                          <w:gridSpan w:val="5"/>
                          <w:tcBorders>
                            <w:bottom w:val="nil"/>
                          </w:tcBorders>
                          <w:vAlign w:val="center"/>
                        </w:tcPr>
                        <w:p w14:paraId="4BEAA227"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 xml:space="preserve">Sq,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0C655226" w14:textId="77777777" w:rsidTr="0078744D">
                      <w:trPr>
                        <w:trHeight w:val="340"/>
                      </w:trPr>
                      <w:tc>
                        <w:tcPr>
                          <w:tcW w:w="7938" w:type="dxa"/>
                          <w:gridSpan w:val="3"/>
                          <w:tcBorders>
                            <w:bottom w:val="nil"/>
                            <w:right w:val="single" w:sz="12" w:space="0" w:color="808080" w:themeColor="background1" w:themeShade="80"/>
                          </w:tcBorders>
                          <w:vAlign w:val="center"/>
                        </w:tcPr>
                        <w:p w14:paraId="68E6481B"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sidRPr="009E5A85">
                            <w:rPr>
                              <w:rFonts w:ascii="Times New Roman" w:hAnsi="Times New Roman" w:cs="Times New Roman"/>
                              <w:b/>
                              <w:bCs/>
                              <w:color w:val="000000"/>
                              <w:sz w:val="20"/>
                              <w:szCs w:val="20"/>
                              <w:rtl/>
                              <w:lang w:bidi="ar-EG"/>
                            </w:rPr>
                            <w:t>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proofErr w:type="gramEnd"/>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5691C08"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3FF7C412" w14:textId="77777777" w:rsidTr="0078744D">
                      <w:trPr>
                        <w:trHeight w:val="340"/>
                      </w:trPr>
                      <w:tc>
                        <w:tcPr>
                          <w:tcW w:w="7387" w:type="dxa"/>
                          <w:gridSpan w:val="2"/>
                          <w:tcBorders>
                            <w:bottom w:val="nil"/>
                            <w:right w:val="single" w:sz="12" w:space="0" w:color="7F7F7F"/>
                          </w:tcBorders>
                          <w:vAlign w:val="center"/>
                        </w:tcPr>
                        <w:p w14:paraId="260D3D38" w14:textId="77777777" w:rsidR="0078744D" w:rsidRPr="007F1F7C" w:rsidRDefault="0078744D" w:rsidP="0078744D">
                          <w:pPr>
                            <w:spacing w:after="0"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64F256C6"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7702C301" w14:textId="77777777" w:rsidTr="0078744D">
                      <w:trPr>
                        <w:trHeight w:val="340"/>
                      </w:trPr>
                      <w:tc>
                        <w:tcPr>
                          <w:tcW w:w="5119" w:type="dxa"/>
                          <w:tcBorders>
                            <w:right w:val="single" w:sz="12" w:space="0" w:color="7F7F7F"/>
                          </w:tcBorders>
                          <w:vAlign w:val="center"/>
                        </w:tcPr>
                        <w:p w14:paraId="1F29ADB9"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CFA5B1D"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4B863742"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3FFFEA02" w14:textId="77777777" w:rsidR="0078744D" w:rsidRPr="007F1F7C" w:rsidRDefault="0078744D" w:rsidP="0078744D">
                    <w:pPr>
                      <w:spacing w:after="0" w:line="240" w:lineRule="auto"/>
                      <w:jc w:val="center"/>
                      <w:rPr>
                        <w:rFonts w:ascii="Times New Roman" w:hAnsi="Times New Roman" w:cs="Times New Roman"/>
                        <w:rtl/>
                        <w:lang w:bidi="ar-EG"/>
                      </w:rPr>
                    </w:pPr>
                  </w:p>
                  <w:p w14:paraId="57C13740"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16C38425" wp14:editId="43E84E7B">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7187A" id="Line 1"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" strokecolor="red" strokeweight="2.25pt"/>
          </w:pict>
        </mc:Fallback>
      </mc:AlternateContent>
    </w:r>
  </w:p>
  <w:p w14:paraId="035D53E3" w14:textId="77777777" w:rsidR="0078744D" w:rsidRDefault="0078744D" w:rsidP="0078744D">
    <w:pPr>
      <w:pStyle w:val="Footer"/>
      <w:rPr>
        <w:rtl/>
        <w:lang w:bidi="ar-EG"/>
      </w:rPr>
    </w:pPr>
  </w:p>
  <w:p w14:paraId="2E67D906" w14:textId="77777777" w:rsidR="0078744D" w:rsidRDefault="0078744D" w:rsidP="0078744D">
    <w:pPr>
      <w:pStyle w:val="Footer"/>
      <w:rPr>
        <w:rtl/>
        <w:lang w:bidi="ar-EG"/>
      </w:rPr>
    </w:pPr>
  </w:p>
  <w:p w14:paraId="60FD7F70" w14:textId="77777777" w:rsidR="0078744D" w:rsidRDefault="0078744D" w:rsidP="0078744D">
    <w:pPr>
      <w:pStyle w:val="Footer"/>
      <w:rPr>
        <w:rtl/>
        <w:lang w:bidi="ar-EG"/>
      </w:rPr>
    </w:pPr>
  </w:p>
  <w:p w14:paraId="780ED7BB" w14:textId="77777777" w:rsidR="0078744D" w:rsidRDefault="0078744D" w:rsidP="0078744D"/>
  <w:p w14:paraId="6C771E49" w14:textId="77777777" w:rsidR="0078744D" w:rsidRDefault="0078744D" w:rsidP="0078744D"/>
  <w:p w14:paraId="30D1D261" w14:textId="77777777" w:rsidR="0078744D" w:rsidRDefault="0078744D" w:rsidP="0078744D">
    <w:pPr>
      <w:pStyle w:val="Footer"/>
    </w:pPr>
  </w:p>
  <w:p w14:paraId="7C80907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DAF702" w14:textId="77777777" w:rsidR="00C42CAE" w:rsidRDefault="00C42CAE" w:rsidP="00DA726A">
      <w:pPr>
        <w:spacing w:after="0" w:line="240" w:lineRule="auto"/>
      </w:pPr>
      <w:r>
        <w:separator/>
      </w:r>
    </w:p>
  </w:footnote>
  <w:footnote w:type="continuationSeparator" w:id="0">
    <w:p w14:paraId="76756D9D" w14:textId="77777777" w:rsidR="00C42CAE" w:rsidRDefault="00C42CAE" w:rsidP="00DA726A">
      <w:pPr>
        <w:spacing w:after="0" w:line="240" w:lineRule="auto"/>
      </w:pPr>
      <w:r>
        <w:continuationSeparator/>
      </w:r>
    </w:p>
  </w:footnote>
  <w:footnote w:id="1">
    <w:p w14:paraId="1E1E396F" w14:textId="77777777" w:rsidR="006F7D56" w:rsidRPr="00BA4D8A" w:rsidRDefault="006F7D56"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الملاحظات الختامية للتقرير الجامع للتقريرين الثالث والرابع، ص 26، على الرابط التالي:</w:t>
      </w:r>
      <w:r w:rsidRPr="00BA4D8A">
        <w:rPr>
          <w:rFonts w:ascii="Sakkal Majalla" w:hAnsi="Sakkal Majalla" w:cs="Sakkal Majalla" w:hint="cs"/>
        </w:rPr>
        <w:t xml:space="preserve"> </w:t>
      </w:r>
      <w:hyperlink r:id="rId1" w:history="1">
        <w:r w:rsidRPr="00BA4D8A">
          <w:rPr>
            <w:rStyle w:val="Hyperlink"/>
            <w:rFonts w:ascii="Sakkal Majalla" w:hAnsi="Sakkal Majalla" w:cs="Sakkal Majalla" w:hint="cs"/>
            <w:lang w:bidi="ar-EG"/>
          </w:rPr>
          <w:t>https://tbinternet.ohchr.org/_layouts/15/treatybodyexternal/Download.aspx?symbolno=CRC%2fC%2fOMN%2fCO%2f3-4&amp;Lang=en</w:t>
        </w:r>
      </w:hyperlink>
      <w:r w:rsidRPr="00BA4D8A">
        <w:rPr>
          <w:rFonts w:ascii="Sakkal Majalla" w:hAnsi="Sakkal Majalla" w:cs="Sakkal Majalla" w:hint="cs"/>
          <w:rtl/>
          <w:lang w:bidi="ar-EG"/>
        </w:rPr>
        <w:t xml:space="preserve"> </w:t>
      </w:r>
    </w:p>
  </w:footnote>
  <w:footnote w:id="2">
    <w:p w14:paraId="6BF4715F"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مرسوم سلطاني رقم ٦ / ٢٠٢١ بإصدار النظام الأساسي للدولة، المادة (21)، ص 11، على الرابط التالي:</w:t>
      </w:r>
      <w:r w:rsidRPr="00BA4D8A">
        <w:rPr>
          <w:rFonts w:ascii="Sakkal Majalla" w:hAnsi="Sakkal Majalla" w:cs="Sakkal Majalla" w:hint="cs"/>
        </w:rPr>
        <w:t xml:space="preserve"> </w:t>
      </w:r>
      <w:hyperlink r:id="rId2" w:history="1">
        <w:r w:rsidRPr="00BA4D8A">
          <w:rPr>
            <w:rStyle w:val="Hyperlink"/>
            <w:rFonts w:ascii="Sakkal Majalla" w:hAnsi="Sakkal Majalla" w:cs="Sakkal Majalla" w:hint="cs"/>
            <w:lang w:bidi="ar-EG"/>
          </w:rPr>
          <w:t>https://data.qanoon.om/ar/rd/2021/2021-006.pdf</w:t>
        </w:r>
      </w:hyperlink>
      <w:r w:rsidRPr="00BA4D8A">
        <w:rPr>
          <w:rFonts w:ascii="Sakkal Majalla" w:hAnsi="Sakkal Majalla" w:cs="Sakkal Majalla" w:hint="cs"/>
          <w:rtl/>
          <w:lang w:bidi="ar-EG"/>
        </w:rPr>
        <w:t xml:space="preserve"> </w:t>
      </w:r>
    </w:p>
  </w:footnote>
  <w:footnote w:id="3">
    <w:p w14:paraId="1BAE454C"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مرسوم سلطاني رقم ٦٦ / ٩٩ بإصدار قانون الأحوال المدنية، المادة (20)، ص 181، على الرابط التالي:</w:t>
      </w:r>
      <w:r w:rsidRPr="00BA4D8A">
        <w:rPr>
          <w:rFonts w:ascii="Sakkal Majalla" w:hAnsi="Sakkal Majalla" w:cs="Sakkal Majalla" w:hint="cs"/>
        </w:rPr>
        <w:t xml:space="preserve"> </w:t>
      </w:r>
      <w:hyperlink r:id="rId3" w:history="1">
        <w:r w:rsidRPr="00BA4D8A">
          <w:rPr>
            <w:rStyle w:val="Hyperlink"/>
            <w:rFonts w:ascii="Sakkal Majalla" w:hAnsi="Sakkal Majalla" w:cs="Sakkal Majalla" w:hint="cs"/>
            <w:lang w:bidi="ar-EG"/>
          </w:rPr>
          <w:t>https://data.qanoon.om/ar/rd/1999/1999-066.pdf</w:t>
        </w:r>
      </w:hyperlink>
      <w:r w:rsidRPr="00BA4D8A">
        <w:rPr>
          <w:rFonts w:ascii="Sakkal Majalla" w:hAnsi="Sakkal Majalla" w:cs="Sakkal Majalla" w:hint="cs"/>
          <w:rtl/>
          <w:lang w:bidi="ar-EG"/>
        </w:rPr>
        <w:t xml:space="preserve"> </w:t>
      </w:r>
    </w:p>
  </w:footnote>
  <w:footnote w:id="4">
    <w:p w14:paraId="07A52AC9"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أنظر، قانون الطفل رقم 22 لعام 2014، المادة (7)، على الرابط التالي:</w:t>
      </w:r>
      <w:r w:rsidRPr="00BA4D8A">
        <w:rPr>
          <w:rFonts w:ascii="Sakkal Majalla" w:hAnsi="Sakkal Majalla" w:cs="Sakkal Majalla" w:hint="cs"/>
        </w:rPr>
        <w:t xml:space="preserve"> </w:t>
      </w:r>
      <w:hyperlink r:id="rId4" w:history="1">
        <w:r w:rsidRPr="00BA4D8A">
          <w:rPr>
            <w:rStyle w:val="Hyperlink"/>
            <w:rFonts w:ascii="Sakkal Majalla" w:hAnsi="Sakkal Majalla" w:cs="Sakkal Majalla" w:hint="cs"/>
            <w:lang w:bidi="ar-EG"/>
          </w:rPr>
          <w:t>https://bit.ly/2LG0NYM</w:t>
        </w:r>
      </w:hyperlink>
      <w:r w:rsidRPr="00BA4D8A">
        <w:rPr>
          <w:rFonts w:ascii="Sakkal Majalla" w:hAnsi="Sakkal Majalla" w:cs="Sakkal Majalla" w:hint="cs"/>
          <w:rtl/>
          <w:lang w:bidi="ar-EG"/>
        </w:rPr>
        <w:t xml:space="preserve"> </w:t>
      </w:r>
    </w:p>
  </w:footnote>
  <w:footnote w:id="5">
    <w:p w14:paraId="66672102"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قانون الجزاء العماني، مادة 44(أ)، ص 12، على الرابط الثاني:</w:t>
      </w:r>
      <w:r w:rsidRPr="00BA4D8A">
        <w:rPr>
          <w:rFonts w:ascii="Sakkal Majalla" w:hAnsi="Sakkal Majalla" w:cs="Sakkal Majalla" w:hint="cs"/>
        </w:rPr>
        <w:t xml:space="preserve"> </w:t>
      </w:r>
      <w:hyperlink r:id="rId5" w:history="1">
        <w:r w:rsidRPr="00BA4D8A">
          <w:rPr>
            <w:rStyle w:val="Hyperlink"/>
            <w:rFonts w:ascii="Sakkal Majalla" w:hAnsi="Sakkal Majalla" w:cs="Sakkal Majalla" w:hint="cs"/>
            <w:lang w:bidi="ar-EG"/>
          </w:rPr>
          <w:t>https://bit.ly/3aZacn8</w:t>
        </w:r>
      </w:hyperlink>
      <w:r w:rsidRPr="00BA4D8A">
        <w:rPr>
          <w:rFonts w:ascii="Sakkal Majalla" w:hAnsi="Sakkal Majalla" w:cs="Sakkal Majalla" w:hint="cs"/>
          <w:rtl/>
          <w:lang w:bidi="ar-EG"/>
        </w:rPr>
        <w:t xml:space="preserve"> </w:t>
      </w:r>
    </w:p>
  </w:footnote>
  <w:footnote w:id="6">
    <w:p w14:paraId="1D6A2837"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rPr>
        <w:t>الإهمال والإساءة الجسدية والجنسية بالمقدمة 488 طفلاً تعرضوا للإساءة خلال 2019.. و707 بلاغات لخط حماية الطفل، الرؤية، 6 يوليو 2020 على الرابط التالي:</w:t>
      </w:r>
      <w:r w:rsidRPr="00BA4D8A">
        <w:rPr>
          <w:rFonts w:ascii="Sakkal Majalla" w:hAnsi="Sakkal Majalla" w:cs="Sakkal Majalla" w:hint="cs"/>
        </w:rPr>
        <w:t xml:space="preserve"> </w:t>
      </w:r>
      <w:hyperlink r:id="rId6" w:history="1">
        <w:r w:rsidRPr="00BA4D8A">
          <w:rPr>
            <w:rStyle w:val="Hyperlink"/>
            <w:rFonts w:ascii="Sakkal Majalla" w:hAnsi="Sakkal Majalla" w:cs="Sakkal Majalla" w:hint="cs"/>
          </w:rPr>
          <w:t>https://bit.ly/3pbpH09</w:t>
        </w:r>
      </w:hyperlink>
      <w:r w:rsidRPr="00BA4D8A">
        <w:rPr>
          <w:rFonts w:ascii="Sakkal Majalla" w:hAnsi="Sakkal Majalla" w:cs="Sakkal Majalla" w:hint="cs"/>
          <w:rtl/>
        </w:rPr>
        <w:t xml:space="preserve"> </w:t>
      </w:r>
    </w:p>
  </w:footnote>
  <w:footnote w:id="7">
    <w:p w14:paraId="0C957B55"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العقاب البدني للأطفال في عمان، ص 2، على الرابط التالي:</w:t>
      </w:r>
      <w:r w:rsidRPr="00BA4D8A">
        <w:rPr>
          <w:rFonts w:ascii="Sakkal Majalla" w:hAnsi="Sakkal Majalla" w:cs="Sakkal Majalla" w:hint="cs"/>
        </w:rPr>
        <w:t xml:space="preserve"> </w:t>
      </w:r>
      <w:hyperlink r:id="rId7" w:history="1">
        <w:r w:rsidRPr="00BA4D8A">
          <w:rPr>
            <w:rStyle w:val="Hyperlink"/>
            <w:rFonts w:ascii="Sakkal Majalla" w:hAnsi="Sakkal Majalla" w:cs="Sakkal Majalla" w:hint="cs"/>
            <w:lang w:bidi="ar-EG"/>
          </w:rPr>
          <w:t>https://endcorporalpunishment.org/wp-content/uploads/country-reports/Oman_AR.pdf</w:t>
        </w:r>
      </w:hyperlink>
      <w:r w:rsidRPr="00BA4D8A">
        <w:rPr>
          <w:rFonts w:ascii="Sakkal Majalla" w:hAnsi="Sakkal Majalla" w:cs="Sakkal Majalla" w:hint="cs"/>
          <w:rtl/>
          <w:lang w:bidi="ar-EG"/>
        </w:rPr>
        <w:t xml:space="preserve"> </w:t>
      </w:r>
    </w:p>
  </w:footnote>
  <w:footnote w:id="8">
    <w:p w14:paraId="5DA92BF1"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قانون الأحوال الشخصية، المادة 10(ج)، على الرابط التالي:</w:t>
      </w:r>
      <w:r w:rsidRPr="00BA4D8A">
        <w:rPr>
          <w:rFonts w:ascii="Sakkal Majalla" w:hAnsi="Sakkal Majalla" w:cs="Sakkal Majalla" w:hint="cs"/>
        </w:rPr>
        <w:t xml:space="preserve"> </w:t>
      </w:r>
      <w:hyperlink r:id="rId8" w:history="1">
        <w:r w:rsidRPr="00BA4D8A">
          <w:rPr>
            <w:rStyle w:val="Hyperlink"/>
            <w:rFonts w:ascii="Sakkal Majalla" w:hAnsi="Sakkal Majalla" w:cs="Sakkal Majalla" w:hint="cs"/>
            <w:lang w:bidi="ar-EG"/>
          </w:rPr>
          <w:t>https://qanoon.om/p/1997/rd1997032</w:t>
        </w:r>
        <w:r w:rsidRPr="00BA4D8A">
          <w:rPr>
            <w:rStyle w:val="Hyperlink"/>
            <w:rFonts w:ascii="Sakkal Majalla" w:hAnsi="Sakkal Majalla" w:cs="Sakkal Majalla" w:hint="cs"/>
            <w:rtl/>
            <w:lang w:bidi="ar-EG"/>
          </w:rPr>
          <w:t>/</w:t>
        </w:r>
      </w:hyperlink>
      <w:r w:rsidRPr="00BA4D8A">
        <w:rPr>
          <w:rFonts w:ascii="Sakkal Majalla" w:hAnsi="Sakkal Majalla" w:cs="Sakkal Majalla" w:hint="cs"/>
          <w:rtl/>
          <w:lang w:bidi="ar-EG"/>
        </w:rPr>
        <w:t xml:space="preserve"> </w:t>
      </w:r>
    </w:p>
  </w:footnote>
  <w:footnote w:id="9">
    <w:p w14:paraId="3E07A201"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ختان البنات: منظمة حقوقية تكشف انتشاره في دول عربية عدّة، بي بي سي عربية، 15 أبريل 2020، على الرابط التالي:</w:t>
      </w:r>
      <w:r w:rsidRPr="00BA4D8A">
        <w:rPr>
          <w:rFonts w:ascii="Sakkal Majalla" w:hAnsi="Sakkal Majalla" w:cs="Sakkal Majalla" w:hint="cs"/>
        </w:rPr>
        <w:t xml:space="preserve"> </w:t>
      </w:r>
      <w:hyperlink r:id="rId9" w:history="1">
        <w:r w:rsidRPr="00BA4D8A">
          <w:rPr>
            <w:rStyle w:val="Hyperlink"/>
            <w:rFonts w:ascii="Sakkal Majalla" w:hAnsi="Sakkal Majalla" w:cs="Sakkal Majalla" w:hint="cs"/>
            <w:lang w:bidi="ar-EG"/>
          </w:rPr>
          <w:t>https://bbc.in/2OpJfRQ</w:t>
        </w:r>
      </w:hyperlink>
      <w:r w:rsidRPr="00BA4D8A">
        <w:rPr>
          <w:rFonts w:ascii="Sakkal Majalla" w:hAnsi="Sakkal Majalla" w:cs="Sakkal Majalla" w:hint="cs"/>
          <w:rtl/>
          <w:lang w:bidi="ar-EG"/>
        </w:rPr>
        <w:t xml:space="preserve"> </w:t>
      </w:r>
    </w:p>
  </w:footnote>
  <w:footnote w:id="10">
    <w:p w14:paraId="45DED7F4"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ختان الإناث: تشويه أعضائهن التناسلية، المركز العماني لحقوق الإنسان، 5 فبراير 2021، على الرابط التالي:</w:t>
      </w:r>
      <w:r w:rsidRPr="00BA4D8A">
        <w:rPr>
          <w:rFonts w:ascii="Sakkal Majalla" w:hAnsi="Sakkal Majalla" w:cs="Sakkal Majalla" w:hint="cs"/>
        </w:rPr>
        <w:t xml:space="preserve"> </w:t>
      </w:r>
      <w:hyperlink r:id="rId10" w:history="1">
        <w:r w:rsidRPr="00BA4D8A">
          <w:rPr>
            <w:rStyle w:val="Hyperlink"/>
            <w:rFonts w:ascii="Sakkal Majalla" w:hAnsi="Sakkal Majalla" w:cs="Sakkal Majalla" w:hint="cs"/>
            <w:lang w:bidi="ar-EG"/>
          </w:rPr>
          <w:t>https://bit.ly/3d3JlZw</w:t>
        </w:r>
      </w:hyperlink>
      <w:r w:rsidRPr="00BA4D8A">
        <w:rPr>
          <w:rFonts w:ascii="Sakkal Majalla" w:hAnsi="Sakkal Majalla" w:cs="Sakkal Majalla" w:hint="cs"/>
          <w:rtl/>
          <w:lang w:bidi="ar-EG"/>
        </w:rPr>
        <w:t xml:space="preserve"> </w:t>
      </w:r>
    </w:p>
  </w:footnote>
  <w:footnote w:id="11">
    <w:p w14:paraId="110F9272"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مرسوم سلطاني رقم ٣٨ / ٢٠١٤ بإصدار قانون الجنسية العمانية، المادة 11، على الرابط التالي:</w:t>
      </w:r>
      <w:r w:rsidRPr="00BA4D8A">
        <w:rPr>
          <w:rFonts w:ascii="Sakkal Majalla" w:hAnsi="Sakkal Majalla" w:cs="Sakkal Majalla" w:hint="cs"/>
        </w:rPr>
        <w:t xml:space="preserve"> </w:t>
      </w:r>
      <w:hyperlink r:id="rId11" w:history="1">
        <w:r w:rsidRPr="00BA4D8A">
          <w:rPr>
            <w:rStyle w:val="Hyperlink"/>
            <w:rFonts w:ascii="Sakkal Majalla" w:hAnsi="Sakkal Majalla" w:cs="Sakkal Majalla" w:hint="cs"/>
            <w:lang w:bidi="ar-EG"/>
          </w:rPr>
          <w:t>https://data.qanoon.om/ar/rd/2014/2014-038.pdf</w:t>
        </w:r>
      </w:hyperlink>
      <w:r w:rsidRPr="00BA4D8A">
        <w:rPr>
          <w:rFonts w:ascii="Sakkal Majalla" w:hAnsi="Sakkal Majalla" w:cs="Sakkal Majalla" w:hint="cs"/>
          <w:rtl/>
          <w:lang w:bidi="ar-EG"/>
        </w:rPr>
        <w:t xml:space="preserve"> </w:t>
      </w:r>
    </w:p>
  </w:footnote>
  <w:footnote w:id="12">
    <w:p w14:paraId="1D71DAFC"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للمزيد على الرابط التالي:</w:t>
      </w:r>
      <w:r w:rsidRPr="00BA4D8A">
        <w:rPr>
          <w:rFonts w:ascii="Sakkal Majalla" w:hAnsi="Sakkal Majalla" w:cs="Sakkal Majalla" w:hint="cs"/>
        </w:rPr>
        <w:t xml:space="preserve"> </w:t>
      </w:r>
      <w:hyperlink r:id="rId12" w:history="1">
        <w:r w:rsidRPr="00BA4D8A">
          <w:rPr>
            <w:rStyle w:val="Hyperlink"/>
            <w:rFonts w:ascii="Sakkal Majalla" w:hAnsi="Sakkal Majalla" w:cs="Sakkal Majalla" w:hint="cs"/>
            <w:lang w:bidi="ar-EG"/>
          </w:rPr>
          <w:t>https://bit.ly/3p2fcfC</w:t>
        </w:r>
      </w:hyperlink>
      <w:r w:rsidRPr="00BA4D8A">
        <w:rPr>
          <w:rFonts w:ascii="Sakkal Majalla" w:hAnsi="Sakkal Majalla" w:cs="Sakkal Majalla" w:hint="cs"/>
          <w:rtl/>
          <w:lang w:bidi="ar-EG"/>
        </w:rPr>
        <w:t xml:space="preserve"> </w:t>
      </w:r>
    </w:p>
  </w:footnote>
  <w:footnote w:id="13">
    <w:p w14:paraId="33EAB889"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أنظر، ص 10 على الرابط التالي:</w:t>
      </w:r>
      <w:r w:rsidRPr="00BA4D8A">
        <w:rPr>
          <w:rFonts w:ascii="Sakkal Majalla" w:hAnsi="Sakkal Majalla" w:cs="Sakkal Majalla" w:hint="cs"/>
        </w:rPr>
        <w:t xml:space="preserve"> </w:t>
      </w:r>
      <w:hyperlink r:id="rId13" w:history="1">
        <w:r w:rsidRPr="00BA4D8A">
          <w:rPr>
            <w:rStyle w:val="Hyperlink"/>
            <w:rFonts w:ascii="Sakkal Majalla" w:hAnsi="Sakkal Majalla" w:cs="Sakkal Majalla" w:hint="cs"/>
            <w:lang w:bidi="ar-EG"/>
          </w:rPr>
          <w:t>https://bit.ly/3aQLFQR</w:t>
        </w:r>
      </w:hyperlink>
      <w:r w:rsidRPr="00BA4D8A">
        <w:rPr>
          <w:rFonts w:ascii="Sakkal Majalla" w:hAnsi="Sakkal Majalla" w:cs="Sakkal Majalla" w:hint="cs"/>
          <w:rtl/>
          <w:lang w:bidi="ar-EG"/>
        </w:rPr>
        <w:t xml:space="preserve"> </w:t>
      </w:r>
    </w:p>
  </w:footnote>
  <w:footnote w:id="14">
    <w:p w14:paraId="4EB62215" w14:textId="77777777" w:rsidR="00F114C5" w:rsidRPr="00BA4D8A" w:rsidRDefault="00F114C5" w:rsidP="00BA4D8A">
      <w:pPr>
        <w:pStyle w:val="FootnoteText"/>
        <w:bidi/>
        <w:spacing w:after="0" w:line="240" w:lineRule="auto"/>
        <w:rPr>
          <w:rFonts w:ascii="Sakkal Majalla" w:hAnsi="Sakkal Majalla" w:cs="Sakkal Majalla" w:hint="cs"/>
          <w:rtl/>
          <w:lang w:bidi="ar-EG"/>
        </w:rPr>
      </w:pPr>
      <w:r w:rsidRPr="00BA4D8A">
        <w:rPr>
          <w:rStyle w:val="FootnoteReference"/>
          <w:rFonts w:ascii="Sakkal Majalla" w:hAnsi="Sakkal Majalla" w:cs="Sakkal Majalla" w:hint="cs"/>
        </w:rPr>
        <w:footnoteRef/>
      </w:r>
      <w:r w:rsidRPr="00BA4D8A">
        <w:rPr>
          <w:rFonts w:ascii="Sakkal Majalla" w:hAnsi="Sakkal Majalla" w:cs="Sakkal Majalla" w:hint="cs"/>
        </w:rPr>
        <w:t xml:space="preserve"> </w:t>
      </w:r>
      <w:r w:rsidRPr="00BA4D8A">
        <w:rPr>
          <w:rFonts w:ascii="Sakkal Majalla" w:hAnsi="Sakkal Majalla" w:cs="Sakkal Majalla" w:hint="cs"/>
          <w:rtl/>
          <w:lang w:bidi="ar-EG"/>
        </w:rPr>
        <w:t xml:space="preserve"> دراسة عُمانية تحذر من عمالة الأطفال، إرم نيوز، 19 يونيو 2016، على الرابط التالي:</w:t>
      </w:r>
      <w:r w:rsidRPr="00BA4D8A">
        <w:rPr>
          <w:rFonts w:ascii="Sakkal Majalla" w:hAnsi="Sakkal Majalla" w:cs="Sakkal Majalla" w:hint="cs"/>
        </w:rPr>
        <w:t xml:space="preserve"> </w:t>
      </w:r>
      <w:hyperlink r:id="rId14" w:history="1">
        <w:r w:rsidRPr="00BA4D8A">
          <w:rPr>
            <w:rStyle w:val="Hyperlink"/>
            <w:rFonts w:ascii="Sakkal Majalla" w:hAnsi="Sakkal Majalla" w:cs="Sakkal Majalla" w:hint="cs"/>
            <w:lang w:bidi="ar-EG"/>
          </w:rPr>
          <w:t>https://www.eremnews.com/news/509818</w:t>
        </w:r>
      </w:hyperlink>
      <w:r w:rsidRPr="00BA4D8A">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ook w:val="04A0" w:firstRow="1" w:lastRow="0" w:firstColumn="1" w:lastColumn="0" w:noHBand="0" w:noVBand="1"/>
    </w:tblPr>
    <w:tblGrid>
      <w:gridCol w:w="4560"/>
      <w:gridCol w:w="5362"/>
    </w:tblGrid>
    <w:tr w:rsidR="0078744D" w:rsidRPr="000F6BDC" w14:paraId="60BDDFA1" w14:textId="77777777" w:rsidTr="006A113A">
      <w:tc>
        <w:tcPr>
          <w:tcW w:w="5210" w:type="dxa"/>
          <w:shd w:val="clear" w:color="auto" w:fill="auto"/>
          <w:vAlign w:val="center"/>
        </w:tcPr>
        <w:p w14:paraId="57555B72"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00A1F843"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77848F9B" wp14:editId="338628F1">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6F3913A8"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0"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0"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2"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6" w15:restartNumberingAfterBreak="0">
    <w:nsid w:val="6EF33DE7"/>
    <w:multiLevelType w:val="hybridMultilevel"/>
    <w:tmpl w:val="B6C41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9"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8"/>
  </w:num>
  <w:num w:numId="3">
    <w:abstractNumId w:val="9"/>
  </w:num>
  <w:num w:numId="4">
    <w:abstractNumId w:val="21"/>
  </w:num>
  <w:num w:numId="5">
    <w:abstractNumId w:val="15"/>
  </w:num>
  <w:num w:numId="6">
    <w:abstractNumId w:val="18"/>
  </w:num>
  <w:num w:numId="7">
    <w:abstractNumId w:val="4"/>
  </w:num>
  <w:num w:numId="8">
    <w:abstractNumId w:val="17"/>
  </w:num>
  <w:num w:numId="9">
    <w:abstractNumId w:val="1"/>
  </w:num>
  <w:num w:numId="10">
    <w:abstractNumId w:val="10"/>
  </w:num>
  <w:num w:numId="11">
    <w:abstractNumId w:val="22"/>
  </w:num>
  <w:num w:numId="12">
    <w:abstractNumId w:val="24"/>
  </w:num>
  <w:num w:numId="13">
    <w:abstractNumId w:val="16"/>
  </w:num>
  <w:num w:numId="14">
    <w:abstractNumId w:val="27"/>
  </w:num>
  <w:num w:numId="15">
    <w:abstractNumId w:val="13"/>
  </w:num>
  <w:num w:numId="16">
    <w:abstractNumId w:val="19"/>
  </w:num>
  <w:num w:numId="17">
    <w:abstractNumId w:val="12"/>
  </w:num>
  <w:num w:numId="18">
    <w:abstractNumId w:val="0"/>
  </w:num>
  <w:num w:numId="19">
    <w:abstractNumId w:val="23"/>
  </w:num>
  <w:num w:numId="20">
    <w:abstractNumId w:val="20"/>
  </w:num>
  <w:num w:numId="21">
    <w:abstractNumId w:val="7"/>
  </w:num>
  <w:num w:numId="22">
    <w:abstractNumId w:val="5"/>
  </w:num>
  <w:num w:numId="23">
    <w:abstractNumId w:val="29"/>
  </w:num>
  <w:num w:numId="24">
    <w:abstractNumId w:val="3"/>
  </w:num>
  <w:num w:numId="25">
    <w:abstractNumId w:val="14"/>
  </w:num>
  <w:num w:numId="26">
    <w:abstractNumId w:val="2"/>
  </w:num>
  <w:num w:numId="27">
    <w:abstractNumId w:val="30"/>
  </w:num>
  <w:num w:numId="28">
    <w:abstractNumId w:val="8"/>
  </w:num>
  <w:num w:numId="29">
    <w:abstractNumId w:val="25"/>
  </w:num>
  <w:num w:numId="30">
    <w:abstractNumId w:val="11"/>
  </w:num>
  <w:num w:numId="31">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2D0"/>
    <w:rsid w:val="000114AB"/>
    <w:rsid w:val="00030F11"/>
    <w:rsid w:val="00032D1E"/>
    <w:rsid w:val="00044C84"/>
    <w:rsid w:val="000512C7"/>
    <w:rsid w:val="000512D0"/>
    <w:rsid w:val="000741DE"/>
    <w:rsid w:val="00092C2D"/>
    <w:rsid w:val="00093715"/>
    <w:rsid w:val="00095287"/>
    <w:rsid w:val="000A0AB8"/>
    <w:rsid w:val="000D4978"/>
    <w:rsid w:val="000D5AD2"/>
    <w:rsid w:val="000D6D8D"/>
    <w:rsid w:val="000D7898"/>
    <w:rsid w:val="000E2C0A"/>
    <w:rsid w:val="000F014C"/>
    <w:rsid w:val="000F2CD1"/>
    <w:rsid w:val="00120974"/>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3B87"/>
    <w:rsid w:val="002C44C5"/>
    <w:rsid w:val="002C62D4"/>
    <w:rsid w:val="002E4998"/>
    <w:rsid w:val="002E797A"/>
    <w:rsid w:val="002F52BF"/>
    <w:rsid w:val="00313319"/>
    <w:rsid w:val="00320EC0"/>
    <w:rsid w:val="003218F0"/>
    <w:rsid w:val="0032736F"/>
    <w:rsid w:val="00331F6E"/>
    <w:rsid w:val="003425A0"/>
    <w:rsid w:val="00347D74"/>
    <w:rsid w:val="00374C0C"/>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6F7D56"/>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A1047"/>
    <w:rsid w:val="008B0761"/>
    <w:rsid w:val="008B281A"/>
    <w:rsid w:val="008C387A"/>
    <w:rsid w:val="008C4A2D"/>
    <w:rsid w:val="008C5299"/>
    <w:rsid w:val="008C6D74"/>
    <w:rsid w:val="008F1EFC"/>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08E7"/>
    <w:rsid w:val="00A52FD7"/>
    <w:rsid w:val="00A62CAA"/>
    <w:rsid w:val="00A70959"/>
    <w:rsid w:val="00A736F9"/>
    <w:rsid w:val="00A80B06"/>
    <w:rsid w:val="00AA1E5D"/>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A4D8A"/>
    <w:rsid w:val="00BB02C1"/>
    <w:rsid w:val="00BB364D"/>
    <w:rsid w:val="00BB3B7F"/>
    <w:rsid w:val="00BE7058"/>
    <w:rsid w:val="00BF03A4"/>
    <w:rsid w:val="00BF41A1"/>
    <w:rsid w:val="00BF4CD2"/>
    <w:rsid w:val="00C03BCC"/>
    <w:rsid w:val="00C20CBC"/>
    <w:rsid w:val="00C425DD"/>
    <w:rsid w:val="00C42CAE"/>
    <w:rsid w:val="00C46402"/>
    <w:rsid w:val="00C46508"/>
    <w:rsid w:val="00C76281"/>
    <w:rsid w:val="00C86340"/>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14C5"/>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DA867"/>
  <w15:docId w15:val="{D0806843-61B2-4CDE-9FEF-05E5A5C84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2D0"/>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qanoon.om/p/1997/rd1997032/" TargetMode="External"/><Relationship Id="rId13" Type="http://schemas.openxmlformats.org/officeDocument/2006/relationships/hyperlink" Target="https://bit.ly/3aQLFQR" TargetMode="External"/><Relationship Id="rId3" Type="http://schemas.openxmlformats.org/officeDocument/2006/relationships/hyperlink" Target="https://data.qanoon.om/ar/rd/1999/1999-066.pdf" TargetMode="External"/><Relationship Id="rId7" Type="http://schemas.openxmlformats.org/officeDocument/2006/relationships/hyperlink" Target="https://endcorporalpunishment.org/wp-content/uploads/country-reports/Oman_AR.pdf" TargetMode="External"/><Relationship Id="rId12" Type="http://schemas.openxmlformats.org/officeDocument/2006/relationships/hyperlink" Target="https://bit.ly/3p2fcfC" TargetMode="External"/><Relationship Id="rId2" Type="http://schemas.openxmlformats.org/officeDocument/2006/relationships/hyperlink" Target="https://data.qanoon.om/ar/rd/2021/2021-006.pdf" TargetMode="External"/><Relationship Id="rId1" Type="http://schemas.openxmlformats.org/officeDocument/2006/relationships/hyperlink" Target="https://tbinternet.ohchr.org/_layouts/15/treatybodyexternal/Download.aspx?symbolno=CRC%2fC%2fOMN%2fCO%2f3-4&amp;Lang=en" TargetMode="External"/><Relationship Id="rId6" Type="http://schemas.openxmlformats.org/officeDocument/2006/relationships/hyperlink" Target="https://bit.ly/3pbpH09" TargetMode="External"/><Relationship Id="rId11" Type="http://schemas.openxmlformats.org/officeDocument/2006/relationships/hyperlink" Target="https://data.qanoon.om/ar/rd/2014/2014-038.pdf" TargetMode="External"/><Relationship Id="rId5" Type="http://schemas.openxmlformats.org/officeDocument/2006/relationships/hyperlink" Target="https://bit.ly/3aZacn8" TargetMode="External"/><Relationship Id="rId10" Type="http://schemas.openxmlformats.org/officeDocument/2006/relationships/hyperlink" Target="https://bit.ly/3d3JlZw" TargetMode="External"/><Relationship Id="rId4" Type="http://schemas.openxmlformats.org/officeDocument/2006/relationships/hyperlink" Target="https://bit.ly/2LG0NYM" TargetMode="External"/><Relationship Id="rId9" Type="http://schemas.openxmlformats.org/officeDocument/2006/relationships/hyperlink" Target="https://bbc.in/2OpJfRQ" TargetMode="External"/><Relationship Id="rId14" Type="http://schemas.openxmlformats.org/officeDocument/2006/relationships/hyperlink" Target="https://www.eremnews.com/news/5098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R\&#1588;&#1594;&#1604;%202021\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327F4-44A9-447A-A9B5-7D27A033D838}">
  <ds:schemaRefs>
    <ds:schemaRef ds:uri="http://schemas.openxmlformats.org/officeDocument/2006/bibliography"/>
  </ds:schemaRefs>
</ds:datastoreItem>
</file>

<file path=customXml/itemProps2.xml><?xml version="1.0" encoding="utf-8"?>
<ds:datastoreItem xmlns:ds="http://schemas.openxmlformats.org/officeDocument/2006/customXml" ds:itemID="{F2779921-C6E5-404E-B03D-979BA8AF61A7}"/>
</file>

<file path=customXml/itemProps3.xml><?xml version="1.0" encoding="utf-8"?>
<ds:datastoreItem xmlns:ds="http://schemas.openxmlformats.org/officeDocument/2006/customXml" ds:itemID="{1180DF1F-792C-471D-ABFC-B7C36BFBD611}"/>
</file>

<file path=customXml/itemProps4.xml><?xml version="1.0" encoding="utf-8"?>
<ds:datastoreItem xmlns:ds="http://schemas.openxmlformats.org/officeDocument/2006/customXml" ds:itemID="{0EDDC0AB-C546-4BE7-A5A4-4E6C62CA944F}"/>
</file>

<file path=docProps/app.xml><?xml version="1.0" encoding="utf-8"?>
<Properties xmlns="http://schemas.openxmlformats.org/officeDocument/2006/extended-properties" xmlns:vt="http://schemas.openxmlformats.org/officeDocument/2006/docPropsVTypes">
  <Template>Maat Letterhead</Template>
  <TotalTime>61</TotalTime>
  <Pages>6</Pages>
  <Words>1762</Words>
  <Characters>10048</Characters>
  <Application>Microsoft Office Word</Application>
  <DocSecurity>0</DocSecurity>
  <Lines>83</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11787</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sherif</cp:lastModifiedBy>
  <cp:revision>2</cp:revision>
  <cp:lastPrinted>2016-03-27T18:28:00Z</cp:lastPrinted>
  <dcterms:created xsi:type="dcterms:W3CDTF">2021-02-13T11:21:00Z</dcterms:created>
  <dcterms:modified xsi:type="dcterms:W3CDTF">2021-02-13T12:37:00Z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