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635F" w:rsidRDefault="00501056">
      <w:pPr>
        <w:pStyle w:val="BodyText"/>
        <w:ind w:left="1033"/>
        <w:rPr>
          <w:rFonts w:ascii="Times New Roman"/>
          <w:sz w:val="20"/>
        </w:rPr>
      </w:pPr>
      <w:r>
        <w:rPr>
          <w:rFonts w:ascii="Times New Roman"/>
          <w:noProof/>
          <w:sz w:val="20"/>
          <w:lang w:val="en-GB" w:eastAsia="en-GB"/>
        </w:rPr>
        <w:drawing>
          <wp:inline distT="0" distB="0" distL="0" distR="0">
            <wp:extent cx="5175094" cy="1078992"/>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5175094" cy="1078992"/>
                    </a:xfrm>
                    <a:prstGeom prst="rect">
                      <a:avLst/>
                    </a:prstGeom>
                  </pic:spPr>
                </pic:pic>
              </a:graphicData>
            </a:graphic>
          </wp:inline>
        </w:drawing>
      </w:r>
    </w:p>
    <w:p w:rsidR="0083635F" w:rsidRDefault="0083635F">
      <w:pPr>
        <w:pStyle w:val="BodyText"/>
        <w:rPr>
          <w:rFonts w:ascii="Times New Roman"/>
          <w:sz w:val="20"/>
        </w:rPr>
      </w:pPr>
    </w:p>
    <w:p w:rsidR="0083635F" w:rsidRDefault="0083635F">
      <w:pPr>
        <w:pStyle w:val="BodyText"/>
        <w:spacing w:before="6"/>
        <w:rPr>
          <w:rFonts w:ascii="Times New Roman"/>
          <w:sz w:val="29"/>
        </w:rPr>
      </w:pPr>
    </w:p>
    <w:p w:rsidR="0083635F" w:rsidRDefault="00501056">
      <w:pPr>
        <w:pStyle w:val="Heading1"/>
        <w:spacing w:before="94" w:line="276" w:lineRule="auto"/>
        <w:ind w:right="1777"/>
      </w:pPr>
      <w:bookmarkStart w:id="0" w:name="_GoBack"/>
      <w:r>
        <w:t>ALTERNATE REPORT FROM CIVIL SOCIETY ORGANIZATIONS DOMINICAN REPUBLIC</w:t>
      </w:r>
    </w:p>
    <w:bookmarkEnd w:id="0"/>
    <w:p w:rsidR="0083635F" w:rsidRDefault="0083635F">
      <w:pPr>
        <w:pStyle w:val="BodyText"/>
        <w:spacing w:before="2"/>
        <w:rPr>
          <w:b/>
          <w:sz w:val="25"/>
        </w:rPr>
      </w:pPr>
    </w:p>
    <w:p w:rsidR="0083635F" w:rsidRDefault="00501056">
      <w:pPr>
        <w:spacing w:line="278" w:lineRule="auto"/>
        <w:ind w:left="846" w:right="771"/>
        <w:jc w:val="center"/>
        <w:rPr>
          <w:b/>
        </w:rPr>
      </w:pPr>
      <w:r>
        <w:rPr>
          <w:b/>
        </w:rPr>
        <w:t>On the occasion of the presentation of the 8th Report of the Dominican State to the Committee on the Elimination of All Forms of Discrimination against Women</w:t>
      </w:r>
    </w:p>
    <w:p w:rsidR="0083635F" w:rsidRDefault="0083635F">
      <w:pPr>
        <w:pStyle w:val="BodyText"/>
        <w:spacing w:before="10"/>
        <w:rPr>
          <w:b/>
          <w:sz w:val="24"/>
        </w:rPr>
      </w:pPr>
    </w:p>
    <w:p w:rsidR="0083635F" w:rsidRDefault="00501056">
      <w:pPr>
        <w:ind w:left="1845" w:right="1771"/>
        <w:jc w:val="center"/>
        <w:rPr>
          <w:b/>
        </w:rPr>
      </w:pPr>
      <w:r>
        <w:rPr>
          <w:b/>
        </w:rPr>
        <w:t>-CEDAW-</w:t>
      </w:r>
    </w:p>
    <w:p w:rsidR="0083635F" w:rsidRDefault="0083635F">
      <w:pPr>
        <w:pStyle w:val="BodyText"/>
        <w:rPr>
          <w:b/>
          <w:sz w:val="20"/>
        </w:rPr>
      </w:pPr>
    </w:p>
    <w:p w:rsidR="0083635F" w:rsidRDefault="00501056">
      <w:pPr>
        <w:pStyle w:val="BodyText"/>
        <w:spacing w:before="8"/>
        <w:rPr>
          <w:b/>
          <w:sz w:val="29"/>
        </w:rPr>
      </w:pPr>
      <w:r>
        <w:rPr>
          <w:noProof/>
          <w:lang w:val="en-GB" w:eastAsia="en-GB"/>
        </w:rPr>
        <w:drawing>
          <wp:anchor distT="0" distB="0" distL="0" distR="0" simplePos="0" relativeHeight="251658240" behindDoc="0" locked="0" layoutInCell="1" allowOverlap="1">
            <wp:simplePos x="0" y="0"/>
            <wp:positionH relativeFrom="page">
              <wp:posOffset>1265427</wp:posOffset>
            </wp:positionH>
            <wp:positionV relativeFrom="paragraph">
              <wp:posOffset>242173</wp:posOffset>
            </wp:positionV>
            <wp:extent cx="5269947" cy="2618803"/>
            <wp:effectExtent l="0" t="0" r="0" b="0"/>
            <wp:wrapTopAndBottom/>
            <wp:docPr id="3" name="image2.jpeg" descr="C:\Users\lbreton\OneDrive - Plan International\Pictures\77070585_10158017430612650_1814808890139738112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5269947" cy="2618803"/>
                    </a:xfrm>
                    <a:prstGeom prst="rect">
                      <a:avLst/>
                    </a:prstGeom>
                  </pic:spPr>
                </pic:pic>
              </a:graphicData>
            </a:graphic>
          </wp:anchor>
        </w:drawing>
      </w:r>
    </w:p>
    <w:p w:rsidR="0083635F" w:rsidRDefault="0083635F">
      <w:pPr>
        <w:pStyle w:val="BodyText"/>
        <w:rPr>
          <w:b/>
          <w:sz w:val="24"/>
        </w:rPr>
      </w:pPr>
    </w:p>
    <w:p w:rsidR="0083635F" w:rsidRDefault="0083635F">
      <w:pPr>
        <w:pStyle w:val="BodyText"/>
        <w:rPr>
          <w:b/>
          <w:sz w:val="24"/>
        </w:rPr>
      </w:pPr>
    </w:p>
    <w:p w:rsidR="0083635F" w:rsidRDefault="0083635F">
      <w:pPr>
        <w:pStyle w:val="BodyText"/>
        <w:spacing w:before="8"/>
        <w:rPr>
          <w:b/>
          <w:sz w:val="21"/>
        </w:rPr>
      </w:pPr>
    </w:p>
    <w:p w:rsidR="0083635F" w:rsidRDefault="00501056">
      <w:pPr>
        <w:spacing w:line="278" w:lineRule="auto"/>
        <w:ind w:left="4116" w:right="4024" w:firstLine="540"/>
        <w:rPr>
          <w:b/>
        </w:rPr>
      </w:pPr>
      <w:r>
        <w:rPr>
          <w:b/>
        </w:rPr>
        <w:lastRenderedPageBreak/>
        <w:t>June 2020 Geneva, Switzerland</w:t>
      </w:r>
    </w:p>
    <w:p w:rsidR="0083635F" w:rsidRDefault="0083635F">
      <w:pPr>
        <w:pStyle w:val="BodyText"/>
        <w:rPr>
          <w:b/>
          <w:sz w:val="20"/>
        </w:rPr>
      </w:pPr>
    </w:p>
    <w:p w:rsidR="0083635F" w:rsidRDefault="00501056">
      <w:pPr>
        <w:pStyle w:val="BodyText"/>
        <w:spacing w:before="6"/>
        <w:rPr>
          <w:b/>
          <w:sz w:val="15"/>
        </w:rPr>
      </w:pPr>
      <w:r>
        <w:rPr>
          <w:noProof/>
          <w:lang w:val="en-GB" w:eastAsia="en-GB"/>
        </w:rPr>
        <w:drawing>
          <wp:anchor distT="0" distB="0" distL="0" distR="0" simplePos="0" relativeHeight="251659264" behindDoc="0" locked="0" layoutInCell="1" allowOverlap="1">
            <wp:simplePos x="0" y="0"/>
            <wp:positionH relativeFrom="page">
              <wp:posOffset>1016000</wp:posOffset>
            </wp:positionH>
            <wp:positionV relativeFrom="paragraph">
              <wp:posOffset>138161</wp:posOffset>
            </wp:positionV>
            <wp:extent cx="638493" cy="671702"/>
            <wp:effectExtent l="0" t="0" r="0" b="0"/>
            <wp:wrapTopAndBottom/>
            <wp:docPr id="5" name="image3.jpeg" descr="Instituto Técnologico de Santo Domin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0" cstate="print"/>
                    <a:stretch>
                      <a:fillRect/>
                    </a:stretch>
                  </pic:blipFill>
                  <pic:spPr>
                    <a:xfrm>
                      <a:off x="0" y="0"/>
                      <a:ext cx="638493" cy="671702"/>
                    </a:xfrm>
                    <a:prstGeom prst="rect">
                      <a:avLst/>
                    </a:prstGeom>
                  </pic:spPr>
                </pic:pic>
              </a:graphicData>
            </a:graphic>
          </wp:anchor>
        </w:drawing>
      </w:r>
      <w:r>
        <w:rPr>
          <w:noProof/>
          <w:lang w:val="en-GB" w:eastAsia="en-GB"/>
        </w:rPr>
        <w:drawing>
          <wp:anchor distT="0" distB="0" distL="0" distR="0" simplePos="0" relativeHeight="2" behindDoc="0" locked="0" layoutInCell="1" allowOverlap="1">
            <wp:simplePos x="0" y="0"/>
            <wp:positionH relativeFrom="page">
              <wp:posOffset>2028739</wp:posOffset>
            </wp:positionH>
            <wp:positionV relativeFrom="paragraph">
              <wp:posOffset>333193</wp:posOffset>
            </wp:positionV>
            <wp:extent cx="832315" cy="394335"/>
            <wp:effectExtent l="0" t="0" r="0" b="0"/>
            <wp:wrapTopAndBottom/>
            <wp:docPr id="7" name="image4.png" descr="Archivo:Logo del Centro de Investigación parala Acción Femenin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1" cstate="print"/>
                    <a:stretch>
                      <a:fillRect/>
                    </a:stretch>
                  </pic:blipFill>
                  <pic:spPr>
                    <a:xfrm>
                      <a:off x="0" y="0"/>
                      <a:ext cx="832315" cy="394335"/>
                    </a:xfrm>
                    <a:prstGeom prst="rect">
                      <a:avLst/>
                    </a:prstGeom>
                  </pic:spPr>
                </pic:pic>
              </a:graphicData>
            </a:graphic>
          </wp:anchor>
        </w:drawing>
      </w:r>
      <w:r>
        <w:rPr>
          <w:noProof/>
          <w:lang w:val="en-GB" w:eastAsia="en-GB"/>
        </w:rPr>
        <w:drawing>
          <wp:anchor distT="0" distB="0" distL="0" distR="0" simplePos="0" relativeHeight="3" behindDoc="0" locked="0" layoutInCell="1" allowOverlap="1">
            <wp:simplePos x="0" y="0"/>
            <wp:positionH relativeFrom="page">
              <wp:posOffset>3184449</wp:posOffset>
            </wp:positionH>
            <wp:positionV relativeFrom="paragraph">
              <wp:posOffset>294869</wp:posOffset>
            </wp:positionV>
            <wp:extent cx="671409" cy="486156"/>
            <wp:effectExtent l="0" t="0" r="0" b="0"/>
            <wp:wrapTopAndBottom/>
            <wp:docPr id="9" name="image5.png" descr="C:\Users\lbreton\Downloads\LOGO F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2" cstate="print"/>
                    <a:stretch>
                      <a:fillRect/>
                    </a:stretch>
                  </pic:blipFill>
                  <pic:spPr>
                    <a:xfrm>
                      <a:off x="0" y="0"/>
                      <a:ext cx="671409" cy="486156"/>
                    </a:xfrm>
                    <a:prstGeom prst="rect">
                      <a:avLst/>
                    </a:prstGeom>
                  </pic:spPr>
                </pic:pic>
              </a:graphicData>
            </a:graphic>
          </wp:anchor>
        </w:drawing>
      </w:r>
      <w:r>
        <w:rPr>
          <w:noProof/>
          <w:lang w:val="en-GB" w:eastAsia="en-GB"/>
        </w:rPr>
        <w:drawing>
          <wp:anchor distT="0" distB="0" distL="0" distR="0" simplePos="0" relativeHeight="4" behindDoc="0" locked="0" layoutInCell="1" allowOverlap="1">
            <wp:simplePos x="0" y="0"/>
            <wp:positionH relativeFrom="page">
              <wp:posOffset>4207509</wp:posOffset>
            </wp:positionH>
            <wp:positionV relativeFrom="paragraph">
              <wp:posOffset>324851</wp:posOffset>
            </wp:positionV>
            <wp:extent cx="1143505" cy="430530"/>
            <wp:effectExtent l="0" t="0" r="0" b="0"/>
            <wp:wrapTopAndBottom/>
            <wp:docPr id="11" name="image6.png" descr="C:\Users\lbreton\Downloads\PI_Logo_RGB_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3" cstate="print"/>
                    <a:stretch>
                      <a:fillRect/>
                    </a:stretch>
                  </pic:blipFill>
                  <pic:spPr>
                    <a:xfrm>
                      <a:off x="0" y="0"/>
                      <a:ext cx="1143505" cy="430530"/>
                    </a:xfrm>
                    <a:prstGeom prst="rect">
                      <a:avLst/>
                    </a:prstGeom>
                  </pic:spPr>
                </pic:pic>
              </a:graphicData>
            </a:graphic>
          </wp:anchor>
        </w:drawing>
      </w:r>
      <w:r>
        <w:rPr>
          <w:noProof/>
          <w:lang w:val="en-GB" w:eastAsia="en-GB"/>
        </w:rPr>
        <w:drawing>
          <wp:anchor distT="0" distB="0" distL="0" distR="0" simplePos="0" relativeHeight="5" behindDoc="0" locked="0" layoutInCell="1" allowOverlap="1">
            <wp:simplePos x="0" y="0"/>
            <wp:positionH relativeFrom="page">
              <wp:posOffset>5588000</wp:posOffset>
            </wp:positionH>
            <wp:positionV relativeFrom="paragraph">
              <wp:posOffset>320406</wp:posOffset>
            </wp:positionV>
            <wp:extent cx="1215213" cy="398144"/>
            <wp:effectExtent l="0" t="0" r="0" b="0"/>
            <wp:wrapTopAndBottom/>
            <wp:docPr id="13" name="image7.jpeg" descr="C:\Users\lbreton\Downloads\LOGO PROFAMIL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4" cstate="print"/>
                    <a:stretch>
                      <a:fillRect/>
                    </a:stretch>
                  </pic:blipFill>
                  <pic:spPr>
                    <a:xfrm>
                      <a:off x="0" y="0"/>
                      <a:ext cx="1215213" cy="398144"/>
                    </a:xfrm>
                    <a:prstGeom prst="rect">
                      <a:avLst/>
                    </a:prstGeom>
                  </pic:spPr>
                </pic:pic>
              </a:graphicData>
            </a:graphic>
          </wp:anchor>
        </w:drawing>
      </w:r>
    </w:p>
    <w:p w:rsidR="0083635F" w:rsidRDefault="0083635F">
      <w:pPr>
        <w:rPr>
          <w:sz w:val="15"/>
        </w:rPr>
        <w:sectPr w:rsidR="0083635F">
          <w:type w:val="continuous"/>
          <w:pgSz w:w="12240" w:h="15840"/>
          <w:pgMar w:top="860" w:right="960" w:bottom="280" w:left="980" w:header="720" w:footer="720" w:gutter="0"/>
          <w:cols w:space="720"/>
        </w:sectPr>
      </w:pPr>
    </w:p>
    <w:p w:rsidR="0083635F" w:rsidRDefault="00501056">
      <w:pPr>
        <w:spacing w:before="75"/>
        <w:ind w:left="1845" w:right="1776"/>
        <w:jc w:val="center"/>
        <w:rPr>
          <w:b/>
        </w:rPr>
      </w:pPr>
      <w:r>
        <w:rPr>
          <w:b/>
          <w:u w:val="thick"/>
        </w:rPr>
        <w:lastRenderedPageBreak/>
        <w:t>COORDINATION AND EDITING</w:t>
      </w:r>
    </w:p>
    <w:p w:rsidR="0083635F" w:rsidRDefault="00501056">
      <w:pPr>
        <w:pStyle w:val="BodyText"/>
        <w:spacing w:before="37"/>
        <w:ind w:left="146"/>
        <w:jc w:val="center"/>
      </w:pPr>
      <w:r>
        <w:t>-</w:t>
      </w:r>
    </w:p>
    <w:p w:rsidR="0083635F" w:rsidRDefault="00501056">
      <w:pPr>
        <w:pStyle w:val="ListParagraph"/>
        <w:numPr>
          <w:ilvl w:val="0"/>
          <w:numId w:val="6"/>
        </w:numPr>
        <w:tabs>
          <w:tab w:val="left" w:pos="912"/>
        </w:tabs>
        <w:spacing w:before="38" w:line="276" w:lineRule="auto"/>
      </w:pPr>
      <w:r>
        <w:rPr>
          <w:b/>
        </w:rPr>
        <w:t>LATIN AMERICAN AND CARIBBEAN COMMITTEE FOR THE DEFENSE OF WOMEN'S RIGHTS - DOMINICAN REPUBLIC</w:t>
      </w:r>
      <w:r>
        <w:rPr>
          <w:b/>
          <w:color w:val="0462C1"/>
        </w:rPr>
        <w:t xml:space="preserve"> </w:t>
      </w:r>
      <w:hyperlink r:id="rId15">
        <w:r>
          <w:rPr>
            <w:b/>
            <w:color w:val="0462C1"/>
            <w:u w:val="thick" w:color="0462C1"/>
          </w:rPr>
          <w:t>(CLADEM-DR)</w:t>
        </w:r>
      </w:hyperlink>
      <w:r>
        <w:rPr>
          <w:b/>
        </w:rPr>
        <w:t xml:space="preserve">: </w:t>
      </w:r>
      <w:r>
        <w:t>regional network that articulates women and</w:t>
      </w:r>
      <w:r>
        <w:rPr>
          <w:spacing w:val="-4"/>
        </w:rPr>
        <w:t xml:space="preserve"> </w:t>
      </w:r>
      <w:r>
        <w:t>organizations</w:t>
      </w:r>
      <w:r>
        <w:rPr>
          <w:spacing w:val="-3"/>
        </w:rPr>
        <w:t xml:space="preserve"> </w:t>
      </w:r>
      <w:r>
        <w:t>that,</w:t>
      </w:r>
      <w:r>
        <w:rPr>
          <w:spacing w:val="-4"/>
        </w:rPr>
        <w:t xml:space="preserve"> </w:t>
      </w:r>
      <w:r>
        <w:t>from</w:t>
      </w:r>
      <w:r>
        <w:rPr>
          <w:spacing w:val="-2"/>
        </w:rPr>
        <w:t xml:space="preserve"> </w:t>
      </w:r>
      <w:r>
        <w:t>a</w:t>
      </w:r>
      <w:r>
        <w:rPr>
          <w:spacing w:val="-6"/>
        </w:rPr>
        <w:t xml:space="preserve"> </w:t>
      </w:r>
      <w:r>
        <w:t>socio-legal</w:t>
      </w:r>
      <w:r>
        <w:rPr>
          <w:spacing w:val="-6"/>
        </w:rPr>
        <w:t xml:space="preserve"> </w:t>
      </w:r>
      <w:r>
        <w:t>feminist</w:t>
      </w:r>
      <w:r>
        <w:rPr>
          <w:spacing w:val="-4"/>
        </w:rPr>
        <w:t xml:space="preserve"> </w:t>
      </w:r>
      <w:r>
        <w:t>approach,</w:t>
      </w:r>
      <w:r>
        <w:rPr>
          <w:spacing w:val="-2"/>
        </w:rPr>
        <w:t xml:space="preserve"> </w:t>
      </w:r>
      <w:r>
        <w:t>seek</w:t>
      </w:r>
      <w:r>
        <w:rPr>
          <w:spacing w:val="-3"/>
        </w:rPr>
        <w:t xml:space="preserve"> </w:t>
      </w:r>
      <w:r>
        <w:t>social</w:t>
      </w:r>
      <w:r>
        <w:rPr>
          <w:spacing w:val="-5"/>
        </w:rPr>
        <w:t xml:space="preserve"> </w:t>
      </w:r>
      <w:r>
        <w:t>transformation</w:t>
      </w:r>
      <w:r>
        <w:rPr>
          <w:spacing w:val="-3"/>
        </w:rPr>
        <w:t xml:space="preserve"> </w:t>
      </w:r>
      <w:r>
        <w:t>and</w:t>
      </w:r>
      <w:r>
        <w:rPr>
          <w:spacing w:val="-5"/>
        </w:rPr>
        <w:t xml:space="preserve"> </w:t>
      </w:r>
      <w:r>
        <w:t>the construction of radical democracies, for the full exercise and enjoyment of human rights by all women.</w:t>
      </w:r>
    </w:p>
    <w:p w:rsidR="0083635F" w:rsidRDefault="0083635F">
      <w:pPr>
        <w:pStyle w:val="BodyText"/>
        <w:spacing w:before="8"/>
        <w:rPr>
          <w:sz w:val="26"/>
        </w:rPr>
      </w:pPr>
    </w:p>
    <w:p w:rsidR="0083635F" w:rsidRDefault="00501056">
      <w:pPr>
        <w:pStyle w:val="Heading1"/>
        <w:ind w:right="1768"/>
      </w:pPr>
      <w:r>
        <w:rPr>
          <w:u w:val="thick"/>
        </w:rPr>
        <w:t>PARTNER ORGANISATIONS</w:t>
      </w:r>
    </w:p>
    <w:p w:rsidR="0083635F" w:rsidRDefault="0083635F">
      <w:pPr>
        <w:pStyle w:val="BodyText"/>
        <w:spacing w:before="4"/>
        <w:rPr>
          <w:b/>
          <w:sz w:val="20"/>
        </w:rPr>
      </w:pPr>
    </w:p>
    <w:p w:rsidR="0083635F" w:rsidRDefault="00187B33">
      <w:pPr>
        <w:pStyle w:val="ListParagraph"/>
        <w:numPr>
          <w:ilvl w:val="0"/>
          <w:numId w:val="6"/>
        </w:numPr>
        <w:tabs>
          <w:tab w:val="left" w:pos="912"/>
        </w:tabs>
        <w:spacing w:before="94" w:line="280" w:lineRule="auto"/>
      </w:pPr>
      <w:hyperlink r:id="rId16">
        <w:r w:rsidR="00501056">
          <w:rPr>
            <w:b/>
          </w:rPr>
          <w:t>CENTRO</w:t>
        </w:r>
      </w:hyperlink>
      <w:r w:rsidR="00501056">
        <w:rPr>
          <w:b/>
        </w:rPr>
        <w:t xml:space="preserve"> DE ESTUDIOS DE GÉNERO DE INTEC</w:t>
      </w:r>
      <w:hyperlink r:id="rId17">
        <w:r w:rsidR="00501056">
          <w:rPr>
            <w:b/>
            <w:color w:val="0462C1"/>
          </w:rPr>
          <w:t xml:space="preserve"> </w:t>
        </w:r>
        <w:r w:rsidR="00501056">
          <w:rPr>
            <w:b/>
            <w:color w:val="0462C1"/>
            <w:u w:val="thick" w:color="0462C1"/>
          </w:rPr>
          <w:t>(CEG-INTEC):</w:t>
        </w:r>
      </w:hyperlink>
      <w:r w:rsidR="00501056">
        <w:rPr>
          <w:b/>
          <w:color w:val="0462C1"/>
        </w:rPr>
        <w:t xml:space="preserve"> </w:t>
      </w:r>
      <w:r w:rsidR="00501056">
        <w:t>organization dedicated to higher education, research and public policy advocacy from a gender</w:t>
      </w:r>
      <w:r w:rsidR="00501056">
        <w:rPr>
          <w:spacing w:val="-12"/>
        </w:rPr>
        <w:t xml:space="preserve"> </w:t>
      </w:r>
      <w:r w:rsidR="00501056">
        <w:t>perspective.</w:t>
      </w:r>
    </w:p>
    <w:p w:rsidR="0083635F" w:rsidRDefault="00501056" w:rsidP="008D3E70">
      <w:pPr>
        <w:pStyle w:val="ListParagraph"/>
        <w:numPr>
          <w:ilvl w:val="0"/>
          <w:numId w:val="6"/>
        </w:numPr>
        <w:tabs>
          <w:tab w:val="left" w:pos="911"/>
          <w:tab w:val="left" w:pos="912"/>
        </w:tabs>
        <w:spacing w:before="37" w:line="278" w:lineRule="auto"/>
        <w:ind w:right="123" w:hanging="361"/>
        <w:jc w:val="left"/>
      </w:pPr>
      <w:r w:rsidRPr="008D3E70">
        <w:rPr>
          <w:b/>
        </w:rPr>
        <w:t>CENTRO</w:t>
      </w:r>
      <w:r w:rsidRPr="008D3E70">
        <w:rPr>
          <w:b/>
          <w:spacing w:val="16"/>
        </w:rPr>
        <w:t xml:space="preserve"> </w:t>
      </w:r>
      <w:r w:rsidRPr="008D3E70">
        <w:rPr>
          <w:b/>
        </w:rPr>
        <w:t>DE</w:t>
      </w:r>
      <w:r w:rsidRPr="008D3E70">
        <w:rPr>
          <w:b/>
          <w:spacing w:val="13"/>
        </w:rPr>
        <w:t xml:space="preserve"> </w:t>
      </w:r>
      <w:r w:rsidRPr="008D3E70">
        <w:rPr>
          <w:b/>
        </w:rPr>
        <w:t>INVESTIGACIÓN</w:t>
      </w:r>
      <w:r w:rsidRPr="008D3E70">
        <w:rPr>
          <w:b/>
          <w:spacing w:val="15"/>
        </w:rPr>
        <w:t xml:space="preserve"> </w:t>
      </w:r>
      <w:r w:rsidRPr="008D3E70">
        <w:rPr>
          <w:b/>
        </w:rPr>
        <w:t>PARA</w:t>
      </w:r>
      <w:r w:rsidRPr="008D3E70">
        <w:rPr>
          <w:b/>
          <w:spacing w:val="8"/>
        </w:rPr>
        <w:t xml:space="preserve"> </w:t>
      </w:r>
      <w:r w:rsidRPr="008D3E70">
        <w:rPr>
          <w:b/>
        </w:rPr>
        <w:t>LA</w:t>
      </w:r>
      <w:r w:rsidRPr="008D3E70">
        <w:rPr>
          <w:b/>
          <w:spacing w:val="15"/>
        </w:rPr>
        <w:t xml:space="preserve"> </w:t>
      </w:r>
      <w:r w:rsidRPr="008D3E70">
        <w:rPr>
          <w:b/>
        </w:rPr>
        <w:t>ACCIÓN</w:t>
      </w:r>
      <w:r w:rsidRPr="008D3E70">
        <w:rPr>
          <w:b/>
          <w:spacing w:val="15"/>
        </w:rPr>
        <w:t xml:space="preserve"> </w:t>
      </w:r>
      <w:r w:rsidRPr="008D3E70">
        <w:rPr>
          <w:b/>
        </w:rPr>
        <w:t>FEMENINA</w:t>
      </w:r>
      <w:r w:rsidRPr="008D3E70">
        <w:rPr>
          <w:b/>
          <w:color w:val="0462C1"/>
          <w:spacing w:val="9"/>
        </w:rPr>
        <w:t xml:space="preserve"> </w:t>
      </w:r>
      <w:hyperlink r:id="rId18">
        <w:r w:rsidRPr="008D3E70">
          <w:rPr>
            <w:b/>
            <w:color w:val="0462C1"/>
            <w:u w:val="thick" w:color="0462C1"/>
          </w:rPr>
          <w:t>(CIPAF</w:t>
        </w:r>
      </w:hyperlink>
      <w:r w:rsidRPr="008D3E70">
        <w:rPr>
          <w:b/>
        </w:rPr>
        <w:t>):</w:t>
      </w:r>
      <w:r w:rsidRPr="008D3E70">
        <w:rPr>
          <w:b/>
          <w:spacing w:val="16"/>
        </w:rPr>
        <w:t xml:space="preserve"> </w:t>
      </w:r>
      <w:r w:rsidRPr="008D3E70">
        <w:t>founded</w:t>
      </w:r>
      <w:r w:rsidRPr="008D3E70">
        <w:rPr>
          <w:spacing w:val="13"/>
        </w:rPr>
        <w:t xml:space="preserve"> </w:t>
      </w:r>
      <w:r w:rsidRPr="008D3E70">
        <w:t>in</w:t>
      </w:r>
      <w:r w:rsidRPr="008D3E70">
        <w:rPr>
          <w:spacing w:val="16"/>
        </w:rPr>
        <w:t xml:space="preserve"> </w:t>
      </w:r>
      <w:r w:rsidRPr="008D3E70">
        <w:t>1980</w:t>
      </w:r>
      <w:r w:rsidRPr="008D3E70">
        <w:rPr>
          <w:spacing w:val="14"/>
        </w:rPr>
        <w:t xml:space="preserve"> </w:t>
      </w:r>
      <w:r w:rsidRPr="008D3E70">
        <w:t>to</w:t>
      </w:r>
      <w:r w:rsidR="008D3E70" w:rsidRPr="008D3E70">
        <w:t xml:space="preserve"> c</w:t>
      </w:r>
      <w:r w:rsidR="008D3E70">
        <w:t>ontribute</w:t>
      </w:r>
      <w:r>
        <w:t xml:space="preserve"> to the integral development of </w:t>
      </w:r>
      <w:r w:rsidRPr="008D3E70">
        <w:rPr>
          <w:b/>
        </w:rPr>
        <w:t xml:space="preserve">women by </w:t>
      </w:r>
      <w:r>
        <w:t>promoting their participation in conditions of equality in all areas of the country's economic, social and political life.</w:t>
      </w:r>
    </w:p>
    <w:p w:rsidR="0083635F" w:rsidRDefault="00501056">
      <w:pPr>
        <w:pStyle w:val="ListParagraph"/>
        <w:numPr>
          <w:ilvl w:val="0"/>
          <w:numId w:val="6"/>
        </w:numPr>
        <w:tabs>
          <w:tab w:val="left" w:pos="912"/>
        </w:tabs>
        <w:spacing w:line="276" w:lineRule="auto"/>
        <w:ind w:right="118"/>
      </w:pPr>
      <w:r>
        <w:rPr>
          <w:b/>
        </w:rPr>
        <w:t>FRIEDRICH-EBERT-STIFTUNG</w:t>
      </w:r>
      <w:r>
        <w:rPr>
          <w:b/>
          <w:color w:val="0462C1"/>
        </w:rPr>
        <w:t xml:space="preserve"> </w:t>
      </w:r>
      <w:hyperlink r:id="rId19">
        <w:r>
          <w:rPr>
            <w:b/>
            <w:color w:val="0462C1"/>
            <w:u w:val="thick" w:color="0462C1"/>
          </w:rPr>
          <w:t>(FES):</w:t>
        </w:r>
      </w:hyperlink>
      <w:r>
        <w:rPr>
          <w:b/>
          <w:color w:val="0462C1"/>
        </w:rPr>
        <w:t xml:space="preserve"> </w:t>
      </w:r>
      <w:r>
        <w:t>working since 1979 in the Dominican Republic. It advocates for a more sustainable development model in terms of social inclusion, decent work and impact on the</w:t>
      </w:r>
      <w:r>
        <w:rPr>
          <w:spacing w:val="-3"/>
        </w:rPr>
        <w:t xml:space="preserve"> </w:t>
      </w:r>
      <w:r>
        <w:t>environment</w:t>
      </w:r>
    </w:p>
    <w:p w:rsidR="0083635F" w:rsidRDefault="00501056">
      <w:pPr>
        <w:pStyle w:val="ListParagraph"/>
        <w:numPr>
          <w:ilvl w:val="0"/>
          <w:numId w:val="6"/>
        </w:numPr>
        <w:tabs>
          <w:tab w:val="left" w:pos="912"/>
        </w:tabs>
        <w:spacing w:line="278" w:lineRule="auto"/>
      </w:pPr>
      <w:r>
        <w:rPr>
          <w:b/>
        </w:rPr>
        <w:t>PLAN INTERNATIONAL REPÚBLICA DOMINICANA</w:t>
      </w:r>
      <w:hyperlink r:id="rId20">
        <w:r>
          <w:rPr>
            <w:b/>
            <w:color w:val="0462C1"/>
            <w:u w:val="thick" w:color="0462C1"/>
          </w:rPr>
          <w:t xml:space="preserve"> (PLANRD):</w:t>
        </w:r>
        <w:r>
          <w:rPr>
            <w:b/>
            <w:color w:val="0462C1"/>
          </w:rPr>
          <w:t xml:space="preserve"> </w:t>
        </w:r>
      </w:hyperlink>
      <w:r>
        <w:t>working in the country since 1987, it is one of the most recognized international organizations in the promotion of children's rights.</w:t>
      </w:r>
    </w:p>
    <w:p w:rsidR="0083635F" w:rsidRDefault="00501056">
      <w:pPr>
        <w:pStyle w:val="ListParagraph"/>
        <w:numPr>
          <w:ilvl w:val="0"/>
          <w:numId w:val="6"/>
        </w:numPr>
        <w:tabs>
          <w:tab w:val="left" w:pos="912"/>
        </w:tabs>
        <w:spacing w:line="276" w:lineRule="auto"/>
        <w:ind w:right="114"/>
      </w:pPr>
      <w:r>
        <w:rPr>
          <w:b/>
        </w:rPr>
        <w:t>ASOCIACIÓN PRO BIENESTAR DE LA FAMILIA</w:t>
      </w:r>
      <w:r>
        <w:rPr>
          <w:b/>
          <w:color w:val="0462C1"/>
        </w:rPr>
        <w:t xml:space="preserve"> </w:t>
      </w:r>
      <w:hyperlink r:id="rId21">
        <w:r>
          <w:rPr>
            <w:b/>
            <w:color w:val="0462C1"/>
            <w:u w:val="thick" w:color="0462C1"/>
          </w:rPr>
          <w:t>(PROFAMILIA): a</w:t>
        </w:r>
        <w:r>
          <w:rPr>
            <w:b/>
            <w:color w:val="0462C1"/>
          </w:rPr>
          <w:t xml:space="preserve"> </w:t>
        </w:r>
      </w:hyperlink>
      <w:r>
        <w:t>pioneering organization in sexual and reproductive health services, founded in 1966 to promote and educate about the importance of</w:t>
      </w:r>
      <w:r>
        <w:rPr>
          <w:spacing w:val="1"/>
        </w:rPr>
        <w:t xml:space="preserve"> </w:t>
      </w:r>
      <w:r>
        <w:t>contraceptives.</w:t>
      </w:r>
    </w:p>
    <w:p w:rsidR="0083635F" w:rsidRDefault="0083635F">
      <w:pPr>
        <w:pStyle w:val="BodyText"/>
        <w:spacing w:before="9"/>
        <w:rPr>
          <w:sz w:val="19"/>
        </w:rPr>
      </w:pPr>
    </w:p>
    <w:p w:rsidR="0083635F" w:rsidRDefault="0083635F">
      <w:pPr>
        <w:rPr>
          <w:rFonts w:ascii="Calibri"/>
        </w:rPr>
        <w:sectPr w:rsidR="0083635F">
          <w:footerReference w:type="default" r:id="rId22"/>
          <w:pgSz w:w="12240" w:h="15840"/>
          <w:pgMar w:top="820" w:right="960" w:bottom="1180" w:left="980" w:header="0" w:footer="983" w:gutter="0"/>
          <w:pgNumType w:start="2"/>
          <w:cols w:space="720"/>
        </w:sectPr>
      </w:pPr>
    </w:p>
    <w:p w:rsidR="0083635F" w:rsidRDefault="00501056">
      <w:pPr>
        <w:pStyle w:val="Heading1"/>
        <w:spacing w:before="75"/>
        <w:ind w:right="1770"/>
      </w:pPr>
      <w:bookmarkStart w:id="1" w:name="_bookmark0"/>
      <w:bookmarkEnd w:id="1"/>
      <w:r>
        <w:rPr>
          <w:u w:val="thick"/>
        </w:rPr>
        <w:lastRenderedPageBreak/>
        <w:t>COUNTRY CONTEXT</w:t>
      </w:r>
    </w:p>
    <w:p w:rsidR="0083635F" w:rsidRDefault="0083635F">
      <w:pPr>
        <w:pStyle w:val="BodyText"/>
        <w:spacing w:before="8"/>
        <w:rPr>
          <w:b/>
          <w:sz w:val="28"/>
        </w:rPr>
      </w:pPr>
    </w:p>
    <w:p w:rsidR="0083635F" w:rsidRDefault="00501056">
      <w:pPr>
        <w:pStyle w:val="BodyText"/>
        <w:spacing w:line="276" w:lineRule="auto"/>
        <w:ind w:left="191" w:right="113"/>
        <w:jc w:val="both"/>
      </w:pPr>
      <w:r>
        <w:t>The Dominican Republic is one of the countries in the Latin American and Caribbean region that has experienced the highest rates of economic growth in the last 8 years, registering an average increase of 5.6% in GDP</w:t>
      </w:r>
      <w:r>
        <w:rPr>
          <w:vertAlign w:val="superscript"/>
        </w:rPr>
        <w:t>1</w:t>
      </w:r>
      <w:r>
        <w:t>. However, this economic growth has not meant social inclusion for large population groups, but on the contrary has had a differentiated impact for reasons of age, sex, disability, race, ethnicity,</w:t>
      </w:r>
      <w:r>
        <w:rPr>
          <w:spacing w:val="-9"/>
        </w:rPr>
        <w:t xml:space="preserve"> </w:t>
      </w:r>
      <w:r>
        <w:t>origin,</w:t>
      </w:r>
      <w:r>
        <w:rPr>
          <w:spacing w:val="-10"/>
        </w:rPr>
        <w:t xml:space="preserve"> </w:t>
      </w:r>
      <w:r>
        <w:t>or</w:t>
      </w:r>
      <w:r>
        <w:rPr>
          <w:spacing w:val="-10"/>
        </w:rPr>
        <w:t xml:space="preserve"> </w:t>
      </w:r>
      <w:r>
        <w:t>socioeconomic</w:t>
      </w:r>
      <w:r>
        <w:rPr>
          <w:spacing w:val="-11"/>
        </w:rPr>
        <w:t xml:space="preserve"> </w:t>
      </w:r>
      <w:r>
        <w:t>status,</w:t>
      </w:r>
      <w:r>
        <w:rPr>
          <w:spacing w:val="-10"/>
        </w:rPr>
        <w:t xml:space="preserve"> </w:t>
      </w:r>
      <w:r>
        <w:t>resulting</w:t>
      </w:r>
      <w:r>
        <w:rPr>
          <w:spacing w:val="-9"/>
        </w:rPr>
        <w:t xml:space="preserve"> </w:t>
      </w:r>
      <w:r>
        <w:t>in</w:t>
      </w:r>
      <w:r>
        <w:rPr>
          <w:spacing w:val="-9"/>
        </w:rPr>
        <w:t xml:space="preserve"> </w:t>
      </w:r>
      <w:r>
        <w:t>unequal</w:t>
      </w:r>
      <w:r>
        <w:rPr>
          <w:spacing w:val="-8"/>
        </w:rPr>
        <w:t xml:space="preserve"> </w:t>
      </w:r>
      <w:r>
        <w:t>conditions</w:t>
      </w:r>
      <w:r>
        <w:rPr>
          <w:spacing w:val="-9"/>
        </w:rPr>
        <w:t xml:space="preserve"> </w:t>
      </w:r>
      <w:r>
        <w:t>and</w:t>
      </w:r>
      <w:r>
        <w:rPr>
          <w:spacing w:val="-9"/>
        </w:rPr>
        <w:t xml:space="preserve"> </w:t>
      </w:r>
      <w:r>
        <w:t>access</w:t>
      </w:r>
      <w:r>
        <w:rPr>
          <w:spacing w:val="-13"/>
        </w:rPr>
        <w:t xml:space="preserve"> </w:t>
      </w:r>
      <w:r>
        <w:t>to</w:t>
      </w:r>
      <w:r>
        <w:rPr>
          <w:spacing w:val="-9"/>
        </w:rPr>
        <w:t xml:space="preserve"> </w:t>
      </w:r>
      <w:r>
        <w:t>opportunities</w:t>
      </w:r>
      <w:r>
        <w:rPr>
          <w:spacing w:val="-11"/>
        </w:rPr>
        <w:t xml:space="preserve"> </w:t>
      </w:r>
      <w:r>
        <w:t>for access</w:t>
      </w:r>
      <w:r>
        <w:rPr>
          <w:spacing w:val="-13"/>
        </w:rPr>
        <w:t xml:space="preserve"> </w:t>
      </w:r>
      <w:r>
        <w:t>to</w:t>
      </w:r>
      <w:r>
        <w:rPr>
          <w:spacing w:val="-14"/>
        </w:rPr>
        <w:t xml:space="preserve"> </w:t>
      </w:r>
      <w:r>
        <w:t>productive</w:t>
      </w:r>
      <w:r>
        <w:rPr>
          <w:spacing w:val="-11"/>
        </w:rPr>
        <w:t xml:space="preserve"> </w:t>
      </w:r>
      <w:r>
        <w:t>resources,</w:t>
      </w:r>
      <w:r>
        <w:rPr>
          <w:spacing w:val="-13"/>
        </w:rPr>
        <w:t xml:space="preserve"> </w:t>
      </w:r>
      <w:r>
        <w:t>development</w:t>
      </w:r>
      <w:r>
        <w:rPr>
          <w:spacing w:val="-12"/>
        </w:rPr>
        <w:t xml:space="preserve"> </w:t>
      </w:r>
      <w:r>
        <w:t>of</w:t>
      </w:r>
      <w:r>
        <w:rPr>
          <w:spacing w:val="-12"/>
        </w:rPr>
        <w:t xml:space="preserve"> </w:t>
      </w:r>
      <w:r>
        <w:t>skills,</w:t>
      </w:r>
      <w:r>
        <w:rPr>
          <w:spacing w:val="-12"/>
        </w:rPr>
        <w:t xml:space="preserve"> </w:t>
      </w:r>
      <w:r>
        <w:t>expression</w:t>
      </w:r>
      <w:r>
        <w:rPr>
          <w:spacing w:val="-12"/>
        </w:rPr>
        <w:t xml:space="preserve"> </w:t>
      </w:r>
      <w:r>
        <w:t>of</w:t>
      </w:r>
      <w:r>
        <w:rPr>
          <w:spacing w:val="-10"/>
        </w:rPr>
        <w:t xml:space="preserve"> </w:t>
      </w:r>
      <w:r>
        <w:t>voice</w:t>
      </w:r>
      <w:r>
        <w:rPr>
          <w:spacing w:val="-16"/>
        </w:rPr>
        <w:t xml:space="preserve"> </w:t>
      </w:r>
      <w:r>
        <w:t>and</w:t>
      </w:r>
      <w:r>
        <w:rPr>
          <w:spacing w:val="-11"/>
        </w:rPr>
        <w:t xml:space="preserve"> </w:t>
      </w:r>
      <w:r>
        <w:t>respect</w:t>
      </w:r>
      <w:r>
        <w:rPr>
          <w:spacing w:val="-15"/>
        </w:rPr>
        <w:t xml:space="preserve"> </w:t>
      </w:r>
      <w:r>
        <w:t>for</w:t>
      </w:r>
      <w:r>
        <w:rPr>
          <w:spacing w:val="-13"/>
        </w:rPr>
        <w:t xml:space="preserve"> </w:t>
      </w:r>
      <w:r>
        <w:t>individual</w:t>
      </w:r>
      <w:r>
        <w:rPr>
          <w:spacing w:val="-10"/>
        </w:rPr>
        <w:t xml:space="preserve"> </w:t>
      </w:r>
      <w:r>
        <w:t>and collective economic, social and cultural</w:t>
      </w:r>
      <w:r>
        <w:rPr>
          <w:spacing w:val="-1"/>
        </w:rPr>
        <w:t xml:space="preserve"> </w:t>
      </w:r>
      <w:r>
        <w:t>rights.</w:t>
      </w:r>
    </w:p>
    <w:p w:rsidR="0083635F" w:rsidRDefault="00472E45">
      <w:pPr>
        <w:pStyle w:val="BodyText"/>
        <w:spacing w:before="4"/>
        <w:rPr>
          <w:sz w:val="25"/>
        </w:rPr>
      </w:pPr>
      <w:r>
        <w:rPr>
          <w:noProof/>
          <w:lang w:val="en-GB" w:eastAsia="en-GB"/>
        </w:rPr>
        <w:drawing>
          <wp:anchor distT="0" distB="0" distL="114300" distR="114300" simplePos="0" relativeHeight="487603200" behindDoc="0" locked="0" layoutInCell="1" allowOverlap="1">
            <wp:simplePos x="0" y="0"/>
            <wp:positionH relativeFrom="column">
              <wp:posOffset>120650</wp:posOffset>
            </wp:positionH>
            <wp:positionV relativeFrom="paragraph">
              <wp:posOffset>54610</wp:posOffset>
            </wp:positionV>
            <wp:extent cx="2486025" cy="3762375"/>
            <wp:effectExtent l="0" t="0" r="9525" b="9525"/>
            <wp:wrapSquare wrapText="bothSides"/>
            <wp:docPr id="15" name="image8.jpeg" descr="C:\Users\lbreton\Downloads\WhatsApp Image 2020-07-23 at 6.06.4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486025" cy="3762375"/>
                    </a:xfrm>
                    <a:prstGeom prst="rect">
                      <a:avLst/>
                    </a:prstGeom>
                  </pic:spPr>
                </pic:pic>
              </a:graphicData>
            </a:graphic>
            <wp14:sizeRelH relativeFrom="page">
              <wp14:pctWidth>0</wp14:pctWidth>
            </wp14:sizeRelH>
            <wp14:sizeRelV relativeFrom="page">
              <wp14:pctHeight>0</wp14:pctHeight>
            </wp14:sizeRelV>
          </wp:anchor>
        </w:drawing>
      </w:r>
    </w:p>
    <w:p w:rsidR="0083635F" w:rsidRDefault="00501056" w:rsidP="00472E45">
      <w:pPr>
        <w:pStyle w:val="BodyText"/>
        <w:spacing w:before="1" w:line="276" w:lineRule="auto"/>
        <w:ind w:left="4344" w:right="114"/>
        <w:jc w:val="both"/>
      </w:pPr>
      <w:r>
        <w:t>The population groups that have experienced decline in monetary poverty levels are women, young people, early childhood children, people with disabilities and migrants, and people living in rural areas, who do not have equal access to sufficient opportunities to achieve their</w:t>
      </w:r>
      <w:r>
        <w:rPr>
          <w:spacing w:val="-32"/>
        </w:rPr>
        <w:t xml:space="preserve"> </w:t>
      </w:r>
      <w:r>
        <w:t>well- being. By 2016, the percentage of poor people is higher in rural areas (37.9%) than in urban areas (26.6%), and in households headed by women (26.7%) than by men (20.9%). Similarly, there is a higher percentage of women (30.37%) in poverty than men (27.4%) at the national</w:t>
      </w:r>
      <w:r>
        <w:rPr>
          <w:spacing w:val="13"/>
        </w:rPr>
        <w:t xml:space="preserve"> </w:t>
      </w:r>
      <w:r>
        <w:t>level,</w:t>
      </w:r>
      <w:r w:rsidR="00472E45">
        <w:t xml:space="preserve"> </w:t>
      </w:r>
      <w:r>
        <w:t xml:space="preserve">and within the group of women, those living in rural areas are the most affected by poverty </w:t>
      </w:r>
      <w:r>
        <w:lastRenderedPageBreak/>
        <w:t>(40.41%</w:t>
      </w:r>
      <w:r w:rsidR="00472E45">
        <w:t>)</w:t>
      </w:r>
      <w:r w:rsidR="00472E45">
        <w:rPr>
          <w:vertAlign w:val="superscript"/>
        </w:rPr>
        <w:t xml:space="preserve"> </w:t>
      </w:r>
      <w:r w:rsidR="00472E45">
        <w:rPr>
          <w:rStyle w:val="FootnoteReference"/>
        </w:rPr>
        <w:footnoteReference w:id="1"/>
      </w:r>
      <w:r w:rsidR="00472E45">
        <w:rPr>
          <w:vertAlign w:val="superscript"/>
        </w:rPr>
        <w:t>.</w:t>
      </w:r>
    </w:p>
    <w:p w:rsidR="0083635F" w:rsidRPr="00472E45" w:rsidRDefault="0083635F">
      <w:pPr>
        <w:pStyle w:val="BodyText"/>
        <w:spacing w:before="6"/>
        <w:rPr>
          <w:sz w:val="20"/>
          <w:szCs w:val="20"/>
        </w:rPr>
      </w:pPr>
    </w:p>
    <w:p w:rsidR="0083635F" w:rsidRDefault="00501056" w:rsidP="00472E45">
      <w:pPr>
        <w:pStyle w:val="BodyText"/>
        <w:spacing w:line="276" w:lineRule="auto"/>
        <w:ind w:left="191" w:right="117"/>
        <w:jc w:val="both"/>
        <w:rPr>
          <w:sz w:val="20"/>
        </w:rPr>
      </w:pPr>
      <w:r>
        <w:t xml:space="preserve">When human development is calculated considering gender differences, the value drops substantially by 47%, due to: lower participation of women in the labor market, deficient provision of goods and services in sexual and reproductive health, high rates of adolescent pregnancy (20.3%), high rates of maternal mortality (102 per 100 thousand live births) and low participation in political representation seats. </w:t>
      </w:r>
    </w:p>
    <w:p w:rsidR="0083635F" w:rsidRDefault="0083635F">
      <w:pPr>
        <w:pStyle w:val="BodyText"/>
        <w:spacing w:before="5"/>
        <w:rPr>
          <w:sz w:val="25"/>
        </w:rPr>
      </w:pPr>
    </w:p>
    <w:p w:rsidR="0083635F" w:rsidRDefault="00501056">
      <w:pPr>
        <w:pStyle w:val="BodyText"/>
        <w:spacing w:line="276" w:lineRule="auto"/>
        <w:ind w:left="191" w:right="111"/>
        <w:jc w:val="both"/>
      </w:pPr>
      <w:r>
        <w:t>The circumstances surrounding the COVID-19 crisis in the Dominican context where women have the burden</w:t>
      </w:r>
      <w:r>
        <w:rPr>
          <w:spacing w:val="-13"/>
        </w:rPr>
        <w:t xml:space="preserve"> </w:t>
      </w:r>
      <w:r>
        <w:t>of</w:t>
      </w:r>
      <w:r>
        <w:rPr>
          <w:spacing w:val="-11"/>
        </w:rPr>
        <w:t xml:space="preserve"> </w:t>
      </w:r>
      <w:r>
        <w:t>unpaid</w:t>
      </w:r>
      <w:r>
        <w:rPr>
          <w:spacing w:val="-15"/>
        </w:rPr>
        <w:t xml:space="preserve"> </w:t>
      </w:r>
      <w:r>
        <w:t>work</w:t>
      </w:r>
      <w:r>
        <w:rPr>
          <w:spacing w:val="-12"/>
        </w:rPr>
        <w:t xml:space="preserve"> </w:t>
      </w:r>
      <w:r>
        <w:t>and</w:t>
      </w:r>
      <w:r>
        <w:rPr>
          <w:spacing w:val="-12"/>
        </w:rPr>
        <w:t xml:space="preserve"> </w:t>
      </w:r>
      <w:r>
        <w:t>care</w:t>
      </w:r>
      <w:r>
        <w:rPr>
          <w:spacing w:val="-14"/>
        </w:rPr>
        <w:t xml:space="preserve"> </w:t>
      </w:r>
      <w:r>
        <w:t>in</w:t>
      </w:r>
      <w:r>
        <w:rPr>
          <w:spacing w:val="-15"/>
        </w:rPr>
        <w:t xml:space="preserve"> </w:t>
      </w:r>
      <w:r>
        <w:t>the</w:t>
      </w:r>
      <w:r>
        <w:rPr>
          <w:spacing w:val="-15"/>
        </w:rPr>
        <w:t xml:space="preserve"> </w:t>
      </w:r>
      <w:r>
        <w:t>home,</w:t>
      </w:r>
      <w:r>
        <w:rPr>
          <w:spacing w:val="-11"/>
        </w:rPr>
        <w:t xml:space="preserve"> </w:t>
      </w:r>
      <w:r>
        <w:t>has</w:t>
      </w:r>
      <w:r>
        <w:rPr>
          <w:spacing w:val="-12"/>
        </w:rPr>
        <w:t xml:space="preserve"> </w:t>
      </w:r>
      <w:r>
        <w:t>increased</w:t>
      </w:r>
      <w:r>
        <w:rPr>
          <w:spacing w:val="-16"/>
        </w:rPr>
        <w:t xml:space="preserve"> </w:t>
      </w:r>
      <w:r>
        <w:t>violence</w:t>
      </w:r>
      <w:r>
        <w:rPr>
          <w:spacing w:val="-12"/>
        </w:rPr>
        <w:t xml:space="preserve"> </w:t>
      </w:r>
      <w:r>
        <w:t>in</w:t>
      </w:r>
      <w:r>
        <w:rPr>
          <w:spacing w:val="-12"/>
        </w:rPr>
        <w:t xml:space="preserve"> </w:t>
      </w:r>
      <w:r>
        <w:t>the</w:t>
      </w:r>
      <w:r>
        <w:rPr>
          <w:spacing w:val="-15"/>
        </w:rPr>
        <w:t xml:space="preserve"> </w:t>
      </w:r>
      <w:r>
        <w:t>home,</w:t>
      </w:r>
      <w:r>
        <w:rPr>
          <w:spacing w:val="-14"/>
        </w:rPr>
        <w:t xml:space="preserve"> </w:t>
      </w:r>
      <w:r>
        <w:t>as</w:t>
      </w:r>
      <w:r>
        <w:rPr>
          <w:spacing w:val="-15"/>
        </w:rPr>
        <w:t xml:space="preserve"> </w:t>
      </w:r>
      <w:r>
        <w:t>well</w:t>
      </w:r>
      <w:r>
        <w:rPr>
          <w:spacing w:val="-14"/>
        </w:rPr>
        <w:t xml:space="preserve"> </w:t>
      </w:r>
      <w:r>
        <w:t>as</w:t>
      </w:r>
      <w:r>
        <w:rPr>
          <w:spacing w:val="-12"/>
        </w:rPr>
        <w:t xml:space="preserve"> </w:t>
      </w:r>
      <w:r>
        <w:t>the</w:t>
      </w:r>
      <w:r>
        <w:rPr>
          <w:spacing w:val="-15"/>
        </w:rPr>
        <w:t xml:space="preserve"> </w:t>
      </w:r>
      <w:r>
        <w:t>increase in the price of the family basket has repercussions on the possibility of women and girls to obtain the necessary items for menstrual care. Similarly, the impact of the crisis on the economy will have repercussions mainly on the informal sector, which represents 49% of the country's economic activity and in which women represent 23%.</w:t>
      </w:r>
    </w:p>
    <w:p w:rsidR="00472E45" w:rsidRDefault="00472E45">
      <w:pPr>
        <w:rPr>
          <w:sz w:val="25"/>
        </w:rPr>
      </w:pPr>
      <w:r>
        <w:rPr>
          <w:sz w:val="25"/>
        </w:rPr>
        <w:br w:type="page"/>
      </w:r>
    </w:p>
    <w:p w:rsidR="0083635F" w:rsidRDefault="0083635F">
      <w:pPr>
        <w:pStyle w:val="BodyText"/>
        <w:rPr>
          <w:sz w:val="25"/>
        </w:rPr>
      </w:pPr>
    </w:p>
    <w:p w:rsidR="0083635F" w:rsidRDefault="00501056">
      <w:pPr>
        <w:pStyle w:val="Heading1"/>
        <w:ind w:right="1771"/>
      </w:pPr>
      <w:bookmarkStart w:id="2" w:name="_bookmark1"/>
      <w:bookmarkEnd w:id="2"/>
      <w:r>
        <w:rPr>
          <w:u w:val="thick"/>
        </w:rPr>
        <w:t>ARTICLE 1. VIOLENCE AGAINST WOMEN</w:t>
      </w:r>
    </w:p>
    <w:p w:rsidR="0083635F" w:rsidRDefault="0083635F">
      <w:pPr>
        <w:pStyle w:val="BodyText"/>
        <w:spacing w:before="9"/>
        <w:rPr>
          <w:b/>
          <w:sz w:val="20"/>
        </w:rPr>
      </w:pPr>
    </w:p>
    <w:p w:rsidR="00E74907" w:rsidRDefault="00501056" w:rsidP="00E74907">
      <w:pPr>
        <w:pStyle w:val="BodyText"/>
        <w:spacing w:before="93" w:line="276" w:lineRule="auto"/>
        <w:ind w:left="191" w:right="113"/>
        <w:jc w:val="both"/>
      </w:pPr>
      <w:r>
        <w:t>The</w:t>
      </w:r>
      <w:r>
        <w:rPr>
          <w:spacing w:val="-16"/>
        </w:rPr>
        <w:t xml:space="preserve"> </w:t>
      </w:r>
      <w:r>
        <w:t>Dominican</w:t>
      </w:r>
      <w:r>
        <w:rPr>
          <w:spacing w:val="-16"/>
        </w:rPr>
        <w:t xml:space="preserve"> </w:t>
      </w:r>
      <w:r>
        <w:t>Republic</w:t>
      </w:r>
      <w:r>
        <w:rPr>
          <w:spacing w:val="-14"/>
        </w:rPr>
        <w:t xml:space="preserve"> </w:t>
      </w:r>
      <w:r>
        <w:t>is</w:t>
      </w:r>
      <w:r>
        <w:rPr>
          <w:spacing w:val="-13"/>
        </w:rPr>
        <w:t xml:space="preserve"> </w:t>
      </w:r>
      <w:r>
        <w:t>the</w:t>
      </w:r>
      <w:r>
        <w:rPr>
          <w:spacing w:val="-18"/>
        </w:rPr>
        <w:t xml:space="preserve"> </w:t>
      </w:r>
      <w:r>
        <w:t>fifth</w:t>
      </w:r>
      <w:r>
        <w:rPr>
          <w:spacing w:val="-19"/>
        </w:rPr>
        <w:t xml:space="preserve"> </w:t>
      </w:r>
      <w:r>
        <w:t>country</w:t>
      </w:r>
      <w:r>
        <w:rPr>
          <w:spacing w:val="-15"/>
        </w:rPr>
        <w:t xml:space="preserve"> </w:t>
      </w:r>
      <w:r>
        <w:t>in</w:t>
      </w:r>
      <w:r>
        <w:rPr>
          <w:spacing w:val="-13"/>
        </w:rPr>
        <w:t xml:space="preserve"> </w:t>
      </w:r>
      <w:r>
        <w:t>Latin</w:t>
      </w:r>
      <w:r>
        <w:rPr>
          <w:spacing w:val="-16"/>
        </w:rPr>
        <w:t xml:space="preserve"> </w:t>
      </w:r>
      <w:r>
        <w:t>America</w:t>
      </w:r>
      <w:r>
        <w:rPr>
          <w:spacing w:val="-15"/>
        </w:rPr>
        <w:t xml:space="preserve"> </w:t>
      </w:r>
      <w:r>
        <w:t>with</w:t>
      </w:r>
      <w:r>
        <w:rPr>
          <w:spacing w:val="-13"/>
        </w:rPr>
        <w:t xml:space="preserve"> </w:t>
      </w:r>
      <w:r>
        <w:t>the</w:t>
      </w:r>
      <w:r>
        <w:rPr>
          <w:spacing w:val="-15"/>
        </w:rPr>
        <w:t xml:space="preserve"> </w:t>
      </w:r>
      <w:r>
        <w:t>highest</w:t>
      </w:r>
      <w:r>
        <w:rPr>
          <w:spacing w:val="-17"/>
        </w:rPr>
        <w:t xml:space="preserve"> </w:t>
      </w:r>
      <w:r>
        <w:t>rate</w:t>
      </w:r>
      <w:r>
        <w:rPr>
          <w:spacing w:val="-14"/>
        </w:rPr>
        <w:t xml:space="preserve"> </w:t>
      </w:r>
      <w:r>
        <w:t>of</w:t>
      </w:r>
      <w:r>
        <w:rPr>
          <w:spacing w:val="-15"/>
        </w:rPr>
        <w:t xml:space="preserve"> </w:t>
      </w:r>
      <w:r>
        <w:t>femicide</w:t>
      </w:r>
      <w:r>
        <w:rPr>
          <w:spacing w:val="-14"/>
        </w:rPr>
        <w:t xml:space="preserve"> </w:t>
      </w:r>
      <w:r>
        <w:t>per</w:t>
      </w:r>
      <w:r>
        <w:rPr>
          <w:spacing w:val="-14"/>
        </w:rPr>
        <w:t xml:space="preserve"> </w:t>
      </w:r>
      <w:r>
        <w:t>100,000 women,</w:t>
      </w:r>
      <w:r>
        <w:rPr>
          <w:spacing w:val="-16"/>
        </w:rPr>
        <w:t xml:space="preserve"> </w:t>
      </w:r>
      <w:r>
        <w:t>after</w:t>
      </w:r>
      <w:r>
        <w:rPr>
          <w:spacing w:val="-15"/>
        </w:rPr>
        <w:t xml:space="preserve"> </w:t>
      </w:r>
      <w:r>
        <w:t>El</w:t>
      </w:r>
      <w:r>
        <w:rPr>
          <w:spacing w:val="-17"/>
        </w:rPr>
        <w:t xml:space="preserve"> </w:t>
      </w:r>
      <w:r>
        <w:t>Salvador,</w:t>
      </w:r>
      <w:r>
        <w:rPr>
          <w:spacing w:val="-14"/>
        </w:rPr>
        <w:t xml:space="preserve"> </w:t>
      </w:r>
      <w:r>
        <w:t>Honduras,</w:t>
      </w:r>
      <w:r>
        <w:rPr>
          <w:spacing w:val="-15"/>
        </w:rPr>
        <w:t xml:space="preserve"> </w:t>
      </w:r>
      <w:r>
        <w:t>Bolivia</w:t>
      </w:r>
      <w:r>
        <w:rPr>
          <w:spacing w:val="-16"/>
        </w:rPr>
        <w:t xml:space="preserve"> </w:t>
      </w:r>
      <w:r>
        <w:t>and</w:t>
      </w:r>
      <w:r>
        <w:rPr>
          <w:spacing w:val="-16"/>
        </w:rPr>
        <w:t xml:space="preserve"> </w:t>
      </w:r>
      <w:r>
        <w:t>Guatemala</w:t>
      </w:r>
      <w:r w:rsidR="00472E45">
        <w:rPr>
          <w:rStyle w:val="FootnoteReference"/>
        </w:rPr>
        <w:footnoteReference w:id="2"/>
      </w:r>
      <w:r>
        <w:t>.</w:t>
      </w:r>
      <w:r>
        <w:rPr>
          <w:spacing w:val="-15"/>
        </w:rPr>
        <w:t xml:space="preserve"> </w:t>
      </w:r>
      <w:r>
        <w:t>According</w:t>
      </w:r>
      <w:r>
        <w:rPr>
          <w:spacing w:val="-16"/>
        </w:rPr>
        <w:t xml:space="preserve"> </w:t>
      </w:r>
      <w:r>
        <w:t>to</w:t>
      </w:r>
      <w:r>
        <w:rPr>
          <w:spacing w:val="-18"/>
        </w:rPr>
        <w:t xml:space="preserve"> </w:t>
      </w:r>
      <w:r>
        <w:t>the</w:t>
      </w:r>
      <w:r>
        <w:rPr>
          <w:spacing w:val="-17"/>
        </w:rPr>
        <w:t xml:space="preserve"> </w:t>
      </w:r>
      <w:r>
        <w:t>Attorney</w:t>
      </w:r>
      <w:r>
        <w:rPr>
          <w:spacing w:val="-18"/>
        </w:rPr>
        <w:t xml:space="preserve"> </w:t>
      </w:r>
      <w:r>
        <w:t>General's</w:t>
      </w:r>
      <w:r>
        <w:rPr>
          <w:spacing w:val="-18"/>
        </w:rPr>
        <w:t xml:space="preserve"> </w:t>
      </w:r>
      <w:r>
        <w:t>Office (PGR), 1,444 femicides were recorded between 2005 and 2019</w:t>
      </w:r>
      <w:r w:rsidR="00472E45">
        <w:rPr>
          <w:rStyle w:val="FootnoteReference"/>
        </w:rPr>
        <w:footnoteReference w:id="3"/>
      </w:r>
      <w:r>
        <w:t>. In 2019, there were 77,837 complaints of gender and domestic violence, 6,914 complaints of sexual offences, 77 femicides and 19,908 protection orders issued</w:t>
      </w:r>
      <w:r w:rsidR="00E74907">
        <w:rPr>
          <w:rStyle w:val="FootnoteReference"/>
        </w:rPr>
        <w:footnoteReference w:id="4"/>
      </w:r>
      <w:r>
        <w:t>. Most of the victims of femicide had not filed</w:t>
      </w:r>
      <w:r>
        <w:rPr>
          <w:spacing w:val="-5"/>
        </w:rPr>
        <w:t xml:space="preserve"> </w:t>
      </w:r>
      <w:r>
        <w:t>complaints.</w:t>
      </w:r>
      <w:r w:rsidR="00E74907">
        <w:t xml:space="preserve"> </w:t>
      </w:r>
    </w:p>
    <w:p w:rsidR="0083635F" w:rsidRDefault="0083635F">
      <w:pPr>
        <w:pStyle w:val="BodyText"/>
        <w:spacing w:before="3"/>
        <w:rPr>
          <w:sz w:val="25"/>
        </w:rPr>
      </w:pPr>
    </w:p>
    <w:p w:rsidR="0083635F" w:rsidRDefault="00501056">
      <w:pPr>
        <w:pStyle w:val="BodyText"/>
        <w:spacing w:line="276" w:lineRule="auto"/>
        <w:ind w:left="191" w:right="111"/>
        <w:jc w:val="both"/>
      </w:pPr>
      <w:r>
        <w:t>It is estimated that less than 5 per cent of all complaints of gender violence, domestic violence and sexual offences are finally adjudicated. Despite this, neither the judiciary nor the Office of the Attorney- General of the Republic has conducted investigations in which they have made public the reasons for this</w:t>
      </w:r>
      <w:r>
        <w:rPr>
          <w:spacing w:val="-7"/>
        </w:rPr>
        <w:t xml:space="preserve"> </w:t>
      </w:r>
      <w:r>
        <w:t>very</w:t>
      </w:r>
      <w:r>
        <w:rPr>
          <w:spacing w:val="-9"/>
        </w:rPr>
        <w:t xml:space="preserve"> </w:t>
      </w:r>
      <w:r>
        <w:t>high</w:t>
      </w:r>
      <w:r>
        <w:rPr>
          <w:spacing w:val="-10"/>
        </w:rPr>
        <w:t xml:space="preserve"> </w:t>
      </w:r>
      <w:r>
        <w:t>rate</w:t>
      </w:r>
      <w:r>
        <w:rPr>
          <w:spacing w:val="-10"/>
        </w:rPr>
        <w:t xml:space="preserve"> </w:t>
      </w:r>
      <w:r>
        <w:t>of</w:t>
      </w:r>
      <w:r>
        <w:rPr>
          <w:spacing w:val="-5"/>
        </w:rPr>
        <w:t xml:space="preserve"> </w:t>
      </w:r>
      <w:r>
        <w:t>impunity.</w:t>
      </w:r>
      <w:r>
        <w:rPr>
          <w:spacing w:val="-6"/>
        </w:rPr>
        <w:t xml:space="preserve"> </w:t>
      </w:r>
      <w:r>
        <w:t>Civil</w:t>
      </w:r>
      <w:r>
        <w:rPr>
          <w:spacing w:val="-8"/>
        </w:rPr>
        <w:t xml:space="preserve"> </w:t>
      </w:r>
      <w:r>
        <w:t>society</w:t>
      </w:r>
      <w:r>
        <w:rPr>
          <w:spacing w:val="-9"/>
        </w:rPr>
        <w:t xml:space="preserve"> </w:t>
      </w:r>
      <w:r>
        <w:t>organizations,</w:t>
      </w:r>
      <w:r>
        <w:rPr>
          <w:spacing w:val="-6"/>
        </w:rPr>
        <w:t xml:space="preserve"> </w:t>
      </w:r>
      <w:r>
        <w:t>when</w:t>
      </w:r>
      <w:r>
        <w:rPr>
          <w:spacing w:val="-7"/>
        </w:rPr>
        <w:t xml:space="preserve"> </w:t>
      </w:r>
      <w:r>
        <w:t>trying</w:t>
      </w:r>
      <w:r>
        <w:rPr>
          <w:spacing w:val="-7"/>
        </w:rPr>
        <w:t xml:space="preserve"> </w:t>
      </w:r>
      <w:r>
        <w:t>to</w:t>
      </w:r>
      <w:r>
        <w:rPr>
          <w:spacing w:val="-10"/>
        </w:rPr>
        <w:t xml:space="preserve"> </w:t>
      </w:r>
      <w:r>
        <w:t>undertake</w:t>
      </w:r>
      <w:r>
        <w:rPr>
          <w:spacing w:val="-10"/>
        </w:rPr>
        <w:t xml:space="preserve"> </w:t>
      </w:r>
      <w:r>
        <w:t>investigations</w:t>
      </w:r>
      <w:r>
        <w:rPr>
          <w:spacing w:val="-9"/>
        </w:rPr>
        <w:t xml:space="preserve"> </w:t>
      </w:r>
      <w:r>
        <w:t>in</w:t>
      </w:r>
      <w:r>
        <w:rPr>
          <w:spacing w:val="-1"/>
        </w:rPr>
        <w:t xml:space="preserve"> </w:t>
      </w:r>
      <w:r>
        <w:t>this regard, have encountered obstacles from the highest levels when trying to access files, victims and personnel of the agencies that process the</w:t>
      </w:r>
      <w:r>
        <w:rPr>
          <w:spacing w:val="-1"/>
        </w:rPr>
        <w:t xml:space="preserve"> </w:t>
      </w:r>
      <w:r>
        <w:t>complaints.</w:t>
      </w:r>
    </w:p>
    <w:p w:rsidR="0083635F" w:rsidRDefault="00E74907">
      <w:pPr>
        <w:pStyle w:val="BodyText"/>
        <w:rPr>
          <w:sz w:val="20"/>
        </w:rPr>
      </w:pPr>
      <w:r>
        <w:rPr>
          <w:noProof/>
          <w:lang w:val="en-GB" w:eastAsia="en-GB"/>
        </w:rPr>
        <w:drawing>
          <wp:anchor distT="0" distB="0" distL="0" distR="0" simplePos="0" relativeHeight="15733760" behindDoc="0" locked="0" layoutInCell="1" allowOverlap="1">
            <wp:simplePos x="0" y="0"/>
            <wp:positionH relativeFrom="page">
              <wp:posOffset>800100</wp:posOffset>
            </wp:positionH>
            <wp:positionV relativeFrom="paragraph">
              <wp:posOffset>132715</wp:posOffset>
            </wp:positionV>
            <wp:extent cx="3282315" cy="3657600"/>
            <wp:effectExtent l="0" t="0" r="0" b="0"/>
            <wp:wrapNone/>
            <wp:docPr id="17" name="image9.jpeg" descr="C:\Users\lbreton\OneDrive - Plan International\Pictures\78961423_10158065721342650_4147085361476009984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24" cstate="print"/>
                    <a:stretch>
                      <a:fillRect/>
                    </a:stretch>
                  </pic:blipFill>
                  <pic:spPr>
                    <a:xfrm>
                      <a:off x="0" y="0"/>
                      <a:ext cx="3282315" cy="3657600"/>
                    </a:xfrm>
                    <a:prstGeom prst="rect">
                      <a:avLst/>
                    </a:prstGeom>
                  </pic:spPr>
                </pic:pic>
              </a:graphicData>
            </a:graphic>
          </wp:anchor>
        </w:drawing>
      </w:r>
    </w:p>
    <w:p w:rsidR="0083635F" w:rsidRDefault="00501056">
      <w:pPr>
        <w:pStyle w:val="BodyText"/>
        <w:spacing w:before="77" w:line="276" w:lineRule="auto"/>
        <w:ind w:left="5630" w:right="113"/>
        <w:jc w:val="both"/>
      </w:pPr>
      <w:r>
        <w:t xml:space="preserve">Another element that contributes to impunity in cases of gender-based violence and, in many cases, even the </w:t>
      </w:r>
      <w:r>
        <w:lastRenderedPageBreak/>
        <w:t>death of the victim, is the persistence of conciliation, both in criminal law and in the practice of Public Ministry officials, who promote it, as well as promote and approve abbreviated criminal agreements that significantly reduce the penalties of the aggressors. These agreements, only in 2019, claimed</w:t>
      </w:r>
      <w:r>
        <w:rPr>
          <w:spacing w:val="-12"/>
        </w:rPr>
        <w:t xml:space="preserve"> </w:t>
      </w:r>
      <w:r>
        <w:t>the</w:t>
      </w:r>
      <w:r>
        <w:rPr>
          <w:spacing w:val="-14"/>
        </w:rPr>
        <w:t xml:space="preserve"> </w:t>
      </w:r>
      <w:r>
        <w:t>lives</w:t>
      </w:r>
      <w:r>
        <w:rPr>
          <w:spacing w:val="-11"/>
        </w:rPr>
        <w:t xml:space="preserve"> </w:t>
      </w:r>
      <w:r>
        <w:t>of</w:t>
      </w:r>
      <w:r>
        <w:rPr>
          <w:spacing w:val="-10"/>
        </w:rPr>
        <w:t xml:space="preserve"> </w:t>
      </w:r>
      <w:r>
        <w:t>Anibel</w:t>
      </w:r>
      <w:r>
        <w:rPr>
          <w:spacing w:val="-12"/>
        </w:rPr>
        <w:t xml:space="preserve"> </w:t>
      </w:r>
      <w:r>
        <w:t>González</w:t>
      </w:r>
      <w:r>
        <w:rPr>
          <w:spacing w:val="-14"/>
        </w:rPr>
        <w:t xml:space="preserve"> </w:t>
      </w:r>
      <w:r>
        <w:t>and</w:t>
      </w:r>
      <w:r>
        <w:rPr>
          <w:spacing w:val="-11"/>
        </w:rPr>
        <w:t xml:space="preserve"> </w:t>
      </w:r>
      <w:r>
        <w:t>Juana Domínguez, whose perpetrators were benefited by abbreviated criminal agreements despite the fact that the figure did not legally qualify for them and despite the risk this posed to the</w:t>
      </w:r>
      <w:r>
        <w:rPr>
          <w:spacing w:val="-3"/>
        </w:rPr>
        <w:t xml:space="preserve"> </w:t>
      </w:r>
      <w:r>
        <w:t>victims.</w:t>
      </w:r>
      <w:r w:rsidR="00E74907">
        <w:rPr>
          <w:rStyle w:val="FootnoteReference"/>
        </w:rPr>
        <w:footnoteReference w:id="5"/>
      </w:r>
    </w:p>
    <w:p w:rsidR="0083635F" w:rsidRDefault="0083635F">
      <w:pPr>
        <w:pStyle w:val="BodyText"/>
        <w:spacing w:before="4"/>
        <w:rPr>
          <w:sz w:val="17"/>
        </w:rPr>
      </w:pPr>
    </w:p>
    <w:p w:rsidR="0083635F" w:rsidRDefault="00501056">
      <w:pPr>
        <w:pStyle w:val="BodyText"/>
        <w:spacing w:before="94" w:line="276" w:lineRule="auto"/>
        <w:ind w:left="5630" w:right="115"/>
        <w:jc w:val="both"/>
      </w:pPr>
      <w:r>
        <w:t xml:space="preserve">Since 2012, the women's movement, feminists and </w:t>
      </w:r>
      <w:r>
        <w:lastRenderedPageBreak/>
        <w:t>civil society organizations have proposed the approval of the bill that creates the Integral System of Prevention, Attention and Sanction</w:t>
      </w:r>
    </w:p>
    <w:p w:rsidR="0083635F" w:rsidRDefault="00501056">
      <w:pPr>
        <w:pStyle w:val="BodyText"/>
        <w:spacing w:line="276" w:lineRule="auto"/>
        <w:ind w:left="191" w:right="115"/>
        <w:jc w:val="both"/>
      </w:pPr>
      <w:r>
        <w:t>of Violence against Women. Despite the fact that this project has been enriched, welcomed by the Gender Equality Commission of the Chamber of Deputies, presented and discussed on several occasions before the National Congress, no consensus has been reached for its approval.</w:t>
      </w:r>
    </w:p>
    <w:p w:rsidR="0083635F" w:rsidRDefault="00501056" w:rsidP="00E74907">
      <w:pPr>
        <w:pStyle w:val="BodyText"/>
        <w:spacing w:line="276" w:lineRule="auto"/>
        <w:ind w:left="191" w:right="113"/>
        <w:jc w:val="both"/>
      </w:pPr>
      <w:r>
        <w:t>Discrimination and violence against women is even greater if they belong to one of the vulnerable populations such as migrants, LGBTI+ community, de-</w:t>
      </w:r>
      <w:r w:rsidR="00E74907">
        <w:t>nationalized</w:t>
      </w:r>
      <w:r>
        <w:t xml:space="preserve"> people, older women, women with disabilities and afro-descendants. In particular, the lack of protection of lesbian and trans women in situations</w:t>
      </w:r>
      <w:r>
        <w:rPr>
          <w:spacing w:val="-9"/>
        </w:rPr>
        <w:t xml:space="preserve"> </w:t>
      </w:r>
      <w:r>
        <w:t>of</w:t>
      </w:r>
      <w:r>
        <w:rPr>
          <w:spacing w:val="-5"/>
        </w:rPr>
        <w:t xml:space="preserve"> </w:t>
      </w:r>
      <w:r>
        <w:t>violence,</w:t>
      </w:r>
      <w:r>
        <w:rPr>
          <w:spacing w:val="-5"/>
        </w:rPr>
        <w:t xml:space="preserve"> </w:t>
      </w:r>
      <w:r>
        <w:t>where</w:t>
      </w:r>
      <w:r>
        <w:rPr>
          <w:spacing w:val="-6"/>
        </w:rPr>
        <w:t xml:space="preserve"> </w:t>
      </w:r>
      <w:r>
        <w:t>State</w:t>
      </w:r>
      <w:r>
        <w:rPr>
          <w:spacing w:val="-8"/>
        </w:rPr>
        <w:t xml:space="preserve"> </w:t>
      </w:r>
      <w:r>
        <w:t>agencies</w:t>
      </w:r>
      <w:r>
        <w:rPr>
          <w:spacing w:val="-6"/>
        </w:rPr>
        <w:t xml:space="preserve"> </w:t>
      </w:r>
      <w:r>
        <w:t>designed</w:t>
      </w:r>
      <w:r>
        <w:rPr>
          <w:spacing w:val="-9"/>
        </w:rPr>
        <w:t xml:space="preserve"> </w:t>
      </w:r>
      <w:r>
        <w:t>to</w:t>
      </w:r>
      <w:r>
        <w:rPr>
          <w:spacing w:val="-9"/>
        </w:rPr>
        <w:t xml:space="preserve"> </w:t>
      </w:r>
      <w:r>
        <w:t>do</w:t>
      </w:r>
      <w:r>
        <w:rPr>
          <w:spacing w:val="-9"/>
        </w:rPr>
        <w:t xml:space="preserve"> </w:t>
      </w:r>
      <w:r>
        <w:t>so</w:t>
      </w:r>
      <w:r>
        <w:rPr>
          <w:spacing w:val="-9"/>
        </w:rPr>
        <w:t xml:space="preserve"> </w:t>
      </w:r>
      <w:r>
        <w:t>deny</w:t>
      </w:r>
      <w:r>
        <w:rPr>
          <w:spacing w:val="-9"/>
        </w:rPr>
        <w:t xml:space="preserve"> </w:t>
      </w:r>
      <w:r>
        <w:t>them</w:t>
      </w:r>
      <w:r>
        <w:rPr>
          <w:spacing w:val="-8"/>
        </w:rPr>
        <w:t xml:space="preserve"> </w:t>
      </w:r>
      <w:r>
        <w:t>protection</w:t>
      </w:r>
      <w:r>
        <w:rPr>
          <w:spacing w:val="-7"/>
        </w:rPr>
        <w:t xml:space="preserve"> </w:t>
      </w:r>
      <w:r>
        <w:t>and</w:t>
      </w:r>
      <w:r>
        <w:rPr>
          <w:spacing w:val="-9"/>
        </w:rPr>
        <w:t xml:space="preserve"> </w:t>
      </w:r>
      <w:r>
        <w:t>assistance,</w:t>
      </w:r>
      <w:r>
        <w:rPr>
          <w:spacing w:val="-7"/>
        </w:rPr>
        <w:t xml:space="preserve"> </w:t>
      </w:r>
      <w:r>
        <w:t>as</w:t>
      </w:r>
      <w:r w:rsidR="00E74907">
        <w:t xml:space="preserve"> </w:t>
      </w:r>
      <w:r w:rsidR="004F2777">
        <w:rPr>
          <w:noProof/>
          <w:lang w:val="en-GB" w:eastAsia="en-GB"/>
        </w:rPr>
        <mc:AlternateContent>
          <mc:Choice Requires="wps">
            <w:drawing>
              <wp:anchor distT="0" distB="0" distL="0" distR="0" simplePos="0" relativeHeight="487592448" behindDoc="1" locked="0" layoutInCell="1" allowOverlap="1">
                <wp:simplePos x="0" y="0"/>
                <wp:positionH relativeFrom="page">
                  <wp:posOffset>743585</wp:posOffset>
                </wp:positionH>
                <wp:positionV relativeFrom="paragraph">
                  <wp:posOffset>127000</wp:posOffset>
                </wp:positionV>
                <wp:extent cx="1829435" cy="8890"/>
                <wp:effectExtent l="0" t="0" r="0" b="0"/>
                <wp:wrapTopAndBottom/>
                <wp:docPr id="3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68B1A4" id="Rectangle 16" o:spid="_x0000_s1026" style="position:absolute;margin-left:58.55pt;margin-top:10pt;width:144.05pt;height:.7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" fillcolor="black" stroked="f">
                <w10:wrap type="topAndBottom" anchorx="page"/>
              </v:rect>
            </w:pict>
          </mc:Fallback>
        </mc:AlternateContent>
      </w:r>
      <w:r>
        <w:t>is the case with the Ministry of Women's Affairs itself, which has indicated that it only provides legal services</w:t>
      </w:r>
      <w:r>
        <w:rPr>
          <w:spacing w:val="-11"/>
        </w:rPr>
        <w:t xml:space="preserve"> </w:t>
      </w:r>
      <w:r>
        <w:t>to</w:t>
      </w:r>
      <w:r>
        <w:rPr>
          <w:spacing w:val="-11"/>
        </w:rPr>
        <w:t xml:space="preserve"> </w:t>
      </w:r>
      <w:r>
        <w:t>women</w:t>
      </w:r>
      <w:r>
        <w:rPr>
          <w:spacing w:val="-11"/>
        </w:rPr>
        <w:t xml:space="preserve"> </w:t>
      </w:r>
      <w:r>
        <w:t>victims</w:t>
      </w:r>
      <w:r>
        <w:rPr>
          <w:spacing w:val="-11"/>
        </w:rPr>
        <w:t xml:space="preserve"> </w:t>
      </w:r>
      <w:r>
        <w:t>of</w:t>
      </w:r>
      <w:r>
        <w:rPr>
          <w:spacing w:val="-10"/>
        </w:rPr>
        <w:t xml:space="preserve"> </w:t>
      </w:r>
      <w:r>
        <w:t>gender</w:t>
      </w:r>
      <w:r>
        <w:rPr>
          <w:spacing w:val="-11"/>
        </w:rPr>
        <w:t xml:space="preserve"> </w:t>
      </w:r>
      <w:r>
        <w:t>violence</w:t>
      </w:r>
      <w:r>
        <w:rPr>
          <w:spacing w:val="-10"/>
        </w:rPr>
        <w:t xml:space="preserve"> </w:t>
      </w:r>
      <w:r>
        <w:t>or</w:t>
      </w:r>
      <w:r>
        <w:rPr>
          <w:spacing w:val="-11"/>
        </w:rPr>
        <w:t xml:space="preserve"> </w:t>
      </w:r>
      <w:r>
        <w:t>domestic</w:t>
      </w:r>
      <w:r>
        <w:rPr>
          <w:spacing w:val="-11"/>
        </w:rPr>
        <w:t xml:space="preserve"> </w:t>
      </w:r>
      <w:r>
        <w:t>violence</w:t>
      </w:r>
      <w:r>
        <w:rPr>
          <w:spacing w:val="-11"/>
        </w:rPr>
        <w:t xml:space="preserve"> </w:t>
      </w:r>
      <w:r>
        <w:t>where</w:t>
      </w:r>
      <w:r>
        <w:rPr>
          <w:spacing w:val="-10"/>
        </w:rPr>
        <w:t xml:space="preserve"> </w:t>
      </w:r>
      <w:r>
        <w:t>an</w:t>
      </w:r>
      <w:r>
        <w:rPr>
          <w:spacing w:val="-12"/>
        </w:rPr>
        <w:t xml:space="preserve"> </w:t>
      </w:r>
      <w:r>
        <w:t>aggressor</w:t>
      </w:r>
      <w:r>
        <w:rPr>
          <w:spacing w:val="-13"/>
        </w:rPr>
        <w:t xml:space="preserve"> </w:t>
      </w:r>
      <w:r>
        <w:t>man</w:t>
      </w:r>
      <w:r>
        <w:rPr>
          <w:spacing w:val="-12"/>
        </w:rPr>
        <w:t xml:space="preserve"> </w:t>
      </w:r>
      <w:r>
        <w:t>is</w:t>
      </w:r>
      <w:r>
        <w:rPr>
          <w:spacing w:val="-11"/>
        </w:rPr>
        <w:t xml:space="preserve"> </w:t>
      </w:r>
      <w:r>
        <w:t>involved, if</w:t>
      </w:r>
      <w:r>
        <w:rPr>
          <w:spacing w:val="-3"/>
        </w:rPr>
        <w:t xml:space="preserve"> </w:t>
      </w:r>
      <w:r>
        <w:t>the</w:t>
      </w:r>
      <w:r>
        <w:rPr>
          <w:spacing w:val="-7"/>
        </w:rPr>
        <w:t xml:space="preserve"> </w:t>
      </w:r>
      <w:r>
        <w:t>aggression</w:t>
      </w:r>
      <w:r>
        <w:rPr>
          <w:spacing w:val="-4"/>
        </w:rPr>
        <w:t xml:space="preserve"> </w:t>
      </w:r>
      <w:r>
        <w:t>comes</w:t>
      </w:r>
      <w:r>
        <w:rPr>
          <w:spacing w:val="-9"/>
        </w:rPr>
        <w:t xml:space="preserve"> </w:t>
      </w:r>
      <w:r>
        <w:t>from</w:t>
      </w:r>
      <w:r>
        <w:rPr>
          <w:spacing w:val="-5"/>
        </w:rPr>
        <w:t xml:space="preserve"> </w:t>
      </w:r>
      <w:r>
        <w:t>a</w:t>
      </w:r>
      <w:r>
        <w:rPr>
          <w:spacing w:val="-4"/>
        </w:rPr>
        <w:t xml:space="preserve"> </w:t>
      </w:r>
      <w:r>
        <w:t>partner</w:t>
      </w:r>
      <w:r>
        <w:rPr>
          <w:spacing w:val="-5"/>
        </w:rPr>
        <w:t xml:space="preserve"> </w:t>
      </w:r>
      <w:r>
        <w:t>of</w:t>
      </w:r>
      <w:r>
        <w:rPr>
          <w:spacing w:val="-3"/>
        </w:rPr>
        <w:t xml:space="preserve"> </w:t>
      </w:r>
      <w:r>
        <w:t>the</w:t>
      </w:r>
      <w:r>
        <w:rPr>
          <w:spacing w:val="-7"/>
        </w:rPr>
        <w:t xml:space="preserve"> </w:t>
      </w:r>
      <w:r>
        <w:t>same</w:t>
      </w:r>
      <w:r>
        <w:rPr>
          <w:spacing w:val="-3"/>
        </w:rPr>
        <w:t xml:space="preserve"> </w:t>
      </w:r>
      <w:r>
        <w:t>sex,</w:t>
      </w:r>
      <w:r>
        <w:rPr>
          <w:spacing w:val="-3"/>
        </w:rPr>
        <w:t xml:space="preserve"> </w:t>
      </w:r>
      <w:r>
        <w:t>assistance</w:t>
      </w:r>
      <w:r>
        <w:rPr>
          <w:spacing w:val="-6"/>
        </w:rPr>
        <w:t xml:space="preserve"> </w:t>
      </w:r>
      <w:r>
        <w:t>is</w:t>
      </w:r>
      <w:r>
        <w:rPr>
          <w:spacing w:val="-4"/>
        </w:rPr>
        <w:t xml:space="preserve"> </w:t>
      </w:r>
      <w:r>
        <w:t>not</w:t>
      </w:r>
      <w:r>
        <w:rPr>
          <w:spacing w:val="-3"/>
        </w:rPr>
        <w:t xml:space="preserve"> </w:t>
      </w:r>
      <w:r>
        <w:t>provided.</w:t>
      </w:r>
      <w:r>
        <w:rPr>
          <w:spacing w:val="-3"/>
        </w:rPr>
        <w:t xml:space="preserve"> </w:t>
      </w:r>
      <w:r>
        <w:t>The</w:t>
      </w:r>
      <w:r>
        <w:rPr>
          <w:spacing w:val="-4"/>
        </w:rPr>
        <w:t xml:space="preserve"> </w:t>
      </w:r>
      <w:r>
        <w:t>same is</w:t>
      </w:r>
      <w:r>
        <w:rPr>
          <w:spacing w:val="-4"/>
        </w:rPr>
        <w:t xml:space="preserve"> </w:t>
      </w:r>
      <w:r>
        <w:t>true</w:t>
      </w:r>
      <w:r>
        <w:rPr>
          <w:spacing w:val="-4"/>
        </w:rPr>
        <w:t xml:space="preserve"> </w:t>
      </w:r>
      <w:r>
        <w:t>of the Public Prosecutor's Office, where domestic violence between lesbian couples is registered as a quarrel, despite the fact that Act No. 24-97 on domestic violence guarantees protection without discrimination for all persons in a</w:t>
      </w:r>
      <w:r>
        <w:rPr>
          <w:spacing w:val="-4"/>
        </w:rPr>
        <w:t xml:space="preserve"> </w:t>
      </w:r>
      <w:r>
        <w:t>family.</w:t>
      </w:r>
    </w:p>
    <w:p w:rsidR="0083635F" w:rsidRDefault="0083635F">
      <w:pPr>
        <w:pStyle w:val="BodyText"/>
        <w:spacing w:before="5"/>
        <w:rPr>
          <w:sz w:val="25"/>
        </w:rPr>
      </w:pPr>
    </w:p>
    <w:p w:rsidR="0083635F" w:rsidRDefault="00501056">
      <w:pPr>
        <w:pStyle w:val="BodyText"/>
        <w:spacing w:line="276" w:lineRule="auto"/>
        <w:ind w:left="191" w:right="114"/>
        <w:jc w:val="both"/>
      </w:pPr>
      <w:r>
        <w:t>The Ministry of Women reports that during the state of emergency declared by the Covid-19 pandemic, between</w:t>
      </w:r>
      <w:r>
        <w:rPr>
          <w:spacing w:val="-4"/>
        </w:rPr>
        <w:t xml:space="preserve"> </w:t>
      </w:r>
      <w:r>
        <w:t>March</w:t>
      </w:r>
      <w:r>
        <w:rPr>
          <w:spacing w:val="-3"/>
        </w:rPr>
        <w:t xml:space="preserve"> </w:t>
      </w:r>
      <w:r>
        <w:t>17</w:t>
      </w:r>
      <w:r>
        <w:rPr>
          <w:spacing w:val="-4"/>
        </w:rPr>
        <w:t xml:space="preserve"> </w:t>
      </w:r>
      <w:r>
        <w:t>and</w:t>
      </w:r>
      <w:r>
        <w:rPr>
          <w:spacing w:val="-3"/>
        </w:rPr>
        <w:t xml:space="preserve"> </w:t>
      </w:r>
      <w:r>
        <w:t>June</w:t>
      </w:r>
      <w:r>
        <w:rPr>
          <w:spacing w:val="-4"/>
        </w:rPr>
        <w:t xml:space="preserve"> </w:t>
      </w:r>
      <w:r>
        <w:t>28,</w:t>
      </w:r>
      <w:r>
        <w:rPr>
          <w:spacing w:val="-4"/>
        </w:rPr>
        <w:t xml:space="preserve"> </w:t>
      </w:r>
      <w:r>
        <w:t>2020,</w:t>
      </w:r>
      <w:r>
        <w:rPr>
          <w:spacing w:val="-5"/>
        </w:rPr>
        <w:t xml:space="preserve"> </w:t>
      </w:r>
      <w:r>
        <w:t>it</w:t>
      </w:r>
      <w:r>
        <w:rPr>
          <w:spacing w:val="-4"/>
        </w:rPr>
        <w:t xml:space="preserve"> </w:t>
      </w:r>
      <w:r>
        <w:t>provided</w:t>
      </w:r>
      <w:r>
        <w:rPr>
          <w:spacing w:val="-4"/>
        </w:rPr>
        <w:t xml:space="preserve"> </w:t>
      </w:r>
      <w:r>
        <w:t>2,322</w:t>
      </w:r>
      <w:r>
        <w:rPr>
          <w:spacing w:val="-5"/>
        </w:rPr>
        <w:t xml:space="preserve"> </w:t>
      </w:r>
      <w:r>
        <w:t>services</w:t>
      </w:r>
      <w:r>
        <w:rPr>
          <w:spacing w:val="-5"/>
        </w:rPr>
        <w:t xml:space="preserve"> </w:t>
      </w:r>
      <w:r>
        <w:t>through</w:t>
      </w:r>
      <w:r>
        <w:rPr>
          <w:spacing w:val="-6"/>
        </w:rPr>
        <w:t xml:space="preserve"> </w:t>
      </w:r>
      <w:r>
        <w:t>its</w:t>
      </w:r>
      <w:r>
        <w:rPr>
          <w:spacing w:val="-3"/>
        </w:rPr>
        <w:t xml:space="preserve"> </w:t>
      </w:r>
      <w:r>
        <w:t>hotline</w:t>
      </w:r>
      <w:r>
        <w:rPr>
          <w:spacing w:val="-4"/>
        </w:rPr>
        <w:t xml:space="preserve"> </w:t>
      </w:r>
      <w:r>
        <w:t>and</w:t>
      </w:r>
      <w:r>
        <w:rPr>
          <w:spacing w:val="-5"/>
        </w:rPr>
        <w:t xml:space="preserve"> </w:t>
      </w:r>
      <w:r>
        <w:t>in</w:t>
      </w:r>
      <w:r>
        <w:rPr>
          <w:spacing w:val="-4"/>
        </w:rPr>
        <w:t xml:space="preserve"> </w:t>
      </w:r>
      <w:r>
        <w:t>coordination with the National System of Emergency Care, 911. Of these, 1,262 referred to physical, psychological, verbal</w:t>
      </w:r>
      <w:r>
        <w:rPr>
          <w:spacing w:val="-7"/>
        </w:rPr>
        <w:t xml:space="preserve"> </w:t>
      </w:r>
      <w:r>
        <w:t>and</w:t>
      </w:r>
      <w:r>
        <w:rPr>
          <w:spacing w:val="-5"/>
        </w:rPr>
        <w:t xml:space="preserve"> </w:t>
      </w:r>
      <w:r>
        <w:t>property</w:t>
      </w:r>
      <w:r>
        <w:rPr>
          <w:spacing w:val="-7"/>
        </w:rPr>
        <w:t xml:space="preserve"> </w:t>
      </w:r>
      <w:r>
        <w:t>violence.</w:t>
      </w:r>
      <w:r>
        <w:rPr>
          <w:spacing w:val="-7"/>
        </w:rPr>
        <w:t xml:space="preserve"> </w:t>
      </w:r>
      <w:r>
        <w:t>They</w:t>
      </w:r>
      <w:r>
        <w:rPr>
          <w:spacing w:val="-7"/>
        </w:rPr>
        <w:t xml:space="preserve"> </w:t>
      </w:r>
      <w:r>
        <w:t>also</w:t>
      </w:r>
      <w:r>
        <w:rPr>
          <w:spacing w:val="-6"/>
        </w:rPr>
        <w:t xml:space="preserve"> </w:t>
      </w:r>
      <w:r>
        <w:t>provided</w:t>
      </w:r>
      <w:r>
        <w:rPr>
          <w:spacing w:val="-8"/>
        </w:rPr>
        <w:t xml:space="preserve"> </w:t>
      </w:r>
      <w:r>
        <w:t>protection</w:t>
      </w:r>
      <w:r>
        <w:rPr>
          <w:spacing w:val="-8"/>
        </w:rPr>
        <w:t xml:space="preserve"> </w:t>
      </w:r>
      <w:r>
        <w:t>from</w:t>
      </w:r>
      <w:r>
        <w:rPr>
          <w:spacing w:val="-7"/>
        </w:rPr>
        <w:t xml:space="preserve"> </w:t>
      </w:r>
      <w:r>
        <w:t>extreme</w:t>
      </w:r>
      <w:r>
        <w:rPr>
          <w:spacing w:val="-8"/>
        </w:rPr>
        <w:t xml:space="preserve"> </w:t>
      </w:r>
      <w:r>
        <w:t>violence</w:t>
      </w:r>
      <w:r>
        <w:rPr>
          <w:spacing w:val="-5"/>
        </w:rPr>
        <w:t xml:space="preserve"> </w:t>
      </w:r>
      <w:r>
        <w:t>to</w:t>
      </w:r>
      <w:r>
        <w:rPr>
          <w:spacing w:val="-6"/>
        </w:rPr>
        <w:t xml:space="preserve"> </w:t>
      </w:r>
      <w:r>
        <w:t>1,241</w:t>
      </w:r>
      <w:r>
        <w:rPr>
          <w:spacing w:val="-5"/>
        </w:rPr>
        <w:t xml:space="preserve"> </w:t>
      </w:r>
      <w:r>
        <w:t>women</w:t>
      </w:r>
      <w:r>
        <w:rPr>
          <w:spacing w:val="-5"/>
        </w:rPr>
        <w:t xml:space="preserve"> </w:t>
      </w:r>
      <w:r>
        <w:t xml:space="preserve">and their children under 13. Half of this figure, 662, was received in June alone, when confinement and </w:t>
      </w:r>
      <w:r>
        <w:lastRenderedPageBreak/>
        <w:t>curfews were relaxed</w:t>
      </w:r>
      <w:r w:rsidR="00E74907">
        <w:rPr>
          <w:rStyle w:val="FootnoteReference"/>
        </w:rPr>
        <w:footnoteReference w:id="6"/>
      </w:r>
      <w:r>
        <w:rPr>
          <w:vertAlign w:val="superscript"/>
        </w:rPr>
        <w:t>12</w:t>
      </w:r>
      <w:r>
        <w:t>. The services of the Línea Mujer *212 and Las Casas de Acogida, declared as essential services during the</w:t>
      </w:r>
      <w:r>
        <w:rPr>
          <w:spacing w:val="-3"/>
        </w:rPr>
        <w:t xml:space="preserve"> </w:t>
      </w:r>
      <w:r>
        <w:t>pandemic.</w:t>
      </w:r>
    </w:p>
    <w:p w:rsidR="0083635F" w:rsidRDefault="0083635F">
      <w:pPr>
        <w:pStyle w:val="BodyText"/>
        <w:spacing w:before="2"/>
        <w:rPr>
          <w:sz w:val="25"/>
        </w:rPr>
      </w:pPr>
    </w:p>
    <w:p w:rsidR="0083635F" w:rsidRDefault="00501056">
      <w:pPr>
        <w:pStyle w:val="Heading1"/>
        <w:ind w:left="191"/>
        <w:jc w:val="left"/>
      </w:pPr>
      <w:r>
        <w:t>RECOMMENDATIONS</w:t>
      </w:r>
    </w:p>
    <w:p w:rsidR="0083635F" w:rsidRDefault="0083635F">
      <w:pPr>
        <w:pStyle w:val="BodyText"/>
        <w:spacing w:before="8"/>
        <w:rPr>
          <w:b/>
          <w:sz w:val="28"/>
        </w:rPr>
      </w:pPr>
    </w:p>
    <w:p w:rsidR="0083635F" w:rsidRDefault="00501056">
      <w:pPr>
        <w:pStyle w:val="ListParagraph"/>
        <w:numPr>
          <w:ilvl w:val="0"/>
          <w:numId w:val="5"/>
        </w:numPr>
        <w:tabs>
          <w:tab w:val="left" w:pos="912"/>
        </w:tabs>
        <w:spacing w:before="1" w:line="276" w:lineRule="auto"/>
        <w:ind w:right="113"/>
        <w:jc w:val="both"/>
      </w:pPr>
      <w:r>
        <w:t>Approval</w:t>
      </w:r>
      <w:r>
        <w:rPr>
          <w:spacing w:val="-7"/>
        </w:rPr>
        <w:t xml:space="preserve"> </w:t>
      </w:r>
      <w:r>
        <w:t>of</w:t>
      </w:r>
      <w:r>
        <w:rPr>
          <w:spacing w:val="-4"/>
        </w:rPr>
        <w:t xml:space="preserve"> </w:t>
      </w:r>
      <w:r>
        <w:t>the</w:t>
      </w:r>
      <w:r>
        <w:rPr>
          <w:spacing w:val="-8"/>
        </w:rPr>
        <w:t xml:space="preserve"> </w:t>
      </w:r>
      <w:r>
        <w:t>draft</w:t>
      </w:r>
      <w:r>
        <w:rPr>
          <w:spacing w:val="-6"/>
        </w:rPr>
        <w:t xml:space="preserve"> </w:t>
      </w:r>
      <w:r>
        <w:t>law</w:t>
      </w:r>
      <w:r>
        <w:rPr>
          <w:spacing w:val="-9"/>
        </w:rPr>
        <w:t xml:space="preserve"> </w:t>
      </w:r>
      <w:r>
        <w:t>creating</w:t>
      </w:r>
      <w:r>
        <w:rPr>
          <w:spacing w:val="-6"/>
        </w:rPr>
        <w:t xml:space="preserve"> </w:t>
      </w:r>
      <w:r>
        <w:t>the</w:t>
      </w:r>
      <w:r>
        <w:rPr>
          <w:spacing w:val="-6"/>
        </w:rPr>
        <w:t xml:space="preserve"> </w:t>
      </w:r>
      <w:r>
        <w:t>Comprehensive</w:t>
      </w:r>
      <w:r>
        <w:rPr>
          <w:spacing w:val="-5"/>
        </w:rPr>
        <w:t xml:space="preserve"> </w:t>
      </w:r>
      <w:r>
        <w:t>System</w:t>
      </w:r>
      <w:r>
        <w:rPr>
          <w:spacing w:val="-7"/>
        </w:rPr>
        <w:t xml:space="preserve"> </w:t>
      </w:r>
      <w:r>
        <w:t>for</w:t>
      </w:r>
      <w:r>
        <w:rPr>
          <w:spacing w:val="-7"/>
        </w:rPr>
        <w:t xml:space="preserve"> </w:t>
      </w:r>
      <w:r>
        <w:t>the</w:t>
      </w:r>
      <w:r>
        <w:rPr>
          <w:spacing w:val="-8"/>
        </w:rPr>
        <w:t xml:space="preserve"> </w:t>
      </w:r>
      <w:r>
        <w:t>Prevention,</w:t>
      </w:r>
      <w:r>
        <w:rPr>
          <w:spacing w:val="-7"/>
        </w:rPr>
        <w:t xml:space="preserve"> </w:t>
      </w:r>
      <w:r>
        <w:t>Treatment</w:t>
      </w:r>
      <w:r>
        <w:rPr>
          <w:spacing w:val="-6"/>
        </w:rPr>
        <w:t xml:space="preserve"> </w:t>
      </w:r>
      <w:r>
        <w:t>and Punishment</w:t>
      </w:r>
      <w:r>
        <w:rPr>
          <w:spacing w:val="-14"/>
        </w:rPr>
        <w:t xml:space="preserve"> </w:t>
      </w:r>
      <w:r>
        <w:t>of</w:t>
      </w:r>
      <w:r>
        <w:rPr>
          <w:spacing w:val="-13"/>
        </w:rPr>
        <w:t xml:space="preserve"> </w:t>
      </w:r>
      <w:r>
        <w:t>Violence</w:t>
      </w:r>
      <w:r>
        <w:rPr>
          <w:spacing w:val="-14"/>
        </w:rPr>
        <w:t xml:space="preserve"> </w:t>
      </w:r>
      <w:r>
        <w:t>against</w:t>
      </w:r>
      <w:r>
        <w:rPr>
          <w:spacing w:val="-20"/>
        </w:rPr>
        <w:t xml:space="preserve"> </w:t>
      </w:r>
      <w:r>
        <w:t>Women,</w:t>
      </w:r>
      <w:r>
        <w:rPr>
          <w:spacing w:val="-13"/>
        </w:rPr>
        <w:t xml:space="preserve"> </w:t>
      </w:r>
      <w:r>
        <w:t>assigning</w:t>
      </w:r>
      <w:r>
        <w:rPr>
          <w:spacing w:val="-14"/>
        </w:rPr>
        <w:t xml:space="preserve"> </w:t>
      </w:r>
      <w:r>
        <w:t>its</w:t>
      </w:r>
      <w:r>
        <w:rPr>
          <w:spacing w:val="-16"/>
        </w:rPr>
        <w:t xml:space="preserve"> </w:t>
      </w:r>
      <w:r>
        <w:t>governing</w:t>
      </w:r>
      <w:r>
        <w:rPr>
          <w:spacing w:val="-12"/>
        </w:rPr>
        <w:t xml:space="preserve"> </w:t>
      </w:r>
      <w:r>
        <w:t>body</w:t>
      </w:r>
      <w:r>
        <w:rPr>
          <w:spacing w:val="-17"/>
        </w:rPr>
        <w:t xml:space="preserve"> </w:t>
      </w:r>
      <w:r>
        <w:t>to</w:t>
      </w:r>
      <w:r>
        <w:rPr>
          <w:spacing w:val="-16"/>
        </w:rPr>
        <w:t xml:space="preserve"> </w:t>
      </w:r>
      <w:r>
        <w:t>the</w:t>
      </w:r>
      <w:r>
        <w:rPr>
          <w:spacing w:val="-16"/>
        </w:rPr>
        <w:t xml:space="preserve"> </w:t>
      </w:r>
      <w:r>
        <w:t>Ministry</w:t>
      </w:r>
      <w:r>
        <w:rPr>
          <w:spacing w:val="-16"/>
        </w:rPr>
        <w:t xml:space="preserve"> </w:t>
      </w:r>
      <w:r>
        <w:t>of</w:t>
      </w:r>
      <w:r>
        <w:rPr>
          <w:spacing w:val="-18"/>
        </w:rPr>
        <w:t xml:space="preserve"> </w:t>
      </w:r>
      <w:r>
        <w:t>Women's Affairs and providing it with sufficient resources for its</w:t>
      </w:r>
      <w:r>
        <w:rPr>
          <w:spacing w:val="-12"/>
        </w:rPr>
        <w:t xml:space="preserve"> </w:t>
      </w:r>
      <w:r>
        <w:t>implementation</w:t>
      </w:r>
    </w:p>
    <w:p w:rsidR="0083635F" w:rsidRDefault="00501056">
      <w:pPr>
        <w:pStyle w:val="ListParagraph"/>
        <w:numPr>
          <w:ilvl w:val="0"/>
          <w:numId w:val="5"/>
        </w:numPr>
        <w:tabs>
          <w:tab w:val="left" w:pos="912"/>
        </w:tabs>
        <w:spacing w:before="1" w:line="276" w:lineRule="auto"/>
        <w:jc w:val="both"/>
      </w:pPr>
      <w:r>
        <w:t>Strengthen the internal policies of the Office of the Attorney General of the Republic and the Public Prosecutor's Office for the efficient and timely investigation, processing and prosecution of crimes of violence against women and domestic violence, ensuring that impunity, re- victimization and discrimination are</w:t>
      </w:r>
      <w:r>
        <w:rPr>
          <w:spacing w:val="-3"/>
        </w:rPr>
        <w:t xml:space="preserve"> </w:t>
      </w:r>
      <w:r>
        <w:t>avoided</w:t>
      </w:r>
    </w:p>
    <w:p w:rsidR="0083635F" w:rsidRDefault="00501056">
      <w:pPr>
        <w:pStyle w:val="ListParagraph"/>
        <w:numPr>
          <w:ilvl w:val="0"/>
          <w:numId w:val="5"/>
        </w:numPr>
        <w:tabs>
          <w:tab w:val="left" w:pos="912"/>
        </w:tabs>
        <w:spacing w:line="276" w:lineRule="auto"/>
        <w:ind w:right="114"/>
        <w:jc w:val="both"/>
      </w:pPr>
      <w:r>
        <w:t>To strengthen the internal policies of the judiciary for the comprehensive care of victims of violence against women and domestic violence without discrimination in the process of access to</w:t>
      </w:r>
      <w:r>
        <w:rPr>
          <w:spacing w:val="-2"/>
        </w:rPr>
        <w:t xml:space="preserve"> </w:t>
      </w:r>
      <w:r>
        <w:t>justice.</w:t>
      </w:r>
    </w:p>
    <w:p w:rsidR="0083635F" w:rsidRDefault="00501056">
      <w:pPr>
        <w:pStyle w:val="ListParagraph"/>
        <w:numPr>
          <w:ilvl w:val="0"/>
          <w:numId w:val="5"/>
        </w:numPr>
        <w:tabs>
          <w:tab w:val="left" w:pos="912"/>
        </w:tabs>
        <w:spacing w:line="276" w:lineRule="auto"/>
        <w:ind w:right="115"/>
        <w:jc w:val="both"/>
      </w:pPr>
      <w:r>
        <w:t>To strengthen the policies of the Ministry of Women's Affairs, as well as its technical and operational resources for the prevention and care of victims of violence against women and domestic violence without</w:t>
      </w:r>
      <w:r>
        <w:rPr>
          <w:spacing w:val="-2"/>
        </w:rPr>
        <w:t xml:space="preserve"> </w:t>
      </w:r>
      <w:r>
        <w:t>discrimination.</w:t>
      </w:r>
    </w:p>
    <w:p w:rsidR="0083635F" w:rsidRDefault="00501056">
      <w:pPr>
        <w:pStyle w:val="ListParagraph"/>
        <w:numPr>
          <w:ilvl w:val="0"/>
          <w:numId w:val="5"/>
        </w:numPr>
        <w:tabs>
          <w:tab w:val="left" w:pos="912"/>
        </w:tabs>
        <w:spacing w:line="276" w:lineRule="auto"/>
        <w:ind w:right="117"/>
        <w:jc w:val="both"/>
      </w:pPr>
      <w:r>
        <w:t>Promote</w:t>
      </w:r>
      <w:r>
        <w:rPr>
          <w:spacing w:val="-17"/>
        </w:rPr>
        <w:t xml:space="preserve"> </w:t>
      </w:r>
      <w:r>
        <w:t>transparency</w:t>
      </w:r>
      <w:r>
        <w:rPr>
          <w:spacing w:val="-16"/>
        </w:rPr>
        <w:t xml:space="preserve"> </w:t>
      </w:r>
      <w:r>
        <w:t>in</w:t>
      </w:r>
      <w:r>
        <w:rPr>
          <w:spacing w:val="-16"/>
        </w:rPr>
        <w:t xml:space="preserve"> </w:t>
      </w:r>
      <w:r>
        <w:t>the</w:t>
      </w:r>
      <w:r>
        <w:rPr>
          <w:spacing w:val="-15"/>
        </w:rPr>
        <w:t xml:space="preserve"> </w:t>
      </w:r>
      <w:r>
        <w:t>handling</w:t>
      </w:r>
      <w:r>
        <w:rPr>
          <w:spacing w:val="-12"/>
        </w:rPr>
        <w:t xml:space="preserve"> </w:t>
      </w:r>
      <w:r>
        <w:t>of</w:t>
      </w:r>
      <w:r>
        <w:rPr>
          <w:spacing w:val="-13"/>
        </w:rPr>
        <w:t xml:space="preserve"> </w:t>
      </w:r>
      <w:r>
        <w:t>cases</w:t>
      </w:r>
      <w:r>
        <w:rPr>
          <w:spacing w:val="-13"/>
        </w:rPr>
        <w:t xml:space="preserve"> </w:t>
      </w:r>
      <w:r>
        <w:t>of</w:t>
      </w:r>
      <w:r>
        <w:rPr>
          <w:spacing w:val="-12"/>
        </w:rPr>
        <w:t xml:space="preserve"> </w:t>
      </w:r>
      <w:r>
        <w:t>violence</w:t>
      </w:r>
      <w:r>
        <w:rPr>
          <w:spacing w:val="-14"/>
        </w:rPr>
        <w:t xml:space="preserve"> </w:t>
      </w:r>
      <w:r>
        <w:t>against</w:t>
      </w:r>
      <w:r>
        <w:rPr>
          <w:spacing w:val="-15"/>
        </w:rPr>
        <w:t xml:space="preserve"> </w:t>
      </w:r>
      <w:r>
        <w:t>women</w:t>
      </w:r>
      <w:r>
        <w:rPr>
          <w:spacing w:val="-14"/>
        </w:rPr>
        <w:t xml:space="preserve"> </w:t>
      </w:r>
      <w:r>
        <w:t>and</w:t>
      </w:r>
      <w:r>
        <w:rPr>
          <w:spacing w:val="-14"/>
        </w:rPr>
        <w:t xml:space="preserve"> </w:t>
      </w:r>
      <w:r>
        <w:t>domestic</w:t>
      </w:r>
      <w:r>
        <w:rPr>
          <w:spacing w:val="-13"/>
        </w:rPr>
        <w:t xml:space="preserve"> </w:t>
      </w:r>
      <w:r>
        <w:t>violence in all State institutions, with a clear regime of</w:t>
      </w:r>
      <w:r>
        <w:rPr>
          <w:spacing w:val="-2"/>
        </w:rPr>
        <w:t xml:space="preserve"> </w:t>
      </w:r>
      <w:r>
        <w:t>consequences.</w:t>
      </w:r>
    </w:p>
    <w:p w:rsidR="0083635F" w:rsidRDefault="00501056">
      <w:pPr>
        <w:pStyle w:val="ListParagraph"/>
        <w:numPr>
          <w:ilvl w:val="0"/>
          <w:numId w:val="5"/>
        </w:numPr>
        <w:tabs>
          <w:tab w:val="left" w:pos="912"/>
        </w:tabs>
        <w:spacing w:line="278" w:lineRule="auto"/>
        <w:ind w:right="116"/>
        <w:jc w:val="both"/>
      </w:pPr>
      <w:r>
        <w:t>To make the detection, prevention and comprehensive care of violence against women and domestic violence in the health and education systems an institutional</w:t>
      </w:r>
      <w:r>
        <w:rPr>
          <w:spacing w:val="-10"/>
        </w:rPr>
        <w:t xml:space="preserve"> </w:t>
      </w:r>
      <w:r>
        <w:t>priority.</w:t>
      </w:r>
    </w:p>
    <w:p w:rsidR="0083635F" w:rsidRDefault="00501056">
      <w:pPr>
        <w:pStyle w:val="ListParagraph"/>
        <w:numPr>
          <w:ilvl w:val="0"/>
          <w:numId w:val="5"/>
        </w:numPr>
        <w:tabs>
          <w:tab w:val="left" w:pos="912"/>
        </w:tabs>
        <w:spacing w:line="276" w:lineRule="auto"/>
        <w:jc w:val="both"/>
      </w:pPr>
      <w:r>
        <w:lastRenderedPageBreak/>
        <w:t>Strengthen and expand services available to respond to violence against women and domestic violence in emergency settings, particularly during the Covid-19 pandemic, in which many women are confined with their</w:t>
      </w:r>
      <w:r>
        <w:rPr>
          <w:spacing w:val="-3"/>
        </w:rPr>
        <w:t xml:space="preserve"> </w:t>
      </w:r>
      <w:r>
        <w:t>abusers.</w:t>
      </w:r>
    </w:p>
    <w:p w:rsidR="0083635F" w:rsidRDefault="004F2777" w:rsidP="00E74907">
      <w:pPr>
        <w:pStyle w:val="BodyText"/>
        <w:numPr>
          <w:ilvl w:val="0"/>
          <w:numId w:val="5"/>
        </w:numPr>
        <w:spacing w:before="2"/>
      </w:pPr>
      <w:r>
        <w:rPr>
          <w:noProof/>
          <w:lang w:val="en-GB" w:eastAsia="en-GB"/>
        </w:rPr>
        <mc:AlternateContent>
          <mc:Choice Requires="wps">
            <w:drawing>
              <wp:anchor distT="0" distB="0" distL="0" distR="0" simplePos="0" relativeHeight="487593472" behindDoc="1" locked="0" layoutInCell="1" allowOverlap="1">
                <wp:simplePos x="0" y="0"/>
                <wp:positionH relativeFrom="page">
                  <wp:posOffset>743585</wp:posOffset>
                </wp:positionH>
                <wp:positionV relativeFrom="paragraph">
                  <wp:posOffset>230505</wp:posOffset>
                </wp:positionV>
                <wp:extent cx="1829435" cy="8890"/>
                <wp:effectExtent l="0" t="0" r="0" b="0"/>
                <wp:wrapTopAndBottom/>
                <wp:docPr id="3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DFD620" id="Rectangle 15" o:spid="_x0000_s1026" style="position:absolute;margin-left:58.55pt;margin-top:18.15pt;width:144.05pt;height:.7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" fillcolor="black" stroked="f">
                <w10:wrap type="topAndBottom" anchorx="page"/>
              </v:rect>
            </w:pict>
          </mc:Fallback>
        </mc:AlternateContent>
      </w:r>
      <w:r w:rsidR="00501056">
        <w:t>Strengthen the supervision, monitoring and guarantee of application of health protocols on violence against women and domestic violence by the Ministry of Public</w:t>
      </w:r>
      <w:r w:rsidR="00501056">
        <w:rPr>
          <w:spacing w:val="-7"/>
        </w:rPr>
        <w:t xml:space="preserve"> </w:t>
      </w:r>
      <w:r w:rsidR="00501056">
        <w:t>Health.</w:t>
      </w:r>
    </w:p>
    <w:p w:rsidR="0083635F" w:rsidRDefault="00501056">
      <w:pPr>
        <w:pStyle w:val="ListParagraph"/>
        <w:numPr>
          <w:ilvl w:val="0"/>
          <w:numId w:val="5"/>
        </w:numPr>
        <w:tabs>
          <w:tab w:val="left" w:pos="912"/>
        </w:tabs>
        <w:spacing w:line="276" w:lineRule="auto"/>
        <w:ind w:right="119"/>
        <w:jc w:val="both"/>
      </w:pPr>
      <w:r>
        <w:t>To effectively implement the detection, prevention and assistance to victims of violence against women and domestic violence from all levels of care of the National Health Service, efficiently applying the corresponding</w:t>
      </w:r>
      <w:r>
        <w:rPr>
          <w:spacing w:val="-1"/>
        </w:rPr>
        <w:t xml:space="preserve"> </w:t>
      </w:r>
      <w:r>
        <w:t>protocols</w:t>
      </w:r>
    </w:p>
    <w:p w:rsidR="0083635F" w:rsidRDefault="00501056">
      <w:pPr>
        <w:pStyle w:val="ListParagraph"/>
        <w:numPr>
          <w:ilvl w:val="0"/>
          <w:numId w:val="5"/>
        </w:numPr>
        <w:tabs>
          <w:tab w:val="left" w:pos="912"/>
        </w:tabs>
        <w:spacing w:before="1" w:line="276" w:lineRule="auto"/>
        <w:ind w:right="117"/>
        <w:jc w:val="both"/>
      </w:pPr>
      <w:r>
        <w:t>Allocate</w:t>
      </w:r>
      <w:r>
        <w:rPr>
          <w:spacing w:val="-16"/>
        </w:rPr>
        <w:t xml:space="preserve"> </w:t>
      </w:r>
      <w:r>
        <w:t>sufficient</w:t>
      </w:r>
      <w:r>
        <w:rPr>
          <w:spacing w:val="-17"/>
        </w:rPr>
        <w:t xml:space="preserve"> </w:t>
      </w:r>
      <w:r>
        <w:t>public</w:t>
      </w:r>
      <w:r>
        <w:rPr>
          <w:spacing w:val="-15"/>
        </w:rPr>
        <w:t xml:space="preserve"> </w:t>
      </w:r>
      <w:r>
        <w:t>resources</w:t>
      </w:r>
      <w:r>
        <w:rPr>
          <w:spacing w:val="-18"/>
        </w:rPr>
        <w:t xml:space="preserve"> </w:t>
      </w:r>
      <w:r>
        <w:t>to</w:t>
      </w:r>
      <w:r>
        <w:rPr>
          <w:spacing w:val="-15"/>
        </w:rPr>
        <w:t xml:space="preserve"> </w:t>
      </w:r>
      <w:r>
        <w:t>expand</w:t>
      </w:r>
      <w:r>
        <w:rPr>
          <w:spacing w:val="-19"/>
        </w:rPr>
        <w:t xml:space="preserve"> </w:t>
      </w:r>
      <w:r>
        <w:t>the</w:t>
      </w:r>
      <w:r>
        <w:rPr>
          <w:spacing w:val="-16"/>
        </w:rPr>
        <w:t xml:space="preserve"> </w:t>
      </w:r>
      <w:r>
        <w:t>capacity</w:t>
      </w:r>
      <w:r>
        <w:rPr>
          <w:spacing w:val="-17"/>
        </w:rPr>
        <w:t xml:space="preserve"> </w:t>
      </w:r>
      <w:r>
        <w:t>and</w:t>
      </w:r>
      <w:r>
        <w:rPr>
          <w:spacing w:val="-16"/>
        </w:rPr>
        <w:t xml:space="preserve"> </w:t>
      </w:r>
      <w:r>
        <w:t>territorial</w:t>
      </w:r>
      <w:r>
        <w:rPr>
          <w:spacing w:val="-16"/>
        </w:rPr>
        <w:t xml:space="preserve"> </w:t>
      </w:r>
      <w:r>
        <w:t>coverage</w:t>
      </w:r>
      <w:r>
        <w:rPr>
          <w:spacing w:val="-16"/>
        </w:rPr>
        <w:t xml:space="preserve"> </w:t>
      </w:r>
      <w:r>
        <w:t>of</w:t>
      </w:r>
      <w:r>
        <w:rPr>
          <w:spacing w:val="-15"/>
        </w:rPr>
        <w:t xml:space="preserve"> </w:t>
      </w:r>
      <w:r>
        <w:t>the</w:t>
      </w:r>
      <w:r>
        <w:rPr>
          <w:spacing w:val="-18"/>
        </w:rPr>
        <w:t xml:space="preserve"> </w:t>
      </w:r>
      <w:r>
        <w:t>shelters, which are the responsibility of the Ministry of Women's</w:t>
      </w:r>
      <w:r>
        <w:rPr>
          <w:spacing w:val="-16"/>
        </w:rPr>
        <w:t xml:space="preserve"> </w:t>
      </w:r>
      <w:r>
        <w:t>Affairs.</w:t>
      </w:r>
    </w:p>
    <w:p w:rsidR="0083635F" w:rsidRDefault="0083635F">
      <w:pPr>
        <w:pStyle w:val="BodyText"/>
        <w:rPr>
          <w:sz w:val="24"/>
        </w:rPr>
      </w:pPr>
    </w:p>
    <w:p w:rsidR="0083635F" w:rsidRDefault="00501056">
      <w:pPr>
        <w:pStyle w:val="Heading1"/>
        <w:spacing w:before="202"/>
        <w:ind w:right="1770"/>
      </w:pPr>
      <w:bookmarkStart w:id="3" w:name="_bookmark2"/>
      <w:bookmarkEnd w:id="3"/>
      <w:r>
        <w:rPr>
          <w:u w:val="thick"/>
        </w:rPr>
        <w:t>ARTICLE 4 - DISCRIMINATION</w:t>
      </w:r>
    </w:p>
    <w:p w:rsidR="0083635F" w:rsidRDefault="0083635F">
      <w:pPr>
        <w:pStyle w:val="BodyText"/>
        <w:spacing w:before="7"/>
        <w:rPr>
          <w:b/>
          <w:sz w:val="20"/>
        </w:rPr>
      </w:pPr>
    </w:p>
    <w:p w:rsidR="0083635F" w:rsidRDefault="00501056" w:rsidP="006A14C2">
      <w:pPr>
        <w:pStyle w:val="BodyText"/>
        <w:spacing w:before="94" w:line="276" w:lineRule="auto"/>
        <w:ind w:left="191" w:right="113"/>
        <w:jc w:val="both"/>
      </w:pPr>
      <w:r>
        <w:t>Structural and racial discrimination against migrants of Haitian citizenship and their descendants born in</w:t>
      </w:r>
      <w:r>
        <w:rPr>
          <w:spacing w:val="-5"/>
        </w:rPr>
        <w:t xml:space="preserve"> </w:t>
      </w:r>
      <w:r>
        <w:t>the</w:t>
      </w:r>
      <w:r>
        <w:rPr>
          <w:spacing w:val="-5"/>
        </w:rPr>
        <w:t xml:space="preserve"> </w:t>
      </w:r>
      <w:r>
        <w:t>Dominican</w:t>
      </w:r>
      <w:r>
        <w:rPr>
          <w:spacing w:val="-4"/>
        </w:rPr>
        <w:t xml:space="preserve"> </w:t>
      </w:r>
      <w:r>
        <w:t>Republic</w:t>
      </w:r>
      <w:r>
        <w:rPr>
          <w:spacing w:val="-5"/>
        </w:rPr>
        <w:t xml:space="preserve"> </w:t>
      </w:r>
      <w:r>
        <w:t>is</w:t>
      </w:r>
      <w:r>
        <w:rPr>
          <w:spacing w:val="-4"/>
        </w:rPr>
        <w:t xml:space="preserve"> </w:t>
      </w:r>
      <w:r>
        <w:t>historical,</w:t>
      </w:r>
      <w:r>
        <w:rPr>
          <w:spacing w:val="-6"/>
        </w:rPr>
        <w:t xml:space="preserve"> </w:t>
      </w:r>
      <w:r>
        <w:t>manifesting</w:t>
      </w:r>
      <w:r>
        <w:rPr>
          <w:spacing w:val="-3"/>
        </w:rPr>
        <w:t xml:space="preserve"> </w:t>
      </w:r>
      <w:r>
        <w:t>itself in</w:t>
      </w:r>
      <w:r>
        <w:rPr>
          <w:spacing w:val="-5"/>
        </w:rPr>
        <w:t xml:space="preserve"> </w:t>
      </w:r>
      <w:r>
        <w:t>systematic</w:t>
      </w:r>
      <w:r>
        <w:rPr>
          <w:spacing w:val="-4"/>
        </w:rPr>
        <w:t xml:space="preserve"> </w:t>
      </w:r>
      <w:r>
        <w:t>patterns</w:t>
      </w:r>
      <w:r>
        <w:rPr>
          <w:spacing w:val="-5"/>
        </w:rPr>
        <w:t xml:space="preserve"> </w:t>
      </w:r>
      <w:r>
        <w:t>of</w:t>
      </w:r>
      <w:r>
        <w:rPr>
          <w:spacing w:val="-4"/>
        </w:rPr>
        <w:t xml:space="preserve"> </w:t>
      </w:r>
      <w:r>
        <w:t>economic,</w:t>
      </w:r>
      <w:r>
        <w:rPr>
          <w:spacing w:val="-3"/>
        </w:rPr>
        <w:t xml:space="preserve"> </w:t>
      </w:r>
      <w:r>
        <w:t>social</w:t>
      </w:r>
      <w:r>
        <w:rPr>
          <w:spacing w:val="-6"/>
        </w:rPr>
        <w:t xml:space="preserve"> </w:t>
      </w:r>
      <w:r>
        <w:t xml:space="preserve">and cultural marginalization. In the case of women and girls of Haitian origin (and generations) who live in extreme poverty in isolated communities called </w:t>
      </w:r>
      <w:r>
        <w:rPr>
          <w:i/>
        </w:rPr>
        <w:t xml:space="preserve">"bateyes", </w:t>
      </w:r>
      <w:r>
        <w:t>the non-recognition of the right to</w:t>
      </w:r>
      <w:r>
        <w:rPr>
          <w:spacing w:val="-41"/>
        </w:rPr>
        <w:t xml:space="preserve"> </w:t>
      </w:r>
      <w:r>
        <w:t>Dominican nationality</w:t>
      </w:r>
      <w:r>
        <w:rPr>
          <w:spacing w:val="-9"/>
        </w:rPr>
        <w:t xml:space="preserve"> </w:t>
      </w:r>
      <w:r>
        <w:t>and</w:t>
      </w:r>
      <w:r>
        <w:rPr>
          <w:spacing w:val="-7"/>
        </w:rPr>
        <w:t xml:space="preserve"> </w:t>
      </w:r>
      <w:r>
        <w:t>under-registration</w:t>
      </w:r>
      <w:r>
        <w:rPr>
          <w:spacing w:val="-6"/>
        </w:rPr>
        <w:t xml:space="preserve"> </w:t>
      </w:r>
      <w:r>
        <w:t>is</w:t>
      </w:r>
      <w:r>
        <w:rPr>
          <w:spacing w:val="-7"/>
        </w:rPr>
        <w:t xml:space="preserve"> </w:t>
      </w:r>
      <w:r>
        <w:t>disproportionate,</w:t>
      </w:r>
      <w:r>
        <w:rPr>
          <w:spacing w:val="-6"/>
        </w:rPr>
        <w:t xml:space="preserve"> </w:t>
      </w:r>
      <w:r>
        <w:t>seriously</w:t>
      </w:r>
      <w:r>
        <w:rPr>
          <w:spacing w:val="-8"/>
        </w:rPr>
        <w:t xml:space="preserve"> </w:t>
      </w:r>
      <w:r>
        <w:t>impacting</w:t>
      </w:r>
      <w:r>
        <w:rPr>
          <w:spacing w:val="-8"/>
        </w:rPr>
        <w:t xml:space="preserve"> </w:t>
      </w:r>
      <w:r>
        <w:t>their</w:t>
      </w:r>
      <w:r>
        <w:rPr>
          <w:spacing w:val="-6"/>
        </w:rPr>
        <w:t xml:space="preserve"> </w:t>
      </w:r>
      <w:r>
        <w:t>rights.</w:t>
      </w:r>
      <w:r>
        <w:rPr>
          <w:spacing w:val="-5"/>
        </w:rPr>
        <w:t xml:space="preserve"> </w:t>
      </w:r>
      <w:r>
        <w:t>A</w:t>
      </w:r>
      <w:r>
        <w:rPr>
          <w:spacing w:val="-3"/>
        </w:rPr>
        <w:t xml:space="preserve"> </w:t>
      </w:r>
      <w:r>
        <w:t>UNFPA</w:t>
      </w:r>
      <w:r>
        <w:rPr>
          <w:spacing w:val="-8"/>
        </w:rPr>
        <w:t xml:space="preserve"> </w:t>
      </w:r>
      <w:r>
        <w:t>study</w:t>
      </w:r>
      <w:r>
        <w:rPr>
          <w:spacing w:val="-8"/>
        </w:rPr>
        <w:t xml:space="preserve"> </w:t>
      </w:r>
      <w:r>
        <w:t>in 2018 showed the difference and reduced access to rights and services by the Haitian-born population in the country compared to another national origin</w:t>
      </w:r>
      <w:r w:rsidR="00FC4E62">
        <w:rPr>
          <w:rStyle w:val="FootnoteReference"/>
        </w:rPr>
        <w:footnoteReference w:id="7"/>
      </w:r>
      <w:r>
        <w:t xml:space="preserve">. </w:t>
      </w:r>
    </w:p>
    <w:p w:rsidR="006A14C2" w:rsidRDefault="006A14C2" w:rsidP="006A14C2">
      <w:pPr>
        <w:pStyle w:val="BodyText"/>
        <w:spacing w:before="94" w:line="276" w:lineRule="auto"/>
        <w:ind w:left="191" w:right="113"/>
        <w:jc w:val="both"/>
        <w:rPr>
          <w:sz w:val="25"/>
        </w:rPr>
      </w:pPr>
    </w:p>
    <w:p w:rsidR="0083635F" w:rsidRDefault="00501056">
      <w:pPr>
        <w:pStyle w:val="BodyText"/>
        <w:spacing w:line="276" w:lineRule="auto"/>
        <w:ind w:left="191" w:right="113"/>
        <w:jc w:val="both"/>
      </w:pPr>
      <w:r>
        <w:t xml:space="preserve">Constitutional Court Ruling No. 168 of September 23, 2013 is still in force, massively </w:t>
      </w:r>
      <w:r>
        <w:lastRenderedPageBreak/>
        <w:t xml:space="preserve">and retroactively denationalizing Dominicans of Haitian origin born in the country, whether or not they are registered in the Dominican civil registry, based on the irregular migratory origin of their parents. </w:t>
      </w:r>
    </w:p>
    <w:p w:rsidR="0083635F" w:rsidRDefault="0083635F">
      <w:pPr>
        <w:pStyle w:val="BodyText"/>
        <w:spacing w:before="2"/>
        <w:rPr>
          <w:sz w:val="25"/>
        </w:rPr>
      </w:pPr>
    </w:p>
    <w:p w:rsidR="0083635F" w:rsidRDefault="00501056">
      <w:pPr>
        <w:pStyle w:val="BodyText"/>
        <w:spacing w:before="1" w:line="276" w:lineRule="auto"/>
        <w:ind w:left="191" w:right="111"/>
        <w:jc w:val="both"/>
      </w:pPr>
      <w:r>
        <w:t>Six years after Law 169-14 it has been a total failure. Based on data received by the Inter-American Commission on Human Rights (IACHR) from the State between 2016-2019, approximately 49% of the 61,000</w:t>
      </w:r>
      <w:r>
        <w:rPr>
          <w:spacing w:val="-4"/>
        </w:rPr>
        <w:t xml:space="preserve"> </w:t>
      </w:r>
      <w:r>
        <w:t>registered</w:t>
      </w:r>
      <w:r>
        <w:rPr>
          <w:spacing w:val="-3"/>
        </w:rPr>
        <w:t xml:space="preserve"> </w:t>
      </w:r>
      <w:r>
        <w:t>in</w:t>
      </w:r>
      <w:r>
        <w:rPr>
          <w:spacing w:val="-4"/>
        </w:rPr>
        <w:t xml:space="preserve"> </w:t>
      </w:r>
      <w:r>
        <w:t>the</w:t>
      </w:r>
      <w:r>
        <w:rPr>
          <w:spacing w:val="-6"/>
        </w:rPr>
        <w:t xml:space="preserve"> </w:t>
      </w:r>
      <w:r>
        <w:t>civil</w:t>
      </w:r>
      <w:r>
        <w:rPr>
          <w:spacing w:val="-1"/>
        </w:rPr>
        <w:t xml:space="preserve"> </w:t>
      </w:r>
      <w:r>
        <w:t>registry</w:t>
      </w:r>
      <w:r>
        <w:rPr>
          <w:spacing w:val="-6"/>
        </w:rPr>
        <w:t xml:space="preserve"> </w:t>
      </w:r>
      <w:r>
        <w:t>(Group</w:t>
      </w:r>
      <w:r>
        <w:rPr>
          <w:spacing w:val="-3"/>
        </w:rPr>
        <w:t xml:space="preserve"> </w:t>
      </w:r>
      <w:r>
        <w:t>A</w:t>
      </w:r>
      <w:r>
        <w:rPr>
          <w:spacing w:val="-5"/>
        </w:rPr>
        <w:t xml:space="preserve"> </w:t>
      </w:r>
      <w:r>
        <w:t>of</w:t>
      </w:r>
      <w:r>
        <w:rPr>
          <w:spacing w:val="-2"/>
        </w:rPr>
        <w:t xml:space="preserve"> </w:t>
      </w:r>
      <w:r>
        <w:t>the</w:t>
      </w:r>
      <w:r>
        <w:rPr>
          <w:spacing w:val="-1"/>
        </w:rPr>
        <w:t xml:space="preserve"> </w:t>
      </w:r>
      <w:r>
        <w:t>Law)</w:t>
      </w:r>
      <w:r>
        <w:rPr>
          <w:spacing w:val="-3"/>
        </w:rPr>
        <w:t xml:space="preserve"> </w:t>
      </w:r>
      <w:r>
        <w:t>would</w:t>
      </w:r>
      <w:r>
        <w:rPr>
          <w:spacing w:val="-1"/>
        </w:rPr>
        <w:t xml:space="preserve"> </w:t>
      </w:r>
      <w:r>
        <w:t>be</w:t>
      </w:r>
      <w:r>
        <w:rPr>
          <w:spacing w:val="-2"/>
        </w:rPr>
        <w:t xml:space="preserve"> </w:t>
      </w:r>
      <w:r>
        <w:t>available</w:t>
      </w:r>
      <w:r>
        <w:rPr>
          <w:spacing w:val="-1"/>
        </w:rPr>
        <w:t xml:space="preserve"> </w:t>
      </w:r>
      <w:r>
        <w:t>to</w:t>
      </w:r>
      <w:r>
        <w:rPr>
          <w:spacing w:val="-4"/>
        </w:rPr>
        <w:t xml:space="preserve"> </w:t>
      </w:r>
      <w:r>
        <w:t>return</w:t>
      </w:r>
      <w:r>
        <w:rPr>
          <w:spacing w:val="-5"/>
        </w:rPr>
        <w:t xml:space="preserve"> </w:t>
      </w:r>
      <w:r>
        <w:t>their</w:t>
      </w:r>
      <w:r>
        <w:rPr>
          <w:spacing w:val="-2"/>
        </w:rPr>
        <w:t xml:space="preserve"> </w:t>
      </w:r>
      <w:r>
        <w:t>documents and 51% are not ready for delivery. The 8,750 who applied for naturalization today do not have Dominican</w:t>
      </w:r>
      <w:r>
        <w:rPr>
          <w:spacing w:val="-7"/>
        </w:rPr>
        <w:t xml:space="preserve"> </w:t>
      </w:r>
      <w:r>
        <w:t>nationality,</w:t>
      </w:r>
      <w:r>
        <w:rPr>
          <w:spacing w:val="-5"/>
        </w:rPr>
        <w:t xml:space="preserve"> </w:t>
      </w:r>
      <w:r>
        <w:t>and</w:t>
      </w:r>
      <w:r>
        <w:rPr>
          <w:spacing w:val="-6"/>
        </w:rPr>
        <w:t xml:space="preserve"> </w:t>
      </w:r>
      <w:r>
        <w:t>the</w:t>
      </w:r>
      <w:r>
        <w:rPr>
          <w:spacing w:val="-6"/>
        </w:rPr>
        <w:t xml:space="preserve"> </w:t>
      </w:r>
      <w:r>
        <w:t>process</w:t>
      </w:r>
      <w:r>
        <w:rPr>
          <w:spacing w:val="-8"/>
        </w:rPr>
        <w:t xml:space="preserve"> </w:t>
      </w:r>
      <w:r>
        <w:t>encountered</w:t>
      </w:r>
      <w:r>
        <w:rPr>
          <w:spacing w:val="-6"/>
        </w:rPr>
        <w:t xml:space="preserve"> </w:t>
      </w:r>
      <w:r>
        <w:t>obstacles:</w:t>
      </w:r>
      <w:r>
        <w:rPr>
          <w:spacing w:val="-8"/>
        </w:rPr>
        <w:t xml:space="preserve"> </w:t>
      </w:r>
      <w:r>
        <w:t>the</w:t>
      </w:r>
      <w:r>
        <w:rPr>
          <w:spacing w:val="-6"/>
        </w:rPr>
        <w:t xml:space="preserve"> </w:t>
      </w:r>
      <w:r>
        <w:t>mother's</w:t>
      </w:r>
      <w:r>
        <w:rPr>
          <w:spacing w:val="-5"/>
        </w:rPr>
        <w:t xml:space="preserve"> </w:t>
      </w:r>
      <w:r>
        <w:t>document</w:t>
      </w:r>
      <w:r>
        <w:rPr>
          <w:spacing w:val="-5"/>
        </w:rPr>
        <w:t xml:space="preserve"> </w:t>
      </w:r>
      <w:r>
        <w:t>was</w:t>
      </w:r>
      <w:r>
        <w:rPr>
          <w:spacing w:val="-6"/>
        </w:rPr>
        <w:t xml:space="preserve"> </w:t>
      </w:r>
      <w:r>
        <w:t>required</w:t>
      </w:r>
      <w:r>
        <w:rPr>
          <w:spacing w:val="-11"/>
        </w:rPr>
        <w:t xml:space="preserve"> </w:t>
      </w:r>
      <w:r>
        <w:t>for registration and the Law does not establish this, difficulties in identifying the mother and obtaining the document from the hospital of birth. The Law has no solution for the registration of descendants or minors of Group A or those who applied for special naturalization. Approximately 75,000 of the people who have applied are under 15 years of age registered in a Book of Foreigners that does not indicate nationality.</w:t>
      </w:r>
      <w:r>
        <w:rPr>
          <w:spacing w:val="-9"/>
        </w:rPr>
        <w:t xml:space="preserve"> </w:t>
      </w:r>
      <w:r>
        <w:t>In</w:t>
      </w:r>
      <w:r>
        <w:rPr>
          <w:spacing w:val="-11"/>
        </w:rPr>
        <w:t xml:space="preserve"> </w:t>
      </w:r>
      <w:r>
        <w:t>addition,</w:t>
      </w:r>
      <w:r>
        <w:rPr>
          <w:spacing w:val="-10"/>
        </w:rPr>
        <w:t xml:space="preserve"> </w:t>
      </w:r>
      <w:r>
        <w:t>there</w:t>
      </w:r>
      <w:r>
        <w:rPr>
          <w:spacing w:val="-8"/>
        </w:rPr>
        <w:t xml:space="preserve"> </w:t>
      </w:r>
      <w:r>
        <w:t>is</w:t>
      </w:r>
      <w:r>
        <w:rPr>
          <w:spacing w:val="-12"/>
        </w:rPr>
        <w:t xml:space="preserve"> </w:t>
      </w:r>
      <w:r>
        <w:t>a</w:t>
      </w:r>
      <w:r>
        <w:rPr>
          <w:spacing w:val="-11"/>
        </w:rPr>
        <w:t xml:space="preserve"> </w:t>
      </w:r>
      <w:r>
        <w:t>number</w:t>
      </w:r>
      <w:r>
        <w:rPr>
          <w:spacing w:val="-10"/>
        </w:rPr>
        <w:t xml:space="preserve"> </w:t>
      </w:r>
      <w:r>
        <w:t>of</w:t>
      </w:r>
      <w:r>
        <w:rPr>
          <w:spacing w:val="-10"/>
        </w:rPr>
        <w:t xml:space="preserve"> </w:t>
      </w:r>
      <w:r>
        <w:t>people</w:t>
      </w:r>
      <w:r>
        <w:rPr>
          <w:spacing w:val="-11"/>
        </w:rPr>
        <w:t xml:space="preserve"> </w:t>
      </w:r>
      <w:r>
        <w:t>of</w:t>
      </w:r>
      <w:r>
        <w:rPr>
          <w:spacing w:val="-9"/>
        </w:rPr>
        <w:t xml:space="preserve"> </w:t>
      </w:r>
      <w:r>
        <w:t>Haitian</w:t>
      </w:r>
      <w:r>
        <w:rPr>
          <w:spacing w:val="-12"/>
        </w:rPr>
        <w:t xml:space="preserve"> </w:t>
      </w:r>
      <w:r>
        <w:t>descent,</w:t>
      </w:r>
      <w:r>
        <w:rPr>
          <w:spacing w:val="-8"/>
        </w:rPr>
        <w:t xml:space="preserve"> </w:t>
      </w:r>
      <w:r>
        <w:t>a</w:t>
      </w:r>
      <w:r>
        <w:rPr>
          <w:spacing w:val="-11"/>
        </w:rPr>
        <w:t xml:space="preserve"> </w:t>
      </w:r>
      <w:r>
        <w:t>number</w:t>
      </w:r>
      <w:r>
        <w:rPr>
          <w:spacing w:val="-12"/>
        </w:rPr>
        <w:t xml:space="preserve"> </w:t>
      </w:r>
      <w:r>
        <w:t>that</w:t>
      </w:r>
      <w:r>
        <w:rPr>
          <w:spacing w:val="-11"/>
        </w:rPr>
        <w:t xml:space="preserve"> </w:t>
      </w:r>
      <w:r>
        <w:t>is</w:t>
      </w:r>
      <w:r>
        <w:rPr>
          <w:spacing w:val="-11"/>
        </w:rPr>
        <w:t xml:space="preserve"> </w:t>
      </w:r>
      <w:r>
        <w:t>still</w:t>
      </w:r>
      <w:r>
        <w:rPr>
          <w:spacing w:val="-10"/>
        </w:rPr>
        <w:t xml:space="preserve"> </w:t>
      </w:r>
      <w:r>
        <w:t>unclear,</w:t>
      </w:r>
      <w:r>
        <w:rPr>
          <w:spacing w:val="-12"/>
        </w:rPr>
        <w:t xml:space="preserve"> </w:t>
      </w:r>
      <w:r>
        <w:t>who were born in the country, did not apply to the Law, therefore they have no legal solution, remaining stateless.</w:t>
      </w:r>
    </w:p>
    <w:p w:rsidR="0083635F" w:rsidRDefault="0083635F">
      <w:pPr>
        <w:pStyle w:val="BodyText"/>
        <w:spacing w:before="4"/>
        <w:rPr>
          <w:sz w:val="25"/>
        </w:rPr>
      </w:pPr>
    </w:p>
    <w:p w:rsidR="0083635F" w:rsidRDefault="00501056" w:rsidP="00FC4E62">
      <w:pPr>
        <w:pStyle w:val="BodyText"/>
        <w:spacing w:line="276" w:lineRule="auto"/>
        <w:ind w:left="191" w:right="112"/>
        <w:jc w:val="both"/>
      </w:pPr>
      <w:r>
        <w:t>The</w:t>
      </w:r>
      <w:r>
        <w:rPr>
          <w:spacing w:val="-6"/>
        </w:rPr>
        <w:t xml:space="preserve"> </w:t>
      </w:r>
      <w:r>
        <w:t>State</w:t>
      </w:r>
      <w:r>
        <w:rPr>
          <w:spacing w:val="-7"/>
        </w:rPr>
        <w:t xml:space="preserve"> </w:t>
      </w:r>
      <w:r>
        <w:t>has</w:t>
      </w:r>
      <w:r>
        <w:rPr>
          <w:spacing w:val="-4"/>
        </w:rPr>
        <w:t xml:space="preserve"> </w:t>
      </w:r>
      <w:r>
        <w:t>not</w:t>
      </w:r>
      <w:r>
        <w:rPr>
          <w:spacing w:val="-4"/>
        </w:rPr>
        <w:t xml:space="preserve"> </w:t>
      </w:r>
      <w:r>
        <w:t>relaxed</w:t>
      </w:r>
      <w:r>
        <w:rPr>
          <w:spacing w:val="-5"/>
        </w:rPr>
        <w:t xml:space="preserve"> </w:t>
      </w:r>
      <w:r>
        <w:t>the</w:t>
      </w:r>
      <w:r>
        <w:rPr>
          <w:spacing w:val="-8"/>
        </w:rPr>
        <w:t xml:space="preserve"> </w:t>
      </w:r>
      <w:r>
        <w:t>requirement</w:t>
      </w:r>
      <w:r>
        <w:rPr>
          <w:spacing w:val="-6"/>
        </w:rPr>
        <w:t xml:space="preserve"> </w:t>
      </w:r>
      <w:r>
        <w:t>for</w:t>
      </w:r>
      <w:r>
        <w:rPr>
          <w:spacing w:val="-7"/>
        </w:rPr>
        <w:t xml:space="preserve"> </w:t>
      </w:r>
      <w:r>
        <w:t>a</w:t>
      </w:r>
      <w:r>
        <w:rPr>
          <w:spacing w:val="-8"/>
        </w:rPr>
        <w:t xml:space="preserve"> </w:t>
      </w:r>
      <w:r>
        <w:t>foreign</w:t>
      </w:r>
      <w:r>
        <w:rPr>
          <w:spacing w:val="-7"/>
        </w:rPr>
        <w:t xml:space="preserve"> </w:t>
      </w:r>
      <w:r>
        <w:t>mother's</w:t>
      </w:r>
      <w:r>
        <w:rPr>
          <w:spacing w:val="-5"/>
        </w:rPr>
        <w:t xml:space="preserve"> </w:t>
      </w:r>
      <w:r>
        <w:t>passport</w:t>
      </w:r>
      <w:r>
        <w:rPr>
          <w:spacing w:val="-8"/>
        </w:rPr>
        <w:t xml:space="preserve"> </w:t>
      </w:r>
      <w:r>
        <w:t>when</w:t>
      </w:r>
      <w:r>
        <w:rPr>
          <w:spacing w:val="-5"/>
        </w:rPr>
        <w:t xml:space="preserve"> </w:t>
      </w:r>
      <w:r>
        <w:t>the</w:t>
      </w:r>
      <w:r>
        <w:rPr>
          <w:spacing w:val="-7"/>
        </w:rPr>
        <w:t xml:space="preserve"> </w:t>
      </w:r>
      <w:r>
        <w:t>father</w:t>
      </w:r>
      <w:r>
        <w:rPr>
          <w:spacing w:val="-4"/>
        </w:rPr>
        <w:t xml:space="preserve"> </w:t>
      </w:r>
      <w:r>
        <w:t>is</w:t>
      </w:r>
      <w:r>
        <w:rPr>
          <w:spacing w:val="-4"/>
        </w:rPr>
        <w:t xml:space="preserve"> </w:t>
      </w:r>
      <w:r>
        <w:t>Dominican in</w:t>
      </w:r>
      <w:r>
        <w:rPr>
          <w:spacing w:val="-3"/>
        </w:rPr>
        <w:t xml:space="preserve"> </w:t>
      </w:r>
      <w:r>
        <w:t>order</w:t>
      </w:r>
      <w:r>
        <w:rPr>
          <w:spacing w:val="-3"/>
        </w:rPr>
        <w:t xml:space="preserve"> </w:t>
      </w:r>
      <w:r>
        <w:t>to</w:t>
      </w:r>
      <w:r>
        <w:rPr>
          <w:spacing w:val="-4"/>
        </w:rPr>
        <w:t xml:space="preserve"> </w:t>
      </w:r>
      <w:r>
        <w:t>register</w:t>
      </w:r>
      <w:r>
        <w:rPr>
          <w:spacing w:val="-4"/>
        </w:rPr>
        <w:t xml:space="preserve"> </w:t>
      </w:r>
      <w:r>
        <w:t>the</w:t>
      </w:r>
      <w:r>
        <w:rPr>
          <w:spacing w:val="-7"/>
        </w:rPr>
        <w:t xml:space="preserve"> </w:t>
      </w:r>
      <w:r>
        <w:t>minor</w:t>
      </w:r>
      <w:r>
        <w:rPr>
          <w:spacing w:val="-1"/>
        </w:rPr>
        <w:t xml:space="preserve"> </w:t>
      </w:r>
      <w:r>
        <w:t>as</w:t>
      </w:r>
      <w:r>
        <w:rPr>
          <w:spacing w:val="-5"/>
        </w:rPr>
        <w:t xml:space="preserve"> </w:t>
      </w:r>
      <w:r>
        <w:t>Dominican.</w:t>
      </w:r>
      <w:r>
        <w:rPr>
          <w:spacing w:val="-5"/>
        </w:rPr>
        <w:t xml:space="preserve"> </w:t>
      </w:r>
      <w:r>
        <w:t>The</w:t>
      </w:r>
      <w:r>
        <w:rPr>
          <w:spacing w:val="-5"/>
        </w:rPr>
        <w:t xml:space="preserve"> </w:t>
      </w:r>
      <w:r>
        <w:t>civil</w:t>
      </w:r>
      <w:r>
        <w:rPr>
          <w:spacing w:val="-3"/>
        </w:rPr>
        <w:t xml:space="preserve"> </w:t>
      </w:r>
      <w:r>
        <w:t>law</w:t>
      </w:r>
      <w:r>
        <w:rPr>
          <w:spacing w:val="-5"/>
        </w:rPr>
        <w:t xml:space="preserve"> </w:t>
      </w:r>
      <w:r>
        <w:t>presumes</w:t>
      </w:r>
      <w:r>
        <w:rPr>
          <w:spacing w:val="-4"/>
        </w:rPr>
        <w:t xml:space="preserve"> </w:t>
      </w:r>
      <w:r>
        <w:t>the</w:t>
      </w:r>
      <w:r>
        <w:rPr>
          <w:spacing w:val="-6"/>
        </w:rPr>
        <w:t xml:space="preserve"> </w:t>
      </w:r>
      <w:r>
        <w:t>child</w:t>
      </w:r>
      <w:r>
        <w:rPr>
          <w:spacing w:val="-2"/>
        </w:rPr>
        <w:t xml:space="preserve"> </w:t>
      </w:r>
      <w:r>
        <w:t>born</w:t>
      </w:r>
      <w:r>
        <w:rPr>
          <w:spacing w:val="-4"/>
        </w:rPr>
        <w:t xml:space="preserve"> </w:t>
      </w:r>
      <w:r>
        <w:t>to</w:t>
      </w:r>
      <w:r>
        <w:rPr>
          <w:spacing w:val="-4"/>
        </w:rPr>
        <w:t xml:space="preserve"> </w:t>
      </w:r>
      <w:r>
        <w:t>the</w:t>
      </w:r>
      <w:r>
        <w:rPr>
          <w:spacing w:val="-7"/>
        </w:rPr>
        <w:t xml:space="preserve"> </w:t>
      </w:r>
      <w:r>
        <w:t>mother</w:t>
      </w:r>
      <w:r>
        <w:rPr>
          <w:spacing w:val="-1"/>
        </w:rPr>
        <w:t xml:space="preserve"> </w:t>
      </w:r>
      <w:r>
        <w:t>and</w:t>
      </w:r>
      <w:r>
        <w:rPr>
          <w:spacing w:val="-8"/>
        </w:rPr>
        <w:t xml:space="preserve"> </w:t>
      </w:r>
      <w:r>
        <w:t>the father</w:t>
      </w:r>
      <w:r>
        <w:rPr>
          <w:spacing w:val="-6"/>
        </w:rPr>
        <w:t xml:space="preserve"> </w:t>
      </w:r>
      <w:r>
        <w:t>can</w:t>
      </w:r>
      <w:r>
        <w:rPr>
          <w:spacing w:val="-9"/>
        </w:rPr>
        <w:t xml:space="preserve"> </w:t>
      </w:r>
      <w:r>
        <w:t>only</w:t>
      </w:r>
      <w:r>
        <w:rPr>
          <w:spacing w:val="-9"/>
        </w:rPr>
        <w:t xml:space="preserve"> </w:t>
      </w:r>
      <w:r>
        <w:t>recognize</w:t>
      </w:r>
      <w:r>
        <w:rPr>
          <w:spacing w:val="-6"/>
        </w:rPr>
        <w:t xml:space="preserve"> </w:t>
      </w:r>
      <w:r>
        <w:t>him</w:t>
      </w:r>
      <w:r>
        <w:rPr>
          <w:spacing w:val="-9"/>
        </w:rPr>
        <w:t xml:space="preserve"> </w:t>
      </w:r>
      <w:r>
        <w:t>if</w:t>
      </w:r>
      <w:r>
        <w:rPr>
          <w:spacing w:val="-3"/>
        </w:rPr>
        <w:t xml:space="preserve"> </w:t>
      </w:r>
      <w:r>
        <w:t>it</w:t>
      </w:r>
      <w:r>
        <w:rPr>
          <w:spacing w:val="-6"/>
        </w:rPr>
        <w:t xml:space="preserve"> </w:t>
      </w:r>
      <w:r>
        <w:t>is</w:t>
      </w:r>
      <w:r>
        <w:rPr>
          <w:spacing w:val="-8"/>
        </w:rPr>
        <w:t xml:space="preserve"> </w:t>
      </w:r>
      <w:r>
        <w:t>his</w:t>
      </w:r>
      <w:r>
        <w:rPr>
          <w:spacing w:val="-6"/>
        </w:rPr>
        <w:t xml:space="preserve"> </w:t>
      </w:r>
      <w:r>
        <w:t>will;</w:t>
      </w:r>
      <w:r>
        <w:rPr>
          <w:spacing w:val="-6"/>
        </w:rPr>
        <w:t xml:space="preserve"> </w:t>
      </w:r>
      <w:r>
        <w:t>without</w:t>
      </w:r>
      <w:r>
        <w:rPr>
          <w:spacing w:val="-8"/>
        </w:rPr>
        <w:t xml:space="preserve"> </w:t>
      </w:r>
      <w:r>
        <w:t>the</w:t>
      </w:r>
      <w:r>
        <w:rPr>
          <w:spacing w:val="-10"/>
        </w:rPr>
        <w:t xml:space="preserve"> </w:t>
      </w:r>
      <w:r>
        <w:t>mother's</w:t>
      </w:r>
      <w:r>
        <w:rPr>
          <w:spacing w:val="-6"/>
        </w:rPr>
        <w:t xml:space="preserve"> </w:t>
      </w:r>
      <w:r>
        <w:t>passport</w:t>
      </w:r>
      <w:r>
        <w:rPr>
          <w:spacing w:val="-9"/>
        </w:rPr>
        <w:t xml:space="preserve"> </w:t>
      </w:r>
      <w:r>
        <w:t>the</w:t>
      </w:r>
      <w:r>
        <w:rPr>
          <w:spacing w:val="-6"/>
        </w:rPr>
        <w:t xml:space="preserve"> </w:t>
      </w:r>
      <w:r>
        <w:t>child</w:t>
      </w:r>
      <w:r>
        <w:rPr>
          <w:spacing w:val="-6"/>
        </w:rPr>
        <w:t xml:space="preserve"> </w:t>
      </w:r>
      <w:r>
        <w:t>cannot</w:t>
      </w:r>
      <w:r>
        <w:rPr>
          <w:spacing w:val="-6"/>
        </w:rPr>
        <w:t xml:space="preserve"> </w:t>
      </w:r>
      <w:r>
        <w:t>be</w:t>
      </w:r>
      <w:r>
        <w:rPr>
          <w:spacing w:val="-9"/>
        </w:rPr>
        <w:t xml:space="preserve"> </w:t>
      </w:r>
      <w:r>
        <w:t>registered as Dominican by blood, nor the subsequent generations, increasing the risk of statelessness. Gender discrimination</w:t>
      </w:r>
      <w:r>
        <w:rPr>
          <w:spacing w:val="-7"/>
        </w:rPr>
        <w:t xml:space="preserve"> </w:t>
      </w:r>
      <w:r>
        <w:t>is</w:t>
      </w:r>
      <w:r>
        <w:rPr>
          <w:spacing w:val="-6"/>
        </w:rPr>
        <w:t xml:space="preserve"> </w:t>
      </w:r>
      <w:r>
        <w:t>clear,</w:t>
      </w:r>
      <w:r>
        <w:rPr>
          <w:spacing w:val="-4"/>
        </w:rPr>
        <w:t xml:space="preserve"> </w:t>
      </w:r>
      <w:r>
        <w:t>as</w:t>
      </w:r>
      <w:r>
        <w:rPr>
          <w:spacing w:val="-9"/>
        </w:rPr>
        <w:t xml:space="preserve"> </w:t>
      </w:r>
      <w:r>
        <w:t>it</w:t>
      </w:r>
      <w:r>
        <w:rPr>
          <w:spacing w:val="-4"/>
        </w:rPr>
        <w:t xml:space="preserve"> </w:t>
      </w:r>
      <w:r>
        <w:t>does</w:t>
      </w:r>
      <w:r>
        <w:rPr>
          <w:spacing w:val="-6"/>
        </w:rPr>
        <w:t xml:space="preserve"> </w:t>
      </w:r>
      <w:r>
        <w:t>not</w:t>
      </w:r>
      <w:r>
        <w:rPr>
          <w:spacing w:val="-5"/>
        </w:rPr>
        <w:t xml:space="preserve"> </w:t>
      </w:r>
      <w:r>
        <w:t>happen</w:t>
      </w:r>
      <w:r>
        <w:rPr>
          <w:spacing w:val="-9"/>
        </w:rPr>
        <w:t xml:space="preserve"> </w:t>
      </w:r>
      <w:r>
        <w:t>when</w:t>
      </w:r>
      <w:r>
        <w:rPr>
          <w:spacing w:val="-6"/>
        </w:rPr>
        <w:t xml:space="preserve"> </w:t>
      </w:r>
      <w:r>
        <w:t>the</w:t>
      </w:r>
      <w:r>
        <w:rPr>
          <w:spacing w:val="-8"/>
        </w:rPr>
        <w:t xml:space="preserve"> </w:t>
      </w:r>
      <w:r>
        <w:t>mother</w:t>
      </w:r>
      <w:r>
        <w:rPr>
          <w:spacing w:val="-5"/>
        </w:rPr>
        <w:t xml:space="preserve"> </w:t>
      </w:r>
      <w:r>
        <w:t>is</w:t>
      </w:r>
      <w:r>
        <w:rPr>
          <w:spacing w:val="-6"/>
        </w:rPr>
        <w:t xml:space="preserve"> </w:t>
      </w:r>
      <w:r>
        <w:t>Dominican.</w:t>
      </w:r>
      <w:r>
        <w:rPr>
          <w:spacing w:val="-5"/>
        </w:rPr>
        <w:t xml:space="preserve"> </w:t>
      </w:r>
      <w:r>
        <w:t>Furthermore,</w:t>
      </w:r>
      <w:r>
        <w:rPr>
          <w:spacing w:val="-5"/>
        </w:rPr>
        <w:t xml:space="preserve"> </w:t>
      </w:r>
      <w:r>
        <w:t>as</w:t>
      </w:r>
      <w:r>
        <w:rPr>
          <w:spacing w:val="-5"/>
        </w:rPr>
        <w:t xml:space="preserve"> </w:t>
      </w:r>
      <w:r>
        <w:t>a</w:t>
      </w:r>
      <w:r>
        <w:rPr>
          <w:spacing w:val="-9"/>
        </w:rPr>
        <w:t xml:space="preserve"> </w:t>
      </w:r>
      <w:r>
        <w:t>result</w:t>
      </w:r>
      <w:r>
        <w:rPr>
          <w:spacing w:val="-7"/>
        </w:rPr>
        <w:t xml:space="preserve"> </w:t>
      </w:r>
      <w:r>
        <w:t>of</w:t>
      </w:r>
      <w:r w:rsidR="00FC4E62">
        <w:t xml:space="preserve"> </w:t>
      </w:r>
      <w:r>
        <w:t>his</w:t>
      </w:r>
      <w:r>
        <w:rPr>
          <w:spacing w:val="-6"/>
        </w:rPr>
        <w:t xml:space="preserve"> </w:t>
      </w:r>
      <w:r>
        <w:t>context,</w:t>
      </w:r>
      <w:r>
        <w:rPr>
          <w:spacing w:val="-5"/>
        </w:rPr>
        <w:t xml:space="preserve"> </w:t>
      </w:r>
      <w:r>
        <w:t>the</w:t>
      </w:r>
      <w:r>
        <w:rPr>
          <w:spacing w:val="-8"/>
        </w:rPr>
        <w:t xml:space="preserve"> </w:t>
      </w:r>
      <w:r>
        <w:t>statistical</w:t>
      </w:r>
      <w:r>
        <w:rPr>
          <w:spacing w:val="-7"/>
        </w:rPr>
        <w:t xml:space="preserve"> </w:t>
      </w:r>
      <w:r>
        <w:t>health</w:t>
      </w:r>
      <w:r>
        <w:rPr>
          <w:spacing w:val="-5"/>
        </w:rPr>
        <w:t xml:space="preserve"> </w:t>
      </w:r>
      <w:r>
        <w:t>records</w:t>
      </w:r>
      <w:r>
        <w:rPr>
          <w:spacing w:val="-6"/>
        </w:rPr>
        <w:t xml:space="preserve"> </w:t>
      </w:r>
      <w:r>
        <w:t>of</w:t>
      </w:r>
      <w:r>
        <w:rPr>
          <w:spacing w:val="-4"/>
        </w:rPr>
        <w:t xml:space="preserve"> </w:t>
      </w:r>
      <w:r>
        <w:t>the</w:t>
      </w:r>
      <w:r>
        <w:rPr>
          <w:spacing w:val="-9"/>
        </w:rPr>
        <w:t xml:space="preserve"> </w:t>
      </w:r>
      <w:r>
        <w:t>Haitian</w:t>
      </w:r>
      <w:r>
        <w:rPr>
          <w:spacing w:val="-6"/>
        </w:rPr>
        <w:t xml:space="preserve"> </w:t>
      </w:r>
      <w:r>
        <w:t>migrant</w:t>
      </w:r>
      <w:r>
        <w:rPr>
          <w:spacing w:val="-8"/>
        </w:rPr>
        <w:t xml:space="preserve"> </w:t>
      </w:r>
      <w:r>
        <w:t>population</w:t>
      </w:r>
      <w:r>
        <w:rPr>
          <w:spacing w:val="-6"/>
        </w:rPr>
        <w:t xml:space="preserve"> </w:t>
      </w:r>
      <w:r>
        <w:t>and</w:t>
      </w:r>
      <w:r>
        <w:rPr>
          <w:spacing w:val="-6"/>
        </w:rPr>
        <w:t xml:space="preserve"> </w:t>
      </w:r>
      <w:r>
        <w:t>the</w:t>
      </w:r>
      <w:r>
        <w:rPr>
          <w:spacing w:val="-7"/>
        </w:rPr>
        <w:t xml:space="preserve"> </w:t>
      </w:r>
      <w:r>
        <w:t>population</w:t>
      </w:r>
      <w:r>
        <w:rPr>
          <w:spacing w:val="-5"/>
        </w:rPr>
        <w:t xml:space="preserve"> </w:t>
      </w:r>
      <w:r>
        <w:t>of</w:t>
      </w:r>
      <w:r>
        <w:rPr>
          <w:spacing w:val="-5"/>
        </w:rPr>
        <w:t xml:space="preserve"> </w:t>
      </w:r>
      <w:r>
        <w:t>Haitian origin are racially discriminatory, if a mother does not have documents in the hospital she is registered as "Haitian", which is reflected in the</w:t>
      </w:r>
      <w:r>
        <w:rPr>
          <w:spacing w:val="-4"/>
        </w:rPr>
        <w:t xml:space="preserve"> </w:t>
      </w:r>
      <w:r>
        <w:t>statistics.</w:t>
      </w:r>
    </w:p>
    <w:p w:rsidR="0083635F" w:rsidRDefault="0083635F">
      <w:pPr>
        <w:pStyle w:val="BodyText"/>
        <w:spacing w:before="4"/>
        <w:rPr>
          <w:sz w:val="25"/>
        </w:rPr>
      </w:pPr>
    </w:p>
    <w:p w:rsidR="0083635F" w:rsidRDefault="00501056">
      <w:pPr>
        <w:pStyle w:val="BodyText"/>
        <w:spacing w:line="276" w:lineRule="auto"/>
        <w:ind w:left="191" w:right="113"/>
        <w:jc w:val="both"/>
      </w:pPr>
      <w:r>
        <w:lastRenderedPageBreak/>
        <w:t>During Covid19 the civil registry offices have been closed, without information on extensions of time</w:t>
      </w:r>
      <w:r>
        <w:rPr>
          <w:spacing w:val="-40"/>
        </w:rPr>
        <w:t xml:space="preserve"> </w:t>
      </w:r>
      <w:r>
        <w:t>for timely registration, considering costs and distances and home births. The government's measures did not</w:t>
      </w:r>
      <w:r>
        <w:rPr>
          <w:spacing w:val="-10"/>
        </w:rPr>
        <w:t xml:space="preserve"> </w:t>
      </w:r>
      <w:r>
        <w:t>consider</w:t>
      </w:r>
      <w:r>
        <w:rPr>
          <w:spacing w:val="-10"/>
        </w:rPr>
        <w:t xml:space="preserve"> </w:t>
      </w:r>
      <w:r>
        <w:t>women</w:t>
      </w:r>
      <w:r>
        <w:rPr>
          <w:spacing w:val="-11"/>
        </w:rPr>
        <w:t xml:space="preserve"> </w:t>
      </w:r>
      <w:r>
        <w:t>domestic</w:t>
      </w:r>
      <w:r>
        <w:rPr>
          <w:spacing w:val="-11"/>
        </w:rPr>
        <w:t xml:space="preserve"> </w:t>
      </w:r>
      <w:r>
        <w:t>workers,</w:t>
      </w:r>
      <w:r>
        <w:rPr>
          <w:spacing w:val="-10"/>
        </w:rPr>
        <w:t xml:space="preserve"> </w:t>
      </w:r>
      <w:r>
        <w:t>nor</w:t>
      </w:r>
      <w:r>
        <w:rPr>
          <w:spacing w:val="-12"/>
        </w:rPr>
        <w:t xml:space="preserve"> </w:t>
      </w:r>
      <w:r>
        <w:t>those</w:t>
      </w:r>
      <w:r>
        <w:rPr>
          <w:spacing w:val="-16"/>
        </w:rPr>
        <w:t xml:space="preserve"> </w:t>
      </w:r>
      <w:r>
        <w:t>of</w:t>
      </w:r>
      <w:r>
        <w:rPr>
          <w:spacing w:val="-8"/>
        </w:rPr>
        <w:t xml:space="preserve"> </w:t>
      </w:r>
      <w:r>
        <w:t>Haitian</w:t>
      </w:r>
      <w:r>
        <w:rPr>
          <w:spacing w:val="-12"/>
        </w:rPr>
        <w:t xml:space="preserve"> </w:t>
      </w:r>
      <w:r>
        <w:t>descent</w:t>
      </w:r>
      <w:r>
        <w:rPr>
          <w:spacing w:val="-11"/>
        </w:rPr>
        <w:t xml:space="preserve"> </w:t>
      </w:r>
      <w:r>
        <w:t>or</w:t>
      </w:r>
      <w:r>
        <w:rPr>
          <w:spacing w:val="-15"/>
        </w:rPr>
        <w:t xml:space="preserve"> </w:t>
      </w:r>
      <w:r>
        <w:t>migrants,</w:t>
      </w:r>
      <w:r>
        <w:rPr>
          <w:spacing w:val="-12"/>
        </w:rPr>
        <w:t xml:space="preserve"> </w:t>
      </w:r>
      <w:r>
        <w:t>since</w:t>
      </w:r>
      <w:r>
        <w:rPr>
          <w:spacing w:val="-12"/>
        </w:rPr>
        <w:t xml:space="preserve"> </w:t>
      </w:r>
      <w:r>
        <w:t>the</w:t>
      </w:r>
      <w:r>
        <w:rPr>
          <w:spacing w:val="-12"/>
        </w:rPr>
        <w:t xml:space="preserve"> </w:t>
      </w:r>
      <w:r>
        <w:t>food</w:t>
      </w:r>
      <w:r>
        <w:rPr>
          <w:spacing w:val="-11"/>
        </w:rPr>
        <w:t xml:space="preserve"> </w:t>
      </w:r>
      <w:r>
        <w:t>program required them to have a Dominican identity</w:t>
      </w:r>
      <w:r>
        <w:rPr>
          <w:spacing w:val="-7"/>
        </w:rPr>
        <w:t xml:space="preserve"> </w:t>
      </w:r>
      <w:r>
        <w:t>document.</w:t>
      </w:r>
    </w:p>
    <w:p w:rsidR="0083635F" w:rsidRDefault="0083635F">
      <w:pPr>
        <w:pStyle w:val="BodyText"/>
        <w:spacing w:before="4"/>
        <w:rPr>
          <w:sz w:val="25"/>
        </w:rPr>
      </w:pPr>
    </w:p>
    <w:p w:rsidR="0083635F" w:rsidRDefault="00501056">
      <w:pPr>
        <w:pStyle w:val="BodyText"/>
        <w:spacing w:line="276" w:lineRule="auto"/>
        <w:ind w:left="191" w:right="111"/>
        <w:jc w:val="both"/>
      </w:pPr>
      <w:r>
        <w:t>Also,</w:t>
      </w:r>
      <w:r>
        <w:rPr>
          <w:spacing w:val="-12"/>
        </w:rPr>
        <w:t xml:space="preserve"> </w:t>
      </w:r>
      <w:r>
        <w:t>during</w:t>
      </w:r>
      <w:r>
        <w:rPr>
          <w:spacing w:val="-13"/>
        </w:rPr>
        <w:t xml:space="preserve"> </w:t>
      </w:r>
      <w:r>
        <w:t>the</w:t>
      </w:r>
      <w:r>
        <w:rPr>
          <w:spacing w:val="-16"/>
        </w:rPr>
        <w:t xml:space="preserve"> </w:t>
      </w:r>
      <w:r>
        <w:t>quarantine,</w:t>
      </w:r>
      <w:r>
        <w:rPr>
          <w:spacing w:val="-11"/>
        </w:rPr>
        <w:t xml:space="preserve"> </w:t>
      </w:r>
      <w:r>
        <w:t>Ana</w:t>
      </w:r>
      <w:r>
        <w:rPr>
          <w:spacing w:val="-14"/>
        </w:rPr>
        <w:t xml:space="preserve"> </w:t>
      </w:r>
      <w:r>
        <w:t>Maria</w:t>
      </w:r>
      <w:r>
        <w:rPr>
          <w:spacing w:val="-13"/>
        </w:rPr>
        <w:t xml:space="preserve"> </w:t>
      </w:r>
      <w:r>
        <w:t>Belique,</w:t>
      </w:r>
      <w:r>
        <w:rPr>
          <w:spacing w:val="-12"/>
        </w:rPr>
        <w:t xml:space="preserve"> </w:t>
      </w:r>
      <w:r>
        <w:t>leader</w:t>
      </w:r>
      <w:r>
        <w:rPr>
          <w:spacing w:val="-12"/>
        </w:rPr>
        <w:t xml:space="preserve"> </w:t>
      </w:r>
      <w:r>
        <w:t>of</w:t>
      </w:r>
      <w:r>
        <w:rPr>
          <w:spacing w:val="-12"/>
        </w:rPr>
        <w:t xml:space="preserve"> </w:t>
      </w:r>
      <w:r>
        <w:t>the</w:t>
      </w:r>
      <w:r>
        <w:rPr>
          <w:spacing w:val="-14"/>
        </w:rPr>
        <w:t xml:space="preserve"> </w:t>
      </w:r>
      <w:r>
        <w:t>Recognized</w:t>
      </w:r>
      <w:r>
        <w:rPr>
          <w:spacing w:val="-13"/>
        </w:rPr>
        <w:t xml:space="preserve"> </w:t>
      </w:r>
      <w:r>
        <w:t>Stateless</w:t>
      </w:r>
      <w:r>
        <w:rPr>
          <w:spacing w:val="-13"/>
        </w:rPr>
        <w:t xml:space="preserve"> </w:t>
      </w:r>
      <w:r>
        <w:t>People's</w:t>
      </w:r>
      <w:r>
        <w:rPr>
          <w:spacing w:val="-12"/>
        </w:rPr>
        <w:t xml:space="preserve"> </w:t>
      </w:r>
      <w:r>
        <w:t>Movement, was illegally detained by the national police for protesting against racial discrimination and in solidarity with the African-American people over the death of George Floyd; while because of this initiative, ultra- nationalist groups have intensified threats, hate speech and xenophobia against her, as well as</w:t>
      </w:r>
      <w:r>
        <w:rPr>
          <w:spacing w:val="-43"/>
        </w:rPr>
        <w:t xml:space="preserve"> </w:t>
      </w:r>
      <w:r>
        <w:t>against Haitian migrants and their descendants, and the government has not taken</w:t>
      </w:r>
      <w:r>
        <w:rPr>
          <w:spacing w:val="-8"/>
        </w:rPr>
        <w:t xml:space="preserve"> </w:t>
      </w:r>
      <w:r>
        <w:t>action.</w:t>
      </w:r>
    </w:p>
    <w:p w:rsidR="0083635F" w:rsidRDefault="0083635F">
      <w:pPr>
        <w:pStyle w:val="BodyText"/>
        <w:rPr>
          <w:sz w:val="25"/>
        </w:rPr>
      </w:pPr>
    </w:p>
    <w:p w:rsidR="0083635F" w:rsidRDefault="00501056">
      <w:pPr>
        <w:pStyle w:val="Heading1"/>
        <w:spacing w:before="1"/>
        <w:ind w:left="191"/>
        <w:jc w:val="left"/>
      </w:pPr>
      <w:r>
        <w:t>RECOMMENDATIONS</w:t>
      </w:r>
    </w:p>
    <w:p w:rsidR="0083635F" w:rsidRDefault="0083635F">
      <w:pPr>
        <w:pStyle w:val="BodyText"/>
        <w:spacing w:before="10"/>
        <w:rPr>
          <w:b/>
          <w:sz w:val="28"/>
        </w:rPr>
      </w:pPr>
    </w:p>
    <w:p w:rsidR="0083635F" w:rsidRDefault="00501056">
      <w:pPr>
        <w:pStyle w:val="ListParagraph"/>
        <w:numPr>
          <w:ilvl w:val="1"/>
          <w:numId w:val="5"/>
        </w:numPr>
        <w:tabs>
          <w:tab w:val="left" w:pos="912"/>
        </w:tabs>
        <w:spacing w:line="276" w:lineRule="auto"/>
        <w:ind w:right="109"/>
        <w:jc w:val="both"/>
      </w:pPr>
      <w:r>
        <w:t>Automatic</w:t>
      </w:r>
      <w:r>
        <w:rPr>
          <w:spacing w:val="-8"/>
        </w:rPr>
        <w:t xml:space="preserve"> </w:t>
      </w:r>
      <w:r>
        <w:t>restitution</w:t>
      </w:r>
      <w:r>
        <w:rPr>
          <w:spacing w:val="-9"/>
        </w:rPr>
        <w:t xml:space="preserve"> </w:t>
      </w:r>
      <w:r>
        <w:t>of</w:t>
      </w:r>
      <w:r>
        <w:rPr>
          <w:spacing w:val="-7"/>
        </w:rPr>
        <w:t xml:space="preserve"> </w:t>
      </w:r>
      <w:r>
        <w:t>Dominican</w:t>
      </w:r>
      <w:r>
        <w:rPr>
          <w:spacing w:val="-9"/>
        </w:rPr>
        <w:t xml:space="preserve"> </w:t>
      </w:r>
      <w:r>
        <w:t>nationality</w:t>
      </w:r>
      <w:r>
        <w:rPr>
          <w:spacing w:val="-10"/>
        </w:rPr>
        <w:t xml:space="preserve"> </w:t>
      </w:r>
      <w:r>
        <w:t>to</w:t>
      </w:r>
      <w:r>
        <w:rPr>
          <w:spacing w:val="-8"/>
        </w:rPr>
        <w:t xml:space="preserve"> </w:t>
      </w:r>
      <w:r>
        <w:t>all</w:t>
      </w:r>
      <w:r>
        <w:rPr>
          <w:spacing w:val="-7"/>
        </w:rPr>
        <w:t xml:space="preserve"> </w:t>
      </w:r>
      <w:r>
        <w:t>those</w:t>
      </w:r>
      <w:r>
        <w:rPr>
          <w:spacing w:val="-9"/>
        </w:rPr>
        <w:t xml:space="preserve"> </w:t>
      </w:r>
      <w:r>
        <w:t>denationalised</w:t>
      </w:r>
      <w:r>
        <w:rPr>
          <w:spacing w:val="-5"/>
        </w:rPr>
        <w:t xml:space="preserve"> </w:t>
      </w:r>
      <w:r>
        <w:t>by</w:t>
      </w:r>
      <w:r>
        <w:rPr>
          <w:spacing w:val="-11"/>
        </w:rPr>
        <w:t xml:space="preserve"> </w:t>
      </w:r>
      <w:r>
        <w:t>Judgement</w:t>
      </w:r>
      <w:r>
        <w:rPr>
          <w:spacing w:val="-7"/>
        </w:rPr>
        <w:t xml:space="preserve"> </w:t>
      </w:r>
      <w:r>
        <w:t>No.</w:t>
      </w:r>
      <w:r>
        <w:rPr>
          <w:spacing w:val="-8"/>
        </w:rPr>
        <w:t xml:space="preserve"> </w:t>
      </w:r>
      <w:r>
        <w:t>168- 13 still in force, born in the Dominican Republic before 26 January 2010, without procedures or administrative formalities, as ordered by the IACHR and the Inter-American Court of Human Rights.</w:t>
      </w:r>
      <w:r>
        <w:rPr>
          <w:spacing w:val="-12"/>
        </w:rPr>
        <w:t xml:space="preserve"> </w:t>
      </w:r>
      <w:r>
        <w:t>Through</w:t>
      </w:r>
      <w:r>
        <w:rPr>
          <w:spacing w:val="-11"/>
        </w:rPr>
        <w:t xml:space="preserve"> </w:t>
      </w:r>
      <w:r>
        <w:t>another</w:t>
      </w:r>
      <w:r>
        <w:rPr>
          <w:spacing w:val="-15"/>
        </w:rPr>
        <w:t xml:space="preserve"> </w:t>
      </w:r>
      <w:r>
        <w:t>Ruling</w:t>
      </w:r>
      <w:r>
        <w:rPr>
          <w:spacing w:val="-9"/>
        </w:rPr>
        <w:t xml:space="preserve"> </w:t>
      </w:r>
      <w:r>
        <w:t>of</w:t>
      </w:r>
      <w:r>
        <w:rPr>
          <w:spacing w:val="-10"/>
        </w:rPr>
        <w:t xml:space="preserve"> </w:t>
      </w:r>
      <w:r>
        <w:t>the</w:t>
      </w:r>
      <w:r>
        <w:rPr>
          <w:spacing w:val="-14"/>
        </w:rPr>
        <w:t xml:space="preserve"> </w:t>
      </w:r>
      <w:r>
        <w:t>Constitutional</w:t>
      </w:r>
      <w:r>
        <w:rPr>
          <w:spacing w:val="-12"/>
        </w:rPr>
        <w:t xml:space="preserve"> </w:t>
      </w:r>
      <w:r>
        <w:t>Court,</w:t>
      </w:r>
      <w:r>
        <w:rPr>
          <w:spacing w:val="-10"/>
        </w:rPr>
        <w:t xml:space="preserve"> </w:t>
      </w:r>
      <w:r>
        <w:t>Ruling</w:t>
      </w:r>
      <w:r>
        <w:rPr>
          <w:spacing w:val="-12"/>
        </w:rPr>
        <w:t xml:space="preserve"> </w:t>
      </w:r>
      <w:r>
        <w:t>No.</w:t>
      </w:r>
      <w:r>
        <w:rPr>
          <w:spacing w:val="-13"/>
        </w:rPr>
        <w:t xml:space="preserve"> </w:t>
      </w:r>
      <w:r>
        <w:t>168-13</w:t>
      </w:r>
      <w:r>
        <w:rPr>
          <w:spacing w:val="-12"/>
        </w:rPr>
        <w:t xml:space="preserve"> </w:t>
      </w:r>
      <w:r>
        <w:t>is</w:t>
      </w:r>
      <w:r>
        <w:rPr>
          <w:spacing w:val="-10"/>
        </w:rPr>
        <w:t xml:space="preserve"> </w:t>
      </w:r>
      <w:r>
        <w:t>revoked.</w:t>
      </w:r>
      <w:r>
        <w:rPr>
          <w:spacing w:val="-15"/>
        </w:rPr>
        <w:t xml:space="preserve"> </w:t>
      </w:r>
      <w:r>
        <w:t>To</w:t>
      </w:r>
      <w:r>
        <w:rPr>
          <w:spacing w:val="-13"/>
        </w:rPr>
        <w:t xml:space="preserve"> </w:t>
      </w:r>
      <w:r>
        <w:t>this end, mobile units for civil registration and delivery of identity documents should be made operational throughout the</w:t>
      </w:r>
      <w:r>
        <w:rPr>
          <w:spacing w:val="-3"/>
        </w:rPr>
        <w:t xml:space="preserve"> </w:t>
      </w:r>
      <w:r>
        <w:t>country.</w:t>
      </w:r>
    </w:p>
    <w:p w:rsidR="0083635F" w:rsidRDefault="00501056">
      <w:pPr>
        <w:pStyle w:val="ListParagraph"/>
        <w:numPr>
          <w:ilvl w:val="1"/>
          <w:numId w:val="5"/>
        </w:numPr>
        <w:tabs>
          <w:tab w:val="left" w:pos="912"/>
        </w:tabs>
        <w:spacing w:line="276" w:lineRule="auto"/>
        <w:ind w:right="111" w:hanging="360"/>
        <w:jc w:val="both"/>
      </w:pPr>
      <w:r>
        <w:t>In the statistics of births, disaggregate the data on mothers and their children born in the Dominican Republic in health centers and children's homes, eliminating "phenotypical-racial" criteria in the statistics in which they indicate "Haitian" nationality, and indicate that their nationality is "Dominican" or "born in the Dominican</w:t>
      </w:r>
      <w:r>
        <w:rPr>
          <w:spacing w:val="-5"/>
        </w:rPr>
        <w:t xml:space="preserve"> </w:t>
      </w:r>
      <w:r>
        <w:t>Republic.</w:t>
      </w:r>
    </w:p>
    <w:p w:rsidR="0083635F" w:rsidRDefault="00501056">
      <w:pPr>
        <w:pStyle w:val="ListParagraph"/>
        <w:numPr>
          <w:ilvl w:val="1"/>
          <w:numId w:val="5"/>
        </w:numPr>
        <w:tabs>
          <w:tab w:val="left" w:pos="912"/>
        </w:tabs>
        <w:spacing w:line="276" w:lineRule="auto"/>
        <w:ind w:right="115" w:hanging="360"/>
        <w:jc w:val="both"/>
      </w:pPr>
      <w:r>
        <w:t xml:space="preserve">The State should criminally punish ultra-nationalist groups for hate speech and </w:t>
      </w:r>
      <w:r>
        <w:lastRenderedPageBreak/>
        <w:t xml:space="preserve">incitement to public violence, not tolerating these </w:t>
      </w:r>
      <w:r w:rsidR="005A2723">
        <w:t>behaviors</w:t>
      </w:r>
      <w:r>
        <w:t xml:space="preserve"> through public pronouncements and official school education </w:t>
      </w:r>
      <w:r w:rsidR="005A2723">
        <w:t>programs</w:t>
      </w:r>
      <w:r>
        <w:t xml:space="preserve"> on</w:t>
      </w:r>
      <w:r>
        <w:rPr>
          <w:spacing w:val="-6"/>
        </w:rPr>
        <w:t xml:space="preserve"> </w:t>
      </w:r>
      <w:r>
        <w:t>interculturality.</w:t>
      </w:r>
    </w:p>
    <w:p w:rsidR="0083635F" w:rsidRDefault="00501056">
      <w:pPr>
        <w:pStyle w:val="ListParagraph"/>
        <w:numPr>
          <w:ilvl w:val="1"/>
          <w:numId w:val="5"/>
        </w:numPr>
        <w:tabs>
          <w:tab w:val="left" w:pos="912"/>
        </w:tabs>
        <w:spacing w:before="1" w:line="276" w:lineRule="auto"/>
        <w:ind w:right="115" w:hanging="360"/>
        <w:jc w:val="both"/>
      </w:pPr>
      <w:r>
        <w:t>Adopt</w:t>
      </w:r>
      <w:r>
        <w:rPr>
          <w:spacing w:val="-8"/>
        </w:rPr>
        <w:t xml:space="preserve"> </w:t>
      </w:r>
      <w:r>
        <w:t>a</w:t>
      </w:r>
      <w:r>
        <w:rPr>
          <w:spacing w:val="-9"/>
        </w:rPr>
        <w:t xml:space="preserve"> </w:t>
      </w:r>
      <w:r>
        <w:t>procedure</w:t>
      </w:r>
      <w:r>
        <w:rPr>
          <w:spacing w:val="-9"/>
        </w:rPr>
        <w:t xml:space="preserve"> </w:t>
      </w:r>
      <w:r>
        <w:t>in</w:t>
      </w:r>
      <w:r>
        <w:rPr>
          <w:spacing w:val="-11"/>
        </w:rPr>
        <w:t xml:space="preserve"> </w:t>
      </w:r>
      <w:r>
        <w:t>conjunction</w:t>
      </w:r>
      <w:r>
        <w:rPr>
          <w:spacing w:val="-9"/>
        </w:rPr>
        <w:t xml:space="preserve"> </w:t>
      </w:r>
      <w:r>
        <w:t>with</w:t>
      </w:r>
      <w:r>
        <w:rPr>
          <w:spacing w:val="-9"/>
        </w:rPr>
        <w:t xml:space="preserve"> </w:t>
      </w:r>
      <w:r>
        <w:t>the</w:t>
      </w:r>
      <w:r>
        <w:rPr>
          <w:spacing w:val="-11"/>
        </w:rPr>
        <w:t xml:space="preserve"> </w:t>
      </w:r>
      <w:r>
        <w:t>migration</w:t>
      </w:r>
      <w:r>
        <w:rPr>
          <w:spacing w:val="-9"/>
        </w:rPr>
        <w:t xml:space="preserve"> </w:t>
      </w:r>
      <w:r>
        <w:t>authorities</w:t>
      </w:r>
      <w:r>
        <w:rPr>
          <w:spacing w:val="-9"/>
        </w:rPr>
        <w:t xml:space="preserve"> </w:t>
      </w:r>
      <w:r>
        <w:t>and</w:t>
      </w:r>
      <w:r>
        <w:rPr>
          <w:spacing w:val="-9"/>
        </w:rPr>
        <w:t xml:space="preserve"> </w:t>
      </w:r>
      <w:r>
        <w:t>the</w:t>
      </w:r>
      <w:r>
        <w:rPr>
          <w:spacing w:val="-9"/>
        </w:rPr>
        <w:t xml:space="preserve"> </w:t>
      </w:r>
      <w:r>
        <w:t>corresponding</w:t>
      </w:r>
      <w:r>
        <w:rPr>
          <w:spacing w:val="-9"/>
        </w:rPr>
        <w:t xml:space="preserve"> </w:t>
      </w:r>
      <w:r>
        <w:t>training</w:t>
      </w:r>
      <w:r>
        <w:rPr>
          <w:spacing w:val="-7"/>
        </w:rPr>
        <w:t xml:space="preserve"> </w:t>
      </w:r>
      <w:r>
        <w:t>to avoid deportations of women and minors born in the Dominican Republic without</w:t>
      </w:r>
      <w:r>
        <w:rPr>
          <w:spacing w:val="-20"/>
        </w:rPr>
        <w:t xml:space="preserve"> </w:t>
      </w:r>
      <w:r>
        <w:t>documents.</w:t>
      </w:r>
    </w:p>
    <w:p w:rsidR="0083635F" w:rsidRDefault="00501056">
      <w:pPr>
        <w:pStyle w:val="ListParagraph"/>
        <w:numPr>
          <w:ilvl w:val="1"/>
          <w:numId w:val="5"/>
        </w:numPr>
        <w:tabs>
          <w:tab w:val="left" w:pos="912"/>
        </w:tabs>
        <w:spacing w:line="276" w:lineRule="auto"/>
        <w:ind w:right="116" w:hanging="360"/>
        <w:jc w:val="both"/>
      </w:pPr>
      <w:r>
        <w:t xml:space="preserve">The JCE should adopt a resolution for the timely registration of babies born during the State of Emergency due to </w:t>
      </w:r>
      <w:r w:rsidR="005A2723">
        <w:t>Covid19,</w:t>
      </w:r>
      <w:r>
        <w:t xml:space="preserve"> in view of the total closure of its offices, and thus avoid the risk of statelessness.</w:t>
      </w:r>
    </w:p>
    <w:p w:rsidR="00FC4E62" w:rsidRDefault="00FC4E62" w:rsidP="00FC4E62">
      <w:pPr>
        <w:pStyle w:val="ListParagraph"/>
        <w:tabs>
          <w:tab w:val="left" w:pos="912"/>
        </w:tabs>
        <w:spacing w:line="276" w:lineRule="auto"/>
        <w:ind w:right="116" w:firstLine="0"/>
        <w:jc w:val="left"/>
      </w:pPr>
    </w:p>
    <w:p w:rsidR="006A14C2" w:rsidRDefault="006A14C2">
      <w:pPr>
        <w:rPr>
          <w:b/>
          <w:u w:val="thick"/>
        </w:rPr>
      </w:pPr>
      <w:bookmarkStart w:id="4" w:name="_bookmark3"/>
      <w:bookmarkEnd w:id="4"/>
      <w:r>
        <w:rPr>
          <w:b/>
          <w:u w:val="thick"/>
        </w:rPr>
        <w:br w:type="page"/>
      </w:r>
    </w:p>
    <w:p w:rsidR="006A14C2" w:rsidRDefault="006A14C2" w:rsidP="00FC4E62">
      <w:pPr>
        <w:spacing w:line="276" w:lineRule="auto"/>
        <w:jc w:val="center"/>
        <w:rPr>
          <w:b/>
          <w:u w:val="thick"/>
        </w:rPr>
      </w:pPr>
    </w:p>
    <w:p w:rsidR="0083635F" w:rsidRPr="00FC4E62" w:rsidRDefault="006A14C2" w:rsidP="00FC4E62">
      <w:pPr>
        <w:spacing w:line="276" w:lineRule="auto"/>
        <w:jc w:val="center"/>
        <w:rPr>
          <w:b/>
        </w:rPr>
      </w:pPr>
      <w:r>
        <w:rPr>
          <w:noProof/>
          <w:lang w:val="en-GB" w:eastAsia="en-GB"/>
        </w:rPr>
        <w:drawing>
          <wp:anchor distT="0" distB="0" distL="114300" distR="114300" simplePos="0" relativeHeight="487604224" behindDoc="0" locked="0" layoutInCell="1" allowOverlap="1">
            <wp:simplePos x="0" y="0"/>
            <wp:positionH relativeFrom="margin">
              <wp:posOffset>911225</wp:posOffset>
            </wp:positionH>
            <wp:positionV relativeFrom="margin">
              <wp:posOffset>508000</wp:posOffset>
            </wp:positionV>
            <wp:extent cx="4433570" cy="2587625"/>
            <wp:effectExtent l="0" t="0" r="5080" b="3175"/>
            <wp:wrapTopAndBottom/>
            <wp:docPr id="19" name="image10.jpeg" descr="C:\Users\lbreton\OneDrive - Plan International\Pictures\EAvkmOPXoAA7Om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433570" cy="2587625"/>
                    </a:xfrm>
                    <a:prstGeom prst="rect">
                      <a:avLst/>
                    </a:prstGeom>
                  </pic:spPr>
                </pic:pic>
              </a:graphicData>
            </a:graphic>
          </wp:anchor>
        </w:drawing>
      </w:r>
      <w:r w:rsidR="00501056" w:rsidRPr="00FC4E62">
        <w:rPr>
          <w:b/>
          <w:u w:val="thick"/>
        </w:rPr>
        <w:t>ARTICLE 7. RIGHT TO POLITICAL PARTICIPATION</w:t>
      </w:r>
    </w:p>
    <w:p w:rsidR="0083635F" w:rsidRPr="00FC4E62" w:rsidRDefault="0083635F" w:rsidP="00FC4E62">
      <w:pPr>
        <w:pStyle w:val="BodyText"/>
        <w:spacing w:before="6"/>
        <w:jc w:val="center"/>
        <w:rPr>
          <w:b/>
          <w:sz w:val="20"/>
        </w:rPr>
      </w:pPr>
    </w:p>
    <w:p w:rsidR="0083635F" w:rsidRDefault="00501056" w:rsidP="00FC4E62">
      <w:pPr>
        <w:pStyle w:val="BodyText"/>
        <w:spacing w:before="94" w:line="276" w:lineRule="auto"/>
        <w:ind w:left="180" w:right="112"/>
        <w:jc w:val="both"/>
      </w:pPr>
      <w:r>
        <w:t>In</w:t>
      </w:r>
      <w:r>
        <w:rPr>
          <w:spacing w:val="-15"/>
        </w:rPr>
        <w:t xml:space="preserve"> </w:t>
      </w:r>
      <w:r>
        <w:t>past</w:t>
      </w:r>
      <w:r>
        <w:rPr>
          <w:spacing w:val="-16"/>
        </w:rPr>
        <w:t xml:space="preserve"> </w:t>
      </w:r>
      <w:r>
        <w:t>years</w:t>
      </w:r>
      <w:r>
        <w:rPr>
          <w:spacing w:val="-15"/>
        </w:rPr>
        <w:t xml:space="preserve"> </w:t>
      </w:r>
      <w:r>
        <w:t>2018</w:t>
      </w:r>
      <w:r>
        <w:rPr>
          <w:spacing w:val="-18"/>
        </w:rPr>
        <w:t xml:space="preserve"> </w:t>
      </w:r>
      <w:r>
        <w:t>and</w:t>
      </w:r>
      <w:r>
        <w:rPr>
          <w:spacing w:val="-18"/>
        </w:rPr>
        <w:t xml:space="preserve"> </w:t>
      </w:r>
      <w:r>
        <w:t>2019, the National Congress approved important reforms to the Dominican electoral legislative framework: Law 33-18 on Political Parties, Groups and Movements and Law 15-19 on the Electoral Regime. These legislative pieces brought with them an increase in the percentage allocated to the electoral gender quota for certain popularly elected positions at the municipal</w:t>
      </w:r>
      <w:r>
        <w:rPr>
          <w:spacing w:val="4"/>
        </w:rPr>
        <w:t xml:space="preserve"> </w:t>
      </w:r>
      <w:r>
        <w:t>and</w:t>
      </w:r>
      <w:r w:rsidR="00FC4E62">
        <w:t xml:space="preserve"> </w:t>
      </w:r>
      <w:r>
        <w:t>congressional level, whose proportion rose from 33% to a minimum of 40%</w:t>
      </w:r>
      <w:r w:rsidR="00FC4E62">
        <w:rPr>
          <w:rStyle w:val="FootnoteReference"/>
        </w:rPr>
        <w:footnoteReference w:id="8"/>
      </w:r>
      <w:r>
        <w:t xml:space="preserve">. </w:t>
      </w:r>
    </w:p>
    <w:p w:rsidR="0083635F" w:rsidRDefault="0083635F">
      <w:pPr>
        <w:pStyle w:val="BodyText"/>
        <w:spacing w:before="2"/>
        <w:rPr>
          <w:sz w:val="25"/>
        </w:rPr>
      </w:pPr>
    </w:p>
    <w:p w:rsidR="0083635F" w:rsidRDefault="00FC4E62" w:rsidP="006A14C2">
      <w:pPr>
        <w:pStyle w:val="BodyText"/>
        <w:spacing w:line="276" w:lineRule="auto"/>
        <w:ind w:left="191" w:right="112"/>
        <w:jc w:val="both"/>
      </w:pPr>
      <w:r>
        <w:t>T</w:t>
      </w:r>
      <w:r w:rsidR="00501056">
        <w:t xml:space="preserve">he effective implementation of the gender quota has been hindered by political parties that are reluctant to comply and by administrative and jurisdictional bodies that apply and interpret the law without a gender perspective. In this regard, the </w:t>
      </w:r>
      <w:r>
        <w:t xml:space="preserve">Central Electoral Board (JCE) </w:t>
      </w:r>
      <w:r w:rsidR="00501056">
        <w:t>issued Resolution 28-2019, by which it distributed</w:t>
      </w:r>
      <w:r w:rsidR="00501056">
        <w:rPr>
          <w:spacing w:val="-12"/>
        </w:rPr>
        <w:t xml:space="preserve"> </w:t>
      </w:r>
      <w:r w:rsidR="00501056">
        <w:t>the</w:t>
      </w:r>
      <w:r w:rsidR="00501056">
        <w:rPr>
          <w:spacing w:val="-12"/>
        </w:rPr>
        <w:t xml:space="preserve"> </w:t>
      </w:r>
      <w:r w:rsidR="00501056">
        <w:t>seats</w:t>
      </w:r>
      <w:r w:rsidR="00501056">
        <w:rPr>
          <w:spacing w:val="-10"/>
        </w:rPr>
        <w:t xml:space="preserve"> </w:t>
      </w:r>
      <w:r w:rsidR="00501056">
        <w:t>in</w:t>
      </w:r>
      <w:r w:rsidR="00501056">
        <w:rPr>
          <w:spacing w:val="-11"/>
        </w:rPr>
        <w:t xml:space="preserve"> </w:t>
      </w:r>
      <w:r w:rsidR="00501056">
        <w:t>the</w:t>
      </w:r>
      <w:r w:rsidR="00501056">
        <w:rPr>
          <w:spacing w:val="-9"/>
        </w:rPr>
        <w:t xml:space="preserve"> </w:t>
      </w:r>
      <w:r w:rsidR="00501056">
        <w:t>municipal</w:t>
      </w:r>
      <w:r w:rsidR="00501056">
        <w:rPr>
          <w:spacing w:val="-10"/>
        </w:rPr>
        <w:t xml:space="preserve"> </w:t>
      </w:r>
      <w:r w:rsidR="00501056">
        <w:t>and</w:t>
      </w:r>
      <w:r w:rsidR="00501056">
        <w:rPr>
          <w:spacing w:val="-10"/>
        </w:rPr>
        <w:t xml:space="preserve"> </w:t>
      </w:r>
      <w:r w:rsidR="00501056">
        <w:t>congressional</w:t>
      </w:r>
      <w:r w:rsidR="00501056">
        <w:rPr>
          <w:spacing w:val="-10"/>
        </w:rPr>
        <w:t xml:space="preserve"> </w:t>
      </w:r>
      <w:r w:rsidR="00501056">
        <w:t>electoral</w:t>
      </w:r>
      <w:r w:rsidR="00501056">
        <w:rPr>
          <w:spacing w:val="-12"/>
        </w:rPr>
        <w:t xml:space="preserve"> </w:t>
      </w:r>
      <w:r w:rsidR="00501056">
        <w:t>districts</w:t>
      </w:r>
      <w:r w:rsidR="00501056">
        <w:rPr>
          <w:spacing w:val="-10"/>
        </w:rPr>
        <w:t xml:space="preserve"> </w:t>
      </w:r>
      <w:r w:rsidR="00501056">
        <w:t>in</w:t>
      </w:r>
      <w:r w:rsidR="00501056">
        <w:rPr>
          <w:spacing w:val="-9"/>
        </w:rPr>
        <w:t xml:space="preserve"> </w:t>
      </w:r>
      <w:r w:rsidR="00501056">
        <w:t>accordance</w:t>
      </w:r>
      <w:r w:rsidR="00501056">
        <w:rPr>
          <w:spacing w:val="-12"/>
        </w:rPr>
        <w:t xml:space="preserve"> </w:t>
      </w:r>
      <w:r w:rsidR="00501056">
        <w:t>with</w:t>
      </w:r>
      <w:r w:rsidR="00501056">
        <w:rPr>
          <w:spacing w:val="-9"/>
        </w:rPr>
        <w:t xml:space="preserve"> </w:t>
      </w:r>
      <w:r w:rsidR="00501056">
        <w:t>the</w:t>
      </w:r>
      <w:r w:rsidR="00501056">
        <w:rPr>
          <w:spacing w:val="-13"/>
        </w:rPr>
        <w:t xml:space="preserve"> </w:t>
      </w:r>
      <w:r w:rsidR="00501056">
        <w:t>gender quota. In calculating how many male and female candidates would fill the quota ac</w:t>
      </w:r>
      <w:r w:rsidR="00501056">
        <w:lastRenderedPageBreak/>
        <w:t>cording to the total number of seats in each district, the JCE made incorrect calculations (equivalent to percentages below 40 per cent) for several districts at the governorship and provincial</w:t>
      </w:r>
      <w:r w:rsidR="00501056">
        <w:rPr>
          <w:spacing w:val="-15"/>
        </w:rPr>
        <w:t xml:space="preserve"> </w:t>
      </w:r>
      <w:r w:rsidR="00501056">
        <w:t>levels.</w:t>
      </w:r>
    </w:p>
    <w:p w:rsidR="0083635F" w:rsidRPr="006A14C2" w:rsidRDefault="0083635F" w:rsidP="006A14C2">
      <w:pPr>
        <w:pStyle w:val="BodyText"/>
        <w:rPr>
          <w:sz w:val="24"/>
          <w:szCs w:val="24"/>
        </w:rPr>
      </w:pPr>
    </w:p>
    <w:p w:rsidR="0083635F" w:rsidRDefault="00501056" w:rsidP="006A14C2">
      <w:pPr>
        <w:pStyle w:val="BodyText"/>
        <w:spacing w:line="276" w:lineRule="auto"/>
        <w:ind w:left="191" w:right="114"/>
        <w:jc w:val="both"/>
      </w:pPr>
      <w:r>
        <w:t>Given that these calculations would result in the exclusion of candidates from the electoral ballots, the High Administrative Court, after being empowered to file an action of protection, ordered through sentence No. 0030-04-2019-SSEN-00506 the immediate modification and adaptation of Resolution</w:t>
      </w:r>
      <w:r>
        <w:rPr>
          <w:spacing w:val="-38"/>
        </w:rPr>
        <w:t xml:space="preserve"> </w:t>
      </w:r>
      <w:r>
        <w:t>28- 2019</w:t>
      </w:r>
      <w:r w:rsidR="00FC4E62">
        <w:rPr>
          <w:rStyle w:val="FootnoteReference"/>
        </w:rPr>
        <w:footnoteReference w:id="9"/>
      </w:r>
      <w:r>
        <w:rPr>
          <w:vertAlign w:val="superscript"/>
        </w:rPr>
        <w:t>16</w:t>
      </w:r>
      <w:r>
        <w:t>, establishing</w:t>
      </w:r>
      <w:r>
        <w:rPr>
          <w:spacing w:val="1"/>
        </w:rPr>
        <w:t xml:space="preserve"> </w:t>
      </w:r>
      <w:r>
        <w:t>that</w:t>
      </w:r>
      <w:r w:rsidR="00FC4E62">
        <w:rPr>
          <w:rStyle w:val="FootnoteReference"/>
        </w:rPr>
        <w:footnoteReference w:id="10"/>
      </w:r>
      <w:r>
        <w:rPr>
          <w:vertAlign w:val="superscript"/>
        </w:rPr>
        <w:t>17</w:t>
      </w:r>
      <w:r>
        <w:t>:</w:t>
      </w:r>
      <w:r w:rsidR="004F2777">
        <w:rPr>
          <w:noProof/>
          <w:lang w:val="en-GB" w:eastAsia="en-GB"/>
        </w:rPr>
        <mc:AlternateContent>
          <mc:Choice Requires="wps">
            <w:drawing>
              <wp:anchor distT="0" distB="0" distL="0" distR="0" simplePos="0" relativeHeight="487594496" behindDoc="1" locked="0" layoutInCell="1" allowOverlap="1">
                <wp:simplePos x="0" y="0"/>
                <wp:positionH relativeFrom="page">
                  <wp:posOffset>743585</wp:posOffset>
                </wp:positionH>
                <wp:positionV relativeFrom="paragraph">
                  <wp:posOffset>137160</wp:posOffset>
                </wp:positionV>
                <wp:extent cx="1829435" cy="8890"/>
                <wp:effectExtent l="0" t="0" r="0" b="0"/>
                <wp:wrapTopAndBottom/>
                <wp:docPr id="2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30AC4A" id="Rectangle 13" o:spid="_x0000_s1026" style="position:absolute;margin-left:58.55pt;margin-top:10.8pt;width:144.05pt;height:.7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" fillcolor="black" stroked="f">
                <w10:wrap type="topAndBottom" anchorx="page"/>
              </v:rect>
            </w:pict>
          </mc:Fallback>
        </mc:AlternateContent>
      </w:r>
      <w:r>
        <w:rPr>
          <w:i/>
        </w:rPr>
        <w:t xml:space="preserve">"As the shareholders argue, since there are 6 and 13 candidates (provincial and municipal governments), the figures of 2 and 5 spaces, respectively, intended to cover the corresponding percentage, do not cover the minimum 40%, since the interpretation made by the respondent - the Central Electoral Board - deviated from the pro homine principle that should prevail in the </w:t>
      </w:r>
      <w:r>
        <w:t>interpretation of rules, especially when the law establishes a minimum for women (...)".</w:t>
      </w:r>
    </w:p>
    <w:p w:rsidR="0083635F" w:rsidRDefault="0083635F">
      <w:pPr>
        <w:pStyle w:val="BodyText"/>
        <w:spacing w:before="5"/>
        <w:rPr>
          <w:sz w:val="25"/>
        </w:rPr>
      </w:pPr>
    </w:p>
    <w:p w:rsidR="0083635F" w:rsidRDefault="00501056">
      <w:pPr>
        <w:pStyle w:val="BodyText"/>
        <w:spacing w:line="276" w:lineRule="auto"/>
        <w:ind w:left="191" w:right="113"/>
        <w:jc w:val="both"/>
      </w:pPr>
      <w:r>
        <w:t xml:space="preserve">Although this was a </w:t>
      </w:r>
      <w:r w:rsidR="005A2723">
        <w:t>favorable</w:t>
      </w:r>
      <w:r>
        <w:t xml:space="preserve"> interpretation of women's political rights, the sentence was never complied with by the JCE, so Resolution 28-2019 was not modified and the ballots for both the already completed municipal and congressional contests and the next congressional event were cast by a smaller number of women than the legal percentage. In fact, as a result a total of 69 women candidates for deputy were excluded from their</w:t>
      </w:r>
      <w:r>
        <w:rPr>
          <w:spacing w:val="-15"/>
        </w:rPr>
        <w:t xml:space="preserve"> </w:t>
      </w:r>
      <w:r>
        <w:t>parties'</w:t>
      </w:r>
      <w:r>
        <w:rPr>
          <w:spacing w:val="-15"/>
        </w:rPr>
        <w:t xml:space="preserve"> </w:t>
      </w:r>
      <w:r>
        <w:t>ballots</w:t>
      </w:r>
      <w:r w:rsidR="00FC4E62">
        <w:rPr>
          <w:rStyle w:val="FootnoteReference"/>
        </w:rPr>
        <w:footnoteReference w:id="11"/>
      </w:r>
      <w:r>
        <w:t>.</w:t>
      </w:r>
      <w:r>
        <w:rPr>
          <w:spacing w:val="-15"/>
        </w:rPr>
        <w:t xml:space="preserve"> </w:t>
      </w:r>
      <w:r>
        <w:t>This</w:t>
      </w:r>
      <w:r>
        <w:rPr>
          <w:spacing w:val="-17"/>
        </w:rPr>
        <w:t xml:space="preserve"> </w:t>
      </w:r>
      <w:r>
        <w:t>could</w:t>
      </w:r>
      <w:r>
        <w:rPr>
          <w:spacing w:val="-13"/>
        </w:rPr>
        <w:t xml:space="preserve"> </w:t>
      </w:r>
      <w:r>
        <w:t>also</w:t>
      </w:r>
      <w:r>
        <w:rPr>
          <w:spacing w:val="-13"/>
        </w:rPr>
        <w:t xml:space="preserve"> </w:t>
      </w:r>
      <w:r>
        <w:t>explain</w:t>
      </w:r>
      <w:r>
        <w:rPr>
          <w:spacing w:val="-12"/>
        </w:rPr>
        <w:t xml:space="preserve"> </w:t>
      </w:r>
      <w:r>
        <w:t>the</w:t>
      </w:r>
      <w:r>
        <w:rPr>
          <w:spacing w:val="-16"/>
        </w:rPr>
        <w:t xml:space="preserve"> </w:t>
      </w:r>
      <w:r>
        <w:t>decrease</w:t>
      </w:r>
      <w:r>
        <w:rPr>
          <w:spacing w:val="-16"/>
        </w:rPr>
        <w:t xml:space="preserve"> </w:t>
      </w:r>
      <w:r>
        <w:t>of</w:t>
      </w:r>
      <w:r>
        <w:rPr>
          <w:spacing w:val="-14"/>
        </w:rPr>
        <w:t xml:space="preserve"> </w:t>
      </w:r>
      <w:r>
        <w:t>two</w:t>
      </w:r>
      <w:r>
        <w:rPr>
          <w:spacing w:val="-13"/>
        </w:rPr>
        <w:t xml:space="preserve"> </w:t>
      </w:r>
      <w:r>
        <w:t>percent</w:t>
      </w:r>
      <w:r>
        <w:lastRenderedPageBreak/>
        <w:t>age</w:t>
      </w:r>
      <w:r>
        <w:rPr>
          <w:spacing w:val="-16"/>
        </w:rPr>
        <w:t xml:space="preserve"> </w:t>
      </w:r>
      <w:r>
        <w:t>points</w:t>
      </w:r>
      <w:r>
        <w:rPr>
          <w:spacing w:val="-14"/>
        </w:rPr>
        <w:t xml:space="preserve"> </w:t>
      </w:r>
      <w:r>
        <w:t>in</w:t>
      </w:r>
      <w:r>
        <w:rPr>
          <w:spacing w:val="-16"/>
        </w:rPr>
        <w:t xml:space="preserve"> </w:t>
      </w:r>
      <w:r>
        <w:t>terms</w:t>
      </w:r>
      <w:r>
        <w:rPr>
          <w:spacing w:val="-16"/>
        </w:rPr>
        <w:t xml:space="preserve"> </w:t>
      </w:r>
      <w:r>
        <w:t>of</w:t>
      </w:r>
      <w:r>
        <w:rPr>
          <w:spacing w:val="-12"/>
        </w:rPr>
        <w:t xml:space="preserve"> </w:t>
      </w:r>
      <w:r>
        <w:t xml:space="preserve">women's representation in the councils (32.30% of women </w:t>
      </w:r>
      <w:r w:rsidR="005A2723">
        <w:t>councilors</w:t>
      </w:r>
      <w:r>
        <w:t xml:space="preserve"> elected in 2016</w:t>
      </w:r>
      <w:r w:rsidR="00FC4E62">
        <w:rPr>
          <w:rStyle w:val="FootnoteReference"/>
        </w:rPr>
        <w:footnoteReference w:id="12"/>
      </w:r>
      <w:r>
        <w:t xml:space="preserve">; 30.25% of women </w:t>
      </w:r>
      <w:r w:rsidR="005A2723">
        <w:t>councilors</w:t>
      </w:r>
      <w:r>
        <w:t xml:space="preserve"> elected in</w:t>
      </w:r>
      <w:r>
        <w:rPr>
          <w:spacing w:val="-2"/>
        </w:rPr>
        <w:t xml:space="preserve"> </w:t>
      </w:r>
      <w:r>
        <w:t>2020</w:t>
      </w:r>
      <w:r w:rsidR="00FC4E62">
        <w:rPr>
          <w:rStyle w:val="FootnoteReference"/>
        </w:rPr>
        <w:footnoteReference w:id="13"/>
      </w:r>
      <w:r w:rsidR="00FC4E62">
        <w:rPr>
          <w:vertAlign w:val="superscript"/>
        </w:rPr>
        <w:t>)</w:t>
      </w:r>
      <w:r>
        <w:t>.</w:t>
      </w:r>
    </w:p>
    <w:p w:rsidR="0083635F" w:rsidRDefault="0083635F">
      <w:pPr>
        <w:pStyle w:val="BodyText"/>
        <w:spacing w:before="4"/>
        <w:rPr>
          <w:sz w:val="25"/>
        </w:rPr>
      </w:pPr>
    </w:p>
    <w:p w:rsidR="0083635F" w:rsidRDefault="00501056">
      <w:pPr>
        <w:pStyle w:val="BodyText"/>
        <w:spacing w:line="276" w:lineRule="auto"/>
        <w:ind w:left="191" w:right="113"/>
        <w:jc w:val="both"/>
      </w:pPr>
      <w:r>
        <w:t>In addition to the role that the JCE has played to the detriment of women's political participation, at the jurisdictional level, the Superior Electoral Court (TSE) has also performed poorly in safeguarding the effectiveness</w:t>
      </w:r>
      <w:r>
        <w:rPr>
          <w:spacing w:val="-7"/>
        </w:rPr>
        <w:t xml:space="preserve"> </w:t>
      </w:r>
      <w:r>
        <w:t>of</w:t>
      </w:r>
      <w:r>
        <w:rPr>
          <w:spacing w:val="-5"/>
        </w:rPr>
        <w:t xml:space="preserve"> </w:t>
      </w:r>
      <w:r>
        <w:t>the</w:t>
      </w:r>
      <w:r>
        <w:rPr>
          <w:spacing w:val="-11"/>
        </w:rPr>
        <w:t xml:space="preserve"> </w:t>
      </w:r>
      <w:r>
        <w:t>gender</w:t>
      </w:r>
      <w:r>
        <w:rPr>
          <w:spacing w:val="-8"/>
        </w:rPr>
        <w:t xml:space="preserve"> </w:t>
      </w:r>
      <w:r>
        <w:t>quota.</w:t>
      </w:r>
      <w:r>
        <w:rPr>
          <w:spacing w:val="-8"/>
        </w:rPr>
        <w:t xml:space="preserve"> </w:t>
      </w:r>
      <w:r>
        <w:t>Ruling</w:t>
      </w:r>
      <w:r>
        <w:rPr>
          <w:spacing w:val="-9"/>
        </w:rPr>
        <w:t xml:space="preserve"> </w:t>
      </w:r>
      <w:r>
        <w:t>TSE-091-2019</w:t>
      </w:r>
      <w:r>
        <w:rPr>
          <w:spacing w:val="-7"/>
        </w:rPr>
        <w:t xml:space="preserve"> </w:t>
      </w:r>
      <w:r>
        <w:t>shows</w:t>
      </w:r>
      <w:r>
        <w:rPr>
          <w:spacing w:val="-6"/>
        </w:rPr>
        <w:t xml:space="preserve"> </w:t>
      </w:r>
      <w:r>
        <w:t>a</w:t>
      </w:r>
      <w:r>
        <w:rPr>
          <w:spacing w:val="-11"/>
        </w:rPr>
        <w:t xml:space="preserve"> </w:t>
      </w:r>
      <w:r>
        <w:t>misguided</w:t>
      </w:r>
      <w:r>
        <w:rPr>
          <w:spacing w:val="-7"/>
        </w:rPr>
        <w:t xml:space="preserve"> </w:t>
      </w:r>
      <w:r>
        <w:t>and</w:t>
      </w:r>
      <w:r>
        <w:rPr>
          <w:spacing w:val="-9"/>
        </w:rPr>
        <w:t xml:space="preserve"> </w:t>
      </w:r>
      <w:r>
        <w:t>ignorant</w:t>
      </w:r>
      <w:r>
        <w:rPr>
          <w:spacing w:val="-7"/>
        </w:rPr>
        <w:t xml:space="preserve"> </w:t>
      </w:r>
      <w:r>
        <w:t>interpretation of political party gender dynamics, by providing that the gender quota must be covered by making use of</w:t>
      </w:r>
      <w:r>
        <w:rPr>
          <w:spacing w:val="-10"/>
        </w:rPr>
        <w:t xml:space="preserve"> </w:t>
      </w:r>
      <w:r>
        <w:t>the</w:t>
      </w:r>
      <w:r>
        <w:rPr>
          <w:spacing w:val="-11"/>
        </w:rPr>
        <w:t xml:space="preserve"> </w:t>
      </w:r>
      <w:r>
        <w:t>seats</w:t>
      </w:r>
      <w:r>
        <w:rPr>
          <w:spacing w:val="-13"/>
        </w:rPr>
        <w:t xml:space="preserve"> </w:t>
      </w:r>
      <w:r>
        <w:t>that</w:t>
      </w:r>
      <w:r>
        <w:rPr>
          <w:spacing w:val="-9"/>
        </w:rPr>
        <w:t xml:space="preserve"> </w:t>
      </w:r>
      <w:r>
        <w:t>parties</w:t>
      </w:r>
      <w:r>
        <w:rPr>
          <w:spacing w:val="-11"/>
        </w:rPr>
        <w:t xml:space="preserve"> </w:t>
      </w:r>
      <w:r>
        <w:t>have</w:t>
      </w:r>
      <w:r>
        <w:rPr>
          <w:spacing w:val="-10"/>
        </w:rPr>
        <w:t xml:space="preserve"> </w:t>
      </w:r>
      <w:r>
        <w:t>reserved</w:t>
      </w:r>
      <w:r>
        <w:rPr>
          <w:spacing w:val="-13"/>
        </w:rPr>
        <w:t xml:space="preserve"> </w:t>
      </w:r>
      <w:r>
        <w:t>for</w:t>
      </w:r>
      <w:r>
        <w:rPr>
          <w:spacing w:val="-13"/>
        </w:rPr>
        <w:t xml:space="preserve"> </w:t>
      </w:r>
      <w:r>
        <w:t>themselves.</w:t>
      </w:r>
      <w:r>
        <w:rPr>
          <w:spacing w:val="-11"/>
        </w:rPr>
        <w:t xml:space="preserve"> </w:t>
      </w:r>
      <w:r>
        <w:t>In</w:t>
      </w:r>
      <w:r>
        <w:rPr>
          <w:spacing w:val="-13"/>
        </w:rPr>
        <w:t xml:space="preserve"> </w:t>
      </w:r>
      <w:r>
        <w:t>short,</w:t>
      </w:r>
      <w:r>
        <w:rPr>
          <w:spacing w:val="-12"/>
        </w:rPr>
        <w:t xml:space="preserve"> </w:t>
      </w:r>
      <w:r>
        <w:t>this</w:t>
      </w:r>
      <w:r>
        <w:rPr>
          <w:spacing w:val="-12"/>
        </w:rPr>
        <w:t xml:space="preserve"> </w:t>
      </w:r>
      <w:r>
        <w:t>implies</w:t>
      </w:r>
      <w:r>
        <w:rPr>
          <w:spacing w:val="-12"/>
        </w:rPr>
        <w:t xml:space="preserve"> </w:t>
      </w:r>
      <w:r>
        <w:t>that</w:t>
      </w:r>
      <w:r>
        <w:rPr>
          <w:spacing w:val="-12"/>
        </w:rPr>
        <w:t xml:space="preserve"> </w:t>
      </w:r>
      <w:r>
        <w:t>women</w:t>
      </w:r>
      <w:r>
        <w:rPr>
          <w:spacing w:val="-10"/>
        </w:rPr>
        <w:t xml:space="preserve"> </w:t>
      </w:r>
      <w:r>
        <w:t>who</w:t>
      </w:r>
      <w:r>
        <w:rPr>
          <w:spacing w:val="-12"/>
        </w:rPr>
        <w:t xml:space="preserve"> </w:t>
      </w:r>
      <w:r>
        <w:t>competed in elections within their parties could be displaced by the women who the leadership of their parties decides</w:t>
      </w:r>
      <w:r>
        <w:rPr>
          <w:spacing w:val="-6"/>
        </w:rPr>
        <w:t xml:space="preserve"> </w:t>
      </w:r>
      <w:r>
        <w:t>will</w:t>
      </w:r>
      <w:r>
        <w:rPr>
          <w:spacing w:val="-10"/>
        </w:rPr>
        <w:t xml:space="preserve"> </w:t>
      </w:r>
      <w:r>
        <w:t>fill</w:t>
      </w:r>
      <w:r>
        <w:rPr>
          <w:spacing w:val="-7"/>
        </w:rPr>
        <w:t xml:space="preserve"> </w:t>
      </w:r>
      <w:r>
        <w:t>the</w:t>
      </w:r>
      <w:r>
        <w:rPr>
          <w:spacing w:val="-7"/>
        </w:rPr>
        <w:t xml:space="preserve"> </w:t>
      </w:r>
      <w:r>
        <w:t>seats.</w:t>
      </w:r>
      <w:r>
        <w:rPr>
          <w:spacing w:val="-7"/>
        </w:rPr>
        <w:t xml:space="preserve"> </w:t>
      </w:r>
      <w:r>
        <w:t>This</w:t>
      </w:r>
      <w:r>
        <w:rPr>
          <w:spacing w:val="-6"/>
        </w:rPr>
        <w:t xml:space="preserve"> </w:t>
      </w:r>
      <w:r>
        <w:t>interpretation</w:t>
      </w:r>
      <w:r>
        <w:rPr>
          <w:spacing w:val="-7"/>
        </w:rPr>
        <w:t xml:space="preserve"> </w:t>
      </w:r>
      <w:r>
        <w:t>opens</w:t>
      </w:r>
      <w:r>
        <w:rPr>
          <w:spacing w:val="-8"/>
        </w:rPr>
        <w:t xml:space="preserve"> </w:t>
      </w:r>
      <w:r>
        <w:t>the</w:t>
      </w:r>
      <w:r>
        <w:rPr>
          <w:spacing w:val="-9"/>
        </w:rPr>
        <w:t xml:space="preserve"> </w:t>
      </w:r>
      <w:r>
        <w:t>door</w:t>
      </w:r>
      <w:r>
        <w:rPr>
          <w:spacing w:val="-9"/>
        </w:rPr>
        <w:t xml:space="preserve"> </w:t>
      </w:r>
      <w:r>
        <w:t>for</w:t>
      </w:r>
      <w:r>
        <w:rPr>
          <w:spacing w:val="-8"/>
        </w:rPr>
        <w:t xml:space="preserve"> </w:t>
      </w:r>
      <w:r>
        <w:t>parties</w:t>
      </w:r>
      <w:r>
        <w:rPr>
          <w:spacing w:val="-9"/>
        </w:rPr>
        <w:t xml:space="preserve"> </w:t>
      </w:r>
      <w:r>
        <w:t>to</w:t>
      </w:r>
      <w:r>
        <w:rPr>
          <w:spacing w:val="-6"/>
        </w:rPr>
        <w:t xml:space="preserve"> </w:t>
      </w:r>
      <w:r>
        <w:t>place</w:t>
      </w:r>
      <w:r>
        <w:rPr>
          <w:spacing w:val="-6"/>
        </w:rPr>
        <w:t xml:space="preserve"> </w:t>
      </w:r>
      <w:r>
        <w:t>women</w:t>
      </w:r>
      <w:r>
        <w:rPr>
          <w:spacing w:val="-6"/>
        </w:rPr>
        <w:t xml:space="preserve"> </w:t>
      </w:r>
      <w:r>
        <w:t>with</w:t>
      </w:r>
      <w:r>
        <w:rPr>
          <w:spacing w:val="-6"/>
        </w:rPr>
        <w:t xml:space="preserve"> </w:t>
      </w:r>
      <w:r>
        <w:t>little</w:t>
      </w:r>
      <w:r>
        <w:rPr>
          <w:spacing w:val="-6"/>
        </w:rPr>
        <w:t xml:space="preserve"> </w:t>
      </w:r>
      <w:r>
        <w:t>chance of</w:t>
      </w:r>
      <w:r>
        <w:rPr>
          <w:spacing w:val="-4"/>
        </w:rPr>
        <w:t xml:space="preserve"> </w:t>
      </w:r>
      <w:r>
        <w:t>winning</w:t>
      </w:r>
      <w:r>
        <w:rPr>
          <w:spacing w:val="-4"/>
        </w:rPr>
        <w:t xml:space="preserve"> </w:t>
      </w:r>
      <w:r>
        <w:t>their</w:t>
      </w:r>
      <w:r>
        <w:rPr>
          <w:spacing w:val="-5"/>
        </w:rPr>
        <w:t xml:space="preserve"> </w:t>
      </w:r>
      <w:r>
        <w:t>candidacies</w:t>
      </w:r>
      <w:r>
        <w:rPr>
          <w:spacing w:val="-6"/>
        </w:rPr>
        <w:t xml:space="preserve"> </w:t>
      </w:r>
      <w:r>
        <w:t>or,</w:t>
      </w:r>
      <w:r>
        <w:rPr>
          <w:spacing w:val="-7"/>
        </w:rPr>
        <w:t xml:space="preserve"> </w:t>
      </w:r>
      <w:r>
        <w:t>failing</w:t>
      </w:r>
      <w:r>
        <w:rPr>
          <w:spacing w:val="-5"/>
        </w:rPr>
        <w:t xml:space="preserve"> </w:t>
      </w:r>
      <w:r>
        <w:t>that,</w:t>
      </w:r>
      <w:r>
        <w:rPr>
          <w:spacing w:val="-5"/>
        </w:rPr>
        <w:t xml:space="preserve"> </w:t>
      </w:r>
      <w:r>
        <w:t>women</w:t>
      </w:r>
      <w:r>
        <w:rPr>
          <w:spacing w:val="-6"/>
        </w:rPr>
        <w:t xml:space="preserve"> </w:t>
      </w:r>
      <w:r>
        <w:t>as</w:t>
      </w:r>
      <w:r>
        <w:rPr>
          <w:spacing w:val="-6"/>
        </w:rPr>
        <w:t xml:space="preserve"> </w:t>
      </w:r>
      <w:r>
        <w:t>wives</w:t>
      </w:r>
      <w:r>
        <w:rPr>
          <w:spacing w:val="-6"/>
        </w:rPr>
        <w:t xml:space="preserve"> </w:t>
      </w:r>
      <w:r>
        <w:t>and</w:t>
      </w:r>
      <w:r>
        <w:rPr>
          <w:spacing w:val="-6"/>
        </w:rPr>
        <w:t xml:space="preserve"> </w:t>
      </w:r>
      <w:r>
        <w:t>daughters</w:t>
      </w:r>
      <w:r>
        <w:rPr>
          <w:spacing w:val="-7"/>
        </w:rPr>
        <w:t xml:space="preserve"> </w:t>
      </w:r>
      <w:r>
        <w:t>of</w:t>
      </w:r>
      <w:r>
        <w:rPr>
          <w:spacing w:val="-3"/>
        </w:rPr>
        <w:t xml:space="preserve"> </w:t>
      </w:r>
      <w:r>
        <w:t>political</w:t>
      </w:r>
      <w:r>
        <w:rPr>
          <w:spacing w:val="-7"/>
        </w:rPr>
        <w:t xml:space="preserve"> </w:t>
      </w:r>
      <w:r>
        <w:t>leaders</w:t>
      </w:r>
      <w:r>
        <w:rPr>
          <w:spacing w:val="-1"/>
        </w:rPr>
        <w:t xml:space="preserve"> </w:t>
      </w:r>
      <w:r>
        <w:t>-as</w:t>
      </w:r>
      <w:r w:rsidR="001F4491">
        <w:rPr>
          <w:rStyle w:val="FootnoteReference"/>
        </w:rPr>
        <w:footnoteReference w:id="14"/>
      </w:r>
      <w:r>
        <w:rPr>
          <w:spacing w:val="-7"/>
        </w:rPr>
        <w:t xml:space="preserve"> </w:t>
      </w:r>
      <w:r>
        <w:t>has in fact happened at the level of deputies- who could then be coerced into resigning their</w:t>
      </w:r>
      <w:r>
        <w:rPr>
          <w:spacing w:val="-20"/>
        </w:rPr>
        <w:t xml:space="preserve"> </w:t>
      </w:r>
      <w:r>
        <w:t>positions.</w:t>
      </w:r>
    </w:p>
    <w:p w:rsidR="0083635F" w:rsidRDefault="0083635F">
      <w:pPr>
        <w:pStyle w:val="BodyText"/>
        <w:spacing w:before="4"/>
        <w:rPr>
          <w:sz w:val="25"/>
        </w:rPr>
      </w:pPr>
    </w:p>
    <w:p w:rsidR="0083635F" w:rsidRDefault="00501056">
      <w:pPr>
        <w:pStyle w:val="BodyText"/>
        <w:spacing w:line="276" w:lineRule="auto"/>
        <w:ind w:left="191" w:right="114"/>
        <w:jc w:val="both"/>
      </w:pPr>
      <w:r>
        <w:t>The representation in the Senate 2016-2020 had only 3 women in 32 positions. In the Chamber of Deputies for the same period, women held only 28.1% of the seats. The Senate 2020-2024 will have 4 women.</w:t>
      </w:r>
      <w:r>
        <w:rPr>
          <w:spacing w:val="-3"/>
        </w:rPr>
        <w:t xml:space="preserve"> </w:t>
      </w:r>
      <w:r>
        <w:t>At</w:t>
      </w:r>
      <w:r>
        <w:rPr>
          <w:spacing w:val="-14"/>
        </w:rPr>
        <w:t xml:space="preserve"> </w:t>
      </w:r>
      <w:r>
        <w:t>the</w:t>
      </w:r>
      <w:r>
        <w:rPr>
          <w:spacing w:val="-14"/>
        </w:rPr>
        <w:t xml:space="preserve"> </w:t>
      </w:r>
      <w:r>
        <w:t>Central</w:t>
      </w:r>
      <w:r>
        <w:rPr>
          <w:spacing w:val="-14"/>
        </w:rPr>
        <w:t xml:space="preserve"> </w:t>
      </w:r>
      <w:r>
        <w:t>Bank,</w:t>
      </w:r>
      <w:r>
        <w:rPr>
          <w:spacing w:val="-11"/>
        </w:rPr>
        <w:t xml:space="preserve"> </w:t>
      </w:r>
      <w:r>
        <w:t>which</w:t>
      </w:r>
      <w:r>
        <w:rPr>
          <w:spacing w:val="-13"/>
        </w:rPr>
        <w:t xml:space="preserve"> </w:t>
      </w:r>
      <w:r>
        <w:t>is</w:t>
      </w:r>
      <w:r>
        <w:rPr>
          <w:spacing w:val="-12"/>
        </w:rPr>
        <w:t xml:space="preserve"> </w:t>
      </w:r>
      <w:r>
        <w:t>the</w:t>
      </w:r>
      <w:r>
        <w:rPr>
          <w:spacing w:val="-14"/>
        </w:rPr>
        <w:t xml:space="preserve"> </w:t>
      </w:r>
      <w:r>
        <w:t>body</w:t>
      </w:r>
      <w:r>
        <w:rPr>
          <w:spacing w:val="-13"/>
        </w:rPr>
        <w:t xml:space="preserve"> </w:t>
      </w:r>
      <w:r>
        <w:t>where</w:t>
      </w:r>
      <w:r>
        <w:rPr>
          <w:spacing w:val="-12"/>
        </w:rPr>
        <w:t xml:space="preserve"> </w:t>
      </w:r>
      <w:r>
        <w:t>the</w:t>
      </w:r>
      <w:r>
        <w:rPr>
          <w:spacing w:val="-16"/>
        </w:rPr>
        <w:t xml:space="preserve"> </w:t>
      </w:r>
      <w:r>
        <w:t>main</w:t>
      </w:r>
      <w:r>
        <w:rPr>
          <w:spacing w:val="-12"/>
        </w:rPr>
        <w:t xml:space="preserve"> </w:t>
      </w:r>
      <w:r>
        <w:t>economic decisions are taken, none of the 10 members of its Monetary Board is a woman. In the municipal elections</w:t>
      </w:r>
      <w:r>
        <w:rPr>
          <w:spacing w:val="-13"/>
        </w:rPr>
        <w:t xml:space="preserve"> </w:t>
      </w:r>
      <w:r>
        <w:t>held</w:t>
      </w:r>
      <w:r>
        <w:rPr>
          <w:spacing w:val="-12"/>
        </w:rPr>
        <w:t xml:space="preserve"> </w:t>
      </w:r>
      <w:r>
        <w:t>in</w:t>
      </w:r>
      <w:r>
        <w:rPr>
          <w:spacing w:val="-12"/>
        </w:rPr>
        <w:t xml:space="preserve"> </w:t>
      </w:r>
      <w:r>
        <w:t>March</w:t>
      </w:r>
      <w:r>
        <w:rPr>
          <w:spacing w:val="-12"/>
        </w:rPr>
        <w:t xml:space="preserve"> </w:t>
      </w:r>
      <w:r>
        <w:t>2020,</w:t>
      </w:r>
      <w:r>
        <w:rPr>
          <w:spacing w:val="-11"/>
        </w:rPr>
        <w:t xml:space="preserve"> </w:t>
      </w:r>
      <w:r>
        <w:t>it</w:t>
      </w:r>
      <w:r>
        <w:rPr>
          <w:spacing w:val="-11"/>
        </w:rPr>
        <w:t xml:space="preserve"> </w:t>
      </w:r>
      <w:r>
        <w:t>was</w:t>
      </w:r>
      <w:r>
        <w:rPr>
          <w:spacing w:val="-12"/>
        </w:rPr>
        <w:t xml:space="preserve"> </w:t>
      </w:r>
      <w:r>
        <w:t>only</w:t>
      </w:r>
      <w:r>
        <w:rPr>
          <w:spacing w:val="-15"/>
        </w:rPr>
        <w:t xml:space="preserve"> </w:t>
      </w:r>
      <w:r>
        <w:t>possible</w:t>
      </w:r>
      <w:r>
        <w:rPr>
          <w:spacing w:val="-12"/>
        </w:rPr>
        <w:t xml:space="preserve"> </w:t>
      </w:r>
      <w:r>
        <w:t>to</w:t>
      </w:r>
      <w:r>
        <w:rPr>
          <w:spacing w:val="-12"/>
        </w:rPr>
        <w:t xml:space="preserve"> </w:t>
      </w:r>
      <w:r>
        <w:t>reach</w:t>
      </w:r>
      <w:r>
        <w:rPr>
          <w:spacing w:val="-15"/>
        </w:rPr>
        <w:t xml:space="preserve"> </w:t>
      </w:r>
      <w:r>
        <w:t>the</w:t>
      </w:r>
      <w:r>
        <w:rPr>
          <w:spacing w:val="-15"/>
        </w:rPr>
        <w:t xml:space="preserve"> </w:t>
      </w:r>
      <w:r>
        <w:t>quota</w:t>
      </w:r>
      <w:r>
        <w:rPr>
          <w:spacing w:val="-12"/>
        </w:rPr>
        <w:t xml:space="preserve"> </w:t>
      </w:r>
      <w:r>
        <w:t>at</w:t>
      </w:r>
      <w:r>
        <w:rPr>
          <w:spacing w:val="-14"/>
        </w:rPr>
        <w:t xml:space="preserve"> </w:t>
      </w:r>
      <w:r>
        <w:t>the</w:t>
      </w:r>
      <w:r>
        <w:rPr>
          <w:spacing w:val="-15"/>
        </w:rPr>
        <w:t xml:space="preserve"> </w:t>
      </w:r>
      <w:r>
        <w:t>municipal</w:t>
      </w:r>
      <w:r>
        <w:rPr>
          <w:spacing w:val="-13"/>
        </w:rPr>
        <w:t xml:space="preserve"> </w:t>
      </w:r>
      <w:r>
        <w:t>council</w:t>
      </w:r>
      <w:r>
        <w:rPr>
          <w:spacing w:val="-13"/>
        </w:rPr>
        <w:t xml:space="preserve"> </w:t>
      </w:r>
      <w:r>
        <w:t>level</w:t>
      </w:r>
      <w:r>
        <w:rPr>
          <w:spacing w:val="-14"/>
        </w:rPr>
        <w:t xml:space="preserve"> </w:t>
      </w:r>
      <w:r>
        <w:t>(30.25 per cent), and in the mayoral offices women barely reached 12.03 per</w:t>
      </w:r>
      <w:r>
        <w:rPr>
          <w:spacing w:val="-7"/>
        </w:rPr>
        <w:t xml:space="preserve"> </w:t>
      </w:r>
      <w:r>
        <w:t>cent</w:t>
      </w:r>
      <w:r w:rsidR="001F4491">
        <w:rPr>
          <w:rStyle w:val="FootnoteReference"/>
        </w:rPr>
        <w:footnoteReference w:id="15"/>
      </w:r>
      <w:r>
        <w:t>.</w:t>
      </w:r>
    </w:p>
    <w:p w:rsidR="0083635F" w:rsidRDefault="0083635F">
      <w:pPr>
        <w:pStyle w:val="BodyText"/>
        <w:spacing w:before="2"/>
        <w:rPr>
          <w:sz w:val="25"/>
        </w:rPr>
      </w:pPr>
    </w:p>
    <w:p w:rsidR="0083635F" w:rsidRDefault="00501056">
      <w:pPr>
        <w:pStyle w:val="BodyText"/>
        <w:spacing w:before="1" w:line="276" w:lineRule="auto"/>
        <w:ind w:left="191" w:right="117"/>
        <w:jc w:val="both"/>
      </w:pPr>
      <w:r>
        <w:t>Women's participation in decision-making bodies has historically remained very low, despite the regulations in place to reverse this situation. In the government administration that only ends in August 2020, out of 22 ministries in the Executive Branch, only 3 are occupied by women, in roles that are otherwise</w:t>
      </w:r>
      <w:r>
        <w:rPr>
          <w:spacing w:val="-6"/>
        </w:rPr>
        <w:t xml:space="preserve"> </w:t>
      </w:r>
      <w:r>
        <w:t>traditional,</w:t>
      </w:r>
      <w:r>
        <w:rPr>
          <w:spacing w:val="-6"/>
        </w:rPr>
        <w:t xml:space="preserve"> </w:t>
      </w:r>
      <w:r>
        <w:t>the</w:t>
      </w:r>
      <w:r>
        <w:rPr>
          <w:spacing w:val="-12"/>
        </w:rPr>
        <w:t xml:space="preserve"> </w:t>
      </w:r>
      <w:r>
        <w:t>Ministry</w:t>
      </w:r>
      <w:r>
        <w:rPr>
          <w:spacing w:val="-7"/>
        </w:rPr>
        <w:t xml:space="preserve"> </w:t>
      </w:r>
      <w:r>
        <w:t>of</w:t>
      </w:r>
      <w:r>
        <w:rPr>
          <w:spacing w:val="-10"/>
        </w:rPr>
        <w:t xml:space="preserve"> </w:t>
      </w:r>
      <w:r>
        <w:t>Women,</w:t>
      </w:r>
      <w:r>
        <w:rPr>
          <w:spacing w:val="-7"/>
        </w:rPr>
        <w:t xml:space="preserve"> </w:t>
      </w:r>
      <w:r>
        <w:t>the</w:t>
      </w:r>
      <w:r>
        <w:rPr>
          <w:spacing w:val="-9"/>
        </w:rPr>
        <w:t xml:space="preserve"> </w:t>
      </w:r>
      <w:r>
        <w:t>Ministry</w:t>
      </w:r>
      <w:r>
        <w:rPr>
          <w:spacing w:val="-7"/>
        </w:rPr>
        <w:t xml:space="preserve"> </w:t>
      </w:r>
      <w:r>
        <w:t>of</w:t>
      </w:r>
      <w:r>
        <w:rPr>
          <w:spacing w:val="-5"/>
        </w:rPr>
        <w:t xml:space="preserve"> </w:t>
      </w:r>
      <w:r>
        <w:t>Youth</w:t>
      </w:r>
      <w:r>
        <w:rPr>
          <w:spacing w:val="-8"/>
        </w:rPr>
        <w:t xml:space="preserve"> </w:t>
      </w:r>
      <w:r>
        <w:t>and</w:t>
      </w:r>
      <w:r>
        <w:rPr>
          <w:spacing w:val="-8"/>
        </w:rPr>
        <w:t xml:space="preserve"> </w:t>
      </w:r>
      <w:r>
        <w:t>the</w:t>
      </w:r>
      <w:r>
        <w:rPr>
          <w:spacing w:val="-9"/>
        </w:rPr>
        <w:t xml:space="preserve"> </w:t>
      </w:r>
      <w:r>
        <w:t>Ministry</w:t>
      </w:r>
      <w:r>
        <w:rPr>
          <w:spacing w:val="-7"/>
        </w:rPr>
        <w:t xml:space="preserve"> </w:t>
      </w:r>
      <w:r>
        <w:t>of</w:t>
      </w:r>
      <w:r>
        <w:rPr>
          <w:spacing w:val="-3"/>
        </w:rPr>
        <w:t xml:space="preserve"> </w:t>
      </w:r>
      <w:r>
        <w:t>Higher</w:t>
      </w:r>
      <w:r>
        <w:rPr>
          <w:spacing w:val="-7"/>
        </w:rPr>
        <w:t xml:space="preserve"> </w:t>
      </w:r>
      <w:r>
        <w:t>Education, Science and</w:t>
      </w:r>
      <w:r>
        <w:rPr>
          <w:spacing w:val="-3"/>
        </w:rPr>
        <w:t xml:space="preserve"> </w:t>
      </w:r>
      <w:r>
        <w:t>Technology.</w:t>
      </w:r>
    </w:p>
    <w:p w:rsidR="0083635F" w:rsidRDefault="0083635F">
      <w:pPr>
        <w:pStyle w:val="BodyText"/>
        <w:spacing w:before="4"/>
        <w:rPr>
          <w:sz w:val="25"/>
        </w:rPr>
      </w:pPr>
    </w:p>
    <w:p w:rsidR="0083635F" w:rsidRDefault="00501056">
      <w:pPr>
        <w:pStyle w:val="Heading1"/>
        <w:ind w:left="191"/>
        <w:jc w:val="left"/>
      </w:pPr>
      <w:r>
        <w:t>RECOMMENDATIONS</w:t>
      </w:r>
    </w:p>
    <w:p w:rsidR="0083635F" w:rsidRPr="005A2723" w:rsidRDefault="0083635F">
      <w:pPr>
        <w:pStyle w:val="BodyText"/>
        <w:spacing w:before="8"/>
        <w:rPr>
          <w:b/>
          <w:sz w:val="24"/>
          <w:szCs w:val="24"/>
        </w:rPr>
      </w:pPr>
    </w:p>
    <w:p w:rsidR="0083635F" w:rsidRDefault="00501056">
      <w:pPr>
        <w:pStyle w:val="ListParagraph"/>
        <w:numPr>
          <w:ilvl w:val="2"/>
          <w:numId w:val="5"/>
        </w:numPr>
        <w:tabs>
          <w:tab w:val="left" w:pos="1003"/>
        </w:tabs>
        <w:spacing w:line="276" w:lineRule="auto"/>
        <w:ind w:right="117"/>
        <w:jc w:val="both"/>
      </w:pPr>
      <w:r>
        <w:t>Adopt</w:t>
      </w:r>
      <w:r>
        <w:rPr>
          <w:spacing w:val="-5"/>
        </w:rPr>
        <w:t xml:space="preserve"> </w:t>
      </w:r>
      <w:r>
        <w:t>effective</w:t>
      </w:r>
      <w:r>
        <w:rPr>
          <w:spacing w:val="-6"/>
        </w:rPr>
        <w:t xml:space="preserve"> </w:t>
      </w:r>
      <w:r>
        <w:t>mechanisms</w:t>
      </w:r>
      <w:r>
        <w:rPr>
          <w:spacing w:val="-8"/>
        </w:rPr>
        <w:t xml:space="preserve"> </w:t>
      </w:r>
      <w:r>
        <w:t>to</w:t>
      </w:r>
      <w:r>
        <w:rPr>
          <w:spacing w:val="-10"/>
        </w:rPr>
        <w:t xml:space="preserve"> </w:t>
      </w:r>
      <w:r>
        <w:t>monitor</w:t>
      </w:r>
      <w:r>
        <w:rPr>
          <w:spacing w:val="-8"/>
        </w:rPr>
        <w:t xml:space="preserve"> </w:t>
      </w:r>
      <w:r>
        <w:t>and</w:t>
      </w:r>
      <w:r>
        <w:rPr>
          <w:spacing w:val="-8"/>
        </w:rPr>
        <w:t xml:space="preserve"> </w:t>
      </w:r>
      <w:r>
        <w:t>control</w:t>
      </w:r>
      <w:r>
        <w:rPr>
          <w:spacing w:val="-7"/>
        </w:rPr>
        <w:t xml:space="preserve"> </w:t>
      </w:r>
      <w:r>
        <w:t>compliance</w:t>
      </w:r>
      <w:r>
        <w:rPr>
          <w:spacing w:val="-9"/>
        </w:rPr>
        <w:t xml:space="preserve"> </w:t>
      </w:r>
      <w:r>
        <w:t>with</w:t>
      </w:r>
      <w:r>
        <w:rPr>
          <w:spacing w:val="-5"/>
        </w:rPr>
        <w:t xml:space="preserve"> </w:t>
      </w:r>
      <w:r>
        <w:t>the</w:t>
      </w:r>
      <w:r>
        <w:rPr>
          <w:spacing w:val="-9"/>
        </w:rPr>
        <w:t xml:space="preserve"> </w:t>
      </w:r>
      <w:r>
        <w:t>electoral</w:t>
      </w:r>
      <w:r>
        <w:rPr>
          <w:spacing w:val="-11"/>
        </w:rPr>
        <w:t xml:space="preserve"> </w:t>
      </w:r>
      <w:r>
        <w:t>gender</w:t>
      </w:r>
      <w:r>
        <w:rPr>
          <w:spacing w:val="-10"/>
        </w:rPr>
        <w:t xml:space="preserve"> </w:t>
      </w:r>
      <w:r>
        <w:t>quota, including sanctions for political parties and electoral bodies that fail to comply with</w:t>
      </w:r>
      <w:r>
        <w:rPr>
          <w:spacing w:val="-18"/>
        </w:rPr>
        <w:t xml:space="preserve"> </w:t>
      </w:r>
      <w:r>
        <w:t>it.</w:t>
      </w:r>
    </w:p>
    <w:p w:rsidR="0083635F" w:rsidRDefault="00501056">
      <w:pPr>
        <w:pStyle w:val="ListParagraph"/>
        <w:numPr>
          <w:ilvl w:val="2"/>
          <w:numId w:val="5"/>
        </w:numPr>
        <w:tabs>
          <w:tab w:val="left" w:pos="1003"/>
        </w:tabs>
        <w:spacing w:before="1" w:line="276" w:lineRule="auto"/>
        <w:ind w:right="113"/>
        <w:jc w:val="both"/>
      </w:pPr>
      <w:r>
        <w:t>Train political parties, members of the Central Electoral Board and judges of the Superior Electoral Tribunal in the gender perspective, so that their administrative and/or jurisdictional actions and decisions do not ignore or obscure the partisan political dynamics that disproportionately affect</w:t>
      </w:r>
      <w:r>
        <w:rPr>
          <w:spacing w:val="-4"/>
        </w:rPr>
        <w:t xml:space="preserve"> </w:t>
      </w:r>
      <w:r>
        <w:t>women</w:t>
      </w:r>
    </w:p>
    <w:p w:rsidR="0083635F" w:rsidRDefault="00501056">
      <w:pPr>
        <w:pStyle w:val="ListParagraph"/>
        <w:numPr>
          <w:ilvl w:val="2"/>
          <w:numId w:val="5"/>
        </w:numPr>
        <w:tabs>
          <w:tab w:val="left" w:pos="1003"/>
        </w:tabs>
        <w:spacing w:line="276" w:lineRule="auto"/>
        <w:ind w:right="113"/>
        <w:jc w:val="both"/>
      </w:pPr>
      <w:r>
        <w:t>Promote the necessary legislative reforms to Law 33-18 on Political Parties, Groupings and Movements and Law 15-19 on the Electoral System to extend the mandatory application of</w:t>
      </w:r>
      <w:r>
        <w:rPr>
          <w:spacing w:val="-40"/>
        </w:rPr>
        <w:t xml:space="preserve"> </w:t>
      </w:r>
      <w:r>
        <w:t>the gender quota to elected positions in the Senate and the Mayor's</w:t>
      </w:r>
      <w:r>
        <w:rPr>
          <w:spacing w:val="-15"/>
        </w:rPr>
        <w:t xml:space="preserve"> </w:t>
      </w:r>
      <w:r>
        <w:t>Office;</w:t>
      </w:r>
    </w:p>
    <w:p w:rsidR="0083635F" w:rsidRPr="001F4491" w:rsidRDefault="00501056" w:rsidP="001F4491">
      <w:pPr>
        <w:pStyle w:val="ListParagraph"/>
        <w:numPr>
          <w:ilvl w:val="2"/>
          <w:numId w:val="5"/>
        </w:numPr>
        <w:tabs>
          <w:tab w:val="left" w:pos="1003"/>
        </w:tabs>
        <w:spacing w:line="276" w:lineRule="auto"/>
        <w:jc w:val="both"/>
        <w:rPr>
          <w:sz w:val="20"/>
        </w:rPr>
      </w:pPr>
      <w:r>
        <w:t>Promote the necessary legislative reforms to Law 33-18 on Political Parties, Groups and Movements and Law 15-19 on the Electoral Regime to guarantee the allocation of specific budgets</w:t>
      </w:r>
      <w:r w:rsidRPr="001F4491">
        <w:rPr>
          <w:spacing w:val="-6"/>
        </w:rPr>
        <w:t xml:space="preserve"> </w:t>
      </w:r>
      <w:r>
        <w:t>to</w:t>
      </w:r>
      <w:r w:rsidRPr="001F4491">
        <w:rPr>
          <w:spacing w:val="-5"/>
        </w:rPr>
        <w:t xml:space="preserve"> </w:t>
      </w:r>
      <w:r>
        <w:t>political</w:t>
      </w:r>
      <w:r w:rsidRPr="001F4491">
        <w:rPr>
          <w:spacing w:val="-5"/>
        </w:rPr>
        <w:t xml:space="preserve"> </w:t>
      </w:r>
      <w:r>
        <w:t>parties</w:t>
      </w:r>
      <w:r w:rsidRPr="001F4491">
        <w:rPr>
          <w:spacing w:val="-3"/>
        </w:rPr>
        <w:t xml:space="preserve"> </w:t>
      </w:r>
      <w:r>
        <w:t>that</w:t>
      </w:r>
      <w:r w:rsidRPr="001F4491">
        <w:rPr>
          <w:spacing w:val="-4"/>
        </w:rPr>
        <w:t xml:space="preserve"> </w:t>
      </w:r>
      <w:r>
        <w:t>allow</w:t>
      </w:r>
      <w:r w:rsidRPr="001F4491">
        <w:rPr>
          <w:spacing w:val="-7"/>
        </w:rPr>
        <w:t xml:space="preserve"> </w:t>
      </w:r>
      <w:r>
        <w:t>for</w:t>
      </w:r>
      <w:r w:rsidRPr="001F4491">
        <w:rPr>
          <w:spacing w:val="-7"/>
        </w:rPr>
        <w:t xml:space="preserve"> </w:t>
      </w:r>
      <w:r>
        <w:t>the</w:t>
      </w:r>
      <w:r w:rsidRPr="001F4491">
        <w:rPr>
          <w:spacing w:val="-6"/>
        </w:rPr>
        <w:t xml:space="preserve"> </w:t>
      </w:r>
      <w:r>
        <w:t>training</w:t>
      </w:r>
      <w:r w:rsidRPr="001F4491">
        <w:rPr>
          <w:spacing w:val="-4"/>
        </w:rPr>
        <w:t xml:space="preserve"> </w:t>
      </w:r>
      <w:r>
        <w:t>and</w:t>
      </w:r>
      <w:r w:rsidRPr="001F4491">
        <w:rPr>
          <w:spacing w:val="-3"/>
        </w:rPr>
        <w:t xml:space="preserve"> </w:t>
      </w:r>
      <w:r>
        <w:t>investment</w:t>
      </w:r>
      <w:r w:rsidRPr="001F4491">
        <w:rPr>
          <w:spacing w:val="-4"/>
        </w:rPr>
        <w:t xml:space="preserve"> </w:t>
      </w:r>
      <w:r>
        <w:t>of</w:t>
      </w:r>
      <w:r w:rsidRPr="001F4491">
        <w:rPr>
          <w:spacing w:val="-3"/>
        </w:rPr>
        <w:t xml:space="preserve"> </w:t>
      </w:r>
      <w:r>
        <w:t>campaign</w:t>
      </w:r>
      <w:r w:rsidRPr="001F4491">
        <w:rPr>
          <w:spacing w:val="-5"/>
        </w:rPr>
        <w:t xml:space="preserve"> </w:t>
      </w:r>
      <w:r>
        <w:t>funds</w:t>
      </w:r>
      <w:r w:rsidRPr="001F4491">
        <w:rPr>
          <w:spacing w:val="-8"/>
        </w:rPr>
        <w:t xml:space="preserve"> </w:t>
      </w:r>
      <w:r>
        <w:t>for</w:t>
      </w:r>
      <w:r w:rsidRPr="001F4491">
        <w:rPr>
          <w:spacing w:val="-5"/>
        </w:rPr>
        <w:t xml:space="preserve"> </w:t>
      </w:r>
      <w:r>
        <w:t>their female</w:t>
      </w:r>
      <w:r w:rsidRPr="001F4491">
        <w:rPr>
          <w:spacing w:val="-2"/>
        </w:rPr>
        <w:t xml:space="preserve"> </w:t>
      </w:r>
      <w:r>
        <w:t>candidates;</w:t>
      </w:r>
    </w:p>
    <w:p w:rsidR="0083635F" w:rsidRDefault="00501056">
      <w:pPr>
        <w:pStyle w:val="ListParagraph"/>
        <w:numPr>
          <w:ilvl w:val="2"/>
          <w:numId w:val="5"/>
        </w:numPr>
        <w:tabs>
          <w:tab w:val="left" w:pos="1003"/>
        </w:tabs>
        <w:spacing w:before="77" w:line="276" w:lineRule="auto"/>
        <w:ind w:right="114"/>
        <w:jc w:val="both"/>
      </w:pPr>
      <w:r>
        <w:t>To design policies that pursue parity in freely appointed public positions, including positions in the public administration and in the formation of high courts, such as the Supreme Court of Justice and the Constitutional</w:t>
      </w:r>
      <w:r>
        <w:rPr>
          <w:spacing w:val="-6"/>
        </w:rPr>
        <w:t xml:space="preserve"> </w:t>
      </w:r>
      <w:r>
        <w:t>Tribunal.</w:t>
      </w:r>
    </w:p>
    <w:p w:rsidR="0083635F" w:rsidRDefault="0083635F">
      <w:pPr>
        <w:pStyle w:val="BodyText"/>
        <w:spacing w:before="2"/>
        <w:rPr>
          <w:sz w:val="25"/>
        </w:rPr>
      </w:pPr>
    </w:p>
    <w:p w:rsidR="0083635F" w:rsidRDefault="00501056">
      <w:pPr>
        <w:pStyle w:val="Heading1"/>
        <w:ind w:right="1773"/>
      </w:pPr>
      <w:bookmarkStart w:id="5" w:name="_bookmark4"/>
      <w:bookmarkEnd w:id="5"/>
      <w:r>
        <w:rPr>
          <w:u w:val="thick"/>
        </w:rPr>
        <w:lastRenderedPageBreak/>
        <w:t>ARTICLE 10. RIGHT TO EDUCATION</w:t>
      </w:r>
    </w:p>
    <w:p w:rsidR="0083635F" w:rsidRDefault="0083635F">
      <w:pPr>
        <w:pStyle w:val="BodyText"/>
        <w:spacing w:before="7"/>
        <w:rPr>
          <w:b/>
          <w:sz w:val="20"/>
        </w:rPr>
      </w:pPr>
    </w:p>
    <w:p w:rsidR="0083635F" w:rsidRDefault="00501056" w:rsidP="005A2723">
      <w:pPr>
        <w:pStyle w:val="BodyText"/>
        <w:spacing w:before="93" w:line="276" w:lineRule="auto"/>
        <w:ind w:left="191" w:right="115"/>
        <w:jc w:val="both"/>
      </w:pPr>
      <w:r>
        <w:t xml:space="preserve">The information available shows a </w:t>
      </w:r>
      <w:r w:rsidR="001F4491">
        <w:t>favorable</w:t>
      </w:r>
      <w:r>
        <w:t xml:space="preserve"> panorama for women in terms of insertion into the formal education system, showing that women have higher educational levels than men in terms of: average years of study (8.9 years for men and 9.5 years for women); levels close to parity in early education (0.94) and primary education (0.97); and greater presence in secondary and university education, presenting a gender parity index of 1.07 and 1.73, respectively.</w:t>
      </w:r>
    </w:p>
    <w:p w:rsidR="0083635F" w:rsidRDefault="0083635F" w:rsidP="005A2723">
      <w:pPr>
        <w:pStyle w:val="BodyText"/>
        <w:spacing w:before="5"/>
        <w:ind w:left="191"/>
        <w:rPr>
          <w:sz w:val="25"/>
        </w:rPr>
      </w:pPr>
    </w:p>
    <w:p w:rsidR="0083635F" w:rsidRDefault="00501056" w:rsidP="005A2723">
      <w:pPr>
        <w:pStyle w:val="BodyText"/>
        <w:spacing w:line="276" w:lineRule="auto"/>
        <w:ind w:left="191" w:right="112"/>
        <w:jc w:val="both"/>
      </w:pPr>
      <w:r>
        <w:t>There are deficits in the levels of coverage of educational services at all levels, especially in initial education (net enrolment rate of 34.9% for boys and 32.9% for girls) and secondary education (57.6% and 67.2% for men and women), as well as in university education (21.6% for men and 34.4% for women); and in primary education the enrolment rate is 94.7% for boys and 94.9% for girls</w:t>
      </w:r>
      <w:r w:rsidR="005A2723">
        <w:rPr>
          <w:rStyle w:val="FootnoteReference"/>
        </w:rPr>
        <w:footnoteReference w:id="16"/>
      </w:r>
      <w:r>
        <w:t>. These data in education are explained</w:t>
      </w:r>
      <w:r w:rsidR="005A2723">
        <w:t xml:space="preserve"> despite the extensive program</w:t>
      </w:r>
      <w:r>
        <w:t xml:space="preserve"> of building new schools and rehabilitating</w:t>
      </w:r>
      <w:r>
        <w:rPr>
          <w:spacing w:val="-7"/>
        </w:rPr>
        <w:t xml:space="preserve"> </w:t>
      </w:r>
      <w:r>
        <w:t>classrooms,</w:t>
      </w:r>
      <w:r>
        <w:rPr>
          <w:spacing w:val="-8"/>
        </w:rPr>
        <w:t xml:space="preserve"> </w:t>
      </w:r>
      <w:r>
        <w:t>the</w:t>
      </w:r>
      <w:r>
        <w:rPr>
          <w:spacing w:val="-7"/>
        </w:rPr>
        <w:t xml:space="preserve"> </w:t>
      </w:r>
      <w:r>
        <w:t>implementation</w:t>
      </w:r>
      <w:r>
        <w:rPr>
          <w:spacing w:val="-9"/>
        </w:rPr>
        <w:t xml:space="preserve"> </w:t>
      </w:r>
      <w:r>
        <w:t>of</w:t>
      </w:r>
      <w:r>
        <w:rPr>
          <w:spacing w:val="-5"/>
        </w:rPr>
        <w:t xml:space="preserve"> </w:t>
      </w:r>
      <w:r>
        <w:t>the</w:t>
      </w:r>
      <w:r>
        <w:rPr>
          <w:spacing w:val="-6"/>
        </w:rPr>
        <w:t xml:space="preserve"> </w:t>
      </w:r>
      <w:r>
        <w:t>extended</w:t>
      </w:r>
      <w:r>
        <w:rPr>
          <w:spacing w:val="-6"/>
        </w:rPr>
        <w:t xml:space="preserve"> </w:t>
      </w:r>
      <w:r>
        <w:t>school</w:t>
      </w:r>
      <w:r>
        <w:rPr>
          <w:spacing w:val="-7"/>
        </w:rPr>
        <w:t xml:space="preserve"> </w:t>
      </w:r>
      <w:r>
        <w:t>day</w:t>
      </w:r>
      <w:r>
        <w:rPr>
          <w:spacing w:val="-8"/>
        </w:rPr>
        <w:t xml:space="preserve"> </w:t>
      </w:r>
      <w:r>
        <w:t>and</w:t>
      </w:r>
      <w:r>
        <w:rPr>
          <w:spacing w:val="-7"/>
        </w:rPr>
        <w:t xml:space="preserve"> </w:t>
      </w:r>
      <w:r>
        <w:t>the</w:t>
      </w:r>
      <w:r>
        <w:rPr>
          <w:spacing w:val="-9"/>
        </w:rPr>
        <w:t xml:space="preserve"> </w:t>
      </w:r>
      <w:r>
        <w:t>Comprehensive</w:t>
      </w:r>
      <w:r>
        <w:rPr>
          <w:spacing w:val="-6"/>
        </w:rPr>
        <w:t xml:space="preserve"> </w:t>
      </w:r>
      <w:r>
        <w:t>Early Childhood</w:t>
      </w:r>
      <w:r>
        <w:rPr>
          <w:spacing w:val="-6"/>
        </w:rPr>
        <w:t xml:space="preserve"> </w:t>
      </w:r>
      <w:r>
        <w:t>Care</w:t>
      </w:r>
      <w:r>
        <w:rPr>
          <w:spacing w:val="-6"/>
        </w:rPr>
        <w:t xml:space="preserve"> </w:t>
      </w:r>
      <w:r w:rsidR="005A2723">
        <w:t>Program</w:t>
      </w:r>
      <w:r>
        <w:rPr>
          <w:spacing w:val="-7"/>
        </w:rPr>
        <w:t xml:space="preserve"> </w:t>
      </w:r>
      <w:r>
        <w:t>-focused</w:t>
      </w:r>
      <w:r>
        <w:rPr>
          <w:spacing w:val="-7"/>
        </w:rPr>
        <w:t xml:space="preserve"> </w:t>
      </w:r>
      <w:r>
        <w:t>on</w:t>
      </w:r>
      <w:r>
        <w:rPr>
          <w:spacing w:val="-8"/>
        </w:rPr>
        <w:t xml:space="preserve"> </w:t>
      </w:r>
      <w:r>
        <w:t>the</w:t>
      </w:r>
      <w:r>
        <w:rPr>
          <w:spacing w:val="-9"/>
        </w:rPr>
        <w:t xml:space="preserve"> </w:t>
      </w:r>
      <w:r>
        <w:t>most</w:t>
      </w:r>
      <w:r>
        <w:rPr>
          <w:spacing w:val="-7"/>
        </w:rPr>
        <w:t xml:space="preserve"> </w:t>
      </w:r>
      <w:r>
        <w:t>impoverished</w:t>
      </w:r>
      <w:r>
        <w:rPr>
          <w:spacing w:val="-6"/>
        </w:rPr>
        <w:t xml:space="preserve"> </w:t>
      </w:r>
      <w:r>
        <w:t>sectors,</w:t>
      </w:r>
      <w:r>
        <w:rPr>
          <w:spacing w:val="-5"/>
        </w:rPr>
        <w:t xml:space="preserve"> </w:t>
      </w:r>
      <w:r>
        <w:t>and</w:t>
      </w:r>
      <w:r>
        <w:rPr>
          <w:spacing w:val="-7"/>
        </w:rPr>
        <w:t xml:space="preserve"> </w:t>
      </w:r>
      <w:r>
        <w:t>still</w:t>
      </w:r>
      <w:r>
        <w:rPr>
          <w:spacing w:val="-7"/>
        </w:rPr>
        <w:t xml:space="preserve"> </w:t>
      </w:r>
      <w:r>
        <w:t>with</w:t>
      </w:r>
      <w:r>
        <w:rPr>
          <w:spacing w:val="-6"/>
        </w:rPr>
        <w:t xml:space="preserve"> </w:t>
      </w:r>
      <w:r>
        <w:t>limited</w:t>
      </w:r>
      <w:r>
        <w:rPr>
          <w:spacing w:val="-6"/>
        </w:rPr>
        <w:t xml:space="preserve"> </w:t>
      </w:r>
      <w:r w:rsidR="005A2723">
        <w:t>coverage</w:t>
      </w:r>
      <w:r>
        <w:t xml:space="preserve">, and the </w:t>
      </w:r>
      <w:r w:rsidR="005A2723">
        <w:t>programs</w:t>
      </w:r>
      <w:r>
        <w:t xml:space="preserve"> of school feeding, adult literacy, and the conversion of school </w:t>
      </w:r>
      <w:r w:rsidR="005A2723">
        <w:t>centers</w:t>
      </w:r>
      <w:r>
        <w:t xml:space="preserve"> into vocational technical training </w:t>
      </w:r>
      <w:r w:rsidR="005A2723">
        <w:t>programs</w:t>
      </w:r>
      <w:r>
        <w:t>, among other advances.</w:t>
      </w:r>
    </w:p>
    <w:p w:rsidR="005A2723" w:rsidRDefault="005A2723" w:rsidP="005A2723">
      <w:pPr>
        <w:pStyle w:val="BodyText"/>
        <w:spacing w:line="276" w:lineRule="auto"/>
        <w:ind w:left="191" w:right="113"/>
        <w:jc w:val="both"/>
      </w:pPr>
    </w:p>
    <w:p w:rsidR="0083635F" w:rsidRDefault="00501056" w:rsidP="005A2723">
      <w:pPr>
        <w:pStyle w:val="BodyText"/>
        <w:spacing w:line="276" w:lineRule="auto"/>
        <w:ind w:left="191" w:right="119"/>
        <w:jc w:val="both"/>
      </w:pPr>
      <w:r>
        <w:t>For the LGBT population, school environments are both explicitly and implicitly hostile, as they feel subject to discrimination and homophobic and transphobic bullying, compounded by a lack of teacher training on diversity issues.</w:t>
      </w:r>
    </w:p>
    <w:p w:rsidR="0083635F" w:rsidRPr="005A2723" w:rsidRDefault="0083635F">
      <w:pPr>
        <w:pStyle w:val="BodyText"/>
        <w:spacing w:before="1"/>
        <w:rPr>
          <w:sz w:val="24"/>
          <w:szCs w:val="24"/>
        </w:rPr>
      </w:pPr>
    </w:p>
    <w:p w:rsidR="0083635F" w:rsidRDefault="00501056">
      <w:pPr>
        <w:pStyle w:val="Heading1"/>
        <w:spacing w:before="1"/>
        <w:ind w:left="191"/>
        <w:jc w:val="both"/>
      </w:pPr>
      <w:bookmarkStart w:id="6" w:name="_bookmark5"/>
      <w:bookmarkEnd w:id="6"/>
      <w:r>
        <w:t>Information and Communication Technologies (ICT)</w:t>
      </w:r>
    </w:p>
    <w:p w:rsidR="0083635F" w:rsidRDefault="00501056" w:rsidP="005A2723">
      <w:pPr>
        <w:pStyle w:val="BodyText"/>
        <w:tabs>
          <w:tab w:val="left" w:pos="9810"/>
        </w:tabs>
        <w:spacing w:before="121" w:line="276" w:lineRule="auto"/>
        <w:ind w:left="191" w:right="110"/>
        <w:jc w:val="both"/>
      </w:pPr>
      <w:r>
        <w:t xml:space="preserve">Women in the Dominican Republic have overcome the so-called first gap, or access </w:t>
      </w:r>
      <w:r>
        <w:lastRenderedPageBreak/>
        <w:t xml:space="preserve">gap. Dominican women represent a little more than 50% of those connected; however, this change in the access </w:t>
      </w:r>
      <w:r>
        <w:rPr>
          <w:spacing w:val="3"/>
        </w:rPr>
        <w:t xml:space="preserve">gap </w:t>
      </w:r>
      <w:r>
        <w:t>has not meant changes in the gaps in skills and transformational uses associated with the study of careers</w:t>
      </w:r>
      <w:r>
        <w:rPr>
          <w:spacing w:val="-12"/>
        </w:rPr>
        <w:t xml:space="preserve"> </w:t>
      </w:r>
      <w:r>
        <w:t>linked</w:t>
      </w:r>
      <w:r>
        <w:rPr>
          <w:spacing w:val="-13"/>
        </w:rPr>
        <w:t xml:space="preserve"> </w:t>
      </w:r>
      <w:r>
        <w:t>to</w:t>
      </w:r>
      <w:r>
        <w:rPr>
          <w:spacing w:val="-13"/>
        </w:rPr>
        <w:t xml:space="preserve"> </w:t>
      </w:r>
      <w:r>
        <w:t>science,</w:t>
      </w:r>
      <w:r>
        <w:rPr>
          <w:spacing w:val="-13"/>
        </w:rPr>
        <w:t xml:space="preserve"> </w:t>
      </w:r>
      <w:r>
        <w:t>technology</w:t>
      </w:r>
      <w:r>
        <w:rPr>
          <w:spacing w:val="-14"/>
        </w:rPr>
        <w:t xml:space="preserve"> </w:t>
      </w:r>
      <w:r>
        <w:t>and</w:t>
      </w:r>
      <w:r>
        <w:rPr>
          <w:spacing w:val="-13"/>
        </w:rPr>
        <w:t xml:space="preserve"> </w:t>
      </w:r>
      <w:r>
        <w:t>mathematics,</w:t>
      </w:r>
      <w:r>
        <w:rPr>
          <w:spacing w:val="-10"/>
        </w:rPr>
        <w:t xml:space="preserve"> </w:t>
      </w:r>
      <w:r>
        <w:t>and</w:t>
      </w:r>
      <w:r>
        <w:rPr>
          <w:spacing w:val="-15"/>
        </w:rPr>
        <w:t xml:space="preserve"> </w:t>
      </w:r>
      <w:r>
        <w:t>therefore</w:t>
      </w:r>
      <w:r>
        <w:rPr>
          <w:spacing w:val="-13"/>
        </w:rPr>
        <w:t xml:space="preserve"> </w:t>
      </w:r>
      <w:r>
        <w:t>they</w:t>
      </w:r>
      <w:r>
        <w:rPr>
          <w:spacing w:val="-15"/>
        </w:rPr>
        <w:t xml:space="preserve"> </w:t>
      </w:r>
      <w:r>
        <w:t>maintain</w:t>
      </w:r>
      <w:r>
        <w:rPr>
          <w:spacing w:val="-10"/>
        </w:rPr>
        <w:t xml:space="preserve"> </w:t>
      </w:r>
      <w:r>
        <w:t>a</w:t>
      </w:r>
      <w:r>
        <w:rPr>
          <w:spacing w:val="-13"/>
        </w:rPr>
        <w:t xml:space="preserve"> </w:t>
      </w:r>
      <w:r>
        <w:t>low</w:t>
      </w:r>
      <w:r>
        <w:rPr>
          <w:spacing w:val="-13"/>
        </w:rPr>
        <w:t xml:space="preserve"> </w:t>
      </w:r>
      <w:r>
        <w:t>level</w:t>
      </w:r>
      <w:r>
        <w:rPr>
          <w:spacing w:val="-11"/>
        </w:rPr>
        <w:t xml:space="preserve"> </w:t>
      </w:r>
      <w:r>
        <w:t>of</w:t>
      </w:r>
      <w:r>
        <w:rPr>
          <w:spacing w:val="-9"/>
        </w:rPr>
        <w:t xml:space="preserve"> </w:t>
      </w:r>
      <w:r w:rsidR="005A2723">
        <w:t>labor</w:t>
      </w:r>
      <w:r>
        <w:t xml:space="preserve"> insertion in the technological field. </w:t>
      </w:r>
    </w:p>
    <w:p w:rsidR="0083635F" w:rsidRDefault="0083635F">
      <w:pPr>
        <w:pStyle w:val="BodyText"/>
        <w:spacing w:before="4"/>
        <w:rPr>
          <w:sz w:val="25"/>
        </w:rPr>
      </w:pPr>
    </w:p>
    <w:p w:rsidR="0083635F" w:rsidRDefault="00501056" w:rsidP="006A14C2">
      <w:pPr>
        <w:pStyle w:val="BodyText"/>
        <w:spacing w:line="276" w:lineRule="auto"/>
        <w:ind w:left="90" w:right="114"/>
        <w:jc w:val="both"/>
      </w:pPr>
      <w:r>
        <w:t>The above is verified from</w:t>
      </w:r>
      <w:r>
        <w:rPr>
          <w:spacing w:val="-17"/>
        </w:rPr>
        <w:t xml:space="preserve"> </w:t>
      </w:r>
      <w:r>
        <w:t>secondary education in the selection of young women in the courses of the technical-professional modality, women are 50.2% of the students, but they are concentrated mainly in technical training lines that reinforce the trades traditionally assigned to women, such as hotel management (cooking, bakery and pastry, room service, hotel reception), commerce (secretarial, accounting and human resources), and services (beauty</w:t>
      </w:r>
      <w:r>
        <w:rPr>
          <w:spacing w:val="-26"/>
        </w:rPr>
        <w:t xml:space="preserve"> </w:t>
      </w:r>
      <w:r>
        <w:t>and hairdressing, police, domestic service, nursing), among</w:t>
      </w:r>
      <w:r>
        <w:rPr>
          <w:spacing w:val="4"/>
        </w:rPr>
        <w:t xml:space="preserve"> </w:t>
      </w:r>
      <w:r>
        <w:rPr>
          <w:spacing w:val="-3"/>
        </w:rPr>
        <w:t>others</w:t>
      </w:r>
      <w:r w:rsidR="005A2723">
        <w:rPr>
          <w:spacing w:val="-3"/>
        </w:rPr>
        <w:t xml:space="preserve"> </w:t>
      </w:r>
      <w:r w:rsidR="005A2723">
        <w:rPr>
          <w:rStyle w:val="FootnoteReference"/>
          <w:spacing w:val="-3"/>
        </w:rPr>
        <w:footnoteReference w:id="17"/>
      </w:r>
    </w:p>
    <w:p w:rsidR="0083635F" w:rsidRDefault="0083635F">
      <w:pPr>
        <w:pStyle w:val="BodyText"/>
        <w:spacing w:before="3"/>
        <w:rPr>
          <w:sz w:val="25"/>
        </w:rPr>
      </w:pPr>
    </w:p>
    <w:p w:rsidR="0083635F" w:rsidRDefault="006A14C2" w:rsidP="00156EC0">
      <w:pPr>
        <w:pStyle w:val="BodyText"/>
        <w:spacing w:line="276" w:lineRule="auto"/>
        <w:ind w:left="191" w:right="119"/>
        <w:jc w:val="both"/>
      </w:pPr>
      <w:r>
        <w:rPr>
          <w:noProof/>
          <w:lang w:val="en-GB" w:eastAsia="en-GB"/>
        </w:rPr>
        <w:drawing>
          <wp:anchor distT="0" distB="0" distL="0" distR="0" simplePos="0" relativeHeight="15738880" behindDoc="1" locked="0" layoutInCell="1" allowOverlap="1">
            <wp:simplePos x="0" y="0"/>
            <wp:positionH relativeFrom="page">
              <wp:posOffset>752475</wp:posOffset>
            </wp:positionH>
            <wp:positionV relativeFrom="paragraph">
              <wp:posOffset>11430</wp:posOffset>
            </wp:positionV>
            <wp:extent cx="3941445" cy="2626995"/>
            <wp:effectExtent l="0" t="0" r="1905" b="1905"/>
            <wp:wrapTight wrapText="bothSides">
              <wp:wrapPolygon edited="1">
                <wp:start x="0" y="0"/>
                <wp:lineTo x="0" y="21459"/>
                <wp:lineTo x="22446" y="21600"/>
                <wp:lineTo x="22289" y="9163"/>
                <wp:lineTo x="22383" y="3916"/>
                <wp:lineTo x="22540" y="0"/>
                <wp:lineTo x="0" y="0"/>
              </wp:wrapPolygon>
            </wp:wrapTight>
            <wp:docPr id="23" name="image12.jpeg" descr="C:\Users\lbreton\Downloads\WhatsApp Image 2020-07-22 at 1.30.41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26" cstate="print"/>
                    <a:stretch>
                      <a:fillRect/>
                    </a:stretch>
                  </pic:blipFill>
                  <pic:spPr>
                    <a:xfrm>
                      <a:off x="0" y="0"/>
                      <a:ext cx="3941445" cy="2626995"/>
                    </a:xfrm>
                    <a:prstGeom prst="rect">
                      <a:avLst/>
                    </a:prstGeom>
                  </pic:spPr>
                </pic:pic>
              </a:graphicData>
            </a:graphic>
          </wp:anchor>
        </w:drawing>
      </w:r>
      <w:r w:rsidR="005A2723">
        <w:t xml:space="preserve">In </w:t>
      </w:r>
      <w:r w:rsidR="00501056">
        <w:t>careers</w:t>
      </w:r>
      <w:r w:rsidR="00501056">
        <w:rPr>
          <w:spacing w:val="-7"/>
        </w:rPr>
        <w:t xml:space="preserve"> </w:t>
      </w:r>
      <w:r w:rsidR="00501056">
        <w:t>related</w:t>
      </w:r>
      <w:r w:rsidR="00501056">
        <w:rPr>
          <w:spacing w:val="-5"/>
        </w:rPr>
        <w:t xml:space="preserve"> </w:t>
      </w:r>
      <w:r w:rsidR="00501056">
        <w:t>to</w:t>
      </w:r>
      <w:r w:rsidR="00501056">
        <w:rPr>
          <w:spacing w:val="-5"/>
        </w:rPr>
        <w:t xml:space="preserve"> </w:t>
      </w:r>
      <w:r w:rsidR="00501056">
        <w:t>ICTs</w:t>
      </w:r>
      <w:r w:rsidR="00501056">
        <w:rPr>
          <w:spacing w:val="-7"/>
        </w:rPr>
        <w:t xml:space="preserve"> </w:t>
      </w:r>
      <w:r w:rsidR="00501056">
        <w:t xml:space="preserve">and engineering, </w:t>
      </w:r>
      <w:r w:rsidR="005A2723">
        <w:t xml:space="preserve">women </w:t>
      </w:r>
      <w:r w:rsidR="00501056">
        <w:t>are still underrepresented, for example in civil engineering (index of femininity 0.43), Computing</w:t>
      </w:r>
      <w:r w:rsidR="00501056">
        <w:rPr>
          <w:spacing w:val="-4"/>
        </w:rPr>
        <w:t xml:space="preserve"> </w:t>
      </w:r>
      <w:r w:rsidR="00501056">
        <w:t>(0.69);</w:t>
      </w:r>
      <w:r w:rsidR="00501056">
        <w:rPr>
          <w:spacing w:val="-5"/>
        </w:rPr>
        <w:t xml:space="preserve"> </w:t>
      </w:r>
      <w:r w:rsidR="00501056">
        <w:t>and</w:t>
      </w:r>
      <w:r w:rsidR="00501056">
        <w:rPr>
          <w:spacing w:val="-9"/>
        </w:rPr>
        <w:t xml:space="preserve"> </w:t>
      </w:r>
      <w:r w:rsidR="00501056">
        <w:t>Industrial</w:t>
      </w:r>
      <w:r w:rsidR="00501056">
        <w:rPr>
          <w:spacing w:val="-7"/>
        </w:rPr>
        <w:t xml:space="preserve"> </w:t>
      </w:r>
      <w:r w:rsidR="00501056">
        <w:t>(0.61),</w:t>
      </w:r>
      <w:r w:rsidR="00501056">
        <w:rPr>
          <w:spacing w:val="-5"/>
        </w:rPr>
        <w:t xml:space="preserve"> </w:t>
      </w:r>
      <w:r w:rsidR="00501056">
        <w:t>which</w:t>
      </w:r>
      <w:r w:rsidR="00501056">
        <w:rPr>
          <w:spacing w:val="-6"/>
        </w:rPr>
        <w:t xml:space="preserve"> </w:t>
      </w:r>
      <w:r w:rsidR="00501056">
        <w:t>are</w:t>
      </w:r>
      <w:r w:rsidR="00501056">
        <w:rPr>
          <w:spacing w:val="-8"/>
        </w:rPr>
        <w:t xml:space="preserve"> </w:t>
      </w:r>
      <w:r w:rsidR="00501056">
        <w:t>generally</w:t>
      </w:r>
      <w:r w:rsidR="00501056">
        <w:rPr>
          <w:spacing w:val="-7"/>
        </w:rPr>
        <w:t xml:space="preserve"> </w:t>
      </w:r>
      <w:r w:rsidR="00501056">
        <w:t>better</w:t>
      </w:r>
      <w:r w:rsidR="00501056">
        <w:rPr>
          <w:spacing w:val="-6"/>
        </w:rPr>
        <w:t xml:space="preserve"> </w:t>
      </w:r>
      <w:r w:rsidR="00501056">
        <w:t>valued</w:t>
      </w:r>
      <w:r w:rsidR="00501056">
        <w:rPr>
          <w:spacing w:val="-2"/>
        </w:rPr>
        <w:t xml:space="preserve"> </w:t>
      </w:r>
      <w:r w:rsidR="00501056">
        <w:t>and</w:t>
      </w:r>
      <w:r w:rsidR="00501056">
        <w:rPr>
          <w:spacing w:val="-6"/>
        </w:rPr>
        <w:t xml:space="preserve"> </w:t>
      </w:r>
      <w:r w:rsidR="00501056">
        <w:t>better</w:t>
      </w:r>
      <w:r w:rsidR="00501056">
        <w:rPr>
          <w:spacing w:val="-5"/>
        </w:rPr>
        <w:t xml:space="preserve"> </w:t>
      </w:r>
      <w:r w:rsidR="00501056">
        <w:t>paid</w:t>
      </w:r>
      <w:r w:rsidR="00501056">
        <w:rPr>
          <w:spacing w:val="-6"/>
        </w:rPr>
        <w:t xml:space="preserve"> </w:t>
      </w:r>
      <w:r w:rsidR="00501056">
        <w:t>in</w:t>
      </w:r>
      <w:r w:rsidR="00501056">
        <w:rPr>
          <w:spacing w:val="-9"/>
        </w:rPr>
        <w:t xml:space="preserve"> </w:t>
      </w:r>
      <w:r w:rsidR="00501056">
        <w:t>the</w:t>
      </w:r>
      <w:r w:rsidR="00501056">
        <w:rPr>
          <w:spacing w:val="-6"/>
        </w:rPr>
        <w:t xml:space="preserve"> </w:t>
      </w:r>
      <w:r w:rsidR="00501056">
        <w:t>market, and in</w:t>
      </w:r>
      <w:r w:rsidR="00501056">
        <w:rPr>
          <w:vertAlign w:val="superscript"/>
        </w:rPr>
        <w:t>28</w:t>
      </w:r>
      <w:r w:rsidR="00501056">
        <w:t xml:space="preserve"> technological areas (cutting edge), such as electronic engineering, computer science degree, computer technician and communication technologies (networks and connectivity) are still very masculine, with women representing less than</w:t>
      </w:r>
      <w:r w:rsidR="00501056">
        <w:rPr>
          <w:spacing w:val="1"/>
        </w:rPr>
        <w:t xml:space="preserve"> </w:t>
      </w:r>
      <w:r w:rsidR="00501056">
        <w:t>43%</w:t>
      </w:r>
      <w:r w:rsidR="00DC22F2">
        <w:rPr>
          <w:rStyle w:val="FootnoteReference"/>
        </w:rPr>
        <w:footnoteReference w:id="18"/>
      </w:r>
      <w:r w:rsidR="00501056">
        <w:t>.</w:t>
      </w:r>
    </w:p>
    <w:p w:rsidR="0083635F" w:rsidRDefault="0083635F">
      <w:pPr>
        <w:pStyle w:val="BodyText"/>
        <w:spacing w:before="4"/>
        <w:rPr>
          <w:sz w:val="25"/>
        </w:rPr>
      </w:pPr>
    </w:p>
    <w:p w:rsidR="0083635F" w:rsidRDefault="00501056">
      <w:pPr>
        <w:pStyle w:val="BodyText"/>
        <w:spacing w:line="276" w:lineRule="auto"/>
        <w:ind w:left="191" w:right="114"/>
        <w:jc w:val="both"/>
      </w:pPr>
      <w:r>
        <w:lastRenderedPageBreak/>
        <w:t>The</w:t>
      </w:r>
      <w:r>
        <w:rPr>
          <w:spacing w:val="-6"/>
        </w:rPr>
        <w:t xml:space="preserve"> </w:t>
      </w:r>
      <w:r>
        <w:t>most</w:t>
      </w:r>
      <w:r>
        <w:rPr>
          <w:spacing w:val="-5"/>
        </w:rPr>
        <w:t xml:space="preserve"> </w:t>
      </w:r>
      <w:r>
        <w:t>worrying</w:t>
      </w:r>
      <w:r>
        <w:rPr>
          <w:spacing w:val="-2"/>
        </w:rPr>
        <w:t xml:space="preserve"> </w:t>
      </w:r>
      <w:r>
        <w:t>thing</w:t>
      </w:r>
      <w:r>
        <w:rPr>
          <w:spacing w:val="-3"/>
        </w:rPr>
        <w:t xml:space="preserve"> </w:t>
      </w:r>
      <w:r>
        <w:t>is</w:t>
      </w:r>
      <w:r>
        <w:rPr>
          <w:spacing w:val="-4"/>
        </w:rPr>
        <w:t xml:space="preserve"> </w:t>
      </w:r>
      <w:r>
        <w:t>that</w:t>
      </w:r>
      <w:r>
        <w:rPr>
          <w:spacing w:val="-5"/>
        </w:rPr>
        <w:t xml:space="preserve"> </w:t>
      </w:r>
      <w:r>
        <w:t>the</w:t>
      </w:r>
      <w:r>
        <w:rPr>
          <w:spacing w:val="-6"/>
        </w:rPr>
        <w:t xml:space="preserve"> </w:t>
      </w:r>
      <w:r>
        <w:t>trend</w:t>
      </w:r>
      <w:r>
        <w:rPr>
          <w:spacing w:val="-4"/>
        </w:rPr>
        <w:t xml:space="preserve"> </w:t>
      </w:r>
      <w:r>
        <w:t>in</w:t>
      </w:r>
      <w:r>
        <w:rPr>
          <w:spacing w:val="-6"/>
        </w:rPr>
        <w:t xml:space="preserve"> </w:t>
      </w:r>
      <w:r>
        <w:t>ICT</w:t>
      </w:r>
      <w:r>
        <w:rPr>
          <w:spacing w:val="-3"/>
        </w:rPr>
        <w:t xml:space="preserve"> </w:t>
      </w:r>
      <w:r>
        <w:t>careers</w:t>
      </w:r>
      <w:r>
        <w:rPr>
          <w:spacing w:val="-8"/>
        </w:rPr>
        <w:t xml:space="preserve"> </w:t>
      </w:r>
      <w:r>
        <w:t>for</w:t>
      </w:r>
      <w:r>
        <w:rPr>
          <w:spacing w:val="-3"/>
        </w:rPr>
        <w:t xml:space="preserve"> </w:t>
      </w:r>
      <w:r>
        <w:t>women</w:t>
      </w:r>
      <w:r>
        <w:rPr>
          <w:spacing w:val="-3"/>
        </w:rPr>
        <w:t xml:space="preserve"> </w:t>
      </w:r>
      <w:r>
        <w:t>in</w:t>
      </w:r>
      <w:r>
        <w:rPr>
          <w:spacing w:val="-6"/>
        </w:rPr>
        <w:t xml:space="preserve"> </w:t>
      </w:r>
      <w:r>
        <w:t>recent</w:t>
      </w:r>
      <w:r>
        <w:rPr>
          <w:spacing w:val="-3"/>
        </w:rPr>
        <w:t xml:space="preserve"> </w:t>
      </w:r>
      <w:r>
        <w:t>years</w:t>
      </w:r>
      <w:r>
        <w:rPr>
          <w:spacing w:val="-5"/>
        </w:rPr>
        <w:t xml:space="preserve"> </w:t>
      </w:r>
      <w:r>
        <w:t>shows</w:t>
      </w:r>
      <w:r>
        <w:rPr>
          <w:spacing w:val="-4"/>
        </w:rPr>
        <w:t xml:space="preserve"> </w:t>
      </w:r>
      <w:r>
        <w:t>a</w:t>
      </w:r>
      <w:r>
        <w:rPr>
          <w:spacing w:val="-4"/>
        </w:rPr>
        <w:t xml:space="preserve"> </w:t>
      </w:r>
      <w:r>
        <w:t>decrease</w:t>
      </w:r>
      <w:r>
        <w:rPr>
          <w:spacing w:val="-3"/>
        </w:rPr>
        <w:t xml:space="preserve"> </w:t>
      </w:r>
      <w:r>
        <w:t>of almost</w:t>
      </w:r>
      <w:r>
        <w:rPr>
          <w:spacing w:val="-10"/>
        </w:rPr>
        <w:t xml:space="preserve"> </w:t>
      </w:r>
      <w:r>
        <w:t>50%.</w:t>
      </w:r>
      <w:r>
        <w:rPr>
          <w:spacing w:val="-10"/>
        </w:rPr>
        <w:t xml:space="preserve"> </w:t>
      </w:r>
      <w:r>
        <w:t>Likewise,</w:t>
      </w:r>
      <w:r>
        <w:rPr>
          <w:spacing w:val="-8"/>
        </w:rPr>
        <w:t xml:space="preserve"> </w:t>
      </w:r>
      <w:r>
        <w:t>this</w:t>
      </w:r>
      <w:r>
        <w:rPr>
          <w:spacing w:val="-9"/>
        </w:rPr>
        <w:t xml:space="preserve"> </w:t>
      </w:r>
      <w:r>
        <w:t>absence</w:t>
      </w:r>
      <w:r>
        <w:rPr>
          <w:spacing w:val="-10"/>
        </w:rPr>
        <w:t xml:space="preserve"> </w:t>
      </w:r>
      <w:r>
        <w:t>of</w:t>
      </w:r>
      <w:r>
        <w:rPr>
          <w:spacing w:val="-9"/>
        </w:rPr>
        <w:t xml:space="preserve"> </w:t>
      </w:r>
      <w:r>
        <w:t>women</w:t>
      </w:r>
      <w:r>
        <w:rPr>
          <w:spacing w:val="-10"/>
        </w:rPr>
        <w:t xml:space="preserve"> </w:t>
      </w:r>
      <w:r>
        <w:t>in</w:t>
      </w:r>
      <w:r>
        <w:rPr>
          <w:spacing w:val="-11"/>
        </w:rPr>
        <w:t xml:space="preserve"> </w:t>
      </w:r>
      <w:r>
        <w:t>the</w:t>
      </w:r>
      <w:r>
        <w:rPr>
          <w:spacing w:val="-9"/>
        </w:rPr>
        <w:t xml:space="preserve"> </w:t>
      </w:r>
      <w:r>
        <w:t>training</w:t>
      </w:r>
      <w:r>
        <w:rPr>
          <w:spacing w:val="-9"/>
        </w:rPr>
        <w:t xml:space="preserve"> </w:t>
      </w:r>
      <w:r>
        <w:t>of</w:t>
      </w:r>
      <w:r>
        <w:rPr>
          <w:spacing w:val="-10"/>
        </w:rPr>
        <w:t xml:space="preserve"> </w:t>
      </w:r>
      <w:r>
        <w:t>technological</w:t>
      </w:r>
      <w:r>
        <w:rPr>
          <w:spacing w:val="-10"/>
        </w:rPr>
        <w:t xml:space="preserve"> </w:t>
      </w:r>
      <w:r>
        <w:t>and</w:t>
      </w:r>
      <w:r>
        <w:rPr>
          <w:spacing w:val="-9"/>
        </w:rPr>
        <w:t xml:space="preserve"> </w:t>
      </w:r>
      <w:r>
        <w:t>STEM-related</w:t>
      </w:r>
      <w:r>
        <w:rPr>
          <w:spacing w:val="-11"/>
        </w:rPr>
        <w:t xml:space="preserve"> </w:t>
      </w:r>
      <w:r>
        <w:t>careers is</w:t>
      </w:r>
      <w:r>
        <w:rPr>
          <w:spacing w:val="-6"/>
        </w:rPr>
        <w:t xml:space="preserve"> </w:t>
      </w:r>
      <w:r>
        <w:t>reflected</w:t>
      </w:r>
      <w:r>
        <w:rPr>
          <w:spacing w:val="-6"/>
        </w:rPr>
        <w:t xml:space="preserve"> </w:t>
      </w:r>
      <w:r>
        <w:t>in</w:t>
      </w:r>
      <w:r>
        <w:rPr>
          <w:spacing w:val="-5"/>
        </w:rPr>
        <w:t xml:space="preserve"> </w:t>
      </w:r>
      <w:r>
        <w:t>a</w:t>
      </w:r>
      <w:r>
        <w:rPr>
          <w:spacing w:val="-8"/>
        </w:rPr>
        <w:t xml:space="preserve"> </w:t>
      </w:r>
      <w:r>
        <w:t>significant</w:t>
      </w:r>
      <w:r>
        <w:rPr>
          <w:spacing w:val="-7"/>
        </w:rPr>
        <w:t xml:space="preserve"> </w:t>
      </w:r>
      <w:r>
        <w:t>gender</w:t>
      </w:r>
      <w:r>
        <w:rPr>
          <w:spacing w:val="-8"/>
        </w:rPr>
        <w:t xml:space="preserve"> </w:t>
      </w:r>
      <w:r>
        <w:t>gap</w:t>
      </w:r>
      <w:r>
        <w:rPr>
          <w:spacing w:val="-8"/>
        </w:rPr>
        <w:t xml:space="preserve"> </w:t>
      </w:r>
      <w:r>
        <w:t>in</w:t>
      </w:r>
      <w:r>
        <w:rPr>
          <w:spacing w:val="-5"/>
        </w:rPr>
        <w:t xml:space="preserve"> </w:t>
      </w:r>
      <w:r>
        <w:t>the</w:t>
      </w:r>
      <w:r>
        <w:rPr>
          <w:spacing w:val="-8"/>
        </w:rPr>
        <w:t xml:space="preserve"> </w:t>
      </w:r>
      <w:r>
        <w:t>country's</w:t>
      </w:r>
      <w:r>
        <w:rPr>
          <w:spacing w:val="-5"/>
        </w:rPr>
        <w:t xml:space="preserve"> </w:t>
      </w:r>
      <w:r>
        <w:t>scientific</w:t>
      </w:r>
      <w:r>
        <w:rPr>
          <w:spacing w:val="-7"/>
        </w:rPr>
        <w:t xml:space="preserve"> </w:t>
      </w:r>
      <w:r>
        <w:t>work</w:t>
      </w:r>
      <w:r w:rsidR="00DC22F2">
        <w:rPr>
          <w:rStyle w:val="FootnoteReference"/>
        </w:rPr>
        <w:footnoteReference w:id="19"/>
      </w:r>
      <w:r>
        <w:t>.</w:t>
      </w:r>
      <w:r>
        <w:rPr>
          <w:spacing w:val="-8"/>
        </w:rPr>
        <w:t xml:space="preserve"> </w:t>
      </w:r>
      <w:r>
        <w:t>Of</w:t>
      </w:r>
      <w:r>
        <w:rPr>
          <w:spacing w:val="-7"/>
        </w:rPr>
        <w:t xml:space="preserve"> </w:t>
      </w:r>
      <w:r>
        <w:t>the</w:t>
      </w:r>
      <w:r>
        <w:rPr>
          <w:spacing w:val="-5"/>
        </w:rPr>
        <w:t xml:space="preserve"> </w:t>
      </w:r>
      <w:r>
        <w:t>268</w:t>
      </w:r>
      <w:r>
        <w:rPr>
          <w:spacing w:val="-8"/>
        </w:rPr>
        <w:t xml:space="preserve"> </w:t>
      </w:r>
      <w:r>
        <w:t>researchers</w:t>
      </w:r>
      <w:r>
        <w:rPr>
          <w:spacing w:val="-7"/>
        </w:rPr>
        <w:t xml:space="preserve"> </w:t>
      </w:r>
      <w:r>
        <w:t>selected for the 2019 call, only 36% are women</w:t>
      </w:r>
      <w:r>
        <w:rPr>
          <w:spacing w:val="-8"/>
        </w:rPr>
        <w:t xml:space="preserve"> </w:t>
      </w:r>
      <w:r>
        <w:t>researchers.</w:t>
      </w:r>
    </w:p>
    <w:p w:rsidR="0083635F" w:rsidRDefault="0083635F">
      <w:pPr>
        <w:pStyle w:val="BodyText"/>
        <w:spacing w:before="1"/>
        <w:rPr>
          <w:sz w:val="25"/>
        </w:rPr>
      </w:pPr>
    </w:p>
    <w:p w:rsidR="0083635F" w:rsidRDefault="00501056">
      <w:pPr>
        <w:pStyle w:val="Heading1"/>
        <w:ind w:left="191"/>
        <w:jc w:val="left"/>
      </w:pPr>
      <w:r>
        <w:t>RECOMMENDATIONS:</w:t>
      </w:r>
    </w:p>
    <w:p w:rsidR="0083635F" w:rsidRDefault="0083635F">
      <w:pPr>
        <w:pStyle w:val="BodyText"/>
        <w:rPr>
          <w:b/>
          <w:sz w:val="29"/>
        </w:rPr>
      </w:pPr>
    </w:p>
    <w:p w:rsidR="0083635F" w:rsidRDefault="00501056">
      <w:pPr>
        <w:pStyle w:val="ListParagraph"/>
        <w:numPr>
          <w:ilvl w:val="0"/>
          <w:numId w:val="4"/>
        </w:numPr>
        <w:tabs>
          <w:tab w:val="left" w:pos="912"/>
        </w:tabs>
        <w:ind w:right="0" w:hanging="361"/>
        <w:jc w:val="both"/>
      </w:pPr>
      <w:r>
        <w:t>Transparent use and management of 4% of GDP for</w:t>
      </w:r>
      <w:r>
        <w:rPr>
          <w:spacing w:val="-9"/>
        </w:rPr>
        <w:t xml:space="preserve"> </w:t>
      </w:r>
      <w:r>
        <w:t>education.</w:t>
      </w:r>
    </w:p>
    <w:p w:rsidR="0083635F" w:rsidRDefault="00501056">
      <w:pPr>
        <w:pStyle w:val="ListParagraph"/>
        <w:numPr>
          <w:ilvl w:val="0"/>
          <w:numId w:val="4"/>
        </w:numPr>
        <w:tabs>
          <w:tab w:val="left" w:pos="912"/>
        </w:tabs>
        <w:spacing w:before="37" w:line="276" w:lineRule="auto"/>
        <w:ind w:right="116"/>
        <w:jc w:val="both"/>
      </w:pPr>
      <w:r>
        <w:t>Removing from the public school curriculum content and teaching practices linked to diverse religious beliefs, which do not meet the commitment to non-denominational</w:t>
      </w:r>
      <w:r>
        <w:rPr>
          <w:spacing w:val="-12"/>
        </w:rPr>
        <w:t xml:space="preserve"> </w:t>
      </w:r>
      <w:r>
        <w:t>education</w:t>
      </w:r>
    </w:p>
    <w:p w:rsidR="0083635F" w:rsidRDefault="00501056">
      <w:pPr>
        <w:pStyle w:val="ListParagraph"/>
        <w:numPr>
          <w:ilvl w:val="0"/>
          <w:numId w:val="4"/>
        </w:numPr>
        <w:tabs>
          <w:tab w:val="left" w:pos="912"/>
        </w:tabs>
        <w:spacing w:line="276" w:lineRule="auto"/>
        <w:ind w:right="117"/>
        <w:jc w:val="both"/>
      </w:pPr>
      <w:r>
        <w:t>Improve school curricula, including sexual and reproductive education and education for peace and gender</w:t>
      </w:r>
      <w:r>
        <w:rPr>
          <w:spacing w:val="-4"/>
        </w:rPr>
        <w:t xml:space="preserve"> </w:t>
      </w:r>
      <w:r>
        <w:t>equality.</w:t>
      </w:r>
    </w:p>
    <w:p w:rsidR="0083635F" w:rsidRDefault="00501056">
      <w:pPr>
        <w:pStyle w:val="ListParagraph"/>
        <w:numPr>
          <w:ilvl w:val="0"/>
          <w:numId w:val="3"/>
        </w:numPr>
        <w:tabs>
          <w:tab w:val="left" w:pos="912"/>
        </w:tabs>
        <w:spacing w:before="1" w:line="276" w:lineRule="auto"/>
        <w:ind w:right="117"/>
        <w:jc w:val="both"/>
      </w:pPr>
      <w:r>
        <w:t>Create comprehensive policies in the national education sector to prevent and combat violence based on sexual orientation, gender identity and sexual characteristics to ensure inclusive curricula and teaching</w:t>
      </w:r>
      <w:r>
        <w:rPr>
          <w:spacing w:val="-3"/>
        </w:rPr>
        <w:t xml:space="preserve"> </w:t>
      </w:r>
      <w:r>
        <w:t>materials.</w:t>
      </w:r>
    </w:p>
    <w:p w:rsidR="0083635F" w:rsidRDefault="00501056">
      <w:pPr>
        <w:pStyle w:val="ListParagraph"/>
        <w:numPr>
          <w:ilvl w:val="0"/>
          <w:numId w:val="3"/>
        </w:numPr>
        <w:tabs>
          <w:tab w:val="left" w:pos="912"/>
        </w:tabs>
        <w:spacing w:line="276" w:lineRule="auto"/>
        <w:ind w:right="114"/>
        <w:jc w:val="both"/>
      </w:pPr>
      <w:r>
        <w:t>Promote programs and initiatives for continuous learning and gender-sensitive training for women</w:t>
      </w:r>
      <w:r>
        <w:rPr>
          <w:spacing w:val="-9"/>
        </w:rPr>
        <w:t xml:space="preserve"> </w:t>
      </w:r>
      <w:r>
        <w:t>and</w:t>
      </w:r>
      <w:r>
        <w:rPr>
          <w:spacing w:val="-11"/>
        </w:rPr>
        <w:t xml:space="preserve"> </w:t>
      </w:r>
      <w:r>
        <w:t>girls</w:t>
      </w:r>
      <w:r>
        <w:rPr>
          <w:spacing w:val="-11"/>
        </w:rPr>
        <w:t xml:space="preserve"> </w:t>
      </w:r>
      <w:r>
        <w:t>in</w:t>
      </w:r>
      <w:r>
        <w:rPr>
          <w:spacing w:val="-9"/>
        </w:rPr>
        <w:t xml:space="preserve"> </w:t>
      </w:r>
      <w:r>
        <w:t>specialized</w:t>
      </w:r>
      <w:r>
        <w:rPr>
          <w:spacing w:val="-8"/>
        </w:rPr>
        <w:t xml:space="preserve"> </w:t>
      </w:r>
      <w:r>
        <w:t>areas</w:t>
      </w:r>
      <w:r>
        <w:rPr>
          <w:spacing w:val="-11"/>
        </w:rPr>
        <w:t xml:space="preserve"> </w:t>
      </w:r>
      <w:r>
        <w:t>of</w:t>
      </w:r>
      <w:r>
        <w:rPr>
          <w:spacing w:val="-8"/>
        </w:rPr>
        <w:t xml:space="preserve"> </w:t>
      </w:r>
      <w:r>
        <w:t>digital</w:t>
      </w:r>
      <w:r>
        <w:rPr>
          <w:spacing w:val="-10"/>
        </w:rPr>
        <w:t xml:space="preserve"> </w:t>
      </w:r>
      <w:r>
        <w:t>skills</w:t>
      </w:r>
      <w:r>
        <w:rPr>
          <w:spacing w:val="-10"/>
        </w:rPr>
        <w:t xml:space="preserve"> </w:t>
      </w:r>
      <w:r>
        <w:t>from</w:t>
      </w:r>
      <w:r>
        <w:rPr>
          <w:spacing w:val="-10"/>
        </w:rPr>
        <w:t xml:space="preserve"> </w:t>
      </w:r>
      <w:r>
        <w:t>primary</w:t>
      </w:r>
      <w:r>
        <w:rPr>
          <w:spacing w:val="-10"/>
        </w:rPr>
        <w:t xml:space="preserve"> </w:t>
      </w:r>
      <w:r>
        <w:t>and</w:t>
      </w:r>
      <w:r>
        <w:rPr>
          <w:spacing w:val="-11"/>
        </w:rPr>
        <w:t xml:space="preserve"> </w:t>
      </w:r>
      <w:r>
        <w:t>secondary</w:t>
      </w:r>
      <w:r>
        <w:rPr>
          <w:spacing w:val="-9"/>
        </w:rPr>
        <w:t xml:space="preserve"> </w:t>
      </w:r>
      <w:r w:rsidR="00156EC0">
        <w:t>school.</w:t>
      </w:r>
    </w:p>
    <w:p w:rsidR="0083635F" w:rsidRDefault="00501056">
      <w:pPr>
        <w:pStyle w:val="ListParagraph"/>
        <w:numPr>
          <w:ilvl w:val="0"/>
          <w:numId w:val="3"/>
        </w:numPr>
        <w:tabs>
          <w:tab w:val="left" w:pos="912"/>
        </w:tabs>
        <w:spacing w:line="276" w:lineRule="auto"/>
        <w:ind w:right="113"/>
        <w:jc w:val="both"/>
      </w:pPr>
      <w:r>
        <w:t>Ensure technology affirmative action for elementary and high school girls to inspire careers in Science,</w:t>
      </w:r>
      <w:r>
        <w:rPr>
          <w:spacing w:val="-5"/>
        </w:rPr>
        <w:t xml:space="preserve"> </w:t>
      </w:r>
      <w:r>
        <w:t>Technology,</w:t>
      </w:r>
      <w:r>
        <w:rPr>
          <w:spacing w:val="-4"/>
        </w:rPr>
        <w:t xml:space="preserve"> </w:t>
      </w:r>
      <w:r>
        <w:t>Engineering</w:t>
      </w:r>
      <w:r>
        <w:rPr>
          <w:spacing w:val="-3"/>
        </w:rPr>
        <w:t xml:space="preserve"> </w:t>
      </w:r>
      <w:r>
        <w:t>and</w:t>
      </w:r>
      <w:r>
        <w:rPr>
          <w:spacing w:val="-6"/>
        </w:rPr>
        <w:t xml:space="preserve"> </w:t>
      </w:r>
      <w:r>
        <w:t>Arts</w:t>
      </w:r>
      <w:r>
        <w:rPr>
          <w:spacing w:val="-5"/>
        </w:rPr>
        <w:t xml:space="preserve"> </w:t>
      </w:r>
      <w:r>
        <w:t>and</w:t>
      </w:r>
      <w:r>
        <w:rPr>
          <w:spacing w:val="-5"/>
        </w:rPr>
        <w:t xml:space="preserve"> </w:t>
      </w:r>
      <w:r>
        <w:t>Design</w:t>
      </w:r>
      <w:r>
        <w:rPr>
          <w:spacing w:val="-5"/>
        </w:rPr>
        <w:t xml:space="preserve"> </w:t>
      </w:r>
      <w:r>
        <w:t>and</w:t>
      </w:r>
      <w:r>
        <w:rPr>
          <w:spacing w:val="-6"/>
        </w:rPr>
        <w:t xml:space="preserve"> </w:t>
      </w:r>
      <w:r>
        <w:t>Math</w:t>
      </w:r>
      <w:r>
        <w:rPr>
          <w:spacing w:val="-5"/>
        </w:rPr>
        <w:t xml:space="preserve"> </w:t>
      </w:r>
      <w:r>
        <w:t>(STEAM)</w:t>
      </w:r>
      <w:r>
        <w:rPr>
          <w:spacing w:val="-4"/>
        </w:rPr>
        <w:t xml:space="preserve"> </w:t>
      </w:r>
      <w:r>
        <w:t>studies</w:t>
      </w:r>
      <w:r w:rsidR="00156EC0">
        <w:t>.</w:t>
      </w:r>
      <w:r>
        <w:rPr>
          <w:spacing w:val="-6"/>
        </w:rPr>
        <w:t xml:space="preserve"> </w:t>
      </w:r>
    </w:p>
    <w:p w:rsidR="0083635F" w:rsidRDefault="00501056" w:rsidP="00DC22F2">
      <w:pPr>
        <w:pStyle w:val="ListParagraph"/>
        <w:numPr>
          <w:ilvl w:val="0"/>
          <w:numId w:val="3"/>
        </w:numPr>
        <w:tabs>
          <w:tab w:val="left" w:pos="912"/>
        </w:tabs>
        <w:spacing w:line="278" w:lineRule="auto"/>
        <w:ind w:right="113"/>
        <w:jc w:val="both"/>
      </w:pPr>
      <w:r>
        <w:t>Include in the National Strategy for the Information Society or the National Digital Development Plan and the National Science and Technology Plan a cross-cutting gender approach,</w:t>
      </w:r>
      <w:r>
        <w:rPr>
          <w:spacing w:val="-35"/>
        </w:rPr>
        <w:t xml:space="preserve"> </w:t>
      </w:r>
      <w:r>
        <w:t>including</w:t>
      </w:r>
      <w:r w:rsidR="00DC22F2">
        <w:t xml:space="preserve"> </w:t>
      </w:r>
      <w:r>
        <w:t>a chapter on closing the gender digital gap in education, skills development and technological leadership.</w:t>
      </w:r>
    </w:p>
    <w:p w:rsidR="00156EC0" w:rsidRDefault="00156EC0" w:rsidP="00156EC0">
      <w:pPr>
        <w:tabs>
          <w:tab w:val="left" w:pos="912"/>
        </w:tabs>
        <w:spacing w:line="278" w:lineRule="auto"/>
        <w:ind w:right="113"/>
        <w:jc w:val="both"/>
      </w:pPr>
    </w:p>
    <w:p w:rsidR="0083635F" w:rsidRDefault="00501056">
      <w:pPr>
        <w:pStyle w:val="Heading1"/>
        <w:spacing w:before="1"/>
        <w:ind w:right="1771"/>
      </w:pPr>
      <w:bookmarkStart w:id="7" w:name="_bookmark6"/>
      <w:bookmarkEnd w:id="7"/>
      <w:r>
        <w:rPr>
          <w:u w:val="thick"/>
        </w:rPr>
        <w:t>ARTICLE 11. RIGHT TO EMPLOYMENT</w:t>
      </w:r>
    </w:p>
    <w:p w:rsidR="0083635F" w:rsidRDefault="0083635F">
      <w:pPr>
        <w:pStyle w:val="BodyText"/>
        <w:spacing w:before="6"/>
        <w:rPr>
          <w:b/>
          <w:sz w:val="20"/>
        </w:rPr>
      </w:pPr>
    </w:p>
    <w:p w:rsidR="0083635F" w:rsidRDefault="00501056">
      <w:pPr>
        <w:pStyle w:val="BodyText"/>
        <w:spacing w:before="94" w:line="276" w:lineRule="auto"/>
        <w:ind w:left="191" w:right="114"/>
        <w:jc w:val="both"/>
      </w:pPr>
      <w:r>
        <w:t>In</w:t>
      </w:r>
      <w:r>
        <w:rPr>
          <w:spacing w:val="-4"/>
        </w:rPr>
        <w:t xml:space="preserve"> </w:t>
      </w:r>
      <w:r>
        <w:t>the</w:t>
      </w:r>
      <w:r>
        <w:rPr>
          <w:spacing w:val="-3"/>
        </w:rPr>
        <w:t xml:space="preserve"> </w:t>
      </w:r>
      <w:r>
        <w:t>Dominican</w:t>
      </w:r>
      <w:r>
        <w:rPr>
          <w:spacing w:val="-3"/>
        </w:rPr>
        <w:t xml:space="preserve"> </w:t>
      </w:r>
      <w:r>
        <w:t>Republic,</w:t>
      </w:r>
      <w:r>
        <w:rPr>
          <w:spacing w:val="-2"/>
        </w:rPr>
        <w:t xml:space="preserve"> </w:t>
      </w:r>
      <w:r>
        <w:t>it is</w:t>
      </w:r>
      <w:r>
        <w:rPr>
          <w:spacing w:val="-3"/>
        </w:rPr>
        <w:t xml:space="preserve"> </w:t>
      </w:r>
      <w:r>
        <w:t>estimated</w:t>
      </w:r>
      <w:r>
        <w:rPr>
          <w:spacing w:val="-3"/>
        </w:rPr>
        <w:t xml:space="preserve"> </w:t>
      </w:r>
      <w:r>
        <w:t>that</w:t>
      </w:r>
      <w:r>
        <w:rPr>
          <w:spacing w:val="-5"/>
        </w:rPr>
        <w:t xml:space="preserve"> </w:t>
      </w:r>
      <w:r>
        <w:t>the</w:t>
      </w:r>
      <w:r>
        <w:rPr>
          <w:spacing w:val="-6"/>
        </w:rPr>
        <w:t xml:space="preserve"> </w:t>
      </w:r>
      <w:r>
        <w:t>average</w:t>
      </w:r>
      <w:r>
        <w:rPr>
          <w:spacing w:val="-3"/>
        </w:rPr>
        <w:t xml:space="preserve"> </w:t>
      </w:r>
      <w:r>
        <w:t>hourly</w:t>
      </w:r>
      <w:r>
        <w:rPr>
          <w:spacing w:val="-5"/>
        </w:rPr>
        <w:t xml:space="preserve"> </w:t>
      </w:r>
      <w:r>
        <w:t>wage</w:t>
      </w:r>
      <w:r>
        <w:rPr>
          <w:spacing w:val="-5"/>
        </w:rPr>
        <w:t xml:space="preserve"> </w:t>
      </w:r>
      <w:r>
        <w:t>for</w:t>
      </w:r>
      <w:r>
        <w:rPr>
          <w:spacing w:val="-5"/>
        </w:rPr>
        <w:t xml:space="preserve"> </w:t>
      </w:r>
      <w:r>
        <w:t>men</w:t>
      </w:r>
      <w:r>
        <w:rPr>
          <w:spacing w:val="-3"/>
        </w:rPr>
        <w:t xml:space="preserve"> </w:t>
      </w:r>
      <w:r>
        <w:t>is</w:t>
      </w:r>
      <w:r>
        <w:rPr>
          <w:spacing w:val="-3"/>
        </w:rPr>
        <w:t xml:space="preserve"> </w:t>
      </w:r>
      <w:r>
        <w:t>RD$108.00</w:t>
      </w:r>
      <w:r>
        <w:rPr>
          <w:spacing w:val="-4"/>
        </w:rPr>
        <w:t xml:space="preserve"> </w:t>
      </w:r>
      <w:r>
        <w:t>while</w:t>
      </w:r>
      <w:r>
        <w:rPr>
          <w:spacing w:val="-1"/>
        </w:rPr>
        <w:t xml:space="preserve"> </w:t>
      </w:r>
      <w:r>
        <w:t xml:space="preserve">for women it is RD$99.00, equivalent to 91.7% of that received by men. Such differences are also seen in the average monthly income, where women's wages represent 83.4% of those received by men in general, 89.1% in the formal sector and 64.2% in the informal sector. Gaps in monthly </w:t>
      </w:r>
      <w:r w:rsidR="00DC22F2">
        <w:t>labor</w:t>
      </w:r>
      <w:r>
        <w:t xml:space="preserve"> income are</w:t>
      </w:r>
      <w:r>
        <w:rPr>
          <w:spacing w:val="-7"/>
        </w:rPr>
        <w:t xml:space="preserve"> </w:t>
      </w:r>
      <w:r>
        <w:t>present</w:t>
      </w:r>
      <w:r>
        <w:rPr>
          <w:spacing w:val="-9"/>
        </w:rPr>
        <w:t xml:space="preserve"> </w:t>
      </w:r>
      <w:r>
        <w:t>in</w:t>
      </w:r>
      <w:r>
        <w:rPr>
          <w:spacing w:val="-8"/>
        </w:rPr>
        <w:t xml:space="preserve"> </w:t>
      </w:r>
      <w:r>
        <w:t>all</w:t>
      </w:r>
      <w:r>
        <w:rPr>
          <w:spacing w:val="-9"/>
        </w:rPr>
        <w:t xml:space="preserve"> </w:t>
      </w:r>
      <w:r>
        <w:t>sectors</w:t>
      </w:r>
      <w:r>
        <w:rPr>
          <w:spacing w:val="-9"/>
        </w:rPr>
        <w:t xml:space="preserve"> </w:t>
      </w:r>
      <w:r>
        <w:t>and</w:t>
      </w:r>
      <w:r>
        <w:rPr>
          <w:spacing w:val="-8"/>
        </w:rPr>
        <w:t xml:space="preserve"> </w:t>
      </w:r>
      <w:r>
        <w:t>branches</w:t>
      </w:r>
      <w:r>
        <w:rPr>
          <w:spacing w:val="-10"/>
        </w:rPr>
        <w:t xml:space="preserve"> </w:t>
      </w:r>
      <w:r>
        <w:t>of</w:t>
      </w:r>
      <w:r>
        <w:rPr>
          <w:spacing w:val="-7"/>
        </w:rPr>
        <w:t xml:space="preserve"> </w:t>
      </w:r>
      <w:r>
        <w:t>activity</w:t>
      </w:r>
      <w:r>
        <w:rPr>
          <w:spacing w:val="-9"/>
        </w:rPr>
        <w:t xml:space="preserve"> </w:t>
      </w:r>
      <w:r>
        <w:t>and</w:t>
      </w:r>
      <w:r>
        <w:rPr>
          <w:spacing w:val="-8"/>
        </w:rPr>
        <w:t xml:space="preserve"> </w:t>
      </w:r>
      <w:r>
        <w:t>occupational</w:t>
      </w:r>
      <w:r>
        <w:rPr>
          <w:spacing w:val="-11"/>
        </w:rPr>
        <w:t xml:space="preserve"> </w:t>
      </w:r>
      <w:r>
        <w:t>groups</w:t>
      </w:r>
      <w:r>
        <w:rPr>
          <w:spacing w:val="-10"/>
        </w:rPr>
        <w:t xml:space="preserve"> </w:t>
      </w:r>
      <w:r>
        <w:t>and</w:t>
      </w:r>
      <w:r>
        <w:rPr>
          <w:spacing w:val="-8"/>
        </w:rPr>
        <w:t xml:space="preserve"> </w:t>
      </w:r>
      <w:r>
        <w:t>categories,</w:t>
      </w:r>
      <w:r>
        <w:rPr>
          <w:spacing w:val="-9"/>
        </w:rPr>
        <w:t xml:space="preserve"> </w:t>
      </w:r>
      <w:r>
        <w:t>except</w:t>
      </w:r>
      <w:r>
        <w:rPr>
          <w:spacing w:val="-7"/>
        </w:rPr>
        <w:t xml:space="preserve"> </w:t>
      </w:r>
      <w:r>
        <w:t>in</w:t>
      </w:r>
      <w:r>
        <w:rPr>
          <w:spacing w:val="-8"/>
        </w:rPr>
        <w:t xml:space="preserve"> </w:t>
      </w:r>
      <w:r>
        <w:t>the construction sector (194.5% is the ratio of women's wages to</w:t>
      </w:r>
      <w:r>
        <w:rPr>
          <w:spacing w:val="-9"/>
        </w:rPr>
        <w:t xml:space="preserve"> </w:t>
      </w:r>
      <w:r>
        <w:t>men's)</w:t>
      </w:r>
      <w:r w:rsidR="00DC22F2">
        <w:t xml:space="preserve"> </w:t>
      </w:r>
      <w:r w:rsidR="00DC22F2">
        <w:rPr>
          <w:rStyle w:val="FootnoteReference"/>
        </w:rPr>
        <w:footnoteReference w:id="20"/>
      </w:r>
    </w:p>
    <w:p w:rsidR="0083635F" w:rsidRDefault="0083635F">
      <w:pPr>
        <w:pStyle w:val="BodyText"/>
        <w:spacing w:before="4"/>
        <w:rPr>
          <w:sz w:val="25"/>
        </w:rPr>
      </w:pPr>
    </w:p>
    <w:p w:rsidR="0083635F" w:rsidRDefault="00501056">
      <w:pPr>
        <w:pStyle w:val="BodyText"/>
        <w:spacing w:line="276" w:lineRule="auto"/>
        <w:ind w:left="191" w:right="119"/>
        <w:jc w:val="both"/>
      </w:pPr>
      <w:r>
        <w:t>Women spend an average of 31.2 hours per week in unpaid work, while men work only 9.6 hours in unpaid</w:t>
      </w:r>
      <w:r>
        <w:rPr>
          <w:spacing w:val="-6"/>
        </w:rPr>
        <w:t xml:space="preserve"> </w:t>
      </w:r>
      <w:r>
        <w:t>work.</w:t>
      </w:r>
      <w:r>
        <w:rPr>
          <w:spacing w:val="-8"/>
        </w:rPr>
        <w:t xml:space="preserve"> </w:t>
      </w:r>
      <w:r>
        <w:t>The</w:t>
      </w:r>
      <w:r>
        <w:rPr>
          <w:spacing w:val="-7"/>
        </w:rPr>
        <w:t xml:space="preserve"> </w:t>
      </w:r>
      <w:r>
        <w:t>difference</w:t>
      </w:r>
      <w:r>
        <w:rPr>
          <w:spacing w:val="-7"/>
        </w:rPr>
        <w:t xml:space="preserve"> </w:t>
      </w:r>
      <w:r>
        <w:t>of</w:t>
      </w:r>
      <w:r>
        <w:rPr>
          <w:spacing w:val="-3"/>
        </w:rPr>
        <w:t xml:space="preserve"> </w:t>
      </w:r>
      <w:r>
        <w:t>21.6</w:t>
      </w:r>
      <w:r>
        <w:rPr>
          <w:spacing w:val="-6"/>
        </w:rPr>
        <w:t xml:space="preserve"> </w:t>
      </w:r>
      <w:r>
        <w:t>hours</w:t>
      </w:r>
      <w:r>
        <w:rPr>
          <w:spacing w:val="-7"/>
        </w:rPr>
        <w:t xml:space="preserve"> </w:t>
      </w:r>
      <w:r>
        <w:t>shows</w:t>
      </w:r>
      <w:r>
        <w:rPr>
          <w:spacing w:val="-6"/>
        </w:rPr>
        <w:t xml:space="preserve"> </w:t>
      </w:r>
      <w:r>
        <w:t>the</w:t>
      </w:r>
      <w:r>
        <w:rPr>
          <w:spacing w:val="-9"/>
        </w:rPr>
        <w:t xml:space="preserve"> </w:t>
      </w:r>
      <w:r>
        <w:t>great</w:t>
      </w:r>
      <w:r>
        <w:rPr>
          <w:spacing w:val="-5"/>
        </w:rPr>
        <w:t xml:space="preserve"> </w:t>
      </w:r>
      <w:r>
        <w:t>inequalities</w:t>
      </w:r>
      <w:r>
        <w:rPr>
          <w:spacing w:val="-6"/>
        </w:rPr>
        <w:t xml:space="preserve"> </w:t>
      </w:r>
      <w:r>
        <w:t>in</w:t>
      </w:r>
      <w:r>
        <w:rPr>
          <w:spacing w:val="-6"/>
        </w:rPr>
        <w:t xml:space="preserve"> </w:t>
      </w:r>
      <w:r>
        <w:t>the</w:t>
      </w:r>
      <w:r>
        <w:rPr>
          <w:spacing w:val="-6"/>
        </w:rPr>
        <w:t xml:space="preserve"> </w:t>
      </w:r>
      <w:r>
        <w:t>distribution</w:t>
      </w:r>
      <w:r>
        <w:rPr>
          <w:spacing w:val="-7"/>
        </w:rPr>
        <w:t xml:space="preserve"> </w:t>
      </w:r>
      <w:r>
        <w:t>of</w:t>
      </w:r>
      <w:r>
        <w:rPr>
          <w:spacing w:val="-5"/>
        </w:rPr>
        <w:t xml:space="preserve"> </w:t>
      </w:r>
      <w:r>
        <w:t>unpaid</w:t>
      </w:r>
      <w:r>
        <w:rPr>
          <w:spacing w:val="-9"/>
        </w:rPr>
        <w:t xml:space="preserve"> </w:t>
      </w:r>
      <w:r>
        <w:t>work on the basis of gender in the performance of tasks that are carried out without pay and without social recognition to the disadvantage of women, and limiting their economic independence. In contrast, men devote an average of 37.1 hours per week to paid work, and women devote 19.5</w:t>
      </w:r>
      <w:r>
        <w:rPr>
          <w:spacing w:val="-6"/>
        </w:rPr>
        <w:t xml:space="preserve"> </w:t>
      </w:r>
      <w:r>
        <w:t>hours</w:t>
      </w:r>
      <w:r w:rsidR="00DC22F2">
        <w:rPr>
          <w:rStyle w:val="FootnoteReference"/>
        </w:rPr>
        <w:footnoteReference w:id="21"/>
      </w:r>
      <w:r>
        <w:t>.</w:t>
      </w:r>
    </w:p>
    <w:p w:rsidR="0083635F" w:rsidRDefault="0083635F">
      <w:pPr>
        <w:pStyle w:val="BodyText"/>
        <w:spacing w:before="2"/>
        <w:rPr>
          <w:sz w:val="31"/>
        </w:rPr>
      </w:pPr>
    </w:p>
    <w:p w:rsidR="0083635F" w:rsidRDefault="00501056">
      <w:pPr>
        <w:pStyle w:val="Heading1"/>
        <w:ind w:left="191"/>
        <w:jc w:val="both"/>
      </w:pPr>
      <w:bookmarkStart w:id="8" w:name="_bookmark7"/>
      <w:bookmarkEnd w:id="8"/>
      <w:r>
        <w:t>Domestic work</w:t>
      </w:r>
    </w:p>
    <w:p w:rsidR="0083635F" w:rsidRDefault="00501056" w:rsidP="007E7628">
      <w:pPr>
        <w:pStyle w:val="BodyText"/>
        <w:spacing w:before="119" w:line="276" w:lineRule="auto"/>
        <w:ind w:left="191" w:right="115"/>
        <w:jc w:val="both"/>
      </w:pPr>
      <w:r>
        <w:t>The</w:t>
      </w:r>
      <w:r>
        <w:rPr>
          <w:spacing w:val="-9"/>
        </w:rPr>
        <w:t xml:space="preserve"> </w:t>
      </w:r>
      <w:r>
        <w:t>feminization</w:t>
      </w:r>
      <w:r>
        <w:rPr>
          <w:spacing w:val="-4"/>
        </w:rPr>
        <w:t xml:space="preserve"> </w:t>
      </w:r>
      <w:r>
        <w:t>of</w:t>
      </w:r>
      <w:r>
        <w:rPr>
          <w:spacing w:val="-5"/>
        </w:rPr>
        <w:t xml:space="preserve"> </w:t>
      </w:r>
      <w:r>
        <w:t>migration,</w:t>
      </w:r>
      <w:r>
        <w:rPr>
          <w:spacing w:val="-5"/>
        </w:rPr>
        <w:t xml:space="preserve"> </w:t>
      </w:r>
      <w:r>
        <w:t>the</w:t>
      </w:r>
      <w:r>
        <w:rPr>
          <w:spacing w:val="-6"/>
        </w:rPr>
        <w:t xml:space="preserve"> </w:t>
      </w:r>
      <w:r>
        <w:t>absence</w:t>
      </w:r>
      <w:r>
        <w:rPr>
          <w:spacing w:val="-4"/>
        </w:rPr>
        <w:t xml:space="preserve"> </w:t>
      </w:r>
      <w:r>
        <w:t>of</w:t>
      </w:r>
      <w:r>
        <w:rPr>
          <w:spacing w:val="-5"/>
        </w:rPr>
        <w:t xml:space="preserve"> </w:t>
      </w:r>
      <w:r>
        <w:t>a</w:t>
      </w:r>
      <w:r>
        <w:rPr>
          <w:spacing w:val="-6"/>
        </w:rPr>
        <w:t xml:space="preserve"> </w:t>
      </w:r>
      <w:r>
        <w:t>national</w:t>
      </w:r>
      <w:r>
        <w:rPr>
          <w:spacing w:val="-4"/>
        </w:rPr>
        <w:t xml:space="preserve"> </w:t>
      </w:r>
      <w:r>
        <w:t>care</w:t>
      </w:r>
      <w:r>
        <w:rPr>
          <w:spacing w:val="-6"/>
        </w:rPr>
        <w:t xml:space="preserve"> </w:t>
      </w:r>
      <w:r>
        <w:t>policy,</w:t>
      </w:r>
      <w:r>
        <w:rPr>
          <w:spacing w:val="-5"/>
        </w:rPr>
        <w:t xml:space="preserve"> </w:t>
      </w:r>
      <w:r>
        <w:t>the</w:t>
      </w:r>
      <w:r>
        <w:rPr>
          <w:spacing w:val="-9"/>
        </w:rPr>
        <w:t xml:space="preserve"> </w:t>
      </w:r>
      <w:r>
        <w:t>growing</w:t>
      </w:r>
      <w:r>
        <w:rPr>
          <w:spacing w:val="-1"/>
        </w:rPr>
        <w:t xml:space="preserve"> </w:t>
      </w:r>
      <w:r>
        <w:t>participation</w:t>
      </w:r>
      <w:r>
        <w:rPr>
          <w:spacing w:val="-7"/>
        </w:rPr>
        <w:t xml:space="preserve"> </w:t>
      </w:r>
      <w:r>
        <w:t>of</w:t>
      </w:r>
      <w:r>
        <w:rPr>
          <w:spacing w:val="-3"/>
        </w:rPr>
        <w:t xml:space="preserve"> </w:t>
      </w:r>
      <w:r>
        <w:t>women in the workforce and the ageing of society are some of the reasons for the increased demand for domestic services both at home and abroad. In the Dominican Republic, there are approximately 266,000 domestic workers, 96% of whom are women and more than half of whom are heads of household</w:t>
      </w:r>
      <w:r>
        <w:rPr>
          <w:spacing w:val="-16"/>
        </w:rPr>
        <w:t xml:space="preserve"> </w:t>
      </w:r>
      <w:r>
        <w:t>or</w:t>
      </w:r>
      <w:r>
        <w:rPr>
          <w:spacing w:val="-15"/>
        </w:rPr>
        <w:t xml:space="preserve"> </w:t>
      </w:r>
      <w:r>
        <w:t>single</w:t>
      </w:r>
      <w:r>
        <w:rPr>
          <w:spacing w:val="-15"/>
        </w:rPr>
        <w:t xml:space="preserve"> </w:t>
      </w:r>
      <w:r>
        <w:t>mothers,</w:t>
      </w:r>
      <w:r>
        <w:rPr>
          <w:spacing w:val="-17"/>
        </w:rPr>
        <w:t xml:space="preserve"> </w:t>
      </w:r>
      <w:r>
        <w:t>the</w:t>
      </w:r>
      <w:r>
        <w:rPr>
          <w:spacing w:val="-16"/>
        </w:rPr>
        <w:t xml:space="preserve"> </w:t>
      </w:r>
      <w:r>
        <w:lastRenderedPageBreak/>
        <w:t>vast</w:t>
      </w:r>
      <w:r>
        <w:rPr>
          <w:spacing w:val="-16"/>
        </w:rPr>
        <w:t xml:space="preserve"> </w:t>
      </w:r>
      <w:r>
        <w:t>majority</w:t>
      </w:r>
      <w:r>
        <w:rPr>
          <w:spacing w:val="-18"/>
        </w:rPr>
        <w:t xml:space="preserve"> </w:t>
      </w:r>
      <w:r>
        <w:t>of</w:t>
      </w:r>
      <w:r>
        <w:rPr>
          <w:spacing w:val="-14"/>
        </w:rPr>
        <w:t xml:space="preserve"> </w:t>
      </w:r>
      <w:r>
        <w:t>whom</w:t>
      </w:r>
      <w:r>
        <w:rPr>
          <w:spacing w:val="-15"/>
        </w:rPr>
        <w:t xml:space="preserve"> </w:t>
      </w:r>
      <w:r>
        <w:t>live</w:t>
      </w:r>
      <w:r>
        <w:rPr>
          <w:spacing w:val="-15"/>
        </w:rPr>
        <w:t xml:space="preserve"> </w:t>
      </w:r>
      <w:r>
        <w:t>in</w:t>
      </w:r>
      <w:r>
        <w:rPr>
          <w:spacing w:val="-16"/>
        </w:rPr>
        <w:t xml:space="preserve"> </w:t>
      </w:r>
      <w:r>
        <w:t>conditions</w:t>
      </w:r>
      <w:r>
        <w:rPr>
          <w:spacing w:val="-16"/>
        </w:rPr>
        <w:t xml:space="preserve"> </w:t>
      </w:r>
      <w:r>
        <w:t>of</w:t>
      </w:r>
      <w:r>
        <w:rPr>
          <w:spacing w:val="-14"/>
        </w:rPr>
        <w:t xml:space="preserve"> </w:t>
      </w:r>
      <w:r>
        <w:t>poverty</w:t>
      </w:r>
      <w:r>
        <w:rPr>
          <w:spacing w:val="-18"/>
        </w:rPr>
        <w:t xml:space="preserve"> </w:t>
      </w:r>
      <w:r>
        <w:t>and</w:t>
      </w:r>
      <w:r>
        <w:rPr>
          <w:spacing w:val="-15"/>
        </w:rPr>
        <w:t xml:space="preserve"> </w:t>
      </w:r>
      <w:r>
        <w:t>extreme</w:t>
      </w:r>
      <w:r>
        <w:rPr>
          <w:spacing w:val="-15"/>
        </w:rPr>
        <w:t xml:space="preserve"> </w:t>
      </w:r>
      <w:r>
        <w:t>poverty.</w:t>
      </w:r>
    </w:p>
    <w:p w:rsidR="0083635F" w:rsidRDefault="0083635F" w:rsidP="007E7628">
      <w:pPr>
        <w:pStyle w:val="BodyText"/>
        <w:spacing w:before="5"/>
        <w:ind w:left="191"/>
        <w:rPr>
          <w:sz w:val="25"/>
        </w:rPr>
      </w:pPr>
    </w:p>
    <w:p w:rsidR="0083635F" w:rsidRDefault="00501056" w:rsidP="007E7628">
      <w:pPr>
        <w:pStyle w:val="BodyText"/>
        <w:spacing w:line="276" w:lineRule="auto"/>
        <w:ind w:left="191" w:right="115"/>
        <w:jc w:val="both"/>
      </w:pPr>
      <w:r>
        <w:t>Although the constitution establishes that domestic work is an economic activity that creates added value, produces wealth and social well-being (Art. 55, section 11), in practice, it has little social value and the women who perform it are invisible.</w:t>
      </w:r>
      <w:r w:rsidR="007E7628">
        <w:t xml:space="preserve"> T</w:t>
      </w:r>
      <w:r>
        <w:t xml:space="preserve">he income of domestic workers is equal to or less than 50% of the average employed person, according to data disseminated by the International </w:t>
      </w:r>
      <w:r w:rsidR="007E7628">
        <w:t>Labor</w:t>
      </w:r>
      <w:r>
        <w:t xml:space="preserve"> Organization (ILO).</w:t>
      </w:r>
    </w:p>
    <w:p w:rsidR="0083635F" w:rsidRDefault="0083635F" w:rsidP="007E7628">
      <w:pPr>
        <w:pStyle w:val="BodyText"/>
        <w:spacing w:before="3"/>
        <w:ind w:left="191"/>
        <w:rPr>
          <w:sz w:val="25"/>
        </w:rPr>
      </w:pPr>
    </w:p>
    <w:p w:rsidR="0083635F" w:rsidRDefault="00501056" w:rsidP="007E7628">
      <w:pPr>
        <w:pStyle w:val="BodyText"/>
        <w:spacing w:line="278" w:lineRule="auto"/>
        <w:ind w:left="191" w:right="123"/>
        <w:jc w:val="both"/>
      </w:pPr>
      <w:r>
        <w:t>Low wages in the sector force domestic workers to take on more than one job in order to meet the family's most pressing needs, and they also</w:t>
      </w:r>
      <w:r w:rsidR="00DC22F2">
        <w:t xml:space="preserve"> </w:t>
      </w:r>
      <w:r>
        <w:t>face the formidable challenge of having to combine paid work, which is often vital to the family's livelihood, with their maternal role and the need to devote many hours to unpaid care work.</w:t>
      </w:r>
    </w:p>
    <w:p w:rsidR="00DC22F2" w:rsidRDefault="00DC22F2">
      <w:pPr>
        <w:pStyle w:val="BodyText"/>
        <w:spacing w:line="276" w:lineRule="auto"/>
        <w:ind w:left="191" w:right="114"/>
        <w:jc w:val="both"/>
      </w:pPr>
    </w:p>
    <w:p w:rsidR="0083635F" w:rsidRDefault="00501056">
      <w:pPr>
        <w:pStyle w:val="BodyText"/>
        <w:spacing w:line="276" w:lineRule="auto"/>
        <w:ind w:left="191" w:right="115"/>
        <w:jc w:val="both"/>
      </w:pPr>
      <w:r>
        <w:t xml:space="preserve">Given that there is no correlation of force in </w:t>
      </w:r>
      <w:r w:rsidR="00DC22F2">
        <w:t>favor</w:t>
      </w:r>
      <w:r>
        <w:t xml:space="preserve"> of amending the </w:t>
      </w:r>
      <w:r w:rsidR="00DC22F2">
        <w:t>Labor</w:t>
      </w:r>
      <w:r>
        <w:t xml:space="preserve"> Code and that there is no political will within the Ministry of </w:t>
      </w:r>
      <w:r w:rsidR="00DC22F2">
        <w:t>Labor</w:t>
      </w:r>
      <w:r>
        <w:t xml:space="preserve"> to make administrative progress in guaranteeing the rights of domestic workers, the trade unions of domestic workers, with the support and accompaniment of civil society</w:t>
      </w:r>
      <w:r>
        <w:rPr>
          <w:spacing w:val="-10"/>
        </w:rPr>
        <w:t xml:space="preserve"> </w:t>
      </w:r>
      <w:r>
        <w:t>organizations</w:t>
      </w:r>
      <w:r>
        <w:rPr>
          <w:spacing w:val="-9"/>
        </w:rPr>
        <w:t xml:space="preserve"> </w:t>
      </w:r>
      <w:r>
        <w:t>and</w:t>
      </w:r>
      <w:r>
        <w:rPr>
          <w:spacing w:val="-10"/>
        </w:rPr>
        <w:t xml:space="preserve"> </w:t>
      </w:r>
      <w:r>
        <w:t>trade</w:t>
      </w:r>
      <w:r>
        <w:rPr>
          <w:spacing w:val="-11"/>
        </w:rPr>
        <w:t xml:space="preserve"> </w:t>
      </w:r>
      <w:r>
        <w:t>union</w:t>
      </w:r>
      <w:r>
        <w:rPr>
          <w:spacing w:val="-11"/>
        </w:rPr>
        <w:t xml:space="preserve"> </w:t>
      </w:r>
      <w:r w:rsidR="00DC22F2">
        <w:t>centers</w:t>
      </w:r>
      <w:r>
        <w:t>,</w:t>
      </w:r>
      <w:r>
        <w:rPr>
          <w:spacing w:val="-10"/>
        </w:rPr>
        <w:t xml:space="preserve"> </w:t>
      </w:r>
      <w:r>
        <w:t>have</w:t>
      </w:r>
      <w:r>
        <w:rPr>
          <w:spacing w:val="-8"/>
        </w:rPr>
        <w:t xml:space="preserve"> </w:t>
      </w:r>
      <w:r>
        <w:t>drawn</w:t>
      </w:r>
      <w:r>
        <w:rPr>
          <w:spacing w:val="-9"/>
        </w:rPr>
        <w:t xml:space="preserve"> </w:t>
      </w:r>
      <w:r>
        <w:t>up</w:t>
      </w:r>
      <w:r>
        <w:rPr>
          <w:spacing w:val="-9"/>
        </w:rPr>
        <w:t xml:space="preserve"> </w:t>
      </w:r>
      <w:r>
        <w:t>a</w:t>
      </w:r>
      <w:r>
        <w:rPr>
          <w:spacing w:val="-10"/>
        </w:rPr>
        <w:t xml:space="preserve"> </w:t>
      </w:r>
      <w:r>
        <w:t>proposed</w:t>
      </w:r>
      <w:r>
        <w:rPr>
          <w:spacing w:val="-11"/>
        </w:rPr>
        <w:t xml:space="preserve"> </w:t>
      </w:r>
      <w:r>
        <w:t>law</w:t>
      </w:r>
      <w:r>
        <w:rPr>
          <w:spacing w:val="-11"/>
        </w:rPr>
        <w:t xml:space="preserve"> </w:t>
      </w:r>
      <w:r>
        <w:t>to</w:t>
      </w:r>
      <w:r>
        <w:rPr>
          <w:spacing w:val="-11"/>
        </w:rPr>
        <w:t xml:space="preserve"> </w:t>
      </w:r>
      <w:r>
        <w:t>regulate</w:t>
      </w:r>
      <w:r>
        <w:rPr>
          <w:spacing w:val="-10"/>
        </w:rPr>
        <w:t xml:space="preserve"> </w:t>
      </w:r>
      <w:r>
        <w:t>domestic</w:t>
      </w:r>
      <w:r>
        <w:rPr>
          <w:spacing w:val="-14"/>
        </w:rPr>
        <w:t xml:space="preserve"> </w:t>
      </w:r>
      <w:r>
        <w:t>work in order to implement the provisions of Convention No. 189 and make progress in effectively guaranteeing</w:t>
      </w:r>
      <w:r>
        <w:rPr>
          <w:spacing w:val="-1"/>
        </w:rPr>
        <w:t xml:space="preserve"> </w:t>
      </w:r>
      <w:r>
        <w:t>rights.</w:t>
      </w:r>
    </w:p>
    <w:p w:rsidR="00192BA0" w:rsidRDefault="00192BA0">
      <w:pPr>
        <w:rPr>
          <w:sz w:val="25"/>
        </w:rPr>
      </w:pPr>
      <w:r>
        <w:rPr>
          <w:sz w:val="25"/>
        </w:rPr>
        <w:br w:type="page"/>
      </w:r>
    </w:p>
    <w:p w:rsidR="0083635F" w:rsidRDefault="00501056">
      <w:pPr>
        <w:pStyle w:val="Heading1"/>
        <w:ind w:left="191"/>
        <w:jc w:val="left"/>
      </w:pPr>
      <w:r>
        <w:lastRenderedPageBreak/>
        <w:t>RECOMMENDATIONS</w:t>
      </w:r>
    </w:p>
    <w:p w:rsidR="007E7628" w:rsidRDefault="007E7628">
      <w:pPr>
        <w:pStyle w:val="Heading1"/>
        <w:ind w:left="191"/>
        <w:jc w:val="left"/>
      </w:pPr>
    </w:p>
    <w:p w:rsidR="007E7628" w:rsidRDefault="007E7628">
      <w:pPr>
        <w:pStyle w:val="ListParagraph"/>
        <w:numPr>
          <w:ilvl w:val="1"/>
          <w:numId w:val="3"/>
        </w:numPr>
        <w:tabs>
          <w:tab w:val="left" w:pos="1183"/>
        </w:tabs>
        <w:spacing w:before="38"/>
        <w:ind w:right="0" w:hanging="361"/>
      </w:pPr>
      <w:r>
        <w:t>Adoption of policies that secure elimination of the gender pay gap.</w:t>
      </w:r>
    </w:p>
    <w:p w:rsidR="0083635F" w:rsidRDefault="00501056">
      <w:pPr>
        <w:pStyle w:val="ListParagraph"/>
        <w:numPr>
          <w:ilvl w:val="1"/>
          <w:numId w:val="3"/>
        </w:numPr>
        <w:tabs>
          <w:tab w:val="left" w:pos="1183"/>
        </w:tabs>
        <w:spacing w:before="38"/>
        <w:ind w:right="0" w:hanging="361"/>
      </w:pPr>
      <w:r>
        <w:t>Adoption of a legal framework regulating paid domestic</w:t>
      </w:r>
      <w:r>
        <w:rPr>
          <w:spacing w:val="1"/>
        </w:rPr>
        <w:t xml:space="preserve"> </w:t>
      </w:r>
      <w:r>
        <w:t>work</w:t>
      </w:r>
    </w:p>
    <w:p w:rsidR="0083635F" w:rsidRDefault="00501056">
      <w:pPr>
        <w:pStyle w:val="ListParagraph"/>
        <w:numPr>
          <w:ilvl w:val="1"/>
          <w:numId w:val="3"/>
        </w:numPr>
        <w:tabs>
          <w:tab w:val="left" w:pos="1183"/>
        </w:tabs>
        <w:spacing w:before="37" w:line="276" w:lineRule="auto"/>
        <w:ind w:right="118"/>
      </w:pPr>
      <w:r>
        <w:t xml:space="preserve">Amendment of the provisions of articles 258 to 265 of the </w:t>
      </w:r>
      <w:r w:rsidR="00E36586">
        <w:t>Labor</w:t>
      </w:r>
      <w:r>
        <w:t xml:space="preserve"> Code, in order to ensure that those engaged in paid domestic work enjoy the same </w:t>
      </w:r>
      <w:r w:rsidR="00E36586">
        <w:t>labor</w:t>
      </w:r>
      <w:r>
        <w:t xml:space="preserve"> rights as other</w:t>
      </w:r>
      <w:r>
        <w:rPr>
          <w:spacing w:val="-22"/>
        </w:rPr>
        <w:t xml:space="preserve"> </w:t>
      </w:r>
      <w:r>
        <w:t>workers.</w:t>
      </w:r>
    </w:p>
    <w:p w:rsidR="0083635F" w:rsidRDefault="00501056">
      <w:pPr>
        <w:pStyle w:val="ListParagraph"/>
        <w:numPr>
          <w:ilvl w:val="1"/>
          <w:numId w:val="3"/>
        </w:numPr>
        <w:tabs>
          <w:tab w:val="left" w:pos="1183"/>
        </w:tabs>
        <w:spacing w:line="278" w:lineRule="auto"/>
        <w:ind w:right="114"/>
      </w:pPr>
      <w:r>
        <w:t>Regulate the operation of private employment agencies, in order to protect workers against abusive and/or fraudulent practices.</w:t>
      </w:r>
    </w:p>
    <w:p w:rsidR="0083635F" w:rsidRDefault="00501056">
      <w:pPr>
        <w:pStyle w:val="ListParagraph"/>
        <w:numPr>
          <w:ilvl w:val="1"/>
          <w:numId w:val="3"/>
        </w:numPr>
        <w:tabs>
          <w:tab w:val="left" w:pos="1183"/>
        </w:tabs>
        <w:spacing w:line="276" w:lineRule="auto"/>
        <w:ind w:right="116"/>
      </w:pPr>
      <w:r>
        <w:t>Inclusion</w:t>
      </w:r>
      <w:r>
        <w:rPr>
          <w:spacing w:val="-7"/>
        </w:rPr>
        <w:t xml:space="preserve"> </w:t>
      </w:r>
      <w:r>
        <w:t>of</w:t>
      </w:r>
      <w:r>
        <w:rPr>
          <w:spacing w:val="-5"/>
        </w:rPr>
        <w:t xml:space="preserve"> </w:t>
      </w:r>
      <w:r>
        <w:t>domestic</w:t>
      </w:r>
      <w:r>
        <w:rPr>
          <w:spacing w:val="-6"/>
        </w:rPr>
        <w:t xml:space="preserve"> </w:t>
      </w:r>
      <w:r>
        <w:t>workers</w:t>
      </w:r>
      <w:r>
        <w:rPr>
          <w:spacing w:val="-6"/>
        </w:rPr>
        <w:t xml:space="preserve"> </w:t>
      </w:r>
      <w:r>
        <w:t>in</w:t>
      </w:r>
      <w:r>
        <w:rPr>
          <w:spacing w:val="-9"/>
        </w:rPr>
        <w:t xml:space="preserve"> </w:t>
      </w:r>
      <w:r>
        <w:t>social</w:t>
      </w:r>
      <w:r>
        <w:rPr>
          <w:spacing w:val="-6"/>
        </w:rPr>
        <w:t xml:space="preserve"> </w:t>
      </w:r>
      <w:r>
        <w:t>security,</w:t>
      </w:r>
      <w:r>
        <w:rPr>
          <w:spacing w:val="-5"/>
        </w:rPr>
        <w:t xml:space="preserve"> </w:t>
      </w:r>
      <w:r>
        <w:t>while</w:t>
      </w:r>
      <w:r>
        <w:rPr>
          <w:spacing w:val="-6"/>
        </w:rPr>
        <w:t xml:space="preserve"> </w:t>
      </w:r>
      <w:r>
        <w:t>ensuring</w:t>
      </w:r>
      <w:r>
        <w:rPr>
          <w:spacing w:val="-6"/>
        </w:rPr>
        <w:t xml:space="preserve"> </w:t>
      </w:r>
      <w:r>
        <w:t>access</w:t>
      </w:r>
      <w:r>
        <w:rPr>
          <w:spacing w:val="-8"/>
        </w:rPr>
        <w:t xml:space="preserve"> </w:t>
      </w:r>
      <w:r>
        <w:t>to</w:t>
      </w:r>
      <w:r>
        <w:rPr>
          <w:spacing w:val="-8"/>
        </w:rPr>
        <w:t xml:space="preserve"> </w:t>
      </w:r>
      <w:r>
        <w:t>health,</w:t>
      </w:r>
      <w:r>
        <w:rPr>
          <w:spacing w:val="-5"/>
        </w:rPr>
        <w:t xml:space="preserve"> </w:t>
      </w:r>
      <w:r>
        <w:t>pension</w:t>
      </w:r>
      <w:r>
        <w:rPr>
          <w:spacing w:val="-9"/>
        </w:rPr>
        <w:t xml:space="preserve"> </w:t>
      </w:r>
      <w:r>
        <w:t>and occupational</w:t>
      </w:r>
      <w:r>
        <w:rPr>
          <w:spacing w:val="-2"/>
        </w:rPr>
        <w:t xml:space="preserve"> </w:t>
      </w:r>
      <w:r>
        <w:t>risks.</w:t>
      </w:r>
    </w:p>
    <w:p w:rsidR="0083635F" w:rsidRDefault="00501056">
      <w:pPr>
        <w:pStyle w:val="Heading1"/>
        <w:spacing w:before="75"/>
        <w:ind w:right="1775"/>
      </w:pPr>
      <w:bookmarkStart w:id="9" w:name="_bookmark8"/>
      <w:bookmarkEnd w:id="9"/>
      <w:r>
        <w:rPr>
          <w:u w:val="thick"/>
        </w:rPr>
        <w:t>ARTICLE 12: RIGHT TO HEALTH</w:t>
      </w:r>
    </w:p>
    <w:p w:rsidR="0083635F" w:rsidRDefault="0083635F">
      <w:pPr>
        <w:pStyle w:val="BodyText"/>
        <w:spacing w:before="5"/>
        <w:rPr>
          <w:b/>
          <w:sz w:val="26"/>
        </w:rPr>
      </w:pPr>
    </w:p>
    <w:p w:rsidR="0083635F" w:rsidRDefault="00501056">
      <w:pPr>
        <w:pStyle w:val="Heading1"/>
        <w:spacing w:before="94"/>
        <w:ind w:left="191"/>
        <w:jc w:val="both"/>
      </w:pPr>
      <w:bookmarkStart w:id="10" w:name="_bookmark9"/>
      <w:bookmarkEnd w:id="10"/>
      <w:r>
        <w:t>Teenage pregnancy and forced infant pregnancy</w:t>
      </w:r>
    </w:p>
    <w:p w:rsidR="0083635F" w:rsidRDefault="00501056">
      <w:pPr>
        <w:pStyle w:val="BodyText"/>
        <w:spacing w:before="121" w:line="273" w:lineRule="auto"/>
        <w:ind w:left="191" w:right="110"/>
        <w:jc w:val="both"/>
      </w:pPr>
      <w:r>
        <w:rPr>
          <w:color w:val="090909"/>
        </w:rPr>
        <w:t xml:space="preserve">Teenage pregnancy in the Dominican Republic is a complex issue of high concern on the national agenda. </w:t>
      </w:r>
      <w:r>
        <w:rPr>
          <w:color w:val="212121"/>
        </w:rPr>
        <w:t xml:space="preserve">Available official data indicate that 22% of women between the ages of 12-19 have been pregnant. </w:t>
      </w:r>
      <w:r>
        <w:rPr>
          <w:color w:val="090909"/>
        </w:rPr>
        <w:t>This rate is 34% higher than the average for Latin American and Caribbean countries.</w:t>
      </w:r>
      <w:r w:rsidR="00E36586">
        <w:rPr>
          <w:rStyle w:val="FootnoteReference"/>
          <w:color w:val="090909"/>
        </w:rPr>
        <w:footnoteReference w:id="22"/>
      </w:r>
    </w:p>
    <w:p w:rsidR="0083635F" w:rsidRDefault="00501056">
      <w:pPr>
        <w:pStyle w:val="BodyText"/>
        <w:spacing w:before="167" w:line="276" w:lineRule="auto"/>
        <w:ind w:left="191" w:right="116"/>
        <w:jc w:val="both"/>
      </w:pPr>
      <w:r>
        <w:t>The</w:t>
      </w:r>
      <w:r>
        <w:rPr>
          <w:spacing w:val="-9"/>
        </w:rPr>
        <w:t xml:space="preserve"> </w:t>
      </w:r>
      <w:r>
        <w:t>evidence</w:t>
      </w:r>
      <w:r>
        <w:rPr>
          <w:spacing w:val="-9"/>
        </w:rPr>
        <w:t xml:space="preserve"> </w:t>
      </w:r>
      <w:r>
        <w:t>shows</w:t>
      </w:r>
      <w:r>
        <w:rPr>
          <w:spacing w:val="-7"/>
        </w:rPr>
        <w:t xml:space="preserve"> </w:t>
      </w:r>
      <w:r>
        <w:t>that</w:t>
      </w:r>
      <w:r>
        <w:rPr>
          <w:spacing w:val="-10"/>
        </w:rPr>
        <w:t xml:space="preserve"> </w:t>
      </w:r>
      <w:r>
        <w:t>the</w:t>
      </w:r>
      <w:r>
        <w:rPr>
          <w:spacing w:val="-8"/>
        </w:rPr>
        <w:t xml:space="preserve"> </w:t>
      </w:r>
      <w:r>
        <w:t>most</w:t>
      </w:r>
      <w:r>
        <w:rPr>
          <w:spacing w:val="-8"/>
        </w:rPr>
        <w:t xml:space="preserve"> </w:t>
      </w:r>
      <w:r>
        <w:t>vulnerable</w:t>
      </w:r>
      <w:r>
        <w:rPr>
          <w:spacing w:val="-8"/>
        </w:rPr>
        <w:t xml:space="preserve"> </w:t>
      </w:r>
      <w:r>
        <w:t>adolescent</w:t>
      </w:r>
      <w:r>
        <w:rPr>
          <w:spacing w:val="-8"/>
        </w:rPr>
        <w:t xml:space="preserve"> </w:t>
      </w:r>
      <w:r>
        <w:t>population</w:t>
      </w:r>
      <w:r>
        <w:rPr>
          <w:spacing w:val="-9"/>
        </w:rPr>
        <w:t xml:space="preserve"> </w:t>
      </w:r>
      <w:r>
        <w:t>is</w:t>
      </w:r>
      <w:r>
        <w:rPr>
          <w:spacing w:val="-7"/>
        </w:rPr>
        <w:t xml:space="preserve"> </w:t>
      </w:r>
      <w:r>
        <w:t>that</w:t>
      </w:r>
      <w:r>
        <w:rPr>
          <w:spacing w:val="-10"/>
        </w:rPr>
        <w:t xml:space="preserve"> </w:t>
      </w:r>
      <w:r>
        <w:t>of</w:t>
      </w:r>
      <w:r>
        <w:rPr>
          <w:spacing w:val="-4"/>
        </w:rPr>
        <w:t xml:space="preserve"> </w:t>
      </w:r>
      <w:r>
        <w:t>the</w:t>
      </w:r>
      <w:r>
        <w:rPr>
          <w:spacing w:val="-9"/>
        </w:rPr>
        <w:t xml:space="preserve"> </w:t>
      </w:r>
      <w:r>
        <w:t>lowest</w:t>
      </w:r>
      <w:r>
        <w:rPr>
          <w:spacing w:val="-8"/>
        </w:rPr>
        <w:t xml:space="preserve"> </w:t>
      </w:r>
      <w:r>
        <w:t>socioeconomic strata, the least educated, those living in territories and areas of greater vulnerability and belonging to the most excluded groups (disabled adolescents, migrants, those with HIV, orphans, among</w:t>
      </w:r>
      <w:r>
        <w:rPr>
          <w:spacing w:val="-21"/>
        </w:rPr>
        <w:t xml:space="preserve"> </w:t>
      </w:r>
      <w:r>
        <w:t>others).</w:t>
      </w:r>
      <w:r w:rsidR="00E36586">
        <w:rPr>
          <w:rStyle w:val="FootnoteReference"/>
        </w:rPr>
        <w:footnoteReference w:id="23"/>
      </w:r>
      <w:r w:rsidR="007E7628" w:rsidRPr="007E7628">
        <w:t xml:space="preserve"> </w:t>
      </w:r>
      <w:r w:rsidR="007E7628">
        <w:t>As in our country it is prohibited to interrupt the pregnancy in all cases, it is correct to say that all child pregnancies presented correspond to forced child pregnancies. The statistics of the Ministry</w:t>
      </w:r>
      <w:r w:rsidR="007E7628">
        <w:rPr>
          <w:spacing w:val="-13"/>
        </w:rPr>
        <w:t xml:space="preserve"> </w:t>
      </w:r>
      <w:r w:rsidR="007E7628">
        <w:lastRenderedPageBreak/>
        <w:t>of</w:t>
      </w:r>
      <w:r w:rsidR="007E7628">
        <w:rPr>
          <w:spacing w:val="-9"/>
        </w:rPr>
        <w:t xml:space="preserve"> </w:t>
      </w:r>
      <w:r w:rsidR="007E7628">
        <w:t>Public</w:t>
      </w:r>
      <w:r w:rsidR="007E7628">
        <w:rPr>
          <w:spacing w:val="-10"/>
        </w:rPr>
        <w:t xml:space="preserve"> </w:t>
      </w:r>
      <w:r w:rsidR="007E7628">
        <w:t>Health</w:t>
      </w:r>
      <w:r w:rsidR="007E7628">
        <w:rPr>
          <w:spacing w:val="-12"/>
        </w:rPr>
        <w:t xml:space="preserve"> </w:t>
      </w:r>
      <w:r w:rsidR="007E7628">
        <w:t>show</w:t>
      </w:r>
      <w:r w:rsidR="007E7628">
        <w:rPr>
          <w:spacing w:val="-13"/>
        </w:rPr>
        <w:t xml:space="preserve"> </w:t>
      </w:r>
      <w:r w:rsidR="007E7628">
        <w:t>a</w:t>
      </w:r>
      <w:r w:rsidR="007E7628">
        <w:rPr>
          <w:spacing w:val="-10"/>
        </w:rPr>
        <w:t xml:space="preserve"> </w:t>
      </w:r>
      <w:r w:rsidR="007E7628">
        <w:t>trend</w:t>
      </w:r>
      <w:r w:rsidR="007E7628">
        <w:rPr>
          <w:spacing w:val="-10"/>
        </w:rPr>
        <w:t xml:space="preserve"> </w:t>
      </w:r>
      <w:r w:rsidR="007E7628">
        <w:t>of</w:t>
      </w:r>
      <w:r w:rsidR="007E7628">
        <w:rPr>
          <w:spacing w:val="-7"/>
        </w:rPr>
        <w:t xml:space="preserve"> </w:t>
      </w:r>
      <w:r w:rsidR="007E7628">
        <w:t>increase</w:t>
      </w:r>
      <w:r w:rsidR="007E7628">
        <w:rPr>
          <w:spacing w:val="-12"/>
        </w:rPr>
        <w:t xml:space="preserve"> </w:t>
      </w:r>
      <w:r w:rsidR="007E7628">
        <w:t>in</w:t>
      </w:r>
      <w:r w:rsidR="007E7628">
        <w:rPr>
          <w:spacing w:val="-12"/>
        </w:rPr>
        <w:t xml:space="preserve"> </w:t>
      </w:r>
      <w:r w:rsidR="007E7628">
        <w:t>forced</w:t>
      </w:r>
      <w:r w:rsidR="007E7628">
        <w:rPr>
          <w:spacing w:val="-12"/>
        </w:rPr>
        <w:t xml:space="preserve"> </w:t>
      </w:r>
      <w:r w:rsidR="007E7628">
        <w:t>child</w:t>
      </w:r>
      <w:r w:rsidR="007E7628">
        <w:rPr>
          <w:spacing w:val="-9"/>
        </w:rPr>
        <w:t xml:space="preserve"> </w:t>
      </w:r>
      <w:r w:rsidR="007E7628">
        <w:t>pregnancies</w:t>
      </w:r>
      <w:r w:rsidR="007E7628">
        <w:rPr>
          <w:spacing w:val="-10"/>
        </w:rPr>
        <w:t xml:space="preserve"> </w:t>
      </w:r>
      <w:r w:rsidR="007E7628">
        <w:t>in</w:t>
      </w:r>
      <w:r w:rsidR="007E7628">
        <w:rPr>
          <w:spacing w:val="-10"/>
        </w:rPr>
        <w:t xml:space="preserve"> </w:t>
      </w:r>
      <w:r w:rsidR="007E7628">
        <w:t>the</w:t>
      </w:r>
      <w:r w:rsidR="007E7628">
        <w:rPr>
          <w:spacing w:val="-12"/>
        </w:rPr>
        <w:t xml:space="preserve"> </w:t>
      </w:r>
      <w:r w:rsidR="007E7628">
        <w:t>country</w:t>
      </w:r>
      <w:r w:rsidR="007E7628">
        <w:rPr>
          <w:spacing w:val="-12"/>
        </w:rPr>
        <w:t xml:space="preserve"> </w:t>
      </w:r>
      <w:r w:rsidR="007E7628">
        <w:t>where</w:t>
      </w:r>
      <w:r w:rsidR="007E7628">
        <w:rPr>
          <w:spacing w:val="-9"/>
        </w:rPr>
        <w:t xml:space="preserve"> </w:t>
      </w:r>
      <w:r w:rsidR="007E7628">
        <w:t>1,615 girls under 15 years gave birth in</w:t>
      </w:r>
      <w:r w:rsidR="007E7628">
        <w:rPr>
          <w:spacing w:val="-2"/>
        </w:rPr>
        <w:t xml:space="preserve"> </w:t>
      </w:r>
      <w:r w:rsidR="007E7628">
        <w:t>2016</w:t>
      </w:r>
    </w:p>
    <w:p w:rsidR="0083635F" w:rsidRDefault="00501056">
      <w:pPr>
        <w:pStyle w:val="BodyText"/>
        <w:spacing w:before="159" w:line="276" w:lineRule="auto"/>
        <w:ind w:left="191" w:right="115"/>
        <w:jc w:val="both"/>
      </w:pPr>
      <w:r>
        <w:t>With broad participation from different government institutions and civil society, the country adopted a National Plan for the Reduction of Adolescent Pregnancies in 2019, which has defined objectives and strategies to address this scourge in a comprehensive manner throughout the country. Progress has been made in structuring and monitoring the Plan, and full implementation by the new government is awaited.</w:t>
      </w:r>
    </w:p>
    <w:p w:rsidR="007E7628" w:rsidRDefault="007E7628">
      <w:r>
        <w:br w:type="page"/>
      </w:r>
    </w:p>
    <w:p w:rsidR="0083635F" w:rsidRDefault="00501056">
      <w:pPr>
        <w:pStyle w:val="Heading1"/>
        <w:spacing w:before="75"/>
        <w:ind w:left="191"/>
        <w:jc w:val="left"/>
      </w:pPr>
      <w:bookmarkStart w:id="11" w:name="_bookmark10"/>
      <w:bookmarkEnd w:id="11"/>
      <w:r>
        <w:lastRenderedPageBreak/>
        <w:t>Right to abortion</w:t>
      </w:r>
    </w:p>
    <w:p w:rsidR="0083635F" w:rsidRDefault="0083635F">
      <w:pPr>
        <w:pStyle w:val="BodyText"/>
        <w:spacing w:before="11" w:after="39"/>
        <w:rPr>
          <w:b/>
          <w:sz w:val="10"/>
        </w:rPr>
      </w:pPr>
    </w:p>
    <w:p w:rsidR="0083635F" w:rsidRDefault="00BE7811" w:rsidP="00BE7811">
      <w:pPr>
        <w:pStyle w:val="BodyText"/>
        <w:spacing w:before="173" w:line="276" w:lineRule="auto"/>
        <w:ind w:left="157" w:right="111"/>
        <w:jc w:val="both"/>
      </w:pPr>
      <w:r>
        <w:rPr>
          <w:noProof/>
          <w:sz w:val="20"/>
          <w:lang w:val="en-GB" w:eastAsia="en-GB"/>
        </w:rPr>
        <w:drawing>
          <wp:anchor distT="0" distB="0" distL="114300" distR="114300" simplePos="0" relativeHeight="487605248" behindDoc="0" locked="0" layoutInCell="1" allowOverlap="1">
            <wp:simplePos x="0" y="0"/>
            <wp:positionH relativeFrom="column">
              <wp:posOffset>273154</wp:posOffset>
            </wp:positionH>
            <wp:positionV relativeFrom="paragraph">
              <wp:posOffset>73660</wp:posOffset>
            </wp:positionV>
            <wp:extent cx="3371115" cy="2673857"/>
            <wp:effectExtent l="0" t="0" r="1270" b="0"/>
            <wp:wrapSquare wrapText="bothSides"/>
            <wp:docPr id="27" name="image14.jpeg" descr="C:\Users\lbreton\OneDrive - Plan International\Pictures\46745324_10156989261262650_7368913236999012352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71115" cy="2673857"/>
                    </a:xfrm>
                    <a:prstGeom prst="rect">
                      <a:avLst/>
                    </a:prstGeom>
                  </pic:spPr>
                </pic:pic>
              </a:graphicData>
            </a:graphic>
            <wp14:sizeRelH relativeFrom="page">
              <wp14:pctWidth>0</wp14:pctWidth>
            </wp14:sizeRelH>
            <wp14:sizeRelV relativeFrom="page">
              <wp14:pctHeight>0</wp14:pctHeight>
            </wp14:sizeRelV>
          </wp:anchor>
        </w:drawing>
      </w:r>
      <w:r w:rsidR="00501056">
        <w:rPr>
          <w:color w:val="212121"/>
        </w:rPr>
        <w:t>The Dominican Republic is one of only six countries in the Central American and Caribbean region that still maintains an absolute penali</w:t>
      </w:r>
      <w:r w:rsidR="00192BA0">
        <w:rPr>
          <w:color w:val="212121"/>
        </w:rPr>
        <w:t>zation of abortion, with a Criminal C</w:t>
      </w:r>
      <w:r w:rsidR="00501056">
        <w:rPr>
          <w:color w:val="212121"/>
        </w:rPr>
        <w:t>ode that dates from 1884. Feminist and women's organizations have promoted an</w:t>
      </w:r>
      <w:r w:rsidR="00501056">
        <w:rPr>
          <w:color w:val="212121"/>
          <w:spacing w:val="-11"/>
        </w:rPr>
        <w:t xml:space="preserve"> </w:t>
      </w:r>
      <w:r w:rsidR="00501056">
        <w:rPr>
          <w:color w:val="212121"/>
        </w:rPr>
        <w:t>arduous</w:t>
      </w:r>
      <w:r w:rsidR="00501056">
        <w:rPr>
          <w:color w:val="212121"/>
          <w:spacing w:val="-10"/>
        </w:rPr>
        <w:t xml:space="preserve"> </w:t>
      </w:r>
      <w:r w:rsidR="00501056">
        <w:rPr>
          <w:color w:val="212121"/>
        </w:rPr>
        <w:t>struggle</w:t>
      </w:r>
      <w:r w:rsidR="00501056">
        <w:rPr>
          <w:color w:val="212121"/>
          <w:spacing w:val="-12"/>
        </w:rPr>
        <w:t xml:space="preserve"> </w:t>
      </w:r>
      <w:r w:rsidR="00501056">
        <w:rPr>
          <w:color w:val="212121"/>
        </w:rPr>
        <w:t>for</w:t>
      </w:r>
      <w:r w:rsidR="00501056">
        <w:rPr>
          <w:color w:val="212121"/>
          <w:spacing w:val="-11"/>
        </w:rPr>
        <w:t xml:space="preserve"> </w:t>
      </w:r>
      <w:r w:rsidR="00501056">
        <w:rPr>
          <w:color w:val="212121"/>
        </w:rPr>
        <w:t>the</w:t>
      </w:r>
      <w:r w:rsidR="00501056">
        <w:rPr>
          <w:color w:val="212121"/>
          <w:spacing w:val="-10"/>
        </w:rPr>
        <w:t xml:space="preserve"> </w:t>
      </w:r>
      <w:r w:rsidR="00501056">
        <w:rPr>
          <w:color w:val="212121"/>
        </w:rPr>
        <w:t xml:space="preserve">decriminalization of abortion in three specific cases, </w:t>
      </w:r>
      <w:r w:rsidR="00501056">
        <w:t>when the woman's life is in danger</w:t>
      </w:r>
      <w:r w:rsidR="00501056">
        <w:rPr>
          <w:color w:val="212121"/>
        </w:rPr>
        <w:t xml:space="preserve">, </w:t>
      </w:r>
      <w:r w:rsidR="00501056">
        <w:t>when it is a question of sexual violation or when there are</w:t>
      </w:r>
      <w:r w:rsidR="00501056">
        <w:rPr>
          <w:spacing w:val="-11"/>
        </w:rPr>
        <w:t xml:space="preserve"> </w:t>
      </w:r>
      <w:r w:rsidR="00501056">
        <w:t>fatal</w:t>
      </w:r>
      <w:r w:rsidR="00501056">
        <w:rPr>
          <w:spacing w:val="-11"/>
        </w:rPr>
        <w:t xml:space="preserve"> </w:t>
      </w:r>
      <w:r w:rsidR="00501056">
        <w:t>malformations</w:t>
      </w:r>
      <w:r w:rsidR="00501056">
        <w:rPr>
          <w:spacing w:val="-11"/>
        </w:rPr>
        <w:t xml:space="preserve"> </w:t>
      </w:r>
      <w:r w:rsidR="00501056">
        <w:t>for</w:t>
      </w:r>
      <w:r w:rsidR="00501056">
        <w:rPr>
          <w:spacing w:val="-9"/>
        </w:rPr>
        <w:t xml:space="preserve"> </w:t>
      </w:r>
      <w:r w:rsidR="00501056">
        <w:t>the</w:t>
      </w:r>
      <w:r w:rsidR="00501056">
        <w:rPr>
          <w:spacing w:val="-9"/>
        </w:rPr>
        <w:t xml:space="preserve"> </w:t>
      </w:r>
      <w:r w:rsidR="00501056">
        <w:t>survival</w:t>
      </w:r>
      <w:r w:rsidR="00501056">
        <w:rPr>
          <w:spacing w:val="-9"/>
        </w:rPr>
        <w:t xml:space="preserve"> </w:t>
      </w:r>
      <w:r w:rsidR="00501056">
        <w:t>of</w:t>
      </w:r>
      <w:r w:rsidR="00501056">
        <w:rPr>
          <w:spacing w:val="-8"/>
        </w:rPr>
        <w:t xml:space="preserve"> </w:t>
      </w:r>
      <w:r w:rsidR="00501056">
        <w:t>the fetus, applying criminal sanctions both to health personnel who intervene and to women who voluntarily seek or attempt an abortion.</w:t>
      </w:r>
      <w:r w:rsidR="00501056">
        <w:rPr>
          <w:spacing w:val="-15"/>
        </w:rPr>
        <w:t xml:space="preserve"> </w:t>
      </w:r>
      <w:r w:rsidR="00501056">
        <w:t>This</w:t>
      </w:r>
      <w:r w:rsidR="00501056">
        <w:rPr>
          <w:spacing w:val="-15"/>
        </w:rPr>
        <w:t xml:space="preserve"> </w:t>
      </w:r>
      <w:r w:rsidR="00501056">
        <w:t>forces</w:t>
      </w:r>
      <w:r w:rsidR="00501056">
        <w:rPr>
          <w:spacing w:val="-15"/>
        </w:rPr>
        <w:t xml:space="preserve"> </w:t>
      </w:r>
      <w:r w:rsidR="00501056">
        <w:t>those</w:t>
      </w:r>
      <w:r w:rsidR="00501056">
        <w:rPr>
          <w:spacing w:val="-10"/>
        </w:rPr>
        <w:t xml:space="preserve"> </w:t>
      </w:r>
      <w:r w:rsidR="00501056">
        <w:t>women</w:t>
      </w:r>
      <w:r w:rsidR="00501056">
        <w:rPr>
          <w:spacing w:val="-10"/>
        </w:rPr>
        <w:t xml:space="preserve"> </w:t>
      </w:r>
      <w:r w:rsidR="00501056">
        <w:t>who</w:t>
      </w:r>
      <w:r w:rsidR="00501056">
        <w:rPr>
          <w:spacing w:val="-11"/>
        </w:rPr>
        <w:t xml:space="preserve"> </w:t>
      </w:r>
      <w:r w:rsidR="00501056">
        <w:t>want</w:t>
      </w:r>
      <w:r>
        <w:t xml:space="preserve"> </w:t>
      </w:r>
      <w:r w:rsidR="00501056">
        <w:t>to save their lives to perform abortions in unhealthy, unsafe and clandestine conditions.</w:t>
      </w:r>
    </w:p>
    <w:p w:rsidR="0083635F" w:rsidRDefault="0083635F">
      <w:pPr>
        <w:pStyle w:val="BodyText"/>
        <w:spacing w:before="5"/>
        <w:rPr>
          <w:sz w:val="28"/>
        </w:rPr>
      </w:pPr>
    </w:p>
    <w:p w:rsidR="0083635F" w:rsidRDefault="00501056">
      <w:pPr>
        <w:pStyle w:val="BodyText"/>
        <w:spacing w:before="1" w:line="276" w:lineRule="auto"/>
        <w:ind w:left="191" w:right="113"/>
        <w:jc w:val="both"/>
      </w:pPr>
      <w:r>
        <w:t>The</w:t>
      </w:r>
      <w:r>
        <w:rPr>
          <w:spacing w:val="-3"/>
        </w:rPr>
        <w:t xml:space="preserve"> </w:t>
      </w:r>
      <w:r>
        <w:t>only</w:t>
      </w:r>
      <w:r>
        <w:rPr>
          <w:spacing w:val="-5"/>
        </w:rPr>
        <w:t xml:space="preserve"> </w:t>
      </w:r>
      <w:r>
        <w:t>official</w:t>
      </w:r>
      <w:r>
        <w:rPr>
          <w:spacing w:val="-5"/>
        </w:rPr>
        <w:t xml:space="preserve"> </w:t>
      </w:r>
      <w:r>
        <w:t>data</w:t>
      </w:r>
      <w:r>
        <w:rPr>
          <w:spacing w:val="-3"/>
        </w:rPr>
        <w:t xml:space="preserve"> </w:t>
      </w:r>
      <w:r>
        <w:t>on</w:t>
      </w:r>
      <w:r>
        <w:rPr>
          <w:spacing w:val="-3"/>
        </w:rPr>
        <w:t xml:space="preserve"> </w:t>
      </w:r>
      <w:r>
        <w:t>the</w:t>
      </w:r>
      <w:r>
        <w:rPr>
          <w:spacing w:val="-5"/>
        </w:rPr>
        <w:t xml:space="preserve"> </w:t>
      </w:r>
      <w:r>
        <w:t>number</w:t>
      </w:r>
      <w:r>
        <w:rPr>
          <w:spacing w:val="-2"/>
        </w:rPr>
        <w:t xml:space="preserve"> </w:t>
      </w:r>
      <w:r>
        <w:t>of</w:t>
      </w:r>
      <w:r>
        <w:rPr>
          <w:spacing w:val="1"/>
        </w:rPr>
        <w:t xml:space="preserve"> </w:t>
      </w:r>
      <w:r>
        <w:t>abortions</w:t>
      </w:r>
      <w:r>
        <w:rPr>
          <w:spacing w:val="-2"/>
        </w:rPr>
        <w:t xml:space="preserve"> </w:t>
      </w:r>
      <w:r>
        <w:t>performed</w:t>
      </w:r>
      <w:r>
        <w:rPr>
          <w:spacing w:val="-3"/>
        </w:rPr>
        <w:t xml:space="preserve"> </w:t>
      </w:r>
      <w:r>
        <w:t>in</w:t>
      </w:r>
      <w:r>
        <w:rPr>
          <w:spacing w:val="-3"/>
        </w:rPr>
        <w:t xml:space="preserve"> </w:t>
      </w:r>
      <w:r>
        <w:t>the</w:t>
      </w:r>
      <w:r>
        <w:rPr>
          <w:spacing w:val="-4"/>
        </w:rPr>
        <w:t xml:space="preserve"> </w:t>
      </w:r>
      <w:r>
        <w:t>country</w:t>
      </w:r>
      <w:r>
        <w:rPr>
          <w:spacing w:val="-5"/>
        </w:rPr>
        <w:t xml:space="preserve"> </w:t>
      </w:r>
      <w:r>
        <w:t>is</w:t>
      </w:r>
      <w:r>
        <w:rPr>
          <w:spacing w:val="-3"/>
        </w:rPr>
        <w:t xml:space="preserve"> </w:t>
      </w:r>
      <w:r>
        <w:t>provided</w:t>
      </w:r>
      <w:r>
        <w:rPr>
          <w:spacing w:val="-2"/>
        </w:rPr>
        <w:t xml:space="preserve"> </w:t>
      </w:r>
      <w:r>
        <w:t>by</w:t>
      </w:r>
      <w:r>
        <w:rPr>
          <w:spacing w:val="-5"/>
        </w:rPr>
        <w:t xml:space="preserve"> </w:t>
      </w:r>
      <w:r>
        <w:t xml:space="preserve">the Directorate of Epidemiology of the Ministry of Public Health, which reports </w:t>
      </w:r>
      <w:r>
        <w:rPr>
          <w:color w:val="212121"/>
        </w:rPr>
        <w:t>a total of 15,472 abortions among</w:t>
      </w:r>
      <w:r>
        <w:rPr>
          <w:color w:val="212121"/>
          <w:spacing w:val="-12"/>
        </w:rPr>
        <w:t xml:space="preserve"> </w:t>
      </w:r>
      <w:r>
        <w:rPr>
          <w:color w:val="212121"/>
        </w:rPr>
        <w:t>obstetric</w:t>
      </w:r>
      <w:r>
        <w:rPr>
          <w:color w:val="212121"/>
          <w:spacing w:val="-12"/>
        </w:rPr>
        <w:t xml:space="preserve"> </w:t>
      </w:r>
      <w:r>
        <w:rPr>
          <w:color w:val="212121"/>
        </w:rPr>
        <w:t>procedures</w:t>
      </w:r>
      <w:r>
        <w:rPr>
          <w:color w:val="212121"/>
          <w:spacing w:val="-13"/>
        </w:rPr>
        <w:t xml:space="preserve"> </w:t>
      </w:r>
      <w:r>
        <w:rPr>
          <w:color w:val="212121"/>
        </w:rPr>
        <w:t>performed</w:t>
      </w:r>
      <w:r>
        <w:rPr>
          <w:color w:val="212121"/>
          <w:spacing w:val="-13"/>
        </w:rPr>
        <w:t xml:space="preserve"> </w:t>
      </w:r>
      <w:r>
        <w:rPr>
          <w:color w:val="212121"/>
        </w:rPr>
        <w:t>in</w:t>
      </w:r>
      <w:r>
        <w:rPr>
          <w:color w:val="212121"/>
          <w:spacing w:val="-13"/>
        </w:rPr>
        <w:t xml:space="preserve"> </w:t>
      </w:r>
      <w:r>
        <w:rPr>
          <w:color w:val="212121"/>
        </w:rPr>
        <w:t>public</w:t>
      </w:r>
      <w:r>
        <w:rPr>
          <w:color w:val="212121"/>
          <w:spacing w:val="-12"/>
        </w:rPr>
        <w:t xml:space="preserve"> </w:t>
      </w:r>
      <w:r>
        <w:rPr>
          <w:color w:val="212121"/>
        </w:rPr>
        <w:t>sector</w:t>
      </w:r>
      <w:r>
        <w:rPr>
          <w:color w:val="212121"/>
          <w:spacing w:val="-15"/>
        </w:rPr>
        <w:t xml:space="preserve"> </w:t>
      </w:r>
      <w:r>
        <w:rPr>
          <w:color w:val="212121"/>
        </w:rPr>
        <w:t>facilities</w:t>
      </w:r>
      <w:r>
        <w:rPr>
          <w:color w:val="212121"/>
          <w:spacing w:val="-12"/>
        </w:rPr>
        <w:t xml:space="preserve"> </w:t>
      </w:r>
      <w:r>
        <w:rPr>
          <w:color w:val="212121"/>
        </w:rPr>
        <w:t>during</w:t>
      </w:r>
      <w:r>
        <w:rPr>
          <w:color w:val="212121"/>
          <w:spacing w:val="-12"/>
        </w:rPr>
        <w:t xml:space="preserve"> </w:t>
      </w:r>
      <w:r>
        <w:rPr>
          <w:color w:val="212121"/>
        </w:rPr>
        <w:t>2019</w:t>
      </w:r>
      <w:r w:rsidR="00BE7811">
        <w:rPr>
          <w:rStyle w:val="FootnoteReference"/>
          <w:color w:val="212121"/>
        </w:rPr>
        <w:footnoteReference w:id="24"/>
      </w:r>
      <w:r>
        <w:rPr>
          <w:color w:val="212121"/>
        </w:rPr>
        <w:t>,</w:t>
      </w:r>
      <w:r>
        <w:rPr>
          <w:color w:val="212121"/>
          <w:spacing w:val="-11"/>
        </w:rPr>
        <w:t xml:space="preserve"> </w:t>
      </w:r>
      <w:r>
        <w:rPr>
          <w:color w:val="212121"/>
        </w:rPr>
        <w:t>but</w:t>
      </w:r>
      <w:r>
        <w:rPr>
          <w:color w:val="212121"/>
          <w:spacing w:val="-14"/>
        </w:rPr>
        <w:t xml:space="preserve"> </w:t>
      </w:r>
      <w:r>
        <w:rPr>
          <w:color w:val="212121"/>
        </w:rPr>
        <w:t>does</w:t>
      </w:r>
      <w:r>
        <w:rPr>
          <w:color w:val="212121"/>
          <w:spacing w:val="-13"/>
        </w:rPr>
        <w:t xml:space="preserve"> </w:t>
      </w:r>
      <w:r>
        <w:rPr>
          <w:color w:val="212121"/>
        </w:rPr>
        <w:t>not</w:t>
      </w:r>
      <w:r>
        <w:rPr>
          <w:color w:val="212121"/>
          <w:spacing w:val="-14"/>
        </w:rPr>
        <w:t xml:space="preserve"> </w:t>
      </w:r>
      <w:r>
        <w:rPr>
          <w:color w:val="212121"/>
        </w:rPr>
        <w:t>provide</w:t>
      </w:r>
      <w:r>
        <w:rPr>
          <w:color w:val="212121"/>
          <w:spacing w:val="-14"/>
        </w:rPr>
        <w:t xml:space="preserve"> </w:t>
      </w:r>
      <w:r>
        <w:rPr>
          <w:color w:val="212121"/>
        </w:rPr>
        <w:t>data that relates this figure to maternal</w:t>
      </w:r>
      <w:r>
        <w:rPr>
          <w:color w:val="212121"/>
          <w:spacing w:val="-12"/>
        </w:rPr>
        <w:t xml:space="preserve"> </w:t>
      </w:r>
      <w:r>
        <w:rPr>
          <w:color w:val="212121"/>
        </w:rPr>
        <w:t>mortality.</w:t>
      </w:r>
    </w:p>
    <w:p w:rsidR="0083635F" w:rsidRDefault="0083635F">
      <w:pPr>
        <w:pStyle w:val="BodyText"/>
        <w:spacing w:before="4"/>
        <w:rPr>
          <w:sz w:val="25"/>
        </w:rPr>
      </w:pPr>
    </w:p>
    <w:p w:rsidR="0083635F" w:rsidRDefault="00501056">
      <w:pPr>
        <w:pStyle w:val="BodyText"/>
        <w:spacing w:before="1" w:line="276" w:lineRule="auto"/>
        <w:ind w:left="191" w:right="123"/>
      </w:pPr>
      <w:r>
        <w:rPr>
          <w:color w:val="212121"/>
        </w:rPr>
        <w:t>For its part, the Attorney General's Office (PGR)</w:t>
      </w:r>
      <w:r w:rsidR="00BE7811">
        <w:rPr>
          <w:rStyle w:val="FootnoteReference"/>
          <w:color w:val="212121"/>
        </w:rPr>
        <w:footnoteReference w:id="25"/>
      </w:r>
      <w:r>
        <w:rPr>
          <w:color w:val="212121"/>
        </w:rPr>
        <w:t xml:space="preserve"> reports cases prosecuted for the crime of abortion established in the current Penal Code:</w:t>
      </w:r>
    </w:p>
    <w:p w:rsidR="0083635F" w:rsidRDefault="00501056">
      <w:pPr>
        <w:pStyle w:val="BodyText"/>
        <w:tabs>
          <w:tab w:val="left" w:pos="911"/>
        </w:tabs>
        <w:spacing w:line="274" w:lineRule="exact"/>
        <w:ind w:left="551"/>
      </w:pPr>
      <w:r>
        <w:rPr>
          <w:rFonts w:ascii="Times New Roman"/>
          <w:color w:val="212121"/>
          <w:sz w:val="24"/>
        </w:rPr>
        <w:t>-</w:t>
      </w:r>
      <w:r>
        <w:rPr>
          <w:rFonts w:ascii="Times New Roman"/>
          <w:color w:val="212121"/>
          <w:sz w:val="24"/>
        </w:rPr>
        <w:tab/>
      </w:r>
      <w:r>
        <w:rPr>
          <w:color w:val="212121"/>
        </w:rPr>
        <w:t>2016: 1</w:t>
      </w:r>
      <w:r>
        <w:rPr>
          <w:color w:val="212121"/>
          <w:spacing w:val="-1"/>
        </w:rPr>
        <w:t xml:space="preserve"> </w:t>
      </w:r>
      <w:r>
        <w:rPr>
          <w:color w:val="212121"/>
        </w:rPr>
        <w:t>case;</w:t>
      </w:r>
    </w:p>
    <w:p w:rsidR="0083635F" w:rsidRDefault="00501056">
      <w:pPr>
        <w:pStyle w:val="BodyText"/>
        <w:tabs>
          <w:tab w:val="left" w:pos="911"/>
        </w:tabs>
        <w:spacing w:before="33"/>
        <w:ind w:left="551"/>
      </w:pPr>
      <w:r>
        <w:rPr>
          <w:rFonts w:ascii="Times New Roman"/>
          <w:color w:val="212121"/>
          <w:sz w:val="24"/>
        </w:rPr>
        <w:lastRenderedPageBreak/>
        <w:t>-</w:t>
      </w:r>
      <w:r>
        <w:rPr>
          <w:rFonts w:ascii="Times New Roman"/>
          <w:color w:val="212121"/>
          <w:sz w:val="24"/>
        </w:rPr>
        <w:tab/>
      </w:r>
      <w:r>
        <w:rPr>
          <w:color w:val="212121"/>
        </w:rPr>
        <w:t>2017: 3</w:t>
      </w:r>
      <w:r>
        <w:rPr>
          <w:color w:val="212121"/>
          <w:spacing w:val="-1"/>
        </w:rPr>
        <w:t xml:space="preserve"> </w:t>
      </w:r>
      <w:r>
        <w:rPr>
          <w:color w:val="212121"/>
        </w:rPr>
        <w:t>cases;</w:t>
      </w:r>
    </w:p>
    <w:p w:rsidR="0083635F" w:rsidRDefault="00501056">
      <w:pPr>
        <w:pStyle w:val="BodyText"/>
        <w:tabs>
          <w:tab w:val="left" w:pos="911"/>
        </w:tabs>
        <w:spacing w:before="31"/>
        <w:ind w:left="551"/>
      </w:pPr>
      <w:r>
        <w:rPr>
          <w:rFonts w:ascii="Times New Roman"/>
          <w:color w:val="212121"/>
          <w:sz w:val="24"/>
        </w:rPr>
        <w:t>-</w:t>
      </w:r>
      <w:r>
        <w:rPr>
          <w:rFonts w:ascii="Times New Roman"/>
          <w:color w:val="212121"/>
          <w:sz w:val="24"/>
        </w:rPr>
        <w:tab/>
      </w:r>
      <w:r>
        <w:rPr>
          <w:color w:val="212121"/>
        </w:rPr>
        <w:t>2018: 27</w:t>
      </w:r>
      <w:r>
        <w:rPr>
          <w:color w:val="212121"/>
          <w:spacing w:val="-1"/>
        </w:rPr>
        <w:t xml:space="preserve"> </w:t>
      </w:r>
      <w:r>
        <w:rPr>
          <w:color w:val="212121"/>
        </w:rPr>
        <w:t>cases;</w:t>
      </w:r>
    </w:p>
    <w:p w:rsidR="0083635F" w:rsidRDefault="00501056">
      <w:pPr>
        <w:pStyle w:val="BodyText"/>
        <w:tabs>
          <w:tab w:val="left" w:pos="911"/>
        </w:tabs>
        <w:spacing w:before="34"/>
        <w:ind w:left="551"/>
      </w:pPr>
      <w:r>
        <w:rPr>
          <w:rFonts w:ascii="Times New Roman"/>
          <w:color w:val="212121"/>
          <w:sz w:val="24"/>
        </w:rPr>
        <w:t>-</w:t>
      </w:r>
      <w:r>
        <w:rPr>
          <w:rFonts w:ascii="Times New Roman"/>
          <w:color w:val="212121"/>
          <w:sz w:val="24"/>
        </w:rPr>
        <w:tab/>
      </w:r>
      <w:r>
        <w:rPr>
          <w:color w:val="212121"/>
        </w:rPr>
        <w:t>2019: 5</w:t>
      </w:r>
      <w:r>
        <w:rPr>
          <w:color w:val="212121"/>
          <w:spacing w:val="-1"/>
        </w:rPr>
        <w:t xml:space="preserve"> </w:t>
      </w:r>
      <w:r>
        <w:rPr>
          <w:color w:val="212121"/>
        </w:rPr>
        <w:t>cases;</w:t>
      </w:r>
    </w:p>
    <w:p w:rsidR="0083635F" w:rsidRDefault="0083635F">
      <w:pPr>
        <w:pStyle w:val="BodyText"/>
        <w:spacing w:before="3"/>
        <w:rPr>
          <w:sz w:val="28"/>
        </w:rPr>
      </w:pPr>
    </w:p>
    <w:p w:rsidR="0083635F" w:rsidRDefault="00501056">
      <w:pPr>
        <w:pStyle w:val="BodyText"/>
        <w:spacing w:line="276" w:lineRule="auto"/>
        <w:ind w:left="191" w:right="113"/>
        <w:jc w:val="both"/>
      </w:pPr>
      <w:r>
        <w:rPr>
          <w:color w:val="212121"/>
        </w:rPr>
        <w:t>The increase in cases between 2017 and 2018, represents a 900% increase that calls powerfully for attention. As of 2019, the General Directorate of Prisons, an agency of the PGR, reports three persons deprived of their liberty for this crime, two men and one woman</w:t>
      </w:r>
      <w:r w:rsidR="00BE7811">
        <w:rPr>
          <w:rStyle w:val="FootnoteReference"/>
          <w:color w:val="212121"/>
        </w:rPr>
        <w:footnoteReference w:id="26"/>
      </w:r>
      <w:r>
        <w:rPr>
          <w:color w:val="212121"/>
        </w:rPr>
        <w:t>.</w:t>
      </w:r>
    </w:p>
    <w:p w:rsidR="0083635F" w:rsidRDefault="0083635F">
      <w:pPr>
        <w:pStyle w:val="BodyText"/>
        <w:spacing w:before="3"/>
        <w:rPr>
          <w:sz w:val="25"/>
        </w:rPr>
      </w:pPr>
    </w:p>
    <w:p w:rsidR="0083635F" w:rsidRDefault="00501056">
      <w:pPr>
        <w:pStyle w:val="BodyText"/>
        <w:spacing w:line="276" w:lineRule="auto"/>
        <w:ind w:left="191" w:right="116"/>
        <w:jc w:val="both"/>
      </w:pPr>
      <w:r>
        <w:t>For more than 20 years, there have been attempts to reform the Penal Code and to include the decriminalizati</w:t>
      </w:r>
      <w:r w:rsidR="00BE7811">
        <w:t>on of abortion in three grounds, a</w:t>
      </w:r>
      <w:r w:rsidR="00BE7811" w:rsidRPr="00BE7811">
        <w:t>t the time of this report, Congress has not yet been able to pass these provisions.</w:t>
      </w:r>
    </w:p>
    <w:p w:rsidR="00192BA0" w:rsidRDefault="00192BA0">
      <w:pPr>
        <w:rPr>
          <w:sz w:val="25"/>
        </w:rPr>
      </w:pPr>
      <w:r>
        <w:rPr>
          <w:sz w:val="25"/>
        </w:rPr>
        <w:br w:type="page"/>
      </w:r>
    </w:p>
    <w:p w:rsidR="0083635F" w:rsidRDefault="0083635F">
      <w:pPr>
        <w:pStyle w:val="BodyText"/>
        <w:spacing w:before="3"/>
        <w:rPr>
          <w:sz w:val="25"/>
        </w:rPr>
      </w:pPr>
    </w:p>
    <w:p w:rsidR="0083635F" w:rsidRDefault="00501056">
      <w:pPr>
        <w:pStyle w:val="Heading1"/>
        <w:ind w:left="191"/>
        <w:jc w:val="both"/>
      </w:pPr>
      <w:bookmarkStart w:id="12" w:name="_bookmark11"/>
      <w:bookmarkEnd w:id="12"/>
      <w:r>
        <w:t>Maternal Mortality</w:t>
      </w:r>
    </w:p>
    <w:p w:rsidR="0083635F" w:rsidRDefault="00501056" w:rsidP="00BE7811">
      <w:pPr>
        <w:pStyle w:val="BodyText"/>
        <w:spacing w:before="119" w:line="276" w:lineRule="auto"/>
        <w:ind w:left="191" w:right="113"/>
        <w:jc w:val="both"/>
      </w:pPr>
      <w:r>
        <w:t>Government efforts to reduce the incidence of maternal death have resulted in the establishment of public</w:t>
      </w:r>
      <w:r>
        <w:rPr>
          <w:spacing w:val="-4"/>
        </w:rPr>
        <w:t xml:space="preserve"> </w:t>
      </w:r>
      <w:r>
        <w:t>policies,</w:t>
      </w:r>
      <w:r>
        <w:rPr>
          <w:spacing w:val="-3"/>
        </w:rPr>
        <w:t xml:space="preserve"> </w:t>
      </w:r>
      <w:r>
        <w:t>budgets,</w:t>
      </w:r>
      <w:r>
        <w:rPr>
          <w:spacing w:val="-7"/>
        </w:rPr>
        <w:t xml:space="preserve"> </w:t>
      </w:r>
      <w:r>
        <w:t>plans</w:t>
      </w:r>
      <w:r>
        <w:rPr>
          <w:spacing w:val="-4"/>
        </w:rPr>
        <w:t xml:space="preserve"> </w:t>
      </w:r>
      <w:r>
        <w:t>and</w:t>
      </w:r>
      <w:r>
        <w:rPr>
          <w:spacing w:val="-6"/>
        </w:rPr>
        <w:t xml:space="preserve"> </w:t>
      </w:r>
      <w:r>
        <w:t>programs,</w:t>
      </w:r>
      <w:r>
        <w:rPr>
          <w:spacing w:val="-7"/>
        </w:rPr>
        <w:t xml:space="preserve"> </w:t>
      </w:r>
      <w:r>
        <w:t>which</w:t>
      </w:r>
      <w:r>
        <w:rPr>
          <w:spacing w:val="-4"/>
        </w:rPr>
        <w:t xml:space="preserve"> </w:t>
      </w:r>
      <w:r>
        <w:t>recognize</w:t>
      </w:r>
      <w:r>
        <w:rPr>
          <w:spacing w:val="-6"/>
        </w:rPr>
        <w:t xml:space="preserve"> </w:t>
      </w:r>
      <w:r>
        <w:t>that</w:t>
      </w:r>
      <w:r>
        <w:rPr>
          <w:spacing w:val="-7"/>
        </w:rPr>
        <w:t xml:space="preserve"> </w:t>
      </w:r>
      <w:r>
        <w:t>the</w:t>
      </w:r>
      <w:r>
        <w:rPr>
          <w:spacing w:val="-6"/>
        </w:rPr>
        <w:t xml:space="preserve"> </w:t>
      </w:r>
      <w:r>
        <w:t>main</w:t>
      </w:r>
      <w:r>
        <w:rPr>
          <w:spacing w:val="-4"/>
        </w:rPr>
        <w:t xml:space="preserve"> </w:t>
      </w:r>
      <w:r>
        <w:t>challenge</w:t>
      </w:r>
      <w:r>
        <w:rPr>
          <w:spacing w:val="-6"/>
        </w:rPr>
        <w:t xml:space="preserve"> </w:t>
      </w:r>
      <w:r>
        <w:t>in</w:t>
      </w:r>
      <w:r>
        <w:rPr>
          <w:spacing w:val="-6"/>
        </w:rPr>
        <w:t xml:space="preserve"> </w:t>
      </w:r>
      <w:r>
        <w:t>this</w:t>
      </w:r>
      <w:r>
        <w:rPr>
          <w:spacing w:val="-6"/>
        </w:rPr>
        <w:t xml:space="preserve"> </w:t>
      </w:r>
      <w:r>
        <w:t>area</w:t>
      </w:r>
      <w:r>
        <w:rPr>
          <w:spacing w:val="-4"/>
        </w:rPr>
        <w:t xml:space="preserve"> </w:t>
      </w:r>
      <w:r>
        <w:t>is to</w:t>
      </w:r>
      <w:r>
        <w:rPr>
          <w:spacing w:val="-11"/>
        </w:rPr>
        <w:t xml:space="preserve"> </w:t>
      </w:r>
      <w:r>
        <w:t>achieve</w:t>
      </w:r>
      <w:r>
        <w:rPr>
          <w:spacing w:val="-10"/>
        </w:rPr>
        <w:t xml:space="preserve"> </w:t>
      </w:r>
      <w:r>
        <w:t>the</w:t>
      </w:r>
      <w:r>
        <w:rPr>
          <w:spacing w:val="-11"/>
        </w:rPr>
        <w:t xml:space="preserve"> </w:t>
      </w:r>
      <w:r>
        <w:t>highest</w:t>
      </w:r>
      <w:r>
        <w:rPr>
          <w:spacing w:val="-11"/>
        </w:rPr>
        <w:t xml:space="preserve"> </w:t>
      </w:r>
      <w:r>
        <w:t>standards</w:t>
      </w:r>
      <w:r>
        <w:rPr>
          <w:spacing w:val="-10"/>
        </w:rPr>
        <w:t xml:space="preserve"> </w:t>
      </w:r>
      <w:r>
        <w:t>of</w:t>
      </w:r>
      <w:r>
        <w:rPr>
          <w:spacing w:val="-12"/>
        </w:rPr>
        <w:t xml:space="preserve"> </w:t>
      </w:r>
      <w:r>
        <w:t>quality</w:t>
      </w:r>
      <w:r>
        <w:rPr>
          <w:spacing w:val="-12"/>
        </w:rPr>
        <w:t xml:space="preserve"> </w:t>
      </w:r>
      <w:r>
        <w:t>of</w:t>
      </w:r>
      <w:r>
        <w:rPr>
          <w:spacing w:val="-7"/>
        </w:rPr>
        <w:t xml:space="preserve"> </w:t>
      </w:r>
      <w:r>
        <w:t>care.</w:t>
      </w:r>
      <w:r>
        <w:rPr>
          <w:spacing w:val="-11"/>
        </w:rPr>
        <w:t xml:space="preserve"> </w:t>
      </w:r>
      <w:r>
        <w:t>This</w:t>
      </w:r>
      <w:r>
        <w:rPr>
          <w:spacing w:val="-11"/>
        </w:rPr>
        <w:t xml:space="preserve"> </w:t>
      </w:r>
      <w:r>
        <w:t>work</w:t>
      </w:r>
      <w:r>
        <w:rPr>
          <w:spacing w:val="-9"/>
        </w:rPr>
        <w:t xml:space="preserve"> </w:t>
      </w:r>
      <w:r>
        <w:t>has</w:t>
      </w:r>
      <w:r>
        <w:rPr>
          <w:spacing w:val="-10"/>
        </w:rPr>
        <w:t xml:space="preserve"> </w:t>
      </w:r>
      <w:r>
        <w:t>begun</w:t>
      </w:r>
      <w:r>
        <w:rPr>
          <w:spacing w:val="-13"/>
        </w:rPr>
        <w:t xml:space="preserve"> </w:t>
      </w:r>
      <w:r>
        <w:t>to</w:t>
      </w:r>
      <w:r>
        <w:rPr>
          <w:spacing w:val="-12"/>
        </w:rPr>
        <w:t xml:space="preserve"> </w:t>
      </w:r>
      <w:r>
        <w:t>bear</w:t>
      </w:r>
      <w:r>
        <w:rPr>
          <w:spacing w:val="-12"/>
        </w:rPr>
        <w:t xml:space="preserve"> </w:t>
      </w:r>
      <w:r>
        <w:t>fruit</w:t>
      </w:r>
      <w:r>
        <w:rPr>
          <w:spacing w:val="-10"/>
        </w:rPr>
        <w:t xml:space="preserve"> </w:t>
      </w:r>
      <w:r>
        <w:t>in</w:t>
      </w:r>
      <w:r>
        <w:rPr>
          <w:spacing w:val="-12"/>
        </w:rPr>
        <w:t xml:space="preserve"> </w:t>
      </w:r>
      <w:r>
        <w:t>terms</w:t>
      </w:r>
      <w:r>
        <w:rPr>
          <w:spacing w:val="-10"/>
        </w:rPr>
        <w:t xml:space="preserve"> </w:t>
      </w:r>
      <w:r>
        <w:t>of</w:t>
      </w:r>
      <w:r>
        <w:rPr>
          <w:spacing w:val="-11"/>
        </w:rPr>
        <w:t xml:space="preserve"> </w:t>
      </w:r>
      <w:r>
        <w:t>reducing both the ratio of maternal deaths and the absolute number of</w:t>
      </w:r>
      <w:r>
        <w:rPr>
          <w:spacing w:val="-13"/>
        </w:rPr>
        <w:t xml:space="preserve"> </w:t>
      </w:r>
      <w:r>
        <w:t>deaths.</w:t>
      </w:r>
      <w:r w:rsidR="00BE7811">
        <w:t xml:space="preserve"> </w:t>
      </w:r>
      <w:r>
        <w:t>By</w:t>
      </w:r>
      <w:r>
        <w:rPr>
          <w:spacing w:val="-5"/>
        </w:rPr>
        <w:t xml:space="preserve"> </w:t>
      </w:r>
      <w:r>
        <w:t>comparison,</w:t>
      </w:r>
      <w:r>
        <w:rPr>
          <w:spacing w:val="-4"/>
        </w:rPr>
        <w:t xml:space="preserve"> </w:t>
      </w:r>
      <w:r>
        <w:t>54</w:t>
      </w:r>
      <w:r>
        <w:rPr>
          <w:spacing w:val="-8"/>
        </w:rPr>
        <w:t xml:space="preserve"> </w:t>
      </w:r>
      <w:r>
        <w:t>maternal</w:t>
      </w:r>
      <w:r>
        <w:rPr>
          <w:spacing w:val="-3"/>
        </w:rPr>
        <w:t xml:space="preserve"> </w:t>
      </w:r>
      <w:r>
        <w:t>deaths</w:t>
      </w:r>
      <w:r>
        <w:rPr>
          <w:spacing w:val="-5"/>
        </w:rPr>
        <w:t xml:space="preserve"> </w:t>
      </w:r>
      <w:r>
        <w:t>were</w:t>
      </w:r>
      <w:r>
        <w:rPr>
          <w:spacing w:val="-3"/>
        </w:rPr>
        <w:t xml:space="preserve"> </w:t>
      </w:r>
      <w:r>
        <w:t>recorded</w:t>
      </w:r>
      <w:r>
        <w:rPr>
          <w:spacing w:val="-3"/>
        </w:rPr>
        <w:t xml:space="preserve"> </w:t>
      </w:r>
      <w:r>
        <w:t>in</w:t>
      </w:r>
      <w:r>
        <w:rPr>
          <w:spacing w:val="-2"/>
        </w:rPr>
        <w:t xml:space="preserve"> </w:t>
      </w:r>
      <w:r>
        <w:t>June</w:t>
      </w:r>
      <w:r>
        <w:rPr>
          <w:spacing w:val="-5"/>
        </w:rPr>
        <w:t xml:space="preserve"> </w:t>
      </w:r>
      <w:r>
        <w:t>2018,</w:t>
      </w:r>
      <w:r>
        <w:rPr>
          <w:spacing w:val="-4"/>
        </w:rPr>
        <w:t xml:space="preserve"> </w:t>
      </w:r>
      <w:r>
        <w:t>while</w:t>
      </w:r>
      <w:r>
        <w:rPr>
          <w:spacing w:val="-3"/>
        </w:rPr>
        <w:t xml:space="preserve"> </w:t>
      </w:r>
      <w:r>
        <w:t>for</w:t>
      </w:r>
      <w:r>
        <w:rPr>
          <w:spacing w:val="-6"/>
        </w:rPr>
        <w:t xml:space="preserve"> </w:t>
      </w:r>
      <w:r>
        <w:t>the</w:t>
      </w:r>
      <w:r>
        <w:rPr>
          <w:spacing w:val="-3"/>
        </w:rPr>
        <w:t xml:space="preserve"> </w:t>
      </w:r>
      <w:r>
        <w:t>same</w:t>
      </w:r>
      <w:r>
        <w:rPr>
          <w:spacing w:val="-5"/>
        </w:rPr>
        <w:t xml:space="preserve"> </w:t>
      </w:r>
      <w:r>
        <w:t>period</w:t>
      </w:r>
      <w:r>
        <w:rPr>
          <w:spacing w:val="-6"/>
        </w:rPr>
        <w:t xml:space="preserve"> </w:t>
      </w:r>
      <w:r>
        <w:t>in</w:t>
      </w:r>
      <w:r>
        <w:rPr>
          <w:spacing w:val="-2"/>
        </w:rPr>
        <w:t xml:space="preserve"> </w:t>
      </w:r>
      <w:r>
        <w:t>2019,</w:t>
      </w:r>
      <w:r>
        <w:rPr>
          <w:spacing w:val="-4"/>
        </w:rPr>
        <w:t xml:space="preserve"> </w:t>
      </w:r>
      <w:r w:rsidR="00192BA0">
        <w:t>the data show 46 deaths.</w:t>
      </w:r>
    </w:p>
    <w:p w:rsidR="0083635F" w:rsidRDefault="0083635F">
      <w:pPr>
        <w:pStyle w:val="BodyText"/>
        <w:spacing w:before="11"/>
        <w:rPr>
          <w:sz w:val="24"/>
        </w:rPr>
      </w:pPr>
    </w:p>
    <w:p w:rsidR="0083635F" w:rsidRDefault="00501056">
      <w:pPr>
        <w:pStyle w:val="BodyText"/>
        <w:spacing w:line="276" w:lineRule="auto"/>
        <w:ind w:left="191" w:right="117"/>
        <w:jc w:val="both"/>
      </w:pPr>
      <w:r>
        <w:t xml:space="preserve">In May 2019, through Ministerial Resolution 00004, the Ministry of Public Health put into effect the Framework Document: National Alliance to Accelerate the Reduction of Maternal and Child Mortality, which </w:t>
      </w:r>
      <w:r>
        <w:rPr>
          <w:color w:val="212121"/>
        </w:rPr>
        <w:t>is a proposal aimed at strengthening actions to reduce maternal mortality by 70 per 100,000 live births.</w:t>
      </w:r>
    </w:p>
    <w:p w:rsidR="0083635F" w:rsidRDefault="0083635F">
      <w:pPr>
        <w:pStyle w:val="BodyText"/>
        <w:spacing w:before="3"/>
        <w:rPr>
          <w:sz w:val="25"/>
        </w:rPr>
      </w:pPr>
    </w:p>
    <w:p w:rsidR="0083635F" w:rsidRDefault="00501056">
      <w:pPr>
        <w:pStyle w:val="Heading1"/>
        <w:spacing w:before="75"/>
        <w:ind w:left="191"/>
        <w:jc w:val="left"/>
      </w:pPr>
      <w:r>
        <w:t>RECOMMENDATIONS:</w:t>
      </w:r>
    </w:p>
    <w:p w:rsidR="0083635F" w:rsidRDefault="0083635F">
      <w:pPr>
        <w:pStyle w:val="BodyText"/>
        <w:spacing w:before="8"/>
        <w:rPr>
          <w:b/>
          <w:sz w:val="28"/>
        </w:rPr>
      </w:pPr>
    </w:p>
    <w:p w:rsidR="0083635F" w:rsidRDefault="00501056">
      <w:pPr>
        <w:pStyle w:val="ListParagraph"/>
        <w:numPr>
          <w:ilvl w:val="0"/>
          <w:numId w:val="2"/>
        </w:numPr>
        <w:tabs>
          <w:tab w:val="left" w:pos="912"/>
        </w:tabs>
        <w:spacing w:line="278" w:lineRule="auto"/>
        <w:jc w:val="both"/>
      </w:pPr>
      <w:r>
        <w:t>Budget and implement the National Plan for the Reduction of Adolescent Pregnancies 2019- 2023</w:t>
      </w:r>
    </w:p>
    <w:p w:rsidR="0083635F" w:rsidRDefault="00501056">
      <w:pPr>
        <w:pStyle w:val="ListParagraph"/>
        <w:numPr>
          <w:ilvl w:val="0"/>
          <w:numId w:val="2"/>
        </w:numPr>
        <w:tabs>
          <w:tab w:val="left" w:pos="912"/>
        </w:tabs>
        <w:spacing w:line="276" w:lineRule="auto"/>
        <w:ind w:right="111"/>
        <w:jc w:val="both"/>
      </w:pPr>
      <w:r>
        <w:t>Adopt comprehensive public policies to fully guarantee the sexual and reproductive rights of</w:t>
      </w:r>
      <w:r>
        <w:rPr>
          <w:spacing w:val="-33"/>
        </w:rPr>
        <w:t xml:space="preserve"> </w:t>
      </w:r>
      <w:r>
        <w:t>the population, with a gender-differentiated approach and targeting young people and vulnerable populations, in order to expand access to sexual and reproductive health services</w:t>
      </w:r>
      <w:r>
        <w:rPr>
          <w:spacing w:val="-22"/>
        </w:rPr>
        <w:t xml:space="preserve"> </w:t>
      </w:r>
      <w:r>
        <w:t>nationwide.</w:t>
      </w:r>
    </w:p>
    <w:p w:rsidR="0083635F" w:rsidRDefault="00501056">
      <w:pPr>
        <w:pStyle w:val="ListParagraph"/>
        <w:numPr>
          <w:ilvl w:val="0"/>
          <w:numId w:val="2"/>
        </w:numPr>
        <w:tabs>
          <w:tab w:val="left" w:pos="912"/>
        </w:tabs>
        <w:spacing w:line="276" w:lineRule="auto"/>
        <w:jc w:val="both"/>
      </w:pPr>
      <w:r>
        <w:t>Promote</w:t>
      </w:r>
      <w:r>
        <w:rPr>
          <w:spacing w:val="-9"/>
        </w:rPr>
        <w:t xml:space="preserve"> </w:t>
      </w:r>
      <w:r>
        <w:t>sexual</w:t>
      </w:r>
      <w:r>
        <w:rPr>
          <w:spacing w:val="-10"/>
        </w:rPr>
        <w:t xml:space="preserve"> </w:t>
      </w:r>
      <w:r>
        <w:t>and</w:t>
      </w:r>
      <w:r>
        <w:rPr>
          <w:spacing w:val="-9"/>
        </w:rPr>
        <w:t xml:space="preserve"> </w:t>
      </w:r>
      <w:r>
        <w:t>reproductive</w:t>
      </w:r>
      <w:r>
        <w:rPr>
          <w:spacing w:val="-9"/>
        </w:rPr>
        <w:t xml:space="preserve"> </w:t>
      </w:r>
      <w:r>
        <w:t>health</w:t>
      </w:r>
      <w:r>
        <w:rPr>
          <w:spacing w:val="-9"/>
        </w:rPr>
        <w:t xml:space="preserve"> </w:t>
      </w:r>
      <w:r>
        <w:t>services</w:t>
      </w:r>
      <w:r>
        <w:rPr>
          <w:spacing w:val="-9"/>
        </w:rPr>
        <w:t xml:space="preserve"> </w:t>
      </w:r>
      <w:r>
        <w:t>with</w:t>
      </w:r>
      <w:r>
        <w:rPr>
          <w:spacing w:val="-9"/>
        </w:rPr>
        <w:t xml:space="preserve"> </w:t>
      </w:r>
      <w:r>
        <w:t>warmth</w:t>
      </w:r>
      <w:r>
        <w:rPr>
          <w:spacing w:val="-9"/>
        </w:rPr>
        <w:t xml:space="preserve"> </w:t>
      </w:r>
      <w:r>
        <w:t>and</w:t>
      </w:r>
      <w:r>
        <w:rPr>
          <w:spacing w:val="-11"/>
        </w:rPr>
        <w:t xml:space="preserve"> </w:t>
      </w:r>
      <w:r>
        <w:t>quality,</w:t>
      </w:r>
      <w:r>
        <w:rPr>
          <w:spacing w:val="-10"/>
        </w:rPr>
        <w:t xml:space="preserve"> </w:t>
      </w:r>
      <w:r>
        <w:t>without</w:t>
      </w:r>
      <w:r>
        <w:rPr>
          <w:spacing w:val="-8"/>
        </w:rPr>
        <w:t xml:space="preserve"> </w:t>
      </w:r>
      <w:r>
        <w:t>discrimination to the entire population, from the first level centers of the national health system, which are located in urban and rural</w:t>
      </w:r>
      <w:r>
        <w:rPr>
          <w:spacing w:val="-3"/>
        </w:rPr>
        <w:t xml:space="preserve"> </w:t>
      </w:r>
      <w:r>
        <w:t>communities.</w:t>
      </w:r>
    </w:p>
    <w:p w:rsidR="0083635F" w:rsidRDefault="00501056">
      <w:pPr>
        <w:pStyle w:val="ListParagraph"/>
        <w:numPr>
          <w:ilvl w:val="0"/>
          <w:numId w:val="2"/>
        </w:numPr>
        <w:tabs>
          <w:tab w:val="left" w:pos="912"/>
        </w:tabs>
        <w:spacing w:line="251" w:lineRule="exact"/>
        <w:ind w:right="0" w:hanging="361"/>
        <w:jc w:val="both"/>
      </w:pPr>
      <w:r>
        <w:t>Continue to expand the supply and availability of contraceptive methods to the</w:t>
      </w:r>
      <w:r>
        <w:rPr>
          <w:spacing w:val="-18"/>
        </w:rPr>
        <w:t xml:space="preserve"> </w:t>
      </w:r>
      <w:r>
        <w:t>population</w:t>
      </w:r>
    </w:p>
    <w:p w:rsidR="0083635F" w:rsidRDefault="00501056">
      <w:pPr>
        <w:pStyle w:val="ListParagraph"/>
        <w:numPr>
          <w:ilvl w:val="0"/>
          <w:numId w:val="2"/>
        </w:numPr>
        <w:tabs>
          <w:tab w:val="left" w:pos="912"/>
        </w:tabs>
        <w:spacing w:before="35" w:line="278" w:lineRule="auto"/>
        <w:ind w:right="118"/>
        <w:jc w:val="both"/>
      </w:pPr>
      <w:r>
        <w:t xml:space="preserve">Decriminalize abortion in at least three cases: when the woman's life is in danger, when it is a question of rape or when there are fatal malformations for the </w:t>
      </w:r>
      <w:r>
        <w:lastRenderedPageBreak/>
        <w:t>survival of the</w:t>
      </w:r>
      <w:r>
        <w:rPr>
          <w:spacing w:val="-16"/>
        </w:rPr>
        <w:t xml:space="preserve"> </w:t>
      </w:r>
      <w:r>
        <w:t>fetus;</w:t>
      </w:r>
    </w:p>
    <w:p w:rsidR="0083635F" w:rsidRDefault="00501056">
      <w:pPr>
        <w:pStyle w:val="ListParagraph"/>
        <w:numPr>
          <w:ilvl w:val="0"/>
          <w:numId w:val="2"/>
        </w:numPr>
        <w:tabs>
          <w:tab w:val="left" w:pos="912"/>
        </w:tabs>
        <w:spacing w:line="276" w:lineRule="auto"/>
        <w:ind w:right="114"/>
        <w:jc w:val="both"/>
      </w:pPr>
      <w:r>
        <w:t>To</w:t>
      </w:r>
      <w:r>
        <w:rPr>
          <w:spacing w:val="-6"/>
        </w:rPr>
        <w:t xml:space="preserve"> </w:t>
      </w:r>
      <w:r>
        <w:t>continue</w:t>
      </w:r>
      <w:r>
        <w:rPr>
          <w:spacing w:val="-5"/>
        </w:rPr>
        <w:t xml:space="preserve"> </w:t>
      </w:r>
      <w:r>
        <w:t>the</w:t>
      </w:r>
      <w:r>
        <w:rPr>
          <w:spacing w:val="-7"/>
        </w:rPr>
        <w:t xml:space="preserve"> </w:t>
      </w:r>
      <w:r>
        <w:t>adoption</w:t>
      </w:r>
      <w:r>
        <w:rPr>
          <w:spacing w:val="-6"/>
        </w:rPr>
        <w:t xml:space="preserve"> </w:t>
      </w:r>
      <w:r>
        <w:t>and</w:t>
      </w:r>
      <w:r>
        <w:rPr>
          <w:spacing w:val="-5"/>
        </w:rPr>
        <w:t xml:space="preserve"> </w:t>
      </w:r>
      <w:r>
        <w:t>implementation</w:t>
      </w:r>
      <w:r>
        <w:rPr>
          <w:spacing w:val="-7"/>
        </w:rPr>
        <w:t xml:space="preserve"> </w:t>
      </w:r>
      <w:r>
        <w:t>of</w:t>
      </w:r>
      <w:r>
        <w:rPr>
          <w:spacing w:val="-2"/>
        </w:rPr>
        <w:t xml:space="preserve"> </w:t>
      </w:r>
      <w:r>
        <w:t>strategies</w:t>
      </w:r>
      <w:r>
        <w:rPr>
          <w:spacing w:val="-5"/>
        </w:rPr>
        <w:t xml:space="preserve"> </w:t>
      </w:r>
      <w:r>
        <w:t>to</w:t>
      </w:r>
      <w:r>
        <w:rPr>
          <w:spacing w:val="-9"/>
        </w:rPr>
        <w:t xml:space="preserve"> </w:t>
      </w:r>
      <w:r>
        <w:t>reduce</w:t>
      </w:r>
      <w:r>
        <w:rPr>
          <w:spacing w:val="-8"/>
        </w:rPr>
        <w:t xml:space="preserve"> </w:t>
      </w:r>
      <w:r>
        <w:t>maternal</w:t>
      </w:r>
      <w:r>
        <w:rPr>
          <w:spacing w:val="-6"/>
        </w:rPr>
        <w:t xml:space="preserve"> </w:t>
      </w:r>
      <w:r>
        <w:t>mortality,</w:t>
      </w:r>
      <w:r>
        <w:rPr>
          <w:spacing w:val="-7"/>
        </w:rPr>
        <w:t xml:space="preserve"> </w:t>
      </w:r>
      <w:r>
        <w:t>from</w:t>
      </w:r>
      <w:r>
        <w:rPr>
          <w:spacing w:val="-5"/>
        </w:rPr>
        <w:t xml:space="preserve"> </w:t>
      </w:r>
      <w:r>
        <w:t>an approach to improving the quality of medical care received by women and including strategies to reduce unsafe</w:t>
      </w:r>
      <w:r>
        <w:rPr>
          <w:spacing w:val="-5"/>
        </w:rPr>
        <w:t xml:space="preserve"> </w:t>
      </w:r>
      <w:r>
        <w:t>abortions.</w:t>
      </w:r>
    </w:p>
    <w:p w:rsidR="0083635F" w:rsidRDefault="0083635F">
      <w:pPr>
        <w:pStyle w:val="BodyText"/>
        <w:rPr>
          <w:sz w:val="24"/>
        </w:rPr>
      </w:pPr>
    </w:p>
    <w:p w:rsidR="0083635F" w:rsidRDefault="00501056">
      <w:pPr>
        <w:pStyle w:val="Heading1"/>
        <w:spacing w:before="199"/>
        <w:ind w:right="1777"/>
      </w:pPr>
      <w:bookmarkStart w:id="13" w:name="_bookmark12"/>
      <w:bookmarkEnd w:id="13"/>
      <w:r>
        <w:rPr>
          <w:u w:val="thick"/>
        </w:rPr>
        <w:t>ARTICLE 16 - DISCRIMINATION WITH RESPECT TO MARRIAGE</w:t>
      </w:r>
    </w:p>
    <w:p w:rsidR="0083635F" w:rsidRDefault="0083635F">
      <w:pPr>
        <w:pStyle w:val="BodyText"/>
        <w:spacing w:before="7"/>
        <w:rPr>
          <w:b/>
          <w:sz w:val="20"/>
        </w:rPr>
      </w:pPr>
    </w:p>
    <w:p w:rsidR="0083635F" w:rsidRDefault="00501056">
      <w:pPr>
        <w:pStyle w:val="BodyText"/>
        <w:spacing w:before="94" w:line="276" w:lineRule="auto"/>
        <w:ind w:left="191" w:right="113"/>
        <w:jc w:val="both"/>
      </w:pPr>
      <w:r>
        <w:t>The vast majority of child marriages that occur in the Dominican Republic affect girls and adolescents and</w:t>
      </w:r>
      <w:r>
        <w:rPr>
          <w:spacing w:val="-9"/>
        </w:rPr>
        <w:t xml:space="preserve"> </w:t>
      </w:r>
      <w:r>
        <w:t>according</w:t>
      </w:r>
      <w:r>
        <w:rPr>
          <w:spacing w:val="-6"/>
        </w:rPr>
        <w:t xml:space="preserve"> </w:t>
      </w:r>
      <w:r>
        <w:t>to</w:t>
      </w:r>
      <w:r>
        <w:rPr>
          <w:spacing w:val="-8"/>
        </w:rPr>
        <w:t xml:space="preserve"> </w:t>
      </w:r>
      <w:r>
        <w:t>ENHOGAR-MICS</w:t>
      </w:r>
      <w:r>
        <w:rPr>
          <w:spacing w:val="-9"/>
        </w:rPr>
        <w:t xml:space="preserve"> </w:t>
      </w:r>
      <w:r>
        <w:t>2014</w:t>
      </w:r>
      <w:r>
        <w:rPr>
          <w:spacing w:val="-8"/>
        </w:rPr>
        <w:t xml:space="preserve"> </w:t>
      </w:r>
      <w:r>
        <w:t>23.4%</w:t>
      </w:r>
      <w:r>
        <w:rPr>
          <w:spacing w:val="-10"/>
        </w:rPr>
        <w:t xml:space="preserve"> </w:t>
      </w:r>
      <w:r>
        <w:t>of</w:t>
      </w:r>
      <w:r>
        <w:rPr>
          <w:spacing w:val="-5"/>
        </w:rPr>
        <w:t xml:space="preserve"> </w:t>
      </w:r>
      <w:r>
        <w:t>adolescents</w:t>
      </w:r>
      <w:r>
        <w:rPr>
          <w:spacing w:val="-9"/>
        </w:rPr>
        <w:t xml:space="preserve"> </w:t>
      </w:r>
      <w:r>
        <w:t>between</w:t>
      </w:r>
      <w:r>
        <w:rPr>
          <w:spacing w:val="-8"/>
        </w:rPr>
        <w:t xml:space="preserve"> </w:t>
      </w:r>
      <w:r>
        <w:t>15</w:t>
      </w:r>
      <w:r>
        <w:rPr>
          <w:spacing w:val="-8"/>
        </w:rPr>
        <w:t xml:space="preserve"> </w:t>
      </w:r>
      <w:r>
        <w:t>and</w:t>
      </w:r>
      <w:r>
        <w:rPr>
          <w:spacing w:val="-9"/>
        </w:rPr>
        <w:t xml:space="preserve"> </w:t>
      </w:r>
      <w:r>
        <w:t>19</w:t>
      </w:r>
      <w:r>
        <w:rPr>
          <w:spacing w:val="-8"/>
        </w:rPr>
        <w:t xml:space="preserve"> </w:t>
      </w:r>
      <w:r>
        <w:t>years</w:t>
      </w:r>
      <w:r>
        <w:rPr>
          <w:spacing w:val="-7"/>
        </w:rPr>
        <w:t xml:space="preserve"> </w:t>
      </w:r>
      <w:r>
        <w:t>of</w:t>
      </w:r>
      <w:r>
        <w:rPr>
          <w:spacing w:val="-5"/>
        </w:rPr>
        <w:t xml:space="preserve"> </w:t>
      </w:r>
      <w:r>
        <w:t>age</w:t>
      </w:r>
      <w:r>
        <w:rPr>
          <w:spacing w:val="-8"/>
        </w:rPr>
        <w:t xml:space="preserve"> </w:t>
      </w:r>
      <w:r>
        <w:t>in</w:t>
      </w:r>
      <w:r>
        <w:rPr>
          <w:spacing w:val="-10"/>
        </w:rPr>
        <w:t xml:space="preserve"> </w:t>
      </w:r>
      <w:r>
        <w:t>child marriages</w:t>
      </w:r>
      <w:r>
        <w:rPr>
          <w:spacing w:val="-13"/>
        </w:rPr>
        <w:t xml:space="preserve"> </w:t>
      </w:r>
      <w:r>
        <w:t>or</w:t>
      </w:r>
      <w:r>
        <w:rPr>
          <w:spacing w:val="-8"/>
        </w:rPr>
        <w:t xml:space="preserve"> </w:t>
      </w:r>
      <w:r>
        <w:t>unions</w:t>
      </w:r>
      <w:r>
        <w:rPr>
          <w:spacing w:val="-9"/>
        </w:rPr>
        <w:t xml:space="preserve"> </w:t>
      </w:r>
      <w:r>
        <w:t>had</w:t>
      </w:r>
      <w:r>
        <w:rPr>
          <w:spacing w:val="-12"/>
        </w:rPr>
        <w:t xml:space="preserve"> </w:t>
      </w:r>
      <w:r>
        <w:t>a</w:t>
      </w:r>
      <w:r>
        <w:rPr>
          <w:spacing w:val="-9"/>
        </w:rPr>
        <w:t xml:space="preserve"> </w:t>
      </w:r>
      <w:r>
        <w:t>male</w:t>
      </w:r>
      <w:r>
        <w:rPr>
          <w:spacing w:val="-9"/>
        </w:rPr>
        <w:t xml:space="preserve"> </w:t>
      </w:r>
      <w:r>
        <w:t>spouse</w:t>
      </w:r>
      <w:r>
        <w:rPr>
          <w:spacing w:val="-10"/>
        </w:rPr>
        <w:t xml:space="preserve"> </w:t>
      </w:r>
      <w:r>
        <w:t>at</w:t>
      </w:r>
      <w:r>
        <w:rPr>
          <w:spacing w:val="-12"/>
        </w:rPr>
        <w:t xml:space="preserve"> </w:t>
      </w:r>
      <w:r>
        <w:t>least</w:t>
      </w:r>
      <w:r>
        <w:rPr>
          <w:spacing w:val="-8"/>
        </w:rPr>
        <w:t xml:space="preserve"> </w:t>
      </w:r>
      <w:r>
        <w:t>10</w:t>
      </w:r>
      <w:r>
        <w:rPr>
          <w:spacing w:val="-9"/>
        </w:rPr>
        <w:t xml:space="preserve"> </w:t>
      </w:r>
      <w:r>
        <w:t>years</w:t>
      </w:r>
      <w:r>
        <w:rPr>
          <w:spacing w:val="-9"/>
        </w:rPr>
        <w:t xml:space="preserve"> </w:t>
      </w:r>
      <w:r>
        <w:t>older</w:t>
      </w:r>
      <w:r>
        <w:rPr>
          <w:spacing w:val="-9"/>
        </w:rPr>
        <w:t xml:space="preserve"> </w:t>
      </w:r>
      <w:r>
        <w:t>than</w:t>
      </w:r>
      <w:r>
        <w:rPr>
          <w:spacing w:val="-9"/>
        </w:rPr>
        <w:t xml:space="preserve"> </w:t>
      </w:r>
      <w:r>
        <w:t>them.</w:t>
      </w:r>
      <w:r>
        <w:rPr>
          <w:spacing w:val="-10"/>
        </w:rPr>
        <w:t xml:space="preserve"> </w:t>
      </w:r>
      <w:r>
        <w:t>De</w:t>
      </w:r>
      <w:r>
        <w:rPr>
          <w:spacing w:val="-10"/>
        </w:rPr>
        <w:t xml:space="preserve"> </w:t>
      </w:r>
      <w:r>
        <w:t>facto</w:t>
      </w:r>
      <w:r>
        <w:rPr>
          <w:spacing w:val="-11"/>
        </w:rPr>
        <w:t xml:space="preserve"> </w:t>
      </w:r>
      <w:r>
        <w:t>marital</w:t>
      </w:r>
      <w:r w:rsidR="002A5B8E">
        <w:rPr>
          <w:rStyle w:val="FootnoteReference"/>
        </w:rPr>
        <w:footnoteReference w:id="27"/>
      </w:r>
      <w:r>
        <w:t>unions</w:t>
      </w:r>
      <w:r>
        <w:rPr>
          <w:spacing w:val="-9"/>
        </w:rPr>
        <w:t xml:space="preserve"> </w:t>
      </w:r>
      <w:r>
        <w:t>have the same legal and social consequences as civil marriage, but do not have the same legal</w:t>
      </w:r>
      <w:r>
        <w:rPr>
          <w:spacing w:val="-21"/>
        </w:rPr>
        <w:t xml:space="preserve"> </w:t>
      </w:r>
      <w:r>
        <w:t>protection.</w:t>
      </w:r>
    </w:p>
    <w:p w:rsidR="0083635F" w:rsidRDefault="0083635F">
      <w:pPr>
        <w:pStyle w:val="BodyText"/>
        <w:spacing w:before="3"/>
        <w:rPr>
          <w:sz w:val="25"/>
        </w:rPr>
      </w:pPr>
    </w:p>
    <w:p w:rsidR="0083635F" w:rsidRDefault="00501056">
      <w:pPr>
        <w:pStyle w:val="BodyText"/>
        <w:spacing w:line="276" w:lineRule="auto"/>
        <w:ind w:left="191" w:right="122"/>
        <w:jc w:val="both"/>
      </w:pPr>
      <w:r>
        <w:t>In the Dominican Republic, marriage is a civil contract, so it is regulated by the Dominican Civil Code, which dates from 1884. The requirements for contracting marriage are:</w:t>
      </w:r>
    </w:p>
    <w:p w:rsidR="0083635F" w:rsidRDefault="0083635F">
      <w:pPr>
        <w:pStyle w:val="BodyText"/>
        <w:spacing w:before="4"/>
        <w:rPr>
          <w:sz w:val="25"/>
        </w:rPr>
      </w:pPr>
    </w:p>
    <w:p w:rsidR="0083635F" w:rsidRDefault="00501056">
      <w:pPr>
        <w:spacing w:before="1"/>
        <w:ind w:left="642"/>
        <w:jc w:val="both"/>
        <w:rPr>
          <w:i/>
        </w:rPr>
      </w:pPr>
      <w:r>
        <w:rPr>
          <w:i/>
        </w:rPr>
        <w:t>For the man to be 18 years old and for the woman to be 15 years old.</w:t>
      </w:r>
    </w:p>
    <w:p w:rsidR="0083635F" w:rsidRDefault="00501056">
      <w:pPr>
        <w:spacing w:before="37" w:line="276" w:lineRule="auto"/>
        <w:ind w:left="642" w:right="743"/>
        <w:jc w:val="both"/>
        <w:rPr>
          <w:i/>
        </w:rPr>
      </w:pPr>
      <w:r>
        <w:rPr>
          <w:i/>
        </w:rPr>
        <w:t>Minors under 18 years of age may marry with parental consent, but a man before his 16th birthday and a woman before her 15th birthday may marry if they apply to the competent judge for a dispensation from the age requirement.</w:t>
      </w:r>
    </w:p>
    <w:p w:rsidR="0083635F" w:rsidRDefault="0083635F">
      <w:pPr>
        <w:pStyle w:val="BodyText"/>
        <w:rPr>
          <w:i/>
          <w:sz w:val="20"/>
        </w:rPr>
      </w:pPr>
    </w:p>
    <w:p w:rsidR="0083635F" w:rsidRDefault="00501056">
      <w:pPr>
        <w:pStyle w:val="BodyText"/>
        <w:spacing w:before="77" w:line="276" w:lineRule="auto"/>
        <w:ind w:left="4361" w:right="117"/>
        <w:jc w:val="both"/>
      </w:pPr>
      <w:r>
        <w:rPr>
          <w:noProof/>
          <w:lang w:val="en-GB" w:eastAsia="en-GB"/>
        </w:rPr>
        <w:lastRenderedPageBreak/>
        <w:drawing>
          <wp:anchor distT="0" distB="0" distL="0" distR="0" simplePos="0" relativeHeight="15743488" behindDoc="1" locked="0" layoutInCell="1" allowOverlap="1">
            <wp:simplePos x="0" y="0"/>
            <wp:positionH relativeFrom="page">
              <wp:posOffset>809625</wp:posOffset>
            </wp:positionH>
            <wp:positionV relativeFrom="paragraph">
              <wp:posOffset>104775</wp:posOffset>
            </wp:positionV>
            <wp:extent cx="2524125" cy="3893820"/>
            <wp:effectExtent l="0" t="0" r="9525" b="0"/>
            <wp:wrapTight wrapText="bothSides">
              <wp:wrapPolygon edited="1">
                <wp:start x="0" y="0"/>
                <wp:lineTo x="0" y="21452"/>
                <wp:lineTo x="22578" y="21600"/>
                <wp:lineTo x="22741" y="17542"/>
                <wp:lineTo x="21518" y="0"/>
                <wp:lineTo x="0" y="0"/>
              </wp:wrapPolygon>
            </wp:wrapTight>
            <wp:docPr id="29" name="image15.jpeg" descr="C:\Users\lbreton\OneDrive - Plan International\Pictures\WhatsApp Image 2020-07-22 at 1.42.41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jpeg"/>
                    <pic:cNvPicPr/>
                  </pic:nvPicPr>
                  <pic:blipFill>
                    <a:blip r:embed="rId28" cstate="print"/>
                    <a:stretch>
                      <a:fillRect/>
                    </a:stretch>
                  </pic:blipFill>
                  <pic:spPr>
                    <a:xfrm>
                      <a:off x="0" y="0"/>
                      <a:ext cx="2524125" cy="3893820"/>
                    </a:xfrm>
                    <a:prstGeom prst="rect">
                      <a:avLst/>
                    </a:prstGeom>
                  </pic:spPr>
                </pic:pic>
              </a:graphicData>
            </a:graphic>
          </wp:anchor>
        </w:drawing>
      </w:r>
      <w:r>
        <w:t>Law 136-03, which establishes the Code for the System for the Protection of the Fundamental Rights of Children and Adolescents, restricts the request for dispensation from the age of marriage to adolescents. Therefore, from the age of 13, adolescents may marry if they have the authorization of the courts for children and adolescents.</w:t>
      </w:r>
    </w:p>
    <w:p w:rsidR="0083635F" w:rsidRDefault="0083635F">
      <w:pPr>
        <w:pStyle w:val="BodyText"/>
        <w:spacing w:before="5"/>
        <w:rPr>
          <w:sz w:val="25"/>
        </w:rPr>
      </w:pPr>
    </w:p>
    <w:p w:rsidR="0083635F" w:rsidRDefault="00501056">
      <w:pPr>
        <w:pStyle w:val="BodyText"/>
        <w:spacing w:line="276" w:lineRule="auto"/>
        <w:ind w:left="4361" w:right="115"/>
        <w:jc w:val="both"/>
      </w:pPr>
      <w:r>
        <w:t>These requirements establish a discriminatory age difference against women that is based on gender stereotypes about the position of women in marriage as dependents</w:t>
      </w:r>
      <w:r>
        <w:rPr>
          <w:spacing w:val="-18"/>
        </w:rPr>
        <w:t xml:space="preserve"> </w:t>
      </w:r>
      <w:r>
        <w:t>of</w:t>
      </w:r>
      <w:r>
        <w:rPr>
          <w:spacing w:val="-14"/>
        </w:rPr>
        <w:t xml:space="preserve"> </w:t>
      </w:r>
      <w:r>
        <w:t>their</w:t>
      </w:r>
      <w:r>
        <w:rPr>
          <w:spacing w:val="-17"/>
        </w:rPr>
        <w:t xml:space="preserve"> </w:t>
      </w:r>
      <w:r>
        <w:t>husbands,</w:t>
      </w:r>
      <w:r>
        <w:rPr>
          <w:spacing w:val="-13"/>
        </w:rPr>
        <w:t xml:space="preserve"> </w:t>
      </w:r>
      <w:r>
        <w:t>and</w:t>
      </w:r>
      <w:r>
        <w:rPr>
          <w:spacing w:val="-18"/>
        </w:rPr>
        <w:t xml:space="preserve"> </w:t>
      </w:r>
      <w:r>
        <w:t>thus</w:t>
      </w:r>
      <w:r>
        <w:rPr>
          <w:spacing w:val="-18"/>
        </w:rPr>
        <w:t xml:space="preserve"> </w:t>
      </w:r>
      <w:r>
        <w:t>violates</w:t>
      </w:r>
      <w:r>
        <w:rPr>
          <w:spacing w:val="-14"/>
        </w:rPr>
        <w:t xml:space="preserve"> </w:t>
      </w:r>
      <w:r>
        <w:t>the</w:t>
      </w:r>
      <w:r>
        <w:rPr>
          <w:spacing w:val="-16"/>
        </w:rPr>
        <w:t xml:space="preserve"> </w:t>
      </w:r>
      <w:r>
        <w:t>principle of equality in marriage and family relations, protected by the Dominican Constitution and the Convention on the Elimination of All Forms of Discrimination against</w:t>
      </w:r>
      <w:r>
        <w:rPr>
          <w:spacing w:val="-12"/>
        </w:rPr>
        <w:t xml:space="preserve"> </w:t>
      </w:r>
      <w:r>
        <w:t>Women.</w:t>
      </w:r>
    </w:p>
    <w:p w:rsidR="0083635F" w:rsidRDefault="0083635F">
      <w:pPr>
        <w:pStyle w:val="BodyText"/>
        <w:spacing w:before="1"/>
        <w:rPr>
          <w:sz w:val="17"/>
        </w:rPr>
      </w:pPr>
    </w:p>
    <w:p w:rsidR="0083635F" w:rsidRDefault="00501056" w:rsidP="00192BA0">
      <w:pPr>
        <w:pStyle w:val="BodyText"/>
        <w:spacing w:before="94" w:line="276" w:lineRule="auto"/>
        <w:ind w:left="270" w:right="116" w:firstLine="90"/>
        <w:jc w:val="both"/>
      </w:pPr>
      <w:r>
        <w:t xml:space="preserve">Law 136-03 criminalizes sexual practices with a child or adolescent by an adult, or a person five (5) years older, for their own sexual gratification, without consideration of the child's or </w:t>
      </w:r>
      <w:r w:rsidR="002A5B8E">
        <w:t>adolescents</w:t>
      </w:r>
      <w:r>
        <w:t xml:space="preserve"> psychosexual development, even when no physical contact occurs. However, the Dominican Criminal Code establishes that when the abuser, also</w:t>
      </w:r>
      <w:r>
        <w:rPr>
          <w:spacing w:val="-32"/>
        </w:rPr>
        <w:t xml:space="preserve"> </w:t>
      </w:r>
      <w:r>
        <w:t>called the</w:t>
      </w:r>
      <w:r>
        <w:rPr>
          <w:spacing w:val="12"/>
        </w:rPr>
        <w:t xml:space="preserve"> </w:t>
      </w:r>
      <w:r>
        <w:t>seducer,</w:t>
      </w:r>
      <w:r>
        <w:rPr>
          <w:spacing w:val="15"/>
        </w:rPr>
        <w:t xml:space="preserve"> </w:t>
      </w:r>
      <w:r>
        <w:t>marries</w:t>
      </w:r>
      <w:r>
        <w:rPr>
          <w:spacing w:val="14"/>
        </w:rPr>
        <w:t xml:space="preserve"> </w:t>
      </w:r>
      <w:r>
        <w:t>the</w:t>
      </w:r>
      <w:r>
        <w:rPr>
          <w:spacing w:val="13"/>
        </w:rPr>
        <w:t xml:space="preserve"> </w:t>
      </w:r>
      <w:r>
        <w:t>aggrieved</w:t>
      </w:r>
      <w:r>
        <w:rPr>
          <w:spacing w:val="16"/>
        </w:rPr>
        <w:t xml:space="preserve"> </w:t>
      </w:r>
      <w:r>
        <w:t>child,</w:t>
      </w:r>
      <w:r>
        <w:rPr>
          <w:spacing w:val="15"/>
        </w:rPr>
        <w:t xml:space="preserve"> </w:t>
      </w:r>
      <w:r>
        <w:t>that</w:t>
      </w:r>
      <w:r>
        <w:rPr>
          <w:spacing w:val="15"/>
        </w:rPr>
        <w:t xml:space="preserve"> </w:t>
      </w:r>
      <w:r>
        <w:t>is,</w:t>
      </w:r>
      <w:r>
        <w:rPr>
          <w:spacing w:val="13"/>
        </w:rPr>
        <w:t xml:space="preserve"> </w:t>
      </w:r>
      <w:r>
        <w:t>raped,</w:t>
      </w:r>
      <w:r>
        <w:rPr>
          <w:spacing w:val="15"/>
        </w:rPr>
        <w:t xml:space="preserve"> </w:t>
      </w:r>
      <w:r>
        <w:t>he</w:t>
      </w:r>
      <w:r w:rsidR="002A5B8E">
        <w:t xml:space="preserve"> </w:t>
      </w:r>
      <w:r>
        <w:t>can only be prosecuted if the persons or guardians in charge of the child demand the annulment of the marriage, and he can only be convicted after this annulment has been pronounced.</w:t>
      </w:r>
    </w:p>
    <w:p w:rsidR="0083635F" w:rsidRDefault="0083635F" w:rsidP="00192BA0">
      <w:pPr>
        <w:pStyle w:val="BodyText"/>
        <w:spacing w:before="1"/>
        <w:ind w:left="270" w:firstLine="90"/>
        <w:rPr>
          <w:sz w:val="25"/>
        </w:rPr>
      </w:pPr>
    </w:p>
    <w:p w:rsidR="0083635F" w:rsidRDefault="00501056" w:rsidP="00192BA0">
      <w:pPr>
        <w:pStyle w:val="BodyText"/>
        <w:spacing w:before="1" w:line="276" w:lineRule="auto"/>
        <w:ind w:left="270" w:right="112"/>
        <w:jc w:val="both"/>
      </w:pPr>
      <w:r>
        <w:t>This legal framework legitimizes transactional practices where the family does not criminally prosecute the adult male who joins the child. Research in the country shows how it is common, for example, to agree to pay pensions to family members, financial compensation, purchase of goods or land, move or rent a house/room and pay for services, in exchange for avoiding a complaint with the Prosecutor's Office</w:t>
      </w:r>
      <w:r w:rsidR="002A5B8E">
        <w:t xml:space="preserve"> </w:t>
      </w:r>
      <w:r w:rsidR="002A5B8E">
        <w:rPr>
          <w:rStyle w:val="FootnoteReference"/>
        </w:rPr>
        <w:footnoteReference w:id="28"/>
      </w:r>
      <w:r>
        <w:t xml:space="preserve"> This type of "transaction" is classified under our legislation as Sexual and Commercial Exploitation</w:t>
      </w:r>
      <w:r>
        <w:rPr>
          <w:spacing w:val="-9"/>
        </w:rPr>
        <w:t xml:space="preserve"> </w:t>
      </w:r>
      <w:r>
        <w:t>of</w:t>
      </w:r>
      <w:r>
        <w:rPr>
          <w:spacing w:val="-4"/>
        </w:rPr>
        <w:t xml:space="preserve"> </w:t>
      </w:r>
      <w:r>
        <w:t>Children</w:t>
      </w:r>
      <w:r>
        <w:rPr>
          <w:spacing w:val="-9"/>
        </w:rPr>
        <w:t xml:space="preserve"> </w:t>
      </w:r>
      <w:r>
        <w:t>and</w:t>
      </w:r>
      <w:r>
        <w:rPr>
          <w:spacing w:val="-8"/>
        </w:rPr>
        <w:t xml:space="preserve"> </w:t>
      </w:r>
      <w:r>
        <w:t>Adolescents,</w:t>
      </w:r>
      <w:r>
        <w:rPr>
          <w:spacing w:val="-9"/>
        </w:rPr>
        <w:t xml:space="preserve"> </w:t>
      </w:r>
      <w:r>
        <w:t>punishable</w:t>
      </w:r>
      <w:r>
        <w:rPr>
          <w:spacing w:val="-8"/>
        </w:rPr>
        <w:t xml:space="preserve"> </w:t>
      </w:r>
      <w:r>
        <w:t>by</w:t>
      </w:r>
      <w:r>
        <w:rPr>
          <w:spacing w:val="-11"/>
        </w:rPr>
        <w:t xml:space="preserve"> </w:t>
      </w:r>
      <w:r>
        <w:t>3</w:t>
      </w:r>
      <w:r>
        <w:rPr>
          <w:spacing w:val="-8"/>
        </w:rPr>
        <w:t xml:space="preserve"> </w:t>
      </w:r>
      <w:r>
        <w:t>to</w:t>
      </w:r>
      <w:r>
        <w:rPr>
          <w:spacing w:val="-9"/>
        </w:rPr>
        <w:t xml:space="preserve"> </w:t>
      </w:r>
      <w:r>
        <w:t>10</w:t>
      </w:r>
      <w:r>
        <w:rPr>
          <w:spacing w:val="-8"/>
        </w:rPr>
        <w:t xml:space="preserve"> </w:t>
      </w:r>
      <w:r>
        <w:t>years'</w:t>
      </w:r>
      <w:r>
        <w:rPr>
          <w:spacing w:val="-8"/>
        </w:rPr>
        <w:t xml:space="preserve"> </w:t>
      </w:r>
      <w:r>
        <w:t>imprisonment</w:t>
      </w:r>
      <w:r>
        <w:rPr>
          <w:spacing w:val="-7"/>
        </w:rPr>
        <w:t xml:space="preserve"> </w:t>
      </w:r>
      <w:r>
        <w:t>under</w:t>
      </w:r>
      <w:r>
        <w:rPr>
          <w:spacing w:val="-7"/>
        </w:rPr>
        <w:t xml:space="preserve"> </w:t>
      </w:r>
      <w:r>
        <w:t>Law</w:t>
      </w:r>
      <w:r>
        <w:rPr>
          <w:spacing w:val="-12"/>
        </w:rPr>
        <w:t xml:space="preserve"> </w:t>
      </w:r>
      <w:r>
        <w:t>136-03.</w:t>
      </w:r>
    </w:p>
    <w:p w:rsidR="0083635F" w:rsidRDefault="0083635F">
      <w:pPr>
        <w:pStyle w:val="BodyText"/>
        <w:spacing w:before="4"/>
        <w:rPr>
          <w:sz w:val="25"/>
        </w:rPr>
      </w:pPr>
    </w:p>
    <w:p w:rsidR="0083635F" w:rsidRDefault="00501056">
      <w:pPr>
        <w:pStyle w:val="Heading1"/>
        <w:ind w:left="191"/>
        <w:jc w:val="left"/>
      </w:pPr>
      <w:r>
        <w:t>RECOMMENDATIONS</w:t>
      </w:r>
    </w:p>
    <w:p w:rsidR="0083635F" w:rsidRDefault="0083635F">
      <w:pPr>
        <w:pStyle w:val="BodyText"/>
        <w:spacing w:before="8"/>
        <w:rPr>
          <w:b/>
          <w:sz w:val="28"/>
        </w:rPr>
      </w:pPr>
    </w:p>
    <w:p w:rsidR="0083635F" w:rsidRDefault="00501056">
      <w:pPr>
        <w:pStyle w:val="ListParagraph"/>
        <w:numPr>
          <w:ilvl w:val="0"/>
          <w:numId w:val="1"/>
        </w:numPr>
        <w:tabs>
          <w:tab w:val="left" w:pos="912"/>
        </w:tabs>
        <w:spacing w:line="278" w:lineRule="auto"/>
        <w:ind w:right="120"/>
      </w:pPr>
      <w:r>
        <w:t>Modify</w:t>
      </w:r>
      <w:r>
        <w:rPr>
          <w:spacing w:val="-18"/>
        </w:rPr>
        <w:t xml:space="preserve"> </w:t>
      </w:r>
      <w:r>
        <w:t>the</w:t>
      </w:r>
      <w:r>
        <w:rPr>
          <w:spacing w:val="-18"/>
        </w:rPr>
        <w:t xml:space="preserve"> </w:t>
      </w:r>
      <w:r>
        <w:t>Dominican</w:t>
      </w:r>
      <w:r>
        <w:rPr>
          <w:spacing w:val="-15"/>
        </w:rPr>
        <w:t xml:space="preserve"> </w:t>
      </w:r>
      <w:r>
        <w:t>Civil</w:t>
      </w:r>
      <w:r>
        <w:rPr>
          <w:spacing w:val="-17"/>
        </w:rPr>
        <w:t xml:space="preserve"> </w:t>
      </w:r>
      <w:r>
        <w:t>Code</w:t>
      </w:r>
      <w:r>
        <w:rPr>
          <w:spacing w:val="-15"/>
        </w:rPr>
        <w:t xml:space="preserve"> </w:t>
      </w:r>
      <w:r>
        <w:t>so</w:t>
      </w:r>
      <w:r>
        <w:rPr>
          <w:spacing w:val="-15"/>
        </w:rPr>
        <w:t xml:space="preserve"> </w:t>
      </w:r>
      <w:r>
        <w:t>that</w:t>
      </w:r>
      <w:r>
        <w:rPr>
          <w:spacing w:val="-16"/>
        </w:rPr>
        <w:t xml:space="preserve"> </w:t>
      </w:r>
      <w:r>
        <w:t>the</w:t>
      </w:r>
      <w:r>
        <w:rPr>
          <w:spacing w:val="-19"/>
        </w:rPr>
        <w:t xml:space="preserve"> </w:t>
      </w:r>
      <w:r>
        <w:t>minimum</w:t>
      </w:r>
      <w:r>
        <w:rPr>
          <w:spacing w:val="-14"/>
        </w:rPr>
        <w:t xml:space="preserve"> </w:t>
      </w:r>
      <w:r>
        <w:t>age</w:t>
      </w:r>
      <w:r>
        <w:rPr>
          <w:spacing w:val="-20"/>
        </w:rPr>
        <w:t xml:space="preserve"> </w:t>
      </w:r>
      <w:r>
        <w:t>for</w:t>
      </w:r>
      <w:r>
        <w:rPr>
          <w:spacing w:val="-16"/>
        </w:rPr>
        <w:t xml:space="preserve"> </w:t>
      </w:r>
      <w:r>
        <w:t>marriage</w:t>
      </w:r>
      <w:r>
        <w:rPr>
          <w:spacing w:val="-19"/>
        </w:rPr>
        <w:t xml:space="preserve"> </w:t>
      </w:r>
      <w:r>
        <w:t>is</w:t>
      </w:r>
      <w:r>
        <w:rPr>
          <w:spacing w:val="-15"/>
        </w:rPr>
        <w:t xml:space="preserve"> </w:t>
      </w:r>
      <w:r>
        <w:t>18</w:t>
      </w:r>
      <w:r>
        <w:rPr>
          <w:spacing w:val="-18"/>
        </w:rPr>
        <w:t xml:space="preserve"> </w:t>
      </w:r>
      <w:r>
        <w:t>years</w:t>
      </w:r>
      <w:r>
        <w:rPr>
          <w:spacing w:val="-15"/>
        </w:rPr>
        <w:t xml:space="preserve"> </w:t>
      </w:r>
      <w:r>
        <w:t>of</w:t>
      </w:r>
      <w:r>
        <w:rPr>
          <w:spacing w:val="-15"/>
        </w:rPr>
        <w:t xml:space="preserve"> </w:t>
      </w:r>
      <w:r>
        <w:t>age,</w:t>
      </w:r>
      <w:r>
        <w:rPr>
          <w:spacing w:val="-16"/>
        </w:rPr>
        <w:t xml:space="preserve"> </w:t>
      </w:r>
      <w:r>
        <w:t>without establishing exceptions, not even through a court</w:t>
      </w:r>
      <w:r>
        <w:rPr>
          <w:spacing w:val="-4"/>
        </w:rPr>
        <w:t xml:space="preserve"> </w:t>
      </w:r>
      <w:r>
        <w:t>order.</w:t>
      </w:r>
    </w:p>
    <w:p w:rsidR="0083635F" w:rsidRDefault="00501056">
      <w:pPr>
        <w:pStyle w:val="ListParagraph"/>
        <w:numPr>
          <w:ilvl w:val="0"/>
          <w:numId w:val="1"/>
        </w:numPr>
        <w:tabs>
          <w:tab w:val="left" w:pos="912"/>
        </w:tabs>
        <w:spacing w:line="276" w:lineRule="auto"/>
        <w:ind w:right="115"/>
      </w:pPr>
      <w:r>
        <w:t>Regulate</w:t>
      </w:r>
      <w:r>
        <w:rPr>
          <w:spacing w:val="-5"/>
        </w:rPr>
        <w:t xml:space="preserve"> </w:t>
      </w:r>
      <w:r>
        <w:t>de</w:t>
      </w:r>
      <w:r>
        <w:rPr>
          <w:spacing w:val="-10"/>
        </w:rPr>
        <w:t xml:space="preserve"> </w:t>
      </w:r>
      <w:r>
        <w:t>facto</w:t>
      </w:r>
      <w:r>
        <w:rPr>
          <w:spacing w:val="-7"/>
        </w:rPr>
        <w:t xml:space="preserve"> </w:t>
      </w:r>
      <w:r>
        <w:t>marital</w:t>
      </w:r>
      <w:r>
        <w:rPr>
          <w:spacing w:val="-5"/>
        </w:rPr>
        <w:t xml:space="preserve"> </w:t>
      </w:r>
      <w:r>
        <w:t>unions</w:t>
      </w:r>
      <w:r>
        <w:rPr>
          <w:spacing w:val="-4"/>
        </w:rPr>
        <w:t xml:space="preserve"> </w:t>
      </w:r>
      <w:r>
        <w:t>by</w:t>
      </w:r>
      <w:r>
        <w:rPr>
          <w:spacing w:val="-8"/>
        </w:rPr>
        <w:t xml:space="preserve"> </w:t>
      </w:r>
      <w:r>
        <w:t>setting</w:t>
      </w:r>
      <w:r>
        <w:rPr>
          <w:spacing w:val="-5"/>
        </w:rPr>
        <w:t xml:space="preserve"> </w:t>
      </w:r>
      <w:r>
        <w:t>the</w:t>
      </w:r>
      <w:r>
        <w:rPr>
          <w:spacing w:val="-7"/>
        </w:rPr>
        <w:t xml:space="preserve"> </w:t>
      </w:r>
      <w:r>
        <w:t>minimum</w:t>
      </w:r>
      <w:r>
        <w:rPr>
          <w:spacing w:val="-4"/>
        </w:rPr>
        <w:t xml:space="preserve"> </w:t>
      </w:r>
      <w:r>
        <w:t>age</w:t>
      </w:r>
      <w:r>
        <w:rPr>
          <w:spacing w:val="-7"/>
        </w:rPr>
        <w:t xml:space="preserve"> </w:t>
      </w:r>
      <w:r>
        <w:t>of</w:t>
      </w:r>
      <w:r>
        <w:rPr>
          <w:spacing w:val="-3"/>
        </w:rPr>
        <w:t xml:space="preserve"> </w:t>
      </w:r>
      <w:r>
        <w:t>consent</w:t>
      </w:r>
      <w:r>
        <w:rPr>
          <w:spacing w:val="-6"/>
        </w:rPr>
        <w:t xml:space="preserve"> </w:t>
      </w:r>
      <w:r>
        <w:t>to</w:t>
      </w:r>
      <w:r>
        <w:rPr>
          <w:spacing w:val="-9"/>
        </w:rPr>
        <w:t xml:space="preserve"> </w:t>
      </w:r>
      <w:r>
        <w:t>the</w:t>
      </w:r>
      <w:r>
        <w:rPr>
          <w:spacing w:val="-5"/>
        </w:rPr>
        <w:t xml:space="preserve"> </w:t>
      </w:r>
      <w:r>
        <w:t>union</w:t>
      </w:r>
      <w:r>
        <w:rPr>
          <w:spacing w:val="-5"/>
        </w:rPr>
        <w:t xml:space="preserve"> </w:t>
      </w:r>
      <w:r>
        <w:t>at</w:t>
      </w:r>
      <w:r>
        <w:rPr>
          <w:spacing w:val="-6"/>
        </w:rPr>
        <w:t xml:space="preserve"> </w:t>
      </w:r>
      <w:r>
        <w:t>18</w:t>
      </w:r>
      <w:r>
        <w:rPr>
          <w:spacing w:val="-6"/>
        </w:rPr>
        <w:t xml:space="preserve"> </w:t>
      </w:r>
      <w:r>
        <w:t>years of age w</w:t>
      </w:r>
      <w:r w:rsidR="002A5B8E">
        <w:t>ithout establishing exceptions.</w:t>
      </w:r>
    </w:p>
    <w:p w:rsidR="0083635F" w:rsidRDefault="00501056">
      <w:pPr>
        <w:pStyle w:val="ListParagraph"/>
        <w:numPr>
          <w:ilvl w:val="0"/>
          <w:numId w:val="1"/>
        </w:numPr>
        <w:tabs>
          <w:tab w:val="left" w:pos="912"/>
        </w:tabs>
        <w:spacing w:line="276" w:lineRule="auto"/>
        <w:ind w:right="113"/>
      </w:pPr>
      <w:r>
        <w:t>Establish the obligation to register de facto marital unions in a public registry as a measure to regulate the system of paternal filiation within this type of</w:t>
      </w:r>
      <w:r>
        <w:rPr>
          <w:spacing w:val="-7"/>
        </w:rPr>
        <w:t xml:space="preserve"> </w:t>
      </w:r>
      <w:r>
        <w:t>union,</w:t>
      </w:r>
    </w:p>
    <w:p w:rsidR="0083635F" w:rsidRDefault="00501056">
      <w:pPr>
        <w:pStyle w:val="ListParagraph"/>
        <w:numPr>
          <w:ilvl w:val="0"/>
          <w:numId w:val="1"/>
        </w:numPr>
        <w:tabs>
          <w:tab w:val="left" w:pos="912"/>
        </w:tabs>
        <w:spacing w:line="276" w:lineRule="auto"/>
        <w:ind w:right="117"/>
      </w:pPr>
      <w:r>
        <w:t>Eliminate the discriminatory difference that places children born in a marital union at a disadvantage compared to children born in</w:t>
      </w:r>
      <w:r>
        <w:rPr>
          <w:spacing w:val="-10"/>
        </w:rPr>
        <w:t xml:space="preserve"> </w:t>
      </w:r>
      <w:r>
        <w:t>marriage.</w:t>
      </w:r>
    </w:p>
    <w:sectPr w:rsidR="0083635F">
      <w:pgSz w:w="12240" w:h="15840"/>
      <w:pgMar w:top="820" w:right="960" w:bottom="1200" w:left="980" w:header="0" w:footer="9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056" w:rsidRDefault="00501056">
      <w:r>
        <w:separator/>
      </w:r>
    </w:p>
  </w:endnote>
  <w:endnote w:type="continuationSeparator" w:id="0">
    <w:p w:rsidR="00501056" w:rsidRDefault="00501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35F" w:rsidRDefault="004F2777">
    <w:pPr>
      <w:pStyle w:val="BodyText"/>
      <w:spacing w:line="14" w:lineRule="auto"/>
      <w:rPr>
        <w:sz w:val="19"/>
      </w:rPr>
    </w:pPr>
    <w:r>
      <w:rPr>
        <w:noProof/>
        <w:lang w:val="en-GB" w:eastAsia="en-GB"/>
      </w:rPr>
      <mc:AlternateContent>
        <mc:Choice Requires="wps">
          <w:drawing>
            <wp:anchor distT="0" distB="0" distL="114300" distR="114300" simplePos="0" relativeHeight="251657728" behindDoc="1" locked="0" layoutInCell="1" allowOverlap="1">
              <wp:simplePos x="0" y="0"/>
              <wp:positionH relativeFrom="page">
                <wp:posOffset>6909435</wp:posOffset>
              </wp:positionH>
              <wp:positionV relativeFrom="page">
                <wp:posOffset>9274175</wp:posOffset>
              </wp:positionV>
              <wp:extent cx="219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635F" w:rsidRDefault="00501056">
                          <w:pPr>
                            <w:pStyle w:val="BodyText"/>
                            <w:spacing w:line="245" w:lineRule="exact"/>
                            <w:ind w:left="60"/>
                            <w:rPr>
                              <w:rFonts w:ascii="Calibri"/>
                            </w:rPr>
                          </w:pPr>
                          <w:r>
                            <w:fldChar w:fldCharType="begin"/>
                          </w:r>
                          <w:r>
                            <w:rPr>
                              <w:rFonts w:ascii="Calibri"/>
                            </w:rPr>
                            <w:instrText xml:space="preserve"> PAGE </w:instrText>
                          </w:r>
                          <w:r>
                            <w:fldChar w:fldCharType="separate"/>
                          </w:r>
                          <w:r w:rsidR="00187B33">
                            <w:rPr>
                              <w:rFonts w:ascii="Calibri"/>
                              <w:noProof/>
                            </w:rP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44.05pt;margin-top:730.25pt;width:1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" filled="f" stroked="f">
              <v:textbox inset="0,0,0,0">
                <w:txbxContent>
                  <w:p w:rsidR="0083635F" w:rsidRDefault="00501056">
                    <w:pPr>
                      <w:pStyle w:val="BodyText"/>
                      <w:spacing w:line="245" w:lineRule="exact"/>
                      <w:ind w:left="60"/>
                      <w:rPr>
                        <w:rFonts w:ascii="Calibri"/>
                      </w:rPr>
                    </w:pPr>
                    <w:r>
                      <w:fldChar w:fldCharType="begin"/>
                    </w:r>
                    <w:r>
                      <w:rPr>
                        <w:rFonts w:ascii="Calibri"/>
                      </w:rPr>
                      <w:instrText xml:space="preserve"> PAGE </w:instrText>
                    </w:r>
                    <w:r>
                      <w:fldChar w:fldCharType="separate"/>
                    </w:r>
                    <w:r w:rsidR="00187B33">
                      <w:rPr>
                        <w:rFonts w:ascii="Calibri"/>
                        <w:noProof/>
                      </w:rPr>
                      <w:t>16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056" w:rsidRDefault="00501056">
      <w:r>
        <w:separator/>
      </w:r>
    </w:p>
  </w:footnote>
  <w:footnote w:type="continuationSeparator" w:id="0">
    <w:p w:rsidR="00501056" w:rsidRDefault="00501056">
      <w:r>
        <w:continuationSeparator/>
      </w:r>
    </w:p>
  </w:footnote>
  <w:footnote w:id="1">
    <w:p w:rsidR="00472E45" w:rsidRPr="00472E45" w:rsidRDefault="00472E45" w:rsidP="00472E45">
      <w:pPr>
        <w:ind w:left="191" w:right="103"/>
        <w:rPr>
          <w:rFonts w:ascii="Times New Roman"/>
          <w:sz w:val="20"/>
        </w:rPr>
      </w:pPr>
      <w:r>
        <w:rPr>
          <w:rStyle w:val="FootnoteReference"/>
        </w:rPr>
        <w:footnoteRef/>
      </w:r>
      <w:r>
        <w:t xml:space="preserve"> </w:t>
      </w:r>
      <w:r>
        <w:rPr>
          <w:rFonts w:ascii="Times New Roman"/>
          <w:sz w:val="20"/>
        </w:rPr>
        <w:t xml:space="preserve">Ministry of Economy, Planning and Development. Sistema de Indicadores Sociales Dominicanos, published on the </w:t>
      </w:r>
      <w:r>
        <w:rPr>
          <w:rFonts w:ascii="Times New Roman"/>
          <w:color w:val="1154CC"/>
          <w:sz w:val="20"/>
          <w:u w:val="single" w:color="1154CC"/>
        </w:rPr>
        <w:t>website</w:t>
      </w:r>
      <w:r>
        <w:rPr>
          <w:rFonts w:ascii="Times New Roman"/>
          <w:color w:val="1154CC"/>
          <w:sz w:val="20"/>
        </w:rPr>
        <w:t xml:space="preserve"> </w:t>
      </w:r>
      <w:hyperlink r:id="rId1">
        <w:r>
          <w:rPr>
            <w:rFonts w:ascii="Times New Roman"/>
            <w:color w:val="1154CC"/>
            <w:sz w:val="20"/>
            <w:u w:val="single" w:color="1154CC"/>
          </w:rPr>
          <w:t>www.economia.gob.do</w:t>
        </w:r>
      </w:hyperlink>
    </w:p>
  </w:footnote>
  <w:footnote w:id="2">
    <w:p w:rsidR="00472E45" w:rsidRPr="00E74907" w:rsidRDefault="00472E45" w:rsidP="00E74907">
      <w:pPr>
        <w:pStyle w:val="FootnoteText"/>
        <w:jc w:val="both"/>
        <w:rPr>
          <w:rFonts w:ascii="Times New Roman" w:hAnsi="Times New Roman" w:cs="Times New Roman"/>
          <w:sz w:val="18"/>
          <w:szCs w:val="18"/>
        </w:rPr>
      </w:pPr>
      <w:r w:rsidRPr="00E74907">
        <w:rPr>
          <w:rStyle w:val="FootnoteReference"/>
          <w:rFonts w:ascii="Times New Roman" w:hAnsi="Times New Roman" w:cs="Times New Roman"/>
          <w:sz w:val="18"/>
          <w:szCs w:val="18"/>
        </w:rPr>
        <w:footnoteRef/>
      </w:r>
      <w:r w:rsidRPr="00E74907">
        <w:rPr>
          <w:rFonts w:ascii="Times New Roman" w:hAnsi="Times New Roman" w:cs="Times New Roman"/>
          <w:sz w:val="18"/>
          <w:szCs w:val="18"/>
        </w:rPr>
        <w:t xml:space="preserve"> ECLAC. Gender Equality Observatory for Latin America and the Caribbean. Feminicide. </w:t>
      </w:r>
      <w:hyperlink r:id="rId2">
        <w:r w:rsidRPr="00E74907">
          <w:rPr>
            <w:rFonts w:ascii="Times New Roman" w:hAnsi="Times New Roman" w:cs="Times New Roman"/>
            <w:color w:val="1154CC"/>
            <w:sz w:val="18"/>
            <w:szCs w:val="18"/>
            <w:u w:val="single" w:color="1154CC"/>
          </w:rPr>
          <w:t>https://oig.cepal.org/es/indicadores/feminicidio</w:t>
        </w:r>
      </w:hyperlink>
    </w:p>
  </w:footnote>
  <w:footnote w:id="3">
    <w:p w:rsidR="00472E45" w:rsidRPr="00E74907" w:rsidRDefault="00472E45" w:rsidP="00E74907">
      <w:pPr>
        <w:pStyle w:val="FootnoteText"/>
        <w:jc w:val="both"/>
        <w:rPr>
          <w:rFonts w:ascii="Times New Roman" w:hAnsi="Times New Roman" w:cs="Times New Roman"/>
          <w:sz w:val="18"/>
          <w:szCs w:val="18"/>
        </w:rPr>
      </w:pPr>
      <w:r w:rsidRPr="00E74907">
        <w:rPr>
          <w:rStyle w:val="FootnoteReference"/>
          <w:rFonts w:ascii="Times New Roman" w:hAnsi="Times New Roman" w:cs="Times New Roman"/>
          <w:sz w:val="18"/>
          <w:szCs w:val="18"/>
        </w:rPr>
        <w:footnoteRef/>
      </w:r>
      <w:r w:rsidRPr="00E74907">
        <w:rPr>
          <w:rFonts w:ascii="Times New Roman" w:hAnsi="Times New Roman" w:cs="Times New Roman"/>
          <w:sz w:val="18"/>
          <w:szCs w:val="18"/>
        </w:rPr>
        <w:t xml:space="preserve"> PGR. Homicides of women and femicides in the Dominican Republic, by type. Period January - December 2019</w:t>
      </w:r>
      <w:hyperlink r:id="rId3">
        <w:r w:rsidRPr="00E74907">
          <w:rPr>
            <w:rFonts w:ascii="Times New Roman" w:hAnsi="Times New Roman" w:cs="Times New Roman"/>
            <w:sz w:val="18"/>
            <w:szCs w:val="18"/>
          </w:rPr>
          <w:t>.</w:t>
        </w:r>
      </w:hyperlink>
      <w:r w:rsidRPr="00E74907">
        <w:rPr>
          <w:rFonts w:ascii="Times New Roman" w:hAnsi="Times New Roman" w:cs="Times New Roman"/>
          <w:sz w:val="18"/>
          <w:szCs w:val="18"/>
        </w:rPr>
        <w:t xml:space="preserve"> </w:t>
      </w:r>
      <w:hyperlink r:id="rId4">
        <w:r w:rsidRPr="00E74907">
          <w:rPr>
            <w:rFonts w:ascii="Times New Roman" w:hAnsi="Times New Roman" w:cs="Times New Roman"/>
            <w:color w:val="1154CC"/>
            <w:sz w:val="18"/>
            <w:szCs w:val="18"/>
            <w:u w:val="single" w:color="1154CC"/>
          </w:rPr>
          <w:t>https://transparencia.pgr.gob.do/Inicio/VisualizarDocumento?DocumentoId=27561</w:t>
        </w:r>
      </w:hyperlink>
    </w:p>
  </w:footnote>
  <w:footnote w:id="4">
    <w:p w:rsidR="00E74907" w:rsidRPr="00E74907" w:rsidRDefault="00E74907" w:rsidP="00E74907">
      <w:pPr>
        <w:pStyle w:val="FootnoteText"/>
        <w:jc w:val="both"/>
        <w:rPr>
          <w:rFonts w:ascii="Times New Roman" w:hAnsi="Times New Roman" w:cs="Times New Roman"/>
          <w:sz w:val="18"/>
          <w:szCs w:val="18"/>
        </w:rPr>
      </w:pPr>
      <w:r w:rsidRPr="00E74907">
        <w:rPr>
          <w:rStyle w:val="FootnoteReference"/>
          <w:rFonts w:ascii="Times New Roman" w:hAnsi="Times New Roman" w:cs="Times New Roman"/>
          <w:sz w:val="18"/>
          <w:szCs w:val="18"/>
        </w:rPr>
        <w:footnoteRef/>
      </w:r>
      <w:r w:rsidRPr="00E74907">
        <w:rPr>
          <w:rFonts w:ascii="Times New Roman" w:hAnsi="Times New Roman" w:cs="Times New Roman"/>
          <w:sz w:val="18"/>
          <w:szCs w:val="18"/>
        </w:rPr>
        <w:t xml:space="preserve"> PGR. Homicides of women and femicides in the Dominican Republic, by type. Period January - December 2019</w:t>
      </w:r>
      <w:hyperlink r:id="rId5">
        <w:r w:rsidRPr="00E74907">
          <w:rPr>
            <w:rFonts w:ascii="Times New Roman" w:hAnsi="Times New Roman" w:cs="Times New Roman"/>
            <w:sz w:val="18"/>
            <w:szCs w:val="18"/>
          </w:rPr>
          <w:t>.</w:t>
        </w:r>
      </w:hyperlink>
      <w:r w:rsidRPr="00E74907">
        <w:rPr>
          <w:rFonts w:ascii="Times New Roman" w:hAnsi="Times New Roman" w:cs="Times New Roman"/>
          <w:sz w:val="18"/>
          <w:szCs w:val="18"/>
        </w:rPr>
        <w:t xml:space="preserve"> </w:t>
      </w:r>
      <w:hyperlink r:id="rId6">
        <w:r w:rsidRPr="00E74907">
          <w:rPr>
            <w:rFonts w:ascii="Times New Roman" w:hAnsi="Times New Roman" w:cs="Times New Roman"/>
            <w:sz w:val="18"/>
            <w:szCs w:val="18"/>
          </w:rPr>
          <w:t xml:space="preserve">https://transparencia.pgr.gob.do/Inicio/VisualizarDocumento?DocumentoId=27561; </w:t>
        </w:r>
      </w:hyperlink>
      <w:r w:rsidRPr="00E74907">
        <w:rPr>
          <w:rFonts w:ascii="Times New Roman" w:hAnsi="Times New Roman" w:cs="Times New Roman"/>
          <w:sz w:val="18"/>
          <w:szCs w:val="18"/>
        </w:rPr>
        <w:t>Gender violence, domestic violence and sexual</w:t>
      </w:r>
      <w:r w:rsidRPr="00E74907">
        <w:rPr>
          <w:rFonts w:ascii="Times New Roman" w:hAnsi="Times New Roman" w:cs="Times New Roman"/>
          <w:spacing w:val="-12"/>
          <w:sz w:val="18"/>
          <w:szCs w:val="18"/>
        </w:rPr>
        <w:t xml:space="preserve"> </w:t>
      </w:r>
      <w:r w:rsidRPr="00E74907">
        <w:rPr>
          <w:rFonts w:ascii="Times New Roman" w:hAnsi="Times New Roman" w:cs="Times New Roman"/>
          <w:sz w:val="18"/>
          <w:szCs w:val="18"/>
        </w:rPr>
        <w:t>crimes.</w:t>
      </w:r>
      <w:r w:rsidRPr="00E74907">
        <w:rPr>
          <w:rFonts w:ascii="Times New Roman" w:hAnsi="Times New Roman" w:cs="Times New Roman"/>
          <w:spacing w:val="-12"/>
          <w:sz w:val="18"/>
          <w:szCs w:val="18"/>
        </w:rPr>
        <w:t xml:space="preserve"> </w:t>
      </w:r>
      <w:r w:rsidRPr="00E74907">
        <w:rPr>
          <w:rFonts w:ascii="Times New Roman" w:hAnsi="Times New Roman" w:cs="Times New Roman"/>
          <w:sz w:val="18"/>
          <w:szCs w:val="18"/>
        </w:rPr>
        <w:t>January</w:t>
      </w:r>
      <w:r w:rsidRPr="00E74907">
        <w:rPr>
          <w:rFonts w:ascii="Times New Roman" w:hAnsi="Times New Roman" w:cs="Times New Roman"/>
          <w:spacing w:val="-10"/>
          <w:sz w:val="18"/>
          <w:szCs w:val="18"/>
        </w:rPr>
        <w:t xml:space="preserve"> </w:t>
      </w:r>
      <w:r w:rsidRPr="00E74907">
        <w:rPr>
          <w:rFonts w:ascii="Times New Roman" w:hAnsi="Times New Roman" w:cs="Times New Roman"/>
          <w:sz w:val="18"/>
          <w:szCs w:val="18"/>
        </w:rPr>
        <w:t>-</w:t>
      </w:r>
      <w:r w:rsidRPr="00E74907">
        <w:rPr>
          <w:rFonts w:ascii="Times New Roman" w:hAnsi="Times New Roman" w:cs="Times New Roman"/>
          <w:spacing w:val="-14"/>
          <w:sz w:val="18"/>
          <w:szCs w:val="18"/>
        </w:rPr>
        <w:t xml:space="preserve"> </w:t>
      </w:r>
      <w:r w:rsidRPr="00E74907">
        <w:rPr>
          <w:rFonts w:ascii="Times New Roman" w:hAnsi="Times New Roman" w:cs="Times New Roman"/>
          <w:sz w:val="18"/>
          <w:szCs w:val="18"/>
        </w:rPr>
        <w:t>December</w:t>
      </w:r>
      <w:r w:rsidRPr="00E74907">
        <w:rPr>
          <w:rFonts w:ascii="Times New Roman" w:hAnsi="Times New Roman" w:cs="Times New Roman"/>
          <w:spacing w:val="-9"/>
          <w:sz w:val="18"/>
          <w:szCs w:val="18"/>
        </w:rPr>
        <w:t xml:space="preserve"> </w:t>
      </w:r>
      <w:r w:rsidRPr="00E74907">
        <w:rPr>
          <w:rFonts w:ascii="Times New Roman" w:hAnsi="Times New Roman" w:cs="Times New Roman"/>
          <w:sz w:val="18"/>
          <w:szCs w:val="18"/>
        </w:rPr>
        <w:t>2019</w:t>
      </w:r>
      <w:hyperlink r:id="rId7">
        <w:r w:rsidRPr="00E74907">
          <w:rPr>
            <w:rFonts w:ascii="Times New Roman" w:hAnsi="Times New Roman" w:cs="Times New Roman"/>
            <w:sz w:val="18"/>
            <w:szCs w:val="18"/>
          </w:rPr>
          <w:t>.</w:t>
        </w:r>
        <w:r w:rsidRPr="00E74907">
          <w:rPr>
            <w:rFonts w:ascii="Times New Roman" w:hAnsi="Times New Roman" w:cs="Times New Roman"/>
            <w:spacing w:val="-9"/>
            <w:sz w:val="18"/>
            <w:szCs w:val="18"/>
          </w:rPr>
          <w:t xml:space="preserve"> </w:t>
        </w:r>
      </w:hyperlink>
      <w:hyperlink r:id="rId8">
        <w:r w:rsidRPr="00E74907">
          <w:rPr>
            <w:rFonts w:ascii="Times New Roman" w:hAnsi="Times New Roman" w:cs="Times New Roman"/>
            <w:color w:val="1154CC"/>
            <w:sz w:val="18"/>
            <w:szCs w:val="18"/>
            <w:u w:val="single" w:color="1154CC"/>
          </w:rPr>
          <w:t>https://transparencia.pgr.gob.do/Inicio/VisualizarDocumento?DocumentoId=27879</w:t>
        </w:r>
      </w:hyperlink>
    </w:p>
  </w:footnote>
  <w:footnote w:id="5">
    <w:p w:rsidR="00E74907" w:rsidRPr="00E74907" w:rsidRDefault="00E74907" w:rsidP="00E74907">
      <w:pPr>
        <w:tabs>
          <w:tab w:val="left" w:pos="8833"/>
          <w:tab w:val="left" w:pos="9701"/>
        </w:tabs>
        <w:spacing w:before="70"/>
        <w:ind w:right="115"/>
        <w:jc w:val="both"/>
        <w:rPr>
          <w:rFonts w:ascii="Times New Roman" w:hAnsi="Times New Roman" w:cs="Times New Roman"/>
          <w:sz w:val="18"/>
          <w:szCs w:val="18"/>
        </w:rPr>
      </w:pPr>
      <w:r w:rsidRPr="00E74907">
        <w:rPr>
          <w:rStyle w:val="FootnoteReference"/>
          <w:rFonts w:ascii="Times New Roman" w:hAnsi="Times New Roman" w:cs="Times New Roman"/>
          <w:sz w:val="18"/>
          <w:szCs w:val="18"/>
        </w:rPr>
        <w:footnoteRef/>
      </w:r>
      <w:r w:rsidRPr="00E74907">
        <w:rPr>
          <w:rFonts w:ascii="Times New Roman" w:hAnsi="Times New Roman" w:cs="Times New Roman"/>
          <w:sz w:val="18"/>
          <w:szCs w:val="18"/>
        </w:rPr>
        <w:t xml:space="preserve"> The Day. "Anibel Gonzalez's family asks to submit to the head prosecutor of San Pedro de Macoris" </w:t>
      </w:r>
      <w:hyperlink r:id="rId9">
        <w:r w:rsidRPr="00E74907">
          <w:rPr>
            <w:rFonts w:ascii="Times New Roman" w:hAnsi="Times New Roman" w:cs="Times New Roman"/>
            <w:sz w:val="18"/>
            <w:szCs w:val="18"/>
          </w:rPr>
          <w:t>https://eldia.com.do/familia-de-anibel-gonzalez-pide-someter-a-fiscal-titular-de-san-pedro-de-macoris/;</w:t>
        </w:r>
      </w:hyperlink>
      <w:r w:rsidRPr="00E74907">
        <w:rPr>
          <w:rFonts w:ascii="Times New Roman" w:hAnsi="Times New Roman" w:cs="Times New Roman"/>
          <w:sz w:val="18"/>
          <w:szCs w:val="18"/>
        </w:rPr>
        <w:tab/>
        <w:t>Diario</w:t>
      </w:r>
      <w:r w:rsidRPr="00E74907">
        <w:rPr>
          <w:rFonts w:ascii="Times New Roman" w:hAnsi="Times New Roman" w:cs="Times New Roman"/>
          <w:sz w:val="18"/>
          <w:szCs w:val="18"/>
        </w:rPr>
        <w:tab/>
      </w:r>
      <w:r w:rsidRPr="00E74907">
        <w:rPr>
          <w:rFonts w:ascii="Times New Roman" w:hAnsi="Times New Roman" w:cs="Times New Roman"/>
          <w:spacing w:val="-4"/>
          <w:sz w:val="18"/>
          <w:szCs w:val="18"/>
        </w:rPr>
        <w:t xml:space="preserve">Libre. </w:t>
      </w:r>
      <w:r w:rsidRPr="00E74907">
        <w:rPr>
          <w:rFonts w:ascii="Times New Roman" w:hAnsi="Times New Roman" w:cs="Times New Roman"/>
          <w:sz w:val="18"/>
          <w:szCs w:val="18"/>
        </w:rPr>
        <w:t xml:space="preserve">"Another woman killed by agreements of the Prosecutor's Office and inobservance of judges in San Pedro de Macoris" </w:t>
      </w:r>
      <w:hyperlink r:id="rId10">
        <w:r w:rsidRPr="00E74907">
          <w:rPr>
            <w:rFonts w:ascii="Times New Roman" w:hAnsi="Times New Roman" w:cs="Times New Roman"/>
            <w:color w:val="1154CC"/>
            <w:sz w:val="18"/>
            <w:szCs w:val="18"/>
            <w:u w:val="single" w:color="1154CC"/>
          </w:rPr>
          <w:t>https://www.diariolibre.com/actualidad/justicia/otra-mujer-muerta-por-acuerdos-de-la-fiscalia-e-inobservancia-de-jueces-</w:t>
        </w:r>
      </w:hyperlink>
      <w:hyperlink r:id="rId11">
        <w:r w:rsidRPr="00E74907">
          <w:rPr>
            <w:rFonts w:ascii="Times New Roman" w:hAnsi="Times New Roman" w:cs="Times New Roman"/>
            <w:color w:val="1154CC"/>
            <w:sz w:val="18"/>
            <w:szCs w:val="18"/>
            <w:u w:val="single" w:color="1154CC"/>
          </w:rPr>
          <w:t>de-san-pedro-de-macoris-IB15146196</w:t>
        </w:r>
      </w:hyperlink>
    </w:p>
    <w:p w:rsidR="00E74907" w:rsidRPr="00E74907" w:rsidRDefault="00E74907">
      <w:pPr>
        <w:pStyle w:val="FootnoteText"/>
      </w:pPr>
    </w:p>
  </w:footnote>
  <w:footnote w:id="6">
    <w:p w:rsidR="00E74907" w:rsidRPr="006A14C2" w:rsidRDefault="00E74907" w:rsidP="006A14C2">
      <w:pPr>
        <w:spacing w:before="67"/>
        <w:ind w:left="191" w:right="115"/>
        <w:rPr>
          <w:rFonts w:ascii="Times New Roman" w:hAnsi="Times New Roman" w:cs="Times New Roman"/>
          <w:sz w:val="18"/>
          <w:szCs w:val="18"/>
        </w:rPr>
      </w:pPr>
      <w:r w:rsidRPr="006A14C2">
        <w:rPr>
          <w:rStyle w:val="FootnoteReference"/>
          <w:rFonts w:ascii="Times New Roman" w:hAnsi="Times New Roman" w:cs="Times New Roman"/>
          <w:sz w:val="18"/>
          <w:szCs w:val="18"/>
        </w:rPr>
        <w:footnoteRef/>
      </w:r>
      <w:r w:rsidRPr="006A14C2">
        <w:rPr>
          <w:rFonts w:ascii="Times New Roman" w:hAnsi="Times New Roman" w:cs="Times New Roman"/>
          <w:sz w:val="18"/>
          <w:szCs w:val="18"/>
        </w:rPr>
        <w:t xml:space="preserve"> Ministry</w:t>
      </w:r>
      <w:r w:rsidRPr="006A14C2">
        <w:rPr>
          <w:rFonts w:ascii="Times New Roman" w:hAnsi="Times New Roman" w:cs="Times New Roman"/>
          <w:spacing w:val="-7"/>
          <w:sz w:val="18"/>
          <w:szCs w:val="18"/>
        </w:rPr>
        <w:t xml:space="preserve"> </w:t>
      </w:r>
      <w:r w:rsidRPr="006A14C2">
        <w:rPr>
          <w:rFonts w:ascii="Times New Roman" w:hAnsi="Times New Roman" w:cs="Times New Roman"/>
          <w:sz w:val="18"/>
          <w:szCs w:val="18"/>
        </w:rPr>
        <w:t>of</w:t>
      </w:r>
      <w:r w:rsidRPr="006A14C2">
        <w:rPr>
          <w:rFonts w:ascii="Times New Roman" w:hAnsi="Times New Roman" w:cs="Times New Roman"/>
          <w:spacing w:val="-5"/>
          <w:sz w:val="18"/>
          <w:szCs w:val="18"/>
        </w:rPr>
        <w:t xml:space="preserve"> </w:t>
      </w:r>
      <w:r w:rsidRPr="006A14C2">
        <w:rPr>
          <w:rFonts w:ascii="Times New Roman" w:hAnsi="Times New Roman" w:cs="Times New Roman"/>
          <w:sz w:val="18"/>
          <w:szCs w:val="18"/>
        </w:rPr>
        <w:t>Women</w:t>
      </w:r>
      <w:r w:rsidRPr="006A14C2">
        <w:rPr>
          <w:rFonts w:ascii="Times New Roman" w:hAnsi="Times New Roman" w:cs="Times New Roman"/>
          <w:spacing w:val="-5"/>
          <w:sz w:val="18"/>
          <w:szCs w:val="18"/>
        </w:rPr>
        <w:t xml:space="preserve"> </w:t>
      </w:r>
      <w:r w:rsidRPr="006A14C2">
        <w:rPr>
          <w:rFonts w:ascii="Times New Roman" w:hAnsi="Times New Roman" w:cs="Times New Roman"/>
          <w:sz w:val="18"/>
          <w:szCs w:val="18"/>
        </w:rPr>
        <w:t>of</w:t>
      </w:r>
      <w:r w:rsidRPr="006A14C2">
        <w:rPr>
          <w:rFonts w:ascii="Times New Roman" w:hAnsi="Times New Roman" w:cs="Times New Roman"/>
          <w:spacing w:val="-5"/>
          <w:sz w:val="18"/>
          <w:szCs w:val="18"/>
        </w:rPr>
        <w:t xml:space="preserve"> </w:t>
      </w:r>
      <w:r w:rsidRPr="006A14C2">
        <w:rPr>
          <w:rFonts w:ascii="Times New Roman" w:hAnsi="Times New Roman" w:cs="Times New Roman"/>
          <w:sz w:val="18"/>
          <w:szCs w:val="18"/>
        </w:rPr>
        <w:t>the</w:t>
      </w:r>
      <w:r w:rsidRPr="006A14C2">
        <w:rPr>
          <w:rFonts w:ascii="Times New Roman" w:hAnsi="Times New Roman" w:cs="Times New Roman"/>
          <w:spacing w:val="-3"/>
          <w:sz w:val="18"/>
          <w:szCs w:val="18"/>
        </w:rPr>
        <w:t xml:space="preserve"> </w:t>
      </w:r>
      <w:r w:rsidRPr="006A14C2">
        <w:rPr>
          <w:rFonts w:ascii="Times New Roman" w:hAnsi="Times New Roman" w:cs="Times New Roman"/>
          <w:sz w:val="18"/>
          <w:szCs w:val="18"/>
        </w:rPr>
        <w:t>Dominican</w:t>
      </w:r>
      <w:r w:rsidRPr="006A14C2">
        <w:rPr>
          <w:rFonts w:ascii="Times New Roman" w:hAnsi="Times New Roman" w:cs="Times New Roman"/>
          <w:spacing w:val="-2"/>
          <w:sz w:val="18"/>
          <w:szCs w:val="18"/>
        </w:rPr>
        <w:t xml:space="preserve"> </w:t>
      </w:r>
      <w:r w:rsidRPr="006A14C2">
        <w:rPr>
          <w:rFonts w:ascii="Times New Roman" w:hAnsi="Times New Roman" w:cs="Times New Roman"/>
          <w:sz w:val="18"/>
          <w:szCs w:val="18"/>
        </w:rPr>
        <w:t>Republic.</w:t>
      </w:r>
      <w:r w:rsidRPr="006A14C2">
        <w:rPr>
          <w:rFonts w:ascii="Times New Roman" w:hAnsi="Times New Roman" w:cs="Times New Roman"/>
          <w:spacing w:val="-4"/>
          <w:sz w:val="18"/>
          <w:szCs w:val="18"/>
        </w:rPr>
        <w:t xml:space="preserve"> </w:t>
      </w:r>
      <w:r w:rsidRPr="006A14C2">
        <w:rPr>
          <w:rFonts w:ascii="Times New Roman" w:hAnsi="Times New Roman" w:cs="Times New Roman"/>
          <w:sz w:val="18"/>
          <w:szCs w:val="18"/>
        </w:rPr>
        <w:t>Summary</w:t>
      </w:r>
      <w:r w:rsidRPr="006A14C2">
        <w:rPr>
          <w:rFonts w:ascii="Times New Roman" w:hAnsi="Times New Roman" w:cs="Times New Roman"/>
          <w:spacing w:val="-7"/>
          <w:sz w:val="18"/>
          <w:szCs w:val="18"/>
        </w:rPr>
        <w:t xml:space="preserve"> </w:t>
      </w:r>
      <w:r w:rsidRPr="006A14C2">
        <w:rPr>
          <w:rFonts w:ascii="Times New Roman" w:hAnsi="Times New Roman" w:cs="Times New Roman"/>
          <w:sz w:val="18"/>
          <w:szCs w:val="18"/>
        </w:rPr>
        <w:t>of</w:t>
      </w:r>
      <w:r w:rsidRPr="006A14C2">
        <w:rPr>
          <w:rFonts w:ascii="Times New Roman" w:hAnsi="Times New Roman" w:cs="Times New Roman"/>
          <w:spacing w:val="-5"/>
          <w:sz w:val="18"/>
          <w:szCs w:val="18"/>
        </w:rPr>
        <w:t xml:space="preserve"> </w:t>
      </w:r>
      <w:r w:rsidRPr="006A14C2">
        <w:rPr>
          <w:rFonts w:ascii="Times New Roman" w:hAnsi="Times New Roman" w:cs="Times New Roman"/>
          <w:sz w:val="18"/>
          <w:szCs w:val="18"/>
        </w:rPr>
        <w:t>statistical</w:t>
      </w:r>
      <w:r w:rsidRPr="006A14C2">
        <w:rPr>
          <w:rFonts w:ascii="Times New Roman" w:hAnsi="Times New Roman" w:cs="Times New Roman"/>
          <w:spacing w:val="-3"/>
          <w:sz w:val="18"/>
          <w:szCs w:val="18"/>
        </w:rPr>
        <w:t xml:space="preserve"> </w:t>
      </w:r>
      <w:r w:rsidRPr="006A14C2">
        <w:rPr>
          <w:rFonts w:ascii="Times New Roman" w:hAnsi="Times New Roman" w:cs="Times New Roman"/>
          <w:sz w:val="18"/>
          <w:szCs w:val="18"/>
        </w:rPr>
        <w:t>data</w:t>
      </w:r>
      <w:r w:rsidRPr="006A14C2">
        <w:rPr>
          <w:rFonts w:ascii="Times New Roman" w:hAnsi="Times New Roman" w:cs="Times New Roman"/>
          <w:spacing w:val="-4"/>
          <w:sz w:val="18"/>
          <w:szCs w:val="18"/>
        </w:rPr>
        <w:t xml:space="preserve"> </w:t>
      </w:r>
      <w:r w:rsidRPr="006A14C2">
        <w:rPr>
          <w:rFonts w:ascii="Times New Roman" w:hAnsi="Times New Roman" w:cs="Times New Roman"/>
          <w:sz w:val="18"/>
          <w:szCs w:val="18"/>
        </w:rPr>
        <w:t>in</w:t>
      </w:r>
      <w:r w:rsidRPr="006A14C2">
        <w:rPr>
          <w:rFonts w:ascii="Times New Roman" w:hAnsi="Times New Roman" w:cs="Times New Roman"/>
          <w:spacing w:val="-5"/>
          <w:sz w:val="18"/>
          <w:szCs w:val="18"/>
        </w:rPr>
        <w:t xml:space="preserve"> </w:t>
      </w:r>
      <w:r w:rsidRPr="006A14C2">
        <w:rPr>
          <w:rFonts w:ascii="Times New Roman" w:hAnsi="Times New Roman" w:cs="Times New Roman"/>
          <w:sz w:val="18"/>
          <w:szCs w:val="18"/>
        </w:rPr>
        <w:t>quarantine</w:t>
      </w:r>
      <w:r w:rsidRPr="006A14C2">
        <w:rPr>
          <w:rFonts w:ascii="Times New Roman" w:hAnsi="Times New Roman" w:cs="Times New Roman"/>
          <w:spacing w:val="-1"/>
          <w:sz w:val="18"/>
          <w:szCs w:val="18"/>
        </w:rPr>
        <w:t xml:space="preserve"> </w:t>
      </w:r>
      <w:r w:rsidRPr="006A14C2">
        <w:rPr>
          <w:rFonts w:ascii="Times New Roman" w:hAnsi="Times New Roman" w:cs="Times New Roman"/>
          <w:sz w:val="18"/>
          <w:szCs w:val="18"/>
        </w:rPr>
        <w:t>period.</w:t>
      </w:r>
      <w:r w:rsidRPr="006A14C2">
        <w:rPr>
          <w:rFonts w:ascii="Times New Roman" w:hAnsi="Times New Roman" w:cs="Times New Roman"/>
          <w:spacing w:val="-5"/>
          <w:sz w:val="18"/>
          <w:szCs w:val="18"/>
        </w:rPr>
        <w:t xml:space="preserve"> </w:t>
      </w:r>
      <w:r w:rsidRPr="006A14C2">
        <w:rPr>
          <w:rFonts w:ascii="Times New Roman" w:hAnsi="Times New Roman" w:cs="Times New Roman"/>
          <w:sz w:val="18"/>
          <w:szCs w:val="18"/>
          <w:lang w:val="es-ES"/>
        </w:rPr>
        <w:t>Línea</w:t>
      </w:r>
      <w:r w:rsidRPr="006A14C2">
        <w:rPr>
          <w:rFonts w:ascii="Times New Roman" w:hAnsi="Times New Roman" w:cs="Times New Roman"/>
          <w:spacing w:val="-3"/>
          <w:sz w:val="18"/>
          <w:szCs w:val="18"/>
          <w:lang w:val="es-ES"/>
        </w:rPr>
        <w:t xml:space="preserve"> </w:t>
      </w:r>
      <w:r w:rsidRPr="006A14C2">
        <w:rPr>
          <w:rFonts w:ascii="Times New Roman" w:hAnsi="Times New Roman" w:cs="Times New Roman"/>
          <w:sz w:val="18"/>
          <w:szCs w:val="18"/>
          <w:lang w:val="es-ES"/>
        </w:rPr>
        <w:t>Mujer</w:t>
      </w:r>
      <w:r w:rsidRPr="006A14C2">
        <w:rPr>
          <w:rFonts w:ascii="Times New Roman" w:hAnsi="Times New Roman" w:cs="Times New Roman"/>
          <w:spacing w:val="-2"/>
          <w:sz w:val="18"/>
          <w:szCs w:val="18"/>
          <w:lang w:val="es-ES"/>
        </w:rPr>
        <w:t xml:space="preserve"> </w:t>
      </w:r>
      <w:r w:rsidRPr="006A14C2">
        <w:rPr>
          <w:rFonts w:ascii="Times New Roman" w:hAnsi="Times New Roman" w:cs="Times New Roman"/>
          <w:sz w:val="18"/>
          <w:szCs w:val="18"/>
          <w:lang w:val="es-ES"/>
        </w:rPr>
        <w:t>and</w:t>
      </w:r>
      <w:r w:rsidRPr="006A14C2">
        <w:rPr>
          <w:rFonts w:ascii="Times New Roman" w:hAnsi="Times New Roman" w:cs="Times New Roman"/>
          <w:spacing w:val="-3"/>
          <w:sz w:val="18"/>
          <w:szCs w:val="18"/>
          <w:lang w:val="es-ES"/>
        </w:rPr>
        <w:t xml:space="preserve"> </w:t>
      </w:r>
      <w:r w:rsidRPr="006A14C2">
        <w:rPr>
          <w:rFonts w:ascii="Times New Roman" w:hAnsi="Times New Roman" w:cs="Times New Roman"/>
          <w:sz w:val="18"/>
          <w:szCs w:val="18"/>
          <w:lang w:val="es-ES"/>
        </w:rPr>
        <w:t>Casa</w:t>
      </w:r>
      <w:r w:rsidRPr="006A14C2">
        <w:rPr>
          <w:rFonts w:ascii="Times New Roman" w:hAnsi="Times New Roman" w:cs="Times New Roman"/>
          <w:spacing w:val="-3"/>
          <w:sz w:val="18"/>
          <w:szCs w:val="18"/>
          <w:lang w:val="es-ES"/>
        </w:rPr>
        <w:t xml:space="preserve"> </w:t>
      </w:r>
      <w:r w:rsidRPr="006A14C2">
        <w:rPr>
          <w:rFonts w:ascii="Times New Roman" w:hAnsi="Times New Roman" w:cs="Times New Roman"/>
          <w:sz w:val="18"/>
          <w:szCs w:val="18"/>
          <w:lang w:val="es-ES"/>
        </w:rPr>
        <w:t xml:space="preserve">de Acogida. 17 March to 21 June 2020; Bulletin MMujer News. 5 June 2020. </w:t>
      </w:r>
      <w:hyperlink r:id="rId12">
        <w:r w:rsidRPr="006A14C2">
          <w:rPr>
            <w:rFonts w:ascii="Times New Roman" w:hAnsi="Times New Roman" w:cs="Times New Roman"/>
            <w:color w:val="1154CC"/>
            <w:sz w:val="18"/>
            <w:szCs w:val="18"/>
            <w:u w:val="single" w:color="1154CC"/>
          </w:rPr>
          <w:t>https://mujer.gob.do/transparencia/phocadownload/Publicaciones/Boletines/2020/BOLETIN%20JUNIO%202020.pdf</w:t>
        </w:r>
      </w:hyperlink>
    </w:p>
    <w:p w:rsidR="00E74907" w:rsidRDefault="00E74907">
      <w:pPr>
        <w:pStyle w:val="FootnoteText"/>
      </w:pPr>
    </w:p>
  </w:footnote>
  <w:footnote w:id="7">
    <w:p w:rsidR="00FC4E62" w:rsidRPr="00FC4E62" w:rsidRDefault="00FC4E62" w:rsidP="00FC4E62">
      <w:pPr>
        <w:spacing w:before="67"/>
        <w:ind w:left="191" w:right="520"/>
        <w:rPr>
          <w:rFonts w:ascii="Times New Roman"/>
          <w:sz w:val="20"/>
        </w:rPr>
      </w:pPr>
      <w:r>
        <w:rPr>
          <w:rStyle w:val="FootnoteReference"/>
        </w:rPr>
        <w:footnoteRef/>
      </w:r>
      <w:r>
        <w:t xml:space="preserve"> </w:t>
      </w:r>
      <w:r>
        <w:rPr>
          <w:rFonts w:ascii="Times New Roman"/>
          <w:sz w:val="20"/>
          <w:vertAlign w:val="superscript"/>
        </w:rPr>
        <w:t>13</w:t>
      </w:r>
      <w:r>
        <w:rPr>
          <w:rFonts w:ascii="Times New Roman"/>
          <w:sz w:val="20"/>
        </w:rPr>
        <w:t xml:space="preserve"> UNFPA 2018. Descendants of migrants in the Dominican Republic. </w:t>
      </w:r>
      <w:r>
        <w:rPr>
          <w:rFonts w:ascii="Times New Roman"/>
          <w:color w:val="1154CC"/>
          <w:w w:val="95"/>
          <w:sz w:val="20"/>
          <w:u w:val="single" w:color="1154CC"/>
        </w:rPr>
        <w:t>https://dominicanrepublic.unfpa.org/es/publications/descendientes-de-inmigrantes-en-la-rep%C3%BAblica-dominicana</w:t>
      </w:r>
    </w:p>
  </w:footnote>
  <w:footnote w:id="8">
    <w:p w:rsidR="00FC4E62" w:rsidRDefault="00FC4E62" w:rsidP="00FC4E62">
      <w:pPr>
        <w:spacing w:before="67"/>
        <w:ind w:left="191"/>
        <w:rPr>
          <w:rFonts w:ascii="Times New Roman"/>
          <w:i/>
          <w:sz w:val="20"/>
        </w:rPr>
      </w:pPr>
      <w:r>
        <w:rPr>
          <w:rStyle w:val="FootnoteReference"/>
        </w:rPr>
        <w:footnoteRef/>
      </w:r>
      <w:r>
        <w:t xml:space="preserve"> </w:t>
      </w:r>
      <w:r>
        <w:rPr>
          <w:rFonts w:ascii="Times New Roman"/>
          <w:i/>
          <w:sz w:val="20"/>
        </w:rPr>
        <w:t xml:space="preserve">Law No. 33-18, </w:t>
      </w:r>
      <w:r>
        <w:rPr>
          <w:rFonts w:ascii="Times New Roman"/>
          <w:sz w:val="20"/>
        </w:rPr>
        <w:t xml:space="preserve">on Political Parties, Groups and Movements, G.O. 10917, of 15 August 2018, art. 33; </w:t>
      </w:r>
      <w:r>
        <w:rPr>
          <w:rFonts w:ascii="Times New Roman"/>
          <w:i/>
          <w:sz w:val="20"/>
        </w:rPr>
        <w:t>Law No. 15-19,</w:t>
      </w:r>
    </w:p>
    <w:p w:rsidR="00FC4E62" w:rsidRDefault="00FC4E62" w:rsidP="00FC4E62">
      <w:pPr>
        <w:spacing w:before="1" w:line="229" w:lineRule="exact"/>
        <w:ind w:left="191"/>
      </w:pPr>
      <w:r>
        <w:rPr>
          <w:rFonts w:ascii="Times New Roman"/>
          <w:sz w:val="20"/>
        </w:rPr>
        <w:t xml:space="preserve">Organic </w:t>
      </w:r>
      <w:r>
        <w:rPr>
          <w:rFonts w:ascii="Times New Roman"/>
          <w:i/>
          <w:sz w:val="20"/>
        </w:rPr>
        <w:t xml:space="preserve">Law on the </w:t>
      </w:r>
      <w:r>
        <w:rPr>
          <w:rFonts w:ascii="Times New Roman"/>
          <w:sz w:val="20"/>
        </w:rPr>
        <w:t>Electoral System, G.O. 10933, of 20 February 2019, art. 136.</w:t>
      </w:r>
    </w:p>
  </w:footnote>
  <w:footnote w:id="9">
    <w:p w:rsidR="00FC4E62" w:rsidRPr="005A2723" w:rsidRDefault="00FC4E62" w:rsidP="005A2723">
      <w:pPr>
        <w:tabs>
          <w:tab w:val="left" w:pos="450"/>
        </w:tabs>
        <w:ind w:left="191" w:right="541"/>
        <w:rPr>
          <w:rFonts w:ascii="Times New Roman" w:hAnsi="Times New Roman" w:cs="Times New Roman"/>
          <w:color w:val="0000FF"/>
          <w:sz w:val="18"/>
          <w:szCs w:val="18"/>
          <w:u w:val="single" w:color="0000FF"/>
        </w:rPr>
      </w:pPr>
      <w:r w:rsidRPr="005A2723">
        <w:rPr>
          <w:rStyle w:val="FootnoteReference"/>
          <w:rFonts w:ascii="Times New Roman" w:hAnsi="Times New Roman" w:cs="Times New Roman"/>
          <w:sz w:val="18"/>
          <w:szCs w:val="18"/>
        </w:rPr>
        <w:footnoteRef/>
      </w:r>
      <w:r w:rsidRPr="005A2723">
        <w:rPr>
          <w:rFonts w:ascii="Times New Roman" w:hAnsi="Times New Roman" w:cs="Times New Roman"/>
          <w:sz w:val="18"/>
          <w:szCs w:val="18"/>
        </w:rPr>
        <w:t xml:space="preserve"> </w:t>
      </w:r>
      <w:r w:rsidR="001F4491" w:rsidRPr="005A2723">
        <w:rPr>
          <w:rFonts w:ascii="Times New Roman" w:hAnsi="Times New Roman" w:cs="Times New Roman"/>
          <w:sz w:val="18"/>
          <w:szCs w:val="18"/>
        </w:rPr>
        <w:t>Ac</w:t>
      </w:r>
      <w:r w:rsidRPr="005A2723">
        <w:rPr>
          <w:rFonts w:ascii="Times New Roman" w:hAnsi="Times New Roman" w:cs="Times New Roman"/>
          <w:sz w:val="18"/>
          <w:szCs w:val="18"/>
        </w:rPr>
        <w:t>ent</w:t>
      </w:r>
      <w:r w:rsidR="001F4491" w:rsidRPr="005A2723">
        <w:rPr>
          <w:rFonts w:ascii="Times New Roman" w:hAnsi="Times New Roman" w:cs="Times New Roman"/>
          <w:sz w:val="18"/>
          <w:szCs w:val="18"/>
        </w:rPr>
        <w:t>o</w:t>
      </w:r>
      <w:r w:rsidRPr="005A2723">
        <w:rPr>
          <w:rFonts w:ascii="Times New Roman" w:hAnsi="Times New Roman" w:cs="Times New Roman"/>
          <w:sz w:val="18"/>
          <w:szCs w:val="18"/>
        </w:rPr>
        <w:t>. "</w:t>
      </w:r>
      <w:r w:rsidRPr="005A2723">
        <w:rPr>
          <w:rFonts w:ascii="Times New Roman" w:hAnsi="Times New Roman" w:cs="Times New Roman"/>
          <w:i/>
          <w:sz w:val="18"/>
          <w:szCs w:val="18"/>
        </w:rPr>
        <w:t>TSA Orders Board to Amend Resolution Establishing Gender Quota Distribution.</w:t>
      </w:r>
      <w:r w:rsidRPr="005A2723">
        <w:rPr>
          <w:rFonts w:ascii="Times New Roman" w:hAnsi="Times New Roman" w:cs="Times New Roman"/>
          <w:sz w:val="18"/>
          <w:szCs w:val="18"/>
        </w:rPr>
        <w:t xml:space="preserve">" Online: </w:t>
      </w:r>
      <w:hyperlink r:id="rId13">
        <w:r w:rsidRPr="005A2723">
          <w:rPr>
            <w:rFonts w:ascii="Times New Roman" w:hAnsi="Times New Roman" w:cs="Times New Roman"/>
            <w:color w:val="0000FF"/>
            <w:w w:val="95"/>
            <w:sz w:val="18"/>
            <w:szCs w:val="18"/>
            <w:u w:val="single" w:color="0000FF"/>
          </w:rPr>
          <w:t>https://acento.com.do/politica/tsa-ordena-a-la-junta-modificar-resolucion-establece-distribucion-de-la-cuota-de-genero-</w:t>
        </w:r>
      </w:hyperlink>
      <w:r w:rsidRPr="005A2723">
        <w:rPr>
          <w:rFonts w:ascii="Times New Roman" w:hAnsi="Times New Roman" w:cs="Times New Roman"/>
          <w:color w:val="0000FF"/>
          <w:w w:val="95"/>
          <w:sz w:val="18"/>
          <w:szCs w:val="18"/>
        </w:rPr>
        <w:t xml:space="preserve"> </w:t>
      </w:r>
      <w:hyperlink r:id="rId14">
        <w:r w:rsidRPr="005A2723">
          <w:rPr>
            <w:rFonts w:ascii="Times New Roman" w:hAnsi="Times New Roman" w:cs="Times New Roman"/>
            <w:color w:val="0000FF"/>
            <w:sz w:val="18"/>
            <w:szCs w:val="18"/>
            <w:u w:val="single" w:color="0000FF"/>
          </w:rPr>
          <w:t>8764842.html</w:t>
        </w:r>
      </w:hyperlink>
    </w:p>
  </w:footnote>
  <w:footnote w:id="10">
    <w:p w:rsidR="00FC4E62" w:rsidRPr="005A2723" w:rsidRDefault="00FC4E62" w:rsidP="005A2723">
      <w:pPr>
        <w:pStyle w:val="FootnoteText"/>
        <w:tabs>
          <w:tab w:val="left" w:pos="450"/>
        </w:tabs>
        <w:ind w:left="191"/>
        <w:rPr>
          <w:rFonts w:ascii="Times New Roman" w:hAnsi="Times New Roman" w:cs="Times New Roman"/>
          <w:sz w:val="18"/>
          <w:szCs w:val="18"/>
        </w:rPr>
      </w:pPr>
      <w:r w:rsidRPr="005A2723">
        <w:rPr>
          <w:rStyle w:val="FootnoteReference"/>
          <w:rFonts w:ascii="Times New Roman" w:hAnsi="Times New Roman" w:cs="Times New Roman"/>
          <w:sz w:val="18"/>
          <w:szCs w:val="18"/>
        </w:rPr>
        <w:footnoteRef/>
      </w:r>
      <w:r w:rsidRPr="005A2723">
        <w:rPr>
          <w:rFonts w:ascii="Times New Roman" w:hAnsi="Times New Roman" w:cs="Times New Roman"/>
          <w:sz w:val="18"/>
          <w:szCs w:val="18"/>
        </w:rPr>
        <w:t xml:space="preserve"> Third Chamber of the High Administrative Court. </w:t>
      </w:r>
      <w:r w:rsidRPr="005A2723">
        <w:rPr>
          <w:rFonts w:ascii="Times New Roman" w:hAnsi="Times New Roman" w:cs="Times New Roman"/>
          <w:i/>
          <w:sz w:val="18"/>
          <w:szCs w:val="18"/>
        </w:rPr>
        <w:t xml:space="preserve">Judgement 0030-04-2019-SSEN-00506, </w:t>
      </w:r>
      <w:r w:rsidRPr="005A2723">
        <w:rPr>
          <w:rFonts w:ascii="Times New Roman" w:hAnsi="Times New Roman" w:cs="Times New Roman"/>
          <w:sz w:val="18"/>
          <w:szCs w:val="18"/>
        </w:rPr>
        <w:t>dated 26 December 2019, para. 11</w:t>
      </w:r>
    </w:p>
  </w:footnote>
  <w:footnote w:id="11">
    <w:p w:rsidR="00FC4E62" w:rsidRPr="005A2723" w:rsidRDefault="00FC4E62" w:rsidP="005A2723">
      <w:pPr>
        <w:pStyle w:val="FootnoteText"/>
        <w:tabs>
          <w:tab w:val="left" w:pos="450"/>
        </w:tabs>
        <w:ind w:left="191"/>
        <w:rPr>
          <w:rFonts w:ascii="Times New Roman" w:hAnsi="Times New Roman" w:cs="Times New Roman"/>
          <w:sz w:val="18"/>
          <w:szCs w:val="18"/>
        </w:rPr>
      </w:pPr>
      <w:r w:rsidRPr="005A2723">
        <w:rPr>
          <w:rStyle w:val="FootnoteReference"/>
          <w:rFonts w:ascii="Times New Roman" w:hAnsi="Times New Roman" w:cs="Times New Roman"/>
          <w:sz w:val="18"/>
          <w:szCs w:val="18"/>
        </w:rPr>
        <w:footnoteRef/>
      </w:r>
      <w:r w:rsidRPr="005A2723">
        <w:rPr>
          <w:rFonts w:ascii="Times New Roman" w:hAnsi="Times New Roman" w:cs="Times New Roman"/>
          <w:sz w:val="18"/>
          <w:szCs w:val="18"/>
        </w:rPr>
        <w:t xml:space="preserve"> See publication El Mitin. Online: </w:t>
      </w:r>
      <w:hyperlink r:id="rId15">
        <w:r w:rsidRPr="005A2723">
          <w:rPr>
            <w:rFonts w:ascii="Times New Roman" w:hAnsi="Times New Roman" w:cs="Times New Roman"/>
            <w:color w:val="0000FF"/>
            <w:sz w:val="18"/>
            <w:szCs w:val="18"/>
            <w:u w:val="single" w:color="0000FF"/>
          </w:rPr>
          <w:t>https://www.instagram.com/p/CAQ4yNKDL9_/</w:t>
        </w:r>
      </w:hyperlink>
    </w:p>
  </w:footnote>
  <w:footnote w:id="12">
    <w:p w:rsidR="00FC4E62" w:rsidRPr="005A2723" w:rsidRDefault="00FC4E62" w:rsidP="005A2723">
      <w:pPr>
        <w:pStyle w:val="FootnoteText"/>
        <w:tabs>
          <w:tab w:val="left" w:pos="450"/>
        </w:tabs>
        <w:ind w:left="191"/>
        <w:rPr>
          <w:rFonts w:ascii="Times New Roman" w:hAnsi="Times New Roman" w:cs="Times New Roman"/>
          <w:sz w:val="18"/>
          <w:szCs w:val="18"/>
        </w:rPr>
      </w:pPr>
      <w:r w:rsidRPr="005A2723">
        <w:rPr>
          <w:rStyle w:val="FootnoteReference"/>
          <w:rFonts w:ascii="Times New Roman" w:hAnsi="Times New Roman" w:cs="Times New Roman"/>
          <w:sz w:val="18"/>
          <w:szCs w:val="18"/>
        </w:rPr>
        <w:footnoteRef/>
      </w:r>
      <w:r w:rsidRPr="005A2723">
        <w:rPr>
          <w:rFonts w:ascii="Times New Roman" w:hAnsi="Times New Roman" w:cs="Times New Roman"/>
          <w:sz w:val="18"/>
          <w:szCs w:val="18"/>
        </w:rPr>
        <w:t xml:space="preserve"> Espinal, R et al. </w:t>
      </w:r>
      <w:r w:rsidRPr="005A2723">
        <w:rPr>
          <w:rFonts w:ascii="Times New Roman" w:hAnsi="Times New Roman" w:cs="Times New Roman"/>
          <w:i/>
          <w:sz w:val="18"/>
          <w:szCs w:val="18"/>
        </w:rPr>
        <w:t>More women, more democracy: challenges for gender equality in politics</w:t>
      </w:r>
      <w:r w:rsidRPr="005A2723">
        <w:rPr>
          <w:rFonts w:ascii="Times New Roman" w:hAnsi="Times New Roman" w:cs="Times New Roman"/>
          <w:sz w:val="18"/>
          <w:szCs w:val="18"/>
        </w:rPr>
        <w:t>. UNDP: Santo Domingo, 2018, p. 77.</w:t>
      </w:r>
    </w:p>
  </w:footnote>
  <w:footnote w:id="13">
    <w:p w:rsidR="00FC4E62" w:rsidRPr="005A2723" w:rsidRDefault="00FC4E62" w:rsidP="005A2723">
      <w:pPr>
        <w:pStyle w:val="FootnoteText"/>
        <w:tabs>
          <w:tab w:val="left" w:pos="450"/>
        </w:tabs>
        <w:ind w:left="191"/>
        <w:rPr>
          <w:rFonts w:ascii="Times New Roman" w:hAnsi="Times New Roman" w:cs="Times New Roman"/>
          <w:sz w:val="18"/>
          <w:szCs w:val="18"/>
        </w:rPr>
      </w:pPr>
      <w:r w:rsidRPr="005A2723">
        <w:rPr>
          <w:rStyle w:val="FootnoteReference"/>
          <w:rFonts w:ascii="Times New Roman" w:hAnsi="Times New Roman" w:cs="Times New Roman"/>
          <w:sz w:val="18"/>
          <w:szCs w:val="18"/>
        </w:rPr>
        <w:footnoteRef/>
      </w:r>
      <w:r w:rsidRPr="005A2723">
        <w:rPr>
          <w:rFonts w:ascii="Times New Roman" w:hAnsi="Times New Roman" w:cs="Times New Roman"/>
          <w:sz w:val="18"/>
          <w:szCs w:val="18"/>
        </w:rPr>
        <w:t xml:space="preserve"> Meet Your Candidate. </w:t>
      </w:r>
      <w:r w:rsidRPr="005A2723">
        <w:rPr>
          <w:rFonts w:ascii="Times New Roman" w:hAnsi="Times New Roman" w:cs="Times New Roman"/>
          <w:i/>
          <w:sz w:val="18"/>
          <w:szCs w:val="18"/>
        </w:rPr>
        <w:t>Computer graphics: results of the 2020 municipal elections</w:t>
      </w:r>
      <w:r w:rsidRPr="005A2723">
        <w:rPr>
          <w:rFonts w:ascii="Times New Roman" w:hAnsi="Times New Roman" w:cs="Times New Roman"/>
          <w:sz w:val="18"/>
          <w:szCs w:val="18"/>
        </w:rPr>
        <w:t xml:space="preserve">. Conocetucandidata.com] UNDP, 2020. Online: </w:t>
      </w:r>
      <w:hyperlink r:id="rId16">
        <w:r w:rsidRPr="005A2723">
          <w:rPr>
            <w:rFonts w:ascii="Times New Roman" w:hAnsi="Times New Roman" w:cs="Times New Roman"/>
            <w:color w:val="0000FF"/>
            <w:sz w:val="18"/>
            <w:szCs w:val="18"/>
            <w:u w:val="single" w:color="0000FF"/>
          </w:rPr>
          <w:t>https://conocetucandidata.com/infografia-resultados-elecciones-municipales-2020/</w:t>
        </w:r>
      </w:hyperlink>
    </w:p>
  </w:footnote>
  <w:footnote w:id="14">
    <w:p w:rsidR="001F4491" w:rsidRPr="005A2723" w:rsidRDefault="001F4491" w:rsidP="005A2723">
      <w:pPr>
        <w:pStyle w:val="FootnoteText"/>
        <w:tabs>
          <w:tab w:val="left" w:pos="450"/>
        </w:tabs>
        <w:ind w:left="191"/>
        <w:rPr>
          <w:rFonts w:ascii="Times New Roman" w:hAnsi="Times New Roman" w:cs="Times New Roman"/>
          <w:sz w:val="18"/>
          <w:szCs w:val="18"/>
        </w:rPr>
      </w:pPr>
      <w:r w:rsidRPr="005A2723">
        <w:rPr>
          <w:rStyle w:val="FootnoteReference"/>
          <w:rFonts w:ascii="Times New Roman" w:hAnsi="Times New Roman" w:cs="Times New Roman"/>
          <w:sz w:val="18"/>
          <w:szCs w:val="18"/>
        </w:rPr>
        <w:footnoteRef/>
      </w:r>
      <w:r w:rsidRPr="005A2723">
        <w:rPr>
          <w:rFonts w:ascii="Times New Roman" w:hAnsi="Times New Roman" w:cs="Times New Roman"/>
          <w:sz w:val="18"/>
          <w:szCs w:val="18"/>
        </w:rPr>
        <w:t xml:space="preserve"> See:</w:t>
      </w:r>
      <w:r w:rsidRPr="005A2723">
        <w:rPr>
          <w:rFonts w:ascii="Times New Roman" w:hAnsi="Times New Roman" w:cs="Times New Roman"/>
          <w:sz w:val="18"/>
          <w:szCs w:val="18"/>
        </w:rPr>
        <w:tab/>
        <w:t>Diario</w:t>
      </w:r>
      <w:r w:rsidRPr="005A2723">
        <w:rPr>
          <w:rFonts w:ascii="Times New Roman" w:hAnsi="Times New Roman" w:cs="Times New Roman"/>
          <w:sz w:val="18"/>
          <w:szCs w:val="18"/>
        </w:rPr>
        <w:tab/>
        <w:t>Libre.</w:t>
      </w:r>
      <w:r w:rsidRPr="005A2723">
        <w:rPr>
          <w:rFonts w:ascii="Times New Roman" w:hAnsi="Times New Roman" w:cs="Times New Roman"/>
          <w:sz w:val="18"/>
          <w:szCs w:val="18"/>
        </w:rPr>
        <w:tab/>
      </w:r>
      <w:r w:rsidRPr="005A2723">
        <w:rPr>
          <w:rFonts w:ascii="Times New Roman" w:hAnsi="Times New Roman" w:cs="Times New Roman"/>
          <w:i/>
          <w:sz w:val="18"/>
          <w:szCs w:val="18"/>
        </w:rPr>
        <w:t>"Parties</w:t>
      </w:r>
      <w:r w:rsidRPr="005A2723">
        <w:rPr>
          <w:rFonts w:ascii="Times New Roman" w:hAnsi="Times New Roman" w:cs="Times New Roman"/>
          <w:i/>
          <w:sz w:val="18"/>
          <w:szCs w:val="18"/>
        </w:rPr>
        <w:tab/>
        <w:t>place</w:t>
      </w:r>
      <w:r w:rsidRPr="005A2723">
        <w:rPr>
          <w:rFonts w:ascii="Times New Roman" w:hAnsi="Times New Roman" w:cs="Times New Roman"/>
          <w:i/>
          <w:sz w:val="18"/>
          <w:szCs w:val="18"/>
        </w:rPr>
        <w:tab/>
        <w:t>wives</w:t>
      </w:r>
      <w:r w:rsidRPr="005A2723">
        <w:rPr>
          <w:rFonts w:ascii="Times New Roman" w:hAnsi="Times New Roman" w:cs="Times New Roman"/>
          <w:i/>
          <w:sz w:val="18"/>
          <w:szCs w:val="18"/>
        </w:rPr>
        <w:tab/>
        <w:t>of</w:t>
      </w:r>
      <w:r w:rsidRPr="005A2723">
        <w:rPr>
          <w:rFonts w:ascii="Times New Roman" w:hAnsi="Times New Roman" w:cs="Times New Roman"/>
          <w:i/>
          <w:sz w:val="18"/>
          <w:szCs w:val="18"/>
        </w:rPr>
        <w:tab/>
        <w:t>deputies</w:t>
      </w:r>
      <w:r w:rsidRPr="005A2723">
        <w:rPr>
          <w:rFonts w:ascii="Times New Roman" w:hAnsi="Times New Roman" w:cs="Times New Roman"/>
          <w:i/>
          <w:sz w:val="18"/>
          <w:szCs w:val="18"/>
        </w:rPr>
        <w:tab/>
        <w:t>for</w:t>
      </w:r>
      <w:r w:rsidRPr="005A2723">
        <w:rPr>
          <w:rFonts w:ascii="Times New Roman" w:hAnsi="Times New Roman" w:cs="Times New Roman"/>
          <w:i/>
          <w:sz w:val="18"/>
          <w:szCs w:val="18"/>
        </w:rPr>
        <w:tab/>
        <w:t>quotas</w:t>
      </w:r>
      <w:r w:rsidRPr="005A2723">
        <w:rPr>
          <w:rFonts w:ascii="Times New Roman" w:hAnsi="Times New Roman" w:cs="Times New Roman"/>
          <w:sz w:val="18"/>
          <w:szCs w:val="18"/>
        </w:rPr>
        <w:t>."</w:t>
      </w:r>
      <w:r w:rsidRPr="005A2723">
        <w:rPr>
          <w:rFonts w:ascii="Times New Roman" w:hAnsi="Times New Roman" w:cs="Times New Roman"/>
          <w:sz w:val="18"/>
          <w:szCs w:val="18"/>
        </w:rPr>
        <w:tab/>
      </w:r>
      <w:r w:rsidRPr="005A2723">
        <w:rPr>
          <w:rFonts w:ascii="Times New Roman" w:hAnsi="Times New Roman" w:cs="Times New Roman"/>
          <w:spacing w:val="-4"/>
          <w:sz w:val="18"/>
          <w:szCs w:val="18"/>
        </w:rPr>
        <w:t xml:space="preserve">Online: </w:t>
      </w:r>
      <w:hyperlink r:id="rId17">
        <w:r w:rsidRPr="005A2723">
          <w:rPr>
            <w:rFonts w:ascii="Times New Roman" w:hAnsi="Times New Roman" w:cs="Times New Roman"/>
            <w:color w:val="0000FF"/>
            <w:sz w:val="18"/>
            <w:szCs w:val="18"/>
            <w:u w:val="single" w:color="0000FF"/>
          </w:rPr>
          <w:t>https://www.diariolibre.com/actualidad/politica/partidos-colocan-esposas-de-diputados-para-cuotas-CG15574767</w:t>
        </w:r>
      </w:hyperlink>
    </w:p>
  </w:footnote>
  <w:footnote w:id="15">
    <w:p w:rsidR="001F4491" w:rsidRDefault="001F4491" w:rsidP="005A2723">
      <w:pPr>
        <w:pStyle w:val="FootnoteText"/>
        <w:tabs>
          <w:tab w:val="left" w:pos="450"/>
        </w:tabs>
        <w:ind w:left="191"/>
      </w:pPr>
      <w:r w:rsidRPr="005A2723">
        <w:rPr>
          <w:rStyle w:val="FootnoteReference"/>
          <w:rFonts w:ascii="Times New Roman" w:hAnsi="Times New Roman" w:cs="Times New Roman"/>
          <w:sz w:val="18"/>
          <w:szCs w:val="18"/>
        </w:rPr>
        <w:footnoteRef/>
      </w:r>
      <w:r w:rsidRPr="005A2723">
        <w:rPr>
          <w:rFonts w:ascii="Times New Roman" w:hAnsi="Times New Roman" w:cs="Times New Roman"/>
          <w:sz w:val="18"/>
          <w:szCs w:val="18"/>
        </w:rPr>
        <w:t xml:space="preserve"> Meet Your Candidate. </w:t>
      </w:r>
      <w:r w:rsidRPr="005A2723">
        <w:rPr>
          <w:rFonts w:ascii="Times New Roman" w:hAnsi="Times New Roman" w:cs="Times New Roman"/>
          <w:i/>
          <w:sz w:val="18"/>
          <w:szCs w:val="18"/>
        </w:rPr>
        <w:t>Computer graphics: results of the 2020 municipal elections</w:t>
      </w:r>
      <w:r w:rsidRPr="005A2723">
        <w:rPr>
          <w:rFonts w:ascii="Times New Roman" w:hAnsi="Times New Roman" w:cs="Times New Roman"/>
          <w:sz w:val="18"/>
          <w:szCs w:val="18"/>
        </w:rPr>
        <w:t xml:space="preserve">. Conocetucandidata.com] UNDP, 2020. Available at: </w:t>
      </w:r>
      <w:hyperlink r:id="rId18">
        <w:r w:rsidRPr="005A2723">
          <w:rPr>
            <w:rFonts w:ascii="Times New Roman" w:hAnsi="Times New Roman" w:cs="Times New Roman"/>
            <w:color w:val="0000FF"/>
            <w:sz w:val="18"/>
            <w:szCs w:val="18"/>
            <w:u w:val="single" w:color="0000FF"/>
          </w:rPr>
          <w:t>https://conocetucandidata.com/infografia-resultados-elecciones-municipales-2020/</w:t>
        </w:r>
      </w:hyperlink>
    </w:p>
  </w:footnote>
  <w:footnote w:id="16">
    <w:p w:rsidR="005A2723" w:rsidRPr="005A2723" w:rsidRDefault="005A2723">
      <w:pPr>
        <w:pStyle w:val="FootnoteText"/>
        <w:rPr>
          <w:rFonts w:ascii="Times New Roman" w:hAnsi="Times New Roman" w:cs="Times New Roman"/>
          <w:sz w:val="18"/>
          <w:szCs w:val="18"/>
          <w:lang w:val="es-ES"/>
        </w:rPr>
      </w:pPr>
      <w:r>
        <w:rPr>
          <w:rStyle w:val="FootnoteReference"/>
        </w:rPr>
        <w:footnoteRef/>
      </w:r>
      <w:r w:rsidRPr="005A2723">
        <w:rPr>
          <w:lang w:val="es-ES"/>
        </w:rPr>
        <w:t xml:space="preserve"> </w:t>
      </w:r>
      <w:r w:rsidRPr="005A2723">
        <w:rPr>
          <w:rFonts w:ascii="Times New Roman" w:hAnsi="Times New Roman" w:cs="Times New Roman"/>
          <w:sz w:val="18"/>
          <w:szCs w:val="18"/>
          <w:lang w:val="es-ES"/>
        </w:rPr>
        <w:t>Centro de Estudios de Género de INTEC- Las deudas sociales del país con las mujeres- enero 2019, p.25 See https://www.intec.edu.do/downloads/documents/CEG/Las_deudas_sociales_del_pais_con_las_mujeres.pdf</w:t>
      </w:r>
    </w:p>
  </w:footnote>
  <w:footnote w:id="17">
    <w:p w:rsidR="005A2723" w:rsidRDefault="005A2723" w:rsidP="00DC22F2">
      <w:pPr>
        <w:pStyle w:val="FootnoteText"/>
      </w:pPr>
      <w:r>
        <w:rPr>
          <w:rStyle w:val="FootnoteReference"/>
        </w:rPr>
        <w:footnoteRef/>
      </w:r>
      <w:r>
        <w:t xml:space="preserve"> </w:t>
      </w:r>
      <w:r w:rsidRPr="005A2723">
        <w:rPr>
          <w:rFonts w:ascii="Times New Roman" w:hAnsi="Times New Roman" w:cs="Times New Roman"/>
          <w:sz w:val="18"/>
          <w:szCs w:val="18"/>
        </w:rPr>
        <w:t>Ministry of Women's Affairs - National Gender Equality and Equity Plan Topic Education page 186 See https://cne.one.gob.do/sei/pdf/PLANEG%20III.pdf</w:t>
      </w:r>
    </w:p>
  </w:footnote>
  <w:footnote w:id="18">
    <w:p w:rsidR="00DC22F2" w:rsidRPr="00156EC0" w:rsidRDefault="00DC22F2" w:rsidP="00DC22F2">
      <w:pPr>
        <w:spacing w:line="259" w:lineRule="auto"/>
        <w:ind w:right="714"/>
        <w:rPr>
          <w:rFonts w:ascii="Times New Roman" w:hAnsi="Times New Roman" w:cs="Times New Roman"/>
          <w:sz w:val="18"/>
          <w:szCs w:val="18"/>
        </w:rPr>
      </w:pPr>
      <w:r w:rsidRPr="00156EC0">
        <w:rPr>
          <w:rStyle w:val="FootnoteReference"/>
          <w:rFonts w:ascii="Times New Roman" w:hAnsi="Times New Roman" w:cs="Times New Roman"/>
          <w:sz w:val="18"/>
          <w:szCs w:val="18"/>
        </w:rPr>
        <w:footnoteRef/>
      </w:r>
      <w:r w:rsidRPr="00156EC0">
        <w:rPr>
          <w:rFonts w:ascii="Times New Roman" w:hAnsi="Times New Roman" w:cs="Times New Roman"/>
          <w:sz w:val="18"/>
          <w:szCs w:val="18"/>
        </w:rPr>
        <w:t xml:space="preserve"> UNDP-DR, Human Development Report 2015 </w:t>
      </w:r>
      <w:hyperlink r:id="rId19">
        <w:r w:rsidRPr="00156EC0">
          <w:rPr>
            <w:rFonts w:ascii="Times New Roman" w:hAnsi="Times New Roman" w:cs="Times New Roman"/>
            <w:color w:val="0000FF"/>
            <w:w w:val="95"/>
            <w:sz w:val="18"/>
            <w:szCs w:val="18"/>
            <w:u w:val="single" w:color="0000FF"/>
          </w:rPr>
          <w:t>http://www.do.undp.org/content/dominican_republic/es/home/library/human_development/informe-sobre-desarrollo-</w:t>
        </w:r>
      </w:hyperlink>
      <w:r w:rsidRPr="00156EC0">
        <w:rPr>
          <w:rFonts w:ascii="Times New Roman" w:hAnsi="Times New Roman" w:cs="Times New Roman"/>
          <w:color w:val="0000FF"/>
          <w:w w:val="95"/>
          <w:sz w:val="18"/>
          <w:szCs w:val="18"/>
        </w:rPr>
        <w:t xml:space="preserve"> </w:t>
      </w:r>
      <w:r w:rsidRPr="00156EC0">
        <w:rPr>
          <w:rFonts w:ascii="Times New Roman" w:hAnsi="Times New Roman" w:cs="Times New Roman"/>
          <w:color w:val="0000FF"/>
          <w:sz w:val="18"/>
          <w:szCs w:val="18"/>
          <w:u w:val="single" w:color="0000FF"/>
        </w:rPr>
        <w:t>humano-2015.html</w:t>
      </w:r>
    </w:p>
  </w:footnote>
  <w:footnote w:id="19">
    <w:p w:rsidR="00DC22F2" w:rsidRDefault="00DC22F2">
      <w:pPr>
        <w:pStyle w:val="FootnoteText"/>
      </w:pPr>
      <w:r w:rsidRPr="00156EC0">
        <w:rPr>
          <w:rStyle w:val="FootnoteReference"/>
          <w:rFonts w:ascii="Times New Roman" w:hAnsi="Times New Roman" w:cs="Times New Roman"/>
          <w:sz w:val="18"/>
          <w:szCs w:val="18"/>
        </w:rPr>
        <w:footnoteRef/>
      </w:r>
      <w:r w:rsidRPr="00156EC0">
        <w:rPr>
          <w:rFonts w:ascii="Times New Roman" w:hAnsi="Times New Roman" w:cs="Times New Roman"/>
          <w:sz w:val="18"/>
          <w:szCs w:val="18"/>
        </w:rPr>
        <w:t xml:space="preserve"> With information from the Report of the results of the Call 2019 of the National Fund for Innovation and Scientific and Technological Development (FONDOCYT)</w:t>
      </w:r>
    </w:p>
  </w:footnote>
  <w:footnote w:id="20">
    <w:p w:rsidR="00DC22F2" w:rsidRPr="00DC22F2" w:rsidRDefault="00DC22F2">
      <w:pPr>
        <w:pStyle w:val="FootnoteText"/>
        <w:rPr>
          <w:rFonts w:ascii="Times New Roman" w:hAnsi="Times New Roman" w:cs="Times New Roman"/>
          <w:sz w:val="18"/>
          <w:szCs w:val="18"/>
        </w:rPr>
      </w:pPr>
      <w:r w:rsidRPr="00DC22F2">
        <w:rPr>
          <w:rStyle w:val="FootnoteReference"/>
          <w:rFonts w:ascii="Times New Roman" w:hAnsi="Times New Roman" w:cs="Times New Roman"/>
          <w:sz w:val="18"/>
          <w:szCs w:val="18"/>
        </w:rPr>
        <w:footnoteRef/>
      </w:r>
      <w:r w:rsidRPr="00DC22F2">
        <w:rPr>
          <w:rFonts w:ascii="Times New Roman" w:hAnsi="Times New Roman" w:cs="Times New Roman"/>
          <w:sz w:val="18"/>
          <w:szCs w:val="18"/>
        </w:rPr>
        <w:t xml:space="preserve"> SISDOM 2016 See </w:t>
      </w:r>
      <w:hyperlink r:id="rId20">
        <w:r w:rsidRPr="00DC22F2">
          <w:rPr>
            <w:rFonts w:ascii="Times New Roman" w:hAnsi="Times New Roman" w:cs="Times New Roman"/>
            <w:color w:val="0462C1"/>
            <w:sz w:val="18"/>
            <w:szCs w:val="18"/>
            <w:u w:val="single" w:color="0462C1"/>
          </w:rPr>
          <w:t>http://economia.gob.do/wp-</w:t>
        </w:r>
      </w:hyperlink>
      <w:r w:rsidRPr="00DC22F2">
        <w:rPr>
          <w:rFonts w:ascii="Times New Roman" w:hAnsi="Times New Roman" w:cs="Times New Roman"/>
          <w:color w:val="0462C1"/>
          <w:sz w:val="18"/>
          <w:szCs w:val="18"/>
        </w:rPr>
        <w:t xml:space="preserve"> </w:t>
      </w:r>
      <w:r w:rsidRPr="00DC22F2">
        <w:rPr>
          <w:rFonts w:ascii="Times New Roman" w:hAnsi="Times New Roman" w:cs="Times New Roman"/>
          <w:color w:val="0462C1"/>
          <w:w w:val="95"/>
          <w:sz w:val="18"/>
          <w:szCs w:val="18"/>
          <w:u w:val="single" w:color="0462C1"/>
        </w:rPr>
        <w:t>content/uploads/drive/UAAES/SISDOM/2016/Datos%20estadisticos/SISDOM%202016.%20Volumen%20II%20Serie%20</w:t>
      </w:r>
      <w:r w:rsidRPr="00DC22F2">
        <w:rPr>
          <w:rFonts w:ascii="Times New Roman" w:hAnsi="Times New Roman" w:cs="Times New Roman"/>
          <w:color w:val="0462C1"/>
          <w:w w:val="95"/>
          <w:sz w:val="18"/>
          <w:szCs w:val="18"/>
        </w:rPr>
        <w:t xml:space="preserve"> </w:t>
      </w:r>
      <w:r w:rsidRPr="00DC22F2">
        <w:rPr>
          <w:rFonts w:ascii="Times New Roman" w:hAnsi="Times New Roman" w:cs="Times New Roman"/>
          <w:color w:val="0462C1"/>
          <w:sz w:val="18"/>
          <w:szCs w:val="18"/>
          <w:u w:val="single" w:color="0462C1"/>
        </w:rPr>
        <w:t>de%20Datos.pdf</w:t>
      </w:r>
    </w:p>
  </w:footnote>
  <w:footnote w:id="21">
    <w:p w:rsidR="00DC22F2" w:rsidRPr="00DC22F2" w:rsidRDefault="00DC22F2">
      <w:pPr>
        <w:pStyle w:val="FootnoteText"/>
        <w:rPr>
          <w:rFonts w:ascii="Times New Roman" w:hAnsi="Times New Roman" w:cs="Times New Roman"/>
          <w:sz w:val="18"/>
          <w:szCs w:val="18"/>
        </w:rPr>
      </w:pPr>
      <w:r w:rsidRPr="00DC22F2">
        <w:rPr>
          <w:rStyle w:val="FootnoteReference"/>
          <w:rFonts w:ascii="Times New Roman" w:hAnsi="Times New Roman" w:cs="Times New Roman"/>
          <w:sz w:val="18"/>
          <w:szCs w:val="18"/>
        </w:rPr>
        <w:footnoteRef/>
      </w:r>
      <w:r w:rsidRPr="00DC22F2">
        <w:rPr>
          <w:rFonts w:ascii="Times New Roman" w:hAnsi="Times New Roman" w:cs="Times New Roman"/>
          <w:sz w:val="18"/>
          <w:szCs w:val="18"/>
        </w:rPr>
        <w:t xml:space="preserve"> National Statistics Office and Ministry of Women 2018. Unpaid work in the Dominican Republic: analysis based on the time use module of ENHOGAR 2016 </w:t>
      </w:r>
      <w:hyperlink r:id="rId21">
        <w:r w:rsidRPr="00DC22F2">
          <w:rPr>
            <w:rFonts w:ascii="Times New Roman" w:hAnsi="Times New Roman" w:cs="Times New Roman"/>
            <w:color w:val="0462C1"/>
            <w:sz w:val="18"/>
            <w:szCs w:val="18"/>
            <w:u w:val="single" w:color="0462C1"/>
          </w:rPr>
          <w:t>https://oig.cepal.org/es/documentos/trabajo-no-remunerado-republica-dominicana-un-</w:t>
        </w:r>
      </w:hyperlink>
      <w:r w:rsidRPr="00DC22F2">
        <w:rPr>
          <w:rFonts w:ascii="Times New Roman" w:hAnsi="Times New Roman" w:cs="Times New Roman"/>
          <w:color w:val="0462C1"/>
          <w:sz w:val="18"/>
          <w:szCs w:val="18"/>
        </w:rPr>
        <w:t xml:space="preserve"> </w:t>
      </w:r>
      <w:hyperlink r:id="rId22">
        <w:r w:rsidRPr="00DC22F2">
          <w:rPr>
            <w:rFonts w:ascii="Times New Roman" w:hAnsi="Times New Roman" w:cs="Times New Roman"/>
            <w:color w:val="0462C1"/>
            <w:sz w:val="18"/>
            <w:szCs w:val="18"/>
            <w:u w:val="single" w:color="0462C1"/>
          </w:rPr>
          <w:t>analisis-partir-modulo-uso-tiempo-la</w:t>
        </w:r>
      </w:hyperlink>
    </w:p>
  </w:footnote>
  <w:footnote w:id="22">
    <w:p w:rsidR="00E36586" w:rsidRPr="00E36586" w:rsidRDefault="00E36586" w:rsidP="00E36586">
      <w:pPr>
        <w:spacing w:before="67"/>
        <w:ind w:left="191" w:right="123"/>
        <w:rPr>
          <w:rFonts w:ascii="Times New Roman" w:hAnsi="Times New Roman" w:cs="Times New Roman"/>
          <w:sz w:val="18"/>
          <w:szCs w:val="18"/>
        </w:rPr>
      </w:pPr>
      <w:r w:rsidRPr="00E36586">
        <w:rPr>
          <w:rStyle w:val="FootnoteReference"/>
          <w:rFonts w:ascii="Times New Roman" w:hAnsi="Times New Roman" w:cs="Times New Roman"/>
          <w:sz w:val="18"/>
          <w:szCs w:val="18"/>
        </w:rPr>
        <w:footnoteRef/>
      </w:r>
      <w:r w:rsidRPr="00E36586">
        <w:rPr>
          <w:rFonts w:ascii="Times New Roman" w:hAnsi="Times New Roman" w:cs="Times New Roman"/>
          <w:sz w:val="18"/>
          <w:szCs w:val="18"/>
        </w:rPr>
        <w:t xml:space="preserve"> UNDP- 2017 "Adolescent Pregnancy: a multidimensional challenge to generate opportunities in the life cycle" see </w:t>
      </w:r>
      <w:r w:rsidRPr="00E36586">
        <w:rPr>
          <w:rFonts w:ascii="Times New Roman" w:hAnsi="Times New Roman" w:cs="Times New Roman"/>
          <w:color w:val="0462C1"/>
          <w:sz w:val="18"/>
          <w:szCs w:val="18"/>
          <w:u w:val="single" w:color="0462C1"/>
        </w:rPr>
        <w:t>https://</w:t>
      </w:r>
      <w:hyperlink r:id="rId23">
        <w:r w:rsidRPr="00E36586">
          <w:rPr>
            <w:rFonts w:ascii="Times New Roman" w:hAnsi="Times New Roman" w:cs="Times New Roman"/>
            <w:color w:val="0462C1"/>
            <w:sz w:val="18"/>
            <w:szCs w:val="18"/>
            <w:u w:val="single" w:color="0462C1"/>
          </w:rPr>
          <w:t>www.undp.org/content/dam/dominican_republic/docs/odh/publicaciones/pnud_do_INDH2017.pdf</w:t>
        </w:r>
      </w:hyperlink>
    </w:p>
  </w:footnote>
  <w:footnote w:id="23">
    <w:p w:rsidR="00E36586" w:rsidRDefault="00E36586" w:rsidP="00E36586">
      <w:pPr>
        <w:pStyle w:val="FootnoteText"/>
        <w:ind w:left="191"/>
      </w:pPr>
      <w:r w:rsidRPr="00E36586">
        <w:rPr>
          <w:rStyle w:val="FootnoteReference"/>
          <w:rFonts w:ascii="Times New Roman" w:hAnsi="Times New Roman" w:cs="Times New Roman"/>
          <w:sz w:val="18"/>
          <w:szCs w:val="18"/>
        </w:rPr>
        <w:footnoteRef/>
      </w:r>
      <w:r w:rsidRPr="00E36586">
        <w:rPr>
          <w:rFonts w:ascii="Times New Roman" w:hAnsi="Times New Roman" w:cs="Times New Roman"/>
          <w:sz w:val="18"/>
          <w:szCs w:val="18"/>
        </w:rPr>
        <w:t xml:space="preserve"> Social Policy Coordination Cabinet - National Plan for Adolescent Pregnancy Reduction 2019-2023 - </w:t>
      </w:r>
      <w:r w:rsidRPr="00E36586">
        <w:rPr>
          <w:rFonts w:ascii="Times New Roman" w:hAnsi="Times New Roman" w:cs="Times New Roman"/>
          <w:color w:val="0462C1"/>
          <w:sz w:val="18"/>
          <w:szCs w:val="18"/>
          <w:u w:val="single" w:color="0462C1"/>
        </w:rPr>
        <w:t>https://repositorio.msp.gob.do/handle/123456789/1218</w:t>
      </w:r>
    </w:p>
  </w:footnote>
  <w:footnote w:id="24">
    <w:p w:rsidR="00BE7811" w:rsidRPr="00BE7811" w:rsidRDefault="00BE7811">
      <w:pPr>
        <w:pStyle w:val="FootnoteText"/>
        <w:rPr>
          <w:rFonts w:ascii="Times New Roman" w:hAnsi="Times New Roman" w:cs="Times New Roman"/>
          <w:sz w:val="18"/>
          <w:szCs w:val="18"/>
        </w:rPr>
      </w:pPr>
      <w:r w:rsidRPr="00BE7811">
        <w:rPr>
          <w:rStyle w:val="FootnoteReference"/>
          <w:rFonts w:ascii="Times New Roman" w:hAnsi="Times New Roman" w:cs="Times New Roman"/>
          <w:sz w:val="18"/>
          <w:szCs w:val="18"/>
        </w:rPr>
        <w:footnoteRef/>
      </w:r>
      <w:r w:rsidRPr="00BE7811">
        <w:rPr>
          <w:rFonts w:ascii="Times New Roman" w:hAnsi="Times New Roman" w:cs="Times New Roman"/>
          <w:sz w:val="18"/>
          <w:szCs w:val="18"/>
        </w:rPr>
        <w:t xml:space="preserve"> Ministry of Public Health. Dominican Republic. Hospital Services Production Statistics. January - December 2019. </w:t>
      </w:r>
      <w:hyperlink r:id="rId24" w:anchor="EIPSSS">
        <w:r w:rsidRPr="00BE7811">
          <w:rPr>
            <w:rFonts w:ascii="Times New Roman" w:hAnsi="Times New Roman" w:cs="Times New Roman"/>
            <w:color w:val="0462C1"/>
            <w:sz w:val="18"/>
            <w:szCs w:val="18"/>
            <w:u w:val="single" w:color="0462C1"/>
          </w:rPr>
          <w:t>https://www.msp.gob.do/web/Transparencia/estadisticas-institucionales/#EIPSSS</w:t>
        </w:r>
      </w:hyperlink>
    </w:p>
  </w:footnote>
  <w:footnote w:id="25">
    <w:p w:rsidR="00BE7811" w:rsidRPr="00BE7811" w:rsidRDefault="00BE7811">
      <w:pPr>
        <w:pStyle w:val="FootnoteText"/>
        <w:rPr>
          <w:rFonts w:ascii="Times New Roman" w:hAnsi="Times New Roman" w:cs="Times New Roman"/>
          <w:sz w:val="18"/>
          <w:szCs w:val="18"/>
        </w:rPr>
      </w:pPr>
      <w:r w:rsidRPr="00BE7811">
        <w:rPr>
          <w:rStyle w:val="FootnoteReference"/>
          <w:rFonts w:ascii="Times New Roman" w:hAnsi="Times New Roman" w:cs="Times New Roman"/>
          <w:sz w:val="18"/>
          <w:szCs w:val="18"/>
        </w:rPr>
        <w:footnoteRef/>
      </w:r>
      <w:r w:rsidRPr="00BE7811">
        <w:rPr>
          <w:rFonts w:ascii="Times New Roman" w:hAnsi="Times New Roman" w:cs="Times New Roman"/>
          <w:sz w:val="18"/>
          <w:szCs w:val="18"/>
        </w:rPr>
        <w:t xml:space="preserve"> Attorney General's Office. Directorate of Statistics and Analysis. Preliminary report on the number of cases registered in the various prosecutor's offices. Year 2019, and information obtained by request via access to public information.</w:t>
      </w:r>
    </w:p>
  </w:footnote>
  <w:footnote w:id="26">
    <w:p w:rsidR="00BE7811" w:rsidRDefault="00BE7811">
      <w:pPr>
        <w:pStyle w:val="FootnoteText"/>
      </w:pPr>
      <w:r w:rsidRPr="00BE7811">
        <w:rPr>
          <w:rStyle w:val="FootnoteReference"/>
          <w:rFonts w:ascii="Times New Roman" w:hAnsi="Times New Roman" w:cs="Times New Roman"/>
          <w:sz w:val="18"/>
          <w:szCs w:val="18"/>
        </w:rPr>
        <w:footnoteRef/>
      </w:r>
      <w:r w:rsidRPr="00BE7811">
        <w:rPr>
          <w:rFonts w:ascii="Times New Roman" w:hAnsi="Times New Roman" w:cs="Times New Roman"/>
          <w:sz w:val="18"/>
          <w:szCs w:val="18"/>
        </w:rPr>
        <w:t xml:space="preserve"> General Directorate of Prisons. General statistics on the typology of crimes. 2018</w:t>
      </w:r>
    </w:p>
  </w:footnote>
  <w:footnote w:id="27">
    <w:p w:rsidR="002A5B8E" w:rsidRDefault="002A5B8E">
      <w:pPr>
        <w:pStyle w:val="FootnoteText"/>
      </w:pPr>
      <w:r>
        <w:rPr>
          <w:rStyle w:val="FootnoteReference"/>
        </w:rPr>
        <w:footnoteRef/>
      </w:r>
      <w:r>
        <w:t xml:space="preserve"> </w:t>
      </w:r>
      <w:r w:rsidRPr="002A5B8E">
        <w:rPr>
          <w:rFonts w:ascii="Times New Roman" w:hAnsi="Times New Roman" w:cs="Times New Roman"/>
          <w:sz w:val="18"/>
          <w:szCs w:val="18"/>
        </w:rPr>
        <w:t>National Statistics Office. National Multipurpose Household Survey 2014. Main results. 2015, p. 24</w:t>
      </w:r>
    </w:p>
  </w:footnote>
  <w:footnote w:id="28">
    <w:p w:rsidR="002A5B8E" w:rsidRDefault="002A5B8E">
      <w:pPr>
        <w:pStyle w:val="FootnoteText"/>
      </w:pPr>
      <w:r>
        <w:rPr>
          <w:rStyle w:val="FootnoteReference"/>
        </w:rPr>
        <w:footnoteRef/>
      </w:r>
      <w:r>
        <w:t xml:space="preserve"> </w:t>
      </w:r>
      <w:r w:rsidRPr="002A5B8E">
        <w:rPr>
          <w:rFonts w:ascii="Times New Roman" w:hAnsi="Times New Roman" w:cs="Times New Roman"/>
          <w:sz w:val="18"/>
          <w:szCs w:val="18"/>
        </w:rPr>
        <w:t>TINEO, J. D. Handcuffed girls: Characterization of forced child marriage in the provinces of Azua, Barahona, Pedernales, Elías Piña and San Juan [online]. Approaches. Dominican Republic: Plan International, March 2017, No. 2. ISBN 2518- 895X. Available at: https://plan-international.org/sites/files/plan/field/field_document/planteamientos_2_arte_final_print.pdf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B85C49"/>
    <w:multiLevelType w:val="hybridMultilevel"/>
    <w:tmpl w:val="27B495D8"/>
    <w:lvl w:ilvl="0" w:tplc="EB001D3A">
      <w:start w:val="1"/>
      <w:numFmt w:val="decimal"/>
      <w:lvlText w:val="%1."/>
      <w:lvlJc w:val="left"/>
      <w:pPr>
        <w:ind w:left="911" w:hanging="360"/>
        <w:jc w:val="left"/>
      </w:pPr>
      <w:rPr>
        <w:rFonts w:ascii="Arial" w:eastAsia="Arial" w:hAnsi="Arial" w:cs="Arial" w:hint="default"/>
        <w:spacing w:val="-1"/>
        <w:w w:val="100"/>
        <w:sz w:val="22"/>
        <w:szCs w:val="22"/>
        <w:lang w:val="en-US" w:eastAsia="en-US" w:bidi="ar-SA"/>
      </w:rPr>
    </w:lvl>
    <w:lvl w:ilvl="1" w:tplc="B0E4971C">
      <w:numFmt w:val="bullet"/>
      <w:lvlText w:val="•"/>
      <w:lvlJc w:val="left"/>
      <w:pPr>
        <w:ind w:left="1858" w:hanging="360"/>
      </w:pPr>
      <w:rPr>
        <w:rFonts w:hint="default"/>
        <w:lang w:val="en-US" w:eastAsia="en-US" w:bidi="ar-SA"/>
      </w:rPr>
    </w:lvl>
    <w:lvl w:ilvl="2" w:tplc="8776436E">
      <w:numFmt w:val="bullet"/>
      <w:lvlText w:val="•"/>
      <w:lvlJc w:val="left"/>
      <w:pPr>
        <w:ind w:left="2796" w:hanging="360"/>
      </w:pPr>
      <w:rPr>
        <w:rFonts w:hint="default"/>
        <w:lang w:val="en-US" w:eastAsia="en-US" w:bidi="ar-SA"/>
      </w:rPr>
    </w:lvl>
    <w:lvl w:ilvl="3" w:tplc="55A4CDC0">
      <w:numFmt w:val="bullet"/>
      <w:lvlText w:val="•"/>
      <w:lvlJc w:val="left"/>
      <w:pPr>
        <w:ind w:left="3734" w:hanging="360"/>
      </w:pPr>
      <w:rPr>
        <w:rFonts w:hint="default"/>
        <w:lang w:val="en-US" w:eastAsia="en-US" w:bidi="ar-SA"/>
      </w:rPr>
    </w:lvl>
    <w:lvl w:ilvl="4" w:tplc="CA9AEAA2">
      <w:numFmt w:val="bullet"/>
      <w:lvlText w:val="•"/>
      <w:lvlJc w:val="left"/>
      <w:pPr>
        <w:ind w:left="4672" w:hanging="360"/>
      </w:pPr>
      <w:rPr>
        <w:rFonts w:hint="default"/>
        <w:lang w:val="en-US" w:eastAsia="en-US" w:bidi="ar-SA"/>
      </w:rPr>
    </w:lvl>
    <w:lvl w:ilvl="5" w:tplc="C652B588">
      <w:numFmt w:val="bullet"/>
      <w:lvlText w:val="•"/>
      <w:lvlJc w:val="left"/>
      <w:pPr>
        <w:ind w:left="5610" w:hanging="360"/>
      </w:pPr>
      <w:rPr>
        <w:rFonts w:hint="default"/>
        <w:lang w:val="en-US" w:eastAsia="en-US" w:bidi="ar-SA"/>
      </w:rPr>
    </w:lvl>
    <w:lvl w:ilvl="6" w:tplc="A7DAD53E">
      <w:numFmt w:val="bullet"/>
      <w:lvlText w:val="•"/>
      <w:lvlJc w:val="left"/>
      <w:pPr>
        <w:ind w:left="6548" w:hanging="360"/>
      </w:pPr>
      <w:rPr>
        <w:rFonts w:hint="default"/>
        <w:lang w:val="en-US" w:eastAsia="en-US" w:bidi="ar-SA"/>
      </w:rPr>
    </w:lvl>
    <w:lvl w:ilvl="7" w:tplc="25C8D652">
      <w:numFmt w:val="bullet"/>
      <w:lvlText w:val="•"/>
      <w:lvlJc w:val="left"/>
      <w:pPr>
        <w:ind w:left="7486" w:hanging="360"/>
      </w:pPr>
      <w:rPr>
        <w:rFonts w:hint="default"/>
        <w:lang w:val="en-US" w:eastAsia="en-US" w:bidi="ar-SA"/>
      </w:rPr>
    </w:lvl>
    <w:lvl w:ilvl="8" w:tplc="BE8EEC90">
      <w:numFmt w:val="bullet"/>
      <w:lvlText w:val="•"/>
      <w:lvlJc w:val="left"/>
      <w:pPr>
        <w:ind w:left="8424" w:hanging="360"/>
      </w:pPr>
      <w:rPr>
        <w:rFonts w:hint="default"/>
        <w:lang w:val="en-US" w:eastAsia="en-US" w:bidi="ar-SA"/>
      </w:rPr>
    </w:lvl>
  </w:abstractNum>
  <w:abstractNum w:abstractNumId="1" w15:restartNumberingAfterBreak="0">
    <w:nsid w:val="3A0C25B8"/>
    <w:multiLevelType w:val="hybridMultilevel"/>
    <w:tmpl w:val="8618AE68"/>
    <w:lvl w:ilvl="0" w:tplc="5AEC99A6">
      <w:numFmt w:val="bullet"/>
      <w:lvlText w:val="-"/>
      <w:lvlJc w:val="left"/>
      <w:pPr>
        <w:ind w:left="911" w:hanging="360"/>
      </w:pPr>
      <w:rPr>
        <w:rFonts w:ascii="Arial" w:eastAsia="Arial" w:hAnsi="Arial" w:cs="Arial" w:hint="default"/>
        <w:w w:val="100"/>
        <w:sz w:val="22"/>
        <w:szCs w:val="22"/>
        <w:lang w:val="en-US" w:eastAsia="en-US" w:bidi="ar-SA"/>
      </w:rPr>
    </w:lvl>
    <w:lvl w:ilvl="1" w:tplc="FCA02A28">
      <w:numFmt w:val="bullet"/>
      <w:lvlText w:val="•"/>
      <w:lvlJc w:val="left"/>
      <w:pPr>
        <w:ind w:left="1858" w:hanging="360"/>
      </w:pPr>
      <w:rPr>
        <w:rFonts w:hint="default"/>
        <w:lang w:val="en-US" w:eastAsia="en-US" w:bidi="ar-SA"/>
      </w:rPr>
    </w:lvl>
    <w:lvl w:ilvl="2" w:tplc="BEF09D3E">
      <w:numFmt w:val="bullet"/>
      <w:lvlText w:val="•"/>
      <w:lvlJc w:val="left"/>
      <w:pPr>
        <w:ind w:left="2796" w:hanging="360"/>
      </w:pPr>
      <w:rPr>
        <w:rFonts w:hint="default"/>
        <w:lang w:val="en-US" w:eastAsia="en-US" w:bidi="ar-SA"/>
      </w:rPr>
    </w:lvl>
    <w:lvl w:ilvl="3" w:tplc="E1482254">
      <w:numFmt w:val="bullet"/>
      <w:lvlText w:val="•"/>
      <w:lvlJc w:val="left"/>
      <w:pPr>
        <w:ind w:left="3734" w:hanging="360"/>
      </w:pPr>
      <w:rPr>
        <w:rFonts w:hint="default"/>
        <w:lang w:val="en-US" w:eastAsia="en-US" w:bidi="ar-SA"/>
      </w:rPr>
    </w:lvl>
    <w:lvl w:ilvl="4" w:tplc="46F81F68">
      <w:numFmt w:val="bullet"/>
      <w:lvlText w:val="•"/>
      <w:lvlJc w:val="left"/>
      <w:pPr>
        <w:ind w:left="4672" w:hanging="360"/>
      </w:pPr>
      <w:rPr>
        <w:rFonts w:hint="default"/>
        <w:lang w:val="en-US" w:eastAsia="en-US" w:bidi="ar-SA"/>
      </w:rPr>
    </w:lvl>
    <w:lvl w:ilvl="5" w:tplc="56F2D658">
      <w:numFmt w:val="bullet"/>
      <w:lvlText w:val="•"/>
      <w:lvlJc w:val="left"/>
      <w:pPr>
        <w:ind w:left="5610" w:hanging="360"/>
      </w:pPr>
      <w:rPr>
        <w:rFonts w:hint="default"/>
        <w:lang w:val="en-US" w:eastAsia="en-US" w:bidi="ar-SA"/>
      </w:rPr>
    </w:lvl>
    <w:lvl w:ilvl="6" w:tplc="9ECA4DE8">
      <w:numFmt w:val="bullet"/>
      <w:lvlText w:val="•"/>
      <w:lvlJc w:val="left"/>
      <w:pPr>
        <w:ind w:left="6548" w:hanging="360"/>
      </w:pPr>
      <w:rPr>
        <w:rFonts w:hint="default"/>
        <w:lang w:val="en-US" w:eastAsia="en-US" w:bidi="ar-SA"/>
      </w:rPr>
    </w:lvl>
    <w:lvl w:ilvl="7" w:tplc="527CC3FA">
      <w:numFmt w:val="bullet"/>
      <w:lvlText w:val="•"/>
      <w:lvlJc w:val="left"/>
      <w:pPr>
        <w:ind w:left="7486" w:hanging="360"/>
      </w:pPr>
      <w:rPr>
        <w:rFonts w:hint="default"/>
        <w:lang w:val="en-US" w:eastAsia="en-US" w:bidi="ar-SA"/>
      </w:rPr>
    </w:lvl>
    <w:lvl w:ilvl="8" w:tplc="DBA26DAC">
      <w:numFmt w:val="bullet"/>
      <w:lvlText w:val="•"/>
      <w:lvlJc w:val="left"/>
      <w:pPr>
        <w:ind w:left="8424" w:hanging="360"/>
      </w:pPr>
      <w:rPr>
        <w:rFonts w:hint="default"/>
        <w:lang w:val="en-US" w:eastAsia="en-US" w:bidi="ar-SA"/>
      </w:rPr>
    </w:lvl>
  </w:abstractNum>
  <w:abstractNum w:abstractNumId="2" w15:restartNumberingAfterBreak="0">
    <w:nsid w:val="4E9E39D2"/>
    <w:multiLevelType w:val="hybridMultilevel"/>
    <w:tmpl w:val="DFCEA0C4"/>
    <w:lvl w:ilvl="0" w:tplc="1770AC26">
      <w:start w:val="1"/>
      <w:numFmt w:val="decimal"/>
      <w:lvlText w:val="%1."/>
      <w:lvlJc w:val="left"/>
      <w:pPr>
        <w:ind w:left="911" w:hanging="360"/>
        <w:jc w:val="left"/>
      </w:pPr>
      <w:rPr>
        <w:rFonts w:ascii="Arial" w:eastAsia="Arial" w:hAnsi="Arial" w:cs="Arial" w:hint="default"/>
        <w:spacing w:val="-1"/>
        <w:w w:val="100"/>
        <w:sz w:val="22"/>
        <w:szCs w:val="22"/>
        <w:lang w:val="en-US" w:eastAsia="en-US" w:bidi="ar-SA"/>
      </w:rPr>
    </w:lvl>
    <w:lvl w:ilvl="1" w:tplc="9FF85870">
      <w:start w:val="1"/>
      <w:numFmt w:val="decimal"/>
      <w:lvlText w:val="%2."/>
      <w:lvlJc w:val="left"/>
      <w:pPr>
        <w:ind w:left="911" w:hanging="269"/>
        <w:jc w:val="right"/>
      </w:pPr>
      <w:rPr>
        <w:rFonts w:ascii="Arial" w:eastAsia="Arial" w:hAnsi="Arial" w:cs="Arial" w:hint="default"/>
        <w:spacing w:val="-1"/>
        <w:w w:val="100"/>
        <w:sz w:val="22"/>
        <w:szCs w:val="22"/>
        <w:lang w:val="en-US" w:eastAsia="en-US" w:bidi="ar-SA"/>
      </w:rPr>
    </w:lvl>
    <w:lvl w:ilvl="2" w:tplc="40AC82FC">
      <w:start w:val="1"/>
      <w:numFmt w:val="decimal"/>
      <w:lvlText w:val="%3."/>
      <w:lvlJc w:val="left"/>
      <w:pPr>
        <w:ind w:left="1002" w:hanging="360"/>
        <w:jc w:val="left"/>
      </w:pPr>
      <w:rPr>
        <w:rFonts w:ascii="Arial" w:eastAsia="Arial" w:hAnsi="Arial" w:cs="Arial" w:hint="default"/>
        <w:spacing w:val="-1"/>
        <w:w w:val="100"/>
        <w:sz w:val="22"/>
        <w:szCs w:val="22"/>
        <w:lang w:val="en-US" w:eastAsia="en-US" w:bidi="ar-SA"/>
      </w:rPr>
    </w:lvl>
    <w:lvl w:ilvl="3" w:tplc="838ADAE2">
      <w:numFmt w:val="bullet"/>
      <w:lvlText w:val="•"/>
      <w:lvlJc w:val="left"/>
      <w:pPr>
        <w:ind w:left="3066" w:hanging="360"/>
      </w:pPr>
      <w:rPr>
        <w:rFonts w:hint="default"/>
        <w:lang w:val="en-US" w:eastAsia="en-US" w:bidi="ar-SA"/>
      </w:rPr>
    </w:lvl>
    <w:lvl w:ilvl="4" w:tplc="8DC8A298">
      <w:numFmt w:val="bullet"/>
      <w:lvlText w:val="•"/>
      <w:lvlJc w:val="left"/>
      <w:pPr>
        <w:ind w:left="4100" w:hanging="360"/>
      </w:pPr>
      <w:rPr>
        <w:rFonts w:hint="default"/>
        <w:lang w:val="en-US" w:eastAsia="en-US" w:bidi="ar-SA"/>
      </w:rPr>
    </w:lvl>
    <w:lvl w:ilvl="5" w:tplc="21C6EFB0">
      <w:numFmt w:val="bullet"/>
      <w:lvlText w:val="•"/>
      <w:lvlJc w:val="left"/>
      <w:pPr>
        <w:ind w:left="5133" w:hanging="360"/>
      </w:pPr>
      <w:rPr>
        <w:rFonts w:hint="default"/>
        <w:lang w:val="en-US" w:eastAsia="en-US" w:bidi="ar-SA"/>
      </w:rPr>
    </w:lvl>
    <w:lvl w:ilvl="6" w:tplc="F91647AC">
      <w:numFmt w:val="bullet"/>
      <w:lvlText w:val="•"/>
      <w:lvlJc w:val="left"/>
      <w:pPr>
        <w:ind w:left="6166" w:hanging="360"/>
      </w:pPr>
      <w:rPr>
        <w:rFonts w:hint="default"/>
        <w:lang w:val="en-US" w:eastAsia="en-US" w:bidi="ar-SA"/>
      </w:rPr>
    </w:lvl>
    <w:lvl w:ilvl="7" w:tplc="16262D42">
      <w:numFmt w:val="bullet"/>
      <w:lvlText w:val="•"/>
      <w:lvlJc w:val="left"/>
      <w:pPr>
        <w:ind w:left="7200" w:hanging="360"/>
      </w:pPr>
      <w:rPr>
        <w:rFonts w:hint="default"/>
        <w:lang w:val="en-US" w:eastAsia="en-US" w:bidi="ar-SA"/>
      </w:rPr>
    </w:lvl>
    <w:lvl w:ilvl="8" w:tplc="B8067484">
      <w:numFmt w:val="bullet"/>
      <w:lvlText w:val="•"/>
      <w:lvlJc w:val="left"/>
      <w:pPr>
        <w:ind w:left="8233" w:hanging="360"/>
      </w:pPr>
      <w:rPr>
        <w:rFonts w:hint="default"/>
        <w:lang w:val="en-US" w:eastAsia="en-US" w:bidi="ar-SA"/>
      </w:rPr>
    </w:lvl>
  </w:abstractNum>
  <w:abstractNum w:abstractNumId="3" w15:restartNumberingAfterBreak="0">
    <w:nsid w:val="6E3C3F69"/>
    <w:multiLevelType w:val="hybridMultilevel"/>
    <w:tmpl w:val="A3A8F830"/>
    <w:lvl w:ilvl="0" w:tplc="CA5CB1D8">
      <w:start w:val="1"/>
      <w:numFmt w:val="decimal"/>
      <w:lvlText w:val="%1."/>
      <w:lvlJc w:val="left"/>
      <w:pPr>
        <w:ind w:left="911" w:hanging="360"/>
        <w:jc w:val="left"/>
      </w:pPr>
      <w:rPr>
        <w:rFonts w:ascii="Arial" w:eastAsia="Arial" w:hAnsi="Arial" w:cs="Arial" w:hint="default"/>
        <w:spacing w:val="-1"/>
        <w:w w:val="100"/>
        <w:sz w:val="22"/>
        <w:szCs w:val="22"/>
        <w:lang w:val="en-US" w:eastAsia="en-US" w:bidi="ar-SA"/>
      </w:rPr>
    </w:lvl>
    <w:lvl w:ilvl="1" w:tplc="50BCCAF2">
      <w:numFmt w:val="bullet"/>
      <w:lvlText w:val="•"/>
      <w:lvlJc w:val="left"/>
      <w:pPr>
        <w:ind w:left="1858" w:hanging="360"/>
      </w:pPr>
      <w:rPr>
        <w:rFonts w:hint="default"/>
        <w:lang w:val="en-US" w:eastAsia="en-US" w:bidi="ar-SA"/>
      </w:rPr>
    </w:lvl>
    <w:lvl w:ilvl="2" w:tplc="2D38483A">
      <w:numFmt w:val="bullet"/>
      <w:lvlText w:val="•"/>
      <w:lvlJc w:val="left"/>
      <w:pPr>
        <w:ind w:left="2796" w:hanging="360"/>
      </w:pPr>
      <w:rPr>
        <w:rFonts w:hint="default"/>
        <w:lang w:val="en-US" w:eastAsia="en-US" w:bidi="ar-SA"/>
      </w:rPr>
    </w:lvl>
    <w:lvl w:ilvl="3" w:tplc="626E84BC">
      <w:numFmt w:val="bullet"/>
      <w:lvlText w:val="•"/>
      <w:lvlJc w:val="left"/>
      <w:pPr>
        <w:ind w:left="3734" w:hanging="360"/>
      </w:pPr>
      <w:rPr>
        <w:rFonts w:hint="default"/>
        <w:lang w:val="en-US" w:eastAsia="en-US" w:bidi="ar-SA"/>
      </w:rPr>
    </w:lvl>
    <w:lvl w:ilvl="4" w:tplc="7F2050F6">
      <w:numFmt w:val="bullet"/>
      <w:lvlText w:val="•"/>
      <w:lvlJc w:val="left"/>
      <w:pPr>
        <w:ind w:left="4672" w:hanging="360"/>
      </w:pPr>
      <w:rPr>
        <w:rFonts w:hint="default"/>
        <w:lang w:val="en-US" w:eastAsia="en-US" w:bidi="ar-SA"/>
      </w:rPr>
    </w:lvl>
    <w:lvl w:ilvl="5" w:tplc="66EA7C3E">
      <w:numFmt w:val="bullet"/>
      <w:lvlText w:val="•"/>
      <w:lvlJc w:val="left"/>
      <w:pPr>
        <w:ind w:left="5610" w:hanging="360"/>
      </w:pPr>
      <w:rPr>
        <w:rFonts w:hint="default"/>
        <w:lang w:val="en-US" w:eastAsia="en-US" w:bidi="ar-SA"/>
      </w:rPr>
    </w:lvl>
    <w:lvl w:ilvl="6" w:tplc="CD0E33D0">
      <w:numFmt w:val="bullet"/>
      <w:lvlText w:val="•"/>
      <w:lvlJc w:val="left"/>
      <w:pPr>
        <w:ind w:left="6548" w:hanging="360"/>
      </w:pPr>
      <w:rPr>
        <w:rFonts w:hint="default"/>
        <w:lang w:val="en-US" w:eastAsia="en-US" w:bidi="ar-SA"/>
      </w:rPr>
    </w:lvl>
    <w:lvl w:ilvl="7" w:tplc="FE6629D6">
      <w:numFmt w:val="bullet"/>
      <w:lvlText w:val="•"/>
      <w:lvlJc w:val="left"/>
      <w:pPr>
        <w:ind w:left="7486" w:hanging="360"/>
      </w:pPr>
      <w:rPr>
        <w:rFonts w:hint="default"/>
        <w:lang w:val="en-US" w:eastAsia="en-US" w:bidi="ar-SA"/>
      </w:rPr>
    </w:lvl>
    <w:lvl w:ilvl="8" w:tplc="66B0D6B0">
      <w:numFmt w:val="bullet"/>
      <w:lvlText w:val="•"/>
      <w:lvlJc w:val="left"/>
      <w:pPr>
        <w:ind w:left="8424" w:hanging="360"/>
      </w:pPr>
      <w:rPr>
        <w:rFonts w:hint="default"/>
        <w:lang w:val="en-US" w:eastAsia="en-US" w:bidi="ar-SA"/>
      </w:rPr>
    </w:lvl>
  </w:abstractNum>
  <w:abstractNum w:abstractNumId="4" w15:restartNumberingAfterBreak="0">
    <w:nsid w:val="742F7D0B"/>
    <w:multiLevelType w:val="hybridMultilevel"/>
    <w:tmpl w:val="BD085752"/>
    <w:lvl w:ilvl="0" w:tplc="66705086">
      <w:start w:val="1"/>
      <w:numFmt w:val="decimal"/>
      <w:lvlText w:val="%1."/>
      <w:lvlJc w:val="left"/>
      <w:pPr>
        <w:ind w:left="911" w:hanging="360"/>
        <w:jc w:val="left"/>
      </w:pPr>
      <w:rPr>
        <w:rFonts w:ascii="Arial" w:eastAsia="Arial" w:hAnsi="Arial" w:cs="Arial" w:hint="default"/>
        <w:spacing w:val="-1"/>
        <w:w w:val="100"/>
        <w:sz w:val="22"/>
        <w:szCs w:val="22"/>
        <w:lang w:val="en-US" w:eastAsia="en-US" w:bidi="ar-SA"/>
      </w:rPr>
    </w:lvl>
    <w:lvl w:ilvl="1" w:tplc="74D0F0E4">
      <w:start w:val="1"/>
      <w:numFmt w:val="decimal"/>
      <w:lvlText w:val="%2."/>
      <w:lvlJc w:val="left"/>
      <w:pPr>
        <w:ind w:left="1182" w:hanging="360"/>
        <w:jc w:val="left"/>
      </w:pPr>
      <w:rPr>
        <w:rFonts w:ascii="Arial" w:eastAsia="Arial" w:hAnsi="Arial" w:cs="Arial" w:hint="default"/>
        <w:spacing w:val="-1"/>
        <w:w w:val="100"/>
        <w:sz w:val="22"/>
        <w:szCs w:val="22"/>
        <w:lang w:val="en-US" w:eastAsia="en-US" w:bidi="ar-SA"/>
      </w:rPr>
    </w:lvl>
    <w:lvl w:ilvl="2" w:tplc="088E7020">
      <w:numFmt w:val="bullet"/>
      <w:lvlText w:val="•"/>
      <w:lvlJc w:val="left"/>
      <w:pPr>
        <w:ind w:left="2193" w:hanging="360"/>
      </w:pPr>
      <w:rPr>
        <w:rFonts w:hint="default"/>
        <w:lang w:val="en-US" w:eastAsia="en-US" w:bidi="ar-SA"/>
      </w:rPr>
    </w:lvl>
    <w:lvl w:ilvl="3" w:tplc="034CF1C4">
      <w:numFmt w:val="bullet"/>
      <w:lvlText w:val="•"/>
      <w:lvlJc w:val="left"/>
      <w:pPr>
        <w:ind w:left="3206" w:hanging="360"/>
      </w:pPr>
      <w:rPr>
        <w:rFonts w:hint="default"/>
        <w:lang w:val="en-US" w:eastAsia="en-US" w:bidi="ar-SA"/>
      </w:rPr>
    </w:lvl>
    <w:lvl w:ilvl="4" w:tplc="A170D33C">
      <w:numFmt w:val="bullet"/>
      <w:lvlText w:val="•"/>
      <w:lvlJc w:val="left"/>
      <w:pPr>
        <w:ind w:left="4220" w:hanging="360"/>
      </w:pPr>
      <w:rPr>
        <w:rFonts w:hint="default"/>
        <w:lang w:val="en-US" w:eastAsia="en-US" w:bidi="ar-SA"/>
      </w:rPr>
    </w:lvl>
    <w:lvl w:ilvl="5" w:tplc="235243C8">
      <w:numFmt w:val="bullet"/>
      <w:lvlText w:val="•"/>
      <w:lvlJc w:val="left"/>
      <w:pPr>
        <w:ind w:left="5233" w:hanging="360"/>
      </w:pPr>
      <w:rPr>
        <w:rFonts w:hint="default"/>
        <w:lang w:val="en-US" w:eastAsia="en-US" w:bidi="ar-SA"/>
      </w:rPr>
    </w:lvl>
    <w:lvl w:ilvl="6" w:tplc="E370F18A">
      <w:numFmt w:val="bullet"/>
      <w:lvlText w:val="•"/>
      <w:lvlJc w:val="left"/>
      <w:pPr>
        <w:ind w:left="6246" w:hanging="360"/>
      </w:pPr>
      <w:rPr>
        <w:rFonts w:hint="default"/>
        <w:lang w:val="en-US" w:eastAsia="en-US" w:bidi="ar-SA"/>
      </w:rPr>
    </w:lvl>
    <w:lvl w:ilvl="7" w:tplc="C156735C">
      <w:numFmt w:val="bullet"/>
      <w:lvlText w:val="•"/>
      <w:lvlJc w:val="left"/>
      <w:pPr>
        <w:ind w:left="7260" w:hanging="360"/>
      </w:pPr>
      <w:rPr>
        <w:rFonts w:hint="default"/>
        <w:lang w:val="en-US" w:eastAsia="en-US" w:bidi="ar-SA"/>
      </w:rPr>
    </w:lvl>
    <w:lvl w:ilvl="8" w:tplc="088A0DC6">
      <w:numFmt w:val="bullet"/>
      <w:lvlText w:val="•"/>
      <w:lvlJc w:val="left"/>
      <w:pPr>
        <w:ind w:left="8273" w:hanging="360"/>
      </w:pPr>
      <w:rPr>
        <w:rFonts w:hint="default"/>
        <w:lang w:val="en-US" w:eastAsia="en-US" w:bidi="ar-SA"/>
      </w:rPr>
    </w:lvl>
  </w:abstractNum>
  <w:abstractNum w:abstractNumId="5" w15:restartNumberingAfterBreak="0">
    <w:nsid w:val="7B4B4D6D"/>
    <w:multiLevelType w:val="hybridMultilevel"/>
    <w:tmpl w:val="0C429F56"/>
    <w:lvl w:ilvl="0" w:tplc="2570C51C">
      <w:start w:val="1"/>
      <w:numFmt w:val="decimal"/>
      <w:lvlText w:val="%1."/>
      <w:lvlJc w:val="left"/>
      <w:pPr>
        <w:ind w:left="911" w:hanging="360"/>
        <w:jc w:val="left"/>
      </w:pPr>
      <w:rPr>
        <w:rFonts w:ascii="Arial" w:eastAsia="Arial" w:hAnsi="Arial" w:cs="Arial" w:hint="default"/>
        <w:spacing w:val="-1"/>
        <w:w w:val="100"/>
        <w:sz w:val="22"/>
        <w:szCs w:val="22"/>
        <w:lang w:val="en-US" w:eastAsia="en-US" w:bidi="ar-SA"/>
      </w:rPr>
    </w:lvl>
    <w:lvl w:ilvl="1" w:tplc="6EBE050E">
      <w:numFmt w:val="bullet"/>
      <w:lvlText w:val="•"/>
      <w:lvlJc w:val="left"/>
      <w:pPr>
        <w:ind w:left="1858" w:hanging="360"/>
      </w:pPr>
      <w:rPr>
        <w:rFonts w:hint="default"/>
        <w:lang w:val="en-US" w:eastAsia="en-US" w:bidi="ar-SA"/>
      </w:rPr>
    </w:lvl>
    <w:lvl w:ilvl="2" w:tplc="3E0CDA82">
      <w:numFmt w:val="bullet"/>
      <w:lvlText w:val="•"/>
      <w:lvlJc w:val="left"/>
      <w:pPr>
        <w:ind w:left="2796" w:hanging="360"/>
      </w:pPr>
      <w:rPr>
        <w:rFonts w:hint="default"/>
        <w:lang w:val="en-US" w:eastAsia="en-US" w:bidi="ar-SA"/>
      </w:rPr>
    </w:lvl>
    <w:lvl w:ilvl="3" w:tplc="6A941662">
      <w:numFmt w:val="bullet"/>
      <w:lvlText w:val="•"/>
      <w:lvlJc w:val="left"/>
      <w:pPr>
        <w:ind w:left="3734" w:hanging="360"/>
      </w:pPr>
      <w:rPr>
        <w:rFonts w:hint="default"/>
        <w:lang w:val="en-US" w:eastAsia="en-US" w:bidi="ar-SA"/>
      </w:rPr>
    </w:lvl>
    <w:lvl w:ilvl="4" w:tplc="F446E250">
      <w:numFmt w:val="bullet"/>
      <w:lvlText w:val="•"/>
      <w:lvlJc w:val="left"/>
      <w:pPr>
        <w:ind w:left="4672" w:hanging="360"/>
      </w:pPr>
      <w:rPr>
        <w:rFonts w:hint="default"/>
        <w:lang w:val="en-US" w:eastAsia="en-US" w:bidi="ar-SA"/>
      </w:rPr>
    </w:lvl>
    <w:lvl w:ilvl="5" w:tplc="AF562516">
      <w:numFmt w:val="bullet"/>
      <w:lvlText w:val="•"/>
      <w:lvlJc w:val="left"/>
      <w:pPr>
        <w:ind w:left="5610" w:hanging="360"/>
      </w:pPr>
      <w:rPr>
        <w:rFonts w:hint="default"/>
        <w:lang w:val="en-US" w:eastAsia="en-US" w:bidi="ar-SA"/>
      </w:rPr>
    </w:lvl>
    <w:lvl w:ilvl="6" w:tplc="09544008">
      <w:numFmt w:val="bullet"/>
      <w:lvlText w:val="•"/>
      <w:lvlJc w:val="left"/>
      <w:pPr>
        <w:ind w:left="6548" w:hanging="360"/>
      </w:pPr>
      <w:rPr>
        <w:rFonts w:hint="default"/>
        <w:lang w:val="en-US" w:eastAsia="en-US" w:bidi="ar-SA"/>
      </w:rPr>
    </w:lvl>
    <w:lvl w:ilvl="7" w:tplc="E362DC28">
      <w:numFmt w:val="bullet"/>
      <w:lvlText w:val="•"/>
      <w:lvlJc w:val="left"/>
      <w:pPr>
        <w:ind w:left="7486" w:hanging="360"/>
      </w:pPr>
      <w:rPr>
        <w:rFonts w:hint="default"/>
        <w:lang w:val="en-US" w:eastAsia="en-US" w:bidi="ar-SA"/>
      </w:rPr>
    </w:lvl>
    <w:lvl w:ilvl="8" w:tplc="7F46177A">
      <w:numFmt w:val="bullet"/>
      <w:lvlText w:val="•"/>
      <w:lvlJc w:val="left"/>
      <w:pPr>
        <w:ind w:left="8424" w:hanging="360"/>
      </w:pPr>
      <w:rPr>
        <w:rFonts w:hint="default"/>
        <w:lang w:val="en-US" w:eastAsia="en-US" w:bidi="ar-SA"/>
      </w:rPr>
    </w:lvl>
  </w:abstractNum>
  <w:num w:numId="1">
    <w:abstractNumId w:val="0"/>
  </w:num>
  <w:num w:numId="2">
    <w:abstractNumId w:val="5"/>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35F"/>
    <w:rsid w:val="00156EC0"/>
    <w:rsid w:val="00187B33"/>
    <w:rsid w:val="00192BA0"/>
    <w:rsid w:val="001F4491"/>
    <w:rsid w:val="002A5B8E"/>
    <w:rsid w:val="00472E45"/>
    <w:rsid w:val="004F2777"/>
    <w:rsid w:val="00501056"/>
    <w:rsid w:val="005A2723"/>
    <w:rsid w:val="006A14C2"/>
    <w:rsid w:val="007E7628"/>
    <w:rsid w:val="0083635F"/>
    <w:rsid w:val="008D3E70"/>
    <w:rsid w:val="00BE7811"/>
    <w:rsid w:val="00C56149"/>
    <w:rsid w:val="00DC22F2"/>
    <w:rsid w:val="00E36586"/>
    <w:rsid w:val="00E74907"/>
    <w:rsid w:val="00FC4E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93B3071-06F2-4FC9-A0F3-88C99316E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845"/>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2"/>
      <w:ind w:left="65"/>
      <w:jc w:val="center"/>
    </w:pPr>
  </w:style>
  <w:style w:type="paragraph" w:styleId="TOC2">
    <w:name w:val="toc 2"/>
    <w:basedOn w:val="Normal"/>
    <w:uiPriority w:val="1"/>
    <w:qFormat/>
    <w:pPr>
      <w:spacing w:before="120"/>
      <w:ind w:left="191"/>
    </w:pPr>
  </w:style>
  <w:style w:type="paragraph" w:styleId="TOC3">
    <w:name w:val="toc 3"/>
    <w:basedOn w:val="Normal"/>
    <w:uiPriority w:val="1"/>
    <w:qFormat/>
    <w:pPr>
      <w:spacing w:before="123"/>
      <w:ind w:left="412"/>
    </w:pPr>
  </w:style>
  <w:style w:type="paragraph" w:styleId="BodyText">
    <w:name w:val="Body Text"/>
    <w:basedOn w:val="Normal"/>
    <w:uiPriority w:val="1"/>
    <w:qFormat/>
  </w:style>
  <w:style w:type="paragraph" w:styleId="ListParagraph">
    <w:name w:val="List Paragraph"/>
    <w:basedOn w:val="Normal"/>
    <w:uiPriority w:val="1"/>
    <w:qFormat/>
    <w:pPr>
      <w:ind w:left="911" w:right="112" w:hanging="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72E45"/>
    <w:pPr>
      <w:tabs>
        <w:tab w:val="center" w:pos="4680"/>
        <w:tab w:val="right" w:pos="9360"/>
      </w:tabs>
    </w:pPr>
  </w:style>
  <w:style w:type="character" w:customStyle="1" w:styleId="HeaderChar">
    <w:name w:val="Header Char"/>
    <w:basedOn w:val="DefaultParagraphFont"/>
    <w:link w:val="Header"/>
    <w:uiPriority w:val="99"/>
    <w:rsid w:val="00472E45"/>
    <w:rPr>
      <w:rFonts w:ascii="Arial" w:eastAsia="Arial" w:hAnsi="Arial" w:cs="Arial"/>
    </w:rPr>
  </w:style>
  <w:style w:type="paragraph" w:styleId="Footer">
    <w:name w:val="footer"/>
    <w:basedOn w:val="Normal"/>
    <w:link w:val="FooterChar"/>
    <w:uiPriority w:val="99"/>
    <w:unhideWhenUsed/>
    <w:rsid w:val="00472E45"/>
    <w:pPr>
      <w:tabs>
        <w:tab w:val="center" w:pos="4680"/>
        <w:tab w:val="right" w:pos="9360"/>
      </w:tabs>
    </w:pPr>
  </w:style>
  <w:style w:type="character" w:customStyle="1" w:styleId="FooterChar">
    <w:name w:val="Footer Char"/>
    <w:basedOn w:val="DefaultParagraphFont"/>
    <w:link w:val="Footer"/>
    <w:uiPriority w:val="99"/>
    <w:rsid w:val="00472E45"/>
    <w:rPr>
      <w:rFonts w:ascii="Arial" w:eastAsia="Arial" w:hAnsi="Arial" w:cs="Arial"/>
    </w:rPr>
  </w:style>
  <w:style w:type="paragraph" w:styleId="FootnoteText">
    <w:name w:val="footnote text"/>
    <w:basedOn w:val="Normal"/>
    <w:link w:val="FootnoteTextChar"/>
    <w:uiPriority w:val="99"/>
    <w:semiHidden/>
    <w:unhideWhenUsed/>
    <w:rsid w:val="00472E45"/>
    <w:rPr>
      <w:sz w:val="20"/>
      <w:szCs w:val="20"/>
    </w:rPr>
  </w:style>
  <w:style w:type="character" w:customStyle="1" w:styleId="FootnoteTextChar">
    <w:name w:val="Footnote Text Char"/>
    <w:basedOn w:val="DefaultParagraphFont"/>
    <w:link w:val="FootnoteText"/>
    <w:uiPriority w:val="99"/>
    <w:semiHidden/>
    <w:rsid w:val="00472E45"/>
    <w:rPr>
      <w:rFonts w:ascii="Arial" w:eastAsia="Arial" w:hAnsi="Arial" w:cs="Arial"/>
      <w:sz w:val="20"/>
      <w:szCs w:val="20"/>
    </w:rPr>
  </w:style>
  <w:style w:type="character" w:styleId="FootnoteReference">
    <w:name w:val="footnote reference"/>
    <w:basedOn w:val="DefaultParagraphFont"/>
    <w:uiPriority w:val="99"/>
    <w:semiHidden/>
    <w:unhideWhenUsed/>
    <w:rsid w:val="00472E45"/>
    <w:rPr>
      <w:vertAlign w:val="superscript"/>
    </w:rPr>
  </w:style>
  <w:style w:type="character" w:styleId="Hyperlink">
    <w:name w:val="Hyperlink"/>
    <w:basedOn w:val="DefaultParagraphFont"/>
    <w:uiPriority w:val="99"/>
    <w:unhideWhenUsed/>
    <w:rsid w:val="005A27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www.cipaf.org.do/" TargetMode="External"/><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yperlink" Target="https://profamilia.org.do/"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ceg.intec.edu.do/" TargetMode="External"/><Relationship Id="rId25" Type="http://schemas.openxmlformats.org/officeDocument/2006/relationships/image" Target="media/image10.jpeg"/><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ceg.intec.edu.do/" TargetMode="External"/><Relationship Id="rId20" Type="http://schemas.openxmlformats.org/officeDocument/2006/relationships/hyperlink" Target="https://plan-international.org/dominican-republic"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9.jpeg"/><Relationship Id="rId32"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cladem.org/" TargetMode="External"/><Relationship Id="rId23" Type="http://schemas.openxmlformats.org/officeDocument/2006/relationships/image" Target="media/image8.jpeg"/><Relationship Id="rId28" Type="http://schemas.openxmlformats.org/officeDocument/2006/relationships/image" Target="media/image13.jpeg"/><Relationship Id="rId10" Type="http://schemas.openxmlformats.org/officeDocument/2006/relationships/image" Target="media/image3.jpeg"/><Relationship Id="rId19" Type="http://schemas.openxmlformats.org/officeDocument/2006/relationships/hyperlink" Target="https://www.fescaribe.org/" TargetMode="External"/><Relationship Id="rId31"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 Id="rId27" Type="http://schemas.openxmlformats.org/officeDocument/2006/relationships/image" Target="media/image12.jpeg"/><Relationship Id="rId30" Type="http://schemas.openxmlformats.org/officeDocument/2006/relationships/theme" Target="theme/theme1.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transparencia.pgr.gob.do/Inicio/VisualizarDocumento?DocumentoId=27879" TargetMode="External"/><Relationship Id="rId13" Type="http://schemas.openxmlformats.org/officeDocument/2006/relationships/hyperlink" Target="https://acento.com.do/politica/tsa-ordena-a-la-junta-modificar-resolucion-establece-distribucion-de-la-cuota-de-genero-8764842.html" TargetMode="External"/><Relationship Id="rId18" Type="http://schemas.openxmlformats.org/officeDocument/2006/relationships/hyperlink" Target="https://conocetucandidata.com/infografia-resultados-elecciones-municipales-2020/" TargetMode="External"/><Relationship Id="rId3" Type="http://schemas.openxmlformats.org/officeDocument/2006/relationships/hyperlink" Target="https://transparencia.pgr.gob.do/Inicio/VisualizarDocumento?DocumentoId=27561" TargetMode="External"/><Relationship Id="rId21" Type="http://schemas.openxmlformats.org/officeDocument/2006/relationships/hyperlink" Target="https://oig.cepal.org/es/documentos/trabajo-no-remunerado-republica-dominicana-un-analisis-partir-modulo-uso-tiempo-la" TargetMode="External"/><Relationship Id="rId7" Type="http://schemas.openxmlformats.org/officeDocument/2006/relationships/hyperlink" Target="https://transparencia.pgr.gob.do/Inicio/VisualizarDocumento?DocumentoId=27879" TargetMode="External"/><Relationship Id="rId12" Type="http://schemas.openxmlformats.org/officeDocument/2006/relationships/hyperlink" Target="https://mujer.gob.do/transparencia/phocadownload/Publicaciones/Boletines/2020/BOLETIN%20JUNIO%202020.pdf" TargetMode="External"/><Relationship Id="rId17" Type="http://schemas.openxmlformats.org/officeDocument/2006/relationships/hyperlink" Target="https://www.diariolibre.com/actualidad/politica/partidos-colocan-esposas-de-diputados-para-cuotas-CG15574767" TargetMode="External"/><Relationship Id="rId2" Type="http://schemas.openxmlformats.org/officeDocument/2006/relationships/hyperlink" Target="https://oig.cepal.org/es/indicadores/feminicidio" TargetMode="External"/><Relationship Id="rId16" Type="http://schemas.openxmlformats.org/officeDocument/2006/relationships/hyperlink" Target="https://conocetucandidata.com/infografia-resultados-elecciones-municipales-2020/" TargetMode="External"/><Relationship Id="rId20" Type="http://schemas.openxmlformats.org/officeDocument/2006/relationships/hyperlink" Target="http://economia.gob.do/wp-" TargetMode="External"/><Relationship Id="rId1" Type="http://schemas.openxmlformats.org/officeDocument/2006/relationships/hyperlink" Target="http://www.economia.gob.do/" TargetMode="External"/><Relationship Id="rId6" Type="http://schemas.openxmlformats.org/officeDocument/2006/relationships/hyperlink" Target="https://transparencia.pgr.gob.do/Inicio/VisualizarDocumento?DocumentoId=27561" TargetMode="External"/><Relationship Id="rId11" Type="http://schemas.openxmlformats.org/officeDocument/2006/relationships/hyperlink" Target="https://www.diariolibre.com/actualidad/justicia/otra-mujer-muerta-por-acuerdos-de-la-fiscalia-e-inobservancia-de-jueces-de-san-pedro-de-macoris-IB15146196" TargetMode="External"/><Relationship Id="rId24" Type="http://schemas.openxmlformats.org/officeDocument/2006/relationships/hyperlink" Target="https://www.msp.gob.do/web/Transparencia/estadisticas-institucionales/" TargetMode="External"/><Relationship Id="rId5" Type="http://schemas.openxmlformats.org/officeDocument/2006/relationships/hyperlink" Target="https://transparencia.pgr.gob.do/Inicio/VisualizarDocumento?DocumentoId=27561" TargetMode="External"/><Relationship Id="rId15" Type="http://schemas.openxmlformats.org/officeDocument/2006/relationships/hyperlink" Target="https://www.instagram.com/p/CAQ4yNKDL9_/" TargetMode="External"/><Relationship Id="rId23" Type="http://schemas.openxmlformats.org/officeDocument/2006/relationships/hyperlink" Target="http://www.undp.org/content/dam/dominican_republic/docs/odh/publicaciones/pnud_do_INDH2017.pdf" TargetMode="External"/><Relationship Id="rId10" Type="http://schemas.openxmlformats.org/officeDocument/2006/relationships/hyperlink" Target="https://www.diariolibre.com/actualidad/justicia/otra-mujer-muerta-por-acuerdos-de-la-fiscalia-e-inobservancia-de-jueces-de-san-pedro-de-macoris-IB15146196" TargetMode="External"/><Relationship Id="rId19" Type="http://schemas.openxmlformats.org/officeDocument/2006/relationships/hyperlink" Target="http://www.do.undp.org/content/dominican_republic/es/home/library/human_development/informe-sobre-desarrollo-" TargetMode="External"/><Relationship Id="rId4" Type="http://schemas.openxmlformats.org/officeDocument/2006/relationships/hyperlink" Target="https://transparencia.pgr.gob.do/Inicio/VisualizarDocumento?DocumentoId=27561" TargetMode="External"/><Relationship Id="rId9" Type="http://schemas.openxmlformats.org/officeDocument/2006/relationships/hyperlink" Target="https://eldia.com.do/familia-de-anibel-gonzalez-pide-someter-a-fiscal-titular-de-san-pedro-de-macoris/" TargetMode="External"/><Relationship Id="rId14" Type="http://schemas.openxmlformats.org/officeDocument/2006/relationships/hyperlink" Target="https://acento.com.do/politica/tsa-ordena-a-la-junta-modificar-resolucion-establece-distribucion-de-la-cuota-de-genero-8764842.html" TargetMode="External"/><Relationship Id="rId22" Type="http://schemas.openxmlformats.org/officeDocument/2006/relationships/hyperlink" Target="https://oig.cepal.org/es/documentos/trabajo-no-remunerado-republica-dominicana-un-analisis-partir-modulo-uso-tiempo-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690917-74A8-46FB-B691-0630270047C3}">
  <ds:schemaRefs>
    <ds:schemaRef ds:uri="http://schemas.openxmlformats.org/officeDocument/2006/bibliography"/>
  </ds:schemaRefs>
</ds:datastoreItem>
</file>

<file path=customXml/itemProps2.xml><?xml version="1.0" encoding="utf-8"?>
<ds:datastoreItem xmlns:ds="http://schemas.openxmlformats.org/officeDocument/2006/customXml" ds:itemID="{8AAF8449-CDCA-4ACB-B36C-B5B5010E411D}"/>
</file>

<file path=customXml/itemProps3.xml><?xml version="1.0" encoding="utf-8"?>
<ds:datastoreItem xmlns:ds="http://schemas.openxmlformats.org/officeDocument/2006/customXml" ds:itemID="{F6214E73-E6F2-4B8D-885F-91854A3C8141}"/>
</file>

<file path=customXml/itemProps4.xml><?xml version="1.0" encoding="utf-8"?>
<ds:datastoreItem xmlns:ds="http://schemas.openxmlformats.org/officeDocument/2006/customXml" ds:itemID="{E1CFBA42-CD2A-4D9F-82A0-D85C78913186}"/>
</file>

<file path=docProps/app.xml><?xml version="1.0" encoding="utf-8"?>
<Properties xmlns="http://schemas.openxmlformats.org/officeDocument/2006/extended-properties" xmlns:vt="http://schemas.openxmlformats.org/officeDocument/2006/docPropsVTypes">
  <Template>Normal.dotm</Template>
  <TotalTime>2</TotalTime>
  <Pages>16</Pages>
  <Words>5705</Words>
  <Characters>32523</Characters>
  <Application>Microsoft Office Word</Application>
  <DocSecurity>4</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38152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Breton</dc:creator>
  <cp:lastModifiedBy>OUKO Robert</cp:lastModifiedBy>
  <cp:revision>2</cp:revision>
  <dcterms:created xsi:type="dcterms:W3CDTF">2021-01-20T15:48:00Z</dcterms:created>
  <dcterms:modified xsi:type="dcterms:W3CDTF">2021-01-20T15:48:00Z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2020-08-05T00:00:00Z</vt:filetime>
  </property>
  <property fmtid="{D5CDD505-2E9C-101B-9397-08002B2CF9AE}" pid="3" name="Creator">
    <vt:lpwstr>Microsoft® Word 2013</vt:lpwstr>
  </property>
  <property fmtid="{D5CDD505-2E9C-101B-9397-08002B2CF9AE}" pid="4" name="LastSaved">
    <vt:filetime>2021-01-15T00:00:00Z</vt:filetime>
  </property>
  <property fmtid="{D5CDD505-2E9C-101B-9397-08002B2CF9AE}" pid="5" name="ContentTypeId">
    <vt:lpwstr>0x010100F397614B75B84E4C841CE911BA0CCB9D</vt:lpwstr>
  </property>
</Properties>
</file>