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332" w:rsidRDefault="00DA731F">
      <w:pPr>
        <w:spacing w:after="120"/>
        <w:jc w:val="center"/>
        <w:rPr>
          <w:b/>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25pt;height:141pt">
            <v:imagedata r:id="rId8" o:title=""/>
          </v:shape>
        </w:pict>
      </w:r>
    </w:p>
    <w:p w:rsidR="00DF26B7" w:rsidRPr="00FE1332" w:rsidRDefault="00DF26B7" w:rsidP="00A6270B">
      <w:pPr>
        <w:spacing w:after="60"/>
        <w:jc w:val="center"/>
        <w:rPr>
          <w:b/>
          <w:sz w:val="28"/>
          <w:szCs w:val="28"/>
        </w:rPr>
      </w:pPr>
      <w:r w:rsidRPr="00FE1332">
        <w:rPr>
          <w:b/>
          <w:sz w:val="28"/>
          <w:szCs w:val="28"/>
        </w:rPr>
        <w:t xml:space="preserve">BRIEFING </w:t>
      </w:r>
      <w:r w:rsidR="00390791" w:rsidRPr="00FE1332">
        <w:rPr>
          <w:b/>
          <w:sz w:val="28"/>
          <w:szCs w:val="28"/>
        </w:rPr>
        <w:t xml:space="preserve">ON </w:t>
      </w:r>
      <w:r w:rsidR="00860139">
        <w:rPr>
          <w:b/>
          <w:sz w:val="28"/>
          <w:szCs w:val="28"/>
          <w:u w:val="single"/>
        </w:rPr>
        <w:t>MONTENEGRO</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33102F" w:rsidP="00A6270B">
      <w:pPr>
        <w:spacing w:after="60"/>
        <w:jc w:val="center"/>
        <w:rPr>
          <w:sz w:val="28"/>
          <w:szCs w:val="28"/>
        </w:rPr>
      </w:pPr>
      <w:r w:rsidRPr="0033102F">
        <w:rPr>
          <w:b/>
          <w:sz w:val="28"/>
          <w:szCs w:val="28"/>
          <w:u w:val="single"/>
        </w:rPr>
        <w:t>5</w:t>
      </w:r>
      <w:r w:rsidR="00AB1FBD">
        <w:rPr>
          <w:b/>
          <w:sz w:val="28"/>
          <w:szCs w:val="28"/>
          <w:u w:val="single"/>
        </w:rPr>
        <w:t>2</w:t>
      </w:r>
      <w:r w:rsidR="00AB1FBD" w:rsidRPr="00AB1FBD">
        <w:rPr>
          <w:b/>
          <w:sz w:val="28"/>
          <w:szCs w:val="28"/>
          <w:u w:val="single"/>
          <w:vertAlign w:val="superscript"/>
        </w:rPr>
        <w:t>nd</w:t>
      </w:r>
      <w:r w:rsidR="00AB1FBD">
        <w:rPr>
          <w:b/>
          <w:sz w:val="28"/>
          <w:szCs w:val="28"/>
          <w:u w:val="single"/>
        </w:rPr>
        <w:t xml:space="preserve"> </w:t>
      </w:r>
      <w:r w:rsidRPr="0033102F">
        <w:rPr>
          <w:b/>
          <w:sz w:val="28"/>
          <w:szCs w:val="28"/>
          <w:u w:val="single"/>
        </w:rPr>
        <w:t>session,</w:t>
      </w:r>
      <w:r w:rsidR="00DF26B7" w:rsidRPr="0033102F">
        <w:rPr>
          <w:b/>
          <w:sz w:val="28"/>
          <w:szCs w:val="28"/>
          <w:u w:val="single"/>
        </w:rPr>
        <w:t xml:space="preserve"> </w:t>
      </w:r>
      <w:r w:rsidR="00AB1FBD">
        <w:rPr>
          <w:b/>
          <w:sz w:val="28"/>
          <w:szCs w:val="28"/>
          <w:u w:val="single"/>
        </w:rPr>
        <w:t>April/May</w:t>
      </w:r>
      <w:r w:rsidR="00A6270B">
        <w:rPr>
          <w:b/>
          <w:sz w:val="28"/>
          <w:szCs w:val="28"/>
          <w:u w:val="single"/>
        </w:rPr>
        <w:t xml:space="preserve"> 2014</w:t>
      </w:r>
    </w:p>
    <w:p w:rsidR="00DF26B7" w:rsidRPr="00FE1332" w:rsidRDefault="00DF26B7" w:rsidP="00A6270B">
      <w:pPr>
        <w:spacing w:after="60"/>
        <w:jc w:val="center"/>
        <w:rPr>
          <w:i/>
        </w:rPr>
      </w:pPr>
      <w:r w:rsidRPr="00FE1332">
        <w:rPr>
          <w:i/>
        </w:rPr>
        <w:t xml:space="preserve">From </w:t>
      </w:r>
      <w:r w:rsidR="00A6270B">
        <w:rPr>
          <w:i/>
        </w:rPr>
        <w:t>Dr Sharon Owen</w:t>
      </w:r>
      <w:r w:rsidRPr="00FE1332">
        <w:rPr>
          <w:i/>
        </w:rPr>
        <w:t xml:space="preserve">, </w:t>
      </w:r>
      <w:r w:rsidR="00A6270B">
        <w:rPr>
          <w:i/>
        </w:rPr>
        <w:t xml:space="preserve">Research and Information </w:t>
      </w:r>
      <w:r w:rsidRPr="00FE1332">
        <w:rPr>
          <w:i/>
        </w:rPr>
        <w:t>Coordinator, Global Initiative</w:t>
      </w:r>
    </w:p>
    <w:p w:rsidR="00DF26B7" w:rsidRDefault="00DA731F" w:rsidP="00A6270B">
      <w:pPr>
        <w:spacing w:after="60"/>
        <w:jc w:val="center"/>
        <w:rPr>
          <w:i/>
          <w:sz w:val="28"/>
          <w:szCs w:val="28"/>
        </w:rPr>
      </w:pPr>
      <w:hyperlink r:id="rId9" w:history="1">
        <w:r w:rsidR="00DF26B7" w:rsidRPr="00FE1332">
          <w:rPr>
            <w:rStyle w:val="Hyperlink"/>
            <w:i/>
          </w:rPr>
          <w:t>info@endcorporalpunishment.org</w:t>
        </w:r>
      </w:hyperlink>
      <w:r w:rsidR="00DF26B7" w:rsidRPr="00FE1332">
        <w:rPr>
          <w:i/>
          <w:sz w:val="28"/>
          <w:szCs w:val="28"/>
        </w:rPr>
        <w:t xml:space="preserve"> </w:t>
      </w:r>
    </w:p>
    <w:p w:rsidR="00AB1FBD" w:rsidRDefault="00AB1FBD" w:rsidP="00FE1332">
      <w:pPr>
        <w:jc w:val="center"/>
        <w:rPr>
          <w:i/>
          <w:sz w:val="28"/>
          <w:szCs w:val="28"/>
        </w:rPr>
      </w:pPr>
    </w:p>
    <w:p w:rsidR="00FE1332" w:rsidRDefault="00DA731F" w:rsidP="0049229E">
      <w:pPr>
        <w:spacing w:after="120"/>
        <w:jc w:val="center"/>
        <w:rPr>
          <w:b/>
        </w:rPr>
      </w:pPr>
      <w:r>
        <w:rPr>
          <w:noProof/>
          <w:highlight w:val="yellow"/>
        </w:rPr>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349.95pt;z-index:1;visibility:visible;mso-height-percent:200;mso-wrap-distance-left:9pt;mso-wrap-distance-top:0;mso-wrap-distance-right:9pt;mso-wrap-distance-bottom:0;mso-position-horizontal:center;mso-position-horizontal-relative:text;mso-position-vertical:absolute;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860139">
                    <w:rPr>
                      <w:b/>
                      <w:sz w:val="28"/>
                      <w:szCs w:val="28"/>
                    </w:rPr>
                    <w:t>Montenegro</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AB1FBD">
                    <w:rPr>
                      <w:b/>
                      <w:sz w:val="28"/>
                      <w:szCs w:val="28"/>
                    </w:rPr>
                    <w:t xml:space="preserve"> and</w:t>
                  </w:r>
                  <w:r w:rsidR="00935D2A" w:rsidRPr="009D77EF">
                    <w:rPr>
                      <w:b/>
                      <w:sz w:val="28"/>
                      <w:szCs w:val="28"/>
                    </w:rPr>
                    <w:t xml:space="preserve"> </w:t>
                  </w:r>
                  <w:r w:rsidRPr="009D77EF">
                    <w:rPr>
                      <w:b/>
                      <w:sz w:val="28"/>
                      <w:szCs w:val="28"/>
                    </w:rPr>
                    <w:t xml:space="preserve">the </w:t>
                  </w:r>
                  <w:r w:rsidR="00860139">
                    <w:rPr>
                      <w:b/>
                      <w:sz w:val="28"/>
                      <w:szCs w:val="28"/>
                    </w:rPr>
                    <w:t xml:space="preserve">previous </w:t>
                  </w:r>
                  <w:r w:rsidRPr="009D77EF">
                    <w:rPr>
                      <w:b/>
                      <w:sz w:val="28"/>
                      <w:szCs w:val="28"/>
                    </w:rPr>
                    <w:t xml:space="preserve">recommendations </w:t>
                  </w:r>
                  <w:r w:rsidR="00AB1FBD">
                    <w:rPr>
                      <w:b/>
                      <w:sz w:val="28"/>
                      <w:szCs w:val="28"/>
                    </w:rPr>
                    <w:t xml:space="preserve">to </w:t>
                  </w:r>
                  <w:r w:rsidR="00860139">
                    <w:rPr>
                      <w:b/>
                      <w:sz w:val="28"/>
                      <w:szCs w:val="28"/>
                    </w:rPr>
                    <w:t xml:space="preserve">Montenegro </w:t>
                  </w:r>
                  <w:r w:rsidR="00AB1FBD">
                    <w:rPr>
                      <w:b/>
                      <w:sz w:val="28"/>
                      <w:szCs w:val="28"/>
                    </w:rPr>
                    <w:t xml:space="preserve">by </w:t>
                  </w:r>
                  <w:r w:rsidR="00860139">
                    <w:rPr>
                      <w:b/>
                      <w:sz w:val="28"/>
                      <w:szCs w:val="28"/>
                    </w:rPr>
                    <w:t xml:space="preserve">the Committee Against Torture and </w:t>
                  </w:r>
                  <w:r w:rsidR="00291CB2">
                    <w:rPr>
                      <w:b/>
                      <w:sz w:val="28"/>
                      <w:szCs w:val="28"/>
                    </w:rPr>
                    <w:t xml:space="preserve">the </w:t>
                  </w:r>
                  <w:r w:rsidR="00812432">
                    <w:rPr>
                      <w:b/>
                      <w:sz w:val="28"/>
                      <w:szCs w:val="28"/>
                    </w:rPr>
                    <w:t>Committee on the Rights of the Child</w:t>
                  </w:r>
                  <w:r w:rsidR="00367284">
                    <w:rPr>
                      <w:b/>
                      <w:sz w:val="28"/>
                      <w:szCs w:val="28"/>
                    </w:rPr>
                    <w:t xml:space="preserve">, </w:t>
                  </w:r>
                  <w:r w:rsidR="00860139">
                    <w:rPr>
                      <w:b/>
                      <w:sz w:val="28"/>
                      <w:szCs w:val="28"/>
                    </w:rPr>
                    <w:t>as well as the recommendation to prohibit made during the UPR in 2013</w:t>
                  </w:r>
                  <w:r w:rsidR="00367284">
                    <w:rPr>
                      <w:b/>
                      <w:sz w:val="28"/>
                      <w:szCs w:val="28"/>
                    </w:rPr>
                    <w:t xml:space="preserve"> (accepted by the Government),</w:t>
                  </w:r>
                  <w:r w:rsidR="00CE50D6" w:rsidRPr="009D77EF">
                    <w:rPr>
                      <w:b/>
                      <w:sz w:val="28"/>
                      <w:szCs w:val="28"/>
                    </w:rPr>
                    <w:t xml:space="preserve"> we hope the Committee </w:t>
                  </w:r>
                  <w:r w:rsidR="006442A7" w:rsidRPr="009D77EF">
                    <w:rPr>
                      <w:b/>
                      <w:sz w:val="28"/>
                      <w:szCs w:val="28"/>
                    </w:rPr>
                    <w:t>A</w:t>
                  </w:r>
                  <w:r w:rsidRPr="009D77EF">
                    <w:rPr>
                      <w:b/>
                      <w:sz w:val="28"/>
                      <w:szCs w:val="28"/>
                    </w:rPr>
                    <w:t>gainst Torture</w:t>
                  </w:r>
                  <w:r w:rsidR="002B65C6">
                    <w:rPr>
                      <w:b/>
                      <w:sz w:val="28"/>
                      <w:szCs w:val="28"/>
                    </w:rPr>
                    <w:t>, in its concluding observations on the third state party report</w:t>
                  </w:r>
                  <w:r w:rsidR="002B65C6" w:rsidRPr="009D77EF">
                    <w:rPr>
                      <w:b/>
                      <w:sz w:val="28"/>
                      <w:szCs w:val="28"/>
                    </w:rPr>
                    <w:t>,</w:t>
                  </w:r>
                  <w:r w:rsidR="002B65C6">
                    <w:rPr>
                      <w:b/>
                      <w:sz w:val="28"/>
                      <w:szCs w:val="28"/>
                    </w:rPr>
                    <w:t xml:space="preserve"> will</w:t>
                  </w:r>
                  <w:r w:rsidRPr="009D77EF">
                    <w:rPr>
                      <w:b/>
                      <w:sz w:val="28"/>
                      <w:szCs w:val="28"/>
                    </w:rPr>
                    <w:t>:</w:t>
                  </w:r>
                </w:p>
                <w:p w:rsidR="00FE1332" w:rsidRPr="009D77EF" w:rsidRDefault="002B65C6" w:rsidP="00BC628D">
                  <w:pPr>
                    <w:numPr>
                      <w:ilvl w:val="0"/>
                      <w:numId w:val="1"/>
                    </w:numPr>
                    <w:spacing w:after="120"/>
                    <w:ind w:left="714" w:hanging="357"/>
                    <w:rPr>
                      <w:b/>
                      <w:sz w:val="28"/>
                      <w:szCs w:val="28"/>
                    </w:rPr>
                  </w:pPr>
                  <w:r>
                    <w:rPr>
                      <w:b/>
                      <w:sz w:val="28"/>
                      <w:szCs w:val="28"/>
                    </w:rPr>
                    <w:t xml:space="preserve">welcome </w:t>
                  </w:r>
                  <w:r w:rsidR="00860139">
                    <w:rPr>
                      <w:b/>
                      <w:sz w:val="28"/>
                      <w:szCs w:val="28"/>
                    </w:rPr>
                    <w:t>Montenegro’s</w:t>
                  </w:r>
                  <w:r>
                    <w:rPr>
                      <w:b/>
                      <w:sz w:val="28"/>
                      <w:szCs w:val="28"/>
                    </w:rPr>
                    <w:t xml:space="preserve"> commitment, made during the UPR, to prohibiting corporal punishment of children and </w:t>
                  </w:r>
                  <w:r w:rsidR="00FE1332" w:rsidRPr="009D77EF">
                    <w:rPr>
                      <w:b/>
                      <w:sz w:val="28"/>
                      <w:szCs w:val="28"/>
                    </w:rPr>
                    <w:t>recommend that</w:t>
                  </w:r>
                  <w:r w:rsidR="004F2DAD">
                    <w:rPr>
                      <w:b/>
                      <w:sz w:val="28"/>
                      <w:szCs w:val="28"/>
                    </w:rPr>
                    <w:t xml:space="preserve"> </w:t>
                  </w:r>
                  <w:r w:rsidR="00860139">
                    <w:rPr>
                      <w:b/>
                      <w:sz w:val="28"/>
                      <w:szCs w:val="28"/>
                    </w:rPr>
                    <w:t>legislation is enacted which explicitly prohibits all forms of corporal punishment, including the home, without delay.</w:t>
                  </w:r>
                </w:p>
              </w:txbxContent>
            </v:textbox>
            <w10:wrap type="topAndBottom"/>
          </v:shape>
        </w:pict>
      </w:r>
    </w:p>
    <w:p w:rsidR="00AD022F" w:rsidRDefault="00AD022F">
      <w:pPr>
        <w:spacing w:after="120"/>
        <w:rPr>
          <w:b/>
          <w:sz w:val="28"/>
          <w:szCs w:val="28"/>
        </w:rPr>
      </w:pPr>
    </w:p>
    <w:p w:rsidR="009C6A71" w:rsidRDefault="009C6A71">
      <w:pPr>
        <w:spacing w:after="120"/>
        <w:rPr>
          <w:b/>
          <w:sz w:val="28"/>
          <w:szCs w:val="28"/>
        </w:rPr>
      </w:pPr>
      <w:r>
        <w:rPr>
          <w:b/>
          <w:sz w:val="28"/>
          <w:szCs w:val="28"/>
        </w:rPr>
        <w:t>1</w:t>
      </w:r>
      <w:r w:rsidR="009B14F9">
        <w:rPr>
          <w:b/>
          <w:sz w:val="28"/>
          <w:szCs w:val="28"/>
        </w:rPr>
        <w:t xml:space="preserve"> </w:t>
      </w:r>
      <w:r w:rsidR="00367284">
        <w:rPr>
          <w:b/>
          <w:sz w:val="28"/>
          <w:szCs w:val="28"/>
        </w:rPr>
        <w:t>T</w:t>
      </w:r>
      <w:r>
        <w:rPr>
          <w:b/>
          <w:sz w:val="28"/>
          <w:szCs w:val="28"/>
        </w:rPr>
        <w:t>he List of Issues Prior to Reporting</w:t>
      </w:r>
      <w:r w:rsidR="00367284">
        <w:rPr>
          <w:b/>
          <w:sz w:val="28"/>
          <w:szCs w:val="28"/>
        </w:rPr>
        <w:t xml:space="preserve"> and </w:t>
      </w:r>
      <w:r w:rsidR="003D785E">
        <w:rPr>
          <w:b/>
          <w:sz w:val="28"/>
          <w:szCs w:val="28"/>
        </w:rPr>
        <w:t>Montenegro</w:t>
      </w:r>
      <w:r w:rsidR="00367284">
        <w:rPr>
          <w:b/>
          <w:sz w:val="28"/>
          <w:szCs w:val="28"/>
        </w:rPr>
        <w:t>’s report to the Committee</w:t>
      </w:r>
    </w:p>
    <w:p w:rsidR="003D785E" w:rsidRDefault="009B14F9" w:rsidP="002B65C6">
      <w:pPr>
        <w:spacing w:after="120"/>
        <w:ind w:left="482" w:hanging="482"/>
        <w:rPr>
          <w:szCs w:val="28"/>
        </w:rPr>
      </w:pPr>
      <w:r>
        <w:rPr>
          <w:szCs w:val="28"/>
        </w:rPr>
        <w:t xml:space="preserve">1.1 </w:t>
      </w:r>
      <w:r w:rsidR="003D785E">
        <w:rPr>
          <w:szCs w:val="28"/>
        </w:rPr>
        <w:t>In t</w:t>
      </w:r>
      <w:r w:rsidR="00367284">
        <w:rPr>
          <w:szCs w:val="28"/>
        </w:rPr>
        <w:t xml:space="preserve">he list of </w:t>
      </w:r>
      <w:r w:rsidR="009C6A71" w:rsidRPr="009C6A71">
        <w:rPr>
          <w:szCs w:val="28"/>
        </w:rPr>
        <w:t>issues</w:t>
      </w:r>
      <w:r w:rsidR="009C6A71">
        <w:rPr>
          <w:szCs w:val="28"/>
        </w:rPr>
        <w:t xml:space="preserve"> </w:t>
      </w:r>
      <w:r w:rsidR="00367284">
        <w:rPr>
          <w:szCs w:val="28"/>
        </w:rPr>
        <w:t xml:space="preserve">prior to reporting </w:t>
      </w:r>
      <w:r w:rsidR="003D785E">
        <w:rPr>
          <w:szCs w:val="28"/>
        </w:rPr>
        <w:t xml:space="preserve">for Montenegro, the Committee </w:t>
      </w:r>
      <w:r w:rsidR="009C6A71">
        <w:rPr>
          <w:szCs w:val="28"/>
        </w:rPr>
        <w:t xml:space="preserve">asks </w:t>
      </w:r>
      <w:r w:rsidR="003D785E">
        <w:rPr>
          <w:szCs w:val="28"/>
        </w:rPr>
        <w:t>what measures have been taken towards prohibiting corporal punishment of children in all settings.</w:t>
      </w:r>
      <w:r w:rsidR="003D785E">
        <w:rPr>
          <w:rStyle w:val="FootnoteReference"/>
          <w:szCs w:val="28"/>
        </w:rPr>
        <w:footnoteReference w:id="1"/>
      </w:r>
      <w:r w:rsidR="003D785E">
        <w:rPr>
          <w:szCs w:val="28"/>
        </w:rPr>
        <w:t xml:space="preserve"> In its report, the Government states that corporal punishment is prohibited in articles 70 and 87 of the Family Law; it also describes the law prohibiting corporal punishment in schools</w:t>
      </w:r>
      <w:r w:rsidR="00F314B9">
        <w:rPr>
          <w:szCs w:val="28"/>
        </w:rPr>
        <w:t xml:space="preserve"> and measures to support its implementation.</w:t>
      </w:r>
      <w:r w:rsidR="00F314B9">
        <w:rPr>
          <w:rStyle w:val="FootnoteReference"/>
          <w:szCs w:val="28"/>
        </w:rPr>
        <w:footnoteReference w:id="2"/>
      </w:r>
    </w:p>
    <w:p w:rsidR="00F314B9" w:rsidRDefault="00F314B9" w:rsidP="002B65C6">
      <w:pPr>
        <w:spacing w:after="120"/>
        <w:ind w:left="482" w:hanging="482"/>
      </w:pPr>
      <w:r>
        <w:rPr>
          <w:szCs w:val="28"/>
        </w:rPr>
        <w:t>1.2 It is notable that despite the Government’s assertion that the Family Law prohibits corporal punishment, just a few months later Montenegro accepted the recommendation to explicitly prohibit corporal punishment in all settings</w:t>
      </w:r>
      <w:r w:rsidR="00421209">
        <w:rPr>
          <w:szCs w:val="28"/>
        </w:rPr>
        <w:t xml:space="preserve"> made during the Universal Periodic Review of Montenegro</w:t>
      </w:r>
      <w:r>
        <w:rPr>
          <w:szCs w:val="28"/>
        </w:rPr>
        <w:t>, stating: “</w:t>
      </w:r>
      <w:r w:rsidRPr="00BD3960">
        <w:t xml:space="preserve">Montenegro will embark on legal amendments to explicitly prohibit </w:t>
      </w:r>
      <w:r w:rsidRPr="00BD3960">
        <w:lastRenderedPageBreak/>
        <w:t>corporal punishment of children in all settings; a media campaign will be launched on the consequences of corporal punishment of children.”</w:t>
      </w:r>
      <w:r>
        <w:rPr>
          <w:rStyle w:val="FootnoteReference"/>
        </w:rPr>
        <w:footnoteReference w:id="3"/>
      </w:r>
      <w:r>
        <w:t xml:space="preserve"> </w:t>
      </w:r>
    </w:p>
    <w:p w:rsidR="00F314B9" w:rsidRDefault="00F314B9" w:rsidP="0049229E">
      <w:pPr>
        <w:spacing w:after="120"/>
        <w:ind w:left="482" w:hanging="482"/>
      </w:pPr>
      <w:r>
        <w:t>1.3 Analysis of the Family Law 2007 by the Global Initiative confirms that it does not explicitly prohibit corporal punishment: the wording of the articles cited in the report to the Committee Against Torture is insufficiently clear to send a message that all forms of corporal punishment, without exception, are unlawful (see para</w:t>
      </w:r>
      <w:r w:rsidR="0060387F">
        <w:t xml:space="preserve"> 2.3</w:t>
      </w:r>
      <w:r>
        <w:t xml:space="preserve">, below). </w:t>
      </w:r>
      <w:r w:rsidR="00421209">
        <w:t>W</w:t>
      </w:r>
      <w:r>
        <w:t>e regard the Government’s statement in response to the UPR recommendation (para. 1.2, above) as a clear commitment to enacting prohibiting legislation</w:t>
      </w:r>
      <w:r w:rsidR="00421209">
        <w:t xml:space="preserve">, </w:t>
      </w:r>
      <w:r w:rsidR="0049229E">
        <w:t>and i</w:t>
      </w:r>
      <w:r w:rsidR="0049229E">
        <w:t>n March 2014, the Government confirmed that it was preparing “legal amendments to explicitly prohibit corporal punishment of children in all settings”.</w:t>
      </w:r>
      <w:r w:rsidR="0049229E">
        <w:rPr>
          <w:rStyle w:val="FootnoteReference"/>
        </w:rPr>
        <w:footnoteReference w:id="4"/>
      </w:r>
      <w:r w:rsidR="0049229E">
        <w:t xml:space="preserve"> </w:t>
      </w:r>
      <w:r w:rsidRPr="00F314B9">
        <w:rPr>
          <w:b/>
        </w:rPr>
        <w:t xml:space="preserve">We hope the Committee will emphasise the importance of legal clarity regarding prohibition of corporal punishment </w:t>
      </w:r>
      <w:r w:rsidR="00421209">
        <w:rPr>
          <w:b/>
        </w:rPr>
        <w:t xml:space="preserve">of children </w:t>
      </w:r>
      <w:r w:rsidRPr="00F314B9">
        <w:rPr>
          <w:b/>
        </w:rPr>
        <w:t>and recommend that Montenegro enact explicit prohibition in the home and all other settings as a matter of priority.</w:t>
      </w:r>
    </w:p>
    <w:p w:rsidR="006272E6" w:rsidRDefault="006272E6" w:rsidP="002B65C6">
      <w:pPr>
        <w:spacing w:after="120"/>
        <w:ind w:left="482" w:hanging="482"/>
        <w:rPr>
          <w:b/>
          <w:sz w:val="28"/>
          <w:szCs w:val="28"/>
        </w:rPr>
      </w:pPr>
    </w:p>
    <w:p w:rsidR="0050346D" w:rsidRPr="00BC628D" w:rsidRDefault="00367284">
      <w:pPr>
        <w:spacing w:after="120"/>
        <w:rPr>
          <w:b/>
          <w:sz w:val="28"/>
          <w:szCs w:val="28"/>
        </w:rPr>
      </w:pPr>
      <w:r>
        <w:rPr>
          <w:b/>
          <w:sz w:val="28"/>
          <w:szCs w:val="28"/>
        </w:rPr>
        <w:t>2</w:t>
      </w:r>
      <w:r w:rsidR="009D77EF">
        <w:rPr>
          <w:b/>
          <w:sz w:val="28"/>
          <w:szCs w:val="28"/>
        </w:rPr>
        <w:t xml:space="preserve"> </w:t>
      </w:r>
      <w:r w:rsidR="002A78CB">
        <w:rPr>
          <w:b/>
          <w:sz w:val="28"/>
          <w:szCs w:val="28"/>
        </w:rPr>
        <w:t>The legality and practice of c</w:t>
      </w:r>
      <w:r w:rsidR="0050346D" w:rsidRPr="00BC628D">
        <w:rPr>
          <w:b/>
          <w:sz w:val="28"/>
          <w:szCs w:val="28"/>
        </w:rPr>
        <w:t xml:space="preserve">orporal punishment of children in </w:t>
      </w:r>
      <w:r w:rsidR="00F314B9">
        <w:rPr>
          <w:b/>
          <w:sz w:val="28"/>
          <w:szCs w:val="28"/>
        </w:rPr>
        <w:t>Montenegro</w:t>
      </w:r>
    </w:p>
    <w:p w:rsidR="00F314B9" w:rsidRPr="00421209" w:rsidRDefault="00F314B9" w:rsidP="00421209">
      <w:pPr>
        <w:autoSpaceDE w:val="0"/>
        <w:autoSpaceDN w:val="0"/>
        <w:adjustRightInd w:val="0"/>
        <w:spacing w:after="120"/>
        <w:ind w:left="482" w:hanging="482"/>
      </w:pPr>
      <w:r w:rsidRPr="00421209">
        <w:t xml:space="preserve">2.1 </w:t>
      </w:r>
      <w:r w:rsidR="0060387F" w:rsidRPr="0060387F">
        <w:rPr>
          <w:b/>
          <w:i/>
        </w:rPr>
        <w:t>Summary:</w:t>
      </w:r>
      <w:r w:rsidR="0060387F">
        <w:rPr>
          <w:i/>
        </w:rPr>
        <w:t xml:space="preserve"> </w:t>
      </w:r>
      <w:r w:rsidRPr="00421209">
        <w:t>Corporal punishment of children in Montenegro is unlawful in schools and in the penal system but it is not prohibited in the home, alternative care settings and some forms of day care.</w:t>
      </w:r>
    </w:p>
    <w:p w:rsidR="00421209" w:rsidRPr="00421209" w:rsidRDefault="00F314B9" w:rsidP="00421209">
      <w:pPr>
        <w:autoSpaceDE w:val="0"/>
        <w:autoSpaceDN w:val="0"/>
        <w:adjustRightInd w:val="0"/>
        <w:spacing w:after="120"/>
        <w:ind w:left="482" w:hanging="482"/>
        <w:rPr>
          <w:lang w:val="en-US"/>
        </w:rPr>
      </w:pPr>
      <w:r w:rsidRPr="00421209">
        <w:t xml:space="preserve">2.2 </w:t>
      </w:r>
      <w:r w:rsidRPr="0060387F">
        <w:rPr>
          <w:b/>
          <w:i/>
        </w:rPr>
        <w:t>Home (</w:t>
      </w:r>
      <w:r w:rsidRPr="0060387F">
        <w:rPr>
          <w:b/>
          <w:i/>
          <w:u w:val="single"/>
        </w:rPr>
        <w:t>lawful</w:t>
      </w:r>
      <w:r w:rsidRPr="0060387F">
        <w:rPr>
          <w:b/>
          <w:i/>
        </w:rPr>
        <w:t>):</w:t>
      </w:r>
      <w:r w:rsidRPr="00421209">
        <w:rPr>
          <w:i/>
        </w:rPr>
        <w:t xml:space="preserve"> </w:t>
      </w:r>
      <w:r w:rsidR="00421209" w:rsidRPr="00421209">
        <w:t>There is no legal defence for the use of corporal punishment in childrearing and provisions against violence and abuse in the Criminal Code 2004, the Family Act 2007, the Charter on Human and Minority Rights and Civil Liberties 2003 and the Law on Family Violence Protection 2010 do not include explicit prohibition of all corporal punishment.</w:t>
      </w:r>
    </w:p>
    <w:p w:rsidR="00421209" w:rsidRPr="00421209" w:rsidRDefault="0060387F" w:rsidP="00421209">
      <w:pPr>
        <w:spacing w:after="120"/>
        <w:ind w:left="482" w:hanging="482"/>
      </w:pPr>
      <w:r>
        <w:t xml:space="preserve">2.3 </w:t>
      </w:r>
      <w:r w:rsidR="00421209" w:rsidRPr="00421209">
        <w:t xml:space="preserve">In 2008, the Deputy Minister of Justice Mr Lukas Redziniak signed the Council of Europe petition against all corporal punishment of children. </w:t>
      </w:r>
      <w:r>
        <w:t>As already noted (para. 1.1), i</w:t>
      </w:r>
      <w:r w:rsidR="00421209" w:rsidRPr="00421209">
        <w:t>n reporting to the Committee Against Torture in December 2012, the Government stated that corporal punishment is prohibited under articles 70 and 87 of the Family Law.</w:t>
      </w:r>
      <w:r w:rsidR="00421209" w:rsidRPr="00421209">
        <w:rPr>
          <w:rStyle w:val="FootnoteReference"/>
        </w:rPr>
        <w:footnoteReference w:id="5"/>
      </w:r>
      <w:r w:rsidR="00421209" w:rsidRPr="00421209">
        <w:t xml:space="preserve"> Article 70 of the Family Law 2007 states that “parents must not subject the child to humiliating actions and penalties that offend human dignity of the child and they are under an obligation to protect the child from such actions of other persons”. However, this does not give a clear message that all forms of corporal punishment, without exception, are prohibited in childrearing</w:t>
      </w:r>
      <w:r>
        <w:t>: the longstanding and near universal acceptance of some degree of physical punishment in childhood means that it is not readily perceived as violating a child’s dignity unless it reaches the threshold of what is legally considered to be “child abuse”</w:t>
      </w:r>
      <w:r w:rsidR="00421209" w:rsidRPr="00421209">
        <w:t>. Article 87 addresses abuse of parental rights, stating that such abuse is present if a parent “abuses the child in a physical, sexual or emotional manner”, but there is no indication that this is interpreted as prohibiting all corporal punishment</w:t>
      </w:r>
      <w:r>
        <w:t xml:space="preserve"> except that which would be considered “child abuse”</w:t>
      </w:r>
      <w:r w:rsidR="00421209" w:rsidRPr="00421209">
        <w:t>.</w:t>
      </w:r>
      <w:r w:rsidR="002952CF">
        <w:t xml:space="preserve"> The Law on Prevention of Family Violence 2010 protects family members, including children, from physical force inflicted by other family members, whether or not it results in bodily injury. </w:t>
      </w:r>
      <w:r w:rsidR="00F3633D">
        <w:t xml:space="preserve">There is no indication that </w:t>
      </w:r>
      <w:r w:rsidR="002952CF">
        <w:t>this applies to the use of force in “disciplining” children.</w:t>
      </w:r>
    </w:p>
    <w:p w:rsidR="00421209" w:rsidRPr="00421209" w:rsidRDefault="0060387F" w:rsidP="00421209">
      <w:pPr>
        <w:adjustRightInd w:val="0"/>
        <w:spacing w:after="120"/>
        <w:ind w:left="482" w:hanging="482"/>
      </w:pPr>
      <w:r>
        <w:t xml:space="preserve">2.4 </w:t>
      </w:r>
      <w:r w:rsidR="00421209" w:rsidRPr="00421209">
        <w:t xml:space="preserve">Research reveals a high prevalence of corporal punishment in the home in Montenegro. </w:t>
      </w:r>
      <w:r>
        <w:rPr>
          <w:bCs/>
          <w:iCs/>
        </w:rPr>
        <w:t xml:space="preserve">In </w:t>
      </w:r>
      <w:r w:rsidR="00421209" w:rsidRPr="00421209">
        <w:rPr>
          <w:bCs/>
          <w:iCs/>
        </w:rPr>
        <w:t>2009, a survey of 1,000 mothers and others primary carers of children under 6 found that 55% had hit their child in the past week, although a much smaller percentage (9%) believed that physical punishment was necessary in childrearing. The survey also included 200 mothers and others primary carers living in Roma settlements: 78% said they had hit thei</w:t>
      </w:r>
      <w:bookmarkStart w:id="0" w:name="_GoBack"/>
      <w:bookmarkEnd w:id="0"/>
      <w:r w:rsidR="00421209" w:rsidRPr="00421209">
        <w:rPr>
          <w:bCs/>
          <w:iCs/>
        </w:rPr>
        <w:t>r child in the past week</w:t>
      </w:r>
      <w:r>
        <w:rPr>
          <w:bCs/>
          <w:iCs/>
        </w:rPr>
        <w:t>,</w:t>
      </w:r>
      <w:r w:rsidR="00421209" w:rsidRPr="00421209">
        <w:rPr>
          <w:bCs/>
          <w:iCs/>
        </w:rPr>
        <w:t xml:space="preserve"> </w:t>
      </w:r>
      <w:r w:rsidR="00421209" w:rsidRPr="00421209">
        <w:rPr>
          <w:bCs/>
          <w:iCs/>
        </w:rPr>
        <w:lastRenderedPageBreak/>
        <w:t>32% thought physical punishment was necessary in childrearing.</w:t>
      </w:r>
      <w:r w:rsidR="00421209" w:rsidRPr="00421209">
        <w:rPr>
          <w:rStyle w:val="FootnoteReference"/>
          <w:bCs/>
        </w:rPr>
        <w:footnoteReference w:id="6"/>
      </w:r>
      <w:r w:rsidR="00421209" w:rsidRPr="00421209">
        <w:rPr>
          <w:bCs/>
          <w:iCs/>
        </w:rPr>
        <w:t xml:space="preserve"> UNICEF’s major 2010 analysis of data on child discipline from 2005-2006 found that in Montenegro </w:t>
      </w:r>
      <w:r w:rsidR="00421209" w:rsidRPr="00421209">
        <w:t xml:space="preserve">63% of 2-14 year olds had experienced violent “discipline” (physical punishment and/or psychological aggression) in their homes in the month prior to the survey, with 6% </w:t>
      </w:r>
      <w:r>
        <w:t xml:space="preserve">being </w:t>
      </w:r>
      <w:r w:rsidR="00421209" w:rsidRPr="00421209">
        <w:t>severe</w:t>
      </w:r>
      <w:r>
        <w:t>ly</w:t>
      </w:r>
      <w:r w:rsidR="00421209" w:rsidRPr="00421209">
        <w:t xml:space="preserve"> physical</w:t>
      </w:r>
      <w:r>
        <w:t>ly punished</w:t>
      </w:r>
      <w:r w:rsidR="00421209" w:rsidRPr="00421209">
        <w:t xml:space="preserve"> (hit or slapped on the face, head or ears or hit over and over with an implement).</w:t>
      </w:r>
      <w:r w:rsidR="00421209" w:rsidRPr="00421209">
        <w:rPr>
          <w:rStyle w:val="FootnoteReference"/>
        </w:rPr>
        <w:footnoteReference w:id="7"/>
      </w:r>
    </w:p>
    <w:p w:rsidR="00F314B9" w:rsidRPr="00421209" w:rsidRDefault="00F314B9" w:rsidP="00421209">
      <w:pPr>
        <w:autoSpaceDE w:val="0"/>
        <w:autoSpaceDN w:val="0"/>
        <w:adjustRightInd w:val="0"/>
        <w:spacing w:after="120"/>
        <w:ind w:left="482" w:hanging="482"/>
      </w:pPr>
      <w:r w:rsidRPr="00421209">
        <w:t>2.</w:t>
      </w:r>
      <w:r w:rsidR="0060387F">
        <w:t>5</w:t>
      </w:r>
      <w:r w:rsidRPr="00421209">
        <w:t xml:space="preserve"> </w:t>
      </w:r>
      <w:r w:rsidRPr="0060387F">
        <w:rPr>
          <w:b/>
          <w:i/>
        </w:rPr>
        <w:t>Alternative care settings (</w:t>
      </w:r>
      <w:r w:rsidRPr="0060387F">
        <w:rPr>
          <w:b/>
          <w:i/>
          <w:u w:val="single"/>
        </w:rPr>
        <w:t>lawful</w:t>
      </w:r>
      <w:r w:rsidRPr="0060387F">
        <w:rPr>
          <w:b/>
          <w:i/>
        </w:rPr>
        <w:t>):</w:t>
      </w:r>
      <w:r w:rsidRPr="00421209">
        <w:t xml:space="preserve"> There is no explicit prohibition of corporal punishment.</w:t>
      </w:r>
    </w:p>
    <w:p w:rsidR="00F314B9" w:rsidRPr="00421209" w:rsidRDefault="00F314B9" w:rsidP="00421209">
      <w:pPr>
        <w:tabs>
          <w:tab w:val="left" w:pos="8244"/>
          <w:tab w:val="left" w:pos="9160"/>
          <w:tab w:val="left" w:pos="10076"/>
          <w:tab w:val="left" w:pos="10992"/>
          <w:tab w:val="left" w:pos="11908"/>
          <w:tab w:val="left" w:pos="12824"/>
          <w:tab w:val="left" w:pos="13740"/>
          <w:tab w:val="left" w:pos="14656"/>
        </w:tabs>
        <w:spacing w:after="120"/>
        <w:ind w:left="482" w:hanging="482"/>
      </w:pPr>
      <w:r w:rsidRPr="00421209">
        <w:t>2.</w:t>
      </w:r>
      <w:r w:rsidR="0060387F">
        <w:t>6</w:t>
      </w:r>
      <w:r w:rsidRPr="00421209">
        <w:t xml:space="preserve"> </w:t>
      </w:r>
      <w:r w:rsidRPr="0060387F">
        <w:rPr>
          <w:b/>
          <w:i/>
        </w:rPr>
        <w:t>Day care</w:t>
      </w:r>
      <w:r w:rsidRPr="0060387F">
        <w:rPr>
          <w:b/>
        </w:rPr>
        <w:t xml:space="preserve"> </w:t>
      </w:r>
      <w:r w:rsidRPr="0060387F">
        <w:rPr>
          <w:b/>
          <w:i/>
        </w:rPr>
        <w:t>(</w:t>
      </w:r>
      <w:r w:rsidRPr="0060387F">
        <w:rPr>
          <w:b/>
          <w:i/>
          <w:u w:val="single"/>
        </w:rPr>
        <w:t>partial</w:t>
      </w:r>
      <w:r w:rsidR="00421209" w:rsidRPr="0060387F">
        <w:rPr>
          <w:b/>
          <w:i/>
          <w:u w:val="single"/>
        </w:rPr>
        <w:t>ly prohibited</w:t>
      </w:r>
      <w:r w:rsidRPr="0060387F">
        <w:rPr>
          <w:b/>
          <w:i/>
        </w:rPr>
        <w:t>)</w:t>
      </w:r>
      <w:r w:rsidRPr="0060387F">
        <w:rPr>
          <w:b/>
        </w:rPr>
        <w:t>:</w:t>
      </w:r>
      <w:r w:rsidRPr="00421209">
        <w:t xml:space="preserve"> Corporal punishment is prohibited in preschool education under article 111 of the General Law on Education, but it is not explicitly prohibited in other early childhood care or in day care for older children.</w:t>
      </w:r>
    </w:p>
    <w:p w:rsidR="00F314B9" w:rsidRPr="00421209" w:rsidRDefault="00F314B9" w:rsidP="00421209">
      <w:pPr>
        <w:spacing w:after="120"/>
        <w:ind w:left="482" w:hanging="482"/>
      </w:pPr>
      <w:r w:rsidRPr="00421209">
        <w:t>2.</w:t>
      </w:r>
      <w:r w:rsidR="0060387F">
        <w:t>7</w:t>
      </w:r>
      <w:r w:rsidRPr="00421209">
        <w:t xml:space="preserve"> </w:t>
      </w:r>
      <w:r w:rsidRPr="0060387F">
        <w:rPr>
          <w:b/>
          <w:i/>
        </w:rPr>
        <w:t>Schools (</w:t>
      </w:r>
      <w:r w:rsidRPr="0060387F">
        <w:rPr>
          <w:b/>
          <w:i/>
          <w:u w:val="single"/>
        </w:rPr>
        <w:t>unlawful</w:t>
      </w:r>
      <w:r w:rsidRPr="0060387F">
        <w:rPr>
          <w:b/>
          <w:i/>
        </w:rPr>
        <w:t>):</w:t>
      </w:r>
      <w:r w:rsidRPr="00421209">
        <w:t xml:space="preserve"> Article 111 of the General Law on Education states that teachers who physically punish students shall cease to be employed. The Law on Primary Education </w:t>
      </w:r>
      <w:r w:rsidR="0060387F">
        <w:t>(art.</w:t>
      </w:r>
      <w:r w:rsidRPr="00421209">
        <w:t xml:space="preserve"> 66) and</w:t>
      </w:r>
      <w:r w:rsidR="0060387F">
        <w:t xml:space="preserve"> the Law on High School (art.</w:t>
      </w:r>
      <w:r w:rsidRPr="00421209">
        <w:t xml:space="preserve"> 49) do not include corporal punishment among permitted disciplinary measures.</w:t>
      </w:r>
    </w:p>
    <w:p w:rsidR="00F314B9" w:rsidRPr="00421209" w:rsidRDefault="00F314B9" w:rsidP="00421209">
      <w:pPr>
        <w:tabs>
          <w:tab w:val="left" w:pos="8244"/>
          <w:tab w:val="left" w:pos="9160"/>
          <w:tab w:val="left" w:pos="10076"/>
          <w:tab w:val="left" w:pos="10992"/>
          <w:tab w:val="left" w:pos="11908"/>
          <w:tab w:val="left" w:pos="12824"/>
          <w:tab w:val="left" w:pos="13740"/>
          <w:tab w:val="left" w:pos="14656"/>
        </w:tabs>
        <w:spacing w:after="120"/>
        <w:ind w:left="482" w:hanging="482"/>
      </w:pPr>
      <w:r w:rsidRPr="00421209">
        <w:t>2.</w:t>
      </w:r>
      <w:r w:rsidR="0060387F">
        <w:t>8</w:t>
      </w:r>
      <w:r w:rsidRPr="00421209">
        <w:t xml:space="preserve"> </w:t>
      </w:r>
      <w:r w:rsidRPr="0060387F">
        <w:rPr>
          <w:b/>
          <w:i/>
        </w:rPr>
        <w:t>Penal institutions (</w:t>
      </w:r>
      <w:r w:rsidRPr="0060387F">
        <w:rPr>
          <w:b/>
          <w:i/>
          <w:u w:val="single"/>
        </w:rPr>
        <w:t>unlawful</w:t>
      </w:r>
      <w:r w:rsidRPr="0060387F">
        <w:rPr>
          <w:b/>
          <w:i/>
        </w:rPr>
        <w:t>):</w:t>
      </w:r>
      <w:r w:rsidRPr="00421209">
        <w:t xml:space="preserve"> Corporal punishment is considered unlawful but we have not identified an explicit prohibition in law. The Law on the Treatment of Juveniles in Criminal Procedure 2011 came into force in 2012: we have yet to examine the full text.</w:t>
      </w:r>
    </w:p>
    <w:p w:rsidR="00F314B9" w:rsidRPr="00421209" w:rsidRDefault="00F314B9" w:rsidP="00421209">
      <w:pPr>
        <w:tabs>
          <w:tab w:val="left" w:pos="8244"/>
          <w:tab w:val="left" w:pos="9160"/>
          <w:tab w:val="left" w:pos="10076"/>
          <w:tab w:val="left" w:pos="10992"/>
          <w:tab w:val="left" w:pos="11908"/>
          <w:tab w:val="left" w:pos="12824"/>
          <w:tab w:val="left" w:pos="13740"/>
          <w:tab w:val="left" w:pos="14656"/>
        </w:tabs>
        <w:spacing w:after="120"/>
        <w:ind w:left="482" w:hanging="482"/>
      </w:pPr>
      <w:r w:rsidRPr="00421209">
        <w:t>2.</w:t>
      </w:r>
      <w:r w:rsidR="0060387F">
        <w:t>9</w:t>
      </w:r>
      <w:r w:rsidRPr="00421209">
        <w:t xml:space="preserve"> </w:t>
      </w:r>
      <w:r w:rsidRPr="0060387F">
        <w:rPr>
          <w:b/>
          <w:i/>
        </w:rPr>
        <w:t>Sentence for crime (</w:t>
      </w:r>
      <w:r w:rsidRPr="0060387F">
        <w:rPr>
          <w:b/>
          <w:i/>
          <w:u w:val="single"/>
        </w:rPr>
        <w:t>unlawful</w:t>
      </w:r>
      <w:r w:rsidRPr="0060387F">
        <w:rPr>
          <w:b/>
          <w:i/>
        </w:rPr>
        <w:t>):</w:t>
      </w:r>
      <w:r w:rsidRPr="00421209">
        <w:t xml:space="preserve"> There is no provision for judicial corpo</w:t>
      </w:r>
      <w:r w:rsidR="0060387F">
        <w:t>ral punishment in criminal law.</w:t>
      </w:r>
    </w:p>
    <w:p w:rsidR="00096941" w:rsidRPr="00421209" w:rsidRDefault="00096941" w:rsidP="00421209">
      <w:pPr>
        <w:spacing w:after="120"/>
        <w:ind w:left="482" w:hanging="482"/>
      </w:pPr>
    </w:p>
    <w:p w:rsidR="0050346D" w:rsidRPr="009D77EF" w:rsidRDefault="002B65C6">
      <w:pPr>
        <w:spacing w:after="120"/>
        <w:rPr>
          <w:b/>
          <w:sz w:val="28"/>
          <w:szCs w:val="28"/>
        </w:rPr>
      </w:pPr>
      <w:r>
        <w:rPr>
          <w:b/>
          <w:sz w:val="28"/>
          <w:szCs w:val="28"/>
        </w:rPr>
        <w:t>3</w:t>
      </w:r>
      <w:r w:rsidR="009D77EF">
        <w:rPr>
          <w:b/>
          <w:sz w:val="28"/>
          <w:szCs w:val="28"/>
        </w:rPr>
        <w:t xml:space="preserve"> </w:t>
      </w:r>
      <w:r w:rsidR="0050346D" w:rsidRPr="009D77EF">
        <w:rPr>
          <w:b/>
          <w:sz w:val="28"/>
          <w:szCs w:val="28"/>
        </w:rPr>
        <w:t>Recommendations by human rights treaty bodies</w:t>
      </w:r>
      <w:r w:rsidR="0081375E">
        <w:rPr>
          <w:b/>
          <w:sz w:val="28"/>
          <w:szCs w:val="28"/>
        </w:rPr>
        <w:t xml:space="preserve"> and during the UPR</w:t>
      </w:r>
    </w:p>
    <w:p w:rsidR="0060387F" w:rsidRPr="0060387F" w:rsidRDefault="0060387F" w:rsidP="0060387F">
      <w:pPr>
        <w:spacing w:after="120"/>
        <w:ind w:left="482" w:hanging="482"/>
        <w:rPr>
          <w:szCs w:val="26"/>
        </w:rPr>
      </w:pPr>
      <w:r>
        <w:rPr>
          <w:szCs w:val="26"/>
        </w:rPr>
        <w:t>3.1</w:t>
      </w:r>
      <w:r w:rsidRPr="0060387F">
        <w:rPr>
          <w:szCs w:val="26"/>
        </w:rPr>
        <w:t xml:space="preserve"> </w:t>
      </w:r>
      <w:r w:rsidRPr="0060387F">
        <w:rPr>
          <w:b/>
          <w:i/>
          <w:szCs w:val="26"/>
        </w:rPr>
        <w:t>CAT:</w:t>
      </w:r>
      <w:r w:rsidRPr="0060387F">
        <w:rPr>
          <w:szCs w:val="26"/>
        </w:rPr>
        <w:t xml:space="preserve"> In 2009, the Committee Against Torture recommended that Montenegro adopt and implement legislation prohibiting corporal punishment in all settings as well as carrying out necessary awareness raising and educational campaigns.</w:t>
      </w:r>
      <w:r w:rsidRPr="0060387F">
        <w:rPr>
          <w:rStyle w:val="FootnoteReference"/>
          <w:szCs w:val="26"/>
        </w:rPr>
        <w:footnoteReference w:id="8"/>
      </w:r>
    </w:p>
    <w:p w:rsidR="00F314B9" w:rsidRPr="0060387F" w:rsidRDefault="00F314B9" w:rsidP="00F314B9">
      <w:pPr>
        <w:pStyle w:val="BodyText1"/>
        <w:spacing w:after="120"/>
        <w:ind w:left="482" w:hanging="482"/>
        <w:rPr>
          <w:szCs w:val="26"/>
        </w:rPr>
      </w:pPr>
      <w:r w:rsidRPr="0060387F">
        <w:rPr>
          <w:szCs w:val="26"/>
        </w:rPr>
        <w:t>3.</w:t>
      </w:r>
      <w:r w:rsidR="0060387F">
        <w:rPr>
          <w:szCs w:val="26"/>
        </w:rPr>
        <w:t>2</w:t>
      </w:r>
      <w:r w:rsidRPr="0060387F">
        <w:rPr>
          <w:szCs w:val="26"/>
        </w:rPr>
        <w:t xml:space="preserve"> </w:t>
      </w:r>
      <w:r w:rsidRPr="0060387F">
        <w:rPr>
          <w:b/>
          <w:i/>
          <w:szCs w:val="26"/>
        </w:rPr>
        <w:t>CRC:</w:t>
      </w:r>
      <w:r w:rsidRPr="0060387F">
        <w:rPr>
          <w:i/>
          <w:szCs w:val="26"/>
        </w:rPr>
        <w:t xml:space="preserve"> </w:t>
      </w:r>
      <w:r w:rsidRPr="0060387F">
        <w:rPr>
          <w:szCs w:val="26"/>
        </w:rPr>
        <w:t>In 2010, the Committee on the Rights of the Child expressed concern at the lack of information provided by Montenegro regarding the prohibition of corporal punishment and at its widespread use in the family, schools, institutions and other settings. The Committee recommended law reform to explicitly prohibit it in all settings together with relevant awareness raising campaigns and the promotion of positive, non-violent childrearing and education methods.</w:t>
      </w:r>
      <w:r w:rsidRPr="0060387F">
        <w:rPr>
          <w:rStyle w:val="FootnoteReference"/>
          <w:szCs w:val="26"/>
        </w:rPr>
        <w:footnoteReference w:id="9"/>
      </w:r>
    </w:p>
    <w:p w:rsidR="00F314B9" w:rsidRPr="0060387F" w:rsidRDefault="00F314B9" w:rsidP="00F314B9">
      <w:pPr>
        <w:spacing w:after="120"/>
        <w:ind w:left="482" w:hanging="482"/>
        <w:rPr>
          <w:szCs w:val="26"/>
        </w:rPr>
      </w:pPr>
      <w:r w:rsidRPr="0060387F">
        <w:rPr>
          <w:szCs w:val="26"/>
        </w:rPr>
        <w:t xml:space="preserve">3.3 </w:t>
      </w:r>
      <w:r w:rsidRPr="0060387F">
        <w:rPr>
          <w:b/>
          <w:i/>
          <w:szCs w:val="26"/>
        </w:rPr>
        <w:t>UPR:</w:t>
      </w:r>
      <w:r w:rsidRPr="0060387F">
        <w:rPr>
          <w:szCs w:val="26"/>
        </w:rPr>
        <w:t xml:space="preserve"> At the second cycle Universal Periodic Review of Montenegro in 2013 (session 15), recommendations were made to explicitly prohibit corporal punishment of children in all settings, including the home.</w:t>
      </w:r>
      <w:r w:rsidRPr="0060387F">
        <w:rPr>
          <w:rStyle w:val="FootnoteReference"/>
          <w:szCs w:val="26"/>
        </w:rPr>
        <w:footnoteReference w:id="10"/>
      </w:r>
      <w:r w:rsidRPr="0060387F">
        <w:rPr>
          <w:szCs w:val="26"/>
        </w:rPr>
        <w:t xml:space="preserve"> The Government accepted the recommendations.</w:t>
      </w:r>
      <w:r w:rsidRPr="0060387F">
        <w:rPr>
          <w:rStyle w:val="FootnoteReference"/>
          <w:szCs w:val="26"/>
        </w:rPr>
        <w:footnoteReference w:id="11"/>
      </w:r>
    </w:p>
    <w:p w:rsidR="00B5248E" w:rsidRPr="0060387F" w:rsidRDefault="00B5248E" w:rsidP="00E926C2">
      <w:pPr>
        <w:autoSpaceDE w:val="0"/>
        <w:autoSpaceDN w:val="0"/>
        <w:adjustRightInd w:val="0"/>
        <w:spacing w:after="120"/>
        <w:ind w:left="482" w:hanging="482"/>
        <w:rPr>
          <w:rFonts w:eastAsia="Calibri"/>
          <w:bCs/>
          <w:szCs w:val="26"/>
        </w:rPr>
      </w:pPr>
    </w:p>
    <w:p w:rsidR="0050346D" w:rsidRDefault="0049229E" w:rsidP="0050346D">
      <w:pPr>
        <w:rPr>
          <w:i/>
        </w:rPr>
      </w:pPr>
      <w:r>
        <w:rPr>
          <w:i/>
        </w:rPr>
        <w:t>B</w:t>
      </w:r>
      <w:r w:rsidR="0050346D">
        <w:rPr>
          <w:i/>
        </w:rPr>
        <w:t>riefing prepared by the Global Initiative to End All Corporal Punishment of Children</w:t>
      </w:r>
    </w:p>
    <w:p w:rsidR="009D77EF" w:rsidRDefault="00DA731F" w:rsidP="0050346D">
      <w:pPr>
        <w:rPr>
          <w:i/>
        </w:rPr>
      </w:pPr>
      <w:hyperlink r:id="rId10" w:history="1">
        <w:r w:rsidR="0050346D" w:rsidRPr="002E302B">
          <w:rPr>
            <w:rStyle w:val="Hyperlink"/>
            <w:i/>
          </w:rPr>
          <w:t>www.endcorporalpunishment.org</w:t>
        </w:r>
      </w:hyperlink>
      <w:r w:rsidR="0050346D">
        <w:rPr>
          <w:i/>
        </w:rPr>
        <w:t xml:space="preserve">; </w:t>
      </w:r>
      <w:hyperlink r:id="rId11" w:history="1">
        <w:r w:rsidR="0050346D" w:rsidRPr="002E302B">
          <w:rPr>
            <w:rStyle w:val="Hyperlink"/>
            <w:i/>
          </w:rPr>
          <w:t>info@endcorporalpunishment.org</w:t>
        </w:r>
      </w:hyperlink>
    </w:p>
    <w:p w:rsidR="0050346D" w:rsidRPr="0050346D" w:rsidRDefault="0049229E" w:rsidP="0050346D">
      <w:pPr>
        <w:rPr>
          <w:i/>
        </w:rPr>
      </w:pPr>
      <w:r>
        <w:rPr>
          <w:i/>
        </w:rPr>
        <w:t xml:space="preserve">April </w:t>
      </w:r>
      <w:r w:rsidR="00A6270B">
        <w:rPr>
          <w:i/>
        </w:rPr>
        <w:t>2014</w:t>
      </w:r>
    </w:p>
    <w:sectPr w:rsidR="0050346D" w:rsidRPr="0050346D" w:rsidSect="00215B67">
      <w:headerReference w:type="even" r:id="rId12"/>
      <w:headerReference w:type="default" r:id="rId13"/>
      <w:footerReference w:type="even" r:id="rId14"/>
      <w:footerReference w:type="default" r:id="rId15"/>
      <w:headerReference w:type="first" r:id="rId16"/>
      <w:footerReference w:type="first" r:id="rId17"/>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731F" w:rsidRDefault="00DA731F">
      <w:r>
        <w:separator/>
      </w:r>
    </w:p>
  </w:endnote>
  <w:endnote w:type="continuationSeparator" w:id="0">
    <w:p w:rsidR="00DA731F" w:rsidRDefault="00DA7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49229E">
      <w:rPr>
        <w:rStyle w:val="PageNumber"/>
        <w:noProof/>
      </w:rPr>
      <w:t>1</w:t>
    </w:r>
    <w:r>
      <w:rPr>
        <w:rStyle w:val="PageNumber"/>
      </w:rPr>
      <w:fldChar w:fldCharType="end"/>
    </w:r>
  </w:p>
  <w:p w:rsidR="00DF26B7" w:rsidRDefault="00DF26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731F" w:rsidRDefault="00DA731F">
      <w:r>
        <w:separator/>
      </w:r>
    </w:p>
  </w:footnote>
  <w:footnote w:type="continuationSeparator" w:id="0">
    <w:p w:rsidR="00DA731F" w:rsidRDefault="00DA731F">
      <w:r>
        <w:continuationSeparator/>
      </w:r>
    </w:p>
  </w:footnote>
  <w:footnote w:id="1">
    <w:p w:rsidR="003D785E" w:rsidRPr="00421209" w:rsidRDefault="003D785E">
      <w:pPr>
        <w:pStyle w:val="FootnoteText"/>
        <w:rPr>
          <w:lang w:val="en-GB"/>
        </w:rPr>
      </w:pPr>
      <w:r w:rsidRPr="00421209">
        <w:rPr>
          <w:rStyle w:val="FootnoteReference"/>
        </w:rPr>
        <w:footnoteRef/>
      </w:r>
      <w:r w:rsidRPr="00421209">
        <w:t xml:space="preserve"> 17 February 2011, CAT/C/MNE/Q/2, List of issues prior to reporting, para. 32</w:t>
      </w:r>
    </w:p>
  </w:footnote>
  <w:footnote w:id="2">
    <w:p w:rsidR="00F314B9" w:rsidRPr="00421209" w:rsidRDefault="00F314B9" w:rsidP="00F314B9">
      <w:pPr>
        <w:rPr>
          <w:sz w:val="20"/>
          <w:szCs w:val="20"/>
        </w:rPr>
      </w:pPr>
      <w:r w:rsidRPr="00421209">
        <w:rPr>
          <w:rStyle w:val="FootnoteReference"/>
          <w:sz w:val="20"/>
          <w:szCs w:val="20"/>
        </w:rPr>
        <w:footnoteRef/>
      </w:r>
      <w:r w:rsidRPr="00421209">
        <w:rPr>
          <w:sz w:val="20"/>
          <w:szCs w:val="20"/>
        </w:rPr>
        <w:t xml:space="preserve"> 14 March 2013, CAT/C/MNE/2, Second state party report, paras. 174, 175 and 176</w:t>
      </w:r>
    </w:p>
  </w:footnote>
  <w:footnote w:id="3">
    <w:p w:rsidR="00F314B9" w:rsidRPr="00421209" w:rsidRDefault="00F314B9" w:rsidP="00421209">
      <w:pPr>
        <w:rPr>
          <w:sz w:val="20"/>
          <w:szCs w:val="20"/>
        </w:rPr>
      </w:pPr>
      <w:r w:rsidRPr="00421209">
        <w:rPr>
          <w:rStyle w:val="FootnoteReference"/>
          <w:sz w:val="20"/>
          <w:szCs w:val="20"/>
        </w:rPr>
        <w:footnoteRef/>
      </w:r>
      <w:r w:rsidR="00421209" w:rsidRPr="00421209">
        <w:rPr>
          <w:sz w:val="20"/>
          <w:szCs w:val="20"/>
        </w:rPr>
        <w:t xml:space="preserve"> 21 March 2013, A/HRC/23/12, Report of the working group, paras. 117(17), 118(5) and 119(9);</w:t>
      </w:r>
      <w:r w:rsidRPr="00421209">
        <w:rPr>
          <w:sz w:val="20"/>
          <w:szCs w:val="20"/>
        </w:rPr>
        <w:t xml:space="preserve"> 18 April 2013, A/HRC/23/12/Add.1, Report of the working group: Addendum, para. 21</w:t>
      </w:r>
    </w:p>
  </w:footnote>
  <w:footnote w:id="4">
    <w:p w:rsidR="0049229E" w:rsidRDefault="0049229E" w:rsidP="0049229E">
      <w:pPr>
        <w:pStyle w:val="FootnoteText"/>
      </w:pPr>
      <w:r>
        <w:rPr>
          <w:rStyle w:val="FootnoteReference"/>
        </w:rPr>
        <w:footnoteRef/>
      </w:r>
      <w:r>
        <w:t xml:space="preserve"> Statement by the Special Representative-Ambassador to the UN Human Rights Council, Ambassador Ms Maric-Dordevic, 25</w:t>
      </w:r>
      <w:r w:rsidRPr="00BF17C4">
        <w:rPr>
          <w:vertAlign w:val="superscript"/>
        </w:rPr>
        <w:t>th</w:t>
      </w:r>
      <w:r>
        <w:t xml:space="preserve"> session of the Human Rights Council, March 2014</w:t>
      </w:r>
    </w:p>
  </w:footnote>
  <w:footnote w:id="5">
    <w:p w:rsidR="00421209" w:rsidRPr="00421209" w:rsidRDefault="00421209" w:rsidP="00421209">
      <w:pPr>
        <w:rPr>
          <w:sz w:val="20"/>
          <w:szCs w:val="20"/>
        </w:rPr>
      </w:pPr>
      <w:r w:rsidRPr="00421209">
        <w:rPr>
          <w:rStyle w:val="FootnoteReference"/>
          <w:sz w:val="20"/>
          <w:szCs w:val="20"/>
        </w:rPr>
        <w:footnoteRef/>
      </w:r>
      <w:r w:rsidRPr="00421209">
        <w:rPr>
          <w:sz w:val="20"/>
          <w:szCs w:val="20"/>
        </w:rPr>
        <w:t xml:space="preserve"> 14 March 2013, CAT/C/MNE/2, Second state party report, para. 174</w:t>
      </w:r>
    </w:p>
  </w:footnote>
  <w:footnote w:id="6">
    <w:p w:rsidR="00421209" w:rsidRPr="00421209" w:rsidRDefault="00421209" w:rsidP="00421209">
      <w:pPr>
        <w:pStyle w:val="FootnoteText"/>
        <w:rPr>
          <w:lang w:val="en-US"/>
        </w:rPr>
      </w:pPr>
      <w:r w:rsidRPr="00421209">
        <w:rPr>
          <w:rStyle w:val="FootnoteReference"/>
        </w:rPr>
        <w:footnoteRef/>
      </w:r>
      <w:r w:rsidRPr="00421209">
        <w:t xml:space="preserve"> Strategic Marketing Research (2009), </w:t>
      </w:r>
      <w:r w:rsidRPr="00421209">
        <w:rPr>
          <w:i/>
          <w:iCs/>
        </w:rPr>
        <w:t>Early childhood development for UNICEF, June 2009</w:t>
      </w:r>
      <w:r w:rsidRPr="00421209">
        <w:t xml:space="preserve">, StrategicPuls Group; Ipsos Strategic Marketing (2009), </w:t>
      </w:r>
      <w:r w:rsidRPr="00421209">
        <w:rPr>
          <w:i/>
          <w:iCs/>
          <w:lang w:val="en-US"/>
        </w:rPr>
        <w:t xml:space="preserve">Early childhood  development – 2nd phase: Testing of campaign for UNICEF, November 2009, </w:t>
      </w:r>
      <w:r w:rsidRPr="00421209">
        <w:rPr>
          <w:lang w:val="en-US"/>
        </w:rPr>
        <w:t>Ipsos</w:t>
      </w:r>
    </w:p>
  </w:footnote>
  <w:footnote w:id="7">
    <w:p w:rsidR="00421209" w:rsidRPr="00421209" w:rsidRDefault="00421209" w:rsidP="00421209">
      <w:pPr>
        <w:pStyle w:val="FootnoteText"/>
        <w:rPr>
          <w:lang w:val="en-US"/>
        </w:rPr>
      </w:pPr>
      <w:r w:rsidRPr="00421209">
        <w:rPr>
          <w:rStyle w:val="FootnoteReference"/>
        </w:rPr>
        <w:footnoteRef/>
      </w:r>
      <w:r w:rsidRPr="00421209">
        <w:t xml:space="preserve"> UNICEF (2010), </w:t>
      </w:r>
      <w:r w:rsidRPr="00421209">
        <w:rPr>
          <w:i/>
        </w:rPr>
        <w:t>Child Disciplinary Practices at Home: Evidence from a Range of Low- and Middle-Income Countries</w:t>
      </w:r>
      <w:r w:rsidRPr="00421209">
        <w:t>, NY: UNICEF</w:t>
      </w:r>
    </w:p>
  </w:footnote>
  <w:footnote w:id="8">
    <w:p w:rsidR="0060387F" w:rsidRPr="00421209" w:rsidRDefault="0060387F" w:rsidP="0060387F">
      <w:pPr>
        <w:pStyle w:val="FootnoteText"/>
      </w:pPr>
      <w:r w:rsidRPr="00421209">
        <w:rPr>
          <w:rStyle w:val="FootnoteReference"/>
        </w:rPr>
        <w:footnoteRef/>
      </w:r>
      <w:r w:rsidRPr="00421209">
        <w:t xml:space="preserve"> </w:t>
      </w:r>
      <w:r w:rsidRPr="00421209">
        <w:rPr>
          <w:bCs/>
        </w:rPr>
        <w:t>19 January 2009, CAT/C/MNE/CO/1, Concluding observations on initial report, para. 22</w:t>
      </w:r>
    </w:p>
  </w:footnote>
  <w:footnote w:id="9">
    <w:p w:rsidR="00F314B9" w:rsidRPr="00421209" w:rsidRDefault="00F314B9" w:rsidP="00F314B9">
      <w:pPr>
        <w:pStyle w:val="FootnoteText"/>
      </w:pPr>
      <w:r w:rsidRPr="00421209">
        <w:rPr>
          <w:rStyle w:val="FootnoteReference"/>
        </w:rPr>
        <w:footnoteRef/>
      </w:r>
      <w:r w:rsidRPr="00421209">
        <w:t xml:space="preserve"> 1 October 2010, CRC/C/MNE/CO/1 Advance Unedited Version, Concluding observations on initial report, paras. 36 and 37</w:t>
      </w:r>
    </w:p>
  </w:footnote>
  <w:footnote w:id="10">
    <w:p w:rsidR="00F314B9" w:rsidRPr="00421209" w:rsidRDefault="00F314B9" w:rsidP="00F314B9">
      <w:pPr>
        <w:pStyle w:val="FootnoteText"/>
        <w:rPr>
          <w:lang w:val="en-GB"/>
        </w:rPr>
      </w:pPr>
      <w:r w:rsidRPr="00421209">
        <w:rPr>
          <w:rStyle w:val="FootnoteReference"/>
        </w:rPr>
        <w:footnoteRef/>
      </w:r>
      <w:r w:rsidRPr="00421209">
        <w:t xml:space="preserve"> </w:t>
      </w:r>
      <w:r w:rsidRPr="00421209">
        <w:rPr>
          <w:lang w:eastAsia="en-GB"/>
        </w:rPr>
        <w:t>21 March 2013, A/HRC/23/12, Report of the working group, paras. 117(17), 118(5) and 119(9)</w:t>
      </w:r>
    </w:p>
  </w:footnote>
  <w:footnote w:id="11">
    <w:p w:rsidR="00F314B9" w:rsidRPr="00421209" w:rsidRDefault="00F314B9" w:rsidP="00F314B9">
      <w:pPr>
        <w:pStyle w:val="FootnoteText"/>
        <w:rPr>
          <w:lang w:val="en-GB"/>
        </w:rPr>
      </w:pPr>
      <w:r w:rsidRPr="00421209">
        <w:rPr>
          <w:rStyle w:val="FootnoteReference"/>
        </w:rPr>
        <w:footnoteRef/>
      </w:r>
      <w:r w:rsidRPr="00421209">
        <w:t xml:space="preserve"> </w:t>
      </w:r>
      <w:r w:rsidRPr="00421209">
        <w:rPr>
          <w:lang w:eastAsia="en-GB"/>
        </w:rPr>
        <w:t>18 April 2013, A/HRC/23/12/Add.1, Report of the working group: Addendum, para. 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32044"/>
    <w:rsid w:val="00033180"/>
    <w:rsid w:val="00045E8A"/>
    <w:rsid w:val="000502A2"/>
    <w:rsid w:val="000617AB"/>
    <w:rsid w:val="00067488"/>
    <w:rsid w:val="000735F7"/>
    <w:rsid w:val="00076F78"/>
    <w:rsid w:val="000836ED"/>
    <w:rsid w:val="00085CC0"/>
    <w:rsid w:val="000868C8"/>
    <w:rsid w:val="0009062A"/>
    <w:rsid w:val="00091F82"/>
    <w:rsid w:val="00096941"/>
    <w:rsid w:val="00097B98"/>
    <w:rsid w:val="00097CD7"/>
    <w:rsid w:val="000C5570"/>
    <w:rsid w:val="000D0933"/>
    <w:rsid w:val="000D3ECF"/>
    <w:rsid w:val="000D6160"/>
    <w:rsid w:val="000D727D"/>
    <w:rsid w:val="000E63B3"/>
    <w:rsid w:val="000F10F5"/>
    <w:rsid w:val="000F7B99"/>
    <w:rsid w:val="00126D80"/>
    <w:rsid w:val="00177EBF"/>
    <w:rsid w:val="0019698E"/>
    <w:rsid w:val="001B3817"/>
    <w:rsid w:val="001D6F11"/>
    <w:rsid w:val="001D7474"/>
    <w:rsid w:val="001E1E13"/>
    <w:rsid w:val="00202DBB"/>
    <w:rsid w:val="002132C8"/>
    <w:rsid w:val="00215B67"/>
    <w:rsid w:val="002164DE"/>
    <w:rsid w:val="002225D2"/>
    <w:rsid w:val="00223120"/>
    <w:rsid w:val="00242F99"/>
    <w:rsid w:val="00243837"/>
    <w:rsid w:val="00257044"/>
    <w:rsid w:val="0026194D"/>
    <w:rsid w:val="0027095A"/>
    <w:rsid w:val="002809A3"/>
    <w:rsid w:val="002871DE"/>
    <w:rsid w:val="00291CB2"/>
    <w:rsid w:val="00293182"/>
    <w:rsid w:val="002952CF"/>
    <w:rsid w:val="002A5A09"/>
    <w:rsid w:val="002A78CB"/>
    <w:rsid w:val="002A7D7C"/>
    <w:rsid w:val="002B65C6"/>
    <w:rsid w:val="002C3481"/>
    <w:rsid w:val="002C42E4"/>
    <w:rsid w:val="002D62CB"/>
    <w:rsid w:val="002E0A08"/>
    <w:rsid w:val="002E49C7"/>
    <w:rsid w:val="002E5233"/>
    <w:rsid w:val="00313D0F"/>
    <w:rsid w:val="0032377D"/>
    <w:rsid w:val="003276B3"/>
    <w:rsid w:val="0033102F"/>
    <w:rsid w:val="003375DA"/>
    <w:rsid w:val="0034725D"/>
    <w:rsid w:val="00350466"/>
    <w:rsid w:val="00351BF5"/>
    <w:rsid w:val="0036447F"/>
    <w:rsid w:val="00367284"/>
    <w:rsid w:val="00373D30"/>
    <w:rsid w:val="0037552E"/>
    <w:rsid w:val="003767E7"/>
    <w:rsid w:val="00390791"/>
    <w:rsid w:val="00393731"/>
    <w:rsid w:val="00395D49"/>
    <w:rsid w:val="003A6487"/>
    <w:rsid w:val="003A70B9"/>
    <w:rsid w:val="003C6F4D"/>
    <w:rsid w:val="003D2A14"/>
    <w:rsid w:val="003D785E"/>
    <w:rsid w:val="003E6BE2"/>
    <w:rsid w:val="004078E8"/>
    <w:rsid w:val="0042045D"/>
    <w:rsid w:val="00421209"/>
    <w:rsid w:val="00422CC8"/>
    <w:rsid w:val="00434FD1"/>
    <w:rsid w:val="004521BB"/>
    <w:rsid w:val="00454AB9"/>
    <w:rsid w:val="00462838"/>
    <w:rsid w:val="004632A6"/>
    <w:rsid w:val="00463DB6"/>
    <w:rsid w:val="00483852"/>
    <w:rsid w:val="00484137"/>
    <w:rsid w:val="0049229E"/>
    <w:rsid w:val="004A04DA"/>
    <w:rsid w:val="004B6C67"/>
    <w:rsid w:val="004E141B"/>
    <w:rsid w:val="004F2DAD"/>
    <w:rsid w:val="0050346D"/>
    <w:rsid w:val="005142F8"/>
    <w:rsid w:val="0056709C"/>
    <w:rsid w:val="005674EC"/>
    <w:rsid w:val="00576EE5"/>
    <w:rsid w:val="005A0E91"/>
    <w:rsid w:val="005B6842"/>
    <w:rsid w:val="005D210E"/>
    <w:rsid w:val="005E72AA"/>
    <w:rsid w:val="005F47DC"/>
    <w:rsid w:val="0060387F"/>
    <w:rsid w:val="00614E68"/>
    <w:rsid w:val="006236B4"/>
    <w:rsid w:val="006272E6"/>
    <w:rsid w:val="00630638"/>
    <w:rsid w:val="006442A7"/>
    <w:rsid w:val="00644EDC"/>
    <w:rsid w:val="00644FA3"/>
    <w:rsid w:val="00671092"/>
    <w:rsid w:val="00671D64"/>
    <w:rsid w:val="00672369"/>
    <w:rsid w:val="006823E7"/>
    <w:rsid w:val="006A170C"/>
    <w:rsid w:val="006B650E"/>
    <w:rsid w:val="006C36EE"/>
    <w:rsid w:val="006C4647"/>
    <w:rsid w:val="006C6278"/>
    <w:rsid w:val="006D08C5"/>
    <w:rsid w:val="006D25E6"/>
    <w:rsid w:val="006E043A"/>
    <w:rsid w:val="006F3B2B"/>
    <w:rsid w:val="00702DB1"/>
    <w:rsid w:val="007077B8"/>
    <w:rsid w:val="00712B44"/>
    <w:rsid w:val="00717022"/>
    <w:rsid w:val="007175A0"/>
    <w:rsid w:val="007259F2"/>
    <w:rsid w:val="00726CAE"/>
    <w:rsid w:val="007353D7"/>
    <w:rsid w:val="007665A1"/>
    <w:rsid w:val="00774D8E"/>
    <w:rsid w:val="00775305"/>
    <w:rsid w:val="00783DDD"/>
    <w:rsid w:val="00790E17"/>
    <w:rsid w:val="007A1A04"/>
    <w:rsid w:val="007A1E76"/>
    <w:rsid w:val="007A5F18"/>
    <w:rsid w:val="007A6584"/>
    <w:rsid w:val="007C0D53"/>
    <w:rsid w:val="007E0115"/>
    <w:rsid w:val="007F25C7"/>
    <w:rsid w:val="007F57D1"/>
    <w:rsid w:val="007F750F"/>
    <w:rsid w:val="007F78B3"/>
    <w:rsid w:val="008039CE"/>
    <w:rsid w:val="00806381"/>
    <w:rsid w:val="0081007B"/>
    <w:rsid w:val="00812432"/>
    <w:rsid w:val="0081375E"/>
    <w:rsid w:val="0082467F"/>
    <w:rsid w:val="008471FD"/>
    <w:rsid w:val="008556B3"/>
    <w:rsid w:val="00860139"/>
    <w:rsid w:val="0086146C"/>
    <w:rsid w:val="00862AE2"/>
    <w:rsid w:val="00875A0F"/>
    <w:rsid w:val="00897430"/>
    <w:rsid w:val="008A1867"/>
    <w:rsid w:val="008B5A14"/>
    <w:rsid w:val="008C5E37"/>
    <w:rsid w:val="008D067C"/>
    <w:rsid w:val="008D06E2"/>
    <w:rsid w:val="008E2E0C"/>
    <w:rsid w:val="009160D2"/>
    <w:rsid w:val="009253FC"/>
    <w:rsid w:val="009302DF"/>
    <w:rsid w:val="00935D2A"/>
    <w:rsid w:val="00940C2C"/>
    <w:rsid w:val="00940FDD"/>
    <w:rsid w:val="00951DD0"/>
    <w:rsid w:val="00957F5B"/>
    <w:rsid w:val="00963B55"/>
    <w:rsid w:val="00970241"/>
    <w:rsid w:val="0098448F"/>
    <w:rsid w:val="00996748"/>
    <w:rsid w:val="009A1C42"/>
    <w:rsid w:val="009A45A4"/>
    <w:rsid w:val="009B14F9"/>
    <w:rsid w:val="009B3764"/>
    <w:rsid w:val="009B565A"/>
    <w:rsid w:val="009C6A71"/>
    <w:rsid w:val="009D5AB7"/>
    <w:rsid w:val="009D77EF"/>
    <w:rsid w:val="009F7D50"/>
    <w:rsid w:val="00A14662"/>
    <w:rsid w:val="00A16BC1"/>
    <w:rsid w:val="00A208B4"/>
    <w:rsid w:val="00A34AC1"/>
    <w:rsid w:val="00A37A05"/>
    <w:rsid w:val="00A406B6"/>
    <w:rsid w:val="00A5271A"/>
    <w:rsid w:val="00A60D37"/>
    <w:rsid w:val="00A6270B"/>
    <w:rsid w:val="00A70D4B"/>
    <w:rsid w:val="00A907AC"/>
    <w:rsid w:val="00A9361F"/>
    <w:rsid w:val="00AA513D"/>
    <w:rsid w:val="00AB1FBD"/>
    <w:rsid w:val="00AB5EF2"/>
    <w:rsid w:val="00AC3F6E"/>
    <w:rsid w:val="00AD022F"/>
    <w:rsid w:val="00AD08EC"/>
    <w:rsid w:val="00AF0509"/>
    <w:rsid w:val="00AF3B28"/>
    <w:rsid w:val="00B0584A"/>
    <w:rsid w:val="00B13D6B"/>
    <w:rsid w:val="00B1456F"/>
    <w:rsid w:val="00B23E82"/>
    <w:rsid w:val="00B40580"/>
    <w:rsid w:val="00B46D76"/>
    <w:rsid w:val="00B51766"/>
    <w:rsid w:val="00B5248E"/>
    <w:rsid w:val="00B61CE3"/>
    <w:rsid w:val="00B754BB"/>
    <w:rsid w:val="00B80D81"/>
    <w:rsid w:val="00B91136"/>
    <w:rsid w:val="00BB1C46"/>
    <w:rsid w:val="00BB618F"/>
    <w:rsid w:val="00BC628D"/>
    <w:rsid w:val="00BD36F1"/>
    <w:rsid w:val="00C00DBE"/>
    <w:rsid w:val="00C01E67"/>
    <w:rsid w:val="00C33693"/>
    <w:rsid w:val="00C40578"/>
    <w:rsid w:val="00C436F6"/>
    <w:rsid w:val="00C54C15"/>
    <w:rsid w:val="00C623E2"/>
    <w:rsid w:val="00C65075"/>
    <w:rsid w:val="00C715A8"/>
    <w:rsid w:val="00C813E4"/>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63DBA"/>
    <w:rsid w:val="00D80EC4"/>
    <w:rsid w:val="00D8430A"/>
    <w:rsid w:val="00DA731F"/>
    <w:rsid w:val="00DC6970"/>
    <w:rsid w:val="00DD3100"/>
    <w:rsid w:val="00DE1C45"/>
    <w:rsid w:val="00DE309C"/>
    <w:rsid w:val="00DF26B7"/>
    <w:rsid w:val="00E1250A"/>
    <w:rsid w:val="00E22152"/>
    <w:rsid w:val="00E24852"/>
    <w:rsid w:val="00E3291E"/>
    <w:rsid w:val="00E4256D"/>
    <w:rsid w:val="00E4540C"/>
    <w:rsid w:val="00E762AC"/>
    <w:rsid w:val="00E818B5"/>
    <w:rsid w:val="00E82FFB"/>
    <w:rsid w:val="00E926C2"/>
    <w:rsid w:val="00ED5D59"/>
    <w:rsid w:val="00EE0C34"/>
    <w:rsid w:val="00EE43F9"/>
    <w:rsid w:val="00F00694"/>
    <w:rsid w:val="00F05D55"/>
    <w:rsid w:val="00F25BAE"/>
    <w:rsid w:val="00F268F9"/>
    <w:rsid w:val="00F314B9"/>
    <w:rsid w:val="00F3633D"/>
    <w:rsid w:val="00F41745"/>
    <w:rsid w:val="00F45C16"/>
    <w:rsid w:val="00F516D1"/>
    <w:rsid w:val="00F622A0"/>
    <w:rsid w:val="00F70E7B"/>
    <w:rsid w:val="00F8124B"/>
    <w:rsid w:val="00F92F82"/>
    <w:rsid w:val="00FB060B"/>
    <w:rsid w:val="00FB1B8F"/>
    <w:rsid w:val="00FB61A9"/>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4538887-1A76-4691-B90F-154C93537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344481217">
      <w:bodyDiv w:val="1"/>
      <w:marLeft w:val="0"/>
      <w:marRight w:val="0"/>
      <w:marTop w:val="0"/>
      <w:marBottom w:val="0"/>
      <w:divBdr>
        <w:top w:val="none" w:sz="0" w:space="0" w:color="auto"/>
        <w:left w:val="none" w:sz="0" w:space="0" w:color="auto"/>
        <w:bottom w:val="none" w:sz="0" w:space="0" w:color="auto"/>
        <w:right w:val="none" w:sz="0" w:space="0" w:color="auto"/>
      </w:divBdr>
      <w:divsChild>
        <w:div w:id="664162802">
          <w:marLeft w:val="0"/>
          <w:marRight w:val="0"/>
          <w:marTop w:val="0"/>
          <w:marBottom w:val="0"/>
          <w:divBdr>
            <w:top w:val="none" w:sz="0" w:space="0" w:color="auto"/>
            <w:left w:val="none" w:sz="0" w:space="0" w:color="auto"/>
            <w:bottom w:val="none" w:sz="0" w:space="0" w:color="auto"/>
            <w:right w:val="none" w:sz="0" w:space="0" w:color="auto"/>
          </w:divBdr>
        </w:div>
      </w:divsChild>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881700841">
      <w:bodyDiv w:val="1"/>
      <w:marLeft w:val="0"/>
      <w:marRight w:val="0"/>
      <w:marTop w:val="0"/>
      <w:marBottom w:val="0"/>
      <w:divBdr>
        <w:top w:val="none" w:sz="0" w:space="0" w:color="auto"/>
        <w:left w:val="none" w:sz="0" w:space="0" w:color="auto"/>
        <w:bottom w:val="none" w:sz="0" w:space="0" w:color="auto"/>
        <w:right w:val="none" w:sz="0" w:space="0" w:color="auto"/>
      </w:divBdr>
      <w:divsChild>
        <w:div w:id="2028483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996D2C-BBF5-4C99-8E39-C252559E1D9A}"/>
</file>

<file path=customXml/itemProps2.xml><?xml version="1.0" encoding="utf-8"?>
<ds:datastoreItem xmlns:ds="http://schemas.openxmlformats.org/officeDocument/2006/customXml" ds:itemID="{5A0BB983-2475-421F-BD63-FA866F590337}"/>
</file>

<file path=customXml/itemProps3.xml><?xml version="1.0" encoding="utf-8"?>
<ds:datastoreItem xmlns:ds="http://schemas.openxmlformats.org/officeDocument/2006/customXml" ds:itemID="{09099B85-7958-4FA4-A15B-2FDEDABD6EB6}"/>
</file>

<file path=customXml/itemProps4.xml><?xml version="1.0" encoding="utf-8"?>
<ds:datastoreItem xmlns:ds="http://schemas.openxmlformats.org/officeDocument/2006/customXml" ds:itemID="{4609FC54-61F6-4F5D-9CAF-CCA92FB9988F}"/>
</file>

<file path=docProps/app.xml><?xml version="1.0" encoding="utf-8"?>
<Properties xmlns="http://schemas.openxmlformats.org/officeDocument/2006/extended-properties" xmlns:vt="http://schemas.openxmlformats.org/officeDocument/2006/docPropsVTypes">
  <Template>Normal</Template>
  <TotalTime>53</TotalTime>
  <Pages>3</Pages>
  <Words>1131</Words>
  <Characters>6449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GI briefing Lithuania</vt:lpstr>
    </vt:vector>
  </TitlesOfParts>
  <Company>Freelance Writing &amp; Research</Company>
  <LinksUpToDate>false</LinksUpToDate>
  <CharactersWithSpaces>7565</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Montenegro</dc:title>
  <dc:creator>Sharon Owen</dc:creator>
  <cp:lastModifiedBy>Sharon Owen (GI)</cp:lastModifiedBy>
  <cp:revision>6</cp:revision>
  <cp:lastPrinted>2004-08-23T14:41:00Z</cp:lastPrinted>
  <dcterms:created xsi:type="dcterms:W3CDTF">2014-03-17T08:38:00Z</dcterms:created>
  <dcterms:modified xsi:type="dcterms:W3CDTF">2014-04-07T06:21:00Z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