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7C4CB" w14:textId="77777777" w:rsidR="00C42910" w:rsidRDefault="00C42910" w:rsidP="0037306D">
      <w:pPr>
        <w:spacing w:after="0" w:line="240" w:lineRule="auto"/>
        <w:ind w:left="2268"/>
        <w:jc w:val="both"/>
        <w:rPr>
          <w:rFonts w:ascii="Times New Roman" w:eastAsia="Times New Roman" w:hAnsi="Times New Roman" w:cs="Times New Roman"/>
          <w:bCs/>
          <w:sz w:val="24"/>
          <w:szCs w:val="24"/>
          <w:lang w:eastAsia="pt-BR"/>
        </w:rPr>
      </w:pPr>
    </w:p>
    <w:p w14:paraId="42956FFF" w14:textId="77777777" w:rsidR="008F108F" w:rsidRPr="008F108F" w:rsidRDefault="008F108F" w:rsidP="0037306D">
      <w:pPr>
        <w:spacing w:after="0" w:line="240" w:lineRule="auto"/>
        <w:ind w:left="2268"/>
        <w:jc w:val="both"/>
        <w:rPr>
          <w:rFonts w:ascii="Times New Roman" w:eastAsia="Times New Roman" w:hAnsi="Times New Roman" w:cs="Times New Roman"/>
          <w:bCs/>
          <w:sz w:val="24"/>
          <w:szCs w:val="24"/>
          <w:lang w:eastAsia="pt-BR"/>
        </w:rPr>
      </w:pPr>
      <w:r w:rsidRPr="008F108F">
        <w:rPr>
          <w:rFonts w:ascii="Times New Roman" w:eastAsia="Times New Roman" w:hAnsi="Times New Roman" w:cs="Times New Roman"/>
          <w:bCs/>
          <w:sz w:val="24"/>
          <w:szCs w:val="24"/>
          <w:lang w:eastAsia="pt-BR"/>
        </w:rPr>
        <w:t xml:space="preserve">Shadow Report produced by </w:t>
      </w:r>
      <w:r w:rsidRPr="008F108F">
        <w:rPr>
          <w:rFonts w:ascii="Times New Roman" w:eastAsia="Times New Roman" w:hAnsi="Times New Roman" w:cs="Times New Roman"/>
          <w:b/>
          <w:bCs/>
          <w:sz w:val="24"/>
          <w:szCs w:val="24"/>
          <w:lang w:eastAsia="pt-BR"/>
        </w:rPr>
        <w:t xml:space="preserve">GELEDÉS – </w:t>
      </w:r>
      <w:r w:rsidR="0037306D" w:rsidRPr="0037306D">
        <w:rPr>
          <w:rFonts w:ascii="Times New Roman" w:eastAsia="Times New Roman" w:hAnsi="Times New Roman" w:cs="Times New Roman"/>
          <w:b/>
          <w:bCs/>
          <w:sz w:val="24"/>
          <w:szCs w:val="24"/>
          <w:lang w:eastAsia="pt-BR"/>
        </w:rPr>
        <w:t>Black Woman Institute</w:t>
      </w:r>
      <w:r w:rsidR="0037306D">
        <w:rPr>
          <w:rStyle w:val="FootnoteReference"/>
          <w:rFonts w:ascii="Times New Roman" w:eastAsia="Times New Roman" w:hAnsi="Times New Roman" w:cs="Times New Roman"/>
          <w:b/>
          <w:bCs/>
          <w:sz w:val="24"/>
          <w:szCs w:val="24"/>
          <w:lang w:eastAsia="pt-BR"/>
        </w:rPr>
        <w:footnoteReference w:id="1"/>
      </w:r>
      <w:r w:rsidRPr="008F108F">
        <w:rPr>
          <w:rFonts w:ascii="Times New Roman" w:eastAsia="Times New Roman" w:hAnsi="Times New Roman" w:cs="Times New Roman"/>
          <w:b/>
          <w:bCs/>
          <w:sz w:val="24"/>
          <w:szCs w:val="24"/>
          <w:lang w:eastAsia="pt-BR"/>
        </w:rPr>
        <w:t xml:space="preserve"> for the 99th Pre-sessional of the Committee on the Rights of the Child (CRC)</w:t>
      </w:r>
      <w:r w:rsidRPr="008F108F">
        <w:rPr>
          <w:rFonts w:ascii="Times New Roman" w:eastAsia="Times New Roman" w:hAnsi="Times New Roman" w:cs="Times New Roman"/>
          <w:bCs/>
          <w:sz w:val="24"/>
          <w:szCs w:val="24"/>
          <w:lang w:eastAsia="pt-BR"/>
        </w:rPr>
        <w:t xml:space="preserve"> regarding the examination of the 5th, 6th, and 7th periodic reports presented by Brazil under Article 44 of the Convention on the Rights of the Child</w:t>
      </w:r>
    </w:p>
    <w:p w14:paraId="79F651B7" w14:textId="77777777" w:rsidR="00C42910" w:rsidRDefault="00C42910" w:rsidP="008F108F">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p>
    <w:p w14:paraId="79A9CFA4" w14:textId="77777777" w:rsidR="00C42910" w:rsidRDefault="00C42910" w:rsidP="008F108F">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ab/>
      </w:r>
      <w:r>
        <w:rPr>
          <w:rFonts w:ascii="Times New Roman" w:eastAsia="Times New Roman" w:hAnsi="Times New Roman" w:cs="Times New Roman"/>
          <w:b/>
          <w:bCs/>
          <w:sz w:val="24"/>
          <w:szCs w:val="24"/>
          <w:lang w:eastAsia="pt-BR"/>
        </w:rPr>
        <w:tab/>
        <w:t>THE RIGHTS OF BLACK CHILDREN IN BRAZIL</w:t>
      </w:r>
    </w:p>
    <w:p w14:paraId="028FB1A8" w14:textId="77777777" w:rsidR="00C42910" w:rsidRDefault="00C42910" w:rsidP="008F108F">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p>
    <w:p w14:paraId="5D9F1CDF" w14:textId="77777777" w:rsidR="008F108F" w:rsidRPr="008F108F" w:rsidRDefault="008F108F" w:rsidP="008F108F">
      <w:pPr>
        <w:spacing w:before="100" w:beforeAutospacing="1" w:after="100" w:afterAutospacing="1" w:line="240" w:lineRule="auto"/>
        <w:outlineLvl w:val="3"/>
        <w:rPr>
          <w:rFonts w:ascii="Times New Roman" w:eastAsia="Times New Roman" w:hAnsi="Times New Roman" w:cs="Times New Roman"/>
          <w:b/>
          <w:bCs/>
          <w:sz w:val="24"/>
          <w:szCs w:val="24"/>
          <w:lang w:eastAsia="pt-BR"/>
        </w:rPr>
      </w:pPr>
      <w:r w:rsidRPr="008F108F">
        <w:rPr>
          <w:rFonts w:ascii="Times New Roman" w:eastAsia="Times New Roman" w:hAnsi="Times New Roman" w:cs="Times New Roman"/>
          <w:b/>
          <w:bCs/>
          <w:sz w:val="24"/>
          <w:szCs w:val="24"/>
          <w:lang w:eastAsia="pt-BR"/>
        </w:rPr>
        <w:t>Introduction</w:t>
      </w:r>
    </w:p>
    <w:p w14:paraId="3C23829D" w14:textId="77777777" w:rsidR="008F108F" w:rsidRPr="008F108F" w:rsidRDefault="007A4BFF" w:rsidP="00C634CB">
      <w:pPr>
        <w:numPr>
          <w:ilvl w:val="0"/>
          <w:numId w:val="1"/>
        </w:numPr>
        <w:spacing w:after="0" w:line="240" w:lineRule="auto"/>
        <w:ind w:left="0" w:firstLine="0"/>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The reality of c</w:t>
      </w:r>
      <w:r w:rsidR="008F108F" w:rsidRPr="008F108F">
        <w:rPr>
          <w:rFonts w:ascii="Times New Roman" w:eastAsia="Times New Roman" w:hAnsi="Times New Roman" w:cs="Times New Roman"/>
          <w:sz w:val="24"/>
          <w:szCs w:val="24"/>
          <w:lang w:eastAsia="pt-BR"/>
        </w:rPr>
        <w:t>hildren</w:t>
      </w:r>
      <w:r>
        <w:rPr>
          <w:rFonts w:ascii="Times New Roman" w:eastAsia="Times New Roman" w:hAnsi="Times New Roman" w:cs="Times New Roman"/>
          <w:sz w:val="24"/>
          <w:szCs w:val="24"/>
          <w:lang w:eastAsia="pt-BR"/>
        </w:rPr>
        <w:t xml:space="preserve"> of African descent</w:t>
      </w:r>
      <w:r w:rsidR="008F108F" w:rsidRPr="008F108F">
        <w:rPr>
          <w:rFonts w:ascii="Times New Roman" w:eastAsia="Times New Roman" w:hAnsi="Times New Roman" w:cs="Times New Roman"/>
          <w:sz w:val="24"/>
          <w:szCs w:val="24"/>
          <w:lang w:eastAsia="pt-BR"/>
        </w:rPr>
        <w:t xml:space="preserve"> is deeply affected by systemic institutional and environmental racism, a lasting legacy of colonial slavery that continues to perpetuate their marginalization and vulnerability. This report aims to highlight the primary challenges faced by Afro-descendant children in Brazil. Despite their significant contributions to Brazilian society, including cultural enrichment and social progress, Afro-descendant children constitute one of the most vulnerable groups due to the intersecting factors of racism, socioeconomic inequality, and inadequate access to essential services.</w:t>
      </w:r>
    </w:p>
    <w:p w14:paraId="39568538" w14:textId="77777777" w:rsidR="00713B07" w:rsidRDefault="008F108F" w:rsidP="00713B07">
      <w:pPr>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8F108F">
        <w:rPr>
          <w:rFonts w:ascii="Times New Roman" w:eastAsia="Times New Roman" w:hAnsi="Times New Roman" w:cs="Times New Roman"/>
          <w:sz w:val="24"/>
          <w:szCs w:val="24"/>
          <w:lang w:eastAsia="pt-BR"/>
        </w:rPr>
        <w:t>The report incorporates an intersectional analysis of the situation of Afro-descendant children</w:t>
      </w:r>
      <w:r w:rsidR="007A4BFF">
        <w:rPr>
          <w:rFonts w:ascii="Times New Roman" w:eastAsia="Times New Roman" w:hAnsi="Times New Roman" w:cs="Times New Roman"/>
          <w:sz w:val="24"/>
          <w:szCs w:val="24"/>
          <w:lang w:eastAsia="pt-BR"/>
        </w:rPr>
        <w:t xml:space="preserve"> of African descent</w:t>
      </w:r>
      <w:r w:rsidRPr="008F108F">
        <w:rPr>
          <w:rFonts w:ascii="Times New Roman" w:eastAsia="Times New Roman" w:hAnsi="Times New Roman" w:cs="Times New Roman"/>
          <w:sz w:val="24"/>
          <w:szCs w:val="24"/>
          <w:lang w:eastAsia="pt-BR"/>
        </w:rPr>
        <w:t>, considering gender, race, and class, and assesses the commitments made by the Brazilian State in international frameworks such as the Durban Declaration and Programme of Action. At the end of each thematic section, additional questions are proposed to be addressed by the Committee to the State Party regarding the measures taken to ensure the fulfillment of the rights of Afro-descendant children as mandated by the Convention on the Rights of the Child.</w:t>
      </w:r>
    </w:p>
    <w:p w14:paraId="47419A6C" w14:textId="77777777" w:rsidR="00713B07" w:rsidRPr="00713B07" w:rsidRDefault="00713B07" w:rsidP="00713B07">
      <w:pPr>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713B07">
        <w:rPr>
          <w:rFonts w:ascii="Times New Roman" w:eastAsia="Times New Roman" w:hAnsi="Times New Roman" w:cs="Times New Roman"/>
          <w:sz w:val="24"/>
          <w:szCs w:val="24"/>
          <w:lang w:eastAsia="pt-BR"/>
        </w:rPr>
        <w:t>The guiding principle of this report iss to guarantee the rights of Black children from early childhood, as actions to change their living conditions and ensure their dignity are often overlooked in discussions and reports on violations of the rights of babies, children, and adolescents. The focus is to address their invisibility as rights holders and the racism they suffer which devalues their histories and cultures, religious practices, ways of being and living, and the material and immaterial contributions of Black people, both past and present. Addressing the socioeconomic and psychosocial effects of racism from early childhood can alter social relations and practices within public services and facilities to better meet the needs and demands of Black families.</w:t>
      </w:r>
    </w:p>
    <w:p w14:paraId="3ACDFC59" w14:textId="77777777" w:rsidR="00087ADF" w:rsidRDefault="00087ADF" w:rsidP="00026B73">
      <w:pPr>
        <w:spacing w:after="0" w:line="240" w:lineRule="auto"/>
        <w:jc w:val="both"/>
        <w:rPr>
          <w:rFonts w:ascii="Times New Roman" w:eastAsia="Times New Roman" w:hAnsi="Times New Roman" w:cs="Times New Roman"/>
          <w:b/>
          <w:bCs/>
          <w:sz w:val="24"/>
          <w:szCs w:val="24"/>
          <w:lang w:eastAsia="pt-BR"/>
        </w:rPr>
      </w:pPr>
    </w:p>
    <w:p w14:paraId="0B56B761" w14:textId="77777777" w:rsidR="00713B07" w:rsidRDefault="00713B07" w:rsidP="00026B73">
      <w:pPr>
        <w:spacing w:after="0" w:line="240" w:lineRule="auto"/>
        <w:jc w:val="both"/>
        <w:rPr>
          <w:rFonts w:ascii="Times New Roman" w:eastAsia="Times New Roman" w:hAnsi="Times New Roman" w:cs="Times New Roman"/>
          <w:b/>
          <w:bCs/>
          <w:sz w:val="24"/>
          <w:szCs w:val="24"/>
          <w:lang w:eastAsia="pt-BR"/>
        </w:rPr>
      </w:pPr>
      <w:r w:rsidRPr="00026B73">
        <w:rPr>
          <w:rFonts w:ascii="Times New Roman" w:eastAsia="Times New Roman" w:hAnsi="Times New Roman" w:cs="Times New Roman"/>
          <w:b/>
          <w:bCs/>
          <w:sz w:val="24"/>
          <w:szCs w:val="24"/>
          <w:lang w:eastAsia="pt-BR"/>
        </w:rPr>
        <w:t>Topic 1: Data Collection and Visibility</w:t>
      </w:r>
    </w:p>
    <w:p w14:paraId="18C5BDF0" w14:textId="77777777" w:rsidR="00087ADF" w:rsidRPr="00026B73" w:rsidRDefault="00087ADF" w:rsidP="00026B73">
      <w:pPr>
        <w:spacing w:after="0" w:line="240" w:lineRule="auto"/>
        <w:jc w:val="both"/>
        <w:rPr>
          <w:rFonts w:ascii="Times New Roman" w:eastAsia="Times New Roman" w:hAnsi="Times New Roman" w:cs="Times New Roman"/>
          <w:b/>
          <w:bCs/>
          <w:sz w:val="24"/>
          <w:szCs w:val="24"/>
          <w:lang w:eastAsia="pt-BR"/>
        </w:rPr>
      </w:pPr>
    </w:p>
    <w:p w14:paraId="75144E6A" w14:textId="77777777" w:rsidR="00713B07" w:rsidRPr="00087ADF" w:rsidRDefault="00713B07"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In Brazil, there remains a substantial lack of stratified data that enables the understanding of specific realities such as those of children of African descent. The absence of disaggregated data by race and ethnicity makes it challenging to create and strengthen specific public policies. This lack of visibility contributes to the continued marginalization and vulnerability of children of African descent.</w:t>
      </w:r>
      <w:r w:rsidR="007B5DBB" w:rsidRPr="00026B73">
        <w:rPr>
          <w:rFonts w:ascii="Times New Roman" w:eastAsia="Times New Roman" w:hAnsi="Times New Roman" w:cs="Times New Roman"/>
          <w:sz w:val="24"/>
          <w:szCs w:val="24"/>
          <w:lang w:eastAsia="pt-BR"/>
        </w:rPr>
        <w:t xml:space="preserve"> In 2023, </w:t>
      </w:r>
      <w:r w:rsidR="007B5DBB" w:rsidRPr="00026B73">
        <w:rPr>
          <w:rFonts w:ascii="Times New Roman" w:hAnsi="Times New Roman" w:cs="Times New Roman"/>
          <w:sz w:val="24"/>
          <w:szCs w:val="24"/>
        </w:rPr>
        <w:t xml:space="preserve">the Brazilian </w:t>
      </w:r>
      <w:r w:rsidR="007B5DBB" w:rsidRPr="00026B73">
        <w:rPr>
          <w:rFonts w:ascii="Times New Roman" w:hAnsi="Times New Roman" w:cs="Times New Roman"/>
          <w:sz w:val="24"/>
          <w:szCs w:val="24"/>
        </w:rPr>
        <w:lastRenderedPageBreak/>
        <w:t>Institute of Geography and Statistics (IBGE) released the 3rd Gender Statistics Bulletin – Social Indicators of Women in Brazil. The report indicated that in 2022, girls dedicated almost twice as much time to household chores and caregiving compared to men. When the data is disaggregated by color, this time is 1.6 times greater for girls and women of African descent.</w:t>
      </w:r>
    </w:p>
    <w:p w14:paraId="27113B7C" w14:textId="77777777" w:rsidR="00087ADF" w:rsidRDefault="00087ADF" w:rsidP="00087ADF">
      <w:pPr>
        <w:pStyle w:val="ListParagraph"/>
        <w:spacing w:after="0" w:line="240" w:lineRule="auto"/>
        <w:ind w:left="0"/>
        <w:jc w:val="both"/>
        <w:rPr>
          <w:rFonts w:ascii="Times New Roman" w:eastAsia="Times New Roman" w:hAnsi="Times New Roman" w:cs="Times New Roman"/>
          <w:sz w:val="24"/>
          <w:szCs w:val="24"/>
          <w:lang w:eastAsia="pt-BR"/>
        </w:rPr>
      </w:pPr>
    </w:p>
    <w:p w14:paraId="5B23CB01" w14:textId="77777777" w:rsidR="00087ADF" w:rsidRDefault="00087ADF" w:rsidP="00087ADF">
      <w:pPr>
        <w:pStyle w:val="ListParagraph"/>
        <w:spacing w:after="0" w:line="240" w:lineRule="auto"/>
        <w:ind w:left="0"/>
        <w:jc w:val="both"/>
        <w:rPr>
          <w:rFonts w:ascii="Times New Roman" w:hAnsi="Times New Roman" w:cs="Times New Roman"/>
          <w:b/>
          <w:sz w:val="28"/>
          <w:szCs w:val="28"/>
        </w:rPr>
      </w:pPr>
      <w:r w:rsidRPr="00087ADF">
        <w:rPr>
          <w:rFonts w:ascii="Times New Roman" w:hAnsi="Times New Roman" w:cs="Times New Roman"/>
          <w:b/>
          <w:sz w:val="28"/>
          <w:szCs w:val="28"/>
        </w:rPr>
        <w:t>Proposed Additional Questions to be Addressed to the State Party</w:t>
      </w:r>
    </w:p>
    <w:p w14:paraId="072FBFBB" w14:textId="77777777" w:rsidR="00087ADF" w:rsidRDefault="00087ADF"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087ADF">
        <w:rPr>
          <w:rFonts w:ascii="Times New Roman" w:eastAsia="Times New Roman" w:hAnsi="Times New Roman" w:cs="Times New Roman"/>
          <w:sz w:val="24"/>
          <w:szCs w:val="24"/>
          <w:lang w:eastAsia="pt-BR"/>
        </w:rPr>
        <w:t>What measures have been adopted by the State Party in data collection to ensure the generation of disaggregated microdata by race, particularly concerning children of African descent?</w:t>
      </w:r>
    </w:p>
    <w:p w14:paraId="4DDB1EA8" w14:textId="77777777" w:rsidR="00087ADF" w:rsidRDefault="00087ADF"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087ADF">
        <w:rPr>
          <w:rFonts w:ascii="Times New Roman" w:eastAsia="Times New Roman" w:hAnsi="Times New Roman" w:cs="Times New Roman"/>
          <w:sz w:val="24"/>
          <w:szCs w:val="24"/>
          <w:lang w:eastAsia="pt-BR"/>
        </w:rPr>
        <w:t>How does the State Party plan to improve the visibility of children of African descent in its statistical data?</w:t>
      </w:r>
    </w:p>
    <w:p w14:paraId="6A33F5EF" w14:textId="77777777" w:rsidR="00087ADF" w:rsidRDefault="00087ADF"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087ADF">
        <w:rPr>
          <w:rFonts w:ascii="Times New Roman" w:eastAsia="Times New Roman" w:hAnsi="Times New Roman" w:cs="Times New Roman"/>
          <w:sz w:val="24"/>
          <w:szCs w:val="24"/>
          <w:lang w:eastAsia="pt-BR"/>
        </w:rPr>
        <w:t>What steps are being taken to ensure that data collection methods are inclusive and accurately reflect the realities of children of African descent?</w:t>
      </w:r>
    </w:p>
    <w:p w14:paraId="666EC908" w14:textId="77777777" w:rsidR="00087ADF" w:rsidRPr="00087ADF" w:rsidRDefault="00087ADF" w:rsidP="00087ADF">
      <w:pPr>
        <w:pStyle w:val="ListParagraph"/>
        <w:spacing w:after="0" w:line="240" w:lineRule="auto"/>
        <w:ind w:left="1440"/>
        <w:rPr>
          <w:rFonts w:ascii="Times New Roman" w:eastAsia="Times New Roman" w:hAnsi="Times New Roman" w:cs="Times New Roman"/>
          <w:sz w:val="24"/>
          <w:szCs w:val="24"/>
          <w:lang w:eastAsia="pt-BR"/>
        </w:rPr>
      </w:pPr>
    </w:p>
    <w:p w14:paraId="432337BC" w14:textId="77777777" w:rsidR="00087ADF" w:rsidRDefault="00087ADF" w:rsidP="00026B73">
      <w:pPr>
        <w:spacing w:after="0" w:line="240" w:lineRule="auto"/>
        <w:jc w:val="both"/>
        <w:rPr>
          <w:rFonts w:ascii="Times New Roman" w:eastAsia="Times New Roman" w:hAnsi="Times New Roman" w:cs="Times New Roman"/>
          <w:b/>
          <w:bCs/>
          <w:sz w:val="24"/>
          <w:szCs w:val="24"/>
          <w:lang w:eastAsia="pt-BR"/>
        </w:rPr>
      </w:pPr>
    </w:p>
    <w:p w14:paraId="391DFC7E" w14:textId="77777777" w:rsidR="00713B07" w:rsidRDefault="00505C2E" w:rsidP="00026B73">
      <w:pPr>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Topic 2</w:t>
      </w:r>
      <w:r w:rsidR="00713B07" w:rsidRPr="00026B73">
        <w:rPr>
          <w:rFonts w:ascii="Times New Roman" w:eastAsia="Times New Roman" w:hAnsi="Times New Roman" w:cs="Times New Roman"/>
          <w:b/>
          <w:bCs/>
          <w:sz w:val="24"/>
          <w:szCs w:val="24"/>
          <w:lang w:eastAsia="pt-BR"/>
        </w:rPr>
        <w:t>: Education</w:t>
      </w:r>
    </w:p>
    <w:p w14:paraId="4E6C3568" w14:textId="77777777" w:rsidR="00087ADF" w:rsidRPr="00713B07" w:rsidRDefault="00087ADF" w:rsidP="00026B73">
      <w:pPr>
        <w:spacing w:after="0" w:line="240" w:lineRule="auto"/>
        <w:jc w:val="both"/>
        <w:rPr>
          <w:rFonts w:ascii="Times New Roman" w:eastAsia="Times New Roman" w:hAnsi="Times New Roman" w:cs="Times New Roman"/>
          <w:sz w:val="24"/>
          <w:szCs w:val="24"/>
          <w:lang w:eastAsia="pt-BR"/>
        </w:rPr>
      </w:pPr>
    </w:p>
    <w:p w14:paraId="2849A323" w14:textId="77777777" w:rsidR="0008400F" w:rsidRPr="00026B73" w:rsidRDefault="0008400F"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In 2020, the COVID-19 pandemic caused widespread losses, changes, and uncertainties due to illness and death, as well as the need for isolation and staying at home. This situation impacted both the physical and mental health of individuals and the structure for meeting basic needs worldwide. It led to an economic crisis and austerity measures by governments, increasing disparities in race, gender, and income, necessitating the monitoring of social indicators to prevent deepening inequalities.</w:t>
      </w:r>
    </w:p>
    <w:p w14:paraId="2C042CB7" w14:textId="77777777" w:rsidR="00EF77F9" w:rsidRPr="00026B73" w:rsidRDefault="0008400F"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8400F">
        <w:rPr>
          <w:rFonts w:ascii="Times New Roman" w:eastAsia="Times New Roman" w:hAnsi="Times New Roman" w:cs="Times New Roman"/>
          <w:sz w:val="24"/>
          <w:szCs w:val="24"/>
          <w:lang w:eastAsia="pt-BR"/>
        </w:rPr>
        <w:t>In response, Geledés conducted the research "The Education of Black Girls in Times of Pandemic: Deepening Inequalities," which evaluated the impact of school closures on the educational rights of Black girls. The concern stemmed from the fact that Black children and adolescents are predominantly from vulnerable families in classes C, D, and E, who were engaged in essential in-person work during the pandemic and predominantly in precarious employment, requiring them to leave home to earn income and obtain food.</w:t>
      </w:r>
    </w:p>
    <w:p w14:paraId="37342865" w14:textId="77777777" w:rsidR="00EF77F9" w:rsidRPr="00026B73" w:rsidRDefault="0008400F"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Consequently, Black family members responsible for school-aged children and adolescents could not supervise or guide remote educational activities and lacked support from public agencies for student assistance. The study focused on the city of São Paulo and found that Black girls were most affected by the adoption of remote learning mediated by digital technology. The data highlighted the difficulties in accessing distance learning tools and the low participation in school activities, which posed risks to their retention, learning, and completion of basic education.</w:t>
      </w:r>
    </w:p>
    <w:p w14:paraId="66FE8235" w14:textId="77777777" w:rsidR="00BA4750" w:rsidRDefault="0008400F" w:rsidP="00BA4750">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The research identified the violation of Black girls' right to education based on several points:</w:t>
      </w:r>
    </w:p>
    <w:p w14:paraId="4CD60B16" w14:textId="77777777" w:rsidR="00BA4750" w:rsidRDefault="00BA4750" w:rsidP="00BA4750">
      <w:pPr>
        <w:pStyle w:val="ListParagraph"/>
        <w:spacing w:after="0" w:line="240" w:lineRule="auto"/>
        <w:ind w:left="0"/>
        <w:jc w:val="both"/>
        <w:rPr>
          <w:rFonts w:ascii="Times New Roman" w:eastAsia="Times New Roman" w:hAnsi="Times New Roman" w:cs="Times New Roman"/>
          <w:sz w:val="24"/>
          <w:szCs w:val="24"/>
          <w:lang w:eastAsia="pt-BR"/>
        </w:rPr>
      </w:pPr>
    </w:p>
    <w:p w14:paraId="4A74310B"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Black families had parents working in-person since the pandemic began, and Black girls assumed more domestic responsibilities.</w:t>
      </w:r>
    </w:p>
    <w:p w14:paraId="668A5BF8"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Families without internet access were predominantly Black; those using mobile data packages or shared/community access were Black and mixed-race; white families accessed the internet via cable/broadband with Wi-Fi.</w:t>
      </w:r>
    </w:p>
    <w:p w14:paraId="64F7254A"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Computers were used by 63.64% of white families and 23.81% of Black families; the primary access device for white families was the computer, while for Black families, it was the mobile phone.</w:t>
      </w:r>
    </w:p>
    <w:p w14:paraId="785E6CCF"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lastRenderedPageBreak/>
        <w:t>Black girls had the least access to educational materials compared to Black boys, white girls, and white boys.</w:t>
      </w:r>
    </w:p>
    <w:p w14:paraId="598134BD"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Black girls also struggled the most with completing assignments.</w:t>
      </w:r>
    </w:p>
    <w:p w14:paraId="4CD11418"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15% of boys dedicated at least 6 hours to studies, while this rate was 8% for girls.</w:t>
      </w:r>
    </w:p>
    <w:p w14:paraId="0BFCC9F8"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Teachers identified the main impacts of the pandemic on Black students as increased dropout rates, academic failure, and changes in school culture.</w:t>
      </w:r>
    </w:p>
    <w:p w14:paraId="7BDCDC1F"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Teachers noted that the pandemic's main impacts on girls' education included increased violence and rights violations, school dropout, and growing social inequalities.</w:t>
      </w:r>
    </w:p>
    <w:p w14:paraId="62F597D5" w14:textId="77777777" w:rsidR="00BA4750"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Teachers believed Black girls would be differently affected by the pandemic compared to other groups.</w:t>
      </w:r>
    </w:p>
    <w:p w14:paraId="02CEA8EA" w14:textId="77777777" w:rsidR="00EF77F9" w:rsidRDefault="0008400F" w:rsidP="00BA4750">
      <w:pPr>
        <w:pStyle w:val="ListParagraph"/>
        <w:numPr>
          <w:ilvl w:val="0"/>
          <w:numId w:val="44"/>
        </w:numPr>
        <w:spacing w:after="0" w:line="240" w:lineRule="auto"/>
        <w:ind w:left="0"/>
        <w:jc w:val="both"/>
        <w:rPr>
          <w:rFonts w:ascii="Times New Roman" w:eastAsia="Times New Roman" w:hAnsi="Times New Roman" w:cs="Times New Roman"/>
          <w:sz w:val="24"/>
          <w:szCs w:val="24"/>
          <w:lang w:eastAsia="pt-BR"/>
        </w:rPr>
      </w:pPr>
      <w:r w:rsidRPr="00BA4750">
        <w:rPr>
          <w:rFonts w:ascii="Times New Roman" w:eastAsia="Times New Roman" w:hAnsi="Times New Roman" w:cs="Times New Roman"/>
          <w:sz w:val="24"/>
          <w:szCs w:val="24"/>
          <w:lang w:eastAsia="pt-BR"/>
        </w:rPr>
        <w:t>Members of civil society organizations felt that Black children and adolescents were significantly impacted by the pandemic and that racial issues were not addressed in the curriculum.</w:t>
      </w:r>
    </w:p>
    <w:p w14:paraId="4D32C703" w14:textId="77777777" w:rsidR="00BA4750" w:rsidRPr="00BA4750" w:rsidRDefault="00BA4750" w:rsidP="00BA4750">
      <w:pPr>
        <w:pStyle w:val="ListParagraph"/>
        <w:spacing w:after="0" w:line="240" w:lineRule="auto"/>
        <w:ind w:left="0"/>
        <w:jc w:val="both"/>
        <w:rPr>
          <w:rFonts w:ascii="Times New Roman" w:eastAsia="Times New Roman" w:hAnsi="Times New Roman" w:cs="Times New Roman"/>
          <w:sz w:val="24"/>
          <w:szCs w:val="24"/>
          <w:lang w:eastAsia="pt-BR"/>
        </w:rPr>
      </w:pPr>
    </w:p>
    <w:p w14:paraId="3009AC2A" w14:textId="77777777" w:rsidR="0008400F" w:rsidRDefault="0008400F"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This scenario presents a challenge for the Rights Guarantee System to implement public policies that ensure educational rights and promote the defense and oversight of school access for all, with particular attention to the realities of Black girls. The pandemic's impact on Black students' educational trajectories highlights how gender and race oppressions determine distinct positions and possibilities in society. These social conditions limit Black girls' educational paths and negatively impact their future prospects.</w:t>
      </w:r>
    </w:p>
    <w:p w14:paraId="7E1E8B37" w14:textId="77777777" w:rsidR="003049C1" w:rsidRDefault="003049C1" w:rsidP="003049C1">
      <w:pPr>
        <w:pStyle w:val="ListParagraph"/>
        <w:spacing w:after="0" w:line="240" w:lineRule="auto"/>
        <w:ind w:left="0"/>
        <w:jc w:val="both"/>
        <w:rPr>
          <w:rFonts w:ascii="Times New Roman" w:eastAsia="Times New Roman" w:hAnsi="Times New Roman" w:cs="Times New Roman"/>
          <w:sz w:val="24"/>
          <w:szCs w:val="24"/>
          <w:lang w:eastAsia="pt-BR"/>
        </w:rPr>
      </w:pPr>
    </w:p>
    <w:p w14:paraId="74CFB384" w14:textId="77777777" w:rsidR="003049C1" w:rsidRDefault="003049C1" w:rsidP="003049C1">
      <w:pPr>
        <w:pStyle w:val="ListParagraph"/>
        <w:spacing w:after="0" w:line="240" w:lineRule="auto"/>
        <w:ind w:left="0"/>
        <w:jc w:val="both"/>
        <w:rPr>
          <w:rFonts w:ascii="Times New Roman" w:hAnsi="Times New Roman" w:cs="Times New Roman"/>
          <w:b/>
          <w:sz w:val="28"/>
          <w:szCs w:val="28"/>
        </w:rPr>
      </w:pPr>
      <w:r w:rsidRPr="00087ADF">
        <w:rPr>
          <w:rFonts w:ascii="Times New Roman" w:hAnsi="Times New Roman" w:cs="Times New Roman"/>
          <w:b/>
          <w:sz w:val="28"/>
          <w:szCs w:val="28"/>
        </w:rPr>
        <w:t>Proposed Additional Questions to be Addressed to the State Party</w:t>
      </w:r>
    </w:p>
    <w:p w14:paraId="5F26B694" w14:textId="77777777" w:rsidR="003049C1" w:rsidRDefault="003049C1" w:rsidP="003049C1">
      <w:pPr>
        <w:pStyle w:val="ListParagraph"/>
        <w:spacing w:after="0" w:line="240" w:lineRule="auto"/>
        <w:ind w:left="0"/>
        <w:jc w:val="both"/>
        <w:rPr>
          <w:rFonts w:ascii="Times New Roman" w:hAnsi="Times New Roman" w:cs="Times New Roman"/>
          <w:b/>
          <w:sz w:val="28"/>
          <w:szCs w:val="28"/>
        </w:rPr>
      </w:pPr>
    </w:p>
    <w:p w14:paraId="6B372DB2" w14:textId="77777777" w:rsidR="003049C1" w:rsidRDefault="003049C1"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What policies and programs are in place to specifically support the educational needs of girls and children of African descent?</w:t>
      </w:r>
    </w:p>
    <w:p w14:paraId="3EE0EF03" w14:textId="77777777" w:rsidR="003049C1" w:rsidRDefault="003049C1"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How does the State Party plan to address the disparities in access to educational resources and opportunities between Black children and their peers?</w:t>
      </w:r>
    </w:p>
    <w:p w14:paraId="563E2EEA" w14:textId="77777777" w:rsidR="003049C1" w:rsidRPr="003049C1" w:rsidRDefault="003049C1"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What measures are being taken to ensure the retention, learning, and completion of education for girls and children of African descent?</w:t>
      </w:r>
    </w:p>
    <w:p w14:paraId="2A9AA545" w14:textId="77777777" w:rsidR="003049C1" w:rsidRDefault="003049C1" w:rsidP="003049C1">
      <w:pPr>
        <w:pStyle w:val="ListParagraph"/>
        <w:spacing w:after="0" w:line="240" w:lineRule="auto"/>
        <w:ind w:left="0"/>
        <w:jc w:val="both"/>
        <w:rPr>
          <w:rFonts w:ascii="Times New Roman" w:hAnsi="Times New Roman" w:cs="Times New Roman"/>
          <w:b/>
          <w:sz w:val="28"/>
          <w:szCs w:val="28"/>
        </w:rPr>
      </w:pPr>
    </w:p>
    <w:p w14:paraId="09C30EE1" w14:textId="77777777" w:rsidR="00713B07" w:rsidRDefault="00505C2E" w:rsidP="00026B73">
      <w:pPr>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Topic 3</w:t>
      </w:r>
      <w:r w:rsidR="00713B07" w:rsidRPr="00026B73">
        <w:rPr>
          <w:rFonts w:ascii="Times New Roman" w:eastAsia="Times New Roman" w:hAnsi="Times New Roman" w:cs="Times New Roman"/>
          <w:b/>
          <w:bCs/>
          <w:sz w:val="24"/>
          <w:szCs w:val="24"/>
          <w:lang w:eastAsia="pt-BR"/>
        </w:rPr>
        <w:t>: Health</w:t>
      </w:r>
    </w:p>
    <w:p w14:paraId="1B1E73CE" w14:textId="77777777" w:rsidR="003049C1" w:rsidRPr="00713B07" w:rsidRDefault="003049C1" w:rsidP="00026B73">
      <w:pPr>
        <w:spacing w:after="0" w:line="240" w:lineRule="auto"/>
        <w:jc w:val="both"/>
        <w:rPr>
          <w:rFonts w:ascii="Times New Roman" w:eastAsia="Times New Roman" w:hAnsi="Times New Roman" w:cs="Times New Roman"/>
          <w:sz w:val="24"/>
          <w:szCs w:val="24"/>
          <w:lang w:eastAsia="pt-BR"/>
        </w:rPr>
      </w:pPr>
    </w:p>
    <w:p w14:paraId="7A4D63CC" w14:textId="77777777" w:rsidR="00887CB6" w:rsidRPr="00026B73" w:rsidRDefault="00713B07"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Children of African descent face significant barriers in accessing healthcare, particularly in areas of sexual and reproductive health. The high rates of maternal mortality among Black women reflect broader systemic issues within the healthcare system. Racist stereotypes and discriminatory practices continue to affect the quality of care received by these populations.</w:t>
      </w:r>
      <w:r w:rsidR="00887CB6" w:rsidRPr="00026B73">
        <w:rPr>
          <w:rFonts w:ascii="Times New Roman" w:eastAsia="Times New Roman" w:hAnsi="Times New Roman" w:cs="Times New Roman"/>
          <w:sz w:val="24"/>
          <w:szCs w:val="24"/>
          <w:lang w:eastAsia="pt-BR"/>
        </w:rPr>
        <w:t xml:space="preserve"> </w:t>
      </w:r>
      <w:r w:rsidR="00D61C02" w:rsidRPr="00026B73">
        <w:rPr>
          <w:rFonts w:ascii="Times New Roman" w:hAnsi="Times New Roman" w:cs="Times New Roman"/>
          <w:sz w:val="24"/>
          <w:szCs w:val="24"/>
        </w:rPr>
        <w:t>Black children suffer from environmental impacts, as seen in the case of those affected by dam failures and large environmental projects. They were also the main victims of orphanhood caused by COVID-19, among other social inequalities that extend across all areas of social rights.</w:t>
      </w:r>
    </w:p>
    <w:p w14:paraId="05FA91A2" w14:textId="77777777" w:rsidR="00887CB6" w:rsidRPr="00026B73" w:rsidRDefault="00513FB9"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A documentary study by Antão (2020) reveals that more than 40% of children and adolescents up to 14 years old live in poverty in Brazil. This research also highlights other dimensions such as education, information, and protection against child labor, directly impacting social vulnerability, poverty, and neglect (ANTÃO, 2020). UNICEF (2010) reports that 26 million Brazilian children and adolescents live in poor families, with 45.6% of Black children living in poverty compared to 32.9% of white children. The racial inequity persists, with Black children being 70% more likely to be poor than white children.</w:t>
      </w:r>
    </w:p>
    <w:p w14:paraId="78B1A587" w14:textId="77777777" w:rsidR="003049C1" w:rsidRDefault="00513FB9" w:rsidP="003049C1">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lastRenderedPageBreak/>
        <w:t>Poverty forces children and youth out of school and into early work, often in hazardous jobs, making them vulnerable. UNICEF (2010) data show that 64.78% of working children and adolescents in Brazil are Black. Black girls represent 87% to 93% of children involved in domestic work, suffering the most physically and psychologically (INSTITUTO PENSI, 2021). Black children aged 7 to 14 are 30% more likely to be out of school than their white peers.</w:t>
      </w:r>
      <w:r w:rsidR="00887CB6" w:rsidRPr="00026B73">
        <w:rPr>
          <w:rFonts w:ascii="Times New Roman" w:eastAsia="Times New Roman" w:hAnsi="Times New Roman" w:cs="Times New Roman"/>
          <w:sz w:val="24"/>
          <w:szCs w:val="24"/>
          <w:lang w:eastAsia="pt-BR"/>
        </w:rPr>
        <w:t xml:space="preserve"> </w:t>
      </w:r>
      <w:r w:rsidRPr="00026B73">
        <w:rPr>
          <w:rFonts w:ascii="Times New Roman" w:eastAsia="Times New Roman" w:hAnsi="Times New Roman" w:cs="Times New Roman"/>
          <w:sz w:val="24"/>
          <w:szCs w:val="24"/>
          <w:lang w:eastAsia="pt-BR"/>
        </w:rPr>
        <w:t>According to the 2021 Censo do Módulo Criança e Adolescente (MPRJ) in Rio de Janeiro, 33.16% of the child population is institutionalized, with higher vulnerability rates among Black children. The main reasons for institutional care are neglect (36.95%) and abandonment by parents or guardians (9.03%) (MPRJ, 2021, p. 63).</w:t>
      </w:r>
    </w:p>
    <w:p w14:paraId="5228164A" w14:textId="77777777" w:rsidR="00513FB9" w:rsidRPr="003049C1" w:rsidRDefault="00513FB9" w:rsidP="003049C1">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Black children face significant social vulnerability, leading to mental health issues. Sousa (2020) asks how the mental health of Black children who experience racism daily is affected, noting potential problems like low self-esteem, mental disorders, and developmental and interpersonal relationship difficulties (SOUSA, 2020, p. 24). Oliveira et al. (2021) state that racism during childhood impacts self-image, leading to a negative racial identity, low self-esteem, and feelings of inferiority, resulting in isolation. Girls face racism more in terms of appearance, while boys are stereotyped as troublemakers (OLIVEIRA et al., 2021, p. 28777). The intersectionality of race, gender, and class must be considered when evaluating the mental health of the Black population (AKOTIRENE, 2019; MEYER, 2003).</w:t>
      </w:r>
    </w:p>
    <w:p w14:paraId="66EC0499" w14:textId="77777777" w:rsidR="003049C1" w:rsidRDefault="003049C1" w:rsidP="003049C1">
      <w:pPr>
        <w:spacing w:after="0" w:line="240" w:lineRule="auto"/>
        <w:jc w:val="both"/>
        <w:rPr>
          <w:rFonts w:ascii="Times New Roman" w:eastAsia="Times New Roman" w:hAnsi="Times New Roman" w:cs="Times New Roman"/>
          <w:sz w:val="24"/>
          <w:szCs w:val="24"/>
          <w:lang w:eastAsia="pt-BR"/>
        </w:rPr>
      </w:pPr>
    </w:p>
    <w:p w14:paraId="07795B1F" w14:textId="77777777" w:rsidR="003049C1" w:rsidRDefault="003049C1" w:rsidP="003049C1">
      <w:pPr>
        <w:pStyle w:val="ListParagraph"/>
        <w:spacing w:after="0" w:line="240" w:lineRule="auto"/>
        <w:ind w:left="0"/>
        <w:jc w:val="both"/>
        <w:rPr>
          <w:rFonts w:ascii="Times New Roman" w:hAnsi="Times New Roman" w:cs="Times New Roman"/>
          <w:b/>
          <w:sz w:val="28"/>
          <w:szCs w:val="28"/>
        </w:rPr>
      </w:pPr>
      <w:r w:rsidRPr="00087ADF">
        <w:rPr>
          <w:rFonts w:ascii="Times New Roman" w:hAnsi="Times New Roman" w:cs="Times New Roman"/>
          <w:b/>
          <w:sz w:val="28"/>
          <w:szCs w:val="28"/>
        </w:rPr>
        <w:t>Proposed Additional Questions to be Addressed to the State Party</w:t>
      </w:r>
    </w:p>
    <w:p w14:paraId="55A95933" w14:textId="77777777" w:rsidR="003049C1" w:rsidRDefault="003049C1" w:rsidP="003049C1">
      <w:pPr>
        <w:pStyle w:val="ListParagraph"/>
        <w:spacing w:after="0" w:line="240" w:lineRule="auto"/>
        <w:ind w:left="0"/>
        <w:jc w:val="both"/>
        <w:rPr>
          <w:rFonts w:ascii="Times New Roman" w:hAnsi="Times New Roman" w:cs="Times New Roman"/>
          <w:b/>
          <w:sz w:val="28"/>
          <w:szCs w:val="28"/>
        </w:rPr>
      </w:pPr>
    </w:p>
    <w:p w14:paraId="5CCFE86B" w14:textId="77777777" w:rsidR="003049C1" w:rsidRDefault="003049C1"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Considering the obstacles to guaranteeing the sexual and reproductive rights of children of African descent, how does the State Party intend to prevent setbacks in legislative and public policy frameworks and advance in the prevention of rights violations?</w:t>
      </w:r>
    </w:p>
    <w:p w14:paraId="2F144A7B" w14:textId="77777777" w:rsidR="003049C1" w:rsidRDefault="003049C1"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What initiatives are being implemented to improve access to healthcare for children of African descent, particularly in the areas of sexual and reproductive health?</w:t>
      </w:r>
    </w:p>
    <w:p w14:paraId="387A22F5" w14:textId="77777777" w:rsidR="003049C1" w:rsidRDefault="003049C1" w:rsidP="003049C1">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3049C1">
        <w:rPr>
          <w:rFonts w:ascii="Times New Roman" w:eastAsia="Times New Roman" w:hAnsi="Times New Roman" w:cs="Times New Roman"/>
          <w:sz w:val="24"/>
          <w:szCs w:val="24"/>
          <w:lang w:eastAsia="pt-BR"/>
        </w:rPr>
        <w:t>How is the State Party addressing the specific health disparities faced by children of African descent?</w:t>
      </w:r>
    </w:p>
    <w:p w14:paraId="409BD56A" w14:textId="77777777" w:rsidR="003049C1" w:rsidRPr="003049C1" w:rsidRDefault="003049C1" w:rsidP="003049C1">
      <w:pPr>
        <w:pStyle w:val="ListParagraph"/>
        <w:spacing w:after="0" w:line="240" w:lineRule="auto"/>
        <w:ind w:left="1440"/>
        <w:rPr>
          <w:rFonts w:ascii="Times New Roman" w:eastAsia="Times New Roman" w:hAnsi="Times New Roman" w:cs="Times New Roman"/>
          <w:sz w:val="24"/>
          <w:szCs w:val="24"/>
          <w:lang w:eastAsia="pt-BR"/>
        </w:rPr>
      </w:pPr>
    </w:p>
    <w:p w14:paraId="35571721" w14:textId="77777777" w:rsidR="00713B07" w:rsidRDefault="00505C2E" w:rsidP="00026B73">
      <w:pPr>
        <w:spacing w:after="0" w:line="240" w:lineRule="auto"/>
        <w:jc w:val="both"/>
        <w:rPr>
          <w:rFonts w:ascii="Times New Roman" w:eastAsia="Times New Roman" w:hAnsi="Times New Roman" w:cs="Times New Roman"/>
          <w:b/>
          <w:bCs/>
          <w:sz w:val="24"/>
          <w:szCs w:val="24"/>
          <w:lang w:eastAsia="pt-BR"/>
        </w:rPr>
      </w:pPr>
      <w:r>
        <w:rPr>
          <w:rFonts w:ascii="Times New Roman" w:eastAsia="Times New Roman" w:hAnsi="Times New Roman" w:cs="Times New Roman"/>
          <w:b/>
          <w:bCs/>
          <w:sz w:val="24"/>
          <w:szCs w:val="24"/>
          <w:lang w:eastAsia="pt-BR"/>
        </w:rPr>
        <w:t>Topic 4</w:t>
      </w:r>
      <w:r w:rsidR="00713B07" w:rsidRPr="00026B73">
        <w:rPr>
          <w:rFonts w:ascii="Times New Roman" w:eastAsia="Times New Roman" w:hAnsi="Times New Roman" w:cs="Times New Roman"/>
          <w:b/>
          <w:bCs/>
          <w:sz w:val="24"/>
          <w:szCs w:val="24"/>
          <w:lang w:eastAsia="pt-BR"/>
        </w:rPr>
        <w:t>: Violence Against Children</w:t>
      </w:r>
    </w:p>
    <w:p w14:paraId="691F1BBC" w14:textId="77777777" w:rsidR="003049C1" w:rsidRPr="00713B07" w:rsidRDefault="003049C1" w:rsidP="00026B73">
      <w:pPr>
        <w:spacing w:after="0" w:line="240" w:lineRule="auto"/>
        <w:jc w:val="both"/>
        <w:rPr>
          <w:rFonts w:ascii="Times New Roman" w:eastAsia="Times New Roman" w:hAnsi="Times New Roman" w:cs="Times New Roman"/>
          <w:sz w:val="24"/>
          <w:szCs w:val="24"/>
          <w:lang w:eastAsia="pt-BR"/>
        </w:rPr>
      </w:pPr>
    </w:p>
    <w:p w14:paraId="6977F7D3" w14:textId="77777777" w:rsidR="00B42899" w:rsidRPr="00026B73" w:rsidRDefault="00713B07"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Children of African descent are disproportionately affected by violence, including police violence, domestic violence, and systemic neglect. The high rates of violence against these children highlight the need for targeted interventions that address the root causes of this violence and provide comprehensive support to victims and their families.</w:t>
      </w:r>
      <w:r w:rsidR="00B42899" w:rsidRPr="00026B73">
        <w:rPr>
          <w:rFonts w:ascii="Times New Roman" w:eastAsia="Times New Roman" w:hAnsi="Times New Roman" w:cs="Times New Roman"/>
          <w:sz w:val="24"/>
          <w:szCs w:val="24"/>
          <w:lang w:eastAsia="pt-BR"/>
        </w:rPr>
        <w:t xml:space="preserve"> In Brazil, 76% of child and adolescent homicide victims are Black. This alarming statistic is part of a larger issue of violence against Black youth in the country. The research, conducted by World Vision in collaboration with the Movement for Public Policy for Youth (MJPOP), the Ceará Committee for the Prevention of Homicides in Adolescence, the Independent Mothers of May Movement, and the Mothers of the Periphery Movement for Victims of Police Violence in Ceará, analyzed data on homicides of children and adolescents from 2009 to 2019.</w:t>
      </w:r>
    </w:p>
    <w:p w14:paraId="3A6B5582" w14:textId="77777777" w:rsidR="00B42899" w:rsidRPr="00026B73" w:rsidRDefault="00B42899"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 xml:space="preserve">The research aimed to understand the dynamics of homicides, identify the primary victims, and determine the locations where these deaths are most prevalent. It focused on homicide data for adolescents and youth aged 10 to 19, considering race, gender, and geographic location. The data were sourced from the Mortality Information </w:t>
      </w:r>
      <w:r w:rsidRPr="00026B73">
        <w:rPr>
          <w:rFonts w:ascii="Times New Roman" w:eastAsia="Times New Roman" w:hAnsi="Times New Roman" w:cs="Times New Roman"/>
          <w:sz w:val="24"/>
          <w:szCs w:val="24"/>
          <w:lang w:eastAsia="pt-BR"/>
        </w:rPr>
        <w:lastRenderedPageBreak/>
        <w:t>System (SIM) of the Ministry of Health and population projection data from the Brazilian Institute of Geography and Statistics (IBGE).</w:t>
      </w:r>
    </w:p>
    <w:p w14:paraId="42BC3FBB" w14:textId="77777777" w:rsidR="00B42899" w:rsidRPr="00026B73" w:rsidRDefault="00B42899"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Homicides of children and adolescents had been increasing in Brazil since 2009, with 11,804 deaths recorded that year. The peak in child and adolescent homicides coincided with the overall homicide record in 2017, when Brazil recorded 65,602 homicides. From 2018, there was a significant decline, with 6,930 deaths recorded in 2019, a 41.3% reduction compared to 2017. Between 2009 and 2019, a total of 107,670 children and adolescents were murdered in Brazil, 76% of whom were Black, accounting for 81,512 victims, and 93% were boys.</w:t>
      </w:r>
    </w:p>
    <w:p w14:paraId="4AE5CB2A" w14:textId="77777777" w:rsidR="00B42899" w:rsidRPr="00026B73" w:rsidRDefault="00B42899"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"The number of Black youth killed has been increasing over time, from 71% in 2009 to 81% in 2019. Conversely, the number of white youth killed has decreased from 23% in 2009 to 17% in 2019," said Reginaldo Silva, a specialist in public policy management and Advocacy Coordinator at World Vision. "These numbers show that we cannot address violence prevention without considering race as a critical component of Brazil's social structure."</w:t>
      </w:r>
    </w:p>
    <w:p w14:paraId="6CAFE91D" w14:textId="77777777" w:rsidR="00B42899" w:rsidRPr="00026B73" w:rsidRDefault="00B42899"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Over the 11 years analyzed, all regions saw a reduction in child and adolescent homicides except the North, which experienced a 29% increase. The Central-West region had the highest reduction at 66%. The increase in the North can be attributed to intense drug trafficking disputes and the strengthening of criminal groups. Despite the need for further study on the causes of violence in the region, it is evident that these disputes have raised overall homicide rates, affecting young people significantly.</w:t>
      </w:r>
    </w:p>
    <w:p w14:paraId="338EFC17" w14:textId="77777777" w:rsidR="00B42899" w:rsidRDefault="00B42899"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To combat the high homicide rates in the North, World Vision has initiated awareness and local group mobilization actions to collectively develop violence prevention measures. Adolescents and youth have been trained in community mobilization and policy monitoring methodologies in the security area. There was also significant variation in child and adolescent homicide rates across Brazilian states. Of the 27 capitals, 15 saw reductions, while 12 saw increases. In 2019, the states with the highest homicide rates were Amapá (67%), Bahia (40%), Rio Grande do Norte (40%), and Acre (35%). Salvador had the highest youth homicide rate in 2019, with 66 per 100,000 inhabitants and 260 deaths.</w:t>
      </w:r>
    </w:p>
    <w:p w14:paraId="0F69D041" w14:textId="77777777" w:rsidR="0006045D" w:rsidRDefault="0006045D" w:rsidP="0006045D">
      <w:pPr>
        <w:pStyle w:val="ListParagraph"/>
        <w:spacing w:after="0" w:line="240" w:lineRule="auto"/>
        <w:ind w:left="0"/>
        <w:jc w:val="both"/>
        <w:rPr>
          <w:rFonts w:ascii="Times New Roman" w:eastAsia="Times New Roman" w:hAnsi="Times New Roman" w:cs="Times New Roman"/>
          <w:sz w:val="24"/>
          <w:szCs w:val="24"/>
          <w:lang w:eastAsia="pt-BR"/>
        </w:rPr>
      </w:pPr>
    </w:p>
    <w:p w14:paraId="6967158B" w14:textId="77777777" w:rsidR="0006045D" w:rsidRDefault="0006045D" w:rsidP="0006045D">
      <w:pPr>
        <w:pStyle w:val="ListParagraph"/>
        <w:spacing w:after="0" w:line="240" w:lineRule="auto"/>
        <w:ind w:left="0"/>
        <w:jc w:val="both"/>
        <w:rPr>
          <w:rFonts w:ascii="Times New Roman" w:hAnsi="Times New Roman" w:cs="Times New Roman"/>
          <w:b/>
          <w:sz w:val="28"/>
          <w:szCs w:val="28"/>
        </w:rPr>
      </w:pPr>
      <w:r w:rsidRPr="00087ADF">
        <w:rPr>
          <w:rFonts w:ascii="Times New Roman" w:hAnsi="Times New Roman" w:cs="Times New Roman"/>
          <w:b/>
          <w:sz w:val="28"/>
          <w:szCs w:val="28"/>
        </w:rPr>
        <w:t>Proposed Additional Questions to be Addressed to the State Party</w:t>
      </w:r>
    </w:p>
    <w:p w14:paraId="32B25DB9" w14:textId="77777777" w:rsidR="0006045D" w:rsidRDefault="0006045D" w:rsidP="0006045D">
      <w:pPr>
        <w:pStyle w:val="ListParagraph"/>
        <w:spacing w:after="0" w:line="240" w:lineRule="auto"/>
        <w:ind w:left="0"/>
        <w:jc w:val="both"/>
        <w:rPr>
          <w:rFonts w:ascii="Times New Roman" w:hAnsi="Times New Roman" w:cs="Times New Roman"/>
          <w:b/>
          <w:sz w:val="28"/>
          <w:szCs w:val="28"/>
        </w:rPr>
      </w:pPr>
    </w:p>
    <w:p w14:paraId="7FC24F14" w14:textId="77777777" w:rsidR="0006045D" w:rsidRDefault="0006045D" w:rsidP="0006045D">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06045D">
        <w:rPr>
          <w:rFonts w:ascii="Times New Roman" w:eastAsia="Times New Roman" w:hAnsi="Times New Roman" w:cs="Times New Roman"/>
          <w:sz w:val="24"/>
          <w:szCs w:val="24"/>
          <w:lang w:eastAsia="pt-BR"/>
        </w:rPr>
        <w:t>What measures have been adopted by the State Party to address violence against children of African descent in an intersectional manner, from prevention to accountability?</w:t>
      </w:r>
    </w:p>
    <w:p w14:paraId="5C60C067" w14:textId="77777777" w:rsidR="0006045D" w:rsidRDefault="0006045D" w:rsidP="0006045D">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06045D">
        <w:rPr>
          <w:rFonts w:ascii="Times New Roman" w:eastAsia="Times New Roman" w:hAnsi="Times New Roman" w:cs="Times New Roman"/>
          <w:sz w:val="24"/>
          <w:szCs w:val="24"/>
          <w:lang w:eastAsia="pt-BR"/>
        </w:rPr>
        <w:t>How is the State Party ensuring that the rights of children of African descent are protected in cases of police violence and systemic neglect?</w:t>
      </w:r>
    </w:p>
    <w:p w14:paraId="06C21F4A" w14:textId="77777777" w:rsidR="0006045D" w:rsidRPr="0006045D" w:rsidRDefault="0006045D" w:rsidP="0006045D">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06045D">
        <w:rPr>
          <w:rFonts w:ascii="Times New Roman" w:eastAsia="Times New Roman" w:hAnsi="Times New Roman" w:cs="Times New Roman"/>
          <w:sz w:val="24"/>
          <w:szCs w:val="24"/>
          <w:lang w:eastAsia="pt-BR"/>
        </w:rPr>
        <w:t>What steps are being taken to provide comprehensive support to victims of violence and their families, particularly those of African descent?</w:t>
      </w:r>
    </w:p>
    <w:p w14:paraId="603714A0" w14:textId="77777777" w:rsidR="0006045D" w:rsidRPr="00713B07" w:rsidRDefault="0006045D" w:rsidP="0006045D">
      <w:pPr>
        <w:spacing w:after="0" w:line="240" w:lineRule="auto"/>
        <w:jc w:val="both"/>
        <w:rPr>
          <w:rFonts w:ascii="Times New Roman" w:eastAsia="Times New Roman" w:hAnsi="Times New Roman" w:cs="Times New Roman"/>
          <w:sz w:val="24"/>
          <w:szCs w:val="24"/>
          <w:lang w:eastAsia="pt-BR"/>
        </w:rPr>
      </w:pPr>
    </w:p>
    <w:p w14:paraId="3C1F278D" w14:textId="77777777" w:rsidR="0006045D" w:rsidRDefault="0006045D" w:rsidP="00026B73">
      <w:pPr>
        <w:spacing w:after="0" w:line="240" w:lineRule="auto"/>
        <w:jc w:val="both"/>
        <w:rPr>
          <w:rFonts w:ascii="Times New Roman" w:eastAsia="Times New Roman" w:hAnsi="Times New Roman" w:cs="Times New Roman"/>
          <w:b/>
          <w:bCs/>
          <w:sz w:val="24"/>
          <w:szCs w:val="24"/>
          <w:lang w:eastAsia="pt-BR"/>
        </w:rPr>
      </w:pPr>
    </w:p>
    <w:p w14:paraId="123D1581" w14:textId="77777777" w:rsidR="00713B07" w:rsidRDefault="00713B07" w:rsidP="00026B73">
      <w:pPr>
        <w:spacing w:after="0" w:line="240" w:lineRule="auto"/>
        <w:jc w:val="both"/>
        <w:rPr>
          <w:rFonts w:ascii="Times New Roman" w:eastAsia="Times New Roman" w:hAnsi="Times New Roman" w:cs="Times New Roman"/>
          <w:b/>
          <w:bCs/>
          <w:sz w:val="24"/>
          <w:szCs w:val="24"/>
          <w:lang w:eastAsia="pt-BR"/>
        </w:rPr>
      </w:pPr>
      <w:r w:rsidRPr="00026B73">
        <w:rPr>
          <w:rFonts w:ascii="Times New Roman" w:eastAsia="Times New Roman" w:hAnsi="Times New Roman" w:cs="Times New Roman"/>
          <w:b/>
          <w:bCs/>
          <w:sz w:val="24"/>
          <w:szCs w:val="24"/>
          <w:lang w:eastAsia="pt-BR"/>
        </w:rPr>
        <w:t xml:space="preserve">Topic </w:t>
      </w:r>
      <w:r w:rsidR="00505C2E">
        <w:rPr>
          <w:rFonts w:ascii="Times New Roman" w:eastAsia="Times New Roman" w:hAnsi="Times New Roman" w:cs="Times New Roman"/>
          <w:b/>
          <w:bCs/>
          <w:sz w:val="24"/>
          <w:szCs w:val="24"/>
          <w:lang w:eastAsia="pt-BR"/>
        </w:rPr>
        <w:t>5</w:t>
      </w:r>
      <w:r w:rsidRPr="00026B73">
        <w:rPr>
          <w:rFonts w:ascii="Times New Roman" w:eastAsia="Times New Roman" w:hAnsi="Times New Roman" w:cs="Times New Roman"/>
          <w:b/>
          <w:bCs/>
          <w:sz w:val="24"/>
          <w:szCs w:val="24"/>
          <w:lang w:eastAsia="pt-BR"/>
        </w:rPr>
        <w:t>: Access to Justice</w:t>
      </w:r>
    </w:p>
    <w:p w14:paraId="4C6EC211" w14:textId="77777777" w:rsidR="0006045D" w:rsidRPr="00713B07" w:rsidRDefault="0006045D" w:rsidP="00026B73">
      <w:pPr>
        <w:spacing w:after="0" w:line="240" w:lineRule="auto"/>
        <w:jc w:val="both"/>
        <w:rPr>
          <w:rFonts w:ascii="Times New Roman" w:eastAsia="Times New Roman" w:hAnsi="Times New Roman" w:cs="Times New Roman"/>
          <w:sz w:val="24"/>
          <w:szCs w:val="24"/>
          <w:lang w:eastAsia="pt-BR"/>
        </w:rPr>
      </w:pPr>
    </w:p>
    <w:p w14:paraId="5017D599" w14:textId="77777777" w:rsidR="00D74A88" w:rsidRPr="00026B73" w:rsidRDefault="00713B07"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Access to justice remains limited for children of African descent, who often face systemic barriers and discrimination within the legal system. Efforts to improve access to justice must consider the unique challenges faced by these populations and work towards dismantling the institutional racism and sexism that hinder their ability to seek and obtain justice.</w:t>
      </w:r>
    </w:p>
    <w:p w14:paraId="3D6A3D1A" w14:textId="77777777" w:rsidR="00D74A88" w:rsidRPr="00026B73" w:rsidRDefault="00D74A88"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hAnsi="Times New Roman" w:cs="Times New Roman"/>
          <w:sz w:val="24"/>
          <w:szCs w:val="24"/>
        </w:rPr>
        <w:lastRenderedPageBreak/>
        <w:t xml:space="preserve">On July 13, 2022, Brazil celebrated the 32nd anniversary of the Estatuto da Criança e do Adolescente (ECA) or the Statute of the Child and Adolescent. This moment marks a significant achievement for society, characterized by popular participation and a shift in the cultural approach to rights. The celebration emphasizes the importance of this legal-political instrument, which redefines societal views on the rights and participation of children and adolescents. </w:t>
      </w:r>
      <w:r w:rsidRPr="00026B73">
        <w:rPr>
          <w:rFonts w:ascii="Times New Roman" w:eastAsia="Times New Roman" w:hAnsi="Times New Roman" w:cs="Times New Roman"/>
          <w:sz w:val="24"/>
          <w:szCs w:val="24"/>
          <w:lang w:eastAsia="pt-BR"/>
        </w:rPr>
        <w:t>The ECA marks the transition from the Doctrine of Irregular Situation, where children and adolescents were seen as rights holders only in contexts of irregularities and illegalities, to the Doctrine of Comprehensive Protection. This represents a significant advancement in the social rights of children and adolescents, supported nationally by the 1988 Federal Constitution and internationally by mechanisms such as the UN.</w:t>
      </w:r>
    </w:p>
    <w:p w14:paraId="2FB6E537" w14:textId="77777777" w:rsidR="00D74A88" w:rsidRPr="00026B73" w:rsidRDefault="00D74A88"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The foundation of the ECA is reflected in Article 227 of the Federal Constitution, which states: "It is the duty of the family, society, and the State to ensure, with absolute priority, the right to life, health, food, education, leisure, professional training, culture, dignity, respect, freedom, and family and community living for children, adolescents, and young people, protecting them from all forms of neglect, discrimination, exploitation, violence, cruelty, and oppression." (Amendment 65, 2010). Over the past 32 years, the ECA's importance and its gaps have become evident, particularly concerning children of African descent. These children often remain closer to the Doctrine of Irregular Situation, deprived of the social rights guaranteed by the Constitution and declared in Article 227.</w:t>
      </w:r>
    </w:p>
    <w:p w14:paraId="16842F7F" w14:textId="77777777" w:rsidR="00D74A88" w:rsidRDefault="00D74A88" w:rsidP="00026B73">
      <w:pPr>
        <w:pStyle w:val="ListParagraph"/>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eastAsia="Times New Roman" w:hAnsi="Times New Roman" w:cs="Times New Roman"/>
          <w:sz w:val="24"/>
          <w:szCs w:val="24"/>
          <w:lang w:eastAsia="pt-BR"/>
        </w:rPr>
        <w:t>The harsh reality is that every 23 minutes, a young Black person dies in Brazil. Black children are significantly more likely to die from preventable causes than white children. Black girls are the primary victims of sexual violence, and Black children and adolescents are disproportionately represented in child labor statistics. They also face significant barriers in accessing and staying in basic education and are more exposed to territorial conflicts in urban peripheries, quilombola communities, and Indigenous territories.</w:t>
      </w:r>
    </w:p>
    <w:p w14:paraId="681EDDAC" w14:textId="77777777" w:rsidR="00BF3710" w:rsidRDefault="00BF3710" w:rsidP="00BF3710">
      <w:pPr>
        <w:pStyle w:val="ListParagraph"/>
        <w:spacing w:after="0" w:line="240" w:lineRule="auto"/>
        <w:ind w:left="0"/>
        <w:jc w:val="both"/>
        <w:rPr>
          <w:rFonts w:ascii="Times New Roman" w:eastAsia="Times New Roman" w:hAnsi="Times New Roman" w:cs="Times New Roman"/>
          <w:sz w:val="24"/>
          <w:szCs w:val="24"/>
          <w:lang w:eastAsia="pt-BR"/>
        </w:rPr>
      </w:pPr>
    </w:p>
    <w:p w14:paraId="032AF4B7" w14:textId="77777777" w:rsidR="00BF3710" w:rsidRDefault="00BF3710" w:rsidP="00BF3710">
      <w:pPr>
        <w:pStyle w:val="ListParagraph"/>
        <w:spacing w:after="0" w:line="240" w:lineRule="auto"/>
        <w:ind w:left="0"/>
        <w:jc w:val="both"/>
        <w:rPr>
          <w:rFonts w:ascii="Times New Roman" w:hAnsi="Times New Roman" w:cs="Times New Roman"/>
          <w:b/>
          <w:sz w:val="28"/>
          <w:szCs w:val="28"/>
        </w:rPr>
      </w:pPr>
      <w:r w:rsidRPr="00087ADF">
        <w:rPr>
          <w:rFonts w:ascii="Times New Roman" w:hAnsi="Times New Roman" w:cs="Times New Roman"/>
          <w:b/>
          <w:sz w:val="28"/>
          <w:szCs w:val="28"/>
        </w:rPr>
        <w:t>Proposed Additional Questions to be Addressed to the State Party</w:t>
      </w:r>
    </w:p>
    <w:p w14:paraId="21FAD32B" w14:textId="77777777" w:rsidR="00BF3710" w:rsidRDefault="00BF3710" w:rsidP="00BF3710">
      <w:pPr>
        <w:pStyle w:val="ListParagraph"/>
        <w:spacing w:after="0" w:line="240" w:lineRule="auto"/>
        <w:ind w:left="0"/>
        <w:jc w:val="both"/>
        <w:rPr>
          <w:rFonts w:ascii="Times New Roman" w:eastAsia="Times New Roman" w:hAnsi="Times New Roman" w:cs="Times New Roman"/>
          <w:sz w:val="24"/>
          <w:szCs w:val="24"/>
          <w:lang w:eastAsia="pt-BR"/>
        </w:rPr>
      </w:pPr>
    </w:p>
    <w:p w14:paraId="2E83E56D" w14:textId="77777777" w:rsidR="00713B07" w:rsidRPr="00BF3710" w:rsidRDefault="00713B07" w:rsidP="00BF3710">
      <w:pPr>
        <w:pStyle w:val="ListParagraph"/>
        <w:numPr>
          <w:ilvl w:val="1"/>
          <w:numId w:val="1"/>
        </w:numPr>
        <w:spacing w:after="0" w:line="240" w:lineRule="auto"/>
        <w:jc w:val="both"/>
        <w:rPr>
          <w:rFonts w:ascii="Times New Roman" w:eastAsia="Times New Roman" w:hAnsi="Times New Roman" w:cs="Times New Roman"/>
          <w:sz w:val="24"/>
          <w:szCs w:val="24"/>
          <w:lang w:eastAsia="pt-BR"/>
        </w:rPr>
      </w:pPr>
      <w:r w:rsidRPr="00BF3710">
        <w:rPr>
          <w:rFonts w:ascii="Times New Roman" w:eastAsia="Times New Roman" w:hAnsi="Times New Roman" w:cs="Times New Roman"/>
          <w:sz w:val="24"/>
          <w:szCs w:val="24"/>
          <w:lang w:eastAsia="pt-BR"/>
        </w:rPr>
        <w:t>What measures have been adopted by the State Party to overcome systemic and institutional barriers in the justice system to ensure access to justice for children of African descent?</w:t>
      </w:r>
    </w:p>
    <w:p w14:paraId="1505580C" w14:textId="77777777" w:rsidR="0006045D" w:rsidRDefault="0006045D" w:rsidP="00026B73">
      <w:pPr>
        <w:pStyle w:val="Heading4"/>
        <w:spacing w:before="0" w:beforeAutospacing="0" w:after="0" w:afterAutospacing="0"/>
        <w:jc w:val="both"/>
      </w:pPr>
    </w:p>
    <w:p w14:paraId="090F88D9" w14:textId="77777777" w:rsidR="00BF3710" w:rsidRDefault="00887CB6" w:rsidP="00BF3710">
      <w:pPr>
        <w:pStyle w:val="Heading4"/>
        <w:spacing w:before="0" w:beforeAutospacing="0" w:after="0" w:afterAutospacing="0"/>
        <w:jc w:val="both"/>
      </w:pPr>
      <w:r w:rsidRPr="00026B73">
        <w:t>Topic</w:t>
      </w:r>
      <w:r w:rsidR="00505C2E">
        <w:t xml:space="preserve"> 6</w:t>
      </w:r>
      <w:r w:rsidRPr="00026B73">
        <w:t>: Child Labor and Black Children</w:t>
      </w:r>
    </w:p>
    <w:p w14:paraId="3401A10F" w14:textId="77777777" w:rsidR="00BF3710" w:rsidRDefault="00BF3710" w:rsidP="00BF3710">
      <w:pPr>
        <w:pStyle w:val="Heading4"/>
        <w:spacing w:before="0" w:beforeAutospacing="0" w:after="0" w:afterAutospacing="0"/>
        <w:jc w:val="both"/>
      </w:pPr>
    </w:p>
    <w:p w14:paraId="3D8C8714" w14:textId="77777777" w:rsidR="00887CB6" w:rsidRPr="00BF3710" w:rsidRDefault="00317C43" w:rsidP="00BF3710">
      <w:pPr>
        <w:pStyle w:val="Heading4"/>
        <w:numPr>
          <w:ilvl w:val="0"/>
          <w:numId w:val="1"/>
        </w:numPr>
        <w:spacing w:before="0" w:beforeAutospacing="0" w:after="0" w:afterAutospacing="0"/>
        <w:ind w:left="0" w:firstLine="0"/>
        <w:jc w:val="both"/>
        <w:rPr>
          <w:b w:val="0"/>
        </w:rPr>
      </w:pPr>
      <w:r w:rsidRPr="00BF3710">
        <w:rPr>
          <w:b w:val="0"/>
        </w:rPr>
        <w:t>According to the Child Labor Map, Black children currently represent over 62% of child labor victims in Brazil. In the case of domestic work, this percentage increases to 73.5%, with more than 90% being girls. This data highlights the disproportionate impact of child labor on Black children, particularly Black girls, who are most affected by this issue.</w:t>
      </w:r>
    </w:p>
    <w:p w14:paraId="5326E0CF" w14:textId="77777777" w:rsidR="00887CB6" w:rsidRPr="00026B73" w:rsidRDefault="00317C43" w:rsidP="00BF3710">
      <w:pPr>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hAnsi="Times New Roman" w:cs="Times New Roman"/>
          <w:sz w:val="24"/>
          <w:szCs w:val="24"/>
        </w:rPr>
        <w:t>The prevalence of child labor among Black children is a clear indication of the systemic inequalities and discrimination they face. The high percentage of Black girls involved in domestic work underscores the intersection of race and gender in exacerbating their vulnerability to exploitation and abuse.</w:t>
      </w:r>
    </w:p>
    <w:p w14:paraId="158B372C" w14:textId="77777777" w:rsidR="00317C43" w:rsidRPr="0006045D" w:rsidRDefault="00317C43" w:rsidP="00BF3710">
      <w:pPr>
        <w:numPr>
          <w:ilvl w:val="0"/>
          <w:numId w:val="1"/>
        </w:numPr>
        <w:spacing w:after="0" w:line="240" w:lineRule="auto"/>
        <w:ind w:left="0" w:firstLine="0"/>
        <w:jc w:val="both"/>
        <w:rPr>
          <w:rFonts w:ascii="Times New Roman" w:eastAsia="Times New Roman" w:hAnsi="Times New Roman" w:cs="Times New Roman"/>
          <w:sz w:val="24"/>
          <w:szCs w:val="24"/>
          <w:lang w:eastAsia="pt-BR"/>
        </w:rPr>
      </w:pPr>
      <w:r w:rsidRPr="00026B73">
        <w:rPr>
          <w:rFonts w:ascii="Times New Roman" w:hAnsi="Times New Roman" w:cs="Times New Roman"/>
          <w:sz w:val="24"/>
          <w:szCs w:val="24"/>
        </w:rPr>
        <w:t>Addressing child labor requires targeted interventions that consider the unique challenges faced by Black children. Efforts must focus on eliminating the root causes of child labor, such as poverty, lack of access to quality education, and social exclusion, while ensuring the protection and promotion of the rights of Black children.</w:t>
      </w:r>
    </w:p>
    <w:p w14:paraId="18D061E3" w14:textId="77777777" w:rsidR="0006045D" w:rsidRDefault="0006045D" w:rsidP="0006045D">
      <w:pPr>
        <w:spacing w:after="0" w:line="240" w:lineRule="auto"/>
        <w:jc w:val="both"/>
        <w:rPr>
          <w:rFonts w:ascii="Times New Roman" w:hAnsi="Times New Roman" w:cs="Times New Roman"/>
          <w:sz w:val="24"/>
          <w:szCs w:val="24"/>
        </w:rPr>
      </w:pPr>
    </w:p>
    <w:p w14:paraId="0D47FF36" w14:textId="77777777" w:rsidR="00026B73" w:rsidRDefault="0006045D" w:rsidP="00BF3710">
      <w:pPr>
        <w:pStyle w:val="ListParagraph"/>
        <w:spacing w:after="0" w:line="240" w:lineRule="auto"/>
        <w:ind w:left="0"/>
        <w:jc w:val="both"/>
        <w:rPr>
          <w:rFonts w:ascii="Times New Roman" w:hAnsi="Times New Roman" w:cs="Times New Roman"/>
          <w:b/>
          <w:sz w:val="28"/>
          <w:szCs w:val="28"/>
        </w:rPr>
      </w:pPr>
      <w:r w:rsidRPr="00087ADF">
        <w:rPr>
          <w:rFonts w:ascii="Times New Roman" w:hAnsi="Times New Roman" w:cs="Times New Roman"/>
          <w:b/>
          <w:sz w:val="28"/>
          <w:szCs w:val="28"/>
        </w:rPr>
        <w:t>Proposed Additional Questions to be Addressed to the State Party</w:t>
      </w:r>
    </w:p>
    <w:p w14:paraId="1E166182" w14:textId="77777777" w:rsidR="00BF3710" w:rsidRDefault="00BF3710" w:rsidP="00BF3710">
      <w:pPr>
        <w:pStyle w:val="ListParagraph"/>
        <w:spacing w:after="0" w:line="240" w:lineRule="auto"/>
        <w:ind w:left="0"/>
        <w:jc w:val="both"/>
        <w:rPr>
          <w:rFonts w:ascii="Times New Roman" w:hAnsi="Times New Roman" w:cs="Times New Roman"/>
          <w:b/>
          <w:sz w:val="28"/>
          <w:szCs w:val="28"/>
        </w:rPr>
      </w:pPr>
    </w:p>
    <w:p w14:paraId="5BA7761E" w14:textId="77777777" w:rsidR="00BF3710" w:rsidRPr="00BF3710" w:rsidRDefault="00BF3710" w:rsidP="00BF3710">
      <w:pPr>
        <w:pStyle w:val="ListParagraph"/>
        <w:numPr>
          <w:ilvl w:val="1"/>
          <w:numId w:val="1"/>
        </w:numPr>
        <w:spacing w:after="0" w:line="240" w:lineRule="auto"/>
        <w:jc w:val="both"/>
        <w:rPr>
          <w:rFonts w:ascii="Times New Roman" w:hAnsi="Times New Roman" w:cs="Times New Roman"/>
          <w:sz w:val="24"/>
          <w:szCs w:val="24"/>
        </w:rPr>
      </w:pPr>
      <w:r w:rsidRPr="00BF3710">
        <w:rPr>
          <w:rFonts w:ascii="Times New Roman" w:hAnsi="Times New Roman" w:cs="Times New Roman"/>
          <w:sz w:val="24"/>
          <w:szCs w:val="24"/>
        </w:rPr>
        <w:t>How does the State Party plan to address the high prevalence of child labor among Black children, particularly Black girls involved in domestic work, and what specific measures will be implemented to eliminate the root causes of this issue, such as poverty, lack of access to quality education, and social exclusion?</w:t>
      </w:r>
    </w:p>
    <w:p w14:paraId="426B3816" w14:textId="77777777" w:rsidR="00BF3710" w:rsidRDefault="00BF3710" w:rsidP="008F108F">
      <w:pPr>
        <w:rPr>
          <w:rFonts w:ascii="Times New Roman" w:hAnsi="Times New Roman" w:cs="Times New Roman"/>
          <w:b/>
          <w:sz w:val="24"/>
          <w:szCs w:val="24"/>
        </w:rPr>
      </w:pPr>
    </w:p>
    <w:p w14:paraId="26538002" w14:textId="77777777" w:rsidR="00BF3710" w:rsidRDefault="00BF3710" w:rsidP="008F108F">
      <w:pPr>
        <w:rPr>
          <w:rFonts w:ascii="Times New Roman" w:hAnsi="Times New Roman" w:cs="Times New Roman"/>
          <w:b/>
          <w:sz w:val="24"/>
          <w:szCs w:val="24"/>
        </w:rPr>
      </w:pPr>
    </w:p>
    <w:p w14:paraId="6C62824C" w14:textId="77777777" w:rsidR="00317C43" w:rsidRPr="00026B73" w:rsidRDefault="00B42899" w:rsidP="00BF3710">
      <w:pPr>
        <w:jc w:val="both"/>
        <w:rPr>
          <w:rFonts w:ascii="Times New Roman" w:hAnsi="Times New Roman" w:cs="Times New Roman"/>
          <w:b/>
          <w:sz w:val="24"/>
          <w:szCs w:val="24"/>
        </w:rPr>
      </w:pPr>
      <w:r w:rsidRPr="00026B73">
        <w:rPr>
          <w:rFonts w:ascii="Times New Roman" w:hAnsi="Times New Roman" w:cs="Times New Roman"/>
          <w:b/>
          <w:sz w:val="24"/>
          <w:szCs w:val="24"/>
        </w:rPr>
        <w:t>References</w:t>
      </w:r>
    </w:p>
    <w:p w14:paraId="1A2D98F2"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Almeida, S. (2018). </w:t>
      </w:r>
      <w:r w:rsidRPr="00026B73">
        <w:rPr>
          <w:rFonts w:ascii="Times New Roman" w:eastAsia="Times New Roman" w:hAnsi="Times New Roman" w:cs="Times New Roman"/>
          <w:i/>
          <w:iCs/>
          <w:sz w:val="24"/>
          <w:szCs w:val="24"/>
          <w:lang w:eastAsia="pt-BR"/>
        </w:rPr>
        <w:t>O que é racismo estrutural?</w:t>
      </w:r>
      <w:r w:rsidRPr="00B42899">
        <w:rPr>
          <w:rFonts w:ascii="Times New Roman" w:eastAsia="Times New Roman" w:hAnsi="Times New Roman" w:cs="Times New Roman"/>
          <w:sz w:val="24"/>
          <w:szCs w:val="24"/>
          <w:lang w:eastAsia="pt-BR"/>
        </w:rPr>
        <w:t xml:space="preserve"> São Paulo: Letramento.</w:t>
      </w:r>
    </w:p>
    <w:p w14:paraId="62512ECA"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Antão, S. (2020). </w:t>
      </w:r>
      <w:r w:rsidRPr="00026B73">
        <w:rPr>
          <w:rFonts w:ascii="Times New Roman" w:eastAsia="Times New Roman" w:hAnsi="Times New Roman" w:cs="Times New Roman"/>
          <w:i/>
          <w:iCs/>
          <w:sz w:val="24"/>
          <w:szCs w:val="24"/>
          <w:lang w:eastAsia="pt-BR"/>
        </w:rPr>
        <w:t>Pesquisa documental sobre vulnerabilidade social e racismo</w:t>
      </w:r>
      <w:r w:rsidRPr="00B42899">
        <w:rPr>
          <w:rFonts w:ascii="Times New Roman" w:eastAsia="Times New Roman" w:hAnsi="Times New Roman" w:cs="Times New Roman"/>
          <w:sz w:val="24"/>
          <w:szCs w:val="24"/>
          <w:lang w:eastAsia="pt-BR"/>
        </w:rPr>
        <w:t>. Empresa Brasil de Comunicação.</w:t>
      </w:r>
    </w:p>
    <w:p w14:paraId="5F7CE208" w14:textId="77777777" w:rsidR="00026B73"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BRASIL. (1990). </w:t>
      </w:r>
      <w:r w:rsidRPr="00026B73">
        <w:rPr>
          <w:rFonts w:ascii="Times New Roman" w:eastAsia="Times New Roman" w:hAnsi="Times New Roman" w:cs="Times New Roman"/>
          <w:i/>
          <w:iCs/>
          <w:sz w:val="24"/>
          <w:szCs w:val="24"/>
          <w:lang w:eastAsia="pt-BR"/>
        </w:rPr>
        <w:t>Estatuto da Criança e do Adolescente (ECA)</w:t>
      </w:r>
      <w:r w:rsidRPr="00B42899">
        <w:rPr>
          <w:rFonts w:ascii="Times New Roman" w:eastAsia="Times New Roman" w:hAnsi="Times New Roman" w:cs="Times New Roman"/>
          <w:sz w:val="24"/>
          <w:szCs w:val="24"/>
          <w:lang w:eastAsia="pt-BR"/>
        </w:rPr>
        <w:t>. Brasília: Casa Civil.</w:t>
      </w:r>
    </w:p>
    <w:p w14:paraId="54F84743"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Galoni, F., Ribas, F., Silva, A., &amp; Peixoto, M. (2022). </w:t>
      </w:r>
      <w:r w:rsidRPr="00026B73">
        <w:rPr>
          <w:rFonts w:ascii="Times New Roman" w:eastAsia="Times New Roman" w:hAnsi="Times New Roman" w:cs="Times New Roman"/>
          <w:i/>
          <w:iCs/>
          <w:sz w:val="24"/>
          <w:szCs w:val="24"/>
          <w:lang w:eastAsia="pt-BR"/>
        </w:rPr>
        <w:t>História da institucionalização da infância negra no Brasil</w:t>
      </w:r>
      <w:r w:rsidRPr="00B42899">
        <w:rPr>
          <w:rFonts w:ascii="Times New Roman" w:eastAsia="Times New Roman" w:hAnsi="Times New Roman" w:cs="Times New Roman"/>
          <w:sz w:val="24"/>
          <w:szCs w:val="24"/>
          <w:lang w:eastAsia="pt-BR"/>
        </w:rPr>
        <w:t>. São Paulo: Editora Cultural.</w:t>
      </w:r>
    </w:p>
    <w:p w14:paraId="53D2C6EE"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Eurico, M. (2020). </w:t>
      </w:r>
      <w:r w:rsidRPr="00026B73">
        <w:rPr>
          <w:rFonts w:ascii="Times New Roman" w:eastAsia="Times New Roman" w:hAnsi="Times New Roman" w:cs="Times New Roman"/>
          <w:i/>
          <w:iCs/>
          <w:sz w:val="24"/>
          <w:szCs w:val="24"/>
          <w:lang w:eastAsia="pt-BR"/>
        </w:rPr>
        <w:t>Racismo estrutural e os impactos na infância negra</w:t>
      </w:r>
      <w:r w:rsidRPr="00B42899">
        <w:rPr>
          <w:rFonts w:ascii="Times New Roman" w:eastAsia="Times New Roman" w:hAnsi="Times New Roman" w:cs="Times New Roman"/>
          <w:sz w:val="24"/>
          <w:szCs w:val="24"/>
          <w:lang w:eastAsia="pt-BR"/>
        </w:rPr>
        <w:t>. Revista de Ciências Sociais, 15(2), 70-71.</w:t>
      </w:r>
    </w:p>
    <w:p w14:paraId="58268063"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Hasenbalg, C., &amp; Silva, N. (1988). </w:t>
      </w:r>
      <w:r w:rsidRPr="00026B73">
        <w:rPr>
          <w:rFonts w:ascii="Times New Roman" w:eastAsia="Times New Roman" w:hAnsi="Times New Roman" w:cs="Times New Roman"/>
          <w:i/>
          <w:iCs/>
          <w:sz w:val="24"/>
          <w:szCs w:val="24"/>
          <w:lang w:eastAsia="pt-BR"/>
        </w:rPr>
        <w:t>Discriminação e desigualdades raciais no Brasil</w:t>
      </w:r>
      <w:r w:rsidRPr="00B42899">
        <w:rPr>
          <w:rFonts w:ascii="Times New Roman" w:eastAsia="Times New Roman" w:hAnsi="Times New Roman" w:cs="Times New Roman"/>
          <w:sz w:val="24"/>
          <w:szCs w:val="24"/>
          <w:lang w:eastAsia="pt-BR"/>
        </w:rPr>
        <w:t>. Rio de Janeiro: Graal.</w:t>
      </w:r>
    </w:p>
    <w:p w14:paraId="58182D55"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IBGE. (2022). </w:t>
      </w:r>
      <w:r w:rsidRPr="00026B73">
        <w:rPr>
          <w:rFonts w:ascii="Times New Roman" w:eastAsia="Times New Roman" w:hAnsi="Times New Roman" w:cs="Times New Roman"/>
          <w:i/>
          <w:iCs/>
          <w:sz w:val="24"/>
          <w:szCs w:val="24"/>
          <w:lang w:eastAsia="pt-BR"/>
        </w:rPr>
        <w:t>Estatísticas de Gênero – Indicadores Sociais das Mulheres no Brasil</w:t>
      </w:r>
      <w:r w:rsidRPr="00B42899">
        <w:rPr>
          <w:rFonts w:ascii="Times New Roman" w:eastAsia="Times New Roman" w:hAnsi="Times New Roman" w:cs="Times New Roman"/>
          <w:sz w:val="24"/>
          <w:szCs w:val="24"/>
          <w:lang w:eastAsia="pt-BR"/>
        </w:rPr>
        <w:t>. Rio de Janeiro: IBGE.</w:t>
      </w:r>
    </w:p>
    <w:p w14:paraId="328FE7C7"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Instituto PENSI. (2021). </w:t>
      </w:r>
      <w:r w:rsidRPr="00026B73">
        <w:rPr>
          <w:rFonts w:ascii="Times New Roman" w:eastAsia="Times New Roman" w:hAnsi="Times New Roman" w:cs="Times New Roman"/>
          <w:i/>
          <w:iCs/>
          <w:sz w:val="24"/>
          <w:szCs w:val="24"/>
          <w:lang w:eastAsia="pt-BR"/>
        </w:rPr>
        <w:t>Trabalho infantil e doméstico no Brasil</w:t>
      </w:r>
      <w:r w:rsidRPr="00B42899">
        <w:rPr>
          <w:rFonts w:ascii="Times New Roman" w:eastAsia="Times New Roman" w:hAnsi="Times New Roman" w:cs="Times New Roman"/>
          <w:sz w:val="24"/>
          <w:szCs w:val="24"/>
          <w:lang w:eastAsia="pt-BR"/>
        </w:rPr>
        <w:t>. São Paulo: Fundação PENSI.</w:t>
      </w:r>
    </w:p>
    <w:p w14:paraId="55BB8539"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Kilomba, G. (2019). </w:t>
      </w:r>
      <w:r w:rsidRPr="00026B73">
        <w:rPr>
          <w:rFonts w:ascii="Times New Roman" w:eastAsia="Times New Roman" w:hAnsi="Times New Roman" w:cs="Times New Roman"/>
          <w:i/>
          <w:iCs/>
          <w:sz w:val="24"/>
          <w:szCs w:val="24"/>
          <w:lang w:eastAsia="pt-BR"/>
        </w:rPr>
        <w:t>Memórias da Plantação: Episódios de racismo cotidiano</w:t>
      </w:r>
      <w:r w:rsidRPr="00B42899">
        <w:rPr>
          <w:rFonts w:ascii="Times New Roman" w:eastAsia="Times New Roman" w:hAnsi="Times New Roman" w:cs="Times New Roman"/>
          <w:sz w:val="24"/>
          <w:szCs w:val="24"/>
          <w:lang w:eastAsia="pt-BR"/>
        </w:rPr>
        <w:t>. São Paulo: Cobogó.</w:t>
      </w:r>
    </w:p>
    <w:p w14:paraId="15F2C3EF"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Martins, A. (2022). </w:t>
      </w:r>
      <w:r w:rsidRPr="00026B73">
        <w:rPr>
          <w:rFonts w:ascii="Times New Roman" w:eastAsia="Times New Roman" w:hAnsi="Times New Roman" w:cs="Times New Roman"/>
          <w:i/>
          <w:iCs/>
          <w:sz w:val="24"/>
          <w:szCs w:val="24"/>
          <w:lang w:eastAsia="pt-BR"/>
        </w:rPr>
        <w:t>Psicologia antirracista no Brasil</w:t>
      </w:r>
      <w:r w:rsidRPr="00B42899">
        <w:rPr>
          <w:rFonts w:ascii="Times New Roman" w:eastAsia="Times New Roman" w:hAnsi="Times New Roman" w:cs="Times New Roman"/>
          <w:sz w:val="24"/>
          <w:szCs w:val="24"/>
          <w:lang w:eastAsia="pt-BR"/>
        </w:rPr>
        <w:t>. Rio de Janeiro: PUC-Rio.</w:t>
      </w:r>
    </w:p>
    <w:p w14:paraId="1D5374B4"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Meyer, I. (2003). </w:t>
      </w:r>
      <w:r w:rsidRPr="00026B73">
        <w:rPr>
          <w:rFonts w:ascii="Times New Roman" w:eastAsia="Times New Roman" w:hAnsi="Times New Roman" w:cs="Times New Roman"/>
          <w:i/>
          <w:iCs/>
          <w:sz w:val="24"/>
          <w:szCs w:val="24"/>
          <w:lang w:eastAsia="pt-BR"/>
        </w:rPr>
        <w:t>Prejudice, social stress, and mental health in lesbian, gay, and bisexual populations: Conceptual issues and research evidence</w:t>
      </w:r>
      <w:r w:rsidRPr="00B42899">
        <w:rPr>
          <w:rFonts w:ascii="Times New Roman" w:eastAsia="Times New Roman" w:hAnsi="Times New Roman" w:cs="Times New Roman"/>
          <w:sz w:val="24"/>
          <w:szCs w:val="24"/>
          <w:lang w:eastAsia="pt-BR"/>
        </w:rPr>
        <w:t>. Psychological Bulletin, 129(5), 674-697.</w:t>
      </w:r>
    </w:p>
    <w:p w14:paraId="25B0DECE"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MPRJ. (2021). </w:t>
      </w:r>
      <w:r w:rsidRPr="00026B73">
        <w:rPr>
          <w:rFonts w:ascii="Times New Roman" w:eastAsia="Times New Roman" w:hAnsi="Times New Roman" w:cs="Times New Roman"/>
          <w:i/>
          <w:iCs/>
          <w:sz w:val="24"/>
          <w:szCs w:val="24"/>
          <w:lang w:eastAsia="pt-BR"/>
        </w:rPr>
        <w:t>Censo do Módulo Criança e Adolescente</w:t>
      </w:r>
      <w:r w:rsidRPr="00B42899">
        <w:rPr>
          <w:rFonts w:ascii="Times New Roman" w:eastAsia="Times New Roman" w:hAnsi="Times New Roman" w:cs="Times New Roman"/>
          <w:sz w:val="24"/>
          <w:szCs w:val="24"/>
          <w:lang w:eastAsia="pt-BR"/>
        </w:rPr>
        <w:t>. Rio de Janeiro: Ministério Público do Estado do Rio de Janeiro.</w:t>
      </w:r>
    </w:p>
    <w:p w14:paraId="0D604E45"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Nascimento, A. (2021). </w:t>
      </w:r>
      <w:r w:rsidRPr="00026B73">
        <w:rPr>
          <w:rFonts w:ascii="Times New Roman" w:eastAsia="Times New Roman" w:hAnsi="Times New Roman" w:cs="Times New Roman"/>
          <w:i/>
          <w:iCs/>
          <w:sz w:val="24"/>
          <w:szCs w:val="24"/>
          <w:lang w:eastAsia="pt-BR"/>
        </w:rPr>
        <w:t>Lucidez: Poemas sobre racismo</w:t>
      </w:r>
      <w:r w:rsidRPr="00B42899">
        <w:rPr>
          <w:rFonts w:ascii="Times New Roman" w:eastAsia="Times New Roman" w:hAnsi="Times New Roman" w:cs="Times New Roman"/>
          <w:sz w:val="24"/>
          <w:szCs w:val="24"/>
          <w:lang w:eastAsia="pt-BR"/>
        </w:rPr>
        <w:t>. Salvador: Editora Afrodescendente.</w:t>
      </w:r>
    </w:p>
    <w:p w14:paraId="42A760D8"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Oliveira, P., Ribeiro, M., Rabelo, J., Cunha, T., Almeida, F., &amp; Soares, E. (2021). </w:t>
      </w:r>
      <w:r w:rsidRPr="00026B73">
        <w:rPr>
          <w:rFonts w:ascii="Times New Roman" w:eastAsia="Times New Roman" w:hAnsi="Times New Roman" w:cs="Times New Roman"/>
          <w:i/>
          <w:iCs/>
          <w:sz w:val="24"/>
          <w:szCs w:val="24"/>
          <w:lang w:eastAsia="pt-BR"/>
        </w:rPr>
        <w:t>Impactos do racismo na infância e adolescência</w:t>
      </w:r>
      <w:r w:rsidRPr="00B42899">
        <w:rPr>
          <w:rFonts w:ascii="Times New Roman" w:eastAsia="Times New Roman" w:hAnsi="Times New Roman" w:cs="Times New Roman"/>
          <w:sz w:val="24"/>
          <w:szCs w:val="24"/>
          <w:lang w:eastAsia="pt-BR"/>
        </w:rPr>
        <w:t>. Psicologia em Estudo, 26(3), 28775-28777.</w:t>
      </w:r>
    </w:p>
    <w:p w14:paraId="2A3B05A7"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Rizzini, I., &amp; Rizzini, I. (2004). </w:t>
      </w:r>
      <w:r w:rsidRPr="00026B73">
        <w:rPr>
          <w:rFonts w:ascii="Times New Roman" w:eastAsia="Times New Roman" w:hAnsi="Times New Roman" w:cs="Times New Roman"/>
          <w:i/>
          <w:iCs/>
          <w:sz w:val="24"/>
          <w:szCs w:val="24"/>
          <w:lang w:eastAsia="pt-BR"/>
        </w:rPr>
        <w:t>A institucionalização da infância no Brasil: Uma história</w:t>
      </w:r>
      <w:r w:rsidRPr="00B42899">
        <w:rPr>
          <w:rFonts w:ascii="Times New Roman" w:eastAsia="Times New Roman" w:hAnsi="Times New Roman" w:cs="Times New Roman"/>
          <w:sz w:val="24"/>
          <w:szCs w:val="24"/>
          <w:lang w:eastAsia="pt-BR"/>
        </w:rPr>
        <w:t>. Rio de Janeiro: Editora Universitária.</w:t>
      </w:r>
    </w:p>
    <w:p w14:paraId="3554A093"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Ribeiro, A. (2017). </w:t>
      </w:r>
      <w:r w:rsidRPr="00026B73">
        <w:rPr>
          <w:rFonts w:ascii="Times New Roman" w:eastAsia="Times New Roman" w:hAnsi="Times New Roman" w:cs="Times New Roman"/>
          <w:i/>
          <w:iCs/>
          <w:sz w:val="24"/>
          <w:szCs w:val="24"/>
          <w:lang w:eastAsia="pt-BR"/>
        </w:rPr>
        <w:t>O papel da psicologia no combate ao racismo</w:t>
      </w:r>
      <w:r w:rsidRPr="00B42899">
        <w:rPr>
          <w:rFonts w:ascii="Times New Roman" w:eastAsia="Times New Roman" w:hAnsi="Times New Roman" w:cs="Times New Roman"/>
          <w:sz w:val="24"/>
          <w:szCs w:val="24"/>
          <w:lang w:eastAsia="pt-BR"/>
        </w:rPr>
        <w:t>. Psicologia &amp; Sociedade, 29(2), 112-121.</w:t>
      </w:r>
    </w:p>
    <w:p w14:paraId="0AA0F721"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Sousa, D. (2020). </w:t>
      </w:r>
      <w:r w:rsidRPr="00026B73">
        <w:rPr>
          <w:rFonts w:ascii="Times New Roman" w:eastAsia="Times New Roman" w:hAnsi="Times New Roman" w:cs="Times New Roman"/>
          <w:i/>
          <w:iCs/>
          <w:sz w:val="24"/>
          <w:szCs w:val="24"/>
          <w:lang w:eastAsia="pt-BR"/>
        </w:rPr>
        <w:t>A saúde mental de crianças e adolescentes negras</w:t>
      </w:r>
      <w:r w:rsidRPr="00B42899">
        <w:rPr>
          <w:rFonts w:ascii="Times New Roman" w:eastAsia="Times New Roman" w:hAnsi="Times New Roman" w:cs="Times New Roman"/>
          <w:sz w:val="24"/>
          <w:szCs w:val="24"/>
          <w:lang w:eastAsia="pt-BR"/>
        </w:rPr>
        <w:t>. Revista de Psicologia, 30(1), 24-61.</w:t>
      </w:r>
    </w:p>
    <w:p w14:paraId="5C356AA7" w14:textId="77777777" w:rsidR="00B42899" w:rsidRPr="00B42899" w:rsidRDefault="00B42899" w:rsidP="00BF3710">
      <w:pPr>
        <w:spacing w:after="0" w:line="240" w:lineRule="auto"/>
        <w:jc w:val="both"/>
        <w:rPr>
          <w:rFonts w:ascii="Times New Roman" w:eastAsia="Times New Roman" w:hAnsi="Times New Roman" w:cs="Times New Roman"/>
          <w:sz w:val="24"/>
          <w:szCs w:val="24"/>
          <w:lang w:eastAsia="pt-BR"/>
        </w:rPr>
      </w:pPr>
      <w:r w:rsidRPr="00B42899">
        <w:rPr>
          <w:rFonts w:ascii="Times New Roman" w:eastAsia="Times New Roman" w:hAnsi="Times New Roman" w:cs="Times New Roman"/>
          <w:sz w:val="24"/>
          <w:szCs w:val="24"/>
          <w:lang w:eastAsia="pt-BR"/>
        </w:rPr>
        <w:t xml:space="preserve">UNICEF. (2010). </w:t>
      </w:r>
      <w:r w:rsidRPr="00026B73">
        <w:rPr>
          <w:rFonts w:ascii="Times New Roman" w:eastAsia="Times New Roman" w:hAnsi="Times New Roman" w:cs="Times New Roman"/>
          <w:i/>
          <w:iCs/>
          <w:sz w:val="24"/>
          <w:szCs w:val="24"/>
          <w:lang w:eastAsia="pt-BR"/>
        </w:rPr>
        <w:t>Racismo e pobreza infantil no Brasil</w:t>
      </w:r>
      <w:r w:rsidRPr="00B42899">
        <w:rPr>
          <w:rFonts w:ascii="Times New Roman" w:eastAsia="Times New Roman" w:hAnsi="Times New Roman" w:cs="Times New Roman"/>
          <w:sz w:val="24"/>
          <w:szCs w:val="24"/>
          <w:lang w:eastAsia="pt-BR"/>
        </w:rPr>
        <w:t>. Brasília: UNICEF.</w:t>
      </w:r>
    </w:p>
    <w:p w14:paraId="08497551" w14:textId="77777777" w:rsidR="00B42899" w:rsidRPr="008F108F" w:rsidRDefault="00B42899" w:rsidP="00BF3710">
      <w:pPr>
        <w:jc w:val="both"/>
      </w:pPr>
      <w:r w:rsidRPr="00026B73">
        <w:rPr>
          <w:rFonts w:ascii="Times New Roman" w:eastAsia="Times New Roman" w:hAnsi="Times New Roman" w:cs="Times New Roman"/>
          <w:sz w:val="24"/>
          <w:szCs w:val="24"/>
          <w:lang w:eastAsia="pt-BR"/>
        </w:rPr>
        <w:t xml:space="preserve">Visão Mundial. (2021). </w:t>
      </w:r>
      <w:r w:rsidRPr="00026B73">
        <w:rPr>
          <w:rFonts w:ascii="Times New Roman" w:eastAsia="Times New Roman" w:hAnsi="Times New Roman" w:cs="Times New Roman"/>
          <w:i/>
          <w:iCs/>
          <w:sz w:val="24"/>
          <w:szCs w:val="24"/>
          <w:lang w:eastAsia="pt-BR"/>
        </w:rPr>
        <w:t>Pesquisa Homicídios na Infância e Adolescência no Brasil (2009 a 2019)</w:t>
      </w:r>
      <w:r w:rsidRPr="00026B73">
        <w:rPr>
          <w:rFonts w:ascii="Times New Roman" w:eastAsia="Times New Roman" w:hAnsi="Times New Roman" w:cs="Times New Roman"/>
          <w:sz w:val="24"/>
          <w:szCs w:val="24"/>
          <w:lang w:eastAsia="pt-BR"/>
        </w:rPr>
        <w:t>. Fortaleza: Visão Mundial.</w:t>
      </w:r>
    </w:p>
    <w:sectPr w:rsidR="00B42899" w:rsidRPr="008F108F" w:rsidSect="0035197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338DF" w14:textId="77777777" w:rsidR="001B5D2D" w:rsidRDefault="001B5D2D" w:rsidP="008F108F">
      <w:pPr>
        <w:spacing w:after="0" w:line="240" w:lineRule="auto"/>
      </w:pPr>
      <w:r>
        <w:separator/>
      </w:r>
    </w:p>
  </w:endnote>
  <w:endnote w:type="continuationSeparator" w:id="0">
    <w:p w14:paraId="58B9EBC5" w14:textId="77777777" w:rsidR="001B5D2D" w:rsidRDefault="001B5D2D" w:rsidP="008F1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66671" w14:textId="77777777" w:rsidR="001B5D2D" w:rsidRDefault="001B5D2D" w:rsidP="008F108F">
      <w:pPr>
        <w:spacing w:after="0" w:line="240" w:lineRule="auto"/>
      </w:pPr>
      <w:r>
        <w:separator/>
      </w:r>
    </w:p>
  </w:footnote>
  <w:footnote w:type="continuationSeparator" w:id="0">
    <w:p w14:paraId="598A5B08" w14:textId="77777777" w:rsidR="001B5D2D" w:rsidRDefault="001B5D2D" w:rsidP="008F108F">
      <w:pPr>
        <w:spacing w:after="0" w:line="240" w:lineRule="auto"/>
      </w:pPr>
      <w:r>
        <w:continuationSeparator/>
      </w:r>
    </w:p>
  </w:footnote>
  <w:footnote w:id="1">
    <w:p w14:paraId="285F2968" w14:textId="77777777" w:rsidR="0037306D" w:rsidRDefault="0037306D" w:rsidP="0037306D">
      <w:pPr>
        <w:pStyle w:val="FootnoteText"/>
        <w:jc w:val="both"/>
      </w:pPr>
      <w:r>
        <w:rPr>
          <w:rStyle w:val="FootnoteReference"/>
        </w:rPr>
        <w:footnoteRef/>
      </w:r>
      <w:r>
        <w:t xml:space="preserve"> </w:t>
      </w:r>
      <w:r w:rsidRPr="0037306D">
        <w:rPr>
          <w:rFonts w:ascii="Times New Roman" w:hAnsi="Times New Roman" w:cs="Times New Roman"/>
        </w:rPr>
        <w:t xml:space="preserve">Civil society organization advocating for Black women and men, recognizing that these two social segments suffer from disadvantages and discrimination in accessing social opportunities due to the prevailing racism and sexism in Brazilian society. Website: </w:t>
      </w:r>
      <w:hyperlink r:id="rId1" w:tgtFrame="_new" w:history="1">
        <w:r w:rsidRPr="0037306D">
          <w:rPr>
            <w:rStyle w:val="Hyperlink"/>
            <w:rFonts w:ascii="Times New Roman" w:hAnsi="Times New Roman" w:cs="Times New Roman"/>
          </w:rPr>
          <w:t>www.geledes.org.br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8197C" w14:textId="77777777" w:rsidR="008F108F" w:rsidRPr="008F108F" w:rsidRDefault="008F108F" w:rsidP="008F108F">
    <w:pPr>
      <w:pStyle w:val="Header"/>
    </w:pPr>
    <w:r w:rsidRPr="008F108F">
      <w:rPr>
        <w:noProof/>
        <w:lang w:eastAsia="pt-BR"/>
      </w:rPr>
      <w:drawing>
        <wp:anchor distT="0" distB="0" distL="0" distR="0" simplePos="0" relativeHeight="251659264" behindDoc="1" locked="0" layoutInCell="1" allowOverlap="1" wp14:anchorId="27D9C62E" wp14:editId="68949D30">
          <wp:simplePos x="0" y="0"/>
          <wp:positionH relativeFrom="page">
            <wp:posOffset>6261811</wp:posOffset>
          </wp:positionH>
          <wp:positionV relativeFrom="page">
            <wp:posOffset>197510</wp:posOffset>
          </wp:positionV>
          <wp:extent cx="577901" cy="577901"/>
          <wp:effectExtent l="0" t="0" r="0" b="0"/>
          <wp:wrapNone/>
          <wp:docPr id="88444964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0167" cy="58016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53FD"/>
    <w:multiLevelType w:val="multilevel"/>
    <w:tmpl w:val="DB4C7FA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35484"/>
    <w:multiLevelType w:val="multilevel"/>
    <w:tmpl w:val="1B445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E776EF"/>
    <w:multiLevelType w:val="multilevel"/>
    <w:tmpl w:val="ED4AF1D6"/>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91C4C"/>
    <w:multiLevelType w:val="multilevel"/>
    <w:tmpl w:val="9768DAC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83BA6"/>
    <w:multiLevelType w:val="multilevel"/>
    <w:tmpl w:val="4392CDC4"/>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1205C2"/>
    <w:multiLevelType w:val="multilevel"/>
    <w:tmpl w:val="44F872E0"/>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B95FE6"/>
    <w:multiLevelType w:val="multilevel"/>
    <w:tmpl w:val="8CF0416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785C59"/>
    <w:multiLevelType w:val="multilevel"/>
    <w:tmpl w:val="073A984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1C6C95"/>
    <w:multiLevelType w:val="multilevel"/>
    <w:tmpl w:val="AF24919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ED1E16"/>
    <w:multiLevelType w:val="multilevel"/>
    <w:tmpl w:val="DDEE8E9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3560F7"/>
    <w:multiLevelType w:val="multilevel"/>
    <w:tmpl w:val="5F6C2F0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EF4597"/>
    <w:multiLevelType w:val="multilevel"/>
    <w:tmpl w:val="CEFC2516"/>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AC38B5"/>
    <w:multiLevelType w:val="multilevel"/>
    <w:tmpl w:val="788E4D7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455420"/>
    <w:multiLevelType w:val="multilevel"/>
    <w:tmpl w:val="437AFA7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1E7B41"/>
    <w:multiLevelType w:val="multilevel"/>
    <w:tmpl w:val="5C92B48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697967"/>
    <w:multiLevelType w:val="hybridMultilevel"/>
    <w:tmpl w:val="B79EB66A"/>
    <w:lvl w:ilvl="0" w:tplc="76B0AB5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6D09D9"/>
    <w:multiLevelType w:val="multilevel"/>
    <w:tmpl w:val="02EC804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455A1C"/>
    <w:multiLevelType w:val="multilevel"/>
    <w:tmpl w:val="7990EE4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402AFE"/>
    <w:multiLevelType w:val="multilevel"/>
    <w:tmpl w:val="3518595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07037F6"/>
    <w:multiLevelType w:val="multilevel"/>
    <w:tmpl w:val="14A8E8A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C55B08"/>
    <w:multiLevelType w:val="multilevel"/>
    <w:tmpl w:val="F622208E"/>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DB51E8"/>
    <w:multiLevelType w:val="multilevel"/>
    <w:tmpl w:val="DDB854F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9D435A"/>
    <w:multiLevelType w:val="multilevel"/>
    <w:tmpl w:val="4E0EF15E"/>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726EA9"/>
    <w:multiLevelType w:val="multilevel"/>
    <w:tmpl w:val="5114BA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826A81"/>
    <w:multiLevelType w:val="multilevel"/>
    <w:tmpl w:val="37F0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F93956"/>
    <w:multiLevelType w:val="multilevel"/>
    <w:tmpl w:val="C804CE6C"/>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405D40"/>
    <w:multiLevelType w:val="multilevel"/>
    <w:tmpl w:val="4190AB14"/>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F60215"/>
    <w:multiLevelType w:val="multilevel"/>
    <w:tmpl w:val="4272621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FC37C0"/>
    <w:multiLevelType w:val="multilevel"/>
    <w:tmpl w:val="079E936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D642A67"/>
    <w:multiLevelType w:val="multilevel"/>
    <w:tmpl w:val="D654EC8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B37D38"/>
    <w:multiLevelType w:val="multilevel"/>
    <w:tmpl w:val="5C8CFBA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7834E9"/>
    <w:multiLevelType w:val="multilevel"/>
    <w:tmpl w:val="2592BB1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3736A6"/>
    <w:multiLevelType w:val="multilevel"/>
    <w:tmpl w:val="5E3693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0155B23"/>
    <w:multiLevelType w:val="multilevel"/>
    <w:tmpl w:val="26502C2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AB5056"/>
    <w:multiLevelType w:val="multilevel"/>
    <w:tmpl w:val="8FE4BB5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14E41A2"/>
    <w:multiLevelType w:val="multilevel"/>
    <w:tmpl w:val="5A6C694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8750BC"/>
    <w:multiLevelType w:val="multilevel"/>
    <w:tmpl w:val="F98AB70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B95776"/>
    <w:multiLevelType w:val="multilevel"/>
    <w:tmpl w:val="28FA67C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253065"/>
    <w:multiLevelType w:val="multilevel"/>
    <w:tmpl w:val="855CA2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490F18"/>
    <w:multiLevelType w:val="multilevel"/>
    <w:tmpl w:val="8E4CA0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EC7493"/>
    <w:multiLevelType w:val="multilevel"/>
    <w:tmpl w:val="D31C739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F367FA"/>
    <w:multiLevelType w:val="multilevel"/>
    <w:tmpl w:val="61AC873E"/>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934515"/>
    <w:multiLevelType w:val="multilevel"/>
    <w:tmpl w:val="F34684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EC518A"/>
    <w:multiLevelType w:val="multilevel"/>
    <w:tmpl w:val="C336A7E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5037572">
    <w:abstractNumId w:val="0"/>
  </w:num>
  <w:num w:numId="2" w16cid:durableId="1478451192">
    <w:abstractNumId w:val="1"/>
  </w:num>
  <w:num w:numId="3" w16cid:durableId="2113931660">
    <w:abstractNumId w:val="42"/>
  </w:num>
  <w:num w:numId="4" w16cid:durableId="1046759591">
    <w:abstractNumId w:val="39"/>
  </w:num>
  <w:num w:numId="5" w16cid:durableId="669255817">
    <w:abstractNumId w:val="23"/>
  </w:num>
  <w:num w:numId="6" w16cid:durableId="785271401">
    <w:abstractNumId w:val="32"/>
  </w:num>
  <w:num w:numId="7" w16cid:durableId="1041202390">
    <w:abstractNumId w:val="19"/>
  </w:num>
  <w:num w:numId="8" w16cid:durableId="2125613214">
    <w:abstractNumId w:val="16"/>
  </w:num>
  <w:num w:numId="9" w16cid:durableId="316111619">
    <w:abstractNumId w:val="37"/>
  </w:num>
  <w:num w:numId="10" w16cid:durableId="1333069240">
    <w:abstractNumId w:val="38"/>
  </w:num>
  <w:num w:numId="11" w16cid:durableId="777724867">
    <w:abstractNumId w:val="21"/>
  </w:num>
  <w:num w:numId="12" w16cid:durableId="2082175027">
    <w:abstractNumId w:val="28"/>
  </w:num>
  <w:num w:numId="13" w16cid:durableId="2132355542">
    <w:abstractNumId w:val="30"/>
  </w:num>
  <w:num w:numId="14" w16cid:durableId="851845551">
    <w:abstractNumId w:val="12"/>
  </w:num>
  <w:num w:numId="15" w16cid:durableId="1225027905">
    <w:abstractNumId w:val="40"/>
  </w:num>
  <w:num w:numId="16" w16cid:durableId="1154031092">
    <w:abstractNumId w:val="13"/>
  </w:num>
  <w:num w:numId="17" w16cid:durableId="1632520640">
    <w:abstractNumId w:val="26"/>
  </w:num>
  <w:num w:numId="18" w16cid:durableId="803354865">
    <w:abstractNumId w:val="24"/>
  </w:num>
  <w:num w:numId="19" w16cid:durableId="1333610204">
    <w:abstractNumId w:val="35"/>
  </w:num>
  <w:num w:numId="20" w16cid:durableId="393479131">
    <w:abstractNumId w:val="36"/>
  </w:num>
  <w:num w:numId="21" w16cid:durableId="1142118046">
    <w:abstractNumId w:val="31"/>
  </w:num>
  <w:num w:numId="22" w16cid:durableId="708262211">
    <w:abstractNumId w:val="17"/>
  </w:num>
  <w:num w:numId="23" w16cid:durableId="704868890">
    <w:abstractNumId w:val="9"/>
  </w:num>
  <w:num w:numId="24" w16cid:durableId="83110861">
    <w:abstractNumId w:val="33"/>
  </w:num>
  <w:num w:numId="25" w16cid:durableId="1341736185">
    <w:abstractNumId w:val="8"/>
  </w:num>
  <w:num w:numId="26" w16cid:durableId="141385755">
    <w:abstractNumId w:val="41"/>
  </w:num>
  <w:num w:numId="27" w16cid:durableId="1713767142">
    <w:abstractNumId w:val="34"/>
  </w:num>
  <w:num w:numId="28" w16cid:durableId="91166892">
    <w:abstractNumId w:val="29"/>
  </w:num>
  <w:num w:numId="29" w16cid:durableId="1787770869">
    <w:abstractNumId w:val="20"/>
  </w:num>
  <w:num w:numId="30" w16cid:durableId="241989128">
    <w:abstractNumId w:val="11"/>
  </w:num>
  <w:num w:numId="31" w16cid:durableId="1972663841">
    <w:abstractNumId w:val="3"/>
  </w:num>
  <w:num w:numId="32" w16cid:durableId="1770154123">
    <w:abstractNumId w:val="18"/>
  </w:num>
  <w:num w:numId="33" w16cid:durableId="1499268584">
    <w:abstractNumId w:val="7"/>
  </w:num>
  <w:num w:numId="34" w16cid:durableId="1329670338">
    <w:abstractNumId w:val="14"/>
  </w:num>
  <w:num w:numId="35" w16cid:durableId="236137316">
    <w:abstractNumId w:val="25"/>
  </w:num>
  <w:num w:numId="36" w16cid:durableId="1977102346">
    <w:abstractNumId w:val="4"/>
  </w:num>
  <w:num w:numId="37" w16cid:durableId="1352681422">
    <w:abstractNumId w:val="2"/>
  </w:num>
  <w:num w:numId="38" w16cid:durableId="551233173">
    <w:abstractNumId w:val="10"/>
  </w:num>
  <w:num w:numId="39" w16cid:durableId="90054419">
    <w:abstractNumId w:val="6"/>
  </w:num>
  <w:num w:numId="40" w16cid:durableId="137842458">
    <w:abstractNumId w:val="27"/>
  </w:num>
  <w:num w:numId="41" w16cid:durableId="2117410193">
    <w:abstractNumId w:val="43"/>
  </w:num>
  <w:num w:numId="42" w16cid:durableId="2069526497">
    <w:abstractNumId w:val="5"/>
  </w:num>
  <w:num w:numId="43" w16cid:durableId="1988238683">
    <w:abstractNumId w:val="22"/>
  </w:num>
  <w:num w:numId="44" w16cid:durableId="126314316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08F"/>
    <w:rsid w:val="000179AE"/>
    <w:rsid w:val="00026B73"/>
    <w:rsid w:val="0006045D"/>
    <w:rsid w:val="0008400F"/>
    <w:rsid w:val="00087ADF"/>
    <w:rsid w:val="001B5D2D"/>
    <w:rsid w:val="003049C1"/>
    <w:rsid w:val="00317C43"/>
    <w:rsid w:val="00351973"/>
    <w:rsid w:val="0037306D"/>
    <w:rsid w:val="00505C2E"/>
    <w:rsid w:val="00513D4E"/>
    <w:rsid w:val="00513FB9"/>
    <w:rsid w:val="0053476A"/>
    <w:rsid w:val="00713B07"/>
    <w:rsid w:val="007A4BFF"/>
    <w:rsid w:val="007B5DBB"/>
    <w:rsid w:val="00887CB6"/>
    <w:rsid w:val="008C469F"/>
    <w:rsid w:val="008F108F"/>
    <w:rsid w:val="00915FB1"/>
    <w:rsid w:val="00B42899"/>
    <w:rsid w:val="00BA4750"/>
    <w:rsid w:val="00BF3710"/>
    <w:rsid w:val="00C42910"/>
    <w:rsid w:val="00C634CB"/>
    <w:rsid w:val="00D616F6"/>
    <w:rsid w:val="00D61C02"/>
    <w:rsid w:val="00D72B55"/>
    <w:rsid w:val="00D74A88"/>
    <w:rsid w:val="00E13F47"/>
    <w:rsid w:val="00EF77F9"/>
    <w:rsid w:val="00F46F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5722C"/>
  <w15:docId w15:val="{1B28C923-A25A-4438-98AF-C2F6A7CD9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973"/>
  </w:style>
  <w:style w:type="paragraph" w:styleId="Heading3">
    <w:name w:val="heading 3"/>
    <w:basedOn w:val="Normal"/>
    <w:link w:val="Heading3Char"/>
    <w:uiPriority w:val="9"/>
    <w:qFormat/>
    <w:rsid w:val="008F108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Heading4">
    <w:name w:val="heading 4"/>
    <w:basedOn w:val="Normal"/>
    <w:link w:val="Heading4Char"/>
    <w:uiPriority w:val="9"/>
    <w:qFormat/>
    <w:rsid w:val="008F108F"/>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F108F"/>
    <w:rPr>
      <w:rFonts w:ascii="Times New Roman" w:eastAsia="Times New Roman" w:hAnsi="Times New Roman" w:cs="Times New Roman"/>
      <w:b/>
      <w:bCs/>
      <w:sz w:val="27"/>
      <w:szCs w:val="27"/>
      <w:lang w:eastAsia="pt-BR"/>
    </w:rPr>
  </w:style>
  <w:style w:type="character" w:customStyle="1" w:styleId="Heading4Char">
    <w:name w:val="Heading 4 Char"/>
    <w:basedOn w:val="DefaultParagraphFont"/>
    <w:link w:val="Heading4"/>
    <w:uiPriority w:val="9"/>
    <w:rsid w:val="008F108F"/>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8F108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ine-clamp-1">
    <w:name w:val="line-clamp-1"/>
    <w:basedOn w:val="DefaultParagraphFont"/>
    <w:rsid w:val="008F108F"/>
  </w:style>
  <w:style w:type="paragraph" w:styleId="Header">
    <w:name w:val="header"/>
    <w:basedOn w:val="Normal"/>
    <w:link w:val="HeaderChar"/>
    <w:uiPriority w:val="99"/>
    <w:semiHidden/>
    <w:unhideWhenUsed/>
    <w:rsid w:val="008F108F"/>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8F108F"/>
  </w:style>
  <w:style w:type="paragraph" w:styleId="Footer">
    <w:name w:val="footer"/>
    <w:basedOn w:val="Normal"/>
    <w:link w:val="FooterChar"/>
    <w:uiPriority w:val="99"/>
    <w:semiHidden/>
    <w:unhideWhenUsed/>
    <w:rsid w:val="008F108F"/>
    <w:pPr>
      <w:tabs>
        <w:tab w:val="center" w:pos="4252"/>
        <w:tab w:val="right" w:pos="8504"/>
      </w:tabs>
      <w:spacing w:after="0" w:line="240" w:lineRule="auto"/>
    </w:pPr>
  </w:style>
  <w:style w:type="character" w:customStyle="1" w:styleId="FooterChar">
    <w:name w:val="Footer Char"/>
    <w:basedOn w:val="DefaultParagraphFont"/>
    <w:link w:val="Footer"/>
    <w:uiPriority w:val="99"/>
    <w:semiHidden/>
    <w:rsid w:val="008F108F"/>
  </w:style>
  <w:style w:type="paragraph" w:styleId="FootnoteText">
    <w:name w:val="footnote text"/>
    <w:basedOn w:val="Normal"/>
    <w:link w:val="FootnoteTextChar"/>
    <w:uiPriority w:val="99"/>
    <w:semiHidden/>
    <w:unhideWhenUsed/>
    <w:rsid w:val="003730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306D"/>
    <w:rPr>
      <w:sz w:val="20"/>
      <w:szCs w:val="20"/>
    </w:rPr>
  </w:style>
  <w:style w:type="character" w:styleId="FootnoteReference">
    <w:name w:val="footnote reference"/>
    <w:basedOn w:val="DefaultParagraphFont"/>
    <w:uiPriority w:val="99"/>
    <w:semiHidden/>
    <w:unhideWhenUsed/>
    <w:rsid w:val="0037306D"/>
    <w:rPr>
      <w:vertAlign w:val="superscript"/>
    </w:rPr>
  </w:style>
  <w:style w:type="character" w:styleId="Hyperlink">
    <w:name w:val="Hyperlink"/>
    <w:basedOn w:val="DefaultParagraphFont"/>
    <w:uiPriority w:val="99"/>
    <w:semiHidden/>
    <w:unhideWhenUsed/>
    <w:rsid w:val="0037306D"/>
    <w:rPr>
      <w:color w:val="0000FF"/>
      <w:u w:val="single"/>
    </w:rPr>
  </w:style>
  <w:style w:type="character" w:styleId="Strong">
    <w:name w:val="Strong"/>
    <w:basedOn w:val="DefaultParagraphFont"/>
    <w:uiPriority w:val="22"/>
    <w:qFormat/>
    <w:rsid w:val="00713B07"/>
    <w:rPr>
      <w:b/>
      <w:bCs/>
    </w:rPr>
  </w:style>
  <w:style w:type="paragraph" w:styleId="ListParagraph">
    <w:name w:val="List Paragraph"/>
    <w:basedOn w:val="Normal"/>
    <w:uiPriority w:val="34"/>
    <w:qFormat/>
    <w:rsid w:val="00713B07"/>
    <w:pPr>
      <w:ind w:left="720"/>
      <w:contextualSpacing/>
    </w:pPr>
  </w:style>
  <w:style w:type="character" w:styleId="Emphasis">
    <w:name w:val="Emphasis"/>
    <w:basedOn w:val="DefaultParagraphFont"/>
    <w:uiPriority w:val="20"/>
    <w:qFormat/>
    <w:rsid w:val="00B428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006289">
      <w:bodyDiv w:val="1"/>
      <w:marLeft w:val="0"/>
      <w:marRight w:val="0"/>
      <w:marTop w:val="0"/>
      <w:marBottom w:val="0"/>
      <w:divBdr>
        <w:top w:val="none" w:sz="0" w:space="0" w:color="auto"/>
        <w:left w:val="none" w:sz="0" w:space="0" w:color="auto"/>
        <w:bottom w:val="none" w:sz="0" w:space="0" w:color="auto"/>
        <w:right w:val="none" w:sz="0" w:space="0" w:color="auto"/>
      </w:divBdr>
      <w:divsChild>
        <w:div w:id="2111507753">
          <w:marLeft w:val="0"/>
          <w:marRight w:val="0"/>
          <w:marTop w:val="0"/>
          <w:marBottom w:val="0"/>
          <w:divBdr>
            <w:top w:val="none" w:sz="0" w:space="0" w:color="auto"/>
            <w:left w:val="none" w:sz="0" w:space="0" w:color="auto"/>
            <w:bottom w:val="none" w:sz="0" w:space="0" w:color="auto"/>
            <w:right w:val="none" w:sz="0" w:space="0" w:color="auto"/>
          </w:divBdr>
          <w:divsChild>
            <w:div w:id="686517746">
              <w:marLeft w:val="0"/>
              <w:marRight w:val="0"/>
              <w:marTop w:val="0"/>
              <w:marBottom w:val="0"/>
              <w:divBdr>
                <w:top w:val="none" w:sz="0" w:space="0" w:color="auto"/>
                <w:left w:val="none" w:sz="0" w:space="0" w:color="auto"/>
                <w:bottom w:val="none" w:sz="0" w:space="0" w:color="auto"/>
                <w:right w:val="none" w:sz="0" w:space="0" w:color="auto"/>
              </w:divBdr>
              <w:divsChild>
                <w:div w:id="2001542674">
                  <w:marLeft w:val="0"/>
                  <w:marRight w:val="0"/>
                  <w:marTop w:val="0"/>
                  <w:marBottom w:val="0"/>
                  <w:divBdr>
                    <w:top w:val="none" w:sz="0" w:space="0" w:color="auto"/>
                    <w:left w:val="none" w:sz="0" w:space="0" w:color="auto"/>
                    <w:bottom w:val="none" w:sz="0" w:space="0" w:color="auto"/>
                    <w:right w:val="none" w:sz="0" w:space="0" w:color="auto"/>
                  </w:divBdr>
                  <w:divsChild>
                    <w:div w:id="14177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998082">
          <w:marLeft w:val="0"/>
          <w:marRight w:val="0"/>
          <w:marTop w:val="0"/>
          <w:marBottom w:val="0"/>
          <w:divBdr>
            <w:top w:val="none" w:sz="0" w:space="0" w:color="auto"/>
            <w:left w:val="none" w:sz="0" w:space="0" w:color="auto"/>
            <w:bottom w:val="none" w:sz="0" w:space="0" w:color="auto"/>
            <w:right w:val="none" w:sz="0" w:space="0" w:color="auto"/>
          </w:divBdr>
          <w:divsChild>
            <w:div w:id="885138396">
              <w:marLeft w:val="0"/>
              <w:marRight w:val="0"/>
              <w:marTop w:val="0"/>
              <w:marBottom w:val="0"/>
              <w:divBdr>
                <w:top w:val="none" w:sz="0" w:space="0" w:color="auto"/>
                <w:left w:val="none" w:sz="0" w:space="0" w:color="auto"/>
                <w:bottom w:val="none" w:sz="0" w:space="0" w:color="auto"/>
                <w:right w:val="none" w:sz="0" w:space="0" w:color="auto"/>
              </w:divBdr>
              <w:divsChild>
                <w:div w:id="943927444">
                  <w:marLeft w:val="0"/>
                  <w:marRight w:val="0"/>
                  <w:marTop w:val="0"/>
                  <w:marBottom w:val="0"/>
                  <w:divBdr>
                    <w:top w:val="none" w:sz="0" w:space="0" w:color="auto"/>
                    <w:left w:val="none" w:sz="0" w:space="0" w:color="auto"/>
                    <w:bottom w:val="none" w:sz="0" w:space="0" w:color="auto"/>
                    <w:right w:val="none" w:sz="0" w:space="0" w:color="auto"/>
                  </w:divBdr>
                  <w:divsChild>
                    <w:div w:id="206957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98650">
      <w:bodyDiv w:val="1"/>
      <w:marLeft w:val="0"/>
      <w:marRight w:val="0"/>
      <w:marTop w:val="0"/>
      <w:marBottom w:val="0"/>
      <w:divBdr>
        <w:top w:val="none" w:sz="0" w:space="0" w:color="auto"/>
        <w:left w:val="none" w:sz="0" w:space="0" w:color="auto"/>
        <w:bottom w:val="none" w:sz="0" w:space="0" w:color="auto"/>
        <w:right w:val="none" w:sz="0" w:space="0" w:color="auto"/>
      </w:divBdr>
    </w:div>
    <w:div w:id="573200582">
      <w:bodyDiv w:val="1"/>
      <w:marLeft w:val="0"/>
      <w:marRight w:val="0"/>
      <w:marTop w:val="0"/>
      <w:marBottom w:val="0"/>
      <w:divBdr>
        <w:top w:val="none" w:sz="0" w:space="0" w:color="auto"/>
        <w:left w:val="none" w:sz="0" w:space="0" w:color="auto"/>
        <w:bottom w:val="none" w:sz="0" w:space="0" w:color="auto"/>
        <w:right w:val="none" w:sz="0" w:space="0" w:color="auto"/>
      </w:divBdr>
    </w:div>
    <w:div w:id="573665902">
      <w:bodyDiv w:val="1"/>
      <w:marLeft w:val="0"/>
      <w:marRight w:val="0"/>
      <w:marTop w:val="0"/>
      <w:marBottom w:val="0"/>
      <w:divBdr>
        <w:top w:val="none" w:sz="0" w:space="0" w:color="auto"/>
        <w:left w:val="none" w:sz="0" w:space="0" w:color="auto"/>
        <w:bottom w:val="none" w:sz="0" w:space="0" w:color="auto"/>
        <w:right w:val="none" w:sz="0" w:space="0" w:color="auto"/>
      </w:divBdr>
    </w:div>
    <w:div w:id="650521382">
      <w:bodyDiv w:val="1"/>
      <w:marLeft w:val="0"/>
      <w:marRight w:val="0"/>
      <w:marTop w:val="0"/>
      <w:marBottom w:val="0"/>
      <w:divBdr>
        <w:top w:val="none" w:sz="0" w:space="0" w:color="auto"/>
        <w:left w:val="none" w:sz="0" w:space="0" w:color="auto"/>
        <w:bottom w:val="none" w:sz="0" w:space="0" w:color="auto"/>
        <w:right w:val="none" w:sz="0" w:space="0" w:color="auto"/>
      </w:divBdr>
    </w:div>
    <w:div w:id="806629772">
      <w:bodyDiv w:val="1"/>
      <w:marLeft w:val="0"/>
      <w:marRight w:val="0"/>
      <w:marTop w:val="0"/>
      <w:marBottom w:val="0"/>
      <w:divBdr>
        <w:top w:val="none" w:sz="0" w:space="0" w:color="auto"/>
        <w:left w:val="none" w:sz="0" w:space="0" w:color="auto"/>
        <w:bottom w:val="none" w:sz="0" w:space="0" w:color="auto"/>
        <w:right w:val="none" w:sz="0" w:space="0" w:color="auto"/>
      </w:divBdr>
    </w:div>
    <w:div w:id="1112478208">
      <w:bodyDiv w:val="1"/>
      <w:marLeft w:val="0"/>
      <w:marRight w:val="0"/>
      <w:marTop w:val="0"/>
      <w:marBottom w:val="0"/>
      <w:divBdr>
        <w:top w:val="none" w:sz="0" w:space="0" w:color="auto"/>
        <w:left w:val="none" w:sz="0" w:space="0" w:color="auto"/>
        <w:bottom w:val="none" w:sz="0" w:space="0" w:color="auto"/>
        <w:right w:val="none" w:sz="0" w:space="0" w:color="auto"/>
      </w:divBdr>
    </w:div>
    <w:div w:id="1222475033">
      <w:bodyDiv w:val="1"/>
      <w:marLeft w:val="0"/>
      <w:marRight w:val="0"/>
      <w:marTop w:val="0"/>
      <w:marBottom w:val="0"/>
      <w:divBdr>
        <w:top w:val="none" w:sz="0" w:space="0" w:color="auto"/>
        <w:left w:val="none" w:sz="0" w:space="0" w:color="auto"/>
        <w:bottom w:val="none" w:sz="0" w:space="0" w:color="auto"/>
        <w:right w:val="none" w:sz="0" w:space="0" w:color="auto"/>
      </w:divBdr>
    </w:div>
    <w:div w:id="1376616308">
      <w:bodyDiv w:val="1"/>
      <w:marLeft w:val="0"/>
      <w:marRight w:val="0"/>
      <w:marTop w:val="0"/>
      <w:marBottom w:val="0"/>
      <w:divBdr>
        <w:top w:val="none" w:sz="0" w:space="0" w:color="auto"/>
        <w:left w:val="none" w:sz="0" w:space="0" w:color="auto"/>
        <w:bottom w:val="none" w:sz="0" w:space="0" w:color="auto"/>
        <w:right w:val="none" w:sz="0" w:space="0" w:color="auto"/>
      </w:divBdr>
    </w:div>
    <w:div w:id="1557011649">
      <w:bodyDiv w:val="1"/>
      <w:marLeft w:val="0"/>
      <w:marRight w:val="0"/>
      <w:marTop w:val="0"/>
      <w:marBottom w:val="0"/>
      <w:divBdr>
        <w:top w:val="none" w:sz="0" w:space="0" w:color="auto"/>
        <w:left w:val="none" w:sz="0" w:space="0" w:color="auto"/>
        <w:bottom w:val="none" w:sz="0" w:space="0" w:color="auto"/>
        <w:right w:val="none" w:sz="0" w:space="0" w:color="auto"/>
      </w:divBdr>
    </w:div>
    <w:div w:id="1675764685">
      <w:bodyDiv w:val="1"/>
      <w:marLeft w:val="0"/>
      <w:marRight w:val="0"/>
      <w:marTop w:val="0"/>
      <w:marBottom w:val="0"/>
      <w:divBdr>
        <w:top w:val="none" w:sz="0" w:space="0" w:color="auto"/>
        <w:left w:val="none" w:sz="0" w:space="0" w:color="auto"/>
        <w:bottom w:val="none" w:sz="0" w:space="0" w:color="auto"/>
        <w:right w:val="none" w:sz="0" w:space="0" w:color="auto"/>
      </w:divBdr>
    </w:div>
    <w:div w:id="1806701604">
      <w:bodyDiv w:val="1"/>
      <w:marLeft w:val="0"/>
      <w:marRight w:val="0"/>
      <w:marTop w:val="0"/>
      <w:marBottom w:val="0"/>
      <w:divBdr>
        <w:top w:val="none" w:sz="0" w:space="0" w:color="auto"/>
        <w:left w:val="none" w:sz="0" w:space="0" w:color="auto"/>
        <w:bottom w:val="none" w:sz="0" w:space="0" w:color="auto"/>
        <w:right w:val="none" w:sz="0" w:space="0" w:color="auto"/>
      </w:divBdr>
    </w:div>
    <w:div w:id="1919359404">
      <w:bodyDiv w:val="1"/>
      <w:marLeft w:val="0"/>
      <w:marRight w:val="0"/>
      <w:marTop w:val="0"/>
      <w:marBottom w:val="0"/>
      <w:divBdr>
        <w:top w:val="none" w:sz="0" w:space="0" w:color="auto"/>
        <w:left w:val="none" w:sz="0" w:space="0" w:color="auto"/>
        <w:bottom w:val="none" w:sz="0" w:space="0" w:color="auto"/>
        <w:right w:val="none" w:sz="0" w:space="0" w:color="auto"/>
      </w:divBdr>
    </w:div>
    <w:div w:id="209224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geledes.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B4C4F-D7A1-467F-BE60-5D33F431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3242</Words>
  <Characters>18482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James Boit</cp:lastModifiedBy>
  <cp:revision>2</cp:revision>
  <dcterms:created xsi:type="dcterms:W3CDTF">2024-07-11T12:15:00Z</dcterms:created>
  <dcterms:modified xsi:type="dcterms:W3CDTF">2024-07-11T12:15:00Z</dcterms:modified>
</cp:coreProperties>
</file>