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DBB36" w14:textId="4F43A6E9" w:rsidR="000D18D0" w:rsidRDefault="002C04E8" w:rsidP="00E52234">
      <w:pPr>
        <w:jc w:val="both"/>
      </w:pPr>
      <w:r>
        <w:rPr>
          <w:noProof/>
        </w:rPr>
        <mc:AlternateContent>
          <mc:Choice Requires="wps">
            <w:drawing>
              <wp:anchor distT="0" distB="0" distL="114300" distR="114300" simplePos="0" relativeHeight="251657215" behindDoc="0" locked="0" layoutInCell="1" allowOverlap="1" wp14:anchorId="5DEEEF9B" wp14:editId="14EC440B">
                <wp:simplePos x="0" y="0"/>
                <wp:positionH relativeFrom="column">
                  <wp:posOffset>-1295400</wp:posOffset>
                </wp:positionH>
                <wp:positionV relativeFrom="paragraph">
                  <wp:posOffset>-914400</wp:posOffset>
                </wp:positionV>
                <wp:extent cx="8096250" cy="857250"/>
                <wp:effectExtent l="38100" t="19050" r="57150" b="95250"/>
                <wp:wrapNone/>
                <wp:docPr id="10" name="Rectangle 10"/>
                <wp:cNvGraphicFramePr/>
                <a:graphic xmlns:a="http://schemas.openxmlformats.org/drawingml/2006/main">
                  <a:graphicData uri="http://schemas.microsoft.com/office/word/2010/wordprocessingShape">
                    <wps:wsp>
                      <wps:cNvSpPr/>
                      <wps:spPr>
                        <a:xfrm>
                          <a:off x="0" y="0"/>
                          <a:ext cx="8096250" cy="857250"/>
                        </a:xfrm>
                        <a:prstGeom prst="rect">
                          <a:avLst/>
                        </a:prstGeom>
                        <a:solidFill>
                          <a:srgbClr val="D08100"/>
                        </a:solidFill>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FC5608" id="Rectangle 10" o:spid="_x0000_s1026" style="position:absolute;margin-left:-102pt;margin-top:-1in;width:637.5pt;height:67.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" fillcolor="#d08100" strokecolor="#818183 [3209]" strokeweight=".27778mm">
                <v:shadow on="t" color="black" opacity="29491f" origin=",.5" offset="0"/>
              </v:rect>
            </w:pict>
          </mc:Fallback>
        </mc:AlternateContent>
      </w:r>
      <w:r w:rsidR="008D553F">
        <w:rPr>
          <w:noProof/>
        </w:rPr>
        <mc:AlternateContent>
          <mc:Choice Requires="wps">
            <w:drawing>
              <wp:anchor distT="0" distB="0" distL="114300" distR="114300" simplePos="0" relativeHeight="251659264" behindDoc="0" locked="0" layoutInCell="1" allowOverlap="1" wp14:anchorId="00552D2C" wp14:editId="7E32A386">
                <wp:simplePos x="0" y="0"/>
                <wp:positionH relativeFrom="column">
                  <wp:posOffset>3090041</wp:posOffset>
                </wp:positionH>
                <wp:positionV relativeFrom="paragraph">
                  <wp:posOffset>-961697</wp:posOffset>
                </wp:positionV>
                <wp:extent cx="2585545" cy="4225159"/>
                <wp:effectExtent l="38100" t="19050" r="62865" b="99695"/>
                <wp:wrapNone/>
                <wp:docPr id="2" name="Rectangle 2"/>
                <wp:cNvGraphicFramePr/>
                <a:graphic xmlns:a="http://schemas.openxmlformats.org/drawingml/2006/main">
                  <a:graphicData uri="http://schemas.microsoft.com/office/word/2010/wordprocessingShape">
                    <wps:wsp>
                      <wps:cNvSpPr/>
                      <wps:spPr>
                        <a:xfrm>
                          <a:off x="0" y="0"/>
                          <a:ext cx="2585545" cy="4225159"/>
                        </a:xfrm>
                        <a:custGeom>
                          <a:avLst/>
                          <a:gdLst>
                            <a:gd name="connsiteX0" fmla="*/ 0 w 2170216"/>
                            <a:gd name="connsiteY0" fmla="*/ 0 h 3886200"/>
                            <a:gd name="connsiteX1" fmla="*/ 2170216 w 2170216"/>
                            <a:gd name="connsiteY1" fmla="*/ 0 h 3886200"/>
                            <a:gd name="connsiteX2" fmla="*/ 2170216 w 2170216"/>
                            <a:gd name="connsiteY2" fmla="*/ 3886200 h 3886200"/>
                            <a:gd name="connsiteX3" fmla="*/ 0 w 2170216"/>
                            <a:gd name="connsiteY3" fmla="*/ 3886200 h 3886200"/>
                            <a:gd name="connsiteX4" fmla="*/ 0 w 2170216"/>
                            <a:gd name="connsiteY4" fmla="*/ 0 h 3886200"/>
                            <a:gd name="connsiteX0" fmla="*/ 0 w 2170216"/>
                            <a:gd name="connsiteY0" fmla="*/ 0 h 3886200"/>
                            <a:gd name="connsiteX1" fmla="*/ 2170216 w 2170216"/>
                            <a:gd name="connsiteY1" fmla="*/ 0 h 3886200"/>
                            <a:gd name="connsiteX2" fmla="*/ 2170216 w 2170216"/>
                            <a:gd name="connsiteY2" fmla="*/ 3886200 h 3886200"/>
                            <a:gd name="connsiteX3" fmla="*/ 1092530 w 2170216"/>
                            <a:gd name="connsiteY3" fmla="*/ 3859481 h 3886200"/>
                            <a:gd name="connsiteX4" fmla="*/ 0 w 2170216"/>
                            <a:gd name="connsiteY4" fmla="*/ 3886200 h 3886200"/>
                            <a:gd name="connsiteX5" fmla="*/ 0 w 2170216"/>
                            <a:gd name="connsiteY5" fmla="*/ 0 h 3886200"/>
                            <a:gd name="connsiteX0" fmla="*/ 0 w 2170216"/>
                            <a:gd name="connsiteY0" fmla="*/ 0 h 4329430"/>
                            <a:gd name="connsiteX1" fmla="*/ 2170216 w 2170216"/>
                            <a:gd name="connsiteY1" fmla="*/ 0 h 4329430"/>
                            <a:gd name="connsiteX2" fmla="*/ 2170216 w 2170216"/>
                            <a:gd name="connsiteY2" fmla="*/ 3886200 h 4329430"/>
                            <a:gd name="connsiteX3" fmla="*/ 1127765 w 2170216"/>
                            <a:gd name="connsiteY3" fmla="*/ 4329430 h 4329430"/>
                            <a:gd name="connsiteX4" fmla="*/ 0 w 2170216"/>
                            <a:gd name="connsiteY4" fmla="*/ 3886200 h 4329430"/>
                            <a:gd name="connsiteX5" fmla="*/ 0 w 2170216"/>
                            <a:gd name="connsiteY5" fmla="*/ 0 h 43294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170216" h="4329430">
                              <a:moveTo>
                                <a:pt x="0" y="0"/>
                              </a:moveTo>
                              <a:lnTo>
                                <a:pt x="2170216" y="0"/>
                              </a:lnTo>
                              <a:lnTo>
                                <a:pt x="2170216" y="3886200"/>
                              </a:lnTo>
                              <a:lnTo>
                                <a:pt x="1127765" y="4329430"/>
                              </a:lnTo>
                              <a:lnTo>
                                <a:pt x="0" y="3886200"/>
                              </a:lnTo>
                              <a:lnTo>
                                <a:pt x="0" y="0"/>
                              </a:lnTo>
                              <a:close/>
                            </a:path>
                          </a:pathLst>
                        </a:custGeom>
                        <a:solidFill>
                          <a:schemeClr val="accent3">
                            <a:lumMod val="75000"/>
                          </a:schemeClr>
                        </a:solidFill>
                        <a:ln/>
                      </wps:spPr>
                      <wps:style>
                        <a:lnRef idx="1">
                          <a:schemeClr val="accent6"/>
                        </a:lnRef>
                        <a:fillRef idx="3">
                          <a:schemeClr val="accent6"/>
                        </a:fillRef>
                        <a:effectRef idx="2">
                          <a:schemeClr val="accent6"/>
                        </a:effectRef>
                        <a:fontRef idx="minor">
                          <a:schemeClr val="lt1"/>
                        </a:fontRef>
                      </wps:style>
                      <wps:txbx>
                        <w:txbxContent>
                          <w:p w14:paraId="4D12373A" w14:textId="53E13A7D" w:rsidR="0098306F" w:rsidRPr="005D3FB0" w:rsidRDefault="000F6487" w:rsidP="000D18D0">
                            <w:pPr>
                              <w:jc w:val="center"/>
                              <w:rPr>
                                <w:rFonts w:asciiTheme="majorBidi" w:hAnsiTheme="majorBidi" w:cstheme="majorBidi"/>
                                <w:b/>
                                <w:outline/>
                                <w:color w:val="A6B727" w:themeColor="accent1"/>
                                <w:sz w:val="64"/>
                                <w:szCs w:val="64"/>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pPr>
                            <w:r>
                              <w:rPr>
                                <w:rFonts w:asciiTheme="majorBidi" w:hAnsiTheme="majorBidi" w:cstheme="majorBidi"/>
                                <w:b/>
                                <w:outline/>
                                <w:color w:val="A6B727" w:themeColor="accent1"/>
                                <w:sz w:val="64"/>
                                <w:szCs w:val="64"/>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State of Israel</w:t>
                            </w:r>
                          </w:p>
                          <w:p w14:paraId="33AB796D" w14:textId="05221CF8" w:rsidR="0098306F" w:rsidRDefault="0098306F" w:rsidP="000D18D0">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2DE7E" w14:textId="4921B444" w:rsidR="0098306F" w:rsidRPr="00AA0C3F" w:rsidRDefault="00A35C1D" w:rsidP="0069403D">
                            <w:pPr>
                              <w:jc w:val="center"/>
                              <w:rPr>
                                <w:rFonts w:cstheme="minorHAnsi"/>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A0C3F">
                              <w:rPr>
                                <w:rFonts w:cstheme="minorHAnsi"/>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Racial Discrimination</w:t>
                            </w:r>
                          </w:p>
                          <w:p w14:paraId="6210B8CD" w14:textId="77777777"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CC619" w14:textId="1D53BD29"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52D2C" id="Rectangle 2" o:spid="_x0000_s1026" style="position:absolute;left:0;text-align:left;margin-left:243.3pt;margin-top:-75.7pt;width:203.6pt;height:33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coordsize="2170216,43294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" adj="-11796480,,5400" path="m,l2170216,r,3886200l1127765,4329430,,3886200,,xe" fillcolor="#be7500 [2406]" strokecolor="#818183 [3209]" strokeweight=".27778mm">
                <v:stroke joinstyle="miter"/>
                <v:shadow on="t" color="black" opacity="29491f" origin=",.5" offset="0"/>
                <v:formulas/>
                <v:path arrowok="t" o:connecttype="custom" o:connectlocs="0,0;2585545,0;2585545,3792604;1343593,4225159;0,3792604;0,0" o:connectangles="0,0,0,0,0,0" textboxrect="0,0,2170216,4329430"/>
                <v:textbox>
                  <w:txbxContent>
                    <w:p w14:paraId="4D12373A" w14:textId="53E13A7D" w:rsidR="0098306F" w:rsidRPr="005D3FB0" w:rsidRDefault="000F6487" w:rsidP="000D18D0">
                      <w:pPr>
                        <w:jc w:val="center"/>
                        <w:rPr>
                          <w:rFonts w:asciiTheme="majorBidi" w:hAnsiTheme="majorBidi" w:cstheme="majorBidi"/>
                          <w:b/>
                          <w:outline/>
                          <w:color w:val="A6B727" w:themeColor="accent1"/>
                          <w:sz w:val="64"/>
                          <w:szCs w:val="64"/>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pPr>
                      <w:r>
                        <w:rPr>
                          <w:rFonts w:asciiTheme="majorBidi" w:hAnsiTheme="majorBidi" w:cstheme="majorBidi"/>
                          <w:b/>
                          <w:outline/>
                          <w:color w:val="A6B727" w:themeColor="accent1"/>
                          <w:sz w:val="64"/>
                          <w:szCs w:val="64"/>
                          <w14:shadow w14:blurRad="38100" w14:dist="22860" w14:dir="5400000" w14:sx="100000" w14:sy="100000" w14:kx="0" w14:ky="0" w14:algn="tl">
                            <w14:srgbClr w14:val="000000">
                              <w14:alpha w14:val="70000"/>
                            </w14:srgbClr>
                          </w14:shadow>
                          <w14:reflection w14:blurRad="63500" w14:stA="30000" w14:stPos="0" w14:endA="0" w14:endPos="60000" w14:dist="0" w14:dir="5400000" w14:fadeDir="5400000" w14:sx="100000" w14:sy="-100000" w14:kx="0" w14:ky="0" w14:algn="bl"/>
                          <w14:textOutline w14:w="10160" w14:cap="flat" w14:cmpd="sng" w14:algn="ctr">
                            <w14:solidFill>
                              <w14:schemeClr w14:val="accent1">
                                <w14:lumMod w14:val="75000"/>
                              </w14:schemeClr>
                            </w14:solidFill>
                            <w14:prstDash w14:val="solid"/>
                            <w14:round/>
                          </w14:textOutline>
                          <w14:textFill>
                            <w14:solidFill>
                              <w14:srgbClr w14:val="FFFFFF"/>
                            </w14:solidFill>
                          </w14:textFill>
                        </w:rPr>
                        <w:t>State of Israel</w:t>
                      </w:r>
                    </w:p>
                    <w:p w14:paraId="33AB796D" w14:textId="05221CF8" w:rsidR="0098306F" w:rsidRDefault="0098306F" w:rsidP="000D18D0">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22DE7E" w14:textId="4921B444" w:rsidR="0098306F" w:rsidRPr="00AA0C3F" w:rsidRDefault="00A35C1D" w:rsidP="0069403D">
                      <w:pPr>
                        <w:jc w:val="center"/>
                        <w:rPr>
                          <w:rFonts w:cstheme="minorHAnsi"/>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GoBack"/>
                      <w:bookmarkEnd w:id="1"/>
                      <w:r w:rsidRPr="00AA0C3F">
                        <w:rPr>
                          <w:rFonts w:cstheme="minorHAnsi"/>
                          <w:b/>
                          <w:bCs/>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Racial Discrimination</w:t>
                      </w:r>
                    </w:p>
                    <w:p w14:paraId="6210B8CD" w14:textId="77777777"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5CC619" w14:textId="1D53BD29" w:rsidR="0098306F" w:rsidRDefault="0098306F" w:rsidP="0069403D">
                      <w:pPr>
                        <w:jc w:val="center"/>
                        <w:rPr>
                          <w:rFonts w:cstheme="minorHAnsi"/>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40E0123B" w14:textId="71671B66" w:rsidR="000D18D0" w:rsidRDefault="00D70B92" w:rsidP="00E52234">
      <w:pPr>
        <w:jc w:val="both"/>
      </w:pPr>
      <w:r>
        <w:rPr>
          <w:noProof/>
        </w:rPr>
        <w:drawing>
          <wp:anchor distT="0" distB="0" distL="114300" distR="114300" simplePos="0" relativeHeight="251658240" behindDoc="0" locked="0" layoutInCell="1" allowOverlap="1" wp14:anchorId="37CFE7B2" wp14:editId="71A6D54B">
            <wp:simplePos x="0" y="0"/>
            <wp:positionH relativeFrom="column">
              <wp:posOffset>-13335</wp:posOffset>
            </wp:positionH>
            <wp:positionV relativeFrom="paragraph">
              <wp:posOffset>57150</wp:posOffset>
            </wp:positionV>
            <wp:extent cx="2171700" cy="2171700"/>
            <wp:effectExtent l="0" t="0" r="0" b="0"/>
            <wp:wrapNone/>
            <wp:docPr id="1" name="Picture 1" descr="A close up of a coi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7znSSRO_400x400.jpg"/>
                    <pic:cNvPicPr/>
                  </pic:nvPicPr>
                  <pic:blipFill>
                    <a:blip r:embed="rId8">
                      <a:extLst>
                        <a:ext uri="{28A0092B-C50C-407E-A947-70E740481C1C}">
                          <a14:useLocalDpi xmlns:a14="http://schemas.microsoft.com/office/drawing/2010/main" val="0"/>
                        </a:ext>
                      </a:extLst>
                    </a:blip>
                    <a:stretch>
                      <a:fillRect/>
                    </a:stretch>
                  </pic:blipFill>
                  <pic:spPr>
                    <a:xfrm>
                      <a:off x="0" y="0"/>
                      <a:ext cx="2171700" cy="2171700"/>
                    </a:xfrm>
                    <a:prstGeom prst="rect">
                      <a:avLst/>
                    </a:prstGeom>
                  </pic:spPr>
                </pic:pic>
              </a:graphicData>
            </a:graphic>
            <wp14:sizeRelH relativeFrom="page">
              <wp14:pctWidth>0</wp14:pctWidth>
            </wp14:sizeRelH>
            <wp14:sizeRelV relativeFrom="page">
              <wp14:pctHeight>0</wp14:pctHeight>
            </wp14:sizeRelV>
          </wp:anchor>
        </w:drawing>
      </w:r>
    </w:p>
    <w:p w14:paraId="7548C02B" w14:textId="77777777" w:rsidR="000D18D0" w:rsidRDefault="000D18D0" w:rsidP="00E52234">
      <w:pPr>
        <w:jc w:val="both"/>
      </w:pPr>
    </w:p>
    <w:p w14:paraId="5E37D08A" w14:textId="77777777" w:rsidR="000D18D0" w:rsidRDefault="000D18D0" w:rsidP="00E52234">
      <w:pPr>
        <w:jc w:val="both"/>
      </w:pPr>
    </w:p>
    <w:p w14:paraId="4F312F9B" w14:textId="77777777" w:rsidR="000D18D0" w:rsidRDefault="000D18D0" w:rsidP="00E52234">
      <w:pPr>
        <w:jc w:val="both"/>
      </w:pPr>
    </w:p>
    <w:p w14:paraId="606B2EFE" w14:textId="77777777" w:rsidR="000D18D0" w:rsidRDefault="000D18D0" w:rsidP="00E52234">
      <w:pPr>
        <w:jc w:val="both"/>
      </w:pPr>
    </w:p>
    <w:p w14:paraId="34D06E88" w14:textId="77777777" w:rsidR="000D18D0" w:rsidRDefault="000D18D0" w:rsidP="00E52234">
      <w:pPr>
        <w:jc w:val="both"/>
      </w:pPr>
    </w:p>
    <w:p w14:paraId="4FC70F8F" w14:textId="77777777" w:rsidR="000D18D0" w:rsidRDefault="000D18D0" w:rsidP="00E52234">
      <w:pPr>
        <w:jc w:val="both"/>
      </w:pPr>
    </w:p>
    <w:p w14:paraId="577569D4" w14:textId="5E6D12D2" w:rsidR="000D18D0" w:rsidRDefault="000D18D0" w:rsidP="00E52234">
      <w:pPr>
        <w:jc w:val="both"/>
      </w:pPr>
    </w:p>
    <w:p w14:paraId="1977E007" w14:textId="26DA28F0" w:rsidR="00427C17" w:rsidRDefault="00427C17" w:rsidP="00E52234">
      <w:pPr>
        <w:jc w:val="both"/>
      </w:pPr>
    </w:p>
    <w:p w14:paraId="1A61421A" w14:textId="20319ACA" w:rsidR="00427C17" w:rsidRDefault="00427C17" w:rsidP="00E52234">
      <w:pPr>
        <w:jc w:val="both"/>
      </w:pPr>
    </w:p>
    <w:p w14:paraId="2A0C0BD4" w14:textId="2B2E92B1" w:rsidR="00427C17" w:rsidRDefault="00427C17" w:rsidP="00E52234">
      <w:pPr>
        <w:jc w:val="both"/>
      </w:pPr>
    </w:p>
    <w:p w14:paraId="34BE5F80" w14:textId="06628B1E" w:rsidR="00427C17" w:rsidRDefault="00427C17" w:rsidP="00E52234">
      <w:pPr>
        <w:jc w:val="both"/>
      </w:pPr>
    </w:p>
    <w:p w14:paraId="6176A6B2" w14:textId="26D02AFD" w:rsidR="000D18D0" w:rsidRPr="00AA58E0" w:rsidRDefault="00A35C1D" w:rsidP="00B04D13">
      <w:pPr>
        <w:jc w:val="center"/>
        <w:rPr>
          <w:sz w:val="32"/>
          <w:szCs w:val="32"/>
        </w:rPr>
      </w:pPr>
      <w:r>
        <w:rPr>
          <w:sz w:val="32"/>
          <w:szCs w:val="32"/>
        </w:rPr>
        <w:t>Alternative</w:t>
      </w:r>
      <w:r w:rsidR="000D18D0" w:rsidRPr="00AA58E0">
        <w:rPr>
          <w:sz w:val="32"/>
          <w:szCs w:val="32"/>
        </w:rPr>
        <w:t xml:space="preserve"> </w:t>
      </w:r>
      <w:r w:rsidR="005801A5" w:rsidRPr="00AA58E0">
        <w:rPr>
          <w:sz w:val="32"/>
          <w:szCs w:val="32"/>
        </w:rPr>
        <w:t>R</w:t>
      </w:r>
      <w:r w:rsidR="000D18D0" w:rsidRPr="00AA58E0">
        <w:rPr>
          <w:sz w:val="32"/>
          <w:szCs w:val="32"/>
        </w:rPr>
        <w:t xml:space="preserve">eport </w:t>
      </w:r>
      <w:r w:rsidR="005801A5" w:rsidRPr="00AA58E0">
        <w:rPr>
          <w:sz w:val="32"/>
          <w:szCs w:val="32"/>
        </w:rPr>
        <w:t xml:space="preserve">on </w:t>
      </w:r>
      <w:r w:rsidR="000F6487">
        <w:rPr>
          <w:sz w:val="32"/>
          <w:szCs w:val="32"/>
        </w:rPr>
        <w:t>the State of Israel</w:t>
      </w:r>
      <w:r w:rsidR="005801A5" w:rsidRPr="00AA58E0">
        <w:rPr>
          <w:sz w:val="32"/>
          <w:szCs w:val="32"/>
        </w:rPr>
        <w:t xml:space="preserve"> </w:t>
      </w:r>
      <w:r w:rsidR="000D18D0" w:rsidRPr="00AA58E0">
        <w:rPr>
          <w:sz w:val="32"/>
          <w:szCs w:val="32"/>
        </w:rPr>
        <w:t>submitted by</w:t>
      </w:r>
    </w:p>
    <w:p w14:paraId="5214D348" w14:textId="09FCF40B" w:rsidR="000D18D0" w:rsidRPr="00A35C1D" w:rsidRDefault="000D18D0" w:rsidP="00B04D13">
      <w:pPr>
        <w:jc w:val="center"/>
        <w:rPr>
          <w:rFonts w:ascii="Century Gothic" w:hAnsi="Century Gothic"/>
          <w:b/>
          <w:bCs/>
          <w:color w:val="BE7500" w:themeColor="accent3" w:themeShade="BF"/>
          <w:sz w:val="36"/>
          <w:szCs w:val="36"/>
        </w:rPr>
      </w:pPr>
      <w:r w:rsidRPr="00A35C1D">
        <w:rPr>
          <w:rFonts w:ascii="Century Gothic" w:hAnsi="Century Gothic"/>
          <w:b/>
          <w:bCs/>
          <w:color w:val="BE7500" w:themeColor="accent3" w:themeShade="BF"/>
          <w:sz w:val="36"/>
          <w:szCs w:val="36"/>
        </w:rPr>
        <w:t xml:space="preserve">Geneva International Centre </w:t>
      </w:r>
      <w:r w:rsidRPr="00A35C1D">
        <w:rPr>
          <w:rFonts w:ascii="Viner Hand ITC" w:hAnsi="Viner Hand ITC"/>
          <w:color w:val="BE7500" w:themeColor="accent3" w:themeShade="BF"/>
          <w:sz w:val="36"/>
          <w:szCs w:val="36"/>
        </w:rPr>
        <w:t>for</w:t>
      </w:r>
      <w:r w:rsidRPr="00A35C1D">
        <w:rPr>
          <w:rFonts w:ascii="Century Gothic" w:hAnsi="Century Gothic"/>
          <w:b/>
          <w:bCs/>
          <w:color w:val="BE7500" w:themeColor="accent3" w:themeShade="BF"/>
          <w:sz w:val="36"/>
          <w:szCs w:val="36"/>
        </w:rPr>
        <w:t xml:space="preserve"> Justice</w:t>
      </w:r>
      <w:r w:rsidR="0079679F" w:rsidRPr="00A35C1D">
        <w:rPr>
          <w:rFonts w:ascii="Century Gothic" w:hAnsi="Century Gothic"/>
          <w:b/>
          <w:bCs/>
          <w:color w:val="BE7500" w:themeColor="accent3" w:themeShade="BF"/>
          <w:sz w:val="36"/>
          <w:szCs w:val="36"/>
        </w:rPr>
        <w:t xml:space="preserve"> (GICJ)</w:t>
      </w:r>
    </w:p>
    <w:p w14:paraId="3B97F22E" w14:textId="04EDD12C" w:rsidR="000D18D0" w:rsidRPr="00AA58E0" w:rsidRDefault="000D18D0" w:rsidP="00B04D13">
      <w:pPr>
        <w:jc w:val="center"/>
        <w:rPr>
          <w:sz w:val="32"/>
          <w:szCs w:val="32"/>
        </w:rPr>
      </w:pPr>
      <w:r w:rsidRPr="00AA58E0">
        <w:rPr>
          <w:sz w:val="32"/>
          <w:szCs w:val="32"/>
        </w:rPr>
        <w:t>to the</w:t>
      </w:r>
    </w:p>
    <w:p w14:paraId="664AD786" w14:textId="34F56606" w:rsidR="000D18D0" w:rsidRPr="00A35C1D" w:rsidRDefault="00B729F7" w:rsidP="00B04D13">
      <w:pPr>
        <w:jc w:val="center"/>
        <w:rPr>
          <w:b/>
          <w:bCs/>
          <w:color w:val="BE7500" w:themeColor="accent3" w:themeShade="BF"/>
          <w:sz w:val="36"/>
          <w:szCs w:val="36"/>
        </w:rPr>
      </w:pPr>
      <w:r w:rsidRPr="00A35C1D">
        <w:rPr>
          <w:b/>
          <w:bCs/>
          <w:color w:val="BE7500" w:themeColor="accent3" w:themeShade="BF"/>
          <w:sz w:val="36"/>
          <w:szCs w:val="36"/>
        </w:rPr>
        <w:t>Committee on the Elimination of Racial Discrimination</w:t>
      </w:r>
    </w:p>
    <w:p w14:paraId="1428C5B7" w14:textId="2041D800" w:rsidR="008F1B36" w:rsidRDefault="00B729F7" w:rsidP="00B04D13">
      <w:pPr>
        <w:jc w:val="center"/>
        <w:rPr>
          <w:sz w:val="32"/>
          <w:szCs w:val="32"/>
        </w:rPr>
      </w:pPr>
      <w:r>
        <w:rPr>
          <w:sz w:val="32"/>
          <w:szCs w:val="32"/>
        </w:rPr>
        <w:t>100</w:t>
      </w:r>
      <w:r w:rsidR="000D18D0" w:rsidRPr="00AA58E0">
        <w:rPr>
          <w:sz w:val="32"/>
          <w:szCs w:val="32"/>
          <w:vertAlign w:val="superscript"/>
        </w:rPr>
        <w:t>th</w:t>
      </w:r>
      <w:r w:rsidR="000D18D0" w:rsidRPr="00AA58E0">
        <w:rPr>
          <w:sz w:val="32"/>
          <w:szCs w:val="32"/>
        </w:rPr>
        <w:t xml:space="preserve"> Session</w:t>
      </w:r>
    </w:p>
    <w:p w14:paraId="3134F88C" w14:textId="20AA78CF" w:rsidR="0079679F" w:rsidRDefault="00B729F7" w:rsidP="00B04D13">
      <w:pPr>
        <w:jc w:val="center"/>
        <w:rPr>
          <w:sz w:val="32"/>
          <w:szCs w:val="32"/>
        </w:rPr>
      </w:pPr>
      <w:r>
        <w:rPr>
          <w:sz w:val="32"/>
          <w:szCs w:val="32"/>
        </w:rPr>
        <w:t xml:space="preserve">25 November </w:t>
      </w:r>
      <w:r w:rsidR="000F6487">
        <w:rPr>
          <w:sz w:val="32"/>
          <w:szCs w:val="32"/>
        </w:rPr>
        <w:t>– 1</w:t>
      </w:r>
      <w:r>
        <w:rPr>
          <w:sz w:val="32"/>
          <w:szCs w:val="32"/>
        </w:rPr>
        <w:t>3 December</w:t>
      </w:r>
      <w:r w:rsidR="004B6150">
        <w:rPr>
          <w:sz w:val="32"/>
          <w:szCs w:val="32"/>
        </w:rPr>
        <w:t xml:space="preserve"> 2019</w:t>
      </w:r>
    </w:p>
    <w:p w14:paraId="63950CE0" w14:textId="1B293BAE" w:rsidR="006F11B4" w:rsidRDefault="008E05F0" w:rsidP="00B04D13">
      <w:pPr>
        <w:jc w:val="center"/>
        <w:rPr>
          <w:color w:val="7B881D"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07CFFAB5" wp14:editId="48F94E95">
                <wp:simplePos x="0" y="0"/>
                <wp:positionH relativeFrom="margin">
                  <wp:align>center</wp:align>
                </wp:positionH>
                <wp:positionV relativeFrom="paragraph">
                  <wp:posOffset>1087120</wp:posOffset>
                </wp:positionV>
                <wp:extent cx="9413240" cy="3241675"/>
                <wp:effectExtent l="0" t="0" r="0" b="0"/>
                <wp:wrapNone/>
                <wp:docPr id="3" name="Rectangle 3"/>
                <wp:cNvGraphicFramePr/>
                <a:graphic xmlns:a="http://schemas.openxmlformats.org/drawingml/2006/main">
                  <a:graphicData uri="http://schemas.microsoft.com/office/word/2010/wordprocessingShape">
                    <wps:wsp>
                      <wps:cNvSpPr/>
                      <wps:spPr>
                        <a:xfrm>
                          <a:off x="0" y="0"/>
                          <a:ext cx="9413240" cy="3241675"/>
                        </a:xfrm>
                        <a:prstGeom prst="rect">
                          <a:avLst/>
                        </a:prstGeom>
                        <a:solidFill>
                          <a:srgbClr val="545454"/>
                        </a:solidFill>
                        <a:ln>
                          <a:noFill/>
                        </a:ln>
                      </wps:spPr>
                      <wps:style>
                        <a:lnRef idx="0">
                          <a:scrgbClr r="0" g="0" b="0"/>
                        </a:lnRef>
                        <a:fillRef idx="0">
                          <a:scrgbClr r="0" g="0" b="0"/>
                        </a:fillRef>
                        <a:effectRef idx="0">
                          <a:scrgbClr r="0" g="0" b="0"/>
                        </a:effectRef>
                        <a:fontRef idx="minor">
                          <a:schemeClr val="lt1"/>
                        </a:fontRef>
                      </wps:style>
                      <wps:txbx>
                        <w:txbxContent>
                          <w:p w14:paraId="22CA3AB8" w14:textId="4AD5E2BC" w:rsidR="0098306F" w:rsidRPr="008E05F0" w:rsidRDefault="0098306F" w:rsidP="005801A5">
                            <w:pPr>
                              <w:jc w:val="center"/>
                              <w:rPr>
                                <w:b/>
                                <w:bCs/>
                              </w:rPr>
                            </w:pPr>
                            <w:r w:rsidRPr="008E05F0">
                              <w:rPr>
                                <w:b/>
                                <w:bCs/>
                              </w:rPr>
                              <w:t xml:space="preserve">Geneva International Centre </w:t>
                            </w:r>
                            <w:r w:rsidRPr="00D218A9">
                              <w:rPr>
                                <w:rFonts w:ascii="Viner Hand ITC" w:hAnsi="Viner Hand ITC"/>
                                <w:b/>
                                <w:bCs/>
                              </w:rPr>
                              <w:t>for</w:t>
                            </w:r>
                            <w:r w:rsidRPr="008E05F0">
                              <w:rPr>
                                <w:b/>
                                <w:bCs/>
                              </w:rPr>
                              <w:t xml:space="preserve"> Justice (GICJ)</w:t>
                            </w:r>
                          </w:p>
                          <w:p w14:paraId="296BCF4E" w14:textId="4B5F5199" w:rsidR="0098306F" w:rsidRPr="00EB2267" w:rsidRDefault="0098306F" w:rsidP="005801A5">
                            <w:pPr>
                              <w:jc w:val="center"/>
                            </w:pPr>
                            <w:r w:rsidRPr="00EB2267">
                              <w:rPr>
                                <w:b/>
                                <w:bCs/>
                              </w:rPr>
                              <w:t>Tel</w:t>
                            </w:r>
                            <w:r w:rsidRPr="00EB2267">
                              <w:t>: +41 227881971</w:t>
                            </w:r>
                            <w:r w:rsidRPr="00EB2267">
                              <w:tab/>
                            </w:r>
                            <w:r w:rsidRPr="00EB2267">
                              <w:tab/>
                            </w:r>
                            <w:r w:rsidRPr="00EB2267">
                              <w:rPr>
                                <w:b/>
                                <w:bCs/>
                              </w:rPr>
                              <w:t>Email</w:t>
                            </w:r>
                            <w:r w:rsidRPr="00EB2267">
                              <w:t>: info@gicj.org</w:t>
                            </w:r>
                          </w:p>
                          <w:p w14:paraId="1077F59B" w14:textId="7D763D70" w:rsidR="0098306F" w:rsidRDefault="0098306F" w:rsidP="005801A5">
                            <w:pPr>
                              <w:jc w:val="center"/>
                            </w:pPr>
                            <w:r w:rsidRPr="005801A5">
                              <w:rPr>
                                <w:b/>
                                <w:bCs/>
                              </w:rPr>
                              <w:t>Postal address</w:t>
                            </w:r>
                            <w:r w:rsidRPr="005801A5">
                              <w:t>: P.O. Box GICJ 598, Vernier, CH 1214 Geneva, Switzerland</w:t>
                            </w:r>
                          </w:p>
                          <w:p w14:paraId="3C1FDD83" w14:textId="72302183" w:rsidR="0098306F" w:rsidRPr="005801A5" w:rsidRDefault="0098306F" w:rsidP="005801A5">
                            <w:pPr>
                              <w:jc w:val="center"/>
                            </w:pPr>
                            <w:r w:rsidRPr="005801A5">
                              <w:rPr>
                                <w:b/>
                                <w:bCs/>
                              </w:rPr>
                              <w:t>Office</w:t>
                            </w:r>
                            <w:r w:rsidRPr="005801A5">
                              <w:t>: 150 Route de Ferney, CH 1211 Genev</w:t>
                            </w:r>
                            <w:r>
                              <w:t>a, Switzerland</w:t>
                            </w:r>
                          </w:p>
                          <w:p w14:paraId="1F8C6335" w14:textId="1DD744E2" w:rsidR="0098306F" w:rsidRPr="00A87CBB" w:rsidRDefault="00C64B33" w:rsidP="005801A5">
                            <w:pPr>
                              <w:jc w:val="center"/>
                              <w:rPr>
                                <w:b/>
                                <w:bCs/>
                                <w:color w:val="FFFFFF" w:themeColor="background1"/>
                                <w:lang w:val="fr-FR"/>
                              </w:rPr>
                            </w:pPr>
                            <w:hyperlink r:id="rId9" w:history="1">
                              <w:r w:rsidR="0098306F" w:rsidRPr="00A87CBB">
                                <w:rPr>
                                  <w:rStyle w:val="Hyperlink"/>
                                  <w:b/>
                                  <w:bCs/>
                                  <w:color w:val="FFFFFF" w:themeColor="background1"/>
                                  <w:u w:val="none"/>
                                  <w:lang w:val="fr-FR"/>
                                </w:rPr>
                                <w:t>www.gicj.org</w:t>
                              </w:r>
                            </w:hyperlink>
                          </w:p>
                          <w:p w14:paraId="52F5C798" w14:textId="77777777" w:rsidR="0098306F" w:rsidRPr="00AA58E0" w:rsidRDefault="0098306F" w:rsidP="005801A5">
                            <w:pPr>
                              <w:jc w:val="center"/>
                              <w:rPr>
                                <w:b/>
                                <w:bCs/>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CFFAB5" id="Rectangle 3" o:spid="_x0000_s1027" style="position:absolute;left:0;text-align:left;margin-left:0;margin-top:85.6pt;width:741.2pt;height:255.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" fillcolor="#545454" stroked="f">
                <v:textbox>
                  <w:txbxContent>
                    <w:p w14:paraId="22CA3AB8" w14:textId="4AD5E2BC" w:rsidR="0098306F" w:rsidRPr="008E05F0" w:rsidRDefault="0098306F" w:rsidP="005801A5">
                      <w:pPr>
                        <w:jc w:val="center"/>
                        <w:rPr>
                          <w:b/>
                          <w:bCs/>
                        </w:rPr>
                      </w:pPr>
                      <w:r w:rsidRPr="008E05F0">
                        <w:rPr>
                          <w:b/>
                          <w:bCs/>
                        </w:rPr>
                        <w:t xml:space="preserve">Geneva International Centre </w:t>
                      </w:r>
                      <w:r w:rsidRPr="00D218A9">
                        <w:rPr>
                          <w:rFonts w:ascii="Viner Hand ITC" w:hAnsi="Viner Hand ITC"/>
                          <w:b/>
                          <w:bCs/>
                        </w:rPr>
                        <w:t>for</w:t>
                      </w:r>
                      <w:r w:rsidRPr="008E05F0">
                        <w:rPr>
                          <w:b/>
                          <w:bCs/>
                        </w:rPr>
                        <w:t xml:space="preserve"> Justice (GICJ)</w:t>
                      </w:r>
                    </w:p>
                    <w:p w14:paraId="296BCF4E" w14:textId="4B5F5199" w:rsidR="0098306F" w:rsidRPr="00EB2267" w:rsidRDefault="0098306F" w:rsidP="005801A5">
                      <w:pPr>
                        <w:jc w:val="center"/>
                      </w:pPr>
                      <w:r w:rsidRPr="00EB2267">
                        <w:rPr>
                          <w:b/>
                          <w:bCs/>
                        </w:rPr>
                        <w:t>Tel</w:t>
                      </w:r>
                      <w:r w:rsidRPr="00EB2267">
                        <w:t>: +41 227881971</w:t>
                      </w:r>
                      <w:r w:rsidRPr="00EB2267">
                        <w:tab/>
                      </w:r>
                      <w:r w:rsidRPr="00EB2267">
                        <w:tab/>
                      </w:r>
                      <w:r w:rsidRPr="00EB2267">
                        <w:rPr>
                          <w:b/>
                          <w:bCs/>
                        </w:rPr>
                        <w:t>Email</w:t>
                      </w:r>
                      <w:r w:rsidRPr="00EB2267">
                        <w:t>: info@gicj.org</w:t>
                      </w:r>
                    </w:p>
                    <w:p w14:paraId="1077F59B" w14:textId="7D763D70" w:rsidR="0098306F" w:rsidRDefault="0098306F" w:rsidP="005801A5">
                      <w:pPr>
                        <w:jc w:val="center"/>
                      </w:pPr>
                      <w:r w:rsidRPr="005801A5">
                        <w:rPr>
                          <w:b/>
                          <w:bCs/>
                        </w:rPr>
                        <w:t>Postal address</w:t>
                      </w:r>
                      <w:r w:rsidRPr="005801A5">
                        <w:t>: P.O. Box GICJ 598, Vernier, CH 1214 Geneva, Switzerland</w:t>
                      </w:r>
                    </w:p>
                    <w:p w14:paraId="3C1FDD83" w14:textId="72302183" w:rsidR="0098306F" w:rsidRPr="005801A5" w:rsidRDefault="0098306F" w:rsidP="005801A5">
                      <w:pPr>
                        <w:jc w:val="center"/>
                      </w:pPr>
                      <w:r w:rsidRPr="005801A5">
                        <w:rPr>
                          <w:b/>
                          <w:bCs/>
                        </w:rPr>
                        <w:t>Office</w:t>
                      </w:r>
                      <w:r w:rsidRPr="005801A5">
                        <w:t>: 150 Route de Ferney, CH 1211 Genev</w:t>
                      </w:r>
                      <w:r>
                        <w:t>a, Switzerland</w:t>
                      </w:r>
                    </w:p>
                    <w:p w14:paraId="1F8C6335" w14:textId="1DD744E2" w:rsidR="0098306F" w:rsidRPr="00A87CBB" w:rsidRDefault="005148C4" w:rsidP="005801A5">
                      <w:pPr>
                        <w:jc w:val="center"/>
                        <w:rPr>
                          <w:b/>
                          <w:bCs/>
                          <w:color w:val="FFFFFF" w:themeColor="background1"/>
                          <w:lang w:val="fr-FR"/>
                        </w:rPr>
                      </w:pPr>
                      <w:hyperlink r:id="rId10" w:history="1">
                        <w:r w:rsidR="0098306F" w:rsidRPr="00A87CBB">
                          <w:rPr>
                            <w:rStyle w:val="Hyperlink"/>
                            <w:b/>
                            <w:bCs/>
                            <w:color w:val="FFFFFF" w:themeColor="background1"/>
                            <w:u w:val="none"/>
                            <w:lang w:val="fr-FR"/>
                          </w:rPr>
                          <w:t>www.gicj.org</w:t>
                        </w:r>
                      </w:hyperlink>
                    </w:p>
                    <w:p w14:paraId="52F5C798" w14:textId="77777777" w:rsidR="0098306F" w:rsidRPr="00AA58E0" w:rsidRDefault="0098306F" w:rsidP="005801A5">
                      <w:pPr>
                        <w:jc w:val="center"/>
                        <w:rPr>
                          <w:b/>
                          <w:bCs/>
                          <w:lang w:val="fr-FR"/>
                        </w:rPr>
                      </w:pPr>
                    </w:p>
                  </w:txbxContent>
                </v:textbox>
                <w10:wrap anchorx="margin"/>
              </v:rect>
            </w:pict>
          </mc:Fallback>
        </mc:AlternateContent>
      </w:r>
      <w:r w:rsidR="0079679F" w:rsidRPr="0079679F">
        <w:rPr>
          <w:sz w:val="32"/>
          <w:szCs w:val="32"/>
        </w:rPr>
        <w:t>Geneva, Switzerland</w:t>
      </w:r>
      <w:r w:rsidR="008159BD">
        <w:br w:type="page"/>
      </w:r>
    </w:p>
    <w:p w14:paraId="67D08C50" w14:textId="18F21DFE" w:rsidR="00B365AC" w:rsidRDefault="00717A32" w:rsidP="00E52234">
      <w:pPr>
        <w:jc w:val="both"/>
        <w:rPr>
          <w:color w:val="7B881D" w:themeColor="accent1" w:themeShade="BF"/>
          <w:sz w:val="32"/>
          <w:szCs w:val="32"/>
        </w:rPr>
      </w:pPr>
      <w:r>
        <w:rPr>
          <w:noProof/>
        </w:rPr>
        <w:lastRenderedPageBreak/>
        <mc:AlternateContent>
          <mc:Choice Requires="wps">
            <w:drawing>
              <wp:anchor distT="0" distB="0" distL="114300" distR="114300" simplePos="0" relativeHeight="251682816" behindDoc="0" locked="0" layoutInCell="1" allowOverlap="1" wp14:anchorId="1B7561E2" wp14:editId="26C691F4">
                <wp:simplePos x="0" y="0"/>
                <wp:positionH relativeFrom="page">
                  <wp:posOffset>-330390</wp:posOffset>
                </wp:positionH>
                <wp:positionV relativeFrom="paragraph">
                  <wp:posOffset>-881380</wp:posOffset>
                </wp:positionV>
                <wp:extent cx="8572500" cy="813463"/>
                <wp:effectExtent l="38100" t="19050" r="57150" b="100965"/>
                <wp:wrapNone/>
                <wp:docPr id="4" name="Rectangle 4"/>
                <wp:cNvGraphicFramePr/>
                <a:graphic xmlns:a="http://schemas.openxmlformats.org/drawingml/2006/main">
                  <a:graphicData uri="http://schemas.microsoft.com/office/word/2010/wordprocessingShape">
                    <wps:wsp>
                      <wps:cNvSpPr/>
                      <wps:spPr>
                        <a:xfrm>
                          <a:off x="0" y="0"/>
                          <a:ext cx="8572500" cy="813463"/>
                        </a:xfrm>
                        <a:prstGeom prst="rect">
                          <a:avLst/>
                        </a:prstGeom>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B94CD7" id="Rectangle 4" o:spid="_x0000_s1026" style="position:absolute;margin-left:-26pt;margin-top:-69.4pt;width:675pt;height:64.0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" fillcolor="#818183 [3209]" strokecolor="#818183 [3209]" strokeweight=".27778mm">
                <v:fill color2="#676768 [2569]" rotate="t" focusposition="1,1" focussize="-1,-1" colors="0 #818183;58982f #818183;1 #747476" focus="100%" type="gradientRadial"/>
                <v:shadow on="t" color="black" opacity="29491f" origin=",.5" offset="0"/>
                <w10:wrap anchorx="page"/>
              </v:rect>
            </w:pict>
          </mc:Fallback>
        </mc:AlternateContent>
      </w:r>
    </w:p>
    <w:p w14:paraId="69EB37CA" w14:textId="77777777" w:rsidR="00B365AC" w:rsidRDefault="00B365AC" w:rsidP="00E52234">
      <w:pPr>
        <w:jc w:val="both"/>
        <w:rPr>
          <w:color w:val="7B881D" w:themeColor="accent1" w:themeShade="BF"/>
          <w:sz w:val="32"/>
          <w:szCs w:val="32"/>
        </w:rPr>
      </w:pPr>
    </w:p>
    <w:p w14:paraId="5A0E4CAF" w14:textId="30D8A71B" w:rsidR="00B365AC" w:rsidRDefault="00B365AC" w:rsidP="00E52234">
      <w:pPr>
        <w:jc w:val="both"/>
        <w:rPr>
          <w:color w:val="7B881D" w:themeColor="accent1" w:themeShade="BF"/>
          <w:sz w:val="32"/>
          <w:szCs w:val="32"/>
        </w:rPr>
      </w:pPr>
    </w:p>
    <w:p w14:paraId="028F8E41" w14:textId="77777777" w:rsidR="00717A32" w:rsidRDefault="00717A32" w:rsidP="00E52234">
      <w:pPr>
        <w:jc w:val="both"/>
        <w:rPr>
          <w:color w:val="7B881D" w:themeColor="accent1" w:themeShade="BF"/>
          <w:sz w:val="32"/>
          <w:szCs w:val="32"/>
        </w:rPr>
      </w:pPr>
    </w:p>
    <w:p w14:paraId="4F97362E" w14:textId="77777777" w:rsidR="00717A32" w:rsidRDefault="00717A32" w:rsidP="00E52234">
      <w:pPr>
        <w:jc w:val="both"/>
        <w:rPr>
          <w:color w:val="7B881D" w:themeColor="accent1" w:themeShade="BF"/>
          <w:sz w:val="32"/>
          <w:szCs w:val="32"/>
        </w:rPr>
      </w:pPr>
    </w:p>
    <w:p w14:paraId="3F72E4C8" w14:textId="3386A5E6" w:rsidR="00B365AC" w:rsidRDefault="00B365AC" w:rsidP="00E52234">
      <w:pPr>
        <w:jc w:val="both"/>
        <w:rPr>
          <w:color w:val="7B881D" w:themeColor="accent1" w:themeShade="BF"/>
          <w:sz w:val="32"/>
          <w:szCs w:val="32"/>
        </w:rPr>
      </w:pPr>
      <w:r>
        <w:rPr>
          <w:noProof/>
          <w:color w:val="7B881D" w:themeColor="accent1" w:themeShade="BF"/>
          <w:sz w:val="32"/>
          <w:szCs w:val="32"/>
        </w:rPr>
        <mc:AlternateContent>
          <mc:Choice Requires="wps">
            <w:drawing>
              <wp:anchor distT="0" distB="0" distL="114300" distR="114300" simplePos="0" relativeHeight="251670528" behindDoc="0" locked="0" layoutInCell="1" allowOverlap="1" wp14:anchorId="131EDA37" wp14:editId="595E987C">
                <wp:simplePos x="0" y="0"/>
                <wp:positionH relativeFrom="page">
                  <wp:align>center</wp:align>
                </wp:positionH>
                <wp:positionV relativeFrom="page">
                  <wp:posOffset>2816841</wp:posOffset>
                </wp:positionV>
                <wp:extent cx="4017600" cy="3762000"/>
                <wp:effectExtent l="38100" t="19050" r="59690" b="86360"/>
                <wp:wrapNone/>
                <wp:docPr id="9" name="Oval 9"/>
                <wp:cNvGraphicFramePr/>
                <a:graphic xmlns:a="http://schemas.openxmlformats.org/drawingml/2006/main">
                  <a:graphicData uri="http://schemas.microsoft.com/office/word/2010/wordprocessingShape">
                    <wps:wsp>
                      <wps:cNvSpPr/>
                      <wps:spPr>
                        <a:xfrm>
                          <a:off x="0" y="0"/>
                          <a:ext cx="4017600" cy="3762000"/>
                        </a:xfrm>
                        <a:prstGeom prst="ellipse">
                          <a:avLst/>
                        </a:prstGeom>
                        <a:ln/>
                      </wps:spPr>
                      <wps:style>
                        <a:lnRef idx="1">
                          <a:schemeClr val="accent3"/>
                        </a:lnRef>
                        <a:fillRef idx="3">
                          <a:schemeClr val="accent3"/>
                        </a:fillRef>
                        <a:effectRef idx="2">
                          <a:schemeClr val="accent3"/>
                        </a:effectRef>
                        <a:fontRef idx="minor">
                          <a:schemeClr val="lt1"/>
                        </a:fontRef>
                      </wps:style>
                      <wps:txbx>
                        <w:txbxContent>
                          <w:p w14:paraId="7221C6E6" w14:textId="77777777" w:rsidR="0098306F" w:rsidRPr="005731F3" w:rsidRDefault="0098306F" w:rsidP="00B365AC">
                            <w:pPr>
                              <w:ind w:right="26"/>
                              <w:jc w:val="center"/>
                              <w:rPr>
                                <w:rFonts w:asciiTheme="majorBidi" w:hAnsiTheme="majorBidi" w:cstheme="majorBidi"/>
                                <w:color w:val="FFFFFF" w:themeColor="background1"/>
                                <w14:textOutline w14:w="9525" w14:cap="rnd" w14:cmpd="sng" w14:algn="ctr">
                                  <w14:noFill/>
                                  <w14:prstDash w14:val="solid"/>
                                  <w14:bevel/>
                                </w14:textOutline>
                              </w:rPr>
                            </w:pPr>
                          </w:p>
                          <w:p w14:paraId="14D853DA" w14:textId="4605FB92" w:rsidR="0098306F" w:rsidRPr="003571D6" w:rsidRDefault="0098306F" w:rsidP="00B365AC">
                            <w:pPr>
                              <w:ind w:right="26"/>
                              <w:jc w:val="center"/>
                              <w:rPr>
                                <w:rFonts w:asciiTheme="majorBidi" w:hAnsiTheme="majorBidi" w:cstheme="majorBidi"/>
                                <w:color w:val="2B2924" w:themeColor="text2" w:themeShade="80"/>
                                <w:sz w:val="24"/>
                                <w:szCs w:val="24"/>
                                <w14:textOutline w14:w="9525" w14:cap="rnd" w14:cmpd="sng" w14:algn="ctr">
                                  <w14:noFill/>
                                  <w14:prstDash w14:val="solid"/>
                                  <w14:bevel/>
                                </w14:textOutline>
                              </w:rPr>
                            </w:pP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This document is submitted by Geneva International Centre for Justice (GICJ)</w:t>
                            </w:r>
                            <w:r w:rsidR="005731F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 </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as an alternative report for consideration by </w:t>
                            </w:r>
                            <w:r w:rsidR="004C748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the</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 Committee </w:t>
                            </w:r>
                            <w:r w:rsidR="004C748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on </w:t>
                            </w:r>
                            <w:r w:rsidR="00A35C1D">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the Elimination of Racial Discrimination </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during its review of the State Party Report of </w:t>
                            </w:r>
                            <w:r w:rsidR="004C748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the State of Israel</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w:t>
                            </w:r>
                          </w:p>
                          <w:p w14:paraId="4A15940F" w14:textId="62051CEB" w:rsidR="0098306F" w:rsidRPr="003571D6" w:rsidRDefault="00A35C1D" w:rsidP="00B365AC">
                            <w:pPr>
                              <w:ind w:right="26"/>
                              <w:jc w:val="center"/>
                              <w:rPr>
                                <w:rFonts w:asciiTheme="majorBidi" w:hAnsiTheme="majorBidi" w:cstheme="majorBidi"/>
                                <w:color w:val="2B2924" w:themeColor="text2" w:themeShade="80"/>
                                <w:sz w:val="24"/>
                                <w:szCs w:val="24"/>
                                <w14:textOutline w14:w="9525" w14:cap="rnd" w14:cmpd="sng" w14:algn="ctr">
                                  <w14:noFill/>
                                  <w14:prstDash w14:val="solid"/>
                                  <w14:bevel/>
                                </w14:textOutline>
                              </w:rPr>
                            </w:pPr>
                            <w:r>
                              <w:rPr>
                                <w:rFonts w:asciiTheme="majorBidi" w:hAnsiTheme="majorBidi" w:cstheme="majorBidi"/>
                                <w:color w:val="2B2924" w:themeColor="text2" w:themeShade="80"/>
                                <w:sz w:val="24"/>
                                <w:szCs w:val="24"/>
                                <w14:textOutline w14:w="9525" w14:cap="rnd" w14:cmpd="sng" w14:algn="ctr">
                                  <w14:noFill/>
                                  <w14:prstDash w14:val="solid"/>
                                  <w14:bevel/>
                                </w14:textOutline>
                              </w:rPr>
                              <w:t>October</w:t>
                            </w:r>
                            <w:r w:rsidR="0098306F"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 2019</w:t>
                            </w:r>
                          </w:p>
                          <w:p w14:paraId="670A7682" w14:textId="77777777" w:rsidR="0098306F" w:rsidRPr="005731F3" w:rsidRDefault="0098306F" w:rsidP="00B365AC">
                            <w:pPr>
                              <w:ind w:right="26"/>
                              <w:jc w:val="center"/>
                              <w:rPr>
                                <w:color w:val="FFFFFF" w:themeColor="background1"/>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1EDA37" id="Oval 9" o:spid="_x0000_s1028" style="position:absolute;left:0;text-align:left;margin-left:0;margin-top:221.8pt;width:316.35pt;height:296.2pt;z-index:251670528;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" fillcolor="#fe9e00 [3206]" strokecolor="#fe9e00 [3206]" strokeweight=".27778mm">
                <v:fill color2="#cb7d00 [2566]" rotate="t" focusposition="1,1" focussize="-1,-1" colors="0 #fe9e00;58982f #ffa000;1 #fd9400" focus="100%" type="gradientRadial"/>
                <v:shadow on="t" color="black" opacity="29491f" origin=",.5" offset="0"/>
                <v:textbox>
                  <w:txbxContent>
                    <w:p w14:paraId="7221C6E6" w14:textId="77777777" w:rsidR="0098306F" w:rsidRPr="005731F3" w:rsidRDefault="0098306F" w:rsidP="00B365AC">
                      <w:pPr>
                        <w:ind w:right="26"/>
                        <w:jc w:val="center"/>
                        <w:rPr>
                          <w:rFonts w:asciiTheme="majorBidi" w:hAnsiTheme="majorBidi" w:cstheme="majorBidi"/>
                          <w:color w:val="FFFFFF" w:themeColor="background1"/>
                          <w14:textOutline w14:w="9525" w14:cap="rnd" w14:cmpd="sng" w14:algn="ctr">
                            <w14:noFill/>
                            <w14:prstDash w14:val="solid"/>
                            <w14:bevel/>
                          </w14:textOutline>
                        </w:rPr>
                      </w:pPr>
                    </w:p>
                    <w:p w14:paraId="14D853DA" w14:textId="4605FB92" w:rsidR="0098306F" w:rsidRPr="003571D6" w:rsidRDefault="0098306F" w:rsidP="00B365AC">
                      <w:pPr>
                        <w:ind w:right="26"/>
                        <w:jc w:val="center"/>
                        <w:rPr>
                          <w:rFonts w:asciiTheme="majorBidi" w:hAnsiTheme="majorBidi" w:cstheme="majorBidi"/>
                          <w:color w:val="2B2924" w:themeColor="text2" w:themeShade="80"/>
                          <w:sz w:val="24"/>
                          <w:szCs w:val="24"/>
                          <w14:textOutline w14:w="9525" w14:cap="rnd" w14:cmpd="sng" w14:algn="ctr">
                            <w14:noFill/>
                            <w14:prstDash w14:val="solid"/>
                            <w14:bevel/>
                          </w14:textOutline>
                        </w:rPr>
                      </w:pP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This document is submitted by Geneva International Centre for Justice (GICJ)</w:t>
                      </w:r>
                      <w:r w:rsidR="005731F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 </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as an alternative report for consideration by </w:t>
                      </w:r>
                      <w:r w:rsidR="004C748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the</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 Committee </w:t>
                      </w:r>
                      <w:r w:rsidR="004C748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on </w:t>
                      </w:r>
                      <w:r w:rsidR="00A35C1D">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the Elimination of Racial Discrimination </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during its review of the State Party Report of </w:t>
                      </w:r>
                      <w:r w:rsidR="004C7483"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the State of Israel</w:t>
                      </w:r>
                      <w:r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w:t>
                      </w:r>
                    </w:p>
                    <w:p w14:paraId="4A15940F" w14:textId="62051CEB" w:rsidR="0098306F" w:rsidRPr="003571D6" w:rsidRDefault="00A35C1D" w:rsidP="00B365AC">
                      <w:pPr>
                        <w:ind w:right="26"/>
                        <w:jc w:val="center"/>
                        <w:rPr>
                          <w:rFonts w:asciiTheme="majorBidi" w:hAnsiTheme="majorBidi" w:cstheme="majorBidi"/>
                          <w:color w:val="2B2924" w:themeColor="text2" w:themeShade="80"/>
                          <w:sz w:val="24"/>
                          <w:szCs w:val="24"/>
                          <w14:textOutline w14:w="9525" w14:cap="rnd" w14:cmpd="sng" w14:algn="ctr">
                            <w14:noFill/>
                            <w14:prstDash w14:val="solid"/>
                            <w14:bevel/>
                          </w14:textOutline>
                        </w:rPr>
                      </w:pPr>
                      <w:r>
                        <w:rPr>
                          <w:rFonts w:asciiTheme="majorBidi" w:hAnsiTheme="majorBidi" w:cstheme="majorBidi"/>
                          <w:color w:val="2B2924" w:themeColor="text2" w:themeShade="80"/>
                          <w:sz w:val="24"/>
                          <w:szCs w:val="24"/>
                          <w14:textOutline w14:w="9525" w14:cap="rnd" w14:cmpd="sng" w14:algn="ctr">
                            <w14:noFill/>
                            <w14:prstDash w14:val="solid"/>
                            <w14:bevel/>
                          </w14:textOutline>
                        </w:rPr>
                        <w:t>October</w:t>
                      </w:r>
                      <w:r w:rsidR="0098306F" w:rsidRPr="003571D6">
                        <w:rPr>
                          <w:rFonts w:asciiTheme="majorBidi" w:hAnsiTheme="majorBidi" w:cstheme="majorBidi"/>
                          <w:color w:val="2B2924" w:themeColor="text2" w:themeShade="80"/>
                          <w:sz w:val="24"/>
                          <w:szCs w:val="24"/>
                          <w14:textOutline w14:w="9525" w14:cap="rnd" w14:cmpd="sng" w14:algn="ctr">
                            <w14:noFill/>
                            <w14:prstDash w14:val="solid"/>
                            <w14:bevel/>
                          </w14:textOutline>
                        </w:rPr>
                        <w:t xml:space="preserve"> 2019</w:t>
                      </w:r>
                    </w:p>
                    <w:p w14:paraId="670A7682" w14:textId="77777777" w:rsidR="0098306F" w:rsidRPr="005731F3" w:rsidRDefault="0098306F" w:rsidP="00B365AC">
                      <w:pPr>
                        <w:ind w:right="26"/>
                        <w:jc w:val="center"/>
                        <w:rPr>
                          <w:color w:val="FFFFFF" w:themeColor="background1"/>
                          <w14:textOutline w14:w="9525" w14:cap="rnd" w14:cmpd="sng" w14:algn="ctr">
                            <w14:noFill/>
                            <w14:prstDash w14:val="solid"/>
                            <w14:bevel/>
                          </w14:textOutline>
                        </w:rPr>
                      </w:pPr>
                    </w:p>
                  </w:txbxContent>
                </v:textbox>
                <w10:wrap anchorx="page" anchory="page"/>
              </v:oval>
            </w:pict>
          </mc:Fallback>
        </mc:AlternateContent>
      </w:r>
    </w:p>
    <w:p w14:paraId="1104CE9C" w14:textId="77777777" w:rsidR="00B365AC" w:rsidRDefault="00B365AC" w:rsidP="00E52234">
      <w:pPr>
        <w:jc w:val="both"/>
        <w:rPr>
          <w:color w:val="7B881D" w:themeColor="accent1" w:themeShade="BF"/>
          <w:sz w:val="32"/>
          <w:szCs w:val="32"/>
        </w:rPr>
      </w:pPr>
    </w:p>
    <w:p w14:paraId="6E3DB740" w14:textId="77777777" w:rsidR="00B365AC" w:rsidRDefault="00B365AC" w:rsidP="00E52234">
      <w:pPr>
        <w:jc w:val="both"/>
        <w:rPr>
          <w:color w:val="7B881D" w:themeColor="accent1" w:themeShade="BF"/>
          <w:sz w:val="32"/>
          <w:szCs w:val="32"/>
        </w:rPr>
      </w:pPr>
    </w:p>
    <w:p w14:paraId="6F8A0042" w14:textId="77777777" w:rsidR="00B365AC" w:rsidRDefault="00B365AC" w:rsidP="00E52234">
      <w:pPr>
        <w:jc w:val="both"/>
        <w:rPr>
          <w:color w:val="7B881D" w:themeColor="accent1" w:themeShade="BF"/>
          <w:sz w:val="32"/>
          <w:szCs w:val="32"/>
        </w:rPr>
      </w:pPr>
    </w:p>
    <w:p w14:paraId="4BCD7EF2" w14:textId="77777777" w:rsidR="00B365AC" w:rsidRDefault="00B365AC" w:rsidP="00E52234">
      <w:pPr>
        <w:jc w:val="both"/>
        <w:rPr>
          <w:color w:val="7B881D" w:themeColor="accent1" w:themeShade="BF"/>
          <w:sz w:val="32"/>
          <w:szCs w:val="32"/>
        </w:rPr>
      </w:pPr>
    </w:p>
    <w:p w14:paraId="0311D043" w14:textId="77777777" w:rsidR="00B365AC" w:rsidRDefault="00B365AC" w:rsidP="00E52234">
      <w:pPr>
        <w:jc w:val="both"/>
        <w:rPr>
          <w:color w:val="7B881D" w:themeColor="accent1" w:themeShade="BF"/>
          <w:sz w:val="32"/>
          <w:szCs w:val="32"/>
        </w:rPr>
      </w:pPr>
    </w:p>
    <w:p w14:paraId="13596D79" w14:textId="77777777" w:rsidR="00B365AC" w:rsidRDefault="00B365AC" w:rsidP="00E52234">
      <w:pPr>
        <w:jc w:val="both"/>
        <w:rPr>
          <w:color w:val="7B881D" w:themeColor="accent1" w:themeShade="BF"/>
          <w:sz w:val="32"/>
          <w:szCs w:val="32"/>
        </w:rPr>
      </w:pPr>
    </w:p>
    <w:p w14:paraId="12BB28B5" w14:textId="77777777" w:rsidR="00B365AC" w:rsidRDefault="00B365AC" w:rsidP="00E52234">
      <w:pPr>
        <w:jc w:val="both"/>
        <w:rPr>
          <w:color w:val="7B881D" w:themeColor="accent1" w:themeShade="BF"/>
          <w:sz w:val="32"/>
          <w:szCs w:val="32"/>
        </w:rPr>
      </w:pPr>
    </w:p>
    <w:p w14:paraId="1ADB3DCC" w14:textId="77777777" w:rsidR="00B365AC" w:rsidRDefault="00B365AC" w:rsidP="00E52234">
      <w:pPr>
        <w:jc w:val="both"/>
        <w:rPr>
          <w:color w:val="7B881D" w:themeColor="accent1" w:themeShade="BF"/>
          <w:sz w:val="32"/>
          <w:szCs w:val="32"/>
        </w:rPr>
      </w:pPr>
    </w:p>
    <w:p w14:paraId="5F6152D4" w14:textId="77777777" w:rsidR="00B365AC" w:rsidRDefault="00B365AC" w:rsidP="00E52234">
      <w:pPr>
        <w:jc w:val="both"/>
        <w:rPr>
          <w:color w:val="7B881D" w:themeColor="accent1" w:themeShade="BF"/>
          <w:sz w:val="32"/>
          <w:szCs w:val="32"/>
        </w:rPr>
      </w:pPr>
    </w:p>
    <w:p w14:paraId="5FA23BB6" w14:textId="0947E699" w:rsidR="00776F4C" w:rsidRPr="004C7483" w:rsidRDefault="00B67910" w:rsidP="00E52234">
      <w:pPr>
        <w:jc w:val="both"/>
        <w:rPr>
          <w:color w:val="7B881D" w:themeColor="accent1" w:themeShade="BF"/>
          <w:sz w:val="32"/>
          <w:szCs w:val="32"/>
        </w:rPr>
      </w:pPr>
      <w:r>
        <w:rPr>
          <w:noProof/>
        </w:rPr>
        <mc:AlternateContent>
          <mc:Choice Requires="wps">
            <w:drawing>
              <wp:anchor distT="0" distB="0" distL="114300" distR="114300" simplePos="0" relativeHeight="251675648" behindDoc="0" locked="0" layoutInCell="1" allowOverlap="1" wp14:anchorId="18C5764F" wp14:editId="6E23252A">
                <wp:simplePos x="0" y="0"/>
                <wp:positionH relativeFrom="page">
                  <wp:posOffset>-739822</wp:posOffset>
                </wp:positionH>
                <wp:positionV relativeFrom="paragraph">
                  <wp:posOffset>3345910</wp:posOffset>
                </wp:positionV>
                <wp:extent cx="8572500" cy="1395711"/>
                <wp:effectExtent l="38100" t="19050" r="57150" b="90805"/>
                <wp:wrapNone/>
                <wp:docPr id="14" name="Rectangle 14"/>
                <wp:cNvGraphicFramePr/>
                <a:graphic xmlns:a="http://schemas.openxmlformats.org/drawingml/2006/main">
                  <a:graphicData uri="http://schemas.microsoft.com/office/word/2010/wordprocessingShape">
                    <wps:wsp>
                      <wps:cNvSpPr/>
                      <wps:spPr>
                        <a:xfrm>
                          <a:off x="0" y="0"/>
                          <a:ext cx="8572500" cy="1395711"/>
                        </a:xfrm>
                        <a:prstGeom prst="rect">
                          <a:avLst/>
                        </a:prstGeom>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063C90" id="Rectangle 14" o:spid="_x0000_s1026" style="position:absolute;margin-left:-58.25pt;margin-top:263.45pt;width:675pt;height:109.9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" fillcolor="#818183 [3209]" strokecolor="#818183 [3209]" strokeweight=".27778mm">
                <v:fill color2="#676768 [2569]" rotate="t" focusposition="1,1" focussize="-1,-1" colors="0 #818183;58982f #818183;1 #747476" focus="100%" type="gradientRadial"/>
                <v:shadow on="t" color="black" opacity="29491f" origin=",.5" offset="0"/>
                <w10:wrap anchorx="page"/>
              </v:rect>
            </w:pict>
          </mc:Fallback>
        </mc:AlternateContent>
      </w:r>
      <w:r w:rsidR="00B365AC">
        <w:rPr>
          <w:color w:val="7B881D" w:themeColor="accent1" w:themeShade="BF"/>
          <w:sz w:val="32"/>
          <w:szCs w:val="32"/>
        </w:rPr>
        <w:br w:type="page"/>
      </w:r>
    </w:p>
    <w:bookmarkStart w:id="0" w:name="_Toc18423922" w:displacedByCustomXml="next"/>
    <w:sdt>
      <w:sdtPr>
        <w:rPr>
          <w:rFonts w:asciiTheme="minorHAnsi" w:eastAsiaTheme="minorHAnsi" w:hAnsiTheme="minorHAnsi" w:cstheme="minorBidi"/>
          <w:b w:val="0"/>
          <w:color w:val="auto"/>
          <w:sz w:val="22"/>
          <w:szCs w:val="22"/>
          <w:lang w:val="en-GB"/>
        </w:rPr>
        <w:id w:val="-1035653280"/>
        <w:docPartObj>
          <w:docPartGallery w:val="Table of Contents"/>
          <w:docPartUnique/>
        </w:docPartObj>
      </w:sdtPr>
      <w:sdtEndPr>
        <w:rPr>
          <w:bCs/>
          <w:noProof/>
        </w:rPr>
      </w:sdtEndPr>
      <w:sdtContent>
        <w:p w14:paraId="03C0080A" w14:textId="77777777" w:rsidR="00653841" w:rsidRDefault="00653841" w:rsidP="00A77F32">
          <w:pPr>
            <w:pStyle w:val="TOCHeading"/>
            <w:jc w:val="center"/>
            <w:rPr>
              <w:rFonts w:asciiTheme="minorHAnsi" w:eastAsiaTheme="minorHAnsi" w:hAnsiTheme="minorHAnsi" w:cstheme="minorBidi"/>
              <w:b w:val="0"/>
              <w:color w:val="auto"/>
              <w:sz w:val="22"/>
              <w:szCs w:val="22"/>
              <w:lang w:val="en-GB"/>
            </w:rPr>
          </w:pPr>
        </w:p>
        <w:p w14:paraId="3D0095BF" w14:textId="77777777" w:rsidR="00653841" w:rsidRDefault="00653841" w:rsidP="00A77F32">
          <w:pPr>
            <w:pStyle w:val="TOCHeading"/>
            <w:jc w:val="center"/>
            <w:rPr>
              <w:rFonts w:asciiTheme="minorHAnsi" w:eastAsiaTheme="minorHAnsi" w:hAnsiTheme="minorHAnsi" w:cstheme="minorBidi"/>
              <w:b w:val="0"/>
              <w:color w:val="auto"/>
              <w:sz w:val="22"/>
              <w:szCs w:val="22"/>
              <w:lang w:val="en-GB"/>
            </w:rPr>
          </w:pPr>
        </w:p>
        <w:p w14:paraId="6067EAB0" w14:textId="79012BF7" w:rsidR="00A77F32" w:rsidRPr="00A77F32" w:rsidRDefault="00A35C1D" w:rsidP="00A77F32">
          <w:pPr>
            <w:pStyle w:val="TOCHeading"/>
            <w:jc w:val="center"/>
            <w:rPr>
              <w:color w:val="BE7500" w:themeColor="accent3" w:themeShade="BF"/>
            </w:rPr>
          </w:pPr>
          <w:r w:rsidRPr="00A35C1D">
            <w:rPr>
              <w:color w:val="BE7500" w:themeColor="accent3" w:themeShade="BF"/>
            </w:rPr>
            <w:t>Contents</w:t>
          </w:r>
        </w:p>
        <w:p w14:paraId="04CD371E" w14:textId="5440A422" w:rsidR="00A77F32" w:rsidRDefault="00A77F32" w:rsidP="00A77F32">
          <w:pPr>
            <w:rPr>
              <w:lang w:val="en-US"/>
            </w:rPr>
          </w:pPr>
        </w:p>
        <w:p w14:paraId="4EE59061" w14:textId="586CBE22" w:rsidR="00653841" w:rsidRDefault="00653841" w:rsidP="00A77F32">
          <w:pPr>
            <w:rPr>
              <w:lang w:val="en-US"/>
            </w:rPr>
          </w:pPr>
        </w:p>
        <w:p w14:paraId="5EC6FDE2" w14:textId="77777777" w:rsidR="00653841" w:rsidRPr="00A77F32" w:rsidRDefault="00653841" w:rsidP="00A77F32">
          <w:pPr>
            <w:rPr>
              <w:lang w:val="en-US"/>
            </w:rPr>
          </w:pPr>
        </w:p>
        <w:p w14:paraId="6A9B6A93" w14:textId="3BA67F5C" w:rsidR="00653841" w:rsidRDefault="00A35C1D">
          <w:pPr>
            <w:pStyle w:val="TOC1"/>
            <w:tabs>
              <w:tab w:val="right" w:leader="dot" w:pos="9060"/>
            </w:tabs>
            <w:rPr>
              <w:rFonts w:eastAsiaTheme="minorEastAsia"/>
              <w:noProof/>
              <w:lang/>
            </w:rPr>
          </w:pPr>
          <w:r w:rsidRPr="00A35C1D">
            <w:fldChar w:fldCharType="begin"/>
          </w:r>
          <w:r w:rsidRPr="00A35C1D">
            <w:instrText xml:space="preserve"> TOC \o "1-3" \h \z \u </w:instrText>
          </w:r>
          <w:r w:rsidRPr="00A35C1D">
            <w:fldChar w:fldCharType="separate"/>
          </w:r>
          <w:hyperlink w:anchor="_Toc23323387" w:history="1">
            <w:r w:rsidR="00653841" w:rsidRPr="0047617E">
              <w:rPr>
                <w:rStyle w:val="Hyperlink"/>
                <w:noProof/>
              </w:rPr>
              <w:t>Introduction</w:t>
            </w:r>
            <w:r w:rsidR="00653841">
              <w:rPr>
                <w:noProof/>
                <w:webHidden/>
              </w:rPr>
              <w:tab/>
            </w:r>
            <w:r w:rsidR="00653841">
              <w:rPr>
                <w:noProof/>
                <w:webHidden/>
              </w:rPr>
              <w:fldChar w:fldCharType="begin"/>
            </w:r>
            <w:r w:rsidR="00653841">
              <w:rPr>
                <w:noProof/>
                <w:webHidden/>
              </w:rPr>
              <w:instrText xml:space="preserve"> PAGEREF _Toc23323387 \h </w:instrText>
            </w:r>
            <w:r w:rsidR="00653841">
              <w:rPr>
                <w:noProof/>
                <w:webHidden/>
              </w:rPr>
            </w:r>
            <w:r w:rsidR="00653841">
              <w:rPr>
                <w:noProof/>
                <w:webHidden/>
              </w:rPr>
              <w:fldChar w:fldCharType="separate"/>
            </w:r>
            <w:r w:rsidR="00AF76B7">
              <w:rPr>
                <w:noProof/>
                <w:webHidden/>
              </w:rPr>
              <w:t>4</w:t>
            </w:r>
            <w:r w:rsidR="00653841">
              <w:rPr>
                <w:noProof/>
                <w:webHidden/>
              </w:rPr>
              <w:fldChar w:fldCharType="end"/>
            </w:r>
          </w:hyperlink>
        </w:p>
        <w:p w14:paraId="67547AD7" w14:textId="6EC20FEA" w:rsidR="00653841" w:rsidRDefault="00653841">
          <w:pPr>
            <w:pStyle w:val="TOC1"/>
            <w:tabs>
              <w:tab w:val="right" w:leader="dot" w:pos="9060"/>
            </w:tabs>
            <w:rPr>
              <w:rFonts w:eastAsiaTheme="minorEastAsia"/>
              <w:noProof/>
              <w:lang/>
            </w:rPr>
          </w:pPr>
          <w:hyperlink w:anchor="_Toc23323388" w:history="1">
            <w:r w:rsidRPr="0047617E">
              <w:rPr>
                <w:rStyle w:val="Hyperlink"/>
                <w:noProof/>
              </w:rPr>
              <w:t>I. Discrimination against the Arab population in Israel</w:t>
            </w:r>
            <w:r>
              <w:rPr>
                <w:noProof/>
                <w:webHidden/>
              </w:rPr>
              <w:tab/>
            </w:r>
            <w:r>
              <w:rPr>
                <w:noProof/>
                <w:webHidden/>
              </w:rPr>
              <w:fldChar w:fldCharType="begin"/>
            </w:r>
            <w:r>
              <w:rPr>
                <w:noProof/>
                <w:webHidden/>
              </w:rPr>
              <w:instrText xml:space="preserve"> PAGEREF _Toc23323388 \h </w:instrText>
            </w:r>
            <w:r>
              <w:rPr>
                <w:noProof/>
                <w:webHidden/>
              </w:rPr>
            </w:r>
            <w:r>
              <w:rPr>
                <w:noProof/>
                <w:webHidden/>
              </w:rPr>
              <w:fldChar w:fldCharType="separate"/>
            </w:r>
            <w:r w:rsidR="00AF76B7">
              <w:rPr>
                <w:noProof/>
                <w:webHidden/>
              </w:rPr>
              <w:t>4</w:t>
            </w:r>
            <w:r>
              <w:rPr>
                <w:noProof/>
                <w:webHidden/>
              </w:rPr>
              <w:fldChar w:fldCharType="end"/>
            </w:r>
          </w:hyperlink>
        </w:p>
        <w:p w14:paraId="2EF98A76" w14:textId="09F72B8D" w:rsidR="00653841" w:rsidRDefault="00653841">
          <w:pPr>
            <w:pStyle w:val="TOC2"/>
            <w:tabs>
              <w:tab w:val="right" w:leader="dot" w:pos="9060"/>
            </w:tabs>
            <w:rPr>
              <w:rFonts w:eastAsiaTheme="minorEastAsia"/>
              <w:noProof/>
              <w:lang/>
            </w:rPr>
          </w:pPr>
          <w:hyperlink w:anchor="_Toc23323389" w:history="1">
            <w:r w:rsidRPr="0047617E">
              <w:rPr>
                <w:rStyle w:val="Hyperlink"/>
                <w:noProof/>
              </w:rPr>
              <w:t>Basic Law: Israel – the Nation State of the Jewish People</w:t>
            </w:r>
            <w:r>
              <w:rPr>
                <w:noProof/>
                <w:webHidden/>
              </w:rPr>
              <w:tab/>
            </w:r>
            <w:r>
              <w:rPr>
                <w:noProof/>
                <w:webHidden/>
              </w:rPr>
              <w:fldChar w:fldCharType="begin"/>
            </w:r>
            <w:r>
              <w:rPr>
                <w:noProof/>
                <w:webHidden/>
              </w:rPr>
              <w:instrText xml:space="preserve"> PAGEREF _Toc23323389 \h </w:instrText>
            </w:r>
            <w:r>
              <w:rPr>
                <w:noProof/>
                <w:webHidden/>
              </w:rPr>
            </w:r>
            <w:r>
              <w:rPr>
                <w:noProof/>
                <w:webHidden/>
              </w:rPr>
              <w:fldChar w:fldCharType="separate"/>
            </w:r>
            <w:r w:rsidR="00AF76B7">
              <w:rPr>
                <w:noProof/>
                <w:webHidden/>
              </w:rPr>
              <w:t>5</w:t>
            </w:r>
            <w:r>
              <w:rPr>
                <w:noProof/>
                <w:webHidden/>
              </w:rPr>
              <w:fldChar w:fldCharType="end"/>
            </w:r>
          </w:hyperlink>
        </w:p>
        <w:p w14:paraId="36418A1D" w14:textId="5FF87D58" w:rsidR="00653841" w:rsidRDefault="00653841">
          <w:pPr>
            <w:pStyle w:val="TOC2"/>
            <w:tabs>
              <w:tab w:val="right" w:leader="dot" w:pos="9060"/>
            </w:tabs>
            <w:rPr>
              <w:rFonts w:eastAsiaTheme="minorEastAsia"/>
              <w:noProof/>
              <w:lang/>
            </w:rPr>
          </w:pPr>
          <w:hyperlink w:anchor="_Toc23323390" w:history="1">
            <w:r w:rsidRPr="0047617E">
              <w:rPr>
                <w:rStyle w:val="Hyperlink"/>
                <w:noProof/>
              </w:rPr>
              <w:t>Allocation of benefits linked to military service</w:t>
            </w:r>
            <w:r>
              <w:rPr>
                <w:noProof/>
                <w:webHidden/>
              </w:rPr>
              <w:tab/>
            </w:r>
            <w:r>
              <w:rPr>
                <w:noProof/>
                <w:webHidden/>
              </w:rPr>
              <w:fldChar w:fldCharType="begin"/>
            </w:r>
            <w:r>
              <w:rPr>
                <w:noProof/>
                <w:webHidden/>
              </w:rPr>
              <w:instrText xml:space="preserve"> PAGEREF _Toc23323390 \h </w:instrText>
            </w:r>
            <w:r>
              <w:rPr>
                <w:noProof/>
                <w:webHidden/>
              </w:rPr>
            </w:r>
            <w:r>
              <w:rPr>
                <w:noProof/>
                <w:webHidden/>
              </w:rPr>
              <w:fldChar w:fldCharType="separate"/>
            </w:r>
            <w:r w:rsidR="00AF76B7">
              <w:rPr>
                <w:noProof/>
                <w:webHidden/>
              </w:rPr>
              <w:t>5</w:t>
            </w:r>
            <w:r>
              <w:rPr>
                <w:noProof/>
                <w:webHidden/>
              </w:rPr>
              <w:fldChar w:fldCharType="end"/>
            </w:r>
          </w:hyperlink>
        </w:p>
        <w:p w14:paraId="0B5C4BB0" w14:textId="62B91C9A" w:rsidR="00653841" w:rsidRDefault="00653841">
          <w:pPr>
            <w:pStyle w:val="TOC2"/>
            <w:tabs>
              <w:tab w:val="right" w:leader="dot" w:pos="9060"/>
            </w:tabs>
            <w:rPr>
              <w:rFonts w:eastAsiaTheme="minorEastAsia"/>
              <w:noProof/>
              <w:lang/>
            </w:rPr>
          </w:pPr>
          <w:hyperlink w:anchor="_Toc23323391" w:history="1">
            <w:r w:rsidRPr="0047617E">
              <w:rPr>
                <w:rStyle w:val="Hyperlink"/>
                <w:noProof/>
              </w:rPr>
              <w:t>Insufficient legal framework for protection against discrimination</w:t>
            </w:r>
            <w:r>
              <w:rPr>
                <w:noProof/>
                <w:webHidden/>
              </w:rPr>
              <w:tab/>
            </w:r>
            <w:r>
              <w:rPr>
                <w:noProof/>
                <w:webHidden/>
              </w:rPr>
              <w:fldChar w:fldCharType="begin"/>
            </w:r>
            <w:r>
              <w:rPr>
                <w:noProof/>
                <w:webHidden/>
              </w:rPr>
              <w:instrText xml:space="preserve"> PAGEREF _Toc23323391 \h </w:instrText>
            </w:r>
            <w:r>
              <w:rPr>
                <w:noProof/>
                <w:webHidden/>
              </w:rPr>
            </w:r>
            <w:r>
              <w:rPr>
                <w:noProof/>
                <w:webHidden/>
              </w:rPr>
              <w:fldChar w:fldCharType="separate"/>
            </w:r>
            <w:r w:rsidR="00AF76B7">
              <w:rPr>
                <w:noProof/>
                <w:webHidden/>
              </w:rPr>
              <w:t>6</w:t>
            </w:r>
            <w:r>
              <w:rPr>
                <w:noProof/>
                <w:webHidden/>
              </w:rPr>
              <w:fldChar w:fldCharType="end"/>
            </w:r>
          </w:hyperlink>
        </w:p>
        <w:p w14:paraId="6ED0478C" w14:textId="5FF58855" w:rsidR="00653841" w:rsidRDefault="00653841">
          <w:pPr>
            <w:pStyle w:val="TOC2"/>
            <w:tabs>
              <w:tab w:val="right" w:leader="dot" w:pos="9060"/>
            </w:tabs>
            <w:rPr>
              <w:rFonts w:eastAsiaTheme="minorEastAsia"/>
              <w:noProof/>
              <w:lang/>
            </w:rPr>
          </w:pPr>
          <w:hyperlink w:anchor="_Toc23323392" w:history="1">
            <w:r w:rsidRPr="0047617E">
              <w:rPr>
                <w:rStyle w:val="Hyperlink"/>
                <w:noProof/>
              </w:rPr>
              <w:t>Lack of policy implementation leading to increased discrimination</w:t>
            </w:r>
            <w:r>
              <w:rPr>
                <w:noProof/>
                <w:webHidden/>
              </w:rPr>
              <w:tab/>
            </w:r>
            <w:r>
              <w:rPr>
                <w:noProof/>
                <w:webHidden/>
              </w:rPr>
              <w:fldChar w:fldCharType="begin"/>
            </w:r>
            <w:r>
              <w:rPr>
                <w:noProof/>
                <w:webHidden/>
              </w:rPr>
              <w:instrText xml:space="preserve"> PAGEREF _Toc23323392 \h </w:instrText>
            </w:r>
            <w:r>
              <w:rPr>
                <w:noProof/>
                <w:webHidden/>
              </w:rPr>
            </w:r>
            <w:r>
              <w:rPr>
                <w:noProof/>
                <w:webHidden/>
              </w:rPr>
              <w:fldChar w:fldCharType="separate"/>
            </w:r>
            <w:r w:rsidR="00AF76B7">
              <w:rPr>
                <w:noProof/>
                <w:webHidden/>
              </w:rPr>
              <w:t>6</w:t>
            </w:r>
            <w:r>
              <w:rPr>
                <w:noProof/>
                <w:webHidden/>
              </w:rPr>
              <w:fldChar w:fldCharType="end"/>
            </w:r>
          </w:hyperlink>
        </w:p>
        <w:p w14:paraId="4755B0EF" w14:textId="5862C26C" w:rsidR="00653841" w:rsidRDefault="00653841">
          <w:pPr>
            <w:pStyle w:val="TOC2"/>
            <w:tabs>
              <w:tab w:val="right" w:leader="dot" w:pos="9060"/>
            </w:tabs>
            <w:rPr>
              <w:rFonts w:eastAsiaTheme="minorEastAsia"/>
              <w:noProof/>
              <w:lang/>
            </w:rPr>
          </w:pPr>
          <w:hyperlink w:anchor="_Toc23323393" w:history="1">
            <w:r w:rsidRPr="0047617E">
              <w:rPr>
                <w:rStyle w:val="Hyperlink"/>
                <w:noProof/>
              </w:rPr>
              <w:t>Lengthy remedies</w:t>
            </w:r>
            <w:r>
              <w:rPr>
                <w:noProof/>
                <w:webHidden/>
              </w:rPr>
              <w:tab/>
            </w:r>
            <w:r>
              <w:rPr>
                <w:noProof/>
                <w:webHidden/>
              </w:rPr>
              <w:fldChar w:fldCharType="begin"/>
            </w:r>
            <w:r>
              <w:rPr>
                <w:noProof/>
                <w:webHidden/>
              </w:rPr>
              <w:instrText xml:space="preserve"> PAGEREF _Toc23323393 \h </w:instrText>
            </w:r>
            <w:r>
              <w:rPr>
                <w:noProof/>
                <w:webHidden/>
              </w:rPr>
            </w:r>
            <w:r>
              <w:rPr>
                <w:noProof/>
                <w:webHidden/>
              </w:rPr>
              <w:fldChar w:fldCharType="separate"/>
            </w:r>
            <w:r w:rsidR="00AF76B7">
              <w:rPr>
                <w:noProof/>
                <w:webHidden/>
              </w:rPr>
              <w:t>7</w:t>
            </w:r>
            <w:r>
              <w:rPr>
                <w:noProof/>
                <w:webHidden/>
              </w:rPr>
              <w:fldChar w:fldCharType="end"/>
            </w:r>
          </w:hyperlink>
        </w:p>
        <w:p w14:paraId="3D718A08" w14:textId="54AA140D" w:rsidR="00653841" w:rsidRDefault="00653841">
          <w:pPr>
            <w:pStyle w:val="TOC2"/>
            <w:tabs>
              <w:tab w:val="right" w:leader="dot" w:pos="9060"/>
            </w:tabs>
            <w:rPr>
              <w:rFonts w:eastAsiaTheme="minorEastAsia"/>
              <w:noProof/>
              <w:lang/>
            </w:rPr>
          </w:pPr>
          <w:hyperlink w:anchor="_Toc23323394" w:history="1">
            <w:r w:rsidRPr="0047617E">
              <w:rPr>
                <w:rStyle w:val="Hyperlink"/>
                <w:noProof/>
              </w:rPr>
              <w:t>Hate speech online</w:t>
            </w:r>
            <w:r>
              <w:rPr>
                <w:noProof/>
                <w:webHidden/>
              </w:rPr>
              <w:tab/>
            </w:r>
            <w:r>
              <w:rPr>
                <w:noProof/>
                <w:webHidden/>
              </w:rPr>
              <w:fldChar w:fldCharType="begin"/>
            </w:r>
            <w:r>
              <w:rPr>
                <w:noProof/>
                <w:webHidden/>
              </w:rPr>
              <w:instrText xml:space="preserve"> PAGEREF _Toc23323394 \h </w:instrText>
            </w:r>
            <w:r>
              <w:rPr>
                <w:noProof/>
                <w:webHidden/>
              </w:rPr>
            </w:r>
            <w:r>
              <w:rPr>
                <w:noProof/>
                <w:webHidden/>
              </w:rPr>
              <w:fldChar w:fldCharType="separate"/>
            </w:r>
            <w:r w:rsidR="00AF76B7">
              <w:rPr>
                <w:noProof/>
                <w:webHidden/>
              </w:rPr>
              <w:t>7</w:t>
            </w:r>
            <w:r>
              <w:rPr>
                <w:noProof/>
                <w:webHidden/>
              </w:rPr>
              <w:fldChar w:fldCharType="end"/>
            </w:r>
          </w:hyperlink>
        </w:p>
        <w:p w14:paraId="47C91A24" w14:textId="191AEA59" w:rsidR="00653841" w:rsidRDefault="00653841">
          <w:pPr>
            <w:pStyle w:val="TOC1"/>
            <w:tabs>
              <w:tab w:val="right" w:leader="dot" w:pos="9060"/>
            </w:tabs>
            <w:rPr>
              <w:rFonts w:eastAsiaTheme="minorEastAsia"/>
              <w:noProof/>
              <w:lang/>
            </w:rPr>
          </w:pPr>
          <w:hyperlink w:anchor="_Toc23323395" w:history="1">
            <w:r w:rsidRPr="0047617E">
              <w:rPr>
                <w:rStyle w:val="Hyperlink"/>
                <w:noProof/>
              </w:rPr>
              <w:t>II. Discrimination against the Arab population in the OPT</w:t>
            </w:r>
            <w:r>
              <w:rPr>
                <w:noProof/>
                <w:webHidden/>
              </w:rPr>
              <w:tab/>
            </w:r>
            <w:r>
              <w:rPr>
                <w:noProof/>
                <w:webHidden/>
              </w:rPr>
              <w:fldChar w:fldCharType="begin"/>
            </w:r>
            <w:r>
              <w:rPr>
                <w:noProof/>
                <w:webHidden/>
              </w:rPr>
              <w:instrText xml:space="preserve"> PAGEREF _Toc23323395 \h </w:instrText>
            </w:r>
            <w:r>
              <w:rPr>
                <w:noProof/>
                <w:webHidden/>
              </w:rPr>
            </w:r>
            <w:r>
              <w:rPr>
                <w:noProof/>
                <w:webHidden/>
              </w:rPr>
              <w:fldChar w:fldCharType="separate"/>
            </w:r>
            <w:r w:rsidR="00AF76B7">
              <w:rPr>
                <w:noProof/>
                <w:webHidden/>
              </w:rPr>
              <w:t>8</w:t>
            </w:r>
            <w:r>
              <w:rPr>
                <w:noProof/>
                <w:webHidden/>
              </w:rPr>
              <w:fldChar w:fldCharType="end"/>
            </w:r>
          </w:hyperlink>
        </w:p>
        <w:p w14:paraId="08FCAAA0" w14:textId="7DB240A8" w:rsidR="00653841" w:rsidRDefault="00653841">
          <w:pPr>
            <w:pStyle w:val="TOC2"/>
            <w:tabs>
              <w:tab w:val="right" w:leader="dot" w:pos="9060"/>
            </w:tabs>
            <w:rPr>
              <w:rFonts w:eastAsiaTheme="minorEastAsia"/>
              <w:noProof/>
              <w:lang/>
            </w:rPr>
          </w:pPr>
          <w:hyperlink w:anchor="_Toc23323396" w:history="1">
            <w:r w:rsidRPr="0047617E">
              <w:rPr>
                <w:rStyle w:val="Hyperlink"/>
                <w:noProof/>
              </w:rPr>
              <w:t>Disrespect of the right of return</w:t>
            </w:r>
            <w:r>
              <w:rPr>
                <w:noProof/>
                <w:webHidden/>
              </w:rPr>
              <w:tab/>
            </w:r>
            <w:r>
              <w:rPr>
                <w:noProof/>
                <w:webHidden/>
              </w:rPr>
              <w:fldChar w:fldCharType="begin"/>
            </w:r>
            <w:r>
              <w:rPr>
                <w:noProof/>
                <w:webHidden/>
              </w:rPr>
              <w:instrText xml:space="preserve"> PAGEREF _Toc23323396 \h </w:instrText>
            </w:r>
            <w:r>
              <w:rPr>
                <w:noProof/>
                <w:webHidden/>
              </w:rPr>
            </w:r>
            <w:r>
              <w:rPr>
                <w:noProof/>
                <w:webHidden/>
              </w:rPr>
              <w:fldChar w:fldCharType="separate"/>
            </w:r>
            <w:r w:rsidR="00AF76B7">
              <w:rPr>
                <w:noProof/>
                <w:webHidden/>
              </w:rPr>
              <w:t>8</w:t>
            </w:r>
            <w:r>
              <w:rPr>
                <w:noProof/>
                <w:webHidden/>
              </w:rPr>
              <w:fldChar w:fldCharType="end"/>
            </w:r>
          </w:hyperlink>
        </w:p>
        <w:p w14:paraId="602A83E8" w14:textId="2EF88FF9" w:rsidR="00653841" w:rsidRDefault="00653841">
          <w:pPr>
            <w:pStyle w:val="TOC2"/>
            <w:tabs>
              <w:tab w:val="right" w:leader="dot" w:pos="9060"/>
            </w:tabs>
            <w:rPr>
              <w:rFonts w:eastAsiaTheme="minorEastAsia"/>
              <w:noProof/>
              <w:lang/>
            </w:rPr>
          </w:pPr>
          <w:hyperlink w:anchor="_Toc23323397" w:history="1">
            <w:r w:rsidRPr="0047617E">
              <w:rPr>
                <w:rStyle w:val="Hyperlink"/>
                <w:noProof/>
              </w:rPr>
              <w:t>Jurisdiction over the Gaza Strip and the West Bank</w:t>
            </w:r>
            <w:r>
              <w:rPr>
                <w:noProof/>
                <w:webHidden/>
              </w:rPr>
              <w:tab/>
            </w:r>
            <w:r>
              <w:rPr>
                <w:noProof/>
                <w:webHidden/>
              </w:rPr>
              <w:fldChar w:fldCharType="begin"/>
            </w:r>
            <w:r>
              <w:rPr>
                <w:noProof/>
                <w:webHidden/>
              </w:rPr>
              <w:instrText xml:space="preserve"> PAGEREF _Toc23323397 \h </w:instrText>
            </w:r>
            <w:r>
              <w:rPr>
                <w:noProof/>
                <w:webHidden/>
              </w:rPr>
            </w:r>
            <w:r>
              <w:rPr>
                <w:noProof/>
                <w:webHidden/>
              </w:rPr>
              <w:fldChar w:fldCharType="separate"/>
            </w:r>
            <w:r w:rsidR="00AF76B7">
              <w:rPr>
                <w:noProof/>
                <w:webHidden/>
              </w:rPr>
              <w:t>8</w:t>
            </w:r>
            <w:r>
              <w:rPr>
                <w:noProof/>
                <w:webHidden/>
              </w:rPr>
              <w:fldChar w:fldCharType="end"/>
            </w:r>
          </w:hyperlink>
        </w:p>
        <w:p w14:paraId="5A133592" w14:textId="00E72E31" w:rsidR="00653841" w:rsidRDefault="00653841">
          <w:pPr>
            <w:pStyle w:val="TOC2"/>
            <w:tabs>
              <w:tab w:val="right" w:leader="dot" w:pos="9060"/>
            </w:tabs>
            <w:rPr>
              <w:rFonts w:eastAsiaTheme="minorEastAsia"/>
              <w:noProof/>
              <w:lang/>
            </w:rPr>
          </w:pPr>
          <w:hyperlink w:anchor="_Toc23323398" w:history="1">
            <w:r w:rsidRPr="0047617E">
              <w:rPr>
                <w:rStyle w:val="Hyperlink"/>
                <w:noProof/>
              </w:rPr>
              <w:t>Companies operating in the settlements</w:t>
            </w:r>
            <w:r>
              <w:rPr>
                <w:noProof/>
                <w:webHidden/>
              </w:rPr>
              <w:tab/>
            </w:r>
            <w:r>
              <w:rPr>
                <w:noProof/>
                <w:webHidden/>
              </w:rPr>
              <w:fldChar w:fldCharType="begin"/>
            </w:r>
            <w:r>
              <w:rPr>
                <w:noProof/>
                <w:webHidden/>
              </w:rPr>
              <w:instrText xml:space="preserve"> PAGEREF _Toc23323398 \h </w:instrText>
            </w:r>
            <w:r>
              <w:rPr>
                <w:noProof/>
                <w:webHidden/>
              </w:rPr>
            </w:r>
            <w:r>
              <w:rPr>
                <w:noProof/>
                <w:webHidden/>
              </w:rPr>
              <w:fldChar w:fldCharType="separate"/>
            </w:r>
            <w:r w:rsidR="00AF76B7">
              <w:rPr>
                <w:noProof/>
                <w:webHidden/>
              </w:rPr>
              <w:t>9</w:t>
            </w:r>
            <w:r>
              <w:rPr>
                <w:noProof/>
                <w:webHidden/>
              </w:rPr>
              <w:fldChar w:fldCharType="end"/>
            </w:r>
          </w:hyperlink>
        </w:p>
        <w:p w14:paraId="2DFAF729" w14:textId="20A2A526" w:rsidR="00653841" w:rsidRDefault="00653841">
          <w:pPr>
            <w:pStyle w:val="TOC2"/>
            <w:tabs>
              <w:tab w:val="right" w:leader="dot" w:pos="9060"/>
            </w:tabs>
            <w:rPr>
              <w:rFonts w:eastAsiaTheme="minorEastAsia"/>
              <w:noProof/>
              <w:lang/>
            </w:rPr>
          </w:pPr>
          <w:hyperlink w:anchor="_Toc23323399" w:history="1">
            <w:r w:rsidRPr="0047617E">
              <w:rPr>
                <w:rStyle w:val="Hyperlink"/>
                <w:noProof/>
              </w:rPr>
              <w:t>Access to health</w:t>
            </w:r>
            <w:r>
              <w:rPr>
                <w:noProof/>
                <w:webHidden/>
              </w:rPr>
              <w:tab/>
            </w:r>
            <w:r>
              <w:rPr>
                <w:noProof/>
                <w:webHidden/>
              </w:rPr>
              <w:fldChar w:fldCharType="begin"/>
            </w:r>
            <w:r>
              <w:rPr>
                <w:noProof/>
                <w:webHidden/>
              </w:rPr>
              <w:instrText xml:space="preserve"> PAGEREF _Toc23323399 \h </w:instrText>
            </w:r>
            <w:r>
              <w:rPr>
                <w:noProof/>
                <w:webHidden/>
              </w:rPr>
            </w:r>
            <w:r>
              <w:rPr>
                <w:noProof/>
                <w:webHidden/>
              </w:rPr>
              <w:fldChar w:fldCharType="separate"/>
            </w:r>
            <w:r w:rsidR="00AF76B7">
              <w:rPr>
                <w:noProof/>
                <w:webHidden/>
              </w:rPr>
              <w:t>9</w:t>
            </w:r>
            <w:r>
              <w:rPr>
                <w:noProof/>
                <w:webHidden/>
              </w:rPr>
              <w:fldChar w:fldCharType="end"/>
            </w:r>
          </w:hyperlink>
        </w:p>
        <w:p w14:paraId="0FE8A090" w14:textId="7B908B15" w:rsidR="00653841" w:rsidRDefault="00653841">
          <w:pPr>
            <w:pStyle w:val="TOC2"/>
            <w:tabs>
              <w:tab w:val="right" w:leader="dot" w:pos="9060"/>
            </w:tabs>
            <w:rPr>
              <w:rFonts w:eastAsiaTheme="minorEastAsia"/>
              <w:noProof/>
              <w:lang/>
            </w:rPr>
          </w:pPr>
          <w:hyperlink w:anchor="_Toc23323400" w:history="1">
            <w:r w:rsidRPr="0047617E">
              <w:rPr>
                <w:rStyle w:val="Hyperlink"/>
                <w:noProof/>
              </w:rPr>
              <w:t>Settler violence</w:t>
            </w:r>
            <w:r>
              <w:rPr>
                <w:noProof/>
                <w:webHidden/>
              </w:rPr>
              <w:tab/>
            </w:r>
            <w:r>
              <w:rPr>
                <w:noProof/>
                <w:webHidden/>
              </w:rPr>
              <w:fldChar w:fldCharType="begin"/>
            </w:r>
            <w:r>
              <w:rPr>
                <w:noProof/>
                <w:webHidden/>
              </w:rPr>
              <w:instrText xml:space="preserve"> PAGEREF _Toc23323400 \h </w:instrText>
            </w:r>
            <w:r>
              <w:rPr>
                <w:noProof/>
                <w:webHidden/>
              </w:rPr>
            </w:r>
            <w:r>
              <w:rPr>
                <w:noProof/>
                <w:webHidden/>
              </w:rPr>
              <w:fldChar w:fldCharType="separate"/>
            </w:r>
            <w:r w:rsidR="00AF76B7">
              <w:rPr>
                <w:noProof/>
                <w:webHidden/>
              </w:rPr>
              <w:t>9</w:t>
            </w:r>
            <w:r>
              <w:rPr>
                <w:noProof/>
                <w:webHidden/>
              </w:rPr>
              <w:fldChar w:fldCharType="end"/>
            </w:r>
          </w:hyperlink>
        </w:p>
        <w:p w14:paraId="6A645E6C" w14:textId="4428E232" w:rsidR="00653841" w:rsidRDefault="00653841">
          <w:pPr>
            <w:pStyle w:val="TOC2"/>
            <w:tabs>
              <w:tab w:val="right" w:leader="dot" w:pos="9060"/>
            </w:tabs>
            <w:rPr>
              <w:rFonts w:eastAsiaTheme="minorEastAsia"/>
              <w:noProof/>
              <w:lang/>
            </w:rPr>
          </w:pPr>
          <w:hyperlink w:anchor="_Toc23323401" w:history="1">
            <w:r w:rsidRPr="0047617E">
              <w:rPr>
                <w:rStyle w:val="Hyperlink"/>
                <w:noProof/>
              </w:rPr>
              <w:t>House construction permits</w:t>
            </w:r>
            <w:r>
              <w:rPr>
                <w:noProof/>
                <w:webHidden/>
              </w:rPr>
              <w:tab/>
            </w:r>
            <w:r>
              <w:rPr>
                <w:noProof/>
                <w:webHidden/>
              </w:rPr>
              <w:fldChar w:fldCharType="begin"/>
            </w:r>
            <w:r>
              <w:rPr>
                <w:noProof/>
                <w:webHidden/>
              </w:rPr>
              <w:instrText xml:space="preserve"> PAGEREF _Toc23323401 \h </w:instrText>
            </w:r>
            <w:r>
              <w:rPr>
                <w:noProof/>
                <w:webHidden/>
              </w:rPr>
            </w:r>
            <w:r>
              <w:rPr>
                <w:noProof/>
                <w:webHidden/>
              </w:rPr>
              <w:fldChar w:fldCharType="separate"/>
            </w:r>
            <w:r w:rsidR="00AF76B7">
              <w:rPr>
                <w:noProof/>
                <w:webHidden/>
              </w:rPr>
              <w:t>10</w:t>
            </w:r>
            <w:r>
              <w:rPr>
                <w:noProof/>
                <w:webHidden/>
              </w:rPr>
              <w:fldChar w:fldCharType="end"/>
            </w:r>
          </w:hyperlink>
        </w:p>
        <w:p w14:paraId="27873239" w14:textId="4979CAC2" w:rsidR="00653841" w:rsidRDefault="00653841">
          <w:pPr>
            <w:pStyle w:val="TOC1"/>
            <w:tabs>
              <w:tab w:val="right" w:leader="dot" w:pos="9060"/>
            </w:tabs>
            <w:rPr>
              <w:rFonts w:eastAsiaTheme="minorEastAsia"/>
              <w:noProof/>
              <w:lang/>
            </w:rPr>
          </w:pPr>
          <w:hyperlink w:anchor="_Toc23323402" w:history="1">
            <w:r w:rsidRPr="0047617E">
              <w:rPr>
                <w:rStyle w:val="Hyperlink"/>
                <w:noProof/>
              </w:rPr>
              <w:t>Recommendations</w:t>
            </w:r>
            <w:r>
              <w:rPr>
                <w:noProof/>
                <w:webHidden/>
              </w:rPr>
              <w:tab/>
            </w:r>
            <w:r>
              <w:rPr>
                <w:noProof/>
                <w:webHidden/>
              </w:rPr>
              <w:fldChar w:fldCharType="begin"/>
            </w:r>
            <w:r>
              <w:rPr>
                <w:noProof/>
                <w:webHidden/>
              </w:rPr>
              <w:instrText xml:space="preserve"> PAGEREF _Toc23323402 \h </w:instrText>
            </w:r>
            <w:r>
              <w:rPr>
                <w:noProof/>
                <w:webHidden/>
              </w:rPr>
            </w:r>
            <w:r>
              <w:rPr>
                <w:noProof/>
                <w:webHidden/>
              </w:rPr>
              <w:fldChar w:fldCharType="separate"/>
            </w:r>
            <w:r w:rsidR="00AF76B7">
              <w:rPr>
                <w:noProof/>
                <w:webHidden/>
              </w:rPr>
              <w:t>10</w:t>
            </w:r>
            <w:r>
              <w:rPr>
                <w:noProof/>
                <w:webHidden/>
              </w:rPr>
              <w:fldChar w:fldCharType="end"/>
            </w:r>
          </w:hyperlink>
        </w:p>
        <w:p w14:paraId="1BE8620D" w14:textId="1D15DBBC" w:rsidR="00A35C1D" w:rsidRDefault="00A35C1D">
          <w:r w:rsidRPr="00A35C1D">
            <w:rPr>
              <w:b/>
              <w:bCs/>
              <w:noProof/>
            </w:rPr>
            <w:fldChar w:fldCharType="end"/>
          </w:r>
        </w:p>
      </w:sdtContent>
    </w:sdt>
    <w:p w14:paraId="31A27E03" w14:textId="77777777" w:rsidR="00A35C1D" w:rsidRDefault="00A35C1D">
      <w:pPr>
        <w:rPr>
          <w:rFonts w:eastAsiaTheme="majorEastAsia" w:cstheme="majorBidi"/>
          <w:b/>
          <w:color w:val="BE7500" w:themeColor="accent3" w:themeShade="BF"/>
          <w:sz w:val="32"/>
          <w:szCs w:val="32"/>
        </w:rPr>
      </w:pPr>
      <w:bookmarkStart w:id="1" w:name="_GoBack"/>
      <w:bookmarkEnd w:id="1"/>
      <w:r>
        <w:rPr>
          <w:color w:val="BE7500" w:themeColor="accent3" w:themeShade="BF"/>
        </w:rPr>
        <w:br w:type="page"/>
      </w:r>
    </w:p>
    <w:p w14:paraId="5B0C7D1C" w14:textId="69E28202" w:rsidR="00A35C1D" w:rsidRPr="00A35C1D" w:rsidRDefault="00A35C1D" w:rsidP="00A35C1D">
      <w:pPr>
        <w:pStyle w:val="Heading1"/>
        <w:rPr>
          <w:color w:val="BE7500" w:themeColor="accent3" w:themeShade="BF"/>
        </w:rPr>
      </w:pPr>
      <w:bookmarkStart w:id="2" w:name="_Toc23323387"/>
      <w:r w:rsidRPr="00A35C1D">
        <w:rPr>
          <w:color w:val="BE7500" w:themeColor="accent3" w:themeShade="BF"/>
        </w:rPr>
        <w:lastRenderedPageBreak/>
        <w:t>Introduction</w:t>
      </w:r>
      <w:bookmarkEnd w:id="2"/>
    </w:p>
    <w:p w14:paraId="09287A69" w14:textId="77777777" w:rsidR="00A35C1D" w:rsidRPr="00187C8E" w:rsidRDefault="00A35C1D" w:rsidP="00A35C1D">
      <w:pPr>
        <w:pStyle w:val="ListParagraph"/>
        <w:numPr>
          <w:ilvl w:val="0"/>
          <w:numId w:val="37"/>
        </w:numPr>
        <w:spacing w:after="80" w:line="240" w:lineRule="auto"/>
        <w:contextualSpacing w:val="0"/>
        <w:jc w:val="both"/>
        <w:rPr>
          <w:rFonts w:asciiTheme="minorBidi" w:hAnsiTheme="minorBidi"/>
        </w:rPr>
      </w:pPr>
      <w:r w:rsidRPr="00187C8E">
        <w:rPr>
          <w:rFonts w:asciiTheme="minorBidi" w:hAnsiTheme="minorBidi"/>
        </w:rPr>
        <w:t xml:space="preserve">Geneva International Centre for Justice (GICJ) is a Geneva-based, non-profit and independent organisation, dedicated to the protection and promotion of human rights, and to bringing awareness on human rights violations throughout the world. </w:t>
      </w:r>
    </w:p>
    <w:p w14:paraId="70ECBC73" w14:textId="77777777" w:rsidR="00A35C1D" w:rsidRPr="00187C8E" w:rsidRDefault="00A35C1D" w:rsidP="00A35C1D">
      <w:pPr>
        <w:pStyle w:val="ListParagraph"/>
        <w:numPr>
          <w:ilvl w:val="0"/>
          <w:numId w:val="37"/>
        </w:numPr>
        <w:spacing w:after="80" w:line="240" w:lineRule="auto"/>
        <w:contextualSpacing w:val="0"/>
        <w:jc w:val="both"/>
        <w:rPr>
          <w:rFonts w:asciiTheme="minorBidi" w:hAnsiTheme="minorBidi"/>
        </w:rPr>
      </w:pPr>
      <w:r w:rsidRPr="00187C8E">
        <w:rPr>
          <w:rFonts w:asciiTheme="minorBidi" w:hAnsiTheme="minorBidi"/>
        </w:rPr>
        <w:t xml:space="preserve">GICJ is pleased to present this report to </w:t>
      </w:r>
      <w:r>
        <w:rPr>
          <w:rFonts w:asciiTheme="minorBidi" w:hAnsiTheme="minorBidi"/>
        </w:rPr>
        <w:t xml:space="preserve">the </w:t>
      </w:r>
      <w:r w:rsidRPr="00187C8E">
        <w:rPr>
          <w:rFonts w:asciiTheme="minorBidi" w:hAnsiTheme="minorBidi"/>
        </w:rPr>
        <w:t xml:space="preserve">Committee on the Elimination of Racial Discrimination (CERD or the Committee) </w:t>
      </w:r>
      <w:r>
        <w:rPr>
          <w:rFonts w:asciiTheme="minorBidi" w:hAnsiTheme="minorBidi"/>
        </w:rPr>
        <w:t xml:space="preserve">regarding </w:t>
      </w:r>
      <w:r w:rsidRPr="00187C8E">
        <w:rPr>
          <w:rFonts w:asciiTheme="minorBidi" w:hAnsiTheme="minorBidi"/>
        </w:rPr>
        <w:t xml:space="preserve">the implementation and respect of the International Convention on the Elimination of All Forms of Racial Discrimination (ICERD or the Convention) by Israel, </w:t>
      </w:r>
      <w:r>
        <w:rPr>
          <w:rFonts w:asciiTheme="minorBidi" w:hAnsiTheme="minorBidi"/>
        </w:rPr>
        <w:t>during</w:t>
      </w:r>
      <w:r w:rsidRPr="00187C8E">
        <w:rPr>
          <w:rFonts w:asciiTheme="minorBidi" w:hAnsiTheme="minorBidi"/>
        </w:rPr>
        <w:t xml:space="preserve"> the review of </w:t>
      </w:r>
      <w:r>
        <w:rPr>
          <w:rFonts w:asciiTheme="minorBidi" w:hAnsiTheme="minorBidi"/>
        </w:rPr>
        <w:t xml:space="preserve">Israel’s </w:t>
      </w:r>
      <w:r w:rsidRPr="00187C8E">
        <w:rPr>
          <w:rFonts w:asciiTheme="minorBidi" w:hAnsiTheme="minorBidi"/>
        </w:rPr>
        <w:t>combined seventeenth to nineteenth Periodic Reports (the State reports). This review will take place during the Committee’s 100</w:t>
      </w:r>
      <w:r w:rsidRPr="00187C8E">
        <w:rPr>
          <w:rFonts w:asciiTheme="minorBidi" w:hAnsiTheme="minorBidi"/>
          <w:vertAlign w:val="superscript"/>
        </w:rPr>
        <w:t>th</w:t>
      </w:r>
      <w:r w:rsidRPr="00187C8E">
        <w:rPr>
          <w:rFonts w:asciiTheme="minorBidi" w:hAnsiTheme="minorBidi"/>
        </w:rPr>
        <w:t xml:space="preserve"> session in Geneva, Switzerland, from 25 November to 13 December 2019.</w:t>
      </w:r>
    </w:p>
    <w:p w14:paraId="45066B5B" w14:textId="48DC2D66" w:rsidR="00A35C1D" w:rsidRDefault="00A35C1D" w:rsidP="00A35C1D">
      <w:pPr>
        <w:pStyle w:val="ListParagraph"/>
        <w:numPr>
          <w:ilvl w:val="0"/>
          <w:numId w:val="37"/>
        </w:numPr>
        <w:spacing w:after="80" w:line="240" w:lineRule="auto"/>
        <w:contextualSpacing w:val="0"/>
        <w:jc w:val="both"/>
        <w:rPr>
          <w:rFonts w:asciiTheme="minorBidi" w:hAnsiTheme="minorBidi"/>
        </w:rPr>
      </w:pPr>
      <w:r w:rsidRPr="00187C8E">
        <w:rPr>
          <w:rFonts w:asciiTheme="minorBidi" w:hAnsiTheme="minorBidi"/>
        </w:rPr>
        <w:t xml:space="preserve">We note with grave concern that Israel </w:t>
      </w:r>
      <w:r>
        <w:rPr>
          <w:rFonts w:asciiTheme="minorBidi" w:hAnsiTheme="minorBidi"/>
        </w:rPr>
        <w:t xml:space="preserve">continues to </w:t>
      </w:r>
      <w:r w:rsidRPr="00187C8E">
        <w:rPr>
          <w:rFonts w:asciiTheme="minorBidi" w:hAnsiTheme="minorBidi"/>
        </w:rPr>
        <w:t>maintain its position that the Convention is not applicable in the West Bank but is applicable in the whole of Jerusalem</w:t>
      </w:r>
      <w:r>
        <w:rPr>
          <w:rFonts w:asciiTheme="minorBidi" w:hAnsiTheme="minorBidi"/>
        </w:rPr>
        <w:t>, and</w:t>
      </w:r>
      <w:r w:rsidRPr="00187C8E">
        <w:rPr>
          <w:rFonts w:asciiTheme="minorBidi" w:hAnsiTheme="minorBidi"/>
        </w:rPr>
        <w:t xml:space="preserve"> reiterated this point during its review by the Committee on Economic, Social and Cultural Rights (CESCR) in early October 2019</w:t>
      </w:r>
      <w:r>
        <w:rPr>
          <w:rFonts w:asciiTheme="minorBidi" w:hAnsiTheme="minorBidi"/>
        </w:rPr>
        <w:t>.</w:t>
      </w:r>
      <w:r w:rsidR="004D1968">
        <w:rPr>
          <w:rFonts w:asciiTheme="minorBidi" w:hAnsiTheme="minorBidi"/>
        </w:rPr>
        <w:t xml:space="preserve"> </w:t>
      </w:r>
      <w:r>
        <w:rPr>
          <w:rFonts w:asciiTheme="minorBidi" w:hAnsiTheme="minorBidi"/>
        </w:rPr>
        <w:t xml:space="preserve">Israel argued </w:t>
      </w:r>
      <w:r w:rsidRPr="00187C8E">
        <w:rPr>
          <w:rFonts w:asciiTheme="minorBidi" w:hAnsiTheme="minorBidi"/>
        </w:rPr>
        <w:t xml:space="preserve">that international humanitarian law and human rights law cannot be applied </w:t>
      </w:r>
      <w:r>
        <w:rPr>
          <w:rFonts w:asciiTheme="minorBidi" w:hAnsiTheme="minorBidi"/>
        </w:rPr>
        <w:t xml:space="preserve">because </w:t>
      </w:r>
      <w:r w:rsidRPr="00187C8E">
        <w:rPr>
          <w:rFonts w:asciiTheme="minorBidi" w:hAnsiTheme="minorBidi"/>
        </w:rPr>
        <w:t>the Occupied Palestinian Territories (OPT</w:t>
      </w:r>
      <w:r>
        <w:rPr>
          <w:rFonts w:asciiTheme="minorBidi" w:hAnsiTheme="minorBidi"/>
        </w:rPr>
        <w:t>)</w:t>
      </w:r>
      <w:r w:rsidRPr="00187C8E">
        <w:rPr>
          <w:rFonts w:asciiTheme="minorBidi" w:hAnsiTheme="minorBidi"/>
        </w:rPr>
        <w:t xml:space="preserve"> </w:t>
      </w:r>
      <w:r>
        <w:rPr>
          <w:rFonts w:asciiTheme="minorBidi" w:hAnsiTheme="minorBidi"/>
        </w:rPr>
        <w:t>are</w:t>
      </w:r>
      <w:r w:rsidRPr="00187C8E">
        <w:rPr>
          <w:rFonts w:asciiTheme="minorBidi" w:hAnsiTheme="minorBidi"/>
        </w:rPr>
        <w:t xml:space="preserve"> not part of the territory of Israel and therefore the ICERD will not be applied there</w:t>
      </w:r>
      <w:r>
        <w:rPr>
          <w:rFonts w:asciiTheme="minorBidi" w:hAnsiTheme="minorBidi"/>
        </w:rPr>
        <w:t xml:space="preserve"> either</w:t>
      </w:r>
      <w:r w:rsidRPr="00187C8E">
        <w:rPr>
          <w:rFonts w:asciiTheme="minorBidi" w:hAnsiTheme="minorBidi"/>
        </w:rPr>
        <w:t xml:space="preserve">. </w:t>
      </w:r>
    </w:p>
    <w:p w14:paraId="22516B56" w14:textId="77777777" w:rsidR="00A35C1D" w:rsidRPr="00187C8E" w:rsidRDefault="00A35C1D" w:rsidP="00A35C1D">
      <w:pPr>
        <w:pStyle w:val="ListParagraph"/>
        <w:numPr>
          <w:ilvl w:val="0"/>
          <w:numId w:val="37"/>
        </w:numPr>
        <w:spacing w:after="80"/>
        <w:contextualSpacing w:val="0"/>
        <w:jc w:val="both"/>
        <w:rPr>
          <w:rFonts w:asciiTheme="minorBidi" w:hAnsiTheme="minorBidi"/>
        </w:rPr>
      </w:pPr>
      <w:r w:rsidRPr="00187C8E">
        <w:rPr>
          <w:rFonts w:asciiTheme="minorBidi" w:hAnsiTheme="minorBidi"/>
        </w:rPr>
        <w:t xml:space="preserve">We would </w:t>
      </w:r>
      <w:r>
        <w:rPr>
          <w:rFonts w:asciiTheme="minorBidi" w:hAnsiTheme="minorBidi"/>
        </w:rPr>
        <w:t xml:space="preserve">like </w:t>
      </w:r>
      <w:r w:rsidRPr="00187C8E">
        <w:rPr>
          <w:rFonts w:asciiTheme="minorBidi" w:hAnsiTheme="minorBidi"/>
        </w:rPr>
        <w:t>point out, as members of the CESCR did, and as CERD did in its previous concluding observations</w:t>
      </w:r>
      <w:r w:rsidRPr="0052725C">
        <w:rPr>
          <w:rStyle w:val="FootnoteReference"/>
          <w:rFonts w:asciiTheme="minorBidi" w:hAnsiTheme="minorBidi"/>
        </w:rPr>
        <w:footnoteReference w:id="1"/>
      </w:r>
      <w:r w:rsidRPr="0052725C">
        <w:rPr>
          <w:rFonts w:asciiTheme="minorBidi" w:hAnsiTheme="minorBidi"/>
        </w:rPr>
        <w:t xml:space="preserve">, </w:t>
      </w:r>
      <w:r w:rsidRPr="00556706">
        <w:rPr>
          <w:rFonts w:asciiTheme="minorBidi" w:hAnsiTheme="minorBidi"/>
        </w:rPr>
        <w:t xml:space="preserve">that </w:t>
      </w:r>
      <w:r w:rsidRPr="007C669D">
        <w:rPr>
          <w:rFonts w:asciiTheme="minorBidi" w:hAnsiTheme="minorBidi"/>
        </w:rPr>
        <w:t xml:space="preserve">it is </w:t>
      </w:r>
      <w:r>
        <w:rPr>
          <w:rFonts w:asciiTheme="minorBidi" w:hAnsiTheme="minorBidi"/>
        </w:rPr>
        <w:t xml:space="preserve">a </w:t>
      </w:r>
      <w:r w:rsidRPr="007C669D">
        <w:rPr>
          <w:rFonts w:asciiTheme="minorBidi" w:hAnsiTheme="minorBidi"/>
        </w:rPr>
        <w:t xml:space="preserve">widely accepted principle of </w:t>
      </w:r>
      <w:r>
        <w:rPr>
          <w:rFonts w:asciiTheme="minorBidi" w:hAnsiTheme="minorBidi"/>
        </w:rPr>
        <w:t>international</w:t>
      </w:r>
      <w:r w:rsidRPr="007C669D">
        <w:rPr>
          <w:rFonts w:asciiTheme="minorBidi" w:hAnsiTheme="minorBidi"/>
        </w:rPr>
        <w:t xml:space="preserve"> law that human </w:t>
      </w:r>
      <w:r w:rsidRPr="00CB2EC1">
        <w:rPr>
          <w:rFonts w:asciiTheme="minorBidi" w:hAnsiTheme="minorBidi"/>
        </w:rPr>
        <w:t xml:space="preserve">rights duties also apply to areas under the effective control of the State party, as affirmed by the International Court of Justice in its 2004 advisory opinion on the </w:t>
      </w:r>
      <w:r>
        <w:rPr>
          <w:rFonts w:asciiTheme="minorBidi" w:hAnsiTheme="minorBidi"/>
        </w:rPr>
        <w:t>W</w:t>
      </w:r>
      <w:r w:rsidRPr="00CB2EC1">
        <w:rPr>
          <w:rFonts w:asciiTheme="minorBidi" w:hAnsiTheme="minorBidi"/>
        </w:rPr>
        <w:t>all; and that human rights law and humanitarian law can apply concurrently in situation</w:t>
      </w:r>
      <w:r>
        <w:rPr>
          <w:rFonts w:asciiTheme="minorBidi" w:hAnsiTheme="minorBidi"/>
        </w:rPr>
        <w:t>s</w:t>
      </w:r>
      <w:r w:rsidRPr="007912FE">
        <w:rPr>
          <w:rFonts w:asciiTheme="minorBidi" w:hAnsiTheme="minorBidi"/>
        </w:rPr>
        <w:t xml:space="preserve"> of armed conflict such at the present one.</w:t>
      </w:r>
    </w:p>
    <w:p w14:paraId="288F7D96" w14:textId="77777777" w:rsidR="00A35C1D" w:rsidRPr="00187C8E" w:rsidRDefault="00A35C1D" w:rsidP="00A35C1D">
      <w:pPr>
        <w:pStyle w:val="ListParagraph"/>
        <w:numPr>
          <w:ilvl w:val="0"/>
          <w:numId w:val="37"/>
        </w:numPr>
        <w:spacing w:after="80" w:line="240" w:lineRule="auto"/>
        <w:contextualSpacing w:val="0"/>
        <w:jc w:val="both"/>
        <w:rPr>
          <w:rFonts w:asciiTheme="minorBidi" w:hAnsiTheme="minorBidi"/>
        </w:rPr>
      </w:pPr>
      <w:r w:rsidRPr="00187C8E">
        <w:rPr>
          <w:rFonts w:asciiTheme="minorBidi" w:hAnsiTheme="minorBidi"/>
        </w:rPr>
        <w:t xml:space="preserve">We regret that Israel uses this pretext to avoid answering the Committee’s questions regarding issues in the OPT. </w:t>
      </w:r>
    </w:p>
    <w:p w14:paraId="23D1B7F0" w14:textId="77777777" w:rsidR="00A35C1D" w:rsidRPr="00187C8E" w:rsidRDefault="00A35C1D" w:rsidP="00A35C1D">
      <w:pPr>
        <w:pStyle w:val="ListParagraph"/>
        <w:numPr>
          <w:ilvl w:val="0"/>
          <w:numId w:val="37"/>
        </w:numPr>
        <w:spacing w:after="80" w:line="240" w:lineRule="auto"/>
        <w:contextualSpacing w:val="0"/>
        <w:jc w:val="both"/>
        <w:rPr>
          <w:rFonts w:asciiTheme="minorBidi" w:hAnsiTheme="minorBidi"/>
        </w:rPr>
      </w:pPr>
      <w:r w:rsidRPr="00187C8E">
        <w:rPr>
          <w:rFonts w:asciiTheme="minorBidi" w:hAnsiTheme="minorBidi"/>
        </w:rPr>
        <w:t>Our report will focus on the discrimination in law and practice against the Arab population living both in Israel and the OPT.</w:t>
      </w:r>
    </w:p>
    <w:p w14:paraId="3F8A40DD" w14:textId="77777777" w:rsidR="00A35C1D" w:rsidRPr="00187C8E" w:rsidRDefault="00A35C1D" w:rsidP="00A35C1D">
      <w:pPr>
        <w:pStyle w:val="ListParagraph"/>
        <w:numPr>
          <w:ilvl w:val="0"/>
          <w:numId w:val="37"/>
        </w:numPr>
        <w:spacing w:after="80" w:line="240" w:lineRule="auto"/>
        <w:contextualSpacing w:val="0"/>
        <w:jc w:val="both"/>
        <w:rPr>
          <w:rFonts w:asciiTheme="minorBidi" w:hAnsiTheme="minorBidi"/>
        </w:rPr>
      </w:pPr>
      <w:r w:rsidRPr="00187C8E">
        <w:rPr>
          <w:rFonts w:asciiTheme="minorBidi" w:hAnsiTheme="minorBidi"/>
        </w:rPr>
        <w:t>We will include, at the end of this report, questions and recommendations that we suggest the Committee ask Israel during its review.</w:t>
      </w:r>
    </w:p>
    <w:p w14:paraId="35E72D7C" w14:textId="77777777" w:rsidR="00A35C1D" w:rsidRPr="00187C8E" w:rsidRDefault="00A35C1D" w:rsidP="00A35C1D">
      <w:pPr>
        <w:spacing w:after="80" w:line="240" w:lineRule="auto"/>
        <w:jc w:val="both"/>
        <w:rPr>
          <w:rFonts w:asciiTheme="minorBidi" w:hAnsiTheme="minorBidi"/>
        </w:rPr>
      </w:pPr>
    </w:p>
    <w:p w14:paraId="00C8C7AA" w14:textId="77777777" w:rsidR="00A35C1D" w:rsidRPr="00A35C1D" w:rsidRDefault="00A35C1D" w:rsidP="00A35C1D">
      <w:pPr>
        <w:pStyle w:val="Heading1"/>
        <w:rPr>
          <w:color w:val="BE7500" w:themeColor="accent3" w:themeShade="BF"/>
        </w:rPr>
      </w:pPr>
      <w:bookmarkStart w:id="3" w:name="_Toc23323388"/>
      <w:r w:rsidRPr="00A35C1D">
        <w:rPr>
          <w:color w:val="BE7500" w:themeColor="accent3" w:themeShade="BF"/>
        </w:rPr>
        <w:t>I. Discrimination against the Arab population in Israel</w:t>
      </w:r>
      <w:bookmarkEnd w:id="3"/>
    </w:p>
    <w:p w14:paraId="31A08187" w14:textId="77777777" w:rsidR="00A35C1D" w:rsidRPr="00187C8E" w:rsidRDefault="00A35C1D" w:rsidP="00A35C1D">
      <w:pPr>
        <w:pStyle w:val="ListParagraph"/>
        <w:numPr>
          <w:ilvl w:val="0"/>
          <w:numId w:val="37"/>
        </w:numPr>
        <w:spacing w:after="80" w:line="240" w:lineRule="auto"/>
        <w:contextualSpacing w:val="0"/>
        <w:jc w:val="both"/>
        <w:rPr>
          <w:rFonts w:asciiTheme="minorBidi" w:hAnsiTheme="minorBidi"/>
        </w:rPr>
      </w:pPr>
      <w:r w:rsidRPr="00187C8E">
        <w:rPr>
          <w:rFonts w:asciiTheme="minorBidi" w:hAnsiTheme="minorBidi"/>
        </w:rPr>
        <w:t>The Arab citizens living in Israel constitute up to 21 per cent of the total population of people living in the Israeli territory.</w:t>
      </w:r>
    </w:p>
    <w:p w14:paraId="7595D76E" w14:textId="77777777" w:rsidR="00A35C1D" w:rsidRPr="0052725C" w:rsidRDefault="00A35C1D" w:rsidP="00A35C1D">
      <w:pPr>
        <w:pStyle w:val="ListParagraph"/>
        <w:numPr>
          <w:ilvl w:val="0"/>
          <w:numId w:val="37"/>
        </w:numPr>
        <w:spacing w:after="80" w:line="240" w:lineRule="auto"/>
        <w:contextualSpacing w:val="0"/>
        <w:jc w:val="both"/>
        <w:rPr>
          <w:rFonts w:asciiTheme="minorBidi" w:hAnsiTheme="minorBidi"/>
        </w:rPr>
      </w:pPr>
      <w:r>
        <w:rPr>
          <w:rFonts w:asciiTheme="minorBidi" w:hAnsiTheme="minorBidi"/>
        </w:rPr>
        <w:t>As Arabs constitute</w:t>
      </w:r>
      <w:r w:rsidRPr="00187C8E">
        <w:rPr>
          <w:rFonts w:asciiTheme="minorBidi" w:hAnsiTheme="minorBidi"/>
        </w:rPr>
        <w:t xml:space="preserve"> one fifth of the </w:t>
      </w:r>
      <w:r>
        <w:rPr>
          <w:rFonts w:asciiTheme="minorBidi" w:hAnsiTheme="minorBidi"/>
        </w:rPr>
        <w:t xml:space="preserve">Israeli </w:t>
      </w:r>
      <w:r w:rsidRPr="00187C8E">
        <w:rPr>
          <w:rFonts w:asciiTheme="minorBidi" w:hAnsiTheme="minorBidi"/>
        </w:rPr>
        <w:t xml:space="preserve">population, </w:t>
      </w:r>
      <w:r>
        <w:rPr>
          <w:rFonts w:asciiTheme="minorBidi" w:hAnsiTheme="minorBidi"/>
        </w:rPr>
        <w:t xml:space="preserve">their </w:t>
      </w:r>
      <w:r w:rsidRPr="00187C8E">
        <w:rPr>
          <w:rFonts w:asciiTheme="minorBidi" w:hAnsiTheme="minorBidi"/>
        </w:rPr>
        <w:t xml:space="preserve">culture and interests must be </w:t>
      </w:r>
      <w:proofErr w:type="gramStart"/>
      <w:r w:rsidRPr="00187C8E">
        <w:rPr>
          <w:rFonts w:asciiTheme="minorBidi" w:hAnsiTheme="minorBidi"/>
        </w:rPr>
        <w:t>taken into account</w:t>
      </w:r>
      <w:proofErr w:type="gramEnd"/>
      <w:r w:rsidRPr="00187C8E">
        <w:rPr>
          <w:rFonts w:asciiTheme="minorBidi" w:hAnsiTheme="minorBidi"/>
        </w:rPr>
        <w:t xml:space="preserve"> when drafting legislation and policies. </w:t>
      </w:r>
      <w:r>
        <w:rPr>
          <w:rFonts w:asciiTheme="minorBidi" w:hAnsiTheme="minorBidi"/>
        </w:rPr>
        <w:t>A</w:t>
      </w:r>
      <w:r w:rsidRPr="00187C8E">
        <w:rPr>
          <w:rFonts w:asciiTheme="minorBidi" w:hAnsiTheme="minorBidi"/>
        </w:rPr>
        <w:t>s outlined by scholars, “Democracy</w:t>
      </w:r>
      <w:r w:rsidRPr="00187C8E">
        <w:t xml:space="preserve"> </w:t>
      </w:r>
      <w:r w:rsidRPr="00187C8E">
        <w:rPr>
          <w:rFonts w:asciiTheme="minorBidi" w:hAnsiTheme="minorBidi"/>
        </w:rPr>
        <w:t>is about majority rule while respecting the rights of minorities.”</w:t>
      </w:r>
      <w:r w:rsidRPr="0052725C">
        <w:rPr>
          <w:rStyle w:val="FootnoteReference"/>
          <w:rFonts w:asciiTheme="minorBidi" w:hAnsiTheme="minorBidi"/>
        </w:rPr>
        <w:footnoteReference w:id="2"/>
      </w:r>
    </w:p>
    <w:p w14:paraId="107695EE" w14:textId="77777777" w:rsidR="00A35C1D" w:rsidRPr="00CB2EC1" w:rsidRDefault="00A35C1D" w:rsidP="00A35C1D">
      <w:pPr>
        <w:spacing w:after="80" w:line="240" w:lineRule="auto"/>
        <w:jc w:val="both"/>
        <w:rPr>
          <w:rFonts w:asciiTheme="minorBidi" w:hAnsiTheme="minorBidi"/>
          <w:b/>
          <w:bCs/>
        </w:rPr>
      </w:pPr>
    </w:p>
    <w:p w14:paraId="30628A2D" w14:textId="77777777" w:rsidR="00A35C1D" w:rsidRPr="00A35C1D" w:rsidRDefault="00A35C1D" w:rsidP="00A35C1D">
      <w:pPr>
        <w:pStyle w:val="Heading2"/>
        <w:rPr>
          <w:color w:val="BE7500" w:themeColor="accent3" w:themeShade="BF"/>
        </w:rPr>
      </w:pPr>
      <w:bookmarkStart w:id="4" w:name="_Toc23323389"/>
      <w:r w:rsidRPr="00A35C1D">
        <w:rPr>
          <w:color w:val="BE7500" w:themeColor="accent3" w:themeShade="BF"/>
        </w:rPr>
        <w:lastRenderedPageBreak/>
        <w:t>Basic Law: Israel – the Nation State of the Jewish People</w:t>
      </w:r>
      <w:bookmarkEnd w:id="4"/>
    </w:p>
    <w:p w14:paraId="4F5BBB76" w14:textId="77777777" w:rsidR="00A35C1D" w:rsidRPr="00187C8E" w:rsidRDefault="00A35C1D" w:rsidP="00A35C1D">
      <w:pPr>
        <w:pStyle w:val="ListParagraph"/>
        <w:numPr>
          <w:ilvl w:val="0"/>
          <w:numId w:val="37"/>
        </w:numPr>
        <w:spacing w:after="80" w:line="240" w:lineRule="auto"/>
        <w:contextualSpacing w:val="0"/>
        <w:jc w:val="both"/>
        <w:rPr>
          <w:rFonts w:asciiTheme="minorBidi" w:hAnsiTheme="minorBidi"/>
        </w:rPr>
      </w:pPr>
      <w:bookmarkStart w:id="5" w:name="_Hlk22737116"/>
      <w:r w:rsidRPr="00187C8E">
        <w:rPr>
          <w:rFonts w:asciiTheme="minorBidi" w:hAnsiTheme="minorBidi"/>
        </w:rPr>
        <w:t xml:space="preserve">One prominent issue </w:t>
      </w:r>
      <w:proofErr w:type="gramStart"/>
      <w:r w:rsidRPr="00187C8E">
        <w:rPr>
          <w:rFonts w:asciiTheme="minorBidi" w:hAnsiTheme="minorBidi"/>
        </w:rPr>
        <w:t>at the moment</w:t>
      </w:r>
      <w:proofErr w:type="gramEnd"/>
      <w:r w:rsidRPr="00187C8E">
        <w:rPr>
          <w:rFonts w:asciiTheme="minorBidi" w:hAnsiTheme="minorBidi"/>
        </w:rPr>
        <w:t xml:space="preserve"> is the </w:t>
      </w:r>
      <w:r>
        <w:rPr>
          <w:rFonts w:asciiTheme="minorBidi" w:hAnsiTheme="minorBidi"/>
        </w:rPr>
        <w:t>B</w:t>
      </w:r>
      <w:r w:rsidRPr="00187C8E">
        <w:rPr>
          <w:rFonts w:asciiTheme="minorBidi" w:hAnsiTheme="minorBidi"/>
        </w:rPr>
        <w:t xml:space="preserve">asic </w:t>
      </w:r>
      <w:r>
        <w:rPr>
          <w:rFonts w:asciiTheme="minorBidi" w:hAnsiTheme="minorBidi"/>
        </w:rPr>
        <w:t>L</w:t>
      </w:r>
      <w:r w:rsidRPr="00187C8E">
        <w:rPr>
          <w:rFonts w:asciiTheme="minorBidi" w:hAnsiTheme="minorBidi"/>
        </w:rPr>
        <w:t xml:space="preserve">aw adopted on 19 July 2018 and entitled “Israel - the Nation State of the Jewish People” (the 2018 </w:t>
      </w:r>
      <w:r>
        <w:rPr>
          <w:rFonts w:asciiTheme="minorBidi" w:hAnsiTheme="minorBidi"/>
        </w:rPr>
        <w:t>B</w:t>
      </w:r>
      <w:r w:rsidRPr="00187C8E">
        <w:rPr>
          <w:rFonts w:asciiTheme="minorBidi" w:hAnsiTheme="minorBidi"/>
        </w:rPr>
        <w:t xml:space="preserve">asic </w:t>
      </w:r>
      <w:r>
        <w:rPr>
          <w:rFonts w:asciiTheme="minorBidi" w:hAnsiTheme="minorBidi"/>
        </w:rPr>
        <w:t>L</w:t>
      </w:r>
      <w:r w:rsidRPr="00187C8E">
        <w:rPr>
          <w:rFonts w:asciiTheme="minorBidi" w:hAnsiTheme="minorBidi"/>
        </w:rPr>
        <w:t>aw).</w:t>
      </w:r>
    </w:p>
    <w:p w14:paraId="0D3372EA" w14:textId="77777777" w:rsidR="00A35C1D" w:rsidRPr="00187C8E" w:rsidRDefault="00A35C1D" w:rsidP="00A35C1D">
      <w:pPr>
        <w:pStyle w:val="ListParagraph"/>
        <w:numPr>
          <w:ilvl w:val="0"/>
          <w:numId w:val="37"/>
        </w:numPr>
        <w:spacing w:after="80" w:line="240" w:lineRule="auto"/>
        <w:contextualSpacing w:val="0"/>
        <w:jc w:val="both"/>
        <w:rPr>
          <w:rFonts w:asciiTheme="minorBidi" w:hAnsiTheme="minorBidi"/>
        </w:rPr>
      </w:pPr>
      <w:r>
        <w:rPr>
          <w:rFonts w:asciiTheme="minorBidi" w:hAnsiTheme="minorBidi"/>
        </w:rPr>
        <w:t>T</w:t>
      </w:r>
      <w:r w:rsidRPr="00187C8E">
        <w:rPr>
          <w:rFonts w:asciiTheme="minorBidi" w:hAnsiTheme="minorBidi"/>
        </w:rPr>
        <w:t xml:space="preserve">he 2018 </w:t>
      </w:r>
      <w:r>
        <w:rPr>
          <w:rFonts w:asciiTheme="minorBidi" w:hAnsiTheme="minorBidi"/>
        </w:rPr>
        <w:t>B</w:t>
      </w:r>
      <w:r w:rsidRPr="00187C8E">
        <w:rPr>
          <w:rFonts w:asciiTheme="minorBidi" w:hAnsiTheme="minorBidi"/>
        </w:rPr>
        <w:t xml:space="preserve">asic </w:t>
      </w:r>
      <w:r>
        <w:rPr>
          <w:rFonts w:asciiTheme="minorBidi" w:hAnsiTheme="minorBidi"/>
        </w:rPr>
        <w:t>L</w:t>
      </w:r>
      <w:r w:rsidRPr="00187C8E">
        <w:rPr>
          <w:rFonts w:asciiTheme="minorBidi" w:hAnsiTheme="minorBidi"/>
        </w:rPr>
        <w:t xml:space="preserve">aw stipulates that the right to exercise national self-determination in Israel is “unique to the Jewish people”; </w:t>
      </w:r>
      <w:bookmarkEnd w:id="5"/>
      <w:r w:rsidRPr="00187C8E">
        <w:rPr>
          <w:rFonts w:asciiTheme="minorBidi" w:hAnsiTheme="minorBidi"/>
        </w:rPr>
        <w:t>establishes Hebrew as Israel’s official language, downgrading Arabic to a “special status”; and constitutionally elevates “Jewish settlement as a national value.”</w:t>
      </w:r>
    </w:p>
    <w:p w14:paraId="09CC34B5" w14:textId="77777777" w:rsidR="00A35C1D" w:rsidRDefault="00A35C1D" w:rsidP="00A35C1D">
      <w:pPr>
        <w:pStyle w:val="ListParagraph"/>
        <w:numPr>
          <w:ilvl w:val="0"/>
          <w:numId w:val="37"/>
        </w:numPr>
        <w:spacing w:after="80" w:line="240" w:lineRule="auto"/>
        <w:jc w:val="both"/>
        <w:rPr>
          <w:rFonts w:asciiTheme="minorBidi" w:hAnsiTheme="minorBidi"/>
        </w:rPr>
      </w:pPr>
      <w:r w:rsidRPr="00187C8E">
        <w:rPr>
          <w:rFonts w:asciiTheme="minorBidi" w:hAnsiTheme="minorBidi"/>
        </w:rPr>
        <w:t xml:space="preserve">Each of these points </w:t>
      </w:r>
      <w:r>
        <w:rPr>
          <w:rFonts w:asciiTheme="minorBidi" w:hAnsiTheme="minorBidi"/>
        </w:rPr>
        <w:t>is</w:t>
      </w:r>
      <w:r w:rsidRPr="00187C8E">
        <w:rPr>
          <w:rFonts w:asciiTheme="minorBidi" w:hAnsiTheme="minorBidi"/>
        </w:rPr>
        <w:t xml:space="preserve"> worrying. First, all people have the right to self-determination according to the Charter of the United Nations. Second, the fact that Arabic is no longer considered an official language in Israel is contrary to the goal of including Arabs in the population, even though officials stated that this will lead to no changes regarding translation of official documents in</w:t>
      </w:r>
      <w:r>
        <w:rPr>
          <w:rFonts w:asciiTheme="minorBidi" w:hAnsiTheme="minorBidi"/>
        </w:rPr>
        <w:t>to</w:t>
      </w:r>
      <w:r w:rsidRPr="00187C8E">
        <w:rPr>
          <w:rFonts w:asciiTheme="minorBidi" w:hAnsiTheme="minorBidi"/>
        </w:rPr>
        <w:t xml:space="preserve"> Arabic. Finally, considering Jewish settlements </w:t>
      </w:r>
      <w:r>
        <w:rPr>
          <w:rFonts w:asciiTheme="minorBidi" w:hAnsiTheme="minorBidi"/>
        </w:rPr>
        <w:t>as</w:t>
      </w:r>
      <w:r w:rsidRPr="00187C8E">
        <w:rPr>
          <w:rFonts w:asciiTheme="minorBidi" w:hAnsiTheme="minorBidi"/>
        </w:rPr>
        <w:t xml:space="preserve"> a national value while they are prohibited under international law</w:t>
      </w:r>
      <w:r w:rsidRPr="0052725C">
        <w:rPr>
          <w:rStyle w:val="FootnoteReference"/>
          <w:rFonts w:asciiTheme="minorBidi" w:hAnsiTheme="minorBidi"/>
        </w:rPr>
        <w:footnoteReference w:id="3"/>
      </w:r>
      <w:r w:rsidRPr="0052725C">
        <w:rPr>
          <w:rFonts w:asciiTheme="minorBidi" w:hAnsiTheme="minorBidi"/>
        </w:rPr>
        <w:t xml:space="preserve"> clearly disregards Israel’s international obligations. </w:t>
      </w:r>
    </w:p>
    <w:p w14:paraId="7A0EB1FB" w14:textId="77777777" w:rsidR="00A35C1D" w:rsidRPr="007C669D" w:rsidRDefault="00A35C1D" w:rsidP="00A35C1D">
      <w:pPr>
        <w:pStyle w:val="ListParagraph"/>
        <w:numPr>
          <w:ilvl w:val="0"/>
          <w:numId w:val="37"/>
        </w:numPr>
        <w:spacing w:after="80" w:line="240" w:lineRule="auto"/>
        <w:jc w:val="both"/>
        <w:rPr>
          <w:rFonts w:asciiTheme="minorBidi" w:hAnsiTheme="minorBidi"/>
        </w:rPr>
      </w:pPr>
      <w:r w:rsidRPr="0052725C">
        <w:rPr>
          <w:rFonts w:asciiTheme="minorBidi" w:hAnsiTheme="minorBidi"/>
        </w:rPr>
        <w:t xml:space="preserve">Moreover, the 2018 </w:t>
      </w:r>
      <w:r>
        <w:rPr>
          <w:rFonts w:asciiTheme="minorBidi" w:hAnsiTheme="minorBidi"/>
        </w:rPr>
        <w:t>B</w:t>
      </w:r>
      <w:r w:rsidRPr="0052725C">
        <w:rPr>
          <w:rFonts w:asciiTheme="minorBidi" w:hAnsiTheme="minorBidi"/>
        </w:rPr>
        <w:t xml:space="preserve">asic </w:t>
      </w:r>
      <w:r>
        <w:rPr>
          <w:rFonts w:asciiTheme="minorBidi" w:hAnsiTheme="minorBidi"/>
        </w:rPr>
        <w:t>L</w:t>
      </w:r>
      <w:r w:rsidRPr="0052725C">
        <w:rPr>
          <w:rFonts w:asciiTheme="minorBidi" w:hAnsiTheme="minorBidi"/>
        </w:rPr>
        <w:t>aw reiterates that Jerusalem</w:t>
      </w:r>
      <w:r w:rsidRPr="00556706">
        <w:rPr>
          <w:rFonts w:asciiTheme="minorBidi" w:hAnsiTheme="minorBidi"/>
        </w:rPr>
        <w:t>,</w:t>
      </w:r>
      <w:r w:rsidRPr="007C669D">
        <w:rPr>
          <w:rFonts w:asciiTheme="minorBidi" w:hAnsiTheme="minorBidi"/>
        </w:rPr>
        <w:t xml:space="preserve"> “complete and united, is the capital of Israel”</w:t>
      </w:r>
      <w:r w:rsidRPr="0052725C">
        <w:rPr>
          <w:rStyle w:val="FootnoteReference"/>
          <w:rFonts w:asciiTheme="minorBidi" w:hAnsiTheme="minorBidi"/>
        </w:rPr>
        <w:footnoteReference w:id="4"/>
      </w:r>
      <w:r w:rsidRPr="0052725C">
        <w:rPr>
          <w:rFonts w:asciiTheme="minorBidi" w:hAnsiTheme="minorBidi"/>
        </w:rPr>
        <w:t xml:space="preserve">; this wording is problematic as it </w:t>
      </w:r>
      <w:r>
        <w:rPr>
          <w:rFonts w:asciiTheme="minorBidi" w:hAnsiTheme="minorBidi"/>
        </w:rPr>
        <w:t>highlights</w:t>
      </w:r>
      <w:r w:rsidRPr="0052725C">
        <w:rPr>
          <w:rFonts w:asciiTheme="minorBidi" w:hAnsiTheme="minorBidi"/>
        </w:rPr>
        <w:t xml:space="preserve"> the will of the </w:t>
      </w:r>
      <w:r w:rsidRPr="00556706">
        <w:rPr>
          <w:rFonts w:asciiTheme="minorBidi" w:hAnsiTheme="minorBidi"/>
        </w:rPr>
        <w:t>State to be in control of both parts of Jerusalem, while East Jerusalem is currently the capital of Palestine.</w:t>
      </w:r>
    </w:p>
    <w:p w14:paraId="20CEED29" w14:textId="77777777" w:rsidR="00A35C1D" w:rsidRPr="00187C8E" w:rsidRDefault="00A35C1D" w:rsidP="00A35C1D">
      <w:pPr>
        <w:pStyle w:val="ListParagraph"/>
        <w:numPr>
          <w:ilvl w:val="0"/>
          <w:numId w:val="37"/>
        </w:numPr>
        <w:spacing w:after="80" w:line="240" w:lineRule="auto"/>
        <w:jc w:val="both"/>
        <w:rPr>
          <w:rFonts w:asciiTheme="minorBidi" w:hAnsiTheme="minorBidi"/>
        </w:rPr>
      </w:pPr>
      <w:r w:rsidRPr="00CB2EC1">
        <w:rPr>
          <w:rFonts w:asciiTheme="minorBidi" w:hAnsiTheme="minorBidi"/>
        </w:rPr>
        <w:t xml:space="preserve">The </w:t>
      </w:r>
      <w:r>
        <w:rPr>
          <w:rFonts w:asciiTheme="minorBidi" w:hAnsiTheme="minorBidi"/>
        </w:rPr>
        <w:t>very</w:t>
      </w:r>
      <w:r w:rsidRPr="00CB2EC1">
        <w:rPr>
          <w:rFonts w:asciiTheme="minorBidi" w:hAnsiTheme="minorBidi"/>
        </w:rPr>
        <w:t xml:space="preserve"> act of describing Israel as a Jewish State, in every basic law and other documents, discriminates against minorities living in Israel and </w:t>
      </w:r>
      <w:r w:rsidRPr="007912FE">
        <w:rPr>
          <w:rFonts w:asciiTheme="minorBidi" w:hAnsiTheme="minorBidi"/>
        </w:rPr>
        <w:t>prevents their full integration</w:t>
      </w:r>
      <w:r w:rsidRPr="00187C8E">
        <w:rPr>
          <w:rFonts w:asciiTheme="minorBidi" w:hAnsiTheme="minorBidi"/>
        </w:rPr>
        <w:t xml:space="preserve">. </w:t>
      </w:r>
    </w:p>
    <w:p w14:paraId="3D6D04DA" w14:textId="77777777" w:rsidR="00A35C1D" w:rsidRPr="00A35C1D" w:rsidRDefault="00A35C1D" w:rsidP="00A35C1D">
      <w:pPr>
        <w:pStyle w:val="ListParagraph"/>
        <w:numPr>
          <w:ilvl w:val="0"/>
          <w:numId w:val="37"/>
        </w:numPr>
        <w:spacing w:after="80" w:line="240" w:lineRule="auto"/>
        <w:contextualSpacing w:val="0"/>
        <w:jc w:val="both"/>
        <w:rPr>
          <w:rFonts w:asciiTheme="minorBidi" w:hAnsiTheme="minorBidi"/>
        </w:rPr>
      </w:pPr>
      <w:r w:rsidRPr="00187C8E">
        <w:rPr>
          <w:rFonts w:asciiTheme="minorBidi" w:hAnsiTheme="minorBidi"/>
        </w:rPr>
        <w:t xml:space="preserve">During the CESCR review, the questions asked regarding the 2018 </w:t>
      </w:r>
      <w:r>
        <w:rPr>
          <w:rFonts w:asciiTheme="minorBidi" w:hAnsiTheme="minorBidi"/>
        </w:rPr>
        <w:t>B</w:t>
      </w:r>
      <w:r w:rsidRPr="00187C8E">
        <w:rPr>
          <w:rFonts w:asciiTheme="minorBidi" w:hAnsiTheme="minorBidi"/>
        </w:rPr>
        <w:t>asi</w:t>
      </w:r>
      <w:r>
        <w:rPr>
          <w:rFonts w:asciiTheme="minorBidi" w:hAnsiTheme="minorBidi"/>
        </w:rPr>
        <w:t>c</w:t>
      </w:r>
      <w:r w:rsidRPr="00187C8E">
        <w:rPr>
          <w:rFonts w:asciiTheme="minorBidi" w:hAnsiTheme="minorBidi"/>
        </w:rPr>
        <w:t xml:space="preserve"> </w:t>
      </w:r>
      <w:r>
        <w:rPr>
          <w:rFonts w:asciiTheme="minorBidi" w:hAnsiTheme="minorBidi"/>
        </w:rPr>
        <w:t>L</w:t>
      </w:r>
      <w:r w:rsidRPr="00187C8E">
        <w:rPr>
          <w:rFonts w:asciiTheme="minorBidi" w:hAnsiTheme="minorBidi"/>
        </w:rPr>
        <w:t xml:space="preserve">aw unfortunately </w:t>
      </w:r>
      <w:r>
        <w:rPr>
          <w:rFonts w:asciiTheme="minorBidi" w:hAnsiTheme="minorBidi"/>
        </w:rPr>
        <w:t xml:space="preserve">received only </w:t>
      </w:r>
      <w:r w:rsidRPr="00187C8E">
        <w:rPr>
          <w:rFonts w:asciiTheme="minorBidi" w:hAnsiTheme="minorBidi"/>
        </w:rPr>
        <w:t>partial answers</w:t>
      </w:r>
      <w:r>
        <w:rPr>
          <w:rFonts w:asciiTheme="minorBidi" w:hAnsiTheme="minorBidi"/>
        </w:rPr>
        <w:t>.</w:t>
      </w:r>
      <w:r w:rsidRPr="00187C8E">
        <w:rPr>
          <w:rFonts w:asciiTheme="minorBidi" w:hAnsiTheme="minorBidi"/>
        </w:rPr>
        <w:t xml:space="preserve"> </w:t>
      </w:r>
      <w:r>
        <w:rPr>
          <w:rFonts w:asciiTheme="minorBidi" w:hAnsiTheme="minorBidi"/>
        </w:rPr>
        <w:t>T</w:t>
      </w:r>
      <w:r w:rsidRPr="00187C8E">
        <w:rPr>
          <w:rFonts w:asciiTheme="minorBidi" w:hAnsiTheme="minorBidi"/>
        </w:rPr>
        <w:t xml:space="preserve">he </w:t>
      </w:r>
      <w:r w:rsidRPr="00A35C1D">
        <w:rPr>
          <w:rFonts w:asciiTheme="minorBidi" w:hAnsiTheme="minorBidi"/>
        </w:rPr>
        <w:t>delegation stated that the government does not derogate on rights protected under other basic laws, but that they could not further elaborate as the High Court of Justice is currently examining petitions filed against this 2018 Basic Law, and a response is expected on 17 November 2019.</w:t>
      </w:r>
    </w:p>
    <w:p w14:paraId="1A5FF990" w14:textId="77777777" w:rsidR="00A35C1D" w:rsidRPr="00A35C1D" w:rsidRDefault="00A35C1D" w:rsidP="00A35C1D">
      <w:pPr>
        <w:pStyle w:val="ListParagraph"/>
        <w:numPr>
          <w:ilvl w:val="0"/>
          <w:numId w:val="37"/>
        </w:numPr>
        <w:spacing w:after="80" w:line="240" w:lineRule="auto"/>
        <w:contextualSpacing w:val="0"/>
        <w:jc w:val="both"/>
        <w:rPr>
          <w:rFonts w:asciiTheme="minorBidi" w:hAnsiTheme="minorBidi"/>
        </w:rPr>
      </w:pPr>
      <w:r w:rsidRPr="00A35C1D">
        <w:rPr>
          <w:rFonts w:asciiTheme="minorBidi" w:hAnsiTheme="minorBidi"/>
        </w:rPr>
        <w:t>We hope that, as the review of Israel by CERD will be held after the 17 November, the delegation will this time provide adequate answers to the concerns raised.</w:t>
      </w:r>
    </w:p>
    <w:p w14:paraId="6EF5BF09" w14:textId="77777777" w:rsidR="00A35C1D" w:rsidRDefault="00A35C1D" w:rsidP="00A35C1D">
      <w:pPr>
        <w:spacing w:after="80" w:line="240" w:lineRule="auto"/>
        <w:jc w:val="both"/>
        <w:rPr>
          <w:rFonts w:asciiTheme="minorBidi" w:hAnsiTheme="minorBidi"/>
        </w:rPr>
      </w:pPr>
    </w:p>
    <w:p w14:paraId="64AE9F2C" w14:textId="77777777" w:rsidR="00A35C1D" w:rsidRPr="00A35C1D" w:rsidRDefault="00A35C1D" w:rsidP="00A35C1D">
      <w:pPr>
        <w:pStyle w:val="Heading2"/>
        <w:rPr>
          <w:color w:val="BE7500" w:themeColor="accent3" w:themeShade="BF"/>
        </w:rPr>
      </w:pPr>
      <w:bookmarkStart w:id="6" w:name="_Toc23323390"/>
      <w:r w:rsidRPr="00A35C1D">
        <w:rPr>
          <w:color w:val="BE7500" w:themeColor="accent3" w:themeShade="BF"/>
        </w:rPr>
        <w:t>Allocation of benefits linked to military service</w:t>
      </w:r>
      <w:bookmarkEnd w:id="6"/>
    </w:p>
    <w:p w14:paraId="1A1D5233" w14:textId="77777777" w:rsidR="00A35C1D" w:rsidRDefault="00A35C1D" w:rsidP="00A35C1D">
      <w:pPr>
        <w:pStyle w:val="ListParagraph"/>
        <w:numPr>
          <w:ilvl w:val="0"/>
          <w:numId w:val="37"/>
        </w:numPr>
        <w:spacing w:after="80" w:line="240" w:lineRule="auto"/>
        <w:jc w:val="both"/>
        <w:rPr>
          <w:rFonts w:asciiTheme="minorBidi" w:hAnsiTheme="minorBidi"/>
        </w:rPr>
      </w:pPr>
      <w:r>
        <w:rPr>
          <w:rFonts w:asciiTheme="minorBidi" w:hAnsiTheme="minorBidi"/>
        </w:rPr>
        <w:t>Several laws provide that social benefits in Israel are bound to the completion of military service, which exclude minorities that are exempted from such service, such as the Palestinian citizens of Israel.</w:t>
      </w:r>
      <w:r w:rsidRPr="0082347E">
        <w:rPr>
          <w:rStyle w:val="FootnoteReference"/>
          <w:rFonts w:asciiTheme="minorBidi" w:hAnsiTheme="minorBidi"/>
        </w:rPr>
        <w:t xml:space="preserve"> </w:t>
      </w:r>
      <w:r>
        <w:rPr>
          <w:rFonts w:asciiTheme="minorBidi" w:hAnsiTheme="minorBidi"/>
        </w:rPr>
        <w:t>For example, Israelis who served in the army may obtain certain jobs that are not available to exempted minorities,</w:t>
      </w:r>
      <w:r w:rsidRPr="0052725C">
        <w:rPr>
          <w:rStyle w:val="FootnoteReference"/>
          <w:rFonts w:asciiTheme="minorBidi" w:hAnsiTheme="minorBidi"/>
        </w:rPr>
        <w:footnoteReference w:id="5"/>
      </w:r>
      <w:r>
        <w:rPr>
          <w:rFonts w:asciiTheme="minorBidi" w:hAnsiTheme="minorBidi"/>
        </w:rPr>
        <w:t xml:space="preserve"> and they can receive tuition and housing benefits.</w:t>
      </w:r>
      <w:r>
        <w:rPr>
          <w:rStyle w:val="FootnoteReference"/>
          <w:rFonts w:asciiTheme="minorBidi" w:hAnsiTheme="minorBidi"/>
        </w:rPr>
        <w:footnoteReference w:id="6"/>
      </w:r>
    </w:p>
    <w:p w14:paraId="71E721A0" w14:textId="77777777" w:rsidR="00A35C1D" w:rsidRPr="0021742A" w:rsidRDefault="00A35C1D" w:rsidP="00A35C1D">
      <w:pPr>
        <w:pStyle w:val="ListParagraph"/>
        <w:numPr>
          <w:ilvl w:val="0"/>
          <w:numId w:val="37"/>
        </w:numPr>
        <w:jc w:val="both"/>
        <w:rPr>
          <w:rFonts w:asciiTheme="minorBidi" w:hAnsiTheme="minorBidi"/>
        </w:rPr>
      </w:pPr>
      <w:r>
        <w:rPr>
          <w:rFonts w:asciiTheme="minorBidi" w:hAnsiTheme="minorBidi"/>
        </w:rPr>
        <w:t>However</w:t>
      </w:r>
      <w:r w:rsidRPr="00CB2EC1">
        <w:rPr>
          <w:rFonts w:asciiTheme="minorBidi" w:hAnsiTheme="minorBidi"/>
        </w:rPr>
        <w:t>, many ultra-Orthodox do not serve in the army</w:t>
      </w:r>
      <w:r w:rsidRPr="008F2C61">
        <w:rPr>
          <w:rFonts w:asciiTheme="minorBidi" w:hAnsiTheme="minorBidi"/>
        </w:rPr>
        <w:t xml:space="preserve"> </w:t>
      </w:r>
      <w:r w:rsidRPr="00CB2EC1">
        <w:rPr>
          <w:rFonts w:asciiTheme="minorBidi" w:hAnsiTheme="minorBidi"/>
        </w:rPr>
        <w:t>either but</w:t>
      </w:r>
      <w:r>
        <w:rPr>
          <w:rFonts w:asciiTheme="minorBidi" w:hAnsiTheme="minorBidi"/>
        </w:rPr>
        <w:t xml:space="preserve"> do </w:t>
      </w:r>
      <w:r w:rsidRPr="00CB2EC1">
        <w:rPr>
          <w:rFonts w:asciiTheme="minorBidi" w:hAnsiTheme="minorBidi"/>
        </w:rPr>
        <w:t>receive State support for their studies, which is not the case for Arabs.</w:t>
      </w:r>
      <w:r w:rsidRPr="0052725C">
        <w:rPr>
          <w:rStyle w:val="FootnoteReference"/>
          <w:rFonts w:asciiTheme="minorBidi" w:hAnsiTheme="minorBidi"/>
        </w:rPr>
        <w:footnoteReference w:id="7"/>
      </w:r>
    </w:p>
    <w:p w14:paraId="4B01F2AE" w14:textId="77777777" w:rsidR="00A35C1D" w:rsidRPr="0021742A" w:rsidRDefault="00A35C1D" w:rsidP="00A35C1D">
      <w:pPr>
        <w:pStyle w:val="ListParagraph"/>
        <w:numPr>
          <w:ilvl w:val="0"/>
          <w:numId w:val="37"/>
        </w:numPr>
        <w:spacing w:after="80" w:line="240" w:lineRule="auto"/>
        <w:jc w:val="both"/>
        <w:rPr>
          <w:rFonts w:asciiTheme="minorBidi" w:hAnsiTheme="minorBidi"/>
        </w:rPr>
      </w:pPr>
      <w:r>
        <w:rPr>
          <w:rFonts w:asciiTheme="minorBidi" w:hAnsiTheme="minorBidi"/>
        </w:rPr>
        <w:t>We regret that the Committee previously recommended the abrogation of laws discriminating against non-Jewish minorities with reference to the access to economic and social benefits,</w:t>
      </w:r>
      <w:r w:rsidRPr="0052725C">
        <w:rPr>
          <w:rStyle w:val="FootnoteReference"/>
          <w:rFonts w:asciiTheme="minorBidi" w:hAnsiTheme="minorBidi"/>
        </w:rPr>
        <w:footnoteReference w:id="8"/>
      </w:r>
      <w:r>
        <w:rPr>
          <w:rFonts w:asciiTheme="minorBidi" w:hAnsiTheme="minorBidi"/>
        </w:rPr>
        <w:t xml:space="preserve"> but that such discriminatory laws are still implemented.</w:t>
      </w:r>
    </w:p>
    <w:p w14:paraId="24C7EB48" w14:textId="77777777" w:rsidR="00A35C1D" w:rsidRPr="007912FE" w:rsidRDefault="00A35C1D" w:rsidP="00A35C1D">
      <w:pPr>
        <w:spacing w:after="80" w:line="240" w:lineRule="auto"/>
        <w:jc w:val="both"/>
        <w:rPr>
          <w:rFonts w:asciiTheme="minorBidi" w:hAnsiTheme="minorBidi"/>
        </w:rPr>
      </w:pPr>
    </w:p>
    <w:p w14:paraId="2499FC7A" w14:textId="77777777" w:rsidR="00A35C1D" w:rsidRPr="00A35C1D" w:rsidRDefault="00A35C1D" w:rsidP="00A35C1D">
      <w:pPr>
        <w:pStyle w:val="Heading2"/>
        <w:rPr>
          <w:color w:val="BE7500" w:themeColor="accent3" w:themeShade="BF"/>
        </w:rPr>
      </w:pPr>
      <w:bookmarkStart w:id="7" w:name="_Toc23323391"/>
      <w:r w:rsidRPr="00A35C1D">
        <w:rPr>
          <w:color w:val="BE7500" w:themeColor="accent3" w:themeShade="BF"/>
        </w:rPr>
        <w:lastRenderedPageBreak/>
        <w:t>Insufficient legal framework for protection against discrimination</w:t>
      </w:r>
      <w:bookmarkEnd w:id="7"/>
    </w:p>
    <w:p w14:paraId="4277AD8F" w14:textId="77777777" w:rsidR="00A35C1D" w:rsidRPr="00CB2EC1" w:rsidRDefault="00A35C1D" w:rsidP="00A35C1D">
      <w:pPr>
        <w:pStyle w:val="ListParagraph"/>
        <w:numPr>
          <w:ilvl w:val="0"/>
          <w:numId w:val="37"/>
        </w:numPr>
        <w:jc w:val="both"/>
        <w:rPr>
          <w:rFonts w:asciiTheme="minorBidi" w:hAnsiTheme="minorBidi"/>
        </w:rPr>
      </w:pPr>
      <w:r w:rsidRPr="00187C8E">
        <w:rPr>
          <w:rFonts w:asciiTheme="minorBidi" w:hAnsiTheme="minorBidi"/>
        </w:rPr>
        <w:t xml:space="preserve">The Israeli core document refers to the </w:t>
      </w:r>
      <w:r w:rsidRPr="00187C8E">
        <w:rPr>
          <w:rFonts w:asciiTheme="minorBidi" w:hAnsiTheme="minorBidi"/>
          <w:b/>
          <w:bCs/>
        </w:rPr>
        <w:t>Prohibition of Discrimination in Products, Services and Entry into Places of Entertainment and Public Places Law</w:t>
      </w:r>
      <w:r w:rsidRPr="00187C8E">
        <w:rPr>
          <w:rFonts w:asciiTheme="minorBidi" w:hAnsiTheme="minorBidi"/>
        </w:rPr>
        <w:t xml:space="preserve"> 5761–2000, which prohibits discrimination in the provision of public products of services;</w:t>
      </w:r>
      <w:r w:rsidRPr="0052725C">
        <w:rPr>
          <w:rStyle w:val="FootnoteReference"/>
          <w:rFonts w:asciiTheme="minorBidi" w:hAnsiTheme="minorBidi"/>
        </w:rPr>
        <w:footnoteReference w:id="9"/>
      </w:r>
      <w:r w:rsidRPr="0052725C">
        <w:rPr>
          <w:rFonts w:asciiTheme="minorBidi" w:hAnsiTheme="minorBidi"/>
        </w:rPr>
        <w:t xml:space="preserve"> the </w:t>
      </w:r>
      <w:r w:rsidRPr="00556706">
        <w:rPr>
          <w:rFonts w:asciiTheme="minorBidi" w:hAnsiTheme="minorBidi"/>
          <w:b/>
          <w:bCs/>
        </w:rPr>
        <w:t xml:space="preserve">Women’s Employment Law </w:t>
      </w:r>
      <w:r w:rsidRPr="007C669D">
        <w:rPr>
          <w:rFonts w:asciiTheme="minorBidi" w:hAnsiTheme="minorBidi"/>
        </w:rPr>
        <w:t>5714–1954, amended in 2010 and 2011 to legally enshrine the obligation to ensure equali</w:t>
      </w:r>
      <w:r w:rsidRPr="00CB2EC1">
        <w:rPr>
          <w:rFonts w:asciiTheme="minorBidi" w:hAnsiTheme="minorBidi"/>
        </w:rPr>
        <w:t>ty and to prohibit discrimination of women and differing familial units;</w:t>
      </w:r>
      <w:r w:rsidRPr="0052725C">
        <w:rPr>
          <w:rStyle w:val="FootnoteReference"/>
          <w:rFonts w:asciiTheme="minorBidi" w:hAnsiTheme="minorBidi"/>
        </w:rPr>
        <w:footnoteReference w:id="10"/>
      </w:r>
      <w:r w:rsidRPr="0052725C">
        <w:rPr>
          <w:rFonts w:asciiTheme="minorBidi" w:hAnsiTheme="minorBidi"/>
        </w:rPr>
        <w:t xml:space="preserve"> and the </w:t>
      </w:r>
      <w:r w:rsidRPr="00556706">
        <w:rPr>
          <w:rFonts w:asciiTheme="minorBidi" w:hAnsiTheme="minorBidi"/>
          <w:b/>
          <w:bCs/>
        </w:rPr>
        <w:t>Law for the Authority for Advancing the Status of Women</w:t>
      </w:r>
      <w:r w:rsidRPr="007C669D">
        <w:rPr>
          <w:rFonts w:asciiTheme="minorBidi" w:hAnsiTheme="minorBidi"/>
        </w:rPr>
        <w:t xml:space="preserve"> 5758–1998, which aims, among other goals, to implement the International Convention on the Elimination of All Forms of</w:t>
      </w:r>
      <w:r w:rsidRPr="00CB2EC1">
        <w:rPr>
          <w:rFonts w:asciiTheme="minorBidi" w:hAnsiTheme="minorBidi"/>
        </w:rPr>
        <w:t xml:space="preserve"> Discrimination against Women.</w:t>
      </w:r>
    </w:p>
    <w:p w14:paraId="044A2D9B" w14:textId="77777777" w:rsidR="00A35C1D" w:rsidRPr="0052725C" w:rsidRDefault="00A35C1D" w:rsidP="00A35C1D">
      <w:pPr>
        <w:pStyle w:val="ListParagraph"/>
        <w:numPr>
          <w:ilvl w:val="0"/>
          <w:numId w:val="37"/>
        </w:numPr>
        <w:spacing w:after="80" w:line="240" w:lineRule="auto"/>
        <w:jc w:val="both"/>
        <w:rPr>
          <w:rFonts w:asciiTheme="minorBidi" w:hAnsiTheme="minorBidi"/>
        </w:rPr>
      </w:pPr>
      <w:r w:rsidRPr="00187C8E">
        <w:rPr>
          <w:rFonts w:asciiTheme="minorBidi" w:hAnsiTheme="minorBidi"/>
        </w:rPr>
        <w:t>The document then mentions that “there are also several laws which have been specifically created to protect certain minority and disadvantaged groups, who have historically suffered from discrimination. In the Israeli context, such groups have tended to include Arab, Druze and individuals who were born in Ethiopia or who have at least one parent born in Ethiopia.”</w:t>
      </w:r>
      <w:r w:rsidRPr="0052725C">
        <w:rPr>
          <w:rStyle w:val="FootnoteReference"/>
          <w:rFonts w:asciiTheme="minorBidi" w:hAnsiTheme="minorBidi"/>
        </w:rPr>
        <w:footnoteReference w:id="11"/>
      </w:r>
    </w:p>
    <w:p w14:paraId="2CC440F1" w14:textId="281E8D69" w:rsidR="00A35C1D" w:rsidRPr="00556706" w:rsidRDefault="00A35C1D" w:rsidP="00A35C1D">
      <w:pPr>
        <w:pStyle w:val="ListParagraph"/>
        <w:numPr>
          <w:ilvl w:val="0"/>
          <w:numId w:val="37"/>
        </w:numPr>
        <w:spacing w:after="80" w:line="240" w:lineRule="auto"/>
        <w:jc w:val="both"/>
        <w:rPr>
          <w:rFonts w:asciiTheme="minorBidi" w:hAnsiTheme="minorBidi"/>
        </w:rPr>
      </w:pPr>
      <w:r w:rsidRPr="00556706">
        <w:rPr>
          <w:rFonts w:asciiTheme="minorBidi" w:hAnsiTheme="minorBidi"/>
        </w:rPr>
        <w:t>Nevertheless, these laws only relate to the adequate representation of Druze and Ethiopians in the civil service</w:t>
      </w:r>
      <w:r w:rsidRPr="007C669D">
        <w:rPr>
          <w:rFonts w:asciiTheme="minorBidi" w:hAnsiTheme="minorBidi"/>
        </w:rPr>
        <w:t>.</w:t>
      </w:r>
      <w:r w:rsidRPr="0052725C">
        <w:rPr>
          <w:rStyle w:val="FootnoteReference"/>
          <w:rFonts w:asciiTheme="minorBidi" w:hAnsiTheme="minorBidi"/>
        </w:rPr>
        <w:footnoteReference w:id="12"/>
      </w:r>
      <w:r w:rsidRPr="0052725C">
        <w:rPr>
          <w:rFonts w:asciiTheme="minorBidi" w:hAnsiTheme="minorBidi"/>
        </w:rPr>
        <w:t xml:space="preserve"> </w:t>
      </w:r>
    </w:p>
    <w:p w14:paraId="7FFC28C6" w14:textId="4ED463E1" w:rsidR="00A35C1D" w:rsidRPr="00556706" w:rsidRDefault="00A35C1D" w:rsidP="00A35C1D">
      <w:pPr>
        <w:pStyle w:val="ListParagraph"/>
        <w:numPr>
          <w:ilvl w:val="0"/>
          <w:numId w:val="37"/>
        </w:numPr>
        <w:spacing w:after="80" w:line="240" w:lineRule="auto"/>
        <w:jc w:val="both"/>
        <w:rPr>
          <w:rFonts w:asciiTheme="minorBidi" w:hAnsiTheme="minorBidi"/>
        </w:rPr>
      </w:pPr>
      <w:r w:rsidRPr="00CB2EC1">
        <w:rPr>
          <w:rFonts w:asciiTheme="minorBidi" w:hAnsiTheme="minorBidi"/>
        </w:rPr>
        <w:t xml:space="preserve">Even though the State reports affirms that “Israel condemns all forms of racial discrimination, and its Government has maintained a consistent policy prohibiting such </w:t>
      </w:r>
      <w:r w:rsidRPr="007912FE">
        <w:rPr>
          <w:rFonts w:asciiTheme="minorBidi" w:hAnsiTheme="minorBidi"/>
        </w:rPr>
        <w:t>discrimination</w:t>
      </w:r>
      <w:r>
        <w:rPr>
          <w:rFonts w:asciiTheme="minorBidi" w:hAnsiTheme="minorBidi"/>
        </w:rPr>
        <w:t>,</w:t>
      </w:r>
      <w:r w:rsidRPr="007912FE">
        <w:rPr>
          <w:rFonts w:asciiTheme="minorBidi" w:hAnsiTheme="minorBidi"/>
        </w:rPr>
        <w:t>”</w:t>
      </w:r>
      <w:r w:rsidRPr="0052725C">
        <w:rPr>
          <w:rStyle w:val="FootnoteReference"/>
          <w:rFonts w:asciiTheme="minorBidi" w:hAnsiTheme="minorBidi"/>
        </w:rPr>
        <w:footnoteReference w:id="13"/>
      </w:r>
      <w:r w:rsidRPr="0052725C">
        <w:rPr>
          <w:rFonts w:asciiTheme="minorBidi" w:hAnsiTheme="minorBidi"/>
        </w:rPr>
        <w:t xml:space="preserve"> it is worrying to note that </w:t>
      </w:r>
      <w:bookmarkStart w:id="8" w:name="_Hlk22738948"/>
      <w:r w:rsidRPr="0052725C">
        <w:rPr>
          <w:rFonts w:asciiTheme="minorBidi" w:hAnsiTheme="minorBidi"/>
        </w:rPr>
        <w:t>according to the 2015 Israeli core document, Israel does not have a law which provide</w:t>
      </w:r>
      <w:r w:rsidRPr="007C669D">
        <w:rPr>
          <w:rFonts w:asciiTheme="minorBidi" w:hAnsiTheme="minorBidi"/>
        </w:rPr>
        <w:t>s a</w:t>
      </w:r>
      <w:r w:rsidRPr="000226D0">
        <w:rPr>
          <w:rFonts w:asciiTheme="minorBidi" w:hAnsiTheme="minorBidi"/>
        </w:rPr>
        <w:t xml:space="preserve"> comprehensive definition of discrimination</w:t>
      </w:r>
      <w:r w:rsidRPr="00CB2EC1">
        <w:rPr>
          <w:rFonts w:asciiTheme="minorBidi" w:hAnsiTheme="minorBidi"/>
        </w:rPr>
        <w:t xml:space="preserve"> –</w:t>
      </w:r>
      <w:r w:rsidRPr="007912FE">
        <w:rPr>
          <w:rFonts w:asciiTheme="minorBidi" w:hAnsiTheme="minorBidi"/>
        </w:rPr>
        <w:t xml:space="preserve"> </w:t>
      </w:r>
      <w:r w:rsidR="004D1968">
        <w:rPr>
          <w:rFonts w:asciiTheme="minorBidi" w:hAnsiTheme="minorBidi"/>
        </w:rPr>
        <w:t>definition which was</w:t>
      </w:r>
      <w:r w:rsidRPr="007912FE">
        <w:rPr>
          <w:rFonts w:asciiTheme="minorBidi" w:hAnsiTheme="minorBidi"/>
        </w:rPr>
        <w:t xml:space="preserve"> </w:t>
      </w:r>
      <w:r w:rsidRPr="00187C8E">
        <w:rPr>
          <w:rFonts w:asciiTheme="minorBidi" w:hAnsiTheme="minorBidi"/>
        </w:rPr>
        <w:t>request</w:t>
      </w:r>
      <w:r w:rsidR="004D1968">
        <w:rPr>
          <w:rFonts w:asciiTheme="minorBidi" w:hAnsiTheme="minorBidi"/>
        </w:rPr>
        <w:t>ed</w:t>
      </w:r>
      <w:r w:rsidRPr="00187C8E">
        <w:rPr>
          <w:rFonts w:asciiTheme="minorBidi" w:hAnsiTheme="minorBidi"/>
        </w:rPr>
        <w:t xml:space="preserve"> by the CERD in the last two concluding observations</w:t>
      </w:r>
      <w:bookmarkEnd w:id="8"/>
      <w:r w:rsidRPr="00187C8E">
        <w:rPr>
          <w:rFonts w:asciiTheme="minorBidi" w:hAnsiTheme="minorBidi"/>
        </w:rPr>
        <w:t>.</w:t>
      </w:r>
      <w:r w:rsidRPr="0052725C">
        <w:rPr>
          <w:rStyle w:val="FootnoteReference"/>
          <w:rFonts w:asciiTheme="minorBidi" w:hAnsiTheme="minorBidi"/>
        </w:rPr>
        <w:footnoteReference w:id="14"/>
      </w:r>
    </w:p>
    <w:p w14:paraId="07B54239" w14:textId="77777777" w:rsidR="00A35C1D" w:rsidRPr="000226D0" w:rsidRDefault="00A35C1D" w:rsidP="00A35C1D">
      <w:pPr>
        <w:spacing w:after="80" w:line="240" w:lineRule="auto"/>
        <w:jc w:val="both"/>
        <w:rPr>
          <w:rFonts w:asciiTheme="minorBidi" w:hAnsiTheme="minorBidi"/>
        </w:rPr>
      </w:pPr>
    </w:p>
    <w:p w14:paraId="4FBA35C9" w14:textId="77777777" w:rsidR="00A35C1D" w:rsidRPr="00A35C1D" w:rsidRDefault="00A35C1D" w:rsidP="00A35C1D">
      <w:pPr>
        <w:pStyle w:val="Heading2"/>
        <w:rPr>
          <w:color w:val="BE7500" w:themeColor="accent3" w:themeShade="BF"/>
        </w:rPr>
      </w:pPr>
      <w:bookmarkStart w:id="9" w:name="_Toc23323392"/>
      <w:r w:rsidRPr="00A35C1D">
        <w:rPr>
          <w:color w:val="BE7500" w:themeColor="accent3" w:themeShade="BF"/>
        </w:rPr>
        <w:t>Lack of policy implementation leading to increased discrimination</w:t>
      </w:r>
      <w:bookmarkEnd w:id="9"/>
    </w:p>
    <w:p w14:paraId="35AE38E3" w14:textId="4731967E" w:rsidR="00A35C1D" w:rsidRPr="007C669D" w:rsidRDefault="00A35C1D" w:rsidP="00A35C1D">
      <w:pPr>
        <w:pStyle w:val="ListParagraph"/>
        <w:numPr>
          <w:ilvl w:val="0"/>
          <w:numId w:val="37"/>
        </w:numPr>
        <w:spacing w:after="80" w:line="240" w:lineRule="auto"/>
        <w:jc w:val="both"/>
        <w:rPr>
          <w:rFonts w:asciiTheme="minorBidi" w:hAnsiTheme="minorBidi"/>
        </w:rPr>
      </w:pPr>
      <w:r w:rsidRPr="007912FE">
        <w:rPr>
          <w:rFonts w:asciiTheme="minorBidi" w:hAnsiTheme="minorBidi"/>
        </w:rPr>
        <w:t xml:space="preserve">While Government resolution </w:t>
      </w:r>
      <w:r w:rsidR="0081022B">
        <w:rPr>
          <w:rFonts w:asciiTheme="minorBidi" w:hAnsiTheme="minorBidi"/>
        </w:rPr>
        <w:t>N</w:t>
      </w:r>
      <w:r w:rsidRPr="007912FE">
        <w:rPr>
          <w:rFonts w:asciiTheme="minorBidi" w:hAnsiTheme="minorBidi"/>
        </w:rPr>
        <w:t>o. 2579 of 2007 aimed to attain 10 per cent Arab r</w:t>
      </w:r>
      <w:r w:rsidRPr="00187C8E">
        <w:rPr>
          <w:rFonts w:asciiTheme="minorBidi" w:hAnsiTheme="minorBidi"/>
        </w:rPr>
        <w:t>epresentation in the Civil Service by 2012</w:t>
      </w:r>
      <w:r w:rsidRPr="0052725C">
        <w:rPr>
          <w:rStyle w:val="FootnoteReference"/>
          <w:rFonts w:asciiTheme="minorBidi" w:hAnsiTheme="minorBidi"/>
        </w:rPr>
        <w:footnoteReference w:id="15"/>
      </w:r>
      <w:r w:rsidRPr="0052725C">
        <w:rPr>
          <w:rFonts w:asciiTheme="minorBidi" w:hAnsiTheme="minorBidi"/>
        </w:rPr>
        <w:t>, annex 1 of the current State repo</w:t>
      </w:r>
      <w:r w:rsidRPr="00556706">
        <w:rPr>
          <w:rFonts w:asciiTheme="minorBidi" w:hAnsiTheme="minorBidi"/>
        </w:rPr>
        <w:t>rt</w:t>
      </w:r>
      <w:r w:rsidR="0081022B">
        <w:rPr>
          <w:rFonts w:asciiTheme="minorBidi" w:hAnsiTheme="minorBidi"/>
        </w:rPr>
        <w:t>s</w:t>
      </w:r>
      <w:r w:rsidRPr="00556706">
        <w:rPr>
          <w:rFonts w:asciiTheme="minorBidi" w:hAnsiTheme="minorBidi"/>
        </w:rPr>
        <w:t xml:space="preserve"> proudly announce</w:t>
      </w:r>
      <w:r>
        <w:rPr>
          <w:rFonts w:asciiTheme="minorBidi" w:hAnsiTheme="minorBidi"/>
        </w:rPr>
        <w:t>s</w:t>
      </w:r>
      <w:r w:rsidRPr="00556706">
        <w:rPr>
          <w:rFonts w:asciiTheme="minorBidi" w:hAnsiTheme="minorBidi"/>
        </w:rPr>
        <w:t xml:space="preserve"> that “In December 2015, 9.7% of all the Civil Service employees were Arabs, including Bedouins, Druze and Circassians (compared to 8.4% in 2012 and 6.17% in 2007).”</w:t>
      </w:r>
      <w:r w:rsidRPr="0052725C">
        <w:rPr>
          <w:rStyle w:val="FootnoteReference"/>
          <w:rFonts w:asciiTheme="minorBidi" w:hAnsiTheme="minorBidi"/>
        </w:rPr>
        <w:footnoteReference w:id="16"/>
      </w:r>
      <w:r w:rsidRPr="0052725C">
        <w:rPr>
          <w:rFonts w:asciiTheme="minorBidi" w:hAnsiTheme="minorBidi"/>
        </w:rPr>
        <w:t xml:space="preserve"> We regret that the efforts towards the inclusion of minorities in the</w:t>
      </w:r>
      <w:r w:rsidRPr="00556706">
        <w:rPr>
          <w:rFonts w:asciiTheme="minorBidi" w:hAnsiTheme="minorBidi"/>
        </w:rPr>
        <w:t xml:space="preserve"> Civil Service are not fulfilled.</w:t>
      </w:r>
    </w:p>
    <w:p w14:paraId="77C92046" w14:textId="77777777" w:rsidR="00A35C1D" w:rsidRDefault="00A35C1D" w:rsidP="00A35C1D">
      <w:pPr>
        <w:pStyle w:val="ListParagraph"/>
        <w:numPr>
          <w:ilvl w:val="0"/>
          <w:numId w:val="37"/>
        </w:numPr>
        <w:spacing w:after="80" w:line="240" w:lineRule="auto"/>
        <w:jc w:val="both"/>
        <w:rPr>
          <w:rFonts w:asciiTheme="minorBidi" w:hAnsiTheme="minorBidi"/>
        </w:rPr>
      </w:pPr>
      <w:r w:rsidRPr="000226D0">
        <w:rPr>
          <w:rFonts w:asciiTheme="minorBidi" w:hAnsiTheme="minorBidi"/>
        </w:rPr>
        <w:t>According to the delegation’s statements to the CESCR, they acknowledge that there are challenges in the labour market, especially regarding inclusiveness of Arab</w:t>
      </w:r>
      <w:r>
        <w:rPr>
          <w:rFonts w:asciiTheme="minorBidi" w:hAnsiTheme="minorBidi"/>
        </w:rPr>
        <w:t>s</w:t>
      </w:r>
      <w:r w:rsidRPr="000226D0">
        <w:rPr>
          <w:rFonts w:asciiTheme="minorBidi" w:hAnsiTheme="minorBidi"/>
        </w:rPr>
        <w:t xml:space="preserve"> and ultra-orthodox </w:t>
      </w:r>
      <w:r w:rsidRPr="00CB2EC1">
        <w:rPr>
          <w:rFonts w:asciiTheme="minorBidi" w:hAnsiTheme="minorBidi"/>
        </w:rPr>
        <w:t xml:space="preserve">Jews, but </w:t>
      </w:r>
      <w:r>
        <w:rPr>
          <w:rFonts w:asciiTheme="minorBidi" w:hAnsiTheme="minorBidi"/>
        </w:rPr>
        <w:t>claimed</w:t>
      </w:r>
      <w:r w:rsidRPr="00CB2EC1">
        <w:rPr>
          <w:rFonts w:asciiTheme="minorBidi" w:hAnsiTheme="minorBidi"/>
        </w:rPr>
        <w:t xml:space="preserve"> that 2018 research shows that policy implementation led to improvements regarding demographic and cultural issues in almost all sectors of employment. Nevertheless, they also </w:t>
      </w:r>
      <w:r>
        <w:rPr>
          <w:rFonts w:asciiTheme="minorBidi" w:hAnsiTheme="minorBidi"/>
        </w:rPr>
        <w:t>noted</w:t>
      </w:r>
      <w:r w:rsidRPr="00CB2EC1">
        <w:rPr>
          <w:rFonts w:asciiTheme="minorBidi" w:hAnsiTheme="minorBidi"/>
        </w:rPr>
        <w:t xml:space="preserve"> that only half of ultra-orthodox men and 37 per ce</w:t>
      </w:r>
      <w:r w:rsidRPr="007912FE">
        <w:rPr>
          <w:rFonts w:asciiTheme="minorBidi" w:hAnsiTheme="minorBidi"/>
        </w:rPr>
        <w:t>nt of Arab women are employed and that those who, among these population</w:t>
      </w:r>
      <w:r>
        <w:rPr>
          <w:rFonts w:asciiTheme="minorBidi" w:hAnsiTheme="minorBidi"/>
        </w:rPr>
        <w:t>s</w:t>
      </w:r>
      <w:r w:rsidRPr="007912FE">
        <w:rPr>
          <w:rFonts w:asciiTheme="minorBidi" w:hAnsiTheme="minorBidi"/>
        </w:rPr>
        <w:t>, are employed are often paid significantly less than average.</w:t>
      </w:r>
    </w:p>
    <w:p w14:paraId="79E80607" w14:textId="77777777" w:rsidR="00A35C1D" w:rsidRPr="00187C8E" w:rsidRDefault="00A35C1D" w:rsidP="00A35C1D">
      <w:pPr>
        <w:pStyle w:val="ListParagraph"/>
        <w:numPr>
          <w:ilvl w:val="0"/>
          <w:numId w:val="37"/>
        </w:numPr>
        <w:spacing w:after="80" w:line="240" w:lineRule="auto"/>
        <w:jc w:val="both"/>
        <w:rPr>
          <w:rFonts w:asciiTheme="minorBidi" w:hAnsiTheme="minorBidi"/>
        </w:rPr>
      </w:pPr>
      <w:r>
        <w:rPr>
          <w:rFonts w:asciiTheme="minorBidi" w:hAnsiTheme="minorBidi"/>
        </w:rPr>
        <w:lastRenderedPageBreak/>
        <w:t>Being aware of these difficulties, more steps should be taken to ensure the inclusion of the Arab population in the labour market and to address the wage gap for Arab women.</w:t>
      </w:r>
    </w:p>
    <w:p w14:paraId="553C2A43" w14:textId="77777777" w:rsidR="00A35C1D" w:rsidRPr="00187C8E" w:rsidRDefault="00A35C1D" w:rsidP="00A35C1D">
      <w:pPr>
        <w:spacing w:after="80" w:line="240" w:lineRule="auto"/>
        <w:jc w:val="both"/>
        <w:rPr>
          <w:rFonts w:asciiTheme="minorBidi" w:hAnsiTheme="minorBidi"/>
        </w:rPr>
      </w:pPr>
    </w:p>
    <w:p w14:paraId="002E1F97" w14:textId="77777777" w:rsidR="00A35C1D" w:rsidRPr="00A35C1D" w:rsidRDefault="00A35C1D" w:rsidP="00A35C1D">
      <w:pPr>
        <w:pStyle w:val="Heading2"/>
        <w:rPr>
          <w:color w:val="BE7500" w:themeColor="accent3" w:themeShade="BF"/>
        </w:rPr>
      </w:pPr>
      <w:bookmarkStart w:id="10" w:name="_Toc23323393"/>
      <w:r w:rsidRPr="00A35C1D">
        <w:rPr>
          <w:color w:val="BE7500" w:themeColor="accent3" w:themeShade="BF"/>
        </w:rPr>
        <w:t>Lengthy remedies</w:t>
      </w:r>
      <w:bookmarkEnd w:id="10"/>
    </w:p>
    <w:p w14:paraId="047E8FC4" w14:textId="77777777" w:rsidR="00A35C1D" w:rsidRPr="00187C8E" w:rsidRDefault="00A35C1D" w:rsidP="00A35C1D">
      <w:pPr>
        <w:pStyle w:val="ListParagraph"/>
        <w:numPr>
          <w:ilvl w:val="0"/>
          <w:numId w:val="37"/>
        </w:numPr>
        <w:spacing w:after="80" w:line="240" w:lineRule="auto"/>
        <w:jc w:val="both"/>
        <w:rPr>
          <w:rFonts w:asciiTheme="minorBidi" w:hAnsiTheme="minorBidi"/>
        </w:rPr>
      </w:pPr>
      <w:r w:rsidRPr="00187C8E">
        <w:rPr>
          <w:rFonts w:asciiTheme="minorBidi" w:hAnsiTheme="minorBidi"/>
        </w:rPr>
        <w:t xml:space="preserve">We regret that Israel does not list, neither in its core document nor in its State reports, the remedies available for people subjected to discrimination, hate speech and hate crimes. </w:t>
      </w:r>
    </w:p>
    <w:p w14:paraId="065E169E" w14:textId="18985C82" w:rsidR="00A35C1D" w:rsidRPr="00187C8E" w:rsidRDefault="00A35C1D" w:rsidP="00A35C1D">
      <w:pPr>
        <w:pStyle w:val="ListParagraph"/>
        <w:numPr>
          <w:ilvl w:val="0"/>
          <w:numId w:val="37"/>
        </w:numPr>
        <w:spacing w:after="80" w:line="240" w:lineRule="auto"/>
        <w:jc w:val="both"/>
        <w:rPr>
          <w:rFonts w:asciiTheme="minorBidi" w:hAnsiTheme="minorBidi"/>
        </w:rPr>
      </w:pPr>
      <w:r w:rsidRPr="00187C8E">
        <w:rPr>
          <w:rFonts w:asciiTheme="minorBidi" w:hAnsiTheme="minorBidi"/>
        </w:rPr>
        <w:t>It is worrying that table No.</w:t>
      </w:r>
      <w:r w:rsidR="0081022B">
        <w:rPr>
          <w:rFonts w:asciiTheme="minorBidi" w:hAnsiTheme="minorBidi"/>
        </w:rPr>
        <w:t xml:space="preserve"> </w:t>
      </w:r>
      <w:r w:rsidRPr="00187C8E">
        <w:rPr>
          <w:rFonts w:asciiTheme="minorBidi" w:hAnsiTheme="minorBidi"/>
        </w:rPr>
        <w:t>2 in annex 1 of the State report</w:t>
      </w:r>
      <w:r w:rsidR="0081022B">
        <w:rPr>
          <w:rFonts w:asciiTheme="minorBidi" w:hAnsiTheme="minorBidi"/>
        </w:rPr>
        <w:t>s</w:t>
      </w:r>
      <w:r w:rsidRPr="00187C8E">
        <w:rPr>
          <w:rFonts w:asciiTheme="minorBidi" w:hAnsiTheme="minorBidi"/>
        </w:rPr>
        <w:t xml:space="preserve"> shows that almost all discrimination cases filed since October 2015 are pending. Moreover, some cases dating from early 2014, especially relating to incitement of violence</w:t>
      </w:r>
      <w:r>
        <w:rPr>
          <w:rFonts w:asciiTheme="minorBidi" w:hAnsiTheme="minorBidi"/>
        </w:rPr>
        <w:t>,</w:t>
      </w:r>
      <w:r w:rsidRPr="00187C8E">
        <w:rPr>
          <w:rFonts w:asciiTheme="minorBidi" w:hAnsiTheme="minorBidi"/>
        </w:rPr>
        <w:t xml:space="preserve"> are still pending.</w:t>
      </w:r>
    </w:p>
    <w:p w14:paraId="62966707" w14:textId="77777777" w:rsidR="00A35C1D" w:rsidRPr="00187C8E" w:rsidRDefault="00A35C1D" w:rsidP="00A35C1D">
      <w:pPr>
        <w:pStyle w:val="ListParagraph"/>
        <w:numPr>
          <w:ilvl w:val="0"/>
          <w:numId w:val="37"/>
        </w:numPr>
        <w:spacing w:after="80" w:line="240" w:lineRule="auto"/>
        <w:jc w:val="both"/>
        <w:rPr>
          <w:rFonts w:asciiTheme="minorBidi" w:hAnsiTheme="minorBidi"/>
        </w:rPr>
      </w:pPr>
      <w:r w:rsidRPr="00187C8E">
        <w:rPr>
          <w:rFonts w:asciiTheme="minorBidi" w:hAnsiTheme="minorBidi"/>
        </w:rPr>
        <w:t>Th</w:t>
      </w:r>
      <w:r>
        <w:rPr>
          <w:rFonts w:asciiTheme="minorBidi" w:hAnsiTheme="minorBidi"/>
        </w:rPr>
        <w:t>e length of the procedure</w:t>
      </w:r>
      <w:r w:rsidRPr="00187C8E">
        <w:rPr>
          <w:rFonts w:asciiTheme="minorBidi" w:hAnsiTheme="minorBidi"/>
        </w:rPr>
        <w:t xml:space="preserve"> raises questions regarding </w:t>
      </w:r>
      <w:r>
        <w:rPr>
          <w:rFonts w:asciiTheme="minorBidi" w:hAnsiTheme="minorBidi"/>
        </w:rPr>
        <w:t>the compliance with article 6 of the ICERD, that requests effective protection and remedies.</w:t>
      </w:r>
    </w:p>
    <w:p w14:paraId="3EFB50FA" w14:textId="77777777" w:rsidR="00A35C1D" w:rsidRPr="00187C8E" w:rsidRDefault="00A35C1D" w:rsidP="00A35C1D">
      <w:pPr>
        <w:spacing w:after="80" w:line="240" w:lineRule="auto"/>
        <w:jc w:val="both"/>
        <w:rPr>
          <w:rFonts w:asciiTheme="minorBidi" w:hAnsiTheme="minorBidi"/>
        </w:rPr>
      </w:pPr>
    </w:p>
    <w:p w14:paraId="4A5E4CF4" w14:textId="77777777" w:rsidR="00A35C1D" w:rsidRPr="00A35C1D" w:rsidRDefault="00A35C1D" w:rsidP="00A35C1D">
      <w:pPr>
        <w:pStyle w:val="Heading2"/>
        <w:rPr>
          <w:color w:val="BE7500" w:themeColor="accent3" w:themeShade="BF"/>
        </w:rPr>
      </w:pPr>
      <w:bookmarkStart w:id="11" w:name="_Toc23323394"/>
      <w:r w:rsidRPr="00A35C1D">
        <w:rPr>
          <w:color w:val="BE7500" w:themeColor="accent3" w:themeShade="BF"/>
        </w:rPr>
        <w:t>Hate speech online</w:t>
      </w:r>
      <w:bookmarkEnd w:id="11"/>
      <w:r w:rsidRPr="00A35C1D">
        <w:rPr>
          <w:color w:val="BE7500" w:themeColor="accent3" w:themeShade="BF"/>
        </w:rPr>
        <w:t xml:space="preserve"> </w:t>
      </w:r>
    </w:p>
    <w:p w14:paraId="1EBB0715" w14:textId="77777777" w:rsidR="00A35C1D" w:rsidRPr="00187C8E" w:rsidRDefault="00A35C1D" w:rsidP="00A35C1D">
      <w:pPr>
        <w:pStyle w:val="ListParagraph"/>
        <w:numPr>
          <w:ilvl w:val="0"/>
          <w:numId w:val="37"/>
        </w:numPr>
        <w:spacing w:after="80" w:line="240" w:lineRule="auto"/>
        <w:jc w:val="both"/>
        <w:rPr>
          <w:rFonts w:asciiTheme="minorBidi" w:hAnsiTheme="minorBidi"/>
        </w:rPr>
      </w:pPr>
      <w:r w:rsidRPr="00187C8E">
        <w:rPr>
          <w:rFonts w:asciiTheme="minorBidi" w:hAnsiTheme="minorBidi"/>
        </w:rPr>
        <w:t>The issue of online incitement to hatred has been prevalent in the last few years, due to an increas</w:t>
      </w:r>
      <w:r>
        <w:rPr>
          <w:rFonts w:asciiTheme="minorBidi" w:hAnsiTheme="minorBidi"/>
        </w:rPr>
        <w:t>e in the</w:t>
      </w:r>
      <w:r w:rsidRPr="00187C8E">
        <w:rPr>
          <w:rFonts w:asciiTheme="minorBidi" w:hAnsiTheme="minorBidi"/>
        </w:rPr>
        <w:t xml:space="preserve"> use of the </w:t>
      </w:r>
      <w:r>
        <w:rPr>
          <w:rFonts w:asciiTheme="minorBidi" w:hAnsiTheme="minorBidi"/>
        </w:rPr>
        <w:t>I</w:t>
      </w:r>
      <w:r w:rsidRPr="00187C8E">
        <w:rPr>
          <w:rFonts w:asciiTheme="minorBidi" w:hAnsiTheme="minorBidi"/>
        </w:rPr>
        <w:t xml:space="preserve">nternet. The case of Israel is particularly of concern as members of the Government and high officials have been, </w:t>
      </w:r>
      <w:r>
        <w:rPr>
          <w:rFonts w:asciiTheme="minorBidi" w:hAnsiTheme="minorBidi"/>
        </w:rPr>
        <w:t>through</w:t>
      </w:r>
      <w:r w:rsidRPr="00187C8E">
        <w:rPr>
          <w:rFonts w:asciiTheme="minorBidi" w:hAnsiTheme="minorBidi"/>
        </w:rPr>
        <w:t xml:space="preserve"> social media or the press, trying to fuel hatred against Arabs and Palestinians across Israel. </w:t>
      </w:r>
    </w:p>
    <w:p w14:paraId="080B6D53" w14:textId="77777777" w:rsidR="00A35C1D" w:rsidRPr="00CB2EC1" w:rsidRDefault="00A35C1D" w:rsidP="00A35C1D">
      <w:pPr>
        <w:pStyle w:val="ListParagraph"/>
        <w:numPr>
          <w:ilvl w:val="0"/>
          <w:numId w:val="37"/>
        </w:numPr>
        <w:jc w:val="both"/>
        <w:rPr>
          <w:rFonts w:asciiTheme="minorBidi" w:hAnsiTheme="minorBidi"/>
        </w:rPr>
      </w:pPr>
      <w:r w:rsidRPr="00187C8E">
        <w:rPr>
          <w:rFonts w:asciiTheme="minorBidi" w:hAnsiTheme="minorBidi"/>
        </w:rPr>
        <w:t>A study from 7amleh Center states that in 2018 alone, 474,250 post</w:t>
      </w:r>
      <w:r>
        <w:rPr>
          <w:rFonts w:asciiTheme="minorBidi" w:hAnsiTheme="minorBidi"/>
        </w:rPr>
        <w:t>s</w:t>
      </w:r>
      <w:r w:rsidRPr="00187C8E">
        <w:rPr>
          <w:rFonts w:asciiTheme="minorBidi" w:hAnsiTheme="minorBidi"/>
        </w:rPr>
        <w:t xml:space="preserve"> </w:t>
      </w:r>
      <w:r>
        <w:rPr>
          <w:rFonts w:asciiTheme="minorBidi" w:hAnsiTheme="minorBidi"/>
        </w:rPr>
        <w:t xml:space="preserve">with hate content </w:t>
      </w:r>
      <w:r w:rsidRPr="00187C8E">
        <w:rPr>
          <w:rFonts w:asciiTheme="minorBidi" w:hAnsiTheme="minorBidi"/>
        </w:rPr>
        <w:t>were written on the different social media platforms.</w:t>
      </w:r>
      <w:r w:rsidRPr="0052725C">
        <w:rPr>
          <w:rStyle w:val="FootnoteReference"/>
          <w:rFonts w:asciiTheme="minorBidi" w:hAnsiTheme="minorBidi"/>
        </w:rPr>
        <w:footnoteReference w:id="17"/>
      </w:r>
      <w:r w:rsidRPr="0052725C">
        <w:rPr>
          <w:rFonts w:asciiTheme="minorBidi" w:hAnsiTheme="minorBidi"/>
        </w:rPr>
        <w:t xml:space="preserve"> These posts </w:t>
      </w:r>
      <w:r w:rsidRPr="007C669D">
        <w:rPr>
          <w:rFonts w:asciiTheme="minorBidi" w:hAnsiTheme="minorBidi"/>
        </w:rPr>
        <w:t>are</w:t>
      </w:r>
      <w:r w:rsidRPr="00B32D28">
        <w:rPr>
          <w:rFonts w:asciiTheme="minorBidi" w:hAnsiTheme="minorBidi"/>
        </w:rPr>
        <w:t xml:space="preserve"> either global or directed to an individual, </w:t>
      </w:r>
      <w:r>
        <w:rPr>
          <w:rFonts w:asciiTheme="minorBidi" w:hAnsiTheme="minorBidi"/>
        </w:rPr>
        <w:t xml:space="preserve">such </w:t>
      </w:r>
      <w:r w:rsidRPr="00B32D28">
        <w:rPr>
          <w:rFonts w:asciiTheme="minorBidi" w:hAnsiTheme="minorBidi"/>
        </w:rPr>
        <w:t>as Arab political representatives in the Knesset (Parliament).</w:t>
      </w:r>
    </w:p>
    <w:p w14:paraId="396DC193" w14:textId="77777777" w:rsidR="00A35C1D" w:rsidRPr="00556706" w:rsidRDefault="00A35C1D" w:rsidP="00A35C1D">
      <w:pPr>
        <w:pStyle w:val="ListParagraph"/>
        <w:numPr>
          <w:ilvl w:val="0"/>
          <w:numId w:val="37"/>
        </w:numPr>
        <w:jc w:val="both"/>
        <w:rPr>
          <w:rFonts w:asciiTheme="minorBidi" w:hAnsiTheme="minorBidi"/>
        </w:rPr>
      </w:pPr>
      <w:r>
        <w:rPr>
          <w:rFonts w:asciiTheme="minorBidi" w:hAnsiTheme="minorBidi"/>
        </w:rPr>
        <w:t>Israeli p</w:t>
      </w:r>
      <w:r w:rsidRPr="00CB2EC1">
        <w:rPr>
          <w:rFonts w:asciiTheme="minorBidi" w:hAnsiTheme="minorBidi"/>
        </w:rPr>
        <w:t>olitical representatives used hate speech wid</w:t>
      </w:r>
      <w:r w:rsidRPr="00230BAB">
        <w:rPr>
          <w:rFonts w:asciiTheme="minorBidi" w:hAnsiTheme="minorBidi"/>
        </w:rPr>
        <w:t xml:space="preserve">ely during the </w:t>
      </w:r>
      <w:r>
        <w:rPr>
          <w:rFonts w:asciiTheme="minorBidi" w:hAnsiTheme="minorBidi"/>
        </w:rPr>
        <w:t xml:space="preserve">recent </w:t>
      </w:r>
      <w:r w:rsidRPr="00230BAB">
        <w:rPr>
          <w:rFonts w:asciiTheme="minorBidi" w:hAnsiTheme="minorBidi"/>
        </w:rPr>
        <w:t>election campaigns. For example, the leade</w:t>
      </w:r>
      <w:r w:rsidRPr="00187C8E">
        <w:rPr>
          <w:rFonts w:asciiTheme="minorBidi" w:hAnsiTheme="minorBidi"/>
        </w:rPr>
        <w:t xml:space="preserve">r of the Blue and White party, Benny </w:t>
      </w:r>
      <w:proofErr w:type="spellStart"/>
      <w:r w:rsidRPr="00187C8E">
        <w:rPr>
          <w:rFonts w:asciiTheme="minorBidi" w:hAnsiTheme="minorBidi"/>
        </w:rPr>
        <w:t>Gantz</w:t>
      </w:r>
      <w:proofErr w:type="spellEnd"/>
      <w:r w:rsidRPr="00187C8E">
        <w:rPr>
          <w:rFonts w:asciiTheme="minorBidi" w:hAnsiTheme="minorBidi"/>
        </w:rPr>
        <w:t>, who was running for prime minister</w:t>
      </w:r>
      <w:r>
        <w:rPr>
          <w:rFonts w:asciiTheme="minorBidi" w:hAnsiTheme="minorBidi"/>
        </w:rPr>
        <w:t xml:space="preserve"> at that time</w:t>
      </w:r>
      <w:r w:rsidRPr="00187C8E">
        <w:rPr>
          <w:rFonts w:asciiTheme="minorBidi" w:hAnsiTheme="minorBidi"/>
        </w:rPr>
        <w:t>, published a video campaign boasting about the bombing of Gaza. In these videos, he showed images of Gaza after the 2014 war expressing pride in the fact that he sent parts of the Gaza Strip "back to the Stone Age".</w:t>
      </w:r>
      <w:r w:rsidRPr="0052725C">
        <w:rPr>
          <w:rStyle w:val="FootnoteReference"/>
          <w:rFonts w:asciiTheme="minorBidi" w:hAnsiTheme="minorBidi"/>
        </w:rPr>
        <w:footnoteReference w:id="18"/>
      </w:r>
      <w:r w:rsidRPr="0052725C">
        <w:rPr>
          <w:rFonts w:asciiTheme="minorBidi" w:hAnsiTheme="minorBidi"/>
        </w:rPr>
        <w:t xml:space="preserve"> </w:t>
      </w:r>
      <w:r>
        <w:rPr>
          <w:rFonts w:asciiTheme="minorBidi" w:hAnsiTheme="minorBidi"/>
        </w:rPr>
        <w:t xml:space="preserve">Worryingly, Mr. </w:t>
      </w:r>
      <w:proofErr w:type="spellStart"/>
      <w:r>
        <w:rPr>
          <w:rFonts w:asciiTheme="minorBidi" w:hAnsiTheme="minorBidi"/>
        </w:rPr>
        <w:t>Gantz</w:t>
      </w:r>
      <w:proofErr w:type="spellEnd"/>
      <w:r>
        <w:rPr>
          <w:rFonts w:asciiTheme="minorBidi" w:hAnsiTheme="minorBidi"/>
        </w:rPr>
        <w:t xml:space="preserve"> has now been entrusted with the formation of the new Israeli Government.</w:t>
      </w:r>
      <w:r>
        <w:rPr>
          <w:rStyle w:val="FootnoteReference"/>
          <w:rFonts w:asciiTheme="minorBidi" w:hAnsiTheme="minorBidi"/>
        </w:rPr>
        <w:footnoteReference w:id="19"/>
      </w:r>
      <w:r>
        <w:rPr>
          <w:rFonts w:asciiTheme="minorBidi" w:hAnsiTheme="minorBidi"/>
        </w:rPr>
        <w:t xml:space="preserve"> </w:t>
      </w:r>
      <w:r w:rsidRPr="0052725C">
        <w:rPr>
          <w:rFonts w:asciiTheme="minorBidi" w:hAnsiTheme="minorBidi"/>
        </w:rPr>
        <w:t xml:space="preserve">In one statement from 9 April 2019 during the last Knesset elections, </w:t>
      </w:r>
      <w:r>
        <w:rPr>
          <w:rFonts w:asciiTheme="minorBidi" w:hAnsiTheme="minorBidi"/>
        </w:rPr>
        <w:t xml:space="preserve">at that time </w:t>
      </w:r>
      <w:r w:rsidRPr="0052725C">
        <w:rPr>
          <w:rFonts w:asciiTheme="minorBidi" w:hAnsiTheme="minorBidi"/>
        </w:rPr>
        <w:t>Prime Minister Netanyahu clearly state</w:t>
      </w:r>
      <w:r>
        <w:rPr>
          <w:rFonts w:asciiTheme="minorBidi" w:hAnsiTheme="minorBidi"/>
        </w:rPr>
        <w:t>d</w:t>
      </w:r>
      <w:r w:rsidRPr="0052725C">
        <w:rPr>
          <w:rFonts w:asciiTheme="minorBidi" w:hAnsiTheme="minorBidi"/>
        </w:rPr>
        <w:t xml:space="preserve"> that being Israeli means being a Jew.</w:t>
      </w:r>
    </w:p>
    <w:p w14:paraId="42A7F5A0" w14:textId="77777777" w:rsidR="00A35C1D" w:rsidRPr="0052725C" w:rsidRDefault="00A35C1D" w:rsidP="00A35C1D">
      <w:pPr>
        <w:pStyle w:val="ListParagraph"/>
        <w:numPr>
          <w:ilvl w:val="0"/>
          <w:numId w:val="37"/>
        </w:numPr>
        <w:jc w:val="both"/>
        <w:rPr>
          <w:rFonts w:asciiTheme="minorBidi" w:hAnsiTheme="minorBidi"/>
        </w:rPr>
      </w:pPr>
      <w:r w:rsidRPr="00CB2EC1">
        <w:rPr>
          <w:rFonts w:asciiTheme="minorBidi" w:hAnsiTheme="minorBidi"/>
        </w:rPr>
        <w:t xml:space="preserve">This violates the </w:t>
      </w:r>
      <w:r>
        <w:rPr>
          <w:rFonts w:asciiTheme="minorBidi" w:hAnsiTheme="minorBidi"/>
        </w:rPr>
        <w:t>ICERD</w:t>
      </w:r>
      <w:r w:rsidRPr="00230BAB">
        <w:rPr>
          <w:rFonts w:asciiTheme="minorBidi" w:hAnsiTheme="minorBidi"/>
        </w:rPr>
        <w:t>,</w:t>
      </w:r>
      <w:r w:rsidRPr="00187C8E">
        <w:rPr>
          <w:rFonts w:asciiTheme="minorBidi" w:hAnsiTheme="minorBidi"/>
        </w:rPr>
        <w:t xml:space="preserve"> which prohibits the dissemination of ideas based on racial superiority and hatred. This prohibition</w:t>
      </w:r>
      <w:r w:rsidRPr="00191118">
        <w:rPr>
          <w:rFonts w:asciiTheme="minorBidi" w:hAnsiTheme="minorBidi"/>
        </w:rPr>
        <w:t xml:space="preserve"> </w:t>
      </w:r>
      <w:r w:rsidRPr="00187C8E">
        <w:rPr>
          <w:rFonts w:asciiTheme="minorBidi" w:hAnsiTheme="minorBidi"/>
        </w:rPr>
        <w:t>is compatible with the freedom of opinion and expression, as recalled in the</w:t>
      </w:r>
      <w:r>
        <w:rPr>
          <w:rFonts w:asciiTheme="minorBidi" w:hAnsiTheme="minorBidi"/>
        </w:rPr>
        <w:t xml:space="preserve"> CERD’s</w:t>
      </w:r>
      <w:r w:rsidRPr="00187C8E">
        <w:rPr>
          <w:rFonts w:asciiTheme="minorBidi" w:hAnsiTheme="minorBidi"/>
        </w:rPr>
        <w:t xml:space="preserve"> last concluding observations.</w:t>
      </w:r>
      <w:r w:rsidRPr="0052725C">
        <w:rPr>
          <w:rStyle w:val="FootnoteReference"/>
          <w:rFonts w:asciiTheme="minorBidi" w:hAnsiTheme="minorBidi"/>
        </w:rPr>
        <w:footnoteReference w:id="20"/>
      </w:r>
    </w:p>
    <w:p w14:paraId="4086D111" w14:textId="77777777" w:rsidR="00A35C1D" w:rsidRPr="00556706" w:rsidRDefault="00A35C1D" w:rsidP="00A35C1D">
      <w:pPr>
        <w:spacing w:after="80" w:line="240" w:lineRule="auto"/>
        <w:jc w:val="both"/>
        <w:rPr>
          <w:rFonts w:asciiTheme="minorBidi" w:hAnsiTheme="minorBidi"/>
        </w:rPr>
      </w:pPr>
    </w:p>
    <w:p w14:paraId="0F0F6021" w14:textId="77777777" w:rsidR="00A35C1D" w:rsidRPr="00A35C1D" w:rsidRDefault="00A35C1D" w:rsidP="00A35C1D">
      <w:pPr>
        <w:pStyle w:val="Heading1"/>
        <w:rPr>
          <w:color w:val="BE7500" w:themeColor="accent3" w:themeShade="BF"/>
        </w:rPr>
      </w:pPr>
      <w:bookmarkStart w:id="12" w:name="_Toc23323395"/>
      <w:r w:rsidRPr="00A35C1D">
        <w:rPr>
          <w:color w:val="BE7500" w:themeColor="accent3" w:themeShade="BF"/>
        </w:rPr>
        <w:lastRenderedPageBreak/>
        <w:t>II. Discrimination against the Arab population in the OPT</w:t>
      </w:r>
      <w:bookmarkEnd w:id="12"/>
    </w:p>
    <w:p w14:paraId="5BE79B7E" w14:textId="77777777" w:rsidR="00A35C1D" w:rsidRPr="00187C8E" w:rsidRDefault="00A35C1D" w:rsidP="00A35C1D">
      <w:pPr>
        <w:pStyle w:val="ListParagraph"/>
        <w:numPr>
          <w:ilvl w:val="0"/>
          <w:numId w:val="37"/>
        </w:numPr>
        <w:spacing w:after="80" w:line="240" w:lineRule="auto"/>
        <w:jc w:val="both"/>
        <w:rPr>
          <w:rFonts w:asciiTheme="minorBidi" w:hAnsiTheme="minorBidi"/>
        </w:rPr>
      </w:pPr>
      <w:r w:rsidRPr="00187C8E">
        <w:rPr>
          <w:rFonts w:asciiTheme="minorBidi" w:hAnsiTheme="minorBidi"/>
        </w:rPr>
        <w:t xml:space="preserve">The </w:t>
      </w:r>
      <w:r>
        <w:rPr>
          <w:rFonts w:asciiTheme="minorBidi" w:hAnsiTheme="minorBidi"/>
        </w:rPr>
        <w:t>I</w:t>
      </w:r>
      <w:r w:rsidRPr="00187C8E">
        <w:rPr>
          <w:rFonts w:asciiTheme="minorBidi" w:hAnsiTheme="minorBidi"/>
        </w:rPr>
        <w:t>nternational Court of Justice in its advisory opinion on the legality of the construction of a wall in the OPT, members of other Committees</w:t>
      </w:r>
      <w:r>
        <w:rPr>
          <w:rFonts w:asciiTheme="minorBidi" w:hAnsiTheme="minorBidi"/>
        </w:rPr>
        <w:t>,</w:t>
      </w:r>
      <w:r w:rsidRPr="00187C8E">
        <w:rPr>
          <w:rFonts w:asciiTheme="minorBidi" w:hAnsiTheme="minorBidi"/>
        </w:rPr>
        <w:t xml:space="preserve"> and the current state of international law all provide that the ICERD and other Conventions, Treaties and Covenant</w:t>
      </w:r>
      <w:r>
        <w:rPr>
          <w:rFonts w:asciiTheme="minorBidi" w:hAnsiTheme="minorBidi"/>
        </w:rPr>
        <w:t>s</w:t>
      </w:r>
      <w:r w:rsidRPr="00187C8E">
        <w:rPr>
          <w:rFonts w:asciiTheme="minorBidi" w:hAnsiTheme="minorBidi"/>
        </w:rPr>
        <w:t xml:space="preserve"> ratified by Israel, must be implemented and respected in the OPT.</w:t>
      </w:r>
    </w:p>
    <w:p w14:paraId="5F4511E1" w14:textId="77777777" w:rsidR="00A35C1D" w:rsidRPr="00187C8E" w:rsidRDefault="00A35C1D" w:rsidP="00A35C1D">
      <w:pPr>
        <w:pStyle w:val="ListParagraph"/>
        <w:numPr>
          <w:ilvl w:val="0"/>
          <w:numId w:val="37"/>
        </w:numPr>
        <w:spacing w:after="80"/>
        <w:jc w:val="both"/>
        <w:rPr>
          <w:rFonts w:asciiTheme="minorBidi" w:hAnsiTheme="minorBidi"/>
        </w:rPr>
      </w:pPr>
      <w:r w:rsidRPr="00187C8E">
        <w:rPr>
          <w:rFonts w:asciiTheme="minorBidi" w:hAnsiTheme="minorBidi"/>
        </w:rPr>
        <w:t>Nevertheless, Israel decided not to apply the instruments it ratified to the OPT and even apply different laws on settlers living in the OPT and Palestinian citizens of the OPT, which allows constant violations of the rights of Palestinians, and discrimination against them.</w:t>
      </w:r>
    </w:p>
    <w:p w14:paraId="77CBCE29" w14:textId="77777777" w:rsidR="00A35C1D" w:rsidRPr="00187C8E" w:rsidRDefault="00A35C1D" w:rsidP="00A35C1D">
      <w:pPr>
        <w:spacing w:after="80" w:line="240" w:lineRule="auto"/>
        <w:jc w:val="both"/>
        <w:rPr>
          <w:rFonts w:asciiTheme="minorBidi" w:hAnsiTheme="minorBidi"/>
        </w:rPr>
      </w:pPr>
    </w:p>
    <w:p w14:paraId="60B0EA89" w14:textId="77777777" w:rsidR="00A35C1D" w:rsidRPr="00A35C1D" w:rsidRDefault="00A35C1D" w:rsidP="00A35C1D">
      <w:pPr>
        <w:pStyle w:val="Heading2"/>
        <w:rPr>
          <w:color w:val="BE7500" w:themeColor="accent3" w:themeShade="BF"/>
        </w:rPr>
      </w:pPr>
      <w:bookmarkStart w:id="13" w:name="_Toc23323396"/>
      <w:r w:rsidRPr="00A35C1D">
        <w:rPr>
          <w:color w:val="BE7500" w:themeColor="accent3" w:themeShade="BF"/>
        </w:rPr>
        <w:t>Disrespect of the right of return</w:t>
      </w:r>
      <w:bookmarkEnd w:id="13"/>
    </w:p>
    <w:p w14:paraId="7E227C7B" w14:textId="77777777" w:rsidR="00A35C1D" w:rsidRPr="00556706" w:rsidRDefault="00A35C1D" w:rsidP="00A35C1D">
      <w:pPr>
        <w:pStyle w:val="ListParagraph"/>
        <w:numPr>
          <w:ilvl w:val="0"/>
          <w:numId w:val="37"/>
        </w:numPr>
        <w:spacing w:after="80" w:line="240" w:lineRule="auto"/>
        <w:jc w:val="both"/>
        <w:rPr>
          <w:rFonts w:asciiTheme="minorBidi" w:hAnsiTheme="minorBidi"/>
        </w:rPr>
      </w:pPr>
      <w:r w:rsidRPr="00187C8E">
        <w:rPr>
          <w:rFonts w:asciiTheme="minorBidi" w:hAnsiTheme="minorBidi"/>
        </w:rPr>
        <w:t>After the invasion of Palestinian territory in 194</w:t>
      </w:r>
      <w:r>
        <w:rPr>
          <w:rFonts w:asciiTheme="minorBidi" w:hAnsiTheme="minorBidi"/>
        </w:rPr>
        <w:t>7</w:t>
      </w:r>
      <w:r w:rsidRPr="00187C8E">
        <w:rPr>
          <w:rFonts w:asciiTheme="minorBidi" w:hAnsiTheme="minorBidi"/>
        </w:rPr>
        <w:t xml:space="preserve"> and 1967, the United Nations General Assembly set out the right to return for Palestinians that had to flee their homes as a result of the invasion. This has been stated for the first time in resolution 194</w:t>
      </w:r>
      <w:r w:rsidRPr="0052725C">
        <w:rPr>
          <w:rStyle w:val="FootnoteReference"/>
          <w:rFonts w:asciiTheme="minorBidi" w:hAnsiTheme="minorBidi"/>
        </w:rPr>
        <w:footnoteReference w:id="21"/>
      </w:r>
      <w:r w:rsidRPr="0052725C">
        <w:rPr>
          <w:rFonts w:asciiTheme="minorBidi" w:hAnsiTheme="minorBidi"/>
        </w:rPr>
        <w:t>, and reaffirmed in resolution 3236.</w:t>
      </w:r>
    </w:p>
    <w:p w14:paraId="0C0E7E69" w14:textId="77777777" w:rsidR="00A35C1D" w:rsidRPr="00187C8E" w:rsidRDefault="00A35C1D" w:rsidP="00A35C1D">
      <w:pPr>
        <w:pStyle w:val="ListParagraph"/>
        <w:numPr>
          <w:ilvl w:val="0"/>
          <w:numId w:val="37"/>
        </w:numPr>
        <w:spacing w:after="80" w:line="240" w:lineRule="auto"/>
        <w:jc w:val="both"/>
        <w:rPr>
          <w:rFonts w:asciiTheme="minorBidi" w:hAnsiTheme="minorBidi"/>
        </w:rPr>
      </w:pPr>
      <w:r w:rsidRPr="00556706">
        <w:rPr>
          <w:rFonts w:asciiTheme="minorBidi" w:hAnsiTheme="minorBidi"/>
        </w:rPr>
        <w:t xml:space="preserve">Irrespective to </w:t>
      </w:r>
      <w:r w:rsidRPr="00B32D28">
        <w:rPr>
          <w:rFonts w:asciiTheme="minorBidi" w:hAnsiTheme="minorBidi"/>
        </w:rPr>
        <w:t>these res</w:t>
      </w:r>
      <w:r w:rsidRPr="008B4BCD">
        <w:rPr>
          <w:rFonts w:asciiTheme="minorBidi" w:hAnsiTheme="minorBidi"/>
        </w:rPr>
        <w:t>olutions</w:t>
      </w:r>
      <w:r w:rsidRPr="00CB2EC1">
        <w:rPr>
          <w:rFonts w:asciiTheme="minorBidi" w:hAnsiTheme="minorBidi"/>
        </w:rPr>
        <w:t>, Israel created and implemented the 1950 Custodian of Absentee Property law, which defines persons who were expelled, fled, or who left the country after 29 November 1947 for any reason as absentee</w:t>
      </w:r>
      <w:r>
        <w:rPr>
          <w:rFonts w:asciiTheme="minorBidi" w:hAnsiTheme="minorBidi"/>
        </w:rPr>
        <w:t>s</w:t>
      </w:r>
      <w:r w:rsidRPr="00CB2EC1">
        <w:rPr>
          <w:rFonts w:asciiTheme="minorBidi" w:hAnsiTheme="minorBidi"/>
        </w:rPr>
        <w:t>.</w:t>
      </w:r>
      <w:r w:rsidRPr="00F95206">
        <w:rPr>
          <w:rFonts w:asciiTheme="minorBidi" w:hAnsiTheme="minorBidi"/>
        </w:rPr>
        <w:t xml:space="preserve"> </w:t>
      </w:r>
      <w:r>
        <w:rPr>
          <w:rFonts w:asciiTheme="minorBidi" w:hAnsiTheme="minorBidi"/>
        </w:rPr>
        <w:t>Movable and immovable p</w:t>
      </w:r>
      <w:r w:rsidRPr="00F95206">
        <w:rPr>
          <w:rFonts w:asciiTheme="minorBidi" w:hAnsiTheme="minorBidi"/>
        </w:rPr>
        <w:t xml:space="preserve">roperties belonging to these absentees or to </w:t>
      </w:r>
      <w:r w:rsidRPr="004F7590">
        <w:rPr>
          <w:rFonts w:asciiTheme="minorBidi" w:hAnsiTheme="minorBidi"/>
        </w:rPr>
        <w:t>people determined</w:t>
      </w:r>
      <w:r w:rsidRPr="00230BAB">
        <w:rPr>
          <w:rFonts w:asciiTheme="minorBidi" w:hAnsiTheme="minorBidi"/>
        </w:rPr>
        <w:t xml:space="preserve"> as enemy nationalities were placed under the control of Israel’s Custodian for Absentee Property.</w:t>
      </w:r>
    </w:p>
    <w:p w14:paraId="23144236" w14:textId="77777777" w:rsidR="00A35C1D" w:rsidRPr="0052725C" w:rsidRDefault="00A35C1D" w:rsidP="00A35C1D">
      <w:pPr>
        <w:pStyle w:val="ListParagraph"/>
        <w:numPr>
          <w:ilvl w:val="0"/>
          <w:numId w:val="37"/>
        </w:numPr>
        <w:spacing w:after="80" w:line="240" w:lineRule="auto"/>
        <w:jc w:val="both"/>
        <w:rPr>
          <w:rFonts w:asciiTheme="minorBidi" w:hAnsiTheme="minorBidi"/>
        </w:rPr>
      </w:pPr>
      <w:r w:rsidRPr="00187C8E">
        <w:rPr>
          <w:rFonts w:asciiTheme="minorBidi" w:hAnsiTheme="minorBidi"/>
        </w:rPr>
        <w:t>The same year, Israel passed a 1950 Law of Return, giving Jews the right to automatically become Israeli citizens, regardless of the country they were born in.</w:t>
      </w:r>
      <w:r w:rsidRPr="0052725C">
        <w:rPr>
          <w:rStyle w:val="FootnoteReference"/>
          <w:rFonts w:asciiTheme="minorBidi" w:hAnsiTheme="minorBidi"/>
        </w:rPr>
        <w:footnoteReference w:id="22"/>
      </w:r>
    </w:p>
    <w:p w14:paraId="5B3CD0B5" w14:textId="77777777" w:rsidR="00A35C1D" w:rsidRPr="00556706" w:rsidRDefault="00A35C1D" w:rsidP="00A35C1D">
      <w:pPr>
        <w:spacing w:after="80" w:line="240" w:lineRule="auto"/>
        <w:jc w:val="both"/>
        <w:rPr>
          <w:rFonts w:asciiTheme="minorBidi" w:hAnsiTheme="minorBidi"/>
          <w:b/>
          <w:bCs/>
        </w:rPr>
      </w:pPr>
    </w:p>
    <w:p w14:paraId="471F8758" w14:textId="77777777" w:rsidR="00A35C1D" w:rsidRPr="00A35C1D" w:rsidRDefault="00A35C1D" w:rsidP="00A35C1D">
      <w:pPr>
        <w:pStyle w:val="Heading2"/>
        <w:rPr>
          <w:color w:val="BE7500" w:themeColor="accent3" w:themeShade="BF"/>
        </w:rPr>
      </w:pPr>
      <w:bookmarkStart w:id="14" w:name="_Toc23323397"/>
      <w:r w:rsidRPr="00A35C1D">
        <w:rPr>
          <w:color w:val="BE7500" w:themeColor="accent3" w:themeShade="BF"/>
        </w:rPr>
        <w:t>Jurisdiction over the Gaza Strip and the West Bank</w:t>
      </w:r>
      <w:bookmarkEnd w:id="14"/>
    </w:p>
    <w:p w14:paraId="1F9821C6" w14:textId="77777777" w:rsidR="00A35C1D" w:rsidRPr="0052725C" w:rsidRDefault="00A35C1D" w:rsidP="00A35C1D">
      <w:pPr>
        <w:pStyle w:val="ListParagraph"/>
        <w:numPr>
          <w:ilvl w:val="0"/>
          <w:numId w:val="37"/>
        </w:numPr>
        <w:spacing w:after="80" w:line="240" w:lineRule="auto"/>
        <w:jc w:val="both"/>
        <w:rPr>
          <w:rFonts w:asciiTheme="minorBidi" w:hAnsiTheme="minorBidi"/>
        </w:rPr>
      </w:pPr>
      <w:r w:rsidRPr="00187C8E">
        <w:rPr>
          <w:rFonts w:asciiTheme="minorBidi" w:hAnsiTheme="minorBidi"/>
        </w:rPr>
        <w:t>The 1995 Oslo Accord II divided the West Bank into areas A, B and C and established the Palestinian Authority (PA)</w:t>
      </w:r>
      <w:r w:rsidRPr="0052725C">
        <w:rPr>
          <w:rStyle w:val="FootnoteReference"/>
          <w:rFonts w:asciiTheme="minorBidi" w:hAnsiTheme="minorBidi"/>
        </w:rPr>
        <w:footnoteReference w:id="23"/>
      </w:r>
      <w:r w:rsidRPr="0052725C">
        <w:rPr>
          <w:rFonts w:asciiTheme="minorBidi" w:hAnsiTheme="minorBidi"/>
        </w:rPr>
        <w:t xml:space="preserve">. </w:t>
      </w:r>
      <w:r w:rsidRPr="00556706">
        <w:rPr>
          <w:rFonts w:asciiTheme="minorBidi" w:hAnsiTheme="minorBidi"/>
        </w:rPr>
        <w:t>In Area A, representing 18</w:t>
      </w:r>
      <w:r>
        <w:rPr>
          <w:rFonts w:asciiTheme="minorBidi" w:hAnsiTheme="minorBidi"/>
        </w:rPr>
        <w:t xml:space="preserve"> per cent</w:t>
      </w:r>
      <w:r w:rsidRPr="00556706">
        <w:rPr>
          <w:rFonts w:asciiTheme="minorBidi" w:hAnsiTheme="minorBidi"/>
        </w:rPr>
        <w:t xml:space="preserve"> of the territory of the West Bank, the State of Palestine exercise control over security and civil matters. Area B is administered by the </w:t>
      </w:r>
      <w:r w:rsidRPr="00B32D28">
        <w:rPr>
          <w:rFonts w:asciiTheme="minorBidi" w:hAnsiTheme="minorBidi"/>
        </w:rPr>
        <w:t>PA, which have the control over civil matters, while the Israeli</w:t>
      </w:r>
      <w:r w:rsidRPr="008B4BCD">
        <w:rPr>
          <w:rFonts w:asciiTheme="minorBidi" w:hAnsiTheme="minorBidi"/>
        </w:rPr>
        <w:t xml:space="preserve"> authorities jointly with the PA have security control. In Area C, which constitutes 62 per</w:t>
      </w:r>
      <w:r>
        <w:rPr>
          <w:rFonts w:asciiTheme="minorBidi" w:hAnsiTheme="minorBidi"/>
        </w:rPr>
        <w:t xml:space="preserve"> </w:t>
      </w:r>
      <w:r w:rsidRPr="008B4BCD">
        <w:rPr>
          <w:rFonts w:asciiTheme="minorBidi" w:hAnsiTheme="minorBidi"/>
        </w:rPr>
        <w:t>cent of the West Bank, the Israeli authorities have full control over security, planning and construction.</w:t>
      </w:r>
      <w:r w:rsidRPr="0052725C">
        <w:rPr>
          <w:rStyle w:val="FootnoteReference"/>
          <w:rFonts w:asciiTheme="minorBidi" w:hAnsiTheme="minorBidi"/>
        </w:rPr>
        <w:footnoteReference w:id="24"/>
      </w:r>
    </w:p>
    <w:p w14:paraId="2A546480" w14:textId="77777777" w:rsidR="00A35C1D" w:rsidRPr="0052725C" w:rsidRDefault="00A35C1D" w:rsidP="00A35C1D">
      <w:pPr>
        <w:pStyle w:val="ListParagraph"/>
        <w:numPr>
          <w:ilvl w:val="0"/>
          <w:numId w:val="37"/>
        </w:numPr>
        <w:spacing w:after="80" w:line="240" w:lineRule="auto"/>
        <w:jc w:val="both"/>
        <w:rPr>
          <w:rFonts w:asciiTheme="minorBidi" w:hAnsiTheme="minorBidi"/>
        </w:rPr>
      </w:pPr>
      <w:r>
        <w:rPr>
          <w:rFonts w:asciiTheme="minorBidi" w:hAnsiTheme="minorBidi"/>
        </w:rPr>
        <w:t>A</w:t>
      </w:r>
      <w:r w:rsidRPr="00556706">
        <w:rPr>
          <w:rFonts w:asciiTheme="minorBidi" w:hAnsiTheme="minorBidi"/>
        </w:rPr>
        <w:t>ccording to the Israeli-Palestinian Interim Ag</w:t>
      </w:r>
      <w:r w:rsidRPr="007C669D">
        <w:rPr>
          <w:rFonts w:asciiTheme="minorBidi" w:hAnsiTheme="minorBidi"/>
        </w:rPr>
        <w:t>reement on the West Bank and the Gaza Strip</w:t>
      </w:r>
      <w:r>
        <w:rPr>
          <w:rFonts w:asciiTheme="minorBidi" w:hAnsiTheme="minorBidi"/>
        </w:rPr>
        <w:t>, t</w:t>
      </w:r>
      <w:r w:rsidRPr="007C669D">
        <w:rPr>
          <w:rFonts w:asciiTheme="minorBidi" w:hAnsiTheme="minorBidi"/>
        </w:rPr>
        <w:t xml:space="preserve">he city of Hebron is divided into two areas: H1, under </w:t>
      </w:r>
      <w:r>
        <w:rPr>
          <w:rFonts w:asciiTheme="minorBidi" w:hAnsiTheme="minorBidi"/>
        </w:rPr>
        <w:t xml:space="preserve">the </w:t>
      </w:r>
      <w:r w:rsidRPr="007C669D">
        <w:rPr>
          <w:rFonts w:asciiTheme="minorBidi" w:hAnsiTheme="minorBidi"/>
        </w:rPr>
        <w:t>control of the PA, and H2, representing 20</w:t>
      </w:r>
      <w:r>
        <w:rPr>
          <w:rFonts w:asciiTheme="minorBidi" w:hAnsiTheme="minorBidi"/>
        </w:rPr>
        <w:t xml:space="preserve"> per cent</w:t>
      </w:r>
      <w:r w:rsidRPr="007C669D">
        <w:rPr>
          <w:rFonts w:asciiTheme="minorBidi" w:hAnsiTheme="minorBidi"/>
        </w:rPr>
        <w:t xml:space="preserve"> of Hebron, under Israeli control, that has held all authority and responsibilities for internal security and p</w:t>
      </w:r>
      <w:r w:rsidRPr="00CB2EC1">
        <w:rPr>
          <w:rFonts w:asciiTheme="minorBidi" w:hAnsiTheme="minorBidi"/>
        </w:rPr>
        <w:t>ublic order.</w:t>
      </w:r>
      <w:r w:rsidRPr="0052725C">
        <w:rPr>
          <w:rStyle w:val="FootnoteReference"/>
          <w:rFonts w:asciiTheme="minorBidi" w:hAnsiTheme="minorBidi"/>
        </w:rPr>
        <w:footnoteReference w:id="25"/>
      </w:r>
    </w:p>
    <w:p w14:paraId="02A0457D" w14:textId="77777777" w:rsidR="00A35C1D" w:rsidRPr="007C669D" w:rsidRDefault="00A35C1D" w:rsidP="00A35C1D">
      <w:pPr>
        <w:pStyle w:val="ListParagraph"/>
        <w:numPr>
          <w:ilvl w:val="0"/>
          <w:numId w:val="37"/>
        </w:numPr>
        <w:spacing w:after="80" w:line="240" w:lineRule="auto"/>
        <w:jc w:val="both"/>
        <w:rPr>
          <w:rFonts w:asciiTheme="minorBidi" w:hAnsiTheme="minorBidi"/>
        </w:rPr>
      </w:pPr>
      <w:r w:rsidRPr="00556706">
        <w:rPr>
          <w:rFonts w:asciiTheme="minorBidi" w:hAnsiTheme="minorBidi"/>
        </w:rPr>
        <w:t xml:space="preserve">Since 2007, two separate </w:t>
      </w:r>
      <w:r>
        <w:rPr>
          <w:rFonts w:asciiTheme="minorBidi" w:hAnsiTheme="minorBidi"/>
        </w:rPr>
        <w:t xml:space="preserve">Palestinian </w:t>
      </w:r>
      <w:r w:rsidRPr="00556706">
        <w:rPr>
          <w:rFonts w:asciiTheme="minorBidi" w:hAnsiTheme="minorBidi"/>
        </w:rPr>
        <w:t xml:space="preserve">administrations </w:t>
      </w:r>
      <w:r>
        <w:rPr>
          <w:rFonts w:asciiTheme="minorBidi" w:hAnsiTheme="minorBidi"/>
        </w:rPr>
        <w:t xml:space="preserve">have </w:t>
      </w:r>
      <w:r w:rsidRPr="00556706">
        <w:rPr>
          <w:rFonts w:asciiTheme="minorBidi" w:hAnsiTheme="minorBidi"/>
        </w:rPr>
        <w:t>coexist</w:t>
      </w:r>
      <w:r>
        <w:rPr>
          <w:rFonts w:asciiTheme="minorBidi" w:hAnsiTheme="minorBidi"/>
        </w:rPr>
        <w:t>ed in the OPT</w:t>
      </w:r>
      <w:r w:rsidRPr="00556706">
        <w:rPr>
          <w:rFonts w:asciiTheme="minorBidi" w:hAnsiTheme="minorBidi"/>
        </w:rPr>
        <w:t xml:space="preserve">: the Fatah-led Palestinian Authority in the West Bank and the Hamas government in the Gaza Strip. </w:t>
      </w:r>
    </w:p>
    <w:p w14:paraId="59968EB8" w14:textId="3E0D908B" w:rsidR="00A35C1D" w:rsidRPr="00187C8E" w:rsidRDefault="00A35C1D" w:rsidP="00A35C1D">
      <w:pPr>
        <w:pStyle w:val="ListParagraph"/>
        <w:numPr>
          <w:ilvl w:val="0"/>
          <w:numId w:val="37"/>
        </w:numPr>
        <w:spacing w:after="80" w:line="240" w:lineRule="auto"/>
        <w:jc w:val="both"/>
        <w:rPr>
          <w:rFonts w:asciiTheme="minorBidi" w:hAnsiTheme="minorBidi"/>
        </w:rPr>
      </w:pPr>
      <w:r>
        <w:rPr>
          <w:rFonts w:asciiTheme="minorBidi" w:hAnsiTheme="minorBidi"/>
        </w:rPr>
        <w:t>Based on this</w:t>
      </w:r>
      <w:r w:rsidRPr="008B4BCD">
        <w:rPr>
          <w:rFonts w:asciiTheme="minorBidi" w:hAnsiTheme="minorBidi"/>
        </w:rPr>
        <w:t xml:space="preserve"> </w:t>
      </w:r>
      <w:r w:rsidRPr="00CB2EC1">
        <w:rPr>
          <w:rFonts w:asciiTheme="minorBidi" w:hAnsiTheme="minorBidi"/>
        </w:rPr>
        <w:t>information, Israel has effective control at least over are</w:t>
      </w:r>
      <w:r>
        <w:rPr>
          <w:rFonts w:asciiTheme="minorBidi" w:hAnsiTheme="minorBidi"/>
        </w:rPr>
        <w:t>as</w:t>
      </w:r>
      <w:r w:rsidRPr="00CB2EC1">
        <w:rPr>
          <w:rFonts w:asciiTheme="minorBidi" w:hAnsiTheme="minorBidi"/>
        </w:rPr>
        <w:t xml:space="preserve"> B and C</w:t>
      </w:r>
      <w:r w:rsidRPr="00F95206">
        <w:rPr>
          <w:rFonts w:asciiTheme="minorBidi" w:hAnsiTheme="minorBidi"/>
        </w:rPr>
        <w:t xml:space="preserve"> of the West Bank</w:t>
      </w:r>
      <w:r>
        <w:rPr>
          <w:rFonts w:asciiTheme="minorBidi" w:hAnsiTheme="minorBidi"/>
        </w:rPr>
        <w:t xml:space="preserve"> and</w:t>
      </w:r>
      <w:r w:rsidRPr="00F95206">
        <w:rPr>
          <w:rFonts w:asciiTheme="minorBidi" w:hAnsiTheme="minorBidi"/>
        </w:rPr>
        <w:t xml:space="preserve"> decides which laws it applies</w:t>
      </w:r>
      <w:r w:rsidR="00EA5842">
        <w:rPr>
          <w:rFonts w:asciiTheme="minorBidi" w:hAnsiTheme="minorBidi"/>
        </w:rPr>
        <w:t xml:space="preserve"> there</w:t>
      </w:r>
      <w:r w:rsidRPr="00F95206">
        <w:rPr>
          <w:rFonts w:asciiTheme="minorBidi" w:hAnsiTheme="minorBidi"/>
        </w:rPr>
        <w:t xml:space="preserve">. In the West Bank, </w:t>
      </w:r>
      <w:r w:rsidRPr="00187C8E">
        <w:rPr>
          <w:rFonts w:asciiTheme="minorBidi" w:hAnsiTheme="minorBidi"/>
        </w:rPr>
        <w:t xml:space="preserve">Israeli military law is applied to the whole Palestinian population and Israeli settlers are subject to the </w:t>
      </w:r>
      <w:r w:rsidRPr="00187C8E">
        <w:rPr>
          <w:rFonts w:asciiTheme="minorBidi" w:hAnsiTheme="minorBidi"/>
        </w:rPr>
        <w:lastRenderedPageBreak/>
        <w:t>Israeli civilian and criminal legal system</w:t>
      </w:r>
      <w:r w:rsidRPr="0052725C">
        <w:rPr>
          <w:rStyle w:val="FootnoteReference"/>
          <w:rFonts w:asciiTheme="minorBidi" w:hAnsiTheme="minorBidi"/>
        </w:rPr>
        <w:footnoteReference w:id="26"/>
      </w:r>
      <w:r w:rsidRPr="0052725C">
        <w:rPr>
          <w:rFonts w:asciiTheme="minorBidi" w:hAnsiTheme="minorBidi"/>
        </w:rPr>
        <w:t>. This discr</w:t>
      </w:r>
      <w:r w:rsidRPr="00556706">
        <w:rPr>
          <w:rFonts w:asciiTheme="minorBidi" w:hAnsiTheme="minorBidi"/>
        </w:rPr>
        <w:t>iminates against Palestinians</w:t>
      </w:r>
      <w:r w:rsidRPr="007C669D">
        <w:rPr>
          <w:rFonts w:asciiTheme="minorBidi" w:hAnsiTheme="minorBidi"/>
        </w:rPr>
        <w:t xml:space="preserve"> by </w:t>
      </w:r>
      <w:r w:rsidRPr="00B32D28">
        <w:rPr>
          <w:rFonts w:asciiTheme="minorBidi" w:hAnsiTheme="minorBidi"/>
        </w:rPr>
        <w:t>not giv</w:t>
      </w:r>
      <w:r w:rsidRPr="008B4BCD">
        <w:rPr>
          <w:rFonts w:asciiTheme="minorBidi" w:hAnsiTheme="minorBidi"/>
        </w:rPr>
        <w:t>ing</w:t>
      </w:r>
      <w:r w:rsidRPr="00CB2EC1">
        <w:rPr>
          <w:rFonts w:asciiTheme="minorBidi" w:hAnsiTheme="minorBidi"/>
        </w:rPr>
        <w:t xml:space="preserve"> them the same rights and </w:t>
      </w:r>
      <w:r w:rsidRPr="00F95206">
        <w:rPr>
          <w:rFonts w:asciiTheme="minorBidi" w:hAnsiTheme="minorBidi"/>
        </w:rPr>
        <w:t xml:space="preserve">opportunities </w:t>
      </w:r>
      <w:r w:rsidRPr="004F7590">
        <w:rPr>
          <w:rFonts w:asciiTheme="minorBidi" w:hAnsiTheme="minorBidi"/>
        </w:rPr>
        <w:t xml:space="preserve">and thus </w:t>
      </w:r>
      <w:r w:rsidRPr="00187C8E">
        <w:rPr>
          <w:rFonts w:asciiTheme="minorBidi" w:hAnsiTheme="minorBidi"/>
        </w:rPr>
        <w:t>weakens the protection of their rights.</w:t>
      </w:r>
    </w:p>
    <w:p w14:paraId="7FEE1F87" w14:textId="77777777" w:rsidR="00A35C1D" w:rsidRPr="00187C8E" w:rsidRDefault="00A35C1D" w:rsidP="00A35C1D">
      <w:pPr>
        <w:spacing w:after="80" w:line="240" w:lineRule="auto"/>
        <w:jc w:val="both"/>
        <w:rPr>
          <w:rFonts w:asciiTheme="minorBidi" w:hAnsiTheme="minorBidi"/>
          <w:b/>
          <w:bCs/>
        </w:rPr>
      </w:pPr>
    </w:p>
    <w:p w14:paraId="6D3C8A75" w14:textId="77777777" w:rsidR="00A35C1D" w:rsidRPr="00A35C1D" w:rsidRDefault="00A35C1D" w:rsidP="00A35C1D">
      <w:pPr>
        <w:pStyle w:val="Heading2"/>
        <w:rPr>
          <w:color w:val="BE7500" w:themeColor="accent3" w:themeShade="BF"/>
        </w:rPr>
      </w:pPr>
      <w:bookmarkStart w:id="15" w:name="_Toc23323398"/>
      <w:r w:rsidRPr="00A35C1D">
        <w:rPr>
          <w:color w:val="BE7500" w:themeColor="accent3" w:themeShade="BF"/>
        </w:rPr>
        <w:t>Companies operating in the settlements</w:t>
      </w:r>
      <w:bookmarkEnd w:id="15"/>
      <w:r w:rsidRPr="00A35C1D">
        <w:rPr>
          <w:color w:val="BE7500" w:themeColor="accent3" w:themeShade="BF"/>
        </w:rPr>
        <w:t xml:space="preserve"> </w:t>
      </w:r>
    </w:p>
    <w:p w14:paraId="469893A1" w14:textId="77777777" w:rsidR="00A35C1D" w:rsidRDefault="00A35C1D" w:rsidP="00A35C1D">
      <w:pPr>
        <w:pStyle w:val="ListParagraph"/>
        <w:numPr>
          <w:ilvl w:val="0"/>
          <w:numId w:val="37"/>
        </w:numPr>
        <w:spacing w:after="80" w:line="240" w:lineRule="auto"/>
        <w:jc w:val="both"/>
        <w:rPr>
          <w:rFonts w:asciiTheme="minorBidi" w:hAnsiTheme="minorBidi"/>
        </w:rPr>
      </w:pPr>
      <w:r>
        <w:rPr>
          <w:rFonts w:asciiTheme="minorBidi" w:hAnsiTheme="minorBidi"/>
        </w:rPr>
        <w:t>Both Israeli and international companies work in the OPT to provide services to Israeli settlers and Israel.</w:t>
      </w:r>
    </w:p>
    <w:p w14:paraId="66645B55" w14:textId="77777777" w:rsidR="00A35C1D" w:rsidRDefault="00A35C1D" w:rsidP="00A35C1D">
      <w:pPr>
        <w:pStyle w:val="ListParagraph"/>
        <w:numPr>
          <w:ilvl w:val="0"/>
          <w:numId w:val="37"/>
        </w:numPr>
        <w:spacing w:after="80" w:line="240" w:lineRule="auto"/>
        <w:jc w:val="both"/>
        <w:rPr>
          <w:rFonts w:asciiTheme="minorBidi" w:hAnsiTheme="minorBidi"/>
        </w:rPr>
      </w:pPr>
      <w:r>
        <w:rPr>
          <w:rFonts w:asciiTheme="minorBidi" w:hAnsiTheme="minorBidi"/>
        </w:rPr>
        <w:t>Given the prolonged occupation of the OPT, Israel began exploiting natural resources from the Palestinian soil for its benefit, including inter alia water, minerals, gas, and oil.</w:t>
      </w:r>
      <w:r>
        <w:rPr>
          <w:rStyle w:val="FootnoteReference"/>
          <w:rFonts w:asciiTheme="minorBidi" w:hAnsiTheme="minorBidi"/>
        </w:rPr>
        <w:footnoteReference w:id="27"/>
      </w:r>
      <w:r>
        <w:rPr>
          <w:rFonts w:asciiTheme="minorBidi" w:hAnsiTheme="minorBidi"/>
        </w:rPr>
        <w:t xml:space="preserve"> This deprives Palestinians of the goods and economic advantage they could obtain from exploiting these resources themselves.</w:t>
      </w:r>
    </w:p>
    <w:p w14:paraId="3310AF89" w14:textId="1DC8AFF8" w:rsidR="00A35C1D" w:rsidRDefault="00A35C1D" w:rsidP="00A35C1D">
      <w:pPr>
        <w:pStyle w:val="ListParagraph"/>
        <w:numPr>
          <w:ilvl w:val="0"/>
          <w:numId w:val="37"/>
        </w:numPr>
        <w:spacing w:after="80" w:line="240" w:lineRule="auto"/>
        <w:jc w:val="both"/>
        <w:rPr>
          <w:rFonts w:asciiTheme="minorBidi" w:hAnsiTheme="minorBidi"/>
        </w:rPr>
      </w:pPr>
      <w:r w:rsidRPr="00406636">
        <w:rPr>
          <w:rFonts w:asciiTheme="minorBidi" w:hAnsiTheme="minorBidi"/>
        </w:rPr>
        <w:t>T</w:t>
      </w:r>
      <w:r w:rsidRPr="00F95206">
        <w:rPr>
          <w:rFonts w:asciiTheme="minorBidi" w:hAnsiTheme="minorBidi"/>
        </w:rPr>
        <w:t xml:space="preserve">he companies working in </w:t>
      </w:r>
      <w:r>
        <w:rPr>
          <w:rFonts w:asciiTheme="minorBidi" w:hAnsiTheme="minorBidi"/>
        </w:rPr>
        <w:t xml:space="preserve">Palestinian lands </w:t>
      </w:r>
      <w:r w:rsidRPr="00F95206">
        <w:rPr>
          <w:rFonts w:asciiTheme="minorBidi" w:hAnsiTheme="minorBidi"/>
        </w:rPr>
        <w:t xml:space="preserve">to provide services only for Jewish people living in Israeli settlements </w:t>
      </w:r>
      <w:r>
        <w:rPr>
          <w:rFonts w:asciiTheme="minorBidi" w:hAnsiTheme="minorBidi"/>
        </w:rPr>
        <w:t xml:space="preserve">located in the OPT </w:t>
      </w:r>
      <w:r w:rsidRPr="00F95206">
        <w:rPr>
          <w:rFonts w:asciiTheme="minorBidi" w:hAnsiTheme="minorBidi"/>
        </w:rPr>
        <w:t>discriminate against the rights of Palestinians</w:t>
      </w:r>
      <w:r>
        <w:rPr>
          <w:rFonts w:asciiTheme="minorBidi" w:hAnsiTheme="minorBidi"/>
        </w:rPr>
        <w:t xml:space="preserve">, especially their right to work and </w:t>
      </w:r>
      <w:r w:rsidRPr="00F95206">
        <w:rPr>
          <w:rFonts w:asciiTheme="minorBidi" w:hAnsiTheme="minorBidi"/>
        </w:rPr>
        <w:t>prevents the realisation of their right to an adequate standard of living</w:t>
      </w:r>
      <w:r>
        <w:rPr>
          <w:rFonts w:asciiTheme="minorBidi" w:hAnsiTheme="minorBidi"/>
        </w:rPr>
        <w:t xml:space="preserve"> by not providing them adequate and equivalent services</w:t>
      </w:r>
      <w:r w:rsidRPr="00F95206">
        <w:rPr>
          <w:rFonts w:asciiTheme="minorBidi" w:hAnsiTheme="minorBidi"/>
        </w:rPr>
        <w:t>.</w:t>
      </w:r>
    </w:p>
    <w:p w14:paraId="222AE493" w14:textId="77777777" w:rsidR="00A35C1D" w:rsidRPr="00A35C1D" w:rsidRDefault="00A35C1D" w:rsidP="00A35C1D">
      <w:pPr>
        <w:spacing w:after="80" w:line="240" w:lineRule="auto"/>
        <w:jc w:val="both"/>
        <w:rPr>
          <w:rFonts w:asciiTheme="minorBidi" w:hAnsiTheme="minorBidi"/>
          <w:color w:val="BE7500" w:themeColor="accent3" w:themeShade="BF"/>
        </w:rPr>
      </w:pPr>
    </w:p>
    <w:p w14:paraId="628FB205" w14:textId="77777777" w:rsidR="00A35C1D" w:rsidRPr="00A35C1D" w:rsidRDefault="00A35C1D" w:rsidP="00A35C1D">
      <w:pPr>
        <w:pStyle w:val="Heading2"/>
        <w:rPr>
          <w:color w:val="BE7500" w:themeColor="accent3" w:themeShade="BF"/>
        </w:rPr>
      </w:pPr>
      <w:bookmarkStart w:id="16" w:name="_Toc23323399"/>
      <w:r w:rsidRPr="00A35C1D">
        <w:rPr>
          <w:color w:val="BE7500" w:themeColor="accent3" w:themeShade="BF"/>
        </w:rPr>
        <w:t>Access to health</w:t>
      </w:r>
      <w:bookmarkEnd w:id="16"/>
    </w:p>
    <w:p w14:paraId="3DAD42C2" w14:textId="77777777" w:rsidR="00A35C1D" w:rsidRDefault="00A35C1D" w:rsidP="00A35C1D">
      <w:pPr>
        <w:pStyle w:val="ListParagraph"/>
        <w:numPr>
          <w:ilvl w:val="0"/>
          <w:numId w:val="37"/>
        </w:numPr>
        <w:spacing w:after="80" w:line="240" w:lineRule="auto"/>
        <w:jc w:val="both"/>
        <w:rPr>
          <w:rFonts w:asciiTheme="minorBidi" w:hAnsiTheme="minorBidi"/>
        </w:rPr>
      </w:pPr>
      <w:r w:rsidRPr="00556706">
        <w:rPr>
          <w:rFonts w:asciiTheme="minorBidi" w:hAnsiTheme="minorBidi"/>
        </w:rPr>
        <w:t xml:space="preserve">In Gaza, the 12-year </w:t>
      </w:r>
      <w:r w:rsidRPr="007C669D">
        <w:rPr>
          <w:rFonts w:asciiTheme="minorBidi" w:hAnsiTheme="minorBidi"/>
        </w:rPr>
        <w:t>blockade hinders the right to health of Palestinians by</w:t>
      </w:r>
      <w:r w:rsidRPr="008B4BCD">
        <w:rPr>
          <w:rFonts w:asciiTheme="minorBidi" w:hAnsiTheme="minorBidi"/>
        </w:rPr>
        <w:t xml:space="preserve"> prohibiting the entry of medical equipment</w:t>
      </w:r>
      <w:r w:rsidRPr="00CB2EC1">
        <w:rPr>
          <w:rFonts w:asciiTheme="minorBidi" w:hAnsiTheme="minorBidi"/>
        </w:rPr>
        <w:t xml:space="preserve">. </w:t>
      </w:r>
      <w:r>
        <w:rPr>
          <w:rFonts w:asciiTheme="minorBidi" w:hAnsiTheme="minorBidi"/>
        </w:rPr>
        <w:t>The severe restrictions on dual-use goods prohibits the entry of medicines and medical equipment.</w:t>
      </w:r>
    </w:p>
    <w:p w14:paraId="3AE6D741" w14:textId="77777777" w:rsidR="00A35C1D" w:rsidRDefault="00A35C1D" w:rsidP="00A35C1D">
      <w:pPr>
        <w:pStyle w:val="ListParagraph"/>
        <w:numPr>
          <w:ilvl w:val="0"/>
          <w:numId w:val="37"/>
        </w:numPr>
        <w:spacing w:after="80" w:line="240" w:lineRule="auto"/>
        <w:jc w:val="both"/>
        <w:rPr>
          <w:rFonts w:asciiTheme="minorBidi" w:hAnsiTheme="minorBidi"/>
        </w:rPr>
      </w:pPr>
      <w:r>
        <w:rPr>
          <w:rFonts w:asciiTheme="minorBidi" w:hAnsiTheme="minorBidi"/>
        </w:rPr>
        <w:t>Moreover, a list published by the Israeli Ministry of Foreign Affairs regarding the entry of goods in Gaza states that all materials needed for construction purposes are subjected to authorisation as they could be used “for Hamas military purposes”.</w:t>
      </w:r>
      <w:r>
        <w:rPr>
          <w:rStyle w:val="FootnoteReference"/>
          <w:rFonts w:asciiTheme="minorBidi" w:hAnsiTheme="minorBidi"/>
        </w:rPr>
        <w:footnoteReference w:id="28"/>
      </w:r>
      <w:r>
        <w:rPr>
          <w:rFonts w:asciiTheme="minorBidi" w:hAnsiTheme="minorBidi"/>
        </w:rPr>
        <w:t xml:space="preserve"> This prevents the maintenance, reparation or construction of medical centres, which are lacking in Gaza.</w:t>
      </w:r>
    </w:p>
    <w:p w14:paraId="44DCBD18" w14:textId="77777777" w:rsidR="00A35C1D" w:rsidRPr="0052725C" w:rsidRDefault="00A35C1D" w:rsidP="00A35C1D">
      <w:pPr>
        <w:pStyle w:val="ListParagraph"/>
        <w:numPr>
          <w:ilvl w:val="0"/>
          <w:numId w:val="37"/>
        </w:numPr>
        <w:spacing w:after="80" w:line="240" w:lineRule="auto"/>
        <w:jc w:val="both"/>
        <w:rPr>
          <w:rFonts w:asciiTheme="minorBidi" w:hAnsiTheme="minorBidi"/>
        </w:rPr>
      </w:pPr>
      <w:r>
        <w:rPr>
          <w:rFonts w:asciiTheme="minorBidi" w:hAnsiTheme="minorBidi"/>
        </w:rPr>
        <w:t xml:space="preserve">The lack of medical infrastructure and of medicines leads </w:t>
      </w:r>
      <w:r w:rsidRPr="00556706">
        <w:rPr>
          <w:rFonts w:asciiTheme="minorBidi" w:hAnsiTheme="minorBidi"/>
        </w:rPr>
        <w:t xml:space="preserve">Palestinians living in Gaza </w:t>
      </w:r>
      <w:r>
        <w:rPr>
          <w:rFonts w:asciiTheme="minorBidi" w:hAnsiTheme="minorBidi"/>
        </w:rPr>
        <w:t xml:space="preserve">to look </w:t>
      </w:r>
      <w:r w:rsidRPr="00556706">
        <w:rPr>
          <w:rFonts w:asciiTheme="minorBidi" w:hAnsiTheme="minorBidi"/>
        </w:rPr>
        <w:t xml:space="preserve">for treatments or care outside Gaza, </w:t>
      </w:r>
      <w:r>
        <w:rPr>
          <w:rFonts w:asciiTheme="minorBidi" w:hAnsiTheme="minorBidi"/>
        </w:rPr>
        <w:t>especially</w:t>
      </w:r>
      <w:r w:rsidRPr="00556706">
        <w:rPr>
          <w:rFonts w:asciiTheme="minorBidi" w:hAnsiTheme="minorBidi"/>
        </w:rPr>
        <w:t xml:space="preserve"> </w:t>
      </w:r>
      <w:r>
        <w:rPr>
          <w:rFonts w:asciiTheme="minorBidi" w:hAnsiTheme="minorBidi"/>
        </w:rPr>
        <w:t xml:space="preserve">in </w:t>
      </w:r>
      <w:r w:rsidRPr="00556706">
        <w:rPr>
          <w:rFonts w:asciiTheme="minorBidi" w:hAnsiTheme="minorBidi"/>
        </w:rPr>
        <w:t>the West Bank or Israel.</w:t>
      </w:r>
      <w:r w:rsidRPr="0052725C">
        <w:rPr>
          <w:rStyle w:val="FootnoteReference"/>
          <w:rFonts w:asciiTheme="minorBidi" w:hAnsiTheme="minorBidi"/>
        </w:rPr>
        <w:footnoteReference w:id="29"/>
      </w:r>
    </w:p>
    <w:p w14:paraId="634F0B72" w14:textId="77777777" w:rsidR="00A35C1D" w:rsidRPr="00556706" w:rsidRDefault="00A35C1D" w:rsidP="00A35C1D">
      <w:pPr>
        <w:pStyle w:val="ListParagraph"/>
        <w:numPr>
          <w:ilvl w:val="0"/>
          <w:numId w:val="37"/>
        </w:numPr>
        <w:spacing w:after="80" w:line="240" w:lineRule="auto"/>
        <w:jc w:val="both"/>
        <w:rPr>
          <w:rFonts w:asciiTheme="minorBidi" w:hAnsiTheme="minorBidi"/>
        </w:rPr>
      </w:pPr>
      <w:r w:rsidRPr="00556706">
        <w:rPr>
          <w:rFonts w:asciiTheme="minorBidi" w:hAnsiTheme="minorBidi"/>
        </w:rPr>
        <w:t xml:space="preserve">The Israeli delegation </w:t>
      </w:r>
      <w:r>
        <w:rPr>
          <w:rFonts w:asciiTheme="minorBidi" w:hAnsiTheme="minorBidi"/>
        </w:rPr>
        <w:t>claimed</w:t>
      </w:r>
      <w:r w:rsidRPr="00556706">
        <w:rPr>
          <w:rFonts w:asciiTheme="minorBidi" w:hAnsiTheme="minorBidi"/>
        </w:rPr>
        <w:t xml:space="preserve"> during the CESCR review that most applications from people willing to enter Israel for medical reasons are approved by Israel, but that the authorities in Gaza or the West Bank are often the ones not delivering the necessary permit to enter Israel.</w:t>
      </w:r>
    </w:p>
    <w:p w14:paraId="6A770A6D" w14:textId="77777777" w:rsidR="00A35C1D" w:rsidRPr="009147E1" w:rsidRDefault="00A35C1D" w:rsidP="00A35C1D">
      <w:pPr>
        <w:pStyle w:val="ListParagraph"/>
        <w:numPr>
          <w:ilvl w:val="0"/>
          <w:numId w:val="37"/>
        </w:numPr>
        <w:spacing w:after="80"/>
        <w:jc w:val="both"/>
        <w:rPr>
          <w:rFonts w:asciiTheme="minorBidi" w:hAnsiTheme="minorBidi"/>
        </w:rPr>
      </w:pPr>
      <w:r w:rsidRPr="004F7590">
        <w:rPr>
          <w:rFonts w:asciiTheme="minorBidi" w:hAnsiTheme="minorBidi"/>
        </w:rPr>
        <w:t>Whether the fault rests on Israel or Palestine</w:t>
      </w:r>
      <w:r>
        <w:rPr>
          <w:rFonts w:asciiTheme="minorBidi" w:hAnsiTheme="minorBidi"/>
        </w:rPr>
        <w:t xml:space="preserve"> for denial of travel permits</w:t>
      </w:r>
      <w:r w:rsidRPr="004F7590">
        <w:rPr>
          <w:rFonts w:asciiTheme="minorBidi" w:hAnsiTheme="minorBidi"/>
        </w:rPr>
        <w:t xml:space="preserve">, Israeli authorities </w:t>
      </w:r>
      <w:r>
        <w:rPr>
          <w:rFonts w:asciiTheme="minorBidi" w:hAnsiTheme="minorBidi"/>
        </w:rPr>
        <w:t>sh</w:t>
      </w:r>
      <w:r w:rsidRPr="004F7590">
        <w:rPr>
          <w:rFonts w:asciiTheme="minorBidi" w:hAnsiTheme="minorBidi"/>
        </w:rPr>
        <w:t>ould facilitate entry in</w:t>
      </w:r>
      <w:r>
        <w:rPr>
          <w:rFonts w:asciiTheme="minorBidi" w:hAnsiTheme="minorBidi"/>
        </w:rPr>
        <w:t>to</w:t>
      </w:r>
      <w:r w:rsidRPr="004F7590">
        <w:rPr>
          <w:rFonts w:asciiTheme="minorBidi" w:hAnsiTheme="minorBidi"/>
        </w:rPr>
        <w:t xml:space="preserve"> the coun</w:t>
      </w:r>
      <w:r w:rsidRPr="00230BAB">
        <w:rPr>
          <w:rFonts w:asciiTheme="minorBidi" w:hAnsiTheme="minorBidi"/>
        </w:rPr>
        <w:t xml:space="preserve">try for medical purposes and delivery of medical supplies and other necessities in the OPT. It is a duty as occupying power, </w:t>
      </w:r>
      <w:r>
        <w:rPr>
          <w:rFonts w:asciiTheme="minorBidi" w:hAnsiTheme="minorBidi"/>
        </w:rPr>
        <w:t xml:space="preserve">under articles 55 and 56 of the Fourth Geneva Convention, </w:t>
      </w:r>
      <w:r w:rsidRPr="004F7590">
        <w:rPr>
          <w:rFonts w:asciiTheme="minorBidi" w:hAnsiTheme="minorBidi"/>
        </w:rPr>
        <w:t xml:space="preserve">to ensure </w:t>
      </w:r>
      <w:r>
        <w:rPr>
          <w:rFonts w:asciiTheme="minorBidi" w:hAnsiTheme="minorBidi"/>
        </w:rPr>
        <w:t xml:space="preserve">that the occupied territories have adequate medical supplies, and </w:t>
      </w:r>
      <w:proofErr w:type="gramStart"/>
      <w:r>
        <w:rPr>
          <w:rFonts w:asciiTheme="minorBidi" w:hAnsiTheme="minorBidi"/>
        </w:rPr>
        <w:t>sufficient</w:t>
      </w:r>
      <w:proofErr w:type="gramEnd"/>
      <w:r>
        <w:rPr>
          <w:rFonts w:asciiTheme="minorBidi" w:hAnsiTheme="minorBidi"/>
        </w:rPr>
        <w:t xml:space="preserve"> hygiene and public health standards.</w:t>
      </w:r>
    </w:p>
    <w:p w14:paraId="73D7D4A8" w14:textId="77777777" w:rsidR="00A35C1D" w:rsidRPr="004F7590" w:rsidRDefault="00A35C1D" w:rsidP="00A35C1D">
      <w:pPr>
        <w:pStyle w:val="ListParagraph"/>
        <w:spacing w:after="80"/>
        <w:jc w:val="both"/>
        <w:rPr>
          <w:rFonts w:asciiTheme="minorBidi" w:hAnsiTheme="minorBidi"/>
        </w:rPr>
      </w:pPr>
    </w:p>
    <w:p w14:paraId="3A0621CD" w14:textId="77777777" w:rsidR="00A35C1D" w:rsidRPr="00A35C1D" w:rsidRDefault="00A35C1D" w:rsidP="00A35C1D">
      <w:pPr>
        <w:pStyle w:val="Heading2"/>
        <w:rPr>
          <w:color w:val="BE7500" w:themeColor="accent3" w:themeShade="BF"/>
        </w:rPr>
      </w:pPr>
      <w:bookmarkStart w:id="17" w:name="_Toc23323400"/>
      <w:r w:rsidRPr="00A35C1D">
        <w:rPr>
          <w:color w:val="BE7500" w:themeColor="accent3" w:themeShade="BF"/>
        </w:rPr>
        <w:t>Settler violence</w:t>
      </w:r>
      <w:bookmarkEnd w:id="17"/>
      <w:r w:rsidRPr="00A35C1D">
        <w:rPr>
          <w:color w:val="BE7500" w:themeColor="accent3" w:themeShade="BF"/>
        </w:rPr>
        <w:t xml:space="preserve"> </w:t>
      </w:r>
    </w:p>
    <w:p w14:paraId="184B7730" w14:textId="77777777" w:rsidR="00A35C1D" w:rsidRDefault="00A35C1D" w:rsidP="00A35C1D">
      <w:pPr>
        <w:pStyle w:val="ListParagraph"/>
        <w:numPr>
          <w:ilvl w:val="0"/>
          <w:numId w:val="37"/>
        </w:numPr>
        <w:spacing w:after="80" w:line="240" w:lineRule="auto"/>
        <w:jc w:val="both"/>
        <w:rPr>
          <w:rFonts w:asciiTheme="minorBidi" w:hAnsiTheme="minorBidi"/>
        </w:rPr>
      </w:pPr>
      <w:r w:rsidRPr="00230BAB">
        <w:rPr>
          <w:rFonts w:asciiTheme="minorBidi" w:hAnsiTheme="minorBidi"/>
        </w:rPr>
        <w:t xml:space="preserve">Palestinians are facing violence and discrimination in the OPT, especially when living near settlements. </w:t>
      </w:r>
      <w:r>
        <w:rPr>
          <w:rFonts w:asciiTheme="minorBidi" w:hAnsiTheme="minorBidi"/>
        </w:rPr>
        <w:t xml:space="preserve">This is a result of the widespread hate speech existing in Israel. </w:t>
      </w:r>
    </w:p>
    <w:p w14:paraId="22282B61" w14:textId="77777777" w:rsidR="00A35C1D" w:rsidRPr="0052725C" w:rsidRDefault="00A35C1D" w:rsidP="00A35C1D">
      <w:pPr>
        <w:pStyle w:val="ListParagraph"/>
        <w:numPr>
          <w:ilvl w:val="0"/>
          <w:numId w:val="37"/>
        </w:numPr>
        <w:spacing w:after="80" w:line="240" w:lineRule="auto"/>
        <w:jc w:val="both"/>
        <w:rPr>
          <w:rFonts w:asciiTheme="minorBidi" w:hAnsiTheme="minorBidi"/>
        </w:rPr>
      </w:pPr>
      <w:r w:rsidRPr="00230BAB">
        <w:rPr>
          <w:rFonts w:asciiTheme="minorBidi" w:hAnsiTheme="minorBidi"/>
        </w:rPr>
        <w:lastRenderedPageBreak/>
        <w:t>In early October</w:t>
      </w:r>
      <w:r>
        <w:rPr>
          <w:rFonts w:asciiTheme="minorBidi" w:hAnsiTheme="minorBidi"/>
        </w:rPr>
        <w:t xml:space="preserve"> 2019</w:t>
      </w:r>
      <w:r w:rsidRPr="00230BAB">
        <w:rPr>
          <w:rFonts w:asciiTheme="minorBidi" w:hAnsiTheme="minorBidi"/>
        </w:rPr>
        <w:t xml:space="preserve">, settlers attacked three Palestinian farmers in Nablus and Bethlehem; four more were injured in the Israeli-controlled area of Hebron city and in the Khirbet al </w:t>
      </w:r>
      <w:proofErr w:type="spellStart"/>
      <w:r w:rsidRPr="00230BAB">
        <w:rPr>
          <w:rFonts w:asciiTheme="minorBidi" w:hAnsiTheme="minorBidi"/>
        </w:rPr>
        <w:t>Marajim</w:t>
      </w:r>
      <w:proofErr w:type="spellEnd"/>
      <w:r w:rsidRPr="00230BAB">
        <w:rPr>
          <w:rFonts w:asciiTheme="minorBidi" w:hAnsiTheme="minorBidi"/>
        </w:rPr>
        <w:t xml:space="preserve"> community.</w:t>
      </w:r>
      <w:r w:rsidRPr="0052725C">
        <w:rPr>
          <w:rStyle w:val="FootnoteReference"/>
          <w:rFonts w:asciiTheme="minorBidi" w:hAnsiTheme="minorBidi"/>
        </w:rPr>
        <w:footnoteReference w:id="30"/>
      </w:r>
    </w:p>
    <w:p w14:paraId="7A14F1E4" w14:textId="77777777" w:rsidR="00A35C1D" w:rsidRPr="00556706" w:rsidRDefault="00A35C1D" w:rsidP="00A35C1D">
      <w:pPr>
        <w:pStyle w:val="ListParagraph"/>
        <w:numPr>
          <w:ilvl w:val="0"/>
          <w:numId w:val="37"/>
        </w:numPr>
        <w:jc w:val="both"/>
        <w:rPr>
          <w:rFonts w:asciiTheme="minorBidi" w:hAnsiTheme="minorBidi"/>
        </w:rPr>
      </w:pPr>
      <w:r w:rsidRPr="00556706">
        <w:rPr>
          <w:rFonts w:asciiTheme="minorBidi" w:hAnsiTheme="minorBidi"/>
        </w:rPr>
        <w:t xml:space="preserve">In a case from December 2018, a bus driver that was dropping off passengers in the ultra-orthodox settlement of </w:t>
      </w:r>
      <w:proofErr w:type="spellStart"/>
      <w:r w:rsidRPr="00556706">
        <w:rPr>
          <w:rFonts w:asciiTheme="minorBidi" w:hAnsiTheme="minorBidi"/>
        </w:rPr>
        <w:t>Modi’in</w:t>
      </w:r>
      <w:proofErr w:type="spellEnd"/>
      <w:r w:rsidRPr="00556706">
        <w:rPr>
          <w:rFonts w:asciiTheme="minorBidi" w:hAnsiTheme="minorBidi"/>
        </w:rPr>
        <w:t xml:space="preserve"> </w:t>
      </w:r>
      <w:proofErr w:type="spellStart"/>
      <w:r w:rsidRPr="00556706">
        <w:rPr>
          <w:rFonts w:asciiTheme="minorBidi" w:hAnsiTheme="minorBidi"/>
        </w:rPr>
        <w:t>Illit</w:t>
      </w:r>
      <w:proofErr w:type="spellEnd"/>
      <w:r w:rsidRPr="00556706">
        <w:rPr>
          <w:rFonts w:asciiTheme="minorBidi" w:hAnsiTheme="minorBidi"/>
        </w:rPr>
        <w:t>, was insulted and beaten by two men, yelling at him calling him a “dirty Arab” and other racist remarks.</w:t>
      </w:r>
      <w:r w:rsidRPr="0052725C">
        <w:rPr>
          <w:rStyle w:val="FootnoteReference"/>
          <w:rFonts w:asciiTheme="minorBidi" w:hAnsiTheme="minorBidi"/>
        </w:rPr>
        <w:footnoteReference w:id="31"/>
      </w:r>
    </w:p>
    <w:p w14:paraId="1090A6E0" w14:textId="77777777" w:rsidR="00A35C1D" w:rsidRPr="00187C8E" w:rsidRDefault="00A35C1D" w:rsidP="00A35C1D">
      <w:pPr>
        <w:pStyle w:val="ListParagraph"/>
        <w:numPr>
          <w:ilvl w:val="0"/>
          <w:numId w:val="37"/>
        </w:numPr>
        <w:jc w:val="both"/>
        <w:rPr>
          <w:rFonts w:asciiTheme="minorBidi" w:hAnsiTheme="minorBidi"/>
        </w:rPr>
      </w:pPr>
      <w:r w:rsidRPr="00556706">
        <w:rPr>
          <w:rFonts w:asciiTheme="minorBidi" w:hAnsiTheme="minorBidi"/>
        </w:rPr>
        <w:t>We are concerned that settler violence</w:t>
      </w:r>
      <w:r>
        <w:rPr>
          <w:rFonts w:asciiTheme="minorBidi" w:hAnsiTheme="minorBidi"/>
        </w:rPr>
        <w:t>, which</w:t>
      </w:r>
      <w:r w:rsidRPr="00556706">
        <w:rPr>
          <w:rFonts w:asciiTheme="minorBidi" w:hAnsiTheme="minorBidi"/>
        </w:rPr>
        <w:t xml:space="preserve"> was raised by the CERD in the last two reviews of Israel</w:t>
      </w:r>
      <w:r>
        <w:rPr>
          <w:rFonts w:asciiTheme="minorBidi" w:hAnsiTheme="minorBidi"/>
        </w:rPr>
        <w:t>,</w:t>
      </w:r>
      <w:r w:rsidRPr="0052725C">
        <w:rPr>
          <w:rStyle w:val="FootnoteReference"/>
          <w:rFonts w:asciiTheme="minorBidi" w:hAnsiTheme="minorBidi"/>
        </w:rPr>
        <w:footnoteReference w:id="32"/>
      </w:r>
      <w:r w:rsidRPr="0052725C">
        <w:rPr>
          <w:rFonts w:asciiTheme="minorBidi" w:hAnsiTheme="minorBidi"/>
        </w:rPr>
        <w:t xml:space="preserve"> has not been </w:t>
      </w:r>
      <w:r>
        <w:rPr>
          <w:rFonts w:asciiTheme="minorBidi" w:hAnsiTheme="minorBidi"/>
        </w:rPr>
        <w:t xml:space="preserve">adequately </w:t>
      </w:r>
      <w:r w:rsidRPr="0052725C">
        <w:rPr>
          <w:rFonts w:asciiTheme="minorBidi" w:hAnsiTheme="minorBidi"/>
        </w:rPr>
        <w:t xml:space="preserve">addressed. </w:t>
      </w:r>
    </w:p>
    <w:p w14:paraId="185E9A59" w14:textId="77777777" w:rsidR="00A35C1D" w:rsidRPr="0052725C" w:rsidRDefault="00A35C1D" w:rsidP="00A35C1D">
      <w:pPr>
        <w:spacing w:after="80" w:line="240" w:lineRule="auto"/>
        <w:jc w:val="both"/>
        <w:rPr>
          <w:rFonts w:asciiTheme="minorBidi" w:hAnsiTheme="minorBidi"/>
        </w:rPr>
      </w:pPr>
    </w:p>
    <w:p w14:paraId="0053F9F0" w14:textId="77777777" w:rsidR="00A35C1D" w:rsidRPr="00A35C1D" w:rsidRDefault="00A35C1D" w:rsidP="00A35C1D">
      <w:pPr>
        <w:pStyle w:val="Heading2"/>
        <w:rPr>
          <w:color w:val="BE7500" w:themeColor="accent3" w:themeShade="BF"/>
        </w:rPr>
      </w:pPr>
      <w:bookmarkStart w:id="18" w:name="_Toc23323401"/>
      <w:r w:rsidRPr="00A35C1D">
        <w:rPr>
          <w:color w:val="BE7500" w:themeColor="accent3" w:themeShade="BF"/>
        </w:rPr>
        <w:t>House construction permits</w:t>
      </w:r>
      <w:bookmarkEnd w:id="18"/>
    </w:p>
    <w:p w14:paraId="30A8291B" w14:textId="77777777" w:rsidR="00A35C1D" w:rsidRPr="00406636" w:rsidRDefault="00A35C1D" w:rsidP="00A35C1D">
      <w:pPr>
        <w:pStyle w:val="ListParagraph"/>
        <w:numPr>
          <w:ilvl w:val="0"/>
          <w:numId w:val="37"/>
        </w:numPr>
        <w:spacing w:after="80" w:line="240" w:lineRule="auto"/>
        <w:jc w:val="both"/>
        <w:rPr>
          <w:rFonts w:asciiTheme="minorBidi" w:hAnsiTheme="minorBidi"/>
        </w:rPr>
      </w:pPr>
      <w:r w:rsidRPr="00CB2EC1">
        <w:rPr>
          <w:rFonts w:asciiTheme="minorBidi" w:hAnsiTheme="minorBidi"/>
        </w:rPr>
        <w:t xml:space="preserve">Palestinians face daily evictions and demolitions of their homes for administrative measures, for deterrence or as punishment. The rate of the demolitions is worrying, especially </w:t>
      </w:r>
      <w:proofErr w:type="gramStart"/>
      <w:r w:rsidRPr="00CB2EC1">
        <w:rPr>
          <w:rFonts w:asciiTheme="minorBidi" w:hAnsiTheme="minorBidi"/>
        </w:rPr>
        <w:t>in light of</w:t>
      </w:r>
      <w:proofErr w:type="gramEnd"/>
      <w:r w:rsidRPr="00CB2EC1">
        <w:rPr>
          <w:rFonts w:asciiTheme="minorBidi" w:hAnsiTheme="minorBidi"/>
        </w:rPr>
        <w:t xml:space="preserve"> the lack of building permits authorised by the Israeli authorities.</w:t>
      </w:r>
    </w:p>
    <w:p w14:paraId="3E3DBE23" w14:textId="1C888BF5" w:rsidR="00A35C1D" w:rsidRPr="00187C8E" w:rsidRDefault="00A35C1D" w:rsidP="00A35C1D">
      <w:pPr>
        <w:pStyle w:val="ListParagraph"/>
        <w:numPr>
          <w:ilvl w:val="0"/>
          <w:numId w:val="37"/>
        </w:numPr>
        <w:spacing w:after="80" w:line="240" w:lineRule="auto"/>
        <w:jc w:val="both"/>
        <w:rPr>
          <w:rFonts w:asciiTheme="minorBidi" w:hAnsiTheme="minorBidi"/>
        </w:rPr>
      </w:pPr>
      <w:r>
        <w:rPr>
          <w:rFonts w:asciiTheme="minorBidi" w:hAnsiTheme="minorBidi"/>
        </w:rPr>
        <w:t>In fact</w:t>
      </w:r>
      <w:r w:rsidRPr="00520179">
        <w:rPr>
          <w:rFonts w:asciiTheme="minorBidi" w:hAnsiTheme="minorBidi"/>
        </w:rPr>
        <w:t xml:space="preserve">, this lack </w:t>
      </w:r>
      <w:r w:rsidR="00BB5312">
        <w:rPr>
          <w:rFonts w:asciiTheme="minorBidi" w:hAnsiTheme="minorBidi"/>
        </w:rPr>
        <w:t xml:space="preserve">of </w:t>
      </w:r>
      <w:r>
        <w:rPr>
          <w:rFonts w:asciiTheme="minorBidi" w:hAnsiTheme="minorBidi"/>
        </w:rPr>
        <w:t xml:space="preserve">permits </w:t>
      </w:r>
      <w:r w:rsidRPr="00520179">
        <w:rPr>
          <w:rFonts w:asciiTheme="minorBidi" w:hAnsiTheme="minorBidi"/>
        </w:rPr>
        <w:t>lead</w:t>
      </w:r>
      <w:r w:rsidRPr="00F95206">
        <w:rPr>
          <w:rFonts w:asciiTheme="minorBidi" w:hAnsiTheme="minorBidi"/>
        </w:rPr>
        <w:t>s Palestinians</w:t>
      </w:r>
      <w:r w:rsidRPr="004F7590">
        <w:rPr>
          <w:rFonts w:asciiTheme="minorBidi" w:hAnsiTheme="minorBidi"/>
        </w:rPr>
        <w:t xml:space="preserve"> to</w:t>
      </w:r>
      <w:r w:rsidRPr="00230BAB">
        <w:rPr>
          <w:rFonts w:asciiTheme="minorBidi" w:hAnsiTheme="minorBidi"/>
        </w:rPr>
        <w:t xml:space="preserve"> build houses without permits, </w:t>
      </w:r>
      <w:r w:rsidRPr="00187C8E">
        <w:rPr>
          <w:rFonts w:asciiTheme="minorBidi" w:hAnsiTheme="minorBidi"/>
        </w:rPr>
        <w:t>houses</w:t>
      </w:r>
      <w:r>
        <w:rPr>
          <w:rFonts w:asciiTheme="minorBidi" w:hAnsiTheme="minorBidi"/>
        </w:rPr>
        <w:t xml:space="preserve"> that</w:t>
      </w:r>
      <w:r w:rsidRPr="00187C8E">
        <w:rPr>
          <w:rFonts w:asciiTheme="minorBidi" w:hAnsiTheme="minorBidi"/>
        </w:rPr>
        <w:t xml:space="preserve"> are later destroyed by the Israeli authorities under the pretext that they have been illegally built</w:t>
      </w:r>
      <w:r>
        <w:rPr>
          <w:rFonts w:asciiTheme="minorBidi" w:hAnsiTheme="minorBidi"/>
        </w:rPr>
        <w:t>, which creates a never-ending cycle. N</w:t>
      </w:r>
      <w:r w:rsidRPr="00187C8E">
        <w:rPr>
          <w:rFonts w:asciiTheme="minorBidi" w:hAnsiTheme="minorBidi"/>
        </w:rPr>
        <w:t xml:space="preserve">evertheless, Palestinians have no choice than </w:t>
      </w:r>
      <w:r>
        <w:rPr>
          <w:rFonts w:asciiTheme="minorBidi" w:hAnsiTheme="minorBidi"/>
        </w:rPr>
        <w:t xml:space="preserve">to </w:t>
      </w:r>
      <w:r w:rsidRPr="00187C8E">
        <w:rPr>
          <w:rFonts w:asciiTheme="minorBidi" w:hAnsiTheme="minorBidi"/>
        </w:rPr>
        <w:t>keep building houses, even without permits.</w:t>
      </w:r>
    </w:p>
    <w:p w14:paraId="61B417F5" w14:textId="77777777" w:rsidR="00A35C1D" w:rsidRPr="00556706" w:rsidRDefault="00A35C1D" w:rsidP="00A35C1D">
      <w:pPr>
        <w:pStyle w:val="ListParagraph"/>
        <w:numPr>
          <w:ilvl w:val="0"/>
          <w:numId w:val="37"/>
        </w:numPr>
        <w:spacing w:after="80" w:line="240" w:lineRule="auto"/>
        <w:jc w:val="both"/>
        <w:rPr>
          <w:rFonts w:asciiTheme="minorBidi" w:hAnsiTheme="minorBidi"/>
        </w:rPr>
      </w:pPr>
      <w:r w:rsidRPr="00187C8E">
        <w:rPr>
          <w:rFonts w:asciiTheme="minorBidi" w:hAnsiTheme="minorBidi"/>
        </w:rPr>
        <w:t xml:space="preserve">The fact that Palestinian houses and villages are at risk of demolition increase inequalities between Jewish and Palestinians and hinders </w:t>
      </w:r>
      <w:r>
        <w:rPr>
          <w:rFonts w:asciiTheme="minorBidi" w:hAnsiTheme="minorBidi"/>
        </w:rPr>
        <w:t xml:space="preserve">Palestinian </w:t>
      </w:r>
      <w:r w:rsidRPr="00187C8E">
        <w:rPr>
          <w:rFonts w:asciiTheme="minorBidi" w:hAnsiTheme="minorBidi"/>
        </w:rPr>
        <w:t>economic development.</w:t>
      </w:r>
      <w:r w:rsidRPr="0052725C">
        <w:rPr>
          <w:rStyle w:val="FootnoteReference"/>
          <w:rFonts w:asciiTheme="minorBidi" w:hAnsiTheme="minorBidi"/>
        </w:rPr>
        <w:footnoteReference w:id="33"/>
      </w:r>
      <w:r w:rsidRPr="0052725C">
        <w:rPr>
          <w:rFonts w:asciiTheme="minorBidi" w:hAnsiTheme="minorBidi"/>
        </w:rPr>
        <w:t xml:space="preserve"> </w:t>
      </w:r>
    </w:p>
    <w:p w14:paraId="55080AA3" w14:textId="77777777" w:rsidR="00A35C1D" w:rsidRPr="00556706" w:rsidRDefault="00A35C1D" w:rsidP="00A35C1D">
      <w:pPr>
        <w:pStyle w:val="ListParagraph"/>
        <w:numPr>
          <w:ilvl w:val="0"/>
          <w:numId w:val="37"/>
        </w:numPr>
        <w:spacing w:after="80" w:line="240" w:lineRule="auto"/>
        <w:jc w:val="both"/>
        <w:rPr>
          <w:rFonts w:asciiTheme="minorBidi" w:hAnsiTheme="minorBidi"/>
        </w:rPr>
      </w:pPr>
      <w:r w:rsidRPr="00556706">
        <w:rPr>
          <w:rFonts w:asciiTheme="minorBidi" w:hAnsiTheme="minorBidi"/>
        </w:rPr>
        <w:t>Moreover, the eviction of Palestinians and destruction of their homes allow the expansion of Israeli settlements, going further and further into the Palestinian territory</w:t>
      </w:r>
      <w:r>
        <w:rPr>
          <w:rFonts w:asciiTheme="minorBidi" w:hAnsiTheme="minorBidi"/>
        </w:rPr>
        <w:t xml:space="preserve"> in a widespread violation of Israel’s international obligations</w:t>
      </w:r>
      <w:r w:rsidRPr="00556706">
        <w:rPr>
          <w:rFonts w:asciiTheme="minorBidi" w:hAnsiTheme="minorBidi"/>
        </w:rPr>
        <w:t>.</w:t>
      </w:r>
    </w:p>
    <w:p w14:paraId="308CF9FD" w14:textId="77777777" w:rsidR="00A35C1D" w:rsidRPr="00556706" w:rsidRDefault="00A35C1D" w:rsidP="00A35C1D">
      <w:pPr>
        <w:spacing w:after="80" w:line="240" w:lineRule="auto"/>
        <w:jc w:val="both"/>
        <w:rPr>
          <w:rFonts w:asciiTheme="minorBidi" w:hAnsiTheme="minorBidi"/>
        </w:rPr>
      </w:pPr>
    </w:p>
    <w:p w14:paraId="2B5F3288" w14:textId="77777777" w:rsidR="00A35C1D" w:rsidRPr="00A35C1D" w:rsidRDefault="00A35C1D" w:rsidP="00A35C1D">
      <w:pPr>
        <w:pStyle w:val="Heading1"/>
        <w:rPr>
          <w:color w:val="BE7500" w:themeColor="accent3" w:themeShade="BF"/>
        </w:rPr>
      </w:pPr>
      <w:bookmarkStart w:id="19" w:name="_Toc23323402"/>
      <w:r w:rsidRPr="00A35C1D">
        <w:rPr>
          <w:color w:val="BE7500" w:themeColor="accent3" w:themeShade="BF"/>
        </w:rPr>
        <w:t>Recommendations</w:t>
      </w:r>
      <w:bookmarkEnd w:id="19"/>
    </w:p>
    <w:p w14:paraId="7E225A27" w14:textId="77777777" w:rsidR="00A35C1D" w:rsidRPr="00187C8E" w:rsidRDefault="00A35C1D" w:rsidP="00A35C1D">
      <w:pPr>
        <w:spacing w:after="80" w:line="240" w:lineRule="auto"/>
        <w:jc w:val="both"/>
        <w:rPr>
          <w:rFonts w:asciiTheme="minorBidi" w:hAnsiTheme="minorBidi"/>
        </w:rPr>
      </w:pPr>
      <w:r w:rsidRPr="00CB2EC1">
        <w:rPr>
          <w:rFonts w:asciiTheme="minorBidi" w:hAnsiTheme="minorBidi"/>
        </w:rPr>
        <w:t>We note with concern that CERD reit</w:t>
      </w:r>
      <w:r w:rsidRPr="00520179">
        <w:rPr>
          <w:rFonts w:asciiTheme="minorBidi" w:hAnsiTheme="minorBidi"/>
        </w:rPr>
        <w:t>erated most of its concluding observations from</w:t>
      </w:r>
      <w:r w:rsidRPr="00F95206">
        <w:rPr>
          <w:rFonts w:asciiTheme="minorBidi" w:hAnsiTheme="minorBidi"/>
        </w:rPr>
        <w:t xml:space="preserve"> 2007 in its l</w:t>
      </w:r>
      <w:r w:rsidRPr="00230BAB">
        <w:rPr>
          <w:rFonts w:asciiTheme="minorBidi" w:hAnsiTheme="minorBidi"/>
        </w:rPr>
        <w:t xml:space="preserve">ast concluding observations (2011) and hope </w:t>
      </w:r>
      <w:r w:rsidRPr="00187C8E">
        <w:rPr>
          <w:rFonts w:asciiTheme="minorBidi" w:hAnsiTheme="minorBidi"/>
        </w:rPr>
        <w:t>that this session will witness improvements.</w:t>
      </w:r>
    </w:p>
    <w:p w14:paraId="06E986B4" w14:textId="77777777" w:rsidR="00A35C1D" w:rsidRPr="00187C8E" w:rsidRDefault="00A35C1D" w:rsidP="00A35C1D">
      <w:pPr>
        <w:spacing w:after="80" w:line="240" w:lineRule="auto"/>
        <w:jc w:val="both"/>
        <w:rPr>
          <w:rFonts w:asciiTheme="minorBidi" w:hAnsiTheme="minorBidi"/>
        </w:rPr>
      </w:pPr>
      <w:r w:rsidRPr="00187C8E">
        <w:rPr>
          <w:rFonts w:asciiTheme="minorBidi" w:hAnsiTheme="minorBidi"/>
        </w:rPr>
        <w:t>GICJ suggests that the CERD ask the delegation of Israel and / or recommend in its concluding observation that Israel do the following:</w:t>
      </w:r>
    </w:p>
    <w:p w14:paraId="47E156AC" w14:textId="77777777" w:rsidR="00A35C1D" w:rsidRPr="00187C8E" w:rsidRDefault="00A35C1D" w:rsidP="00A35C1D">
      <w:pPr>
        <w:pStyle w:val="ListParagraph"/>
        <w:numPr>
          <w:ilvl w:val="0"/>
          <w:numId w:val="36"/>
        </w:numPr>
        <w:spacing w:after="80" w:line="240" w:lineRule="auto"/>
        <w:jc w:val="both"/>
        <w:rPr>
          <w:rFonts w:asciiTheme="minorBidi" w:hAnsiTheme="minorBidi"/>
        </w:rPr>
      </w:pPr>
      <w:r w:rsidRPr="00187C8E">
        <w:rPr>
          <w:rFonts w:asciiTheme="minorBidi" w:hAnsiTheme="minorBidi"/>
        </w:rPr>
        <w:t xml:space="preserve">Repeal the 2018 </w:t>
      </w:r>
      <w:r>
        <w:rPr>
          <w:rFonts w:asciiTheme="minorBidi" w:hAnsiTheme="minorBidi"/>
        </w:rPr>
        <w:t>B</w:t>
      </w:r>
      <w:r w:rsidRPr="00187C8E">
        <w:rPr>
          <w:rFonts w:asciiTheme="minorBidi" w:hAnsiTheme="minorBidi"/>
        </w:rPr>
        <w:t xml:space="preserve">asic </w:t>
      </w:r>
      <w:r>
        <w:rPr>
          <w:rFonts w:asciiTheme="minorBidi" w:hAnsiTheme="minorBidi"/>
        </w:rPr>
        <w:t>L</w:t>
      </w:r>
      <w:r w:rsidRPr="00187C8E">
        <w:rPr>
          <w:rFonts w:asciiTheme="minorBidi" w:hAnsiTheme="minorBidi"/>
        </w:rPr>
        <w:t>aw and reinstate Arabic as an official language.</w:t>
      </w:r>
    </w:p>
    <w:p w14:paraId="2AC6CF90" w14:textId="77777777" w:rsidR="00A35C1D" w:rsidRPr="00187C8E" w:rsidRDefault="00A35C1D" w:rsidP="00A35C1D">
      <w:pPr>
        <w:pStyle w:val="ListParagraph"/>
        <w:numPr>
          <w:ilvl w:val="0"/>
          <w:numId w:val="36"/>
        </w:numPr>
        <w:spacing w:after="80" w:line="240" w:lineRule="auto"/>
        <w:jc w:val="both"/>
        <w:rPr>
          <w:rFonts w:asciiTheme="minorBidi" w:hAnsiTheme="minorBidi"/>
        </w:rPr>
      </w:pPr>
      <w:r>
        <w:rPr>
          <w:rFonts w:asciiTheme="minorBidi" w:hAnsiTheme="minorBidi"/>
        </w:rPr>
        <w:t>Do not bind social benefits to the condition of serving in the army.</w:t>
      </w:r>
    </w:p>
    <w:p w14:paraId="2815A14E" w14:textId="77777777" w:rsidR="00A35C1D" w:rsidRPr="00187C8E" w:rsidRDefault="00A35C1D" w:rsidP="00A35C1D">
      <w:pPr>
        <w:pStyle w:val="ListParagraph"/>
        <w:numPr>
          <w:ilvl w:val="0"/>
          <w:numId w:val="36"/>
        </w:numPr>
        <w:spacing w:after="80" w:line="240" w:lineRule="auto"/>
        <w:jc w:val="both"/>
        <w:rPr>
          <w:rFonts w:asciiTheme="minorBidi" w:hAnsiTheme="minorBidi"/>
        </w:rPr>
      </w:pPr>
      <w:r w:rsidRPr="00187C8E">
        <w:rPr>
          <w:rFonts w:asciiTheme="minorBidi" w:hAnsiTheme="minorBidi"/>
        </w:rPr>
        <w:t>Adopt a comprehensive definition of racial discrimination in a dedicated legal instrument in accordance with the ICERD.</w:t>
      </w:r>
    </w:p>
    <w:p w14:paraId="60D9E694" w14:textId="77777777" w:rsidR="00A35C1D" w:rsidRPr="00187C8E" w:rsidRDefault="00A35C1D" w:rsidP="00A35C1D">
      <w:pPr>
        <w:pStyle w:val="ListParagraph"/>
        <w:numPr>
          <w:ilvl w:val="0"/>
          <w:numId w:val="36"/>
        </w:numPr>
        <w:spacing w:after="80" w:line="240" w:lineRule="auto"/>
        <w:jc w:val="both"/>
        <w:rPr>
          <w:rFonts w:asciiTheme="minorBidi" w:hAnsiTheme="minorBidi"/>
        </w:rPr>
      </w:pPr>
      <w:r w:rsidRPr="00187C8E">
        <w:rPr>
          <w:rFonts w:asciiTheme="minorBidi" w:hAnsiTheme="minorBidi"/>
        </w:rPr>
        <w:t>Provide a comprehensive list of the existing remedies and bodies to support judicial claims and protect victims of discrimination, hate speech and hate crimes.</w:t>
      </w:r>
    </w:p>
    <w:p w14:paraId="226FB347" w14:textId="77777777" w:rsidR="00A35C1D" w:rsidRPr="00187C8E" w:rsidRDefault="00A35C1D" w:rsidP="00A35C1D">
      <w:pPr>
        <w:pStyle w:val="ListParagraph"/>
        <w:numPr>
          <w:ilvl w:val="0"/>
          <w:numId w:val="36"/>
        </w:numPr>
        <w:spacing w:after="80" w:line="240" w:lineRule="auto"/>
        <w:jc w:val="both"/>
        <w:rPr>
          <w:rFonts w:asciiTheme="minorBidi" w:hAnsiTheme="minorBidi"/>
        </w:rPr>
      </w:pPr>
      <w:r w:rsidRPr="00187C8E">
        <w:rPr>
          <w:rFonts w:asciiTheme="minorBidi" w:hAnsiTheme="minorBidi"/>
        </w:rPr>
        <w:t>Ensure adequate access to the labour market for Arab citizens, especially women, and ensure they are paid fair wages.</w:t>
      </w:r>
    </w:p>
    <w:p w14:paraId="323D79C5" w14:textId="77777777" w:rsidR="00A35C1D" w:rsidRPr="00187C8E" w:rsidRDefault="00A35C1D" w:rsidP="00A35C1D">
      <w:pPr>
        <w:pStyle w:val="ListParagraph"/>
        <w:numPr>
          <w:ilvl w:val="0"/>
          <w:numId w:val="36"/>
        </w:numPr>
        <w:spacing w:after="80" w:line="240" w:lineRule="auto"/>
        <w:jc w:val="both"/>
        <w:rPr>
          <w:rFonts w:asciiTheme="minorBidi" w:hAnsiTheme="minorBidi"/>
        </w:rPr>
      </w:pPr>
      <w:r w:rsidRPr="00187C8E">
        <w:rPr>
          <w:rFonts w:asciiTheme="minorBidi" w:hAnsiTheme="minorBidi"/>
        </w:rPr>
        <w:t>Criminalise hate speech – including online – and prosecute the perpetrators in accordance with the rule of law.</w:t>
      </w:r>
    </w:p>
    <w:p w14:paraId="7B753F46" w14:textId="77777777" w:rsidR="00A35C1D" w:rsidRPr="00187C8E" w:rsidRDefault="00A35C1D" w:rsidP="00A35C1D">
      <w:pPr>
        <w:pStyle w:val="ListParagraph"/>
        <w:numPr>
          <w:ilvl w:val="0"/>
          <w:numId w:val="36"/>
        </w:numPr>
        <w:spacing w:after="80" w:line="240" w:lineRule="auto"/>
        <w:jc w:val="both"/>
        <w:rPr>
          <w:rFonts w:asciiTheme="minorBidi" w:hAnsiTheme="minorBidi"/>
        </w:rPr>
      </w:pPr>
      <w:r w:rsidRPr="00187C8E">
        <w:rPr>
          <w:rFonts w:asciiTheme="minorBidi" w:hAnsiTheme="minorBidi"/>
        </w:rPr>
        <w:t xml:space="preserve">Allow Palestinians to return in </w:t>
      </w:r>
      <w:r>
        <w:rPr>
          <w:rFonts w:asciiTheme="minorBidi" w:hAnsiTheme="minorBidi"/>
        </w:rPr>
        <w:t xml:space="preserve">accordance with </w:t>
      </w:r>
      <w:r w:rsidRPr="00187C8E">
        <w:rPr>
          <w:rFonts w:asciiTheme="minorBidi" w:hAnsiTheme="minorBidi"/>
        </w:rPr>
        <w:t>UN resolutions and to get their properties back.</w:t>
      </w:r>
    </w:p>
    <w:p w14:paraId="5C094FEC" w14:textId="77777777" w:rsidR="00A35C1D" w:rsidRPr="00187C8E" w:rsidRDefault="00A35C1D" w:rsidP="00A35C1D">
      <w:pPr>
        <w:pStyle w:val="ListParagraph"/>
        <w:numPr>
          <w:ilvl w:val="0"/>
          <w:numId w:val="36"/>
        </w:numPr>
        <w:spacing w:after="80" w:line="240" w:lineRule="auto"/>
        <w:jc w:val="both"/>
        <w:rPr>
          <w:rFonts w:asciiTheme="minorBidi" w:hAnsiTheme="minorBidi"/>
        </w:rPr>
      </w:pPr>
      <w:r w:rsidRPr="00187C8E">
        <w:rPr>
          <w:rFonts w:asciiTheme="minorBidi" w:hAnsiTheme="minorBidi"/>
        </w:rPr>
        <w:lastRenderedPageBreak/>
        <w:t>Recognise the jurisdiction it has over the OPT and thus apply Israeli laws to Palestinian people without discrimination.</w:t>
      </w:r>
    </w:p>
    <w:p w14:paraId="6C4BF55C" w14:textId="77777777" w:rsidR="00A35C1D" w:rsidRPr="00187C8E" w:rsidRDefault="00A35C1D" w:rsidP="00A35C1D">
      <w:pPr>
        <w:pStyle w:val="ListParagraph"/>
        <w:numPr>
          <w:ilvl w:val="0"/>
          <w:numId w:val="36"/>
        </w:numPr>
        <w:spacing w:after="80" w:line="240" w:lineRule="auto"/>
        <w:jc w:val="both"/>
        <w:rPr>
          <w:rFonts w:asciiTheme="minorBidi" w:hAnsiTheme="minorBidi"/>
        </w:rPr>
      </w:pPr>
      <w:r w:rsidRPr="00187C8E">
        <w:rPr>
          <w:rFonts w:asciiTheme="minorBidi" w:hAnsiTheme="minorBidi"/>
        </w:rPr>
        <w:t>Stop exp</w:t>
      </w:r>
      <w:r>
        <w:rPr>
          <w:rFonts w:asciiTheme="minorBidi" w:hAnsiTheme="minorBidi"/>
        </w:rPr>
        <w:t>a</w:t>
      </w:r>
      <w:r w:rsidRPr="00187C8E">
        <w:rPr>
          <w:rFonts w:asciiTheme="minorBidi" w:hAnsiTheme="minorBidi"/>
        </w:rPr>
        <w:t xml:space="preserve">nding settlements and make </w:t>
      </w:r>
      <w:r>
        <w:rPr>
          <w:rFonts w:asciiTheme="minorBidi" w:hAnsiTheme="minorBidi"/>
        </w:rPr>
        <w:t xml:space="preserve">sure </w:t>
      </w:r>
      <w:r w:rsidRPr="00187C8E">
        <w:rPr>
          <w:rFonts w:asciiTheme="minorBidi" w:hAnsiTheme="minorBidi"/>
        </w:rPr>
        <w:t xml:space="preserve">settlers </w:t>
      </w:r>
      <w:r>
        <w:rPr>
          <w:rFonts w:asciiTheme="minorBidi" w:hAnsiTheme="minorBidi"/>
        </w:rPr>
        <w:t xml:space="preserve">are </w:t>
      </w:r>
      <w:r w:rsidRPr="00187C8E">
        <w:rPr>
          <w:rFonts w:asciiTheme="minorBidi" w:hAnsiTheme="minorBidi"/>
        </w:rPr>
        <w:t>accountable for their actions.</w:t>
      </w:r>
    </w:p>
    <w:p w14:paraId="3910C874" w14:textId="44922213" w:rsidR="00A35C1D" w:rsidRPr="0057622A" w:rsidRDefault="00A35C1D" w:rsidP="0057622A">
      <w:pPr>
        <w:pStyle w:val="ListParagraph"/>
        <w:numPr>
          <w:ilvl w:val="0"/>
          <w:numId w:val="36"/>
        </w:numPr>
        <w:spacing w:after="80" w:line="240" w:lineRule="auto"/>
        <w:jc w:val="both"/>
        <w:rPr>
          <w:rFonts w:asciiTheme="minorBidi" w:hAnsiTheme="minorBidi"/>
        </w:rPr>
      </w:pPr>
      <w:r w:rsidRPr="00187C8E">
        <w:rPr>
          <w:rFonts w:asciiTheme="minorBidi" w:hAnsiTheme="minorBidi"/>
        </w:rPr>
        <w:t>Provide disaggregated data on building permit</w:t>
      </w:r>
      <w:r>
        <w:rPr>
          <w:rFonts w:asciiTheme="minorBidi" w:hAnsiTheme="minorBidi"/>
        </w:rPr>
        <w:t>s</w:t>
      </w:r>
      <w:r w:rsidRPr="00187C8E">
        <w:rPr>
          <w:rFonts w:asciiTheme="minorBidi" w:hAnsiTheme="minorBidi"/>
        </w:rPr>
        <w:t xml:space="preserve"> authorised in the OPT and halt evictions</w:t>
      </w:r>
      <w:r w:rsidR="0057622A">
        <w:rPr>
          <w:rFonts w:asciiTheme="minorBidi" w:hAnsiTheme="minorBidi"/>
        </w:rPr>
        <w:t xml:space="preserve"> </w:t>
      </w:r>
      <w:r w:rsidRPr="0057622A">
        <w:rPr>
          <w:rFonts w:asciiTheme="minorBidi" w:hAnsiTheme="minorBidi"/>
        </w:rPr>
        <w:t>and demolitions.</w:t>
      </w:r>
    </w:p>
    <w:p w14:paraId="53E6D1B2" w14:textId="77777777" w:rsidR="00A35C1D" w:rsidRDefault="00A35C1D" w:rsidP="00A35C1D"/>
    <w:p w14:paraId="55E61858" w14:textId="7DAC5FD8" w:rsidR="00D71DA0" w:rsidRDefault="00D71DA0" w:rsidP="00E52234">
      <w:pPr>
        <w:jc w:val="both"/>
      </w:pPr>
    </w:p>
    <w:p w14:paraId="4A0D9A02" w14:textId="67BE7E52" w:rsidR="00D71DA0" w:rsidRDefault="00D71DA0" w:rsidP="00E52234">
      <w:pPr>
        <w:jc w:val="both"/>
        <w:rPr>
          <w:rFonts w:eastAsiaTheme="majorEastAsia" w:cstheme="majorBidi"/>
          <w:b/>
          <w:color w:val="7B881D" w:themeColor="accent1" w:themeShade="BF"/>
          <w:sz w:val="32"/>
          <w:szCs w:val="32"/>
        </w:rPr>
      </w:pPr>
    </w:p>
    <w:bookmarkEnd w:id="0"/>
    <w:p w14:paraId="63B779D8" w14:textId="77777777" w:rsidR="00BB5312" w:rsidRDefault="00BB5312" w:rsidP="00E52234">
      <w:pPr>
        <w:jc w:val="both"/>
      </w:pPr>
    </w:p>
    <w:p w14:paraId="3C33D80E" w14:textId="77777777" w:rsidR="00BB5312" w:rsidRDefault="00BB5312" w:rsidP="00E52234">
      <w:pPr>
        <w:jc w:val="both"/>
      </w:pPr>
    </w:p>
    <w:p w14:paraId="577AFD04" w14:textId="77777777" w:rsidR="00BB5312" w:rsidRDefault="00BB5312" w:rsidP="00E52234">
      <w:pPr>
        <w:jc w:val="both"/>
      </w:pPr>
    </w:p>
    <w:p w14:paraId="2CF93FD5" w14:textId="77777777" w:rsidR="00BB5312" w:rsidRDefault="00BB5312" w:rsidP="00E52234">
      <w:pPr>
        <w:jc w:val="both"/>
      </w:pPr>
    </w:p>
    <w:p w14:paraId="7433B95B" w14:textId="77777777" w:rsidR="00BB5312" w:rsidRDefault="00BB5312" w:rsidP="00E52234">
      <w:pPr>
        <w:jc w:val="both"/>
      </w:pPr>
    </w:p>
    <w:p w14:paraId="5BDF4BCF" w14:textId="77777777" w:rsidR="00BB5312" w:rsidRDefault="00BB5312" w:rsidP="00E52234">
      <w:pPr>
        <w:jc w:val="both"/>
      </w:pPr>
    </w:p>
    <w:p w14:paraId="707E23A5" w14:textId="77777777" w:rsidR="00BB5312" w:rsidRDefault="00BB5312" w:rsidP="00E52234">
      <w:pPr>
        <w:jc w:val="both"/>
      </w:pPr>
    </w:p>
    <w:p w14:paraId="1F4F40B1" w14:textId="77777777" w:rsidR="00BB5312" w:rsidRDefault="00BB5312" w:rsidP="00E52234">
      <w:pPr>
        <w:jc w:val="both"/>
      </w:pPr>
    </w:p>
    <w:p w14:paraId="274D3FEF" w14:textId="77777777" w:rsidR="00BB5312" w:rsidRDefault="00BB5312" w:rsidP="00E52234">
      <w:pPr>
        <w:jc w:val="both"/>
      </w:pPr>
    </w:p>
    <w:p w14:paraId="17033DE9" w14:textId="77777777" w:rsidR="00BB5312" w:rsidRDefault="00BB5312" w:rsidP="00E52234">
      <w:pPr>
        <w:jc w:val="both"/>
      </w:pPr>
    </w:p>
    <w:p w14:paraId="064317FB" w14:textId="77777777" w:rsidR="00BB5312" w:rsidRDefault="00BB5312" w:rsidP="00E52234">
      <w:pPr>
        <w:jc w:val="both"/>
      </w:pPr>
    </w:p>
    <w:p w14:paraId="0E5756B1" w14:textId="77777777" w:rsidR="00BB5312" w:rsidRDefault="00BB5312" w:rsidP="00E52234">
      <w:pPr>
        <w:jc w:val="both"/>
      </w:pPr>
    </w:p>
    <w:p w14:paraId="349180B4" w14:textId="77777777" w:rsidR="00BB5312" w:rsidRDefault="00BB5312" w:rsidP="00E52234">
      <w:pPr>
        <w:jc w:val="both"/>
      </w:pPr>
    </w:p>
    <w:p w14:paraId="12C259F0" w14:textId="77777777" w:rsidR="00BB5312" w:rsidRDefault="00BB5312" w:rsidP="00E52234">
      <w:pPr>
        <w:jc w:val="both"/>
      </w:pPr>
    </w:p>
    <w:p w14:paraId="533D2457" w14:textId="77777777" w:rsidR="00BB5312" w:rsidRDefault="00BB5312" w:rsidP="00E52234">
      <w:pPr>
        <w:jc w:val="both"/>
      </w:pPr>
    </w:p>
    <w:p w14:paraId="294D79BD" w14:textId="77777777" w:rsidR="00BB5312" w:rsidRDefault="00BB5312" w:rsidP="00E52234">
      <w:pPr>
        <w:jc w:val="both"/>
      </w:pPr>
    </w:p>
    <w:p w14:paraId="79C39FD4" w14:textId="77777777" w:rsidR="00BB5312" w:rsidRDefault="00BB5312" w:rsidP="00E52234">
      <w:pPr>
        <w:jc w:val="both"/>
      </w:pPr>
    </w:p>
    <w:p w14:paraId="4649ECD5" w14:textId="77777777" w:rsidR="00BB5312" w:rsidRDefault="00BB5312" w:rsidP="00E52234">
      <w:pPr>
        <w:jc w:val="both"/>
      </w:pPr>
    </w:p>
    <w:p w14:paraId="79415777" w14:textId="77777777" w:rsidR="00BB5312" w:rsidRDefault="00BB5312" w:rsidP="00E52234">
      <w:pPr>
        <w:jc w:val="both"/>
      </w:pPr>
    </w:p>
    <w:p w14:paraId="64153D08" w14:textId="77777777" w:rsidR="00BB5312" w:rsidRDefault="00BB5312" w:rsidP="00E52234">
      <w:pPr>
        <w:jc w:val="both"/>
      </w:pPr>
    </w:p>
    <w:p w14:paraId="4D4E34B3" w14:textId="77777777" w:rsidR="00BB5312" w:rsidRDefault="00BB5312" w:rsidP="00E52234">
      <w:pPr>
        <w:jc w:val="both"/>
      </w:pPr>
    </w:p>
    <w:p w14:paraId="1A629E5C" w14:textId="77777777" w:rsidR="00BB5312" w:rsidRDefault="00BB5312" w:rsidP="00E52234">
      <w:pPr>
        <w:jc w:val="both"/>
      </w:pPr>
    </w:p>
    <w:p w14:paraId="4EDC4E97" w14:textId="77777777" w:rsidR="00BB5312" w:rsidRDefault="00BB5312" w:rsidP="00E52234">
      <w:pPr>
        <w:jc w:val="both"/>
      </w:pPr>
    </w:p>
    <w:p w14:paraId="7F3FDC9D" w14:textId="77777777" w:rsidR="00BB5312" w:rsidRDefault="00BB5312" w:rsidP="00E52234">
      <w:pPr>
        <w:jc w:val="both"/>
      </w:pPr>
    </w:p>
    <w:p w14:paraId="17872ACE" w14:textId="77777777" w:rsidR="00BB5312" w:rsidRDefault="00BB5312" w:rsidP="00E52234">
      <w:pPr>
        <w:jc w:val="both"/>
      </w:pPr>
    </w:p>
    <w:p w14:paraId="390B9D87" w14:textId="6F595D53" w:rsidR="008E05F0" w:rsidRDefault="00E55B7E" w:rsidP="00E52234">
      <w:pPr>
        <w:jc w:val="both"/>
        <w:rPr>
          <w:rFonts w:ascii="Times New Roman" w:hAnsi="Times New Roman"/>
          <w:sz w:val="24"/>
          <w:szCs w:val="24"/>
        </w:rPr>
      </w:pPr>
      <w:r>
        <w:rPr>
          <w:noProof/>
        </w:rPr>
        <w:lastRenderedPageBreak/>
        <mc:AlternateContent>
          <mc:Choice Requires="wps">
            <w:drawing>
              <wp:anchor distT="0" distB="0" distL="114300" distR="114300" simplePos="0" relativeHeight="251679744" behindDoc="0" locked="0" layoutInCell="1" allowOverlap="1" wp14:anchorId="77CE7A0B" wp14:editId="7D88F4F7">
                <wp:simplePos x="0" y="0"/>
                <wp:positionH relativeFrom="column">
                  <wp:posOffset>-1148933</wp:posOffset>
                </wp:positionH>
                <wp:positionV relativeFrom="paragraph">
                  <wp:posOffset>8871367</wp:posOffset>
                </wp:positionV>
                <wp:extent cx="8096250" cy="908998"/>
                <wp:effectExtent l="38100" t="19050" r="57150" b="100965"/>
                <wp:wrapNone/>
                <wp:docPr id="16" name="Rectangle 16"/>
                <wp:cNvGraphicFramePr/>
                <a:graphic xmlns:a="http://schemas.openxmlformats.org/drawingml/2006/main">
                  <a:graphicData uri="http://schemas.microsoft.com/office/word/2010/wordprocessingShape">
                    <wps:wsp>
                      <wps:cNvSpPr/>
                      <wps:spPr>
                        <a:xfrm>
                          <a:off x="0" y="0"/>
                          <a:ext cx="8096250" cy="908998"/>
                        </a:xfrm>
                        <a:prstGeom prst="rect">
                          <a:avLst/>
                        </a:prstGeom>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0AF9D3" id="Rectangle 16" o:spid="_x0000_s1026" style="position:absolute;margin-left:-90.45pt;margin-top:698.55pt;width:637.5pt;height:71.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" fillcolor="#818183 [3209]" strokecolor="#818183 [3209]" strokeweight=".27778mm">
                <v:fill color2="#676768 [2569]" rotate="t" focusposition="1,1" focussize="-1,-1" colors="0 #818183;58982f #818183;1 #747476" focus="100%" type="gradientRadial"/>
                <v:shadow on="t" color="black" opacity="29491f" origin=",.5" offset="0"/>
              </v:rect>
            </w:pict>
          </mc:Fallback>
        </mc:AlternateContent>
      </w:r>
      <w:r w:rsidR="004D7141">
        <w:rPr>
          <w:noProof/>
        </w:rPr>
        <mc:AlternateContent>
          <mc:Choice Requires="wps">
            <w:drawing>
              <wp:anchor distT="0" distB="0" distL="114300" distR="114300" simplePos="0" relativeHeight="251677696" behindDoc="0" locked="0" layoutInCell="1" allowOverlap="1" wp14:anchorId="34543D76" wp14:editId="3C28146A">
                <wp:simplePos x="0" y="0"/>
                <wp:positionH relativeFrom="margin">
                  <wp:posOffset>-1205230</wp:posOffset>
                </wp:positionH>
                <wp:positionV relativeFrom="paragraph">
                  <wp:posOffset>-1114425</wp:posOffset>
                </wp:positionV>
                <wp:extent cx="9772650" cy="971550"/>
                <wp:effectExtent l="38100" t="19050" r="57150" b="95250"/>
                <wp:wrapNone/>
                <wp:docPr id="15" name="Rectangle 15"/>
                <wp:cNvGraphicFramePr/>
                <a:graphic xmlns:a="http://schemas.openxmlformats.org/drawingml/2006/main">
                  <a:graphicData uri="http://schemas.microsoft.com/office/word/2010/wordprocessingShape">
                    <wps:wsp>
                      <wps:cNvSpPr/>
                      <wps:spPr>
                        <a:xfrm>
                          <a:off x="0" y="0"/>
                          <a:ext cx="9772650" cy="971550"/>
                        </a:xfrm>
                        <a:prstGeom prst="rect">
                          <a:avLst/>
                        </a:prstGeom>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428F36" id="Rectangle 15" o:spid="_x0000_s1026" style="position:absolute;margin-left:-94.9pt;margin-top:-87.75pt;width:769.5pt;height:76.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" fillcolor="#818183 [3209]" strokecolor="#818183 [3209]" strokeweight=".27778mm">
                <v:fill color2="#676768 [2569]" rotate="t" focusposition="1,1" focussize="-1,-1" colors="0 #818183;58982f #818183;1 #747476" focus="100%" type="gradientRadial"/>
                <v:shadow on="t" color="black" opacity="29491f" origin=",.5" offset="0"/>
                <w10:wrap anchorx="margin"/>
              </v:rect>
            </w:pict>
          </mc:Fallback>
        </mc:AlternateContent>
      </w:r>
      <w:r w:rsidR="00C12475">
        <w:rPr>
          <w:noProof/>
        </w:rPr>
        <mc:AlternateContent>
          <mc:Choice Requires="wps">
            <w:drawing>
              <wp:anchor distT="0" distB="0" distL="114300" distR="114300" simplePos="0" relativeHeight="251671552" behindDoc="0" locked="0" layoutInCell="1" allowOverlap="1" wp14:anchorId="08C8543B" wp14:editId="6039F286">
                <wp:simplePos x="0" y="0"/>
                <wp:positionH relativeFrom="margin">
                  <wp:align>center</wp:align>
                </wp:positionH>
                <wp:positionV relativeFrom="paragraph">
                  <wp:posOffset>2187132</wp:posOffset>
                </wp:positionV>
                <wp:extent cx="5464800" cy="5094000"/>
                <wp:effectExtent l="38100" t="19050" r="60325" b="87630"/>
                <wp:wrapNone/>
                <wp:docPr id="11" name="Oval 11"/>
                <wp:cNvGraphicFramePr/>
                <a:graphic xmlns:a="http://schemas.openxmlformats.org/drawingml/2006/main">
                  <a:graphicData uri="http://schemas.microsoft.com/office/word/2010/wordprocessingShape">
                    <wps:wsp>
                      <wps:cNvSpPr/>
                      <wps:spPr>
                        <a:xfrm>
                          <a:off x="0" y="0"/>
                          <a:ext cx="5464800" cy="5094000"/>
                        </a:xfrm>
                        <a:prstGeom prst="ellipse">
                          <a:avLst/>
                        </a:prstGeom>
                        <a:ln/>
                      </wps:spPr>
                      <wps:style>
                        <a:lnRef idx="1">
                          <a:schemeClr val="accent3"/>
                        </a:lnRef>
                        <a:fillRef idx="3">
                          <a:schemeClr val="accent3"/>
                        </a:fillRef>
                        <a:effectRef idx="2">
                          <a:schemeClr val="accent3"/>
                        </a:effectRef>
                        <a:fontRef idx="minor">
                          <a:schemeClr val="lt1"/>
                        </a:fontRef>
                      </wps:style>
                      <wps:txbx>
                        <w:txbxContent>
                          <w:p w14:paraId="1878455B" w14:textId="25AB4923" w:rsidR="0098306F" w:rsidRPr="003571D6" w:rsidRDefault="0098306F" w:rsidP="005731F3">
                            <w:pPr>
                              <w:jc w:val="center"/>
                              <w:rPr>
                                <w:color w:val="2B2924" w:themeColor="text2" w:themeShade="80"/>
                                <w:sz w:val="28"/>
                                <w:szCs w:val="28"/>
                              </w:rPr>
                            </w:pPr>
                            <w:r w:rsidRPr="003571D6">
                              <w:rPr>
                                <w:color w:val="2B2924" w:themeColor="text2" w:themeShade="80"/>
                                <w:sz w:val="28"/>
                                <w:szCs w:val="28"/>
                              </w:rPr>
                              <w:t xml:space="preserve">Geneva International Centre for Justice (GICJ) is an international, independent, non-profit, non-governmental organisation based in Geneva-Switzerland. GICJ has been tackling issues of justice and accountability pertaining to </w:t>
                            </w:r>
                            <w:r w:rsidR="00A35C1D">
                              <w:rPr>
                                <w:color w:val="2B2924" w:themeColor="text2" w:themeShade="80"/>
                                <w:sz w:val="28"/>
                                <w:szCs w:val="28"/>
                              </w:rPr>
                              <w:t>Israel</w:t>
                            </w:r>
                            <w:r w:rsidRPr="003571D6">
                              <w:rPr>
                                <w:color w:val="2B2924" w:themeColor="text2" w:themeShade="80"/>
                                <w:sz w:val="28"/>
                                <w:szCs w:val="28"/>
                              </w:rPr>
                              <w:t xml:space="preserve">. GICJ maintains partnerships with various NGOs, lawyers and a vast civil society and network within </w:t>
                            </w:r>
                            <w:r w:rsidR="0008106D">
                              <w:rPr>
                                <w:color w:val="2B2924" w:themeColor="text2" w:themeShade="80"/>
                                <w:sz w:val="28"/>
                                <w:szCs w:val="28"/>
                              </w:rPr>
                              <w:t>Israel</w:t>
                            </w:r>
                            <w:r w:rsidRPr="003571D6">
                              <w:rPr>
                                <w:color w:val="2B2924" w:themeColor="text2" w:themeShade="80"/>
                                <w:sz w:val="28"/>
                                <w:szCs w:val="28"/>
                              </w:rPr>
                              <w:t xml:space="preserve"> and the Middle East region. Through these channels, GICJ receives documentation and evidence of human rights violations and abuses in </w:t>
                            </w:r>
                            <w:r w:rsidR="0008106D">
                              <w:rPr>
                                <w:color w:val="2B2924" w:themeColor="text2" w:themeShade="80"/>
                                <w:sz w:val="28"/>
                                <w:szCs w:val="28"/>
                              </w:rPr>
                              <w:t>Israel</w:t>
                            </w:r>
                            <w:r w:rsidRPr="003571D6">
                              <w:rPr>
                                <w:color w:val="2B2924" w:themeColor="text2" w:themeShade="80"/>
                                <w:sz w:val="28"/>
                                <w:szCs w:val="28"/>
                              </w:rPr>
                              <w:t xml:space="preserve"> as they occur and report that to the human rights bodies in Geneva</w:t>
                            </w:r>
                            <w:r w:rsidR="005731F3" w:rsidRPr="003571D6">
                              <w:rPr>
                                <w:color w:val="2B2924" w:themeColor="text2" w:themeShade="80"/>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C8543B" id="Oval 11" o:spid="_x0000_s1029" style="position:absolute;left:0;text-align:left;margin-left:0;margin-top:172.2pt;width:430.3pt;height:401.1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" fillcolor="#fe9e00 [3206]" strokecolor="#fe9e00 [3206]" strokeweight=".27778mm">
                <v:fill color2="#cb7d00 [2566]" rotate="t" focusposition="1,1" focussize="-1,-1" colors="0 #fe9e00;58982f #ffa000;1 #fd9400" focus="100%" type="gradientRadial"/>
                <v:shadow on="t" color="black" opacity="29491f" origin=",.5" offset="0"/>
                <v:textbox>
                  <w:txbxContent>
                    <w:p w14:paraId="1878455B" w14:textId="25AB4923" w:rsidR="0098306F" w:rsidRPr="003571D6" w:rsidRDefault="0098306F" w:rsidP="005731F3">
                      <w:pPr>
                        <w:jc w:val="center"/>
                        <w:rPr>
                          <w:color w:val="2B2924" w:themeColor="text2" w:themeShade="80"/>
                          <w:sz w:val="28"/>
                          <w:szCs w:val="28"/>
                        </w:rPr>
                      </w:pPr>
                      <w:r w:rsidRPr="003571D6">
                        <w:rPr>
                          <w:color w:val="2B2924" w:themeColor="text2" w:themeShade="80"/>
                          <w:sz w:val="28"/>
                          <w:szCs w:val="28"/>
                        </w:rPr>
                        <w:t xml:space="preserve">Geneva International Centre for Justice (GICJ) is an international, independent, non-profit, non-governmental organisation based in Geneva-Switzerland. GICJ has been tackling issues of justice and accountability pertaining to </w:t>
                      </w:r>
                      <w:r w:rsidR="00A35C1D">
                        <w:rPr>
                          <w:color w:val="2B2924" w:themeColor="text2" w:themeShade="80"/>
                          <w:sz w:val="28"/>
                          <w:szCs w:val="28"/>
                        </w:rPr>
                        <w:t>Israel</w:t>
                      </w:r>
                      <w:r w:rsidRPr="003571D6">
                        <w:rPr>
                          <w:color w:val="2B2924" w:themeColor="text2" w:themeShade="80"/>
                          <w:sz w:val="28"/>
                          <w:szCs w:val="28"/>
                        </w:rPr>
                        <w:t xml:space="preserve">. GICJ maintains partnerships with various NGOs, lawyers and a vast civil society and network within </w:t>
                      </w:r>
                      <w:r w:rsidR="0008106D">
                        <w:rPr>
                          <w:color w:val="2B2924" w:themeColor="text2" w:themeShade="80"/>
                          <w:sz w:val="28"/>
                          <w:szCs w:val="28"/>
                        </w:rPr>
                        <w:t>Israel</w:t>
                      </w:r>
                      <w:r w:rsidRPr="003571D6">
                        <w:rPr>
                          <w:color w:val="2B2924" w:themeColor="text2" w:themeShade="80"/>
                          <w:sz w:val="28"/>
                          <w:szCs w:val="28"/>
                        </w:rPr>
                        <w:t xml:space="preserve"> and the Middle East region. Through these channels, GICJ receives documentation and evidence of human rights violations and abuses in </w:t>
                      </w:r>
                      <w:r w:rsidR="0008106D">
                        <w:rPr>
                          <w:color w:val="2B2924" w:themeColor="text2" w:themeShade="80"/>
                          <w:sz w:val="28"/>
                          <w:szCs w:val="28"/>
                        </w:rPr>
                        <w:t>Israel</w:t>
                      </w:r>
                      <w:r w:rsidRPr="003571D6">
                        <w:rPr>
                          <w:color w:val="2B2924" w:themeColor="text2" w:themeShade="80"/>
                          <w:sz w:val="28"/>
                          <w:szCs w:val="28"/>
                        </w:rPr>
                        <w:t xml:space="preserve"> as they occur and report that to the human rights bodies in Geneva</w:t>
                      </w:r>
                      <w:r w:rsidR="005731F3" w:rsidRPr="003571D6">
                        <w:rPr>
                          <w:color w:val="2B2924" w:themeColor="text2" w:themeShade="80"/>
                          <w:sz w:val="28"/>
                          <w:szCs w:val="28"/>
                        </w:rPr>
                        <w:t>.</w:t>
                      </w:r>
                    </w:p>
                  </w:txbxContent>
                </v:textbox>
                <w10:wrap anchorx="margin"/>
              </v:oval>
            </w:pict>
          </mc:Fallback>
        </mc:AlternateContent>
      </w:r>
      <w:r w:rsidR="008E05F0">
        <w:br w:type="page"/>
      </w:r>
    </w:p>
    <w:p w14:paraId="5F7CF569" w14:textId="4C6D7EF8" w:rsidR="008E05F0" w:rsidRDefault="008E05F0" w:rsidP="00E52234">
      <w:pPr>
        <w:pStyle w:val="Body"/>
        <w:numPr>
          <w:ilvl w:val="0"/>
          <w:numId w:val="0"/>
        </w:numPr>
        <w:tabs>
          <w:tab w:val="left" w:pos="1080"/>
        </w:tabs>
        <w:ind w:left="720" w:hanging="360"/>
        <w:jc w:val="both"/>
      </w:pPr>
      <w:r>
        <w:rPr>
          <w:noProof/>
        </w:rPr>
        <w:lastRenderedPageBreak/>
        <mc:AlternateContent>
          <mc:Choice Requires="wps">
            <w:drawing>
              <wp:anchor distT="0" distB="0" distL="114300" distR="114300" simplePos="0" relativeHeight="251665408" behindDoc="1" locked="0" layoutInCell="1" allowOverlap="1" wp14:anchorId="05027C85" wp14:editId="0E0E8708">
                <wp:simplePos x="0" y="0"/>
                <wp:positionH relativeFrom="margin">
                  <wp:align>center</wp:align>
                </wp:positionH>
                <wp:positionV relativeFrom="paragraph">
                  <wp:posOffset>-1228725</wp:posOffset>
                </wp:positionV>
                <wp:extent cx="9791700" cy="5612524"/>
                <wp:effectExtent l="38100" t="19050" r="57150" b="102870"/>
                <wp:wrapNone/>
                <wp:docPr id="6" name="Rectangle 6"/>
                <wp:cNvGraphicFramePr/>
                <a:graphic xmlns:a="http://schemas.openxmlformats.org/drawingml/2006/main">
                  <a:graphicData uri="http://schemas.microsoft.com/office/word/2010/wordprocessingShape">
                    <wps:wsp>
                      <wps:cNvSpPr/>
                      <wps:spPr>
                        <a:xfrm>
                          <a:off x="0" y="0"/>
                          <a:ext cx="9791700" cy="5612524"/>
                        </a:xfrm>
                        <a:prstGeom prst="rect">
                          <a:avLst/>
                        </a:prstGeom>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AD3E1D" id="Rectangle 6" o:spid="_x0000_s1026" style="position:absolute;margin-left:0;margin-top:-96.75pt;width:771pt;height:441.95pt;z-index:-2516510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" fillcolor="#818183 [3209]" strokecolor="#818183 [3209]" strokeweight=".27778mm">
                <v:fill color2="#676768 [2569]" rotate="t" focusposition="1,1" focussize="-1,-1" colors="0 #818183;58982f #818183;1 #747476" focus="100%" type="gradientRadial"/>
                <v:shadow on="t" color="black" opacity="29491f" origin=",.5" offset="0"/>
                <w10:wrap anchorx="margin"/>
              </v:rect>
            </w:pict>
          </mc:Fallback>
        </mc:AlternateContent>
      </w:r>
    </w:p>
    <w:p w14:paraId="72651F27" w14:textId="29339D3F" w:rsidR="008E05F0" w:rsidRDefault="008E05F0" w:rsidP="00E52234">
      <w:pPr>
        <w:pStyle w:val="Body"/>
        <w:numPr>
          <w:ilvl w:val="0"/>
          <w:numId w:val="0"/>
        </w:numPr>
        <w:tabs>
          <w:tab w:val="left" w:pos="1080"/>
        </w:tabs>
        <w:ind w:left="720" w:hanging="360"/>
        <w:jc w:val="both"/>
      </w:pPr>
      <w:r>
        <w:rPr>
          <w:noProof/>
        </w:rPr>
        <w:drawing>
          <wp:anchor distT="0" distB="0" distL="114300" distR="114300" simplePos="0" relativeHeight="251668480" behindDoc="0" locked="0" layoutInCell="1" allowOverlap="1" wp14:anchorId="3D616FDC" wp14:editId="73E22AB6">
            <wp:simplePos x="0" y="0"/>
            <wp:positionH relativeFrom="margin">
              <wp:align>center</wp:align>
            </wp:positionH>
            <wp:positionV relativeFrom="paragraph">
              <wp:posOffset>257810</wp:posOffset>
            </wp:positionV>
            <wp:extent cx="2002155" cy="1922780"/>
            <wp:effectExtent l="0" t="0" r="0" b="1270"/>
            <wp:wrapSquare wrapText="bothSides"/>
            <wp:docPr id="12" name="Picture 11"/>
            <wp:cNvGraphicFramePr/>
            <a:graphic xmlns:a="http://schemas.openxmlformats.org/drawingml/2006/main">
              <a:graphicData uri="http://schemas.openxmlformats.org/drawingml/2006/picture">
                <pic:pic xmlns:pic="http://schemas.openxmlformats.org/drawingml/2006/picture">
                  <pic:nvPicPr>
                    <pic:cNvPr id="12" name="Picture 1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02155" cy="1922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0A1754" w14:textId="7499D872" w:rsidR="008E05F0" w:rsidRDefault="008E05F0" w:rsidP="00E52234">
      <w:pPr>
        <w:pStyle w:val="Body"/>
        <w:numPr>
          <w:ilvl w:val="0"/>
          <w:numId w:val="0"/>
        </w:numPr>
        <w:tabs>
          <w:tab w:val="left" w:pos="1080"/>
        </w:tabs>
        <w:ind w:left="720" w:hanging="360"/>
        <w:jc w:val="both"/>
      </w:pPr>
    </w:p>
    <w:p w14:paraId="42E5BA10" w14:textId="0984453C" w:rsidR="008E05F0" w:rsidRDefault="008E05F0" w:rsidP="00E52234">
      <w:pPr>
        <w:pStyle w:val="Body"/>
        <w:numPr>
          <w:ilvl w:val="0"/>
          <w:numId w:val="0"/>
        </w:numPr>
        <w:tabs>
          <w:tab w:val="left" w:pos="1080"/>
        </w:tabs>
        <w:ind w:left="720" w:hanging="360"/>
        <w:jc w:val="both"/>
      </w:pPr>
    </w:p>
    <w:p w14:paraId="16D80694" w14:textId="6B46B611" w:rsidR="008E05F0" w:rsidRDefault="008E05F0" w:rsidP="00E52234">
      <w:pPr>
        <w:pStyle w:val="Body"/>
        <w:numPr>
          <w:ilvl w:val="0"/>
          <w:numId w:val="0"/>
        </w:numPr>
        <w:tabs>
          <w:tab w:val="left" w:pos="1080"/>
        </w:tabs>
        <w:ind w:left="720" w:hanging="360"/>
        <w:jc w:val="both"/>
      </w:pPr>
    </w:p>
    <w:p w14:paraId="0D9F5EC2" w14:textId="3A9C15F8" w:rsidR="008E05F0" w:rsidRDefault="008E05F0" w:rsidP="00E52234">
      <w:pPr>
        <w:pStyle w:val="Body"/>
        <w:numPr>
          <w:ilvl w:val="0"/>
          <w:numId w:val="0"/>
        </w:numPr>
        <w:tabs>
          <w:tab w:val="left" w:pos="1080"/>
        </w:tabs>
        <w:ind w:left="720" w:hanging="360"/>
        <w:jc w:val="both"/>
      </w:pPr>
    </w:p>
    <w:p w14:paraId="291741D5" w14:textId="6208B767" w:rsidR="008E05F0" w:rsidRDefault="008E05F0" w:rsidP="00E52234">
      <w:pPr>
        <w:pStyle w:val="Body"/>
        <w:numPr>
          <w:ilvl w:val="0"/>
          <w:numId w:val="0"/>
        </w:numPr>
        <w:tabs>
          <w:tab w:val="left" w:pos="1080"/>
        </w:tabs>
        <w:ind w:left="720" w:hanging="360"/>
        <w:jc w:val="both"/>
      </w:pPr>
    </w:p>
    <w:p w14:paraId="097D368F" w14:textId="0667270E" w:rsidR="008E05F0" w:rsidRDefault="008E05F0" w:rsidP="00E52234">
      <w:pPr>
        <w:pStyle w:val="Body"/>
        <w:numPr>
          <w:ilvl w:val="0"/>
          <w:numId w:val="0"/>
        </w:numPr>
        <w:tabs>
          <w:tab w:val="left" w:pos="1080"/>
        </w:tabs>
        <w:ind w:left="720" w:hanging="360"/>
        <w:jc w:val="both"/>
      </w:pPr>
    </w:p>
    <w:p w14:paraId="35968A45" w14:textId="327A3C3C" w:rsidR="008E05F0" w:rsidRDefault="008E05F0" w:rsidP="00E52234">
      <w:pPr>
        <w:pStyle w:val="Body"/>
        <w:numPr>
          <w:ilvl w:val="0"/>
          <w:numId w:val="0"/>
        </w:numPr>
        <w:tabs>
          <w:tab w:val="left" w:pos="1080"/>
        </w:tabs>
        <w:ind w:left="720" w:hanging="360"/>
        <w:jc w:val="both"/>
      </w:pPr>
    </w:p>
    <w:p w14:paraId="10BF20BB" w14:textId="55140F08" w:rsidR="008E05F0" w:rsidRDefault="008E05F0" w:rsidP="00E52234">
      <w:pPr>
        <w:pStyle w:val="Body"/>
        <w:numPr>
          <w:ilvl w:val="0"/>
          <w:numId w:val="0"/>
        </w:numPr>
        <w:tabs>
          <w:tab w:val="left" w:pos="1080"/>
        </w:tabs>
        <w:ind w:left="720" w:hanging="360"/>
        <w:jc w:val="both"/>
      </w:pPr>
    </w:p>
    <w:p w14:paraId="28B138EB" w14:textId="49C34F67" w:rsidR="008E05F0" w:rsidRDefault="008E05F0" w:rsidP="00E52234">
      <w:pPr>
        <w:pStyle w:val="Body"/>
        <w:numPr>
          <w:ilvl w:val="0"/>
          <w:numId w:val="0"/>
        </w:numPr>
        <w:tabs>
          <w:tab w:val="left" w:pos="1080"/>
        </w:tabs>
        <w:ind w:left="720" w:hanging="360"/>
        <w:jc w:val="both"/>
      </w:pPr>
    </w:p>
    <w:p w14:paraId="2ADC8459" w14:textId="0DDCD0A0" w:rsidR="008E05F0" w:rsidRDefault="008E05F0" w:rsidP="00E52234">
      <w:pPr>
        <w:pStyle w:val="Body"/>
        <w:numPr>
          <w:ilvl w:val="0"/>
          <w:numId w:val="0"/>
        </w:numPr>
        <w:tabs>
          <w:tab w:val="left" w:pos="1080"/>
        </w:tabs>
        <w:ind w:left="720" w:hanging="360"/>
        <w:jc w:val="both"/>
      </w:pPr>
    </w:p>
    <w:p w14:paraId="46AD84E6" w14:textId="3662317C" w:rsidR="008E05F0" w:rsidRDefault="008E05F0" w:rsidP="00E52234">
      <w:pPr>
        <w:pStyle w:val="Body"/>
        <w:numPr>
          <w:ilvl w:val="0"/>
          <w:numId w:val="0"/>
        </w:numPr>
        <w:tabs>
          <w:tab w:val="left" w:pos="1080"/>
        </w:tabs>
        <w:ind w:left="720" w:hanging="360"/>
        <w:jc w:val="both"/>
      </w:pPr>
    </w:p>
    <w:p w14:paraId="1608C51C" w14:textId="0D34FA19" w:rsidR="008E05F0" w:rsidRDefault="005731F3" w:rsidP="00E52234">
      <w:pPr>
        <w:pStyle w:val="Body"/>
        <w:numPr>
          <w:ilvl w:val="0"/>
          <w:numId w:val="0"/>
        </w:numPr>
        <w:tabs>
          <w:tab w:val="left" w:pos="1080"/>
        </w:tabs>
        <w:ind w:left="720" w:hanging="360"/>
        <w:jc w:val="both"/>
      </w:pPr>
      <w:r>
        <w:rPr>
          <w:noProof/>
        </w:rPr>
        <mc:AlternateContent>
          <mc:Choice Requires="wps">
            <w:drawing>
              <wp:anchor distT="0" distB="0" distL="114300" distR="114300" simplePos="0" relativeHeight="251656190" behindDoc="1" locked="0" layoutInCell="1" allowOverlap="1" wp14:anchorId="54A74B7B" wp14:editId="3300FCB3">
                <wp:simplePos x="0" y="0"/>
                <wp:positionH relativeFrom="margin">
                  <wp:align>center</wp:align>
                </wp:positionH>
                <wp:positionV relativeFrom="paragraph">
                  <wp:posOffset>483870</wp:posOffset>
                </wp:positionV>
                <wp:extent cx="11049000" cy="3429000"/>
                <wp:effectExtent l="0" t="0" r="0" b="0"/>
                <wp:wrapNone/>
                <wp:docPr id="17" name="Rectangle 17"/>
                <wp:cNvGraphicFramePr/>
                <a:graphic xmlns:a="http://schemas.openxmlformats.org/drawingml/2006/main">
                  <a:graphicData uri="http://schemas.microsoft.com/office/word/2010/wordprocessingShape">
                    <wps:wsp>
                      <wps:cNvSpPr/>
                      <wps:spPr>
                        <a:xfrm>
                          <a:off x="0" y="0"/>
                          <a:ext cx="11049000" cy="3429000"/>
                        </a:xfrm>
                        <a:prstGeom prst="rect">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F4649" id="Rectangle 17" o:spid="_x0000_s1026" style="position:absolute;margin-left:0;margin-top:38.1pt;width:870pt;height:270pt;z-index:-25166029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" fillcolor="#a96800 [2150]" stroked="f">
                <v:fill color2="#ffc465 [1942]" rotate="t" angle="180" colors="0 #aa6a00;31457f #ffa107;1 #ffc565" focus="100%" type="gradient"/>
                <w10:wrap anchorx="margin"/>
              </v:rect>
            </w:pict>
          </mc:Fallback>
        </mc:AlternateContent>
      </w:r>
    </w:p>
    <w:p w14:paraId="324D1EFB" w14:textId="7738BD20" w:rsidR="008E05F0" w:rsidRDefault="008E05F0" w:rsidP="00E52234">
      <w:pPr>
        <w:pStyle w:val="Body"/>
        <w:numPr>
          <w:ilvl w:val="0"/>
          <w:numId w:val="0"/>
        </w:numPr>
        <w:tabs>
          <w:tab w:val="left" w:pos="1080"/>
        </w:tabs>
        <w:ind w:left="720" w:hanging="360"/>
        <w:jc w:val="both"/>
      </w:pPr>
    </w:p>
    <w:p w14:paraId="4694E552" w14:textId="56E553F7" w:rsidR="008E05F0" w:rsidRDefault="008E05F0" w:rsidP="00E52234">
      <w:pPr>
        <w:pStyle w:val="Body"/>
        <w:numPr>
          <w:ilvl w:val="0"/>
          <w:numId w:val="0"/>
        </w:numPr>
        <w:tabs>
          <w:tab w:val="left" w:pos="1080"/>
        </w:tabs>
        <w:ind w:left="720" w:hanging="360"/>
        <w:jc w:val="both"/>
      </w:pPr>
    </w:p>
    <w:p w14:paraId="4A33D893" w14:textId="23143F64" w:rsidR="008E05F0" w:rsidRPr="007D3B6D" w:rsidRDefault="008E05F0" w:rsidP="003571D6">
      <w:pPr>
        <w:pStyle w:val="Body"/>
        <w:numPr>
          <w:ilvl w:val="0"/>
          <w:numId w:val="0"/>
        </w:numPr>
        <w:tabs>
          <w:tab w:val="left" w:pos="1080"/>
        </w:tabs>
        <w:spacing w:after="0" w:line="240" w:lineRule="auto"/>
        <w:ind w:left="714" w:hanging="357"/>
        <w:jc w:val="center"/>
        <w:rPr>
          <w:rFonts w:ascii="Century Gothic" w:hAnsi="Century Gothic"/>
          <w:b/>
          <w:bCs/>
          <w:color w:val="FFFFFF" w:themeColor="background1"/>
          <w14:shadow w14:blurRad="50800" w14:dist="38100" w14:dir="5400000" w14:sx="100000" w14:sy="100000" w14:kx="0" w14:ky="0" w14:algn="t">
            <w14:srgbClr w14:val="000000">
              <w14:alpha w14:val="60000"/>
            </w14:srgbClr>
          </w14:shadow>
        </w:rPr>
      </w:pPr>
      <w:r w:rsidRPr="007D3B6D">
        <w:rPr>
          <w:rFonts w:ascii="Century Gothic" w:hAnsi="Century Gothic"/>
          <w:b/>
          <w:bCs/>
          <w:color w:val="FFFFFF" w:themeColor="background1"/>
          <w14:shadow w14:blurRad="50800" w14:dist="38100" w14:dir="5400000" w14:sx="100000" w14:sy="100000" w14:kx="0" w14:ky="0" w14:algn="t">
            <w14:srgbClr w14:val="000000">
              <w14:alpha w14:val="60000"/>
            </w14:srgbClr>
          </w14:shadow>
        </w:rPr>
        <w:t>Geneva International Centre</w:t>
      </w:r>
      <w:r w:rsidRPr="007D3B6D">
        <w:rPr>
          <w:color w:val="FFFFFF" w:themeColor="background1"/>
          <w14:shadow w14:blurRad="50800" w14:dist="38100" w14:dir="5400000" w14:sx="100000" w14:sy="100000" w14:kx="0" w14:ky="0" w14:algn="t">
            <w14:srgbClr w14:val="000000">
              <w14:alpha w14:val="60000"/>
            </w14:srgbClr>
          </w14:shadow>
        </w:rPr>
        <w:t xml:space="preserve"> </w:t>
      </w:r>
      <w:r w:rsidRPr="007D3B6D">
        <w:rPr>
          <w:rFonts w:ascii="Viner Hand ITC" w:hAnsi="Viner Hand ITC"/>
          <w:color w:val="FFFFFF" w:themeColor="background1"/>
          <w14:shadow w14:blurRad="50800" w14:dist="38100" w14:dir="5400000" w14:sx="100000" w14:sy="100000" w14:kx="0" w14:ky="0" w14:algn="t">
            <w14:srgbClr w14:val="000000">
              <w14:alpha w14:val="60000"/>
            </w14:srgbClr>
          </w14:shadow>
        </w:rPr>
        <w:t>for</w:t>
      </w:r>
      <w:r w:rsidRPr="007D3B6D">
        <w:rPr>
          <w:color w:val="FFFFFF" w:themeColor="background1"/>
          <w14:shadow w14:blurRad="50800" w14:dist="38100" w14:dir="5400000" w14:sx="100000" w14:sy="100000" w14:kx="0" w14:ky="0" w14:algn="t">
            <w14:srgbClr w14:val="000000">
              <w14:alpha w14:val="60000"/>
            </w14:srgbClr>
          </w14:shadow>
        </w:rPr>
        <w:t xml:space="preserve"> </w:t>
      </w:r>
      <w:r w:rsidRPr="007D3B6D">
        <w:rPr>
          <w:rFonts w:ascii="Century Gothic" w:hAnsi="Century Gothic"/>
          <w:b/>
          <w:bCs/>
          <w:color w:val="FFFFFF" w:themeColor="background1"/>
          <w14:shadow w14:blurRad="50800" w14:dist="38100" w14:dir="5400000" w14:sx="100000" w14:sy="100000" w14:kx="0" w14:ky="0" w14:algn="t">
            <w14:srgbClr w14:val="000000">
              <w14:alpha w14:val="60000"/>
            </w14:srgbClr>
          </w14:shadow>
        </w:rPr>
        <w:t>Justice</w:t>
      </w:r>
    </w:p>
    <w:p w14:paraId="6DD2C7F1" w14:textId="03B02788" w:rsidR="008E05F0" w:rsidRPr="007D3B6D" w:rsidRDefault="008E05F0" w:rsidP="003571D6">
      <w:pPr>
        <w:pStyle w:val="Body"/>
        <w:numPr>
          <w:ilvl w:val="0"/>
          <w:numId w:val="0"/>
        </w:numPr>
        <w:tabs>
          <w:tab w:val="left" w:pos="1080"/>
        </w:tabs>
        <w:ind w:left="720" w:hanging="360"/>
        <w:jc w:val="center"/>
        <w:rPr>
          <w:b/>
          <w:bCs/>
          <w:color w:val="FFFFFF" w:themeColor="background1"/>
        </w:rPr>
      </w:pPr>
      <w:r w:rsidRPr="007D3B6D">
        <w:rPr>
          <w:rFonts w:ascii="Century Gothic" w:hAnsi="Century Gothic"/>
          <w:b/>
          <w:bCs/>
          <w:color w:val="FFFFFF" w:themeColor="background1"/>
        </w:rPr>
        <w:t>(GICJ)</w:t>
      </w:r>
    </w:p>
    <w:p w14:paraId="49078DD5" w14:textId="60779971" w:rsidR="008E05F0" w:rsidRPr="00D372D9" w:rsidRDefault="008E05F0" w:rsidP="003571D6">
      <w:pPr>
        <w:jc w:val="center"/>
        <w:rPr>
          <w:rFonts w:ascii="Century Gothic" w:hAnsi="Century Gothic" w:cs="Aharoni"/>
          <w:color w:val="FFFFFF" w:themeColor="background1"/>
          <w:lang w:val="en-US"/>
        </w:rPr>
      </w:pPr>
      <w:r w:rsidRPr="00D372D9">
        <w:rPr>
          <w:rFonts w:ascii="Century Gothic" w:hAnsi="Century Gothic" w:cs="Aharoni"/>
          <w:b/>
          <w:bCs/>
          <w:color w:val="FFFFFF" w:themeColor="background1"/>
          <w:lang w:val="en-US"/>
        </w:rPr>
        <w:t>Postal address:</w:t>
      </w:r>
      <w:r w:rsidRPr="00D372D9">
        <w:rPr>
          <w:rFonts w:ascii="Century Gothic" w:hAnsi="Century Gothic" w:cs="Aharoni"/>
          <w:color w:val="FFFFFF" w:themeColor="background1"/>
          <w:lang w:val="en-US"/>
        </w:rPr>
        <w:t xml:space="preserve">  P.O. Box: GICJ  598 CH-1214 Vernier</w:t>
      </w:r>
      <w:r w:rsidRPr="00D372D9">
        <w:rPr>
          <w:rFonts w:ascii="Century Gothic" w:hAnsi="Century Gothic" w:cs="Aharoni"/>
          <w:color w:val="FFFFFF" w:themeColor="background1"/>
        </w:rPr>
        <w:t>,</w:t>
      </w:r>
      <w:r w:rsidRPr="00D372D9">
        <w:rPr>
          <w:rFonts w:ascii="Century Gothic" w:hAnsi="Century Gothic" w:cs="Aharoni"/>
          <w:color w:val="FFFFFF" w:themeColor="background1"/>
          <w:lang w:val="en-US"/>
        </w:rPr>
        <w:t xml:space="preserve"> Geneva – Switzerland</w:t>
      </w:r>
    </w:p>
    <w:p w14:paraId="616CF6FF" w14:textId="17E949DA" w:rsidR="008E05F0" w:rsidRPr="00D372D9" w:rsidRDefault="008E05F0" w:rsidP="003571D6">
      <w:pPr>
        <w:jc w:val="center"/>
        <w:rPr>
          <w:rFonts w:ascii="Century Gothic" w:hAnsi="Century Gothic" w:cs="Aharoni"/>
          <w:color w:val="FFFFFF" w:themeColor="background1"/>
        </w:rPr>
      </w:pPr>
      <w:r w:rsidRPr="00D372D9">
        <w:rPr>
          <w:rFonts w:ascii="Century Gothic" w:hAnsi="Century Gothic" w:cs="Aharoni"/>
          <w:color w:val="FFFFFF" w:themeColor="background1"/>
        </w:rPr>
        <w:t xml:space="preserve">Email: </w:t>
      </w:r>
      <w:hyperlink r:id="rId12" w:history="1">
        <w:r w:rsidRPr="00D372D9">
          <w:rPr>
            <w:rStyle w:val="Hyperlink"/>
            <w:rFonts w:ascii="Century Gothic" w:hAnsi="Century Gothic" w:cs="Aharoni"/>
            <w:color w:val="FFFFFF" w:themeColor="background1"/>
            <w:u w:val="none"/>
          </w:rPr>
          <w:t>info@gicj.org</w:t>
        </w:r>
      </w:hyperlink>
    </w:p>
    <w:p w14:paraId="41D90C3B" w14:textId="6BC2E192" w:rsidR="008E05F0" w:rsidRPr="00D372D9" w:rsidRDefault="008E05F0" w:rsidP="003571D6">
      <w:pPr>
        <w:jc w:val="center"/>
        <w:rPr>
          <w:rFonts w:ascii="Century Gothic" w:hAnsi="Century Gothic" w:cs="Aharoni"/>
          <w:color w:val="FFFFFF" w:themeColor="background1"/>
        </w:rPr>
      </w:pPr>
      <w:r w:rsidRPr="00D372D9">
        <w:rPr>
          <w:rFonts w:ascii="Century Gothic" w:hAnsi="Century Gothic" w:cs="Aharoni"/>
          <w:color w:val="FFFFFF" w:themeColor="background1"/>
          <w:lang w:val="en-US"/>
        </w:rPr>
        <w:t>Tel: +41 22 788 19 71</w:t>
      </w:r>
    </w:p>
    <w:p w14:paraId="3EB703D5" w14:textId="69C42E50" w:rsidR="008E05F0" w:rsidRPr="00D372D9" w:rsidRDefault="008E05F0" w:rsidP="003571D6">
      <w:pPr>
        <w:jc w:val="center"/>
        <w:rPr>
          <w:rFonts w:ascii="Century Gothic" w:hAnsi="Century Gothic" w:cs="Aharoni"/>
          <w:color w:val="FFFFFF" w:themeColor="background1"/>
          <w:lang w:val="en-US"/>
        </w:rPr>
      </w:pPr>
      <w:r w:rsidRPr="00D372D9">
        <w:rPr>
          <w:rFonts w:ascii="Century Gothic" w:hAnsi="Century Gothic" w:cs="Aharoni"/>
          <w:b/>
          <w:bCs/>
          <w:color w:val="FFFFFF" w:themeColor="background1"/>
          <w:lang w:val="en-US"/>
        </w:rPr>
        <w:t>Office:</w:t>
      </w:r>
      <w:r w:rsidRPr="00D372D9">
        <w:rPr>
          <w:rFonts w:ascii="Century Gothic" w:hAnsi="Century Gothic" w:cs="Aharoni"/>
          <w:color w:val="FFFFFF" w:themeColor="background1"/>
          <w:lang w:val="en-US"/>
        </w:rPr>
        <w:t xml:space="preserve"> 150 Route de Ferney, CH 1211 Geneva 2 – Switzerland</w:t>
      </w:r>
    </w:p>
    <w:p w14:paraId="0E1AD866" w14:textId="5BEB10F7" w:rsidR="008E05F0" w:rsidRPr="00D372D9" w:rsidRDefault="008E05F0" w:rsidP="003571D6">
      <w:pPr>
        <w:jc w:val="center"/>
        <w:rPr>
          <w:rFonts w:ascii="Century Gothic" w:hAnsi="Century Gothic" w:cs="Aharoni"/>
          <w:color w:val="FFFFFF" w:themeColor="background1"/>
          <w:rtl/>
        </w:rPr>
      </w:pPr>
      <w:r w:rsidRPr="00D372D9">
        <w:rPr>
          <w:rFonts w:ascii="Century Gothic" w:hAnsi="Century Gothic" w:cs="Aharoni"/>
          <w:b/>
          <w:bCs/>
          <w:color w:val="FFFFFF" w:themeColor="background1"/>
          <w:lang w:val="en-US"/>
        </w:rPr>
        <w:t>Facebook:</w:t>
      </w:r>
      <w:r w:rsidRPr="00D372D9">
        <w:rPr>
          <w:rFonts w:ascii="Century Gothic" w:hAnsi="Century Gothic" w:cs="Aharoni"/>
          <w:color w:val="FFFFFF" w:themeColor="background1"/>
          <w:lang w:val="en-US"/>
        </w:rPr>
        <w:t xml:space="preserve"> </w:t>
      </w:r>
      <w:hyperlink r:id="rId13" w:history="1">
        <w:r w:rsidRPr="00D372D9">
          <w:rPr>
            <w:rStyle w:val="Hyperlink"/>
            <w:rFonts w:ascii="Century Gothic" w:hAnsi="Century Gothic" w:cs="Aharoni"/>
            <w:color w:val="FFFFFF" w:themeColor="background1"/>
            <w:u w:val="none"/>
          </w:rPr>
          <w:t>https://www.facebook.com/GIC4J</w:t>
        </w:r>
      </w:hyperlink>
    </w:p>
    <w:p w14:paraId="36EC889D" w14:textId="4597489B" w:rsidR="008E05F0" w:rsidRPr="00D372D9" w:rsidRDefault="008E05F0" w:rsidP="003571D6">
      <w:pPr>
        <w:jc w:val="center"/>
        <w:rPr>
          <w:rFonts w:ascii="Century Gothic" w:hAnsi="Century Gothic" w:cs="Aharoni"/>
          <w:color w:val="FFFFFF" w:themeColor="background1"/>
        </w:rPr>
      </w:pPr>
      <w:r w:rsidRPr="00D372D9">
        <w:rPr>
          <w:rFonts w:ascii="Century Gothic" w:hAnsi="Century Gothic" w:cs="Aharoni"/>
          <w:b/>
          <w:bCs/>
          <w:color w:val="FFFFFF" w:themeColor="background1"/>
        </w:rPr>
        <w:t>Twitter:</w:t>
      </w:r>
      <w:r w:rsidRPr="00D372D9">
        <w:rPr>
          <w:rFonts w:ascii="Century Gothic" w:hAnsi="Century Gothic" w:cs="Aharoni"/>
          <w:color w:val="FFFFFF" w:themeColor="background1"/>
        </w:rPr>
        <w:t xml:space="preserve"> @Geneva4Justice      </w:t>
      </w:r>
      <w:r w:rsidRPr="00D372D9">
        <w:rPr>
          <w:rFonts w:ascii="Century Gothic" w:hAnsi="Century Gothic" w:cs="Aharoni"/>
          <w:b/>
          <w:bCs/>
          <w:color w:val="FFFFFF" w:themeColor="background1"/>
        </w:rPr>
        <w:t>Skype:</w:t>
      </w:r>
      <w:r w:rsidRPr="00D372D9">
        <w:rPr>
          <w:rFonts w:ascii="Century Gothic" w:hAnsi="Century Gothic" w:cs="Aharoni"/>
          <w:color w:val="FFFFFF" w:themeColor="background1"/>
        </w:rPr>
        <w:t xml:space="preserve"> Geneva4Justice</w:t>
      </w:r>
      <w:r w:rsidRPr="00D372D9">
        <w:rPr>
          <w:rFonts w:ascii="Century Gothic" w:hAnsi="Century Gothic" w:cs="Aharoni"/>
          <w:color w:val="FFFFFF" w:themeColor="background1"/>
          <w:rtl/>
        </w:rPr>
        <w:t xml:space="preserve"> </w:t>
      </w:r>
      <w:r w:rsidR="007B54DF">
        <w:rPr>
          <w:rFonts w:ascii="Century Gothic" w:hAnsi="Century Gothic" w:cs="Aharoni"/>
          <w:color w:val="FFFFFF" w:themeColor="background1"/>
        </w:rPr>
        <w:t xml:space="preserve"> </w:t>
      </w:r>
      <w:r w:rsidRPr="00D372D9">
        <w:rPr>
          <w:rFonts w:ascii="Century Gothic" w:hAnsi="Century Gothic" w:cs="Aharoni"/>
          <w:color w:val="FFFFFF" w:themeColor="background1"/>
          <w:rtl/>
        </w:rPr>
        <w:t xml:space="preserve"> </w:t>
      </w:r>
      <w:r w:rsidRPr="00D372D9">
        <w:rPr>
          <w:rFonts w:ascii="Century Gothic" w:hAnsi="Century Gothic" w:cs="Aharoni"/>
          <w:b/>
          <w:bCs/>
          <w:color w:val="FFFFFF" w:themeColor="background1"/>
        </w:rPr>
        <w:t>Instagram:</w:t>
      </w:r>
      <w:r w:rsidRPr="00D372D9">
        <w:rPr>
          <w:rFonts w:ascii="Century Gothic" w:hAnsi="Century Gothic" w:cs="Aharoni"/>
          <w:color w:val="FFFFFF" w:themeColor="background1"/>
        </w:rPr>
        <w:t xml:space="preserve"> geneva4justice</w:t>
      </w:r>
    </w:p>
    <w:p w14:paraId="54491D39" w14:textId="6DC08180" w:rsidR="008E05F0" w:rsidRPr="008E05F0" w:rsidRDefault="002C04E8" w:rsidP="003571D6">
      <w:pPr>
        <w:jc w:val="center"/>
        <w:rPr>
          <w:rFonts w:ascii="Century Gothic" w:hAnsi="Century Gothic" w:cs="Aharoni"/>
          <w:b/>
          <w:bCs/>
          <w:color w:val="2B2924" w:themeColor="text2" w:themeShade="80"/>
        </w:rPr>
      </w:pPr>
      <w:r w:rsidRPr="00D372D9">
        <w:rPr>
          <w:noProof/>
          <w:color w:val="FFFFFF" w:themeColor="background1"/>
        </w:rPr>
        <mc:AlternateContent>
          <mc:Choice Requires="wps">
            <w:drawing>
              <wp:anchor distT="0" distB="0" distL="114300" distR="114300" simplePos="0" relativeHeight="251680768" behindDoc="0" locked="0" layoutInCell="1" allowOverlap="1" wp14:anchorId="1B454EFF" wp14:editId="1F48955B">
                <wp:simplePos x="0" y="0"/>
                <wp:positionH relativeFrom="margin">
                  <wp:align>center</wp:align>
                </wp:positionH>
                <wp:positionV relativeFrom="paragraph">
                  <wp:posOffset>359410</wp:posOffset>
                </wp:positionV>
                <wp:extent cx="11049000" cy="3429000"/>
                <wp:effectExtent l="38100" t="19050" r="57150" b="95250"/>
                <wp:wrapNone/>
                <wp:docPr id="8" name="Rectangle 8"/>
                <wp:cNvGraphicFramePr/>
                <a:graphic xmlns:a="http://schemas.openxmlformats.org/drawingml/2006/main">
                  <a:graphicData uri="http://schemas.microsoft.com/office/word/2010/wordprocessingShape">
                    <wps:wsp>
                      <wps:cNvSpPr/>
                      <wps:spPr>
                        <a:xfrm>
                          <a:off x="0" y="0"/>
                          <a:ext cx="11049000" cy="3429000"/>
                        </a:xfrm>
                        <a:prstGeom prst="rect">
                          <a:avLst/>
                        </a:prstGeom>
                        <a:solidFill>
                          <a:srgbClr val="545454"/>
                        </a:solidFill>
                        <a:ln/>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998C03" id="Rectangle 8" o:spid="_x0000_s1026" style="position:absolute;margin-left:0;margin-top:28.3pt;width:870pt;height:270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" fillcolor="#545454" strokecolor="#818183 [3209]" strokeweight=".27778mm">
                <v:shadow on="t" color="black" opacity="29491f" origin=",.5" offset="0"/>
                <w10:wrap anchorx="margin"/>
              </v:rect>
            </w:pict>
          </mc:Fallback>
        </mc:AlternateContent>
      </w:r>
      <w:r w:rsidR="008E05F0" w:rsidRPr="00D372D9">
        <w:rPr>
          <w:rFonts w:ascii="Century Gothic" w:hAnsi="Century Gothic" w:cs="Aharoni"/>
          <w:b/>
          <w:bCs/>
          <w:color w:val="FFFFFF" w:themeColor="background1"/>
        </w:rPr>
        <w:t xml:space="preserve">Website: </w:t>
      </w:r>
      <w:r w:rsidR="008E05F0" w:rsidRPr="00D372D9">
        <w:rPr>
          <w:rFonts w:ascii="Century Gothic" w:hAnsi="Century Gothic" w:cs="Aharoni"/>
          <w:color w:val="FFFFFF" w:themeColor="background1"/>
        </w:rPr>
        <w:t>www.gicj.org</w:t>
      </w:r>
    </w:p>
    <w:p w14:paraId="20F15112" w14:textId="43ECCC70" w:rsidR="008E05F0" w:rsidRDefault="008E05F0" w:rsidP="00E52234">
      <w:pPr>
        <w:pStyle w:val="Body"/>
        <w:numPr>
          <w:ilvl w:val="0"/>
          <w:numId w:val="0"/>
        </w:numPr>
        <w:tabs>
          <w:tab w:val="left" w:pos="1080"/>
        </w:tabs>
        <w:ind w:left="720" w:hanging="360"/>
        <w:jc w:val="both"/>
      </w:pPr>
    </w:p>
    <w:p w14:paraId="144BB323" w14:textId="79D47A85" w:rsidR="008E05F0" w:rsidRDefault="008E05F0" w:rsidP="00E52234">
      <w:pPr>
        <w:pStyle w:val="Body"/>
        <w:numPr>
          <w:ilvl w:val="0"/>
          <w:numId w:val="0"/>
        </w:numPr>
        <w:tabs>
          <w:tab w:val="left" w:pos="1080"/>
        </w:tabs>
        <w:ind w:left="720" w:hanging="360"/>
        <w:jc w:val="both"/>
      </w:pPr>
    </w:p>
    <w:p w14:paraId="7D829749" w14:textId="0BE92A38" w:rsidR="008E05F0" w:rsidRPr="00C342C7" w:rsidRDefault="008E05F0" w:rsidP="00E52234">
      <w:pPr>
        <w:pStyle w:val="Body"/>
        <w:numPr>
          <w:ilvl w:val="0"/>
          <w:numId w:val="0"/>
        </w:numPr>
        <w:tabs>
          <w:tab w:val="left" w:pos="1080"/>
        </w:tabs>
        <w:ind w:left="720" w:hanging="360"/>
        <w:jc w:val="both"/>
      </w:pPr>
    </w:p>
    <w:sectPr w:rsidR="008E05F0" w:rsidRPr="00C342C7" w:rsidSect="001625C4">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4FF3B0" w14:textId="77777777" w:rsidR="00C64B33" w:rsidRDefault="00C64B33" w:rsidP="00A837AA">
      <w:pPr>
        <w:spacing w:after="0" w:line="240" w:lineRule="auto"/>
      </w:pPr>
      <w:r>
        <w:separator/>
      </w:r>
    </w:p>
  </w:endnote>
  <w:endnote w:type="continuationSeparator" w:id="0">
    <w:p w14:paraId="30896C72" w14:textId="77777777" w:rsidR="00C64B33" w:rsidRDefault="00C64B33" w:rsidP="00A83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altName w:val="Century Gothic"/>
    <w:charset w:val="00"/>
    <w:family w:val="swiss"/>
    <w:pitch w:val="variable"/>
    <w:sig w:usb0="00000287" w:usb1="00000000" w:usb2="00000000" w:usb3="00000000" w:csb0="0000009F" w:csb1="00000000"/>
  </w:font>
  <w:font w:name="Viner Hand ITC">
    <w:charset w:val="00"/>
    <w:family w:val="script"/>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26AC3F" w14:textId="77777777" w:rsidR="00C64B33" w:rsidRDefault="00C64B33" w:rsidP="00A837AA">
      <w:pPr>
        <w:spacing w:after="0" w:line="240" w:lineRule="auto"/>
      </w:pPr>
      <w:r>
        <w:separator/>
      </w:r>
    </w:p>
  </w:footnote>
  <w:footnote w:type="continuationSeparator" w:id="0">
    <w:p w14:paraId="6EA01867" w14:textId="77777777" w:rsidR="00C64B33" w:rsidRDefault="00C64B33" w:rsidP="00A837AA">
      <w:pPr>
        <w:spacing w:after="0" w:line="240" w:lineRule="auto"/>
      </w:pPr>
      <w:r>
        <w:continuationSeparator/>
      </w:r>
    </w:p>
  </w:footnote>
  <w:footnote w:id="1">
    <w:p w14:paraId="59078569"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CERD Concluding observation on Israel, 3 April 2012. CERD/C/ISR/CO/14-16</w:t>
      </w:r>
    </w:p>
  </w:footnote>
  <w:footnote w:id="2">
    <w:p w14:paraId="1095EEA1"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Cohen-</w:t>
      </w:r>
      <w:proofErr w:type="spellStart"/>
      <w:r w:rsidRPr="00EE277C">
        <w:rPr>
          <w:rFonts w:asciiTheme="minorBidi" w:hAnsiTheme="minorBidi"/>
          <w:sz w:val="18"/>
          <w:szCs w:val="18"/>
        </w:rPr>
        <w:t>Almagor</w:t>
      </w:r>
      <w:proofErr w:type="spellEnd"/>
      <w:r w:rsidRPr="00EE277C">
        <w:rPr>
          <w:rFonts w:asciiTheme="minorBidi" w:hAnsiTheme="minorBidi"/>
          <w:sz w:val="18"/>
          <w:szCs w:val="18"/>
        </w:rPr>
        <w:t xml:space="preserve">, Raphael and </w:t>
      </w:r>
      <w:proofErr w:type="spellStart"/>
      <w:r w:rsidRPr="00EE277C">
        <w:rPr>
          <w:rFonts w:asciiTheme="minorBidi" w:hAnsiTheme="minorBidi"/>
          <w:sz w:val="18"/>
          <w:szCs w:val="18"/>
        </w:rPr>
        <w:t>Wattad</w:t>
      </w:r>
      <w:proofErr w:type="spellEnd"/>
      <w:r w:rsidRPr="00EE277C">
        <w:rPr>
          <w:rFonts w:asciiTheme="minorBidi" w:hAnsiTheme="minorBidi"/>
          <w:sz w:val="18"/>
          <w:szCs w:val="18"/>
        </w:rPr>
        <w:t xml:space="preserve">, Mohammed S., “The Legal Status of Israeli-Arabs/Palestinians in Israel”, 13 March 2019. GNLU Law &amp; Society Review, Vol. I, 2019, page 5. </w:t>
      </w:r>
    </w:p>
    <w:p w14:paraId="62F05607" w14:textId="77777777" w:rsidR="00A35C1D" w:rsidRPr="00EE277C" w:rsidRDefault="00A35C1D" w:rsidP="00A35C1D">
      <w:pPr>
        <w:pStyle w:val="FootnoteText"/>
        <w:jc w:val="both"/>
        <w:rPr>
          <w:rFonts w:asciiTheme="minorBidi" w:hAnsiTheme="minorBidi"/>
          <w:sz w:val="18"/>
          <w:szCs w:val="18"/>
        </w:rPr>
      </w:pPr>
      <w:r w:rsidRPr="00EE277C">
        <w:rPr>
          <w:rFonts w:asciiTheme="minorBidi" w:hAnsiTheme="minorBidi"/>
          <w:sz w:val="18"/>
          <w:szCs w:val="18"/>
        </w:rPr>
        <w:t xml:space="preserve">Available at SSRN: </w:t>
      </w:r>
      <w:hyperlink r:id="rId1" w:history="1">
        <w:r w:rsidRPr="00EE277C">
          <w:rPr>
            <w:rStyle w:val="Hyperlink"/>
            <w:rFonts w:asciiTheme="minorBidi" w:hAnsiTheme="minorBidi"/>
            <w:sz w:val="18"/>
            <w:szCs w:val="18"/>
          </w:rPr>
          <w:t>https://ssrn.com/abstract=3351753</w:t>
        </w:r>
      </w:hyperlink>
    </w:p>
  </w:footnote>
  <w:footnote w:id="3">
    <w:p w14:paraId="39212595" w14:textId="77777777" w:rsidR="00A35C1D" w:rsidRPr="00EE277C" w:rsidRDefault="00A35C1D" w:rsidP="00A35C1D">
      <w:pPr>
        <w:pStyle w:val="FootnoteText"/>
        <w:jc w:val="both"/>
        <w:rPr>
          <w:rFonts w:asciiTheme="minorBidi" w:hAnsiTheme="minorBidi"/>
          <w:sz w:val="18"/>
          <w:szCs w:val="18"/>
          <w:lang w:val="en-US"/>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SC/12657, “Israel’s Settlements Have No Legal Validity, Constitute Flagrant Violation of International Law, Security Council Reaffirms”, 23 December 2016. </w:t>
      </w:r>
      <w:hyperlink r:id="rId2" w:history="1">
        <w:r w:rsidRPr="00EE277C">
          <w:rPr>
            <w:rStyle w:val="Hyperlink"/>
            <w:rFonts w:asciiTheme="minorBidi" w:hAnsiTheme="minorBidi"/>
            <w:sz w:val="18"/>
            <w:szCs w:val="18"/>
            <w:lang w:val="en-US"/>
          </w:rPr>
          <w:t>https://www.un.org/press/en/2016/sc12657.doc.htm</w:t>
        </w:r>
      </w:hyperlink>
    </w:p>
  </w:footnote>
  <w:footnote w:id="4">
    <w:p w14:paraId="47AB9334" w14:textId="77777777" w:rsidR="00A35C1D" w:rsidRPr="00EE277C" w:rsidRDefault="00A35C1D" w:rsidP="00A35C1D">
      <w:pPr>
        <w:pStyle w:val="FootnoteText"/>
        <w:jc w:val="both"/>
        <w:rPr>
          <w:rFonts w:asciiTheme="minorBidi" w:hAnsiTheme="minorBidi"/>
          <w:sz w:val="18"/>
          <w:szCs w:val="18"/>
          <w:lang w:val="en-US"/>
        </w:rPr>
      </w:pPr>
      <w:r w:rsidRPr="00EE277C">
        <w:rPr>
          <w:rStyle w:val="FootnoteReference"/>
          <w:rFonts w:asciiTheme="minorBidi" w:hAnsiTheme="minorBidi"/>
          <w:sz w:val="18"/>
          <w:szCs w:val="18"/>
        </w:rPr>
        <w:footnoteRef/>
      </w:r>
      <w:r w:rsidRPr="00EE277C">
        <w:rPr>
          <w:rFonts w:asciiTheme="minorBidi" w:hAnsiTheme="minorBidi"/>
          <w:sz w:val="18"/>
          <w:szCs w:val="18"/>
          <w:lang w:val="en-US"/>
        </w:rPr>
        <w:t xml:space="preserve"> See 1980 Basic Law “Jerusalem – Capital of Israel”.</w:t>
      </w:r>
    </w:p>
  </w:footnote>
  <w:footnote w:id="5">
    <w:p w14:paraId="1C3B1612" w14:textId="77777777" w:rsidR="00A35C1D" w:rsidRPr="0021742A" w:rsidRDefault="00A35C1D" w:rsidP="00A35C1D">
      <w:pPr>
        <w:pStyle w:val="FootnoteText"/>
        <w:jc w:val="both"/>
        <w:rPr>
          <w:rFonts w:asciiTheme="minorBidi" w:hAnsiTheme="minorBidi"/>
          <w:color w:val="0000FF"/>
          <w:sz w:val="18"/>
          <w:szCs w:val="18"/>
          <w:u w:val="single"/>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Mitchell Bard, “Israeli Arabs: “Status of Arabs in Israel”, 2019, Jewish Virtual Library </w:t>
      </w:r>
      <w:hyperlink r:id="rId3" w:history="1">
        <w:r w:rsidRPr="00EE277C">
          <w:rPr>
            <w:rStyle w:val="Hyperlink"/>
            <w:rFonts w:asciiTheme="minorBidi" w:hAnsiTheme="minorBidi"/>
            <w:sz w:val="18"/>
            <w:szCs w:val="18"/>
          </w:rPr>
          <w:t>https://www.jewishvirtuallibrary.org/the-status-of-arabs-in-israel</w:t>
        </w:r>
      </w:hyperlink>
    </w:p>
  </w:footnote>
  <w:footnote w:id="6">
    <w:p w14:paraId="21CA84C3" w14:textId="77777777" w:rsidR="00A35C1D" w:rsidRPr="0021742A" w:rsidRDefault="00A35C1D" w:rsidP="00A35C1D">
      <w:pPr>
        <w:pStyle w:val="FootnoteText"/>
        <w:jc w:val="both"/>
        <w:rPr>
          <w:rFonts w:asciiTheme="minorBidi" w:hAnsiTheme="minorBidi"/>
        </w:rPr>
      </w:pPr>
      <w:r w:rsidRPr="0021742A">
        <w:rPr>
          <w:rStyle w:val="FootnoteReference"/>
          <w:rFonts w:asciiTheme="minorBidi" w:hAnsiTheme="minorBidi"/>
          <w:sz w:val="18"/>
          <w:szCs w:val="18"/>
        </w:rPr>
        <w:footnoteRef/>
      </w:r>
      <w:r w:rsidRPr="0021742A">
        <w:rPr>
          <w:rFonts w:asciiTheme="minorBidi" w:hAnsiTheme="minorBidi"/>
          <w:sz w:val="18"/>
          <w:szCs w:val="18"/>
        </w:rPr>
        <w:t xml:space="preserve"> Absorption of Discharged Soldiers Law - Amendment No. 7: Benefits for Discharged Soldiers, </w:t>
      </w:r>
      <w:proofErr w:type="spellStart"/>
      <w:r w:rsidRPr="0021742A">
        <w:rPr>
          <w:rFonts w:asciiTheme="minorBidi" w:hAnsiTheme="minorBidi"/>
          <w:sz w:val="18"/>
          <w:szCs w:val="18"/>
        </w:rPr>
        <w:t>Adalah</w:t>
      </w:r>
      <w:proofErr w:type="spellEnd"/>
      <w:r>
        <w:rPr>
          <w:rFonts w:asciiTheme="minorBidi" w:hAnsiTheme="minorBidi"/>
          <w:sz w:val="18"/>
          <w:szCs w:val="18"/>
        </w:rPr>
        <w:t>.</w:t>
      </w:r>
      <w:r w:rsidRPr="0021742A">
        <w:rPr>
          <w:rFonts w:asciiTheme="minorBidi" w:hAnsiTheme="minorBidi"/>
          <w:sz w:val="18"/>
          <w:szCs w:val="18"/>
        </w:rPr>
        <w:t xml:space="preserve"> </w:t>
      </w:r>
      <w:hyperlink r:id="rId4" w:history="1">
        <w:r w:rsidRPr="0021742A">
          <w:rPr>
            <w:rStyle w:val="Hyperlink"/>
            <w:rFonts w:asciiTheme="minorBidi" w:hAnsiTheme="minorBidi"/>
            <w:sz w:val="18"/>
            <w:szCs w:val="18"/>
          </w:rPr>
          <w:t>https://www.adalah.org/en/law/view/508</w:t>
        </w:r>
      </w:hyperlink>
    </w:p>
  </w:footnote>
  <w:footnote w:id="7">
    <w:p w14:paraId="7153E69B"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Cohen-</w:t>
      </w:r>
      <w:proofErr w:type="spellStart"/>
      <w:r w:rsidRPr="00EE277C">
        <w:rPr>
          <w:rFonts w:asciiTheme="minorBidi" w:hAnsiTheme="minorBidi"/>
          <w:sz w:val="18"/>
          <w:szCs w:val="18"/>
        </w:rPr>
        <w:t>Almagor</w:t>
      </w:r>
      <w:proofErr w:type="spellEnd"/>
      <w:r w:rsidRPr="00EE277C">
        <w:rPr>
          <w:rFonts w:asciiTheme="minorBidi" w:hAnsiTheme="minorBidi"/>
          <w:sz w:val="18"/>
          <w:szCs w:val="18"/>
        </w:rPr>
        <w:t xml:space="preserve">, Raphael and </w:t>
      </w:r>
      <w:proofErr w:type="spellStart"/>
      <w:r w:rsidRPr="00EE277C">
        <w:rPr>
          <w:rFonts w:asciiTheme="minorBidi" w:hAnsiTheme="minorBidi"/>
          <w:sz w:val="18"/>
          <w:szCs w:val="18"/>
        </w:rPr>
        <w:t>Wattad</w:t>
      </w:r>
      <w:proofErr w:type="spellEnd"/>
      <w:r w:rsidRPr="00EE277C">
        <w:rPr>
          <w:rFonts w:asciiTheme="minorBidi" w:hAnsiTheme="minorBidi"/>
          <w:sz w:val="18"/>
          <w:szCs w:val="18"/>
        </w:rPr>
        <w:t>, “Mohammed S., The Legal Status</w:t>
      </w:r>
      <w:r>
        <w:rPr>
          <w:rFonts w:asciiTheme="minorBidi" w:hAnsiTheme="minorBidi"/>
          <w:sz w:val="18"/>
          <w:szCs w:val="18"/>
        </w:rPr>
        <w:t xml:space="preserve">…”, </w:t>
      </w:r>
      <w:proofErr w:type="spellStart"/>
      <w:r>
        <w:rPr>
          <w:rFonts w:asciiTheme="minorBidi" w:hAnsiTheme="minorBidi"/>
          <w:sz w:val="18"/>
          <w:szCs w:val="18"/>
        </w:rPr>
        <w:t>op.cit</w:t>
      </w:r>
      <w:proofErr w:type="spellEnd"/>
      <w:r>
        <w:rPr>
          <w:rFonts w:asciiTheme="minorBidi" w:hAnsiTheme="minorBidi"/>
          <w:sz w:val="18"/>
          <w:szCs w:val="18"/>
        </w:rPr>
        <w:t xml:space="preserve">., </w:t>
      </w:r>
      <w:r w:rsidRPr="00EE277C">
        <w:rPr>
          <w:rFonts w:asciiTheme="minorBidi" w:hAnsiTheme="minorBidi"/>
          <w:sz w:val="18"/>
          <w:szCs w:val="18"/>
        </w:rPr>
        <w:t>page 24.</w:t>
      </w:r>
    </w:p>
  </w:footnote>
  <w:footnote w:id="8">
    <w:p w14:paraId="3AC2CA3C" w14:textId="77777777" w:rsidR="00A35C1D" w:rsidRPr="0021742A" w:rsidRDefault="00A35C1D" w:rsidP="00A35C1D">
      <w:pPr>
        <w:pStyle w:val="FootnoteText"/>
        <w:jc w:val="both"/>
        <w:rPr>
          <w:rFonts w:asciiTheme="minorBidi" w:hAnsiTheme="minorBidi"/>
          <w:sz w:val="18"/>
          <w:szCs w:val="18"/>
          <w:lang w:val="it-IT"/>
        </w:rPr>
      </w:pPr>
      <w:r w:rsidRPr="00EE277C">
        <w:rPr>
          <w:rStyle w:val="FootnoteReference"/>
          <w:rFonts w:asciiTheme="minorBidi" w:hAnsiTheme="minorBidi"/>
          <w:sz w:val="18"/>
          <w:szCs w:val="18"/>
        </w:rPr>
        <w:footnoteRef/>
      </w:r>
      <w:r w:rsidRPr="0021742A">
        <w:rPr>
          <w:rFonts w:asciiTheme="minorBidi" w:hAnsiTheme="minorBidi"/>
          <w:sz w:val="18"/>
          <w:szCs w:val="18"/>
          <w:lang w:val="it-IT"/>
        </w:rPr>
        <w:t xml:space="preserve">  CERD/C/ISR/CO/14-16 para. 16.</w:t>
      </w:r>
    </w:p>
  </w:footnote>
  <w:footnote w:id="9">
    <w:p w14:paraId="5DD53870" w14:textId="77777777" w:rsidR="00A35C1D" w:rsidRPr="00EE277C" w:rsidRDefault="00A35C1D" w:rsidP="00A35C1D">
      <w:pPr>
        <w:pStyle w:val="FootnoteText"/>
        <w:jc w:val="both"/>
        <w:rPr>
          <w:rFonts w:asciiTheme="minorBidi" w:hAnsiTheme="minorBidi"/>
          <w:sz w:val="18"/>
          <w:szCs w:val="18"/>
          <w:lang w:val="it-IT"/>
        </w:rPr>
      </w:pPr>
      <w:r w:rsidRPr="00EE277C">
        <w:rPr>
          <w:rStyle w:val="FootnoteReference"/>
          <w:rFonts w:asciiTheme="minorBidi" w:hAnsiTheme="minorBidi"/>
          <w:sz w:val="18"/>
          <w:szCs w:val="18"/>
        </w:rPr>
        <w:footnoteRef/>
      </w:r>
      <w:r w:rsidRPr="00EE277C">
        <w:rPr>
          <w:rFonts w:asciiTheme="minorBidi" w:hAnsiTheme="minorBidi"/>
          <w:sz w:val="18"/>
          <w:szCs w:val="18"/>
          <w:lang w:val="it-IT"/>
        </w:rPr>
        <w:t xml:space="preserve"> Common core document, Israel, 6 March 2015, para. 61.</w:t>
      </w:r>
      <w:r>
        <w:rPr>
          <w:rFonts w:asciiTheme="minorBidi" w:hAnsiTheme="minorBidi"/>
          <w:sz w:val="18"/>
          <w:szCs w:val="18"/>
          <w:lang w:val="it-IT"/>
        </w:rPr>
        <w:t xml:space="preserve"> </w:t>
      </w:r>
      <w:r w:rsidRPr="00EE277C">
        <w:rPr>
          <w:rFonts w:asciiTheme="minorBidi" w:hAnsiTheme="minorBidi"/>
          <w:sz w:val="18"/>
          <w:szCs w:val="18"/>
          <w:lang w:val="it-IT"/>
        </w:rPr>
        <w:t>HRI/CORE/ISR/2015</w:t>
      </w:r>
      <w:r>
        <w:rPr>
          <w:rFonts w:asciiTheme="minorBidi" w:hAnsiTheme="minorBidi"/>
          <w:sz w:val="18"/>
          <w:szCs w:val="18"/>
          <w:lang w:val="it-IT"/>
        </w:rPr>
        <w:t>.</w:t>
      </w:r>
    </w:p>
  </w:footnote>
  <w:footnote w:id="10">
    <w:p w14:paraId="57E2F5F4" w14:textId="77777777" w:rsidR="00A35C1D" w:rsidRPr="0021742A" w:rsidRDefault="00A35C1D" w:rsidP="00A35C1D">
      <w:pPr>
        <w:pStyle w:val="FootnoteText"/>
        <w:jc w:val="both"/>
        <w:rPr>
          <w:rFonts w:asciiTheme="minorBidi" w:hAnsiTheme="minorBidi"/>
          <w:sz w:val="18"/>
          <w:szCs w:val="18"/>
          <w:lang w:val="en-US"/>
        </w:rPr>
      </w:pPr>
      <w:r w:rsidRPr="00EE277C">
        <w:rPr>
          <w:rStyle w:val="FootnoteReference"/>
          <w:rFonts w:asciiTheme="minorBidi" w:hAnsiTheme="minorBidi"/>
          <w:sz w:val="18"/>
          <w:szCs w:val="18"/>
        </w:rPr>
        <w:footnoteRef/>
      </w:r>
      <w:r w:rsidRPr="0021742A">
        <w:rPr>
          <w:rFonts w:asciiTheme="minorBidi" w:hAnsiTheme="minorBidi"/>
          <w:sz w:val="18"/>
          <w:szCs w:val="18"/>
          <w:lang w:val="en-US"/>
        </w:rPr>
        <w:t xml:space="preserve"> Ibid, para. 64.</w:t>
      </w:r>
    </w:p>
  </w:footnote>
  <w:footnote w:id="11">
    <w:p w14:paraId="3902869B" w14:textId="77777777" w:rsidR="00A35C1D" w:rsidRPr="0021742A" w:rsidRDefault="00A35C1D" w:rsidP="00A35C1D">
      <w:pPr>
        <w:pStyle w:val="FootnoteText"/>
        <w:jc w:val="both"/>
        <w:rPr>
          <w:rFonts w:asciiTheme="minorBidi" w:hAnsiTheme="minorBidi"/>
          <w:sz w:val="18"/>
          <w:szCs w:val="18"/>
          <w:lang w:val="en-US"/>
        </w:rPr>
      </w:pPr>
      <w:r w:rsidRPr="00EE277C">
        <w:rPr>
          <w:rStyle w:val="FootnoteReference"/>
          <w:rFonts w:asciiTheme="minorBidi" w:hAnsiTheme="minorBidi"/>
          <w:sz w:val="18"/>
          <w:szCs w:val="18"/>
        </w:rPr>
        <w:footnoteRef/>
      </w:r>
      <w:r w:rsidRPr="0021742A">
        <w:rPr>
          <w:rFonts w:asciiTheme="minorBidi" w:hAnsiTheme="minorBidi"/>
          <w:sz w:val="18"/>
          <w:szCs w:val="18"/>
          <w:lang w:val="en-US"/>
        </w:rPr>
        <w:t xml:space="preserve"> Ibid, para. 65.</w:t>
      </w:r>
    </w:p>
  </w:footnote>
  <w:footnote w:id="12">
    <w:p w14:paraId="30F2B08A"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21742A">
        <w:rPr>
          <w:rFonts w:asciiTheme="minorBidi" w:hAnsiTheme="minorBidi"/>
          <w:sz w:val="18"/>
          <w:szCs w:val="18"/>
          <w:lang w:val="en-US"/>
        </w:rPr>
        <w:t xml:space="preserve"> Common core document of Israel, 6 March 2015, para. </w:t>
      </w:r>
      <w:r w:rsidRPr="00EE277C">
        <w:rPr>
          <w:rFonts w:asciiTheme="minorBidi" w:hAnsiTheme="minorBidi"/>
          <w:sz w:val="18"/>
          <w:szCs w:val="18"/>
        </w:rPr>
        <w:t>66 and 67.</w:t>
      </w:r>
      <w:r>
        <w:rPr>
          <w:rFonts w:asciiTheme="minorBidi" w:hAnsiTheme="minorBidi"/>
          <w:sz w:val="18"/>
          <w:szCs w:val="18"/>
        </w:rPr>
        <w:t xml:space="preserve"> </w:t>
      </w:r>
      <w:r w:rsidRPr="0021742A">
        <w:rPr>
          <w:rFonts w:asciiTheme="minorBidi" w:hAnsiTheme="minorBidi"/>
          <w:sz w:val="18"/>
          <w:szCs w:val="18"/>
          <w:lang w:val="en-US"/>
        </w:rPr>
        <w:t>HRI/CORE/ISR/2015.</w:t>
      </w:r>
    </w:p>
  </w:footnote>
  <w:footnote w:id="13">
    <w:p w14:paraId="696B7BDE" w14:textId="77777777" w:rsidR="00A35C1D" w:rsidRPr="00EE277C" w:rsidRDefault="00A35C1D" w:rsidP="00A35C1D">
      <w:pPr>
        <w:pStyle w:val="FootnoteText"/>
        <w:jc w:val="both"/>
        <w:rPr>
          <w:rFonts w:asciiTheme="minorBidi" w:hAnsiTheme="minorBidi"/>
          <w:sz w:val="18"/>
          <w:szCs w:val="18"/>
          <w:lang w:val="en-US"/>
        </w:rPr>
      </w:pPr>
      <w:r w:rsidRPr="00EE277C">
        <w:rPr>
          <w:rStyle w:val="FootnoteReference"/>
          <w:rFonts w:asciiTheme="minorBidi" w:hAnsiTheme="minorBidi"/>
          <w:sz w:val="18"/>
          <w:szCs w:val="18"/>
        </w:rPr>
        <w:footnoteRef/>
      </w:r>
      <w:r>
        <w:rPr>
          <w:rFonts w:asciiTheme="minorBidi" w:hAnsiTheme="minorBidi"/>
          <w:sz w:val="18"/>
          <w:szCs w:val="18"/>
        </w:rPr>
        <w:t xml:space="preserve"> </w:t>
      </w:r>
      <w:r w:rsidRPr="00EE277C">
        <w:rPr>
          <w:rFonts w:asciiTheme="minorBidi" w:hAnsiTheme="minorBidi"/>
          <w:sz w:val="18"/>
          <w:szCs w:val="18"/>
        </w:rPr>
        <w:t>Israel 17</w:t>
      </w:r>
      <w:r w:rsidRPr="00EE277C">
        <w:rPr>
          <w:rFonts w:asciiTheme="minorBidi" w:hAnsiTheme="minorBidi"/>
          <w:sz w:val="18"/>
          <w:szCs w:val="18"/>
          <w:vertAlign w:val="superscript"/>
        </w:rPr>
        <w:t>th</w:t>
      </w:r>
      <w:r w:rsidRPr="00EE277C">
        <w:rPr>
          <w:rFonts w:asciiTheme="minorBidi" w:hAnsiTheme="minorBidi"/>
          <w:sz w:val="18"/>
          <w:szCs w:val="18"/>
        </w:rPr>
        <w:t xml:space="preserve"> to 19</w:t>
      </w:r>
      <w:r w:rsidRPr="00EE277C">
        <w:rPr>
          <w:rFonts w:asciiTheme="minorBidi" w:hAnsiTheme="minorBidi"/>
          <w:sz w:val="18"/>
          <w:szCs w:val="18"/>
          <w:vertAlign w:val="superscript"/>
        </w:rPr>
        <w:t>th</w:t>
      </w:r>
      <w:r w:rsidRPr="00EE277C">
        <w:rPr>
          <w:rFonts w:asciiTheme="minorBidi" w:hAnsiTheme="minorBidi"/>
          <w:sz w:val="18"/>
          <w:szCs w:val="18"/>
        </w:rPr>
        <w:t xml:space="preserve"> reported submitted to CERD, 14 March 2017, para. </w:t>
      </w:r>
      <w:r w:rsidRPr="00EE277C">
        <w:rPr>
          <w:rFonts w:asciiTheme="minorBidi" w:hAnsiTheme="minorBidi"/>
          <w:sz w:val="18"/>
          <w:szCs w:val="18"/>
          <w:lang w:val="en-US"/>
        </w:rPr>
        <w:t>4.</w:t>
      </w:r>
      <w:r>
        <w:rPr>
          <w:rFonts w:asciiTheme="minorBidi" w:hAnsiTheme="minorBidi"/>
          <w:sz w:val="18"/>
          <w:szCs w:val="18"/>
          <w:lang w:val="en-US"/>
        </w:rPr>
        <w:t xml:space="preserve"> </w:t>
      </w:r>
      <w:r w:rsidRPr="00EE277C">
        <w:rPr>
          <w:rFonts w:asciiTheme="minorBidi" w:hAnsiTheme="minorBidi"/>
          <w:sz w:val="18"/>
          <w:szCs w:val="18"/>
        </w:rPr>
        <w:t>CERD/C/ISR/17-19</w:t>
      </w:r>
      <w:r>
        <w:rPr>
          <w:rFonts w:asciiTheme="minorBidi" w:hAnsiTheme="minorBidi"/>
          <w:sz w:val="18"/>
          <w:szCs w:val="18"/>
        </w:rPr>
        <w:t>.</w:t>
      </w:r>
    </w:p>
  </w:footnote>
  <w:footnote w:id="14">
    <w:p w14:paraId="5B7BD667"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CERD/C/ISR/CO/13, para. 16 and CERD/C/ISR/CO/14-16 para. 13.</w:t>
      </w:r>
    </w:p>
  </w:footnote>
  <w:footnote w:id="15">
    <w:p w14:paraId="38DD16B1" w14:textId="77777777" w:rsidR="00A35C1D" w:rsidRPr="00EE277C" w:rsidRDefault="00A35C1D" w:rsidP="00A35C1D">
      <w:pPr>
        <w:pStyle w:val="FootnoteText"/>
        <w:jc w:val="both"/>
        <w:rPr>
          <w:rFonts w:asciiTheme="minorBidi" w:hAnsiTheme="minorBidi"/>
          <w:sz w:val="18"/>
          <w:szCs w:val="18"/>
          <w:lang w:val="en-US"/>
        </w:rPr>
      </w:pPr>
      <w:r w:rsidRPr="00EE277C">
        <w:rPr>
          <w:rStyle w:val="FootnoteReference"/>
          <w:rFonts w:asciiTheme="minorBidi" w:hAnsiTheme="minorBidi"/>
          <w:sz w:val="18"/>
          <w:szCs w:val="18"/>
        </w:rPr>
        <w:footnoteRef/>
      </w:r>
      <w:r w:rsidRPr="00EE277C">
        <w:rPr>
          <w:rFonts w:asciiTheme="minorBidi" w:hAnsiTheme="minorBidi"/>
          <w:sz w:val="18"/>
          <w:szCs w:val="18"/>
          <w:lang w:val="en-US"/>
        </w:rPr>
        <w:t xml:space="preserve"> Prime Minister Office, Government decisions, “Appropriate representation of members of the Arab, Druze and Circassian population in the civil service”, decision number 2579, 11</w:t>
      </w:r>
      <w:r>
        <w:rPr>
          <w:rFonts w:asciiTheme="minorBidi" w:hAnsiTheme="minorBidi"/>
          <w:sz w:val="18"/>
          <w:szCs w:val="18"/>
          <w:lang w:val="en-US"/>
        </w:rPr>
        <w:t xml:space="preserve"> November </w:t>
      </w:r>
      <w:r w:rsidRPr="00EE277C">
        <w:rPr>
          <w:rFonts w:asciiTheme="minorBidi" w:hAnsiTheme="minorBidi"/>
          <w:sz w:val="18"/>
          <w:szCs w:val="18"/>
          <w:lang w:val="en-US"/>
        </w:rPr>
        <w:t xml:space="preserve">2007. </w:t>
      </w:r>
      <w:hyperlink r:id="rId5" w:history="1">
        <w:r w:rsidRPr="00EE277C">
          <w:rPr>
            <w:rStyle w:val="Hyperlink"/>
            <w:rFonts w:asciiTheme="minorBidi" w:hAnsiTheme="minorBidi"/>
            <w:sz w:val="18"/>
            <w:szCs w:val="18"/>
            <w:lang w:val="en-US"/>
          </w:rPr>
          <w:t>https://www.gov.il/he/departments/policies/2007_des2579</w:t>
        </w:r>
      </w:hyperlink>
    </w:p>
  </w:footnote>
  <w:footnote w:id="16">
    <w:p w14:paraId="14BC6603" w14:textId="77777777" w:rsidR="00A35C1D" w:rsidRPr="00EE277C" w:rsidRDefault="00A35C1D" w:rsidP="00A35C1D">
      <w:pPr>
        <w:pStyle w:val="FootnoteText"/>
        <w:jc w:val="both"/>
        <w:rPr>
          <w:rFonts w:asciiTheme="minorBidi" w:hAnsiTheme="minorBidi"/>
          <w:sz w:val="18"/>
          <w:szCs w:val="18"/>
          <w:lang w:val="en-US"/>
        </w:rPr>
      </w:pPr>
      <w:r w:rsidRPr="00EE277C">
        <w:rPr>
          <w:rStyle w:val="FootnoteReference"/>
          <w:rFonts w:asciiTheme="minorBidi" w:hAnsiTheme="minorBidi"/>
          <w:sz w:val="18"/>
          <w:szCs w:val="18"/>
        </w:rPr>
        <w:footnoteRef/>
      </w:r>
      <w:r w:rsidRPr="00EE277C">
        <w:rPr>
          <w:rFonts w:asciiTheme="minorBidi" w:hAnsiTheme="minorBidi"/>
          <w:sz w:val="18"/>
          <w:szCs w:val="18"/>
          <w:lang w:val="en-US"/>
        </w:rPr>
        <w:t xml:space="preserve"> State of Israel, Ministry of Justice, Annex No. 1 attached to the 17-19</w:t>
      </w:r>
      <w:r w:rsidRPr="00EE277C">
        <w:rPr>
          <w:rFonts w:asciiTheme="minorBidi" w:hAnsiTheme="minorBidi"/>
          <w:sz w:val="18"/>
          <w:szCs w:val="18"/>
          <w:vertAlign w:val="superscript"/>
          <w:lang w:val="en-US"/>
        </w:rPr>
        <w:t>th</w:t>
      </w:r>
      <w:r w:rsidRPr="00EE277C">
        <w:rPr>
          <w:rFonts w:asciiTheme="minorBidi" w:hAnsiTheme="minorBidi"/>
          <w:sz w:val="18"/>
          <w:szCs w:val="18"/>
          <w:lang w:val="en-US"/>
        </w:rPr>
        <w:t xml:space="preserve"> Periodic Report by the State of Israel before the CERD, 2017, page 2.</w:t>
      </w:r>
      <w:r>
        <w:rPr>
          <w:rFonts w:asciiTheme="minorBidi" w:hAnsiTheme="minorBidi"/>
          <w:sz w:val="18"/>
          <w:szCs w:val="18"/>
          <w:lang w:val="en-US"/>
        </w:rPr>
        <w:t xml:space="preserve"> </w:t>
      </w:r>
      <w:r w:rsidRPr="00EE277C">
        <w:rPr>
          <w:rFonts w:asciiTheme="minorBidi" w:hAnsiTheme="minorBidi"/>
          <w:sz w:val="18"/>
          <w:szCs w:val="18"/>
          <w:lang w:val="en-US"/>
        </w:rPr>
        <w:t>INT_CERD_ADR_ISR_26778_E</w:t>
      </w:r>
      <w:r>
        <w:rPr>
          <w:rFonts w:asciiTheme="minorBidi" w:hAnsiTheme="minorBidi"/>
          <w:sz w:val="18"/>
          <w:szCs w:val="18"/>
          <w:lang w:val="en-US"/>
        </w:rPr>
        <w:t>.</w:t>
      </w:r>
    </w:p>
  </w:footnote>
  <w:footnote w:id="17">
    <w:p w14:paraId="1AA22F2C"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“The Index of Racism and Incitement in Israeli Social Media 2018: An inciting post against Palestinians every 66 seconds”, 11 March 2019, 7amleh. </w:t>
      </w:r>
      <w:hyperlink r:id="rId6" w:history="1">
        <w:r w:rsidRPr="00EE277C">
          <w:rPr>
            <w:rStyle w:val="Hyperlink"/>
            <w:rFonts w:asciiTheme="minorBidi" w:hAnsiTheme="minorBidi"/>
            <w:sz w:val="18"/>
            <w:szCs w:val="18"/>
          </w:rPr>
          <w:t>https://7amleh.org/2019/03/11/the-index-of-racism-and-incitement-in-israeli-social-media-2018-an-inciting-post-against-palestinians-every-66-seconds/</w:t>
        </w:r>
      </w:hyperlink>
    </w:p>
  </w:footnote>
  <w:footnote w:id="18">
    <w:p w14:paraId="5AF879A8" w14:textId="77777777" w:rsidR="00A35C1D" w:rsidRPr="0021742A" w:rsidRDefault="00A35C1D" w:rsidP="00A35C1D">
      <w:pPr>
        <w:pStyle w:val="FootnoteText"/>
        <w:jc w:val="both"/>
        <w:rPr>
          <w:rFonts w:asciiTheme="minorBidi" w:hAnsiTheme="minorBidi"/>
          <w:sz w:val="18"/>
          <w:szCs w:val="18"/>
          <w:lang w:val="fr-CH"/>
        </w:rPr>
      </w:pPr>
      <w:r w:rsidRPr="00EE277C">
        <w:rPr>
          <w:rStyle w:val="FootnoteReference"/>
          <w:rFonts w:asciiTheme="minorBidi" w:hAnsiTheme="minorBidi"/>
          <w:sz w:val="18"/>
          <w:szCs w:val="18"/>
        </w:rPr>
        <w:footnoteRef/>
      </w:r>
      <w:r w:rsidRPr="00853FD2">
        <w:rPr>
          <w:rFonts w:asciiTheme="minorBidi" w:hAnsiTheme="minorBidi"/>
          <w:sz w:val="18"/>
          <w:szCs w:val="18"/>
          <w:lang w:val="en-US"/>
        </w:rPr>
        <w:t xml:space="preserve"> “The rise in hate speech by political represent</w:t>
      </w:r>
      <w:r>
        <w:rPr>
          <w:rFonts w:asciiTheme="minorBidi" w:hAnsiTheme="minorBidi"/>
          <w:sz w:val="18"/>
          <w:szCs w:val="18"/>
          <w:lang w:val="en-US"/>
        </w:rPr>
        <w:t xml:space="preserve">atives and on social media in Israel”, 26 June 2019, NGOs joint statement. </w:t>
      </w:r>
      <w:r w:rsidRPr="0021742A">
        <w:rPr>
          <w:rFonts w:asciiTheme="minorBidi" w:hAnsiTheme="minorBidi"/>
          <w:sz w:val="18"/>
          <w:szCs w:val="18"/>
          <w:lang w:val="fr-CH"/>
        </w:rPr>
        <w:t>A/HRC/41/NGO/146</w:t>
      </w:r>
    </w:p>
  </w:footnote>
  <w:footnote w:id="19">
    <w:p w14:paraId="09601799" w14:textId="77777777" w:rsidR="00A35C1D" w:rsidRPr="00D5788D" w:rsidRDefault="00A35C1D" w:rsidP="00A35C1D">
      <w:pPr>
        <w:pStyle w:val="FootnoteText"/>
        <w:jc w:val="both"/>
        <w:rPr>
          <w:rFonts w:asciiTheme="minorBidi" w:hAnsiTheme="minorBidi"/>
        </w:rPr>
      </w:pPr>
      <w:r w:rsidRPr="0021742A">
        <w:rPr>
          <w:rStyle w:val="FootnoteReference"/>
          <w:rFonts w:asciiTheme="minorBidi" w:hAnsiTheme="minorBidi"/>
          <w:sz w:val="18"/>
          <w:szCs w:val="18"/>
        </w:rPr>
        <w:footnoteRef/>
      </w:r>
      <w:r w:rsidRPr="0021742A">
        <w:rPr>
          <w:rFonts w:asciiTheme="minorBidi" w:hAnsiTheme="minorBidi"/>
          <w:sz w:val="18"/>
          <w:szCs w:val="18"/>
          <w:lang w:val="fr-CH"/>
        </w:rPr>
        <w:t xml:space="preserve"> “Israël : l’ancien chef de l’armée Benny </w:t>
      </w:r>
      <w:proofErr w:type="spellStart"/>
      <w:r w:rsidRPr="0021742A">
        <w:rPr>
          <w:rFonts w:asciiTheme="minorBidi" w:hAnsiTheme="minorBidi"/>
          <w:sz w:val="18"/>
          <w:szCs w:val="18"/>
          <w:lang w:val="fr-CH"/>
        </w:rPr>
        <w:t>Gantz</w:t>
      </w:r>
      <w:proofErr w:type="spellEnd"/>
      <w:r w:rsidRPr="0021742A">
        <w:rPr>
          <w:rFonts w:asciiTheme="minorBidi" w:hAnsiTheme="minorBidi"/>
          <w:sz w:val="18"/>
          <w:szCs w:val="18"/>
          <w:lang w:val="fr-CH"/>
        </w:rPr>
        <w:t xml:space="preserve"> chargé de former un gouvernement”, 23 </w:t>
      </w:r>
      <w:proofErr w:type="spellStart"/>
      <w:r w:rsidRPr="0021742A">
        <w:rPr>
          <w:rFonts w:asciiTheme="minorBidi" w:hAnsiTheme="minorBidi"/>
          <w:sz w:val="18"/>
          <w:szCs w:val="18"/>
          <w:lang w:val="fr-CH"/>
        </w:rPr>
        <w:t>October</w:t>
      </w:r>
      <w:proofErr w:type="spellEnd"/>
      <w:r w:rsidRPr="0021742A">
        <w:rPr>
          <w:rFonts w:asciiTheme="minorBidi" w:hAnsiTheme="minorBidi"/>
          <w:sz w:val="18"/>
          <w:szCs w:val="18"/>
          <w:lang w:val="fr-CH"/>
        </w:rPr>
        <w:t xml:space="preserve"> 2019, Le Monde. </w:t>
      </w:r>
      <w:hyperlink r:id="rId7" w:history="1">
        <w:r w:rsidRPr="00D5788D">
          <w:rPr>
            <w:rStyle w:val="Hyperlink"/>
            <w:rFonts w:asciiTheme="minorBidi" w:hAnsiTheme="minorBidi"/>
            <w:sz w:val="18"/>
            <w:szCs w:val="18"/>
          </w:rPr>
          <w:t>https://www.lemonde.fr/international/article/2019/10/23/israel-l-ancien-chef-de-l-armee-benny-gantz-charge-de-former-un-gouvernement_6016666_3210.html</w:t>
        </w:r>
      </w:hyperlink>
    </w:p>
  </w:footnote>
  <w:footnote w:id="20">
    <w:p w14:paraId="4675FBD5" w14:textId="77777777" w:rsidR="00A35C1D" w:rsidRPr="0021742A" w:rsidRDefault="00A35C1D" w:rsidP="00A35C1D">
      <w:pPr>
        <w:pStyle w:val="FootnoteText"/>
        <w:jc w:val="both"/>
        <w:rPr>
          <w:rFonts w:asciiTheme="minorBidi" w:hAnsiTheme="minorBidi"/>
          <w:sz w:val="18"/>
          <w:szCs w:val="18"/>
          <w:lang w:val="en-US"/>
        </w:rPr>
      </w:pPr>
      <w:r w:rsidRPr="00EE277C">
        <w:rPr>
          <w:rStyle w:val="FootnoteReference"/>
          <w:rFonts w:asciiTheme="minorBidi" w:hAnsiTheme="minorBidi"/>
          <w:sz w:val="18"/>
          <w:szCs w:val="18"/>
        </w:rPr>
        <w:footnoteRef/>
      </w:r>
      <w:r w:rsidRPr="0021742A">
        <w:rPr>
          <w:rFonts w:asciiTheme="minorBidi" w:hAnsiTheme="minorBidi"/>
          <w:sz w:val="18"/>
          <w:szCs w:val="18"/>
          <w:lang w:val="en-US"/>
        </w:rPr>
        <w:t xml:space="preserve"> CERD/C/ISR/CO/14-16 para. 14.</w:t>
      </w:r>
    </w:p>
  </w:footnote>
  <w:footnote w:id="21">
    <w:p w14:paraId="374AFD83" w14:textId="77777777" w:rsidR="00A35C1D" w:rsidRPr="0021742A" w:rsidRDefault="00A35C1D" w:rsidP="00A35C1D">
      <w:pPr>
        <w:pStyle w:val="FootnoteText"/>
        <w:jc w:val="both"/>
        <w:rPr>
          <w:rFonts w:asciiTheme="minorBidi" w:hAnsiTheme="minorBidi"/>
          <w:sz w:val="18"/>
          <w:szCs w:val="18"/>
          <w:lang w:val="en-US"/>
        </w:rPr>
      </w:pPr>
      <w:r w:rsidRPr="00EE277C">
        <w:rPr>
          <w:rStyle w:val="FootnoteReference"/>
          <w:rFonts w:asciiTheme="minorBidi" w:hAnsiTheme="minorBidi"/>
          <w:sz w:val="18"/>
          <w:szCs w:val="18"/>
        </w:rPr>
        <w:footnoteRef/>
      </w:r>
      <w:r w:rsidRPr="00D5788D">
        <w:rPr>
          <w:rFonts w:asciiTheme="minorBidi" w:hAnsiTheme="minorBidi"/>
          <w:sz w:val="18"/>
          <w:szCs w:val="18"/>
          <w:lang w:val="en-US"/>
        </w:rPr>
        <w:t xml:space="preserve"> UN GA resolution 194. </w:t>
      </w:r>
      <w:hyperlink r:id="rId8" w:history="1">
        <w:r w:rsidRPr="0021742A">
          <w:rPr>
            <w:rStyle w:val="Hyperlink"/>
            <w:rFonts w:asciiTheme="minorBidi" w:hAnsiTheme="minorBidi"/>
            <w:sz w:val="18"/>
            <w:szCs w:val="18"/>
            <w:lang w:val="en-US"/>
          </w:rPr>
          <w:t>https://www.un.org/unispal/document/auto-insert-177019/</w:t>
        </w:r>
      </w:hyperlink>
    </w:p>
  </w:footnote>
  <w:footnote w:id="22">
    <w:p w14:paraId="52EC49FA"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EE277C">
        <w:rPr>
          <w:rFonts w:asciiTheme="minorBidi" w:hAnsiTheme="minorBidi"/>
          <w:sz w:val="18"/>
          <w:szCs w:val="18"/>
          <w:lang w:val="en-US"/>
        </w:rPr>
        <w:t xml:space="preserve"> “Five ways Israeli law discriminates against Palestinians”, 19 July 2018, </w:t>
      </w:r>
      <w:proofErr w:type="spellStart"/>
      <w:r w:rsidRPr="00EE277C">
        <w:rPr>
          <w:rFonts w:asciiTheme="minorBidi" w:hAnsiTheme="minorBidi"/>
          <w:sz w:val="18"/>
          <w:szCs w:val="18"/>
          <w:lang w:val="en-US"/>
        </w:rPr>
        <w:t>AlJazeera</w:t>
      </w:r>
      <w:proofErr w:type="spellEnd"/>
      <w:r w:rsidRPr="00EE277C">
        <w:rPr>
          <w:rFonts w:asciiTheme="minorBidi" w:hAnsiTheme="minorBidi"/>
          <w:sz w:val="18"/>
          <w:szCs w:val="18"/>
          <w:lang w:val="en-US"/>
        </w:rPr>
        <w:t xml:space="preserve">. </w:t>
      </w:r>
      <w:hyperlink r:id="rId9" w:history="1">
        <w:r w:rsidRPr="00EE277C">
          <w:rPr>
            <w:rStyle w:val="Hyperlink"/>
            <w:rFonts w:asciiTheme="minorBidi" w:hAnsiTheme="minorBidi"/>
            <w:sz w:val="18"/>
            <w:szCs w:val="18"/>
          </w:rPr>
          <w:t>https://www.aljazeera.com/news/2018/07/ways-israeli-law-discriminates-palestinians-180719120357886.html</w:t>
        </w:r>
      </w:hyperlink>
    </w:p>
  </w:footnote>
  <w:footnote w:id="23">
    <w:p w14:paraId="4DDEEF49"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“Israel-Palestinian Negotiations: Interim Agreement on the West Bank and the Gaza Strip (Oslo II)”, 28 September 1995. </w:t>
      </w:r>
      <w:hyperlink r:id="rId10" w:history="1">
        <w:r w:rsidRPr="00EE277C">
          <w:rPr>
            <w:rStyle w:val="Hyperlink"/>
            <w:rFonts w:asciiTheme="minorBidi" w:hAnsiTheme="minorBidi"/>
            <w:sz w:val="18"/>
            <w:szCs w:val="18"/>
          </w:rPr>
          <w:t>https://www.jewishvirtuallibrary.org/interim-agreement-on-the-west-bank-and-the-gaza-strip-oslo-ii</w:t>
        </w:r>
      </w:hyperlink>
    </w:p>
  </w:footnote>
  <w:footnote w:id="24">
    <w:p w14:paraId="7C8E99D5"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S</w:t>
      </w:r>
      <w:r>
        <w:rPr>
          <w:rFonts w:asciiTheme="minorBidi" w:hAnsiTheme="minorBidi"/>
          <w:sz w:val="18"/>
          <w:szCs w:val="18"/>
        </w:rPr>
        <w:t xml:space="preserve">pecial </w:t>
      </w:r>
      <w:r w:rsidRPr="00EE277C">
        <w:rPr>
          <w:rFonts w:asciiTheme="minorBidi" w:hAnsiTheme="minorBidi"/>
          <w:sz w:val="18"/>
          <w:szCs w:val="18"/>
        </w:rPr>
        <w:t>R</w:t>
      </w:r>
      <w:r>
        <w:rPr>
          <w:rFonts w:asciiTheme="minorBidi" w:hAnsiTheme="minorBidi"/>
          <w:sz w:val="18"/>
          <w:szCs w:val="18"/>
        </w:rPr>
        <w:t>apporteur on</w:t>
      </w:r>
      <w:r w:rsidRPr="00EE277C">
        <w:rPr>
          <w:rFonts w:asciiTheme="minorBidi" w:hAnsiTheme="minorBidi"/>
          <w:sz w:val="18"/>
          <w:szCs w:val="18"/>
        </w:rPr>
        <w:t xml:space="preserve"> V</w:t>
      </w:r>
      <w:r>
        <w:rPr>
          <w:rFonts w:asciiTheme="minorBidi" w:hAnsiTheme="minorBidi"/>
          <w:sz w:val="18"/>
          <w:szCs w:val="18"/>
        </w:rPr>
        <w:t xml:space="preserve">iolence </w:t>
      </w:r>
      <w:r w:rsidRPr="00EE277C">
        <w:rPr>
          <w:rFonts w:asciiTheme="minorBidi" w:hAnsiTheme="minorBidi"/>
          <w:sz w:val="18"/>
          <w:szCs w:val="18"/>
        </w:rPr>
        <w:t>A</w:t>
      </w:r>
      <w:r>
        <w:rPr>
          <w:rFonts w:asciiTheme="minorBidi" w:hAnsiTheme="minorBidi"/>
          <w:sz w:val="18"/>
          <w:szCs w:val="18"/>
        </w:rPr>
        <w:t xml:space="preserve">gainst </w:t>
      </w:r>
      <w:r w:rsidRPr="00EE277C">
        <w:rPr>
          <w:rFonts w:asciiTheme="minorBidi" w:hAnsiTheme="minorBidi"/>
          <w:sz w:val="18"/>
          <w:szCs w:val="18"/>
        </w:rPr>
        <w:t>W</w:t>
      </w:r>
      <w:r>
        <w:rPr>
          <w:rFonts w:asciiTheme="minorBidi" w:hAnsiTheme="minorBidi"/>
          <w:sz w:val="18"/>
          <w:szCs w:val="18"/>
        </w:rPr>
        <w:t>omen</w:t>
      </w:r>
      <w:r w:rsidRPr="00EE277C">
        <w:rPr>
          <w:rFonts w:asciiTheme="minorBidi" w:hAnsiTheme="minorBidi"/>
          <w:sz w:val="18"/>
          <w:szCs w:val="18"/>
        </w:rPr>
        <w:t xml:space="preserve">, visit to OPT in 2016, </w:t>
      </w:r>
      <w:r>
        <w:rPr>
          <w:rFonts w:asciiTheme="minorBidi" w:hAnsiTheme="minorBidi"/>
          <w:sz w:val="18"/>
          <w:szCs w:val="18"/>
        </w:rPr>
        <w:t xml:space="preserve">para. 12. </w:t>
      </w:r>
      <w:r w:rsidRPr="00EE277C">
        <w:rPr>
          <w:rFonts w:asciiTheme="minorBidi" w:hAnsiTheme="minorBidi"/>
          <w:sz w:val="18"/>
          <w:szCs w:val="18"/>
        </w:rPr>
        <w:t>A/HRC/35/30/Add.2</w:t>
      </w:r>
      <w:r>
        <w:rPr>
          <w:rFonts w:asciiTheme="minorBidi" w:hAnsiTheme="minorBidi"/>
          <w:sz w:val="18"/>
          <w:szCs w:val="18"/>
        </w:rPr>
        <w:t>.</w:t>
      </w:r>
    </w:p>
  </w:footnote>
  <w:footnote w:id="25">
    <w:p w14:paraId="05B08A2D"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w:t>
      </w:r>
      <w:r>
        <w:rPr>
          <w:rFonts w:asciiTheme="minorBidi" w:hAnsiTheme="minorBidi"/>
          <w:sz w:val="18"/>
          <w:szCs w:val="18"/>
        </w:rPr>
        <w:t>Ibid.</w:t>
      </w:r>
      <w:r w:rsidRPr="00EE277C">
        <w:rPr>
          <w:rFonts w:asciiTheme="minorBidi" w:hAnsiTheme="minorBidi"/>
          <w:sz w:val="18"/>
          <w:szCs w:val="18"/>
        </w:rPr>
        <w:t xml:space="preserve"> para 13, referring to A/71/355, para.25-26</w:t>
      </w:r>
    </w:p>
  </w:footnote>
  <w:footnote w:id="26">
    <w:p w14:paraId="60B19552"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“Military detention”, </w:t>
      </w:r>
      <w:proofErr w:type="spellStart"/>
      <w:r w:rsidRPr="00EE277C">
        <w:rPr>
          <w:rFonts w:asciiTheme="minorBidi" w:hAnsiTheme="minorBidi"/>
          <w:sz w:val="18"/>
          <w:szCs w:val="18"/>
        </w:rPr>
        <w:t>Defense</w:t>
      </w:r>
      <w:proofErr w:type="spellEnd"/>
      <w:r w:rsidRPr="00EE277C">
        <w:rPr>
          <w:rFonts w:asciiTheme="minorBidi" w:hAnsiTheme="minorBidi"/>
          <w:sz w:val="18"/>
          <w:szCs w:val="18"/>
        </w:rPr>
        <w:t xml:space="preserve"> for Children International – Palestine. </w:t>
      </w:r>
      <w:hyperlink r:id="rId11" w:history="1">
        <w:r w:rsidRPr="00EE277C">
          <w:rPr>
            <w:rStyle w:val="Hyperlink"/>
            <w:rFonts w:asciiTheme="minorBidi" w:hAnsiTheme="minorBidi"/>
            <w:sz w:val="18"/>
            <w:szCs w:val="18"/>
          </w:rPr>
          <w:t>https://www.dci-palestine.org/issues_military_detention</w:t>
        </w:r>
      </w:hyperlink>
      <w:r w:rsidRPr="00EE277C">
        <w:rPr>
          <w:rStyle w:val="Hyperlink"/>
          <w:rFonts w:asciiTheme="minorBidi" w:hAnsiTheme="minorBidi"/>
          <w:sz w:val="18"/>
          <w:szCs w:val="18"/>
        </w:rPr>
        <w:t>.</w:t>
      </w:r>
    </w:p>
  </w:footnote>
  <w:footnote w:id="27">
    <w:p w14:paraId="17BA54BE"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Joint parallel report on Israel’s violations of the ICESCR, September 2019, Al-Haq and Al-</w:t>
      </w:r>
      <w:proofErr w:type="spellStart"/>
      <w:r w:rsidRPr="00EE277C">
        <w:rPr>
          <w:rFonts w:asciiTheme="minorBidi" w:hAnsiTheme="minorBidi"/>
          <w:sz w:val="18"/>
          <w:szCs w:val="18"/>
        </w:rPr>
        <w:t>Marsad</w:t>
      </w:r>
      <w:proofErr w:type="spellEnd"/>
      <w:r w:rsidRPr="00EE277C">
        <w:rPr>
          <w:rFonts w:asciiTheme="minorBidi" w:hAnsiTheme="minorBidi"/>
          <w:sz w:val="18"/>
          <w:szCs w:val="18"/>
        </w:rPr>
        <w:t>, para.10. INT_CESCR_CSS_ISR_37011_E</w:t>
      </w:r>
    </w:p>
  </w:footnote>
  <w:footnote w:id="28">
    <w:p w14:paraId="6251AA5A"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“Gaza: List of controlled entry items”, 4 July 2010, Israeli Ministry of Foreign Affairs. </w:t>
      </w:r>
      <w:hyperlink r:id="rId12" w:history="1">
        <w:r w:rsidRPr="00EE277C">
          <w:rPr>
            <w:rStyle w:val="Hyperlink"/>
            <w:rFonts w:asciiTheme="minorBidi" w:hAnsiTheme="minorBidi"/>
            <w:sz w:val="18"/>
            <w:szCs w:val="18"/>
          </w:rPr>
          <w:t>https://www.mfa.gov.il/mfa/foreignpolicy/peace/humanitarian/pages/lists_controlled_entry_items_4-jul-2010.aspx</w:t>
        </w:r>
      </w:hyperlink>
    </w:p>
  </w:footnote>
  <w:footnote w:id="29">
    <w:p w14:paraId="72013AC6" w14:textId="77777777" w:rsidR="00A35C1D" w:rsidRPr="00EE277C" w:rsidRDefault="00A35C1D" w:rsidP="00A35C1D">
      <w:pPr>
        <w:pStyle w:val="FootnoteText"/>
        <w:jc w:val="both"/>
        <w:rPr>
          <w:rFonts w:asciiTheme="minorBidi" w:hAnsiTheme="minorBidi"/>
          <w:sz w:val="18"/>
          <w:szCs w:val="18"/>
          <w:lang w:val="en-US"/>
        </w:rPr>
      </w:pPr>
      <w:r w:rsidRPr="00EE277C">
        <w:rPr>
          <w:rStyle w:val="FootnoteReference"/>
          <w:rFonts w:asciiTheme="minorBidi" w:hAnsiTheme="minorBidi"/>
          <w:sz w:val="18"/>
          <w:szCs w:val="18"/>
        </w:rPr>
        <w:footnoteRef/>
      </w:r>
      <w:r w:rsidRPr="00EE277C">
        <w:rPr>
          <w:rFonts w:asciiTheme="minorBidi" w:hAnsiTheme="minorBidi"/>
          <w:sz w:val="18"/>
          <w:szCs w:val="18"/>
          <w:lang w:val="en-US"/>
        </w:rPr>
        <w:t xml:space="preserve"> Shadow report to the CESCR, September 2019</w:t>
      </w:r>
      <w:r>
        <w:rPr>
          <w:rFonts w:asciiTheme="minorBidi" w:hAnsiTheme="minorBidi"/>
          <w:sz w:val="18"/>
          <w:szCs w:val="18"/>
          <w:lang w:val="en-US"/>
        </w:rPr>
        <w:t xml:space="preserve">, </w:t>
      </w:r>
      <w:r w:rsidRPr="00EE277C">
        <w:rPr>
          <w:rFonts w:asciiTheme="minorBidi" w:hAnsiTheme="minorBidi"/>
          <w:sz w:val="18"/>
          <w:szCs w:val="18"/>
          <w:lang w:val="en-US"/>
        </w:rPr>
        <w:t xml:space="preserve">Al </w:t>
      </w:r>
      <w:proofErr w:type="spellStart"/>
      <w:r w:rsidRPr="00EE277C">
        <w:rPr>
          <w:rFonts w:asciiTheme="minorBidi" w:hAnsiTheme="minorBidi"/>
          <w:sz w:val="18"/>
          <w:szCs w:val="18"/>
          <w:lang w:val="en-US"/>
        </w:rPr>
        <w:t>Mezan</w:t>
      </w:r>
      <w:proofErr w:type="spellEnd"/>
      <w:r w:rsidRPr="00EE277C">
        <w:rPr>
          <w:rFonts w:asciiTheme="minorBidi" w:hAnsiTheme="minorBidi"/>
          <w:sz w:val="18"/>
          <w:szCs w:val="18"/>
          <w:lang w:val="en-US"/>
        </w:rPr>
        <w:t xml:space="preserve"> Centre for Human Rights</w:t>
      </w:r>
      <w:r>
        <w:rPr>
          <w:rFonts w:asciiTheme="minorBidi" w:hAnsiTheme="minorBidi"/>
          <w:sz w:val="18"/>
          <w:szCs w:val="18"/>
          <w:lang w:val="en-US"/>
        </w:rPr>
        <w:t xml:space="preserve">. </w:t>
      </w:r>
      <w:r w:rsidRPr="00EE277C">
        <w:rPr>
          <w:rFonts w:asciiTheme="minorBidi" w:hAnsiTheme="minorBidi"/>
          <w:sz w:val="18"/>
          <w:szCs w:val="18"/>
          <w:lang w:val="en-US"/>
        </w:rPr>
        <w:t>INT_CESCR_CSS_ISR_37152_E</w:t>
      </w:r>
      <w:r>
        <w:rPr>
          <w:rFonts w:asciiTheme="minorBidi" w:hAnsiTheme="minorBidi"/>
          <w:sz w:val="18"/>
          <w:szCs w:val="18"/>
          <w:lang w:val="en-US"/>
        </w:rPr>
        <w:t>.</w:t>
      </w:r>
    </w:p>
  </w:footnote>
  <w:footnote w:id="30">
    <w:p w14:paraId="3438B657"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Pr>
          <w:rFonts w:asciiTheme="minorBidi" w:hAnsiTheme="minorBidi"/>
          <w:sz w:val="18"/>
          <w:szCs w:val="18"/>
        </w:rPr>
        <w:t xml:space="preserve"> </w:t>
      </w:r>
      <w:r w:rsidRPr="00EE277C">
        <w:rPr>
          <w:rFonts w:asciiTheme="minorBidi" w:hAnsiTheme="minorBidi"/>
          <w:sz w:val="18"/>
          <w:szCs w:val="18"/>
        </w:rPr>
        <w:t>Protection of civilians’ report, 1- 14 October 2019, OCHA OPT.</w:t>
      </w:r>
    </w:p>
    <w:p w14:paraId="7EB7FD8B" w14:textId="77777777" w:rsidR="00A35C1D" w:rsidRPr="00EE277C" w:rsidRDefault="00C64B33" w:rsidP="00A35C1D">
      <w:pPr>
        <w:pStyle w:val="FootnoteText"/>
        <w:jc w:val="both"/>
        <w:rPr>
          <w:rFonts w:asciiTheme="minorBidi" w:hAnsiTheme="minorBidi"/>
          <w:sz w:val="18"/>
          <w:szCs w:val="18"/>
        </w:rPr>
      </w:pPr>
      <w:hyperlink r:id="rId13" w:history="1">
        <w:r w:rsidR="00A35C1D" w:rsidRPr="00EE277C">
          <w:rPr>
            <w:rStyle w:val="Hyperlink"/>
            <w:rFonts w:asciiTheme="minorBidi" w:hAnsiTheme="minorBidi"/>
            <w:sz w:val="18"/>
            <w:szCs w:val="18"/>
          </w:rPr>
          <w:t>https://www.ochaopt.org/poc/1-14-october-2019</w:t>
        </w:r>
      </w:hyperlink>
    </w:p>
  </w:footnote>
  <w:footnote w:id="31">
    <w:p w14:paraId="7386CACF" w14:textId="77777777" w:rsidR="00A35C1D" w:rsidRPr="00EE277C" w:rsidRDefault="00A35C1D" w:rsidP="00A35C1D">
      <w:pPr>
        <w:pStyle w:val="FootnoteText"/>
        <w:jc w:val="both"/>
        <w:rPr>
          <w:rFonts w:asciiTheme="minorBidi" w:hAnsiTheme="minorBidi"/>
          <w:sz w:val="18"/>
          <w:szCs w:val="18"/>
          <w:lang w:val="it-IT"/>
        </w:rPr>
      </w:pPr>
      <w:r w:rsidRPr="00EE277C">
        <w:rPr>
          <w:rStyle w:val="FootnoteReference"/>
          <w:rFonts w:asciiTheme="minorBidi" w:hAnsiTheme="minorBidi"/>
          <w:sz w:val="18"/>
          <w:szCs w:val="18"/>
        </w:rPr>
        <w:footnoteRef/>
      </w:r>
      <w:r w:rsidRPr="00EE277C">
        <w:rPr>
          <w:rFonts w:asciiTheme="minorBidi" w:hAnsiTheme="minorBidi"/>
          <w:sz w:val="18"/>
          <w:szCs w:val="18"/>
          <w:lang w:val="it-IT"/>
        </w:rPr>
        <w:t xml:space="preserve"> A/HRC/41/NGO/146</w:t>
      </w:r>
      <w:r>
        <w:rPr>
          <w:rFonts w:asciiTheme="minorBidi" w:hAnsiTheme="minorBidi"/>
          <w:sz w:val="18"/>
          <w:szCs w:val="18"/>
          <w:lang w:val="it-IT"/>
        </w:rPr>
        <w:t xml:space="preserve"> op. cit.</w:t>
      </w:r>
    </w:p>
  </w:footnote>
  <w:footnote w:id="32">
    <w:p w14:paraId="151F5738"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21742A">
        <w:rPr>
          <w:rFonts w:asciiTheme="minorBidi" w:hAnsiTheme="minorBidi"/>
          <w:sz w:val="18"/>
          <w:szCs w:val="18"/>
          <w:lang w:val="en-US"/>
        </w:rPr>
        <w:t xml:space="preserve"> CERD/C/ISR/CO/13, para. </w:t>
      </w:r>
      <w:r w:rsidRPr="00EE277C">
        <w:rPr>
          <w:rFonts w:asciiTheme="minorBidi" w:hAnsiTheme="minorBidi"/>
          <w:sz w:val="18"/>
          <w:szCs w:val="18"/>
        </w:rPr>
        <w:t>37 and CERD/C/ISR/CO/14-16 para. 28.</w:t>
      </w:r>
    </w:p>
  </w:footnote>
  <w:footnote w:id="33">
    <w:p w14:paraId="6E61C819" w14:textId="77777777" w:rsidR="00A35C1D" w:rsidRPr="00EE277C" w:rsidRDefault="00A35C1D" w:rsidP="00A35C1D">
      <w:pPr>
        <w:pStyle w:val="FootnoteText"/>
        <w:jc w:val="both"/>
        <w:rPr>
          <w:rFonts w:asciiTheme="minorBidi" w:hAnsiTheme="minorBidi"/>
          <w:sz w:val="18"/>
          <w:szCs w:val="18"/>
        </w:rPr>
      </w:pPr>
      <w:r w:rsidRPr="00EE277C">
        <w:rPr>
          <w:rStyle w:val="FootnoteReference"/>
          <w:rFonts w:asciiTheme="minorBidi" w:hAnsiTheme="minorBidi"/>
          <w:sz w:val="18"/>
          <w:szCs w:val="18"/>
        </w:rPr>
        <w:footnoteRef/>
      </w:r>
      <w:r w:rsidRPr="00EE277C">
        <w:rPr>
          <w:rFonts w:asciiTheme="minorBidi" w:hAnsiTheme="minorBidi"/>
          <w:sz w:val="18"/>
          <w:szCs w:val="18"/>
        </w:rPr>
        <w:t xml:space="preserve"> Baroness Warsi, “Israel: Arab Citizens” 741(84). House of Lords Official Report, Hansard 1232, 1232 (2012).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06B38"/>
    <w:multiLevelType w:val="hybridMultilevel"/>
    <w:tmpl w:val="AD8AF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9F1834"/>
    <w:multiLevelType w:val="hybridMultilevel"/>
    <w:tmpl w:val="6FF0DCC6"/>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1AA67ADD"/>
    <w:multiLevelType w:val="hybridMultilevel"/>
    <w:tmpl w:val="A72CE0E2"/>
    <w:lvl w:ilvl="0" w:tplc="49662CE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F5D60BD"/>
    <w:multiLevelType w:val="hybridMultilevel"/>
    <w:tmpl w:val="1D98970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61122"/>
    <w:multiLevelType w:val="hybridMultilevel"/>
    <w:tmpl w:val="E5F0D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9E1617"/>
    <w:multiLevelType w:val="hybridMultilevel"/>
    <w:tmpl w:val="F95E30B8"/>
    <w:lvl w:ilvl="0" w:tplc="08090019">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354C7B"/>
    <w:multiLevelType w:val="hybridMultilevel"/>
    <w:tmpl w:val="9814DBE6"/>
    <w:lvl w:ilvl="0" w:tplc="10000005">
      <w:start w:val="1"/>
      <w:numFmt w:val="bullet"/>
      <w:lvlText w:val=""/>
      <w:lvlJc w:val="left"/>
      <w:pPr>
        <w:ind w:left="720" w:hanging="360"/>
      </w:pPr>
      <w:rPr>
        <w:rFonts w:ascii="Wingdings" w:hAnsi="Wingdings"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7" w15:restartNumberingAfterBreak="0">
    <w:nsid w:val="3AE35C1E"/>
    <w:multiLevelType w:val="hybridMultilevel"/>
    <w:tmpl w:val="8C704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6B4D9A"/>
    <w:multiLevelType w:val="hybridMultilevel"/>
    <w:tmpl w:val="99189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3153A4"/>
    <w:multiLevelType w:val="hybridMultilevel"/>
    <w:tmpl w:val="0BDC332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6158BC"/>
    <w:multiLevelType w:val="hybridMultilevel"/>
    <w:tmpl w:val="8E6A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F86406"/>
    <w:multiLevelType w:val="hybridMultilevel"/>
    <w:tmpl w:val="2F0AFB44"/>
    <w:lvl w:ilvl="0" w:tplc="9F46C3B6">
      <w:start w:val="1"/>
      <w:numFmt w:val="decimal"/>
      <w:pStyle w:val="Body"/>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3C5FD2"/>
    <w:multiLevelType w:val="multilevel"/>
    <w:tmpl w:val="1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89712FA"/>
    <w:multiLevelType w:val="hybridMultilevel"/>
    <w:tmpl w:val="0568C96C"/>
    <w:lvl w:ilvl="0" w:tplc="B3EE1F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5"/>
  </w:num>
  <w:num w:numId="3">
    <w:abstractNumId w:val="13"/>
  </w:num>
  <w:num w:numId="4">
    <w:abstractNumId w:val="7"/>
  </w:num>
  <w:num w:numId="5">
    <w:abstractNumId w:val="4"/>
  </w:num>
  <w:num w:numId="6">
    <w:abstractNumId w:val="8"/>
  </w:num>
  <w:num w:numId="7">
    <w:abstractNumId w:val="11"/>
  </w:num>
  <w:num w:numId="8">
    <w:abstractNumId w:val="11"/>
  </w:num>
  <w:num w:numId="9">
    <w:abstractNumId w:val="11"/>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0"/>
  </w:num>
  <w:num w:numId="29">
    <w:abstractNumId w:val="0"/>
  </w:num>
  <w:num w:numId="30">
    <w:abstractNumId w:val="11"/>
  </w:num>
  <w:num w:numId="31">
    <w:abstractNumId w:val="11"/>
  </w:num>
  <w:num w:numId="32">
    <w:abstractNumId w:val="11"/>
  </w:num>
  <w:num w:numId="33">
    <w:abstractNumId w:val="3"/>
  </w:num>
  <w:num w:numId="34">
    <w:abstractNumId w:val="9"/>
  </w:num>
  <w:num w:numId="35">
    <w:abstractNumId w:val="12"/>
  </w:num>
  <w:num w:numId="36">
    <w:abstractNumId w:val="6"/>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3CA"/>
    <w:rsid w:val="00010CAA"/>
    <w:rsid w:val="00013951"/>
    <w:rsid w:val="00014F9C"/>
    <w:rsid w:val="00015257"/>
    <w:rsid w:val="000214E4"/>
    <w:rsid w:val="0002281B"/>
    <w:rsid w:val="00025AF3"/>
    <w:rsid w:val="0003084C"/>
    <w:rsid w:val="00070400"/>
    <w:rsid w:val="00073966"/>
    <w:rsid w:val="0008106D"/>
    <w:rsid w:val="000845ED"/>
    <w:rsid w:val="000916EA"/>
    <w:rsid w:val="000A45CC"/>
    <w:rsid w:val="000B7E89"/>
    <w:rsid w:val="000C304A"/>
    <w:rsid w:val="000D18D0"/>
    <w:rsid w:val="000D4494"/>
    <w:rsid w:val="000E0165"/>
    <w:rsid w:val="000E1BD1"/>
    <w:rsid w:val="000F0347"/>
    <w:rsid w:val="000F0BDE"/>
    <w:rsid w:val="000F6487"/>
    <w:rsid w:val="00104418"/>
    <w:rsid w:val="001064CA"/>
    <w:rsid w:val="00114C10"/>
    <w:rsid w:val="001163DD"/>
    <w:rsid w:val="00117E60"/>
    <w:rsid w:val="00130F87"/>
    <w:rsid w:val="00144179"/>
    <w:rsid w:val="00160F67"/>
    <w:rsid w:val="00161D9C"/>
    <w:rsid w:val="001625C4"/>
    <w:rsid w:val="001720E3"/>
    <w:rsid w:val="0017574F"/>
    <w:rsid w:val="00187393"/>
    <w:rsid w:val="00196FC4"/>
    <w:rsid w:val="001A6A87"/>
    <w:rsid w:val="001B2B4B"/>
    <w:rsid w:val="001B45C2"/>
    <w:rsid w:val="001C67A8"/>
    <w:rsid w:val="001C7888"/>
    <w:rsid w:val="001D630C"/>
    <w:rsid w:val="001E0D60"/>
    <w:rsid w:val="001E19A6"/>
    <w:rsid w:val="001F7E1C"/>
    <w:rsid w:val="00207CD1"/>
    <w:rsid w:val="00223DDD"/>
    <w:rsid w:val="002360C8"/>
    <w:rsid w:val="00243D22"/>
    <w:rsid w:val="002456BF"/>
    <w:rsid w:val="002500B6"/>
    <w:rsid w:val="00253719"/>
    <w:rsid w:val="002542B2"/>
    <w:rsid w:val="002630AA"/>
    <w:rsid w:val="00263475"/>
    <w:rsid w:val="00266B8A"/>
    <w:rsid w:val="00282652"/>
    <w:rsid w:val="00292B94"/>
    <w:rsid w:val="0029420A"/>
    <w:rsid w:val="002953F5"/>
    <w:rsid w:val="002A6506"/>
    <w:rsid w:val="002B0BBD"/>
    <w:rsid w:val="002B131C"/>
    <w:rsid w:val="002C04E8"/>
    <w:rsid w:val="002D4C9B"/>
    <w:rsid w:val="002E219B"/>
    <w:rsid w:val="002E2589"/>
    <w:rsid w:val="002F22D4"/>
    <w:rsid w:val="002F3530"/>
    <w:rsid w:val="00300A6A"/>
    <w:rsid w:val="003041C4"/>
    <w:rsid w:val="00312CA7"/>
    <w:rsid w:val="00313126"/>
    <w:rsid w:val="00315E70"/>
    <w:rsid w:val="003165F8"/>
    <w:rsid w:val="00317B64"/>
    <w:rsid w:val="003274E6"/>
    <w:rsid w:val="003420D5"/>
    <w:rsid w:val="0034292A"/>
    <w:rsid w:val="003527EC"/>
    <w:rsid w:val="003542C3"/>
    <w:rsid w:val="003571D6"/>
    <w:rsid w:val="00376F6E"/>
    <w:rsid w:val="00381D49"/>
    <w:rsid w:val="00384420"/>
    <w:rsid w:val="003900FD"/>
    <w:rsid w:val="003B7534"/>
    <w:rsid w:val="003D6655"/>
    <w:rsid w:val="003E4333"/>
    <w:rsid w:val="003E434F"/>
    <w:rsid w:val="003F0A22"/>
    <w:rsid w:val="003F1349"/>
    <w:rsid w:val="00401D41"/>
    <w:rsid w:val="00405C6B"/>
    <w:rsid w:val="00425513"/>
    <w:rsid w:val="00427C17"/>
    <w:rsid w:val="004301FC"/>
    <w:rsid w:val="00430814"/>
    <w:rsid w:val="00435C7A"/>
    <w:rsid w:val="004366A3"/>
    <w:rsid w:val="00444579"/>
    <w:rsid w:val="004531EB"/>
    <w:rsid w:val="00463F2D"/>
    <w:rsid w:val="00466703"/>
    <w:rsid w:val="00473E20"/>
    <w:rsid w:val="004853FD"/>
    <w:rsid w:val="00486387"/>
    <w:rsid w:val="0049561D"/>
    <w:rsid w:val="004A6740"/>
    <w:rsid w:val="004A6F30"/>
    <w:rsid w:val="004B10A8"/>
    <w:rsid w:val="004B173B"/>
    <w:rsid w:val="004B6150"/>
    <w:rsid w:val="004C7483"/>
    <w:rsid w:val="004D1968"/>
    <w:rsid w:val="004D3396"/>
    <w:rsid w:val="004D41F9"/>
    <w:rsid w:val="004D7141"/>
    <w:rsid w:val="004E3953"/>
    <w:rsid w:val="004E7092"/>
    <w:rsid w:val="005043E1"/>
    <w:rsid w:val="005148C4"/>
    <w:rsid w:val="00516D4C"/>
    <w:rsid w:val="005241ED"/>
    <w:rsid w:val="0053533C"/>
    <w:rsid w:val="005373EA"/>
    <w:rsid w:val="00546F7B"/>
    <w:rsid w:val="005547E7"/>
    <w:rsid w:val="00557461"/>
    <w:rsid w:val="0055746A"/>
    <w:rsid w:val="005731F3"/>
    <w:rsid w:val="00573B1B"/>
    <w:rsid w:val="0057622A"/>
    <w:rsid w:val="00577C1E"/>
    <w:rsid w:val="005801A5"/>
    <w:rsid w:val="005831E4"/>
    <w:rsid w:val="00592A58"/>
    <w:rsid w:val="005A1261"/>
    <w:rsid w:val="005A14E8"/>
    <w:rsid w:val="005B7DA1"/>
    <w:rsid w:val="005C5BC8"/>
    <w:rsid w:val="005D3FB0"/>
    <w:rsid w:val="005D7DD7"/>
    <w:rsid w:val="005E2945"/>
    <w:rsid w:val="00630C64"/>
    <w:rsid w:val="00632063"/>
    <w:rsid w:val="00632B22"/>
    <w:rsid w:val="00632BD0"/>
    <w:rsid w:val="00634B6B"/>
    <w:rsid w:val="00643E10"/>
    <w:rsid w:val="006461C5"/>
    <w:rsid w:val="00653841"/>
    <w:rsid w:val="00663ADB"/>
    <w:rsid w:val="00672F5C"/>
    <w:rsid w:val="00681B57"/>
    <w:rsid w:val="0069403D"/>
    <w:rsid w:val="006A3125"/>
    <w:rsid w:val="006A31EA"/>
    <w:rsid w:val="006A5B2E"/>
    <w:rsid w:val="006B1519"/>
    <w:rsid w:val="006B3FE1"/>
    <w:rsid w:val="006C7EE7"/>
    <w:rsid w:val="006D0C0E"/>
    <w:rsid w:val="006E2EE6"/>
    <w:rsid w:val="006E5949"/>
    <w:rsid w:val="006E791D"/>
    <w:rsid w:val="006F0985"/>
    <w:rsid w:val="006F11B4"/>
    <w:rsid w:val="006F19E6"/>
    <w:rsid w:val="006F1C12"/>
    <w:rsid w:val="006F212D"/>
    <w:rsid w:val="006F24BE"/>
    <w:rsid w:val="00705E5C"/>
    <w:rsid w:val="0071112C"/>
    <w:rsid w:val="00717A32"/>
    <w:rsid w:val="00722E4D"/>
    <w:rsid w:val="007247E7"/>
    <w:rsid w:val="0073232E"/>
    <w:rsid w:val="00742D35"/>
    <w:rsid w:val="00745007"/>
    <w:rsid w:val="00747F84"/>
    <w:rsid w:val="007677A0"/>
    <w:rsid w:val="00776F4C"/>
    <w:rsid w:val="007778A4"/>
    <w:rsid w:val="00781EBC"/>
    <w:rsid w:val="00785FD6"/>
    <w:rsid w:val="00792582"/>
    <w:rsid w:val="00792608"/>
    <w:rsid w:val="0079679F"/>
    <w:rsid w:val="007A12CF"/>
    <w:rsid w:val="007A56C5"/>
    <w:rsid w:val="007A6679"/>
    <w:rsid w:val="007B54DF"/>
    <w:rsid w:val="007C1E82"/>
    <w:rsid w:val="007C32DD"/>
    <w:rsid w:val="007C555F"/>
    <w:rsid w:val="007C6583"/>
    <w:rsid w:val="007D3B6D"/>
    <w:rsid w:val="007E1840"/>
    <w:rsid w:val="007F0DF6"/>
    <w:rsid w:val="0081022B"/>
    <w:rsid w:val="008159BD"/>
    <w:rsid w:val="00823117"/>
    <w:rsid w:val="00823A49"/>
    <w:rsid w:val="00824F87"/>
    <w:rsid w:val="008323CA"/>
    <w:rsid w:val="00833B2B"/>
    <w:rsid w:val="0084212E"/>
    <w:rsid w:val="00845934"/>
    <w:rsid w:val="00852D41"/>
    <w:rsid w:val="008634AB"/>
    <w:rsid w:val="00887ACC"/>
    <w:rsid w:val="00896CDD"/>
    <w:rsid w:val="008B058E"/>
    <w:rsid w:val="008B2D94"/>
    <w:rsid w:val="008C0731"/>
    <w:rsid w:val="008C38B9"/>
    <w:rsid w:val="008D2907"/>
    <w:rsid w:val="008D4F96"/>
    <w:rsid w:val="008D553F"/>
    <w:rsid w:val="008D756B"/>
    <w:rsid w:val="008E05F0"/>
    <w:rsid w:val="008F1B36"/>
    <w:rsid w:val="008F781D"/>
    <w:rsid w:val="00902E35"/>
    <w:rsid w:val="00913F11"/>
    <w:rsid w:val="009159AE"/>
    <w:rsid w:val="00924DFA"/>
    <w:rsid w:val="00925E8D"/>
    <w:rsid w:val="0093164C"/>
    <w:rsid w:val="00933296"/>
    <w:rsid w:val="00935B48"/>
    <w:rsid w:val="00944970"/>
    <w:rsid w:val="00946317"/>
    <w:rsid w:val="00957811"/>
    <w:rsid w:val="00970E06"/>
    <w:rsid w:val="00976BB4"/>
    <w:rsid w:val="0098306F"/>
    <w:rsid w:val="00984AB4"/>
    <w:rsid w:val="00995F01"/>
    <w:rsid w:val="009B3CB7"/>
    <w:rsid w:val="009B7E60"/>
    <w:rsid w:val="009D4C89"/>
    <w:rsid w:val="009E180D"/>
    <w:rsid w:val="009E32EF"/>
    <w:rsid w:val="009E3847"/>
    <w:rsid w:val="009F0CC2"/>
    <w:rsid w:val="009F2EDE"/>
    <w:rsid w:val="009F3FDD"/>
    <w:rsid w:val="009F4C79"/>
    <w:rsid w:val="009F526E"/>
    <w:rsid w:val="009F7D20"/>
    <w:rsid w:val="00A038C9"/>
    <w:rsid w:val="00A11949"/>
    <w:rsid w:val="00A17311"/>
    <w:rsid w:val="00A26B5D"/>
    <w:rsid w:val="00A33D82"/>
    <w:rsid w:val="00A35673"/>
    <w:rsid w:val="00A35C1D"/>
    <w:rsid w:val="00A42A95"/>
    <w:rsid w:val="00A42DC8"/>
    <w:rsid w:val="00A5033B"/>
    <w:rsid w:val="00A64FDB"/>
    <w:rsid w:val="00A706CA"/>
    <w:rsid w:val="00A712C1"/>
    <w:rsid w:val="00A75BF2"/>
    <w:rsid w:val="00A75F6C"/>
    <w:rsid w:val="00A77F32"/>
    <w:rsid w:val="00A837AA"/>
    <w:rsid w:val="00A87CBB"/>
    <w:rsid w:val="00A9369F"/>
    <w:rsid w:val="00AA0715"/>
    <w:rsid w:val="00AA0C3F"/>
    <w:rsid w:val="00AA1A55"/>
    <w:rsid w:val="00AA58E0"/>
    <w:rsid w:val="00AB7233"/>
    <w:rsid w:val="00AC1A6F"/>
    <w:rsid w:val="00AE6EBF"/>
    <w:rsid w:val="00AF493E"/>
    <w:rsid w:val="00AF76B7"/>
    <w:rsid w:val="00B010B4"/>
    <w:rsid w:val="00B04D13"/>
    <w:rsid w:val="00B248CB"/>
    <w:rsid w:val="00B25958"/>
    <w:rsid w:val="00B35A79"/>
    <w:rsid w:val="00B365AC"/>
    <w:rsid w:val="00B431A0"/>
    <w:rsid w:val="00B50B90"/>
    <w:rsid w:val="00B517D3"/>
    <w:rsid w:val="00B67910"/>
    <w:rsid w:val="00B701C7"/>
    <w:rsid w:val="00B729F7"/>
    <w:rsid w:val="00B745BB"/>
    <w:rsid w:val="00B82D27"/>
    <w:rsid w:val="00B9004C"/>
    <w:rsid w:val="00B91DFD"/>
    <w:rsid w:val="00BB1677"/>
    <w:rsid w:val="00BB5312"/>
    <w:rsid w:val="00BC32B7"/>
    <w:rsid w:val="00BC4BB8"/>
    <w:rsid w:val="00BC6621"/>
    <w:rsid w:val="00BD1ADA"/>
    <w:rsid w:val="00BD3E93"/>
    <w:rsid w:val="00BD4C8E"/>
    <w:rsid w:val="00BE0EA6"/>
    <w:rsid w:val="00BE20A2"/>
    <w:rsid w:val="00BE455F"/>
    <w:rsid w:val="00C12475"/>
    <w:rsid w:val="00C12872"/>
    <w:rsid w:val="00C342C7"/>
    <w:rsid w:val="00C45FBE"/>
    <w:rsid w:val="00C64A24"/>
    <w:rsid w:val="00C64B33"/>
    <w:rsid w:val="00C72B06"/>
    <w:rsid w:val="00CA15E9"/>
    <w:rsid w:val="00CC1BD1"/>
    <w:rsid w:val="00CF0605"/>
    <w:rsid w:val="00D118A3"/>
    <w:rsid w:val="00D21862"/>
    <w:rsid w:val="00D218A9"/>
    <w:rsid w:val="00D30BA5"/>
    <w:rsid w:val="00D3644F"/>
    <w:rsid w:val="00D372D9"/>
    <w:rsid w:val="00D515C2"/>
    <w:rsid w:val="00D54ACF"/>
    <w:rsid w:val="00D608FB"/>
    <w:rsid w:val="00D64CBE"/>
    <w:rsid w:val="00D6592E"/>
    <w:rsid w:val="00D70B92"/>
    <w:rsid w:val="00D71DA0"/>
    <w:rsid w:val="00D82667"/>
    <w:rsid w:val="00D96609"/>
    <w:rsid w:val="00D97039"/>
    <w:rsid w:val="00DA55F7"/>
    <w:rsid w:val="00DA72CF"/>
    <w:rsid w:val="00DB0F25"/>
    <w:rsid w:val="00DB2D8B"/>
    <w:rsid w:val="00DB4227"/>
    <w:rsid w:val="00DC05EB"/>
    <w:rsid w:val="00DE4189"/>
    <w:rsid w:val="00DF1AC2"/>
    <w:rsid w:val="00E06F78"/>
    <w:rsid w:val="00E2345A"/>
    <w:rsid w:val="00E26432"/>
    <w:rsid w:val="00E33A8F"/>
    <w:rsid w:val="00E37ADD"/>
    <w:rsid w:val="00E52234"/>
    <w:rsid w:val="00E55B7E"/>
    <w:rsid w:val="00E66896"/>
    <w:rsid w:val="00E72CB9"/>
    <w:rsid w:val="00E7690B"/>
    <w:rsid w:val="00E8182E"/>
    <w:rsid w:val="00EA0EAA"/>
    <w:rsid w:val="00EA2BF4"/>
    <w:rsid w:val="00EA36D4"/>
    <w:rsid w:val="00EA5842"/>
    <w:rsid w:val="00EA5E6A"/>
    <w:rsid w:val="00EB2267"/>
    <w:rsid w:val="00EB2E29"/>
    <w:rsid w:val="00EB3A2B"/>
    <w:rsid w:val="00EB3EB3"/>
    <w:rsid w:val="00EB45F5"/>
    <w:rsid w:val="00EE4F5A"/>
    <w:rsid w:val="00F016A3"/>
    <w:rsid w:val="00F2186F"/>
    <w:rsid w:val="00F21F6F"/>
    <w:rsid w:val="00F2601E"/>
    <w:rsid w:val="00F27DB2"/>
    <w:rsid w:val="00F31C33"/>
    <w:rsid w:val="00F3461C"/>
    <w:rsid w:val="00F458C1"/>
    <w:rsid w:val="00F56E40"/>
    <w:rsid w:val="00F57C6D"/>
    <w:rsid w:val="00F80635"/>
    <w:rsid w:val="00FA004E"/>
    <w:rsid w:val="00FA05A4"/>
    <w:rsid w:val="00FA2692"/>
    <w:rsid w:val="00FB5D08"/>
    <w:rsid w:val="00FC4520"/>
    <w:rsid w:val="00FC6C41"/>
    <w:rsid w:val="00FD219B"/>
    <w:rsid w:val="00FD2875"/>
    <w:rsid w:val="00FE5533"/>
    <w:rsid w:val="00FF1DA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3C55F"/>
  <w15:chartTrackingRefBased/>
  <w15:docId w15:val="{D351B669-A145-4881-B766-77AEF1137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CB7"/>
    <w:pPr>
      <w:keepNext/>
      <w:keepLines/>
      <w:spacing w:before="360" w:after="120"/>
      <w:jc w:val="center"/>
      <w:outlineLvl w:val="0"/>
    </w:pPr>
    <w:rPr>
      <w:rFonts w:eastAsiaTheme="majorEastAsia" w:cstheme="majorBidi"/>
      <w:b/>
      <w:color w:val="7B881D" w:themeColor="accent1" w:themeShade="BF"/>
      <w:sz w:val="32"/>
      <w:szCs w:val="32"/>
    </w:rPr>
  </w:style>
  <w:style w:type="paragraph" w:styleId="Heading2">
    <w:name w:val="heading 2"/>
    <w:basedOn w:val="Normal"/>
    <w:next w:val="Normal"/>
    <w:link w:val="Heading2Char"/>
    <w:uiPriority w:val="9"/>
    <w:unhideWhenUsed/>
    <w:qFormat/>
    <w:rsid w:val="00632B22"/>
    <w:pPr>
      <w:keepNext/>
      <w:keepLines/>
      <w:spacing w:before="40" w:after="0"/>
      <w:outlineLvl w:val="1"/>
    </w:pPr>
    <w:rPr>
      <w:rFonts w:asciiTheme="majorHAnsi" w:eastAsiaTheme="majorEastAsia" w:hAnsiTheme="majorHAnsi" w:cstheme="majorBidi"/>
      <w:b/>
      <w:color w:val="7B881D"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C41"/>
    <w:pPr>
      <w:ind w:left="720"/>
      <w:contextualSpacing/>
    </w:pPr>
  </w:style>
  <w:style w:type="paragraph" w:styleId="NormalWeb">
    <w:name w:val="Normal (Web)"/>
    <w:basedOn w:val="Normal"/>
    <w:uiPriority w:val="99"/>
    <w:unhideWhenUsed/>
    <w:rsid w:val="009F7D2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A837AA"/>
    <w:pPr>
      <w:spacing w:after="0" w:line="240" w:lineRule="auto"/>
    </w:pPr>
    <w:rPr>
      <w:sz w:val="20"/>
      <w:szCs w:val="20"/>
    </w:rPr>
  </w:style>
  <w:style w:type="character" w:customStyle="1" w:styleId="FootnoteTextChar">
    <w:name w:val="Footnote Text Char"/>
    <w:basedOn w:val="DefaultParagraphFont"/>
    <w:link w:val="FootnoteText"/>
    <w:uiPriority w:val="99"/>
    <w:rsid w:val="00A837AA"/>
    <w:rPr>
      <w:sz w:val="20"/>
      <w:szCs w:val="20"/>
    </w:rPr>
  </w:style>
  <w:style w:type="character" w:styleId="FootnoteReference">
    <w:name w:val="footnote reference"/>
    <w:basedOn w:val="DefaultParagraphFont"/>
    <w:uiPriority w:val="99"/>
    <w:semiHidden/>
    <w:unhideWhenUsed/>
    <w:rsid w:val="00A837AA"/>
    <w:rPr>
      <w:vertAlign w:val="superscript"/>
    </w:rPr>
  </w:style>
  <w:style w:type="paragraph" w:styleId="Header">
    <w:name w:val="header"/>
    <w:basedOn w:val="Normal"/>
    <w:link w:val="HeaderChar"/>
    <w:uiPriority w:val="99"/>
    <w:unhideWhenUsed/>
    <w:rsid w:val="008C0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731"/>
  </w:style>
  <w:style w:type="paragraph" w:styleId="Footer">
    <w:name w:val="footer"/>
    <w:basedOn w:val="Normal"/>
    <w:link w:val="FooterChar"/>
    <w:uiPriority w:val="99"/>
    <w:unhideWhenUsed/>
    <w:rsid w:val="008C0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731"/>
  </w:style>
  <w:style w:type="paragraph" w:styleId="BalloonText">
    <w:name w:val="Balloon Text"/>
    <w:basedOn w:val="Normal"/>
    <w:link w:val="BalloonTextChar"/>
    <w:uiPriority w:val="99"/>
    <w:semiHidden/>
    <w:unhideWhenUsed/>
    <w:rsid w:val="005574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461"/>
    <w:rPr>
      <w:rFonts w:ascii="Segoe UI" w:hAnsi="Segoe UI" w:cs="Segoe UI"/>
      <w:sz w:val="18"/>
      <w:szCs w:val="18"/>
    </w:rPr>
  </w:style>
  <w:style w:type="character" w:customStyle="1" w:styleId="Heading1Char">
    <w:name w:val="Heading 1 Char"/>
    <w:basedOn w:val="DefaultParagraphFont"/>
    <w:link w:val="Heading1"/>
    <w:uiPriority w:val="9"/>
    <w:rsid w:val="009B3CB7"/>
    <w:rPr>
      <w:rFonts w:eastAsiaTheme="majorEastAsia" w:cstheme="majorBidi"/>
      <w:b/>
      <w:color w:val="7B881D" w:themeColor="accent1" w:themeShade="BF"/>
      <w:sz w:val="32"/>
      <w:szCs w:val="32"/>
    </w:rPr>
  </w:style>
  <w:style w:type="character" w:customStyle="1" w:styleId="Heading2Char">
    <w:name w:val="Heading 2 Char"/>
    <w:basedOn w:val="DefaultParagraphFont"/>
    <w:link w:val="Heading2"/>
    <w:uiPriority w:val="9"/>
    <w:rsid w:val="00632B22"/>
    <w:rPr>
      <w:rFonts w:asciiTheme="majorHAnsi" w:eastAsiaTheme="majorEastAsia" w:hAnsiTheme="majorHAnsi" w:cstheme="majorBidi"/>
      <w:b/>
      <w:color w:val="7B881D" w:themeColor="accent1" w:themeShade="BF"/>
      <w:sz w:val="26"/>
      <w:szCs w:val="26"/>
    </w:rPr>
  </w:style>
  <w:style w:type="paragraph" w:customStyle="1" w:styleId="Body">
    <w:name w:val="Body"/>
    <w:basedOn w:val="Normal"/>
    <w:link w:val="BodyChar"/>
    <w:qFormat/>
    <w:rsid w:val="007A12CF"/>
    <w:pPr>
      <w:numPr>
        <w:numId w:val="7"/>
      </w:numPr>
    </w:pPr>
    <w:rPr>
      <w:rFonts w:ascii="Times New Roman" w:hAnsi="Times New Roman"/>
      <w:sz w:val="24"/>
      <w:szCs w:val="24"/>
    </w:rPr>
  </w:style>
  <w:style w:type="paragraph" w:customStyle="1" w:styleId="Footnote">
    <w:name w:val="Footnote"/>
    <w:basedOn w:val="FootnoteText"/>
    <w:link w:val="FootnoteChar"/>
    <w:qFormat/>
    <w:rsid w:val="00632B22"/>
    <w:rPr>
      <w:rFonts w:ascii="Times New Roman" w:hAnsi="Times New Roman"/>
    </w:rPr>
  </w:style>
  <w:style w:type="character" w:customStyle="1" w:styleId="BodyChar">
    <w:name w:val="Body Char"/>
    <w:basedOn w:val="DefaultParagraphFont"/>
    <w:link w:val="Body"/>
    <w:rsid w:val="007A12CF"/>
    <w:rPr>
      <w:rFonts w:ascii="Times New Roman" w:hAnsi="Times New Roman"/>
      <w:sz w:val="24"/>
      <w:szCs w:val="24"/>
    </w:rPr>
  </w:style>
  <w:style w:type="character" w:styleId="Hyperlink">
    <w:name w:val="Hyperlink"/>
    <w:basedOn w:val="DefaultParagraphFont"/>
    <w:uiPriority w:val="99"/>
    <w:unhideWhenUsed/>
    <w:rsid w:val="005801A5"/>
    <w:rPr>
      <w:color w:val="F59E00" w:themeColor="hyperlink"/>
      <w:u w:val="single"/>
    </w:rPr>
  </w:style>
  <w:style w:type="character" w:customStyle="1" w:styleId="FootnoteChar">
    <w:name w:val="Footnote Char"/>
    <w:basedOn w:val="FootnoteTextChar"/>
    <w:link w:val="Footnote"/>
    <w:rsid w:val="00632B22"/>
    <w:rPr>
      <w:rFonts w:ascii="Times New Roman" w:hAnsi="Times New Roman"/>
      <w:sz w:val="20"/>
      <w:szCs w:val="20"/>
    </w:rPr>
  </w:style>
  <w:style w:type="character" w:styleId="UnresolvedMention">
    <w:name w:val="Unresolved Mention"/>
    <w:basedOn w:val="DefaultParagraphFont"/>
    <w:uiPriority w:val="99"/>
    <w:semiHidden/>
    <w:unhideWhenUsed/>
    <w:rsid w:val="005801A5"/>
    <w:rPr>
      <w:color w:val="605E5C"/>
      <w:shd w:val="clear" w:color="auto" w:fill="E1DFDD"/>
    </w:rPr>
  </w:style>
  <w:style w:type="paragraph" w:styleId="TOCHeading">
    <w:name w:val="TOC Heading"/>
    <w:basedOn w:val="Heading1"/>
    <w:next w:val="Normal"/>
    <w:uiPriority w:val="39"/>
    <w:unhideWhenUsed/>
    <w:qFormat/>
    <w:rsid w:val="00AA58E0"/>
    <w:pPr>
      <w:jc w:val="left"/>
      <w:outlineLvl w:val="9"/>
    </w:pPr>
    <w:rPr>
      <w:rFonts w:asciiTheme="majorHAnsi" w:hAnsiTheme="majorHAnsi"/>
      <w:lang w:val="en-US"/>
    </w:rPr>
  </w:style>
  <w:style w:type="paragraph" w:styleId="TOC1">
    <w:name w:val="toc 1"/>
    <w:basedOn w:val="Normal"/>
    <w:next w:val="Normal"/>
    <w:autoRedefine/>
    <w:uiPriority w:val="39"/>
    <w:unhideWhenUsed/>
    <w:rsid w:val="00AA58E0"/>
    <w:pPr>
      <w:spacing w:after="100"/>
    </w:pPr>
  </w:style>
  <w:style w:type="paragraph" w:styleId="TOC2">
    <w:name w:val="toc 2"/>
    <w:basedOn w:val="Normal"/>
    <w:next w:val="Normal"/>
    <w:autoRedefine/>
    <w:uiPriority w:val="39"/>
    <w:unhideWhenUsed/>
    <w:rsid w:val="00AA58E0"/>
    <w:pPr>
      <w:spacing w:after="100"/>
      <w:ind w:left="220"/>
    </w:pPr>
  </w:style>
  <w:style w:type="paragraph" w:customStyle="1" w:styleId="Default">
    <w:name w:val="Default"/>
    <w:rsid w:val="00E06F78"/>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Emphasis">
    <w:name w:val="Emphasis"/>
    <w:basedOn w:val="DefaultParagraphFont"/>
    <w:uiPriority w:val="20"/>
    <w:qFormat/>
    <w:rsid w:val="0098306F"/>
    <w:rPr>
      <w:i/>
      <w:iCs/>
    </w:rPr>
  </w:style>
  <w:style w:type="paragraph" w:styleId="Title">
    <w:name w:val="Title"/>
    <w:basedOn w:val="Normal"/>
    <w:next w:val="Normal"/>
    <w:link w:val="TitleChar"/>
    <w:uiPriority w:val="10"/>
    <w:qFormat/>
    <w:rsid w:val="004C748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483"/>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D71DA0"/>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942214">
      <w:bodyDiv w:val="1"/>
      <w:marLeft w:val="0"/>
      <w:marRight w:val="0"/>
      <w:marTop w:val="0"/>
      <w:marBottom w:val="0"/>
      <w:divBdr>
        <w:top w:val="none" w:sz="0" w:space="0" w:color="auto"/>
        <w:left w:val="none" w:sz="0" w:space="0" w:color="auto"/>
        <w:bottom w:val="none" w:sz="0" w:space="0" w:color="auto"/>
        <w:right w:val="none" w:sz="0" w:space="0" w:color="auto"/>
      </w:divBdr>
    </w:div>
    <w:div w:id="398601204">
      <w:bodyDiv w:val="1"/>
      <w:marLeft w:val="0"/>
      <w:marRight w:val="0"/>
      <w:marTop w:val="0"/>
      <w:marBottom w:val="0"/>
      <w:divBdr>
        <w:top w:val="none" w:sz="0" w:space="0" w:color="auto"/>
        <w:left w:val="none" w:sz="0" w:space="0" w:color="auto"/>
        <w:bottom w:val="none" w:sz="0" w:space="0" w:color="auto"/>
        <w:right w:val="none" w:sz="0" w:space="0" w:color="auto"/>
      </w:divBdr>
    </w:div>
    <w:div w:id="1255092347">
      <w:bodyDiv w:val="1"/>
      <w:marLeft w:val="0"/>
      <w:marRight w:val="0"/>
      <w:marTop w:val="0"/>
      <w:marBottom w:val="0"/>
      <w:divBdr>
        <w:top w:val="none" w:sz="0" w:space="0" w:color="auto"/>
        <w:left w:val="none" w:sz="0" w:space="0" w:color="auto"/>
        <w:bottom w:val="none" w:sz="0" w:space="0" w:color="auto"/>
        <w:right w:val="none" w:sz="0" w:space="0" w:color="auto"/>
      </w:divBdr>
    </w:div>
    <w:div w:id="1822037407">
      <w:bodyDiv w:val="1"/>
      <w:marLeft w:val="0"/>
      <w:marRight w:val="0"/>
      <w:marTop w:val="0"/>
      <w:marBottom w:val="0"/>
      <w:divBdr>
        <w:top w:val="none" w:sz="0" w:space="0" w:color="auto"/>
        <w:left w:val="none" w:sz="0" w:space="0" w:color="auto"/>
        <w:bottom w:val="none" w:sz="0" w:space="0" w:color="auto"/>
        <w:right w:val="none" w:sz="0" w:space="0" w:color="auto"/>
      </w:divBdr>
    </w:div>
    <w:div w:id="1991589242">
      <w:bodyDiv w:val="1"/>
      <w:marLeft w:val="0"/>
      <w:marRight w:val="0"/>
      <w:marTop w:val="0"/>
      <w:marBottom w:val="0"/>
      <w:divBdr>
        <w:top w:val="none" w:sz="0" w:space="0" w:color="auto"/>
        <w:left w:val="none" w:sz="0" w:space="0" w:color="auto"/>
        <w:bottom w:val="none" w:sz="0" w:space="0" w:color="auto"/>
        <w:right w:val="none" w:sz="0" w:space="0" w:color="auto"/>
      </w:divBdr>
    </w:div>
    <w:div w:id="207731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acebook.com/GIC4J"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gicj.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icj.org" TargetMode="External"/><Relationship Id="rId4" Type="http://schemas.openxmlformats.org/officeDocument/2006/relationships/settings" Target="settings.xml"/><Relationship Id="rId9" Type="http://schemas.openxmlformats.org/officeDocument/2006/relationships/hyperlink" Target="http://www.gicj.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un.org/unispal/document/auto-insert-177019/" TargetMode="External"/><Relationship Id="rId13" Type="http://schemas.openxmlformats.org/officeDocument/2006/relationships/hyperlink" Target="https://www.ochaopt.org/poc/1-14-october-2019" TargetMode="External"/><Relationship Id="rId3" Type="http://schemas.openxmlformats.org/officeDocument/2006/relationships/hyperlink" Target="https://www.jewishvirtuallibrary.org/the-status-of-arabs-in-israel" TargetMode="External"/><Relationship Id="rId7" Type="http://schemas.openxmlformats.org/officeDocument/2006/relationships/hyperlink" Target="https://www.lemonde.fr/international/article/2019/10/23/israel-l-ancien-chef-de-l-armee-benny-gantz-charge-de-former-un-gouvernement_6016666_3210.html" TargetMode="External"/><Relationship Id="rId12" Type="http://schemas.openxmlformats.org/officeDocument/2006/relationships/hyperlink" Target="https://www.mfa.gov.il/mfa/foreignpolicy/peace/humanitarian/pages/lists_controlled_entry_items_4-jul-2010.aspx" TargetMode="External"/><Relationship Id="rId2" Type="http://schemas.openxmlformats.org/officeDocument/2006/relationships/hyperlink" Target="https://www.un.org/press/en/2016/sc12657.doc.htm" TargetMode="External"/><Relationship Id="rId1" Type="http://schemas.openxmlformats.org/officeDocument/2006/relationships/hyperlink" Target="https://ssrn.com/abstract=3351753" TargetMode="External"/><Relationship Id="rId6" Type="http://schemas.openxmlformats.org/officeDocument/2006/relationships/hyperlink" Target="https://7amleh.org/2019/03/11/the-index-of-racism-and-incitement-in-israeli-social-media-2018-an-inciting-post-against-palestinians-every-66-seconds/" TargetMode="External"/><Relationship Id="rId11" Type="http://schemas.openxmlformats.org/officeDocument/2006/relationships/hyperlink" Target="https://www.dci-palestine.org/issues_military_detention" TargetMode="External"/><Relationship Id="rId5" Type="http://schemas.openxmlformats.org/officeDocument/2006/relationships/hyperlink" Target="https://www.gov.il/he/departments/policies/2007_des2579" TargetMode="External"/><Relationship Id="rId10" Type="http://schemas.openxmlformats.org/officeDocument/2006/relationships/hyperlink" Target="https://www.jewishvirtuallibrary.org/interim-agreement-on-the-west-bank-and-the-gaza-strip-oslo-ii" TargetMode="External"/><Relationship Id="rId4" Type="http://schemas.openxmlformats.org/officeDocument/2006/relationships/hyperlink" Target="https://www.adalah.org/en/law/view/508" TargetMode="External"/><Relationship Id="rId9" Type="http://schemas.openxmlformats.org/officeDocument/2006/relationships/hyperlink" Target="https://www.aljazeera.com/news/2018/07/ways-israeli-law-discriminates-palestinians-180719120357886.html" TargetMode="Externa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222AA8-6CFA-457B-8E60-85A51DBF507F}">
  <ds:schemaRefs>
    <ds:schemaRef ds:uri="http://schemas.openxmlformats.org/officeDocument/2006/bibliography"/>
  </ds:schemaRefs>
</ds:datastoreItem>
</file>

<file path=customXml/itemProps2.xml><?xml version="1.0" encoding="utf-8"?>
<ds:datastoreItem xmlns:ds="http://schemas.openxmlformats.org/officeDocument/2006/customXml" ds:itemID="{C466DE5E-37FB-4F3D-BDF4-949E422582D4}"/>
</file>

<file path=customXml/itemProps3.xml><?xml version="1.0" encoding="utf-8"?>
<ds:datastoreItem xmlns:ds="http://schemas.openxmlformats.org/officeDocument/2006/customXml" ds:itemID="{D5ED6FE2-7F67-49D4-B179-DE1EC2C505B1}"/>
</file>

<file path=customXml/itemProps4.xml><?xml version="1.0" encoding="utf-8"?>
<ds:datastoreItem xmlns:ds="http://schemas.openxmlformats.org/officeDocument/2006/customXml" ds:itemID="{BFF140EB-3A44-4804-AB35-1AAD8AF67E4F}"/>
</file>

<file path=docProps/app.xml><?xml version="1.0" encoding="utf-8"?>
<Properties xmlns="http://schemas.openxmlformats.org/officeDocument/2006/extended-properties" xmlns:vt="http://schemas.openxmlformats.org/officeDocument/2006/docPropsVTypes">
  <Template>Normal</Template>
  <TotalTime>0</TotalTime>
  <Pages>1</Pages>
  <Words>3232</Words>
  <Characters>18429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GICJ</dc:creator>
  <cp:keywords/>
  <dc:description/>
  <cp:lastModifiedBy>GI CJ</cp:lastModifiedBy>
  <cp:revision>27</cp:revision>
  <cp:lastPrinted>2019-10-30T09:23:00Z</cp:lastPrinted>
  <dcterms:created xsi:type="dcterms:W3CDTF">2019-10-29T14:46:00Z</dcterms:created>
  <dcterms:modified xsi:type="dcterms:W3CDTF">2019-10-30T09:23:00Z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