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7291D" w14:textId="7F4E3024" w:rsidR="0049174B" w:rsidRPr="001F3A56" w:rsidRDefault="001C7043" w:rsidP="001C7043">
      <w:pPr>
        <w:jc w:val="center"/>
        <w:rPr>
          <w:rFonts w:ascii="Times New Roman" w:hAnsi="Times New Roman" w:cs="Times New Roman"/>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3A56">
        <w:rPr>
          <w:rFonts w:ascii="Times New Roman" w:hAnsi="Times New Roman" w:cs="Times New Roman"/>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Maat for Peace’ </w:t>
      </w:r>
      <w:r w:rsidR="0049174B" w:rsidRPr="001F3A56">
        <w:rPr>
          <w:rFonts w:ascii="Times New Roman" w:hAnsi="Times New Roman" w:cs="Times New Roman"/>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Report </w:t>
      </w:r>
      <w:r w:rsidRPr="001F3A56">
        <w:rPr>
          <w:rFonts w:ascii="Times New Roman" w:hAnsi="Times New Roman" w:cs="Times New Roman"/>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49174B" w:rsidRPr="001F3A56">
        <w:rPr>
          <w:rFonts w:ascii="Times New Roman" w:hAnsi="Times New Roman" w:cs="Times New Roman"/>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ubmitted</w:t>
      </w:r>
      <w:r w:rsidRPr="001F3A56">
        <w:rPr>
          <w:rFonts w:ascii="Times New Roman" w:hAnsi="Times New Roman" w:cs="Times New Roman"/>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w:t>
      </w:r>
      <w:r w:rsidR="0049174B" w:rsidRPr="001F3A56">
        <w:rPr>
          <w:rFonts w:ascii="Times New Roman" w:hAnsi="Times New Roman" w:cs="Times New Roman"/>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 the Committee on the Elimination of Discrimination Against Women</w:t>
      </w:r>
      <w:r w:rsidRPr="001F3A56">
        <w:rPr>
          <w:rFonts w:ascii="Times New Roman" w:hAnsi="Times New Roman" w:cs="Times New Roman"/>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w:t>
      </w:r>
      <w:r w:rsidR="0049174B" w:rsidRPr="001F3A56">
        <w:rPr>
          <w:rFonts w:ascii="Times New Roman" w:hAnsi="Times New Roman" w:cs="Times New Roman"/>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egarding </w:t>
      </w:r>
      <w:r w:rsidR="0049174B" w:rsidRPr="001F3A56">
        <w:rPr>
          <w:rFonts w:ascii="Times New Roman" w:hAnsi="Times New Roman" w:cs="Times New Roman"/>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Kingdom of the Netherlands</w:t>
      </w:r>
    </w:p>
    <w:p w14:paraId="2B1EEB51" w14:textId="7141823E" w:rsidR="001C7043" w:rsidRPr="001F3A56" w:rsidRDefault="001C7043" w:rsidP="001F3A56">
      <w:pPr>
        <w:pBdr>
          <w:bottom w:val="single" w:sz="18" w:space="1" w:color="auto"/>
        </w:pBdr>
        <w:jc w:val="center"/>
        <w:rPr>
          <w:rFonts w:ascii="Times New Roman" w:hAnsi="Times New Roman" w:cs="Times New Roman"/>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3A56">
        <w:rPr>
          <w:rFonts w:ascii="Times New Roman" w:hAnsi="Times New Roman" w:cs="Times New Roman"/>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January 2026</w:t>
      </w:r>
    </w:p>
    <w:p w14:paraId="0D70FF07" w14:textId="77777777" w:rsidR="0049174B" w:rsidRPr="00B41F51" w:rsidRDefault="0049174B" w:rsidP="0049174B">
      <w:pPr>
        <w:jc w:val="both"/>
        <w:rPr>
          <w:rFonts w:ascii="Times New Roman" w:hAnsi="Times New Roman" w:cs="Times New Roman"/>
        </w:rPr>
      </w:pPr>
      <w:r w:rsidRPr="00AB1191">
        <w:rPr>
          <w:rFonts w:ascii="Times New Roman" w:hAnsi="Times New Roman" w:cs="Times New Roman"/>
        </w:rPr>
        <w:t>Maat</w:t>
      </w:r>
      <w:r w:rsidRPr="00B41F51">
        <w:rPr>
          <w:rFonts w:ascii="Times New Roman" w:hAnsi="Times New Roman" w:cs="Times New Roman"/>
        </w:rPr>
        <w:t xml:space="preserve"> for Peace, Development, and Human Rights, referred to in this report as "</w:t>
      </w:r>
      <w:r w:rsidRPr="00AB1191">
        <w:rPr>
          <w:rFonts w:ascii="Times New Roman" w:hAnsi="Times New Roman" w:cs="Times New Roman"/>
        </w:rPr>
        <w:t>Maat</w:t>
      </w:r>
      <w:r w:rsidRPr="00B41F51">
        <w:rPr>
          <w:rFonts w:ascii="Times New Roman" w:hAnsi="Times New Roman" w:cs="Times New Roman"/>
        </w:rPr>
        <w:t xml:space="preserve">," submits this report to the </w:t>
      </w:r>
      <w:bookmarkStart w:id="0" w:name="OLE_LINK4"/>
      <w:r w:rsidRPr="00B41F51">
        <w:rPr>
          <w:rFonts w:ascii="Times New Roman" w:hAnsi="Times New Roman" w:cs="Times New Roman"/>
        </w:rPr>
        <w:t>Committee on the Elimination of Discrimination Against Women</w:t>
      </w:r>
      <w:bookmarkEnd w:id="0"/>
      <w:r w:rsidRPr="00B41F51">
        <w:rPr>
          <w:rFonts w:ascii="Times New Roman" w:hAnsi="Times New Roman" w:cs="Times New Roman"/>
        </w:rPr>
        <w:t>, referred to in this report as the "Committee," as part of the follow-up on the compliance of the Kingdom of the Netherlands with the provisions of the Convention on the Elimination of All Forms of Discrimination Against Women</w:t>
      </w:r>
      <w:r w:rsidRPr="00AB1191">
        <w:rPr>
          <w:rFonts w:ascii="Times New Roman" w:hAnsi="Times New Roman" w:cs="Times New Roman"/>
        </w:rPr>
        <w:t xml:space="preserve"> (</w:t>
      </w:r>
      <w:bookmarkStart w:id="1" w:name="OLE_LINK6"/>
      <w:r w:rsidRPr="00AB1191">
        <w:rPr>
          <w:rFonts w:ascii="Times New Roman" w:hAnsi="Times New Roman" w:cs="Times New Roman"/>
        </w:rPr>
        <w:t>CEDAW</w:t>
      </w:r>
      <w:bookmarkEnd w:id="1"/>
      <w:r w:rsidRPr="00AB1191">
        <w:rPr>
          <w:rFonts w:ascii="Times New Roman" w:hAnsi="Times New Roman" w:cs="Times New Roman"/>
        </w:rPr>
        <w:t>)</w:t>
      </w:r>
      <w:r w:rsidRPr="00B41F51">
        <w:rPr>
          <w:rFonts w:ascii="Times New Roman" w:hAnsi="Times New Roman" w:cs="Times New Roman"/>
        </w:rPr>
        <w:t xml:space="preserve">. </w:t>
      </w:r>
      <w:r w:rsidRPr="00AB1191">
        <w:rPr>
          <w:rFonts w:ascii="Times New Roman" w:hAnsi="Times New Roman" w:cs="Times New Roman"/>
        </w:rPr>
        <w:t>Maat</w:t>
      </w:r>
      <w:r w:rsidRPr="00B41F51">
        <w:rPr>
          <w:rFonts w:ascii="Times New Roman" w:hAnsi="Times New Roman" w:cs="Times New Roman"/>
        </w:rPr>
        <w:t xml:space="preserve"> aims, through this report, to assess the implementation of a range of articles included in the </w:t>
      </w:r>
      <w:r w:rsidRPr="00AB1191">
        <w:rPr>
          <w:rFonts w:ascii="Times New Roman" w:hAnsi="Times New Roman" w:cs="Times New Roman"/>
        </w:rPr>
        <w:t>CEDAW</w:t>
      </w:r>
      <w:r w:rsidRPr="00B41F51">
        <w:rPr>
          <w:rFonts w:ascii="Times New Roman" w:hAnsi="Times New Roman" w:cs="Times New Roman"/>
        </w:rPr>
        <w:t xml:space="preserve">, particularly those related to the legislative framework, trafficking in women, political participation, and the right to work. The report concludes with a set of recommendations. </w:t>
      </w:r>
      <w:r w:rsidRPr="00AB1191">
        <w:rPr>
          <w:rFonts w:ascii="Times New Roman" w:hAnsi="Times New Roman" w:cs="Times New Roman"/>
        </w:rPr>
        <w:t>Maat</w:t>
      </w:r>
      <w:r w:rsidRPr="00B41F51">
        <w:rPr>
          <w:rFonts w:ascii="Times New Roman" w:hAnsi="Times New Roman" w:cs="Times New Roman"/>
        </w:rPr>
        <w:t xml:space="preserve"> hopes that the information contained in this report will enrich the </w:t>
      </w:r>
      <w:r w:rsidRPr="00AB1191">
        <w:rPr>
          <w:rFonts w:ascii="Times New Roman" w:hAnsi="Times New Roman" w:cs="Times New Roman"/>
        </w:rPr>
        <w:t>Committee's review of the Netherlands</w:t>
      </w:r>
      <w:r w:rsidRPr="00B41F51">
        <w:rPr>
          <w:rFonts w:ascii="Times New Roman" w:hAnsi="Times New Roman" w:cs="Times New Roman"/>
        </w:rPr>
        <w:t>.</w:t>
      </w:r>
      <w:r w:rsidRPr="00AB1191">
        <w:rPr>
          <w:rFonts w:ascii="Times New Roman" w:hAnsi="Times New Roman" w:cs="Times New Roman"/>
        </w:rPr>
        <w:t xml:space="preserve"> </w:t>
      </w:r>
    </w:p>
    <w:p w14:paraId="42F45994" w14:textId="77777777" w:rsidR="0049174B" w:rsidRPr="001F3A56" w:rsidRDefault="0049174B" w:rsidP="001F3A56">
      <w:pPr>
        <w:jc w:val="both"/>
        <w:rPr>
          <w:rFonts w:ascii="Times New Roman" w:hAnsi="Times New Roman" w:cs="Times New Roman"/>
          <w:b/>
          <w:bCs/>
          <w:color w:val="C45911" w:themeColor="accent2" w:themeShade="BF"/>
          <w:sz w:val="28"/>
          <w:szCs w:val="28"/>
        </w:rPr>
      </w:pPr>
      <w:r w:rsidRPr="001F3A56">
        <w:rPr>
          <w:rFonts w:ascii="Times New Roman" w:hAnsi="Times New Roman" w:cs="Times New Roman"/>
          <w:b/>
          <w:bCs/>
          <w:color w:val="C45911" w:themeColor="accent2" w:themeShade="BF"/>
          <w:sz w:val="28"/>
          <w:szCs w:val="28"/>
        </w:rPr>
        <w:t>First: Legislative Measures – Article 2</w:t>
      </w:r>
    </w:p>
    <w:p w14:paraId="331D58C9" w14:textId="77777777" w:rsidR="0049174B" w:rsidRPr="00B41F51" w:rsidRDefault="0049174B" w:rsidP="0049174B">
      <w:pPr>
        <w:jc w:val="both"/>
        <w:rPr>
          <w:rFonts w:ascii="Times New Roman" w:hAnsi="Times New Roman" w:cs="Times New Roman"/>
        </w:rPr>
      </w:pPr>
      <w:r w:rsidRPr="00AB1191">
        <w:rPr>
          <w:rFonts w:ascii="Times New Roman" w:hAnsi="Times New Roman" w:cs="Times New Roman"/>
        </w:rPr>
        <w:t>Maat</w:t>
      </w:r>
      <w:r w:rsidRPr="00B41F51">
        <w:rPr>
          <w:rFonts w:ascii="Times New Roman" w:hAnsi="Times New Roman" w:cs="Times New Roman"/>
        </w:rPr>
        <w:t xml:space="preserve"> notes through its review of the legal frameworks related to women's rights in the Kingdom of the Netherlands that it possesses a strong constitutional and legislative framework for prohibiting discrimination against women, fundamentally based on the principles of equality and non-discrimination. Article 1 of the Dutch Constitution guarantees equality among all persons and expressly prohibits any form of discrimination, including gender-based discrimination. This constitutes a binding constitutional basis for all Dutch public authorities.</w:t>
      </w:r>
      <w:r w:rsidRPr="00AB1191">
        <w:rPr>
          <w:rStyle w:val="FootnoteReference"/>
          <w:rFonts w:ascii="Times New Roman" w:hAnsi="Times New Roman" w:cs="Times New Roman"/>
        </w:rPr>
        <w:footnoteReference w:id="1"/>
      </w:r>
      <w:r w:rsidRPr="00B41F51">
        <w:rPr>
          <w:rFonts w:ascii="Times New Roman" w:hAnsi="Times New Roman" w:cs="Times New Roman"/>
        </w:rPr>
        <w:t xml:space="preserve"> </w:t>
      </w:r>
      <w:r w:rsidRPr="00AB1191">
        <w:rPr>
          <w:rFonts w:ascii="Times New Roman" w:hAnsi="Times New Roman" w:cs="Times New Roman"/>
        </w:rPr>
        <w:t>Several legal legislations reinforce this constitutional framework</w:t>
      </w:r>
      <w:r w:rsidRPr="00B41F51">
        <w:rPr>
          <w:rFonts w:ascii="Times New Roman" w:hAnsi="Times New Roman" w:cs="Times New Roman"/>
        </w:rPr>
        <w:t>, the most notable of which is the Equal Treatment Act, which prohibits direct and indirect discrimination based on gender in multiple areas, including work, employment, education, and service delivery. It provides a legal framework to hold individuals and public and private entities accountable for any discriminatory practices.</w:t>
      </w:r>
      <w:r w:rsidRPr="00AB1191">
        <w:rPr>
          <w:rStyle w:val="FootnoteReference"/>
          <w:rFonts w:ascii="Times New Roman" w:hAnsi="Times New Roman" w:cs="Times New Roman"/>
        </w:rPr>
        <w:footnoteReference w:id="2"/>
      </w:r>
    </w:p>
    <w:p w14:paraId="07E3DE94" w14:textId="77777777" w:rsidR="0049174B" w:rsidRPr="00B41F51" w:rsidRDefault="0049174B" w:rsidP="0049174B">
      <w:pPr>
        <w:jc w:val="both"/>
        <w:rPr>
          <w:rFonts w:ascii="Times New Roman" w:hAnsi="Times New Roman" w:cs="Times New Roman"/>
        </w:rPr>
      </w:pPr>
      <w:r w:rsidRPr="00B41F51">
        <w:rPr>
          <w:rFonts w:ascii="Times New Roman" w:hAnsi="Times New Roman" w:cs="Times New Roman"/>
        </w:rPr>
        <w:t xml:space="preserve">In this context, </w:t>
      </w:r>
      <w:r w:rsidRPr="00AB1191">
        <w:rPr>
          <w:rFonts w:ascii="Times New Roman" w:hAnsi="Times New Roman" w:cs="Times New Roman"/>
        </w:rPr>
        <w:t>Maat</w:t>
      </w:r>
      <w:r w:rsidRPr="00B41F51">
        <w:rPr>
          <w:rFonts w:ascii="Times New Roman" w:hAnsi="Times New Roman" w:cs="Times New Roman"/>
        </w:rPr>
        <w:t xml:space="preserve"> commends the constitutional amendment introduced by the Dutch authorities in January 2023, which included disability as an additional protected ground under non-discrimination provisions. </w:t>
      </w:r>
      <w:r w:rsidRPr="00AB1191">
        <w:rPr>
          <w:rFonts w:ascii="Times New Roman" w:hAnsi="Times New Roman" w:cs="Times New Roman"/>
        </w:rPr>
        <w:t>Maat</w:t>
      </w:r>
      <w:r w:rsidRPr="00B41F51">
        <w:rPr>
          <w:rFonts w:ascii="Times New Roman" w:hAnsi="Times New Roman" w:cs="Times New Roman"/>
        </w:rPr>
        <w:t xml:space="preserve"> views this amendment as a positive step toward enhancing the </w:t>
      </w:r>
      <w:r w:rsidRPr="00B41F51">
        <w:rPr>
          <w:rFonts w:ascii="Times New Roman" w:hAnsi="Times New Roman" w:cs="Times New Roman"/>
        </w:rPr>
        <w:lastRenderedPageBreak/>
        <w:t xml:space="preserve">constitutional framework for prohibiting discrimination and ensuring equality among all groups in Dutch society, especially for women with disabilities. However, </w:t>
      </w:r>
      <w:r w:rsidRPr="00AB1191">
        <w:rPr>
          <w:rFonts w:ascii="Times New Roman" w:hAnsi="Times New Roman" w:cs="Times New Roman"/>
        </w:rPr>
        <w:t>Maat</w:t>
      </w:r>
      <w:r w:rsidRPr="00B41F51">
        <w:rPr>
          <w:rFonts w:ascii="Times New Roman" w:hAnsi="Times New Roman" w:cs="Times New Roman"/>
        </w:rPr>
        <w:t xml:space="preserve"> still has concerns regarding the Dutch legal system, which does not currently allow for judicial review of laws to assess their compatibility with constitutional provisions related to non-discrimination. This limitation restricts the courts' ability to ensure the full and effective application of constitutional rights and protect women from any potential discriminatory practices. There is a pressing need to introduce a mechanism for judicial review, which would enhance the rule of law and activate constitutional protections for various groups, including women.</w:t>
      </w:r>
      <w:r w:rsidRPr="00AB1191">
        <w:rPr>
          <w:rStyle w:val="FootnoteReference"/>
          <w:rFonts w:ascii="Times New Roman" w:hAnsi="Times New Roman" w:cs="Times New Roman"/>
        </w:rPr>
        <w:footnoteReference w:id="3"/>
      </w:r>
    </w:p>
    <w:p w14:paraId="4BDE9926" w14:textId="77777777" w:rsidR="0049174B" w:rsidRPr="00B41F51" w:rsidRDefault="0049174B" w:rsidP="0049174B">
      <w:pPr>
        <w:jc w:val="both"/>
        <w:rPr>
          <w:rFonts w:ascii="Times New Roman" w:hAnsi="Times New Roman" w:cs="Times New Roman"/>
        </w:rPr>
      </w:pPr>
      <w:r w:rsidRPr="00B41F51">
        <w:rPr>
          <w:rFonts w:ascii="Times New Roman" w:hAnsi="Times New Roman" w:cs="Times New Roman"/>
        </w:rPr>
        <w:t xml:space="preserve">In the same context, </w:t>
      </w:r>
      <w:r w:rsidRPr="00AB1191">
        <w:rPr>
          <w:rFonts w:ascii="Times New Roman" w:hAnsi="Times New Roman" w:cs="Times New Roman"/>
        </w:rPr>
        <w:t>Maat</w:t>
      </w:r>
      <w:r w:rsidRPr="00B41F51">
        <w:rPr>
          <w:rFonts w:ascii="Times New Roman" w:hAnsi="Times New Roman" w:cs="Times New Roman"/>
        </w:rPr>
        <w:t xml:space="preserve"> observes that challenges remain regarding the practical application of constitutional and legal frameworks related to prohibiting discrimination against women. Despite the existence of clear texts, as noted earlier, concerning gender equality and the prohibition of discrimination, the gender pay gap between women and men persists in the Dutch labor market. Statistics indicate significant disparities in wages </w:t>
      </w:r>
      <w:proofErr w:type="spellStart"/>
      <w:r w:rsidRPr="00B41F51">
        <w:rPr>
          <w:rFonts w:ascii="Times New Roman" w:hAnsi="Times New Roman" w:cs="Times New Roman"/>
        </w:rPr>
        <w:t>favoring</w:t>
      </w:r>
      <w:proofErr w:type="spellEnd"/>
      <w:r w:rsidRPr="00B41F51">
        <w:rPr>
          <w:rFonts w:ascii="Times New Roman" w:hAnsi="Times New Roman" w:cs="Times New Roman"/>
        </w:rPr>
        <w:t xml:space="preserve"> men, reflecting ongoing economic discrimination that requires deeper attention in implementation and policies.</w:t>
      </w:r>
      <w:r w:rsidRPr="00AB1191">
        <w:rPr>
          <w:rStyle w:val="FootnoteReference"/>
          <w:rFonts w:ascii="Times New Roman" w:hAnsi="Times New Roman" w:cs="Times New Roman"/>
        </w:rPr>
        <w:footnoteReference w:id="4"/>
      </w:r>
    </w:p>
    <w:p w14:paraId="35A6284A" w14:textId="77777777" w:rsidR="0049174B" w:rsidRPr="001F3A56" w:rsidRDefault="0049174B" w:rsidP="0049174B">
      <w:pPr>
        <w:jc w:val="both"/>
        <w:rPr>
          <w:rFonts w:ascii="Times New Roman" w:hAnsi="Times New Roman" w:cs="Times New Roman"/>
          <w:b/>
          <w:bCs/>
          <w:color w:val="C45911" w:themeColor="accent2" w:themeShade="BF"/>
          <w:sz w:val="28"/>
          <w:szCs w:val="28"/>
        </w:rPr>
      </w:pPr>
      <w:r w:rsidRPr="001F3A56">
        <w:rPr>
          <w:rFonts w:ascii="Times New Roman" w:hAnsi="Times New Roman" w:cs="Times New Roman"/>
          <w:b/>
          <w:bCs/>
          <w:color w:val="C45911" w:themeColor="accent2" w:themeShade="BF"/>
          <w:sz w:val="28"/>
          <w:szCs w:val="28"/>
        </w:rPr>
        <w:t>Second: Trafficking in Women – Article 6</w:t>
      </w:r>
    </w:p>
    <w:p w14:paraId="42645E6C" w14:textId="77777777" w:rsidR="0049174B" w:rsidRPr="00B41F51" w:rsidRDefault="0049174B" w:rsidP="0049174B">
      <w:pPr>
        <w:jc w:val="both"/>
        <w:rPr>
          <w:rFonts w:ascii="Times New Roman" w:hAnsi="Times New Roman" w:cs="Times New Roman"/>
        </w:rPr>
      </w:pPr>
      <w:r w:rsidRPr="00B41F51">
        <w:rPr>
          <w:rFonts w:ascii="Times New Roman" w:hAnsi="Times New Roman" w:cs="Times New Roman"/>
        </w:rPr>
        <w:t>The challenges facing the Netherlands in combating human trafficking remain significant, particularly concerning migrant women. Statistics indicate that the number of reported trafficking cases in the Netherlands rose from 868 in 2023 to 944 in 2024, with the belief that the actual figures are much higher than those reported officially. Estimates suggest that there are about 5,000 victims each year who may be exploited by trafficking networks, many of whom are women, indicating that trafficking remains a fundamental problem for the Netherlands.</w:t>
      </w:r>
      <w:r w:rsidRPr="00AB1191">
        <w:rPr>
          <w:rStyle w:val="FootnoteReference"/>
          <w:rFonts w:ascii="Times New Roman" w:hAnsi="Times New Roman" w:cs="Times New Roman"/>
        </w:rPr>
        <w:footnoteReference w:id="5"/>
      </w:r>
    </w:p>
    <w:p w14:paraId="1F873046" w14:textId="77777777" w:rsidR="0049174B" w:rsidRPr="00B41F51" w:rsidRDefault="0049174B" w:rsidP="0049174B">
      <w:pPr>
        <w:jc w:val="both"/>
        <w:rPr>
          <w:rFonts w:ascii="Times New Roman" w:hAnsi="Times New Roman" w:cs="Times New Roman"/>
        </w:rPr>
      </w:pPr>
      <w:r w:rsidRPr="00B41F51">
        <w:rPr>
          <w:rFonts w:ascii="Times New Roman" w:hAnsi="Times New Roman" w:cs="Times New Roman"/>
        </w:rPr>
        <w:t xml:space="preserve">Sexual exploitation is the most common form of human trafficking in the Netherlands. Data from the National Coordination Centre Against Trafficking in Human Beings show that over half of the reported trafficking victims are women, at 57%, and nearly half of these are subjected to sexual exploitation. This includes migrant and foreign women, most of whom come from various </w:t>
      </w:r>
      <w:r w:rsidRPr="00B41F51">
        <w:rPr>
          <w:rFonts w:ascii="Times New Roman" w:hAnsi="Times New Roman" w:cs="Times New Roman"/>
        </w:rPr>
        <w:lastRenderedPageBreak/>
        <w:t>countries before facing exploitation in the Netherlands, highlighting the vulnerability of women, particularly migrants, to the risks of trafficking and sexual exploitation.</w:t>
      </w:r>
      <w:r w:rsidRPr="00AB1191">
        <w:rPr>
          <w:rStyle w:val="FootnoteReference"/>
          <w:rFonts w:ascii="Times New Roman" w:hAnsi="Times New Roman" w:cs="Times New Roman"/>
        </w:rPr>
        <w:footnoteReference w:id="6"/>
      </w:r>
    </w:p>
    <w:p w14:paraId="2053BB82" w14:textId="77777777" w:rsidR="0049174B" w:rsidRPr="00B41F51" w:rsidRDefault="0049174B" w:rsidP="0049174B">
      <w:pPr>
        <w:jc w:val="both"/>
        <w:rPr>
          <w:rFonts w:ascii="Times New Roman" w:hAnsi="Times New Roman" w:cs="Times New Roman"/>
        </w:rPr>
      </w:pPr>
      <w:r w:rsidRPr="00B41F51">
        <w:rPr>
          <w:rFonts w:ascii="Times New Roman" w:hAnsi="Times New Roman" w:cs="Times New Roman"/>
        </w:rPr>
        <w:t xml:space="preserve">In this context, </w:t>
      </w:r>
      <w:r w:rsidRPr="00AB1191">
        <w:rPr>
          <w:rFonts w:ascii="Times New Roman" w:hAnsi="Times New Roman" w:cs="Times New Roman"/>
        </w:rPr>
        <w:t>Maat</w:t>
      </w:r>
      <w:r w:rsidRPr="00B41F51">
        <w:rPr>
          <w:rFonts w:ascii="Times New Roman" w:hAnsi="Times New Roman" w:cs="Times New Roman"/>
        </w:rPr>
        <w:t xml:space="preserve"> observes the ongoing manifestations of sexual exploitation of women in the Netherlands in various ways, including the use of drugs to force victims into sexual acts. In July 2025, Dutch authorities arrested five men in the western province of North Brabant for their long-term sexual exploitation of several women. They made the victims reliant on the </w:t>
      </w:r>
      <w:bookmarkStart w:id="2" w:name="OLE_LINK7"/>
      <w:r w:rsidRPr="00B41F51">
        <w:rPr>
          <w:rFonts w:ascii="Times New Roman" w:hAnsi="Times New Roman" w:cs="Times New Roman"/>
        </w:rPr>
        <w:t>drug Flakka, known as the "zombie drug</w:t>
      </w:r>
      <w:bookmarkEnd w:id="2"/>
      <w:r w:rsidRPr="00B41F51">
        <w:rPr>
          <w:rFonts w:ascii="Times New Roman" w:hAnsi="Times New Roman" w:cs="Times New Roman"/>
        </w:rPr>
        <w:t>," and coerced the women into engaging in sexual acts. Authorities reported that the victims were found under dire conditions and were referred to support organizations for necessary assistance. This type of crime leads to victims losing their self-confidence and becoming entirely dependent on the perpetrators, making it difficult for them to escape without specialized support.</w:t>
      </w:r>
      <w:r w:rsidRPr="00AB1191">
        <w:rPr>
          <w:rStyle w:val="FootnoteReference"/>
          <w:rFonts w:ascii="Times New Roman" w:hAnsi="Times New Roman" w:cs="Times New Roman"/>
        </w:rPr>
        <w:footnoteReference w:id="7"/>
      </w:r>
    </w:p>
    <w:p w14:paraId="474D280B" w14:textId="77777777" w:rsidR="0049174B" w:rsidRPr="00B41F51" w:rsidRDefault="0049174B" w:rsidP="0049174B">
      <w:pPr>
        <w:jc w:val="both"/>
        <w:rPr>
          <w:rFonts w:ascii="Times New Roman" w:hAnsi="Times New Roman" w:cs="Times New Roman"/>
        </w:rPr>
      </w:pPr>
      <w:r w:rsidRPr="00AB1191">
        <w:rPr>
          <w:rFonts w:ascii="Times New Roman" w:hAnsi="Times New Roman" w:cs="Times New Roman"/>
        </w:rPr>
        <w:t>Maat</w:t>
      </w:r>
      <w:r w:rsidRPr="00B41F51">
        <w:rPr>
          <w:rFonts w:ascii="Times New Roman" w:hAnsi="Times New Roman" w:cs="Times New Roman"/>
        </w:rPr>
        <w:t xml:space="preserve"> notes that the increase in the number of recorded victims cannot be solely explained by improvements in procedures or the authorities' detection capabilities. It also reflects the continued criminal </w:t>
      </w:r>
      <w:proofErr w:type="spellStart"/>
      <w:r w:rsidRPr="00B41F51">
        <w:rPr>
          <w:rFonts w:ascii="Times New Roman" w:hAnsi="Times New Roman" w:cs="Times New Roman"/>
        </w:rPr>
        <w:t>behaviors</w:t>
      </w:r>
      <w:proofErr w:type="spellEnd"/>
      <w:r w:rsidRPr="00B41F51">
        <w:rPr>
          <w:rFonts w:ascii="Times New Roman" w:hAnsi="Times New Roman" w:cs="Times New Roman"/>
        </w:rPr>
        <w:t xml:space="preserve"> targeting more vulnerable groups, including women and migrants, in contexts such as sexual exploitation in homes or workplaces characterized by insufficient oversight. It is noted that exploitation through home prostitution or by informal intermediaries is increasing, making it more challenging to identify victims and address their cases, as they do not easily appear in official statistics.</w:t>
      </w:r>
      <w:r w:rsidRPr="00AB1191">
        <w:rPr>
          <w:rStyle w:val="FootnoteReference"/>
          <w:rFonts w:ascii="Times New Roman" w:hAnsi="Times New Roman" w:cs="Times New Roman"/>
        </w:rPr>
        <w:footnoteReference w:id="8"/>
      </w:r>
    </w:p>
    <w:p w14:paraId="76060236" w14:textId="77777777" w:rsidR="0049174B" w:rsidRPr="001F3A56" w:rsidRDefault="0049174B" w:rsidP="001F3A56">
      <w:pPr>
        <w:jc w:val="both"/>
        <w:rPr>
          <w:rFonts w:ascii="Times New Roman" w:hAnsi="Times New Roman" w:cs="Times New Roman"/>
          <w:b/>
          <w:bCs/>
          <w:color w:val="C45911" w:themeColor="accent2" w:themeShade="BF"/>
          <w:sz w:val="28"/>
          <w:szCs w:val="28"/>
        </w:rPr>
      </w:pPr>
      <w:r w:rsidRPr="001F3A56">
        <w:rPr>
          <w:rFonts w:ascii="Times New Roman" w:hAnsi="Times New Roman" w:cs="Times New Roman"/>
          <w:b/>
          <w:bCs/>
          <w:color w:val="C45911" w:themeColor="accent2" w:themeShade="BF"/>
          <w:sz w:val="28"/>
          <w:szCs w:val="28"/>
        </w:rPr>
        <w:t>Third: Political Participation – Article 7</w:t>
      </w:r>
    </w:p>
    <w:p w14:paraId="5F8FD81D" w14:textId="77777777" w:rsidR="0049174B" w:rsidRPr="00B41F51" w:rsidRDefault="0049174B" w:rsidP="0049174B">
      <w:pPr>
        <w:jc w:val="both"/>
        <w:rPr>
          <w:rFonts w:ascii="Times New Roman" w:hAnsi="Times New Roman" w:cs="Times New Roman"/>
        </w:rPr>
      </w:pPr>
      <w:r w:rsidRPr="00AB1191">
        <w:rPr>
          <w:rFonts w:ascii="Times New Roman" w:hAnsi="Times New Roman" w:cs="Times New Roman"/>
        </w:rPr>
        <w:t>Maat</w:t>
      </w:r>
      <w:r w:rsidRPr="00B41F51">
        <w:rPr>
          <w:rFonts w:ascii="Times New Roman" w:hAnsi="Times New Roman" w:cs="Times New Roman"/>
        </w:rPr>
        <w:t xml:space="preserve"> observes that the Kingdom of the Netherlands has made relatively good progress in women's participation in political life in recent years. The results of the Dutch parliamentary elections on 29 October 2025 indicate that women constituted 43.3% of the members of the House of Representatives, the highest level achieved historically in the Dutch Parliament since women first participated in elections in 1918, with 65 women elected out of 150 members. </w:t>
      </w:r>
      <w:r w:rsidRPr="00AB1191">
        <w:rPr>
          <w:rFonts w:ascii="Times New Roman" w:hAnsi="Times New Roman" w:cs="Times New Roman"/>
        </w:rPr>
        <w:t>Maat</w:t>
      </w:r>
      <w:r w:rsidRPr="00B41F51">
        <w:rPr>
          <w:rFonts w:ascii="Times New Roman" w:hAnsi="Times New Roman" w:cs="Times New Roman"/>
        </w:rPr>
        <w:t xml:space="preserve"> considers this a positive indicator of improvement in female representation compared to previous years, placing the Netherlands among the countries with relatively high rates of parliamentary representation for </w:t>
      </w:r>
      <w:r w:rsidRPr="00B41F51">
        <w:rPr>
          <w:rFonts w:ascii="Times New Roman" w:hAnsi="Times New Roman" w:cs="Times New Roman"/>
        </w:rPr>
        <w:lastRenderedPageBreak/>
        <w:t>women in Europe.</w:t>
      </w:r>
      <w:r w:rsidRPr="00AB1191">
        <w:rPr>
          <w:rStyle w:val="FootnoteReference"/>
          <w:rFonts w:ascii="Times New Roman" w:hAnsi="Times New Roman" w:cs="Times New Roman"/>
        </w:rPr>
        <w:footnoteReference w:id="9"/>
      </w:r>
      <w:r w:rsidRPr="00AB1191">
        <w:rPr>
          <w:rFonts w:ascii="Times New Roman" w:hAnsi="Times New Roman" w:cs="Times New Roman"/>
        </w:rPr>
        <w:t xml:space="preserve"> </w:t>
      </w:r>
      <w:r w:rsidRPr="00B41F51">
        <w:rPr>
          <w:rFonts w:ascii="Times New Roman" w:hAnsi="Times New Roman" w:cs="Times New Roman"/>
        </w:rPr>
        <w:t>Moreover, women have also been notably represented in the Senate, making up about 40% of its seats, reflecting ongoing female presence at higher levels of the legislative structure.</w:t>
      </w:r>
      <w:r w:rsidRPr="00AB1191">
        <w:rPr>
          <w:rStyle w:val="FootnoteReference"/>
          <w:rFonts w:ascii="Times New Roman" w:hAnsi="Times New Roman" w:cs="Times New Roman"/>
        </w:rPr>
        <w:footnoteReference w:id="10"/>
      </w:r>
    </w:p>
    <w:p w14:paraId="2C62AC2D" w14:textId="77777777" w:rsidR="0049174B" w:rsidRPr="00B41F51" w:rsidRDefault="0049174B" w:rsidP="0049174B">
      <w:pPr>
        <w:jc w:val="both"/>
        <w:rPr>
          <w:rFonts w:ascii="Times New Roman" w:hAnsi="Times New Roman" w:cs="Times New Roman"/>
        </w:rPr>
      </w:pPr>
      <w:r w:rsidRPr="00B41F51">
        <w:rPr>
          <w:rFonts w:ascii="Times New Roman" w:hAnsi="Times New Roman" w:cs="Times New Roman"/>
        </w:rPr>
        <w:t xml:space="preserve">Despite these positive results, a recent report published in September 2025 indicates that the Netherlands still faces challenges in achieving equality in political participation regarding influence in decision-making, representation in high-level governmental and non-governmental leadership positions, as well as the participation of women from migrant backgrounds and women belonging to minorities in decision-making </w:t>
      </w:r>
      <w:proofErr w:type="spellStart"/>
      <w:r w:rsidRPr="00B41F51">
        <w:rPr>
          <w:rFonts w:ascii="Times New Roman" w:hAnsi="Times New Roman" w:cs="Times New Roman"/>
        </w:rPr>
        <w:t>centers</w:t>
      </w:r>
      <w:proofErr w:type="spellEnd"/>
      <w:r w:rsidRPr="00B41F51">
        <w:rPr>
          <w:rFonts w:ascii="Times New Roman" w:hAnsi="Times New Roman" w:cs="Times New Roman"/>
        </w:rPr>
        <w:t>.</w:t>
      </w:r>
      <w:r w:rsidRPr="00AB1191">
        <w:rPr>
          <w:rStyle w:val="FootnoteReference"/>
          <w:rFonts w:ascii="Times New Roman" w:hAnsi="Times New Roman" w:cs="Times New Roman"/>
        </w:rPr>
        <w:footnoteReference w:id="11"/>
      </w:r>
    </w:p>
    <w:p w14:paraId="6073F371" w14:textId="387E6BCC" w:rsidR="0049174B" w:rsidRPr="00B41F51" w:rsidRDefault="0049174B" w:rsidP="0049174B">
      <w:pPr>
        <w:jc w:val="both"/>
        <w:rPr>
          <w:rFonts w:ascii="Times New Roman" w:hAnsi="Times New Roman" w:cs="Times New Roman"/>
        </w:rPr>
      </w:pPr>
      <w:r w:rsidRPr="00B41F51">
        <w:rPr>
          <w:rFonts w:ascii="Times New Roman" w:hAnsi="Times New Roman" w:cs="Times New Roman"/>
        </w:rPr>
        <w:t xml:space="preserve">In contrast, </w:t>
      </w:r>
      <w:r w:rsidRPr="00AB1191">
        <w:rPr>
          <w:rFonts w:ascii="Times New Roman" w:hAnsi="Times New Roman" w:cs="Times New Roman"/>
        </w:rPr>
        <w:t>Maat</w:t>
      </w:r>
      <w:r w:rsidRPr="00B41F51">
        <w:rPr>
          <w:rFonts w:ascii="Times New Roman" w:hAnsi="Times New Roman" w:cs="Times New Roman"/>
        </w:rPr>
        <w:t xml:space="preserve"> notes that numerical representation alone is insufficient to ensure effective and influential political participation for women and does not necessarily reflect a sustainable improvement in women's political empowerment. The Global Gender Gap Report by the World Economic Forum indicates a notable decline in the status of the Netherlands in 2025, with its ranking dropping by 15 places to 43</w:t>
      </w:r>
      <w:r w:rsidRPr="00691A99">
        <w:rPr>
          <w:rFonts w:ascii="Times New Roman" w:hAnsi="Times New Roman" w:cs="Times New Roman"/>
          <w:vertAlign w:val="superscript"/>
        </w:rPr>
        <w:t>rd</w:t>
      </w:r>
      <w:r w:rsidRPr="00B41F51">
        <w:rPr>
          <w:rFonts w:ascii="Times New Roman" w:hAnsi="Times New Roman" w:cs="Times New Roman"/>
        </w:rPr>
        <w:t xml:space="preserve"> out of 148 countries. The gender gap has widened, closing at 77.5% in 2024 and decreasing to 75.6% in 2025. Particularly concerning is the significant decline in the political empowerment index, with women's representation in political spheres diminishing. The percentage for closing the political gap fell from 44.3% to 36.6%, leading to a decline in the Netherlands' ranking in this index from 23rd to 33rd globally. </w:t>
      </w:r>
      <w:r w:rsidRPr="00AB1191">
        <w:rPr>
          <w:rFonts w:ascii="Times New Roman" w:hAnsi="Times New Roman" w:cs="Times New Roman"/>
        </w:rPr>
        <w:t>Maat</w:t>
      </w:r>
      <w:r w:rsidRPr="00B41F51">
        <w:rPr>
          <w:rFonts w:ascii="Times New Roman" w:hAnsi="Times New Roman" w:cs="Times New Roman"/>
        </w:rPr>
        <w:t xml:space="preserve"> believes that these indicators reflect significant challenges affecting women's actual political participation and highlight the need for more effective policies that do not solely focus on numerical representation but aim to enhance women's influence in decision-making positions and ensure the sustainability of political participation gains.</w:t>
      </w:r>
      <w:r w:rsidRPr="00AB1191">
        <w:rPr>
          <w:rStyle w:val="FootnoteReference"/>
          <w:rFonts w:ascii="Times New Roman" w:hAnsi="Times New Roman" w:cs="Times New Roman"/>
        </w:rPr>
        <w:footnoteReference w:id="12"/>
      </w:r>
    </w:p>
    <w:p w14:paraId="5B4F1FA0" w14:textId="77777777" w:rsidR="0049174B" w:rsidRPr="00B41F51" w:rsidRDefault="0049174B" w:rsidP="0049174B">
      <w:pPr>
        <w:jc w:val="both"/>
        <w:rPr>
          <w:rFonts w:ascii="Times New Roman" w:hAnsi="Times New Roman" w:cs="Times New Roman"/>
        </w:rPr>
      </w:pPr>
      <w:r w:rsidRPr="00AB1191">
        <w:rPr>
          <w:rFonts w:ascii="Times New Roman" w:hAnsi="Times New Roman" w:cs="Times New Roman"/>
        </w:rPr>
        <w:t>Maat</w:t>
      </w:r>
      <w:r w:rsidRPr="00B41F51">
        <w:rPr>
          <w:rFonts w:ascii="Times New Roman" w:hAnsi="Times New Roman" w:cs="Times New Roman"/>
        </w:rPr>
        <w:t xml:space="preserve"> stresses that the challenges hindering effective political participation for women are no longer confined to numerical representation. They also include structural social and cultural factors that impact women's political engagement, such as stereotypes about women in politics, harassment, or barriers in accessing leadership positions within political or governmental </w:t>
      </w:r>
      <w:r w:rsidRPr="00B41F51">
        <w:rPr>
          <w:rFonts w:ascii="Times New Roman" w:hAnsi="Times New Roman" w:cs="Times New Roman"/>
        </w:rPr>
        <w:lastRenderedPageBreak/>
        <w:t>institutions, especially for women from migrant backgrounds or those belonging to multiple marginalized groups.</w:t>
      </w:r>
      <w:r w:rsidRPr="00AB1191">
        <w:rPr>
          <w:rStyle w:val="FootnoteReference"/>
          <w:rFonts w:ascii="Times New Roman" w:hAnsi="Times New Roman" w:cs="Times New Roman"/>
        </w:rPr>
        <w:footnoteReference w:id="13"/>
      </w:r>
    </w:p>
    <w:p w14:paraId="057D1458" w14:textId="77777777" w:rsidR="0049174B" w:rsidRPr="00B41F51" w:rsidRDefault="0049174B" w:rsidP="0049174B">
      <w:pPr>
        <w:jc w:val="both"/>
        <w:rPr>
          <w:rFonts w:ascii="Times New Roman" w:hAnsi="Times New Roman" w:cs="Times New Roman"/>
        </w:rPr>
      </w:pPr>
      <w:r w:rsidRPr="00B41F51">
        <w:rPr>
          <w:rFonts w:ascii="Times New Roman" w:hAnsi="Times New Roman" w:cs="Times New Roman"/>
        </w:rPr>
        <w:t>Thus, despite the important progress the Netherlands has made in increasing female representation in parliament and several political institutions, there remain numerous challenges that require genuine attention to enhance women's effective and inclusive political participation. This includes supporting women from migrant backgrounds for full integration into political life, encouraging their representation not only numerically but also in decision-making and policy formulation, and developing policies aimed at removing structural and cultural barriers that limit their full participation in the political arena.</w:t>
      </w:r>
    </w:p>
    <w:p w14:paraId="2A8237EE" w14:textId="77777777" w:rsidR="0049174B" w:rsidRPr="001F3A56" w:rsidRDefault="0049174B" w:rsidP="001F3A56">
      <w:pPr>
        <w:jc w:val="both"/>
        <w:rPr>
          <w:rFonts w:ascii="Times New Roman" w:hAnsi="Times New Roman" w:cs="Times New Roman"/>
          <w:b/>
          <w:bCs/>
          <w:color w:val="C45911" w:themeColor="accent2" w:themeShade="BF"/>
          <w:sz w:val="28"/>
          <w:szCs w:val="28"/>
        </w:rPr>
      </w:pPr>
      <w:r w:rsidRPr="001F3A56">
        <w:rPr>
          <w:rFonts w:ascii="Times New Roman" w:hAnsi="Times New Roman" w:cs="Times New Roman"/>
          <w:b/>
          <w:bCs/>
          <w:color w:val="C45911" w:themeColor="accent2" w:themeShade="BF"/>
          <w:sz w:val="28"/>
          <w:szCs w:val="28"/>
        </w:rPr>
        <w:t>Fourth: The Right to Work – Article 11</w:t>
      </w:r>
    </w:p>
    <w:p w14:paraId="60A875A2" w14:textId="77777777" w:rsidR="0049174B" w:rsidRPr="00B41F51" w:rsidRDefault="0049174B" w:rsidP="0049174B">
      <w:pPr>
        <w:jc w:val="both"/>
        <w:rPr>
          <w:rFonts w:ascii="Times New Roman" w:hAnsi="Times New Roman" w:cs="Times New Roman"/>
        </w:rPr>
      </w:pPr>
      <w:r w:rsidRPr="00AB1191">
        <w:rPr>
          <w:rFonts w:ascii="Times New Roman" w:hAnsi="Times New Roman" w:cs="Times New Roman"/>
        </w:rPr>
        <w:t>Maat</w:t>
      </w:r>
      <w:r w:rsidRPr="00B41F51">
        <w:rPr>
          <w:rFonts w:ascii="Times New Roman" w:hAnsi="Times New Roman" w:cs="Times New Roman"/>
        </w:rPr>
        <w:t xml:space="preserve"> notes that women in the Kingdom of the Netherlands still face structural challenges in accessing equal employment opportunities and ensuring equal pay with men, despite the existence of a constitutional and legislative framework that prohibits discrimination in work based on gender. Statistics indicate that the wage gap between women and men remains prevalent in practice. In 2024, the average hourly wage for women was approximately €27.15 compared to €30.32 for men, indicating a difference of about 10.5%. The annual wage gap reaches around 32%, resulting from women working fewer hours on average and </w:t>
      </w:r>
      <w:r w:rsidRPr="00AB1191">
        <w:rPr>
          <w:rFonts w:ascii="Times New Roman" w:hAnsi="Times New Roman" w:cs="Times New Roman"/>
        </w:rPr>
        <w:t>continuing</w:t>
      </w:r>
      <w:r w:rsidRPr="00B41F51">
        <w:rPr>
          <w:rFonts w:ascii="Times New Roman" w:hAnsi="Times New Roman" w:cs="Times New Roman"/>
        </w:rPr>
        <w:t xml:space="preserve"> discrimination against them in hiring and promotion.</w:t>
      </w:r>
      <w:r w:rsidRPr="00AB1191">
        <w:rPr>
          <w:rStyle w:val="FootnoteReference"/>
          <w:rFonts w:ascii="Times New Roman" w:hAnsi="Times New Roman" w:cs="Times New Roman"/>
        </w:rPr>
        <w:footnoteReference w:id="14"/>
      </w:r>
    </w:p>
    <w:p w14:paraId="39B5AF54" w14:textId="77777777" w:rsidR="0049174B" w:rsidRPr="00B41F51" w:rsidRDefault="0049174B" w:rsidP="0049174B">
      <w:pPr>
        <w:jc w:val="both"/>
        <w:rPr>
          <w:rFonts w:ascii="Times New Roman" w:hAnsi="Times New Roman" w:cs="Times New Roman"/>
        </w:rPr>
      </w:pPr>
      <w:r w:rsidRPr="00B41F51">
        <w:rPr>
          <w:rFonts w:ascii="Times New Roman" w:hAnsi="Times New Roman" w:cs="Times New Roman"/>
        </w:rPr>
        <w:t xml:space="preserve">Furthermore, </w:t>
      </w:r>
      <w:bookmarkStart w:id="3" w:name="OLE_LINK3"/>
      <w:r w:rsidRPr="00AB1191">
        <w:rPr>
          <w:rFonts w:ascii="Times New Roman" w:hAnsi="Times New Roman" w:cs="Times New Roman"/>
        </w:rPr>
        <w:t>Maat</w:t>
      </w:r>
      <w:r w:rsidRPr="00B41F51">
        <w:rPr>
          <w:rFonts w:ascii="Times New Roman" w:hAnsi="Times New Roman" w:cs="Times New Roman"/>
        </w:rPr>
        <w:t xml:space="preserve"> </w:t>
      </w:r>
      <w:bookmarkEnd w:id="3"/>
      <w:r w:rsidRPr="00B41F51">
        <w:rPr>
          <w:rFonts w:ascii="Times New Roman" w:hAnsi="Times New Roman" w:cs="Times New Roman"/>
        </w:rPr>
        <w:t>observes that women's labor force participation rate is lower than that of men, with the percentage of working women at about 69.2% compared to 77.2% for men in 2024,</w:t>
      </w:r>
      <w:r w:rsidRPr="00AB1191">
        <w:rPr>
          <w:rStyle w:val="FootnoteReference"/>
          <w:rFonts w:ascii="Times New Roman" w:hAnsi="Times New Roman" w:cs="Times New Roman"/>
        </w:rPr>
        <w:footnoteReference w:id="15"/>
      </w:r>
      <w:r w:rsidRPr="00B41F51">
        <w:rPr>
          <w:rFonts w:ascii="Times New Roman" w:hAnsi="Times New Roman" w:cs="Times New Roman"/>
        </w:rPr>
        <w:t xml:space="preserve"> along with a high rate of women working part-time, reaching around 60%. The gap between men and women in hours worked contributes to the widening gap in wages and pensions, a slow advancement of women to managerial positions, and an unequal distribution of unpaid domestic work. These gaps typically widen due to motherhood, as mothers reduce their working hours to dedicate more time to unpaid domestic responsibilities,</w:t>
      </w:r>
      <w:r w:rsidRPr="00AB1191">
        <w:rPr>
          <w:rStyle w:val="FootnoteReference"/>
          <w:rFonts w:ascii="Times New Roman" w:hAnsi="Times New Roman" w:cs="Times New Roman"/>
        </w:rPr>
        <w:footnoteReference w:id="16"/>
      </w:r>
      <w:r w:rsidRPr="00B41F51">
        <w:rPr>
          <w:rFonts w:ascii="Times New Roman" w:hAnsi="Times New Roman" w:cs="Times New Roman"/>
        </w:rPr>
        <w:t xml:space="preserve"> negatively impacting income levels, </w:t>
      </w:r>
      <w:r w:rsidRPr="00B41F51">
        <w:rPr>
          <w:rFonts w:ascii="Times New Roman" w:hAnsi="Times New Roman" w:cs="Times New Roman"/>
        </w:rPr>
        <w:lastRenderedPageBreak/>
        <w:t>promotion opportunities, and long-term economic independence, leading to an increasing gap in pensions and other economic benefits.</w:t>
      </w:r>
    </w:p>
    <w:p w14:paraId="0A13FD70" w14:textId="77777777" w:rsidR="0049174B" w:rsidRPr="001F3A56" w:rsidRDefault="0049174B" w:rsidP="001F3A56">
      <w:pPr>
        <w:jc w:val="both"/>
        <w:rPr>
          <w:rFonts w:ascii="Times New Roman" w:hAnsi="Times New Roman" w:cs="Times New Roman"/>
          <w:b/>
          <w:bCs/>
          <w:color w:val="C45911" w:themeColor="accent2" w:themeShade="BF"/>
          <w:sz w:val="28"/>
          <w:szCs w:val="28"/>
        </w:rPr>
      </w:pPr>
      <w:r w:rsidRPr="001F3A56">
        <w:rPr>
          <w:rFonts w:ascii="Times New Roman" w:hAnsi="Times New Roman" w:cs="Times New Roman"/>
          <w:b/>
          <w:bCs/>
          <w:color w:val="C45911" w:themeColor="accent2" w:themeShade="BF"/>
          <w:sz w:val="28"/>
          <w:szCs w:val="28"/>
        </w:rPr>
        <w:t>Recommendations</w:t>
      </w:r>
    </w:p>
    <w:p w14:paraId="3BEE75F3" w14:textId="77777777" w:rsidR="0049174B" w:rsidRPr="00380B39" w:rsidRDefault="0049174B" w:rsidP="0049174B">
      <w:pPr>
        <w:numPr>
          <w:ilvl w:val="0"/>
          <w:numId w:val="50"/>
        </w:numPr>
        <w:jc w:val="both"/>
        <w:rPr>
          <w:rFonts w:ascii="Times New Roman" w:hAnsi="Times New Roman" w:cs="Times New Roman"/>
        </w:rPr>
      </w:pPr>
      <w:r w:rsidRPr="00AB1191">
        <w:rPr>
          <w:rFonts w:ascii="Times New Roman" w:hAnsi="Times New Roman" w:cs="Times New Roman"/>
        </w:rPr>
        <w:t>Consider</w:t>
      </w:r>
      <w:r w:rsidRPr="00AB1191">
        <w:rPr>
          <w:rFonts w:ascii="Times New Roman" w:hAnsi="Times New Roman" w:cs="Times New Roman"/>
          <w:b/>
          <w:bCs/>
        </w:rPr>
        <w:t xml:space="preserve"> </w:t>
      </w:r>
      <w:r w:rsidRPr="00AB1191">
        <w:rPr>
          <w:rFonts w:ascii="Times New Roman" w:hAnsi="Times New Roman" w:cs="Times New Roman"/>
        </w:rPr>
        <w:t>e</w:t>
      </w:r>
      <w:r w:rsidRPr="00380B39">
        <w:rPr>
          <w:rFonts w:ascii="Times New Roman" w:hAnsi="Times New Roman" w:cs="Times New Roman"/>
        </w:rPr>
        <w:t>stablish</w:t>
      </w:r>
      <w:r w:rsidRPr="00AB1191">
        <w:rPr>
          <w:rFonts w:ascii="Times New Roman" w:hAnsi="Times New Roman" w:cs="Times New Roman"/>
        </w:rPr>
        <w:t>ing</w:t>
      </w:r>
      <w:r w:rsidRPr="00380B39">
        <w:rPr>
          <w:rFonts w:ascii="Times New Roman" w:hAnsi="Times New Roman" w:cs="Times New Roman"/>
        </w:rPr>
        <w:t xml:space="preserve"> clear mechanisms to ensure compliance of both government and private institutions with anti-discrimination laws. This should include awareness campaigns and training for employees and employers on gender equality and the importance of adhering to the legal framework protecting women.</w:t>
      </w:r>
    </w:p>
    <w:p w14:paraId="462FB0F6" w14:textId="77777777" w:rsidR="0049174B" w:rsidRPr="00380B39" w:rsidRDefault="0049174B" w:rsidP="0049174B">
      <w:pPr>
        <w:numPr>
          <w:ilvl w:val="0"/>
          <w:numId w:val="50"/>
        </w:numPr>
        <w:jc w:val="both"/>
        <w:rPr>
          <w:rFonts w:ascii="Times New Roman" w:hAnsi="Times New Roman" w:cs="Times New Roman"/>
        </w:rPr>
      </w:pPr>
      <w:r w:rsidRPr="00380B39">
        <w:rPr>
          <w:rFonts w:ascii="Times New Roman" w:hAnsi="Times New Roman" w:cs="Times New Roman"/>
        </w:rPr>
        <w:t>Provide comprehensive support programs for migrant women who have been trafficked, covering legal protection, safe housing, psychological and social support, and opportunities for reintegration into society.</w:t>
      </w:r>
    </w:p>
    <w:p w14:paraId="2EA4A45C" w14:textId="77777777" w:rsidR="0049174B" w:rsidRPr="00380B39" w:rsidRDefault="0049174B" w:rsidP="0049174B">
      <w:pPr>
        <w:numPr>
          <w:ilvl w:val="0"/>
          <w:numId w:val="50"/>
        </w:numPr>
        <w:jc w:val="both"/>
        <w:rPr>
          <w:rFonts w:ascii="Times New Roman" w:hAnsi="Times New Roman" w:cs="Times New Roman"/>
        </w:rPr>
      </w:pPr>
      <w:r w:rsidRPr="00380B39">
        <w:rPr>
          <w:rFonts w:ascii="Times New Roman" w:hAnsi="Times New Roman" w:cs="Times New Roman"/>
        </w:rPr>
        <w:t>Establish a detailed database that includes migrant women from outside the European Union to empower authorities with a deeper understanding of the phenomenon and to develop more effective preventive strategies.</w:t>
      </w:r>
    </w:p>
    <w:p w14:paraId="7D4232D6" w14:textId="77777777" w:rsidR="0049174B" w:rsidRPr="00380B39" w:rsidRDefault="0049174B" w:rsidP="0049174B">
      <w:pPr>
        <w:numPr>
          <w:ilvl w:val="0"/>
          <w:numId w:val="50"/>
        </w:numPr>
        <w:jc w:val="both"/>
        <w:rPr>
          <w:rFonts w:ascii="Times New Roman" w:hAnsi="Times New Roman" w:cs="Times New Roman"/>
        </w:rPr>
      </w:pPr>
      <w:r w:rsidRPr="00380B39">
        <w:rPr>
          <w:rFonts w:ascii="Times New Roman" w:hAnsi="Times New Roman" w:cs="Times New Roman"/>
        </w:rPr>
        <w:t>Ensure a balance between criminal prosecution of trafficking networks and preventive measures, along with sustainable support for victims, to ensure that migrant women do not remain vulnerable after the perpetrators are apprehended.</w:t>
      </w:r>
    </w:p>
    <w:p w14:paraId="6FA53EA4" w14:textId="77777777" w:rsidR="0049174B" w:rsidRPr="00380B39" w:rsidRDefault="0049174B" w:rsidP="0049174B">
      <w:pPr>
        <w:numPr>
          <w:ilvl w:val="0"/>
          <w:numId w:val="50"/>
        </w:numPr>
        <w:jc w:val="both"/>
        <w:rPr>
          <w:rFonts w:ascii="Times New Roman" w:hAnsi="Times New Roman" w:cs="Times New Roman"/>
        </w:rPr>
      </w:pPr>
      <w:r w:rsidRPr="00380B39">
        <w:rPr>
          <w:rFonts w:ascii="Times New Roman" w:hAnsi="Times New Roman" w:cs="Times New Roman"/>
        </w:rPr>
        <w:t>Adopt policies and programs that aim to increase women's influence in government and non-government leadership positions, including support for women in executive councils and political parties to guarantee effective and sustainable participation.</w:t>
      </w:r>
    </w:p>
    <w:p w14:paraId="31610002" w14:textId="77777777" w:rsidR="0049174B" w:rsidRPr="00380B39" w:rsidRDefault="0049174B" w:rsidP="0049174B">
      <w:pPr>
        <w:numPr>
          <w:ilvl w:val="0"/>
          <w:numId w:val="50"/>
        </w:numPr>
        <w:jc w:val="both"/>
        <w:rPr>
          <w:rFonts w:ascii="Times New Roman" w:hAnsi="Times New Roman" w:cs="Times New Roman"/>
        </w:rPr>
      </w:pPr>
      <w:r w:rsidRPr="00380B39">
        <w:rPr>
          <w:rFonts w:ascii="Times New Roman" w:hAnsi="Times New Roman" w:cs="Times New Roman"/>
        </w:rPr>
        <w:t xml:space="preserve">Implement targeted support programs to enhance the integration of women from migrant backgrounds and minorities into political life and decision-making </w:t>
      </w:r>
      <w:proofErr w:type="spellStart"/>
      <w:r w:rsidRPr="00380B39">
        <w:rPr>
          <w:rFonts w:ascii="Times New Roman" w:hAnsi="Times New Roman" w:cs="Times New Roman"/>
        </w:rPr>
        <w:t>centers</w:t>
      </w:r>
      <w:proofErr w:type="spellEnd"/>
      <w:r w:rsidRPr="00380B39">
        <w:rPr>
          <w:rFonts w:ascii="Times New Roman" w:hAnsi="Times New Roman" w:cs="Times New Roman"/>
        </w:rPr>
        <w:t>.</w:t>
      </w:r>
    </w:p>
    <w:p w14:paraId="714A0BE3" w14:textId="77777777" w:rsidR="0049174B" w:rsidRPr="00380B39" w:rsidRDefault="0049174B" w:rsidP="0049174B">
      <w:pPr>
        <w:numPr>
          <w:ilvl w:val="0"/>
          <w:numId w:val="50"/>
        </w:numPr>
        <w:jc w:val="both"/>
        <w:rPr>
          <w:rFonts w:ascii="Times New Roman" w:hAnsi="Times New Roman" w:cs="Times New Roman"/>
        </w:rPr>
      </w:pPr>
      <w:r w:rsidRPr="00380B39">
        <w:rPr>
          <w:rFonts w:ascii="Times New Roman" w:hAnsi="Times New Roman" w:cs="Times New Roman"/>
        </w:rPr>
        <w:t>Launch community awareness campaigns and actions within parties and institutions to promote acceptance and support of women’s participation, addressing discrimination and harassment that women may face in reaching political positions.</w:t>
      </w:r>
    </w:p>
    <w:p w14:paraId="40B70863" w14:textId="77777777" w:rsidR="0049174B" w:rsidRPr="00380B39" w:rsidRDefault="0049174B" w:rsidP="0049174B">
      <w:pPr>
        <w:numPr>
          <w:ilvl w:val="0"/>
          <w:numId w:val="50"/>
        </w:numPr>
        <w:jc w:val="both"/>
        <w:rPr>
          <w:rFonts w:ascii="Times New Roman" w:hAnsi="Times New Roman" w:cs="Times New Roman"/>
        </w:rPr>
      </w:pPr>
      <w:r w:rsidRPr="00380B39">
        <w:rPr>
          <w:rFonts w:ascii="Times New Roman" w:hAnsi="Times New Roman" w:cs="Times New Roman"/>
        </w:rPr>
        <w:t>Establish mandatory mechanisms to combat the wage gap between women and men to ensure that women receive equal pay for equal work.</w:t>
      </w:r>
    </w:p>
    <w:p w14:paraId="48C9A0CC" w14:textId="77777777" w:rsidR="0049174B" w:rsidRPr="00380B39" w:rsidRDefault="0049174B" w:rsidP="0049174B">
      <w:pPr>
        <w:numPr>
          <w:ilvl w:val="0"/>
          <w:numId w:val="50"/>
        </w:numPr>
        <w:jc w:val="both"/>
        <w:rPr>
          <w:rFonts w:ascii="Times New Roman" w:hAnsi="Times New Roman" w:cs="Times New Roman"/>
        </w:rPr>
      </w:pPr>
      <w:r w:rsidRPr="00380B39">
        <w:rPr>
          <w:rFonts w:ascii="Times New Roman" w:hAnsi="Times New Roman" w:cs="Times New Roman"/>
        </w:rPr>
        <w:lastRenderedPageBreak/>
        <w:t>Create support programs aimed at part-time working women and mothers to ensure that family obligations do not impact their career advancement opportunities.</w:t>
      </w:r>
    </w:p>
    <w:p w14:paraId="7A2A7BFC" w14:textId="77777777" w:rsidR="0049174B" w:rsidRPr="00380B39" w:rsidRDefault="0049174B" w:rsidP="0049174B">
      <w:pPr>
        <w:numPr>
          <w:ilvl w:val="0"/>
          <w:numId w:val="50"/>
        </w:numPr>
        <w:jc w:val="both"/>
        <w:rPr>
          <w:rFonts w:ascii="Times New Roman" w:hAnsi="Times New Roman" w:cs="Times New Roman"/>
        </w:rPr>
      </w:pPr>
      <w:r w:rsidRPr="00380B39">
        <w:rPr>
          <w:rFonts w:ascii="Times New Roman" w:hAnsi="Times New Roman" w:cs="Times New Roman"/>
        </w:rPr>
        <w:t>Enhance the representation of women in managerial and leadership positions through training programs and development plans that promote women based on competency and experience.</w:t>
      </w:r>
    </w:p>
    <w:p w14:paraId="4AE3767F" w14:textId="77777777" w:rsidR="0049174B" w:rsidRPr="00380B39" w:rsidRDefault="0049174B" w:rsidP="0049174B">
      <w:pPr>
        <w:numPr>
          <w:ilvl w:val="0"/>
          <w:numId w:val="50"/>
        </w:numPr>
        <w:jc w:val="both"/>
        <w:rPr>
          <w:rFonts w:ascii="Times New Roman" w:hAnsi="Times New Roman" w:cs="Times New Roman"/>
        </w:rPr>
      </w:pPr>
      <w:r w:rsidRPr="00380B39">
        <w:rPr>
          <w:rFonts w:ascii="Times New Roman" w:hAnsi="Times New Roman" w:cs="Times New Roman"/>
        </w:rPr>
        <w:t>Develop policies and initiatives to support men's involvement in domestic work and family care, alleviating the burden on women, increasing their opportunities in the labor market, and reducing the long-term income and pension gaps.</w:t>
      </w:r>
    </w:p>
    <w:p w14:paraId="1345BB09" w14:textId="77777777" w:rsidR="0049174B" w:rsidRPr="00AB1191" w:rsidRDefault="0049174B" w:rsidP="0049174B">
      <w:pPr>
        <w:jc w:val="both"/>
        <w:rPr>
          <w:rFonts w:ascii="Times New Roman" w:hAnsi="Times New Roman" w:cs="Times New Roman"/>
        </w:rPr>
      </w:pPr>
    </w:p>
    <w:p w14:paraId="4994A190" w14:textId="532B01AF" w:rsidR="004A7201" w:rsidRPr="00BF478D" w:rsidRDefault="004A7201" w:rsidP="00BF478D">
      <w:pPr>
        <w:rPr>
          <w:rtl/>
        </w:rPr>
      </w:pPr>
    </w:p>
    <w:sectPr w:rsidR="004A7201" w:rsidRPr="00BF478D"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8815C" w14:textId="77777777" w:rsidR="00FA7654" w:rsidRDefault="00FA7654" w:rsidP="004F6D5A">
      <w:pPr>
        <w:spacing w:after="0" w:line="240" w:lineRule="auto"/>
      </w:pPr>
      <w:r>
        <w:separator/>
      </w:r>
    </w:p>
  </w:endnote>
  <w:endnote w:type="continuationSeparator" w:id="0">
    <w:p w14:paraId="28DB339B" w14:textId="77777777" w:rsidR="00FA7654" w:rsidRDefault="00FA7654"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0A91B" w14:textId="77777777" w:rsidR="00FA7654" w:rsidRDefault="00FA7654" w:rsidP="004F6D5A">
      <w:pPr>
        <w:spacing w:after="0" w:line="240" w:lineRule="auto"/>
      </w:pPr>
      <w:r>
        <w:separator/>
      </w:r>
    </w:p>
  </w:footnote>
  <w:footnote w:type="continuationSeparator" w:id="0">
    <w:p w14:paraId="722C7F48" w14:textId="77777777" w:rsidR="00FA7654" w:rsidRDefault="00FA7654" w:rsidP="004F6D5A">
      <w:pPr>
        <w:spacing w:after="0" w:line="240" w:lineRule="auto"/>
      </w:pPr>
      <w:r>
        <w:continuationSeparator/>
      </w:r>
    </w:p>
  </w:footnote>
  <w:footnote w:id="1">
    <w:p w14:paraId="7524F406" w14:textId="77777777" w:rsidR="0049174B" w:rsidRPr="001F3A56" w:rsidRDefault="0049174B" w:rsidP="0049174B">
      <w:pPr>
        <w:pStyle w:val="FootnoteText"/>
        <w:rPr>
          <w:rFonts w:asciiTheme="majorBidi" w:hAnsiTheme="majorBidi" w:cstheme="majorBidi"/>
          <w:sz w:val="16"/>
          <w:szCs w:val="16"/>
        </w:rPr>
      </w:pPr>
      <w:r w:rsidRPr="001F3A56">
        <w:rPr>
          <w:rStyle w:val="FootnoteReference"/>
          <w:rFonts w:asciiTheme="majorBidi" w:hAnsiTheme="majorBidi" w:cstheme="majorBidi"/>
          <w:sz w:val="16"/>
          <w:szCs w:val="16"/>
        </w:rPr>
        <w:footnoteRef/>
      </w:r>
      <w:r w:rsidRPr="001F3A56">
        <w:rPr>
          <w:rFonts w:asciiTheme="majorBidi" w:hAnsiTheme="majorBidi" w:cstheme="majorBidi"/>
          <w:sz w:val="16"/>
          <w:szCs w:val="16"/>
        </w:rPr>
        <w:t xml:space="preserve"> The Constitution of the Kingdom of the Netherlands, Article 1 Equality, </w:t>
      </w:r>
      <w:hyperlink r:id="rId1" w:history="1">
        <w:r w:rsidRPr="001F3A56">
          <w:rPr>
            <w:rStyle w:val="Hyperlink"/>
            <w:rFonts w:asciiTheme="majorBidi" w:hAnsiTheme="majorBidi" w:cstheme="majorBidi"/>
            <w:sz w:val="16"/>
            <w:szCs w:val="16"/>
          </w:rPr>
          <w:t>http://www.dutchcivillaw.com/constitution.htm</w:t>
        </w:r>
      </w:hyperlink>
    </w:p>
  </w:footnote>
  <w:footnote w:id="2">
    <w:p w14:paraId="25B28D62" w14:textId="16202E5E" w:rsidR="0049174B" w:rsidRPr="001F3A56" w:rsidRDefault="0049174B" w:rsidP="0049174B">
      <w:pPr>
        <w:pStyle w:val="FootnoteText"/>
        <w:rPr>
          <w:rFonts w:asciiTheme="majorBidi" w:hAnsiTheme="majorBidi" w:cstheme="majorBidi"/>
          <w:sz w:val="16"/>
          <w:szCs w:val="16"/>
        </w:rPr>
      </w:pPr>
      <w:r w:rsidRPr="001F3A56">
        <w:rPr>
          <w:rStyle w:val="FootnoteReference"/>
          <w:rFonts w:asciiTheme="majorBidi" w:hAnsiTheme="majorBidi" w:cstheme="majorBidi"/>
          <w:sz w:val="16"/>
          <w:szCs w:val="16"/>
        </w:rPr>
        <w:footnoteRef/>
      </w:r>
      <w:r w:rsidRPr="001F3A56">
        <w:rPr>
          <w:rFonts w:asciiTheme="majorBidi" w:hAnsiTheme="majorBidi" w:cstheme="majorBidi"/>
          <w:sz w:val="16"/>
          <w:szCs w:val="16"/>
        </w:rPr>
        <w:t xml:space="preserve"> </w:t>
      </w:r>
      <w:proofErr w:type="spellStart"/>
      <w:r w:rsidRPr="001F3A56">
        <w:rPr>
          <w:rFonts w:asciiTheme="majorBidi" w:hAnsiTheme="majorBidi" w:cstheme="majorBidi"/>
          <w:sz w:val="16"/>
          <w:szCs w:val="16"/>
        </w:rPr>
        <w:t>Algemene</w:t>
      </w:r>
      <w:proofErr w:type="spellEnd"/>
      <w:r w:rsidRPr="001F3A56">
        <w:rPr>
          <w:rFonts w:asciiTheme="majorBidi" w:hAnsiTheme="majorBidi" w:cstheme="majorBidi"/>
          <w:sz w:val="16"/>
          <w:szCs w:val="16"/>
        </w:rPr>
        <w:t xml:space="preserve"> wet </w:t>
      </w:r>
      <w:proofErr w:type="spellStart"/>
      <w:r w:rsidRPr="001F3A56">
        <w:rPr>
          <w:rFonts w:asciiTheme="majorBidi" w:hAnsiTheme="majorBidi" w:cstheme="majorBidi"/>
          <w:sz w:val="16"/>
          <w:szCs w:val="16"/>
        </w:rPr>
        <w:t>gelijke</w:t>
      </w:r>
      <w:proofErr w:type="spellEnd"/>
      <w:r w:rsidRPr="001F3A56">
        <w:rPr>
          <w:rFonts w:asciiTheme="majorBidi" w:hAnsiTheme="majorBidi" w:cstheme="majorBidi"/>
          <w:sz w:val="16"/>
          <w:szCs w:val="16"/>
        </w:rPr>
        <w:t xml:space="preserve"> </w:t>
      </w:r>
      <w:proofErr w:type="spellStart"/>
      <w:r w:rsidRPr="001F3A56">
        <w:rPr>
          <w:rFonts w:asciiTheme="majorBidi" w:hAnsiTheme="majorBidi" w:cstheme="majorBidi"/>
          <w:sz w:val="16"/>
          <w:szCs w:val="16"/>
        </w:rPr>
        <w:t>behandeling</w:t>
      </w:r>
      <w:proofErr w:type="spellEnd"/>
      <w:r w:rsidR="001F3A56">
        <w:rPr>
          <w:rFonts w:asciiTheme="majorBidi" w:hAnsiTheme="majorBidi" w:cstheme="majorBidi"/>
          <w:sz w:val="16"/>
          <w:szCs w:val="16"/>
        </w:rPr>
        <w:t xml:space="preserve">, </w:t>
      </w:r>
      <w:r w:rsidRPr="001F3A56">
        <w:rPr>
          <w:rFonts w:asciiTheme="majorBidi" w:hAnsiTheme="majorBidi" w:cstheme="majorBidi"/>
          <w:sz w:val="16"/>
          <w:szCs w:val="16"/>
        </w:rPr>
        <w:t xml:space="preserve">Equal Treatment Act, </w:t>
      </w:r>
      <w:hyperlink r:id="rId2" w:history="1">
        <w:r w:rsidRPr="001F3A56">
          <w:rPr>
            <w:rStyle w:val="Hyperlink"/>
            <w:rFonts w:asciiTheme="majorBidi" w:hAnsiTheme="majorBidi" w:cstheme="majorBidi"/>
            <w:sz w:val="16"/>
            <w:szCs w:val="16"/>
          </w:rPr>
          <w:t>https://www.law.cornell.edu/gender-justice/resource/algemene_wet_gelijke_behandeling_%28equal_treatment_act%29</w:t>
        </w:r>
      </w:hyperlink>
    </w:p>
  </w:footnote>
  <w:footnote w:id="3">
    <w:p w14:paraId="4DE69E2D" w14:textId="459F923B" w:rsidR="0049174B" w:rsidRPr="001F3A56" w:rsidRDefault="0049174B" w:rsidP="0049174B">
      <w:pPr>
        <w:pStyle w:val="FootnoteText"/>
        <w:rPr>
          <w:rFonts w:asciiTheme="majorBidi" w:hAnsiTheme="majorBidi" w:cstheme="majorBidi"/>
          <w:sz w:val="16"/>
          <w:szCs w:val="16"/>
        </w:rPr>
      </w:pPr>
      <w:r w:rsidRPr="001F3A56">
        <w:rPr>
          <w:rStyle w:val="FootnoteReference"/>
          <w:rFonts w:asciiTheme="majorBidi" w:hAnsiTheme="majorBidi" w:cstheme="majorBidi"/>
          <w:sz w:val="16"/>
          <w:szCs w:val="16"/>
        </w:rPr>
        <w:footnoteRef/>
      </w:r>
      <w:r w:rsidRPr="001F3A56">
        <w:rPr>
          <w:rFonts w:asciiTheme="majorBidi" w:hAnsiTheme="majorBidi" w:cstheme="majorBidi"/>
          <w:sz w:val="16"/>
          <w:szCs w:val="16"/>
        </w:rPr>
        <w:t xml:space="preserve"> Constitutionalizing the Status Quo: Expanding non-discrimination protections to include disability and sexual orientation in the Dutch Constitution, </w:t>
      </w:r>
      <w:r w:rsidR="001F3A56">
        <w:rPr>
          <w:rFonts w:asciiTheme="majorBidi" w:hAnsiTheme="majorBidi" w:cstheme="majorBidi"/>
          <w:sz w:val="16"/>
          <w:szCs w:val="16"/>
        </w:rPr>
        <w:t>C</w:t>
      </w:r>
      <w:r w:rsidRPr="001F3A56">
        <w:rPr>
          <w:rFonts w:asciiTheme="majorBidi" w:hAnsiTheme="majorBidi" w:cstheme="majorBidi"/>
          <w:sz w:val="16"/>
          <w:szCs w:val="16"/>
        </w:rPr>
        <w:t xml:space="preserve">onstitution </w:t>
      </w:r>
      <w:r w:rsidR="001F3A56">
        <w:rPr>
          <w:rFonts w:asciiTheme="majorBidi" w:hAnsiTheme="majorBidi" w:cstheme="majorBidi"/>
          <w:sz w:val="16"/>
          <w:szCs w:val="16"/>
        </w:rPr>
        <w:t>N</w:t>
      </w:r>
      <w:r w:rsidRPr="001F3A56">
        <w:rPr>
          <w:rFonts w:asciiTheme="majorBidi" w:hAnsiTheme="majorBidi" w:cstheme="majorBidi"/>
          <w:sz w:val="16"/>
          <w:szCs w:val="16"/>
        </w:rPr>
        <w:t xml:space="preserve">et, 27 February 2023, </w:t>
      </w:r>
      <w:hyperlink r:id="rId3" w:history="1">
        <w:r w:rsidRPr="001F3A56">
          <w:rPr>
            <w:rStyle w:val="Hyperlink"/>
            <w:rFonts w:asciiTheme="majorBidi" w:hAnsiTheme="majorBidi" w:cstheme="majorBidi"/>
            <w:sz w:val="16"/>
            <w:szCs w:val="16"/>
          </w:rPr>
          <w:t>https://constitutionnet.org/news/constitutionalising-status-quo-expanding-non-discrimination-protections</w:t>
        </w:r>
      </w:hyperlink>
    </w:p>
  </w:footnote>
  <w:footnote w:id="4">
    <w:p w14:paraId="234EF952" w14:textId="7A202ED7" w:rsidR="0049174B" w:rsidRPr="001F3A56" w:rsidRDefault="0049174B" w:rsidP="0049174B">
      <w:pPr>
        <w:pStyle w:val="FootnoteText"/>
        <w:rPr>
          <w:rFonts w:asciiTheme="majorBidi" w:hAnsiTheme="majorBidi" w:cstheme="majorBidi"/>
          <w:sz w:val="16"/>
          <w:szCs w:val="16"/>
        </w:rPr>
      </w:pPr>
      <w:r w:rsidRPr="001F3A56">
        <w:rPr>
          <w:rStyle w:val="FootnoteReference"/>
          <w:rFonts w:asciiTheme="majorBidi" w:hAnsiTheme="majorBidi" w:cstheme="majorBidi"/>
          <w:sz w:val="16"/>
          <w:szCs w:val="16"/>
        </w:rPr>
        <w:footnoteRef/>
      </w:r>
      <w:r w:rsidRPr="001F3A56">
        <w:rPr>
          <w:rFonts w:asciiTheme="majorBidi" w:hAnsiTheme="majorBidi" w:cstheme="majorBidi"/>
          <w:sz w:val="16"/>
          <w:szCs w:val="16"/>
        </w:rPr>
        <w:t xml:space="preserve"> Gender wage gap decreased in 2024, but wages remain unequal, Holland </w:t>
      </w:r>
      <w:r w:rsidR="001F3A56">
        <w:rPr>
          <w:rFonts w:asciiTheme="majorBidi" w:hAnsiTheme="majorBidi" w:cstheme="majorBidi"/>
          <w:sz w:val="16"/>
          <w:szCs w:val="16"/>
        </w:rPr>
        <w:t>T</w:t>
      </w:r>
      <w:r w:rsidRPr="001F3A56">
        <w:rPr>
          <w:rFonts w:asciiTheme="majorBidi" w:hAnsiTheme="majorBidi" w:cstheme="majorBidi"/>
          <w:sz w:val="16"/>
          <w:szCs w:val="16"/>
        </w:rPr>
        <w:t xml:space="preserve">imes, 25 lune 2025, </w:t>
      </w:r>
      <w:hyperlink r:id="rId4" w:history="1">
        <w:r w:rsidRPr="001F3A56">
          <w:rPr>
            <w:rStyle w:val="Hyperlink"/>
            <w:rFonts w:asciiTheme="majorBidi" w:hAnsiTheme="majorBidi" w:cstheme="majorBidi"/>
            <w:sz w:val="16"/>
            <w:szCs w:val="16"/>
          </w:rPr>
          <w:t>https://www.hollandtimes.nl/2025-edition-4-june/gender-wage-gap-decreased-in-2024-but-wages-remain-unequal/</w:t>
        </w:r>
      </w:hyperlink>
    </w:p>
  </w:footnote>
  <w:footnote w:id="5">
    <w:p w14:paraId="27BF7184" w14:textId="28B9B6E4" w:rsidR="0049174B" w:rsidRPr="001F3A56" w:rsidRDefault="0049174B" w:rsidP="0049174B">
      <w:pPr>
        <w:pStyle w:val="FootnoteText"/>
        <w:rPr>
          <w:rFonts w:asciiTheme="majorBidi" w:hAnsiTheme="majorBidi" w:cstheme="majorBidi"/>
          <w:sz w:val="16"/>
          <w:szCs w:val="16"/>
        </w:rPr>
      </w:pPr>
      <w:r w:rsidRPr="001F3A56">
        <w:rPr>
          <w:rStyle w:val="FootnoteReference"/>
          <w:rFonts w:asciiTheme="majorBidi" w:hAnsiTheme="majorBidi" w:cstheme="majorBidi"/>
          <w:sz w:val="16"/>
          <w:szCs w:val="16"/>
        </w:rPr>
        <w:footnoteRef/>
      </w:r>
      <w:r w:rsidRPr="001F3A56">
        <w:rPr>
          <w:rFonts w:asciiTheme="majorBidi" w:hAnsiTheme="majorBidi" w:cstheme="majorBidi"/>
          <w:sz w:val="16"/>
          <w:szCs w:val="16"/>
        </w:rPr>
        <w:t xml:space="preserve"> Human trafficking reports on the rise in the Netherlands; Especially more child victims, </w:t>
      </w:r>
      <w:r w:rsidR="001F3A56">
        <w:rPr>
          <w:rFonts w:asciiTheme="majorBidi" w:hAnsiTheme="majorBidi" w:cstheme="majorBidi"/>
          <w:sz w:val="16"/>
          <w:szCs w:val="16"/>
        </w:rPr>
        <w:t>NL T</w:t>
      </w:r>
      <w:r w:rsidRPr="001F3A56">
        <w:rPr>
          <w:rFonts w:asciiTheme="majorBidi" w:hAnsiTheme="majorBidi" w:cstheme="majorBidi"/>
          <w:sz w:val="16"/>
          <w:szCs w:val="16"/>
        </w:rPr>
        <w:t xml:space="preserve">imes, 17 October 2025, </w:t>
      </w:r>
      <w:hyperlink r:id="rId5" w:history="1">
        <w:r w:rsidRPr="001F3A56">
          <w:rPr>
            <w:rStyle w:val="Hyperlink"/>
            <w:rFonts w:asciiTheme="majorBidi" w:hAnsiTheme="majorBidi" w:cstheme="majorBidi"/>
            <w:sz w:val="16"/>
            <w:szCs w:val="16"/>
          </w:rPr>
          <w:t>https://nltimes.nl/2025/10/17/human-trafficking-reports-rise-netherlands-especially-child-victims</w:t>
        </w:r>
      </w:hyperlink>
    </w:p>
  </w:footnote>
  <w:footnote w:id="6">
    <w:p w14:paraId="7672ADAA" w14:textId="669199AE" w:rsidR="0049174B" w:rsidRPr="001F3A56" w:rsidRDefault="0049174B" w:rsidP="0049174B">
      <w:pPr>
        <w:pStyle w:val="FootnoteText"/>
        <w:rPr>
          <w:rFonts w:asciiTheme="majorBidi" w:hAnsiTheme="majorBidi" w:cstheme="majorBidi"/>
          <w:sz w:val="16"/>
          <w:szCs w:val="16"/>
        </w:rPr>
      </w:pPr>
      <w:r w:rsidRPr="001F3A56">
        <w:rPr>
          <w:rStyle w:val="FootnoteReference"/>
          <w:rFonts w:asciiTheme="majorBidi" w:hAnsiTheme="majorBidi" w:cstheme="majorBidi"/>
          <w:sz w:val="16"/>
          <w:szCs w:val="16"/>
        </w:rPr>
        <w:footnoteRef/>
      </w:r>
      <w:r w:rsidRPr="001F3A56">
        <w:rPr>
          <w:rFonts w:asciiTheme="majorBidi" w:hAnsiTheme="majorBidi" w:cstheme="majorBidi"/>
          <w:sz w:val="16"/>
          <w:szCs w:val="16"/>
        </w:rPr>
        <w:t xml:space="preserve"> About Sexual Exploitation, </w:t>
      </w:r>
      <w:r w:rsidR="00691A99">
        <w:rPr>
          <w:rFonts w:asciiTheme="majorBidi" w:hAnsiTheme="majorBidi" w:cstheme="majorBidi"/>
          <w:sz w:val="16"/>
          <w:szCs w:val="16"/>
        </w:rPr>
        <w:t>C</w:t>
      </w:r>
      <w:r w:rsidRPr="001F3A56">
        <w:rPr>
          <w:rFonts w:asciiTheme="majorBidi" w:hAnsiTheme="majorBidi" w:cstheme="majorBidi"/>
          <w:sz w:val="16"/>
          <w:szCs w:val="16"/>
        </w:rPr>
        <w:t xml:space="preserve">ommence, </w:t>
      </w:r>
      <w:hyperlink r:id="rId6" w:history="1">
        <w:r w:rsidRPr="001F3A56">
          <w:rPr>
            <w:rStyle w:val="Hyperlink"/>
            <w:rFonts w:asciiTheme="majorBidi" w:hAnsiTheme="majorBidi" w:cstheme="majorBidi"/>
            <w:sz w:val="16"/>
            <w:szCs w:val="16"/>
            <w:lang w:bidi="ar-EG"/>
          </w:rPr>
          <w:t>https://www.comensha.nl/elearning/en/about-sex-trafficking/</w:t>
        </w:r>
      </w:hyperlink>
    </w:p>
  </w:footnote>
  <w:footnote w:id="7">
    <w:p w14:paraId="287D555C" w14:textId="1B8628F8" w:rsidR="0049174B" w:rsidRPr="001F3A56" w:rsidRDefault="0049174B" w:rsidP="0049174B">
      <w:pPr>
        <w:pStyle w:val="FootnoteText"/>
        <w:rPr>
          <w:rFonts w:asciiTheme="majorBidi" w:hAnsiTheme="majorBidi" w:cstheme="majorBidi"/>
          <w:sz w:val="16"/>
          <w:szCs w:val="16"/>
        </w:rPr>
      </w:pPr>
      <w:r w:rsidRPr="001F3A56">
        <w:rPr>
          <w:rStyle w:val="FootnoteReference"/>
          <w:rFonts w:asciiTheme="majorBidi" w:hAnsiTheme="majorBidi" w:cstheme="majorBidi"/>
          <w:sz w:val="16"/>
          <w:szCs w:val="16"/>
        </w:rPr>
        <w:footnoteRef/>
      </w:r>
      <w:r w:rsidRPr="001F3A56">
        <w:rPr>
          <w:rFonts w:asciiTheme="majorBidi" w:hAnsiTheme="majorBidi" w:cstheme="majorBidi"/>
          <w:sz w:val="16"/>
          <w:szCs w:val="16"/>
        </w:rPr>
        <w:t xml:space="preserve"> Five men arrested for sexually exploiting women after getting them addicted to flakka, </w:t>
      </w:r>
      <w:r w:rsidR="00691A99">
        <w:rPr>
          <w:rFonts w:asciiTheme="majorBidi" w:hAnsiTheme="majorBidi" w:cstheme="majorBidi"/>
          <w:sz w:val="16"/>
          <w:szCs w:val="16"/>
        </w:rPr>
        <w:t>NL T</w:t>
      </w:r>
      <w:r w:rsidRPr="001F3A56">
        <w:rPr>
          <w:rFonts w:asciiTheme="majorBidi" w:hAnsiTheme="majorBidi" w:cstheme="majorBidi"/>
          <w:sz w:val="16"/>
          <w:szCs w:val="16"/>
        </w:rPr>
        <w:t xml:space="preserve">imes, 2 July 2025, </w:t>
      </w:r>
      <w:hyperlink r:id="rId7" w:history="1">
        <w:r w:rsidRPr="001F3A56">
          <w:rPr>
            <w:rStyle w:val="Hyperlink"/>
            <w:rFonts w:asciiTheme="majorBidi" w:hAnsiTheme="majorBidi" w:cstheme="majorBidi"/>
            <w:sz w:val="16"/>
            <w:szCs w:val="16"/>
          </w:rPr>
          <w:t>https://nltimes.nl/2025/07/02/five-men-arrested-sexually-exploiting-women-getting-addicted-flakka</w:t>
        </w:r>
      </w:hyperlink>
    </w:p>
  </w:footnote>
  <w:footnote w:id="8">
    <w:p w14:paraId="6B4074F9" w14:textId="193AB91D" w:rsidR="0049174B" w:rsidRPr="001F3A56" w:rsidRDefault="0049174B" w:rsidP="0049174B">
      <w:pPr>
        <w:pStyle w:val="FootnoteText"/>
        <w:rPr>
          <w:rFonts w:asciiTheme="majorBidi" w:hAnsiTheme="majorBidi" w:cstheme="majorBidi"/>
          <w:sz w:val="16"/>
          <w:szCs w:val="16"/>
        </w:rPr>
      </w:pPr>
      <w:r w:rsidRPr="001F3A56">
        <w:rPr>
          <w:rStyle w:val="FootnoteReference"/>
          <w:rFonts w:asciiTheme="majorBidi" w:hAnsiTheme="majorBidi" w:cstheme="majorBidi"/>
          <w:sz w:val="16"/>
          <w:szCs w:val="16"/>
        </w:rPr>
        <w:footnoteRef/>
      </w:r>
      <w:r w:rsidRPr="001F3A56">
        <w:rPr>
          <w:rFonts w:asciiTheme="majorBidi" w:hAnsiTheme="majorBidi" w:cstheme="majorBidi"/>
          <w:sz w:val="16"/>
          <w:szCs w:val="16"/>
        </w:rPr>
        <w:t xml:space="preserve"> More foreign victims of sexual exploitation in Netherlands: Rapporteur, </w:t>
      </w:r>
      <w:r w:rsidR="00691A99">
        <w:rPr>
          <w:rFonts w:asciiTheme="majorBidi" w:hAnsiTheme="majorBidi" w:cstheme="majorBidi"/>
          <w:sz w:val="16"/>
          <w:szCs w:val="16"/>
        </w:rPr>
        <w:t>NL T</w:t>
      </w:r>
      <w:r w:rsidRPr="001F3A56">
        <w:rPr>
          <w:rFonts w:asciiTheme="majorBidi" w:hAnsiTheme="majorBidi" w:cstheme="majorBidi"/>
          <w:sz w:val="16"/>
          <w:szCs w:val="16"/>
        </w:rPr>
        <w:t xml:space="preserve">imes, 8 October 2024, </w:t>
      </w:r>
      <w:hyperlink r:id="rId8" w:history="1">
        <w:r w:rsidRPr="001F3A56">
          <w:rPr>
            <w:rStyle w:val="Hyperlink"/>
            <w:rFonts w:asciiTheme="majorBidi" w:hAnsiTheme="majorBidi" w:cstheme="majorBidi"/>
            <w:sz w:val="16"/>
            <w:szCs w:val="16"/>
          </w:rPr>
          <w:t>https://nltimes.nl/2024/10/18/foreign-victims-sexual-exploitation-netherlands-rapporteur</w:t>
        </w:r>
      </w:hyperlink>
    </w:p>
  </w:footnote>
  <w:footnote w:id="9">
    <w:p w14:paraId="22D46A65" w14:textId="0D40CA02" w:rsidR="0049174B" w:rsidRPr="001F3A56" w:rsidRDefault="0049174B" w:rsidP="0049174B">
      <w:pPr>
        <w:pStyle w:val="FootnoteText"/>
        <w:rPr>
          <w:rFonts w:asciiTheme="majorBidi" w:hAnsiTheme="majorBidi" w:cstheme="majorBidi"/>
          <w:sz w:val="16"/>
          <w:szCs w:val="16"/>
        </w:rPr>
      </w:pPr>
      <w:r w:rsidRPr="001F3A56">
        <w:rPr>
          <w:rStyle w:val="FootnoteReference"/>
          <w:rFonts w:asciiTheme="majorBidi" w:hAnsiTheme="majorBidi" w:cstheme="majorBidi"/>
          <w:sz w:val="16"/>
          <w:szCs w:val="16"/>
        </w:rPr>
        <w:footnoteRef/>
      </w:r>
      <w:r w:rsidRPr="001F3A56">
        <w:rPr>
          <w:rFonts w:asciiTheme="majorBidi" w:hAnsiTheme="majorBidi" w:cstheme="majorBidi"/>
          <w:sz w:val="16"/>
          <w:szCs w:val="16"/>
        </w:rPr>
        <w:t xml:space="preserve"> Highest number of female parliamentarians in Dutch history; 43% women, </w:t>
      </w:r>
      <w:r w:rsidR="00691A99">
        <w:rPr>
          <w:rFonts w:asciiTheme="majorBidi" w:hAnsiTheme="majorBidi" w:cstheme="majorBidi"/>
          <w:sz w:val="16"/>
          <w:szCs w:val="16"/>
        </w:rPr>
        <w:t>NL T</w:t>
      </w:r>
      <w:r w:rsidRPr="001F3A56">
        <w:rPr>
          <w:rFonts w:asciiTheme="majorBidi" w:hAnsiTheme="majorBidi" w:cstheme="majorBidi"/>
          <w:sz w:val="16"/>
          <w:szCs w:val="16"/>
        </w:rPr>
        <w:t xml:space="preserve">imes, 4 November 2025, </w:t>
      </w:r>
      <w:hyperlink r:id="rId9" w:history="1">
        <w:r w:rsidRPr="001F3A56">
          <w:rPr>
            <w:rStyle w:val="Hyperlink"/>
            <w:rFonts w:asciiTheme="majorBidi" w:hAnsiTheme="majorBidi" w:cstheme="majorBidi"/>
            <w:sz w:val="16"/>
            <w:szCs w:val="16"/>
          </w:rPr>
          <w:t>https://nltimes.nl/2025/11/04/highest-number-female-parliamentarians-dutch-history-43-women</w:t>
        </w:r>
      </w:hyperlink>
    </w:p>
  </w:footnote>
  <w:footnote w:id="10">
    <w:p w14:paraId="4A027AEF" w14:textId="77777777" w:rsidR="0049174B" w:rsidRPr="001F3A56" w:rsidRDefault="0049174B" w:rsidP="0049174B">
      <w:pPr>
        <w:pStyle w:val="FootnoteText"/>
        <w:rPr>
          <w:rFonts w:asciiTheme="majorBidi" w:hAnsiTheme="majorBidi" w:cstheme="majorBidi"/>
          <w:sz w:val="16"/>
          <w:szCs w:val="16"/>
        </w:rPr>
      </w:pPr>
      <w:r w:rsidRPr="001F3A56">
        <w:rPr>
          <w:rStyle w:val="FootnoteReference"/>
          <w:rFonts w:asciiTheme="majorBidi" w:hAnsiTheme="majorBidi" w:cstheme="majorBidi"/>
          <w:sz w:val="16"/>
          <w:szCs w:val="16"/>
        </w:rPr>
        <w:footnoteRef/>
      </w:r>
      <w:r w:rsidRPr="001F3A56">
        <w:rPr>
          <w:rFonts w:asciiTheme="majorBidi" w:hAnsiTheme="majorBidi" w:cstheme="majorBidi"/>
          <w:sz w:val="16"/>
          <w:szCs w:val="16"/>
        </w:rPr>
        <w:t xml:space="preserve"> Senate, </w:t>
      </w:r>
      <w:hyperlink r:id="rId10" w:history="1">
        <w:r w:rsidRPr="001F3A56">
          <w:rPr>
            <w:rStyle w:val="Hyperlink"/>
            <w:rFonts w:asciiTheme="majorBidi" w:hAnsiTheme="majorBidi" w:cstheme="majorBidi"/>
            <w:sz w:val="16"/>
            <w:szCs w:val="16"/>
          </w:rPr>
          <w:t>https://data.ipu.org/parliament/NL/NL-UC01/data-on-women/</w:t>
        </w:r>
      </w:hyperlink>
    </w:p>
  </w:footnote>
  <w:footnote w:id="11">
    <w:p w14:paraId="5C32FF49" w14:textId="77777777" w:rsidR="0049174B" w:rsidRPr="001F3A56" w:rsidRDefault="0049174B" w:rsidP="0049174B">
      <w:pPr>
        <w:pStyle w:val="FootnoteText"/>
        <w:rPr>
          <w:rFonts w:asciiTheme="majorBidi" w:hAnsiTheme="majorBidi" w:cstheme="majorBidi"/>
          <w:sz w:val="16"/>
          <w:szCs w:val="16"/>
        </w:rPr>
      </w:pPr>
      <w:r w:rsidRPr="001F3A56">
        <w:rPr>
          <w:rStyle w:val="FootnoteReference"/>
          <w:rFonts w:asciiTheme="majorBidi" w:hAnsiTheme="majorBidi" w:cstheme="majorBidi"/>
          <w:sz w:val="16"/>
          <w:szCs w:val="16"/>
        </w:rPr>
        <w:footnoteRef/>
      </w:r>
      <w:r w:rsidRPr="001F3A56">
        <w:rPr>
          <w:rFonts w:asciiTheme="majorBidi" w:hAnsiTheme="majorBidi" w:cstheme="majorBidi"/>
          <w:sz w:val="16"/>
          <w:szCs w:val="16"/>
        </w:rPr>
        <w:t xml:space="preserve"> The Netherlands</w:t>
      </w:r>
      <w:r w:rsidRPr="001F3A56">
        <w:rPr>
          <w:rFonts w:asciiTheme="majorBidi" w:hAnsiTheme="majorBidi" w:cstheme="majorBidi"/>
          <w:sz w:val="16"/>
          <w:szCs w:val="16"/>
          <w:rtl/>
        </w:rPr>
        <w:t xml:space="preserve"> </w:t>
      </w:r>
      <w:r w:rsidRPr="001F3A56">
        <w:rPr>
          <w:rFonts w:asciiTheme="majorBidi" w:hAnsiTheme="majorBidi" w:cstheme="majorBidi"/>
          <w:sz w:val="16"/>
          <w:szCs w:val="16"/>
        </w:rPr>
        <w:t>early parliamentary elections</w:t>
      </w:r>
      <w:r w:rsidRPr="001F3A56">
        <w:rPr>
          <w:rFonts w:asciiTheme="majorBidi" w:hAnsiTheme="majorBidi" w:cstheme="majorBidi"/>
          <w:sz w:val="16"/>
          <w:szCs w:val="16"/>
          <w:rtl/>
        </w:rPr>
        <w:t xml:space="preserve"> </w:t>
      </w:r>
      <w:r w:rsidRPr="001F3A56">
        <w:rPr>
          <w:rFonts w:asciiTheme="majorBidi" w:hAnsiTheme="majorBidi" w:cstheme="majorBidi"/>
          <w:sz w:val="16"/>
          <w:szCs w:val="16"/>
        </w:rPr>
        <w:t>29 October 2025</w:t>
      </w:r>
      <w:r w:rsidRPr="001F3A56">
        <w:rPr>
          <w:rFonts w:asciiTheme="majorBidi" w:hAnsiTheme="majorBidi" w:cstheme="majorBidi"/>
          <w:sz w:val="16"/>
          <w:szCs w:val="16"/>
          <w:rtl/>
        </w:rPr>
        <w:t xml:space="preserve"> </w:t>
      </w:r>
      <w:r w:rsidRPr="001F3A56">
        <w:rPr>
          <w:rFonts w:asciiTheme="majorBidi" w:hAnsiTheme="majorBidi" w:cstheme="majorBidi"/>
          <w:sz w:val="16"/>
          <w:szCs w:val="16"/>
        </w:rPr>
        <w:t xml:space="preserve">needs assessment mission report, ODIHR, 2 September 2025, </w:t>
      </w:r>
      <w:hyperlink r:id="rId11" w:history="1">
        <w:r w:rsidRPr="001F3A56">
          <w:rPr>
            <w:rStyle w:val="Hyperlink"/>
            <w:rFonts w:asciiTheme="majorBidi" w:hAnsiTheme="majorBidi" w:cstheme="majorBidi"/>
            <w:sz w:val="16"/>
            <w:szCs w:val="16"/>
          </w:rPr>
          <w:t>https://www.osce.org/sites/default/files/f/documents/2/3/596998.pdf</w:t>
        </w:r>
      </w:hyperlink>
    </w:p>
  </w:footnote>
  <w:footnote w:id="12">
    <w:p w14:paraId="2B7872E8" w14:textId="77777777" w:rsidR="0049174B" w:rsidRPr="001F3A56" w:rsidRDefault="0049174B" w:rsidP="0049174B">
      <w:pPr>
        <w:pStyle w:val="FootnoteText"/>
        <w:rPr>
          <w:rFonts w:asciiTheme="majorBidi" w:hAnsiTheme="majorBidi" w:cstheme="majorBidi"/>
          <w:sz w:val="16"/>
          <w:szCs w:val="16"/>
        </w:rPr>
      </w:pPr>
      <w:r w:rsidRPr="001F3A56">
        <w:rPr>
          <w:rStyle w:val="FootnoteReference"/>
          <w:rFonts w:asciiTheme="majorBidi" w:hAnsiTheme="majorBidi" w:cstheme="majorBidi"/>
          <w:sz w:val="16"/>
          <w:szCs w:val="16"/>
        </w:rPr>
        <w:footnoteRef/>
      </w:r>
      <w:r w:rsidRPr="001F3A56">
        <w:rPr>
          <w:rFonts w:asciiTheme="majorBidi" w:hAnsiTheme="majorBidi" w:cstheme="majorBidi"/>
          <w:sz w:val="16"/>
          <w:szCs w:val="16"/>
        </w:rPr>
        <w:t xml:space="preserve"> Gender gap growing in Netherlands; Drops to 43rd place on WEF ranking, NYTimes, 14 June 2025, </w:t>
      </w:r>
      <w:hyperlink r:id="rId12" w:history="1">
        <w:r w:rsidRPr="001F3A56">
          <w:rPr>
            <w:rStyle w:val="Hyperlink"/>
            <w:rFonts w:asciiTheme="majorBidi" w:hAnsiTheme="majorBidi" w:cstheme="majorBidi"/>
            <w:sz w:val="16"/>
            <w:szCs w:val="16"/>
          </w:rPr>
          <w:t>https://nltimes.nl/2025/06/14/gender-gap-growing-netherlands-drops-43rd-place-wef-ranking</w:t>
        </w:r>
      </w:hyperlink>
    </w:p>
  </w:footnote>
  <w:footnote w:id="13">
    <w:p w14:paraId="46DCEA86" w14:textId="77777777" w:rsidR="0049174B" w:rsidRPr="001F3A56" w:rsidRDefault="0049174B" w:rsidP="0049174B">
      <w:pPr>
        <w:pStyle w:val="FootnoteText"/>
        <w:rPr>
          <w:rFonts w:asciiTheme="majorBidi" w:hAnsiTheme="majorBidi" w:cstheme="majorBidi"/>
          <w:sz w:val="16"/>
          <w:szCs w:val="16"/>
        </w:rPr>
      </w:pPr>
      <w:r w:rsidRPr="001F3A56">
        <w:rPr>
          <w:rStyle w:val="FootnoteReference"/>
          <w:rFonts w:asciiTheme="majorBidi" w:hAnsiTheme="majorBidi" w:cstheme="majorBidi"/>
          <w:sz w:val="16"/>
          <w:szCs w:val="16"/>
        </w:rPr>
        <w:footnoteRef/>
      </w:r>
      <w:r w:rsidRPr="001F3A56">
        <w:rPr>
          <w:rFonts w:asciiTheme="majorBidi" w:hAnsiTheme="majorBidi" w:cstheme="majorBidi"/>
          <w:sz w:val="16"/>
          <w:szCs w:val="16"/>
        </w:rPr>
        <w:t xml:space="preserve"> Ibid, </w:t>
      </w:r>
      <w:hyperlink r:id="rId13" w:history="1">
        <w:r w:rsidRPr="001F3A56">
          <w:rPr>
            <w:rStyle w:val="Hyperlink"/>
            <w:rFonts w:asciiTheme="majorBidi" w:hAnsiTheme="majorBidi" w:cstheme="majorBidi"/>
            <w:sz w:val="16"/>
            <w:szCs w:val="16"/>
          </w:rPr>
          <w:t>https://www.osce.org/sites/default/files/f/documents/2/3/596998.pdf</w:t>
        </w:r>
      </w:hyperlink>
    </w:p>
  </w:footnote>
  <w:footnote w:id="14">
    <w:p w14:paraId="241DF205" w14:textId="77777777" w:rsidR="0049174B" w:rsidRPr="001F3A56" w:rsidRDefault="0049174B" w:rsidP="0049174B">
      <w:pPr>
        <w:pStyle w:val="FootnoteText"/>
        <w:rPr>
          <w:rFonts w:asciiTheme="majorBidi" w:hAnsiTheme="majorBidi" w:cstheme="majorBidi"/>
          <w:sz w:val="16"/>
          <w:szCs w:val="16"/>
        </w:rPr>
      </w:pPr>
      <w:r w:rsidRPr="001F3A56">
        <w:rPr>
          <w:rStyle w:val="FootnoteReference"/>
          <w:rFonts w:asciiTheme="majorBidi" w:hAnsiTheme="majorBidi" w:cstheme="majorBidi"/>
          <w:sz w:val="16"/>
          <w:szCs w:val="16"/>
        </w:rPr>
        <w:footnoteRef/>
      </w:r>
      <w:r w:rsidRPr="001F3A56">
        <w:rPr>
          <w:rFonts w:asciiTheme="majorBidi" w:hAnsiTheme="majorBidi" w:cstheme="majorBidi"/>
          <w:sz w:val="16"/>
          <w:szCs w:val="16"/>
        </w:rPr>
        <w:t xml:space="preserve"> </w:t>
      </w:r>
      <w:r w:rsidRPr="001F3A56">
        <w:rPr>
          <w:rFonts w:asciiTheme="majorBidi" w:hAnsiTheme="majorBidi" w:cstheme="majorBidi"/>
          <w:sz w:val="16"/>
          <w:szCs w:val="16"/>
          <w:lang w:bidi="ar-EG"/>
        </w:rPr>
        <w:t xml:space="preserve">Ibid, </w:t>
      </w:r>
      <w:hyperlink r:id="rId14" w:history="1">
        <w:r w:rsidRPr="001F3A56">
          <w:rPr>
            <w:rStyle w:val="Hyperlink"/>
            <w:rFonts w:asciiTheme="majorBidi" w:hAnsiTheme="majorBidi" w:cstheme="majorBidi"/>
            <w:sz w:val="16"/>
            <w:szCs w:val="16"/>
          </w:rPr>
          <w:t>https://www.hollandtimes.nl/2025-edition-4-june/gender-wage-gap-decreased-in-2024-but-wages-remain-unequal/</w:t>
        </w:r>
      </w:hyperlink>
    </w:p>
  </w:footnote>
  <w:footnote w:id="15">
    <w:p w14:paraId="2BDA6D67" w14:textId="77777777" w:rsidR="0049174B" w:rsidRPr="001F3A56" w:rsidRDefault="0049174B" w:rsidP="0049174B">
      <w:pPr>
        <w:pStyle w:val="FootnoteText"/>
        <w:rPr>
          <w:rFonts w:asciiTheme="majorBidi" w:hAnsiTheme="majorBidi" w:cstheme="majorBidi"/>
          <w:sz w:val="16"/>
          <w:szCs w:val="16"/>
        </w:rPr>
      </w:pPr>
      <w:r w:rsidRPr="001F3A56">
        <w:rPr>
          <w:rStyle w:val="FootnoteReference"/>
          <w:rFonts w:asciiTheme="majorBidi" w:hAnsiTheme="majorBidi" w:cstheme="majorBidi"/>
          <w:sz w:val="16"/>
          <w:szCs w:val="16"/>
        </w:rPr>
        <w:footnoteRef/>
      </w:r>
      <w:r w:rsidRPr="001F3A56">
        <w:rPr>
          <w:rFonts w:asciiTheme="majorBidi" w:hAnsiTheme="majorBidi" w:cstheme="majorBidi"/>
          <w:sz w:val="16"/>
          <w:szCs w:val="16"/>
        </w:rPr>
        <w:t xml:space="preserve"> SDG 5 Gender equality, </w:t>
      </w:r>
      <w:hyperlink r:id="rId15" w:history="1">
        <w:r w:rsidRPr="001F3A56">
          <w:rPr>
            <w:rStyle w:val="Hyperlink"/>
            <w:rFonts w:asciiTheme="majorBidi" w:hAnsiTheme="majorBidi" w:cstheme="majorBidi"/>
            <w:sz w:val="16"/>
            <w:szCs w:val="16"/>
          </w:rPr>
          <w:t>https://www.cbs.nl/en-gb/visualisations/monitor-of-well-being-and-the-sustainable-development-goals/sdg-s/sdg-5-gender-equality</w:t>
        </w:r>
      </w:hyperlink>
    </w:p>
  </w:footnote>
  <w:footnote w:id="16">
    <w:p w14:paraId="75A3DC1C" w14:textId="323E5B6E" w:rsidR="0049174B" w:rsidRPr="001F3A56" w:rsidRDefault="0049174B" w:rsidP="0049174B">
      <w:pPr>
        <w:pStyle w:val="FootnoteText"/>
        <w:rPr>
          <w:rFonts w:asciiTheme="majorBidi" w:hAnsiTheme="majorBidi" w:cstheme="majorBidi"/>
          <w:sz w:val="16"/>
          <w:szCs w:val="16"/>
        </w:rPr>
      </w:pPr>
      <w:r w:rsidRPr="001F3A56">
        <w:rPr>
          <w:rStyle w:val="FootnoteReference"/>
          <w:rFonts w:asciiTheme="majorBidi" w:hAnsiTheme="majorBidi" w:cstheme="majorBidi"/>
          <w:sz w:val="16"/>
          <w:szCs w:val="16"/>
        </w:rPr>
        <w:footnoteRef/>
      </w:r>
      <w:r w:rsidRPr="001F3A56">
        <w:rPr>
          <w:rFonts w:asciiTheme="majorBidi" w:hAnsiTheme="majorBidi" w:cstheme="majorBidi"/>
          <w:sz w:val="16"/>
          <w:szCs w:val="16"/>
        </w:rPr>
        <w:t xml:space="preserve"> Part-time and Partly Equal: Gender and Work in the Netherlands, </w:t>
      </w:r>
      <w:r w:rsidR="00691A99">
        <w:rPr>
          <w:rFonts w:asciiTheme="majorBidi" w:hAnsiTheme="majorBidi" w:cstheme="majorBidi"/>
          <w:sz w:val="16"/>
          <w:szCs w:val="16"/>
        </w:rPr>
        <w:t>OECD</w:t>
      </w:r>
      <w:r w:rsidRPr="001F3A56">
        <w:rPr>
          <w:rFonts w:asciiTheme="majorBidi" w:hAnsiTheme="majorBidi" w:cstheme="majorBidi"/>
          <w:sz w:val="16"/>
          <w:szCs w:val="16"/>
        </w:rPr>
        <w:t xml:space="preserve">, 11 September 2019, </w:t>
      </w:r>
      <w:hyperlink r:id="rId16" w:history="1">
        <w:r w:rsidRPr="001F3A56">
          <w:rPr>
            <w:rStyle w:val="Hyperlink"/>
            <w:rFonts w:asciiTheme="majorBidi" w:hAnsiTheme="majorBidi" w:cstheme="majorBidi"/>
            <w:sz w:val="16"/>
            <w:szCs w:val="16"/>
          </w:rPr>
          <w:t>https://www.oecd.org/en/publications/part-time-and-partly-equal-gender-and-work-in-the-netherlands_204235cf-en.html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lang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085395F"/>
    <w:multiLevelType w:val="multilevel"/>
    <w:tmpl w:val="5CF0E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EB2DF9"/>
    <w:multiLevelType w:val="multilevel"/>
    <w:tmpl w:val="D67AB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53309C"/>
    <w:multiLevelType w:val="multilevel"/>
    <w:tmpl w:val="23B40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E764FB"/>
    <w:multiLevelType w:val="multilevel"/>
    <w:tmpl w:val="55F2B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8B47DF"/>
    <w:multiLevelType w:val="multilevel"/>
    <w:tmpl w:val="E95AD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C46772"/>
    <w:multiLevelType w:val="multilevel"/>
    <w:tmpl w:val="77568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7"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0"/>
  </w:num>
  <w:num w:numId="2" w16cid:durableId="319427900">
    <w:abstractNumId w:val="6"/>
  </w:num>
  <w:num w:numId="3" w16cid:durableId="483819352">
    <w:abstractNumId w:val="1"/>
  </w:num>
  <w:num w:numId="4" w16cid:durableId="1550531087">
    <w:abstractNumId w:val="15"/>
  </w:num>
  <w:num w:numId="5" w16cid:durableId="365302262">
    <w:abstractNumId w:val="4"/>
  </w:num>
  <w:num w:numId="6" w16cid:durableId="1490904455">
    <w:abstractNumId w:val="35"/>
  </w:num>
  <w:num w:numId="7" w16cid:durableId="1975796718">
    <w:abstractNumId w:val="43"/>
  </w:num>
  <w:num w:numId="8" w16cid:durableId="168910388">
    <w:abstractNumId w:val="47"/>
  </w:num>
  <w:num w:numId="9" w16cid:durableId="864364265">
    <w:abstractNumId w:val="33"/>
  </w:num>
  <w:num w:numId="10" w16cid:durableId="1110662610">
    <w:abstractNumId w:val="36"/>
  </w:num>
  <w:num w:numId="11" w16cid:durableId="48504678">
    <w:abstractNumId w:val="27"/>
  </w:num>
  <w:num w:numId="12" w16cid:durableId="1057243330">
    <w:abstractNumId w:val="46"/>
  </w:num>
  <w:num w:numId="13" w16cid:durableId="113838224">
    <w:abstractNumId w:val="25"/>
  </w:num>
  <w:num w:numId="14" w16cid:durableId="1819300015">
    <w:abstractNumId w:val="9"/>
  </w:num>
  <w:num w:numId="15" w16cid:durableId="1354769003">
    <w:abstractNumId w:val="31"/>
  </w:num>
  <w:num w:numId="16" w16cid:durableId="765884069">
    <w:abstractNumId w:val="16"/>
  </w:num>
  <w:num w:numId="17" w16cid:durableId="1830708544">
    <w:abstractNumId w:val="0"/>
  </w:num>
  <w:num w:numId="18" w16cid:durableId="1195772453">
    <w:abstractNumId w:val="22"/>
  </w:num>
  <w:num w:numId="19" w16cid:durableId="116266373">
    <w:abstractNumId w:val="2"/>
  </w:num>
  <w:num w:numId="20" w16cid:durableId="1165899663">
    <w:abstractNumId w:val="12"/>
  </w:num>
  <w:num w:numId="21" w16cid:durableId="1921870603">
    <w:abstractNumId w:val="49"/>
  </w:num>
  <w:num w:numId="22" w16cid:durableId="1106846340">
    <w:abstractNumId w:val="14"/>
  </w:num>
  <w:num w:numId="23" w16cid:durableId="1120413215">
    <w:abstractNumId w:val="19"/>
  </w:num>
  <w:num w:numId="24" w16cid:durableId="884490536">
    <w:abstractNumId w:val="34"/>
  </w:num>
  <w:num w:numId="25" w16cid:durableId="1098991049">
    <w:abstractNumId w:val="39"/>
  </w:num>
  <w:num w:numId="26" w16cid:durableId="631596808">
    <w:abstractNumId w:val="10"/>
  </w:num>
  <w:num w:numId="27" w16cid:durableId="1306087360">
    <w:abstractNumId w:val="8"/>
  </w:num>
  <w:num w:numId="28" w16cid:durableId="909191109">
    <w:abstractNumId w:val="28"/>
  </w:num>
  <w:num w:numId="29" w16cid:durableId="556204899">
    <w:abstractNumId w:val="29"/>
  </w:num>
  <w:num w:numId="30" w16cid:durableId="1668284805">
    <w:abstractNumId w:val="17"/>
  </w:num>
  <w:num w:numId="31" w16cid:durableId="1777868951">
    <w:abstractNumId w:val="26"/>
  </w:num>
  <w:num w:numId="32" w16cid:durableId="1614898655">
    <w:abstractNumId w:val="7"/>
  </w:num>
  <w:num w:numId="33" w16cid:durableId="364449577">
    <w:abstractNumId w:val="13"/>
  </w:num>
  <w:num w:numId="34" w16cid:durableId="248081818">
    <w:abstractNumId w:val="45"/>
  </w:num>
  <w:num w:numId="35" w16cid:durableId="1742749116">
    <w:abstractNumId w:val="40"/>
  </w:num>
  <w:num w:numId="36" w16cid:durableId="1632056943">
    <w:abstractNumId w:val="30"/>
  </w:num>
  <w:num w:numId="37" w16cid:durableId="16198188">
    <w:abstractNumId w:val="38"/>
  </w:num>
  <w:num w:numId="38" w16cid:durableId="995642619">
    <w:abstractNumId w:val="23"/>
  </w:num>
  <w:num w:numId="39" w16cid:durableId="1951429902">
    <w:abstractNumId w:val="48"/>
  </w:num>
  <w:num w:numId="40" w16cid:durableId="1660618793">
    <w:abstractNumId w:val="24"/>
  </w:num>
  <w:num w:numId="41" w16cid:durableId="566649021">
    <w:abstractNumId w:val="44"/>
  </w:num>
  <w:num w:numId="42" w16cid:durableId="230387690">
    <w:abstractNumId w:val="18"/>
  </w:num>
  <w:num w:numId="43" w16cid:durableId="335613693">
    <w:abstractNumId w:val="3"/>
  </w:num>
  <w:num w:numId="44" w16cid:durableId="1955866269">
    <w:abstractNumId w:val="5"/>
  </w:num>
  <w:num w:numId="45" w16cid:durableId="1236166310">
    <w:abstractNumId w:val="32"/>
  </w:num>
  <w:num w:numId="46" w16cid:durableId="1135757983">
    <w:abstractNumId w:val="41"/>
  </w:num>
  <w:num w:numId="47" w16cid:durableId="1772360755">
    <w:abstractNumId w:val="37"/>
  </w:num>
  <w:num w:numId="48" w16cid:durableId="562985464">
    <w:abstractNumId w:val="11"/>
  </w:num>
  <w:num w:numId="49" w16cid:durableId="1870022964">
    <w:abstractNumId w:val="21"/>
  </w:num>
  <w:num w:numId="50" w16cid:durableId="37316273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650"/>
    <w:rsid w:val="00015BCC"/>
    <w:rsid w:val="0002084A"/>
    <w:rsid w:val="00042C6F"/>
    <w:rsid w:val="0004495D"/>
    <w:rsid w:val="0004619A"/>
    <w:rsid w:val="00046C49"/>
    <w:rsid w:val="00047ED5"/>
    <w:rsid w:val="00050B79"/>
    <w:rsid w:val="00086352"/>
    <w:rsid w:val="00093D9F"/>
    <w:rsid w:val="000A0E24"/>
    <w:rsid w:val="000B5D57"/>
    <w:rsid w:val="000B6F75"/>
    <w:rsid w:val="000C7C14"/>
    <w:rsid w:val="00101544"/>
    <w:rsid w:val="00107673"/>
    <w:rsid w:val="00114CCA"/>
    <w:rsid w:val="00156C09"/>
    <w:rsid w:val="001668A8"/>
    <w:rsid w:val="00196443"/>
    <w:rsid w:val="001A6E66"/>
    <w:rsid w:val="001B13EB"/>
    <w:rsid w:val="001B450B"/>
    <w:rsid w:val="001C7043"/>
    <w:rsid w:val="001D1DBC"/>
    <w:rsid w:val="001D532C"/>
    <w:rsid w:val="001D6213"/>
    <w:rsid w:val="001F354D"/>
    <w:rsid w:val="001F3A56"/>
    <w:rsid w:val="001F47FD"/>
    <w:rsid w:val="002257CD"/>
    <w:rsid w:val="002305C5"/>
    <w:rsid w:val="002533B2"/>
    <w:rsid w:val="00284AAE"/>
    <w:rsid w:val="0028723E"/>
    <w:rsid w:val="002876FE"/>
    <w:rsid w:val="0029400A"/>
    <w:rsid w:val="002C79F5"/>
    <w:rsid w:val="002D0B34"/>
    <w:rsid w:val="002D5B01"/>
    <w:rsid w:val="002D65A3"/>
    <w:rsid w:val="002D7273"/>
    <w:rsid w:val="00307051"/>
    <w:rsid w:val="003216C7"/>
    <w:rsid w:val="00326F85"/>
    <w:rsid w:val="003319F3"/>
    <w:rsid w:val="003439F7"/>
    <w:rsid w:val="00360DAB"/>
    <w:rsid w:val="00371F59"/>
    <w:rsid w:val="00372B51"/>
    <w:rsid w:val="0038184B"/>
    <w:rsid w:val="00383811"/>
    <w:rsid w:val="003A0EBE"/>
    <w:rsid w:val="003A1F96"/>
    <w:rsid w:val="003A60A9"/>
    <w:rsid w:val="003A745E"/>
    <w:rsid w:val="003B7C83"/>
    <w:rsid w:val="003C01C1"/>
    <w:rsid w:val="00401F8D"/>
    <w:rsid w:val="004055DB"/>
    <w:rsid w:val="004134D4"/>
    <w:rsid w:val="00414D42"/>
    <w:rsid w:val="00424B8B"/>
    <w:rsid w:val="004273C5"/>
    <w:rsid w:val="00434DDB"/>
    <w:rsid w:val="00436AE3"/>
    <w:rsid w:val="004650D2"/>
    <w:rsid w:val="00477C56"/>
    <w:rsid w:val="00484A19"/>
    <w:rsid w:val="00490571"/>
    <w:rsid w:val="0049174B"/>
    <w:rsid w:val="004A720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D38D7"/>
    <w:rsid w:val="005E2E96"/>
    <w:rsid w:val="005E642C"/>
    <w:rsid w:val="006105E2"/>
    <w:rsid w:val="00640577"/>
    <w:rsid w:val="006412F6"/>
    <w:rsid w:val="00644334"/>
    <w:rsid w:val="00644785"/>
    <w:rsid w:val="00646A53"/>
    <w:rsid w:val="00655768"/>
    <w:rsid w:val="006807A3"/>
    <w:rsid w:val="00683E71"/>
    <w:rsid w:val="00690C3F"/>
    <w:rsid w:val="00691A99"/>
    <w:rsid w:val="00693967"/>
    <w:rsid w:val="006946CB"/>
    <w:rsid w:val="006B1AFB"/>
    <w:rsid w:val="006C53FC"/>
    <w:rsid w:val="006F5D15"/>
    <w:rsid w:val="00713444"/>
    <w:rsid w:val="00720C57"/>
    <w:rsid w:val="00741D51"/>
    <w:rsid w:val="007421E4"/>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B71B3"/>
    <w:rsid w:val="008F0744"/>
    <w:rsid w:val="008F2641"/>
    <w:rsid w:val="0091285A"/>
    <w:rsid w:val="00920472"/>
    <w:rsid w:val="009337BF"/>
    <w:rsid w:val="009412A9"/>
    <w:rsid w:val="009850AD"/>
    <w:rsid w:val="00990858"/>
    <w:rsid w:val="009B028E"/>
    <w:rsid w:val="009C623E"/>
    <w:rsid w:val="009D1F8F"/>
    <w:rsid w:val="009E15C5"/>
    <w:rsid w:val="009E290C"/>
    <w:rsid w:val="00A15C06"/>
    <w:rsid w:val="00A162C1"/>
    <w:rsid w:val="00A31EA7"/>
    <w:rsid w:val="00A3448D"/>
    <w:rsid w:val="00A37636"/>
    <w:rsid w:val="00A45C79"/>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C193E"/>
    <w:rsid w:val="00CC2F15"/>
    <w:rsid w:val="00CC606D"/>
    <w:rsid w:val="00CD3720"/>
    <w:rsid w:val="00CD497F"/>
    <w:rsid w:val="00CD5381"/>
    <w:rsid w:val="00D01C6A"/>
    <w:rsid w:val="00D11899"/>
    <w:rsid w:val="00D500E7"/>
    <w:rsid w:val="00D56CB6"/>
    <w:rsid w:val="00D57B63"/>
    <w:rsid w:val="00D65CAF"/>
    <w:rsid w:val="00D674C8"/>
    <w:rsid w:val="00DA1879"/>
    <w:rsid w:val="00DB04A9"/>
    <w:rsid w:val="00DB5AB9"/>
    <w:rsid w:val="00DC35AC"/>
    <w:rsid w:val="00DD77D6"/>
    <w:rsid w:val="00DE35AB"/>
    <w:rsid w:val="00DE6A62"/>
    <w:rsid w:val="00DF3596"/>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A7654"/>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8E1D3"/>
  <w15:docId w15:val="{0E187A29-D660-4C26-BA25-C451F12E6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9F5"/>
    <w:pPr>
      <w:spacing w:line="278" w:lineRule="auto"/>
    </w:pPr>
    <w:rPr>
      <w:kern w:val="2"/>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nltimes.nl/2024/10/18/foreign-victims-sexual-exploitation-netherlands-rapporteur" TargetMode="External"/><Relationship Id="rId13" Type="http://schemas.openxmlformats.org/officeDocument/2006/relationships/hyperlink" Target="https://www.osce.org/sites/default/files/f/documents/2/3/596998.pdf" TargetMode="External"/><Relationship Id="rId3" Type="http://schemas.openxmlformats.org/officeDocument/2006/relationships/hyperlink" Target="https://constitutionnet.org/news/constitutionalising-status-quo-expanding-non-discrimination-protections" TargetMode="External"/><Relationship Id="rId7" Type="http://schemas.openxmlformats.org/officeDocument/2006/relationships/hyperlink" Target="https://nltimes.nl/2025/07/02/five-men-arrested-sexually-exploiting-women-getting-addicted-flakka" TargetMode="External"/><Relationship Id="rId12" Type="http://schemas.openxmlformats.org/officeDocument/2006/relationships/hyperlink" Target="https://nltimes.nl/2025/06/14/gender-gap-growing-netherlands-drops-43rd-place-wef-ranking" TargetMode="External"/><Relationship Id="rId2" Type="http://schemas.openxmlformats.org/officeDocument/2006/relationships/hyperlink" Target="https://www.law.cornell.edu/gender-justice/resource/algemene_wet_gelijke_behandeling_%28equal_treatment_act%29" TargetMode="External"/><Relationship Id="rId16" Type="http://schemas.openxmlformats.org/officeDocument/2006/relationships/hyperlink" Target="https://www.oecd.org/en/publications/part-time-and-partly-equal-gender-and-work-in-the-netherlands_204235cf-en.html" TargetMode="External"/><Relationship Id="rId1" Type="http://schemas.openxmlformats.org/officeDocument/2006/relationships/hyperlink" Target="http://www.dutchcivillaw.com/constitution.htm" TargetMode="External"/><Relationship Id="rId6" Type="http://schemas.openxmlformats.org/officeDocument/2006/relationships/hyperlink" Target="https://www.comensha.nl/elearning/en/about-sex-trafficking/" TargetMode="External"/><Relationship Id="rId11" Type="http://schemas.openxmlformats.org/officeDocument/2006/relationships/hyperlink" Target="https://www.osce.org/sites/default/files/f/documents/2/3/596998.pdf" TargetMode="External"/><Relationship Id="rId5" Type="http://schemas.openxmlformats.org/officeDocument/2006/relationships/hyperlink" Target="https://nltimes.nl/2025/10/17/human-trafficking-reports-rise-netherlands-especially-child-victims" TargetMode="External"/><Relationship Id="rId15" Type="http://schemas.openxmlformats.org/officeDocument/2006/relationships/hyperlink" Target="https://www.cbs.nl/en-gb/visualisations/monitor-of-well-being-and-the-sustainable-development-goals/sdg-s/sdg-5-gender-equality" TargetMode="External"/><Relationship Id="rId10" Type="http://schemas.openxmlformats.org/officeDocument/2006/relationships/hyperlink" Target="https://data.ipu.org/parliament/NL/NL-UC01/data-on-women/" TargetMode="External"/><Relationship Id="rId4" Type="http://schemas.openxmlformats.org/officeDocument/2006/relationships/hyperlink" Target="https://www.hollandtimes.nl/2025-edition-4-june/gender-wage-gap-decreased-in-2024-but-wages-remain-unequal/" TargetMode="External"/><Relationship Id="rId9" Type="http://schemas.openxmlformats.org/officeDocument/2006/relationships/hyperlink" Target="https://nltimes.nl/2025/11/04/highest-number-female-parliamentarians-dutch-history-43-women" TargetMode="External"/><Relationship Id="rId14" Type="http://schemas.openxmlformats.org/officeDocument/2006/relationships/hyperlink" Target="https://www.hollandtimes.nl/2025-edition-4-june/gender-wage-gap-decreased-in-2024-but-wages-remain-unequ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2017</Words>
  <Characters>11500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cp:lastModifiedBy>
  <cp:revision>3</cp:revision>
  <dcterms:created xsi:type="dcterms:W3CDTF">2026-01-05T12:17:00Z</dcterms:created>
  <dcterms:modified xsi:type="dcterms:W3CDTF">2026-01-05T12:31:00Z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