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DB07B" w14:textId="77777777" w:rsidR="003C1F39" w:rsidRDefault="00B9577E">
      <w:pPr>
        <w:keepNext/>
        <w:keepLines/>
        <w:pBdr>
          <w:top w:val="nil"/>
          <w:left w:val="nil"/>
          <w:bottom w:val="nil"/>
          <w:right w:val="nil"/>
          <w:between w:val="nil"/>
        </w:pBdr>
        <w:spacing w:after="60"/>
        <w:jc w:val="center"/>
        <w:rPr>
          <w:rFonts w:ascii="Corbel" w:eastAsia="Corbel" w:hAnsi="Corbel" w:cs="Corbel"/>
          <w:b/>
          <w:color w:val="000000"/>
          <w:sz w:val="52"/>
          <w:szCs w:val="52"/>
        </w:rPr>
      </w:pPr>
      <w:bookmarkStart w:id="0" w:name="_heading=h.gjdgxs" w:colFirst="0" w:colLast="0"/>
      <w:bookmarkEnd w:id="0"/>
      <w:r>
        <w:rPr>
          <w:rFonts w:ascii="Corbel" w:eastAsia="Corbel" w:hAnsi="Corbel" w:cs="Corbel"/>
          <w:b/>
          <w:color w:val="000000"/>
          <w:sz w:val="52"/>
          <w:szCs w:val="52"/>
        </w:rPr>
        <w:t>Informe alternativo al del Estado mexicano sobre la situación de las mujeres, niñas y adolescentes en movilidad humana, 2025</w:t>
      </w:r>
    </w:p>
    <w:p w14:paraId="107DB07C" w14:textId="77777777" w:rsidR="003C1F39" w:rsidRDefault="00B9577E">
      <w:pPr>
        <w:jc w:val="right"/>
        <w:rPr>
          <w:rFonts w:ascii="Corbel" w:eastAsia="Corbel" w:hAnsi="Corbel" w:cs="Corbel"/>
        </w:rPr>
      </w:pPr>
      <w:r>
        <w:rPr>
          <w:noProof/>
        </w:rPr>
        <w:drawing>
          <wp:anchor distT="114300" distB="114300" distL="114300" distR="114300" simplePos="0" relativeHeight="251658240" behindDoc="0" locked="0" layoutInCell="1" hidden="0" allowOverlap="1" wp14:anchorId="107DB0E5" wp14:editId="107DB0E6">
            <wp:simplePos x="0" y="0"/>
            <wp:positionH relativeFrom="column">
              <wp:posOffset>923925</wp:posOffset>
            </wp:positionH>
            <wp:positionV relativeFrom="paragraph">
              <wp:posOffset>310412</wp:posOffset>
            </wp:positionV>
            <wp:extent cx="3700463" cy="1272418"/>
            <wp:effectExtent l="0" t="0" r="0" b="0"/>
            <wp:wrapSquare wrapText="bothSides" distT="114300" distB="114300" distL="114300" distR="114300"/>
            <wp:docPr id="14812781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00463" cy="1272418"/>
                    </a:xfrm>
                    <a:prstGeom prst="rect">
                      <a:avLst/>
                    </a:prstGeom>
                    <a:ln/>
                  </pic:spPr>
                </pic:pic>
              </a:graphicData>
            </a:graphic>
          </wp:anchor>
        </w:drawing>
      </w:r>
    </w:p>
    <w:p w14:paraId="107DB07D" w14:textId="77777777" w:rsidR="003C1F39" w:rsidRDefault="003C1F39">
      <w:pPr>
        <w:jc w:val="right"/>
        <w:rPr>
          <w:rFonts w:ascii="Corbel" w:eastAsia="Corbel" w:hAnsi="Corbel" w:cs="Corbel"/>
        </w:rPr>
      </w:pPr>
    </w:p>
    <w:p w14:paraId="107DB07E" w14:textId="77777777" w:rsidR="003C1F39" w:rsidRDefault="003C1F39">
      <w:pPr>
        <w:jc w:val="right"/>
        <w:rPr>
          <w:rFonts w:ascii="Corbel" w:eastAsia="Corbel" w:hAnsi="Corbel" w:cs="Corbel"/>
        </w:rPr>
      </w:pPr>
    </w:p>
    <w:p w14:paraId="107DB07F" w14:textId="77777777" w:rsidR="003C1F39" w:rsidRDefault="003C1F39">
      <w:pPr>
        <w:rPr>
          <w:rFonts w:ascii="Corbel" w:eastAsia="Corbel" w:hAnsi="Corbel" w:cs="Corbel"/>
        </w:rPr>
      </w:pPr>
    </w:p>
    <w:p w14:paraId="107DB080" w14:textId="77777777" w:rsidR="003C1F39" w:rsidRDefault="003C1F39">
      <w:pPr>
        <w:jc w:val="right"/>
        <w:rPr>
          <w:rFonts w:ascii="Corbel" w:eastAsia="Corbel" w:hAnsi="Corbel" w:cs="Corbel"/>
        </w:rPr>
      </w:pPr>
    </w:p>
    <w:p w14:paraId="107DB081" w14:textId="77777777" w:rsidR="003C1F39" w:rsidRDefault="003C1F39">
      <w:pPr>
        <w:jc w:val="right"/>
        <w:rPr>
          <w:rFonts w:ascii="Corbel" w:eastAsia="Corbel" w:hAnsi="Corbel" w:cs="Corbel"/>
        </w:rPr>
      </w:pPr>
    </w:p>
    <w:p w14:paraId="107DB082" w14:textId="77777777" w:rsidR="003C1F39" w:rsidRDefault="003C1F39">
      <w:pPr>
        <w:jc w:val="right"/>
        <w:rPr>
          <w:rFonts w:ascii="Corbel" w:eastAsia="Corbel" w:hAnsi="Corbel" w:cs="Corbel"/>
        </w:rPr>
      </w:pPr>
    </w:p>
    <w:p w14:paraId="107DB083" w14:textId="77777777" w:rsidR="003C1F39" w:rsidRDefault="003C1F39">
      <w:pPr>
        <w:jc w:val="right"/>
        <w:rPr>
          <w:rFonts w:ascii="Corbel" w:eastAsia="Corbel" w:hAnsi="Corbel" w:cs="Corbel"/>
        </w:rPr>
      </w:pPr>
    </w:p>
    <w:p w14:paraId="107DB084" w14:textId="77777777" w:rsidR="003C1F39" w:rsidRDefault="003C1F39">
      <w:pPr>
        <w:jc w:val="right"/>
        <w:rPr>
          <w:rFonts w:ascii="Corbel" w:eastAsia="Corbel" w:hAnsi="Corbel" w:cs="Corbel"/>
        </w:rPr>
      </w:pPr>
    </w:p>
    <w:p w14:paraId="107DB085" w14:textId="77777777" w:rsidR="003C1F39" w:rsidRDefault="003C1F39">
      <w:pPr>
        <w:jc w:val="center"/>
        <w:rPr>
          <w:rFonts w:ascii="Corbel" w:eastAsia="Corbel" w:hAnsi="Corbel" w:cs="Corbel"/>
        </w:rPr>
      </w:pPr>
    </w:p>
    <w:p w14:paraId="107DB086" w14:textId="77777777" w:rsidR="003C1F39" w:rsidRDefault="00B9577E">
      <w:pPr>
        <w:jc w:val="center"/>
        <w:rPr>
          <w:rFonts w:ascii="Corbel" w:eastAsia="Corbel" w:hAnsi="Corbel" w:cs="Corbel"/>
          <w:highlight w:val="yellow"/>
        </w:rPr>
      </w:pPr>
      <w:r>
        <w:rPr>
          <w:rFonts w:ascii="Corbel" w:eastAsia="Corbel" w:hAnsi="Corbel" w:cs="Corbel"/>
        </w:rPr>
        <w:t xml:space="preserve">Elaborado por </w:t>
      </w:r>
      <w:r>
        <w:rPr>
          <w:rFonts w:ascii="Corbel" w:eastAsia="Corbel" w:hAnsi="Corbel" w:cs="Corbel"/>
          <w:color w:val="202124"/>
          <w:highlight w:val="white"/>
        </w:rPr>
        <w:t>Instituto para las Mujeres en la Migración, AC</w:t>
      </w:r>
      <w:r>
        <w:rPr>
          <w:rFonts w:ascii="Corbel" w:eastAsia="Corbel" w:hAnsi="Corbel" w:cs="Corbel"/>
          <w:color w:val="202124"/>
        </w:rPr>
        <w:t xml:space="preserve"> (IMUMI)</w:t>
      </w:r>
      <w:r>
        <w:rPr>
          <w:rFonts w:ascii="Corbel" w:eastAsia="Corbel" w:hAnsi="Corbel" w:cs="Corbel"/>
          <w:color w:val="202124"/>
          <w:vertAlign w:val="superscript"/>
        </w:rPr>
        <w:footnoteReference w:id="1"/>
      </w:r>
      <w:r>
        <w:rPr>
          <w:rFonts w:ascii="Corbel" w:eastAsia="Corbel" w:hAnsi="Corbel" w:cs="Corbel"/>
          <w:color w:val="202124"/>
          <w:vertAlign w:val="superscript"/>
        </w:rPr>
        <w:footnoteReference w:id="2"/>
      </w:r>
    </w:p>
    <w:p w14:paraId="107DB087" w14:textId="77777777" w:rsidR="003C1F39" w:rsidRDefault="003C1F39">
      <w:pPr>
        <w:keepNext/>
        <w:keepLines/>
        <w:pBdr>
          <w:top w:val="nil"/>
          <w:left w:val="nil"/>
          <w:bottom w:val="nil"/>
          <w:right w:val="nil"/>
          <w:between w:val="nil"/>
        </w:pBdr>
        <w:spacing w:before="400" w:after="120"/>
        <w:ind w:left="720"/>
        <w:jc w:val="center"/>
        <w:rPr>
          <w:rFonts w:ascii="Corbel" w:eastAsia="Corbel" w:hAnsi="Corbel" w:cs="Corbel"/>
          <w:b/>
          <w:u w:val="single"/>
        </w:rPr>
      </w:pPr>
      <w:bookmarkStart w:id="1" w:name="_heading=h.miip7fylxylq" w:colFirst="0" w:colLast="0"/>
      <w:bookmarkEnd w:id="1"/>
    </w:p>
    <w:p w14:paraId="107DB088" w14:textId="77777777" w:rsidR="003C1F39" w:rsidRDefault="003C1F39">
      <w:pPr>
        <w:keepNext/>
        <w:keepLines/>
        <w:pBdr>
          <w:top w:val="nil"/>
          <w:left w:val="nil"/>
          <w:bottom w:val="nil"/>
          <w:right w:val="nil"/>
          <w:between w:val="nil"/>
        </w:pBdr>
        <w:spacing w:before="400" w:after="120"/>
        <w:jc w:val="left"/>
        <w:rPr>
          <w:rFonts w:ascii="Corbel" w:eastAsia="Corbel" w:hAnsi="Corbel" w:cs="Corbel"/>
          <w:b/>
          <w:u w:val="single"/>
        </w:rPr>
      </w:pPr>
      <w:bookmarkStart w:id="2" w:name="_heading=h.812xh6l7o3t0" w:colFirst="0" w:colLast="0"/>
      <w:bookmarkEnd w:id="2"/>
    </w:p>
    <w:p w14:paraId="107DB089" w14:textId="77777777" w:rsidR="003C1F39" w:rsidRDefault="003C1F39">
      <w:pPr>
        <w:keepNext/>
        <w:keepLines/>
        <w:pBdr>
          <w:top w:val="nil"/>
          <w:left w:val="nil"/>
          <w:bottom w:val="nil"/>
          <w:right w:val="nil"/>
          <w:between w:val="nil"/>
        </w:pBdr>
        <w:spacing w:before="400" w:after="120"/>
        <w:jc w:val="left"/>
        <w:rPr>
          <w:rFonts w:ascii="Corbel" w:eastAsia="Corbel" w:hAnsi="Corbel" w:cs="Corbel"/>
          <w:b/>
          <w:u w:val="single"/>
        </w:rPr>
      </w:pPr>
      <w:bookmarkStart w:id="3" w:name="_heading=h.rkk3sjgogu4z" w:colFirst="0" w:colLast="0"/>
      <w:bookmarkEnd w:id="3"/>
    </w:p>
    <w:p w14:paraId="107DB08A" w14:textId="77777777" w:rsidR="003C1F39" w:rsidRDefault="00B9577E">
      <w:pPr>
        <w:keepNext/>
        <w:keepLines/>
        <w:pBdr>
          <w:top w:val="nil"/>
          <w:left w:val="nil"/>
          <w:bottom w:val="nil"/>
          <w:right w:val="nil"/>
          <w:between w:val="nil"/>
        </w:pBdr>
        <w:spacing w:before="400" w:after="120"/>
        <w:jc w:val="center"/>
        <w:rPr>
          <w:rFonts w:ascii="Corbel" w:eastAsia="Corbel" w:hAnsi="Corbel" w:cs="Corbel"/>
          <w:u w:val="single"/>
        </w:rPr>
      </w:pPr>
      <w:bookmarkStart w:id="4" w:name="_heading=h.30j0zll" w:colFirst="0" w:colLast="0"/>
      <w:bookmarkEnd w:id="4"/>
      <w:r>
        <w:rPr>
          <w:rFonts w:ascii="Corbel" w:eastAsia="Corbel" w:hAnsi="Corbel" w:cs="Corbel"/>
          <w:b/>
          <w:color w:val="000000"/>
          <w:u w:val="single"/>
        </w:rPr>
        <w:t>Introducción</w:t>
      </w:r>
    </w:p>
    <w:p w14:paraId="107DB08B" w14:textId="77777777" w:rsidR="003C1F39" w:rsidRDefault="00B9577E">
      <w:pPr>
        <w:rPr>
          <w:rFonts w:ascii="Corbel" w:eastAsia="Corbel" w:hAnsi="Corbel" w:cs="Corbel"/>
        </w:rPr>
      </w:pPr>
      <w:r>
        <w:rPr>
          <w:rFonts w:ascii="Corbel" w:eastAsia="Corbel" w:hAnsi="Corbel" w:cs="Corbel"/>
        </w:rPr>
        <w:t>Este documento tiene como objetivo presentar información al Comité de Naciones Unidas para la Protección de los Derechos de Todos los Trabajadores Migratorios y de sus Familiares (CMW), en preparación para el examen del cuarto informe periódico del Estado mexicano, conforme al artículo 74 de la Convención Internacional sobre la Protección de los Derechos de Todos los Trabajadores Migratorios y de sus Familiares. Se describe la situación de los derechos de mujeres, niñas y adolescentes en movilidad humana desde enero de 2017 hasta febrero de 2024, incluyendo los avances, desafíos y puntos de preocupación señalados por la sociedad civil en su labor de acompañamiento legal, documentación e investigación. Además, se presentan las recomendaciones que se solicitan al CMW para que remita al Estado durante el examen.</w:t>
      </w:r>
    </w:p>
    <w:p w14:paraId="107DB08C" w14:textId="77777777" w:rsidR="003C1F39" w:rsidRDefault="00B9577E">
      <w:pPr>
        <w:keepNext/>
        <w:keepLines/>
        <w:numPr>
          <w:ilvl w:val="0"/>
          <w:numId w:val="5"/>
        </w:numPr>
        <w:pBdr>
          <w:top w:val="nil"/>
          <w:left w:val="nil"/>
          <w:bottom w:val="nil"/>
          <w:right w:val="nil"/>
          <w:between w:val="nil"/>
        </w:pBdr>
        <w:spacing w:before="400" w:after="120"/>
        <w:jc w:val="center"/>
        <w:rPr>
          <w:rFonts w:ascii="Corbel" w:eastAsia="Corbel" w:hAnsi="Corbel" w:cs="Corbel"/>
          <w:b/>
          <w:color w:val="000000"/>
        </w:rPr>
      </w:pPr>
      <w:bookmarkStart w:id="5" w:name="_heading=h.1fob9te" w:colFirst="0" w:colLast="0"/>
      <w:bookmarkEnd w:id="5"/>
      <w:r>
        <w:rPr>
          <w:rFonts w:ascii="Corbel" w:eastAsia="Corbel" w:hAnsi="Corbel" w:cs="Corbel"/>
          <w:b/>
          <w:color w:val="000000"/>
          <w:highlight w:val="white"/>
          <w:u w:val="single"/>
        </w:rPr>
        <w:t xml:space="preserve">Situación general de las mujeres, niñas y adolescentes en movilidad en México </w:t>
      </w:r>
    </w:p>
    <w:p w14:paraId="107DB08D" w14:textId="77777777" w:rsidR="003C1F39" w:rsidRDefault="00B9577E">
      <w:pPr>
        <w:rPr>
          <w:rFonts w:ascii="Corbel" w:eastAsia="Corbel" w:hAnsi="Corbel" w:cs="Corbel"/>
        </w:rPr>
      </w:pPr>
      <w:r>
        <w:rPr>
          <w:rFonts w:ascii="Corbel" w:eastAsia="Corbel" w:hAnsi="Corbel" w:cs="Corbel"/>
        </w:rPr>
        <w:t>En los últimos años, ha aumentado la presencia de mujeres, niñas y adolescentes en los flujos migratorios mixtos hacia México. Entre 2017 y 2018, las mujeres representaron el 21% de la población migrante irregular, cifra que subió al 31% entre 2019 y 2024.</w:t>
      </w:r>
      <w:r>
        <w:rPr>
          <w:rFonts w:ascii="Corbel" w:eastAsia="Corbel" w:hAnsi="Corbel" w:cs="Corbel"/>
          <w:vertAlign w:val="superscript"/>
        </w:rPr>
        <w:footnoteReference w:id="3"/>
      </w:r>
      <w:r>
        <w:rPr>
          <w:rFonts w:ascii="Corbel" w:eastAsia="Corbel" w:hAnsi="Corbel" w:cs="Corbel"/>
        </w:rPr>
        <w:t xml:space="preserve"> En 2023, al menos 24,000 mujeres residieron en los albergues de la Red de Documentación de las Organizaciones Defensoras de Migrantes (REDODEM).</w:t>
      </w:r>
      <w:r>
        <w:rPr>
          <w:rFonts w:ascii="Corbel" w:eastAsia="Corbel" w:hAnsi="Corbel" w:cs="Corbel"/>
          <w:vertAlign w:val="superscript"/>
        </w:rPr>
        <w:footnoteReference w:id="4"/>
      </w:r>
      <w:r>
        <w:rPr>
          <w:rFonts w:ascii="Corbel" w:eastAsia="Corbel" w:hAnsi="Corbel" w:cs="Corbel"/>
        </w:rPr>
        <w:t xml:space="preserve"> Según su informe anual,</w:t>
      </w:r>
      <w:r>
        <w:rPr>
          <w:rFonts w:ascii="Corbel" w:eastAsia="Corbel" w:hAnsi="Corbel" w:cs="Corbel"/>
          <w:vertAlign w:val="superscript"/>
        </w:rPr>
        <w:footnoteReference w:id="5"/>
      </w:r>
      <w:r>
        <w:rPr>
          <w:rFonts w:ascii="Corbel" w:eastAsia="Corbel" w:hAnsi="Corbel" w:cs="Corbel"/>
        </w:rPr>
        <w:t xml:space="preserve"> El 51.3% huyó por violencia generalizada, el 18.5% en busca de servicios médicos y educativos, el 12.3% por intimidaciones y amenazas, el 8.9% por violencia doméstica y el 1.6% por violencia familiar. En comparación, el 22% de los hombres migrantes emigraron por desempleo, el 15% en busca de trabajo y el 11% por empleo mal remunerado. </w:t>
      </w:r>
    </w:p>
    <w:p w14:paraId="107DB08E" w14:textId="77777777" w:rsidR="003C1F39" w:rsidRDefault="003C1F39">
      <w:pPr>
        <w:rPr>
          <w:rFonts w:ascii="Corbel" w:eastAsia="Corbel" w:hAnsi="Corbel" w:cs="Corbel"/>
        </w:rPr>
      </w:pPr>
    </w:p>
    <w:p w14:paraId="107DB08F" w14:textId="77777777" w:rsidR="003C1F39" w:rsidRDefault="00B9577E">
      <w:pPr>
        <w:rPr>
          <w:rFonts w:ascii="Corbel" w:eastAsia="Corbel" w:hAnsi="Corbel" w:cs="Corbel"/>
        </w:rPr>
      </w:pPr>
      <w:r>
        <w:rPr>
          <w:rFonts w:ascii="Corbel" w:eastAsia="Corbel" w:hAnsi="Corbel" w:cs="Corbel"/>
        </w:rPr>
        <w:t>La migración puede mejorar la posición social y económica de las mujeres, pero también las expone a violencia y discriminación de género. La Encuesta Nacional sobre Discriminación 2022 indica que el 30.3% de las mujeres migrantes y el 27.2% de los hombres encuestados fueron víctimas de discriminación, siendo el 37.2% de las mujeres y el 10% de los hombres por su género.</w:t>
      </w:r>
      <w:r>
        <w:rPr>
          <w:rFonts w:ascii="Corbel" w:eastAsia="Corbel" w:hAnsi="Corbel" w:cs="Corbel"/>
          <w:vertAlign w:val="superscript"/>
        </w:rPr>
        <w:footnoteReference w:id="6"/>
      </w:r>
      <w:r>
        <w:rPr>
          <w:rFonts w:ascii="Corbel" w:eastAsia="Corbel" w:hAnsi="Corbel" w:cs="Corbel"/>
        </w:rPr>
        <w:t xml:space="preserve"> Desde la última revisión en 2017, la política migratoria y de asilo ha afectado de forma diferenciada a mujeres y niñas, especialmente a aquellas de poblaciones históricamente discriminadas, como las que tienen identidades de género diversas, discapacidad, afrodescendientes, indígenas, rurales y en situación de </w:t>
      </w:r>
      <w:r>
        <w:rPr>
          <w:rFonts w:ascii="Corbel" w:eastAsia="Corbel" w:hAnsi="Corbel" w:cs="Corbel"/>
        </w:rPr>
        <w:lastRenderedPageBreak/>
        <w:t>pobreza, lo que muestra la falta de avances en la implementación de las observaciones del tercer informe de México ante el CMW.</w:t>
      </w:r>
    </w:p>
    <w:p w14:paraId="107DB090" w14:textId="77777777" w:rsidR="003C1F39" w:rsidRDefault="00B9577E">
      <w:pPr>
        <w:keepNext/>
        <w:keepLines/>
        <w:numPr>
          <w:ilvl w:val="0"/>
          <w:numId w:val="5"/>
        </w:numPr>
        <w:pBdr>
          <w:top w:val="nil"/>
          <w:left w:val="nil"/>
          <w:bottom w:val="nil"/>
          <w:right w:val="nil"/>
          <w:between w:val="nil"/>
        </w:pBdr>
        <w:spacing w:before="400" w:after="120"/>
        <w:jc w:val="center"/>
        <w:rPr>
          <w:rFonts w:ascii="Corbel" w:eastAsia="Corbel" w:hAnsi="Corbel" w:cs="Corbel"/>
          <w:b/>
          <w:color w:val="000000"/>
        </w:rPr>
      </w:pPr>
      <w:bookmarkStart w:id="6" w:name="_heading=h.3znysh7" w:colFirst="0" w:colLast="0"/>
      <w:bookmarkEnd w:id="6"/>
      <w:r>
        <w:rPr>
          <w:rFonts w:ascii="Corbel" w:eastAsia="Corbel" w:hAnsi="Corbel" w:cs="Corbel"/>
          <w:b/>
          <w:color w:val="000000"/>
          <w:u w:val="single"/>
        </w:rPr>
        <w:t xml:space="preserve">Vulnerabilidades y riesgos que enfrentan mujeres en movilidad </w:t>
      </w:r>
    </w:p>
    <w:p w14:paraId="107DB091" w14:textId="77777777" w:rsidR="003C1F39" w:rsidRDefault="00B9577E">
      <w:pPr>
        <w:rPr>
          <w:rFonts w:ascii="Corbel" w:eastAsia="Corbel" w:hAnsi="Corbel" w:cs="Corbel"/>
        </w:rPr>
      </w:pPr>
      <w:r>
        <w:rPr>
          <w:rFonts w:ascii="Corbel" w:eastAsia="Corbel" w:hAnsi="Corbel" w:cs="Corbel"/>
        </w:rPr>
        <w:t>Las mujeres, niñas y adolescentes en movilidad por México enfrentan riesgos y vulnerabilidades de género durante su trayecto y estancia. Según una encuesta de ACNUR y HIAS, el 56% de las mujeres desplazadas encuestadas afirmaron haber experimentado inseguridad durante su viaje hacia México, y al llegar al país, un 40% continuó sintiéndose insegura.</w:t>
      </w:r>
      <w:r>
        <w:rPr>
          <w:rFonts w:ascii="Corbel" w:eastAsia="Corbel" w:hAnsi="Corbel" w:cs="Corbel"/>
          <w:vertAlign w:val="superscript"/>
        </w:rPr>
        <w:footnoteReference w:id="7"/>
      </w:r>
      <w:r>
        <w:rPr>
          <w:rFonts w:ascii="Corbel" w:eastAsia="Corbel" w:hAnsi="Corbel" w:cs="Corbel"/>
        </w:rPr>
        <w:t xml:space="preserve"> Los riesgos asociados al género se incrementan con la militarización de la política migratoria. Desde 2019, la Guardia Nacional (GN), un cuerpo militarizado, ha sido desplegada en puntos de alta afluencia migrante, con facultades para el control migratorio. La sociedad civil ha documentado casos de violencia sexual, persecución e intimidación por parte de la GN en Estaciones Migratorias y durante operativos de revisión migratoria. Un diagnóstico del Servicio Jesuita a Refugiados, UNICEF y el Instituto Municipal de la Mujer en Ciudad Juárez reveló que el 30% de las mujeres entrevistadas en albergues entre 2022 y 2023 reportaron abusos por parte de fuerzas armadas o de la GN.</w:t>
      </w:r>
      <w:r>
        <w:rPr>
          <w:rFonts w:ascii="Corbel" w:eastAsia="Corbel" w:hAnsi="Corbel" w:cs="Corbel"/>
          <w:vertAlign w:val="superscript"/>
        </w:rPr>
        <w:footnoteReference w:id="8"/>
      </w:r>
      <w:r>
        <w:rPr>
          <w:rFonts w:ascii="Corbel" w:eastAsia="Corbel" w:hAnsi="Corbel" w:cs="Corbel"/>
        </w:rPr>
        <w:t xml:space="preserve"> Además, el Colectivo de Observación de Derechos Humanos identificó operativos sorpresivos de la GN y el Instituto Nacional de Migración (INM) en la frontera sur, donde se detuvo principalmente a mujeres, algunas embarazadas, y a niñas, niños y adolescentes entre enero de 2022 y mayo de 2023.</w:t>
      </w:r>
      <w:r>
        <w:rPr>
          <w:rFonts w:ascii="Corbel" w:eastAsia="Corbel" w:hAnsi="Corbel" w:cs="Corbel"/>
          <w:vertAlign w:val="superscript"/>
        </w:rPr>
        <w:footnoteReference w:id="9"/>
      </w:r>
    </w:p>
    <w:p w14:paraId="107DB092" w14:textId="77777777" w:rsidR="003C1F39" w:rsidRDefault="003C1F39">
      <w:pPr>
        <w:rPr>
          <w:rFonts w:ascii="Corbel" w:eastAsia="Corbel" w:hAnsi="Corbel" w:cs="Corbel"/>
        </w:rPr>
      </w:pPr>
    </w:p>
    <w:p w14:paraId="107DB093" w14:textId="77777777" w:rsidR="003C1F39" w:rsidRDefault="00B9577E">
      <w:pPr>
        <w:rPr>
          <w:rFonts w:ascii="Corbel" w:eastAsia="Corbel" w:hAnsi="Corbel" w:cs="Corbel"/>
        </w:rPr>
      </w:pPr>
      <w:r>
        <w:rPr>
          <w:rFonts w:ascii="Corbel" w:eastAsia="Corbel" w:hAnsi="Corbel" w:cs="Corbel"/>
        </w:rPr>
        <w:t>Los Centros de Justicia para las Mujeres (CJM), creados en 2011, son espacios multidisciplinarios que brindan atención gratuita a mujeres sobrevivientes. Actualmente existen 73 CJM en el país, la mayoría de los cuales ofrecen asesoría, alojamiento y servicios especializados. Sin embargo, enfrentan obstáculos para atender adecuadamente a las víctimas en movilidad. Primero, su ubicación y accesibilidad son limitadas, ya que hay pocos en puntos de alta afluencia migratoria. Segundo, algunas autoridades desconocen el contexto de movilidad humana y no tienen lineamientos específicos para atender a las mujeres en movilidad. Tercero, falta coordinación entre la Comisión Mexicana de Ayuda a Refugiados (COMAR), el INM y los CJM, lo que dificulta el acceso de las mujeres en movilidad a los servicios. Según la Encuesta Nacional de Victimización y Percepción sobre Seguridad Pública 2022, pocas mujeres extranjeras que acudieron a los CJM fueron admitidas o atendidas.</w:t>
      </w:r>
      <w:r>
        <w:rPr>
          <w:rFonts w:ascii="Corbel" w:eastAsia="Corbel" w:hAnsi="Corbel" w:cs="Corbel"/>
          <w:vertAlign w:val="superscript"/>
        </w:rPr>
        <w:footnoteReference w:id="10"/>
      </w:r>
      <w:r>
        <w:rPr>
          <w:rFonts w:ascii="Corbel" w:eastAsia="Corbel" w:hAnsi="Corbel" w:cs="Corbel"/>
        </w:rPr>
        <w:t xml:space="preserve"> Equis Justicia para las Mujeres reportó que sólo 11 entidades federativas registran atención a usuarias extranjeras o en movilidad, mientras que dos aseguraron no haber atendido a ninguna mujer en movilidad.</w:t>
      </w:r>
      <w:r>
        <w:rPr>
          <w:rFonts w:ascii="Corbel" w:eastAsia="Corbel" w:hAnsi="Corbel" w:cs="Corbel"/>
          <w:vertAlign w:val="superscript"/>
        </w:rPr>
        <w:footnoteReference w:id="11"/>
      </w:r>
      <w:r>
        <w:rPr>
          <w:rFonts w:ascii="Corbel" w:eastAsia="Corbel" w:hAnsi="Corbel" w:cs="Corbel"/>
        </w:rPr>
        <w:t xml:space="preserve"> </w:t>
      </w:r>
    </w:p>
    <w:p w14:paraId="107DB094" w14:textId="77777777" w:rsidR="003C1F39" w:rsidRDefault="003C1F39">
      <w:pPr>
        <w:rPr>
          <w:rFonts w:ascii="Corbel" w:eastAsia="Corbel" w:hAnsi="Corbel" w:cs="Corbel"/>
        </w:rPr>
      </w:pPr>
    </w:p>
    <w:p w14:paraId="107DB095" w14:textId="77777777" w:rsidR="003C1F39" w:rsidRDefault="00B9577E">
      <w:pPr>
        <w:rPr>
          <w:rFonts w:ascii="Corbel" w:eastAsia="Corbel" w:hAnsi="Corbel" w:cs="Corbel"/>
          <w:highlight w:val="white"/>
        </w:rPr>
      </w:pPr>
      <w:r>
        <w:rPr>
          <w:rFonts w:ascii="Corbel" w:eastAsia="Corbel" w:hAnsi="Corbel" w:cs="Corbel"/>
          <w:highlight w:val="white"/>
        </w:rPr>
        <w:t xml:space="preserve">Entre 2021 y 2022, se registraron 5,382 delitos contra personas migrantes, de los cuales 1,082 (20%) fueron contra mujeres, principalmente abuso sexual, violencia intrafamiliar, homicidio, robo, </w:t>
      </w:r>
      <w:r>
        <w:rPr>
          <w:rFonts w:ascii="Corbel" w:eastAsia="Corbel" w:hAnsi="Corbel" w:cs="Corbel"/>
          <w:highlight w:val="white"/>
        </w:rPr>
        <w:lastRenderedPageBreak/>
        <w:t>secuestro y feminicidio.</w:t>
      </w:r>
      <w:r>
        <w:rPr>
          <w:rFonts w:ascii="Corbel" w:eastAsia="Corbel" w:hAnsi="Corbel" w:cs="Corbel"/>
          <w:highlight w:val="white"/>
          <w:vertAlign w:val="superscript"/>
        </w:rPr>
        <w:footnoteReference w:id="12"/>
      </w:r>
      <w:r>
        <w:rPr>
          <w:rFonts w:ascii="Corbel" w:eastAsia="Corbel" w:hAnsi="Corbel" w:cs="Corbel"/>
          <w:highlight w:val="white"/>
        </w:rPr>
        <w:t xml:space="preserve"> Sin embargo, hay un subregistro debido a la desconfianza en el sistema de justicia, el temor a ser privadas de la libertad en estaciones migratorias y miedo a la deportación. Solo 116 de estos delitos resultaron en sentencia, con una tasa de efectividad del 2.1% entre 2021 y 2022. Durante 2017 y 2022, el INM sancionó a 11 agentes por 6,246 quejas ante la CNDH por abusos.</w:t>
      </w:r>
      <w:r>
        <w:rPr>
          <w:rFonts w:ascii="Corbel" w:eastAsia="Corbel" w:hAnsi="Corbel" w:cs="Corbel"/>
          <w:highlight w:val="white"/>
          <w:vertAlign w:val="superscript"/>
        </w:rPr>
        <w:footnoteReference w:id="13"/>
      </w:r>
      <w:r>
        <w:rPr>
          <w:rFonts w:ascii="Corbel" w:eastAsia="Corbel" w:hAnsi="Corbel" w:cs="Corbel"/>
          <w:highlight w:val="white"/>
        </w:rPr>
        <w:t xml:space="preserve"> La falta de recursos en la Unidad de Investigación de Delitos para Personas Migrantes de la Fiscalía General de la República dificulta investigaciones efectivas y se desconoce si cuentan con protocolos de género y </w:t>
      </w:r>
      <w:proofErr w:type="spellStart"/>
      <w:r>
        <w:rPr>
          <w:rFonts w:ascii="Corbel" w:eastAsia="Corbel" w:hAnsi="Corbel" w:cs="Corbel"/>
          <w:highlight w:val="white"/>
        </w:rPr>
        <w:t>movilidad.Son</w:t>
      </w:r>
      <w:proofErr w:type="spellEnd"/>
      <w:r>
        <w:rPr>
          <w:rFonts w:ascii="Corbel" w:eastAsia="Corbel" w:hAnsi="Corbel" w:cs="Corbel"/>
          <w:highlight w:val="white"/>
        </w:rPr>
        <w:t xml:space="preserve"> pocas las entidades federativas que cuentan con fiscalías especializadas de delitos contra personas en movilidad. Las mujeres representan el 17% de las personas migrantes desaparecidas en la ruta hacia EUA., y las mujeres lideran su búsqueda.</w:t>
      </w:r>
      <w:r>
        <w:rPr>
          <w:rFonts w:ascii="Corbel" w:eastAsia="Corbel" w:hAnsi="Corbel" w:cs="Corbel"/>
          <w:highlight w:val="white"/>
          <w:vertAlign w:val="superscript"/>
        </w:rPr>
        <w:footnoteReference w:id="14"/>
      </w:r>
      <w:r>
        <w:rPr>
          <w:rFonts w:ascii="Corbel" w:eastAsia="Corbel" w:hAnsi="Corbel" w:cs="Corbel"/>
          <w:highlight w:val="white"/>
        </w:rPr>
        <w:t xml:space="preserve"> A pesar de la gravedad, existen limitaciones en la coordinación transnacional para la búsqueda y la cooperación entre los Estados.</w:t>
      </w:r>
    </w:p>
    <w:p w14:paraId="107DB096" w14:textId="77777777" w:rsidR="003C1F39" w:rsidRDefault="003C1F39">
      <w:pPr>
        <w:rPr>
          <w:rFonts w:ascii="Corbel" w:eastAsia="Corbel" w:hAnsi="Corbel" w:cs="Corbel"/>
        </w:rPr>
      </w:pPr>
    </w:p>
    <w:p w14:paraId="107DB097" w14:textId="77777777" w:rsidR="003C1F39" w:rsidRDefault="00B9577E">
      <w:pPr>
        <w:rPr>
          <w:rFonts w:ascii="Corbel" w:eastAsia="Corbel" w:hAnsi="Corbel" w:cs="Corbel"/>
        </w:rPr>
      </w:pPr>
      <w:r>
        <w:rPr>
          <w:rFonts w:ascii="Corbel" w:eastAsia="Corbel" w:hAnsi="Corbel" w:cs="Corbel"/>
        </w:rPr>
        <w:t>A pesar de la recomendación del Comité CEDAW a México de abolir la detención por razones migratorias y adoptar alternativas debido a que pone en riesgo la vida e integridad de las mujeres en movilidad, esta práctica sigue siendo la norma y no una excepción.</w:t>
      </w:r>
      <w:r>
        <w:rPr>
          <w:rFonts w:ascii="Corbel" w:eastAsia="Corbel" w:hAnsi="Corbel" w:cs="Corbel"/>
          <w:vertAlign w:val="superscript"/>
        </w:rPr>
        <w:footnoteReference w:id="15"/>
      </w:r>
      <w:r>
        <w:rPr>
          <w:rFonts w:ascii="Corbel" w:eastAsia="Corbel" w:hAnsi="Corbel" w:cs="Corbel"/>
        </w:rPr>
        <w:t xml:space="preserve"> Además, no existen mecanismos de transparencia ni control judicial en la detención migratoria, que, en muchos casos, supera el plazo constitucional de 36 horas para infracciones administrativas y puede prolongarse de manera indefinida. La detención en estaciones migratorias se utiliza como una medida para contener la migración irregular. Un claro ejemplo de ello es el aumento significativo en las detenciones de mujeres en movilidad durante la administración de Andrés Manuel López Obrador (AMLO), que alcanzaron los 851,500 casos, frente a los 177,270 registrados en la administración anterior.</w:t>
      </w:r>
      <w:r>
        <w:rPr>
          <w:rFonts w:ascii="Corbel" w:eastAsia="Corbel" w:hAnsi="Corbel" w:cs="Corbel"/>
          <w:vertAlign w:val="superscript"/>
        </w:rPr>
        <w:footnoteReference w:id="16"/>
      </w:r>
    </w:p>
    <w:p w14:paraId="107DB098" w14:textId="77777777" w:rsidR="003C1F39" w:rsidRDefault="003C1F39">
      <w:pPr>
        <w:rPr>
          <w:rFonts w:ascii="Corbel" w:eastAsia="Corbel" w:hAnsi="Corbel" w:cs="Corbel"/>
        </w:rPr>
      </w:pPr>
    </w:p>
    <w:p w14:paraId="107DB099" w14:textId="77777777" w:rsidR="003C1F39" w:rsidRDefault="00B9577E">
      <w:pPr>
        <w:rPr>
          <w:rFonts w:ascii="Corbel" w:eastAsia="Corbel" w:hAnsi="Corbel" w:cs="Corbel"/>
        </w:rPr>
      </w:pPr>
      <w:r>
        <w:rPr>
          <w:rFonts w:ascii="Corbel" w:eastAsia="Corbel" w:hAnsi="Corbel" w:cs="Corbel"/>
        </w:rPr>
        <w:t>Al aumento de la detención migratoria se suma una política de desgaste documentada por la sociedad civil. Desde 2021, miles de personas en movilidad, con la intención de llegar a la frontera norte, son detenidas por agentes migratorios y devueltas a la frontera sur por vía terrestre. Esto las obliga a retomar la ruta hacia el norte, exponiéndolas a extorsiones y secuestros por parte de autoridades y grupos del crimen organizado a lo largo del país. En 2023, el INM realizó aproximadamente 3,153 reubicaciones terrestres de personas migrantes, trasladándoles desde los estados del norte hacia Veracruz, Tabasco y Chiapas, lo que afectó a 47,260 personas movilizadas en contra de su voluntad. De ellas, el 25% eran mujeres y el 4% niños, niñas y adolescentes.</w:t>
      </w:r>
      <w:r>
        <w:rPr>
          <w:rFonts w:ascii="Corbel" w:eastAsia="Corbel" w:hAnsi="Corbel" w:cs="Corbel"/>
          <w:vertAlign w:val="superscript"/>
        </w:rPr>
        <w:footnoteReference w:id="17"/>
      </w:r>
      <w:r>
        <w:rPr>
          <w:rFonts w:ascii="Corbel" w:eastAsia="Corbel" w:hAnsi="Corbel" w:cs="Corbel"/>
        </w:rPr>
        <w:t xml:space="preserve"> Tras ser devueltas al sur, el personal del INM las abandona sin proporcionarles información ni documentación migratoria, y en ocasiones les entrega un oficio para obligarlas a salir del país. Esta práctica de contención las deja en condiciones de vulnerabilidad, sin acceso a recursos ni vivienda, impidiéndoles ejercer su derecho al libre tránsito.</w:t>
      </w:r>
    </w:p>
    <w:p w14:paraId="107DB09A" w14:textId="77777777" w:rsidR="003C1F39" w:rsidRDefault="00B9577E">
      <w:pPr>
        <w:spacing w:before="240" w:after="240"/>
        <w:rPr>
          <w:rFonts w:ascii="Corbel" w:eastAsia="Corbel" w:hAnsi="Corbel" w:cs="Corbel"/>
        </w:rPr>
      </w:pPr>
      <w:r>
        <w:rPr>
          <w:rFonts w:ascii="Corbel" w:eastAsia="Corbel" w:hAnsi="Corbel" w:cs="Corbel"/>
        </w:rPr>
        <w:lastRenderedPageBreak/>
        <w:t>En los últimos años, la mortalidad materna ha aumentado en México, lo que es especialmente preocupante dado que el 5% de las mujeres migrantes están embarazadas o en periodo de lactancia, según UNICEF.</w:t>
      </w:r>
      <w:r>
        <w:rPr>
          <w:rFonts w:ascii="Corbel" w:eastAsia="Corbel" w:hAnsi="Corbel" w:cs="Corbel"/>
          <w:vertAlign w:val="superscript"/>
        </w:rPr>
        <w:footnoteReference w:id="18"/>
      </w:r>
      <w:r>
        <w:rPr>
          <w:rFonts w:ascii="Corbel" w:eastAsia="Corbel" w:hAnsi="Corbel" w:cs="Corbel"/>
        </w:rPr>
        <w:t xml:space="preserve"> Las cifras son aún más alarmantes en mujeres en movilidad: en 2022, la tasa de muertes fetales fue de 1.98% en mexicanas, mientras que alcanzó el 34% en extranjeras.</w:t>
      </w:r>
      <w:r>
        <w:rPr>
          <w:rFonts w:ascii="Corbel" w:eastAsia="Corbel" w:hAnsi="Corbel" w:cs="Corbel"/>
          <w:vertAlign w:val="superscript"/>
        </w:rPr>
        <w:footnoteReference w:id="19"/>
      </w:r>
      <w:r>
        <w:rPr>
          <w:rFonts w:ascii="Corbel" w:eastAsia="Corbel" w:hAnsi="Corbel" w:cs="Corbel"/>
        </w:rPr>
        <w:t xml:space="preserve"> Además, se ha observado un presupuesto insuficiente para los tres programas de salud sexual y reproductiva dirigidos a más de 34 millones de mujeres sin empleo formal, quienes muchas son mujeres en movilidad. A esto se suman obstáculos como la exigencia de documentación, barreras lingüísticas y la falta de información adecuada en servicios de salud sexual y reproductiva. Entre 2020 y agosto de 2023, se registraron al menos 5,127 mujeres migrantes embarazadas en estancias migratorias,</w:t>
      </w:r>
      <w:r>
        <w:rPr>
          <w:rFonts w:ascii="Corbel" w:eastAsia="Corbel" w:hAnsi="Corbel" w:cs="Corbel"/>
          <w:vertAlign w:val="superscript"/>
        </w:rPr>
        <w:footnoteReference w:id="20"/>
      </w:r>
      <w:r>
        <w:rPr>
          <w:rFonts w:ascii="Corbel" w:eastAsia="Corbel" w:hAnsi="Corbel" w:cs="Corbel"/>
        </w:rPr>
        <w:t xml:space="preserve"> y organizaciones civiles han apoyado a embarazadas en asentamientos irregulares.</w:t>
      </w:r>
    </w:p>
    <w:p w14:paraId="107DB09B" w14:textId="77777777" w:rsidR="003C1F39" w:rsidRDefault="00B9577E">
      <w:pPr>
        <w:spacing w:before="240" w:after="240"/>
        <w:rPr>
          <w:rFonts w:ascii="Corbel" w:eastAsia="Corbel" w:hAnsi="Corbel" w:cs="Corbel"/>
        </w:rPr>
      </w:pPr>
      <w:r>
        <w:rPr>
          <w:rFonts w:ascii="Corbel" w:eastAsia="Corbel" w:hAnsi="Corbel" w:cs="Corbel"/>
        </w:rPr>
        <w:t>Además, mujeres y personas gestantes en movilidad enfrentan obstáculos para acceder a una menstruación digna.</w:t>
      </w:r>
      <w:r>
        <w:rPr>
          <w:rFonts w:ascii="Corbel" w:eastAsia="Corbel" w:hAnsi="Corbel" w:cs="Corbel"/>
          <w:vertAlign w:val="superscript"/>
        </w:rPr>
        <w:footnoteReference w:id="21"/>
      </w:r>
      <w:r>
        <w:rPr>
          <w:rFonts w:ascii="Corbel" w:eastAsia="Corbel" w:hAnsi="Corbel" w:cs="Corbel"/>
        </w:rPr>
        <w:t xml:space="preserve"> En la frontera sur, muchas recurren a cartones, papel de baño, hojas de árboles o cualquier material disponible por la falta de servicios y recursos.</w:t>
      </w:r>
      <w:r>
        <w:rPr>
          <w:rFonts w:ascii="Corbel" w:eastAsia="Corbel" w:hAnsi="Corbel" w:cs="Corbel"/>
          <w:vertAlign w:val="superscript"/>
        </w:rPr>
        <w:footnoteReference w:id="22"/>
      </w:r>
      <w:r>
        <w:rPr>
          <w:rFonts w:ascii="Corbel" w:eastAsia="Corbel" w:hAnsi="Corbel" w:cs="Corbel"/>
        </w:rPr>
        <w:t xml:space="preserve"> Además, los traficantes las obligan a suspender su menstruación con anticonceptivos, tanto para evitar el ciclo menstrual como para prevenir embarazos por violación. El estrés migratorio también puede causar la desaparición temporal de la menstruación, lo que altera el ciclo menstrual y puede provocar problemas de ovulación, grosor del endometrio y sangrados irregulares. Sin embargo, la asistencia para la gestión menstrual es limitada para personas en movilidad. </w:t>
      </w:r>
    </w:p>
    <w:p w14:paraId="107DB09C" w14:textId="77777777" w:rsidR="003C1F39" w:rsidRDefault="00B9577E">
      <w:pPr>
        <w:spacing w:before="240" w:after="240"/>
        <w:rPr>
          <w:rFonts w:ascii="Corbel" w:eastAsia="Corbel" w:hAnsi="Corbel" w:cs="Corbel"/>
        </w:rPr>
      </w:pPr>
      <w:r>
        <w:rPr>
          <w:rFonts w:ascii="Corbel" w:eastAsia="Corbel" w:hAnsi="Corbel" w:cs="Corbel"/>
        </w:rPr>
        <w:t>La corresponsabilidad de los cuidados entre los géneros en movilidad humana es una deuda pendiente del Estado mexicano. Según la Encuesta Nacional para el Sistema de Cuidados de 2022, las mujeres dedican 37.9 horas semanales al trabajo de cuidados, mientras que los hombres solo 25.6, con una brecha de más de 12 horas.</w:t>
      </w:r>
      <w:r>
        <w:rPr>
          <w:rFonts w:ascii="Corbel" w:eastAsia="Corbel" w:hAnsi="Corbel" w:cs="Corbel"/>
          <w:vertAlign w:val="superscript"/>
        </w:rPr>
        <w:footnoteReference w:id="23"/>
      </w:r>
      <w:r>
        <w:rPr>
          <w:rFonts w:ascii="Corbel" w:eastAsia="Corbel" w:hAnsi="Corbel" w:cs="Corbel"/>
        </w:rPr>
        <w:t xml:space="preserve"> Algunos programas, como el de Escuelas de Tiempo Completo y Estancias Infantiles, que apoyaban a madres trabajadoras, sufrieron recortes presupuestarios durante la administración de AMLO. Las políticas públicas de redistribución de cuidados son escasas y, en el caso de las maternidades en movilidad, el acceso a estos servicios es aún más difícil debido a restricciones de documentación migratoria o falta de </w:t>
      </w:r>
      <w:proofErr w:type="spellStart"/>
      <w:r>
        <w:rPr>
          <w:rFonts w:ascii="Corbel" w:eastAsia="Corbel" w:hAnsi="Corbel" w:cs="Corbel"/>
        </w:rPr>
        <w:t>derechohabiencia</w:t>
      </w:r>
      <w:proofErr w:type="spellEnd"/>
      <w:r>
        <w:rPr>
          <w:rFonts w:ascii="Corbel" w:eastAsia="Corbel" w:hAnsi="Corbel" w:cs="Corbel"/>
        </w:rPr>
        <w:t>.</w:t>
      </w:r>
      <w:r>
        <w:rPr>
          <w:rFonts w:ascii="Corbel" w:eastAsia="Corbel" w:hAnsi="Corbel" w:cs="Corbel"/>
          <w:vertAlign w:val="superscript"/>
        </w:rPr>
        <w:footnoteReference w:id="24"/>
      </w:r>
      <w:r>
        <w:rPr>
          <w:rFonts w:ascii="Corbel" w:eastAsia="Corbel" w:hAnsi="Corbel" w:cs="Corbel"/>
        </w:rPr>
        <w:t xml:space="preserve"> En albergues y asentamientos irregulares, la infraestructura para cuidados especializados, como para infancias, personas con discapacidad o adultas mayores, es limitada. Incluso algunos espacios del Sistema Nacional para el Desarrollo Integral de la Familia siguen siendo de acceso restringido para población en movilidad.</w:t>
      </w:r>
    </w:p>
    <w:p w14:paraId="107DB09D" w14:textId="77777777" w:rsidR="003C1F39" w:rsidRDefault="00B9577E">
      <w:pPr>
        <w:rPr>
          <w:rFonts w:ascii="Corbel" w:eastAsia="Corbel" w:hAnsi="Corbel" w:cs="Corbel"/>
          <w:b/>
        </w:rPr>
      </w:pPr>
      <w:r>
        <w:rPr>
          <w:rFonts w:ascii="Corbel" w:eastAsia="Corbel" w:hAnsi="Corbel" w:cs="Corbel"/>
          <w:b/>
        </w:rPr>
        <w:lastRenderedPageBreak/>
        <w:t>Recomendaciones</w:t>
      </w:r>
    </w:p>
    <w:p w14:paraId="107DB09E" w14:textId="77777777" w:rsidR="003C1F39" w:rsidRDefault="00B9577E">
      <w:pPr>
        <w:numPr>
          <w:ilvl w:val="0"/>
          <w:numId w:val="3"/>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Derogar el artículo 9 de la Ley de la Guardia Nacional y disposiciones vinculadas, que confieren facultades en tareas de control y verificación migratoria, y limitar dichas facultades únicamente a los órganos competentes del fuero civil.</w:t>
      </w:r>
    </w:p>
    <w:p w14:paraId="107DB09F" w14:textId="77777777" w:rsidR="003C1F39" w:rsidRDefault="00B9577E">
      <w:pPr>
        <w:numPr>
          <w:ilvl w:val="0"/>
          <w:numId w:val="3"/>
        </w:numPr>
        <w:pBdr>
          <w:top w:val="nil"/>
          <w:left w:val="nil"/>
          <w:bottom w:val="nil"/>
          <w:right w:val="nil"/>
          <w:between w:val="nil"/>
        </w:pBdr>
        <w:rPr>
          <w:rFonts w:ascii="Corbel" w:eastAsia="Corbel" w:hAnsi="Corbel" w:cs="Corbel"/>
          <w:color w:val="000000"/>
          <w:highlight w:val="white"/>
        </w:rPr>
      </w:pPr>
      <w:r>
        <w:rPr>
          <w:rFonts w:ascii="Corbel" w:eastAsia="Corbel" w:hAnsi="Corbel" w:cs="Corbel"/>
        </w:rPr>
        <w:t xml:space="preserve">Fortalecer al personal de sistemas nacionales de protección para mujeres víctimas de violencia, incluyendo los Centros de Justicia para las Mujeres, en materia de derechos de personas en movilidad. </w:t>
      </w:r>
    </w:p>
    <w:p w14:paraId="107DB0A0" w14:textId="77777777" w:rsidR="003C1F39" w:rsidRDefault="00B9577E">
      <w:pPr>
        <w:numPr>
          <w:ilvl w:val="0"/>
          <w:numId w:val="3"/>
        </w:numPr>
        <w:rPr>
          <w:rFonts w:ascii="Corbel" w:eastAsia="Corbel" w:hAnsi="Corbel" w:cs="Corbel"/>
        </w:rPr>
      </w:pPr>
      <w:r>
        <w:rPr>
          <w:rFonts w:ascii="Corbel" w:eastAsia="Corbel" w:hAnsi="Corbel" w:cs="Corbel"/>
        </w:rPr>
        <w:t>Avanzar hacia la no detención por razones migratorias implementando programas y políticas de alternativas a la detención.</w:t>
      </w:r>
    </w:p>
    <w:p w14:paraId="107DB0A1" w14:textId="77777777" w:rsidR="003C1F39" w:rsidRDefault="00B9577E">
      <w:pPr>
        <w:numPr>
          <w:ilvl w:val="0"/>
          <w:numId w:val="3"/>
        </w:numPr>
        <w:rPr>
          <w:rFonts w:ascii="Corbel" w:eastAsia="Corbel" w:hAnsi="Corbel" w:cs="Corbel"/>
        </w:rPr>
      </w:pPr>
      <w:r>
        <w:rPr>
          <w:rFonts w:ascii="Corbel" w:eastAsia="Corbel" w:hAnsi="Corbel" w:cs="Corbel"/>
        </w:rPr>
        <w:t xml:space="preserve">Poner fin a la política de desgaste por la cual se regresa vía terrestre a la población en movilidad que se dirige al norte del país. </w:t>
      </w:r>
    </w:p>
    <w:p w14:paraId="107DB0A2" w14:textId="77777777" w:rsidR="003C1F39" w:rsidRDefault="00B9577E">
      <w:pPr>
        <w:numPr>
          <w:ilvl w:val="0"/>
          <w:numId w:val="3"/>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Generar registros desagregados de las carpetas de investigación y sentencias que se relacionan con personas migrantes identificando al menos: tipo de delito, edad, género; nacionalidad; y zona geográfica donde se cometió el ilícito.</w:t>
      </w:r>
    </w:p>
    <w:p w14:paraId="107DB0A3" w14:textId="77777777" w:rsidR="003C1F39" w:rsidRDefault="00B9577E">
      <w:pPr>
        <w:numPr>
          <w:ilvl w:val="0"/>
          <w:numId w:val="3"/>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Fortalecer con recursos humanos y materiales las fiscalías especializadas en delitos contra personas en movilidad en todas las entidades federativas, así como la Unidad de Investigación de Delitos para Personas Migrantes de la Fiscalía General de la República.</w:t>
      </w:r>
    </w:p>
    <w:p w14:paraId="107DB0A4" w14:textId="77777777" w:rsidR="003C1F39" w:rsidRDefault="00B9577E">
      <w:pPr>
        <w:numPr>
          <w:ilvl w:val="0"/>
          <w:numId w:val="3"/>
        </w:numPr>
        <w:pBdr>
          <w:top w:val="nil"/>
          <w:left w:val="nil"/>
          <w:bottom w:val="nil"/>
          <w:right w:val="nil"/>
          <w:between w:val="nil"/>
        </w:pBdr>
        <w:rPr>
          <w:rFonts w:ascii="Corbel" w:eastAsia="Corbel" w:hAnsi="Corbel" w:cs="Corbel"/>
          <w:color w:val="222222"/>
          <w:highlight w:val="white"/>
        </w:rPr>
      </w:pPr>
      <w:r>
        <w:rPr>
          <w:rFonts w:ascii="Corbel" w:eastAsia="Corbel" w:hAnsi="Corbel" w:cs="Corbel"/>
          <w:color w:val="000000"/>
        </w:rPr>
        <w:t xml:space="preserve">Incrementar las vías de migración regular para mujeres y niñas en situación de vulnerabilidad a través de la emisión de un programa de </w:t>
      </w:r>
      <w:r>
        <w:rPr>
          <w:rFonts w:ascii="Corbel" w:eastAsia="Corbel" w:hAnsi="Corbel" w:cs="Corbel"/>
        </w:rPr>
        <w:t>regularización en el Diario</w:t>
      </w:r>
      <w:r>
        <w:rPr>
          <w:rFonts w:ascii="Corbel" w:eastAsia="Corbel" w:hAnsi="Corbel" w:cs="Corbel"/>
          <w:color w:val="000000"/>
        </w:rPr>
        <w:t xml:space="preserve"> Oficial de la Federación (DOF). </w:t>
      </w:r>
    </w:p>
    <w:p w14:paraId="107DB0A5" w14:textId="77777777" w:rsidR="003C1F39" w:rsidRDefault="00B9577E">
      <w:pPr>
        <w:numPr>
          <w:ilvl w:val="0"/>
          <w:numId w:val="3"/>
        </w:numPr>
        <w:pBdr>
          <w:top w:val="nil"/>
          <w:left w:val="nil"/>
          <w:bottom w:val="nil"/>
          <w:right w:val="nil"/>
          <w:between w:val="nil"/>
        </w:pBdr>
        <w:rPr>
          <w:rFonts w:ascii="Corbel" w:eastAsia="Corbel" w:hAnsi="Corbel" w:cs="Corbel"/>
        </w:rPr>
      </w:pPr>
      <w:r>
        <w:rPr>
          <w:rFonts w:ascii="Corbel" w:eastAsia="Corbel" w:hAnsi="Corbel" w:cs="Corbel"/>
        </w:rPr>
        <w:t>Establecer servicios esenciales de salud sexual y reproductiva en las rutas migratorias.</w:t>
      </w:r>
    </w:p>
    <w:p w14:paraId="107DB0A6" w14:textId="77777777" w:rsidR="003C1F39" w:rsidRDefault="00B9577E">
      <w:pPr>
        <w:numPr>
          <w:ilvl w:val="0"/>
          <w:numId w:val="3"/>
        </w:numPr>
        <w:pBdr>
          <w:top w:val="nil"/>
          <w:left w:val="nil"/>
          <w:bottom w:val="nil"/>
          <w:right w:val="nil"/>
          <w:between w:val="nil"/>
        </w:pBdr>
        <w:rPr>
          <w:rFonts w:ascii="Corbel" w:eastAsia="Corbel" w:hAnsi="Corbel" w:cs="Corbel"/>
        </w:rPr>
      </w:pPr>
      <w:r>
        <w:rPr>
          <w:rFonts w:ascii="Corbel" w:eastAsia="Corbel" w:hAnsi="Corbel" w:cs="Corbel"/>
        </w:rPr>
        <w:t>Generar respuestas humanitarias con enfoque de género e interseccional.</w:t>
      </w:r>
    </w:p>
    <w:p w14:paraId="107DB0A7" w14:textId="77777777" w:rsidR="003C1F39" w:rsidRDefault="00B9577E">
      <w:pPr>
        <w:numPr>
          <w:ilvl w:val="0"/>
          <w:numId w:val="3"/>
        </w:numPr>
        <w:pBdr>
          <w:top w:val="nil"/>
          <w:left w:val="nil"/>
          <w:bottom w:val="nil"/>
          <w:right w:val="nil"/>
          <w:between w:val="nil"/>
        </w:pBdr>
        <w:rPr>
          <w:rFonts w:ascii="Corbel" w:eastAsia="Corbel" w:hAnsi="Corbel" w:cs="Corbel"/>
        </w:rPr>
      </w:pPr>
      <w:r>
        <w:rPr>
          <w:rFonts w:ascii="Corbel" w:eastAsia="Corbel" w:hAnsi="Corbel" w:cs="Corbel"/>
        </w:rPr>
        <w:t>Incrementar la participación y liderazgo de mujeres en movilidad y organizaciones feministas.</w:t>
      </w:r>
    </w:p>
    <w:p w14:paraId="107DB0A8" w14:textId="77777777" w:rsidR="003C1F39" w:rsidRDefault="00B9577E">
      <w:pPr>
        <w:numPr>
          <w:ilvl w:val="0"/>
          <w:numId w:val="3"/>
        </w:numPr>
        <w:pBdr>
          <w:top w:val="nil"/>
          <w:left w:val="nil"/>
          <w:bottom w:val="nil"/>
          <w:right w:val="nil"/>
          <w:between w:val="nil"/>
        </w:pBdr>
        <w:rPr>
          <w:rFonts w:ascii="Corbel" w:eastAsia="Corbel" w:hAnsi="Corbel" w:cs="Corbel"/>
        </w:rPr>
      </w:pPr>
      <w:r>
        <w:rPr>
          <w:rFonts w:ascii="Corbel" w:eastAsia="Corbel" w:hAnsi="Corbel" w:cs="Corbel"/>
        </w:rPr>
        <w:t>Fomentar el empoderamiento y autonomía económica de las mujeres en movilidad.</w:t>
      </w:r>
    </w:p>
    <w:p w14:paraId="107DB0A9" w14:textId="77777777" w:rsidR="003C1F39" w:rsidRDefault="00B9577E">
      <w:pPr>
        <w:numPr>
          <w:ilvl w:val="0"/>
          <w:numId w:val="3"/>
        </w:numPr>
        <w:pBdr>
          <w:top w:val="nil"/>
          <w:left w:val="nil"/>
          <w:bottom w:val="nil"/>
          <w:right w:val="nil"/>
          <w:between w:val="nil"/>
        </w:pBdr>
        <w:rPr>
          <w:rFonts w:ascii="Corbel" w:eastAsia="Corbel" w:hAnsi="Corbel" w:cs="Corbel"/>
        </w:rPr>
      </w:pPr>
      <w:r>
        <w:rPr>
          <w:rFonts w:ascii="Corbel" w:eastAsia="Corbel" w:hAnsi="Corbel" w:cs="Corbel"/>
        </w:rPr>
        <w:t>Desarrollar e implementar políticas de redistribución de cuidados focalizadas a la población en movilidad.</w:t>
      </w:r>
    </w:p>
    <w:p w14:paraId="107DB0AA" w14:textId="77777777" w:rsidR="003C1F39" w:rsidRDefault="00B9577E">
      <w:pPr>
        <w:keepNext/>
        <w:keepLines/>
        <w:numPr>
          <w:ilvl w:val="0"/>
          <w:numId w:val="5"/>
        </w:numPr>
        <w:pBdr>
          <w:top w:val="nil"/>
          <w:left w:val="nil"/>
          <w:bottom w:val="nil"/>
          <w:right w:val="nil"/>
          <w:between w:val="nil"/>
        </w:pBdr>
        <w:spacing w:before="400" w:after="120"/>
        <w:jc w:val="center"/>
        <w:rPr>
          <w:rFonts w:ascii="Corbel" w:eastAsia="Corbel" w:hAnsi="Corbel" w:cs="Corbel"/>
          <w:b/>
          <w:color w:val="000000"/>
          <w:highlight w:val="white"/>
        </w:rPr>
      </w:pPr>
      <w:bookmarkStart w:id="7" w:name="_heading=h.tyjcwt" w:colFirst="0" w:colLast="0"/>
      <w:bookmarkEnd w:id="7"/>
      <w:r>
        <w:rPr>
          <w:rFonts w:ascii="Corbel" w:eastAsia="Corbel" w:hAnsi="Corbel" w:cs="Corbel"/>
          <w:b/>
          <w:color w:val="000000"/>
          <w:highlight w:val="white"/>
          <w:u w:val="single"/>
        </w:rPr>
        <w:t xml:space="preserve">Derechos de las mujeres </w:t>
      </w:r>
      <w:r>
        <w:rPr>
          <w:rFonts w:ascii="Corbel" w:eastAsia="Corbel" w:hAnsi="Corbel" w:cs="Corbel"/>
          <w:b/>
          <w:highlight w:val="white"/>
          <w:u w:val="single"/>
        </w:rPr>
        <w:t>sujetas a protección internacional</w:t>
      </w:r>
    </w:p>
    <w:p w14:paraId="107DB0AB" w14:textId="77777777" w:rsidR="003C1F39" w:rsidRDefault="00B9577E">
      <w:pPr>
        <w:rPr>
          <w:rFonts w:ascii="Corbel" w:eastAsia="Corbel" w:hAnsi="Corbel" w:cs="Corbel"/>
        </w:rPr>
      </w:pPr>
      <w:r>
        <w:rPr>
          <w:rFonts w:ascii="Corbel" w:eastAsia="Corbel" w:hAnsi="Corbel" w:cs="Corbel"/>
        </w:rPr>
        <w:t>En el Gráfico I se observa que las mujeres representan el 41% de las solicitudes de asilo, y en los últimos años ha aumentado su proporción. Uno de los principales motivos que llevó a las mujeres a buscar protección en México es la violencia de género. El ACNUR señala que el 60% de las mujeres de Honduras, Guatemala y El Salvador huyó de sus países por violencia de género.</w:t>
      </w:r>
      <w:r>
        <w:rPr>
          <w:rFonts w:ascii="Corbel" w:eastAsia="Corbel" w:hAnsi="Corbel" w:cs="Corbel"/>
          <w:vertAlign w:val="superscript"/>
        </w:rPr>
        <w:footnoteReference w:id="25"/>
      </w:r>
      <w:r>
        <w:rPr>
          <w:rFonts w:ascii="Corbel" w:eastAsia="Corbel" w:hAnsi="Corbel" w:cs="Corbel"/>
        </w:rPr>
        <w:t xml:space="preserve">  Las violencias no terminan al salir de su país, pues muchas son perseguidas más allá de las fronteras, se enfrentan a la discriminación y abusos por parte de policías municipales, elementos de la Guardia Nacional, agentes del INM y la población en general, durante su trámite o después de resuelta su solicitud de asilo. </w:t>
      </w:r>
    </w:p>
    <w:p w14:paraId="107DB0AC" w14:textId="77777777" w:rsidR="003C1F39" w:rsidRDefault="003C1F39">
      <w:pPr>
        <w:rPr>
          <w:rFonts w:ascii="Corbel" w:eastAsia="Corbel" w:hAnsi="Corbel" w:cs="Corbel"/>
        </w:rPr>
      </w:pPr>
    </w:p>
    <w:p w14:paraId="107DB0AD" w14:textId="77777777" w:rsidR="003C1F39" w:rsidRDefault="00B9577E">
      <w:pPr>
        <w:rPr>
          <w:rFonts w:ascii="Corbel" w:eastAsia="Corbel" w:hAnsi="Corbel" w:cs="Corbel"/>
        </w:rPr>
      </w:pPr>
      <w:r>
        <w:rPr>
          <w:rFonts w:ascii="Corbel" w:eastAsia="Corbel" w:hAnsi="Corbel" w:cs="Corbel"/>
        </w:rPr>
        <w:t>Aunque el marco normativo en México incorpora a la violencia de género como causal del reconocimiento de la condición de refugiada, organizaciones han registrado que muchas mujeres víctimas de violencia de género solicitantes de asilo no reciben el reconocimiento.</w:t>
      </w:r>
      <w:r>
        <w:rPr>
          <w:rFonts w:ascii="Corbel" w:eastAsia="Corbel" w:hAnsi="Corbel" w:cs="Corbel"/>
          <w:vertAlign w:val="superscript"/>
        </w:rPr>
        <w:footnoteReference w:id="26"/>
      </w:r>
      <w:r>
        <w:rPr>
          <w:rFonts w:ascii="Corbel" w:eastAsia="Corbel" w:hAnsi="Corbel" w:cs="Corbel"/>
        </w:rPr>
        <w:t xml:space="preserve"> Muchas </w:t>
      </w:r>
      <w:r>
        <w:rPr>
          <w:rFonts w:ascii="Corbel" w:eastAsia="Corbel" w:hAnsi="Corbel" w:cs="Corbel"/>
        </w:rPr>
        <w:lastRenderedPageBreak/>
        <w:t xml:space="preserve">solicitudes se resuelven mediante la causal de pertenencia a determinado grupo social, o se les confiere la figura de protección complementaria, que tiene un estándar menor de protección. Esta situación invisibiliza el aspecto estructural de la persecución basada en género en contra de las mujeres. La sociedad civil ha observado limitaciones en los procesos de solicitud de asilo para las sobrevivientes de violencia de género, como la falta de capacitación en primeros auxilios psicológicos, ausencia de espacios privados y confidenciales, poco acceso a entrevistas con personal del mismo sexo </w:t>
      </w:r>
      <w:proofErr w:type="spellStart"/>
      <w:r>
        <w:rPr>
          <w:rFonts w:ascii="Corbel" w:eastAsia="Corbel" w:hAnsi="Corbel" w:cs="Corbel"/>
        </w:rPr>
        <w:t>y</w:t>
      </w:r>
      <w:proofErr w:type="spellEnd"/>
      <w:r>
        <w:rPr>
          <w:rFonts w:ascii="Corbel" w:eastAsia="Corbel" w:hAnsi="Corbel" w:cs="Corbel"/>
        </w:rPr>
        <w:t xml:space="preserve"> investigaciones superficiales. Los largos tiempos de espera ante la COMAR afectan gravemente las solicitudes de las mujeres. Aunque el plazo máximo es de 30 días, el proceso puede durar más de seis meses, durante los cuales las mujeres carecen de estatus migratorio definitivo y no pueden avanzar en procesos como la reunificación familiar ni moverse entre entidades federativas, limitando su integración y acceso a oportunidades.</w:t>
      </w:r>
    </w:p>
    <w:p w14:paraId="107DB0AE" w14:textId="77777777" w:rsidR="003C1F39" w:rsidRDefault="003C1F39">
      <w:pPr>
        <w:rPr>
          <w:rFonts w:ascii="Corbel" w:eastAsia="Corbel" w:hAnsi="Corbel" w:cs="Corbel"/>
          <w:b/>
          <w:i/>
        </w:rPr>
      </w:pPr>
    </w:p>
    <w:p w14:paraId="107DB0AF" w14:textId="77777777" w:rsidR="003C1F39" w:rsidRDefault="00B9577E">
      <w:pPr>
        <w:rPr>
          <w:rFonts w:ascii="Corbel" w:eastAsia="Corbel" w:hAnsi="Corbel" w:cs="Corbel"/>
          <w:highlight w:val="white"/>
        </w:rPr>
      </w:pPr>
      <w:r>
        <w:rPr>
          <w:rFonts w:ascii="Corbel" w:eastAsia="Corbel" w:hAnsi="Corbel" w:cs="Corbel"/>
          <w:highlight w:val="white"/>
        </w:rPr>
        <w:t>Organizaciones han detectado una violación al principio de no devolución, al devolver casi de forma inmediata a solicitantes de asilo y personas reconocidas como refugiadas en la frontera sur y en los aeropuertos.</w:t>
      </w:r>
      <w:r>
        <w:rPr>
          <w:rFonts w:ascii="Corbel" w:eastAsia="Corbel" w:hAnsi="Corbel" w:cs="Corbel"/>
          <w:highlight w:val="white"/>
          <w:vertAlign w:val="superscript"/>
        </w:rPr>
        <w:footnoteReference w:id="27"/>
      </w:r>
      <w:r>
        <w:rPr>
          <w:rFonts w:ascii="Corbel" w:eastAsia="Corbel" w:hAnsi="Corbel" w:cs="Corbel"/>
          <w:highlight w:val="white"/>
        </w:rPr>
        <w:t xml:space="preserve"> En algunos casos de deportación de personas sujetas a protección internacional se detectaron separaciones familiares, afectando de forma desproporcionada a las mujeres y sus hijos/as. </w:t>
      </w:r>
      <w:r>
        <w:rPr>
          <w:rFonts w:ascii="Corbel" w:eastAsia="Corbel" w:hAnsi="Corbel" w:cs="Corbel"/>
          <w:highlight w:val="white"/>
          <w:vertAlign w:val="superscript"/>
        </w:rPr>
        <w:footnoteReference w:id="28"/>
      </w:r>
    </w:p>
    <w:p w14:paraId="107DB0B0" w14:textId="77777777" w:rsidR="003C1F39" w:rsidRDefault="003C1F39">
      <w:pPr>
        <w:rPr>
          <w:rFonts w:ascii="Corbel" w:eastAsia="Corbel" w:hAnsi="Corbel" w:cs="Corbel"/>
          <w:highlight w:val="white"/>
        </w:rPr>
      </w:pPr>
    </w:p>
    <w:p w14:paraId="107DB0B1" w14:textId="77777777" w:rsidR="003C1F39" w:rsidRDefault="00B9577E">
      <w:pPr>
        <w:rPr>
          <w:rFonts w:ascii="Corbel" w:eastAsia="Corbel" w:hAnsi="Corbel" w:cs="Corbel"/>
          <w:highlight w:val="white"/>
        </w:rPr>
      </w:pPr>
      <w:r>
        <w:rPr>
          <w:rFonts w:ascii="Corbel" w:eastAsia="Corbel" w:hAnsi="Corbel" w:cs="Corbel"/>
          <w:highlight w:val="white"/>
        </w:rPr>
        <w:t>Desde 2023, las autoridades migratorias han obstaculizado la emisión de Tarjetas de Visitante por Razones Humanitarias a las personas solicitantes de la condición de refugiada/o. La falta de documentación obliga a las mujeres solicitantes de asilo a trabajar en la economía informal, aceptar empleos precarios y, en casos extremos, ser explotadas sexual o laboralmente. Sin documentación, tienen menos posibilidades de denunciar violencia de género por el temor a ser detenidas, deportadas o rechazadas al presentar una denuncia. Además, enfrentan dificultades para acceder a atención sanitaria, educación, servicios sociales, recursos legales y apoyo económico para necesidades urgentes.</w:t>
      </w:r>
    </w:p>
    <w:p w14:paraId="107DB0B2" w14:textId="77777777" w:rsidR="003C1F39" w:rsidRDefault="00B9577E">
      <w:pPr>
        <w:keepNext/>
        <w:keepLines/>
        <w:pBdr>
          <w:top w:val="nil"/>
          <w:left w:val="nil"/>
          <w:bottom w:val="nil"/>
          <w:right w:val="nil"/>
          <w:between w:val="nil"/>
        </w:pBdr>
        <w:spacing w:before="360" w:after="120"/>
        <w:jc w:val="left"/>
        <w:rPr>
          <w:rFonts w:ascii="Corbel" w:eastAsia="Corbel" w:hAnsi="Corbel" w:cs="Corbel"/>
          <w:b/>
          <w:color w:val="000000"/>
          <w:highlight w:val="white"/>
        </w:rPr>
      </w:pPr>
      <w:bookmarkStart w:id="8" w:name="_heading=h.3dy6vkm" w:colFirst="0" w:colLast="0"/>
      <w:bookmarkEnd w:id="8"/>
      <w:r>
        <w:rPr>
          <w:rFonts w:ascii="Corbel" w:eastAsia="Corbel" w:hAnsi="Corbel" w:cs="Corbel"/>
          <w:b/>
          <w:color w:val="000000"/>
          <w:highlight w:val="white"/>
        </w:rPr>
        <w:t>Recomendaciones</w:t>
      </w:r>
    </w:p>
    <w:p w14:paraId="107DB0B3" w14:textId="77777777" w:rsidR="003C1F39" w:rsidRDefault="00B9577E">
      <w:pPr>
        <w:numPr>
          <w:ilvl w:val="0"/>
          <w:numId w:val="4"/>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Elaborar lineamientos y criterios públicos desde el análisis de género que facilite al personal de la COMAR robustecer el nexo causal por razón de género y sustentarlo en las evaluaciones y resoluciones.</w:t>
      </w:r>
    </w:p>
    <w:p w14:paraId="107DB0B4" w14:textId="77777777" w:rsidR="003C1F39" w:rsidRDefault="00B9577E">
      <w:pPr>
        <w:numPr>
          <w:ilvl w:val="0"/>
          <w:numId w:val="4"/>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 xml:space="preserve">Desarrollar guías específicas sobre la creación de entornos seguros y propicios durante la entrevista de elegibilidad para el otorgamiento de la condición de persona refugiada. </w:t>
      </w:r>
    </w:p>
    <w:p w14:paraId="107DB0B5" w14:textId="77777777" w:rsidR="003C1F39" w:rsidRDefault="00B9577E">
      <w:pPr>
        <w:numPr>
          <w:ilvl w:val="0"/>
          <w:numId w:val="4"/>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 xml:space="preserve">Llevar a cabo investigaciones a profundidad para comprender mejor la revelación de violencia basada en género durante la entrevista de elegibilidad para el otorgamiento de la condición de persona refugiada. </w:t>
      </w:r>
    </w:p>
    <w:p w14:paraId="107DB0B6" w14:textId="77777777" w:rsidR="003C1F39" w:rsidRDefault="00B9577E">
      <w:pPr>
        <w:numPr>
          <w:ilvl w:val="0"/>
          <w:numId w:val="4"/>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t xml:space="preserve">Eliminar barreras administrativas y plazos para acceder al procedimiento de reconocimiento de la condición de persona refugiada. </w:t>
      </w:r>
    </w:p>
    <w:p w14:paraId="107DB0B7" w14:textId="77777777" w:rsidR="003C1F39" w:rsidRDefault="00B9577E">
      <w:pPr>
        <w:numPr>
          <w:ilvl w:val="0"/>
          <w:numId w:val="4"/>
        </w:numPr>
        <w:pBdr>
          <w:top w:val="nil"/>
          <w:left w:val="nil"/>
          <w:bottom w:val="nil"/>
          <w:right w:val="nil"/>
          <w:between w:val="nil"/>
        </w:pBdr>
        <w:rPr>
          <w:rFonts w:ascii="Corbel" w:eastAsia="Corbel" w:hAnsi="Corbel" w:cs="Corbel"/>
          <w:color w:val="000000"/>
          <w:highlight w:val="white"/>
        </w:rPr>
      </w:pPr>
      <w:r>
        <w:rPr>
          <w:rFonts w:ascii="Corbel" w:eastAsia="Corbel" w:hAnsi="Corbel" w:cs="Corbel"/>
          <w:color w:val="000000"/>
          <w:highlight w:val="white"/>
        </w:rPr>
        <w:lastRenderedPageBreak/>
        <w:t xml:space="preserve">Mejorar la comunicación interinstitucional entre el INM y COMAR para identificar a personas solicitantes y refugiadas y evitar la ejecución de actos violatorios a sus derechos, como la detención o la devolución a su país de origen. </w:t>
      </w:r>
    </w:p>
    <w:p w14:paraId="107DB0B8" w14:textId="77777777" w:rsidR="003C1F39" w:rsidRDefault="00B9577E">
      <w:pPr>
        <w:numPr>
          <w:ilvl w:val="0"/>
          <w:numId w:val="4"/>
        </w:numPr>
        <w:pBdr>
          <w:top w:val="nil"/>
          <w:left w:val="nil"/>
          <w:bottom w:val="nil"/>
          <w:right w:val="nil"/>
          <w:between w:val="nil"/>
        </w:pBdr>
        <w:rPr>
          <w:rFonts w:ascii="Corbel" w:eastAsia="Corbel" w:hAnsi="Corbel" w:cs="Corbel"/>
          <w:highlight w:val="white"/>
        </w:rPr>
      </w:pPr>
      <w:r>
        <w:rPr>
          <w:rFonts w:ascii="Corbel" w:eastAsia="Corbel" w:hAnsi="Corbel" w:cs="Corbel"/>
          <w:highlight w:val="white"/>
        </w:rPr>
        <w:t xml:space="preserve">Emitir sin dilaciones documentación migratoria para población solicitante de la condición de persona refugiada. </w:t>
      </w:r>
    </w:p>
    <w:p w14:paraId="107DB0B9" w14:textId="77777777" w:rsidR="003C1F39" w:rsidRDefault="00B9577E">
      <w:pPr>
        <w:keepNext/>
        <w:keepLines/>
        <w:numPr>
          <w:ilvl w:val="0"/>
          <w:numId w:val="5"/>
        </w:numPr>
        <w:pBdr>
          <w:top w:val="nil"/>
          <w:left w:val="nil"/>
          <w:bottom w:val="nil"/>
          <w:right w:val="nil"/>
          <w:between w:val="nil"/>
        </w:pBdr>
        <w:spacing w:before="400" w:after="120"/>
        <w:jc w:val="center"/>
        <w:rPr>
          <w:rFonts w:ascii="Corbel" w:eastAsia="Corbel" w:hAnsi="Corbel" w:cs="Corbel"/>
          <w:b/>
          <w:color w:val="000000"/>
          <w:highlight w:val="white"/>
        </w:rPr>
      </w:pPr>
      <w:bookmarkStart w:id="9" w:name="_heading=h.1t3h5sf" w:colFirst="0" w:colLast="0"/>
      <w:bookmarkEnd w:id="9"/>
      <w:r>
        <w:rPr>
          <w:rFonts w:ascii="Corbel" w:eastAsia="Corbel" w:hAnsi="Corbel" w:cs="Corbel"/>
          <w:b/>
          <w:color w:val="000000"/>
          <w:highlight w:val="white"/>
          <w:u w:val="single"/>
        </w:rPr>
        <w:t>Derechos de las mujeres en retorno y deportación</w:t>
      </w:r>
    </w:p>
    <w:p w14:paraId="107DB0BA" w14:textId="77777777" w:rsidR="003C1F39" w:rsidRDefault="00B9577E">
      <w:pPr>
        <w:rPr>
          <w:rFonts w:ascii="Corbel" w:eastAsia="Corbel" w:hAnsi="Corbel" w:cs="Corbel"/>
          <w:highlight w:val="white"/>
        </w:rPr>
      </w:pPr>
      <w:r>
        <w:rPr>
          <w:rFonts w:ascii="Corbel" w:eastAsia="Corbel" w:hAnsi="Corbel" w:cs="Corbel"/>
          <w:highlight w:val="white"/>
        </w:rPr>
        <w:t>El endurecimiento de la política migratoria estadounidense ha provocado un aumento en el retorno de personas mexicanas. Entre 2019 y 2024, se registraron 1,210,437 devoluciones de personas mexicanas, de las cuales el 85% fueron hombres y el 15% mujeres.</w:t>
      </w:r>
      <w:r>
        <w:rPr>
          <w:rFonts w:ascii="Corbel" w:eastAsia="Corbel" w:hAnsi="Corbel" w:cs="Corbel"/>
          <w:highlight w:val="white"/>
          <w:vertAlign w:val="superscript"/>
        </w:rPr>
        <w:footnoteReference w:id="29"/>
      </w:r>
      <w:r>
        <w:rPr>
          <w:rFonts w:ascii="Corbel" w:eastAsia="Corbel" w:hAnsi="Corbel" w:cs="Corbel"/>
          <w:highlight w:val="white"/>
        </w:rPr>
        <w:t xml:space="preserve"> En 2020, el INEGI registró 294,203 retornos, de los cuales 73,164 (24.87%) fueron mujeres y 221,039 (75.3%) hombres.</w:t>
      </w:r>
      <w:r>
        <w:rPr>
          <w:rFonts w:ascii="Corbel" w:eastAsia="Corbel" w:hAnsi="Corbel" w:cs="Corbel"/>
          <w:highlight w:val="white"/>
          <w:vertAlign w:val="superscript"/>
        </w:rPr>
        <w:footnoteReference w:id="30"/>
      </w:r>
      <w:r>
        <w:rPr>
          <w:rFonts w:ascii="Corbel" w:eastAsia="Corbel" w:hAnsi="Corbel" w:cs="Corbel"/>
          <w:highlight w:val="white"/>
        </w:rPr>
        <w:t xml:space="preserve"> Las razones del retorno incluyen órdenes de salida o deportación, reunificación familiar, enfermedad, situación económica, envejecimiento o decisiones personales frente a un clima </w:t>
      </w:r>
      <w:proofErr w:type="spellStart"/>
      <w:r>
        <w:rPr>
          <w:rFonts w:ascii="Corbel" w:eastAsia="Corbel" w:hAnsi="Corbel" w:cs="Corbel"/>
          <w:highlight w:val="white"/>
        </w:rPr>
        <w:t>anti-inmigrante</w:t>
      </w:r>
      <w:proofErr w:type="spellEnd"/>
      <w:r>
        <w:rPr>
          <w:rFonts w:ascii="Corbel" w:eastAsia="Corbel" w:hAnsi="Corbel" w:cs="Corbel"/>
          <w:highlight w:val="white"/>
        </w:rPr>
        <w:t>.</w:t>
      </w:r>
    </w:p>
    <w:p w14:paraId="107DB0BB" w14:textId="77777777" w:rsidR="003C1F39" w:rsidRDefault="003C1F39">
      <w:pPr>
        <w:rPr>
          <w:rFonts w:ascii="Corbel" w:eastAsia="Corbel" w:hAnsi="Corbel" w:cs="Corbel"/>
          <w:highlight w:val="white"/>
        </w:rPr>
      </w:pPr>
    </w:p>
    <w:p w14:paraId="107DB0BC" w14:textId="77777777" w:rsidR="003C1F39" w:rsidRDefault="00B9577E">
      <w:pPr>
        <w:rPr>
          <w:rFonts w:ascii="Corbel" w:eastAsia="Corbel" w:hAnsi="Corbel" w:cs="Corbel"/>
          <w:highlight w:val="white"/>
        </w:rPr>
      </w:pPr>
      <w:r>
        <w:rPr>
          <w:rFonts w:ascii="Corbel" w:eastAsia="Corbel" w:hAnsi="Corbel" w:cs="Corbel"/>
          <w:highlight w:val="white"/>
        </w:rPr>
        <w:t>La deportación y el regreso forzado afectan especialmente a las mujeres, ya que el trabajo de cuidados ha sido tradicionalmente asignado a ellas. El retorno a México a menudo conlleva separaciones familiares, especialmente por la custodia de hijos nacidos en EUA. Además, enfrentan dificultades para acceder a servicios básicos debido a trámites costosos y complicados para acreditar su identidad. La apostilla, necesaria para la validación de documentos, es difícil de obtener y debe ser expedida en el país de residencia anterior. La falta de un Documento Único de Identidad genera criterios discrecionales entre las autoridades sobre qué documentos son válidos, incluso entre los emitidos por otras autoridades federales.</w:t>
      </w:r>
    </w:p>
    <w:p w14:paraId="107DB0BD" w14:textId="77777777" w:rsidR="003C1F39" w:rsidRDefault="003C1F39">
      <w:pPr>
        <w:rPr>
          <w:rFonts w:ascii="Corbel" w:eastAsia="Corbel" w:hAnsi="Corbel" w:cs="Corbel"/>
          <w:highlight w:val="white"/>
        </w:rPr>
      </w:pPr>
    </w:p>
    <w:p w14:paraId="107DB0BE" w14:textId="77777777" w:rsidR="003C1F39" w:rsidRDefault="00B9577E">
      <w:pPr>
        <w:rPr>
          <w:rFonts w:ascii="Corbel" w:eastAsia="Corbel" w:hAnsi="Corbel" w:cs="Corbel"/>
          <w:highlight w:val="white"/>
        </w:rPr>
      </w:pPr>
      <w:r>
        <w:rPr>
          <w:rFonts w:ascii="Corbel" w:eastAsia="Corbel" w:hAnsi="Corbel" w:cs="Corbel"/>
          <w:highlight w:val="white"/>
        </w:rPr>
        <w:t>Según estimaciones oficiales, 182,003 niñas, niños y adolescentes nacidos en el extranjero de padres mexicanos no tienen acta de nacimiento mexicana.</w:t>
      </w:r>
      <w:r>
        <w:rPr>
          <w:rFonts w:ascii="Corbel" w:eastAsia="Corbel" w:hAnsi="Corbel" w:cs="Corbel"/>
          <w:highlight w:val="white"/>
          <w:vertAlign w:val="superscript"/>
        </w:rPr>
        <w:footnoteReference w:id="31"/>
      </w:r>
      <w:r>
        <w:rPr>
          <w:rFonts w:ascii="Corbel" w:eastAsia="Corbel" w:hAnsi="Corbel" w:cs="Corbel"/>
          <w:highlight w:val="white"/>
        </w:rPr>
        <w:t xml:space="preserve"> Esto afecta a las infancias y a las mujeres, quienes deben gestionar la doble nacionalidad de sus hijos/as para acceder a servicios como educación y salud, mientras enfrentan discriminación, violencia institucional y altos costos. En 2016, se implementó la Estrategia Binacional Soy México para validar actas de nacimiento de EE. UU. sin costo, pero solo cubre un 80% de los estados de la Unión Americana y no resuelve todos los requisitos de inscripción de nacionalidad como la traducción certificada. En abril de 2024, el Congreso aprobó una reforma que elimina el requisito de apostilla para la inscripción, aunque aún falta su implementación en varias  entidades federativas.</w:t>
      </w:r>
    </w:p>
    <w:p w14:paraId="107DB0BF" w14:textId="77777777" w:rsidR="003C1F39" w:rsidRDefault="003C1F39">
      <w:pPr>
        <w:rPr>
          <w:rFonts w:ascii="Corbel" w:eastAsia="Corbel" w:hAnsi="Corbel" w:cs="Corbel"/>
          <w:highlight w:val="white"/>
        </w:rPr>
      </w:pPr>
    </w:p>
    <w:p w14:paraId="107DB0C0" w14:textId="77777777" w:rsidR="003C1F39" w:rsidRDefault="00B9577E">
      <w:pPr>
        <w:rPr>
          <w:rFonts w:ascii="Corbel" w:eastAsia="Corbel" w:hAnsi="Corbel" w:cs="Corbel"/>
          <w:highlight w:val="white"/>
        </w:rPr>
      </w:pPr>
      <w:r>
        <w:rPr>
          <w:rFonts w:ascii="Corbel" w:eastAsia="Corbel" w:hAnsi="Corbel" w:cs="Corbel"/>
          <w:highlight w:val="white"/>
        </w:rPr>
        <w:t>La participación en el mercado laboral presenta proporciones distintas entre hombres y mujeres a nivel nacional y es un patrón que se extiende hacia las personas retornadas. La tasa de ocupación laboral para hombres retornados es de 72.2% y para mujeres 30.1%.</w:t>
      </w:r>
      <w:r>
        <w:rPr>
          <w:rFonts w:ascii="Corbel" w:eastAsia="Corbel" w:hAnsi="Corbel" w:cs="Corbel"/>
          <w:highlight w:val="white"/>
          <w:vertAlign w:val="superscript"/>
        </w:rPr>
        <w:footnoteReference w:id="32"/>
      </w:r>
      <w:r>
        <w:rPr>
          <w:rFonts w:ascii="Corbel" w:eastAsia="Corbel" w:hAnsi="Corbel" w:cs="Corbel"/>
          <w:highlight w:val="white"/>
        </w:rPr>
        <w:t xml:space="preserve"> El acceso a un empleo para </w:t>
      </w:r>
      <w:r>
        <w:rPr>
          <w:rFonts w:ascii="Corbel" w:eastAsia="Corbel" w:hAnsi="Corbel" w:cs="Corbel"/>
          <w:highlight w:val="white"/>
        </w:rPr>
        <w:lastRenderedPageBreak/>
        <w:t>mujeres retornadas resulta fundamental, porque esto puede abonar a su autosuficiencia económica.</w:t>
      </w:r>
      <w:r>
        <w:rPr>
          <w:rFonts w:ascii="Corbel" w:eastAsia="Corbel" w:hAnsi="Corbel" w:cs="Corbel"/>
          <w:highlight w:val="white"/>
          <w:vertAlign w:val="superscript"/>
        </w:rPr>
        <w:footnoteReference w:id="33"/>
      </w:r>
      <w:r>
        <w:rPr>
          <w:rFonts w:ascii="Corbel" w:eastAsia="Corbel" w:hAnsi="Corbel" w:cs="Corbel"/>
          <w:highlight w:val="white"/>
        </w:rPr>
        <w:t xml:space="preserve"> La constancia de repatriación, uno de los documentos que emite el INM a las personas retornadas, no es válida para solicitar trabajo en algunos centros de trabajo. Si logran insertarse al mercado laboral lo hacen en empleos precarizados donde no tienen seguridad social.</w:t>
      </w:r>
      <w:r>
        <w:rPr>
          <w:rFonts w:ascii="Corbel" w:eastAsia="Corbel" w:hAnsi="Corbel" w:cs="Corbel"/>
          <w:highlight w:val="white"/>
          <w:vertAlign w:val="superscript"/>
        </w:rPr>
        <w:footnoteReference w:id="34"/>
      </w:r>
      <w:r>
        <w:rPr>
          <w:rFonts w:ascii="Corbel" w:eastAsia="Corbel" w:hAnsi="Corbel" w:cs="Corbel"/>
          <w:highlight w:val="white"/>
        </w:rPr>
        <w:t xml:space="preserve"> Los programas y apoyos laborales ofrecidos por instituciones enfrentan falta de presupuesto y complicaciones en la operación. </w:t>
      </w:r>
    </w:p>
    <w:p w14:paraId="107DB0C1" w14:textId="77777777" w:rsidR="003C1F39" w:rsidRDefault="003C1F39">
      <w:pPr>
        <w:rPr>
          <w:rFonts w:ascii="Corbel" w:eastAsia="Corbel" w:hAnsi="Corbel" w:cs="Corbel"/>
          <w:highlight w:val="white"/>
        </w:rPr>
      </w:pPr>
    </w:p>
    <w:p w14:paraId="107DB0C2" w14:textId="77777777" w:rsidR="003C1F39" w:rsidRDefault="00B9577E">
      <w:pPr>
        <w:rPr>
          <w:rFonts w:ascii="Corbel" w:eastAsia="Corbel" w:hAnsi="Corbel" w:cs="Corbel"/>
        </w:rPr>
      </w:pPr>
      <w:r>
        <w:rPr>
          <w:rFonts w:ascii="Corbel" w:eastAsia="Corbel" w:hAnsi="Corbel" w:cs="Corbel"/>
        </w:rPr>
        <w:t>Al retorno y deportación de personas mexicanas se le suman las devoluciones de personas no mexicanas, debido a la implementación de los Protocolos de Protección al Migrante (MPP), a la expansión del Título 42, las órdenes ejecutivas limitando el derecho a solicitar y recibir asilo: Elusión de Vías Legales (“</w:t>
      </w:r>
      <w:proofErr w:type="spellStart"/>
      <w:r>
        <w:rPr>
          <w:rFonts w:ascii="Corbel" w:eastAsia="Corbel" w:hAnsi="Corbel" w:cs="Corbel"/>
        </w:rPr>
        <w:t>Circumvention</w:t>
      </w:r>
      <w:proofErr w:type="spellEnd"/>
      <w:r>
        <w:rPr>
          <w:rFonts w:ascii="Corbel" w:eastAsia="Corbel" w:hAnsi="Corbel" w:cs="Corbel"/>
        </w:rPr>
        <w:t xml:space="preserve"> of </w:t>
      </w:r>
      <w:proofErr w:type="spellStart"/>
      <w:r>
        <w:rPr>
          <w:rFonts w:ascii="Corbel" w:eastAsia="Corbel" w:hAnsi="Corbel" w:cs="Corbel"/>
        </w:rPr>
        <w:t>Lawful</w:t>
      </w:r>
      <w:proofErr w:type="spellEnd"/>
      <w:r>
        <w:rPr>
          <w:rFonts w:ascii="Corbel" w:eastAsia="Corbel" w:hAnsi="Corbel" w:cs="Corbel"/>
        </w:rPr>
        <w:t xml:space="preserve"> </w:t>
      </w:r>
      <w:proofErr w:type="spellStart"/>
      <w:r>
        <w:rPr>
          <w:rFonts w:ascii="Corbel" w:eastAsia="Corbel" w:hAnsi="Corbel" w:cs="Corbel"/>
        </w:rPr>
        <w:t>Pathways</w:t>
      </w:r>
      <w:proofErr w:type="spellEnd"/>
      <w:r>
        <w:rPr>
          <w:rFonts w:ascii="Corbel" w:eastAsia="Corbel" w:hAnsi="Corbel" w:cs="Corbel"/>
        </w:rPr>
        <w:t>”)  y Asegurando la Frontera (“</w:t>
      </w:r>
      <w:proofErr w:type="spellStart"/>
      <w:r>
        <w:rPr>
          <w:rFonts w:ascii="Corbel" w:eastAsia="Corbel" w:hAnsi="Corbel" w:cs="Corbel"/>
        </w:rPr>
        <w:t>Securing</w:t>
      </w:r>
      <w:proofErr w:type="spellEnd"/>
      <w:r>
        <w:rPr>
          <w:rFonts w:ascii="Corbel" w:eastAsia="Corbel" w:hAnsi="Corbel" w:cs="Corbel"/>
        </w:rPr>
        <w:t xml:space="preserve"> the </w:t>
      </w:r>
      <w:proofErr w:type="spellStart"/>
      <w:r>
        <w:rPr>
          <w:rFonts w:ascii="Corbel" w:eastAsia="Corbel" w:hAnsi="Corbel" w:cs="Corbel"/>
        </w:rPr>
        <w:t>Border</w:t>
      </w:r>
      <w:proofErr w:type="spellEnd"/>
      <w:r>
        <w:rPr>
          <w:rFonts w:ascii="Corbel" w:eastAsia="Corbel" w:hAnsi="Corbel" w:cs="Corbel"/>
        </w:rPr>
        <w:t>”). El gobierno mexicano aceptó las expulsiones por tierra de personas provenientes de El Salvador, Guatemala, Honduras, Cuba, Haití, Nicaragua y Venezuela prácticamente de manera expedita y otras políticas para regresar personas no mexicanas al territorio con procesos de asilo en Estados Unidos.</w:t>
      </w:r>
      <w:r>
        <w:rPr>
          <w:rFonts w:ascii="Corbel" w:eastAsia="Corbel" w:hAnsi="Corbel" w:cs="Corbel"/>
          <w:vertAlign w:val="superscript"/>
        </w:rPr>
        <w:footnoteReference w:id="35"/>
      </w:r>
      <w:r>
        <w:rPr>
          <w:rFonts w:ascii="Corbel" w:eastAsia="Corbel" w:hAnsi="Corbel" w:cs="Corbel"/>
        </w:rPr>
        <w:t xml:space="preserve"> Esto violenta los derechos al debido proceso, el principio de no devolución y sin asegurar el acceso a derechos como la regularización migratoria, vivienda digna, salud, trabajo y educación. Las organizaciones han documentado como estas expulsiones afectan de forma desproporcionada a las mujeres, debido a la exposición a la violencia de género, falta de acceso a salud sexual y reproductiva y aumento en la carga de cuidados.</w:t>
      </w:r>
      <w:r>
        <w:rPr>
          <w:rFonts w:ascii="Corbel" w:eastAsia="Corbel" w:hAnsi="Corbel" w:cs="Corbel"/>
          <w:vertAlign w:val="superscript"/>
        </w:rPr>
        <w:footnoteReference w:id="36"/>
      </w:r>
      <w:r>
        <w:rPr>
          <w:rFonts w:ascii="Corbel" w:eastAsia="Corbel" w:hAnsi="Corbel" w:cs="Corbel"/>
        </w:rPr>
        <w:t xml:space="preserve"> Con la llegada de Donald Trump a la Casa Blanca por segunda ocasión, el escenario se repite.  MPP se ha restaurado y se han realizado retornos, deportaciones y expulsiones de personas no mexicanas a la frontera norte.</w:t>
      </w:r>
    </w:p>
    <w:p w14:paraId="107DB0C3" w14:textId="77777777" w:rsidR="003C1F39" w:rsidRDefault="00B9577E">
      <w:pPr>
        <w:keepNext/>
        <w:keepLines/>
        <w:pBdr>
          <w:top w:val="nil"/>
          <w:left w:val="nil"/>
          <w:bottom w:val="nil"/>
          <w:right w:val="nil"/>
          <w:between w:val="nil"/>
        </w:pBdr>
        <w:spacing w:before="360" w:after="120"/>
        <w:jc w:val="left"/>
        <w:rPr>
          <w:rFonts w:ascii="Corbel" w:eastAsia="Corbel" w:hAnsi="Corbel" w:cs="Corbel"/>
          <w:color w:val="000000"/>
        </w:rPr>
      </w:pPr>
      <w:bookmarkStart w:id="10" w:name="_heading=h.4d34og8" w:colFirst="0" w:colLast="0"/>
      <w:bookmarkEnd w:id="10"/>
      <w:r>
        <w:rPr>
          <w:rFonts w:ascii="Corbel" w:eastAsia="Corbel" w:hAnsi="Corbel" w:cs="Corbel"/>
          <w:b/>
          <w:color w:val="000000"/>
          <w:highlight w:val="white"/>
        </w:rPr>
        <w:t>Recomendaciones</w:t>
      </w:r>
    </w:p>
    <w:p w14:paraId="107DB0C4" w14:textId="77777777" w:rsidR="003C1F39" w:rsidRDefault="00B9577E">
      <w:pPr>
        <w:numPr>
          <w:ilvl w:val="0"/>
          <w:numId w:val="6"/>
        </w:numPr>
        <w:pBdr>
          <w:top w:val="nil"/>
          <w:left w:val="nil"/>
          <w:bottom w:val="nil"/>
          <w:right w:val="nil"/>
          <w:between w:val="nil"/>
        </w:pBdr>
        <w:rPr>
          <w:rFonts w:ascii="Corbel" w:eastAsia="Corbel" w:hAnsi="Corbel" w:cs="Corbel"/>
          <w:color w:val="000000"/>
        </w:rPr>
      </w:pPr>
      <w:r>
        <w:rPr>
          <w:rFonts w:ascii="Corbel" w:eastAsia="Corbel" w:hAnsi="Corbel" w:cs="Corbel"/>
          <w:color w:val="000000"/>
        </w:rPr>
        <w:t xml:space="preserve">Incrementar la cobertura de programas sociales para personas deportadas/retornadas o que regresaron a México, incluyendo programas de integración y reintegración comunitaria, acceso a programas escolares, a servicios de salud física y mental, inclusión financiera, representación consular, acceso a la justicia, acceso a oportunidades laborales y apoyos de vivienda. </w:t>
      </w:r>
    </w:p>
    <w:p w14:paraId="107DB0C5" w14:textId="77777777" w:rsidR="003C1F39" w:rsidRDefault="00B9577E">
      <w:pPr>
        <w:numPr>
          <w:ilvl w:val="0"/>
          <w:numId w:val="6"/>
        </w:numPr>
        <w:pBdr>
          <w:top w:val="nil"/>
          <w:left w:val="nil"/>
          <w:bottom w:val="nil"/>
          <w:right w:val="nil"/>
          <w:between w:val="nil"/>
        </w:pBdr>
        <w:rPr>
          <w:rFonts w:ascii="Corbel" w:eastAsia="Corbel" w:hAnsi="Corbel" w:cs="Corbel"/>
          <w:highlight w:val="white"/>
        </w:rPr>
      </w:pPr>
      <w:r>
        <w:rPr>
          <w:rFonts w:ascii="Corbel" w:eastAsia="Corbel" w:hAnsi="Corbel" w:cs="Corbel"/>
          <w:highlight w:val="white"/>
        </w:rPr>
        <w:t>Asegurar la coordinación interinstitucional efectiva entre la Secretaría de Relaciones Exteriores y el Registro Nacional de Población a través de los Registros Civiles para una ruta de atención en materia de documentos de identidad.</w:t>
      </w:r>
    </w:p>
    <w:p w14:paraId="107DB0C6" w14:textId="77777777" w:rsidR="003C1F39" w:rsidRDefault="00B9577E">
      <w:pPr>
        <w:numPr>
          <w:ilvl w:val="0"/>
          <w:numId w:val="6"/>
        </w:numPr>
        <w:pBdr>
          <w:top w:val="nil"/>
          <w:left w:val="nil"/>
          <w:bottom w:val="nil"/>
          <w:right w:val="nil"/>
          <w:between w:val="nil"/>
        </w:pBdr>
        <w:rPr>
          <w:rFonts w:ascii="Corbel" w:eastAsia="Corbel" w:hAnsi="Corbel" w:cs="Corbel"/>
          <w:highlight w:val="white"/>
        </w:rPr>
      </w:pPr>
      <w:r>
        <w:rPr>
          <w:rFonts w:ascii="Corbel" w:eastAsia="Corbel" w:hAnsi="Corbel" w:cs="Corbel"/>
          <w:highlight w:val="white"/>
        </w:rPr>
        <w:t>Acelerar la digitalización de las actas de nacimiento de las entidades con mayor índice de retorno y población mexicana en el extranjero.</w:t>
      </w:r>
    </w:p>
    <w:p w14:paraId="107DB0C7" w14:textId="77777777" w:rsidR="003C1F39" w:rsidRDefault="00B9577E">
      <w:pPr>
        <w:numPr>
          <w:ilvl w:val="0"/>
          <w:numId w:val="6"/>
        </w:numPr>
        <w:rPr>
          <w:rFonts w:ascii="Corbel" w:eastAsia="Corbel" w:hAnsi="Corbel" w:cs="Corbel"/>
          <w:highlight w:val="white"/>
        </w:rPr>
      </w:pPr>
      <w:r>
        <w:rPr>
          <w:rFonts w:ascii="Corbel" w:eastAsia="Corbel" w:hAnsi="Corbel" w:cs="Corbel"/>
        </w:rPr>
        <w:t xml:space="preserve">Abstenerse a limitar los programas sociales solo a personas repatriadas por puntos de internación del INM. Los programas deben estar disponibles para todas las personas que </w:t>
      </w:r>
      <w:r>
        <w:rPr>
          <w:rFonts w:ascii="Corbel" w:eastAsia="Corbel" w:hAnsi="Corbel" w:cs="Corbel"/>
        </w:rPr>
        <w:lastRenderedPageBreak/>
        <w:t>hayan regresado desde los Estados Unidos, independientemente de si lo hicieron voluntariamente o no.</w:t>
      </w:r>
    </w:p>
    <w:p w14:paraId="107DB0C8" w14:textId="77777777" w:rsidR="003C1F39" w:rsidRDefault="00B9577E">
      <w:pPr>
        <w:numPr>
          <w:ilvl w:val="0"/>
          <w:numId w:val="6"/>
        </w:numPr>
        <w:rPr>
          <w:rFonts w:ascii="Corbel" w:eastAsia="Corbel" w:hAnsi="Corbel" w:cs="Corbel"/>
          <w:highlight w:val="white"/>
        </w:rPr>
      </w:pPr>
      <w:r>
        <w:rPr>
          <w:rFonts w:ascii="Corbel" w:eastAsia="Corbel" w:hAnsi="Corbel" w:cs="Corbel"/>
        </w:rPr>
        <w:t>Implementar las reformas a los artículos 314 y 1144 del Código Nacional de Procedimientos Civiles y Familiares para que cuando se trate de documentos de nacimiento que acrediten la nacionalidad e identidad de personas mexicanas nacidas en el extranjero o migrantes en retorno de nacionalidad mexicana, no se solicite  la legalización consular o de la apostilla.</w:t>
      </w:r>
    </w:p>
    <w:p w14:paraId="107DB0C9" w14:textId="77777777" w:rsidR="003C1F39" w:rsidRDefault="00B9577E">
      <w:pPr>
        <w:numPr>
          <w:ilvl w:val="0"/>
          <w:numId w:val="6"/>
        </w:numPr>
        <w:rPr>
          <w:rFonts w:ascii="Corbel" w:eastAsia="Corbel" w:hAnsi="Corbel" w:cs="Corbel"/>
          <w:highlight w:val="white"/>
        </w:rPr>
      </w:pPr>
      <w:r>
        <w:rPr>
          <w:rFonts w:ascii="Corbel" w:eastAsia="Corbel" w:hAnsi="Corbel" w:cs="Corbel"/>
        </w:rPr>
        <w:t xml:space="preserve">Elaborar lineamientos para acreditar la autenticidad de los certificados de nacimiento expedidos por autoridades extranjeras, a efecto de darlos a conocer a todas las autoridades del registro civil en el país junto con organizaciones de la sociedad civil defensoras de los derechos de personas en situación de retorno. </w:t>
      </w:r>
    </w:p>
    <w:p w14:paraId="107DB0CA" w14:textId="77777777" w:rsidR="003C1F39" w:rsidRDefault="00B9577E">
      <w:pPr>
        <w:numPr>
          <w:ilvl w:val="0"/>
          <w:numId w:val="6"/>
        </w:numPr>
        <w:rPr>
          <w:rFonts w:ascii="Corbel" w:eastAsia="Corbel" w:hAnsi="Corbel" w:cs="Corbel"/>
        </w:rPr>
      </w:pPr>
      <w:r>
        <w:rPr>
          <w:rFonts w:ascii="Corbel" w:eastAsia="Corbel" w:hAnsi="Corbel" w:cs="Corbel"/>
          <w:highlight w:val="white"/>
        </w:rPr>
        <w:t xml:space="preserve">Publicar un programa en el DOF que contenga acciones específicas para asegurar el acceso a la salud, a la educación, al trabajo, a una vivienda digna, a un documento migratorio y a la seguridad de las personas no mexicanas devueltas desde Estados Unidos y que incorpore la perspectiva de género e interés superior de la niñez. </w:t>
      </w:r>
    </w:p>
    <w:p w14:paraId="107DB0CB" w14:textId="77777777" w:rsidR="003C1F39" w:rsidRDefault="00B9577E">
      <w:pPr>
        <w:numPr>
          <w:ilvl w:val="0"/>
          <w:numId w:val="6"/>
        </w:numPr>
        <w:rPr>
          <w:rFonts w:ascii="Corbel" w:eastAsia="Corbel" w:hAnsi="Corbel" w:cs="Corbel"/>
          <w:highlight w:val="white"/>
        </w:rPr>
      </w:pPr>
      <w:r>
        <w:rPr>
          <w:rFonts w:ascii="Corbel" w:eastAsia="Corbel" w:hAnsi="Corbel" w:cs="Corbel"/>
          <w:highlight w:val="white"/>
        </w:rPr>
        <w:t>Abstenerse de negociar y firmar acuerdos con el gobierno de Estados Unidos que establezcan a México como Tercer País Seguro, que requieran que personas solicitantes de asilo sean remitidas a México para solicitar protección en este país.</w:t>
      </w:r>
    </w:p>
    <w:p w14:paraId="107DB0CC" w14:textId="77777777" w:rsidR="003C1F39" w:rsidRDefault="00B9577E">
      <w:pPr>
        <w:numPr>
          <w:ilvl w:val="0"/>
          <w:numId w:val="6"/>
        </w:numPr>
        <w:rPr>
          <w:rFonts w:ascii="Corbel" w:eastAsia="Corbel" w:hAnsi="Corbel" w:cs="Corbel"/>
          <w:highlight w:val="white"/>
        </w:rPr>
      </w:pPr>
      <w:r>
        <w:rPr>
          <w:rFonts w:ascii="Corbel" w:eastAsia="Corbel" w:hAnsi="Corbel" w:cs="Corbel"/>
          <w:highlight w:val="white"/>
        </w:rPr>
        <w:t>Hacer públicos todos los convenios alcanzados con Estados Unidos en materia migratoria y de gestión fronteriza, tanto formales como informales.</w:t>
      </w:r>
    </w:p>
    <w:p w14:paraId="107DB0CD" w14:textId="77777777" w:rsidR="003C1F39" w:rsidRDefault="00B9577E">
      <w:pPr>
        <w:numPr>
          <w:ilvl w:val="0"/>
          <w:numId w:val="6"/>
        </w:numPr>
        <w:rPr>
          <w:rFonts w:ascii="Corbel" w:eastAsia="Corbel" w:hAnsi="Corbel" w:cs="Corbel"/>
          <w:highlight w:val="white"/>
        </w:rPr>
      </w:pPr>
      <w:r>
        <w:rPr>
          <w:rFonts w:ascii="Corbel" w:eastAsia="Corbel" w:hAnsi="Corbel" w:cs="Corbel"/>
          <w:highlight w:val="white"/>
        </w:rPr>
        <w:t>Asegurar que los convenios alcanzados con Estados Unidos establezcan responsabilidades claras, que no eludan ni externalicen las obligaciones nacionales e internacionales en materia de derecho a solicitar y recibir asilo y el derecho al libre tránsito.</w:t>
      </w:r>
    </w:p>
    <w:p w14:paraId="107DB0CE" w14:textId="77777777" w:rsidR="003C1F39" w:rsidRDefault="00B9577E">
      <w:pPr>
        <w:keepNext/>
        <w:keepLines/>
        <w:numPr>
          <w:ilvl w:val="0"/>
          <w:numId w:val="5"/>
        </w:numPr>
        <w:pBdr>
          <w:top w:val="nil"/>
          <w:left w:val="nil"/>
          <w:bottom w:val="nil"/>
          <w:right w:val="nil"/>
          <w:between w:val="nil"/>
        </w:pBdr>
        <w:spacing w:before="400" w:after="120"/>
        <w:jc w:val="center"/>
        <w:rPr>
          <w:rFonts w:ascii="Corbel" w:eastAsia="Corbel" w:hAnsi="Corbel" w:cs="Corbel"/>
          <w:b/>
          <w:color w:val="000000"/>
        </w:rPr>
      </w:pPr>
      <w:bookmarkStart w:id="11" w:name="_heading=h.2s8eyo1" w:colFirst="0" w:colLast="0"/>
      <w:bookmarkEnd w:id="11"/>
      <w:r>
        <w:rPr>
          <w:rFonts w:ascii="Corbel" w:eastAsia="Corbel" w:hAnsi="Corbel" w:cs="Corbel"/>
          <w:b/>
          <w:color w:val="000000"/>
          <w:u w:val="single"/>
        </w:rPr>
        <w:t>Derechos de las niñas y adolescentes en movilidad</w:t>
      </w:r>
    </w:p>
    <w:p w14:paraId="107DB0CF" w14:textId="77777777" w:rsidR="003C1F39" w:rsidRDefault="00B9577E">
      <w:pPr>
        <w:rPr>
          <w:rFonts w:ascii="Corbel" w:eastAsia="Corbel" w:hAnsi="Corbel" w:cs="Corbel"/>
          <w:highlight w:val="white"/>
        </w:rPr>
      </w:pPr>
      <w:r>
        <w:rPr>
          <w:rFonts w:ascii="Corbel" w:eastAsia="Corbel" w:hAnsi="Corbel" w:cs="Corbel"/>
          <w:highlight w:val="white"/>
        </w:rPr>
        <w:t>En los últimos años, ha aumentado la presencia de niñas, niños y adolescentes (NNA) en los flujos migratorios mixtos en México. Entre 2018 y junio de 2024, cifras oficiales registraron 441,310 eventos de infancia y adolescencia en irregularidad migratoria (44.17% mujeres y 55.82% hombres), de los cuales el 85.95% eran acompañados y el 14.94% no acompañados.</w:t>
      </w:r>
      <w:r>
        <w:rPr>
          <w:rFonts w:ascii="Corbel" w:eastAsia="Corbel" w:hAnsi="Corbel" w:cs="Corbel"/>
          <w:highlight w:val="white"/>
          <w:vertAlign w:val="superscript"/>
        </w:rPr>
        <w:footnoteReference w:id="37"/>
      </w:r>
      <w:r>
        <w:rPr>
          <w:rFonts w:ascii="Corbel" w:eastAsia="Corbel" w:hAnsi="Corbel" w:cs="Corbel"/>
          <w:highlight w:val="white"/>
        </w:rPr>
        <w:t xml:space="preserve"> En 2023, NNA solicitantes de asilo representaron el 24.07% del total, y hasta julio de 2024, este grupo alcanzó el 27.31% de las solicitudes.</w:t>
      </w:r>
      <w:r>
        <w:rPr>
          <w:rFonts w:ascii="Corbel" w:eastAsia="Corbel" w:hAnsi="Corbel" w:cs="Corbel"/>
          <w:highlight w:val="white"/>
          <w:vertAlign w:val="superscript"/>
        </w:rPr>
        <w:footnoteReference w:id="38"/>
      </w:r>
      <w:r>
        <w:rPr>
          <w:rFonts w:ascii="Corbel" w:eastAsia="Corbel" w:hAnsi="Corbel" w:cs="Corbel"/>
          <w:highlight w:val="white"/>
        </w:rPr>
        <w:t xml:space="preserve"> Sus desplazamientos están principalmente relacionados con la violencia, como persecuciones, intimidaciones, inseguridad, discriminación por género o preferencia sexual, amenazas y violencia vinculada al crimen organizado y pandillas en países centroamericanos. La reunificación familiar, razones económicas y el entorno también son factores clave del desplazamiento forzado de infancias y adolescencias.</w:t>
      </w:r>
    </w:p>
    <w:p w14:paraId="107DB0D0" w14:textId="77777777" w:rsidR="003C1F39" w:rsidRDefault="00B9577E">
      <w:pPr>
        <w:spacing w:before="240" w:after="240"/>
        <w:rPr>
          <w:rFonts w:ascii="Corbel" w:eastAsia="Corbel" w:hAnsi="Corbel" w:cs="Corbel"/>
          <w:highlight w:val="white"/>
        </w:rPr>
      </w:pPr>
      <w:r>
        <w:rPr>
          <w:rFonts w:ascii="Corbel" w:eastAsia="Corbel" w:hAnsi="Corbel" w:cs="Corbel"/>
          <w:highlight w:val="white"/>
        </w:rPr>
        <w:t xml:space="preserve">Las niñas y adolescentes no acompañadas, especialmente las que viajan con otros niños/as o están embarazadas, enfrentan un riesgo elevado. Sus necesidades son específicas, como el seguimiento prenatal, y están expuestas a violaciones de derechos humanos tanto en sus países de origen como durante su tránsito por México. Los riesgos incluyen discriminación, violencia de género, falta de acceso a salud sexual y reproductiva, educación, empleo debido a la falta de documentos, inseguridad </w:t>
      </w:r>
      <w:r>
        <w:rPr>
          <w:rFonts w:ascii="Corbel" w:eastAsia="Corbel" w:hAnsi="Corbel" w:cs="Corbel"/>
          <w:highlight w:val="white"/>
        </w:rPr>
        <w:lastRenderedPageBreak/>
        <w:t xml:space="preserve">en las rutas y escasez de espacios adecuados de acogida y acceso a programas de cuidado alternativo. </w:t>
      </w:r>
      <w:r>
        <w:rPr>
          <w:rFonts w:ascii="Corbel" w:eastAsia="Corbel" w:hAnsi="Corbel" w:cs="Corbel"/>
        </w:rPr>
        <w:t>Aunque la Ley de Migración garantiza el derecho a la educación para NNA en movilidad, en la práctica la inscripción es difícil. Solo el 18% de los NNA migrantes asiste a la escuela debido a obstáculos administrativos como la acreditación de escolaridad previa, exámenes, requisitos migratorios y costos educativos</w:t>
      </w:r>
      <w:r>
        <w:rPr>
          <w:rFonts w:ascii="Corbel" w:eastAsia="Corbel" w:hAnsi="Corbel" w:cs="Corbel"/>
          <w:vertAlign w:val="superscript"/>
        </w:rPr>
        <w:footnoteReference w:id="39"/>
      </w:r>
      <w:r>
        <w:rPr>
          <w:rFonts w:ascii="Corbel" w:eastAsia="Corbel" w:hAnsi="Corbel" w:cs="Corbel"/>
        </w:rPr>
        <w:t>. Esto obliga a muchas niñas y adolescentes a priorizar el empleo sobre la educación debido a la complejidad del proceso.</w:t>
      </w:r>
    </w:p>
    <w:p w14:paraId="107DB0D1" w14:textId="77777777" w:rsidR="003C1F39" w:rsidRDefault="00B9577E">
      <w:pPr>
        <w:spacing w:before="240" w:after="240"/>
        <w:rPr>
          <w:rFonts w:ascii="Corbel" w:eastAsia="Corbel" w:hAnsi="Corbel" w:cs="Corbel"/>
          <w:highlight w:val="white"/>
        </w:rPr>
      </w:pPr>
      <w:r>
        <w:rPr>
          <w:rFonts w:ascii="Corbel" w:eastAsia="Corbel" w:hAnsi="Corbel" w:cs="Corbel"/>
          <w:highlight w:val="white"/>
        </w:rPr>
        <w:t xml:space="preserve">La armonización de la Ley de Migración con la Ley General de los Derechos de Niñas, Niños y Adolescentes en 2021 cerró la deficiencia legal que permitía la detención y retorno inmediato de la niñez migrante por parte del INM. Aunque fue un avance, su implementación sigue siendo un </w:t>
      </w:r>
      <w:proofErr w:type="spellStart"/>
      <w:r>
        <w:rPr>
          <w:rFonts w:ascii="Corbel" w:eastAsia="Corbel" w:hAnsi="Corbel" w:cs="Corbel"/>
          <w:highlight w:val="white"/>
        </w:rPr>
        <w:t>desafío.Entre</w:t>
      </w:r>
      <w:proofErr w:type="spellEnd"/>
      <w:r>
        <w:rPr>
          <w:rFonts w:ascii="Corbel" w:eastAsia="Corbel" w:hAnsi="Corbel" w:cs="Corbel"/>
          <w:highlight w:val="white"/>
        </w:rPr>
        <w:t xml:space="preserve"> 2013 y 2023, el INM detuvo a 113,208 NNA no acompañados/as en tránsito, de los cuales 78,879 fueron deportados/as.</w:t>
      </w:r>
      <w:r>
        <w:rPr>
          <w:rFonts w:ascii="Corbel" w:eastAsia="Corbel" w:hAnsi="Corbel" w:cs="Corbel"/>
          <w:highlight w:val="white"/>
          <w:vertAlign w:val="superscript"/>
        </w:rPr>
        <w:footnoteReference w:id="40"/>
      </w:r>
      <w:r>
        <w:rPr>
          <w:rFonts w:ascii="Corbel" w:eastAsia="Corbel" w:hAnsi="Corbel" w:cs="Corbel"/>
          <w:highlight w:val="white"/>
        </w:rPr>
        <w:t xml:space="preserve"> De enero a junio de 2024, se registraron 84,927 eventos de NNA en situación irregular, con 2,840 retornos asistidos (3.3%). En el 55% de los casos, se determinó que los NNA debían ser retornados/as a sus países de origen, exponiéndoles nuevamente a los riesgos que los llevaron a migrar. Muchos de estos/as NNA tienen necesidades de protección internacional. Los retornos se realizan por vía aérea y terrestre en su mayoría; desde septiembre de 2023, Villahermosa, Tabasco, ha sido el principal punto de salida, con más de 300 NNA devueltos/as a Guatemala y Honduras.</w:t>
      </w:r>
      <w:r>
        <w:rPr>
          <w:rFonts w:ascii="Corbel" w:eastAsia="Corbel" w:hAnsi="Corbel" w:cs="Corbel"/>
          <w:highlight w:val="white"/>
          <w:vertAlign w:val="superscript"/>
        </w:rPr>
        <w:footnoteReference w:id="41"/>
      </w:r>
      <w:r>
        <w:rPr>
          <w:rFonts w:ascii="Corbel" w:eastAsia="Corbel" w:hAnsi="Corbel" w:cs="Corbel"/>
          <w:highlight w:val="white"/>
        </w:rPr>
        <w:t xml:space="preserve"> Las rutas terrestres de retorno parten desde Tapachula, Chiapas, a destinos como Quetzaltenango y San Pedro Sula. Durante 2023, se documentaron 60 traslados terrestres, que suelen durar más de 15 horas, sin protocolos claros de atención. El IMUMI ha documentado al menos 60 casos anuales de violaciones a los derechos de NNA en estos contextos, como la falta de acceso al debido proceso y a la solicitud de asilo.</w:t>
      </w:r>
    </w:p>
    <w:p w14:paraId="107DB0D2" w14:textId="77777777" w:rsidR="003C1F39" w:rsidRDefault="00B9577E">
      <w:pPr>
        <w:keepNext/>
        <w:keepLines/>
        <w:pBdr>
          <w:top w:val="nil"/>
          <w:left w:val="nil"/>
          <w:bottom w:val="nil"/>
          <w:right w:val="nil"/>
          <w:between w:val="nil"/>
        </w:pBdr>
        <w:spacing w:before="360" w:after="120"/>
        <w:jc w:val="left"/>
        <w:rPr>
          <w:rFonts w:ascii="Corbel" w:eastAsia="Corbel" w:hAnsi="Corbel" w:cs="Corbel"/>
        </w:rPr>
      </w:pPr>
      <w:bookmarkStart w:id="12" w:name="_heading=h.17dp8vu" w:colFirst="0" w:colLast="0"/>
      <w:bookmarkEnd w:id="12"/>
      <w:r>
        <w:rPr>
          <w:rFonts w:ascii="Corbel" w:eastAsia="Corbel" w:hAnsi="Corbel" w:cs="Corbel"/>
          <w:b/>
          <w:color w:val="000000"/>
        </w:rPr>
        <w:t>Recomendaciones</w:t>
      </w:r>
    </w:p>
    <w:p w14:paraId="107DB0D3" w14:textId="77777777" w:rsidR="003C1F39" w:rsidRDefault="00B9577E">
      <w:pPr>
        <w:numPr>
          <w:ilvl w:val="0"/>
          <w:numId w:val="1"/>
        </w:numPr>
        <w:rPr>
          <w:rFonts w:ascii="Corbel" w:eastAsia="Corbel" w:hAnsi="Corbel" w:cs="Corbel"/>
        </w:rPr>
      </w:pPr>
      <w:r>
        <w:rPr>
          <w:rFonts w:ascii="Corbel" w:eastAsia="Corbel" w:hAnsi="Corbel" w:cs="Corbel"/>
        </w:rPr>
        <w:t>Mejorar la calidad y efectividad de las determinaciones sobre el interés superior de la niñez, abandonando el enfoque de retorno como medida prioritaria y fortalecer la eficacia de las medidas especiales de restitución y protección.</w:t>
      </w:r>
    </w:p>
    <w:p w14:paraId="107DB0D4" w14:textId="77777777" w:rsidR="003C1F39" w:rsidRDefault="00B9577E">
      <w:pPr>
        <w:numPr>
          <w:ilvl w:val="0"/>
          <w:numId w:val="1"/>
        </w:numPr>
        <w:rPr>
          <w:rFonts w:ascii="Corbel" w:eastAsia="Corbel" w:hAnsi="Corbel" w:cs="Corbel"/>
        </w:rPr>
      </w:pPr>
      <w:r>
        <w:rPr>
          <w:rFonts w:ascii="Corbel" w:eastAsia="Corbel" w:hAnsi="Corbel" w:cs="Corbel"/>
        </w:rPr>
        <w:t>Implementar modelos de cuidado alternativo adaptados a los diversos perfiles de la niñez y  adolescencia (familias de adolescentes, adolescentes embarazadas).</w:t>
      </w:r>
    </w:p>
    <w:p w14:paraId="107DB0D5" w14:textId="77777777" w:rsidR="003C1F39" w:rsidRDefault="00B9577E">
      <w:pPr>
        <w:numPr>
          <w:ilvl w:val="0"/>
          <w:numId w:val="1"/>
        </w:numPr>
        <w:rPr>
          <w:rFonts w:ascii="Corbel" w:eastAsia="Corbel" w:hAnsi="Corbel" w:cs="Corbel"/>
        </w:rPr>
      </w:pPr>
      <w:r>
        <w:rPr>
          <w:rFonts w:ascii="Corbel" w:eastAsia="Corbel" w:hAnsi="Corbel" w:cs="Corbel"/>
        </w:rPr>
        <w:t>Garantizar un presupuesto público suficiente para el sistema de protección de la niñez y adolescencia en movilidad.</w:t>
      </w:r>
    </w:p>
    <w:p w14:paraId="107DB0D6" w14:textId="77777777" w:rsidR="003C1F39" w:rsidRDefault="00B9577E">
      <w:pPr>
        <w:numPr>
          <w:ilvl w:val="0"/>
          <w:numId w:val="1"/>
        </w:numPr>
        <w:rPr>
          <w:rFonts w:ascii="Corbel" w:eastAsia="Corbel" w:hAnsi="Corbel" w:cs="Corbel"/>
        </w:rPr>
      </w:pPr>
      <w:r>
        <w:rPr>
          <w:rFonts w:ascii="Corbel" w:eastAsia="Corbel" w:hAnsi="Corbel" w:cs="Corbel"/>
        </w:rPr>
        <w:t>Diseñar y ejecutar servicios integrales con enfoque de género para la prevención de riesgos, como violencia y explotación, en niñas, niños y adolescentes en situación de movilidad.</w:t>
      </w:r>
    </w:p>
    <w:p w14:paraId="107DB0D7" w14:textId="77777777" w:rsidR="003C1F39" w:rsidRDefault="00B9577E">
      <w:pPr>
        <w:numPr>
          <w:ilvl w:val="0"/>
          <w:numId w:val="1"/>
        </w:numPr>
        <w:rPr>
          <w:rFonts w:ascii="Corbel" w:eastAsia="Corbel" w:hAnsi="Corbel" w:cs="Corbel"/>
        </w:rPr>
      </w:pPr>
      <w:r>
        <w:rPr>
          <w:rFonts w:ascii="Corbel" w:eastAsia="Corbel" w:hAnsi="Corbel" w:cs="Corbel"/>
        </w:rPr>
        <w:t>Asegurar que servicios de salud sexual y reproductiva sean accesibles para niñas y adolescentes en movilidad.</w:t>
      </w:r>
    </w:p>
    <w:p w14:paraId="107DB0D8" w14:textId="77777777" w:rsidR="003C1F39" w:rsidRDefault="003C1F39">
      <w:pPr>
        <w:ind w:left="720"/>
        <w:rPr>
          <w:rFonts w:ascii="Corbel" w:eastAsia="Corbel" w:hAnsi="Corbel" w:cs="Corbel"/>
        </w:rPr>
      </w:pPr>
    </w:p>
    <w:p w14:paraId="6B65955C" w14:textId="77777777" w:rsidR="00B9577E" w:rsidRDefault="00B9577E">
      <w:pPr>
        <w:ind w:left="720"/>
        <w:rPr>
          <w:rFonts w:ascii="Corbel" w:eastAsia="Corbel" w:hAnsi="Corbel" w:cs="Corbel"/>
        </w:rPr>
      </w:pPr>
    </w:p>
    <w:p w14:paraId="6995B803" w14:textId="77777777" w:rsidR="00B9577E" w:rsidRDefault="00B9577E">
      <w:pPr>
        <w:ind w:left="720"/>
        <w:rPr>
          <w:rFonts w:ascii="Corbel" w:eastAsia="Corbel" w:hAnsi="Corbel" w:cs="Corbel"/>
        </w:rPr>
      </w:pPr>
    </w:p>
    <w:p w14:paraId="226D10B5" w14:textId="77777777" w:rsidR="00B9577E" w:rsidRDefault="00B9577E">
      <w:pPr>
        <w:ind w:left="720"/>
        <w:rPr>
          <w:rFonts w:ascii="Corbel" w:eastAsia="Corbel" w:hAnsi="Corbel" w:cs="Corbel"/>
        </w:rPr>
      </w:pPr>
    </w:p>
    <w:p w14:paraId="107DB0D9" w14:textId="77777777" w:rsidR="003C1F39" w:rsidRDefault="00B9577E">
      <w:pPr>
        <w:jc w:val="center"/>
        <w:rPr>
          <w:rFonts w:ascii="Corbel" w:eastAsia="Corbel" w:hAnsi="Corbel" w:cs="Corbel"/>
          <w:b/>
          <w:u w:val="single"/>
        </w:rPr>
      </w:pPr>
      <w:r>
        <w:rPr>
          <w:rFonts w:ascii="Corbel" w:eastAsia="Corbel" w:hAnsi="Corbel" w:cs="Corbel"/>
          <w:b/>
          <w:u w:val="single"/>
        </w:rPr>
        <w:lastRenderedPageBreak/>
        <w:t>6. Feminicidio de Victoria Salazar</w:t>
      </w:r>
    </w:p>
    <w:p w14:paraId="107DB0DA" w14:textId="77777777" w:rsidR="003C1F39" w:rsidRDefault="00B9577E">
      <w:pPr>
        <w:spacing w:before="240" w:after="240"/>
        <w:rPr>
          <w:rFonts w:ascii="Corbel" w:eastAsia="Corbel" w:hAnsi="Corbel" w:cs="Corbel"/>
        </w:rPr>
      </w:pPr>
      <w:r>
        <w:rPr>
          <w:rFonts w:ascii="Corbel" w:eastAsia="Corbel" w:hAnsi="Corbel" w:cs="Corbel"/>
        </w:rPr>
        <w:t>Victoria Salazar, una mujer refugiada salvadoreña que vivía en Tulum, Quintana Roo, fue detenida el 28 de marzo de 2021 por cuatro policías municipales, quienes, basándose en perfilamiento racial y discriminación de género, usaron fuerza excesiva. El sometimiento de Salazar resultó en su asesinato, un hecho que generó indignación internacional.</w:t>
      </w:r>
    </w:p>
    <w:p w14:paraId="107DB0DB" w14:textId="77777777" w:rsidR="003C1F39" w:rsidRDefault="00B9577E">
      <w:pPr>
        <w:spacing w:before="240" w:after="240"/>
        <w:rPr>
          <w:rFonts w:ascii="Corbel" w:eastAsia="Corbel" w:hAnsi="Corbel" w:cs="Corbel"/>
        </w:rPr>
      </w:pPr>
      <w:r>
        <w:rPr>
          <w:rFonts w:ascii="Corbel" w:eastAsia="Corbel" w:hAnsi="Corbel" w:cs="Corbel"/>
        </w:rPr>
        <w:t>México y El Salvador expresaron solidaridad con la familia y prometieron justicia, pero a casi cinco años del suceso, el juicio ha sido aplazado varias veces por problemas logísticos y dilaciones de la defensa. La reparación del daño sigue pendiente y el proceso judicial por la violencia sexual contra una de las hijas de Victoria está suspendido. La CNDH emitió la Recomendación 34/2021, pero no se han logrado avances significativos.</w:t>
      </w:r>
    </w:p>
    <w:p w14:paraId="107DB0DC" w14:textId="77777777" w:rsidR="003C1F39" w:rsidRDefault="00B9577E">
      <w:pPr>
        <w:spacing w:before="240" w:after="240"/>
        <w:rPr>
          <w:rFonts w:ascii="Corbel" w:eastAsia="Corbel" w:hAnsi="Corbel" w:cs="Corbel"/>
        </w:rPr>
      </w:pPr>
      <w:r>
        <w:rPr>
          <w:rFonts w:ascii="Corbel" w:eastAsia="Corbel" w:hAnsi="Corbel" w:cs="Corbel"/>
        </w:rPr>
        <w:t>En 2024, el juez decidió cambiar la prisión preventiva de tres implicados por firmas quincenales y arraigo domiciliario, a pesar de no haber cambiado las circunstancias del caso. También reclasificó el delito, reduciendo su gravedad y eliminando el cargo de feminicidio.</w:t>
      </w:r>
    </w:p>
    <w:p w14:paraId="107DB0DD" w14:textId="77777777" w:rsidR="003C1F39" w:rsidRDefault="00B9577E">
      <w:pPr>
        <w:pBdr>
          <w:top w:val="nil"/>
          <w:left w:val="nil"/>
          <w:bottom w:val="nil"/>
          <w:right w:val="nil"/>
          <w:between w:val="nil"/>
        </w:pBdr>
        <w:rPr>
          <w:rFonts w:ascii="Corbel" w:eastAsia="Corbel" w:hAnsi="Corbel" w:cs="Corbel"/>
          <w:b/>
        </w:rPr>
      </w:pPr>
      <w:r>
        <w:rPr>
          <w:rFonts w:ascii="Corbel" w:eastAsia="Corbel" w:hAnsi="Corbel" w:cs="Corbel"/>
          <w:b/>
        </w:rPr>
        <w:t>Recomendaciones</w:t>
      </w:r>
    </w:p>
    <w:p w14:paraId="107DB0DE" w14:textId="77777777" w:rsidR="003C1F39" w:rsidRDefault="00B9577E">
      <w:pPr>
        <w:numPr>
          <w:ilvl w:val="0"/>
          <w:numId w:val="2"/>
        </w:numPr>
        <w:pBdr>
          <w:top w:val="nil"/>
          <w:left w:val="nil"/>
          <w:bottom w:val="nil"/>
          <w:right w:val="nil"/>
          <w:between w:val="nil"/>
        </w:pBdr>
        <w:rPr>
          <w:rFonts w:ascii="Corbel" w:eastAsia="Corbel" w:hAnsi="Corbel" w:cs="Corbel"/>
        </w:rPr>
      </w:pPr>
      <w:r>
        <w:rPr>
          <w:rFonts w:ascii="Corbel" w:eastAsia="Corbel" w:hAnsi="Corbel" w:cs="Corbel"/>
        </w:rPr>
        <w:t>Abstenerse de reclasificar el delito imputado a los cuatro implicados</w:t>
      </w:r>
    </w:p>
    <w:p w14:paraId="107DB0DF" w14:textId="77777777" w:rsidR="003C1F39" w:rsidRDefault="00B9577E">
      <w:pPr>
        <w:numPr>
          <w:ilvl w:val="0"/>
          <w:numId w:val="2"/>
        </w:numPr>
        <w:pBdr>
          <w:top w:val="nil"/>
          <w:left w:val="nil"/>
          <w:bottom w:val="nil"/>
          <w:right w:val="nil"/>
          <w:between w:val="nil"/>
        </w:pBdr>
        <w:rPr>
          <w:rFonts w:ascii="Corbel" w:eastAsia="Corbel" w:hAnsi="Corbel" w:cs="Corbel"/>
        </w:rPr>
      </w:pPr>
      <w:r>
        <w:rPr>
          <w:rFonts w:ascii="Corbel" w:eastAsia="Corbel" w:hAnsi="Corbel" w:cs="Corbel"/>
        </w:rPr>
        <w:t>Avanzar en el cumplimiento de la Recomendación 34/2021 de la CNDH</w:t>
      </w:r>
      <w:permStart w:id="1071463522" w:edGrp="everyone"/>
      <w:permEnd w:id="1071463522"/>
    </w:p>
    <w:p w14:paraId="107DB0E0" w14:textId="77777777" w:rsidR="003C1F39" w:rsidRDefault="003C1F39">
      <w:pPr>
        <w:pBdr>
          <w:top w:val="nil"/>
          <w:left w:val="nil"/>
          <w:bottom w:val="nil"/>
          <w:right w:val="nil"/>
          <w:between w:val="nil"/>
        </w:pBdr>
        <w:rPr>
          <w:rFonts w:ascii="Corbel" w:eastAsia="Corbel" w:hAnsi="Corbel" w:cs="Corbel"/>
        </w:rPr>
      </w:pPr>
    </w:p>
    <w:p w14:paraId="107DB0E1" w14:textId="77777777" w:rsidR="003C1F39" w:rsidRDefault="003C1F39">
      <w:pPr>
        <w:spacing w:before="240" w:after="240"/>
        <w:rPr>
          <w:rFonts w:ascii="Corbel" w:eastAsia="Corbel" w:hAnsi="Corbel" w:cs="Corbel"/>
        </w:rPr>
      </w:pPr>
    </w:p>
    <w:p w14:paraId="107DB0E2" w14:textId="77777777" w:rsidR="003C1F39" w:rsidRDefault="003C1F39">
      <w:pPr>
        <w:pBdr>
          <w:top w:val="nil"/>
          <w:left w:val="nil"/>
          <w:bottom w:val="nil"/>
          <w:right w:val="nil"/>
          <w:between w:val="nil"/>
        </w:pBdr>
        <w:rPr>
          <w:rFonts w:ascii="Corbel" w:eastAsia="Corbel" w:hAnsi="Corbel" w:cs="Corbel"/>
        </w:rPr>
      </w:pPr>
    </w:p>
    <w:p w14:paraId="107DB0E3" w14:textId="77777777" w:rsidR="003C1F39" w:rsidRDefault="003C1F39">
      <w:pPr>
        <w:pBdr>
          <w:top w:val="nil"/>
          <w:left w:val="nil"/>
          <w:bottom w:val="nil"/>
          <w:right w:val="nil"/>
          <w:between w:val="nil"/>
        </w:pBdr>
        <w:rPr>
          <w:rFonts w:ascii="Corbel" w:eastAsia="Corbel" w:hAnsi="Corbel" w:cs="Corbel"/>
        </w:rPr>
      </w:pPr>
    </w:p>
    <w:p w14:paraId="107DB0E4" w14:textId="77777777" w:rsidR="003C1F39" w:rsidRDefault="003C1F39">
      <w:pPr>
        <w:pBdr>
          <w:top w:val="nil"/>
          <w:left w:val="nil"/>
          <w:bottom w:val="nil"/>
          <w:right w:val="nil"/>
          <w:between w:val="nil"/>
        </w:pBdr>
        <w:rPr>
          <w:rFonts w:ascii="Calibri" w:eastAsia="Calibri" w:hAnsi="Calibri" w:cs="Calibri"/>
          <w:sz w:val="24"/>
          <w:szCs w:val="24"/>
        </w:rPr>
      </w:pPr>
    </w:p>
    <w:sectPr w:rsidR="003C1F39">
      <w:headerReference w:type="default" r:id="rId12"/>
      <w:footerReference w:type="defaul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DB0EE" w14:textId="77777777" w:rsidR="00B9577E" w:rsidRDefault="00B9577E">
      <w:pPr>
        <w:spacing w:line="240" w:lineRule="auto"/>
      </w:pPr>
      <w:r>
        <w:separator/>
      </w:r>
    </w:p>
  </w:endnote>
  <w:endnote w:type="continuationSeparator" w:id="0">
    <w:p w14:paraId="107DB0F0" w14:textId="77777777" w:rsidR="00B9577E" w:rsidRDefault="00B957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9F282FA-A3F3-41E3-BD81-EEE849BF810E}"/>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00"/>
    <w:family w:val="swiss"/>
    <w:pitch w:val="variable"/>
    <w:sig w:usb0="A00002EF" w:usb1="4000A44B" w:usb2="00000000" w:usb3="00000000" w:csb0="0000019F" w:csb1="00000000"/>
    <w:embedRegular r:id="rId2" w:fontKey="{4F19E558-45E8-4EFC-9CE9-E5862E42BB54}"/>
    <w:embedBold r:id="rId3" w:fontKey="{E9FDBB79-725D-4D6A-8909-037EA8E68A9D}"/>
    <w:embedItalic r:id="rId4" w:fontKey="{0287AEFF-AE28-4D8E-8176-E22B07622CFC}"/>
    <w:embedBoldItalic r:id="rId5" w:fontKey="{6BB7F39F-9876-49A9-B1FB-DEBA2AD7E8CE}"/>
  </w:font>
  <w:font w:name="Cambria">
    <w:panose1 w:val="02040503050406030204"/>
    <w:charset w:val="00"/>
    <w:family w:val="roman"/>
    <w:pitch w:val="variable"/>
    <w:sig w:usb0="E00006FF" w:usb1="420024FF" w:usb2="02000000" w:usb3="00000000" w:csb0="0000019F" w:csb1="00000000"/>
    <w:embedRegular r:id="rId6" w:fontKey="{D4984506-93FF-4C98-A4B2-30DA1C71B7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B0E8" w14:textId="72D0A4A6" w:rsidR="003C1F39" w:rsidRDefault="00B9577E">
    <w:pPr>
      <w:pBdr>
        <w:top w:val="nil"/>
        <w:left w:val="nil"/>
        <w:bottom w:val="nil"/>
        <w:right w:val="nil"/>
        <w:between w:val="nil"/>
      </w:pBdr>
      <w:tabs>
        <w:tab w:val="center" w:pos="4419"/>
        <w:tab w:val="right" w:pos="8838"/>
      </w:tabs>
      <w:spacing w:line="240" w:lineRule="auto"/>
      <w:jc w:val="right"/>
      <w:rPr>
        <w:rFonts w:ascii="Corbel" w:eastAsia="Corbel" w:hAnsi="Corbel" w:cs="Corbel"/>
        <w:color w:val="000000"/>
      </w:rPr>
    </w:pPr>
    <w:r>
      <w:rPr>
        <w:rFonts w:ascii="Corbel" w:eastAsia="Corbel" w:hAnsi="Corbel" w:cs="Corbel"/>
        <w:color w:val="000000"/>
      </w:rPr>
      <w:fldChar w:fldCharType="begin"/>
    </w:r>
    <w:r>
      <w:rPr>
        <w:rFonts w:ascii="Corbel" w:eastAsia="Corbel" w:hAnsi="Corbel" w:cs="Corbel"/>
        <w:color w:val="000000"/>
      </w:rPr>
      <w:instrText>PAGE</w:instrText>
    </w:r>
    <w:r>
      <w:rPr>
        <w:rFonts w:ascii="Corbel" w:eastAsia="Corbel" w:hAnsi="Corbel" w:cs="Corbel"/>
        <w:color w:val="000000"/>
      </w:rPr>
      <w:fldChar w:fldCharType="separate"/>
    </w:r>
    <w:r>
      <w:rPr>
        <w:rFonts w:ascii="Corbel" w:eastAsia="Corbel" w:hAnsi="Corbel" w:cs="Corbel"/>
        <w:noProof/>
        <w:color w:val="000000"/>
      </w:rPr>
      <w:t>2</w:t>
    </w:r>
    <w:r>
      <w:rPr>
        <w:rFonts w:ascii="Corbel" w:eastAsia="Corbel" w:hAnsi="Corbel" w:cs="Corbel"/>
        <w:color w:val="000000"/>
      </w:rPr>
      <w:fldChar w:fldCharType="end"/>
    </w:r>
  </w:p>
  <w:p w14:paraId="107DB0E9" w14:textId="77777777" w:rsidR="003C1F39" w:rsidRDefault="003C1F39">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DB0EA" w14:textId="77777777" w:rsidR="00B9577E" w:rsidRDefault="00B9577E">
      <w:pPr>
        <w:spacing w:line="240" w:lineRule="auto"/>
      </w:pPr>
      <w:r>
        <w:separator/>
      </w:r>
    </w:p>
  </w:footnote>
  <w:footnote w:type="continuationSeparator" w:id="0">
    <w:p w14:paraId="107DB0EC" w14:textId="77777777" w:rsidR="00B9577E" w:rsidRDefault="00B9577E">
      <w:pPr>
        <w:spacing w:line="240" w:lineRule="auto"/>
      </w:pPr>
      <w:r>
        <w:continuationSeparator/>
      </w:r>
    </w:p>
  </w:footnote>
  <w:footnote w:id="1">
    <w:p w14:paraId="107DB0EA" w14:textId="77777777" w:rsidR="003C1F39" w:rsidRDefault="00B9577E">
      <w:pPr>
        <w:spacing w:line="240" w:lineRule="auto"/>
        <w:rPr>
          <w:rFonts w:ascii="Corbel" w:eastAsia="Corbel" w:hAnsi="Corbel" w:cs="Corbel"/>
          <w:i/>
          <w:sz w:val="16"/>
          <w:szCs w:val="16"/>
        </w:rPr>
      </w:pPr>
      <w:r>
        <w:rPr>
          <w:vertAlign w:val="superscript"/>
        </w:rPr>
        <w:footnoteRef/>
      </w:r>
      <w:r>
        <w:rPr>
          <w:sz w:val="20"/>
          <w:szCs w:val="20"/>
        </w:rPr>
        <w:t xml:space="preserve"> </w:t>
      </w:r>
      <w:r>
        <w:rPr>
          <w:rFonts w:ascii="Corbel" w:eastAsia="Corbel" w:hAnsi="Corbel" w:cs="Corbel"/>
          <w:i/>
          <w:sz w:val="16"/>
          <w:szCs w:val="16"/>
        </w:rPr>
        <w:t xml:space="preserve">Organizaciones que respaldan este informe: </w:t>
      </w:r>
    </w:p>
    <w:p w14:paraId="107DB0EB" w14:textId="77777777" w:rsidR="003C1F39" w:rsidRDefault="00B9577E">
      <w:pPr>
        <w:spacing w:line="240" w:lineRule="auto"/>
        <w:rPr>
          <w:rFonts w:ascii="Corbel" w:eastAsia="Corbel" w:hAnsi="Corbel" w:cs="Corbel"/>
          <w:sz w:val="16"/>
          <w:szCs w:val="16"/>
        </w:rPr>
      </w:pPr>
      <w:proofErr w:type="spellStart"/>
      <w:r>
        <w:rPr>
          <w:rFonts w:ascii="Corbel" w:eastAsia="Corbel" w:hAnsi="Corbel" w:cs="Corbel"/>
          <w:sz w:val="16"/>
          <w:szCs w:val="16"/>
        </w:rPr>
        <w:t>Asylum</w:t>
      </w:r>
      <w:proofErr w:type="spellEnd"/>
      <w:r>
        <w:rPr>
          <w:rFonts w:ascii="Corbel" w:eastAsia="Corbel" w:hAnsi="Corbel" w:cs="Corbel"/>
          <w:sz w:val="16"/>
          <w:szCs w:val="16"/>
        </w:rPr>
        <w:t xml:space="preserve"> Access México</w:t>
      </w:r>
    </w:p>
    <w:p w14:paraId="107DB0EC"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Sin Fronteras IAP</w:t>
      </w:r>
    </w:p>
    <w:p w14:paraId="107DB0ED"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Coalición Internacional contra la Detención (IDC)</w:t>
      </w:r>
    </w:p>
    <w:p w14:paraId="107DB0EE"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 xml:space="preserve">Grupo de Trabajo Sobre </w:t>
      </w:r>
      <w:proofErr w:type="spellStart"/>
      <w:r>
        <w:rPr>
          <w:rFonts w:ascii="Corbel" w:eastAsia="Corbel" w:hAnsi="Corbel" w:cs="Corbel"/>
          <w:sz w:val="16"/>
          <w:szCs w:val="16"/>
        </w:rPr>
        <w:t>Política</w:t>
      </w:r>
      <w:proofErr w:type="spellEnd"/>
      <w:r>
        <w:rPr>
          <w:rFonts w:ascii="Corbel" w:eastAsia="Corbel" w:hAnsi="Corbel" w:cs="Corbel"/>
          <w:sz w:val="16"/>
          <w:szCs w:val="16"/>
        </w:rPr>
        <w:t xml:space="preserve"> Migratoria-GTPM: Aldeas Infantiles SOS </w:t>
      </w:r>
      <w:proofErr w:type="spellStart"/>
      <w:r>
        <w:rPr>
          <w:rFonts w:ascii="Corbel" w:eastAsia="Corbel" w:hAnsi="Corbel" w:cs="Corbel"/>
          <w:sz w:val="16"/>
          <w:szCs w:val="16"/>
        </w:rPr>
        <w:t>México</w:t>
      </w:r>
      <w:proofErr w:type="spellEnd"/>
      <w:r>
        <w:rPr>
          <w:rFonts w:ascii="Corbel" w:eastAsia="Corbel" w:hAnsi="Corbel" w:cs="Corbel"/>
          <w:sz w:val="16"/>
          <w:szCs w:val="16"/>
        </w:rPr>
        <w:t xml:space="preserve">, I.A.P.; Alianza Américas; American Friends </w:t>
      </w:r>
      <w:proofErr w:type="spellStart"/>
      <w:r>
        <w:rPr>
          <w:rFonts w:ascii="Corbel" w:eastAsia="Corbel" w:hAnsi="Corbel" w:cs="Corbel"/>
          <w:sz w:val="16"/>
          <w:szCs w:val="16"/>
        </w:rPr>
        <w:t>Services</w:t>
      </w:r>
      <w:proofErr w:type="spellEnd"/>
      <w:r>
        <w:rPr>
          <w:rFonts w:ascii="Corbel" w:eastAsia="Corbel" w:hAnsi="Corbel" w:cs="Corbel"/>
          <w:sz w:val="16"/>
          <w:szCs w:val="16"/>
        </w:rPr>
        <w:t xml:space="preserve"> Committee; Apoyo a Migrantes Venezolanos, A.C.; </w:t>
      </w:r>
      <w:proofErr w:type="spellStart"/>
      <w:r>
        <w:rPr>
          <w:rFonts w:ascii="Corbel" w:eastAsia="Corbel" w:hAnsi="Corbel" w:cs="Corbel"/>
          <w:sz w:val="16"/>
          <w:szCs w:val="16"/>
        </w:rPr>
        <w:t>Asylum</w:t>
      </w:r>
      <w:proofErr w:type="spellEnd"/>
      <w:r>
        <w:rPr>
          <w:rFonts w:ascii="Corbel" w:eastAsia="Corbel" w:hAnsi="Corbel" w:cs="Corbel"/>
          <w:sz w:val="16"/>
          <w:szCs w:val="16"/>
        </w:rPr>
        <w:t xml:space="preserve"> Access </w:t>
      </w:r>
      <w:proofErr w:type="spellStart"/>
      <w:r>
        <w:rPr>
          <w:rFonts w:ascii="Corbel" w:eastAsia="Corbel" w:hAnsi="Corbel" w:cs="Corbel"/>
          <w:sz w:val="16"/>
          <w:szCs w:val="16"/>
        </w:rPr>
        <w:t>México</w:t>
      </w:r>
      <w:proofErr w:type="spellEnd"/>
      <w:r>
        <w:rPr>
          <w:rFonts w:ascii="Corbel" w:eastAsia="Corbel" w:hAnsi="Corbel" w:cs="Corbel"/>
          <w:sz w:val="16"/>
          <w:szCs w:val="16"/>
        </w:rPr>
        <w:t xml:space="preserve"> (AAMX) A.C.; Casa del Migrante Saltillo (Frontera con Justicia A.C.); Centro de Atención a la Familia Migrante Indígena, CAFAMI; Centro de Derechos Humanos Fray </w:t>
      </w:r>
      <w:proofErr w:type="spellStart"/>
      <w:r>
        <w:rPr>
          <w:rFonts w:ascii="Corbel" w:eastAsia="Corbel" w:hAnsi="Corbel" w:cs="Corbel"/>
          <w:sz w:val="16"/>
          <w:szCs w:val="16"/>
        </w:rPr>
        <w:t>Matías</w:t>
      </w:r>
      <w:proofErr w:type="spellEnd"/>
      <w:r>
        <w:rPr>
          <w:rFonts w:ascii="Corbel" w:eastAsia="Corbel" w:hAnsi="Corbel" w:cs="Corbel"/>
          <w:sz w:val="16"/>
          <w:szCs w:val="16"/>
        </w:rPr>
        <w:t xml:space="preserve"> de </w:t>
      </w:r>
      <w:proofErr w:type="spellStart"/>
      <w:r>
        <w:rPr>
          <w:rFonts w:ascii="Corbel" w:eastAsia="Corbel" w:hAnsi="Corbel" w:cs="Corbel"/>
          <w:sz w:val="16"/>
          <w:szCs w:val="16"/>
        </w:rPr>
        <w:t>Córdova</w:t>
      </w:r>
      <w:proofErr w:type="spellEnd"/>
      <w:r>
        <w:rPr>
          <w:rFonts w:ascii="Corbel" w:eastAsia="Corbel" w:hAnsi="Corbel" w:cs="Corbel"/>
          <w:sz w:val="16"/>
          <w:szCs w:val="16"/>
        </w:rPr>
        <w:t xml:space="preserve">, A.C.; </w:t>
      </w:r>
      <w:proofErr w:type="spellStart"/>
      <w:r>
        <w:rPr>
          <w:rFonts w:ascii="Corbel" w:eastAsia="Corbel" w:hAnsi="Corbel" w:cs="Corbel"/>
          <w:sz w:val="16"/>
          <w:szCs w:val="16"/>
        </w:rPr>
        <w:t>Coalición</w:t>
      </w:r>
      <w:proofErr w:type="spellEnd"/>
      <w:r>
        <w:rPr>
          <w:rFonts w:ascii="Corbel" w:eastAsia="Corbel" w:hAnsi="Corbel" w:cs="Corbel"/>
          <w:sz w:val="16"/>
          <w:szCs w:val="16"/>
        </w:rPr>
        <w:t xml:space="preserve"> Pro Defensa del Migrante de Baja California; Comisión Mexicana de Defensa y Promoción de los Derechos Humanos; </w:t>
      </w:r>
      <w:proofErr w:type="spellStart"/>
      <w:r>
        <w:rPr>
          <w:rFonts w:ascii="Corbel" w:eastAsia="Corbel" w:hAnsi="Corbel" w:cs="Corbel"/>
          <w:sz w:val="16"/>
          <w:szCs w:val="16"/>
        </w:rPr>
        <w:t>Fundación</w:t>
      </w:r>
      <w:proofErr w:type="spellEnd"/>
      <w:r>
        <w:rPr>
          <w:rFonts w:ascii="Corbel" w:eastAsia="Corbel" w:hAnsi="Corbel" w:cs="Corbel"/>
          <w:sz w:val="16"/>
          <w:szCs w:val="16"/>
        </w:rPr>
        <w:t xml:space="preserve">  </w:t>
      </w:r>
      <w:proofErr w:type="spellStart"/>
      <w:r>
        <w:rPr>
          <w:rFonts w:ascii="Corbel" w:eastAsia="Corbel" w:hAnsi="Corbel" w:cs="Corbel"/>
          <w:sz w:val="16"/>
          <w:szCs w:val="16"/>
        </w:rPr>
        <w:t>Appleseed</w:t>
      </w:r>
      <w:proofErr w:type="spellEnd"/>
      <w:r>
        <w:rPr>
          <w:rFonts w:ascii="Corbel" w:eastAsia="Corbel" w:hAnsi="Corbel" w:cs="Corbel"/>
          <w:sz w:val="16"/>
          <w:szCs w:val="16"/>
        </w:rPr>
        <w:t xml:space="preserve"> </w:t>
      </w:r>
      <w:proofErr w:type="spellStart"/>
      <w:r>
        <w:rPr>
          <w:rFonts w:ascii="Corbel" w:eastAsia="Corbel" w:hAnsi="Corbel" w:cs="Corbel"/>
          <w:sz w:val="16"/>
          <w:szCs w:val="16"/>
        </w:rPr>
        <w:t>México</w:t>
      </w:r>
      <w:proofErr w:type="spellEnd"/>
      <w:r>
        <w:rPr>
          <w:rFonts w:ascii="Corbel" w:eastAsia="Corbel" w:hAnsi="Corbel" w:cs="Corbel"/>
          <w:sz w:val="16"/>
          <w:szCs w:val="16"/>
        </w:rPr>
        <w:t xml:space="preserve">, A.C.; DHIA. Derechos Humanos Integrales en </w:t>
      </w:r>
      <w:proofErr w:type="spellStart"/>
      <w:r>
        <w:rPr>
          <w:rFonts w:ascii="Corbel" w:eastAsia="Corbel" w:hAnsi="Corbel" w:cs="Corbel"/>
          <w:sz w:val="16"/>
          <w:szCs w:val="16"/>
        </w:rPr>
        <w:t>Acción</w:t>
      </w:r>
      <w:proofErr w:type="spellEnd"/>
      <w:r>
        <w:rPr>
          <w:rFonts w:ascii="Corbel" w:eastAsia="Corbel" w:hAnsi="Corbel" w:cs="Corbel"/>
          <w:sz w:val="16"/>
          <w:szCs w:val="16"/>
        </w:rPr>
        <w:t xml:space="preserve">, A.C.; IMUMI Instituto para las Mujeres en la </w:t>
      </w:r>
      <w:proofErr w:type="spellStart"/>
      <w:r>
        <w:rPr>
          <w:rFonts w:ascii="Corbel" w:eastAsia="Corbel" w:hAnsi="Corbel" w:cs="Corbel"/>
          <w:sz w:val="16"/>
          <w:szCs w:val="16"/>
        </w:rPr>
        <w:t>Migración</w:t>
      </w:r>
      <w:proofErr w:type="spellEnd"/>
      <w:r>
        <w:rPr>
          <w:rFonts w:ascii="Corbel" w:eastAsia="Corbel" w:hAnsi="Corbel" w:cs="Corbel"/>
          <w:sz w:val="16"/>
          <w:szCs w:val="16"/>
        </w:rPr>
        <w:t xml:space="preserve">; Iniciativa Ciudadana para la </w:t>
      </w:r>
      <w:proofErr w:type="spellStart"/>
      <w:r>
        <w:rPr>
          <w:rFonts w:ascii="Corbel" w:eastAsia="Corbel" w:hAnsi="Corbel" w:cs="Corbel"/>
          <w:sz w:val="16"/>
          <w:szCs w:val="16"/>
        </w:rPr>
        <w:t>Promoción</w:t>
      </w:r>
      <w:proofErr w:type="spellEnd"/>
      <w:r>
        <w:rPr>
          <w:rFonts w:ascii="Corbel" w:eastAsia="Corbel" w:hAnsi="Corbel" w:cs="Corbel"/>
          <w:sz w:val="16"/>
          <w:szCs w:val="16"/>
        </w:rPr>
        <w:t xml:space="preserve"> de la Cultura del </w:t>
      </w:r>
      <w:proofErr w:type="spellStart"/>
      <w:r>
        <w:rPr>
          <w:rFonts w:ascii="Corbel" w:eastAsia="Corbel" w:hAnsi="Corbel" w:cs="Corbel"/>
          <w:sz w:val="16"/>
          <w:szCs w:val="16"/>
        </w:rPr>
        <w:t>Diálogo</w:t>
      </w:r>
      <w:proofErr w:type="spellEnd"/>
      <w:r>
        <w:rPr>
          <w:rFonts w:ascii="Corbel" w:eastAsia="Corbel" w:hAnsi="Corbel" w:cs="Corbel"/>
          <w:sz w:val="16"/>
          <w:szCs w:val="16"/>
        </w:rPr>
        <w:t xml:space="preserve">, A.C.; INSYDE Instituto para la Seguridad y la Democracia; M3 Movimiento Migrante Mesoamericano; Paso de Esperanza A.C.; REDIM Red por los Derechos de la Infancia en </w:t>
      </w:r>
      <w:proofErr w:type="spellStart"/>
      <w:r>
        <w:rPr>
          <w:rFonts w:ascii="Corbel" w:eastAsia="Corbel" w:hAnsi="Corbel" w:cs="Corbel"/>
          <w:sz w:val="16"/>
          <w:szCs w:val="16"/>
        </w:rPr>
        <w:t>México</w:t>
      </w:r>
      <w:proofErr w:type="spellEnd"/>
      <w:r>
        <w:rPr>
          <w:rFonts w:ascii="Corbel" w:eastAsia="Corbel" w:hAnsi="Corbel" w:cs="Corbel"/>
          <w:sz w:val="16"/>
          <w:szCs w:val="16"/>
        </w:rPr>
        <w:t xml:space="preserve">; </w:t>
      </w:r>
      <w:proofErr w:type="spellStart"/>
      <w:r>
        <w:rPr>
          <w:rFonts w:ascii="Corbel" w:eastAsia="Corbel" w:hAnsi="Corbel" w:cs="Corbel"/>
          <w:sz w:val="16"/>
          <w:szCs w:val="16"/>
        </w:rPr>
        <w:t>Save</w:t>
      </w:r>
      <w:proofErr w:type="spellEnd"/>
      <w:r>
        <w:rPr>
          <w:rFonts w:ascii="Corbel" w:eastAsia="Corbel" w:hAnsi="Corbel" w:cs="Corbel"/>
          <w:sz w:val="16"/>
          <w:szCs w:val="16"/>
        </w:rPr>
        <w:t xml:space="preserve"> the </w:t>
      </w:r>
      <w:proofErr w:type="spellStart"/>
      <w:r>
        <w:rPr>
          <w:rFonts w:ascii="Corbel" w:eastAsia="Corbel" w:hAnsi="Corbel" w:cs="Corbel"/>
          <w:sz w:val="16"/>
          <w:szCs w:val="16"/>
        </w:rPr>
        <w:t>Children</w:t>
      </w:r>
      <w:proofErr w:type="spellEnd"/>
      <w:r>
        <w:rPr>
          <w:rFonts w:ascii="Corbel" w:eastAsia="Corbel" w:hAnsi="Corbel" w:cs="Corbel"/>
          <w:sz w:val="16"/>
          <w:szCs w:val="16"/>
        </w:rPr>
        <w:t xml:space="preserve"> </w:t>
      </w:r>
      <w:proofErr w:type="spellStart"/>
      <w:r>
        <w:rPr>
          <w:rFonts w:ascii="Corbel" w:eastAsia="Corbel" w:hAnsi="Corbel" w:cs="Corbel"/>
          <w:sz w:val="16"/>
          <w:szCs w:val="16"/>
        </w:rPr>
        <w:t>México</w:t>
      </w:r>
      <w:proofErr w:type="spellEnd"/>
      <w:r>
        <w:rPr>
          <w:rFonts w:ascii="Corbel" w:eastAsia="Corbel" w:hAnsi="Corbel" w:cs="Corbel"/>
          <w:sz w:val="16"/>
          <w:szCs w:val="16"/>
        </w:rPr>
        <w:t xml:space="preserve">, Sin Fronteras, IAP; Servicio Jesuita a Refugiados; SMR </w:t>
      </w:r>
      <w:proofErr w:type="spellStart"/>
      <w:r>
        <w:rPr>
          <w:rFonts w:ascii="Corbel" w:eastAsia="Corbel" w:hAnsi="Corbel" w:cs="Corbel"/>
          <w:sz w:val="16"/>
          <w:szCs w:val="16"/>
        </w:rPr>
        <w:t>Scalabrinianas</w:t>
      </w:r>
      <w:proofErr w:type="spellEnd"/>
      <w:r>
        <w:rPr>
          <w:rFonts w:ascii="Corbel" w:eastAsia="Corbel" w:hAnsi="Corbel" w:cs="Corbel"/>
          <w:sz w:val="16"/>
          <w:szCs w:val="16"/>
        </w:rPr>
        <w:t xml:space="preserve">:  </w:t>
      </w:r>
      <w:proofErr w:type="spellStart"/>
      <w:r>
        <w:rPr>
          <w:rFonts w:ascii="Corbel" w:eastAsia="Corbel" w:hAnsi="Corbel" w:cs="Corbel"/>
          <w:sz w:val="16"/>
          <w:szCs w:val="16"/>
        </w:rPr>
        <w:t>Misión</w:t>
      </w:r>
      <w:proofErr w:type="spellEnd"/>
      <w:r>
        <w:rPr>
          <w:rFonts w:ascii="Corbel" w:eastAsia="Corbel" w:hAnsi="Corbel" w:cs="Corbel"/>
          <w:sz w:val="16"/>
          <w:szCs w:val="16"/>
        </w:rPr>
        <w:t xml:space="preserve"> con Migrantes y Refugiados; Leticia </w:t>
      </w:r>
      <w:proofErr w:type="spellStart"/>
      <w:r>
        <w:rPr>
          <w:rFonts w:ascii="Corbel" w:eastAsia="Corbel" w:hAnsi="Corbel" w:cs="Corbel"/>
          <w:sz w:val="16"/>
          <w:szCs w:val="16"/>
        </w:rPr>
        <w:t>Calderón</w:t>
      </w:r>
      <w:proofErr w:type="spellEnd"/>
      <w:r>
        <w:rPr>
          <w:rFonts w:ascii="Corbel" w:eastAsia="Corbel" w:hAnsi="Corbel" w:cs="Corbel"/>
          <w:sz w:val="16"/>
          <w:szCs w:val="16"/>
        </w:rPr>
        <w:t xml:space="preserve">, Analista en temas migratorios; Brenda </w:t>
      </w:r>
      <w:proofErr w:type="spellStart"/>
      <w:r>
        <w:rPr>
          <w:rFonts w:ascii="Corbel" w:eastAsia="Corbel" w:hAnsi="Corbel" w:cs="Corbel"/>
          <w:sz w:val="16"/>
          <w:szCs w:val="16"/>
        </w:rPr>
        <w:t>Valdés</w:t>
      </w:r>
      <w:proofErr w:type="spellEnd"/>
      <w:r>
        <w:rPr>
          <w:rFonts w:ascii="Corbel" w:eastAsia="Corbel" w:hAnsi="Corbel" w:cs="Corbel"/>
          <w:sz w:val="16"/>
          <w:szCs w:val="16"/>
        </w:rPr>
        <w:t xml:space="preserve">; Manuel </w:t>
      </w:r>
      <w:proofErr w:type="spellStart"/>
      <w:r>
        <w:rPr>
          <w:rFonts w:ascii="Corbel" w:eastAsia="Corbel" w:hAnsi="Corbel" w:cs="Corbel"/>
          <w:sz w:val="16"/>
          <w:szCs w:val="16"/>
        </w:rPr>
        <w:t>Ángel</w:t>
      </w:r>
      <w:proofErr w:type="spellEnd"/>
      <w:r>
        <w:rPr>
          <w:rFonts w:ascii="Corbel" w:eastAsia="Corbel" w:hAnsi="Corbel" w:cs="Corbel"/>
          <w:sz w:val="16"/>
          <w:szCs w:val="16"/>
        </w:rPr>
        <w:t xml:space="preserve"> Castillo, Investigador; Gloria Ciria </w:t>
      </w:r>
      <w:proofErr w:type="spellStart"/>
      <w:r>
        <w:rPr>
          <w:rFonts w:ascii="Corbel" w:eastAsia="Corbel" w:hAnsi="Corbel" w:cs="Corbel"/>
          <w:sz w:val="16"/>
          <w:szCs w:val="16"/>
        </w:rPr>
        <w:t>Valdéz</w:t>
      </w:r>
      <w:proofErr w:type="spellEnd"/>
      <w:r>
        <w:rPr>
          <w:rFonts w:ascii="Corbel" w:eastAsia="Corbel" w:hAnsi="Corbel" w:cs="Corbel"/>
          <w:sz w:val="16"/>
          <w:szCs w:val="16"/>
        </w:rPr>
        <w:t xml:space="preserve"> Gardea, fundadora y coordinadora del Seminario Niñez Migrante; IDC International </w:t>
      </w:r>
      <w:proofErr w:type="spellStart"/>
      <w:r>
        <w:rPr>
          <w:rFonts w:ascii="Corbel" w:eastAsia="Corbel" w:hAnsi="Corbel" w:cs="Corbel"/>
          <w:sz w:val="16"/>
          <w:szCs w:val="16"/>
        </w:rPr>
        <w:t>Detention</w:t>
      </w:r>
      <w:proofErr w:type="spellEnd"/>
      <w:r>
        <w:rPr>
          <w:rFonts w:ascii="Corbel" w:eastAsia="Corbel" w:hAnsi="Corbel" w:cs="Corbel"/>
          <w:sz w:val="16"/>
          <w:szCs w:val="16"/>
        </w:rPr>
        <w:t xml:space="preserve"> </w:t>
      </w:r>
      <w:proofErr w:type="spellStart"/>
      <w:r>
        <w:rPr>
          <w:rFonts w:ascii="Corbel" w:eastAsia="Corbel" w:hAnsi="Corbel" w:cs="Corbel"/>
          <w:sz w:val="16"/>
          <w:szCs w:val="16"/>
        </w:rPr>
        <w:t>Coalition</w:t>
      </w:r>
      <w:proofErr w:type="spellEnd"/>
      <w:r>
        <w:rPr>
          <w:rFonts w:ascii="Corbel" w:eastAsia="Corbel" w:hAnsi="Corbel" w:cs="Corbel"/>
          <w:sz w:val="16"/>
          <w:szCs w:val="16"/>
        </w:rPr>
        <w:t xml:space="preserve"> (Observadoras). Melissa </w:t>
      </w:r>
      <w:proofErr w:type="spellStart"/>
      <w:r>
        <w:rPr>
          <w:rFonts w:ascii="Corbel" w:eastAsia="Corbel" w:hAnsi="Corbel" w:cs="Corbel"/>
          <w:sz w:val="16"/>
          <w:szCs w:val="16"/>
        </w:rPr>
        <w:t>Vertiz</w:t>
      </w:r>
      <w:proofErr w:type="spellEnd"/>
      <w:r>
        <w:rPr>
          <w:rFonts w:ascii="Corbel" w:eastAsia="Corbel" w:hAnsi="Corbel" w:cs="Corbel"/>
          <w:sz w:val="16"/>
          <w:szCs w:val="16"/>
        </w:rPr>
        <w:t xml:space="preserve"> Hernández, Secretaria Técnica; Alfredo Limas Hernández, profesor universitario.</w:t>
      </w:r>
    </w:p>
    <w:p w14:paraId="107DB0EF"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Red Jesuita con Migrantes - México</w:t>
      </w:r>
    </w:p>
  </w:footnote>
  <w:footnote w:id="2">
    <w:p w14:paraId="107DB0F0" w14:textId="77777777" w:rsidR="003C1F39" w:rsidRDefault="00B9577E">
      <w:pPr>
        <w:spacing w:line="240" w:lineRule="auto"/>
        <w:rPr>
          <w:rFonts w:ascii="Corbel" w:eastAsia="Corbel" w:hAnsi="Corbel" w:cs="Corbel"/>
          <w:i/>
          <w:sz w:val="16"/>
          <w:szCs w:val="16"/>
        </w:rPr>
      </w:pPr>
      <w:r>
        <w:rPr>
          <w:vertAlign w:val="superscript"/>
        </w:rPr>
        <w:footnoteRef/>
      </w:r>
      <w:r>
        <w:rPr>
          <w:rFonts w:ascii="Corbel" w:eastAsia="Corbel" w:hAnsi="Corbel" w:cs="Corbel"/>
          <w:i/>
          <w:sz w:val="16"/>
          <w:szCs w:val="16"/>
        </w:rPr>
        <w:t xml:space="preserve"> Personas a título individual que respaldan este informe: </w:t>
      </w:r>
    </w:p>
    <w:p w14:paraId="107DB0F1"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Patricia Zamudio, CIESAS-Golfo</w:t>
      </w:r>
    </w:p>
    <w:p w14:paraId="107DB0F2"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Martha Rojas, El Colegio de la Frontera Sur</w:t>
      </w:r>
    </w:p>
    <w:p w14:paraId="107DB0F3" w14:textId="77777777" w:rsidR="003C1F39" w:rsidRDefault="00B9577E">
      <w:pPr>
        <w:spacing w:line="240" w:lineRule="auto"/>
        <w:rPr>
          <w:rFonts w:ascii="Corbel" w:eastAsia="Corbel" w:hAnsi="Corbel" w:cs="Corbel"/>
          <w:sz w:val="16"/>
          <w:szCs w:val="16"/>
        </w:rPr>
      </w:pPr>
      <w:r>
        <w:rPr>
          <w:rFonts w:ascii="Corbel" w:eastAsia="Corbel" w:hAnsi="Corbel" w:cs="Corbel"/>
          <w:sz w:val="16"/>
          <w:szCs w:val="16"/>
        </w:rPr>
        <w:t>Genoveva Roldán Ávila (UNAM)</w:t>
      </w:r>
    </w:p>
  </w:footnote>
  <w:footnote w:id="3">
    <w:p w14:paraId="107DB0F4"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De 2012 a 2018, se registraron 656984 eventos de hombres en situación irregular (78%), mientras que se registraron 177270 eventos de mujeres (21%). De 2019 a 2024, se registraron 1,868,912 eventos de hombres en situación irregular (68%), mientras que se registraron 851,500 eventos de mujeres (31%). Elaboración propia con información de </w:t>
      </w:r>
      <w:hyperlink r:id="rId1">
        <w:r>
          <w:rPr>
            <w:rFonts w:ascii="Corbel" w:eastAsia="Corbel" w:hAnsi="Corbel" w:cs="Corbel"/>
            <w:color w:val="1155CC"/>
            <w:sz w:val="16"/>
            <w:szCs w:val="16"/>
            <w:u w:val="single"/>
          </w:rPr>
          <w:t>http://www.politicamigratoria.gob.mx/es//PoliticaMigratoria/Direccion_de_Estadistica</w:t>
        </w:r>
      </w:hyperlink>
      <w:r>
        <w:rPr>
          <w:rFonts w:ascii="Corbel" w:eastAsia="Corbel" w:hAnsi="Corbel" w:cs="Corbel"/>
          <w:sz w:val="16"/>
          <w:szCs w:val="16"/>
        </w:rPr>
        <w:t xml:space="preserve">  </w:t>
      </w:r>
    </w:p>
  </w:footnote>
  <w:footnote w:id="4">
    <w:p w14:paraId="107DB0F5"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Rododem</w:t>
      </w:r>
      <w:proofErr w:type="spellEnd"/>
      <w:r>
        <w:rPr>
          <w:rFonts w:ascii="Corbel" w:eastAsia="Corbel" w:hAnsi="Corbel" w:cs="Corbel"/>
          <w:sz w:val="16"/>
          <w:szCs w:val="16"/>
        </w:rPr>
        <w:t xml:space="preserve"> A.C. (s. f.). Resultados de análisis sobre la movilidad humana en México durante 2023 de la </w:t>
      </w:r>
      <w:proofErr w:type="spellStart"/>
      <w:r>
        <w:rPr>
          <w:rFonts w:ascii="Corbel" w:eastAsia="Corbel" w:hAnsi="Corbel" w:cs="Corbel"/>
          <w:sz w:val="16"/>
          <w:szCs w:val="16"/>
        </w:rPr>
        <w:t>Redodem</w:t>
      </w:r>
      <w:proofErr w:type="spellEnd"/>
      <w:r>
        <w:rPr>
          <w:rFonts w:ascii="Corbel" w:eastAsia="Corbel" w:hAnsi="Corbel" w:cs="Corbel"/>
          <w:sz w:val="16"/>
          <w:szCs w:val="16"/>
        </w:rPr>
        <w:t xml:space="preserve">. </w:t>
      </w:r>
      <w:proofErr w:type="spellStart"/>
      <w:r>
        <w:rPr>
          <w:rFonts w:ascii="Corbel" w:eastAsia="Corbel" w:hAnsi="Corbel" w:cs="Corbel"/>
          <w:sz w:val="16"/>
          <w:szCs w:val="16"/>
        </w:rPr>
        <w:t>Rododem</w:t>
      </w:r>
      <w:proofErr w:type="spellEnd"/>
      <w:r>
        <w:rPr>
          <w:rFonts w:ascii="Corbel" w:eastAsia="Corbel" w:hAnsi="Corbel" w:cs="Corbel"/>
          <w:sz w:val="16"/>
          <w:szCs w:val="16"/>
        </w:rPr>
        <w:t xml:space="preserve">. Recuperado 10 de marzo de 2025, de </w:t>
      </w:r>
      <w:hyperlink r:id="rId2">
        <w:r>
          <w:rPr>
            <w:rFonts w:ascii="Corbel" w:eastAsia="Corbel" w:hAnsi="Corbel" w:cs="Corbel"/>
            <w:color w:val="1155CC"/>
            <w:sz w:val="16"/>
            <w:szCs w:val="16"/>
            <w:u w:val="single"/>
          </w:rPr>
          <w:t>https://redodem.org/2023-2/</w:t>
        </w:r>
      </w:hyperlink>
      <w:r>
        <w:rPr>
          <w:rFonts w:ascii="Corbel" w:eastAsia="Corbel" w:hAnsi="Corbel" w:cs="Corbel"/>
          <w:sz w:val="16"/>
          <w:szCs w:val="16"/>
        </w:rPr>
        <w:t xml:space="preserve"> </w:t>
      </w:r>
    </w:p>
  </w:footnote>
  <w:footnote w:id="5">
    <w:p w14:paraId="107DB0F6"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Ibid</w:t>
      </w:r>
      <w:proofErr w:type="spellEnd"/>
    </w:p>
  </w:footnote>
  <w:footnote w:id="6">
    <w:p w14:paraId="107DB0F7"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Instituto Nacional de Estadística y Geografía (INEGI). (2022). Encuesta Nacional sobre Discriminación (ENADIS) 2022. INEGI.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https://www.inegi.org.mx/programas/enadis/2022/</w:t>
      </w:r>
    </w:p>
  </w:footnote>
  <w:footnote w:id="7">
    <w:p w14:paraId="107DB0F8"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ACNUR &amp; HIAS. (s. f.). Nuestro derecho a la seguridad. En Colocando A las Mujeres Refugiadas En el Centro de la Búsqueda de Soluciones Frente A la Violencia de Género [Estudio Regional]. Recuperado el 10 de marzo de 2025, de </w:t>
      </w:r>
      <w:hyperlink r:id="rId3">
        <w:r>
          <w:rPr>
            <w:rFonts w:ascii="Corbel" w:eastAsia="Corbel" w:hAnsi="Corbel" w:cs="Corbel"/>
            <w:color w:val="1155CC"/>
            <w:sz w:val="16"/>
            <w:szCs w:val="16"/>
            <w:u w:val="single"/>
          </w:rPr>
          <w:t>https://segurasenmovilidad.org/wp-content/uploads/2022/12/Nuestro-derecho-a-la-seguridad-estudio-regional-ES.pdf</w:t>
        </w:r>
      </w:hyperlink>
      <w:r>
        <w:rPr>
          <w:rFonts w:ascii="Corbel" w:eastAsia="Corbel" w:hAnsi="Corbel" w:cs="Corbel"/>
          <w:sz w:val="16"/>
          <w:szCs w:val="16"/>
        </w:rPr>
        <w:t xml:space="preserve"> </w:t>
      </w:r>
    </w:p>
  </w:footnote>
  <w:footnote w:id="8">
    <w:p w14:paraId="107DB0F9"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Andrade, L. C. (2024, 24 septiembre). Inminente Reforma a Guardia Nacional, amenaza a grupos de mujeres migrantes: IMUMI. </w:t>
      </w:r>
      <w:proofErr w:type="spellStart"/>
      <w:r>
        <w:rPr>
          <w:rFonts w:ascii="Corbel" w:eastAsia="Corbel" w:hAnsi="Corbel" w:cs="Corbel"/>
          <w:sz w:val="16"/>
          <w:szCs w:val="16"/>
        </w:rPr>
        <w:t>Cimacnoticias</w:t>
      </w:r>
      <w:proofErr w:type="spellEnd"/>
      <w:r>
        <w:rPr>
          <w:rFonts w:ascii="Corbel" w:eastAsia="Corbel" w:hAnsi="Corbel" w:cs="Corbel"/>
          <w:sz w:val="16"/>
          <w:szCs w:val="16"/>
        </w:rPr>
        <w:t xml:space="preserve">. Recuperado el 10 de marzo de 2025, de </w:t>
      </w:r>
      <w:hyperlink r:id="rId4">
        <w:r>
          <w:rPr>
            <w:rFonts w:ascii="Corbel" w:eastAsia="Corbel" w:hAnsi="Corbel" w:cs="Corbel"/>
            <w:color w:val="1155CC"/>
            <w:sz w:val="16"/>
            <w:szCs w:val="16"/>
            <w:u w:val="single"/>
          </w:rPr>
          <w:t>https://cimacnoticias.com.mx/2024/09/24/inminente-reforma-a-guardia-nacional-amenaza-a-grupos-de-mujeres-migrantes-imumi/</w:t>
        </w:r>
      </w:hyperlink>
      <w:r>
        <w:rPr>
          <w:rFonts w:ascii="Corbel" w:eastAsia="Corbel" w:hAnsi="Corbel" w:cs="Corbel"/>
          <w:sz w:val="16"/>
          <w:szCs w:val="16"/>
        </w:rPr>
        <w:t xml:space="preserve"> </w:t>
      </w:r>
    </w:p>
  </w:footnote>
  <w:footnote w:id="9">
    <w:p w14:paraId="107DB0FA"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Ibid</w:t>
      </w:r>
      <w:proofErr w:type="spellEnd"/>
    </w:p>
  </w:footnote>
  <w:footnote w:id="10">
    <w:p w14:paraId="107DB0FB" w14:textId="77777777" w:rsidR="003C1F39" w:rsidRDefault="00B9577E">
      <w:pPr>
        <w:spacing w:line="240" w:lineRule="auto"/>
        <w:rPr>
          <w:sz w:val="20"/>
          <w:szCs w:val="20"/>
        </w:rPr>
      </w:pPr>
      <w:r>
        <w:rPr>
          <w:vertAlign w:val="superscript"/>
        </w:rPr>
        <w:footnoteRef/>
      </w:r>
      <w:r>
        <w:rPr>
          <w:rFonts w:ascii="Corbel" w:eastAsia="Corbel" w:hAnsi="Corbel" w:cs="Corbel"/>
          <w:sz w:val="16"/>
          <w:szCs w:val="16"/>
        </w:rPr>
        <w:t xml:space="preserve"> INEGI (2022). Encuesta Nacional de Victimización y Percepción sobre Seguridad Pública (ENVIPE) 2022.</w:t>
      </w:r>
    </w:p>
  </w:footnote>
  <w:footnote w:id="11">
    <w:p w14:paraId="107DB0FC"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Equis (2023). Información de EQUIS Justicia para las Mujeres sobre la implementación en México de los artículos 1º y 2º de la Convención sobre la Eliminación de todas las formas de Discriminación contra la Mujer</w:t>
      </w:r>
    </w:p>
  </w:footnote>
  <w:footnote w:id="12">
    <w:p w14:paraId="107DB0FD"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Kunher</w:t>
      </w:r>
      <w:proofErr w:type="spellEnd"/>
      <w:r>
        <w:rPr>
          <w:rFonts w:ascii="Corbel" w:eastAsia="Corbel" w:hAnsi="Corbel" w:cs="Corbel"/>
          <w:sz w:val="16"/>
          <w:szCs w:val="16"/>
        </w:rPr>
        <w:t xml:space="preserve"> Gretchen. (2023) Mujeres migrantes sin acceso a la justicia en México.</w:t>
      </w:r>
    </w:p>
  </w:footnote>
  <w:footnote w:id="13">
    <w:p w14:paraId="107DB0FE"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Instituto Nacional de Migración [INM]. (2024, 28 agosto). INM atiende 98.28% de quejas remitidas por CNDH [Comunicado de Prensa]. Gobierno de México. Recuperado 10 de marzo de 2025, de </w:t>
      </w:r>
      <w:hyperlink r:id="rId5">
        <w:r>
          <w:rPr>
            <w:rFonts w:ascii="Corbel" w:eastAsia="Corbel" w:hAnsi="Corbel" w:cs="Corbel"/>
            <w:color w:val="1155CC"/>
            <w:sz w:val="16"/>
            <w:szCs w:val="16"/>
            <w:u w:val="single"/>
          </w:rPr>
          <w:t>https://www.gob.mx/inm/prensa/el-inm-atiende-quejas-remitidas-por-la-cndh-en-un-98-28?idiom=es</w:t>
        </w:r>
      </w:hyperlink>
      <w:r>
        <w:rPr>
          <w:rFonts w:ascii="Corbel" w:eastAsia="Corbel" w:hAnsi="Corbel" w:cs="Corbel"/>
          <w:sz w:val="16"/>
          <w:szCs w:val="16"/>
        </w:rPr>
        <w:t xml:space="preserve"> </w:t>
      </w:r>
    </w:p>
  </w:footnote>
  <w:footnote w:id="14">
    <w:p w14:paraId="107DB0FF"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Missing</w:t>
      </w:r>
      <w:proofErr w:type="spellEnd"/>
      <w:r>
        <w:rPr>
          <w:rFonts w:ascii="Corbel" w:eastAsia="Corbel" w:hAnsi="Corbel" w:cs="Corbel"/>
          <w:sz w:val="16"/>
          <w:szCs w:val="16"/>
        </w:rPr>
        <w:t xml:space="preserve"> </w:t>
      </w:r>
      <w:proofErr w:type="spellStart"/>
      <w:r>
        <w:rPr>
          <w:rFonts w:ascii="Corbel" w:eastAsia="Corbel" w:hAnsi="Corbel" w:cs="Corbel"/>
          <w:sz w:val="16"/>
          <w:szCs w:val="16"/>
        </w:rPr>
        <w:t>Migrants</w:t>
      </w:r>
      <w:proofErr w:type="spellEnd"/>
      <w:r>
        <w:rPr>
          <w:rFonts w:ascii="Corbel" w:eastAsia="Corbel" w:hAnsi="Corbel" w:cs="Corbel"/>
          <w:sz w:val="16"/>
          <w:szCs w:val="16"/>
        </w:rPr>
        <w:t xml:space="preserve"> Project. (s. f.). Migration </w:t>
      </w:r>
      <w:proofErr w:type="spellStart"/>
      <w:r>
        <w:rPr>
          <w:rFonts w:ascii="Corbel" w:eastAsia="Corbel" w:hAnsi="Corbel" w:cs="Corbel"/>
          <w:sz w:val="16"/>
          <w:szCs w:val="16"/>
        </w:rPr>
        <w:t>within</w:t>
      </w:r>
      <w:proofErr w:type="spellEnd"/>
      <w:r>
        <w:rPr>
          <w:rFonts w:ascii="Corbel" w:eastAsia="Corbel" w:hAnsi="Corbel" w:cs="Corbel"/>
          <w:sz w:val="16"/>
          <w:szCs w:val="16"/>
        </w:rPr>
        <w:t xml:space="preserve"> the </w:t>
      </w:r>
      <w:proofErr w:type="spellStart"/>
      <w:r>
        <w:rPr>
          <w:rFonts w:ascii="Corbel" w:eastAsia="Corbel" w:hAnsi="Corbel" w:cs="Corbel"/>
          <w:sz w:val="16"/>
          <w:szCs w:val="16"/>
        </w:rPr>
        <w:t>Americas</w:t>
      </w:r>
      <w:proofErr w:type="spellEnd"/>
      <w:r>
        <w:rPr>
          <w:rFonts w:ascii="Corbel" w:eastAsia="Corbel" w:hAnsi="Corbel" w:cs="Corbel"/>
          <w:sz w:val="16"/>
          <w:szCs w:val="16"/>
        </w:rPr>
        <w:t xml:space="preserve">. The </w:t>
      </w:r>
      <w:proofErr w:type="spellStart"/>
      <w:r>
        <w:rPr>
          <w:rFonts w:ascii="Corbel" w:eastAsia="Corbel" w:hAnsi="Corbel" w:cs="Corbel"/>
          <w:sz w:val="16"/>
          <w:szCs w:val="16"/>
        </w:rPr>
        <w:t>Americas</w:t>
      </w:r>
      <w:proofErr w:type="spellEnd"/>
      <w:r>
        <w:rPr>
          <w:rFonts w:ascii="Corbel" w:eastAsia="Corbel" w:hAnsi="Corbel" w:cs="Corbel"/>
          <w:sz w:val="16"/>
          <w:szCs w:val="16"/>
        </w:rPr>
        <w:t xml:space="preserve">. Recuperado 10 de marzo de 2025, de </w:t>
      </w:r>
      <w:hyperlink r:id="rId6">
        <w:r>
          <w:rPr>
            <w:rFonts w:ascii="Corbel" w:eastAsia="Corbel" w:hAnsi="Corbel" w:cs="Corbel"/>
            <w:color w:val="1155CC"/>
            <w:sz w:val="16"/>
            <w:szCs w:val="16"/>
            <w:u w:val="single"/>
          </w:rPr>
          <w:t>https://missingmigrants.iom.int/region/americas</w:t>
        </w:r>
      </w:hyperlink>
      <w:r>
        <w:rPr>
          <w:rFonts w:ascii="Corbel" w:eastAsia="Corbel" w:hAnsi="Corbel" w:cs="Corbel"/>
          <w:sz w:val="16"/>
          <w:szCs w:val="16"/>
        </w:rPr>
        <w:t xml:space="preserve"> </w:t>
      </w:r>
    </w:p>
  </w:footnote>
  <w:footnote w:id="15">
    <w:p w14:paraId="107DB100"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ACNUR. (s. f.). Comité para la Eliminación de la Discriminación contra la Mujer – Observaciones finales sobre el noveno informe periódico de México. Naciones Unidas Derechos Humanos. Recuperado 10 de marzo de 2025, de </w:t>
      </w:r>
      <w:hyperlink r:id="rId7">
        <w:r>
          <w:rPr>
            <w:rFonts w:ascii="Corbel" w:eastAsia="Corbel" w:hAnsi="Corbel" w:cs="Corbel"/>
            <w:color w:val="1155CC"/>
            <w:sz w:val="16"/>
            <w:szCs w:val="16"/>
            <w:u w:val="single"/>
          </w:rPr>
          <w:t>https://hchr.org.mx/comite/comite-para-la-eliminacion-de-la-discriminacion-contra-la-mujer-observaciones-finales-sobre-el-noveno-informe-periodico-de-mexico/</w:t>
        </w:r>
      </w:hyperlink>
      <w:r>
        <w:rPr>
          <w:rFonts w:ascii="Corbel" w:eastAsia="Corbel" w:hAnsi="Corbel" w:cs="Corbel"/>
          <w:sz w:val="16"/>
          <w:szCs w:val="16"/>
        </w:rPr>
        <w:t xml:space="preserve"> </w:t>
      </w:r>
    </w:p>
  </w:footnote>
  <w:footnote w:id="16">
    <w:p w14:paraId="107DB101"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Unidad de Política Migratoria 2025 Boletín estadístico mensual. (2024). Gobierno de México. Recuperado 10 de marzo de 2025, de </w:t>
      </w:r>
      <w:hyperlink r:id="rId8">
        <w:r>
          <w:rPr>
            <w:rFonts w:ascii="Corbel" w:eastAsia="Corbel" w:hAnsi="Corbel" w:cs="Corbel"/>
            <w:color w:val="1155CC"/>
            <w:sz w:val="16"/>
            <w:szCs w:val="16"/>
            <w:u w:val="single"/>
          </w:rPr>
          <w:t>http://www.politicamigratoria.gob.mx/es/PoliticaMigratoria/Boletines_Estadisticos</w:t>
        </w:r>
      </w:hyperlink>
      <w:r>
        <w:rPr>
          <w:rFonts w:ascii="Corbel" w:eastAsia="Corbel" w:hAnsi="Corbel" w:cs="Corbel"/>
          <w:sz w:val="16"/>
          <w:szCs w:val="16"/>
        </w:rPr>
        <w:t xml:space="preserve"> </w:t>
      </w:r>
    </w:p>
  </w:footnote>
  <w:footnote w:id="17">
    <w:p w14:paraId="107DB102"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Instituto para las Mujeres en la Migración A.C. [IMUMI]. (2024). Deportación y retorno de personas no mexicanas de Estados Unidos a México. IMUMI. Recuperado 10 de marzo de 2025, de </w:t>
      </w:r>
      <w:hyperlink r:id="rId9">
        <w:r>
          <w:rPr>
            <w:rFonts w:ascii="Corbel" w:eastAsia="Corbel" w:hAnsi="Corbel" w:cs="Corbel"/>
            <w:color w:val="1155CC"/>
            <w:sz w:val="16"/>
            <w:szCs w:val="16"/>
            <w:u w:val="single"/>
          </w:rPr>
          <w:t>https://imumi.org/nuestras-publicaciones/deportacion-y-retorno-de-personas-no-mexicanas-de-estados-unidos-a-mexico/</w:t>
        </w:r>
      </w:hyperlink>
      <w:r>
        <w:rPr>
          <w:rFonts w:ascii="Corbel" w:eastAsia="Corbel" w:hAnsi="Corbel" w:cs="Corbel"/>
          <w:sz w:val="16"/>
          <w:szCs w:val="16"/>
        </w:rPr>
        <w:t xml:space="preserve"> </w:t>
      </w:r>
    </w:p>
  </w:footnote>
  <w:footnote w:id="18">
    <w:p w14:paraId="107DB103"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UNICEF Costa Rica. (2024, June 5). Más de 5 mil personas migrantes en tránsito y solicitantes de refugio recibieron atención en salud en frontera sur. UNICEF.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https://www.unicef.org/costarica/comunicados-prensa/m%C3%A1s-de-5-mil-personas-migrantes-en-tr%C3%A1nsito-y-solicitantes-de-refugio-recibieron</w:t>
      </w:r>
    </w:p>
  </w:footnote>
  <w:footnote w:id="19">
    <w:p w14:paraId="107DB104"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Martínez, G. (2023, 9 octubre). Mujeres migrantes: cuerpos sin derechos. El Sol de México. Recuperado 10 de marzo de 2025, de </w:t>
      </w:r>
      <w:hyperlink r:id="rId10">
        <w:r>
          <w:rPr>
            <w:rFonts w:ascii="Corbel" w:eastAsia="Corbel" w:hAnsi="Corbel" w:cs="Corbel"/>
            <w:color w:val="1155CC"/>
            <w:sz w:val="16"/>
            <w:szCs w:val="16"/>
            <w:u w:val="single"/>
          </w:rPr>
          <w:t>https://oem.com.mx/elsoldemexico/mexico/mujeres-migrantes-cuerpos-sin-derechos-16685200</w:t>
        </w:r>
      </w:hyperlink>
      <w:r>
        <w:rPr>
          <w:rFonts w:ascii="Corbel" w:eastAsia="Corbel" w:hAnsi="Corbel" w:cs="Corbel"/>
          <w:sz w:val="16"/>
          <w:szCs w:val="16"/>
        </w:rPr>
        <w:t xml:space="preserve"> </w:t>
      </w:r>
    </w:p>
  </w:footnote>
  <w:footnote w:id="20">
    <w:p w14:paraId="107DB105"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Andrade, E. (2024, 27 mayo). Infancias y adolescencias migrantes: traslados peligrosos, falta de protección y atención médica. Bajo la Bota. Recuperado 10 de marzo de 2025, de </w:t>
      </w:r>
      <w:hyperlink r:id="rId11">
        <w:r>
          <w:rPr>
            <w:rFonts w:ascii="Corbel" w:eastAsia="Corbel" w:hAnsi="Corbel" w:cs="Corbel"/>
            <w:color w:val="1155CC"/>
            <w:sz w:val="16"/>
            <w:szCs w:val="16"/>
            <w:u w:val="single"/>
          </w:rPr>
          <w:t>https://bajolabota.com/infancias-y-adolescencias-migrantes-traslados-peligrosos-falta-de-proteccion-y-atencion-medica/</w:t>
        </w:r>
      </w:hyperlink>
      <w:r>
        <w:rPr>
          <w:rFonts w:ascii="Corbel" w:eastAsia="Corbel" w:hAnsi="Corbel" w:cs="Corbel"/>
          <w:sz w:val="16"/>
          <w:szCs w:val="16"/>
        </w:rPr>
        <w:t xml:space="preserve"> </w:t>
      </w:r>
    </w:p>
  </w:footnote>
  <w:footnote w:id="21">
    <w:p w14:paraId="107DB106"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Andrade, L. C. (2025, 7 marzo). Mujeres migrantes y pobreza menstrual: sin acceso a toallas sanitarias ni agua potable. AD Noticias. Recuperado 10 de marzo de 2025, de </w:t>
      </w:r>
      <w:hyperlink r:id="rId12">
        <w:r>
          <w:rPr>
            <w:rFonts w:ascii="Corbel" w:eastAsia="Corbel" w:hAnsi="Corbel" w:cs="Corbel"/>
            <w:color w:val="1155CC"/>
            <w:sz w:val="16"/>
            <w:szCs w:val="16"/>
            <w:u w:val="single"/>
          </w:rPr>
          <w:t>https://adnoticias.mx/salud-menstrual-de-las-mujeres-migrantes/</w:t>
        </w:r>
      </w:hyperlink>
      <w:r>
        <w:rPr>
          <w:rFonts w:ascii="Corbel" w:eastAsia="Corbel" w:hAnsi="Corbel" w:cs="Corbel"/>
          <w:sz w:val="16"/>
          <w:szCs w:val="16"/>
        </w:rPr>
        <w:t xml:space="preserve"> </w:t>
      </w:r>
    </w:p>
  </w:footnote>
  <w:footnote w:id="22">
    <w:p w14:paraId="107DB107"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CADENA &amp; UNICEF. (2024). Periodos en Movimiento: menstruar en la frontera sur de México. Recuperado 10 de marzo de 2025, de </w:t>
      </w:r>
      <w:hyperlink r:id="rId13">
        <w:r>
          <w:rPr>
            <w:rFonts w:ascii="Corbel" w:eastAsia="Corbel" w:hAnsi="Corbel" w:cs="Corbel"/>
            <w:color w:val="1155CC"/>
            <w:sz w:val="16"/>
            <w:szCs w:val="16"/>
            <w:u w:val="single"/>
          </w:rPr>
          <w:t>https://www.unicef.org/mexico/media/7951/file/Periodos%20en%20Movimiento%20version%20extendida.pdf.pdf</w:t>
        </w:r>
      </w:hyperlink>
      <w:r>
        <w:rPr>
          <w:rFonts w:ascii="Corbel" w:eastAsia="Corbel" w:hAnsi="Corbel" w:cs="Corbel"/>
          <w:sz w:val="16"/>
          <w:szCs w:val="16"/>
        </w:rPr>
        <w:t xml:space="preserve"> </w:t>
      </w:r>
    </w:p>
  </w:footnote>
  <w:footnote w:id="23">
    <w:p w14:paraId="107DB108"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INEGI. (2021). Encuesta Nacional para el Sistema de Cuidados (ENASIC) 2022. Recuperado 10 de marzo de 2025, de </w:t>
      </w:r>
      <w:hyperlink r:id="rId14">
        <w:r>
          <w:rPr>
            <w:rFonts w:ascii="Corbel" w:eastAsia="Corbel" w:hAnsi="Corbel" w:cs="Corbel"/>
            <w:color w:val="1155CC"/>
            <w:sz w:val="16"/>
            <w:szCs w:val="16"/>
            <w:u w:val="single"/>
          </w:rPr>
          <w:t>https://www.inegi.org.mx/programas/enasic/2022/</w:t>
        </w:r>
      </w:hyperlink>
      <w:r>
        <w:rPr>
          <w:rFonts w:ascii="Corbel" w:eastAsia="Corbel" w:hAnsi="Corbel" w:cs="Corbel"/>
          <w:sz w:val="16"/>
          <w:szCs w:val="16"/>
        </w:rPr>
        <w:t xml:space="preserve"> </w:t>
      </w:r>
    </w:p>
  </w:footnote>
  <w:footnote w:id="24">
    <w:p w14:paraId="107DB109"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IMUMI. (2023, 28 mayo). OPINIÓN | Maternidades en contexto de movilidad en México. Conexión Migrante. Recuperado 10 de marzo de 2025, de </w:t>
      </w:r>
      <w:hyperlink r:id="rId15">
        <w:r>
          <w:rPr>
            <w:rFonts w:ascii="Corbel" w:eastAsia="Corbel" w:hAnsi="Corbel" w:cs="Corbel"/>
            <w:color w:val="1155CC"/>
            <w:sz w:val="16"/>
            <w:szCs w:val="16"/>
            <w:u w:val="single"/>
          </w:rPr>
          <w:t>https://conexionmigrante.com/2024-/05-/28/maternidades-en-contexto-de-movilidad/</w:t>
        </w:r>
      </w:hyperlink>
      <w:r>
        <w:rPr>
          <w:rFonts w:ascii="Corbel" w:eastAsia="Corbel" w:hAnsi="Corbel" w:cs="Corbel"/>
          <w:sz w:val="16"/>
          <w:szCs w:val="16"/>
        </w:rPr>
        <w:t xml:space="preserve"> </w:t>
      </w:r>
    </w:p>
  </w:footnote>
  <w:footnote w:id="25">
    <w:p w14:paraId="107DB10A"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UNHCR. (</w:t>
      </w:r>
      <w:proofErr w:type="spellStart"/>
      <w:r>
        <w:rPr>
          <w:rFonts w:ascii="Corbel" w:eastAsia="Corbel" w:hAnsi="Corbel" w:cs="Corbel"/>
          <w:sz w:val="16"/>
          <w:szCs w:val="16"/>
        </w:rPr>
        <w:t>n.d</w:t>
      </w:r>
      <w:proofErr w:type="spellEnd"/>
      <w:r>
        <w:rPr>
          <w:rFonts w:ascii="Corbel" w:eastAsia="Corbel" w:hAnsi="Corbel" w:cs="Corbel"/>
          <w:sz w:val="16"/>
          <w:szCs w:val="16"/>
        </w:rPr>
        <w:t>.). *</w:t>
      </w:r>
      <w:proofErr w:type="spellStart"/>
      <w:r>
        <w:rPr>
          <w:rFonts w:ascii="Corbel" w:eastAsia="Corbel" w:hAnsi="Corbel" w:cs="Corbel"/>
          <w:sz w:val="16"/>
          <w:szCs w:val="16"/>
        </w:rPr>
        <w:t>Women</w:t>
      </w:r>
      <w:proofErr w:type="spellEnd"/>
      <w:r>
        <w:rPr>
          <w:rFonts w:ascii="Corbel" w:eastAsia="Corbel" w:hAnsi="Corbel" w:cs="Corbel"/>
          <w:sz w:val="16"/>
          <w:szCs w:val="16"/>
        </w:rPr>
        <w:t xml:space="preserve"> </w:t>
      </w:r>
      <w:proofErr w:type="spellStart"/>
      <w:r>
        <w:rPr>
          <w:rFonts w:ascii="Corbel" w:eastAsia="Corbel" w:hAnsi="Corbel" w:cs="Corbel"/>
          <w:sz w:val="16"/>
          <w:szCs w:val="16"/>
        </w:rPr>
        <w:t>on</w:t>
      </w:r>
      <w:proofErr w:type="spellEnd"/>
      <w:r>
        <w:rPr>
          <w:rFonts w:ascii="Corbel" w:eastAsia="Corbel" w:hAnsi="Corbel" w:cs="Corbel"/>
          <w:sz w:val="16"/>
          <w:szCs w:val="16"/>
        </w:rPr>
        <w:t xml:space="preserve"> the run*. UNHCR.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https://www.unhcr.org/media/women-run</w:t>
      </w:r>
    </w:p>
  </w:footnote>
  <w:footnote w:id="26">
    <w:p w14:paraId="107DB10B"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Universidad Iberoamericana. (2019). El género como causal del reconocimiento de la condición de refugiado en el sistema de asilo mexicano. Recuperado 10 de marzo de 2025, de </w:t>
      </w:r>
      <w:hyperlink r:id="rId16">
        <w:r>
          <w:rPr>
            <w:rFonts w:ascii="Corbel" w:eastAsia="Corbel" w:hAnsi="Corbel" w:cs="Corbel"/>
            <w:color w:val="1155CC"/>
            <w:sz w:val="16"/>
            <w:szCs w:val="16"/>
            <w:u w:val="single"/>
          </w:rPr>
          <w:t>https://programadh.ibero.mx/assets/documents/PDH-2018-GENERO-COMO-CAUSAL.pdf</w:t>
        </w:r>
      </w:hyperlink>
      <w:r>
        <w:rPr>
          <w:rFonts w:ascii="Corbel" w:eastAsia="Corbel" w:hAnsi="Corbel" w:cs="Corbel"/>
          <w:sz w:val="16"/>
          <w:szCs w:val="16"/>
        </w:rPr>
        <w:t xml:space="preserve"> </w:t>
      </w:r>
    </w:p>
  </w:footnote>
  <w:footnote w:id="27">
    <w:p w14:paraId="107DB10C"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Ureste</w:t>
      </w:r>
      <w:proofErr w:type="spellEnd"/>
      <w:r>
        <w:rPr>
          <w:rFonts w:ascii="Corbel" w:eastAsia="Corbel" w:hAnsi="Corbel" w:cs="Corbel"/>
          <w:sz w:val="16"/>
          <w:szCs w:val="16"/>
        </w:rPr>
        <w:t xml:space="preserve">, M. (2015, 8 diciembre). Insultos, revisiones de hasta 4 horas: CNDH documenta que el INM rechaza extranjeros ilegalmente. Animal Político. Recuperado 10 de marzo de 2025, de </w:t>
      </w:r>
      <w:hyperlink r:id="rId17">
        <w:r>
          <w:rPr>
            <w:rFonts w:ascii="Corbel" w:eastAsia="Corbel" w:hAnsi="Corbel" w:cs="Corbel"/>
            <w:color w:val="1155CC"/>
            <w:sz w:val="16"/>
            <w:szCs w:val="16"/>
            <w:u w:val="single"/>
          </w:rPr>
          <w:t>https://www.animalpolitico.com/sociedad/denuncian-que-agentes-de-migracion-en-el-aicm-regresaron-a-extranjera-porque-venia-a-vender-pulseritas</w:t>
        </w:r>
      </w:hyperlink>
      <w:r>
        <w:rPr>
          <w:rFonts w:ascii="Corbel" w:eastAsia="Corbel" w:hAnsi="Corbel" w:cs="Corbel"/>
          <w:sz w:val="16"/>
          <w:szCs w:val="16"/>
        </w:rPr>
        <w:t xml:space="preserve"> </w:t>
      </w:r>
    </w:p>
  </w:footnote>
  <w:footnote w:id="28">
    <w:p w14:paraId="107DB10D"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https://www.amnesty.org/es/documents/amr41/7602/2018/eAmnistía Internacional. (2018, 23 enero). México: Ignoradas y sin protección: La mortal devolución de personas centroamericanas solicitantes de asilo desde México. Recuperado 10 de marzo de 2025, de </w:t>
      </w:r>
      <w:hyperlink r:id="rId18">
        <w:r>
          <w:rPr>
            <w:rFonts w:ascii="Corbel" w:eastAsia="Corbel" w:hAnsi="Corbel" w:cs="Corbel"/>
            <w:color w:val="1155CC"/>
            <w:sz w:val="16"/>
            <w:szCs w:val="16"/>
            <w:u w:val="single"/>
          </w:rPr>
          <w:t>https://www.amnesty.org/es/documents/amr41/7602/2018/es/</w:t>
        </w:r>
      </w:hyperlink>
      <w:r>
        <w:rPr>
          <w:rFonts w:ascii="Corbel" w:eastAsia="Corbel" w:hAnsi="Corbel" w:cs="Corbel"/>
          <w:sz w:val="16"/>
          <w:szCs w:val="16"/>
        </w:rPr>
        <w:t xml:space="preserve"> </w:t>
      </w:r>
    </w:p>
  </w:footnote>
  <w:footnote w:id="29">
    <w:p w14:paraId="107DB10E"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Unidad de Política Migratoria 2025 Boletín estadístico mensual. (2024). Gobierno de México. Recuperado 10 de marzo de 2025, de </w:t>
      </w:r>
      <w:hyperlink r:id="rId19">
        <w:r>
          <w:rPr>
            <w:rFonts w:ascii="Corbel" w:eastAsia="Corbel" w:hAnsi="Corbel" w:cs="Corbel"/>
            <w:color w:val="1155CC"/>
            <w:sz w:val="16"/>
            <w:szCs w:val="16"/>
            <w:u w:val="single"/>
          </w:rPr>
          <w:t>http://www.politicamigratoria.gob.mx/es/PoliticaMigratoria/Boletines_Estadisticos</w:t>
        </w:r>
      </w:hyperlink>
      <w:r>
        <w:rPr>
          <w:rFonts w:ascii="Corbel" w:eastAsia="Corbel" w:hAnsi="Corbel" w:cs="Corbel"/>
          <w:sz w:val="16"/>
          <w:szCs w:val="16"/>
        </w:rPr>
        <w:t xml:space="preserve"> </w:t>
      </w:r>
    </w:p>
  </w:footnote>
  <w:footnote w:id="30">
    <w:p w14:paraId="107DB10F"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Subsistema de Información Demográfica y Social. (2024, 22 de mayo). Encuesta Nacional de la Dinámica Demográfica (ENADID) 2023. INEGI. Recuperado el 7 de junio de 2024, de </w:t>
      </w:r>
      <w:hyperlink r:id="rId20">
        <w:r>
          <w:rPr>
            <w:rFonts w:ascii="Corbel" w:eastAsia="Corbel" w:hAnsi="Corbel" w:cs="Corbel"/>
            <w:color w:val="1155CC"/>
            <w:sz w:val="16"/>
            <w:szCs w:val="16"/>
            <w:u w:val="single"/>
          </w:rPr>
          <w:t>https://www.inegi.org.mx/programas/enadid/2023/</w:t>
        </w:r>
      </w:hyperlink>
      <w:r>
        <w:rPr>
          <w:rFonts w:ascii="Corbel" w:eastAsia="Corbel" w:hAnsi="Corbel" w:cs="Corbel"/>
          <w:sz w:val="16"/>
          <w:szCs w:val="16"/>
        </w:rPr>
        <w:t xml:space="preserve"> </w:t>
      </w:r>
    </w:p>
  </w:footnote>
  <w:footnote w:id="31">
    <w:p w14:paraId="107DB110"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Secretaría de Gobernación. (2021). Niñas, niños y adolescentes nacidos en Estados Unidos de madre, padre o ambos mexicanos, sin registro de nacimiento en México y que pudieran acceder a la doble nacionalidad. (Diagnóstico). </w:t>
      </w:r>
      <w:hyperlink r:id="rId21">
        <w:r>
          <w:rPr>
            <w:rFonts w:ascii="Corbel" w:eastAsia="Corbel" w:hAnsi="Corbel" w:cs="Corbel"/>
            <w:color w:val="1155CC"/>
            <w:sz w:val="16"/>
            <w:szCs w:val="16"/>
            <w:u w:val="single"/>
          </w:rPr>
          <w:t>https://portales.segob.gob.mx/work/models/PoliticaMigratoria/CPM/DRCM/DIAGNOSTICONNA.pdf</w:t>
        </w:r>
      </w:hyperlink>
      <w:r>
        <w:rPr>
          <w:rFonts w:ascii="Corbel" w:eastAsia="Corbel" w:hAnsi="Corbel" w:cs="Corbel"/>
          <w:sz w:val="16"/>
          <w:szCs w:val="16"/>
        </w:rPr>
        <w:t xml:space="preserve"> </w:t>
      </w:r>
    </w:p>
  </w:footnote>
  <w:footnote w:id="32">
    <w:p w14:paraId="107DB111"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Giorguli</w:t>
      </w:r>
      <w:proofErr w:type="spellEnd"/>
      <w:r>
        <w:rPr>
          <w:rFonts w:ascii="Corbel" w:eastAsia="Corbel" w:hAnsi="Corbel" w:cs="Corbel"/>
          <w:sz w:val="16"/>
          <w:szCs w:val="16"/>
        </w:rPr>
        <w:t xml:space="preserve">, S., &amp; Bautista León, A. (2018). *Radiografía de la migración de retorno 2015* [PDF]. Centro de Estudios de la Migración y de la Población.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w:t>
      </w:r>
      <w:hyperlink r:id="rId22">
        <w:r>
          <w:rPr>
            <w:rFonts w:ascii="Corbel" w:eastAsia="Corbel" w:hAnsi="Corbel" w:cs="Corbel"/>
            <w:color w:val="1155CC"/>
            <w:sz w:val="16"/>
            <w:szCs w:val="16"/>
            <w:u w:val="single"/>
          </w:rPr>
          <w:t>https://migracionderetorno.colmex.mx/wp-content/uploads/2018/08/PB_1_radiografia_migracion_retorno_2015.pdf</w:t>
        </w:r>
      </w:hyperlink>
      <w:r>
        <w:rPr>
          <w:rFonts w:ascii="Corbel" w:eastAsia="Corbel" w:hAnsi="Corbel" w:cs="Corbel"/>
          <w:sz w:val="16"/>
          <w:szCs w:val="16"/>
        </w:rPr>
        <w:t xml:space="preserve"> </w:t>
      </w:r>
    </w:p>
  </w:footnote>
  <w:footnote w:id="33">
    <w:p w14:paraId="107DB112"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w:t>
      </w:r>
      <w:proofErr w:type="spellStart"/>
      <w:r>
        <w:rPr>
          <w:rFonts w:ascii="Corbel" w:eastAsia="Corbel" w:hAnsi="Corbel" w:cs="Corbel"/>
          <w:sz w:val="16"/>
          <w:szCs w:val="16"/>
        </w:rPr>
        <w:t>Giorguli</w:t>
      </w:r>
      <w:proofErr w:type="spellEnd"/>
      <w:r>
        <w:rPr>
          <w:rFonts w:ascii="Corbel" w:eastAsia="Corbel" w:hAnsi="Corbel" w:cs="Corbel"/>
          <w:sz w:val="16"/>
          <w:szCs w:val="16"/>
        </w:rPr>
        <w:t xml:space="preserve">, S., &amp; Bautista León, A. (2018). RADIOGRAFÍA DE LA MIGRACIÓN DE RETORNO 2015. Recuperado 10 de marzo de 2025, de </w:t>
      </w:r>
      <w:hyperlink r:id="rId23">
        <w:r>
          <w:rPr>
            <w:rFonts w:ascii="Corbel" w:eastAsia="Corbel" w:hAnsi="Corbel" w:cs="Corbel"/>
            <w:color w:val="1155CC"/>
            <w:sz w:val="16"/>
            <w:szCs w:val="16"/>
            <w:u w:val="single"/>
          </w:rPr>
          <w:t>https://migracionderetorno.colmex.mx/wp-content/uploads/2018/08/PB_1_radiografia_migracion_retorno_2015.pdf</w:t>
        </w:r>
      </w:hyperlink>
      <w:r>
        <w:rPr>
          <w:rFonts w:ascii="Corbel" w:eastAsia="Corbel" w:hAnsi="Corbel" w:cs="Corbel"/>
          <w:sz w:val="16"/>
          <w:szCs w:val="16"/>
        </w:rPr>
        <w:t xml:space="preserve"> </w:t>
      </w:r>
    </w:p>
  </w:footnote>
  <w:footnote w:id="34">
    <w:p w14:paraId="107DB113"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CNDH México &amp; Colegio de México. (s. f.). Migrantes de Retorno | Barreras Institucionales para la Integración. Migración de Retorno y Derechos Sociales. Recuperado 10 de marzo de 2025, de </w:t>
      </w:r>
      <w:hyperlink r:id="rId24" w:anchor="trabajo">
        <w:r>
          <w:rPr>
            <w:rFonts w:ascii="Corbel" w:eastAsia="Corbel" w:hAnsi="Corbel" w:cs="Corbel"/>
            <w:color w:val="1155CC"/>
            <w:sz w:val="16"/>
            <w:szCs w:val="16"/>
            <w:u w:val="single"/>
          </w:rPr>
          <w:t>https://migracionderetorno.colmex.mx/infografias/#trabajo</w:t>
        </w:r>
      </w:hyperlink>
      <w:r>
        <w:rPr>
          <w:rFonts w:ascii="Corbel" w:eastAsia="Corbel" w:hAnsi="Corbel" w:cs="Corbel"/>
          <w:sz w:val="16"/>
          <w:szCs w:val="16"/>
        </w:rPr>
        <w:t xml:space="preserve"> </w:t>
      </w:r>
    </w:p>
  </w:footnote>
  <w:footnote w:id="35">
    <w:p w14:paraId="107DB114"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Por primera vez, México acordó recibir solicitantes de asilo de Cuba, Haití, Nicaragua y Venezuela bajo la ley permanente de los Estados Unidos, Título 8. (2023, 12 julio). WOLA. Recuperado 10 de marzo de 2025, de </w:t>
      </w:r>
      <w:hyperlink r:id="rId25">
        <w:r>
          <w:rPr>
            <w:rFonts w:ascii="Corbel" w:eastAsia="Corbel" w:hAnsi="Corbel" w:cs="Corbel"/>
            <w:color w:val="1155CC"/>
            <w:sz w:val="16"/>
            <w:szCs w:val="16"/>
            <w:u w:val="single"/>
          </w:rPr>
          <w:t>https://www.wola.org/es/2023/06/mexico-recibir-solicitantes-asilo-cuba-haiti-nicaragua-venezuela-ley-estados-unidos-titulo-8/</w:t>
        </w:r>
      </w:hyperlink>
      <w:r>
        <w:rPr>
          <w:rFonts w:ascii="Corbel" w:eastAsia="Corbel" w:hAnsi="Corbel" w:cs="Corbel"/>
          <w:sz w:val="16"/>
          <w:szCs w:val="16"/>
        </w:rPr>
        <w:t xml:space="preserve"> </w:t>
      </w:r>
    </w:p>
  </w:footnote>
  <w:footnote w:id="36">
    <w:p w14:paraId="107DB115"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IMUMI &amp; </w:t>
      </w:r>
      <w:proofErr w:type="spellStart"/>
      <w:r>
        <w:rPr>
          <w:rFonts w:ascii="Corbel" w:eastAsia="Corbel" w:hAnsi="Corbel" w:cs="Corbel"/>
          <w:sz w:val="16"/>
          <w:szCs w:val="16"/>
        </w:rPr>
        <w:t>Women’s</w:t>
      </w:r>
      <w:proofErr w:type="spellEnd"/>
      <w:r>
        <w:rPr>
          <w:rFonts w:ascii="Corbel" w:eastAsia="Corbel" w:hAnsi="Corbel" w:cs="Corbel"/>
          <w:sz w:val="16"/>
          <w:szCs w:val="16"/>
        </w:rPr>
        <w:t xml:space="preserve"> </w:t>
      </w:r>
      <w:proofErr w:type="spellStart"/>
      <w:r>
        <w:rPr>
          <w:rFonts w:ascii="Corbel" w:eastAsia="Corbel" w:hAnsi="Corbel" w:cs="Corbel"/>
          <w:sz w:val="16"/>
          <w:szCs w:val="16"/>
        </w:rPr>
        <w:t>Refugee</w:t>
      </w:r>
      <w:proofErr w:type="spellEnd"/>
      <w:r>
        <w:rPr>
          <w:rFonts w:ascii="Corbel" w:eastAsia="Corbel" w:hAnsi="Corbel" w:cs="Corbel"/>
          <w:sz w:val="16"/>
          <w:szCs w:val="16"/>
        </w:rPr>
        <w:t xml:space="preserve"> </w:t>
      </w:r>
      <w:proofErr w:type="spellStart"/>
      <w:r>
        <w:rPr>
          <w:rFonts w:ascii="Corbel" w:eastAsia="Corbel" w:hAnsi="Corbel" w:cs="Corbel"/>
          <w:sz w:val="16"/>
          <w:szCs w:val="16"/>
        </w:rPr>
        <w:t>Commission</w:t>
      </w:r>
      <w:proofErr w:type="spellEnd"/>
      <w:r>
        <w:rPr>
          <w:rFonts w:ascii="Corbel" w:eastAsia="Corbel" w:hAnsi="Corbel" w:cs="Corbel"/>
          <w:sz w:val="16"/>
          <w:szCs w:val="16"/>
        </w:rPr>
        <w:t xml:space="preserve">. (2022). Atrapadas en la incertidumbre y expuestas a la violencia. El impacto de las políticas migratorias de Estados Unidos y México en las mujeres solicitantes de protección internacional en 2021. Recuperado 10 de marzo de 2025, de </w:t>
      </w:r>
      <w:hyperlink r:id="rId26">
        <w:r>
          <w:rPr>
            <w:rFonts w:ascii="Corbel" w:eastAsia="Corbel" w:hAnsi="Corbel" w:cs="Corbel"/>
            <w:color w:val="1155CC"/>
            <w:sz w:val="16"/>
            <w:szCs w:val="16"/>
            <w:u w:val="single"/>
          </w:rPr>
          <w:t>https://www.womensrefugeecommission.org/wp-content/uploads/2022/02/Atrapadas-en-la-incertidumbre-1.pdf</w:t>
        </w:r>
      </w:hyperlink>
      <w:r>
        <w:rPr>
          <w:rFonts w:ascii="Corbel" w:eastAsia="Corbel" w:hAnsi="Corbel" w:cs="Corbel"/>
          <w:sz w:val="16"/>
          <w:szCs w:val="16"/>
        </w:rPr>
        <w:t xml:space="preserve"> </w:t>
      </w:r>
    </w:p>
  </w:footnote>
  <w:footnote w:id="37">
    <w:p w14:paraId="107DB116"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Secretaría de Gobernación. (</w:t>
      </w:r>
      <w:proofErr w:type="spellStart"/>
      <w:r>
        <w:rPr>
          <w:rFonts w:ascii="Corbel" w:eastAsia="Corbel" w:hAnsi="Corbel" w:cs="Corbel"/>
          <w:sz w:val="16"/>
          <w:szCs w:val="16"/>
        </w:rPr>
        <w:t>n.d</w:t>
      </w:r>
      <w:proofErr w:type="spellEnd"/>
      <w:r>
        <w:rPr>
          <w:rFonts w:ascii="Corbel" w:eastAsia="Corbel" w:hAnsi="Corbel" w:cs="Corbel"/>
          <w:sz w:val="16"/>
          <w:szCs w:val="16"/>
        </w:rPr>
        <w:t xml:space="preserve">.). Síntesis de la política migratoria en relación con los niños, niñas y adolescentes [Web page]. Gobierno de México.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http://www.politicamigratoria.gob.mx/es/PoliticaMigratoria/Sintesis_NNA</w:t>
      </w:r>
    </w:p>
  </w:footnote>
  <w:footnote w:id="38">
    <w:p w14:paraId="107DB117"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Silva, A. R. [@AndresRSilva_]. (2023, March 10). [Text of the tweet] [Tweet]. X. https://x.com/AndresRSilva_/status/1832751721879113898 </w:t>
      </w:r>
    </w:p>
  </w:footnote>
  <w:footnote w:id="39">
    <w:p w14:paraId="107DB118"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Universidad Iberoamericana. (2025, March 10). Investigación: Solo el 18% de niños migrantes asiste a la escuela en México. IBERO.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https://ibero.mx/prensa/investigacion-solo-18-de-ninos-migrantes-asiste-la-escuela-en-mexico</w:t>
      </w:r>
    </w:p>
  </w:footnote>
  <w:footnote w:id="40">
    <w:p w14:paraId="107DB119"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Secretaría de Gobernación. (</w:t>
      </w:r>
      <w:proofErr w:type="spellStart"/>
      <w:r>
        <w:rPr>
          <w:rFonts w:ascii="Corbel" w:eastAsia="Corbel" w:hAnsi="Corbel" w:cs="Corbel"/>
          <w:sz w:val="16"/>
          <w:szCs w:val="16"/>
        </w:rPr>
        <w:t>n.d</w:t>
      </w:r>
      <w:proofErr w:type="spellEnd"/>
      <w:r>
        <w:rPr>
          <w:rFonts w:ascii="Corbel" w:eastAsia="Corbel" w:hAnsi="Corbel" w:cs="Corbel"/>
          <w:sz w:val="16"/>
          <w:szCs w:val="16"/>
        </w:rPr>
        <w:t xml:space="preserve">.). Síntesis de la política migratoria en relación con los niños, niñas y adolescentes [Web page]. Gobierno de México.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w:t>
      </w:r>
      <w:hyperlink r:id="rId27">
        <w:r>
          <w:rPr>
            <w:rFonts w:ascii="Corbel" w:eastAsia="Corbel" w:hAnsi="Corbel" w:cs="Corbel"/>
            <w:color w:val="1155CC"/>
            <w:sz w:val="16"/>
            <w:szCs w:val="16"/>
            <w:u w:val="single"/>
          </w:rPr>
          <w:t>http://www.politicamigratoria.gob.mx/es/PoliticaMigratoria/Sintesis_NNA</w:t>
        </w:r>
      </w:hyperlink>
      <w:r>
        <w:rPr>
          <w:rFonts w:ascii="Corbel" w:eastAsia="Corbel" w:hAnsi="Corbel" w:cs="Corbel"/>
          <w:sz w:val="16"/>
          <w:szCs w:val="16"/>
        </w:rPr>
        <w:t xml:space="preserve"> </w:t>
      </w:r>
    </w:p>
  </w:footnote>
  <w:footnote w:id="41">
    <w:p w14:paraId="107DB11A" w14:textId="77777777" w:rsidR="003C1F39" w:rsidRDefault="00B9577E">
      <w:pPr>
        <w:spacing w:line="240" w:lineRule="auto"/>
        <w:rPr>
          <w:rFonts w:ascii="Corbel" w:eastAsia="Corbel" w:hAnsi="Corbel" w:cs="Corbel"/>
          <w:sz w:val="16"/>
          <w:szCs w:val="16"/>
        </w:rPr>
      </w:pPr>
      <w:r>
        <w:rPr>
          <w:vertAlign w:val="superscript"/>
        </w:rPr>
        <w:footnoteRef/>
      </w:r>
      <w:r>
        <w:rPr>
          <w:rFonts w:ascii="Corbel" w:eastAsia="Corbel" w:hAnsi="Corbel" w:cs="Corbel"/>
          <w:sz w:val="16"/>
          <w:szCs w:val="16"/>
        </w:rPr>
        <w:t xml:space="preserve"> Pradilla, A. (2024, June 6). Deportación infantil: El muro mexicano. N+. </w:t>
      </w:r>
      <w:proofErr w:type="spellStart"/>
      <w:r>
        <w:rPr>
          <w:rFonts w:ascii="Corbel" w:eastAsia="Corbel" w:hAnsi="Corbel" w:cs="Corbel"/>
          <w:sz w:val="16"/>
          <w:szCs w:val="16"/>
        </w:rPr>
        <w:t>Retrieved</w:t>
      </w:r>
      <w:proofErr w:type="spellEnd"/>
      <w:r>
        <w:rPr>
          <w:rFonts w:ascii="Corbel" w:eastAsia="Corbel" w:hAnsi="Corbel" w:cs="Corbel"/>
          <w:sz w:val="16"/>
          <w:szCs w:val="16"/>
        </w:rPr>
        <w:t xml:space="preserve"> March 10, 2025, </w:t>
      </w:r>
      <w:proofErr w:type="spellStart"/>
      <w:r>
        <w:rPr>
          <w:rFonts w:ascii="Corbel" w:eastAsia="Corbel" w:hAnsi="Corbel" w:cs="Corbel"/>
          <w:sz w:val="16"/>
          <w:szCs w:val="16"/>
        </w:rPr>
        <w:t>from</w:t>
      </w:r>
      <w:proofErr w:type="spellEnd"/>
      <w:r>
        <w:rPr>
          <w:rFonts w:ascii="Corbel" w:eastAsia="Corbel" w:hAnsi="Corbel" w:cs="Corbel"/>
          <w:sz w:val="16"/>
          <w:szCs w:val="16"/>
        </w:rPr>
        <w:t xml:space="preserve"> </w:t>
      </w:r>
      <w:hyperlink r:id="rId28">
        <w:r>
          <w:rPr>
            <w:rFonts w:ascii="Corbel" w:eastAsia="Corbel" w:hAnsi="Corbel" w:cs="Corbel"/>
            <w:color w:val="1155CC"/>
            <w:sz w:val="16"/>
            <w:szCs w:val="16"/>
            <w:u w:val="single"/>
          </w:rPr>
          <w:t>https://www.nmas.com.mx/nacional/deportacion-infantil-el-muro-mexicano/</w:t>
        </w:r>
      </w:hyperlink>
      <w:r>
        <w:rPr>
          <w:rFonts w:ascii="Corbel" w:eastAsia="Corbel" w:hAnsi="Corbel" w:cs="Corbe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B0E7" w14:textId="77777777" w:rsidR="003C1F39" w:rsidRDefault="003C1F39">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87A3D"/>
    <w:multiLevelType w:val="multilevel"/>
    <w:tmpl w:val="992C9E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7C94CCC"/>
    <w:multiLevelType w:val="multilevel"/>
    <w:tmpl w:val="E17A89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0E72477"/>
    <w:multiLevelType w:val="multilevel"/>
    <w:tmpl w:val="30582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F4E6C9B"/>
    <w:multiLevelType w:val="multilevel"/>
    <w:tmpl w:val="9BF6D2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712478F"/>
    <w:multiLevelType w:val="multilevel"/>
    <w:tmpl w:val="E0E66A5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785117B4"/>
    <w:multiLevelType w:val="multilevel"/>
    <w:tmpl w:val="F54896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89279209">
    <w:abstractNumId w:val="2"/>
  </w:num>
  <w:num w:numId="2" w16cid:durableId="1067845898">
    <w:abstractNumId w:val="0"/>
  </w:num>
  <w:num w:numId="3" w16cid:durableId="2088723617">
    <w:abstractNumId w:val="5"/>
  </w:num>
  <w:num w:numId="4" w16cid:durableId="902569228">
    <w:abstractNumId w:val="1"/>
  </w:num>
  <w:num w:numId="5" w16cid:durableId="262811447">
    <w:abstractNumId w:val="4"/>
  </w:num>
  <w:num w:numId="6" w16cid:durableId="2059085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ocumentProtection w:edit="readOnly" w:formatting="1" w:enforcement="1" w:cryptProviderType="rsaAES" w:cryptAlgorithmClass="hash" w:cryptAlgorithmType="typeAny" w:cryptAlgorithmSid="14" w:cryptSpinCount="100000" w:hash="lZZ6olK2I0KrClcfTWG2Rq19s2uDoP0qQbzVc1LktrY4uAVGd2N2hXT+2Cop1fi7DZoreXlpDRzywLvoVTFAVw==" w:salt="I078dHrWUtTVy/ncatOeI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F39"/>
    <w:rsid w:val="003C1F39"/>
    <w:rsid w:val="006B4C09"/>
    <w:rsid w:val="009066D4"/>
    <w:rsid w:val="0099450F"/>
    <w:rsid w:val="00B9577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B07B"/>
  <w15:docId w15:val="{54BF6799-0E54-4478-8C09-8E58926D0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AB9"/>
  </w:style>
  <w:style w:type="paragraph" w:styleId="Heading1">
    <w:name w:val="heading 1"/>
    <w:basedOn w:val="Normal"/>
    <w:next w:val="Normal"/>
    <w:link w:val="Heading1Char"/>
    <w:uiPriority w:val="9"/>
    <w:qFormat/>
    <w:rsid w:val="002F4AB9"/>
    <w:pPr>
      <w:keepNext/>
      <w:keepLines/>
      <w:spacing w:before="400" w:after="120"/>
      <w:jc w:val="center"/>
      <w:outlineLvl w:val="0"/>
    </w:pPr>
    <w:rPr>
      <w:b/>
      <w:sz w:val="24"/>
      <w:szCs w:val="40"/>
    </w:rPr>
  </w:style>
  <w:style w:type="paragraph" w:styleId="Heading2">
    <w:name w:val="heading 2"/>
    <w:basedOn w:val="Normal"/>
    <w:next w:val="Normal"/>
    <w:uiPriority w:val="9"/>
    <w:semiHidden/>
    <w:unhideWhenUsed/>
    <w:qFormat/>
    <w:rsid w:val="002F4AB9"/>
    <w:pPr>
      <w:keepNext/>
      <w:keepLines/>
      <w:spacing w:before="360" w:after="120"/>
      <w:jc w:val="left"/>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F4AB9"/>
    <w:pPr>
      <w:ind w:left="720"/>
      <w:contextualSpacing/>
    </w:pPr>
  </w:style>
  <w:style w:type="paragraph" w:styleId="FootnoteText">
    <w:name w:val="footnote text"/>
    <w:basedOn w:val="Normal"/>
    <w:link w:val="FootnoteTextChar"/>
    <w:uiPriority w:val="99"/>
    <w:semiHidden/>
    <w:unhideWhenUsed/>
    <w:rsid w:val="00140EE2"/>
    <w:pPr>
      <w:spacing w:line="240" w:lineRule="auto"/>
    </w:pPr>
    <w:rPr>
      <w:sz w:val="20"/>
      <w:szCs w:val="20"/>
    </w:rPr>
  </w:style>
  <w:style w:type="character" w:customStyle="1" w:styleId="FootnoteTextChar">
    <w:name w:val="Footnote Text Char"/>
    <w:basedOn w:val="DefaultParagraphFont"/>
    <w:link w:val="FootnoteText"/>
    <w:uiPriority w:val="99"/>
    <w:semiHidden/>
    <w:rsid w:val="00140EE2"/>
    <w:rPr>
      <w:sz w:val="20"/>
      <w:szCs w:val="20"/>
    </w:rPr>
  </w:style>
  <w:style w:type="character" w:styleId="FootnoteReference">
    <w:name w:val="footnote reference"/>
    <w:basedOn w:val="DefaultParagraphFont"/>
    <w:uiPriority w:val="99"/>
    <w:semiHidden/>
    <w:unhideWhenUsed/>
    <w:rsid w:val="00140EE2"/>
    <w:rPr>
      <w:vertAlign w:val="superscript"/>
    </w:rPr>
  </w:style>
  <w:style w:type="character" w:styleId="Hyperlink">
    <w:name w:val="Hyperlink"/>
    <w:basedOn w:val="DefaultParagraphFont"/>
    <w:uiPriority w:val="99"/>
    <w:unhideWhenUsed/>
    <w:rsid w:val="00AC0DAB"/>
    <w:rPr>
      <w:color w:val="0000FF" w:themeColor="hyperlink"/>
      <w:u w:val="single"/>
    </w:rPr>
  </w:style>
  <w:style w:type="character" w:styleId="UnresolvedMention">
    <w:name w:val="Unresolved Mention"/>
    <w:basedOn w:val="DefaultParagraphFont"/>
    <w:uiPriority w:val="99"/>
    <w:semiHidden/>
    <w:unhideWhenUsed/>
    <w:rsid w:val="00AC0DAB"/>
    <w:rPr>
      <w:color w:val="605E5C"/>
      <w:shd w:val="clear" w:color="auto" w:fill="E1DFDD"/>
    </w:rPr>
  </w:style>
  <w:style w:type="paragraph" w:styleId="TOCHeading">
    <w:name w:val="TOC Heading"/>
    <w:basedOn w:val="Heading1"/>
    <w:next w:val="Normal"/>
    <w:uiPriority w:val="39"/>
    <w:unhideWhenUsed/>
    <w:qFormat/>
    <w:rsid w:val="003673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rPr>
  </w:style>
  <w:style w:type="paragraph" w:styleId="TOC1">
    <w:name w:val="toc 1"/>
    <w:basedOn w:val="Normal"/>
    <w:next w:val="Normal"/>
    <w:autoRedefine/>
    <w:uiPriority w:val="39"/>
    <w:unhideWhenUsed/>
    <w:rsid w:val="0036735A"/>
    <w:pPr>
      <w:spacing w:after="100"/>
    </w:pPr>
  </w:style>
  <w:style w:type="paragraph" w:styleId="TOC2">
    <w:name w:val="toc 2"/>
    <w:basedOn w:val="Normal"/>
    <w:next w:val="Normal"/>
    <w:autoRedefine/>
    <w:uiPriority w:val="39"/>
    <w:unhideWhenUsed/>
    <w:rsid w:val="0036735A"/>
    <w:pPr>
      <w:spacing w:after="100"/>
      <w:ind w:left="220"/>
    </w:pPr>
  </w:style>
  <w:style w:type="character" w:customStyle="1" w:styleId="Heading1Char">
    <w:name w:val="Heading 1 Char"/>
    <w:basedOn w:val="DefaultParagraphFont"/>
    <w:link w:val="Heading1"/>
    <w:uiPriority w:val="9"/>
    <w:rsid w:val="00E66FDE"/>
    <w:rPr>
      <w:b/>
      <w:sz w:val="24"/>
      <w:szCs w:val="40"/>
    </w:rPr>
  </w:style>
  <w:style w:type="paragraph" w:styleId="Header">
    <w:name w:val="header"/>
    <w:basedOn w:val="Normal"/>
    <w:link w:val="HeaderChar"/>
    <w:uiPriority w:val="99"/>
    <w:unhideWhenUsed/>
    <w:rsid w:val="00321355"/>
    <w:pPr>
      <w:tabs>
        <w:tab w:val="center" w:pos="4419"/>
        <w:tab w:val="right" w:pos="8838"/>
      </w:tabs>
      <w:spacing w:line="240" w:lineRule="auto"/>
    </w:pPr>
  </w:style>
  <w:style w:type="character" w:customStyle="1" w:styleId="HeaderChar">
    <w:name w:val="Header Char"/>
    <w:basedOn w:val="DefaultParagraphFont"/>
    <w:link w:val="Header"/>
    <w:uiPriority w:val="99"/>
    <w:rsid w:val="00321355"/>
  </w:style>
  <w:style w:type="paragraph" w:styleId="Footer">
    <w:name w:val="footer"/>
    <w:basedOn w:val="Normal"/>
    <w:link w:val="FooterChar"/>
    <w:uiPriority w:val="99"/>
    <w:unhideWhenUsed/>
    <w:rsid w:val="00321355"/>
    <w:pPr>
      <w:tabs>
        <w:tab w:val="center" w:pos="4419"/>
        <w:tab w:val="right" w:pos="8838"/>
      </w:tabs>
      <w:spacing w:line="240" w:lineRule="auto"/>
    </w:pPr>
  </w:style>
  <w:style w:type="character" w:customStyle="1" w:styleId="FooterChar">
    <w:name w:val="Footer Char"/>
    <w:basedOn w:val="DefaultParagraphFont"/>
    <w:link w:val="Footer"/>
    <w:uiPriority w:val="99"/>
    <w:rsid w:val="00321355"/>
  </w:style>
  <w:style w:type="table" w:customStyle="1" w:styleId="a1">
    <w:basedOn w:val="TableNormal2"/>
    <w:tblPr>
      <w:tblStyleRowBandSize w:val="1"/>
      <w:tblStyleColBandSize w:val="1"/>
      <w:tblCellMar>
        <w:top w:w="100" w:type="dxa"/>
        <w:left w:w="100" w:type="dxa"/>
        <w:bottom w:w="100" w:type="dxa"/>
        <w:right w:w="100" w:type="dxa"/>
      </w:tblCellMar>
    </w:tbl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www.politicamigratoria.gob.mx/es/PoliticaMigratoria/Boletines_Estadisticos" TargetMode="External"/><Relationship Id="rId13" Type="http://schemas.openxmlformats.org/officeDocument/2006/relationships/hyperlink" Target="https://www.unicef.org/mexico/media/7951/file/Periodos%20en%20Movimiento%20version%20extendida.pdf.pdf" TargetMode="External"/><Relationship Id="rId18" Type="http://schemas.openxmlformats.org/officeDocument/2006/relationships/hyperlink" Target="https://www.amnesty.org/es/documents/amr41/7602/2018/es/" TargetMode="External"/><Relationship Id="rId26" Type="http://schemas.openxmlformats.org/officeDocument/2006/relationships/hyperlink" Target="https://www.womensrefugeecommission.org/wp-content/uploads/2022/02/Atrapadas-en-la-incertidumbre-1.pdf" TargetMode="External"/><Relationship Id="rId3" Type="http://schemas.openxmlformats.org/officeDocument/2006/relationships/hyperlink" Target="https://segurasenmovilidad.org/wp-content/uploads/2022/12/Nuestro-derecho-a-la-seguridad-estudio-regional-ES.pdf" TargetMode="External"/><Relationship Id="rId21" Type="http://schemas.openxmlformats.org/officeDocument/2006/relationships/hyperlink" Target="https://portales.segob.gob.mx/work/models/PoliticaMigratoria/CPM/DRCM/DIAGNOSTICONNA.pdf" TargetMode="External"/><Relationship Id="rId7" Type="http://schemas.openxmlformats.org/officeDocument/2006/relationships/hyperlink" Target="https://hchr.org.mx/comite/comite-para-la-eliminacion-de-la-discriminacion-contra-la-mujer-observaciones-finales-sobre-el-noveno-informe-periodico-de-mexico/" TargetMode="External"/><Relationship Id="rId12" Type="http://schemas.openxmlformats.org/officeDocument/2006/relationships/hyperlink" Target="https://adnoticias.mx/salud-menstrual-de-las-mujeres-migrantes/" TargetMode="External"/><Relationship Id="rId17" Type="http://schemas.openxmlformats.org/officeDocument/2006/relationships/hyperlink" Target="https://www.animalpolitico.com/sociedad/denuncian-que-agentes-de-migracion-en-el-aicm-regresaron-a-extranjera-porque-venia-a-vender-pulseritas" TargetMode="External"/><Relationship Id="rId25" Type="http://schemas.openxmlformats.org/officeDocument/2006/relationships/hyperlink" Target="https://www.wola.org/es/2023/06/mexico-recibir-solicitantes-asilo-cuba-haiti-nicaragua-venezuela-ley-estados-unidos-titulo-8/" TargetMode="External"/><Relationship Id="rId2" Type="http://schemas.openxmlformats.org/officeDocument/2006/relationships/hyperlink" Target="https://redodem.org/2023-2/" TargetMode="External"/><Relationship Id="rId16" Type="http://schemas.openxmlformats.org/officeDocument/2006/relationships/hyperlink" Target="https://programadh.ibero.mx/assets/documents/PDH-2018-GENERO-COMO-CAUSAL.pdf" TargetMode="External"/><Relationship Id="rId20" Type="http://schemas.openxmlformats.org/officeDocument/2006/relationships/hyperlink" Target="https://www.inegi.org.mx/programas/enadid/2023/" TargetMode="External"/><Relationship Id="rId1" Type="http://schemas.openxmlformats.org/officeDocument/2006/relationships/hyperlink" Target="http://www.politicamigratoria.gob.mx/es//PoliticaMigratoria/Direccion_de_Estadistica" TargetMode="External"/><Relationship Id="rId6" Type="http://schemas.openxmlformats.org/officeDocument/2006/relationships/hyperlink" Target="https://missingmigrants.iom.int/region/americas" TargetMode="External"/><Relationship Id="rId11" Type="http://schemas.openxmlformats.org/officeDocument/2006/relationships/hyperlink" Target="https://bajolabota.com/infancias-y-adolescencias-migrantes-traslados-peligrosos-falta-de-proteccion-y-atencion-medica/" TargetMode="External"/><Relationship Id="rId24" Type="http://schemas.openxmlformats.org/officeDocument/2006/relationships/hyperlink" Target="https://migracionderetorno.colmex.mx/infografias/" TargetMode="External"/><Relationship Id="rId5" Type="http://schemas.openxmlformats.org/officeDocument/2006/relationships/hyperlink" Target="https://www.gob.mx/inm/prensa/el-inm-atiende-quejas-remitidas-por-la-cndh-en-un-98-28?idiom=es" TargetMode="External"/><Relationship Id="rId15" Type="http://schemas.openxmlformats.org/officeDocument/2006/relationships/hyperlink" Target="https://conexionmigrante.com/2024-/05-/28/maternidades-en-contexto-de-movilidad/" TargetMode="External"/><Relationship Id="rId23" Type="http://schemas.openxmlformats.org/officeDocument/2006/relationships/hyperlink" Target="https://migracionderetorno.colmex.mx/wp-content/uploads/2018/08/PB_1_radiografia_migracion_retorno_2015.pdf" TargetMode="External"/><Relationship Id="rId28" Type="http://schemas.openxmlformats.org/officeDocument/2006/relationships/hyperlink" Target="https://www.nmas.com.mx/nacional/deportacion-infantil-el-muro-mexicano/" TargetMode="External"/><Relationship Id="rId10" Type="http://schemas.openxmlformats.org/officeDocument/2006/relationships/hyperlink" Target="https://oem.com.mx/elsoldemexico/mexico/mujeres-migrantes-cuerpos-sin-derechos-16685200" TargetMode="External"/><Relationship Id="rId19" Type="http://schemas.openxmlformats.org/officeDocument/2006/relationships/hyperlink" Target="http://www.politicamigratoria.gob.mx/es/PoliticaMigratoria/Boletines_Estadisticos" TargetMode="External"/><Relationship Id="rId4" Type="http://schemas.openxmlformats.org/officeDocument/2006/relationships/hyperlink" Target="https://cimacnoticias.com.mx/2024/09/24/inminente-reforma-a-guardia-nacional-amenaza-a-grupos-de-mujeres-migrantes-imumi/" TargetMode="External"/><Relationship Id="rId9" Type="http://schemas.openxmlformats.org/officeDocument/2006/relationships/hyperlink" Target="https://imumi.org/nuestras-publicaciones/deportacion-y-retorno-de-personas-no-mexicanas-de-estados-unidos-a-mexico/" TargetMode="External"/><Relationship Id="rId14" Type="http://schemas.openxmlformats.org/officeDocument/2006/relationships/hyperlink" Target="https://www.inegi.org.mx/programas/enasic/2022/" TargetMode="External"/><Relationship Id="rId22" Type="http://schemas.openxmlformats.org/officeDocument/2006/relationships/hyperlink" Target="https://migracionderetorno.colmex.mx/wp-content/uploads/2018/08/PB_1_radiografia_migracion_retorno_2015.pdf" TargetMode="External"/><Relationship Id="rId27" Type="http://schemas.openxmlformats.org/officeDocument/2006/relationships/hyperlink" Target="http://www.politicamigratoria.gob.mx/es/PoliticaMigratoria/Sintesis_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2025-03-11T13:06:55+00:00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S/LOtEkL+23BEIyJc6tbcKd/GQ==">CgMxLjAyCGguZ2pkZ3hzMg5oLm1paXA3ZnlseHlscTIOaC44MTJ4aDZsN28zdDAyDmgucmtrM3NqZ29ndTR6MgloLjMwajB6bGwyCWguMWZvYjl0ZTIJaC4zem55c2g3MghoLnR5amN3dDIJaC4zZHk2dmttMgloLjF0M2g1c2YyCWguNGQzNG9nODIJaC4yczhleW8xMgloLjE3ZHA4dnU4AHIhMUEtV1dlMUFaOVJLYTlIQTlhVHMyMUxSVUhvOXloS3Zy</go:docsCustomData>
</go:gDocsCustomXmlDataStorage>
</file>

<file path=customXml/itemProps1.xml><?xml version="1.0" encoding="utf-8"?>
<ds:datastoreItem xmlns:ds="http://schemas.openxmlformats.org/officeDocument/2006/customXml" ds:itemID="{223A6B74-6310-43C6-A7B7-44E2D7BD3F6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BBC901F3-50B4-4A2F-80DB-3182D1CC6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A3154B-BBCB-4E36-89A5-C20C328A190D}">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4432</Words>
  <Characters>25264</Characters>
  <Application>Microsoft Office Word</Application>
  <DocSecurity>8</DocSecurity>
  <Lines>210</Lines>
  <Paragraphs>59</Paragraphs>
  <ScaleCrop>false</ScaleCrop>
  <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Dinorah Arceta</dc:creator>
  <cp:lastModifiedBy>Isabelle Fleche</cp:lastModifiedBy>
  <cp:revision>3</cp:revision>
  <dcterms:created xsi:type="dcterms:W3CDTF">2025-03-02T19:35:00Z</dcterms:created>
  <dcterms:modified xsi:type="dcterms:W3CDTF">2025-03-24T16:47:00Z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2c7d2132dbf88104dbd4e2fb7156ee63a2ea0d3aa6452d690fee55a8ead80429</vt:lpwstr>
  </property>
  <property fmtid="{D5CDD505-2E9C-101B-9397-08002B2CF9AE}" pid="3" name="ContentTypeId">
    <vt:lpwstr>0x010100FB4CCA895A17B843B34B7F2324FFA44A</vt:lpwstr>
  </property>
  <property fmtid="{D5CDD505-2E9C-101B-9397-08002B2CF9AE}" pid="4" name="MediaServiceImageTags">
    <vt:lpwstr/>
  </property>
</Properties>
</file>