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332" w:rsidRDefault="00A9361F">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41pt">
            <v:imagedata r:id="rId8" o:title=""/>
          </v:shape>
        </w:pict>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33102F">
        <w:rPr>
          <w:b/>
          <w:sz w:val="28"/>
          <w:szCs w:val="28"/>
          <w:u w:val="single"/>
        </w:rPr>
        <w:t>MAURITANIA</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FE1332">
      <w:pPr>
        <w:jc w:val="center"/>
        <w:rPr>
          <w:sz w:val="28"/>
          <w:szCs w:val="28"/>
        </w:rPr>
      </w:pPr>
      <w:r w:rsidRPr="0033102F">
        <w:rPr>
          <w:b/>
          <w:sz w:val="28"/>
          <w:szCs w:val="28"/>
          <w:u w:val="single"/>
        </w:rPr>
        <w:t>50</w:t>
      </w:r>
      <w:r w:rsidRPr="0033102F">
        <w:rPr>
          <w:b/>
          <w:sz w:val="28"/>
          <w:szCs w:val="28"/>
          <w:u w:val="single"/>
          <w:vertAlign w:val="superscript"/>
        </w:rPr>
        <w:t>th</w:t>
      </w:r>
      <w:r w:rsidRPr="0033102F">
        <w:rPr>
          <w:b/>
          <w:sz w:val="28"/>
          <w:szCs w:val="28"/>
          <w:u w:val="single"/>
        </w:rPr>
        <w:t xml:space="preserve"> session,</w:t>
      </w:r>
      <w:r w:rsidR="00DF26B7" w:rsidRPr="0033102F">
        <w:rPr>
          <w:b/>
          <w:sz w:val="28"/>
          <w:szCs w:val="28"/>
          <w:u w:val="single"/>
        </w:rPr>
        <w:t xml:space="preserve"> </w:t>
      </w:r>
      <w:r w:rsidR="00EE43F9" w:rsidRPr="0033102F">
        <w:rPr>
          <w:b/>
          <w:sz w:val="28"/>
          <w:szCs w:val="28"/>
          <w:u w:val="single"/>
        </w:rPr>
        <w:t>M</w:t>
      </w:r>
      <w:r w:rsidR="00EE43F9">
        <w:rPr>
          <w:b/>
          <w:sz w:val="28"/>
          <w:szCs w:val="28"/>
          <w:u w:val="single"/>
        </w:rPr>
        <w:t>ay 2013</w:t>
      </w:r>
    </w:p>
    <w:p w:rsidR="00DF26B7" w:rsidRPr="00FE1332" w:rsidRDefault="00DF26B7" w:rsidP="00FE1332">
      <w:pPr>
        <w:jc w:val="center"/>
        <w:rPr>
          <w:i/>
        </w:rPr>
      </w:pPr>
      <w:r w:rsidRPr="00FE1332">
        <w:rPr>
          <w:i/>
        </w:rPr>
        <w:t>From Peter Newell, Coordinator, Global Initiative</w:t>
      </w:r>
    </w:p>
    <w:p w:rsidR="00DF26B7" w:rsidRPr="00FE1332" w:rsidRDefault="00644EDC" w:rsidP="00FE1332">
      <w:pPr>
        <w:jc w:val="center"/>
        <w:rPr>
          <w:sz w:val="28"/>
          <w:szCs w:val="28"/>
        </w:rPr>
      </w:pPr>
      <w:hyperlink r:id="rId9" w:history="1">
        <w:r w:rsidR="00DF26B7" w:rsidRPr="00FE1332">
          <w:rPr>
            <w:rStyle w:val="Hyperlink"/>
            <w:i/>
          </w:rPr>
          <w:t>info@endcorporalpunishment.org</w:t>
        </w:r>
      </w:hyperlink>
      <w:r w:rsidR="00DF26B7" w:rsidRPr="00FE1332">
        <w:rPr>
          <w:i/>
          <w:sz w:val="28"/>
          <w:szCs w:val="28"/>
        </w:rPr>
        <w:t xml:space="preserve"> </w:t>
      </w:r>
    </w:p>
    <w:p w:rsidR="003C6F4D" w:rsidRDefault="00644EDC" w:rsidP="005142F8">
      <w:pPr>
        <w:spacing w:after="120"/>
        <w:jc w:val="center"/>
        <w:rPr>
          <w:b/>
          <w:u w:val="single"/>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33102F">
                    <w:rPr>
                      <w:b/>
                      <w:sz w:val="28"/>
                      <w:szCs w:val="28"/>
                    </w:rPr>
                    <w:t>Mauritania</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00393731">
                    <w:rPr>
                      <w:b/>
                      <w:sz w:val="28"/>
                      <w:szCs w:val="28"/>
                    </w:rPr>
                    <w:t xml:space="preserve">and </w:t>
                  </w:r>
                  <w:r w:rsidRPr="009D77EF">
                    <w:rPr>
                      <w:b/>
                      <w:sz w:val="28"/>
                      <w:szCs w:val="28"/>
                    </w:rPr>
                    <w:t>the recommendations of human rights treaty monitoring bodies</w:t>
                  </w:r>
                  <w:r w:rsidR="00067488" w:rsidRPr="009D77EF">
                    <w:rPr>
                      <w:b/>
                      <w:sz w:val="28"/>
                      <w:szCs w:val="28"/>
                    </w:rPr>
                    <w:t xml:space="preserve"> and </w:t>
                  </w:r>
                  <w:r w:rsidR="00B5248E">
                    <w:rPr>
                      <w:b/>
                      <w:sz w:val="28"/>
                      <w:szCs w:val="28"/>
                    </w:rPr>
                    <w:t>during the Universal Periodic Review in 2010</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B5248E">
                    <w:rPr>
                      <w:b/>
                      <w:sz w:val="28"/>
                      <w:szCs w:val="28"/>
                    </w:rPr>
                    <w:t>Mauritania</w:t>
                  </w:r>
                  <w:r w:rsidRPr="009D77EF">
                    <w:rPr>
                      <w:b/>
                      <w:sz w:val="28"/>
                      <w:szCs w:val="28"/>
                    </w:rPr>
                    <w:t xml:space="preserve">, in the concluding observations on the </w:t>
                  </w:r>
                  <w:r w:rsidR="002164DE">
                    <w:rPr>
                      <w:b/>
                      <w:sz w:val="28"/>
                      <w:szCs w:val="28"/>
                    </w:rPr>
                    <w:t>initial</w:t>
                  </w:r>
                  <w:r w:rsidR="006442A7" w:rsidRPr="009D77EF">
                    <w:rPr>
                      <w:b/>
                      <w:sz w:val="28"/>
                      <w:szCs w:val="28"/>
                    </w:rPr>
                    <w:t xml:space="preserve"> </w:t>
                  </w:r>
                  <w:r w:rsidRPr="009D77EF">
                    <w:rPr>
                      <w:b/>
                      <w:sz w:val="28"/>
                      <w:szCs w:val="28"/>
                    </w:rPr>
                    <w:t>state party report, that legislation is enacted and enforced which explicitly prohibits corporal punishment in all settings, including the home</w:t>
                  </w:r>
                  <w:r w:rsidR="00B5248E">
                    <w:rPr>
                      <w:b/>
                      <w:sz w:val="28"/>
                      <w:szCs w:val="28"/>
                    </w:rPr>
                    <w:t xml:space="preserve"> and as a sentence of the courts for all juvenile offenders</w:t>
                  </w:r>
                  <w:r w:rsidRPr="009D77EF">
                    <w:rPr>
                      <w:b/>
                      <w:sz w:val="28"/>
                      <w:szCs w:val="28"/>
                    </w:rPr>
                    <w:t>, together with appropriate public education and professional training on positive, participatory and non-violent forms of education and childrearing.</w:t>
                  </w:r>
                </w:p>
              </w:txbxContent>
            </v:textbox>
            <w10:wrap type="topAndBottom"/>
          </v:shape>
        </w:pict>
      </w:r>
    </w:p>
    <w:p w:rsidR="00FE1332" w:rsidRDefault="00FE1332">
      <w:pPr>
        <w:spacing w:after="120"/>
        <w:rPr>
          <w:b/>
        </w:rPr>
      </w:pPr>
    </w:p>
    <w:p w:rsidR="00AD022F" w:rsidRDefault="00AD022F">
      <w:pPr>
        <w:spacing w:after="120"/>
        <w:rPr>
          <w:b/>
          <w:sz w:val="28"/>
          <w:szCs w:val="28"/>
        </w:rPr>
      </w:pPr>
    </w:p>
    <w:p w:rsidR="0050346D" w:rsidRPr="00BC628D" w:rsidRDefault="009D77EF">
      <w:pPr>
        <w:spacing w:after="120"/>
        <w:rPr>
          <w:b/>
          <w:sz w:val="28"/>
          <w:szCs w:val="28"/>
        </w:rPr>
      </w:pPr>
      <w:r>
        <w:rPr>
          <w:b/>
          <w:sz w:val="28"/>
          <w:szCs w:val="28"/>
        </w:rPr>
        <w:t xml:space="preserve">1 </w:t>
      </w:r>
      <w:r w:rsidR="0050346D" w:rsidRPr="00BC628D">
        <w:rPr>
          <w:b/>
          <w:sz w:val="28"/>
          <w:szCs w:val="28"/>
        </w:rPr>
        <w:t xml:space="preserve">Corporal punishment of children in </w:t>
      </w:r>
      <w:r w:rsidR="00B5248E">
        <w:rPr>
          <w:b/>
          <w:sz w:val="28"/>
          <w:szCs w:val="28"/>
        </w:rPr>
        <w:t>Mauritania</w:t>
      </w:r>
    </w:p>
    <w:p w:rsidR="002164DE" w:rsidRPr="00A60D37" w:rsidRDefault="009D77EF" w:rsidP="00A60D37">
      <w:pPr>
        <w:spacing w:after="120"/>
        <w:ind w:left="482" w:hanging="482"/>
        <w:rPr>
          <w:sz w:val="26"/>
          <w:szCs w:val="26"/>
        </w:rPr>
      </w:pPr>
      <w:r w:rsidRPr="00A60D37">
        <w:rPr>
          <w:sz w:val="26"/>
          <w:szCs w:val="26"/>
        </w:rPr>
        <w:t xml:space="preserve">1.1 </w:t>
      </w:r>
      <w:r w:rsidR="00B91136" w:rsidRPr="00A60D37">
        <w:rPr>
          <w:sz w:val="26"/>
          <w:szCs w:val="26"/>
        </w:rPr>
        <w:t xml:space="preserve">In </w:t>
      </w:r>
      <w:r w:rsidR="00B5248E" w:rsidRPr="00A60D37">
        <w:rPr>
          <w:sz w:val="26"/>
          <w:szCs w:val="26"/>
        </w:rPr>
        <w:t>Mauritania</w:t>
      </w:r>
      <w:r w:rsidR="00B91136" w:rsidRPr="00A60D37">
        <w:rPr>
          <w:sz w:val="26"/>
          <w:szCs w:val="26"/>
        </w:rPr>
        <w:t xml:space="preserve">, </w:t>
      </w:r>
      <w:r w:rsidR="00CE7714" w:rsidRPr="00A60D37">
        <w:rPr>
          <w:sz w:val="26"/>
          <w:szCs w:val="26"/>
        </w:rPr>
        <w:t xml:space="preserve">corporal punishment is </w:t>
      </w:r>
      <w:r w:rsidR="00AD022F" w:rsidRPr="00A60D37">
        <w:rPr>
          <w:sz w:val="26"/>
          <w:szCs w:val="26"/>
        </w:rPr>
        <w:t>lawful</w:t>
      </w:r>
      <w:r w:rsidR="006442A7" w:rsidRPr="00A60D37">
        <w:rPr>
          <w:sz w:val="26"/>
          <w:szCs w:val="26"/>
        </w:rPr>
        <w:t xml:space="preserve"> </w:t>
      </w:r>
      <w:r w:rsidR="00B5248E" w:rsidRPr="00A60D37">
        <w:rPr>
          <w:sz w:val="26"/>
          <w:szCs w:val="26"/>
        </w:rPr>
        <w:t>in all settings</w:t>
      </w:r>
      <w:r w:rsidR="002164DE" w:rsidRPr="00A60D37">
        <w:rPr>
          <w:sz w:val="26"/>
          <w:szCs w:val="26"/>
        </w:rPr>
        <w:t>.</w:t>
      </w:r>
      <w:r w:rsidR="00B5248E" w:rsidRPr="00A60D37">
        <w:rPr>
          <w:sz w:val="26"/>
          <w:szCs w:val="26"/>
        </w:rPr>
        <w:t xml:space="preserve"> A Fatwa was issued in 2009 against excessive corporal punishment but there has been no law reform to prohibit all forms of corporal punishment</w:t>
      </w:r>
      <w:r w:rsidR="00A60D37">
        <w:rPr>
          <w:sz w:val="26"/>
          <w:szCs w:val="26"/>
        </w:rPr>
        <w:t>.</w:t>
      </w:r>
    </w:p>
    <w:p w:rsidR="00B5248E" w:rsidRPr="00A60D37" w:rsidRDefault="002164DE" w:rsidP="00A60D37">
      <w:pPr>
        <w:spacing w:after="120"/>
        <w:ind w:left="482" w:hanging="482"/>
        <w:rPr>
          <w:sz w:val="26"/>
          <w:szCs w:val="26"/>
        </w:rPr>
      </w:pPr>
      <w:r w:rsidRPr="00A60D37">
        <w:rPr>
          <w:sz w:val="26"/>
          <w:szCs w:val="26"/>
        </w:rPr>
        <w:t xml:space="preserve">1.2 </w:t>
      </w:r>
      <w:r w:rsidRPr="00A60D37">
        <w:rPr>
          <w:i/>
          <w:sz w:val="26"/>
          <w:szCs w:val="26"/>
        </w:rPr>
        <w:t>Home (</w:t>
      </w:r>
      <w:r w:rsidRPr="00A60D37">
        <w:rPr>
          <w:i/>
          <w:sz w:val="26"/>
          <w:szCs w:val="26"/>
          <w:u w:val="single"/>
        </w:rPr>
        <w:t>lawful</w:t>
      </w:r>
      <w:r w:rsidRPr="00A60D37">
        <w:rPr>
          <w:i/>
          <w:sz w:val="26"/>
          <w:szCs w:val="26"/>
        </w:rPr>
        <w:t>):</w:t>
      </w:r>
      <w:r w:rsidRPr="00A60D37">
        <w:rPr>
          <w:sz w:val="26"/>
          <w:szCs w:val="26"/>
        </w:rPr>
        <w:t xml:space="preserve"> </w:t>
      </w:r>
      <w:r w:rsidR="00B5248E" w:rsidRPr="00A60D37">
        <w:rPr>
          <w:sz w:val="26"/>
          <w:szCs w:val="26"/>
        </w:rPr>
        <w:t>Corporal punishment is lawful in the home. Provisions against violence and abuse in the Criminal Code 1983, the law “</w:t>
      </w:r>
      <w:proofErr w:type="spellStart"/>
      <w:r w:rsidR="00B5248E" w:rsidRPr="00A60D37">
        <w:rPr>
          <w:sz w:val="26"/>
          <w:szCs w:val="26"/>
        </w:rPr>
        <w:t>sur</w:t>
      </w:r>
      <w:proofErr w:type="spellEnd"/>
      <w:r w:rsidR="00B5248E" w:rsidRPr="00A60D37">
        <w:rPr>
          <w:sz w:val="26"/>
          <w:szCs w:val="26"/>
        </w:rPr>
        <w:t xml:space="preserve"> la </w:t>
      </w:r>
      <w:proofErr w:type="spellStart"/>
      <w:r w:rsidR="00B5248E" w:rsidRPr="00A60D37">
        <w:rPr>
          <w:sz w:val="26"/>
          <w:szCs w:val="26"/>
        </w:rPr>
        <w:t>traite</w:t>
      </w:r>
      <w:proofErr w:type="spellEnd"/>
      <w:r w:rsidR="00B5248E" w:rsidRPr="00A60D37">
        <w:rPr>
          <w:sz w:val="26"/>
          <w:szCs w:val="26"/>
        </w:rPr>
        <w:t xml:space="preserve"> des </w:t>
      </w:r>
      <w:proofErr w:type="spellStart"/>
      <w:r w:rsidR="00B5248E" w:rsidRPr="00A60D37">
        <w:rPr>
          <w:sz w:val="26"/>
          <w:szCs w:val="26"/>
        </w:rPr>
        <w:t>personnes</w:t>
      </w:r>
      <w:proofErr w:type="spellEnd"/>
      <w:r w:rsidR="00B5248E" w:rsidRPr="00A60D37">
        <w:rPr>
          <w:sz w:val="26"/>
          <w:szCs w:val="26"/>
        </w:rPr>
        <w:t>” 2003, the Personal Status Code 2001 and the Constitution 1991 are not interpreted as prohibiting all corporal punishment of children. Order No. 2005-015 of 5 December 2005 on the judicial protection of children states that the subjection of children to torture or to acts of barbarity shall be punishable by six years’ rigorous imprisonment” and provides for harsh sentences if the offence is committed repeatedly or if it results in damage, mutilation, disability or death (article 11), but it does not prohibit corporal punishment.</w:t>
      </w:r>
    </w:p>
    <w:p w:rsidR="00B5248E" w:rsidRPr="00A60D37" w:rsidRDefault="00A60D37" w:rsidP="00A60D37">
      <w:pPr>
        <w:spacing w:after="120"/>
        <w:ind w:left="482" w:hanging="482"/>
        <w:rPr>
          <w:sz w:val="26"/>
          <w:szCs w:val="26"/>
        </w:rPr>
      </w:pPr>
      <w:r>
        <w:rPr>
          <w:sz w:val="26"/>
          <w:szCs w:val="26"/>
        </w:rPr>
        <w:lastRenderedPageBreak/>
        <w:t xml:space="preserve">1.3 </w:t>
      </w:r>
      <w:r w:rsidR="00B5248E" w:rsidRPr="00A60D37">
        <w:rPr>
          <w:sz w:val="26"/>
          <w:szCs w:val="26"/>
        </w:rPr>
        <w:t>In 2009, a Fatwa was issued against corporal punishment of children, but it appears to apply only to “</w:t>
      </w:r>
      <w:r>
        <w:rPr>
          <w:sz w:val="26"/>
          <w:szCs w:val="26"/>
        </w:rPr>
        <w:t>excessive” corporal punishment</w:t>
      </w:r>
      <w:r w:rsidR="00B5248E" w:rsidRPr="00A60D37">
        <w:rPr>
          <w:sz w:val="26"/>
          <w:szCs w:val="26"/>
        </w:rPr>
        <w:t>.</w:t>
      </w:r>
      <w:r>
        <w:rPr>
          <w:rStyle w:val="FootnoteReference"/>
          <w:sz w:val="26"/>
          <w:szCs w:val="26"/>
        </w:rPr>
        <w:footnoteReference w:id="1"/>
      </w:r>
    </w:p>
    <w:p w:rsidR="00B5248E" w:rsidRPr="00A60D37" w:rsidRDefault="002164DE" w:rsidP="00A60D37">
      <w:pPr>
        <w:autoSpaceDE w:val="0"/>
        <w:autoSpaceDN w:val="0"/>
        <w:adjustRightInd w:val="0"/>
        <w:spacing w:after="120"/>
        <w:ind w:left="482" w:hanging="482"/>
        <w:rPr>
          <w:sz w:val="26"/>
          <w:szCs w:val="26"/>
        </w:rPr>
      </w:pPr>
      <w:r w:rsidRPr="00A60D37">
        <w:rPr>
          <w:sz w:val="26"/>
          <w:szCs w:val="26"/>
        </w:rPr>
        <w:t>1.</w:t>
      </w:r>
      <w:r w:rsidR="00A60D37">
        <w:rPr>
          <w:sz w:val="26"/>
          <w:szCs w:val="26"/>
        </w:rPr>
        <w:t>4</w:t>
      </w:r>
      <w:r w:rsidRPr="00A60D37">
        <w:rPr>
          <w:sz w:val="26"/>
          <w:szCs w:val="26"/>
        </w:rPr>
        <w:t xml:space="preserve"> </w:t>
      </w:r>
      <w:r w:rsidRPr="00A60D37">
        <w:rPr>
          <w:i/>
          <w:sz w:val="26"/>
          <w:szCs w:val="26"/>
        </w:rPr>
        <w:t>Schools (</w:t>
      </w:r>
      <w:r w:rsidR="00A60D37" w:rsidRPr="00A60D37">
        <w:rPr>
          <w:i/>
          <w:sz w:val="26"/>
          <w:szCs w:val="26"/>
          <w:u w:val="single"/>
        </w:rPr>
        <w:t>lawful</w:t>
      </w:r>
      <w:r w:rsidRPr="00A60D37">
        <w:rPr>
          <w:i/>
          <w:sz w:val="26"/>
          <w:szCs w:val="26"/>
        </w:rPr>
        <w:t xml:space="preserve">): </w:t>
      </w:r>
      <w:r w:rsidR="00B5248E" w:rsidRPr="00A60D37">
        <w:rPr>
          <w:sz w:val="26"/>
          <w:szCs w:val="26"/>
        </w:rPr>
        <w:t>The Ministry of Education has stated that corporal punishment should not be used (Decision No. 701 MEN/PR of 4 November 1968, article 17), but there is no explicit prohibition in law. Applicable law includes Act No. 099-012 of 26 April 1999 on the reform of the education system and Act No. 2001-054 of 19 July 2001 on compulsory basic education: we have yet to examine the full texts of these Acts.</w:t>
      </w:r>
    </w:p>
    <w:p w:rsidR="00B5248E" w:rsidRPr="00A60D37" w:rsidRDefault="00A60D37" w:rsidP="00A60D37">
      <w:pPr>
        <w:spacing w:after="120"/>
        <w:ind w:left="482" w:hanging="482"/>
        <w:rPr>
          <w:sz w:val="26"/>
          <w:szCs w:val="26"/>
        </w:rPr>
      </w:pPr>
      <w:r>
        <w:rPr>
          <w:sz w:val="26"/>
          <w:szCs w:val="26"/>
        </w:rPr>
        <w:t>1.5</w:t>
      </w:r>
      <w:r w:rsidR="002164DE" w:rsidRPr="00A60D37">
        <w:rPr>
          <w:sz w:val="26"/>
          <w:szCs w:val="26"/>
        </w:rPr>
        <w:t xml:space="preserve"> </w:t>
      </w:r>
      <w:r w:rsidR="002164DE" w:rsidRPr="00A60D37">
        <w:rPr>
          <w:i/>
          <w:sz w:val="26"/>
          <w:szCs w:val="26"/>
        </w:rPr>
        <w:t>Penal system – sentence (</w:t>
      </w:r>
      <w:r w:rsidR="002164DE" w:rsidRPr="00A60D37">
        <w:rPr>
          <w:i/>
          <w:sz w:val="26"/>
          <w:szCs w:val="26"/>
          <w:u w:val="single"/>
        </w:rPr>
        <w:t>lawful</w:t>
      </w:r>
      <w:r w:rsidR="002164DE" w:rsidRPr="00A60D37">
        <w:rPr>
          <w:i/>
          <w:sz w:val="26"/>
          <w:szCs w:val="26"/>
        </w:rPr>
        <w:t xml:space="preserve">): </w:t>
      </w:r>
      <w:r w:rsidR="00B5248E" w:rsidRPr="00A60D37">
        <w:rPr>
          <w:sz w:val="26"/>
          <w:szCs w:val="26"/>
        </w:rPr>
        <w:t>The Constitution states in article 13 that “</w:t>
      </w:r>
      <w:r>
        <w:rPr>
          <w:sz w:val="26"/>
          <w:szCs w:val="26"/>
        </w:rPr>
        <w:t>a</w:t>
      </w:r>
      <w:r w:rsidR="00B5248E" w:rsidRPr="00A60D37">
        <w:rPr>
          <w:sz w:val="26"/>
          <w:szCs w:val="26"/>
        </w:rPr>
        <w:t>ny form of mental or physical violence is prohibited” but the Criminal Code provides for punishments of amputation and flogging (e.g. article 7). Order No. 2005-013 on the judicial protection of children states that the penalties imposed on children aged 15 to 18 convicted of an offence may not exceed half of the adult sentences, but it does not prohibit corporal punishment.</w:t>
      </w:r>
    </w:p>
    <w:p w:rsidR="00B5248E" w:rsidRPr="00A60D37" w:rsidRDefault="00A60D37" w:rsidP="00A60D37">
      <w:pPr>
        <w:spacing w:after="120"/>
        <w:ind w:left="482" w:hanging="482"/>
        <w:rPr>
          <w:sz w:val="26"/>
          <w:szCs w:val="26"/>
        </w:rPr>
      </w:pPr>
      <w:r>
        <w:rPr>
          <w:sz w:val="26"/>
          <w:szCs w:val="26"/>
        </w:rPr>
        <w:t xml:space="preserve">1.6 </w:t>
      </w:r>
      <w:r w:rsidR="00B5248E" w:rsidRPr="00A60D37">
        <w:rPr>
          <w:sz w:val="26"/>
          <w:szCs w:val="26"/>
        </w:rPr>
        <w:t xml:space="preserve">Article 285 of the Criminal Code states that “any adult who deliberately inflicts injury on, strikes, amputates a limb of, or inflicts any form of violence on an innocent person shall be punished by </w:t>
      </w:r>
      <w:proofErr w:type="spellStart"/>
      <w:r w:rsidR="00B5248E" w:rsidRPr="00A60D37">
        <w:rPr>
          <w:sz w:val="26"/>
          <w:szCs w:val="26"/>
        </w:rPr>
        <w:t>qisas</w:t>
      </w:r>
      <w:proofErr w:type="spellEnd"/>
      <w:r w:rsidR="00B5248E" w:rsidRPr="00A60D37">
        <w:rPr>
          <w:sz w:val="26"/>
          <w:szCs w:val="26"/>
        </w:rPr>
        <w:t xml:space="preserve"> [retribution in kind].” We have yet to establish the age at which adulthood is defined for the purposes of this provision.</w:t>
      </w:r>
    </w:p>
    <w:p w:rsidR="00B5248E" w:rsidRPr="00A60D37" w:rsidRDefault="00A60D37" w:rsidP="00A60D37">
      <w:pPr>
        <w:spacing w:after="120"/>
        <w:ind w:left="482" w:hanging="482"/>
        <w:rPr>
          <w:sz w:val="26"/>
          <w:szCs w:val="26"/>
        </w:rPr>
      </w:pPr>
      <w:r>
        <w:rPr>
          <w:sz w:val="26"/>
          <w:szCs w:val="26"/>
        </w:rPr>
        <w:t>1.7</w:t>
      </w:r>
      <w:r w:rsidR="002164DE" w:rsidRPr="00A60D37">
        <w:rPr>
          <w:sz w:val="26"/>
          <w:szCs w:val="26"/>
        </w:rPr>
        <w:t xml:space="preserve"> </w:t>
      </w:r>
      <w:r w:rsidR="002164DE" w:rsidRPr="00A60D37">
        <w:rPr>
          <w:i/>
          <w:sz w:val="26"/>
          <w:szCs w:val="26"/>
        </w:rPr>
        <w:t>Penal system – disciplinary measure in penal institutions (</w:t>
      </w:r>
      <w:r w:rsidR="002164DE" w:rsidRPr="00A60D37">
        <w:rPr>
          <w:i/>
          <w:sz w:val="26"/>
          <w:szCs w:val="26"/>
          <w:u w:val="single"/>
        </w:rPr>
        <w:t>no explicit prohibition</w:t>
      </w:r>
      <w:r w:rsidR="002164DE" w:rsidRPr="00A60D37">
        <w:rPr>
          <w:i/>
          <w:sz w:val="26"/>
          <w:szCs w:val="26"/>
        </w:rPr>
        <w:t xml:space="preserve">): </w:t>
      </w:r>
      <w:r w:rsidR="00B5248E" w:rsidRPr="00A60D37">
        <w:rPr>
          <w:sz w:val="26"/>
          <w:szCs w:val="26"/>
        </w:rPr>
        <w:t>There is no explicit prohibition of corporal punishment, though there is protection more generally from violence. The Code of Criminal Procedure 2007 states in article 58: “Any person deprived of his or her liberty as a result of arrest or detention or any other form of deprivation of liberty must be treated in accordance with respect for human dignity. Mental or physical ill-treatment of detainees … are prohibited.” Article 15 of the National Police Regulations Act No. 2010-07 of 20 January 2010 prohibits “all cruel or degrading treatment that violates human rights”. Decree No. 2003-1524 (2003) on the structural regulations of rehabilitation centres for children in conflict with the law contains provisions on the rights of the child but we have no further details.</w:t>
      </w:r>
    </w:p>
    <w:p w:rsidR="002164DE" w:rsidRPr="00A60D37" w:rsidRDefault="00A60D37" w:rsidP="00A60D37">
      <w:pPr>
        <w:spacing w:after="120"/>
        <w:ind w:left="482" w:hanging="482"/>
        <w:rPr>
          <w:rFonts w:eastAsia="Calibri"/>
          <w:bCs/>
          <w:color w:val="000000"/>
          <w:sz w:val="26"/>
          <w:szCs w:val="26"/>
        </w:rPr>
      </w:pPr>
      <w:r>
        <w:rPr>
          <w:sz w:val="26"/>
          <w:szCs w:val="26"/>
        </w:rPr>
        <w:t>1.8</w:t>
      </w:r>
      <w:r w:rsidR="002164DE" w:rsidRPr="00A60D37">
        <w:rPr>
          <w:sz w:val="26"/>
          <w:szCs w:val="26"/>
        </w:rPr>
        <w:t xml:space="preserve"> </w:t>
      </w:r>
      <w:r w:rsidR="002164DE" w:rsidRPr="00A60D37">
        <w:rPr>
          <w:i/>
          <w:sz w:val="26"/>
          <w:szCs w:val="26"/>
        </w:rPr>
        <w:t>Alternative care settings (</w:t>
      </w:r>
      <w:r w:rsidRPr="00A60D37">
        <w:rPr>
          <w:i/>
          <w:sz w:val="26"/>
          <w:szCs w:val="26"/>
          <w:u w:val="single"/>
        </w:rPr>
        <w:t>lawful</w:t>
      </w:r>
      <w:r w:rsidR="002164DE" w:rsidRPr="00A60D37">
        <w:rPr>
          <w:i/>
          <w:sz w:val="26"/>
          <w:szCs w:val="26"/>
        </w:rPr>
        <w:t xml:space="preserve">): </w:t>
      </w:r>
      <w:r w:rsidR="00B5248E" w:rsidRPr="00A60D37">
        <w:rPr>
          <w:sz w:val="26"/>
          <w:szCs w:val="26"/>
        </w:rPr>
        <w:t xml:space="preserve">Presumably, the Fatwa against corporal punishment (see under “Home”) would apply to alternative care settings, including in the </w:t>
      </w:r>
      <w:proofErr w:type="spellStart"/>
      <w:r w:rsidR="00B5248E" w:rsidRPr="00A60D37">
        <w:rPr>
          <w:rFonts w:eastAsia="Calibri"/>
          <w:bCs/>
          <w:i/>
          <w:iCs/>
          <w:color w:val="000000"/>
          <w:sz w:val="26"/>
          <w:szCs w:val="26"/>
        </w:rPr>
        <w:t>kafalah</w:t>
      </w:r>
      <w:proofErr w:type="spellEnd"/>
      <w:r w:rsidR="00B5248E" w:rsidRPr="00A60D37">
        <w:rPr>
          <w:rFonts w:eastAsia="Calibri"/>
          <w:bCs/>
          <w:i/>
          <w:iCs/>
          <w:color w:val="000000"/>
          <w:sz w:val="26"/>
          <w:szCs w:val="26"/>
        </w:rPr>
        <w:t xml:space="preserve"> </w:t>
      </w:r>
      <w:r w:rsidR="00B5248E" w:rsidRPr="00A60D37">
        <w:rPr>
          <w:rFonts w:eastAsia="Calibri"/>
          <w:bCs/>
          <w:color w:val="000000"/>
          <w:sz w:val="26"/>
          <w:szCs w:val="26"/>
        </w:rPr>
        <w:t>system,</w:t>
      </w:r>
      <w:r w:rsidR="00B5248E" w:rsidRPr="00A60D37">
        <w:rPr>
          <w:sz w:val="26"/>
          <w:szCs w:val="26"/>
        </w:rPr>
        <w:t xml:space="preserve"> but there is no explicit prohibition of corporal punishment in law</w:t>
      </w:r>
      <w:r w:rsidR="00B5248E" w:rsidRPr="00A60D37">
        <w:rPr>
          <w:rFonts w:eastAsia="Calibri"/>
          <w:bCs/>
          <w:color w:val="000000"/>
          <w:sz w:val="26"/>
          <w:szCs w:val="26"/>
        </w:rPr>
        <w:t>.</w:t>
      </w:r>
    </w:p>
    <w:p w:rsidR="00096941" w:rsidRPr="00A60D37" w:rsidRDefault="00096941" w:rsidP="00A60D37">
      <w:pPr>
        <w:spacing w:after="120"/>
        <w:ind w:left="482" w:hanging="482"/>
        <w:rPr>
          <w:sz w:val="26"/>
          <w:szCs w:val="26"/>
        </w:rPr>
      </w:pPr>
    </w:p>
    <w:p w:rsidR="0050346D" w:rsidRPr="009D77EF" w:rsidRDefault="009D77EF">
      <w:pPr>
        <w:spacing w:after="120"/>
        <w:rPr>
          <w:b/>
          <w:sz w:val="28"/>
          <w:szCs w:val="28"/>
        </w:rPr>
      </w:pPr>
      <w:r>
        <w:rPr>
          <w:b/>
          <w:sz w:val="28"/>
          <w:szCs w:val="28"/>
        </w:rPr>
        <w:t xml:space="preserve">2 </w:t>
      </w:r>
      <w:r w:rsidR="0050346D" w:rsidRPr="009D77EF">
        <w:rPr>
          <w:b/>
          <w:sz w:val="28"/>
          <w:szCs w:val="28"/>
        </w:rPr>
        <w:t>Recommendations by human rights treaty bodies</w:t>
      </w:r>
      <w:r w:rsidR="005142F8" w:rsidRPr="009D77EF">
        <w:rPr>
          <w:b/>
          <w:sz w:val="28"/>
          <w:szCs w:val="28"/>
        </w:rPr>
        <w:t xml:space="preserve"> and during the UPR</w:t>
      </w:r>
    </w:p>
    <w:p w:rsidR="002164DE" w:rsidRPr="00A60D37" w:rsidRDefault="009D77EF" w:rsidP="00A60D37">
      <w:pPr>
        <w:spacing w:after="120"/>
        <w:ind w:left="482" w:hanging="482"/>
        <w:rPr>
          <w:sz w:val="26"/>
          <w:szCs w:val="26"/>
        </w:rPr>
      </w:pPr>
      <w:r w:rsidRPr="00A60D37">
        <w:rPr>
          <w:sz w:val="26"/>
          <w:szCs w:val="26"/>
        </w:rPr>
        <w:t xml:space="preserve">2.1 </w:t>
      </w:r>
      <w:r w:rsidR="002164DE" w:rsidRPr="00A60D37">
        <w:rPr>
          <w:i/>
          <w:sz w:val="26"/>
          <w:szCs w:val="26"/>
        </w:rPr>
        <w:t>CRC:</w:t>
      </w:r>
      <w:r w:rsidR="002164DE" w:rsidRPr="00A60D37">
        <w:rPr>
          <w:sz w:val="26"/>
          <w:szCs w:val="26"/>
        </w:rPr>
        <w:t xml:space="preserve"> </w:t>
      </w:r>
      <w:r w:rsidR="00B5248E" w:rsidRPr="00A60D37">
        <w:rPr>
          <w:sz w:val="26"/>
          <w:szCs w:val="26"/>
        </w:rPr>
        <w:t>The Committee on the Rights of the Child recommended in 2001 that corporal punishment of children in Mauritania be prohibited in the family, schools and other institutions.</w:t>
      </w:r>
      <w:r w:rsidR="00B5248E" w:rsidRPr="00A60D37">
        <w:rPr>
          <w:rStyle w:val="FootnoteReference"/>
          <w:sz w:val="26"/>
          <w:szCs w:val="26"/>
        </w:rPr>
        <w:footnoteReference w:id="2"/>
      </w:r>
      <w:r w:rsidR="00B5248E" w:rsidRPr="00A60D37">
        <w:rPr>
          <w:sz w:val="26"/>
          <w:szCs w:val="26"/>
        </w:rPr>
        <w:t xml:space="preserve"> The Committee reiterated its recommendations in 2009 and expressed concern at Penal Code provisions for whipping and amputation.</w:t>
      </w:r>
      <w:r w:rsidR="00B5248E" w:rsidRPr="00A60D37">
        <w:rPr>
          <w:rStyle w:val="FootnoteReference"/>
          <w:sz w:val="26"/>
          <w:szCs w:val="26"/>
        </w:rPr>
        <w:footnoteReference w:id="3"/>
      </w:r>
    </w:p>
    <w:p w:rsidR="002164DE" w:rsidRPr="00A60D37" w:rsidRDefault="002164DE" w:rsidP="00A60D37">
      <w:pPr>
        <w:spacing w:after="120"/>
        <w:ind w:left="482" w:hanging="482"/>
        <w:rPr>
          <w:sz w:val="26"/>
          <w:szCs w:val="26"/>
        </w:rPr>
      </w:pPr>
      <w:r w:rsidRPr="00A60D37">
        <w:rPr>
          <w:sz w:val="26"/>
          <w:szCs w:val="26"/>
        </w:rPr>
        <w:t xml:space="preserve">2.2 </w:t>
      </w:r>
      <w:r w:rsidR="00B5248E" w:rsidRPr="00A60D37">
        <w:rPr>
          <w:i/>
          <w:sz w:val="26"/>
          <w:szCs w:val="26"/>
        </w:rPr>
        <w:t>CEDAW</w:t>
      </w:r>
      <w:r w:rsidRPr="00A60D37">
        <w:rPr>
          <w:i/>
          <w:sz w:val="26"/>
          <w:szCs w:val="26"/>
        </w:rPr>
        <w:t xml:space="preserve">: </w:t>
      </w:r>
      <w:r w:rsidR="00B5248E" w:rsidRPr="00A60D37">
        <w:rPr>
          <w:sz w:val="26"/>
          <w:szCs w:val="26"/>
        </w:rPr>
        <w:t>In 2007,</w:t>
      </w:r>
      <w:r w:rsidR="00B5248E" w:rsidRPr="00A60D37">
        <w:rPr>
          <w:i/>
          <w:sz w:val="26"/>
          <w:szCs w:val="26"/>
        </w:rPr>
        <w:t xml:space="preserve"> </w:t>
      </w:r>
      <w:r w:rsidR="00B5248E" w:rsidRPr="00A60D37">
        <w:rPr>
          <w:sz w:val="26"/>
          <w:szCs w:val="26"/>
        </w:rPr>
        <w:t>the Committee on the Elimination of Discrimination Against Women expressed concern about the persistence of patriarchal attitudes that consider physical chastisement of family members acceptable.</w:t>
      </w:r>
      <w:r w:rsidR="00B5248E" w:rsidRPr="00A60D37">
        <w:rPr>
          <w:rStyle w:val="FootnoteReference"/>
          <w:sz w:val="26"/>
          <w:szCs w:val="26"/>
        </w:rPr>
        <w:footnoteReference w:id="4"/>
      </w:r>
    </w:p>
    <w:p w:rsidR="00B5248E" w:rsidRPr="00A60D37" w:rsidRDefault="002164DE" w:rsidP="00A60D37">
      <w:pPr>
        <w:autoSpaceDE w:val="0"/>
        <w:autoSpaceDN w:val="0"/>
        <w:adjustRightInd w:val="0"/>
        <w:spacing w:after="120"/>
        <w:ind w:left="482" w:hanging="482"/>
        <w:rPr>
          <w:rFonts w:eastAsia="Calibri"/>
          <w:bCs/>
          <w:sz w:val="26"/>
          <w:szCs w:val="26"/>
        </w:rPr>
      </w:pPr>
      <w:r w:rsidRPr="00A60D37">
        <w:rPr>
          <w:sz w:val="26"/>
          <w:szCs w:val="26"/>
        </w:rPr>
        <w:lastRenderedPageBreak/>
        <w:t xml:space="preserve">2.3 </w:t>
      </w:r>
      <w:r w:rsidRPr="00A60D37">
        <w:rPr>
          <w:i/>
          <w:sz w:val="26"/>
          <w:szCs w:val="26"/>
        </w:rPr>
        <w:t>UPR:</w:t>
      </w:r>
      <w:r w:rsidRPr="00A60D37">
        <w:rPr>
          <w:sz w:val="26"/>
          <w:szCs w:val="26"/>
        </w:rPr>
        <w:t xml:space="preserve"> </w:t>
      </w:r>
      <w:r w:rsidR="00B5248E" w:rsidRPr="00A60D37">
        <w:rPr>
          <w:rFonts w:eastAsia="Calibri"/>
          <w:bCs/>
          <w:sz w:val="26"/>
          <w:szCs w:val="26"/>
        </w:rPr>
        <w:t>Mauritania was examined in the first cycle of the Universal Periodic Review in 2010 (session 9). A number of recommendations were made to prohibit and eliminate corporal punishment of children: the Government did not respond to the recommendations.</w:t>
      </w:r>
      <w:r w:rsidR="00B5248E" w:rsidRPr="00A60D37">
        <w:rPr>
          <w:rStyle w:val="FootnoteReference"/>
          <w:rFonts w:eastAsia="Calibri"/>
          <w:bCs/>
          <w:sz w:val="26"/>
          <w:szCs w:val="26"/>
        </w:rPr>
        <w:footnoteReference w:id="5"/>
      </w:r>
    </w:p>
    <w:p w:rsidR="009D77EF" w:rsidRPr="00A60D37" w:rsidRDefault="009D77EF" w:rsidP="00A60D37">
      <w:pPr>
        <w:spacing w:after="120"/>
        <w:ind w:left="482" w:hanging="482"/>
        <w:rPr>
          <w:i/>
          <w:sz w:val="26"/>
          <w:szCs w:val="26"/>
        </w:rPr>
      </w:pPr>
    </w:p>
    <w:p w:rsidR="0050346D" w:rsidRDefault="00E4540C" w:rsidP="0050346D">
      <w:pPr>
        <w:rPr>
          <w:i/>
        </w:rPr>
      </w:pPr>
      <w:r>
        <w:rPr>
          <w:i/>
        </w:rPr>
        <w:t>B</w:t>
      </w:r>
      <w:r w:rsidR="0050346D">
        <w:rPr>
          <w:i/>
        </w:rPr>
        <w:t>riefing prepared by the Global Initiative to End All Corporal Punishment of Children</w:t>
      </w:r>
    </w:p>
    <w:p w:rsidR="009D77EF" w:rsidRDefault="00644EDC" w:rsidP="0050346D">
      <w:pPr>
        <w:rPr>
          <w:i/>
        </w:rPr>
      </w:pPr>
      <w:hyperlink r:id="rId10" w:history="1">
        <w:r w:rsidR="0050346D" w:rsidRPr="002E302B">
          <w:rPr>
            <w:rStyle w:val="Hyperlink"/>
            <w:i/>
          </w:rPr>
          <w:t>www.endcorporalpunishment.org</w:t>
        </w:r>
      </w:hyperlink>
      <w:r w:rsidR="0050346D">
        <w:rPr>
          <w:i/>
        </w:rPr>
        <w:t xml:space="preserve">; </w:t>
      </w:r>
      <w:hyperlink r:id="rId11" w:history="1">
        <w:r w:rsidR="0050346D" w:rsidRPr="002E302B">
          <w:rPr>
            <w:rStyle w:val="Hyperlink"/>
            <w:i/>
          </w:rPr>
          <w:t>info@endcorporalpunishment.org</w:t>
        </w:r>
      </w:hyperlink>
    </w:p>
    <w:p w:rsidR="0050346D" w:rsidRPr="0050346D" w:rsidRDefault="00E4540C" w:rsidP="0050346D">
      <w:pPr>
        <w:rPr>
          <w:i/>
        </w:rPr>
      </w:pPr>
      <w:r>
        <w:rPr>
          <w:i/>
        </w:rPr>
        <w:t xml:space="preserve">April </w:t>
      </w:r>
      <w:bookmarkStart w:id="0" w:name="_GoBack"/>
      <w:bookmarkEnd w:id="0"/>
      <w:r w:rsidR="002164DE">
        <w:rPr>
          <w:i/>
        </w:rPr>
        <w:t>2013</w:t>
      </w:r>
    </w:p>
    <w:sectPr w:rsidR="0050346D" w:rsidRPr="0050346D" w:rsidSect="00215B67">
      <w:headerReference w:type="even" r:id="rId12"/>
      <w:headerReference w:type="default" r:id="rId13"/>
      <w:footerReference w:type="even" r:id="rId14"/>
      <w:footerReference w:type="default" r:id="rId15"/>
      <w:headerReference w:type="first" r:id="rId16"/>
      <w:footerReference w:type="firs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EDC" w:rsidRDefault="00644EDC">
      <w:r>
        <w:separator/>
      </w:r>
    </w:p>
  </w:endnote>
  <w:endnote w:type="continuationSeparator" w:id="0">
    <w:p w:rsidR="00644EDC" w:rsidRDefault="00644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E4540C">
      <w:rPr>
        <w:rStyle w:val="PageNumber"/>
        <w:noProof/>
      </w:rPr>
      <w:t>2</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EDC" w:rsidRDefault="00644EDC">
      <w:r>
        <w:separator/>
      </w:r>
    </w:p>
  </w:footnote>
  <w:footnote w:type="continuationSeparator" w:id="0">
    <w:p w:rsidR="00644EDC" w:rsidRDefault="00644EDC">
      <w:r>
        <w:continuationSeparator/>
      </w:r>
    </w:p>
  </w:footnote>
  <w:footnote w:id="1">
    <w:p w:rsidR="00A60D37" w:rsidRPr="00A60D37" w:rsidRDefault="00A60D37" w:rsidP="00A60D37">
      <w:pPr>
        <w:pStyle w:val="FootnoteText"/>
        <w:rPr>
          <w:lang w:val="en-GB"/>
        </w:rPr>
      </w:pPr>
      <w:r w:rsidRPr="00A60D37">
        <w:rPr>
          <w:rStyle w:val="FootnoteReference"/>
        </w:rPr>
        <w:footnoteRef/>
      </w:r>
      <w:r w:rsidRPr="00E4540C">
        <w:rPr>
          <w:lang w:val="en-GB"/>
        </w:rPr>
        <w:t xml:space="preserve"> “On the Prohibition of Excessive Child Beating in Islamic </w:t>
      </w:r>
      <w:r w:rsidRPr="00E4540C">
        <w:rPr>
          <w:i/>
          <w:lang w:val="en-GB"/>
        </w:rPr>
        <w:t>Shariah</w:t>
      </w:r>
      <w:r w:rsidRPr="00E4540C">
        <w:rPr>
          <w:lang w:val="en-GB"/>
        </w:rPr>
        <w:t xml:space="preserve"> (Law): Abstract of a comprehensive social, educational and legal study of the negative impact of child bearing, and the rules governing it in Islamic </w:t>
      </w:r>
      <w:r w:rsidRPr="00E4540C">
        <w:rPr>
          <w:i/>
          <w:lang w:val="en-GB"/>
        </w:rPr>
        <w:t>Shariah</w:t>
      </w:r>
      <w:r w:rsidRPr="00E4540C">
        <w:rPr>
          <w:lang w:val="en-GB"/>
        </w:rPr>
        <w:t xml:space="preserve"> (law)”, prepared by </w:t>
      </w:r>
      <w:r w:rsidRPr="00E4540C">
        <w:rPr>
          <w:bCs/>
          <w:lang w:val="en-GB"/>
        </w:rPr>
        <w:t>Professor Imam Hadd Amin Ould Al-Salek, Imam of the Old Mosque, Nouakchott, and President of the Imams and Ulema Coalition for the Rights of Women and Children in Mauritania, June 2009</w:t>
      </w:r>
    </w:p>
  </w:footnote>
  <w:footnote w:id="2">
    <w:p w:rsidR="00B5248E" w:rsidRPr="00A60D37" w:rsidRDefault="00B5248E" w:rsidP="00A60D37">
      <w:pPr>
        <w:pStyle w:val="FootnoteText"/>
        <w:rPr>
          <w:lang w:val="en-GB"/>
        </w:rPr>
      </w:pPr>
      <w:r w:rsidRPr="00A60D37">
        <w:rPr>
          <w:rStyle w:val="FootnoteReference"/>
        </w:rPr>
        <w:footnoteRef/>
      </w:r>
      <w:r w:rsidRPr="00E4540C">
        <w:rPr>
          <w:lang w:val="en-GB"/>
        </w:rPr>
        <w:t xml:space="preserve"> 6 November 2001, CRC/C/15/Add.159, Concluding observations on initial report, paras. 29 and 30</w:t>
      </w:r>
    </w:p>
  </w:footnote>
  <w:footnote w:id="3">
    <w:p w:rsidR="00B5248E" w:rsidRPr="00A60D37" w:rsidRDefault="00B5248E" w:rsidP="00A60D37">
      <w:pPr>
        <w:pStyle w:val="FootnoteText"/>
        <w:rPr>
          <w:lang w:val="en-GB"/>
        </w:rPr>
      </w:pPr>
      <w:r w:rsidRPr="00A60D37">
        <w:rPr>
          <w:rStyle w:val="FootnoteReference"/>
        </w:rPr>
        <w:footnoteRef/>
      </w:r>
      <w:r w:rsidRPr="00E4540C">
        <w:rPr>
          <w:lang w:val="en-GB"/>
        </w:rPr>
        <w:t xml:space="preserve"> 17 June 2009, CRC/C//MRT/CO/2 Concluding observations on second report, paras. 40 and 41</w:t>
      </w:r>
    </w:p>
  </w:footnote>
  <w:footnote w:id="4">
    <w:p w:rsidR="00B5248E" w:rsidRPr="00A60D37" w:rsidRDefault="00B5248E" w:rsidP="00A60D37">
      <w:pPr>
        <w:pStyle w:val="FootnoteText"/>
        <w:rPr>
          <w:lang w:val="en-GB"/>
        </w:rPr>
      </w:pPr>
      <w:r w:rsidRPr="00A60D37">
        <w:rPr>
          <w:rStyle w:val="FootnoteReference"/>
        </w:rPr>
        <w:footnoteRef/>
      </w:r>
      <w:r w:rsidRPr="00E4540C">
        <w:rPr>
          <w:lang w:val="en-GB"/>
        </w:rPr>
        <w:t xml:space="preserve"> 11 June 2007, CEDAW/C/MRT/CO/1, Concluding observations on initial report, paras. 29 and 30</w:t>
      </w:r>
    </w:p>
  </w:footnote>
  <w:footnote w:id="5">
    <w:p w:rsidR="00B5248E" w:rsidRPr="00A60D37" w:rsidRDefault="00B5248E" w:rsidP="00A60D37">
      <w:pPr>
        <w:pStyle w:val="FootnoteText"/>
        <w:rPr>
          <w:lang w:val="en-GB"/>
        </w:rPr>
      </w:pPr>
      <w:r w:rsidRPr="00A60D37">
        <w:rPr>
          <w:rStyle w:val="FootnoteReference"/>
        </w:rPr>
        <w:footnoteRef/>
      </w:r>
      <w:r w:rsidRPr="00E4540C">
        <w:rPr>
          <w:lang w:val="en-GB"/>
        </w:rPr>
        <w:t xml:space="preserve"> </w:t>
      </w:r>
      <w:r w:rsidRPr="00E4540C">
        <w:rPr>
          <w:rFonts w:eastAsia="Calibri"/>
          <w:bCs/>
          <w:lang w:val="en-GB" w:eastAsia="en-GB"/>
        </w:rPr>
        <w:t xml:space="preserve">4 January 2011, A/HRC/16/17, Report of the working group, paras. </w:t>
      </w:r>
      <w:r w:rsidRPr="00A60D37">
        <w:rPr>
          <w:rFonts w:eastAsia="Calibri"/>
          <w:bCs/>
          <w:lang w:eastAsia="en-GB"/>
        </w:rPr>
        <w:t>92(30), 92(39), 92(40), 92(42) and 92(45)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502A2"/>
    <w:rsid w:val="000617AB"/>
    <w:rsid w:val="00067488"/>
    <w:rsid w:val="000836ED"/>
    <w:rsid w:val="00085CC0"/>
    <w:rsid w:val="000868C8"/>
    <w:rsid w:val="0009062A"/>
    <w:rsid w:val="00091F82"/>
    <w:rsid w:val="00096941"/>
    <w:rsid w:val="00097B98"/>
    <w:rsid w:val="00097CD7"/>
    <w:rsid w:val="000D0933"/>
    <w:rsid w:val="000D6160"/>
    <w:rsid w:val="000E63B3"/>
    <w:rsid w:val="000F10F5"/>
    <w:rsid w:val="000F7B99"/>
    <w:rsid w:val="00126D80"/>
    <w:rsid w:val="00177EBF"/>
    <w:rsid w:val="0019698E"/>
    <w:rsid w:val="001B3817"/>
    <w:rsid w:val="001D6F11"/>
    <w:rsid w:val="001D7474"/>
    <w:rsid w:val="001E1E13"/>
    <w:rsid w:val="00202DBB"/>
    <w:rsid w:val="00215B67"/>
    <w:rsid w:val="002164DE"/>
    <w:rsid w:val="002225D2"/>
    <w:rsid w:val="00242F99"/>
    <w:rsid w:val="00243837"/>
    <w:rsid w:val="00257044"/>
    <w:rsid w:val="0026194D"/>
    <w:rsid w:val="0027095A"/>
    <w:rsid w:val="002809A3"/>
    <w:rsid w:val="002871DE"/>
    <w:rsid w:val="00293182"/>
    <w:rsid w:val="002A5A09"/>
    <w:rsid w:val="002A7D7C"/>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73D30"/>
    <w:rsid w:val="0037552E"/>
    <w:rsid w:val="003767E7"/>
    <w:rsid w:val="00390791"/>
    <w:rsid w:val="00393731"/>
    <w:rsid w:val="00395D49"/>
    <w:rsid w:val="003A6487"/>
    <w:rsid w:val="003A70B9"/>
    <w:rsid w:val="003C6F4D"/>
    <w:rsid w:val="003D2A14"/>
    <w:rsid w:val="003E6BE2"/>
    <w:rsid w:val="004078E8"/>
    <w:rsid w:val="0042045D"/>
    <w:rsid w:val="00422CC8"/>
    <w:rsid w:val="00434FD1"/>
    <w:rsid w:val="004521BB"/>
    <w:rsid w:val="00454AB9"/>
    <w:rsid w:val="00462838"/>
    <w:rsid w:val="004632A6"/>
    <w:rsid w:val="00463DB6"/>
    <w:rsid w:val="00483852"/>
    <w:rsid w:val="00484137"/>
    <w:rsid w:val="004A04DA"/>
    <w:rsid w:val="004B6C67"/>
    <w:rsid w:val="0050346D"/>
    <w:rsid w:val="005142F8"/>
    <w:rsid w:val="005674EC"/>
    <w:rsid w:val="00576EE5"/>
    <w:rsid w:val="005A0E91"/>
    <w:rsid w:val="005B6842"/>
    <w:rsid w:val="005D210E"/>
    <w:rsid w:val="005E72AA"/>
    <w:rsid w:val="00614E68"/>
    <w:rsid w:val="006236B4"/>
    <w:rsid w:val="00630638"/>
    <w:rsid w:val="006442A7"/>
    <w:rsid w:val="00644EDC"/>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2467F"/>
    <w:rsid w:val="008471FD"/>
    <w:rsid w:val="008556B3"/>
    <w:rsid w:val="0086146C"/>
    <w:rsid w:val="00862AE2"/>
    <w:rsid w:val="00875A0F"/>
    <w:rsid w:val="00897430"/>
    <w:rsid w:val="008A1867"/>
    <w:rsid w:val="008B5A14"/>
    <w:rsid w:val="008C5E37"/>
    <w:rsid w:val="008D067C"/>
    <w:rsid w:val="008D06E2"/>
    <w:rsid w:val="008E2E0C"/>
    <w:rsid w:val="009160D2"/>
    <w:rsid w:val="009253FC"/>
    <w:rsid w:val="009302DF"/>
    <w:rsid w:val="00935D2A"/>
    <w:rsid w:val="00940C2C"/>
    <w:rsid w:val="00940FDD"/>
    <w:rsid w:val="00951DD0"/>
    <w:rsid w:val="00957F5B"/>
    <w:rsid w:val="00963B55"/>
    <w:rsid w:val="00970241"/>
    <w:rsid w:val="0098448F"/>
    <w:rsid w:val="00996748"/>
    <w:rsid w:val="009A1C42"/>
    <w:rsid w:val="009A45A4"/>
    <w:rsid w:val="009B3764"/>
    <w:rsid w:val="009B565A"/>
    <w:rsid w:val="009D5AB7"/>
    <w:rsid w:val="009D77EF"/>
    <w:rsid w:val="009F7D50"/>
    <w:rsid w:val="00A14662"/>
    <w:rsid w:val="00A16BC1"/>
    <w:rsid w:val="00A34AC1"/>
    <w:rsid w:val="00A37A05"/>
    <w:rsid w:val="00A406B6"/>
    <w:rsid w:val="00A5271A"/>
    <w:rsid w:val="00A60D37"/>
    <w:rsid w:val="00A70D4B"/>
    <w:rsid w:val="00A9361F"/>
    <w:rsid w:val="00AA513D"/>
    <w:rsid w:val="00AB5EF2"/>
    <w:rsid w:val="00AC3F6E"/>
    <w:rsid w:val="00AD022F"/>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B1C46"/>
    <w:rsid w:val="00BB618F"/>
    <w:rsid w:val="00BC628D"/>
    <w:rsid w:val="00BD36F1"/>
    <w:rsid w:val="00C00DBE"/>
    <w:rsid w:val="00C01E67"/>
    <w:rsid w:val="00C33693"/>
    <w:rsid w:val="00C40578"/>
    <w:rsid w:val="00C436F6"/>
    <w:rsid w:val="00C54C15"/>
    <w:rsid w:val="00C623E2"/>
    <w:rsid w:val="00C65075"/>
    <w:rsid w:val="00C715A8"/>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F26B7"/>
    <w:rsid w:val="00E1250A"/>
    <w:rsid w:val="00E22152"/>
    <w:rsid w:val="00E24852"/>
    <w:rsid w:val="00E3291E"/>
    <w:rsid w:val="00E4256D"/>
    <w:rsid w:val="00E4540C"/>
    <w:rsid w:val="00E762AC"/>
    <w:rsid w:val="00E818B5"/>
    <w:rsid w:val="00E82FFB"/>
    <w:rsid w:val="00ED5D59"/>
    <w:rsid w:val="00EE0C34"/>
    <w:rsid w:val="00EE43F9"/>
    <w:rsid w:val="00F00694"/>
    <w:rsid w:val="00F05D55"/>
    <w:rsid w:val="00F25BAE"/>
    <w:rsid w:val="00F268F9"/>
    <w:rsid w:val="00F41745"/>
    <w:rsid w:val="00F45C16"/>
    <w:rsid w:val="00F516D1"/>
    <w:rsid w:val="00F622A0"/>
    <w:rsid w:val="00F70E7B"/>
    <w:rsid w:val="00F8124B"/>
    <w:rsid w:val="00F92F82"/>
    <w:rsid w:val="00FB060B"/>
    <w:rsid w:val="00FB1B8F"/>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538887-1A76-4691-B90F-154C93537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F68EBE-787C-435F-8C17-6871327D44BF}"/>
</file>

<file path=customXml/itemProps2.xml><?xml version="1.0" encoding="utf-8"?>
<ds:datastoreItem xmlns:ds="http://schemas.openxmlformats.org/officeDocument/2006/customXml" ds:itemID="{FBB341A8-B8D0-4E6D-A0A9-819B3898FAB4}"/>
</file>

<file path=customXml/itemProps3.xml><?xml version="1.0" encoding="utf-8"?>
<ds:datastoreItem xmlns:ds="http://schemas.openxmlformats.org/officeDocument/2006/customXml" ds:itemID="{8C8C2F12-F224-4612-9AD7-5E936963677E}"/>
</file>

<file path=customXml/itemProps4.xml><?xml version="1.0" encoding="utf-8"?>
<ds:datastoreItem xmlns:ds="http://schemas.openxmlformats.org/officeDocument/2006/customXml" ds:itemID="{4FBEF56A-901F-4F2C-96E8-47A6FAB61F7A}"/>
</file>

<file path=docProps/app.xml><?xml version="1.0" encoding="utf-8"?>
<Properties xmlns="http://schemas.openxmlformats.org/officeDocument/2006/extended-properties" xmlns:vt="http://schemas.openxmlformats.org/officeDocument/2006/docPropsVTypes">
  <Template>Normal</Template>
  <TotalTime>8</TotalTime>
  <Pages>3</Pages>
  <Words>712</Words>
  <Characters>4062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GI briefing Andorra</vt:lpstr>
    </vt:vector>
  </TitlesOfParts>
  <Company>Freelance Writing &amp; Research</Company>
  <LinksUpToDate>false</LinksUpToDate>
  <CharactersWithSpaces>4765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Mauritania</dc:title>
  <dc:creator>Sharon Owen</dc:creator>
  <cp:lastModifiedBy>Sharon Owen</cp:lastModifiedBy>
  <cp:revision>3</cp:revision>
  <cp:lastPrinted>2004-08-23T14:41:00Z</cp:lastPrinted>
  <dcterms:created xsi:type="dcterms:W3CDTF">2013-04-16T06:15:00Z</dcterms:created>
  <dcterms:modified xsi:type="dcterms:W3CDTF">2013-04-16T06:24:00Z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