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A26" w:rsidRDefault="00014A26" w:rsidP="00645CC7">
      <w:r>
        <w:rPr>
          <w:noProof/>
          <w:lang w:val="en-GB" w:eastAsia="en-GB"/>
        </w:rPr>
        <w:drawing>
          <wp:inline distT="0" distB="0" distL="0" distR="0">
            <wp:extent cx="3378200" cy="914400"/>
            <wp:effectExtent l="0" t="0" r="0" b="0"/>
            <wp:docPr id="1" name="Picture 1" descr="Macintosh HD:Users:Cristina:Downloads:cropped-logo_blog-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ristina:Downloads:cropped-logo_blog-21.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4905" t="14452" r="13008" b="5503"/>
                    <a:stretch/>
                  </pic:blipFill>
                  <pic:spPr bwMode="auto">
                    <a:xfrm>
                      <a:off x="0" y="0"/>
                      <a:ext cx="3378200" cy="914400"/>
                    </a:xfrm>
                    <a:prstGeom prst="rect">
                      <a:avLst/>
                    </a:prstGeom>
                    <a:noFill/>
                    <a:ln>
                      <a:noFill/>
                    </a:ln>
                    <a:extLst>
                      <a:ext uri="{53640926-AAD7-44D8-BBD7-CCE9431645EC}">
                        <a14:shadowObscured xmlns:a14="http://schemas.microsoft.com/office/drawing/2010/main"/>
                      </a:ext>
                    </a:extLst>
                  </pic:spPr>
                </pic:pic>
              </a:graphicData>
            </a:graphic>
          </wp:inline>
        </w:drawing>
      </w:r>
    </w:p>
    <w:p w:rsidR="009F2B6E" w:rsidRDefault="009F2B6E" w:rsidP="009F2B6E"/>
    <w:p w:rsidR="00BF12CB" w:rsidRDefault="00BF12CB" w:rsidP="009F2B6E"/>
    <w:p w:rsidR="00BF12CB" w:rsidRPr="009F2B6E" w:rsidRDefault="00BF12CB" w:rsidP="009F2B6E"/>
    <w:p w:rsidR="009F2B6E" w:rsidRPr="009F2B6E" w:rsidRDefault="009F2B6E" w:rsidP="009F2B6E"/>
    <w:p w:rsidR="009F2B6E" w:rsidRPr="00BF12CB" w:rsidRDefault="009F2B6E" w:rsidP="00BF12CB">
      <w:pPr>
        <w:jc w:val="center"/>
        <w:rPr>
          <w:sz w:val="32"/>
          <w:szCs w:val="32"/>
        </w:rPr>
      </w:pPr>
    </w:p>
    <w:p w:rsidR="00BF12CB" w:rsidRDefault="00BF12CB" w:rsidP="00BF12CB">
      <w:pPr>
        <w:suppressAutoHyphens/>
        <w:spacing w:after="120" w:line="360" w:lineRule="auto"/>
        <w:jc w:val="center"/>
        <w:rPr>
          <w:rFonts w:ascii="Times New Roman" w:hAnsi="Times New Roman" w:cs="Times New Roman"/>
          <w:b/>
          <w:sz w:val="32"/>
          <w:szCs w:val="32"/>
          <w:lang w:val="es-ES"/>
        </w:rPr>
      </w:pPr>
      <w:r w:rsidRPr="00BF12CB">
        <w:rPr>
          <w:rFonts w:ascii="Times New Roman" w:hAnsi="Times New Roman" w:cs="Times New Roman"/>
          <w:b/>
          <w:sz w:val="32"/>
          <w:szCs w:val="32"/>
          <w:lang w:val="es-ES"/>
        </w:rPr>
        <w:t>Informe de la Fun</w:t>
      </w:r>
      <w:bookmarkStart w:id="0" w:name="_GoBack"/>
      <w:bookmarkEnd w:id="0"/>
      <w:r w:rsidRPr="00BF12CB">
        <w:rPr>
          <w:rFonts w:ascii="Times New Roman" w:hAnsi="Times New Roman" w:cs="Times New Roman"/>
          <w:b/>
          <w:sz w:val="32"/>
          <w:szCs w:val="32"/>
          <w:lang w:val="es-ES"/>
        </w:rPr>
        <w:t xml:space="preserve">dación Internacional Baltasar Garzón </w:t>
      </w:r>
    </w:p>
    <w:p w:rsidR="00BF12CB" w:rsidRPr="00BF12CB" w:rsidRDefault="00BF12CB" w:rsidP="00BF12CB">
      <w:pPr>
        <w:suppressAutoHyphens/>
        <w:spacing w:after="120" w:line="360" w:lineRule="auto"/>
        <w:jc w:val="center"/>
        <w:rPr>
          <w:rFonts w:ascii="Times New Roman" w:hAnsi="Times New Roman" w:cs="Times New Roman"/>
          <w:b/>
          <w:sz w:val="32"/>
          <w:szCs w:val="32"/>
          <w:lang w:val="es-ES"/>
        </w:rPr>
      </w:pPr>
      <w:r>
        <w:rPr>
          <w:rFonts w:ascii="Times New Roman" w:hAnsi="Times New Roman" w:cs="Times New Roman"/>
          <w:b/>
          <w:sz w:val="32"/>
          <w:szCs w:val="32"/>
          <w:lang w:val="es-ES"/>
        </w:rPr>
        <w:t xml:space="preserve">(FIBGAR) </w:t>
      </w:r>
      <w:r w:rsidRPr="00BF12CB">
        <w:rPr>
          <w:rFonts w:ascii="Times New Roman" w:hAnsi="Times New Roman" w:cs="Times New Roman"/>
          <w:b/>
          <w:sz w:val="32"/>
          <w:szCs w:val="32"/>
          <w:lang w:val="es-ES"/>
        </w:rPr>
        <w:t>sobre el informe del Estado Español presentado ante el Comité contra la Tortura con fecha de 5 de mayo de 2014 (CAT/C/ESP/6) en el contexto del examen a España en el 54º periodo de sesiones del Comité contra la Tortura</w:t>
      </w:r>
    </w:p>
    <w:p w:rsidR="001F23B5" w:rsidRPr="00BF12CB" w:rsidRDefault="001F23B5" w:rsidP="00BF12CB">
      <w:pPr>
        <w:jc w:val="center"/>
        <w:rPr>
          <w:rFonts w:ascii="Times New Roman" w:hAnsi="Times New Roman" w:cs="Times New Roman"/>
          <w:b/>
          <w:sz w:val="32"/>
          <w:szCs w:val="32"/>
          <w:lang w:val="es-ES"/>
        </w:rPr>
      </w:pPr>
    </w:p>
    <w:p w:rsidR="001F23B5" w:rsidRPr="00BF12CB" w:rsidRDefault="001F23B5" w:rsidP="00BF12CB">
      <w:pPr>
        <w:tabs>
          <w:tab w:val="left" w:pos="426"/>
        </w:tabs>
        <w:jc w:val="center"/>
        <w:rPr>
          <w:rFonts w:ascii="Times New Roman" w:hAnsi="Times New Roman" w:cs="Times New Roman"/>
          <w:b/>
          <w:sz w:val="32"/>
          <w:szCs w:val="32"/>
          <w:lang w:val="es-ES_tradnl"/>
        </w:rPr>
      </w:pPr>
    </w:p>
    <w:p w:rsidR="00BF12CB" w:rsidRPr="00BF12CB" w:rsidRDefault="00BF12CB" w:rsidP="00BF12CB">
      <w:pPr>
        <w:tabs>
          <w:tab w:val="left" w:pos="426"/>
        </w:tabs>
        <w:jc w:val="center"/>
        <w:rPr>
          <w:rFonts w:ascii="Times New Roman" w:hAnsi="Times New Roman" w:cs="Times New Roman"/>
          <w:b/>
          <w:sz w:val="32"/>
          <w:szCs w:val="32"/>
          <w:lang w:val="es-ES_tradnl"/>
        </w:rPr>
      </w:pPr>
      <w:r w:rsidRPr="00BF12CB">
        <w:rPr>
          <w:rFonts w:ascii="Times New Roman" w:hAnsi="Times New Roman" w:cs="Times New Roman"/>
          <w:b/>
          <w:sz w:val="32"/>
          <w:szCs w:val="32"/>
          <w:lang w:val="es-ES_tradnl"/>
        </w:rPr>
        <w:t>Abril 2015</w:t>
      </w:r>
    </w:p>
    <w:p w:rsidR="00BF12CB" w:rsidRDefault="00BF12CB" w:rsidP="001F23B5">
      <w:pPr>
        <w:tabs>
          <w:tab w:val="left" w:pos="567"/>
        </w:tabs>
        <w:ind w:left="567"/>
        <w:rPr>
          <w:b/>
          <w:lang w:val="es-ES_tradnl"/>
        </w:rPr>
      </w:pPr>
    </w:p>
    <w:p w:rsidR="00BF12CB" w:rsidRDefault="00BF12CB">
      <w:pPr>
        <w:rPr>
          <w:b/>
          <w:lang w:val="es-ES_tradnl"/>
        </w:rPr>
      </w:pPr>
      <w:r>
        <w:rPr>
          <w:b/>
          <w:lang w:val="es-ES_tradnl"/>
        </w:rPr>
        <w:br w:type="page"/>
      </w:r>
    </w:p>
    <w:p w:rsidR="00772274" w:rsidRDefault="00772274" w:rsidP="00772274">
      <w:pPr>
        <w:suppressAutoHyphens/>
        <w:spacing w:after="120" w:line="360" w:lineRule="auto"/>
        <w:jc w:val="both"/>
        <w:rPr>
          <w:rFonts w:ascii="Times New Roman" w:hAnsi="Times New Roman" w:cs="Times New Roman"/>
          <w:b/>
          <w:sz w:val="26"/>
          <w:szCs w:val="26"/>
          <w:lang w:val="es-ES"/>
        </w:rPr>
      </w:pPr>
    </w:p>
    <w:p w:rsidR="00BF12CB" w:rsidRPr="00772274" w:rsidRDefault="00BF12CB" w:rsidP="00772274">
      <w:pPr>
        <w:suppressAutoHyphens/>
        <w:spacing w:after="120" w:line="360" w:lineRule="auto"/>
        <w:jc w:val="both"/>
        <w:rPr>
          <w:rFonts w:ascii="Times New Roman" w:hAnsi="Times New Roman" w:cs="Times New Roman"/>
          <w:b/>
          <w:sz w:val="26"/>
          <w:szCs w:val="26"/>
          <w:lang w:val="es-ES"/>
        </w:rPr>
      </w:pPr>
      <w:r w:rsidRPr="00772274">
        <w:rPr>
          <w:rFonts w:ascii="Times New Roman" w:hAnsi="Times New Roman" w:cs="Times New Roman"/>
          <w:b/>
          <w:sz w:val="26"/>
          <w:szCs w:val="26"/>
          <w:lang w:val="es-ES"/>
        </w:rPr>
        <w:t>Informe de la Fundación Internacional Baltasar Garzón sobre el informe del Estado Español presentado ante el Comité contra la Tortura con fecha de 5 de mayo de 2014 (CAT/C/ESP/6) en el contexto del examen a España en el 54º periodo de sesiones del Comité contra la Tortura</w:t>
      </w:r>
    </w:p>
    <w:p w:rsidR="00BF12CB" w:rsidRPr="00BF12CB" w:rsidRDefault="00BF12CB" w:rsidP="00BF12CB">
      <w:pPr>
        <w:spacing w:after="120" w:line="360" w:lineRule="auto"/>
        <w:jc w:val="both"/>
        <w:rPr>
          <w:rFonts w:ascii="Times New Roman" w:hAnsi="Times New Roman" w:cs="Times New Roman"/>
          <w:lang w:val="es-ES"/>
        </w:rPr>
      </w:pPr>
    </w:p>
    <w:p w:rsidR="00BF12CB" w:rsidRPr="00BF12CB" w:rsidRDefault="00BF12CB" w:rsidP="00BF12CB">
      <w:pPr>
        <w:pStyle w:val="ListParagraph"/>
        <w:numPr>
          <w:ilvl w:val="0"/>
          <w:numId w:val="2"/>
        </w:numPr>
        <w:spacing w:after="120" w:line="360" w:lineRule="auto"/>
        <w:jc w:val="both"/>
        <w:rPr>
          <w:rFonts w:ascii="Times New Roman" w:hAnsi="Times New Roman" w:cs="Times New Roman"/>
          <w:b/>
        </w:rPr>
      </w:pPr>
      <w:proofErr w:type="spellStart"/>
      <w:r w:rsidRPr="00BF12CB">
        <w:rPr>
          <w:rFonts w:ascii="Times New Roman" w:hAnsi="Times New Roman" w:cs="Times New Roman"/>
          <w:b/>
        </w:rPr>
        <w:t>Introducción</w:t>
      </w:r>
      <w:proofErr w:type="spellEnd"/>
    </w:p>
    <w:p w:rsidR="00BF12CB" w:rsidRPr="00BF12CB" w:rsidRDefault="00BF12CB" w:rsidP="00BF12CB">
      <w:pPr>
        <w:pStyle w:val="ListParagraph"/>
        <w:spacing w:after="120" w:line="360" w:lineRule="auto"/>
        <w:jc w:val="both"/>
        <w:rPr>
          <w:rFonts w:ascii="Times New Roman" w:hAnsi="Times New Roman" w:cs="Times New Roman"/>
        </w:rPr>
      </w:pP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La Fundación Internacional Baltasar Garzón (FIBGAR) es una organización sin ánimo de lucro cuyo objeto y vocación es la protección de los derechos humanos y la promoción de la jurisdicción universal como mecanismo válido en la lucha contra la impunidad.</w:t>
      </w:r>
    </w:p>
    <w:p w:rsidR="00BF12CB" w:rsidRPr="00BF12CB" w:rsidRDefault="00BF12CB" w:rsidP="00BF12CB">
      <w:pPr>
        <w:pStyle w:val="ListParagraph"/>
        <w:spacing w:after="120" w:line="360" w:lineRule="auto"/>
        <w:jc w:val="both"/>
        <w:rPr>
          <w:rFonts w:ascii="Times New Roman" w:hAnsi="Times New Roman" w:cs="Times New Roman"/>
          <w:lang w:val="es-ES"/>
        </w:rPr>
      </w:pP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 xml:space="preserve">El Comité contra la Tortura (en adelante “el Comité”), en su </w:t>
      </w:r>
      <w:r w:rsidRPr="00BF12CB">
        <w:rPr>
          <w:rFonts w:ascii="Times New Roman" w:hAnsi="Times New Roman" w:cs="Times New Roman"/>
          <w:bCs/>
          <w:lang w:val="es-ES"/>
        </w:rPr>
        <w:t>48º período de sesiones</w:t>
      </w:r>
      <w:r w:rsidRPr="00BF12CB">
        <w:rPr>
          <w:rFonts w:ascii="Times New Roman" w:hAnsi="Times New Roman" w:cs="Times New Roman"/>
          <w:lang w:val="es-ES"/>
        </w:rPr>
        <w:t xml:space="preserve">, aprobó la lista de cuestiones en el documento </w:t>
      </w:r>
      <w:r w:rsidRPr="00BF12CB">
        <w:rPr>
          <w:rFonts w:ascii="Times New Roman" w:hAnsi="Times New Roman" w:cs="Times New Roman"/>
          <w:bCs/>
          <w:lang w:val="es-ES"/>
        </w:rPr>
        <w:t xml:space="preserve">CAT/C/ESP/Q/6 </w:t>
      </w:r>
      <w:r w:rsidRPr="00BF12CB">
        <w:rPr>
          <w:rFonts w:ascii="Times New Roman" w:hAnsi="Times New Roman" w:cs="Times New Roman"/>
          <w:lang w:val="es-ES"/>
        </w:rPr>
        <w:t>con fecha de 12 de julio de 2012 para dar seguimiento al cumplimiento de la Convención contra la tortura y otros tratos o penas crueles, inhumanos o degradantes (en adelante “la Convención”).</w:t>
      </w:r>
    </w:p>
    <w:p w:rsidR="00BF12CB" w:rsidRPr="00BF12CB" w:rsidRDefault="00BF12CB" w:rsidP="00BF12CB">
      <w:pPr>
        <w:pStyle w:val="ListParagraph"/>
        <w:spacing w:after="120" w:line="360" w:lineRule="auto"/>
        <w:jc w:val="both"/>
        <w:rPr>
          <w:rFonts w:ascii="Times New Roman" w:hAnsi="Times New Roman" w:cs="Times New Roman"/>
          <w:lang w:val="es-ES"/>
        </w:rPr>
      </w:pPr>
    </w:p>
    <w:p w:rsidR="00BF12CB" w:rsidRPr="00BF12CB" w:rsidRDefault="00BF12CB" w:rsidP="00BF12CB">
      <w:pPr>
        <w:pStyle w:val="ListParagraph"/>
        <w:numPr>
          <w:ilvl w:val="0"/>
          <w:numId w:val="3"/>
        </w:numPr>
        <w:spacing w:after="120" w:line="360" w:lineRule="auto"/>
        <w:jc w:val="both"/>
        <w:rPr>
          <w:rFonts w:ascii="Times New Roman" w:hAnsi="Times New Roman" w:cs="Times New Roman"/>
          <w:color w:val="000000" w:themeColor="text1"/>
          <w:lang w:val="es-ES"/>
        </w:rPr>
      </w:pPr>
      <w:r w:rsidRPr="00BF12CB">
        <w:rPr>
          <w:rFonts w:ascii="Times New Roman" w:hAnsi="Times New Roman" w:cs="Times New Roman"/>
          <w:lang w:val="es-ES"/>
        </w:rPr>
        <w:t xml:space="preserve">Con fecha de 5 de mayo de 2014, el Reino de España presentó su </w:t>
      </w:r>
      <w:r w:rsidRPr="00BF12CB">
        <w:rPr>
          <w:rFonts w:ascii="Times New Roman" w:hAnsi="Times New Roman" w:cs="Times New Roman"/>
          <w:color w:val="000000" w:themeColor="text1"/>
          <w:lang w:val="es-ES"/>
        </w:rPr>
        <w:t>informe</w:t>
      </w:r>
      <w:r w:rsidRPr="00BF12CB">
        <w:rPr>
          <w:rStyle w:val="FootnoteReference"/>
          <w:rFonts w:ascii="Times New Roman" w:hAnsi="Times New Roman" w:cs="Times New Roman"/>
          <w:color w:val="000000" w:themeColor="text1"/>
        </w:rPr>
        <w:footnoteReference w:id="1"/>
      </w:r>
      <w:r w:rsidRPr="00BF12CB">
        <w:rPr>
          <w:rFonts w:ascii="Times New Roman" w:hAnsi="Times New Roman" w:cs="Times New Roman"/>
          <w:color w:val="000000" w:themeColor="text1"/>
          <w:lang w:val="es-ES"/>
        </w:rPr>
        <w:t xml:space="preserve"> (en adelante, “el informe”) en el que busca dar respuesta a algunas de las cuestiones presentadas por el Comité.</w:t>
      </w:r>
    </w:p>
    <w:p w:rsidR="00BF12CB" w:rsidRPr="00BF12CB" w:rsidRDefault="00BF12CB" w:rsidP="00BF12CB">
      <w:pPr>
        <w:pStyle w:val="ListParagraph"/>
        <w:rPr>
          <w:rFonts w:ascii="Times New Roman" w:hAnsi="Times New Roman" w:cs="Times New Roman"/>
          <w:color w:val="000000" w:themeColor="text1"/>
          <w:lang w:val="es-ES"/>
        </w:rPr>
      </w:pP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En el contexto del examen sobre el cumplimiento de la Convención por parte de España que se hará durante el 54º periodo de sesiones del Comité, la sociedad civil está llamada a participar aportando su análisis particular en relación al informe remitido por España al Comité.</w:t>
      </w:r>
    </w:p>
    <w:p w:rsidR="00BF12CB" w:rsidRPr="00BF12CB" w:rsidRDefault="00BF12CB" w:rsidP="00BF12CB">
      <w:pPr>
        <w:pStyle w:val="ListParagraph"/>
        <w:rPr>
          <w:rFonts w:ascii="Times New Roman" w:hAnsi="Times New Roman" w:cs="Times New Roman"/>
          <w:lang w:val="es-ES"/>
        </w:rPr>
      </w:pP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 xml:space="preserve">FIBGAR, cumpliendo sus fines fundacionales, ha decidido emitir un informe con comentarios en revisión del informe presentado por el Estado español analizando las cuestiones 1, 4, 9, 18, 23, 24, 25, 45 y 46. Si bien </w:t>
      </w:r>
      <w:r w:rsidRPr="00BF12CB">
        <w:rPr>
          <w:rFonts w:ascii="Times New Roman" w:hAnsi="Times New Roman" w:cs="Times New Roman"/>
          <w:lang w:val="es-ES"/>
        </w:rPr>
        <w:lastRenderedPageBreak/>
        <w:t>todas las cuestiones presentadas por el Comité son de interés y ameritan análisis en profundidad, FIBGAR ha decidido fijarse en aquellas de contenido jurídico técnico por considerar que el valor añadido en esta materia puede ser de mayor relevancia.</w:t>
      </w:r>
    </w:p>
    <w:p w:rsidR="00BF12CB" w:rsidRPr="00BF12CB" w:rsidRDefault="00BF12CB" w:rsidP="00BF12CB">
      <w:pPr>
        <w:spacing w:after="120" w:line="360" w:lineRule="auto"/>
        <w:jc w:val="both"/>
        <w:rPr>
          <w:rFonts w:ascii="Times New Roman" w:hAnsi="Times New Roman" w:cs="Times New Roman"/>
          <w:lang w:val="es-ES"/>
        </w:rPr>
      </w:pPr>
    </w:p>
    <w:p w:rsidR="00BF12CB" w:rsidRPr="00BF12CB" w:rsidRDefault="00BF12CB" w:rsidP="00BF12CB">
      <w:pPr>
        <w:rPr>
          <w:rFonts w:ascii="Times New Roman" w:hAnsi="Times New Roman" w:cs="Times New Roman"/>
          <w:lang w:val="es-ES"/>
        </w:rPr>
      </w:pPr>
      <w:r w:rsidRPr="00BF12CB">
        <w:rPr>
          <w:rFonts w:ascii="Times New Roman" w:hAnsi="Times New Roman" w:cs="Times New Roman"/>
          <w:lang w:val="es-ES"/>
        </w:rPr>
        <w:br w:type="page"/>
      </w:r>
    </w:p>
    <w:p w:rsidR="00BF12CB" w:rsidRPr="00BF12CB" w:rsidRDefault="00BF12CB" w:rsidP="00BF12CB">
      <w:pPr>
        <w:pStyle w:val="ListParagraph"/>
        <w:numPr>
          <w:ilvl w:val="0"/>
          <w:numId w:val="2"/>
        </w:numPr>
        <w:spacing w:after="120" w:line="360" w:lineRule="auto"/>
        <w:jc w:val="both"/>
        <w:rPr>
          <w:rFonts w:ascii="Times New Roman" w:hAnsi="Times New Roman" w:cs="Times New Roman"/>
          <w:b/>
        </w:rPr>
      </w:pPr>
      <w:proofErr w:type="spellStart"/>
      <w:r w:rsidRPr="00BF12CB">
        <w:rPr>
          <w:rFonts w:ascii="Times New Roman" w:hAnsi="Times New Roman" w:cs="Times New Roman"/>
          <w:b/>
        </w:rPr>
        <w:lastRenderedPageBreak/>
        <w:t>Comentarios</w:t>
      </w:r>
      <w:proofErr w:type="spellEnd"/>
      <w:r w:rsidRPr="00BF12CB">
        <w:rPr>
          <w:rFonts w:ascii="Times New Roman" w:hAnsi="Times New Roman" w:cs="Times New Roman"/>
          <w:b/>
        </w:rPr>
        <w:t xml:space="preserve"> al </w:t>
      </w:r>
      <w:proofErr w:type="spellStart"/>
      <w:r w:rsidRPr="00BF12CB">
        <w:rPr>
          <w:rFonts w:ascii="Times New Roman" w:hAnsi="Times New Roman" w:cs="Times New Roman"/>
          <w:b/>
        </w:rPr>
        <w:t>Informe</w:t>
      </w:r>
      <w:proofErr w:type="spellEnd"/>
      <w:r w:rsidRPr="00BF12CB">
        <w:rPr>
          <w:rFonts w:ascii="Times New Roman" w:hAnsi="Times New Roman" w:cs="Times New Roman"/>
          <w:b/>
        </w:rPr>
        <w:t xml:space="preserve"> de </w:t>
      </w:r>
      <w:proofErr w:type="spellStart"/>
      <w:r w:rsidRPr="00BF12CB">
        <w:rPr>
          <w:rFonts w:ascii="Times New Roman" w:hAnsi="Times New Roman" w:cs="Times New Roman"/>
          <w:b/>
        </w:rPr>
        <w:t>España</w:t>
      </w:r>
      <w:proofErr w:type="spellEnd"/>
    </w:p>
    <w:p w:rsidR="00BF12CB" w:rsidRPr="00BF12CB" w:rsidRDefault="00BF12CB" w:rsidP="00BF12CB">
      <w:pPr>
        <w:pStyle w:val="ListParagraph"/>
        <w:spacing w:after="120" w:line="360" w:lineRule="auto"/>
        <w:jc w:val="both"/>
        <w:rPr>
          <w:rFonts w:ascii="Times New Roman" w:hAnsi="Times New Roman" w:cs="Times New Roman"/>
        </w:rPr>
      </w:pP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rPr>
        <w:t xml:space="preserve">En la </w:t>
      </w:r>
      <w:r w:rsidRPr="00BF12CB">
        <w:rPr>
          <w:b/>
          <w:sz w:val="24"/>
          <w:szCs w:val="24"/>
        </w:rPr>
        <w:t>cuestión número 1</w:t>
      </w:r>
      <w:r w:rsidRPr="00BF12CB">
        <w:rPr>
          <w:sz w:val="24"/>
          <w:szCs w:val="24"/>
        </w:rPr>
        <w:t xml:space="preserve"> de la lista de cuestiones, el Comité indicó que “e</w:t>
      </w:r>
      <w:r w:rsidRPr="00BF12CB">
        <w:rPr>
          <w:sz w:val="24"/>
          <w:szCs w:val="24"/>
          <w:lang w:val="es-ES_tradnl"/>
        </w:rPr>
        <w:t>n vista de las anteriores observaciones finales del Comité, sírvanse facilitar información sobre las medidas adoptadas por el Estado parte a fin de modificar el artículo 174 del Código Penal de modo que concuerde plenamente con el artículo 1 de la Convención e incluya explícitamente que el acto de tortura también puede ser cometido por “otra persona en el ejercicio de funciones públicas” y que la finalidad de la tortura puede incluir el fin “de intimidar o coaccionar a esa persona o a otras” (párr. 7). En este sentido, sírvanse explicar por qué el Gobierno rechazó la recomendación del examen periódico universal (EPU) de modificar la definición de tortura en el Código Penal español (</w:t>
      </w:r>
      <w:r w:rsidRPr="00BF12CB">
        <w:rPr>
          <w:sz w:val="24"/>
          <w:szCs w:val="24"/>
        </w:rPr>
        <w:t xml:space="preserve">A/HRC/15/6/Add.1, </w:t>
      </w:r>
      <w:proofErr w:type="spellStart"/>
      <w:r w:rsidRPr="00BF12CB">
        <w:rPr>
          <w:sz w:val="24"/>
          <w:szCs w:val="24"/>
        </w:rPr>
        <w:t>párrs</w:t>
      </w:r>
      <w:proofErr w:type="spellEnd"/>
      <w:r w:rsidRPr="00BF12CB">
        <w:rPr>
          <w:sz w:val="24"/>
          <w:szCs w:val="24"/>
        </w:rPr>
        <w:t>. 11 y 12)</w:t>
      </w:r>
      <w:r w:rsidRPr="00BF12CB">
        <w:rPr>
          <w:sz w:val="24"/>
          <w:szCs w:val="24"/>
          <w:lang w:val="es-ES_tradnl"/>
        </w:rPr>
        <w:t>.”</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En su respuesta, España señaló que la legislación interna en su conjunto provee de una regulación inclusiva y aún más amplia que abarca de manera completa el contenido del artículo 1 de la Convención. Por un lado, se remite a la interpretación extensiva del concepto de funcionario y por otra, señala que el artículo 174 Código Penal se enmarca en su </w:t>
      </w:r>
      <w:r w:rsidRPr="00BF12CB">
        <w:rPr>
          <w:iCs/>
          <w:sz w:val="24"/>
          <w:szCs w:val="24"/>
        </w:rPr>
        <w:t>Título VII rubricado como “de las torturas y otros delitos contra la integridad moral” como prueba de que dicho delito se configura como uno en contra de la integridad moral.</w:t>
      </w:r>
    </w:p>
    <w:p w:rsidR="00BF12CB" w:rsidRPr="00BF12CB" w:rsidRDefault="00BF12CB" w:rsidP="00BF12CB">
      <w:pPr>
        <w:pStyle w:val="SingleTxtG"/>
        <w:numPr>
          <w:ilvl w:val="0"/>
          <w:numId w:val="3"/>
        </w:numPr>
        <w:spacing w:line="360" w:lineRule="auto"/>
        <w:ind w:right="0"/>
        <w:rPr>
          <w:iCs/>
          <w:sz w:val="24"/>
          <w:szCs w:val="24"/>
        </w:rPr>
      </w:pPr>
      <w:r w:rsidRPr="00BF12CB">
        <w:rPr>
          <w:iCs/>
          <w:sz w:val="24"/>
          <w:szCs w:val="24"/>
        </w:rPr>
        <w:t>A esta Fundación y a otros actores de la sociedad civil no les satisfacen las explicaciones de España. Aunque fuera cierto que un análisis exhaustivo de la legislación interna permitiera concluir que la Convención está debidamente armonizada e integrada en la ley española, esto es discutible, puede estar sometido a interpretación y no responde a algunos de los principios básicos que vertebran el derecho penal: la norma penal debe ser taxativa, expresa y clara en los elementos del tipo así como cumplir con el requisito de la publicidad de la ley penal que permita que sea accesible al conocimiento de todo individuo.</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lastRenderedPageBreak/>
        <w:t xml:space="preserve">El delito internacional de la tortura merece una definición típica conforme al derecho internacional que transcriba el resultado del consenso de 155 Estado que la han ratificado. La configuración del delito de tortura de manera autónoma ajustada al derecho internacional es una garantía imprescindible y básica para su erradicación, persecución y condena. Es además necesaria para evitar confusiones en el reconocimiento de las consecuencias jurídicas internacionales propias del crimen de tortura: imprescriptibilidad, persecución universal, activación del principio </w:t>
      </w:r>
      <w:proofErr w:type="spellStart"/>
      <w:r w:rsidRPr="00BF12CB">
        <w:rPr>
          <w:i/>
          <w:sz w:val="24"/>
          <w:szCs w:val="24"/>
          <w:lang w:val="es-ES_tradnl"/>
        </w:rPr>
        <w:t>aut</w:t>
      </w:r>
      <w:proofErr w:type="spellEnd"/>
      <w:r w:rsidRPr="00BF12CB">
        <w:rPr>
          <w:i/>
          <w:sz w:val="24"/>
          <w:szCs w:val="24"/>
          <w:lang w:val="es-ES_tradnl"/>
        </w:rPr>
        <w:t xml:space="preserve"> </w:t>
      </w:r>
      <w:proofErr w:type="spellStart"/>
      <w:r w:rsidRPr="00BF12CB">
        <w:rPr>
          <w:i/>
          <w:sz w:val="24"/>
          <w:szCs w:val="24"/>
          <w:lang w:val="es-ES_tradnl"/>
        </w:rPr>
        <w:t>dedere</w:t>
      </w:r>
      <w:proofErr w:type="spellEnd"/>
      <w:r w:rsidRPr="00BF12CB">
        <w:rPr>
          <w:i/>
          <w:sz w:val="24"/>
          <w:szCs w:val="24"/>
          <w:lang w:val="es-ES_tradnl"/>
        </w:rPr>
        <w:t xml:space="preserve"> </w:t>
      </w:r>
      <w:proofErr w:type="spellStart"/>
      <w:r w:rsidRPr="00BF12CB">
        <w:rPr>
          <w:i/>
          <w:sz w:val="24"/>
          <w:szCs w:val="24"/>
          <w:lang w:val="es-ES_tradnl"/>
        </w:rPr>
        <w:t>aut</w:t>
      </w:r>
      <w:proofErr w:type="spellEnd"/>
      <w:r w:rsidRPr="00BF12CB">
        <w:rPr>
          <w:i/>
          <w:sz w:val="24"/>
          <w:szCs w:val="24"/>
          <w:lang w:val="es-ES_tradnl"/>
        </w:rPr>
        <w:t xml:space="preserve"> </w:t>
      </w:r>
      <w:proofErr w:type="spellStart"/>
      <w:r w:rsidRPr="00BF12CB">
        <w:rPr>
          <w:i/>
          <w:sz w:val="24"/>
          <w:szCs w:val="24"/>
          <w:lang w:val="es-ES_tradnl"/>
        </w:rPr>
        <w:t>iudicare</w:t>
      </w:r>
      <w:proofErr w:type="spellEnd"/>
      <w:r w:rsidRPr="00BF12CB">
        <w:rPr>
          <w:sz w:val="24"/>
          <w:szCs w:val="24"/>
          <w:lang w:val="es-ES_tradnl"/>
        </w:rPr>
        <w:t>, etc.</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El Parlamento Español publicó el pasado 30 de marzo la ley</w:t>
      </w:r>
      <w:r w:rsidRPr="00BF12CB">
        <w:rPr>
          <w:rStyle w:val="FootnoteReference"/>
          <w:sz w:val="24"/>
          <w:szCs w:val="24"/>
          <w:lang w:val="es-ES_tradnl"/>
        </w:rPr>
        <w:footnoteReference w:id="2"/>
      </w:r>
      <w:r w:rsidRPr="00BF12CB">
        <w:rPr>
          <w:sz w:val="24"/>
          <w:szCs w:val="24"/>
          <w:lang w:val="es-ES_tradnl"/>
        </w:rPr>
        <w:t xml:space="preserve"> por la que se reforma el Código Penal como consecuencia de un Proyecto de Ley impulsado por el Ejecutivo. Ésta hubiera sido una oportunidad excelente para cumplir con los compromisos internacionales de España y con las recomendaciones emanadas del Comité además de las conclusiones el Examen Periódico Universal. El nuevo Código Penal no ha sido reformado en este sentido.</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En la </w:t>
      </w:r>
      <w:r w:rsidRPr="00BF12CB">
        <w:rPr>
          <w:b/>
          <w:sz w:val="24"/>
          <w:szCs w:val="24"/>
          <w:lang w:val="es-ES_tradnl"/>
        </w:rPr>
        <w:t>cuestión número 4</w:t>
      </w:r>
      <w:r w:rsidRPr="00BF12CB">
        <w:rPr>
          <w:sz w:val="24"/>
          <w:szCs w:val="24"/>
          <w:lang w:val="es-ES_tradnl"/>
        </w:rPr>
        <w:t>, el Comité prescribe lo siguiente: “sírvanse informar al Comité si la Convención puede invocarse directamente dentro del ordenamiento jurídico nacional de España (si la Convención es de aplicabilidad inmediata) (...)”.</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En opinión de FIBGAR, la respuesta del Estado español es poco clara, insuficiente y no responde plenamente a los estándares internacionales. Según él, existen límites propios del sistema constitucional que impiden la aplicación directa de la Convención por su naturaleza penal, pero no </w:t>
      </w:r>
      <w:proofErr w:type="gramStart"/>
      <w:r w:rsidRPr="00BF12CB">
        <w:rPr>
          <w:sz w:val="24"/>
          <w:szCs w:val="24"/>
          <w:lang w:val="es-ES_tradnl"/>
        </w:rPr>
        <w:t>especifica</w:t>
      </w:r>
      <w:proofErr w:type="gramEnd"/>
      <w:r w:rsidRPr="00BF12CB">
        <w:rPr>
          <w:sz w:val="24"/>
          <w:szCs w:val="24"/>
          <w:lang w:val="es-ES_tradnl"/>
        </w:rPr>
        <w:t xml:space="preserve"> cuáles. Cabe recordar que la Convención no impone penas concretas ni determina su duración.</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En primer lugar, merece la pena señalar que la Convención reconoce y tipifica el delito internacional de la tortura cuya fuente es a la vez convencional (derivada de esta misma Convención) y de </w:t>
      </w:r>
      <w:proofErr w:type="spellStart"/>
      <w:r w:rsidRPr="00BF12CB">
        <w:rPr>
          <w:i/>
          <w:sz w:val="24"/>
          <w:szCs w:val="24"/>
          <w:lang w:val="es-ES_tradnl"/>
        </w:rPr>
        <w:t>ius</w:t>
      </w:r>
      <w:proofErr w:type="spellEnd"/>
      <w:r w:rsidRPr="00BF12CB">
        <w:rPr>
          <w:i/>
          <w:sz w:val="24"/>
          <w:szCs w:val="24"/>
          <w:lang w:val="es-ES_tradnl"/>
        </w:rPr>
        <w:t xml:space="preserve"> </w:t>
      </w:r>
      <w:proofErr w:type="spellStart"/>
      <w:r w:rsidRPr="00BF12CB">
        <w:rPr>
          <w:i/>
          <w:sz w:val="24"/>
          <w:szCs w:val="24"/>
          <w:lang w:val="es-ES_tradnl"/>
        </w:rPr>
        <w:t>cogens</w:t>
      </w:r>
      <w:proofErr w:type="spellEnd"/>
      <w:r w:rsidRPr="00BF12CB">
        <w:rPr>
          <w:sz w:val="24"/>
          <w:szCs w:val="24"/>
          <w:lang w:val="es-ES_tradnl"/>
        </w:rPr>
        <w:t xml:space="preserve"> o de derecho internacional imperativo. Esto supone que la obligación de no cometer, prevenir y perseguir los delitos de torturas preceden a la propia </w:t>
      </w:r>
      <w:r w:rsidRPr="00BF12CB">
        <w:rPr>
          <w:sz w:val="24"/>
          <w:szCs w:val="24"/>
          <w:lang w:val="es-ES_tradnl"/>
        </w:rPr>
        <w:lastRenderedPageBreak/>
        <w:t>Convención y que ésta, de algún modo, codifica de manera taxativa los elementos que conforman esa obligación con ajuste a los estándares y consenso internacional.</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España se comprometió con el contenido de la Convención y lo introdujo en su ordenamiento interno por medio del “Instrumento de ratificación de la Convención contra la tortura y otros tratos o penas crueles, inhumanos o degradantes, hecha en Nueva York el 10 de diciembre de 1984”. En el preámbulo del mismo se indica que “Por cuanto el día 4 de febrero de 1985, el plenipotenciario de España, nombrado en buena y debida forma al efecto, firmó en Nueva York la Convención contra la tortura y otros tratos o penas crueles, inhumanos o degradantes, hecha en Nueva York el 10 de diciembre de 1984. Vistos y examinados los treinta y tres artículos de dicha Convención, concedida por las Cortes Generales la autorización prevista en el artículo 94.1 de la Constitución, vengo en aprobar y ratificar (…)”. Así pues, el Parlamento Español otorgó su consentimiento previo para la ratificación de la Convención siguiendo el artículo 94.1 de la Carta Magna, presumiblemente en virtud de los puntos “c” y “e” que rezan así: “La prestación del consentimiento del Estado para obligarse por medio de tratados o convenios requerirá la previa autorización de las Cortes Generales, en los siguientes casos: (…) c) Tratados o convenios que afecten a la integridad territorial del Estado o a los derechos y deberes fundamentales establecidos en el Título I. (…) e) Tratados o convenios que supongan modificación o derogación de alguna ley o exijan medidas legislativas para su ejecución”. Es decir, existió un control legislativo previo a la ratificación del tratado.</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La Convención de Viena sobre el Derecho de los Tratados de 1969 establece en su artículo 27 que “una parte no podrá invocar las disposiciones de su derecho interno como justificación del incumplimiento de un tratado”. Esto supone que España no puede excusarse en límites constitucionales indeterminados para negar la aplicación directa y completa de la Convención.</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rPr>
        <w:t xml:space="preserve">En la </w:t>
      </w:r>
      <w:r w:rsidRPr="00BF12CB">
        <w:rPr>
          <w:b/>
          <w:sz w:val="24"/>
          <w:szCs w:val="24"/>
        </w:rPr>
        <w:t>cuestión número 9</w:t>
      </w:r>
      <w:r w:rsidRPr="00BF12CB">
        <w:rPr>
          <w:sz w:val="24"/>
          <w:szCs w:val="24"/>
        </w:rPr>
        <w:t xml:space="preserve">, el Comité solicita que España indique si se han aprobado modificaciones legislativas para prohibir la aplicación del </w:t>
      </w:r>
      <w:r w:rsidRPr="00BF12CB">
        <w:rPr>
          <w:sz w:val="24"/>
          <w:szCs w:val="24"/>
        </w:rPr>
        <w:lastRenderedPageBreak/>
        <w:t>régimen de incomunicación a menores de edad y para permitir que estos se entrevisten reservadamente con un abogado de oficio.</w:t>
      </w:r>
      <w:r w:rsidRPr="00BF12CB">
        <w:rPr>
          <w:b/>
          <w:sz w:val="24"/>
          <w:szCs w:val="24"/>
        </w:rPr>
        <w:t xml:space="preserve"> </w:t>
      </w:r>
      <w:r w:rsidRPr="00BF12CB">
        <w:rPr>
          <w:sz w:val="24"/>
          <w:szCs w:val="24"/>
        </w:rPr>
        <w:t>En su informe España respondió que se valoraría su posible prohibición en la reforma la Ley de Enjuiciamiento Criminal que se pretende llevar a cabo a fin de dar cumplimiento a la medida 97 del primer Plan de Derechos Humanos 2008-2011 del Gobierno de España.</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No obstante, en la reforma que se está gestando de </w:t>
      </w:r>
      <w:r w:rsidRPr="00BF12CB">
        <w:rPr>
          <w:sz w:val="24"/>
          <w:szCs w:val="24"/>
        </w:rPr>
        <w:t>la Ley de Enjuiciamiento Criminal</w:t>
      </w:r>
      <w:r w:rsidRPr="00BF12CB">
        <w:rPr>
          <w:sz w:val="24"/>
          <w:szCs w:val="24"/>
          <w:lang w:val="es-ES_tradnl"/>
        </w:rPr>
        <w:t xml:space="preserve"> actualmente y con el impulso del Gobierno de España no consta a esta Fundación ninguna iniciativa que pretenda la prohibición del régimen de incomunicación para menores. Se trataría pues de una oportunidad perdida para atender a sus compromisos internacionales, a las recomendaciones de este Comité y a las de otros expertos de Naciones Unidas.</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En las </w:t>
      </w:r>
      <w:r w:rsidRPr="00BF12CB">
        <w:rPr>
          <w:b/>
          <w:sz w:val="24"/>
          <w:szCs w:val="24"/>
          <w:lang w:val="es-ES_tradnl"/>
        </w:rPr>
        <w:t>cuestiones 18, 23, 24 y 25</w:t>
      </w:r>
      <w:r w:rsidRPr="00BF12CB">
        <w:rPr>
          <w:sz w:val="24"/>
          <w:szCs w:val="24"/>
          <w:lang w:val="es-ES_tradnl"/>
        </w:rPr>
        <w:t xml:space="preserve">, el Comité insta a España a dar respuesta a cuestiones relativas a la extradición de presuntos torturadores, a la protección diplomática y a la cooperación judicial internacional. En su informe, España alega la idoneidad de su ley que destila una actitud acorde con el contenido de la Convención para la cooperación judicial y la extradición de presuntos torturadores. Si bien es cierto que el informe de España responde a la lista de cuestiones que </w:t>
      </w:r>
      <w:r w:rsidRPr="00BF12CB">
        <w:rPr>
          <w:sz w:val="24"/>
          <w:szCs w:val="24"/>
        </w:rPr>
        <w:t>abarca el periodo comprendido desde el año 2009 hasta mayo de 2014, merece la pena evaluar dos cuestiones trascendentales que revelan la actitud judicial, legislativa y gubernamental del Estado español en la obstrucción de la lucha contra la impunidad: la llamada querella argentina y la reforma de la Ley Orgánica del Poder Judicial en materia de jurisdicción universal.</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 La querella argentina:</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bCs/>
          <w:color w:val="000000" w:themeColor="text1"/>
        </w:rPr>
        <w:t>El 14 de abril de 2010 víctimas españolas de crímenes cometidos durante el régimen franquista (</w:t>
      </w:r>
      <w:r w:rsidRPr="00BF12CB">
        <w:rPr>
          <w:color w:val="000000" w:themeColor="text1"/>
        </w:rPr>
        <w:t>entre el 17 de julio de 1936, comienzo del golpe cívico militar, y el 15 de junio de 1977, fecha de celebración de las primeras elecciones democráticas)</w:t>
      </w:r>
      <w:r w:rsidRPr="00BF12CB">
        <w:rPr>
          <w:bCs/>
          <w:color w:val="000000" w:themeColor="text1"/>
        </w:rPr>
        <w:t xml:space="preserve"> interpusieron una querella (</w:t>
      </w:r>
      <w:r w:rsidRPr="00BF12CB">
        <w:rPr>
          <w:color w:val="000000" w:themeColor="text1"/>
        </w:rPr>
        <w:t xml:space="preserve">nº 4591/2010) </w:t>
      </w:r>
      <w:r w:rsidRPr="00BF12CB">
        <w:rPr>
          <w:bCs/>
          <w:color w:val="000000" w:themeColor="text1"/>
        </w:rPr>
        <w:t xml:space="preserve">por la que se solicitaba la persecución de crímenes internacionales (genocidio y lesa </w:t>
      </w:r>
      <w:r w:rsidRPr="00BF12CB">
        <w:rPr>
          <w:bCs/>
          <w:color w:val="000000" w:themeColor="text1"/>
        </w:rPr>
        <w:lastRenderedPageBreak/>
        <w:t>humanidad) ante los tribunales argentinos en virtud de la jurisdicción universal reconocida en su legislación interna.</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color w:val="000000" w:themeColor="text1"/>
        </w:rPr>
        <w:t xml:space="preserve">El </w:t>
      </w:r>
      <w:r w:rsidRPr="00BF12CB">
        <w:rPr>
          <w:bCs/>
          <w:color w:val="000000" w:themeColor="text1"/>
        </w:rPr>
        <w:t xml:space="preserve">18 de septiembre de 2013, la jueza Dña. María </w:t>
      </w:r>
      <w:proofErr w:type="spellStart"/>
      <w:r w:rsidRPr="00BF12CB">
        <w:rPr>
          <w:bCs/>
          <w:color w:val="000000" w:themeColor="text1"/>
        </w:rPr>
        <w:t>Servini</w:t>
      </w:r>
      <w:proofErr w:type="spellEnd"/>
      <w:r w:rsidRPr="00BF12CB">
        <w:rPr>
          <w:bCs/>
          <w:color w:val="000000" w:themeColor="text1"/>
        </w:rPr>
        <w:t xml:space="preserve"> de Cubría dictó orden de detención vía Interpol y a efectos de indagatoria, contra cuatro individuos por presuntas torturas: </w:t>
      </w:r>
      <w:r w:rsidRPr="00BF12CB">
        <w:rPr>
          <w:color w:val="000000" w:themeColor="text1"/>
        </w:rPr>
        <w:t xml:space="preserve">Juan Antonio González Pacheco (alias “Billy el Niño”), Jesús Muñecas Aguilar, José Ignacio </w:t>
      </w:r>
      <w:proofErr w:type="spellStart"/>
      <w:r w:rsidRPr="00BF12CB">
        <w:rPr>
          <w:color w:val="000000" w:themeColor="text1"/>
        </w:rPr>
        <w:t>Giralte</w:t>
      </w:r>
      <w:proofErr w:type="spellEnd"/>
      <w:r w:rsidRPr="00BF12CB">
        <w:rPr>
          <w:color w:val="000000" w:themeColor="text1"/>
        </w:rPr>
        <w:t xml:space="preserve"> González y Celso Galván Abascal (estos últimos, fallecidos).</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color w:val="000000" w:themeColor="text1"/>
        </w:rPr>
        <w:t xml:space="preserve">El </w:t>
      </w:r>
      <w:r w:rsidRPr="00BF12CB">
        <w:rPr>
          <w:bCs/>
          <w:color w:val="000000" w:themeColor="text1"/>
        </w:rPr>
        <w:t>5 de diciembre de 2013, el titular del Juzgado Central de Instrucción número Cinco de la Audiencia Nacional, el Juez D. Pablo Ruz, llamó a declarar a dos imputados acusados de torturas en la querella argentina.</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b/>
          <w:color w:val="000000" w:themeColor="text1"/>
        </w:rPr>
      </w:pPr>
      <w:r w:rsidRPr="00BF12CB">
        <w:rPr>
          <w:color w:val="000000" w:themeColor="text1"/>
        </w:rPr>
        <w:t xml:space="preserve">El </w:t>
      </w:r>
      <w:r w:rsidRPr="00BF12CB">
        <w:rPr>
          <w:bCs/>
          <w:color w:val="000000" w:themeColor="text1"/>
        </w:rPr>
        <w:t>31 de enero de 2014, la Fiscalía de la Audiencia Nacional presentó su oposición a la extradición</w:t>
      </w:r>
      <w:r w:rsidRPr="00BF12CB">
        <w:rPr>
          <w:rStyle w:val="Strong"/>
          <w:rFonts w:eastAsiaTheme="minorHAnsi"/>
          <w:color w:val="000000" w:themeColor="text1"/>
        </w:rPr>
        <w:t xml:space="preserve"> a Argentina del imputado Juan Antonio González Pacheco.</w:t>
      </w:r>
      <w:r w:rsidRPr="00BF12CB">
        <w:rPr>
          <w:b/>
          <w:color w:val="000000" w:themeColor="text1"/>
        </w:rPr>
        <w:t xml:space="preserve"> </w:t>
      </w:r>
      <w:r w:rsidRPr="00BF12CB">
        <w:rPr>
          <w:color w:val="000000" w:themeColor="text1"/>
        </w:rPr>
        <w:t>El dictamen de la Fiscalía señalaba que, conforme</w:t>
      </w:r>
      <w:r w:rsidRPr="00BF12CB">
        <w:rPr>
          <w:b/>
          <w:color w:val="000000" w:themeColor="text1"/>
        </w:rPr>
        <w:t xml:space="preserve"> </w:t>
      </w:r>
      <w:r w:rsidRPr="00BF12CB">
        <w:rPr>
          <w:color w:val="000000" w:themeColor="text1"/>
        </w:rPr>
        <w:t>al Código Penal español de 1973, los hechos estarían prescritos.</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color w:val="000000" w:themeColor="text1"/>
        </w:rPr>
        <w:t xml:space="preserve">El </w:t>
      </w:r>
      <w:r w:rsidRPr="00BF12CB">
        <w:rPr>
          <w:bCs/>
          <w:color w:val="000000" w:themeColor="text1"/>
        </w:rPr>
        <w:t>15 de abril de 2014, la Sección Tercera de la Audiencia Nacional denegó la extradición de imputado Jesús Muñecas Aguilar.</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color w:val="000000" w:themeColor="text1"/>
        </w:rPr>
        <w:t xml:space="preserve">El </w:t>
      </w:r>
      <w:r w:rsidRPr="00BF12CB">
        <w:rPr>
          <w:bCs/>
          <w:color w:val="000000" w:themeColor="text1"/>
        </w:rPr>
        <w:t>30 de abril de 2014</w:t>
      </w:r>
      <w:r w:rsidRPr="00BF12CB">
        <w:rPr>
          <w:rStyle w:val="apple-converted-space"/>
          <w:bCs/>
          <w:color w:val="000000" w:themeColor="text1"/>
        </w:rPr>
        <w:t>,</w:t>
      </w:r>
      <w:r w:rsidRPr="00BF12CB">
        <w:rPr>
          <w:bCs/>
          <w:color w:val="000000" w:themeColor="text1"/>
        </w:rPr>
        <w:t xml:space="preserve"> la Sección Segunda de la Audiencia Nacional rechazó la extradición a Argentina de Antonio González Pacheco.</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bCs/>
          <w:color w:val="000000" w:themeColor="text1"/>
        </w:rPr>
        <w:t xml:space="preserve">Entre el 18 y el 30 de mayo de 2014, la jueza instructora de la querella argentina, viajó a España como parte de la comisión judicial desde Argentina para </w:t>
      </w:r>
      <w:r w:rsidRPr="00BF12CB">
        <w:rPr>
          <w:color w:val="000000" w:themeColor="text1"/>
        </w:rPr>
        <w:t>tomar declaraciones a querellantes.</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color w:val="000000" w:themeColor="text1"/>
        </w:rPr>
        <w:t xml:space="preserve">El </w:t>
      </w:r>
      <w:r w:rsidRPr="00BF12CB">
        <w:rPr>
          <w:bCs/>
          <w:color w:val="000000" w:themeColor="text1"/>
        </w:rPr>
        <w:t xml:space="preserve">31 de octubre de 2014 la Jueza </w:t>
      </w:r>
      <w:proofErr w:type="spellStart"/>
      <w:r w:rsidRPr="00BF12CB">
        <w:rPr>
          <w:bCs/>
          <w:color w:val="000000" w:themeColor="text1"/>
        </w:rPr>
        <w:t>Servini</w:t>
      </w:r>
      <w:proofErr w:type="spellEnd"/>
      <w:r w:rsidRPr="00BF12CB">
        <w:rPr>
          <w:bCs/>
          <w:color w:val="000000" w:themeColor="text1"/>
        </w:rPr>
        <w:t xml:space="preserve"> emitió un auto en el que solicitaba a la Interpol el arresto preventivo de </w:t>
      </w:r>
      <w:r w:rsidRPr="00BF12CB">
        <w:rPr>
          <w:color w:val="000000" w:themeColor="text1"/>
        </w:rPr>
        <w:t xml:space="preserve">ex ministros, jueces y policías: ex Ministro de Gobernación Rodolfo Martín Villa; ex Ministro de la vivienda y Secretario General del Movimiento José Utrera Molina; ex Ministro de la Presidencia del franquismo Antonio Carro Martínez; ex Ministro de Trabajo </w:t>
      </w:r>
      <w:r w:rsidRPr="00BF12CB">
        <w:rPr>
          <w:color w:val="000000" w:themeColor="text1"/>
        </w:rPr>
        <w:lastRenderedPageBreak/>
        <w:t xml:space="preserve">Fernando Suárez González; ex Vicepresidente Licinio de la Fuente; ex Ministro de Hacienda Antonio Barrera de </w:t>
      </w:r>
      <w:proofErr w:type="spellStart"/>
      <w:r w:rsidRPr="00BF12CB">
        <w:rPr>
          <w:color w:val="000000" w:themeColor="text1"/>
        </w:rPr>
        <w:t>Irimo</w:t>
      </w:r>
      <w:proofErr w:type="spellEnd"/>
      <w:r w:rsidRPr="00BF12CB">
        <w:rPr>
          <w:color w:val="000000" w:themeColor="text1"/>
        </w:rPr>
        <w:t xml:space="preserve"> (fallecido); ex Ministro de Justicia José María Sánchez-Ventura Pascual; ex Ministro de la Presidencia Alfonso Osorio García; ex </w:t>
      </w:r>
      <w:proofErr w:type="spellStart"/>
      <w:r w:rsidRPr="00BF12CB">
        <w:rPr>
          <w:color w:val="000000" w:themeColor="text1"/>
        </w:rPr>
        <w:t>Capitan</w:t>
      </w:r>
      <w:proofErr w:type="spellEnd"/>
      <w:r w:rsidRPr="00BF12CB">
        <w:rPr>
          <w:color w:val="000000" w:themeColor="text1"/>
        </w:rPr>
        <w:t xml:space="preserve"> de Policía Jesús Quintana </w:t>
      </w:r>
      <w:proofErr w:type="spellStart"/>
      <w:r w:rsidRPr="00BF12CB">
        <w:rPr>
          <w:color w:val="000000" w:themeColor="text1"/>
        </w:rPr>
        <w:t>Saracíbar</w:t>
      </w:r>
      <w:proofErr w:type="spellEnd"/>
      <w:r w:rsidRPr="00BF12CB">
        <w:rPr>
          <w:color w:val="000000" w:themeColor="text1"/>
        </w:rPr>
        <w:t xml:space="preserve">; ex integrante del Consejo de Guerra Carlos Rey González; ex Juez Antonio Troncoso de Castro; ex Juez Jesús Cejas </w:t>
      </w:r>
      <w:proofErr w:type="spellStart"/>
      <w:r w:rsidRPr="00BF12CB">
        <w:rPr>
          <w:color w:val="000000" w:themeColor="text1"/>
        </w:rPr>
        <w:t>Mohedano</w:t>
      </w:r>
      <w:proofErr w:type="spellEnd"/>
      <w:r w:rsidRPr="00BF12CB">
        <w:rPr>
          <w:color w:val="000000" w:themeColor="text1"/>
        </w:rPr>
        <w:t xml:space="preserve">; ex médico Abelardo García Balaguer, y los ex policías: Jesús González Reglero, Ricardo Algar Barrón, Félix Criado Sanz Pascual, Honrado de la Fuente, Jesús Martínez Torres, Benjamín </w:t>
      </w:r>
      <w:proofErr w:type="spellStart"/>
      <w:r w:rsidRPr="00BF12CB">
        <w:rPr>
          <w:color w:val="000000" w:themeColor="text1"/>
        </w:rPr>
        <w:t>Solsona</w:t>
      </w:r>
      <w:proofErr w:type="spellEnd"/>
      <w:r w:rsidRPr="00BF12CB">
        <w:rPr>
          <w:color w:val="000000" w:themeColor="text1"/>
        </w:rPr>
        <w:t xml:space="preserve"> Cortés y Atilano del Valle </w:t>
      </w:r>
      <w:proofErr w:type="spellStart"/>
      <w:r w:rsidRPr="00BF12CB">
        <w:rPr>
          <w:color w:val="000000" w:themeColor="text1"/>
        </w:rPr>
        <w:t>Oter</w:t>
      </w:r>
      <w:proofErr w:type="spellEnd"/>
      <w:r w:rsidRPr="00BF12CB">
        <w:rPr>
          <w:color w:val="000000" w:themeColor="text1"/>
        </w:rPr>
        <w:t>.</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rPr>
          <w:color w:val="000000" w:themeColor="text1"/>
        </w:rPr>
        <w:t xml:space="preserve">El </w:t>
      </w:r>
      <w:r w:rsidRPr="00BF12CB">
        <w:rPr>
          <w:bCs/>
          <w:color w:val="000000" w:themeColor="text1"/>
        </w:rPr>
        <w:t xml:space="preserve">4 de noviembre de 2014, INTERPOL Argentina cursó una comunicación urgente a su sección en España en la que requería la detención preventiva con fines de extradición de las personas imputadas en el Auto del 31 de octubre de </w:t>
      </w:r>
      <w:proofErr w:type="spellStart"/>
      <w:r w:rsidRPr="00BF12CB">
        <w:rPr>
          <w:bCs/>
          <w:color w:val="000000" w:themeColor="text1"/>
        </w:rPr>
        <w:t>Servini</w:t>
      </w:r>
      <w:proofErr w:type="spellEnd"/>
      <w:r w:rsidRPr="00BF12CB">
        <w:rPr>
          <w:bCs/>
          <w:color w:val="000000" w:themeColor="text1"/>
        </w:rPr>
        <w:t>.</w:t>
      </w:r>
    </w:p>
    <w:p w:rsidR="00BF12CB" w:rsidRPr="00BF12CB" w:rsidRDefault="00BF12CB" w:rsidP="00BF12CB">
      <w:pPr>
        <w:pStyle w:val="NormalWeb"/>
        <w:numPr>
          <w:ilvl w:val="0"/>
          <w:numId w:val="3"/>
        </w:numPr>
        <w:shd w:val="clear" w:color="auto" w:fill="FFFFFF"/>
        <w:spacing w:before="0" w:beforeAutospacing="0" w:after="120" w:afterAutospacing="0" w:line="360" w:lineRule="auto"/>
        <w:jc w:val="both"/>
        <w:rPr>
          <w:color w:val="000000" w:themeColor="text1"/>
        </w:rPr>
      </w:pPr>
      <w:r w:rsidRPr="00BF12CB">
        <w:rPr>
          <w:bCs/>
          <w:color w:val="000000" w:themeColor="text1"/>
        </w:rPr>
        <w:t xml:space="preserve">España ha demostrado y sigue presentando a lo largo de todo este proceso una actitud de nula cooperación y cumplimiento de sus compromisos internacionales derivados de la Convención, de otros tratados internacionales y del Derecho Internacional general. España tiene la obligación de extraditar o juzgar (conforme al principio </w:t>
      </w:r>
      <w:proofErr w:type="spellStart"/>
      <w:r w:rsidRPr="00BF12CB">
        <w:rPr>
          <w:bCs/>
          <w:i/>
          <w:color w:val="000000" w:themeColor="text1"/>
        </w:rPr>
        <w:t>aut</w:t>
      </w:r>
      <w:proofErr w:type="spellEnd"/>
      <w:r w:rsidRPr="00BF12CB">
        <w:rPr>
          <w:bCs/>
          <w:i/>
          <w:color w:val="000000" w:themeColor="text1"/>
        </w:rPr>
        <w:t xml:space="preserve"> </w:t>
      </w:r>
      <w:proofErr w:type="spellStart"/>
      <w:r w:rsidRPr="00BF12CB">
        <w:rPr>
          <w:bCs/>
          <w:i/>
          <w:color w:val="000000" w:themeColor="text1"/>
        </w:rPr>
        <w:t>dedere</w:t>
      </w:r>
      <w:proofErr w:type="spellEnd"/>
      <w:r w:rsidRPr="00BF12CB">
        <w:rPr>
          <w:bCs/>
          <w:i/>
          <w:color w:val="000000" w:themeColor="text1"/>
        </w:rPr>
        <w:t xml:space="preserve"> </w:t>
      </w:r>
      <w:proofErr w:type="spellStart"/>
      <w:r w:rsidRPr="00BF12CB">
        <w:rPr>
          <w:bCs/>
          <w:i/>
          <w:color w:val="000000" w:themeColor="text1"/>
        </w:rPr>
        <w:t>aut</w:t>
      </w:r>
      <w:proofErr w:type="spellEnd"/>
      <w:r w:rsidRPr="00BF12CB">
        <w:rPr>
          <w:bCs/>
          <w:i/>
          <w:color w:val="000000" w:themeColor="text1"/>
        </w:rPr>
        <w:t xml:space="preserve"> </w:t>
      </w:r>
      <w:proofErr w:type="spellStart"/>
      <w:r w:rsidRPr="00BF12CB">
        <w:rPr>
          <w:bCs/>
          <w:i/>
          <w:color w:val="000000" w:themeColor="text1"/>
        </w:rPr>
        <w:t>iudicare</w:t>
      </w:r>
      <w:proofErr w:type="spellEnd"/>
      <w:r w:rsidRPr="00BF12CB">
        <w:rPr>
          <w:bCs/>
          <w:color w:val="000000" w:themeColor="text1"/>
        </w:rPr>
        <w:t>). No puede conformarse con alegar la conveniencia de un proceso en España basado en el vínculo de territorialidad por el lugar en que se cometieron presuntamente los delitos, y posteriormente reconocer la prescripción de los crímenes con el fin de bloquear la causa. La cooperación judicial de las instancias españolas con las argentinas en un requisito mínimo para el respeto de la legítima jurisdicción y soberanía argentina así como para la lucha contra la impunidad.</w:t>
      </w:r>
    </w:p>
    <w:p w:rsidR="00BF12CB" w:rsidRPr="00BF12CB" w:rsidRDefault="00BF12CB" w:rsidP="00BF12CB">
      <w:pPr>
        <w:pStyle w:val="NormalWeb"/>
        <w:numPr>
          <w:ilvl w:val="0"/>
          <w:numId w:val="3"/>
        </w:numPr>
        <w:shd w:val="clear" w:color="auto" w:fill="FFFFFF"/>
        <w:spacing w:before="0" w:beforeAutospacing="0" w:after="120" w:afterAutospacing="0" w:line="360" w:lineRule="auto"/>
        <w:jc w:val="both"/>
        <w:rPr>
          <w:color w:val="000000" w:themeColor="text1"/>
        </w:rPr>
      </w:pPr>
      <w:r w:rsidRPr="00BF12CB">
        <w:rPr>
          <w:color w:val="000000" w:themeColor="text1"/>
          <w:shd w:val="clear" w:color="auto" w:fill="FFFFFF"/>
        </w:rPr>
        <w:t xml:space="preserve">En este sentido, urge recordar las declaraciones emitidas el pasado 27 de marzo por parte de Ariel </w:t>
      </w:r>
      <w:proofErr w:type="spellStart"/>
      <w:r w:rsidRPr="00BF12CB">
        <w:rPr>
          <w:color w:val="000000" w:themeColor="text1"/>
          <w:shd w:val="clear" w:color="auto" w:fill="FFFFFF"/>
        </w:rPr>
        <w:t>Dulitzky</w:t>
      </w:r>
      <w:proofErr w:type="spellEnd"/>
      <w:r w:rsidRPr="00BF12CB">
        <w:rPr>
          <w:color w:val="000000" w:themeColor="text1"/>
          <w:shd w:val="clear" w:color="auto" w:fill="FFFFFF"/>
        </w:rPr>
        <w:t xml:space="preserve">, presidente del Grupo de Trabajo sobre las desapariciones forzadas o involuntarias; </w:t>
      </w:r>
      <w:proofErr w:type="spellStart"/>
      <w:r w:rsidRPr="00BF12CB">
        <w:rPr>
          <w:color w:val="000000" w:themeColor="text1"/>
          <w:shd w:val="clear" w:color="auto" w:fill="FFFFFF"/>
        </w:rPr>
        <w:t>Christof</w:t>
      </w:r>
      <w:proofErr w:type="spellEnd"/>
      <w:r w:rsidRPr="00BF12CB">
        <w:rPr>
          <w:color w:val="000000" w:themeColor="text1"/>
          <w:shd w:val="clear" w:color="auto" w:fill="FFFFFF"/>
        </w:rPr>
        <w:t xml:space="preserve"> </w:t>
      </w:r>
      <w:proofErr w:type="spellStart"/>
      <w:r w:rsidRPr="00BF12CB">
        <w:rPr>
          <w:color w:val="000000" w:themeColor="text1"/>
          <w:shd w:val="clear" w:color="auto" w:fill="FFFFFF"/>
        </w:rPr>
        <w:t>Heyns</w:t>
      </w:r>
      <w:proofErr w:type="spellEnd"/>
      <w:r w:rsidRPr="00BF12CB">
        <w:rPr>
          <w:color w:val="000000" w:themeColor="text1"/>
          <w:shd w:val="clear" w:color="auto" w:fill="FFFFFF"/>
        </w:rPr>
        <w:t xml:space="preserve">, Relator Especial sobre las ejecuciones extrajudiciales, sumarias o arbitrarias; Juan E. Méndez, Relator Especial sobre la tortura y otros tratos o penas crueles, inhumanos o degradantes, y Pablo de </w:t>
      </w:r>
      <w:proofErr w:type="spellStart"/>
      <w:r w:rsidRPr="00BF12CB">
        <w:rPr>
          <w:color w:val="000000" w:themeColor="text1"/>
          <w:shd w:val="clear" w:color="auto" w:fill="FFFFFF"/>
        </w:rPr>
        <w:t>Greiff</w:t>
      </w:r>
      <w:proofErr w:type="spellEnd"/>
      <w:r w:rsidRPr="00BF12CB">
        <w:rPr>
          <w:color w:val="000000" w:themeColor="text1"/>
          <w:shd w:val="clear" w:color="auto" w:fill="FFFFFF"/>
        </w:rPr>
        <w:t xml:space="preserve">, Relator Especial </w:t>
      </w:r>
      <w:r w:rsidRPr="00BF12CB">
        <w:rPr>
          <w:color w:val="000000" w:themeColor="text1"/>
          <w:shd w:val="clear" w:color="auto" w:fill="FFFFFF"/>
        </w:rPr>
        <w:lastRenderedPageBreak/>
        <w:t>sobre la promoción de la verdad, la justicia, la reparación y las garantías de no repetición. En dicho comunicado afirmaron “reconocemos que cabe entre las competencias del Estado español la posibilidad de denegar esta solicitud de extradición. Pero si no extradita, el Estado tiene la obligación de garantizar, ante las jurisdicciones nacionales, el acceso a la justica para las víctimas de violaciones graves de los derechos humanos y el derecho a la verdad”.</w:t>
      </w:r>
      <w:r w:rsidRPr="00BF12CB">
        <w:rPr>
          <w:rStyle w:val="apple-converted-space"/>
          <w:color w:val="000000" w:themeColor="text1"/>
          <w:shd w:val="clear" w:color="auto" w:fill="FFFFFF"/>
        </w:rPr>
        <w:t> </w:t>
      </w:r>
    </w:p>
    <w:p w:rsidR="00BF12CB" w:rsidRPr="00BF12CB" w:rsidRDefault="00BF12CB" w:rsidP="00BF12CB">
      <w:pPr>
        <w:pStyle w:val="NormalWeb"/>
        <w:numPr>
          <w:ilvl w:val="0"/>
          <w:numId w:val="3"/>
        </w:numPr>
        <w:shd w:val="clear" w:color="auto" w:fill="FFFFFF"/>
        <w:spacing w:before="0" w:beforeAutospacing="0" w:after="120" w:afterAutospacing="0" w:line="360" w:lineRule="auto"/>
        <w:jc w:val="both"/>
        <w:rPr>
          <w:color w:val="000000" w:themeColor="text1"/>
        </w:rPr>
      </w:pPr>
      <w:r w:rsidRPr="00BF12CB">
        <w:rPr>
          <w:color w:val="000000" w:themeColor="text1"/>
        </w:rPr>
        <w:t>La reforma de la Ley Orgánica del Poder Judicial en relación a la jurisdicción universal:</w:t>
      </w:r>
    </w:p>
    <w:p w:rsidR="00BF12CB" w:rsidRPr="00BF12CB" w:rsidRDefault="00BF12CB" w:rsidP="00BF12CB">
      <w:pPr>
        <w:pStyle w:val="NormalWeb"/>
        <w:numPr>
          <w:ilvl w:val="1"/>
          <w:numId w:val="3"/>
        </w:numPr>
        <w:shd w:val="clear" w:color="auto" w:fill="FFFFFF"/>
        <w:spacing w:before="0" w:beforeAutospacing="0" w:after="120" w:afterAutospacing="0" w:line="360" w:lineRule="auto"/>
        <w:jc w:val="both"/>
        <w:rPr>
          <w:color w:val="000000" w:themeColor="text1"/>
        </w:rPr>
      </w:pPr>
      <w:r w:rsidRPr="00BF12CB">
        <w:t xml:space="preserve">El día 13 de marzo de 2014 entró en vigor sin </w:t>
      </w:r>
      <w:proofErr w:type="spellStart"/>
      <w:r w:rsidRPr="00BF12CB">
        <w:rPr>
          <w:i/>
        </w:rPr>
        <w:t>vacatio</w:t>
      </w:r>
      <w:proofErr w:type="spellEnd"/>
      <w:r w:rsidRPr="00BF12CB">
        <w:rPr>
          <w:i/>
        </w:rPr>
        <w:t xml:space="preserve"> </w:t>
      </w:r>
      <w:proofErr w:type="spellStart"/>
      <w:r w:rsidRPr="00BF12CB">
        <w:rPr>
          <w:i/>
        </w:rPr>
        <w:t>legis</w:t>
      </w:r>
      <w:proofErr w:type="spellEnd"/>
      <w:r w:rsidRPr="00BF12CB">
        <w:t xml:space="preserve"> la Ley Orgánica 1/2014 de 13 de marzo, por la que se modificaba la Ley Orgánica 6/1985, de 1 de julio, del Poder Judicial, relativa a la justicia universal.</w:t>
      </w:r>
    </w:p>
    <w:p w:rsidR="00BF12CB" w:rsidRPr="00BF12CB" w:rsidRDefault="00BF12CB" w:rsidP="00BF12CB">
      <w:pPr>
        <w:pStyle w:val="ListParagraph"/>
        <w:numPr>
          <w:ilvl w:val="1"/>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 xml:space="preserve">El trámite de </w:t>
      </w:r>
      <w:proofErr w:type="spellStart"/>
      <w:r w:rsidRPr="00BF12CB">
        <w:rPr>
          <w:rFonts w:ascii="Times New Roman" w:hAnsi="Times New Roman" w:cs="Times New Roman"/>
          <w:lang w:val="es-ES"/>
        </w:rPr>
        <w:t>probación</w:t>
      </w:r>
      <w:proofErr w:type="spellEnd"/>
      <w:r w:rsidRPr="00BF12CB">
        <w:rPr>
          <w:rFonts w:ascii="Times New Roman" w:hAnsi="Times New Roman" w:cs="Times New Roman"/>
          <w:lang w:val="es-ES"/>
        </w:rPr>
        <w:t xml:space="preserve"> se realizó en combinación de todos los  mecanismos aplicables para proveerle de la mayor celeridad posible, concluyendo su aprobación en las Cortes 29 días después de haber sido tomada en consideración por la Cámara.</w:t>
      </w:r>
    </w:p>
    <w:p w:rsidR="00BF12CB" w:rsidRPr="00BF12CB" w:rsidRDefault="00BF12CB" w:rsidP="00BF12CB">
      <w:pPr>
        <w:pStyle w:val="ListParagraph"/>
        <w:numPr>
          <w:ilvl w:val="1"/>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La reacción de la sociedad civil, canalizada a través de fundaciones, organizaciones no gubernamentales, medios de comunicación, partidos políticos de la oposición y expertos, se ha posicionado en contra de lo que se considera un retroceso en la lucha contra la impunidad, la protección de los derechos humanos.</w:t>
      </w:r>
    </w:p>
    <w:p w:rsidR="00BF12CB" w:rsidRPr="00BF12CB" w:rsidRDefault="00BF12CB" w:rsidP="00BF12CB">
      <w:pPr>
        <w:pStyle w:val="ListParagraph"/>
        <w:numPr>
          <w:ilvl w:val="1"/>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El Grupo Parlamentario Socialista presentó un recurso de inconstitucionalidad en junio de 2014 que aún no ha sido resuelto.</w:t>
      </w:r>
    </w:p>
    <w:p w:rsidR="00BF12CB" w:rsidRPr="00BF12CB" w:rsidRDefault="00BF12CB" w:rsidP="00BF12CB">
      <w:pPr>
        <w:pStyle w:val="ListParagraph"/>
        <w:numPr>
          <w:ilvl w:val="1"/>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 xml:space="preserve">Un gran número de casos abiertos en virtud de las provisiones antes contenidas en la Ley Orgánica del poder Judicial que prescribía la jurisdicción universal fueron archivados. Dicha decisión está siendo apelada en multitud de aquellos procesos ante el Tribunal Supremo. </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 xml:space="preserve">La ley recurrida tiene por objeto la inclusión de un elenco de requisitos procesales que dificultan hasta el extremo la aplicación de la jurisdicción universal hasta el punto de hacerla prácticamente inviable o indiferente </w:t>
      </w:r>
      <w:r w:rsidRPr="00BF12CB">
        <w:rPr>
          <w:rFonts w:ascii="Times New Roman" w:hAnsi="Times New Roman" w:cs="Times New Roman"/>
          <w:lang w:val="es-ES"/>
        </w:rPr>
        <w:lastRenderedPageBreak/>
        <w:t>con respeto al resto de mecanismos de jurisdicción clásica ya contemplados en la ordenamiento jurídico español.</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Si bien es cierto que incluye una provisión específica para los delitos de tortura exigiendo aplicación del principio de personalidad activa o pasiva</w:t>
      </w:r>
      <w:r w:rsidRPr="00BF12CB">
        <w:rPr>
          <w:rStyle w:val="FootnoteReference"/>
          <w:rFonts w:ascii="Times New Roman" w:hAnsi="Times New Roman" w:cs="Times New Roman"/>
        </w:rPr>
        <w:footnoteReference w:id="3"/>
      </w:r>
      <w:r w:rsidRPr="00BF12CB">
        <w:rPr>
          <w:rFonts w:ascii="Times New Roman" w:hAnsi="Times New Roman" w:cs="Times New Roman"/>
          <w:lang w:val="es-ES"/>
        </w:rPr>
        <w:t>, el delito de lesa humanidad por el que se podía perseguir el crimen de torturas (si presenta características como la sistematicidad o generalidad de la comisión contra la población civil) ha sido restringido severamente.</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El delito de lesa humanidad</w:t>
      </w:r>
      <w:r w:rsidRPr="00BF12CB">
        <w:rPr>
          <w:rStyle w:val="FootnoteReference"/>
          <w:rFonts w:ascii="Times New Roman" w:hAnsi="Times New Roman" w:cs="Times New Roman"/>
        </w:rPr>
        <w:footnoteReference w:id="4"/>
      </w:r>
      <w:r w:rsidRPr="00BF12CB">
        <w:rPr>
          <w:rFonts w:ascii="Times New Roman" w:hAnsi="Times New Roman" w:cs="Times New Roman"/>
          <w:lang w:val="es-ES"/>
        </w:rPr>
        <w:t xml:space="preserve"> podrá ser perseguido si los hechos responden a los principios jurisdiccionales de personalidad activa y a una versión incompleta del principio </w:t>
      </w:r>
      <w:proofErr w:type="spellStart"/>
      <w:r w:rsidRPr="00BF12CB">
        <w:rPr>
          <w:rFonts w:ascii="Times New Roman" w:hAnsi="Times New Roman" w:cs="Times New Roman"/>
          <w:i/>
          <w:lang w:val="es-ES"/>
        </w:rPr>
        <w:t>aut</w:t>
      </w:r>
      <w:proofErr w:type="spellEnd"/>
      <w:r w:rsidRPr="00BF12CB">
        <w:rPr>
          <w:rFonts w:ascii="Times New Roman" w:hAnsi="Times New Roman" w:cs="Times New Roman"/>
          <w:i/>
          <w:lang w:val="es-ES"/>
        </w:rPr>
        <w:t xml:space="preserve"> </w:t>
      </w:r>
      <w:proofErr w:type="spellStart"/>
      <w:r w:rsidRPr="00BF12CB">
        <w:rPr>
          <w:rFonts w:ascii="Times New Roman" w:hAnsi="Times New Roman" w:cs="Times New Roman"/>
          <w:i/>
          <w:lang w:val="es-ES"/>
        </w:rPr>
        <w:t>dedere</w:t>
      </w:r>
      <w:proofErr w:type="spellEnd"/>
      <w:r w:rsidRPr="00BF12CB">
        <w:rPr>
          <w:rFonts w:ascii="Times New Roman" w:hAnsi="Times New Roman" w:cs="Times New Roman"/>
          <w:i/>
          <w:lang w:val="es-ES"/>
        </w:rPr>
        <w:t xml:space="preserve"> </w:t>
      </w:r>
      <w:proofErr w:type="spellStart"/>
      <w:r w:rsidRPr="00BF12CB">
        <w:rPr>
          <w:rFonts w:ascii="Times New Roman" w:hAnsi="Times New Roman" w:cs="Times New Roman"/>
          <w:i/>
          <w:lang w:val="es-ES"/>
        </w:rPr>
        <w:t>aut</w:t>
      </w:r>
      <w:proofErr w:type="spellEnd"/>
      <w:r w:rsidRPr="00BF12CB">
        <w:rPr>
          <w:rFonts w:ascii="Times New Roman" w:hAnsi="Times New Roman" w:cs="Times New Roman"/>
          <w:i/>
          <w:lang w:val="es-ES"/>
        </w:rPr>
        <w:t xml:space="preserve"> </w:t>
      </w:r>
      <w:proofErr w:type="spellStart"/>
      <w:r w:rsidRPr="00BF12CB">
        <w:rPr>
          <w:rFonts w:ascii="Times New Roman" w:hAnsi="Times New Roman" w:cs="Times New Roman"/>
          <w:i/>
          <w:lang w:val="es-ES"/>
        </w:rPr>
        <w:t>iudicare</w:t>
      </w:r>
      <w:proofErr w:type="spellEnd"/>
      <w:r w:rsidRPr="00BF12CB">
        <w:rPr>
          <w:rFonts w:ascii="Times New Roman" w:hAnsi="Times New Roman" w:cs="Times New Roman"/>
          <w:lang w:val="es-ES"/>
        </w:rPr>
        <w:t>: “contra un extranjero que se encontrara en España y cuya extradición hubiera sido denegada por las autoridades españolas”. No incluye pues la obligación de juzgar a nacionales españoles una vez denegada la extradición.</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 xml:space="preserve">En las </w:t>
      </w:r>
      <w:r w:rsidRPr="00BF12CB">
        <w:rPr>
          <w:b/>
          <w:sz w:val="24"/>
          <w:szCs w:val="24"/>
          <w:lang w:val="es-ES_tradnl"/>
        </w:rPr>
        <w:t>cuestiones 45 y 46</w:t>
      </w:r>
      <w:r w:rsidRPr="00BF12CB">
        <w:rPr>
          <w:sz w:val="24"/>
          <w:szCs w:val="24"/>
          <w:lang w:val="es-ES_tradnl"/>
        </w:rPr>
        <w:t xml:space="preserve">, el Comité solicita detalles en referencia a las nuevas medidas políticas, administrativas o de </w:t>
      </w:r>
      <w:proofErr w:type="gramStart"/>
      <w:r w:rsidRPr="00BF12CB">
        <w:rPr>
          <w:sz w:val="24"/>
          <w:szCs w:val="24"/>
          <w:lang w:val="es-ES_tradnl"/>
        </w:rPr>
        <w:t>otra índole adoptadas</w:t>
      </w:r>
      <w:proofErr w:type="gramEnd"/>
      <w:r w:rsidRPr="00BF12CB">
        <w:rPr>
          <w:sz w:val="24"/>
          <w:szCs w:val="24"/>
          <w:lang w:val="es-ES_tradnl"/>
        </w:rPr>
        <w:t xml:space="preserve"> para promover y proteger los derechos humanos en el ámbito nacional y en el ámbito de la aplicación de la Convención. En su respuesta, España menciona las diferentes campañas publicitarias y de sensibilización que hacen especial hincapié en la violencia de género. También se apunta al nuevo Plan de Derechos Humanos.</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No obstante, cualquier política de difusión y promoción de derechos humanos viene primero condicionada por el marco jurídico que reconozca y proteja derechos y libertades fundamentales, garantías procesales y mecanismos de lucha contra la impunidad. En este sentido conviene recordar que el pasado día 30 de marzo se publicaron en el Boletín Oficial del Estado tres nuevas leyes impulsadas por el Gobierno o por el Grupo Parlamentario Popular:</w:t>
      </w:r>
    </w:p>
    <w:p w:rsidR="00BF12CB" w:rsidRPr="00BF12CB" w:rsidRDefault="00BF12CB" w:rsidP="00BF12CB">
      <w:pPr>
        <w:pStyle w:val="SingleTxtG"/>
        <w:numPr>
          <w:ilvl w:val="1"/>
          <w:numId w:val="3"/>
        </w:numPr>
        <w:spacing w:line="360" w:lineRule="auto"/>
        <w:ind w:right="0"/>
        <w:rPr>
          <w:color w:val="000000" w:themeColor="text1"/>
          <w:sz w:val="24"/>
          <w:szCs w:val="24"/>
          <w:lang w:val="es-ES_tradnl"/>
        </w:rPr>
      </w:pPr>
      <w:r w:rsidRPr="00BF12CB">
        <w:rPr>
          <w:bCs/>
          <w:color w:val="000000" w:themeColor="text1"/>
          <w:sz w:val="24"/>
          <w:szCs w:val="24"/>
        </w:rPr>
        <w:lastRenderedPageBreak/>
        <w:t>Ley Orgánica 1/2015</w:t>
      </w:r>
      <w:r w:rsidRPr="00BF12CB">
        <w:rPr>
          <w:color w:val="000000" w:themeColor="text1"/>
          <w:sz w:val="24"/>
          <w:szCs w:val="24"/>
        </w:rPr>
        <w:t xml:space="preserve">, de 30 de marzo, por la que se modifica la Ley Orgánica 10/1995, de 23 de noviembre, del </w:t>
      </w:r>
      <w:r w:rsidRPr="00BF12CB">
        <w:rPr>
          <w:bCs/>
          <w:color w:val="000000" w:themeColor="text1"/>
          <w:sz w:val="24"/>
          <w:szCs w:val="24"/>
        </w:rPr>
        <w:t>Código Penal</w:t>
      </w:r>
      <w:r w:rsidRPr="00BF12CB">
        <w:rPr>
          <w:color w:val="000000" w:themeColor="text1"/>
          <w:sz w:val="24"/>
          <w:szCs w:val="24"/>
        </w:rPr>
        <w:t xml:space="preserve">. </w:t>
      </w:r>
    </w:p>
    <w:p w:rsidR="00BF12CB" w:rsidRPr="00BF12CB" w:rsidRDefault="00BF12CB" w:rsidP="00BF12CB">
      <w:pPr>
        <w:pStyle w:val="SingleTxtG"/>
        <w:numPr>
          <w:ilvl w:val="1"/>
          <w:numId w:val="3"/>
        </w:numPr>
        <w:spacing w:line="360" w:lineRule="auto"/>
        <w:ind w:right="0"/>
        <w:rPr>
          <w:color w:val="000000" w:themeColor="text1"/>
          <w:sz w:val="24"/>
          <w:szCs w:val="24"/>
          <w:lang w:val="es-ES_tradnl"/>
        </w:rPr>
      </w:pPr>
      <w:r w:rsidRPr="00BF12CB">
        <w:rPr>
          <w:bCs/>
          <w:color w:val="000000" w:themeColor="text1"/>
          <w:sz w:val="24"/>
          <w:szCs w:val="24"/>
        </w:rPr>
        <w:t>Ley Orgánica 2/2015</w:t>
      </w:r>
      <w:r w:rsidRPr="00BF12CB">
        <w:rPr>
          <w:color w:val="000000" w:themeColor="text1"/>
          <w:sz w:val="24"/>
          <w:szCs w:val="24"/>
        </w:rPr>
        <w:t xml:space="preserve">, de 30 de marzo, por la que se modifica la Ley Orgánica 10/1995, de 23 de noviembre, del </w:t>
      </w:r>
      <w:r w:rsidRPr="00BF12CB">
        <w:rPr>
          <w:bCs/>
          <w:color w:val="000000" w:themeColor="text1"/>
          <w:sz w:val="24"/>
          <w:szCs w:val="24"/>
        </w:rPr>
        <w:t>Código Penal, en materia de delitos de terrorismo</w:t>
      </w:r>
      <w:r w:rsidRPr="00BF12CB">
        <w:rPr>
          <w:color w:val="000000" w:themeColor="text1"/>
          <w:sz w:val="24"/>
          <w:szCs w:val="24"/>
        </w:rPr>
        <w:t>.</w:t>
      </w:r>
      <w:r w:rsidRPr="00BF12CB">
        <w:rPr>
          <w:color w:val="000000" w:themeColor="text1"/>
          <w:sz w:val="24"/>
          <w:szCs w:val="24"/>
          <w:lang w:val="es-ES_tradnl"/>
        </w:rPr>
        <w:t xml:space="preserve"> </w:t>
      </w:r>
    </w:p>
    <w:p w:rsidR="00BF12CB" w:rsidRPr="00BF12CB" w:rsidRDefault="00BF12CB" w:rsidP="00BF12CB">
      <w:pPr>
        <w:pStyle w:val="SingleTxtG"/>
        <w:numPr>
          <w:ilvl w:val="1"/>
          <w:numId w:val="3"/>
        </w:numPr>
        <w:spacing w:line="360" w:lineRule="auto"/>
        <w:ind w:right="0"/>
        <w:rPr>
          <w:color w:val="000000" w:themeColor="text1"/>
          <w:sz w:val="24"/>
          <w:szCs w:val="24"/>
          <w:lang w:val="es-ES_tradnl"/>
        </w:rPr>
      </w:pPr>
      <w:r w:rsidRPr="00BF12CB">
        <w:rPr>
          <w:bCs/>
          <w:color w:val="000000" w:themeColor="text1"/>
          <w:sz w:val="24"/>
          <w:szCs w:val="24"/>
        </w:rPr>
        <w:t>Ley Orgánica 4/2015</w:t>
      </w:r>
      <w:r w:rsidRPr="00BF12CB">
        <w:rPr>
          <w:color w:val="000000" w:themeColor="text1"/>
          <w:sz w:val="24"/>
          <w:szCs w:val="24"/>
        </w:rPr>
        <w:t>, de 30 de marzo, de</w:t>
      </w:r>
      <w:r w:rsidRPr="00BF12CB">
        <w:rPr>
          <w:rStyle w:val="apple-converted-space"/>
          <w:color w:val="000000" w:themeColor="text1"/>
          <w:sz w:val="24"/>
          <w:szCs w:val="24"/>
        </w:rPr>
        <w:t> </w:t>
      </w:r>
      <w:r w:rsidRPr="00BF12CB">
        <w:rPr>
          <w:bCs/>
          <w:color w:val="000000" w:themeColor="text1"/>
          <w:sz w:val="24"/>
          <w:szCs w:val="24"/>
        </w:rPr>
        <w:t>protección de la seguridad ciudadana</w:t>
      </w:r>
      <w:r w:rsidRPr="00BF12CB">
        <w:rPr>
          <w:color w:val="000000" w:themeColor="text1"/>
          <w:sz w:val="24"/>
          <w:szCs w:val="24"/>
        </w:rPr>
        <w:t>.</w:t>
      </w:r>
    </w:p>
    <w:p w:rsidR="00BF12CB" w:rsidRPr="00BF12CB" w:rsidRDefault="00BF12CB" w:rsidP="00BF12CB">
      <w:pPr>
        <w:pStyle w:val="SingleTxtG"/>
        <w:numPr>
          <w:ilvl w:val="0"/>
          <w:numId w:val="3"/>
        </w:numPr>
        <w:spacing w:line="360" w:lineRule="auto"/>
        <w:ind w:right="0"/>
        <w:rPr>
          <w:sz w:val="24"/>
          <w:szCs w:val="24"/>
          <w:lang w:val="es-ES_tradnl"/>
        </w:rPr>
      </w:pPr>
      <w:r w:rsidRPr="00BF12CB">
        <w:rPr>
          <w:sz w:val="24"/>
          <w:szCs w:val="24"/>
          <w:lang w:val="es-ES_tradnl"/>
        </w:rPr>
        <w:t>FIBGAR ya hizo referencia a dicha normativa cuando se encontraban en proceso de elaboración y aprobación en su informe para el Examen Periódico Universal de Naciones Unidas. Estos tres cuerpos normativos suponen un paso atrás en la promoción y respeto de los derechos humanos al introducir restricciones injustificadas al derecho de manifestación, la libertad de expresión, la inclusión de la pena de prisión permanente revisable (que puede conducir eventualmente a la cadena perpetua) sin las necesarias garantías, la eliminación de faltas en el Código Penal reconduciendo su persecución y castigo a la vía administrativa que no ofrece las mismas garantías procesales que el orden penal.</w:t>
      </w:r>
    </w:p>
    <w:p w:rsidR="00BF12CB" w:rsidRPr="00BF12CB" w:rsidRDefault="00BF12CB" w:rsidP="00BF12CB">
      <w:pPr>
        <w:pStyle w:val="SingleTxtG"/>
        <w:spacing w:line="360" w:lineRule="auto"/>
        <w:ind w:left="720" w:right="0"/>
        <w:rPr>
          <w:sz w:val="24"/>
          <w:szCs w:val="24"/>
          <w:lang w:val="es-ES_tradnl"/>
        </w:rPr>
      </w:pPr>
    </w:p>
    <w:p w:rsidR="00BF12CB" w:rsidRPr="00BF12CB" w:rsidRDefault="00BF12CB" w:rsidP="00BF12CB">
      <w:pPr>
        <w:spacing w:after="120" w:line="360" w:lineRule="auto"/>
        <w:jc w:val="both"/>
        <w:rPr>
          <w:rFonts w:ascii="Times New Roman" w:eastAsia="Times New Roman" w:hAnsi="Times New Roman" w:cs="Times New Roman"/>
          <w:lang w:val="es-ES_tradnl" w:eastAsia="es-ES"/>
        </w:rPr>
      </w:pPr>
      <w:r w:rsidRPr="00BF12CB">
        <w:rPr>
          <w:rFonts w:ascii="Times New Roman" w:hAnsi="Times New Roman" w:cs="Times New Roman"/>
          <w:lang w:val="es-ES_tradnl"/>
        </w:rPr>
        <w:br w:type="page"/>
      </w:r>
    </w:p>
    <w:p w:rsidR="00BF12CB" w:rsidRPr="00BF12CB" w:rsidRDefault="00BF12CB" w:rsidP="00BF12CB">
      <w:pPr>
        <w:pStyle w:val="ListParagraph"/>
        <w:numPr>
          <w:ilvl w:val="0"/>
          <w:numId w:val="2"/>
        </w:numPr>
        <w:spacing w:after="120" w:line="360" w:lineRule="auto"/>
        <w:jc w:val="both"/>
        <w:rPr>
          <w:rFonts w:ascii="Times New Roman" w:hAnsi="Times New Roman" w:cs="Times New Roman"/>
          <w:b/>
        </w:rPr>
      </w:pPr>
      <w:proofErr w:type="spellStart"/>
      <w:r w:rsidRPr="00BF12CB">
        <w:rPr>
          <w:rFonts w:ascii="Times New Roman" w:hAnsi="Times New Roman" w:cs="Times New Roman"/>
          <w:b/>
        </w:rPr>
        <w:lastRenderedPageBreak/>
        <w:t>Conclusiones</w:t>
      </w:r>
      <w:proofErr w:type="spellEnd"/>
    </w:p>
    <w:p w:rsidR="00BF12CB" w:rsidRPr="00BF12CB" w:rsidRDefault="00BF12CB" w:rsidP="00BF12CB">
      <w:pPr>
        <w:pStyle w:val="ListParagraph"/>
        <w:spacing w:after="120" w:line="360" w:lineRule="auto"/>
        <w:jc w:val="both"/>
        <w:rPr>
          <w:rFonts w:ascii="Times New Roman" w:hAnsi="Times New Roman" w:cs="Times New Roman"/>
          <w:b/>
        </w:rPr>
      </w:pP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FIBGAR considera que el informe presentado por España no da una respuesta satisfactoria, completa, real y objetiva de la situación jurídica de la prevención, supresión y persecución del crimen de tortura. Por ello solicita al Comité que el 54º periodo de sesiones recomiende al Estado Español que:</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Integre de manera completa el crimen de tortura con todos sus elementos tal y como viene reflejado en la Convención.</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Que revise su legislación interna para que en la práctica la aplicación del contenido de la Convención no se vea restringida por posibles limitaciones constitucionales o por una mala o inconclusa integración y armonización de sus provisiones en la legislación interna.</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Que inserte en la reforma de la Ley de Enjuiciamiento Criminal las medidas apropiadas para prohibir la aplicación del régimen de incomunicación a menores de edad.</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 xml:space="preserve">Que, confirmando España su negativa a extraditar a los presuntos torturadores imputados por la justicia argentina en el contexto de la querella por los crímenes del franquismo, cumpla su obligación de juzgar a través de tribunales internos en virtud del principio </w:t>
      </w:r>
      <w:proofErr w:type="spellStart"/>
      <w:r w:rsidRPr="00BF12CB">
        <w:rPr>
          <w:rFonts w:ascii="Times New Roman" w:hAnsi="Times New Roman" w:cs="Times New Roman"/>
          <w:i/>
          <w:lang w:val="es-ES"/>
        </w:rPr>
        <w:t>aut</w:t>
      </w:r>
      <w:proofErr w:type="spellEnd"/>
      <w:r w:rsidRPr="00BF12CB">
        <w:rPr>
          <w:rFonts w:ascii="Times New Roman" w:hAnsi="Times New Roman" w:cs="Times New Roman"/>
          <w:i/>
          <w:lang w:val="es-ES"/>
        </w:rPr>
        <w:t xml:space="preserve"> </w:t>
      </w:r>
      <w:proofErr w:type="spellStart"/>
      <w:r w:rsidRPr="00BF12CB">
        <w:rPr>
          <w:rFonts w:ascii="Times New Roman" w:hAnsi="Times New Roman" w:cs="Times New Roman"/>
          <w:i/>
          <w:lang w:val="es-ES"/>
        </w:rPr>
        <w:t>dedere</w:t>
      </w:r>
      <w:proofErr w:type="spellEnd"/>
      <w:r w:rsidRPr="00BF12CB">
        <w:rPr>
          <w:rFonts w:ascii="Times New Roman" w:hAnsi="Times New Roman" w:cs="Times New Roman"/>
          <w:i/>
          <w:lang w:val="es-ES"/>
        </w:rPr>
        <w:t xml:space="preserve"> </w:t>
      </w:r>
      <w:proofErr w:type="spellStart"/>
      <w:r w:rsidRPr="00BF12CB">
        <w:rPr>
          <w:rFonts w:ascii="Times New Roman" w:hAnsi="Times New Roman" w:cs="Times New Roman"/>
          <w:i/>
          <w:lang w:val="es-ES"/>
        </w:rPr>
        <w:t>aut</w:t>
      </w:r>
      <w:proofErr w:type="spellEnd"/>
      <w:r w:rsidRPr="00BF12CB">
        <w:rPr>
          <w:rFonts w:ascii="Times New Roman" w:hAnsi="Times New Roman" w:cs="Times New Roman"/>
          <w:i/>
          <w:lang w:val="es-ES"/>
        </w:rPr>
        <w:t xml:space="preserve"> </w:t>
      </w:r>
      <w:proofErr w:type="spellStart"/>
      <w:r w:rsidRPr="00BF12CB">
        <w:rPr>
          <w:rFonts w:ascii="Times New Roman" w:hAnsi="Times New Roman" w:cs="Times New Roman"/>
          <w:i/>
          <w:lang w:val="es-ES"/>
        </w:rPr>
        <w:t>iudicare</w:t>
      </w:r>
      <w:proofErr w:type="spellEnd"/>
      <w:r w:rsidRPr="00BF12CB">
        <w:rPr>
          <w:rFonts w:ascii="Times New Roman" w:hAnsi="Times New Roman" w:cs="Times New Roman"/>
          <w:lang w:val="es-ES"/>
        </w:rPr>
        <w:t>.</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Que recupere el texto original de la Ley Orgánica del Poder Judicial previo a la reforma de 2009, o en su caso a la modificación del 2014, para garantizar que España mantenga sus facultades jurisdiccionales para luchar contra la impunidad en virtud del principio de la jurisdicción universal.</w:t>
      </w:r>
    </w:p>
    <w:p w:rsidR="00BF12CB" w:rsidRPr="00BF12CB" w:rsidRDefault="00BF12CB" w:rsidP="00BF12CB">
      <w:pPr>
        <w:pStyle w:val="ListParagraph"/>
        <w:numPr>
          <w:ilvl w:val="0"/>
          <w:numId w:val="3"/>
        </w:numPr>
        <w:spacing w:after="120" w:line="360" w:lineRule="auto"/>
        <w:jc w:val="both"/>
        <w:rPr>
          <w:rFonts w:ascii="Times New Roman" w:hAnsi="Times New Roman" w:cs="Times New Roman"/>
          <w:lang w:val="es-ES"/>
        </w:rPr>
      </w:pPr>
      <w:r w:rsidRPr="00BF12CB">
        <w:rPr>
          <w:rFonts w:ascii="Times New Roman" w:hAnsi="Times New Roman" w:cs="Times New Roman"/>
          <w:lang w:val="es-ES"/>
        </w:rPr>
        <w:t>Que proceda a una revisión exhaustiva de su Código Penal, de su legislación antiterrorista y de la ley de seguridad ciudadana a fin de evitar cualquier tipo de colisión entre el derecho interno y los derechos humanos.</w:t>
      </w:r>
    </w:p>
    <w:p w:rsidR="0072599D" w:rsidRPr="00BF12CB" w:rsidRDefault="0072599D" w:rsidP="00006D78">
      <w:pPr>
        <w:rPr>
          <w:rFonts w:ascii="Times New Roman" w:hAnsi="Times New Roman" w:cs="Times New Roman"/>
          <w:lang w:val="es-ES"/>
        </w:rPr>
      </w:pPr>
    </w:p>
    <w:sectPr w:rsidR="0072599D" w:rsidRPr="00BF12CB" w:rsidSect="00600D02">
      <w:footerReference w:type="even" r:id="rId10"/>
      <w:footerReference w:type="default" r:id="rId11"/>
      <w:pgSz w:w="11900" w:h="16840"/>
      <w:pgMar w:top="1440" w:right="2261"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BAA" w:rsidRDefault="00E76BAA" w:rsidP="00677A79">
      <w:r>
        <w:separator/>
      </w:r>
    </w:p>
  </w:endnote>
  <w:endnote w:type="continuationSeparator" w:id="0">
    <w:p w:rsidR="00E76BAA" w:rsidRDefault="00E76BAA" w:rsidP="00677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66" w:rsidRDefault="00F83373" w:rsidP="00C17014">
    <w:pPr>
      <w:pStyle w:val="Footer"/>
      <w:framePr w:wrap="around" w:vAnchor="text" w:hAnchor="margin" w:xAlign="right" w:y="1"/>
      <w:rPr>
        <w:rStyle w:val="PageNumber"/>
      </w:rPr>
    </w:pPr>
    <w:r>
      <w:rPr>
        <w:rStyle w:val="PageNumber"/>
      </w:rPr>
      <w:fldChar w:fldCharType="begin"/>
    </w:r>
    <w:r w:rsidR="00D95166">
      <w:rPr>
        <w:rStyle w:val="PageNumber"/>
      </w:rPr>
      <w:instrText xml:space="preserve">PAGE  </w:instrText>
    </w:r>
    <w:r>
      <w:rPr>
        <w:rStyle w:val="PageNumber"/>
      </w:rPr>
      <w:fldChar w:fldCharType="end"/>
    </w:r>
  </w:p>
  <w:p w:rsidR="00D95166" w:rsidRDefault="00D95166" w:rsidP="00C170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66" w:rsidRDefault="00F83373" w:rsidP="00C17014">
    <w:pPr>
      <w:pStyle w:val="Footer"/>
      <w:framePr w:wrap="around" w:vAnchor="text" w:hAnchor="margin" w:xAlign="right" w:y="1"/>
      <w:rPr>
        <w:rStyle w:val="PageNumber"/>
      </w:rPr>
    </w:pPr>
    <w:r>
      <w:rPr>
        <w:rStyle w:val="PageNumber"/>
      </w:rPr>
      <w:fldChar w:fldCharType="begin"/>
    </w:r>
    <w:r w:rsidR="00D95166">
      <w:rPr>
        <w:rStyle w:val="PageNumber"/>
      </w:rPr>
      <w:instrText xml:space="preserve">PAGE  </w:instrText>
    </w:r>
    <w:r>
      <w:rPr>
        <w:rStyle w:val="PageNumber"/>
      </w:rPr>
      <w:fldChar w:fldCharType="separate"/>
    </w:r>
    <w:r w:rsidR="001130AE">
      <w:rPr>
        <w:rStyle w:val="PageNumber"/>
        <w:noProof/>
      </w:rPr>
      <w:t>2</w:t>
    </w:r>
    <w:r>
      <w:rPr>
        <w:rStyle w:val="PageNumber"/>
      </w:rPr>
      <w:fldChar w:fldCharType="end"/>
    </w:r>
  </w:p>
  <w:p w:rsidR="00D95166" w:rsidRDefault="00D95166" w:rsidP="00C170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BAA" w:rsidRDefault="00E76BAA" w:rsidP="00677A79">
      <w:r>
        <w:separator/>
      </w:r>
    </w:p>
  </w:footnote>
  <w:footnote w:type="continuationSeparator" w:id="0">
    <w:p w:rsidR="00E76BAA" w:rsidRDefault="00E76BAA" w:rsidP="00677A79">
      <w:r>
        <w:continuationSeparator/>
      </w:r>
    </w:p>
  </w:footnote>
  <w:footnote w:id="1">
    <w:p w:rsidR="00BF12CB" w:rsidRPr="00684783" w:rsidRDefault="00BF12CB" w:rsidP="00BF12CB">
      <w:pPr>
        <w:pStyle w:val="FootnoteText"/>
        <w:rPr>
          <w:rFonts w:ascii="Times New Roman" w:hAnsi="Times New Roman" w:cs="Times New Roman"/>
        </w:rPr>
      </w:pPr>
      <w:r w:rsidRPr="00684783">
        <w:rPr>
          <w:rStyle w:val="FootnoteReference"/>
          <w:rFonts w:ascii="Times New Roman" w:hAnsi="Times New Roman" w:cs="Times New Roman"/>
        </w:rPr>
        <w:footnoteRef/>
      </w:r>
      <w:r w:rsidRPr="00684783">
        <w:rPr>
          <w:rFonts w:ascii="Times New Roman" w:hAnsi="Times New Roman" w:cs="Times New Roman"/>
        </w:rPr>
        <w:t xml:space="preserve"> </w:t>
      </w:r>
      <w:r w:rsidRPr="00684783">
        <w:rPr>
          <w:rFonts w:ascii="Times New Roman" w:hAnsi="Times New Roman" w:cs="Times New Roman"/>
          <w:color w:val="000000" w:themeColor="text1"/>
        </w:rPr>
        <w:t>fecha de recepción: 23 de diciembre de 2013.</w:t>
      </w:r>
    </w:p>
  </w:footnote>
  <w:footnote w:id="2">
    <w:p w:rsidR="00BF12CB" w:rsidRPr="001F7DB6" w:rsidRDefault="00BF12CB" w:rsidP="00BF12CB">
      <w:pPr>
        <w:pStyle w:val="FootnoteText"/>
        <w:jc w:val="both"/>
        <w:rPr>
          <w:rFonts w:ascii="Times New Roman" w:hAnsi="Times New Roman" w:cs="Times New Roman"/>
          <w:color w:val="000000" w:themeColor="text1"/>
        </w:rPr>
      </w:pPr>
      <w:r w:rsidRPr="001F7DB6">
        <w:rPr>
          <w:rStyle w:val="FootnoteReference"/>
          <w:rFonts w:ascii="Times New Roman" w:hAnsi="Times New Roman" w:cs="Times New Roman"/>
          <w:color w:val="000000" w:themeColor="text1"/>
        </w:rPr>
        <w:footnoteRef/>
      </w:r>
      <w:r w:rsidRPr="001F7DB6">
        <w:rPr>
          <w:rFonts w:ascii="Times New Roman" w:hAnsi="Times New Roman" w:cs="Times New Roman"/>
          <w:color w:val="000000" w:themeColor="text1"/>
        </w:rPr>
        <w:t xml:space="preserve"> Ley Orgánica 1/2015, de 30 de marzo, por la que se modifica la Ley Orgánica 10/1995, de 23 de noviembre, del Código Penal.</w:t>
      </w:r>
    </w:p>
  </w:footnote>
  <w:footnote w:id="3">
    <w:p w:rsidR="00BF12CB" w:rsidRPr="009C1B1F" w:rsidRDefault="00BF12CB" w:rsidP="00BF12CB">
      <w:pPr>
        <w:pStyle w:val="FootnoteText"/>
        <w:jc w:val="both"/>
        <w:rPr>
          <w:rFonts w:ascii="Times New Roman" w:hAnsi="Times New Roman" w:cs="Times New Roman"/>
        </w:rPr>
      </w:pPr>
      <w:r w:rsidRPr="009C1B1F">
        <w:rPr>
          <w:rStyle w:val="FootnoteReference"/>
          <w:rFonts w:ascii="Times New Roman" w:hAnsi="Times New Roman" w:cs="Times New Roman"/>
        </w:rPr>
        <w:footnoteRef/>
      </w:r>
      <w:r w:rsidRPr="009C1B1F">
        <w:rPr>
          <w:rFonts w:ascii="Times New Roman" w:hAnsi="Times New Roman" w:cs="Times New Roman"/>
        </w:rPr>
        <w:t xml:space="preserve"> Art. 23.4.b) Delitos de tortura y contra la integridad moral de los artículos 174 a 177 del Código Penal, cuando: 1</w:t>
      </w:r>
      <w:proofErr w:type="gramStart"/>
      <w:r w:rsidRPr="009C1B1F">
        <w:rPr>
          <w:rFonts w:ascii="Times New Roman" w:hAnsi="Times New Roman" w:cs="Times New Roman"/>
        </w:rPr>
        <w:t>.º</w:t>
      </w:r>
      <w:proofErr w:type="gramEnd"/>
      <w:r w:rsidRPr="009C1B1F">
        <w:rPr>
          <w:rFonts w:ascii="Times New Roman" w:hAnsi="Times New Roman" w:cs="Times New Roman"/>
        </w:rPr>
        <w:t xml:space="preserve"> el procedimiento se dirija contra un español; o, 2.º la víctima tuviera nacionalidad española en el momento de comisión de los hechos y la persona a la que se impute la comisión del delito se encuentre en territorio español.</w:t>
      </w:r>
    </w:p>
  </w:footnote>
  <w:footnote w:id="4">
    <w:p w:rsidR="00BF12CB" w:rsidRDefault="00BF12CB" w:rsidP="00BF12CB">
      <w:pPr>
        <w:pStyle w:val="FootnoteText"/>
        <w:jc w:val="both"/>
      </w:pPr>
      <w:r w:rsidRPr="009C1B1F">
        <w:rPr>
          <w:rStyle w:val="FootnoteReference"/>
          <w:rFonts w:ascii="Times New Roman" w:hAnsi="Times New Roman" w:cs="Times New Roman"/>
        </w:rPr>
        <w:footnoteRef/>
      </w:r>
      <w:r w:rsidRPr="009C1B1F">
        <w:rPr>
          <w:rFonts w:ascii="Times New Roman" w:hAnsi="Times New Roman" w:cs="Times New Roman"/>
        </w:rPr>
        <w:t xml:space="preserve"> Art. 23.4.a) Genocidio, lesa humanidad o contra las personas y bienes protegidos en caso de conflicto armado, siempre que el procedimiento se dirija contra un español o contra un ciudadano extranjero que resida habitualmente en España, o contra un extranjero que se encontrara en España y cuya extradición hubiera sido denegada por las autoridades españolas.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E76C0"/>
    <w:multiLevelType w:val="hybridMultilevel"/>
    <w:tmpl w:val="4CFA985A"/>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C235771"/>
    <w:multiLevelType w:val="hybridMultilevel"/>
    <w:tmpl w:val="9698B794"/>
    <w:lvl w:ilvl="0" w:tplc="734248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7D1BA9"/>
    <w:multiLevelType w:val="hybridMultilevel"/>
    <w:tmpl w:val="35BAAB24"/>
    <w:lvl w:ilvl="0" w:tplc="3FB2FFD0">
      <w:start w:val="1"/>
      <w:numFmt w:val="decimal"/>
      <w:lvlText w:val="%1."/>
      <w:lvlJc w:val="left"/>
      <w:pPr>
        <w:ind w:left="720" w:hanging="360"/>
      </w:pPr>
      <w:rPr>
        <w:b w:val="0"/>
        <w:sz w:val="24"/>
        <w:szCs w:val="24"/>
      </w:rPr>
    </w:lvl>
    <w:lvl w:ilvl="1" w:tplc="005899F2">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2E5"/>
    <w:rsid w:val="00004D04"/>
    <w:rsid w:val="00006D78"/>
    <w:rsid w:val="00014A26"/>
    <w:rsid w:val="00042A09"/>
    <w:rsid w:val="000C21DE"/>
    <w:rsid w:val="000E7221"/>
    <w:rsid w:val="001130AE"/>
    <w:rsid w:val="001400CB"/>
    <w:rsid w:val="00141A1D"/>
    <w:rsid w:val="00145790"/>
    <w:rsid w:val="00157B27"/>
    <w:rsid w:val="0017056E"/>
    <w:rsid w:val="00197BC8"/>
    <w:rsid w:val="001B05B6"/>
    <w:rsid w:val="001F23B5"/>
    <w:rsid w:val="00211D76"/>
    <w:rsid w:val="00225262"/>
    <w:rsid w:val="00233459"/>
    <w:rsid w:val="00247245"/>
    <w:rsid w:val="002676E3"/>
    <w:rsid w:val="002A2D64"/>
    <w:rsid w:val="002C77CD"/>
    <w:rsid w:val="002D520C"/>
    <w:rsid w:val="002D69C4"/>
    <w:rsid w:val="002E3D43"/>
    <w:rsid w:val="003027BE"/>
    <w:rsid w:val="00334F0B"/>
    <w:rsid w:val="0035676E"/>
    <w:rsid w:val="00392AA6"/>
    <w:rsid w:val="003C2B32"/>
    <w:rsid w:val="003D08A2"/>
    <w:rsid w:val="003E0092"/>
    <w:rsid w:val="003F2C02"/>
    <w:rsid w:val="004039C0"/>
    <w:rsid w:val="0047305E"/>
    <w:rsid w:val="00493F1A"/>
    <w:rsid w:val="004A3CB6"/>
    <w:rsid w:val="004B1565"/>
    <w:rsid w:val="004B3AB2"/>
    <w:rsid w:val="004C01C4"/>
    <w:rsid w:val="004C7CE6"/>
    <w:rsid w:val="004D5AA5"/>
    <w:rsid w:val="004D6863"/>
    <w:rsid w:val="004E3DC8"/>
    <w:rsid w:val="004F54F4"/>
    <w:rsid w:val="005146F1"/>
    <w:rsid w:val="00520F5B"/>
    <w:rsid w:val="005379B4"/>
    <w:rsid w:val="00551573"/>
    <w:rsid w:val="00566875"/>
    <w:rsid w:val="005A62ED"/>
    <w:rsid w:val="005C6D11"/>
    <w:rsid w:val="005D0F19"/>
    <w:rsid w:val="00600D02"/>
    <w:rsid w:val="0061329E"/>
    <w:rsid w:val="00645CC7"/>
    <w:rsid w:val="00646F85"/>
    <w:rsid w:val="00672BA6"/>
    <w:rsid w:val="00677A79"/>
    <w:rsid w:val="006C578E"/>
    <w:rsid w:val="0072599D"/>
    <w:rsid w:val="00772274"/>
    <w:rsid w:val="007766CE"/>
    <w:rsid w:val="00786A00"/>
    <w:rsid w:val="007F5A71"/>
    <w:rsid w:val="00835105"/>
    <w:rsid w:val="00854DFB"/>
    <w:rsid w:val="0087139B"/>
    <w:rsid w:val="008752E8"/>
    <w:rsid w:val="00876148"/>
    <w:rsid w:val="008819BB"/>
    <w:rsid w:val="0089158F"/>
    <w:rsid w:val="00893E96"/>
    <w:rsid w:val="008B1D3A"/>
    <w:rsid w:val="008C244F"/>
    <w:rsid w:val="008D1BF4"/>
    <w:rsid w:val="00906BEC"/>
    <w:rsid w:val="00910BBB"/>
    <w:rsid w:val="0092109B"/>
    <w:rsid w:val="00971CF9"/>
    <w:rsid w:val="0098775B"/>
    <w:rsid w:val="00995D9E"/>
    <w:rsid w:val="009F2B6E"/>
    <w:rsid w:val="00A0100A"/>
    <w:rsid w:val="00A02945"/>
    <w:rsid w:val="00A27839"/>
    <w:rsid w:val="00A9011A"/>
    <w:rsid w:val="00A9041B"/>
    <w:rsid w:val="00AA0B29"/>
    <w:rsid w:val="00AC6D08"/>
    <w:rsid w:val="00AE536B"/>
    <w:rsid w:val="00B04F2C"/>
    <w:rsid w:val="00B26819"/>
    <w:rsid w:val="00B31C98"/>
    <w:rsid w:val="00B6040E"/>
    <w:rsid w:val="00B64521"/>
    <w:rsid w:val="00B65B6B"/>
    <w:rsid w:val="00BC6EE8"/>
    <w:rsid w:val="00BD0812"/>
    <w:rsid w:val="00BD127D"/>
    <w:rsid w:val="00BD1B12"/>
    <w:rsid w:val="00BE72E5"/>
    <w:rsid w:val="00BF0159"/>
    <w:rsid w:val="00BF12CB"/>
    <w:rsid w:val="00C05555"/>
    <w:rsid w:val="00C17014"/>
    <w:rsid w:val="00C23035"/>
    <w:rsid w:val="00C3155D"/>
    <w:rsid w:val="00C725E1"/>
    <w:rsid w:val="00C72FF7"/>
    <w:rsid w:val="00C83C93"/>
    <w:rsid w:val="00C93DD3"/>
    <w:rsid w:val="00CE0548"/>
    <w:rsid w:val="00CE285C"/>
    <w:rsid w:val="00D16AAC"/>
    <w:rsid w:val="00D44BCF"/>
    <w:rsid w:val="00D70132"/>
    <w:rsid w:val="00D70636"/>
    <w:rsid w:val="00D74531"/>
    <w:rsid w:val="00D91556"/>
    <w:rsid w:val="00D95166"/>
    <w:rsid w:val="00D97AFE"/>
    <w:rsid w:val="00DA4970"/>
    <w:rsid w:val="00DB13E4"/>
    <w:rsid w:val="00DE297B"/>
    <w:rsid w:val="00DF5A95"/>
    <w:rsid w:val="00E70C27"/>
    <w:rsid w:val="00E76BAA"/>
    <w:rsid w:val="00ED4C85"/>
    <w:rsid w:val="00F0398E"/>
    <w:rsid w:val="00F35111"/>
    <w:rsid w:val="00F75AED"/>
    <w:rsid w:val="00F83373"/>
    <w:rsid w:val="00F97045"/>
    <w:rsid w:val="00FA02B2"/>
    <w:rsid w:val="00FA6457"/>
    <w:rsid w:val="00FF4D04"/>
    <w:rsid w:val="00FF55E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57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5790"/>
    <w:rPr>
      <w:rFonts w:ascii="Lucida Grande" w:hAnsi="Lucida Grande" w:cs="Lucida Grande"/>
      <w:sz w:val="18"/>
      <w:szCs w:val="18"/>
    </w:rPr>
  </w:style>
  <w:style w:type="paragraph" w:styleId="ListParagraph">
    <w:name w:val="List Paragraph"/>
    <w:basedOn w:val="Normal"/>
    <w:uiPriority w:val="34"/>
    <w:qFormat/>
    <w:rsid w:val="002E3D43"/>
    <w:pPr>
      <w:ind w:left="720"/>
      <w:contextualSpacing/>
    </w:pPr>
  </w:style>
  <w:style w:type="paragraph" w:styleId="FootnoteText">
    <w:name w:val="footnote text"/>
    <w:basedOn w:val="Normal"/>
    <w:link w:val="FootnoteTextChar"/>
    <w:uiPriority w:val="99"/>
    <w:unhideWhenUsed/>
    <w:rsid w:val="00677A79"/>
    <w:rPr>
      <w:rFonts w:eastAsiaTheme="minorHAnsi"/>
      <w:sz w:val="20"/>
      <w:szCs w:val="20"/>
      <w:lang w:val="es-ES"/>
    </w:rPr>
  </w:style>
  <w:style w:type="character" w:customStyle="1" w:styleId="FootnoteTextChar">
    <w:name w:val="Footnote Text Char"/>
    <w:basedOn w:val="DefaultParagraphFont"/>
    <w:link w:val="FootnoteText"/>
    <w:uiPriority w:val="99"/>
    <w:rsid w:val="00677A79"/>
    <w:rPr>
      <w:rFonts w:eastAsiaTheme="minorHAnsi"/>
      <w:sz w:val="20"/>
      <w:szCs w:val="20"/>
      <w:lang w:val="es-ES"/>
    </w:rPr>
  </w:style>
  <w:style w:type="character" w:styleId="FootnoteReference">
    <w:name w:val="footnote reference"/>
    <w:basedOn w:val="DefaultParagraphFont"/>
    <w:uiPriority w:val="99"/>
    <w:unhideWhenUsed/>
    <w:rsid w:val="00677A79"/>
    <w:rPr>
      <w:vertAlign w:val="superscript"/>
    </w:rPr>
  </w:style>
  <w:style w:type="character" w:customStyle="1" w:styleId="apple-converted-space">
    <w:name w:val="apple-converted-space"/>
    <w:basedOn w:val="DefaultParagraphFont"/>
    <w:rsid w:val="00677A79"/>
  </w:style>
  <w:style w:type="character" w:styleId="Hyperlink">
    <w:name w:val="Hyperlink"/>
    <w:basedOn w:val="DefaultParagraphFont"/>
    <w:unhideWhenUsed/>
    <w:rsid w:val="00677A79"/>
    <w:rPr>
      <w:color w:val="0000FF"/>
      <w:u w:val="single"/>
    </w:rPr>
  </w:style>
  <w:style w:type="character" w:styleId="Strong">
    <w:name w:val="Strong"/>
    <w:basedOn w:val="DefaultParagraphFont"/>
    <w:uiPriority w:val="22"/>
    <w:qFormat/>
    <w:rsid w:val="00677A79"/>
    <w:rPr>
      <w:b/>
      <w:bCs/>
    </w:rPr>
  </w:style>
  <w:style w:type="character" w:customStyle="1" w:styleId="Caracteresdenotaalpie">
    <w:name w:val="Caracteres de nota al pie"/>
    <w:rsid w:val="0072599D"/>
    <w:rPr>
      <w:vertAlign w:val="superscript"/>
    </w:rPr>
  </w:style>
  <w:style w:type="paragraph" w:styleId="Footer">
    <w:name w:val="footer"/>
    <w:basedOn w:val="Normal"/>
    <w:link w:val="FooterChar"/>
    <w:uiPriority w:val="99"/>
    <w:unhideWhenUsed/>
    <w:rsid w:val="00C17014"/>
    <w:pPr>
      <w:tabs>
        <w:tab w:val="center" w:pos="4320"/>
        <w:tab w:val="right" w:pos="8640"/>
      </w:tabs>
    </w:pPr>
  </w:style>
  <w:style w:type="character" w:customStyle="1" w:styleId="FooterChar">
    <w:name w:val="Footer Char"/>
    <w:basedOn w:val="DefaultParagraphFont"/>
    <w:link w:val="Footer"/>
    <w:uiPriority w:val="99"/>
    <w:rsid w:val="00C17014"/>
  </w:style>
  <w:style w:type="character" w:styleId="PageNumber">
    <w:name w:val="page number"/>
    <w:basedOn w:val="DefaultParagraphFont"/>
    <w:uiPriority w:val="99"/>
    <w:semiHidden/>
    <w:unhideWhenUsed/>
    <w:rsid w:val="00C17014"/>
  </w:style>
  <w:style w:type="paragraph" w:customStyle="1" w:styleId="SingleTxtG">
    <w:name w:val="_ Single Txt_G"/>
    <w:basedOn w:val="Normal"/>
    <w:rsid w:val="00BF12CB"/>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BF12CB"/>
    <w:pPr>
      <w:spacing w:before="100" w:beforeAutospacing="1" w:after="100" w:afterAutospacing="1"/>
    </w:pPr>
    <w:rPr>
      <w:rFonts w:ascii="Times New Roman" w:eastAsia="Times New Roman" w:hAnsi="Times New Roman" w:cs="Times New Roman"/>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579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5790"/>
    <w:rPr>
      <w:rFonts w:ascii="Lucida Grande" w:hAnsi="Lucida Grande" w:cs="Lucida Grande"/>
      <w:sz w:val="18"/>
      <w:szCs w:val="18"/>
    </w:rPr>
  </w:style>
  <w:style w:type="paragraph" w:styleId="ListParagraph">
    <w:name w:val="List Paragraph"/>
    <w:basedOn w:val="Normal"/>
    <w:uiPriority w:val="34"/>
    <w:qFormat/>
    <w:rsid w:val="002E3D43"/>
    <w:pPr>
      <w:ind w:left="720"/>
      <w:contextualSpacing/>
    </w:pPr>
  </w:style>
  <w:style w:type="paragraph" w:styleId="FootnoteText">
    <w:name w:val="footnote text"/>
    <w:basedOn w:val="Normal"/>
    <w:link w:val="FootnoteTextChar"/>
    <w:uiPriority w:val="99"/>
    <w:unhideWhenUsed/>
    <w:rsid w:val="00677A79"/>
    <w:rPr>
      <w:rFonts w:eastAsiaTheme="minorHAnsi"/>
      <w:sz w:val="20"/>
      <w:szCs w:val="20"/>
      <w:lang w:val="es-ES"/>
    </w:rPr>
  </w:style>
  <w:style w:type="character" w:customStyle="1" w:styleId="FootnoteTextChar">
    <w:name w:val="Footnote Text Char"/>
    <w:basedOn w:val="DefaultParagraphFont"/>
    <w:link w:val="FootnoteText"/>
    <w:uiPriority w:val="99"/>
    <w:rsid w:val="00677A79"/>
    <w:rPr>
      <w:rFonts w:eastAsiaTheme="minorHAnsi"/>
      <w:sz w:val="20"/>
      <w:szCs w:val="20"/>
      <w:lang w:val="es-ES"/>
    </w:rPr>
  </w:style>
  <w:style w:type="character" w:styleId="FootnoteReference">
    <w:name w:val="footnote reference"/>
    <w:basedOn w:val="DefaultParagraphFont"/>
    <w:uiPriority w:val="99"/>
    <w:unhideWhenUsed/>
    <w:rsid w:val="00677A79"/>
    <w:rPr>
      <w:vertAlign w:val="superscript"/>
    </w:rPr>
  </w:style>
  <w:style w:type="character" w:customStyle="1" w:styleId="apple-converted-space">
    <w:name w:val="apple-converted-space"/>
    <w:basedOn w:val="DefaultParagraphFont"/>
    <w:rsid w:val="00677A79"/>
  </w:style>
  <w:style w:type="character" w:styleId="Hyperlink">
    <w:name w:val="Hyperlink"/>
    <w:basedOn w:val="DefaultParagraphFont"/>
    <w:unhideWhenUsed/>
    <w:rsid w:val="00677A79"/>
    <w:rPr>
      <w:color w:val="0000FF"/>
      <w:u w:val="single"/>
    </w:rPr>
  </w:style>
  <w:style w:type="character" w:styleId="Strong">
    <w:name w:val="Strong"/>
    <w:basedOn w:val="DefaultParagraphFont"/>
    <w:uiPriority w:val="22"/>
    <w:qFormat/>
    <w:rsid w:val="00677A79"/>
    <w:rPr>
      <w:b/>
      <w:bCs/>
    </w:rPr>
  </w:style>
  <w:style w:type="character" w:customStyle="1" w:styleId="Caracteresdenotaalpie">
    <w:name w:val="Caracteres de nota al pie"/>
    <w:rsid w:val="0072599D"/>
    <w:rPr>
      <w:vertAlign w:val="superscript"/>
    </w:rPr>
  </w:style>
  <w:style w:type="paragraph" w:styleId="Footer">
    <w:name w:val="footer"/>
    <w:basedOn w:val="Normal"/>
    <w:link w:val="FooterChar"/>
    <w:uiPriority w:val="99"/>
    <w:unhideWhenUsed/>
    <w:rsid w:val="00C17014"/>
    <w:pPr>
      <w:tabs>
        <w:tab w:val="center" w:pos="4320"/>
        <w:tab w:val="right" w:pos="8640"/>
      </w:tabs>
    </w:pPr>
  </w:style>
  <w:style w:type="character" w:customStyle="1" w:styleId="FooterChar">
    <w:name w:val="Footer Char"/>
    <w:basedOn w:val="DefaultParagraphFont"/>
    <w:link w:val="Footer"/>
    <w:uiPriority w:val="99"/>
    <w:rsid w:val="00C17014"/>
  </w:style>
  <w:style w:type="character" w:styleId="PageNumber">
    <w:name w:val="page number"/>
    <w:basedOn w:val="DefaultParagraphFont"/>
    <w:uiPriority w:val="99"/>
    <w:semiHidden/>
    <w:unhideWhenUsed/>
    <w:rsid w:val="00C17014"/>
  </w:style>
  <w:style w:type="paragraph" w:customStyle="1" w:styleId="SingleTxtG">
    <w:name w:val="_ Single Txt_G"/>
    <w:basedOn w:val="Normal"/>
    <w:rsid w:val="00BF12CB"/>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BF12CB"/>
    <w:pPr>
      <w:spacing w:before="100" w:beforeAutospacing="1" w:after="100" w:afterAutospacing="1"/>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B8A15C-FB21-4D8C-BAC3-1106C0180594}"/>
</file>

<file path=customXml/itemProps2.xml><?xml version="1.0" encoding="utf-8"?>
<ds:datastoreItem xmlns:ds="http://schemas.openxmlformats.org/officeDocument/2006/customXml" ds:itemID="{AA951340-CE3E-44F4-8E09-0CE0CBBB3B89}"/>
</file>

<file path=customXml/itemProps3.xml><?xml version="1.0" encoding="utf-8"?>
<ds:datastoreItem xmlns:ds="http://schemas.openxmlformats.org/officeDocument/2006/customXml" ds:itemID="{DD36B361-FF2C-4B37-9581-89BCDDB80A95}"/>
</file>

<file path=customXml/itemProps4.xml><?xml version="1.0" encoding="utf-8"?>
<ds:datastoreItem xmlns:ds="http://schemas.openxmlformats.org/officeDocument/2006/customXml" ds:itemID="{83C0205C-D504-4136-88B4-10061B0B03CE}"/>
</file>

<file path=docProps/app.xml><?xml version="1.0" encoding="utf-8"?>
<Properties xmlns="http://schemas.openxmlformats.org/officeDocument/2006/extended-properties" xmlns:vt="http://schemas.openxmlformats.org/officeDocument/2006/docPropsVTypes">
  <Template>Normal.dotm</Template>
  <TotalTime>1</TotalTime>
  <Pages>13</Pages>
  <Words>3099</Words>
  <Characters>17669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Genovese</dc:creator>
  <cp:lastModifiedBy>OHCHR</cp:lastModifiedBy>
  <cp:revision>2</cp:revision>
  <dcterms:created xsi:type="dcterms:W3CDTF">2015-04-07T09:56:00Z</dcterms:created>
  <dcterms:modified xsi:type="dcterms:W3CDTF">2015-04-07T09:56:00Z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