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795AA" w14:textId="77777777" w:rsidR="00A20756" w:rsidRPr="00A20756" w:rsidRDefault="00A20756" w:rsidP="00E433D9">
      <w:pPr>
        <w:spacing w:after="33" w:line="360" w:lineRule="auto"/>
        <w:ind w:left="139" w:right="87"/>
        <w:jc w:val="center"/>
        <w:rPr>
          <w:b/>
          <w:bCs/>
        </w:rPr>
      </w:pPr>
      <w:bookmarkStart w:id="0" w:name="_GoBack"/>
      <w:bookmarkEnd w:id="0"/>
    </w:p>
    <w:p w14:paraId="0624CC62" w14:textId="47712101" w:rsidR="00A20756" w:rsidRPr="00A20756" w:rsidRDefault="00A20756" w:rsidP="00E433D9">
      <w:pPr>
        <w:spacing w:after="33" w:line="360" w:lineRule="auto"/>
        <w:ind w:left="139" w:right="87"/>
        <w:jc w:val="center"/>
        <w:rPr>
          <w:b/>
          <w:bCs/>
        </w:rPr>
      </w:pPr>
      <w:r w:rsidRPr="00A20756">
        <w:rPr>
          <w:b/>
          <w:bCs/>
        </w:rPr>
        <w:t xml:space="preserve">CONTRIBUTION DE LA CNDH AUX TRAVAUX DE LA 69 </w:t>
      </w:r>
      <w:r w:rsidR="005866D2" w:rsidRPr="00A20756">
        <w:rPr>
          <w:b/>
          <w:bCs/>
        </w:rPr>
        <w:t>-ème</w:t>
      </w:r>
      <w:r w:rsidRPr="00A20756">
        <w:rPr>
          <w:b/>
          <w:bCs/>
        </w:rPr>
        <w:t xml:space="preserve"> SESSION DU COMITE SUR </w:t>
      </w:r>
      <w:bookmarkStart w:id="1" w:name="_Hlk77161296"/>
      <w:r w:rsidRPr="00A20756">
        <w:rPr>
          <w:b/>
          <w:bCs/>
        </w:rPr>
        <w:t>LES DROITS SOCIAUX, ECONOMIQUES ET CULTURES</w:t>
      </w:r>
      <w:bookmarkEnd w:id="1"/>
    </w:p>
    <w:p w14:paraId="6782A267" w14:textId="32F3D89D" w:rsidR="00A20756" w:rsidRDefault="00A20756" w:rsidP="00E433D9">
      <w:pPr>
        <w:spacing w:after="33" w:line="360" w:lineRule="auto"/>
        <w:ind w:left="139" w:right="87"/>
        <w:jc w:val="center"/>
        <w:rPr>
          <w:b/>
          <w:bCs/>
        </w:rPr>
      </w:pPr>
      <w:r w:rsidRPr="00A20756">
        <w:rPr>
          <w:b/>
          <w:bCs/>
        </w:rPr>
        <w:t>18-22 OCTOBRE 2021, GENEVE</w:t>
      </w:r>
    </w:p>
    <w:p w14:paraId="370F6A1C" w14:textId="26AE1721" w:rsidR="00A20756" w:rsidRPr="003D5C1A" w:rsidRDefault="00D0444F" w:rsidP="00E4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hAnsiTheme="majorBidi" w:cstheme="majorBidi"/>
          <w:color w:val="auto"/>
          <w:szCs w:val="28"/>
        </w:rPr>
      </w:pPr>
      <w:r w:rsidRPr="003D5C1A">
        <w:rPr>
          <w:color w:val="auto"/>
          <w:szCs w:val="28"/>
        </w:rPr>
        <w:t>La Commission Nationale des Droits de l’homme</w:t>
      </w:r>
      <w:r w:rsidR="003D5C1A" w:rsidRPr="003D5C1A">
        <w:rPr>
          <w:color w:val="auto"/>
          <w:szCs w:val="28"/>
        </w:rPr>
        <w:t xml:space="preserve"> est une</w:t>
      </w:r>
      <w:r w:rsidRPr="003D5C1A">
        <w:rPr>
          <w:color w:val="auto"/>
          <w:szCs w:val="28"/>
        </w:rPr>
        <w:t xml:space="preserve"> institution indépendante</w:t>
      </w:r>
      <w:r w:rsidR="003D5C1A" w:rsidRPr="003D5C1A">
        <w:rPr>
          <w:color w:val="auto"/>
          <w:szCs w:val="28"/>
        </w:rPr>
        <w:t xml:space="preserve"> de promotion et de protection des Droits de l’Homme. Elle est un</w:t>
      </w:r>
      <w:r w:rsidR="003D5C1A" w:rsidRPr="003D5C1A">
        <w:rPr>
          <w:rFonts w:asciiTheme="majorBidi" w:hAnsiTheme="majorBidi" w:cstheme="majorBidi"/>
          <w:color w:val="auto"/>
          <w:szCs w:val="28"/>
        </w:rPr>
        <w:t xml:space="preserve"> cadre national de concertation entre les départements concernés par les questions des droits de l'homme et les ONG œuvrant pour la promotion et la protection des droits de l'homme.</w:t>
      </w:r>
      <w:r w:rsidR="003D5C1A" w:rsidRPr="003D5C1A">
        <w:rPr>
          <w:color w:val="auto"/>
          <w:szCs w:val="28"/>
        </w:rPr>
        <w:t xml:space="preserve"> Elle a</w:t>
      </w:r>
      <w:r w:rsidRPr="003D5C1A">
        <w:rPr>
          <w:color w:val="auto"/>
          <w:szCs w:val="28"/>
        </w:rPr>
        <w:t xml:space="preserve"> pour </w:t>
      </w:r>
      <w:r w:rsidR="003D5C1A" w:rsidRPr="003D5C1A">
        <w:rPr>
          <w:color w:val="auto"/>
          <w:szCs w:val="28"/>
        </w:rPr>
        <w:t>missions de</w:t>
      </w:r>
      <w:r w:rsidRPr="003D5C1A">
        <w:rPr>
          <w:color w:val="auto"/>
          <w:szCs w:val="28"/>
        </w:rPr>
        <w:t xml:space="preserve"> donner, à la demande du gouvernement, ou sur sa propre initiative, un avis consultatif sur les questions d’ordre général ou spécifique, se rapportant à la promotion et à la protection des droits de l’homme au respect des libertés Individuelles et collectives. Elle est composée majoritairement de représentants des organisations de la société civile, des ordres professionnels ayant voix délibératives et comprend des représentants des différentes administrations concernées qui ont voix consultatives. </w:t>
      </w:r>
    </w:p>
    <w:p w14:paraId="2E4BD278" w14:textId="639466BF" w:rsidR="000C16B9" w:rsidRPr="000C16B9" w:rsidRDefault="000C16B9" w:rsidP="00E433D9">
      <w:pPr>
        <w:spacing w:line="360" w:lineRule="auto"/>
        <w:ind w:left="24" w:right="8" w:firstLine="0"/>
      </w:pPr>
      <w:r>
        <w:t xml:space="preserve">Sa ré accréditation au statut </w:t>
      </w:r>
      <w:r>
        <w:rPr>
          <w:b/>
          <w:sz w:val="36"/>
        </w:rPr>
        <w:t>A</w:t>
      </w:r>
      <w:r>
        <w:t xml:space="preserve"> des Institutions Nationales des Droits de l’Homme et ses relations de partenariat constructif avec le gouvernement et les autres partenaires la réconfortent davantage dans ses efforts pour mener à bien ses missions conformément aux Principes de Paris, à la législation nationale et aux engagements internationaux du pays en toute indépendance. </w:t>
      </w:r>
    </w:p>
    <w:p w14:paraId="1142951F" w14:textId="4F3696E3" w:rsidR="00226EB5" w:rsidRDefault="00D0444F" w:rsidP="00E433D9">
      <w:pPr>
        <w:spacing w:line="360" w:lineRule="auto"/>
        <w:rPr>
          <w:color w:val="auto"/>
        </w:rPr>
      </w:pPr>
      <w:r w:rsidRPr="007203FD">
        <w:rPr>
          <w:color w:val="auto"/>
        </w:rPr>
        <w:t>Les instruments internationaux relatifs aux droits de l’homme ratifiés sont incorporés dans l’ordre juridique interne conformément à l’article 80 de la Constitution. A travers cet article, toutes les dispositions relatives aux droits de l’homme issues des conventions ratifiées peuvent être invoquées devant les juridictions et le juge est tenu de les appliquer</w:t>
      </w:r>
      <w:r w:rsidR="007203FD">
        <w:rPr>
          <w:color w:val="auto"/>
        </w:rPr>
        <w:t>.</w:t>
      </w:r>
    </w:p>
    <w:p w14:paraId="7C4752B6" w14:textId="77777777" w:rsidR="00980314" w:rsidRPr="007203FD" w:rsidRDefault="00980314" w:rsidP="00E433D9">
      <w:pPr>
        <w:spacing w:line="360" w:lineRule="auto"/>
        <w:rPr>
          <w:color w:val="auto"/>
        </w:rPr>
      </w:pPr>
    </w:p>
    <w:p w14:paraId="16DCC29C" w14:textId="33416CE1" w:rsidR="00226EB5" w:rsidRDefault="00226EB5" w:rsidP="00E433D9">
      <w:pPr>
        <w:spacing w:line="360" w:lineRule="auto"/>
      </w:pPr>
      <w:r w:rsidRPr="00A20756">
        <w:rPr>
          <w:b/>
          <w:bCs/>
        </w:rPr>
        <w:lastRenderedPageBreak/>
        <w:t>LES DROITS SOCIAUX, ECONOMIQUES ET CULTURES</w:t>
      </w:r>
    </w:p>
    <w:p w14:paraId="26651653" w14:textId="77777777" w:rsidR="007203FD" w:rsidRDefault="007203FD" w:rsidP="00E433D9">
      <w:pPr>
        <w:spacing w:after="33" w:line="360" w:lineRule="auto"/>
        <w:ind w:left="139" w:right="95"/>
      </w:pPr>
      <w:r>
        <w:t>Ces droits sont protégés par le pacte international relatif aux droits économiques, sociaux et culturels de 1966, ratifié par la Mauritanie en 2004.  Ce pacte pose les principes permettant la réalisation de ces droits sans discrimination fondée, notamment, sur la race, l’origine, le sexe ou la condition sociale et impose aux Etats parties le plein exercice de ceux-ci.</w:t>
      </w:r>
    </w:p>
    <w:p w14:paraId="0F163483" w14:textId="77777777" w:rsidR="007203FD" w:rsidRDefault="007203FD" w:rsidP="00E433D9">
      <w:pPr>
        <w:spacing w:after="33" w:line="360" w:lineRule="auto"/>
        <w:ind w:left="139" w:right="95"/>
      </w:pPr>
      <w:r>
        <w:t xml:space="preserve"> Les droits économiques, sociaux et culturels sont également proclamés et garantis par d’autres conventions internationales notamment, la convention sur l'élimination de toutes les formes de discrimination à l'égard de la femme et la convention relative aux droits de l’enfant qui admettent que tous ces droits sont indivisibles, inaliénables et interdépendants. </w:t>
      </w:r>
    </w:p>
    <w:p w14:paraId="0D364BC6" w14:textId="11D668FF" w:rsidR="007203FD" w:rsidRDefault="007203FD" w:rsidP="00E433D9">
      <w:pPr>
        <w:spacing w:after="33" w:line="360" w:lineRule="auto"/>
        <w:ind w:right="87"/>
      </w:pPr>
      <w:r>
        <w:t>La présente contribution traite donc des droits économiques, sociaux et culturels (DESC) appelés droits de la deuxième génération qui sont principalement, les droits à l’éducation (1), à la santé (2), au travail et à la sécurité sociale (3), à</w:t>
      </w:r>
      <w:r>
        <w:rPr>
          <w:b/>
        </w:rPr>
        <w:t xml:space="preserve"> </w:t>
      </w:r>
      <w:r>
        <w:t>l’accès à l’eau potable</w:t>
      </w:r>
      <w:r>
        <w:rPr>
          <w:b/>
        </w:rPr>
        <w:t xml:space="preserve"> </w:t>
      </w:r>
      <w:r>
        <w:t>(4</w:t>
      </w:r>
      <w:r w:rsidR="002261F3">
        <w:t>),</w:t>
      </w:r>
      <w:r>
        <w:t xml:space="preserve"> à l’accès à la propriété foncière (5) et les droits culturels (6)</w:t>
      </w:r>
    </w:p>
    <w:p w14:paraId="3F2BA58F" w14:textId="00466A00" w:rsidR="00226EB5" w:rsidRPr="00980314" w:rsidRDefault="00226EB5" w:rsidP="00E433D9">
      <w:pPr>
        <w:numPr>
          <w:ilvl w:val="0"/>
          <w:numId w:val="1"/>
        </w:numPr>
        <w:spacing w:after="13" w:line="360" w:lineRule="auto"/>
        <w:ind w:right="0" w:hanging="658"/>
        <w:jc w:val="left"/>
        <w:rPr>
          <w:b/>
          <w:bCs/>
          <w:sz w:val="32"/>
          <w:szCs w:val="32"/>
          <w:u w:val="single"/>
        </w:rPr>
      </w:pPr>
      <w:r w:rsidRPr="00980314">
        <w:rPr>
          <w:b/>
          <w:bCs/>
          <w:sz w:val="32"/>
          <w:szCs w:val="32"/>
          <w:u w:val="single"/>
        </w:rPr>
        <w:t xml:space="preserve">Le droit à l’éducation </w:t>
      </w:r>
    </w:p>
    <w:p w14:paraId="1B8C23BB" w14:textId="5CE381EA" w:rsidR="00C113EC" w:rsidRPr="00980314" w:rsidRDefault="00980314" w:rsidP="00E433D9">
      <w:pPr>
        <w:pStyle w:val="SingleTxtG"/>
        <w:spacing w:line="360" w:lineRule="auto"/>
        <w:ind w:left="0"/>
        <w:rPr>
          <w:sz w:val="28"/>
          <w:szCs w:val="28"/>
        </w:rPr>
      </w:pPr>
      <w:r w:rsidRPr="00980314">
        <w:rPr>
          <w:sz w:val="28"/>
          <w:szCs w:val="28"/>
          <w:lang w:val="fr-FR"/>
        </w:rPr>
        <w:t xml:space="preserve">Afin de </w:t>
      </w:r>
      <w:r w:rsidRPr="00980314">
        <w:rPr>
          <w:sz w:val="28"/>
          <w:szCs w:val="28"/>
        </w:rPr>
        <w:t>garantir</w:t>
      </w:r>
      <w:r w:rsidR="00C113EC" w:rsidRPr="00980314">
        <w:rPr>
          <w:sz w:val="28"/>
          <w:szCs w:val="28"/>
        </w:rPr>
        <w:t xml:space="preserve"> à tous une éducation de base, y compris pour un enseignement préscolaire élargi et de qualité, la stratégie au niveau du préscolaire </w:t>
      </w:r>
      <w:r w:rsidRPr="00980314">
        <w:rPr>
          <w:sz w:val="28"/>
          <w:szCs w:val="28"/>
        </w:rPr>
        <w:t>doit mettre</w:t>
      </w:r>
      <w:r w:rsidR="00C113EC" w:rsidRPr="00980314">
        <w:rPr>
          <w:sz w:val="28"/>
          <w:szCs w:val="28"/>
        </w:rPr>
        <w:t xml:space="preserve"> l’accent sur les objectifs d’élargissement de l’accès en particulier en milieu rural et pour les enfants des milieux pauvres et sur la formation des monitrices sur les programmes et outils pédagogiques. </w:t>
      </w:r>
    </w:p>
    <w:p w14:paraId="6A437C3F" w14:textId="0563D64E" w:rsidR="00C113EC" w:rsidRPr="00980314" w:rsidRDefault="00C113EC" w:rsidP="00E433D9">
      <w:pPr>
        <w:pStyle w:val="SingleTxtG"/>
        <w:spacing w:line="360" w:lineRule="auto"/>
        <w:ind w:left="0"/>
        <w:rPr>
          <w:sz w:val="28"/>
          <w:szCs w:val="28"/>
        </w:rPr>
      </w:pPr>
      <w:r w:rsidRPr="00980314">
        <w:rPr>
          <w:sz w:val="28"/>
          <w:szCs w:val="28"/>
        </w:rPr>
        <w:t xml:space="preserve">Pour ce qui est de l’enseignement primaire, les actions </w:t>
      </w:r>
      <w:r w:rsidR="00980314" w:rsidRPr="00980314">
        <w:rPr>
          <w:sz w:val="28"/>
          <w:szCs w:val="28"/>
        </w:rPr>
        <w:t>entreprises ont</w:t>
      </w:r>
      <w:r w:rsidRPr="00980314">
        <w:rPr>
          <w:sz w:val="28"/>
          <w:szCs w:val="28"/>
        </w:rPr>
        <w:t xml:space="preserve"> porté sur l’accès au service à travers l’élargissement de l’offre en infrastructures et en ressources humaines, sur la qualité de l’enseignement à travers la qualification du personnel et sa motivation, </w:t>
      </w:r>
      <w:r w:rsidRPr="00980314">
        <w:rPr>
          <w:sz w:val="28"/>
          <w:szCs w:val="28"/>
        </w:rPr>
        <w:lastRenderedPageBreak/>
        <w:t xml:space="preserve">et à travers l’élaboration et la diffusion des manuels pédagogiques et le renforcement de l’encadrement pédagogique de proximité. </w:t>
      </w:r>
    </w:p>
    <w:p w14:paraId="24410E26" w14:textId="65549ABC" w:rsidR="00C9581B" w:rsidRPr="00980314" w:rsidRDefault="00C9581B" w:rsidP="00E433D9">
      <w:pPr>
        <w:spacing w:after="111" w:line="360" w:lineRule="auto"/>
        <w:ind w:left="139" w:right="8"/>
        <w:rPr>
          <w:color w:val="auto"/>
        </w:rPr>
      </w:pPr>
      <w:r w:rsidRPr="00980314">
        <w:rPr>
          <w:color w:val="auto"/>
        </w:rPr>
        <w:t xml:space="preserve">Malgré ces </w:t>
      </w:r>
      <w:r w:rsidR="00980314" w:rsidRPr="00980314">
        <w:rPr>
          <w:color w:val="auto"/>
        </w:rPr>
        <w:t>initiatives</w:t>
      </w:r>
      <w:r w:rsidRPr="00980314">
        <w:rPr>
          <w:color w:val="auto"/>
        </w:rPr>
        <w:t xml:space="preserve">, divers problèmes liés au secteur persistent et méritent d'être traités. Cela inclut : </w:t>
      </w:r>
    </w:p>
    <w:p w14:paraId="6EC882EC" w14:textId="008DE83F" w:rsidR="00C9581B" w:rsidRPr="00980314" w:rsidRDefault="00980314" w:rsidP="00E433D9">
      <w:pPr>
        <w:numPr>
          <w:ilvl w:val="0"/>
          <w:numId w:val="2"/>
        </w:numPr>
        <w:spacing w:after="14" w:line="360" w:lineRule="auto"/>
        <w:ind w:right="8" w:hanging="360"/>
        <w:rPr>
          <w:color w:val="auto"/>
        </w:rPr>
      </w:pPr>
      <w:r w:rsidRPr="00980314">
        <w:rPr>
          <w:color w:val="auto"/>
        </w:rPr>
        <w:t>La</w:t>
      </w:r>
      <w:r w:rsidR="00C9581B" w:rsidRPr="00980314">
        <w:rPr>
          <w:color w:val="auto"/>
        </w:rPr>
        <w:t xml:space="preserve"> faible qualité de l'éducation de base </w:t>
      </w:r>
    </w:p>
    <w:p w14:paraId="1D537DA4" w14:textId="0587909A" w:rsidR="00C9581B" w:rsidRPr="00980314" w:rsidRDefault="00980314" w:rsidP="00E433D9">
      <w:pPr>
        <w:numPr>
          <w:ilvl w:val="0"/>
          <w:numId w:val="2"/>
        </w:numPr>
        <w:spacing w:after="14" w:line="360" w:lineRule="auto"/>
        <w:ind w:right="8" w:hanging="360"/>
        <w:rPr>
          <w:color w:val="auto"/>
        </w:rPr>
      </w:pPr>
      <w:r w:rsidRPr="00980314">
        <w:rPr>
          <w:color w:val="auto"/>
        </w:rPr>
        <w:t>Le</w:t>
      </w:r>
      <w:r w:rsidR="00C9581B" w:rsidRPr="00980314">
        <w:rPr>
          <w:color w:val="auto"/>
        </w:rPr>
        <w:t xml:space="preserve"> faible accès et la faible qualité de l'enseignement secondaire </w:t>
      </w:r>
    </w:p>
    <w:p w14:paraId="2707B141" w14:textId="1FE65163" w:rsidR="00C9581B" w:rsidRPr="00980314" w:rsidRDefault="00980314" w:rsidP="00E433D9">
      <w:pPr>
        <w:numPr>
          <w:ilvl w:val="0"/>
          <w:numId w:val="2"/>
        </w:numPr>
        <w:spacing w:after="14" w:line="360" w:lineRule="auto"/>
        <w:ind w:right="8" w:hanging="360"/>
        <w:rPr>
          <w:color w:val="auto"/>
        </w:rPr>
      </w:pPr>
      <w:r w:rsidRPr="00980314">
        <w:rPr>
          <w:color w:val="auto"/>
        </w:rPr>
        <w:t>Le</w:t>
      </w:r>
      <w:r w:rsidR="00C9581B" w:rsidRPr="00980314">
        <w:rPr>
          <w:color w:val="auto"/>
        </w:rPr>
        <w:t xml:space="preserve"> faible taux de passage dans le secondaire</w:t>
      </w:r>
      <w:r w:rsidRPr="00980314">
        <w:rPr>
          <w:color w:val="auto"/>
        </w:rPr>
        <w:t>.</w:t>
      </w:r>
    </w:p>
    <w:p w14:paraId="6D27D8B0" w14:textId="079ED3FA" w:rsidR="00C9581B" w:rsidRPr="00980314" w:rsidRDefault="00980314" w:rsidP="00E433D9">
      <w:pPr>
        <w:numPr>
          <w:ilvl w:val="0"/>
          <w:numId w:val="2"/>
        </w:numPr>
        <w:spacing w:line="360" w:lineRule="auto"/>
        <w:ind w:right="8" w:hanging="360"/>
        <w:rPr>
          <w:color w:val="auto"/>
        </w:rPr>
      </w:pPr>
      <w:r w:rsidRPr="00980314">
        <w:rPr>
          <w:color w:val="auto"/>
        </w:rPr>
        <w:t>Le</w:t>
      </w:r>
      <w:r w:rsidR="00C9581B" w:rsidRPr="00980314">
        <w:rPr>
          <w:color w:val="auto"/>
        </w:rPr>
        <w:t xml:space="preserve"> manque d'enseignants qualifiés dans le secondaire. </w:t>
      </w:r>
    </w:p>
    <w:p w14:paraId="43A93C38" w14:textId="73733954" w:rsidR="00C9581B" w:rsidRPr="00980314" w:rsidRDefault="00C9581B" w:rsidP="00E433D9">
      <w:pPr>
        <w:numPr>
          <w:ilvl w:val="0"/>
          <w:numId w:val="2"/>
        </w:numPr>
        <w:spacing w:after="14" w:line="360" w:lineRule="auto"/>
        <w:ind w:right="8" w:hanging="360"/>
        <w:rPr>
          <w:color w:val="auto"/>
        </w:rPr>
      </w:pPr>
      <w:r w:rsidRPr="00980314">
        <w:rPr>
          <w:color w:val="auto"/>
        </w:rPr>
        <w:t xml:space="preserve">Le manque de ressources allouées aux établissements et enseignements. </w:t>
      </w:r>
    </w:p>
    <w:p w14:paraId="4336107B" w14:textId="2D28733F" w:rsidR="00C113EC" w:rsidRPr="00980314" w:rsidRDefault="00C9581B" w:rsidP="00E433D9">
      <w:pPr>
        <w:spacing w:after="31" w:line="360" w:lineRule="auto"/>
        <w:ind w:right="0"/>
        <w:rPr>
          <w:color w:val="auto"/>
        </w:rPr>
      </w:pPr>
      <w:r w:rsidRPr="00980314">
        <w:rPr>
          <w:bCs/>
          <w:color w:val="auto"/>
        </w:rPr>
        <w:t>La CNDH recommande</w:t>
      </w:r>
      <w:r w:rsidRPr="00980314">
        <w:rPr>
          <w:color w:val="auto"/>
        </w:rPr>
        <w:t xml:space="preserve"> une réflexion inclusive pour asseoir un système éducatif cohérent, égalitaire et perform</w:t>
      </w:r>
      <w:r w:rsidR="00FD6D0B">
        <w:rPr>
          <w:color w:val="auto"/>
        </w:rPr>
        <w:t>ant, adapté et unique pour tous les mauritaniens.</w:t>
      </w:r>
    </w:p>
    <w:p w14:paraId="206C397B" w14:textId="77777777" w:rsidR="00980314" w:rsidRPr="00980314" w:rsidRDefault="00980314" w:rsidP="00E433D9">
      <w:pPr>
        <w:spacing w:after="31" w:line="360" w:lineRule="auto"/>
        <w:ind w:right="0"/>
      </w:pPr>
    </w:p>
    <w:p w14:paraId="65CB7D35" w14:textId="2B886ED4" w:rsidR="00C9581B" w:rsidRPr="00CA7AA5" w:rsidRDefault="00226EB5" w:rsidP="00E433D9">
      <w:pPr>
        <w:numPr>
          <w:ilvl w:val="0"/>
          <w:numId w:val="1"/>
        </w:numPr>
        <w:spacing w:after="13" w:line="360" w:lineRule="auto"/>
        <w:ind w:right="0" w:hanging="658"/>
        <w:jc w:val="left"/>
        <w:rPr>
          <w:b/>
          <w:bCs/>
          <w:sz w:val="32"/>
          <w:szCs w:val="32"/>
          <w:u w:val="single"/>
        </w:rPr>
      </w:pPr>
      <w:r w:rsidRPr="00CA7AA5">
        <w:rPr>
          <w:b/>
          <w:bCs/>
          <w:sz w:val="32"/>
          <w:szCs w:val="32"/>
          <w:u w:val="single"/>
        </w:rPr>
        <w:t xml:space="preserve">Le droit à la santé </w:t>
      </w:r>
    </w:p>
    <w:p w14:paraId="73162B28" w14:textId="4BB471EC" w:rsidR="00C9581B" w:rsidRPr="00485B76" w:rsidRDefault="00C9581B" w:rsidP="00E433D9">
      <w:pPr>
        <w:spacing w:after="36" w:line="360" w:lineRule="auto"/>
        <w:ind w:left="139" w:right="8"/>
        <w:rPr>
          <w:color w:val="auto"/>
        </w:rPr>
      </w:pPr>
      <w:r w:rsidRPr="00485B76">
        <w:rPr>
          <w:color w:val="auto"/>
        </w:rPr>
        <w:t xml:space="preserve">Le droit à la santé est un droit fondamental garanti par la constitution qui assure à tous les citoyens l’égal accès aux soins et à la prise en charge sanitaire. </w:t>
      </w:r>
    </w:p>
    <w:p w14:paraId="41C65B72" w14:textId="653FAE85" w:rsidR="004D72E3" w:rsidRPr="00485B76" w:rsidRDefault="00C113EC" w:rsidP="00E433D9">
      <w:pPr>
        <w:spacing w:after="13" w:line="360" w:lineRule="auto"/>
        <w:ind w:right="0"/>
        <w:jc w:val="left"/>
        <w:rPr>
          <w:color w:val="auto"/>
        </w:rPr>
      </w:pPr>
      <w:r w:rsidRPr="00485B76">
        <w:rPr>
          <w:color w:val="auto"/>
        </w:rPr>
        <w:t xml:space="preserve">Sur le plan des prestations du secteur de la santé et de leur accès, des améliorations significatives ont été enregistrées dans la perspective de la couverture de santé universelle. Sur ce plan, les efforts déployés ont permis </w:t>
      </w:r>
      <w:r w:rsidR="004D72E3" w:rsidRPr="00485B76">
        <w:rPr>
          <w:color w:val="auto"/>
        </w:rPr>
        <w:t>d’améliorer l’offre</w:t>
      </w:r>
      <w:r w:rsidRPr="00485B76">
        <w:rPr>
          <w:color w:val="auto"/>
        </w:rPr>
        <w:t xml:space="preserve"> en santé de la reproduction, le niveau de la santé de la femme et de l’enfant grâce notamment aux campagnes de vaccination et de la prise en charge de la malnutrition aigüe. </w:t>
      </w:r>
    </w:p>
    <w:p w14:paraId="4A2CD2C5" w14:textId="77777777" w:rsidR="00C9581B" w:rsidRDefault="00C9581B" w:rsidP="00E433D9">
      <w:pPr>
        <w:spacing w:line="360" w:lineRule="auto"/>
        <w:ind w:left="10" w:right="8"/>
      </w:pPr>
      <w:r>
        <w:t xml:space="preserve">En dépit des efforts fournis ces derniers temps par le Gouvernement dans le domaine de la santé, plusieurs défis restent encore à relever. Il s’agit de : </w:t>
      </w:r>
    </w:p>
    <w:p w14:paraId="349EA7E8" w14:textId="708C0F24" w:rsidR="00C9581B" w:rsidRDefault="00C9581B" w:rsidP="00E433D9">
      <w:pPr>
        <w:numPr>
          <w:ilvl w:val="0"/>
          <w:numId w:val="4"/>
        </w:numPr>
        <w:spacing w:line="360" w:lineRule="auto"/>
        <w:ind w:right="8" w:hanging="350"/>
      </w:pPr>
      <w:r>
        <w:t>Le taux élevé de mortalité infantile</w:t>
      </w:r>
      <w:r w:rsidR="00485B76">
        <w:t>.</w:t>
      </w:r>
      <w:r>
        <w:t xml:space="preserve"> </w:t>
      </w:r>
    </w:p>
    <w:p w14:paraId="459C4F0A" w14:textId="77777777" w:rsidR="00C9581B" w:rsidRDefault="00C9581B" w:rsidP="00E433D9">
      <w:pPr>
        <w:numPr>
          <w:ilvl w:val="0"/>
          <w:numId w:val="4"/>
        </w:numPr>
        <w:spacing w:line="360" w:lineRule="auto"/>
        <w:ind w:right="8" w:hanging="350"/>
      </w:pPr>
      <w:r>
        <w:t xml:space="preserve">L’inaccessibilité de la plupart des centres de santé dans les zones rurales ; </w:t>
      </w:r>
    </w:p>
    <w:p w14:paraId="189111B8" w14:textId="482DCCBE" w:rsidR="00C9581B" w:rsidRDefault="00C9581B" w:rsidP="00E433D9">
      <w:pPr>
        <w:numPr>
          <w:ilvl w:val="0"/>
          <w:numId w:val="4"/>
        </w:numPr>
        <w:spacing w:line="360" w:lineRule="auto"/>
        <w:ind w:right="8" w:hanging="350"/>
      </w:pPr>
      <w:r>
        <w:t xml:space="preserve">Le sous équipement et le manque de personnels au niveau de certains centres de santé ; </w:t>
      </w:r>
    </w:p>
    <w:p w14:paraId="1F0A3B52" w14:textId="10618694" w:rsidR="00C113EC" w:rsidRPr="00485B76" w:rsidRDefault="00C9581B" w:rsidP="00E433D9">
      <w:pPr>
        <w:numPr>
          <w:ilvl w:val="0"/>
          <w:numId w:val="4"/>
        </w:numPr>
        <w:spacing w:line="360" w:lineRule="auto"/>
        <w:ind w:right="8" w:hanging="350"/>
      </w:pPr>
      <w:r>
        <w:lastRenderedPageBreak/>
        <w:t>Le faible pouvoir d’achat qui ne permet pas aux couches défavorisées de bénéficier des soins adéquats</w:t>
      </w:r>
    </w:p>
    <w:p w14:paraId="136DF675" w14:textId="77777777" w:rsidR="00C9581B" w:rsidRDefault="00C9581B" w:rsidP="00E433D9">
      <w:pPr>
        <w:spacing w:line="360" w:lineRule="auto"/>
        <w:ind w:left="716" w:right="8"/>
      </w:pPr>
      <w:r>
        <w:t xml:space="preserve">L’insuffisance des ressources financières pour faire face à la prise en charge des personnes vulnérables ; </w:t>
      </w:r>
    </w:p>
    <w:p w14:paraId="7C94A7FD" w14:textId="77777777" w:rsidR="00C9581B" w:rsidRDefault="00C9581B" w:rsidP="00E433D9">
      <w:pPr>
        <w:numPr>
          <w:ilvl w:val="0"/>
          <w:numId w:val="5"/>
        </w:numPr>
        <w:spacing w:line="360" w:lineRule="auto"/>
        <w:ind w:right="8" w:hanging="423"/>
      </w:pPr>
      <w:r>
        <w:t xml:space="preserve">La faiblesse des salaires du personnel de la santé, qui sont dérisoires ; </w:t>
      </w:r>
    </w:p>
    <w:p w14:paraId="6DFD8BAB" w14:textId="77777777" w:rsidR="00C9581B" w:rsidRDefault="00C9581B" w:rsidP="00E433D9">
      <w:pPr>
        <w:numPr>
          <w:ilvl w:val="0"/>
          <w:numId w:val="5"/>
        </w:numPr>
        <w:spacing w:after="177" w:line="360" w:lineRule="auto"/>
        <w:ind w:right="8" w:hanging="423"/>
      </w:pPr>
      <w:r>
        <w:t xml:space="preserve">La pénurie d’eau dans certains hôpitaux notamment kiffa ; </w:t>
      </w:r>
    </w:p>
    <w:p w14:paraId="32E41B94" w14:textId="60CDFE84" w:rsidR="00C9581B" w:rsidRDefault="00C9581B" w:rsidP="00E433D9">
      <w:pPr>
        <w:numPr>
          <w:ilvl w:val="0"/>
          <w:numId w:val="5"/>
        </w:numPr>
        <w:spacing w:line="360" w:lineRule="auto"/>
        <w:ind w:right="8" w:hanging="423"/>
      </w:pPr>
      <w:r>
        <w:t xml:space="preserve">L’afflux massif des indigents vers le Centre Hospitalier de Nouakchott alors que d’autres structures sanitaires existent dans la </w:t>
      </w:r>
      <w:r w:rsidR="00E433D9">
        <w:t>Capitale ;</w:t>
      </w:r>
      <w:r>
        <w:t xml:space="preserve"> </w:t>
      </w:r>
    </w:p>
    <w:p w14:paraId="2A409D62" w14:textId="77777777" w:rsidR="00C9581B" w:rsidRDefault="00C9581B" w:rsidP="00E433D9">
      <w:pPr>
        <w:numPr>
          <w:ilvl w:val="0"/>
          <w:numId w:val="5"/>
        </w:numPr>
        <w:spacing w:after="173" w:line="360" w:lineRule="auto"/>
        <w:ind w:right="8" w:hanging="423"/>
      </w:pPr>
      <w:r>
        <w:t xml:space="preserve">La problématique de l’assurance maladie ; </w:t>
      </w:r>
    </w:p>
    <w:p w14:paraId="0BE26FFA" w14:textId="77777777" w:rsidR="00C9581B" w:rsidRDefault="00C9581B" w:rsidP="00E433D9">
      <w:pPr>
        <w:numPr>
          <w:ilvl w:val="0"/>
          <w:numId w:val="5"/>
        </w:numPr>
        <w:spacing w:line="360" w:lineRule="auto"/>
        <w:ind w:right="8" w:hanging="423"/>
      </w:pPr>
      <w:r>
        <w:t xml:space="preserve">L’insuffisance du personnel qualifié formé en hémodialyse ;  </w:t>
      </w:r>
    </w:p>
    <w:p w14:paraId="08EE8637" w14:textId="77777777" w:rsidR="00C9581B" w:rsidRDefault="00C9581B" w:rsidP="00E433D9">
      <w:pPr>
        <w:numPr>
          <w:ilvl w:val="0"/>
          <w:numId w:val="5"/>
        </w:numPr>
        <w:spacing w:after="178" w:line="360" w:lineRule="auto"/>
        <w:ind w:right="8" w:hanging="423"/>
      </w:pPr>
      <w:r>
        <w:t xml:space="preserve">La non disponibilité des médicaments essentiels ; </w:t>
      </w:r>
    </w:p>
    <w:p w14:paraId="419FAEE4" w14:textId="77777777" w:rsidR="00C9581B" w:rsidRDefault="00C9581B" w:rsidP="00E433D9">
      <w:pPr>
        <w:numPr>
          <w:ilvl w:val="0"/>
          <w:numId w:val="5"/>
        </w:numPr>
        <w:spacing w:line="360" w:lineRule="auto"/>
        <w:ind w:right="8" w:hanging="423"/>
      </w:pPr>
      <w:r>
        <w:t xml:space="preserve">L’insuffisance du budget pour la formation et le perfectionnement du personnel de la santé ; </w:t>
      </w:r>
    </w:p>
    <w:p w14:paraId="26054289" w14:textId="77777777" w:rsidR="00C9581B" w:rsidRDefault="00C9581B" w:rsidP="00E433D9">
      <w:pPr>
        <w:numPr>
          <w:ilvl w:val="0"/>
          <w:numId w:val="5"/>
        </w:numPr>
        <w:spacing w:after="177" w:line="360" w:lineRule="auto"/>
        <w:ind w:right="8" w:hanging="423"/>
      </w:pPr>
      <w:r>
        <w:t xml:space="preserve">L’insuffisance du personnel formé en gynécologie ; </w:t>
      </w:r>
    </w:p>
    <w:p w14:paraId="32D65637" w14:textId="77777777" w:rsidR="00C9581B" w:rsidRDefault="00C9581B" w:rsidP="00E433D9">
      <w:pPr>
        <w:numPr>
          <w:ilvl w:val="0"/>
          <w:numId w:val="5"/>
        </w:numPr>
        <w:spacing w:after="173" w:line="360" w:lineRule="auto"/>
        <w:ind w:right="8" w:hanging="423"/>
      </w:pPr>
      <w:r>
        <w:t xml:space="preserve">L’inexistence du personnel qualifié formé en animation et en Dialyse ; </w:t>
      </w:r>
    </w:p>
    <w:p w14:paraId="63B64AA7" w14:textId="77777777" w:rsidR="00C9581B" w:rsidRDefault="00C9581B" w:rsidP="00E433D9">
      <w:pPr>
        <w:numPr>
          <w:ilvl w:val="0"/>
          <w:numId w:val="5"/>
        </w:numPr>
        <w:spacing w:line="360" w:lineRule="auto"/>
        <w:ind w:right="8" w:hanging="423"/>
      </w:pPr>
      <w:r>
        <w:t xml:space="preserve">Le coût très élevé des prestations liées à la dialyse pour des malades qui n’ont pas de revenus et dont la prise en charge sociale est limitée juste à la séance de dialyse ; </w:t>
      </w:r>
    </w:p>
    <w:p w14:paraId="272E8783" w14:textId="72F35B95" w:rsidR="00C9581B" w:rsidRPr="00485B76" w:rsidRDefault="00C9581B" w:rsidP="00E433D9">
      <w:pPr>
        <w:spacing w:after="218" w:line="360" w:lineRule="auto"/>
        <w:ind w:left="139" w:right="8"/>
        <w:rPr>
          <w:b/>
          <w:bCs/>
        </w:rPr>
      </w:pPr>
      <w:r w:rsidRPr="00485B76">
        <w:rPr>
          <w:b/>
          <w:bCs/>
        </w:rPr>
        <w:t>La C</w:t>
      </w:r>
      <w:r w:rsidR="007543EC">
        <w:rPr>
          <w:b/>
          <w:bCs/>
        </w:rPr>
        <w:t>NDH</w:t>
      </w:r>
      <w:r w:rsidRPr="00485B76">
        <w:rPr>
          <w:b/>
          <w:bCs/>
        </w:rPr>
        <w:t xml:space="preserve"> recommande</w:t>
      </w:r>
      <w:r w:rsidR="001B6298">
        <w:rPr>
          <w:b/>
          <w:bCs/>
        </w:rPr>
        <w:t xml:space="preserve"> </w:t>
      </w:r>
      <w:r w:rsidRPr="00485B76">
        <w:rPr>
          <w:b/>
          <w:bCs/>
        </w:rPr>
        <w:t xml:space="preserve">de : </w:t>
      </w:r>
    </w:p>
    <w:p w14:paraId="3F116888" w14:textId="77777777" w:rsidR="00C9581B" w:rsidRDefault="00C9581B" w:rsidP="00E433D9">
      <w:pPr>
        <w:numPr>
          <w:ilvl w:val="0"/>
          <w:numId w:val="6"/>
        </w:numPr>
        <w:spacing w:line="360" w:lineRule="auto"/>
        <w:ind w:right="8" w:hanging="283"/>
      </w:pPr>
      <w:r>
        <w:t xml:space="preserve">Prendre les dispositions nécessaires en vue d’améliorer l'accès aux soins de santé au profit des couches défavorisées ; </w:t>
      </w:r>
    </w:p>
    <w:p w14:paraId="19E40F3D" w14:textId="3109B283" w:rsidR="00C9581B" w:rsidRDefault="00C9581B" w:rsidP="00E433D9">
      <w:pPr>
        <w:numPr>
          <w:ilvl w:val="0"/>
          <w:numId w:val="6"/>
        </w:numPr>
        <w:spacing w:line="360" w:lineRule="auto"/>
        <w:ind w:right="8" w:hanging="283"/>
      </w:pPr>
      <w:r>
        <w:t xml:space="preserve">Mettre en place une caisse de solidarité nationale pour les prises en charge des </w:t>
      </w:r>
      <w:r w:rsidR="00485B76">
        <w:t>indigents ;</w:t>
      </w:r>
      <w:r>
        <w:t xml:space="preserve"> </w:t>
      </w:r>
    </w:p>
    <w:p w14:paraId="5D2944DD" w14:textId="77777777" w:rsidR="00C9581B" w:rsidRDefault="00C9581B" w:rsidP="00E433D9">
      <w:pPr>
        <w:numPr>
          <w:ilvl w:val="0"/>
          <w:numId w:val="6"/>
        </w:numPr>
        <w:spacing w:after="173" w:line="360" w:lineRule="auto"/>
        <w:ind w:right="8" w:hanging="283"/>
      </w:pPr>
      <w:r>
        <w:t xml:space="preserve">Généraliser l’assurance maladie universelle ; </w:t>
      </w:r>
    </w:p>
    <w:p w14:paraId="1343CAD9" w14:textId="77777777" w:rsidR="00C9581B" w:rsidRDefault="00C9581B" w:rsidP="00E433D9">
      <w:pPr>
        <w:numPr>
          <w:ilvl w:val="0"/>
          <w:numId w:val="6"/>
        </w:numPr>
        <w:spacing w:line="360" w:lineRule="auto"/>
        <w:ind w:right="8" w:hanging="283"/>
      </w:pPr>
      <w:r>
        <w:lastRenderedPageBreak/>
        <w:t xml:space="preserve">Mettre en œuvre toutes les mesures de nature à réduire le taux de mortalité maternelle et infantile et œuvrer pour l'atteinte des objectifs de développement durable dans le domaine de la santé à l’horizon 2030 ; </w:t>
      </w:r>
    </w:p>
    <w:p w14:paraId="2AC9A446" w14:textId="76C6A3AA" w:rsidR="00C9581B" w:rsidRDefault="00C9581B" w:rsidP="00E433D9">
      <w:pPr>
        <w:numPr>
          <w:ilvl w:val="0"/>
          <w:numId w:val="6"/>
        </w:numPr>
        <w:spacing w:line="360" w:lineRule="auto"/>
        <w:ind w:right="8" w:hanging="283"/>
      </w:pPr>
      <w:r>
        <w:t xml:space="preserve">Mettre en œuvre toutes les mesures de nature à faciliter </w:t>
      </w:r>
      <w:r w:rsidR="00485B76">
        <w:t>l’accès des</w:t>
      </w:r>
      <w:r>
        <w:t xml:space="preserve"> </w:t>
      </w:r>
      <w:r w:rsidR="00485B76">
        <w:t>populations aux</w:t>
      </w:r>
      <w:r>
        <w:t xml:space="preserve"> centres de </w:t>
      </w:r>
      <w:r w:rsidR="00485B76">
        <w:t>santé et</w:t>
      </w:r>
      <w:r>
        <w:t xml:space="preserve"> à assurer l'atteinte des objectifs de développement durable en termes d’accessibilité aux infrastructures sanitaires ; </w:t>
      </w:r>
    </w:p>
    <w:p w14:paraId="466DA21C" w14:textId="77777777" w:rsidR="00C9581B" w:rsidRDefault="00C9581B" w:rsidP="00E433D9">
      <w:pPr>
        <w:numPr>
          <w:ilvl w:val="0"/>
          <w:numId w:val="6"/>
        </w:numPr>
        <w:spacing w:line="360" w:lineRule="auto"/>
        <w:ind w:right="8" w:hanging="283"/>
      </w:pPr>
      <w:r>
        <w:t xml:space="preserve">Former un personnel suffisant et qualifié dans les domaines de l’animation, de la dialyse et de la gynécologie ; </w:t>
      </w:r>
    </w:p>
    <w:p w14:paraId="152496B3" w14:textId="77777777" w:rsidR="00C9581B" w:rsidRDefault="00C9581B" w:rsidP="00E433D9">
      <w:pPr>
        <w:numPr>
          <w:ilvl w:val="0"/>
          <w:numId w:val="6"/>
        </w:numPr>
        <w:spacing w:line="360" w:lineRule="auto"/>
        <w:ind w:right="8" w:hanging="283"/>
      </w:pPr>
      <w:r>
        <w:t xml:space="preserve">Recruter des spécialistes et du personnel qualifié en dialyse ; </w:t>
      </w:r>
    </w:p>
    <w:p w14:paraId="32049D02" w14:textId="03D9FB7A" w:rsidR="00C113EC" w:rsidRDefault="00C9581B" w:rsidP="007543EC">
      <w:pPr>
        <w:numPr>
          <w:ilvl w:val="0"/>
          <w:numId w:val="6"/>
        </w:numPr>
        <w:spacing w:line="360" w:lineRule="auto"/>
        <w:ind w:right="8" w:hanging="283"/>
      </w:pPr>
      <w:r>
        <w:t>Doter tous les centres des ressources suffisantes (financières et matérielles) ;</w:t>
      </w:r>
    </w:p>
    <w:p w14:paraId="5C9124A7" w14:textId="20E797E9" w:rsidR="00FD6D0B" w:rsidRPr="007543EC" w:rsidRDefault="00FD6D0B" w:rsidP="007543EC">
      <w:pPr>
        <w:numPr>
          <w:ilvl w:val="0"/>
          <w:numId w:val="6"/>
        </w:numPr>
        <w:spacing w:line="360" w:lineRule="auto"/>
        <w:ind w:right="8" w:hanging="283"/>
      </w:pPr>
      <w:r>
        <w:t>Renforcer les mesures de prévention du COVID 19 , ainsi que les campagnes de sensibilisation et de vaccination.</w:t>
      </w:r>
    </w:p>
    <w:p w14:paraId="74EECCBE" w14:textId="77777777" w:rsidR="00E433D9" w:rsidRPr="00C113EC" w:rsidRDefault="00E433D9" w:rsidP="00E433D9">
      <w:pPr>
        <w:spacing w:after="13" w:line="360" w:lineRule="auto"/>
        <w:ind w:right="0"/>
        <w:jc w:val="left"/>
        <w:rPr>
          <w:color w:val="FF0000"/>
          <w:szCs w:val="28"/>
        </w:rPr>
      </w:pPr>
    </w:p>
    <w:p w14:paraId="78B4A0C5" w14:textId="33E893C0" w:rsidR="00226EB5" w:rsidRPr="00485B76" w:rsidRDefault="00226EB5" w:rsidP="00E433D9">
      <w:pPr>
        <w:numPr>
          <w:ilvl w:val="0"/>
          <w:numId w:val="1"/>
        </w:numPr>
        <w:spacing w:after="9" w:line="360" w:lineRule="auto"/>
        <w:ind w:right="0" w:hanging="658"/>
        <w:jc w:val="left"/>
        <w:rPr>
          <w:b/>
          <w:bCs/>
          <w:sz w:val="32"/>
          <w:szCs w:val="32"/>
          <w:u w:val="single"/>
        </w:rPr>
      </w:pPr>
      <w:r w:rsidRPr="00485B76">
        <w:rPr>
          <w:b/>
          <w:bCs/>
          <w:sz w:val="32"/>
          <w:szCs w:val="32"/>
          <w:u w:val="single"/>
        </w:rPr>
        <w:t xml:space="preserve">Le droit au travail </w:t>
      </w:r>
    </w:p>
    <w:p w14:paraId="5F4D94D8" w14:textId="481C9BCD" w:rsidR="00C9581B" w:rsidRDefault="00C9581B" w:rsidP="00E433D9">
      <w:pPr>
        <w:spacing w:line="360" w:lineRule="auto"/>
        <w:ind w:left="139" w:right="8"/>
      </w:pPr>
      <w:r>
        <w:t xml:space="preserve">Le droit au travail est garanti par la constitution et par </w:t>
      </w:r>
      <w:r w:rsidR="00485B76">
        <w:t>les</w:t>
      </w:r>
      <w:r>
        <w:t xml:space="preserve"> conventions de l’OIT auxquelles la Mauritanie est partie.</w:t>
      </w:r>
      <w:r>
        <w:rPr>
          <w:b/>
        </w:rPr>
        <w:t xml:space="preserve"> </w:t>
      </w:r>
    </w:p>
    <w:p w14:paraId="3E53FFC1" w14:textId="77777777" w:rsidR="00C9581B" w:rsidRDefault="00C9581B" w:rsidP="00E433D9">
      <w:pPr>
        <w:spacing w:line="360" w:lineRule="auto"/>
        <w:ind w:left="139" w:right="8"/>
      </w:pPr>
      <w:r>
        <w:t xml:space="preserve">Au plan interne, la Mauritanie dispose d’un cadre juridique régissant et réglementant ce droit. </w:t>
      </w:r>
    </w:p>
    <w:p w14:paraId="37876E6C" w14:textId="77777777" w:rsidR="00C9581B" w:rsidRDefault="00C9581B" w:rsidP="00E433D9">
      <w:pPr>
        <w:spacing w:after="222" w:line="360" w:lineRule="auto"/>
        <w:ind w:left="139" w:right="8"/>
      </w:pPr>
      <w:r>
        <w:t xml:space="preserve">Il s’agit principalement des textes suivants : </w:t>
      </w:r>
    </w:p>
    <w:p w14:paraId="61A400DF" w14:textId="77777777" w:rsidR="00C9581B" w:rsidRDefault="00C9581B" w:rsidP="00E433D9">
      <w:pPr>
        <w:numPr>
          <w:ilvl w:val="1"/>
          <w:numId w:val="7"/>
        </w:numPr>
        <w:spacing w:after="215" w:line="360" w:lineRule="auto"/>
        <w:ind w:right="8" w:hanging="360"/>
      </w:pPr>
      <w:r>
        <w:t xml:space="preserve">La convention collective de 1974 qui s’applique également aux travailleurs migrants et membres de leur famille ; </w:t>
      </w:r>
    </w:p>
    <w:p w14:paraId="6BC24A78" w14:textId="77777777" w:rsidR="00C9581B" w:rsidRDefault="00C9581B" w:rsidP="00E433D9">
      <w:pPr>
        <w:numPr>
          <w:ilvl w:val="1"/>
          <w:numId w:val="7"/>
        </w:numPr>
        <w:spacing w:after="218" w:line="360" w:lineRule="auto"/>
        <w:ind w:right="8" w:hanging="360"/>
      </w:pPr>
      <w:r>
        <w:t xml:space="preserve">La loi 2004-017 du 06-07-2004 portant code du travail ;  </w:t>
      </w:r>
    </w:p>
    <w:p w14:paraId="2CA8B5A7" w14:textId="350914ED" w:rsidR="00C9581B" w:rsidRDefault="00C9581B" w:rsidP="00E433D9">
      <w:pPr>
        <w:numPr>
          <w:ilvl w:val="1"/>
          <w:numId w:val="7"/>
        </w:numPr>
        <w:spacing w:after="219" w:line="360" w:lineRule="auto"/>
        <w:ind w:right="8" w:hanging="360"/>
      </w:pPr>
      <w:r>
        <w:lastRenderedPageBreak/>
        <w:t xml:space="preserve">Le décret N°2009-224 du 29-10-2009 instituant le permis de travail pour les travailleurs étrangers. </w:t>
      </w:r>
    </w:p>
    <w:p w14:paraId="387497E6" w14:textId="77777777" w:rsidR="00F6702D" w:rsidRPr="00485B76" w:rsidRDefault="00F6702D" w:rsidP="00F6702D">
      <w:pPr>
        <w:spacing w:after="219" w:line="360" w:lineRule="auto"/>
        <w:ind w:left="1229" w:right="8" w:firstLine="0"/>
      </w:pPr>
    </w:p>
    <w:p w14:paraId="42E8720E" w14:textId="6BF41730" w:rsidR="00C113EC" w:rsidRPr="00112F2B" w:rsidRDefault="00485B76" w:rsidP="00E433D9">
      <w:pPr>
        <w:spacing w:after="9" w:line="360" w:lineRule="auto"/>
        <w:ind w:left="0" w:right="0" w:firstLine="0"/>
        <w:jc w:val="left"/>
        <w:rPr>
          <w:color w:val="auto"/>
        </w:rPr>
      </w:pPr>
      <w:r w:rsidRPr="00112F2B">
        <w:rPr>
          <w:color w:val="auto"/>
        </w:rPr>
        <w:t>Recommandations :</w:t>
      </w:r>
    </w:p>
    <w:p w14:paraId="0E2A74F7" w14:textId="09868218" w:rsidR="00F6702D" w:rsidRDefault="00F6702D" w:rsidP="00F6702D">
      <w:pPr>
        <w:pStyle w:val="ListParagraph"/>
        <w:numPr>
          <w:ilvl w:val="0"/>
          <w:numId w:val="10"/>
        </w:numPr>
        <w:spacing w:after="9" w:line="360" w:lineRule="auto"/>
        <w:ind w:right="0"/>
        <w:jc w:val="left"/>
        <w:rPr>
          <w:szCs w:val="28"/>
        </w:rPr>
      </w:pPr>
      <w:r>
        <w:rPr>
          <w:szCs w:val="28"/>
        </w:rPr>
        <w:t>Mise en œuvre des lois de la république</w:t>
      </w:r>
    </w:p>
    <w:p w14:paraId="12316F56" w14:textId="23876AB3" w:rsidR="00F6702D" w:rsidRDefault="00F6702D" w:rsidP="00F6702D">
      <w:pPr>
        <w:pStyle w:val="ListParagraph"/>
        <w:numPr>
          <w:ilvl w:val="0"/>
          <w:numId w:val="10"/>
        </w:numPr>
        <w:spacing w:after="9" w:line="360" w:lineRule="auto"/>
        <w:ind w:right="0"/>
        <w:jc w:val="left"/>
        <w:rPr>
          <w:szCs w:val="28"/>
        </w:rPr>
      </w:pPr>
      <w:r>
        <w:rPr>
          <w:szCs w:val="28"/>
        </w:rPr>
        <w:t>Mise en œuvre des conventions ratifiées par le pays</w:t>
      </w:r>
    </w:p>
    <w:p w14:paraId="06BF9179" w14:textId="3ED00849" w:rsidR="00485B76" w:rsidRPr="00112F2B" w:rsidRDefault="00F6702D" w:rsidP="00112F2B">
      <w:pPr>
        <w:pStyle w:val="ListParagraph"/>
        <w:numPr>
          <w:ilvl w:val="0"/>
          <w:numId w:val="10"/>
        </w:numPr>
        <w:spacing w:after="9" w:line="360" w:lineRule="auto"/>
        <w:ind w:right="0"/>
        <w:jc w:val="left"/>
        <w:rPr>
          <w:szCs w:val="28"/>
        </w:rPr>
      </w:pPr>
      <w:r>
        <w:rPr>
          <w:szCs w:val="28"/>
        </w:rPr>
        <w:t xml:space="preserve">Renforcement des </w:t>
      </w:r>
      <w:r w:rsidR="00112F2B">
        <w:rPr>
          <w:szCs w:val="28"/>
        </w:rPr>
        <w:t>capacités</w:t>
      </w:r>
      <w:r>
        <w:rPr>
          <w:szCs w:val="28"/>
        </w:rPr>
        <w:t xml:space="preserve"> des centrales syndicales</w:t>
      </w:r>
      <w:r w:rsidR="00112F2B">
        <w:rPr>
          <w:szCs w:val="28"/>
        </w:rPr>
        <w:t>.</w:t>
      </w:r>
    </w:p>
    <w:p w14:paraId="479A3BC4" w14:textId="1A25EB42" w:rsidR="00226EB5" w:rsidRPr="00485B76" w:rsidRDefault="00226EB5" w:rsidP="00E433D9">
      <w:pPr>
        <w:numPr>
          <w:ilvl w:val="0"/>
          <w:numId w:val="1"/>
        </w:numPr>
        <w:spacing w:after="14" w:line="360" w:lineRule="auto"/>
        <w:ind w:right="0" w:hanging="658"/>
        <w:jc w:val="left"/>
        <w:rPr>
          <w:b/>
          <w:bCs/>
          <w:sz w:val="32"/>
          <w:szCs w:val="32"/>
          <w:u w:val="single"/>
        </w:rPr>
      </w:pPr>
      <w:r w:rsidRPr="00485B76">
        <w:rPr>
          <w:b/>
          <w:bCs/>
          <w:sz w:val="32"/>
          <w:szCs w:val="32"/>
          <w:u w:val="single"/>
        </w:rPr>
        <w:t xml:space="preserve">Le droit à l’accès à l’eau potable </w:t>
      </w:r>
    </w:p>
    <w:p w14:paraId="6AA26E4C" w14:textId="77777777" w:rsidR="000C16B9" w:rsidRPr="007325D5" w:rsidRDefault="000C16B9" w:rsidP="00E433D9">
      <w:pPr>
        <w:spacing w:line="360" w:lineRule="auto"/>
        <w:ind w:right="8"/>
        <w:rPr>
          <w:color w:val="auto"/>
        </w:rPr>
      </w:pPr>
      <w:r w:rsidRPr="007325D5">
        <w:rPr>
          <w:color w:val="auto"/>
        </w:rPr>
        <w:t xml:space="preserve">Le droit d’accès à l’eau potable est un droit fondamental reconnu à tout être humain. Il doit être accessible à tous, en qualité et en quantité suffisantes. Ce droit est la condition de la réalisation d’autres droits tels que les droits à la santé et à une alimentation saine. </w:t>
      </w:r>
    </w:p>
    <w:p w14:paraId="0A90A8A5" w14:textId="3F728CD0" w:rsidR="000C16B9" w:rsidRPr="007325D5" w:rsidRDefault="000C16B9" w:rsidP="00E433D9">
      <w:pPr>
        <w:spacing w:after="32" w:line="360" w:lineRule="auto"/>
        <w:ind w:right="8"/>
        <w:rPr>
          <w:color w:val="auto"/>
        </w:rPr>
      </w:pPr>
      <w:r w:rsidRPr="007325D5">
        <w:rPr>
          <w:color w:val="auto"/>
        </w:rPr>
        <w:t xml:space="preserve">L’accès à l’eau potable est non seulement un droit humain, mais aussi l’un des principaux objectifs de développement à l’horizon 2030. </w:t>
      </w:r>
    </w:p>
    <w:p w14:paraId="0C856E3E" w14:textId="7ACBC06D" w:rsidR="000C16B9" w:rsidRPr="007325D5" w:rsidRDefault="00C113EC" w:rsidP="00E433D9">
      <w:pPr>
        <w:spacing w:after="14" w:line="360" w:lineRule="auto"/>
        <w:ind w:right="0"/>
        <w:jc w:val="left"/>
        <w:rPr>
          <w:color w:val="auto"/>
        </w:rPr>
      </w:pPr>
      <w:r w:rsidRPr="007325D5">
        <w:rPr>
          <w:color w:val="auto"/>
        </w:rPr>
        <w:t xml:space="preserve">En matière d’accès à l’eau potable et aux services d’assainissement, d’importants efforts ont été fournis et des acquis importants </w:t>
      </w:r>
      <w:r w:rsidR="00485B76" w:rsidRPr="007325D5">
        <w:rPr>
          <w:color w:val="auto"/>
        </w:rPr>
        <w:t>obtenus, toutefois</w:t>
      </w:r>
    </w:p>
    <w:p w14:paraId="75E2FBDD" w14:textId="37966ACF" w:rsidR="000C16B9" w:rsidRPr="007325D5" w:rsidRDefault="00112F2B" w:rsidP="00E433D9">
      <w:pPr>
        <w:spacing w:line="360" w:lineRule="auto"/>
        <w:ind w:right="8"/>
        <w:rPr>
          <w:color w:val="auto"/>
        </w:rPr>
      </w:pPr>
      <w:r w:rsidRPr="007325D5">
        <w:rPr>
          <w:color w:val="auto"/>
        </w:rPr>
        <w:t>Quelques</w:t>
      </w:r>
      <w:r w:rsidR="000C16B9" w:rsidRPr="007325D5">
        <w:rPr>
          <w:color w:val="auto"/>
        </w:rPr>
        <w:t xml:space="preserve"> insuffisances ont été relevées par la Commission dans le cadre de ses prises de contacts avec les populations. </w:t>
      </w:r>
    </w:p>
    <w:p w14:paraId="1FE54818" w14:textId="77777777" w:rsidR="000C16B9" w:rsidRDefault="000C16B9" w:rsidP="00E433D9">
      <w:pPr>
        <w:spacing w:line="360" w:lineRule="auto"/>
        <w:ind w:left="72" w:right="8"/>
      </w:pPr>
      <w:r>
        <w:t xml:space="preserve">S’agissant de l’accès des populations à l’eau potable en milieu rural, la Commission a relevé, dans la majorité des localités visitées, des insuffisances de points d’eau aménagés. </w:t>
      </w:r>
    </w:p>
    <w:p w14:paraId="3A0B8F78" w14:textId="77777777" w:rsidR="000C16B9" w:rsidRDefault="000C16B9" w:rsidP="00E433D9">
      <w:pPr>
        <w:spacing w:line="360" w:lineRule="auto"/>
        <w:ind w:left="72" w:right="8"/>
      </w:pPr>
      <w:r>
        <w:t xml:space="preserve">Des habitants de certaines localités s’approvisionnent en eau pendant l’hivernage au niveau des marigots et des rivières, ce qui présente des dangers pour la santé des populations. </w:t>
      </w:r>
    </w:p>
    <w:p w14:paraId="688BC4C2" w14:textId="77777777" w:rsidR="000C16B9" w:rsidRDefault="000C16B9" w:rsidP="00E433D9">
      <w:pPr>
        <w:spacing w:line="360" w:lineRule="auto"/>
        <w:ind w:left="72" w:right="8"/>
      </w:pPr>
      <w:r>
        <w:t xml:space="preserve">Dans certaines localités, le point d’eau existe, mais ne fonctionne pas, dans d’autres, il existe des problèmes de connexion au réseau d’adduction d’eau. </w:t>
      </w:r>
    </w:p>
    <w:p w14:paraId="55084255" w14:textId="77777777" w:rsidR="000C16B9" w:rsidRDefault="000C16B9" w:rsidP="00E433D9">
      <w:pPr>
        <w:spacing w:after="33" w:line="360" w:lineRule="auto"/>
        <w:ind w:left="72" w:right="0"/>
      </w:pPr>
      <w:r>
        <w:lastRenderedPageBreak/>
        <w:t xml:space="preserve">La problématique de l’accès à l’eau potable se pose aussi dans les grandes villes où les populations s’approvisionnent en eau à partir des barils qui sont livrés par des charrettes. Cette situation dans les grandes villes s’explique par le fait que les adductions d’eau programmées n’arrivent pas à suivre la croissance anarchique des villes, faute d’un schéma d’aménagement. </w:t>
      </w:r>
    </w:p>
    <w:p w14:paraId="41CF0819" w14:textId="77777777" w:rsidR="00C113EC" w:rsidRPr="00226EB5" w:rsidRDefault="00C113EC" w:rsidP="00E433D9">
      <w:pPr>
        <w:spacing w:after="14" w:line="360" w:lineRule="auto"/>
        <w:ind w:right="0"/>
        <w:jc w:val="left"/>
        <w:rPr>
          <w:szCs w:val="28"/>
        </w:rPr>
      </w:pPr>
    </w:p>
    <w:p w14:paraId="02F3B010" w14:textId="532A2945" w:rsidR="00226EB5" w:rsidRDefault="00226EB5" w:rsidP="00E433D9">
      <w:pPr>
        <w:numPr>
          <w:ilvl w:val="0"/>
          <w:numId w:val="1"/>
        </w:numPr>
        <w:spacing w:after="9" w:line="360" w:lineRule="auto"/>
        <w:ind w:right="0" w:hanging="658"/>
        <w:jc w:val="left"/>
        <w:rPr>
          <w:b/>
          <w:bCs/>
          <w:szCs w:val="28"/>
          <w:u w:val="single"/>
        </w:rPr>
      </w:pPr>
      <w:r w:rsidRPr="00E433D9">
        <w:rPr>
          <w:b/>
          <w:bCs/>
          <w:szCs w:val="28"/>
          <w:u w:val="single"/>
        </w:rPr>
        <w:t xml:space="preserve">Le droit à l’accès à la propriété foncière </w:t>
      </w:r>
    </w:p>
    <w:p w14:paraId="53E4DC27" w14:textId="77777777" w:rsidR="007543EC" w:rsidRDefault="007543EC" w:rsidP="007543EC">
      <w:pPr>
        <w:spacing w:line="360" w:lineRule="auto"/>
        <w:ind w:left="72" w:right="8"/>
      </w:pPr>
      <w:r>
        <w:t xml:space="preserve">Le droit à la propriété foncière et domaniale est régi au niveau national par plusieurs textes : </w:t>
      </w:r>
    </w:p>
    <w:p w14:paraId="0DDEB17E" w14:textId="77777777" w:rsidR="007543EC" w:rsidRDefault="007543EC" w:rsidP="007543EC">
      <w:pPr>
        <w:numPr>
          <w:ilvl w:val="1"/>
          <w:numId w:val="8"/>
        </w:numPr>
        <w:spacing w:after="59" w:line="360" w:lineRule="auto"/>
        <w:ind w:left="768" w:right="8" w:hanging="350"/>
      </w:pPr>
      <w:r>
        <w:t xml:space="preserve">La constitution qui garantit le droit à la propriété foncière à l’ensemble des citoyens ; </w:t>
      </w:r>
    </w:p>
    <w:p w14:paraId="334BE2C6" w14:textId="77777777" w:rsidR="007543EC" w:rsidRDefault="007543EC" w:rsidP="007543EC">
      <w:pPr>
        <w:numPr>
          <w:ilvl w:val="1"/>
          <w:numId w:val="8"/>
        </w:numPr>
        <w:spacing w:after="54" w:line="360" w:lineRule="auto"/>
        <w:ind w:left="768" w:right="8" w:hanging="350"/>
      </w:pPr>
      <w:r>
        <w:t xml:space="preserve">L’ordonnance N°83.127 du 5 juin 1983 portant réforme foncière et domaniale ;  </w:t>
      </w:r>
    </w:p>
    <w:p w14:paraId="137E111D" w14:textId="21AB4E3F" w:rsidR="007543EC" w:rsidRPr="007543EC" w:rsidRDefault="007543EC" w:rsidP="007543EC">
      <w:pPr>
        <w:numPr>
          <w:ilvl w:val="1"/>
          <w:numId w:val="8"/>
        </w:numPr>
        <w:spacing w:after="0" w:line="360" w:lineRule="auto"/>
        <w:ind w:left="768" w:right="8" w:hanging="350"/>
      </w:pPr>
      <w:r>
        <w:t xml:space="preserve">Le décret N° 2010-080 abrogeant et remplaçant le décret N°200-089 du 17-07-2000 portant application de l’Ordonnance de 1983. </w:t>
      </w:r>
    </w:p>
    <w:p w14:paraId="087D8F08" w14:textId="77777777" w:rsidR="007543EC" w:rsidRPr="00E433D9" w:rsidRDefault="007543EC" w:rsidP="007543EC">
      <w:pPr>
        <w:spacing w:after="9" w:line="360" w:lineRule="auto"/>
        <w:ind w:right="0"/>
        <w:jc w:val="left"/>
        <w:rPr>
          <w:b/>
          <w:bCs/>
          <w:szCs w:val="28"/>
          <w:u w:val="single"/>
        </w:rPr>
      </w:pPr>
    </w:p>
    <w:p w14:paraId="34FA0540" w14:textId="77777777" w:rsidR="000C16B9" w:rsidRDefault="000C16B9" w:rsidP="00E433D9">
      <w:pPr>
        <w:spacing w:line="360" w:lineRule="auto"/>
        <w:ind w:left="72" w:right="8"/>
      </w:pPr>
      <w:r>
        <w:t xml:space="preserve">Le système foncier en Mauritanie se caractérise par le dualisme et obéit à deux types de régimes juridiques :   </w:t>
      </w:r>
    </w:p>
    <w:p w14:paraId="76A82C35" w14:textId="77777777" w:rsidR="000C16B9" w:rsidRDefault="000C16B9" w:rsidP="00E433D9">
      <w:pPr>
        <w:numPr>
          <w:ilvl w:val="1"/>
          <w:numId w:val="8"/>
        </w:numPr>
        <w:spacing w:line="360" w:lineRule="auto"/>
        <w:ind w:left="768" w:right="8" w:hanging="350"/>
      </w:pPr>
      <w:r>
        <w:t xml:space="preserve">Le régime du domaine national composé de toutes les terres non classées dans le domaine public, non immatriculées ou dont la propriété n’a pas été hypothéquée ; </w:t>
      </w:r>
    </w:p>
    <w:p w14:paraId="3293A403" w14:textId="6A0D4B7B" w:rsidR="000C16B9" w:rsidRDefault="000C16B9" w:rsidP="007543EC">
      <w:pPr>
        <w:numPr>
          <w:ilvl w:val="1"/>
          <w:numId w:val="8"/>
        </w:numPr>
        <w:spacing w:after="0" w:line="360" w:lineRule="auto"/>
        <w:ind w:left="768" w:right="8" w:hanging="350"/>
      </w:pPr>
      <w:r>
        <w:t xml:space="preserve">Le régime de l’immatriculation qui recouvre toutes les terres urbaines et rurales objet d’une immatriculation au nom des Communautés, des personnes physiques ou morales garantissant leur droit de propriété sur l’ensemble des portions de terres délimitées.  </w:t>
      </w:r>
    </w:p>
    <w:p w14:paraId="2A71CAD3" w14:textId="36B26C91" w:rsidR="000C16B9" w:rsidRDefault="007543EC" w:rsidP="00E433D9">
      <w:pPr>
        <w:spacing w:line="360" w:lineRule="auto"/>
        <w:ind w:left="72" w:right="8"/>
      </w:pPr>
      <w:r>
        <w:t>Les principaux</w:t>
      </w:r>
      <w:r w:rsidR="000C16B9">
        <w:t xml:space="preserve"> défis</w:t>
      </w:r>
      <w:r>
        <w:t xml:space="preserve"> </w:t>
      </w:r>
      <w:r w:rsidR="00112F2B">
        <w:t>qui se</w:t>
      </w:r>
      <w:r w:rsidR="000C16B9">
        <w:t xml:space="preserve"> </w:t>
      </w:r>
      <w:r w:rsidR="00112F2B">
        <w:t>posent à</w:t>
      </w:r>
      <w:r w:rsidR="000C16B9">
        <w:t xml:space="preserve"> l’accès à la propriété foncière</w:t>
      </w:r>
      <w:r>
        <w:t xml:space="preserve"> sont</w:t>
      </w:r>
      <w:r w:rsidR="000C16B9">
        <w:t xml:space="preserve"> </w:t>
      </w:r>
      <w:r w:rsidR="000C16B9">
        <w:rPr>
          <w:b/>
        </w:rPr>
        <w:t xml:space="preserve">: </w:t>
      </w:r>
    </w:p>
    <w:p w14:paraId="6A7ED159" w14:textId="77777777" w:rsidR="000C16B9" w:rsidRDefault="000C16B9" w:rsidP="00E433D9">
      <w:pPr>
        <w:numPr>
          <w:ilvl w:val="1"/>
          <w:numId w:val="8"/>
        </w:numPr>
        <w:spacing w:line="360" w:lineRule="auto"/>
        <w:ind w:left="768" w:right="8" w:hanging="350"/>
      </w:pPr>
      <w:r>
        <w:lastRenderedPageBreak/>
        <w:t xml:space="preserve">Les limites et les insuffisances de l’ordonnance qui régit la propriété foncière ; </w:t>
      </w:r>
    </w:p>
    <w:p w14:paraId="1E32353A" w14:textId="77777777" w:rsidR="000C16B9" w:rsidRDefault="000C16B9" w:rsidP="00E433D9">
      <w:pPr>
        <w:numPr>
          <w:ilvl w:val="1"/>
          <w:numId w:val="8"/>
        </w:numPr>
        <w:spacing w:line="360" w:lineRule="auto"/>
        <w:ind w:left="768" w:right="8" w:hanging="350"/>
      </w:pPr>
      <w:r>
        <w:t xml:space="preserve">L’absence de coordination entre les différentes structures qui interviennent dans la gestion du foncier ; </w:t>
      </w:r>
    </w:p>
    <w:p w14:paraId="0730A925" w14:textId="77777777" w:rsidR="000C16B9" w:rsidRDefault="000C16B9" w:rsidP="00E433D9">
      <w:pPr>
        <w:numPr>
          <w:ilvl w:val="1"/>
          <w:numId w:val="8"/>
        </w:numPr>
        <w:spacing w:line="360" w:lineRule="auto"/>
        <w:ind w:left="768" w:right="8" w:hanging="350"/>
      </w:pPr>
      <w:r>
        <w:t xml:space="preserve">La problématique des occupations illégales ; </w:t>
      </w:r>
    </w:p>
    <w:p w14:paraId="70D5B752" w14:textId="77777777" w:rsidR="000C16B9" w:rsidRDefault="000C16B9" w:rsidP="00E433D9">
      <w:pPr>
        <w:spacing w:after="173" w:line="360" w:lineRule="auto"/>
        <w:ind w:left="779" w:right="0"/>
      </w:pPr>
      <w:r>
        <w:t xml:space="preserve">L’absence de mise œuvre du décret d’application de l’ordonnance qui est actuellement à l’origine de la centralisation excessive des prises de décisions dans le domaine du foncier ; </w:t>
      </w:r>
    </w:p>
    <w:p w14:paraId="51E6BE8C" w14:textId="77777777" w:rsidR="000C16B9" w:rsidRDefault="000C16B9" w:rsidP="00E433D9">
      <w:pPr>
        <w:numPr>
          <w:ilvl w:val="1"/>
          <w:numId w:val="8"/>
        </w:numPr>
        <w:spacing w:line="360" w:lineRule="auto"/>
        <w:ind w:left="768" w:right="8" w:hanging="350"/>
      </w:pPr>
      <w:r>
        <w:t xml:space="preserve">La méconnaissance par les populations, les chefs coutumiers de l’arsenal juridique régissant le foncier ; </w:t>
      </w:r>
    </w:p>
    <w:p w14:paraId="1C28E125" w14:textId="77777777" w:rsidR="000C16B9" w:rsidRDefault="000C16B9" w:rsidP="00E433D9">
      <w:pPr>
        <w:numPr>
          <w:ilvl w:val="1"/>
          <w:numId w:val="8"/>
        </w:numPr>
        <w:spacing w:after="14" w:line="360" w:lineRule="auto"/>
        <w:ind w:left="768" w:right="8" w:hanging="350"/>
      </w:pPr>
      <w:r>
        <w:t xml:space="preserve">La persistance des litiges fonciers, notamment dans le domaine rural. </w:t>
      </w:r>
    </w:p>
    <w:p w14:paraId="23D0C3E3" w14:textId="0D37B439" w:rsidR="00794BF5" w:rsidRPr="00112F2B" w:rsidRDefault="00E433D9" w:rsidP="00E433D9">
      <w:pPr>
        <w:spacing w:after="9" w:line="360" w:lineRule="auto"/>
        <w:ind w:right="0"/>
        <w:jc w:val="left"/>
        <w:rPr>
          <w:b/>
          <w:bCs/>
          <w:szCs w:val="28"/>
        </w:rPr>
      </w:pPr>
      <w:r w:rsidRPr="00112F2B">
        <w:rPr>
          <w:b/>
          <w:bCs/>
          <w:szCs w:val="28"/>
        </w:rPr>
        <w:t>Pour mieux organiser ce domaine, la CNDH recommande :</w:t>
      </w:r>
    </w:p>
    <w:p w14:paraId="2C0BF8D2" w14:textId="77777777" w:rsidR="000C16B9" w:rsidRDefault="000C16B9" w:rsidP="00E433D9">
      <w:pPr>
        <w:numPr>
          <w:ilvl w:val="0"/>
          <w:numId w:val="9"/>
        </w:numPr>
        <w:spacing w:line="360" w:lineRule="auto"/>
        <w:ind w:right="8" w:hanging="562"/>
      </w:pPr>
      <w:r>
        <w:t xml:space="preserve">Mettre en place un cadastre pour réduire les litiges fonciers qui engorgent la Commission, les tribunaux et les administrations ; </w:t>
      </w:r>
    </w:p>
    <w:p w14:paraId="62554902" w14:textId="77777777" w:rsidR="000C16B9" w:rsidRDefault="000C16B9" w:rsidP="00E433D9">
      <w:pPr>
        <w:numPr>
          <w:ilvl w:val="0"/>
          <w:numId w:val="9"/>
        </w:numPr>
        <w:spacing w:line="360" w:lineRule="auto"/>
        <w:ind w:right="8" w:hanging="562"/>
      </w:pPr>
      <w:r>
        <w:t xml:space="preserve">Réactualiser le régime juridique de la propriété foncière afin de l’adapter au contexte actuel ; </w:t>
      </w:r>
    </w:p>
    <w:p w14:paraId="7CDEBED2" w14:textId="77777777" w:rsidR="000C16B9" w:rsidRDefault="000C16B9" w:rsidP="00E433D9">
      <w:pPr>
        <w:numPr>
          <w:ilvl w:val="0"/>
          <w:numId w:val="9"/>
        </w:numPr>
        <w:spacing w:after="177" w:line="360" w:lineRule="auto"/>
        <w:ind w:right="8" w:hanging="562"/>
      </w:pPr>
      <w:r>
        <w:t xml:space="preserve">Organiser des états généraux sur la question foncière en Mauritanie ; </w:t>
      </w:r>
    </w:p>
    <w:p w14:paraId="084B6A1D" w14:textId="77777777" w:rsidR="000C16B9" w:rsidRDefault="000C16B9" w:rsidP="00E433D9">
      <w:pPr>
        <w:numPr>
          <w:ilvl w:val="0"/>
          <w:numId w:val="9"/>
        </w:numPr>
        <w:spacing w:line="360" w:lineRule="auto"/>
        <w:ind w:right="8" w:hanging="562"/>
      </w:pPr>
      <w:r>
        <w:t xml:space="preserve">Mettre en place une Commission comprenant des représentants des départements ministériels concernés, des OSC, des Chefs coutumiers dont la charge est de recenser les litiges fonciers sur l’ensemble du territoire national en vue d’y apporter les solutions idoines ; </w:t>
      </w:r>
    </w:p>
    <w:p w14:paraId="1319980E" w14:textId="6FBB8ACD" w:rsidR="000C16B9" w:rsidRDefault="000C16B9" w:rsidP="00E433D9">
      <w:pPr>
        <w:numPr>
          <w:ilvl w:val="0"/>
          <w:numId w:val="9"/>
        </w:numPr>
        <w:spacing w:after="111" w:line="360" w:lineRule="auto"/>
        <w:ind w:right="8" w:hanging="562"/>
      </w:pPr>
      <w:r>
        <w:t xml:space="preserve">Mettre en place une stratégie dans le domaine du foncier, partant du principe que la terre appartient à l’Etat, et qui tienne compte en priorité des droits des exploitants pour prévenir les conflits. </w:t>
      </w:r>
    </w:p>
    <w:p w14:paraId="08C8CD6B" w14:textId="3A8E60D0" w:rsidR="00FD6D0B" w:rsidRPr="00E433D9" w:rsidRDefault="005A7A5F" w:rsidP="00E433D9">
      <w:pPr>
        <w:numPr>
          <w:ilvl w:val="0"/>
          <w:numId w:val="9"/>
        </w:numPr>
        <w:spacing w:after="111" w:line="360" w:lineRule="auto"/>
        <w:ind w:right="8" w:hanging="562"/>
      </w:pPr>
      <w:r>
        <w:t>Vulgariser et mettre en œuvre tus les textes relatifs au foncier en Mauritanie.</w:t>
      </w:r>
    </w:p>
    <w:p w14:paraId="59B611D4" w14:textId="03B7AB41" w:rsidR="00226EB5" w:rsidRPr="00E433D9" w:rsidRDefault="00226EB5" w:rsidP="00E433D9">
      <w:pPr>
        <w:numPr>
          <w:ilvl w:val="0"/>
          <w:numId w:val="1"/>
        </w:numPr>
        <w:spacing w:after="9" w:line="360" w:lineRule="auto"/>
        <w:ind w:right="0" w:hanging="658"/>
        <w:jc w:val="left"/>
        <w:rPr>
          <w:color w:val="auto"/>
          <w:sz w:val="32"/>
          <w:szCs w:val="32"/>
          <w:u w:val="single"/>
        </w:rPr>
      </w:pPr>
      <w:r w:rsidRPr="00E433D9">
        <w:rPr>
          <w:color w:val="auto"/>
          <w:sz w:val="32"/>
          <w:szCs w:val="32"/>
          <w:u w:val="single"/>
        </w:rPr>
        <w:lastRenderedPageBreak/>
        <w:t>Les droits culturels</w:t>
      </w:r>
    </w:p>
    <w:p w14:paraId="5DBC9BCA" w14:textId="77777777" w:rsidR="00E433D9" w:rsidRDefault="00E433D9" w:rsidP="00E433D9">
      <w:pPr>
        <w:spacing w:after="110" w:line="360" w:lineRule="auto"/>
        <w:ind w:right="8"/>
      </w:pPr>
      <w:r>
        <w:t xml:space="preserve">     Les droits culturels appartiennent à la catégorie des droits dits de la deuxième génération. </w:t>
      </w:r>
    </w:p>
    <w:p w14:paraId="628A7A4A" w14:textId="4E040CC6" w:rsidR="000C16B9" w:rsidRDefault="00E433D9" w:rsidP="00E433D9">
      <w:pPr>
        <w:spacing w:after="116" w:line="360" w:lineRule="auto"/>
        <w:ind w:left="24" w:right="8" w:firstLine="0"/>
      </w:pPr>
      <w:r>
        <w:t xml:space="preserve">Ils </w:t>
      </w:r>
      <w:r w:rsidR="000C16B9">
        <w:t xml:space="preserve">garantissent les droits des individus de participer à la vie culturelle de leurs choix, ils englobent la non-discrimination, l’égalité et l’absence d’ingérence dans la jouissance de la vie culturelle. </w:t>
      </w:r>
    </w:p>
    <w:p w14:paraId="60650BA0" w14:textId="0F9DBE6C" w:rsidR="000C16B9" w:rsidRPr="00E433D9" w:rsidRDefault="000C16B9" w:rsidP="00E433D9">
      <w:pPr>
        <w:spacing w:after="111" w:line="360" w:lineRule="auto"/>
        <w:ind w:left="139" w:right="8"/>
      </w:pPr>
      <w:r>
        <w:t xml:space="preserve">La CNDH encourage le gouvernement à promouvoir </w:t>
      </w:r>
      <w:r w:rsidR="00E433D9">
        <w:t>les langues nationales et</w:t>
      </w:r>
      <w:r>
        <w:t xml:space="preserve"> à </w:t>
      </w:r>
      <w:r w:rsidR="00E433D9">
        <w:t>les offrir davantage</w:t>
      </w:r>
      <w:r>
        <w:t xml:space="preserve"> de possibilités d’expression et de programmes dans les espaces des médias audiovisuels publics et privés, en guise de reconnaissance de la diversité culturelle et du droit à la différence et afin de promouvoir la construction du vivre ensemble en éradiquant à long terme et en profondeur les sources de la culture de la mentalité discriminatoire. </w:t>
      </w:r>
    </w:p>
    <w:p w14:paraId="667FFA4B" w14:textId="1B8F5F16" w:rsidR="00226EB5" w:rsidRDefault="00226EB5">
      <w:pPr>
        <w:rPr>
          <w:lang w:val="fr-CH"/>
        </w:rPr>
      </w:pPr>
    </w:p>
    <w:p w14:paraId="663F9533" w14:textId="304BA6EF" w:rsidR="00F62F3E" w:rsidRDefault="00F62F3E">
      <w:pPr>
        <w:rPr>
          <w:lang w:val="fr-CH"/>
        </w:rPr>
      </w:pPr>
    </w:p>
    <w:p w14:paraId="614FFDC2" w14:textId="593A64CC" w:rsidR="00F62F3E" w:rsidRPr="00F62F3E" w:rsidRDefault="00F62F3E">
      <w:pPr>
        <w:rPr>
          <w:b/>
          <w:bCs/>
          <w:lang w:val="fr-CH"/>
        </w:rPr>
      </w:pPr>
      <w:r w:rsidRPr="00F62F3E">
        <w:rPr>
          <w:b/>
          <w:bCs/>
          <w:lang w:val="fr-CH"/>
        </w:rPr>
        <w:t>La Commission Nationale des Droits de l’Homme de Mauritanie</w:t>
      </w:r>
    </w:p>
    <w:sectPr w:rsidR="00F62F3E" w:rsidRPr="00F62F3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9ACB5" w14:textId="77777777" w:rsidR="00530DBE" w:rsidRDefault="00530DBE" w:rsidP="00980314">
      <w:pPr>
        <w:spacing w:after="0" w:line="240" w:lineRule="auto"/>
      </w:pPr>
      <w:r>
        <w:separator/>
      </w:r>
    </w:p>
  </w:endnote>
  <w:endnote w:type="continuationSeparator" w:id="0">
    <w:p w14:paraId="1518B887" w14:textId="77777777" w:rsidR="00530DBE" w:rsidRDefault="00530DBE" w:rsidP="00980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5671245"/>
      <w:docPartObj>
        <w:docPartGallery w:val="Page Numbers (Bottom of Page)"/>
        <w:docPartUnique/>
      </w:docPartObj>
    </w:sdtPr>
    <w:sdtEndPr/>
    <w:sdtContent>
      <w:p w14:paraId="6E0594FF" w14:textId="20938EC3" w:rsidR="00980314" w:rsidRDefault="00980314">
        <w:pPr>
          <w:pStyle w:val="Footer"/>
          <w:jc w:val="center"/>
        </w:pPr>
        <w:r>
          <w:fldChar w:fldCharType="begin"/>
        </w:r>
        <w:r>
          <w:instrText>PAGE   \* MERGEFORMAT</w:instrText>
        </w:r>
        <w:r>
          <w:fldChar w:fldCharType="separate"/>
        </w:r>
        <w:r w:rsidR="00FC5613">
          <w:rPr>
            <w:noProof/>
          </w:rPr>
          <w:t>1</w:t>
        </w:r>
        <w:r>
          <w:fldChar w:fldCharType="end"/>
        </w:r>
      </w:p>
    </w:sdtContent>
  </w:sdt>
  <w:p w14:paraId="429895CD" w14:textId="77777777" w:rsidR="00980314" w:rsidRDefault="00980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871AB" w14:textId="77777777" w:rsidR="00530DBE" w:rsidRDefault="00530DBE" w:rsidP="00980314">
      <w:pPr>
        <w:spacing w:after="0" w:line="240" w:lineRule="auto"/>
      </w:pPr>
      <w:r>
        <w:separator/>
      </w:r>
    </w:p>
  </w:footnote>
  <w:footnote w:type="continuationSeparator" w:id="0">
    <w:p w14:paraId="4EB19F6C" w14:textId="77777777" w:rsidR="00530DBE" w:rsidRDefault="00530DBE" w:rsidP="00980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55A01"/>
    <w:multiLevelType w:val="hybridMultilevel"/>
    <w:tmpl w:val="3C3AF348"/>
    <w:lvl w:ilvl="0" w:tplc="B5CA7E5E">
      <w:start w:val="1"/>
      <w:numFmt w:val="bullet"/>
      <w:lvlText w:val="-"/>
      <w:lvlJc w:val="left"/>
      <w:pPr>
        <w:ind w:left="4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21E0C66">
      <w:start w:val="1"/>
      <w:numFmt w:val="bullet"/>
      <w:lvlText w:val="o"/>
      <w:lvlJc w:val="left"/>
      <w:pPr>
        <w:ind w:left="11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5127A54">
      <w:start w:val="1"/>
      <w:numFmt w:val="bullet"/>
      <w:lvlText w:val="▪"/>
      <w:lvlJc w:val="left"/>
      <w:pPr>
        <w:ind w:left="18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D7A9D56">
      <w:start w:val="1"/>
      <w:numFmt w:val="bullet"/>
      <w:lvlText w:val="•"/>
      <w:lvlJc w:val="left"/>
      <w:pPr>
        <w:ind w:left="26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B0E2E3C">
      <w:start w:val="1"/>
      <w:numFmt w:val="bullet"/>
      <w:lvlText w:val="o"/>
      <w:lvlJc w:val="left"/>
      <w:pPr>
        <w:ind w:left="33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8302ED8">
      <w:start w:val="1"/>
      <w:numFmt w:val="bullet"/>
      <w:lvlText w:val="▪"/>
      <w:lvlJc w:val="left"/>
      <w:pPr>
        <w:ind w:left="40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D54A61E">
      <w:start w:val="1"/>
      <w:numFmt w:val="bullet"/>
      <w:lvlText w:val="•"/>
      <w:lvlJc w:val="left"/>
      <w:pPr>
        <w:ind w:left="47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C7E4F06">
      <w:start w:val="1"/>
      <w:numFmt w:val="bullet"/>
      <w:lvlText w:val="o"/>
      <w:lvlJc w:val="left"/>
      <w:pPr>
        <w:ind w:left="54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DBA0AF8">
      <w:start w:val="1"/>
      <w:numFmt w:val="bullet"/>
      <w:lvlText w:val="▪"/>
      <w:lvlJc w:val="left"/>
      <w:pPr>
        <w:ind w:left="6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3C30C6D"/>
    <w:multiLevelType w:val="hybridMultilevel"/>
    <w:tmpl w:val="C69871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9791928"/>
    <w:multiLevelType w:val="hybridMultilevel"/>
    <w:tmpl w:val="7DCEED70"/>
    <w:lvl w:ilvl="0" w:tplc="66204514">
      <w:start w:val="87"/>
      <w:numFmt w:val="decimal"/>
      <w:lvlText w:val="%1."/>
      <w:lvlJc w:val="left"/>
      <w:pPr>
        <w:ind w:left="61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7E920588">
      <w:start w:val="1"/>
      <w:numFmt w:val="bullet"/>
      <w:lvlText w:val="-"/>
      <w:lvlJc w:val="left"/>
      <w:pPr>
        <w:ind w:left="7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050D55E">
      <w:start w:val="1"/>
      <w:numFmt w:val="bullet"/>
      <w:lvlText w:val="▪"/>
      <w:lvlJc w:val="left"/>
      <w:pPr>
        <w:ind w:left="14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08BC5B6E">
      <w:start w:val="1"/>
      <w:numFmt w:val="bullet"/>
      <w:lvlText w:val="•"/>
      <w:lvlJc w:val="left"/>
      <w:pPr>
        <w:ind w:left="21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22CD38">
      <w:start w:val="1"/>
      <w:numFmt w:val="bullet"/>
      <w:lvlText w:val="o"/>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8548B9CA">
      <w:start w:val="1"/>
      <w:numFmt w:val="bullet"/>
      <w:lvlText w:val="▪"/>
      <w:lvlJc w:val="left"/>
      <w:pPr>
        <w:ind w:left="3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EC980B46">
      <w:start w:val="1"/>
      <w:numFmt w:val="bullet"/>
      <w:lvlText w:val="•"/>
      <w:lvlJc w:val="left"/>
      <w:pPr>
        <w:ind w:left="4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918C5DE">
      <w:start w:val="1"/>
      <w:numFmt w:val="bullet"/>
      <w:lvlText w:val="o"/>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20286C0">
      <w:start w:val="1"/>
      <w:numFmt w:val="bullet"/>
      <w:lvlText w:val="▪"/>
      <w:lvlJc w:val="left"/>
      <w:pPr>
        <w:ind w:left="5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AA91953"/>
    <w:multiLevelType w:val="hybridMultilevel"/>
    <w:tmpl w:val="99DE64FE"/>
    <w:lvl w:ilvl="0" w:tplc="D9808500">
      <w:start w:val="1"/>
      <w:numFmt w:val="upperRoman"/>
      <w:lvlText w:val="%1."/>
      <w:lvlJc w:val="left"/>
      <w:pPr>
        <w:ind w:left="11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D5EDF62">
      <w:start w:val="1"/>
      <w:numFmt w:val="lowerLetter"/>
      <w:lvlText w:val="%2"/>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C268772">
      <w:start w:val="1"/>
      <w:numFmt w:val="lowerRoman"/>
      <w:lvlText w:val="%3"/>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D2ABAE0">
      <w:start w:val="1"/>
      <w:numFmt w:val="decimal"/>
      <w:lvlText w:val="%4"/>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3F2116C">
      <w:start w:val="1"/>
      <w:numFmt w:val="lowerLetter"/>
      <w:lvlText w:val="%5"/>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2CCA15E">
      <w:start w:val="1"/>
      <w:numFmt w:val="lowerRoman"/>
      <w:lvlText w:val="%6"/>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902BB1E">
      <w:start w:val="1"/>
      <w:numFmt w:val="decimal"/>
      <w:lvlText w:val="%7"/>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794B05C">
      <w:start w:val="1"/>
      <w:numFmt w:val="lowerLetter"/>
      <w:lvlText w:val="%8"/>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0B8230A">
      <w:start w:val="1"/>
      <w:numFmt w:val="lowerRoman"/>
      <w:lvlText w:val="%9"/>
      <w:lvlJc w:val="left"/>
      <w:pPr>
        <w:ind w:left="65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E64304F"/>
    <w:multiLevelType w:val="hybridMultilevel"/>
    <w:tmpl w:val="FD241564"/>
    <w:lvl w:ilvl="0" w:tplc="EC92441C">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123F40">
      <w:start w:val="1"/>
      <w:numFmt w:val="bullet"/>
      <w:lvlText w:val="o"/>
      <w:lvlJc w:val="left"/>
      <w:pPr>
        <w:ind w:left="13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F958578E">
      <w:start w:val="1"/>
      <w:numFmt w:val="bullet"/>
      <w:lvlText w:val="▪"/>
      <w:lvlJc w:val="left"/>
      <w:pPr>
        <w:ind w:left="20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C2C3826">
      <w:start w:val="1"/>
      <w:numFmt w:val="bullet"/>
      <w:lvlText w:val="•"/>
      <w:lvlJc w:val="left"/>
      <w:pPr>
        <w:ind w:left="28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D386CFC">
      <w:start w:val="1"/>
      <w:numFmt w:val="bullet"/>
      <w:lvlText w:val="o"/>
      <w:lvlJc w:val="left"/>
      <w:pPr>
        <w:ind w:left="352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990A87D6">
      <w:start w:val="1"/>
      <w:numFmt w:val="bullet"/>
      <w:lvlText w:val="▪"/>
      <w:lvlJc w:val="left"/>
      <w:pPr>
        <w:ind w:left="42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2DC99C2">
      <w:start w:val="1"/>
      <w:numFmt w:val="bullet"/>
      <w:lvlText w:val="•"/>
      <w:lvlJc w:val="left"/>
      <w:pPr>
        <w:ind w:left="49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92C0674">
      <w:start w:val="1"/>
      <w:numFmt w:val="bullet"/>
      <w:lvlText w:val="o"/>
      <w:lvlJc w:val="left"/>
      <w:pPr>
        <w:ind w:left="56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0D34BEA6">
      <w:start w:val="1"/>
      <w:numFmt w:val="bullet"/>
      <w:lvlText w:val="▪"/>
      <w:lvlJc w:val="left"/>
      <w:pPr>
        <w:ind w:left="640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10105F7"/>
    <w:multiLevelType w:val="hybridMultilevel"/>
    <w:tmpl w:val="2D8822DC"/>
    <w:lvl w:ilvl="0" w:tplc="95349718">
      <w:start w:val="1"/>
      <w:numFmt w:val="bullet"/>
      <w:lvlText w:val="-"/>
      <w:lvlJc w:val="left"/>
      <w:pPr>
        <w:ind w:left="7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E280290">
      <w:start w:val="1"/>
      <w:numFmt w:val="bullet"/>
      <w:lvlText w:val="o"/>
      <w:lvlJc w:val="left"/>
      <w:pPr>
        <w:ind w:left="16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9109402">
      <w:start w:val="1"/>
      <w:numFmt w:val="bullet"/>
      <w:lvlText w:val="▪"/>
      <w:lvlJc w:val="left"/>
      <w:pPr>
        <w:ind w:left="23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012C76C">
      <w:start w:val="1"/>
      <w:numFmt w:val="bullet"/>
      <w:lvlText w:val="•"/>
      <w:lvlJc w:val="left"/>
      <w:pPr>
        <w:ind w:left="30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C20E49E">
      <w:start w:val="1"/>
      <w:numFmt w:val="bullet"/>
      <w:lvlText w:val="o"/>
      <w:lvlJc w:val="left"/>
      <w:pPr>
        <w:ind w:left="37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31AF2F8">
      <w:start w:val="1"/>
      <w:numFmt w:val="bullet"/>
      <w:lvlText w:val="▪"/>
      <w:lvlJc w:val="left"/>
      <w:pPr>
        <w:ind w:left="44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6EE9890">
      <w:start w:val="1"/>
      <w:numFmt w:val="bullet"/>
      <w:lvlText w:val="•"/>
      <w:lvlJc w:val="left"/>
      <w:pPr>
        <w:ind w:left="52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BD6BA62">
      <w:start w:val="1"/>
      <w:numFmt w:val="bullet"/>
      <w:lvlText w:val="o"/>
      <w:lvlJc w:val="left"/>
      <w:pPr>
        <w:ind w:left="59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826794A">
      <w:start w:val="1"/>
      <w:numFmt w:val="bullet"/>
      <w:lvlText w:val="▪"/>
      <w:lvlJc w:val="left"/>
      <w:pPr>
        <w:ind w:left="66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E4E57AD"/>
    <w:multiLevelType w:val="hybridMultilevel"/>
    <w:tmpl w:val="B7BC4080"/>
    <w:lvl w:ilvl="0" w:tplc="DBAA8B76">
      <w:start w:val="73"/>
      <w:numFmt w:val="decimal"/>
      <w:lvlText w:val="%1."/>
      <w:lvlJc w:val="left"/>
      <w:pPr>
        <w:ind w:left="71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B6683696">
      <w:start w:val="1"/>
      <w:numFmt w:val="bullet"/>
      <w:lvlText w:val="-"/>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20D10A">
      <w:start w:val="1"/>
      <w:numFmt w:val="bullet"/>
      <w:lvlText w:val="▪"/>
      <w:lvlJc w:val="left"/>
      <w:pPr>
        <w:ind w:left="14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B6D7EA">
      <w:start w:val="1"/>
      <w:numFmt w:val="bullet"/>
      <w:lvlText w:val="•"/>
      <w:lvlJc w:val="left"/>
      <w:pPr>
        <w:ind w:left="21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64A9A78">
      <w:start w:val="1"/>
      <w:numFmt w:val="bullet"/>
      <w:lvlText w:val="o"/>
      <w:lvlJc w:val="left"/>
      <w:pPr>
        <w:ind w:left="28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DA5B78">
      <w:start w:val="1"/>
      <w:numFmt w:val="bullet"/>
      <w:lvlText w:val="▪"/>
      <w:lvlJc w:val="left"/>
      <w:pPr>
        <w:ind w:left="35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83293EA">
      <w:start w:val="1"/>
      <w:numFmt w:val="bullet"/>
      <w:lvlText w:val="•"/>
      <w:lvlJc w:val="left"/>
      <w:pPr>
        <w:ind w:left="43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38E33BC">
      <w:start w:val="1"/>
      <w:numFmt w:val="bullet"/>
      <w:lvlText w:val="o"/>
      <w:lvlJc w:val="left"/>
      <w:pPr>
        <w:ind w:left="50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F01E4A">
      <w:start w:val="1"/>
      <w:numFmt w:val="bullet"/>
      <w:lvlText w:val="▪"/>
      <w:lvlJc w:val="left"/>
      <w:pPr>
        <w:ind w:left="57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8113AF1"/>
    <w:multiLevelType w:val="hybridMultilevel"/>
    <w:tmpl w:val="ECEA68FA"/>
    <w:lvl w:ilvl="0" w:tplc="DA52216C">
      <w:start w:val="1"/>
      <w:numFmt w:val="bullet"/>
      <w:lvlText w:val="-"/>
      <w:lvlJc w:val="left"/>
      <w:pPr>
        <w:ind w:left="109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832FE10">
      <w:start w:val="1"/>
      <w:numFmt w:val="bullet"/>
      <w:lvlText w:val="o"/>
      <w:lvlJc w:val="left"/>
      <w:pPr>
        <w:ind w:left="17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444ECF84">
      <w:start w:val="1"/>
      <w:numFmt w:val="bullet"/>
      <w:lvlText w:val="▪"/>
      <w:lvlJc w:val="left"/>
      <w:pPr>
        <w:ind w:left="25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C8C76AE">
      <w:start w:val="1"/>
      <w:numFmt w:val="bullet"/>
      <w:lvlText w:val="•"/>
      <w:lvlJc w:val="left"/>
      <w:pPr>
        <w:ind w:left="32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C187726">
      <w:start w:val="1"/>
      <w:numFmt w:val="bullet"/>
      <w:lvlText w:val="o"/>
      <w:lvlJc w:val="left"/>
      <w:pPr>
        <w:ind w:left="395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A3825CC">
      <w:start w:val="1"/>
      <w:numFmt w:val="bullet"/>
      <w:lvlText w:val="▪"/>
      <w:lvlJc w:val="left"/>
      <w:pPr>
        <w:ind w:left="46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83EEBCA2">
      <w:start w:val="1"/>
      <w:numFmt w:val="bullet"/>
      <w:lvlText w:val="•"/>
      <w:lvlJc w:val="left"/>
      <w:pPr>
        <w:ind w:left="539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A29558">
      <w:start w:val="1"/>
      <w:numFmt w:val="bullet"/>
      <w:lvlText w:val="o"/>
      <w:lvlJc w:val="left"/>
      <w:pPr>
        <w:ind w:left="611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FA927242">
      <w:start w:val="1"/>
      <w:numFmt w:val="bullet"/>
      <w:lvlText w:val="▪"/>
      <w:lvlJc w:val="left"/>
      <w:pPr>
        <w:ind w:left="68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C347D6A"/>
    <w:multiLevelType w:val="hybridMultilevel"/>
    <w:tmpl w:val="4D26114C"/>
    <w:lvl w:ilvl="0" w:tplc="166230D8">
      <w:start w:val="1"/>
      <w:numFmt w:val="bullet"/>
      <w:lvlText w:val="-"/>
      <w:lvlJc w:val="left"/>
      <w:pPr>
        <w:ind w:left="7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21ED564">
      <w:start w:val="1"/>
      <w:numFmt w:val="bullet"/>
      <w:lvlText w:val="o"/>
      <w:lvlJc w:val="left"/>
      <w:pPr>
        <w:ind w:left="14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1862CA44">
      <w:start w:val="1"/>
      <w:numFmt w:val="bullet"/>
      <w:lvlText w:val="▪"/>
      <w:lvlJc w:val="left"/>
      <w:pPr>
        <w:ind w:left="21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ED48C3C">
      <w:start w:val="1"/>
      <w:numFmt w:val="bullet"/>
      <w:lvlText w:val="•"/>
      <w:lvlJc w:val="left"/>
      <w:pPr>
        <w:ind w:left="28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63CDE08">
      <w:start w:val="1"/>
      <w:numFmt w:val="bullet"/>
      <w:lvlText w:val="o"/>
      <w:lvlJc w:val="left"/>
      <w:pPr>
        <w:ind w:left="3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88CEADCC">
      <w:start w:val="1"/>
      <w:numFmt w:val="bullet"/>
      <w:lvlText w:val="▪"/>
      <w:lvlJc w:val="left"/>
      <w:pPr>
        <w:ind w:left="431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1D9EB492">
      <w:start w:val="1"/>
      <w:numFmt w:val="bullet"/>
      <w:lvlText w:val="•"/>
      <w:lvlJc w:val="left"/>
      <w:pPr>
        <w:ind w:left="50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404FF5C">
      <w:start w:val="1"/>
      <w:numFmt w:val="bullet"/>
      <w:lvlText w:val="o"/>
      <w:lvlJc w:val="left"/>
      <w:pPr>
        <w:ind w:left="5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21FC22C0">
      <w:start w:val="1"/>
      <w:numFmt w:val="bullet"/>
      <w:lvlText w:val="▪"/>
      <w:lvlJc w:val="left"/>
      <w:pPr>
        <w:ind w:left="64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6D5227E8"/>
    <w:multiLevelType w:val="hybridMultilevel"/>
    <w:tmpl w:val="701C8690"/>
    <w:lvl w:ilvl="0" w:tplc="E07C7976">
      <w:start w:val="80"/>
      <w:numFmt w:val="decimal"/>
      <w:lvlText w:val="%1."/>
      <w:lvlJc w:val="left"/>
      <w:pPr>
        <w:ind w:left="61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958D4E0">
      <w:start w:val="1"/>
      <w:numFmt w:val="bullet"/>
      <w:lvlText w:val="-"/>
      <w:lvlJc w:val="left"/>
      <w:pPr>
        <w:ind w:left="12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0B6D44E">
      <w:start w:val="1"/>
      <w:numFmt w:val="bullet"/>
      <w:lvlText w:val="▪"/>
      <w:lvlJc w:val="left"/>
      <w:pPr>
        <w:ind w:left="200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022CBEA">
      <w:start w:val="1"/>
      <w:numFmt w:val="bullet"/>
      <w:lvlText w:val="•"/>
      <w:lvlJc w:val="left"/>
      <w:pPr>
        <w:ind w:left="272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F3EACFE">
      <w:start w:val="1"/>
      <w:numFmt w:val="bullet"/>
      <w:lvlText w:val="o"/>
      <w:lvlJc w:val="left"/>
      <w:pPr>
        <w:ind w:left="34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F64451B8">
      <w:start w:val="1"/>
      <w:numFmt w:val="bullet"/>
      <w:lvlText w:val="▪"/>
      <w:lvlJc w:val="left"/>
      <w:pPr>
        <w:ind w:left="41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99AAD6E">
      <w:start w:val="1"/>
      <w:numFmt w:val="bullet"/>
      <w:lvlText w:val="•"/>
      <w:lvlJc w:val="left"/>
      <w:pPr>
        <w:ind w:left="48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89087F6">
      <w:start w:val="1"/>
      <w:numFmt w:val="bullet"/>
      <w:lvlText w:val="o"/>
      <w:lvlJc w:val="left"/>
      <w:pPr>
        <w:ind w:left="560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56AF638">
      <w:start w:val="1"/>
      <w:numFmt w:val="bullet"/>
      <w:lvlText w:val="▪"/>
      <w:lvlJc w:val="left"/>
      <w:pPr>
        <w:ind w:left="632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0"/>
  </w:num>
  <w:num w:numId="3">
    <w:abstractNumId w:val="6"/>
  </w:num>
  <w:num w:numId="4">
    <w:abstractNumId w:val="8"/>
  </w:num>
  <w:num w:numId="5">
    <w:abstractNumId w:val="4"/>
  </w:num>
  <w:num w:numId="6">
    <w:abstractNumId w:val="7"/>
  </w:num>
  <w:num w:numId="7">
    <w:abstractNumId w:val="9"/>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A5A"/>
    <w:rsid w:val="000C16B9"/>
    <w:rsid w:val="00112F2B"/>
    <w:rsid w:val="001B6298"/>
    <w:rsid w:val="002261F3"/>
    <w:rsid w:val="00226EB5"/>
    <w:rsid w:val="003D5C1A"/>
    <w:rsid w:val="00485B76"/>
    <w:rsid w:val="004D72E3"/>
    <w:rsid w:val="00530DBE"/>
    <w:rsid w:val="005866D2"/>
    <w:rsid w:val="005A7A5F"/>
    <w:rsid w:val="00646A6C"/>
    <w:rsid w:val="006C783C"/>
    <w:rsid w:val="007203FD"/>
    <w:rsid w:val="007325D5"/>
    <w:rsid w:val="007543EC"/>
    <w:rsid w:val="00794BF5"/>
    <w:rsid w:val="00885E49"/>
    <w:rsid w:val="00974582"/>
    <w:rsid w:val="00980314"/>
    <w:rsid w:val="00A20756"/>
    <w:rsid w:val="00A574CB"/>
    <w:rsid w:val="00C113EC"/>
    <w:rsid w:val="00C9581B"/>
    <w:rsid w:val="00CA7AA5"/>
    <w:rsid w:val="00D0444F"/>
    <w:rsid w:val="00D42D4D"/>
    <w:rsid w:val="00E433D9"/>
    <w:rsid w:val="00EC5A5A"/>
    <w:rsid w:val="00ED2BF2"/>
    <w:rsid w:val="00F62F3E"/>
    <w:rsid w:val="00F6702D"/>
    <w:rsid w:val="00FB5CC1"/>
    <w:rsid w:val="00FC1720"/>
    <w:rsid w:val="00FC5613"/>
    <w:rsid w:val="00FC792D"/>
    <w:rsid w:val="00FD6D0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CECB"/>
  <w15:chartTrackingRefBased/>
  <w15:docId w15:val="{5C6012D2-4F33-4632-8B7D-D334213B1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56"/>
    <w:pPr>
      <w:spacing w:after="155" w:line="247" w:lineRule="auto"/>
      <w:ind w:left="34" w:right="200" w:hanging="10"/>
      <w:jc w:val="both"/>
    </w:pPr>
    <w:rPr>
      <w:rFonts w:ascii="Times New Roman" w:eastAsia="Times New Roman" w:hAnsi="Times New Roman" w:cs="Times New Roman"/>
      <w:color w:val="000000"/>
      <w:sz w:val="28"/>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D0444F"/>
    <w:pPr>
      <w:suppressAutoHyphens/>
      <w:spacing w:after="120" w:line="240" w:lineRule="atLeast"/>
      <w:ind w:left="1134" w:right="1134" w:firstLine="0"/>
    </w:pPr>
    <w:rPr>
      <w:color w:val="auto"/>
      <w:sz w:val="20"/>
      <w:szCs w:val="20"/>
      <w:lang w:val="fr-CH" w:eastAsia="en-US"/>
    </w:rPr>
  </w:style>
  <w:style w:type="character" w:customStyle="1" w:styleId="SingleTxtGChar">
    <w:name w:val="_ Single Txt_G Char"/>
    <w:link w:val="SingleTxtG"/>
    <w:locked/>
    <w:rsid w:val="00D0444F"/>
    <w:rPr>
      <w:rFonts w:ascii="Times New Roman" w:eastAsia="Times New Roman" w:hAnsi="Times New Roman" w:cs="Times New Roman"/>
      <w:sz w:val="20"/>
      <w:szCs w:val="20"/>
      <w:lang w:val="fr-CH"/>
    </w:rPr>
  </w:style>
  <w:style w:type="paragraph" w:customStyle="1" w:styleId="H23G">
    <w:name w:val="_ H_2/3_G"/>
    <w:basedOn w:val="Normal"/>
    <w:next w:val="Normal"/>
    <w:link w:val="H23GCar"/>
    <w:qFormat/>
    <w:rsid w:val="00794BF5"/>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EastAsia"/>
      <w:b/>
      <w:color w:val="auto"/>
      <w:sz w:val="20"/>
      <w:szCs w:val="20"/>
      <w:lang w:val="fr-CH" w:eastAsia="zh-CN"/>
    </w:rPr>
  </w:style>
  <w:style w:type="character" w:customStyle="1" w:styleId="H23GCar">
    <w:name w:val="_ H_2/3_G Car"/>
    <w:link w:val="H23G"/>
    <w:rsid w:val="00794BF5"/>
    <w:rPr>
      <w:rFonts w:ascii="Times New Roman" w:eastAsiaTheme="minorEastAsia" w:hAnsi="Times New Roman" w:cs="Times New Roman"/>
      <w:b/>
      <w:sz w:val="20"/>
      <w:szCs w:val="20"/>
      <w:lang w:val="fr-CH" w:eastAsia="zh-CN"/>
    </w:rPr>
  </w:style>
  <w:style w:type="paragraph" w:styleId="ListParagraph">
    <w:name w:val="List Paragraph"/>
    <w:basedOn w:val="Normal"/>
    <w:uiPriority w:val="34"/>
    <w:qFormat/>
    <w:rsid w:val="000C16B9"/>
    <w:pPr>
      <w:ind w:left="720"/>
      <w:contextualSpacing/>
    </w:pPr>
  </w:style>
  <w:style w:type="paragraph" w:styleId="Header">
    <w:name w:val="header"/>
    <w:basedOn w:val="Normal"/>
    <w:link w:val="HeaderChar"/>
    <w:uiPriority w:val="99"/>
    <w:unhideWhenUsed/>
    <w:rsid w:val="009803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980314"/>
    <w:rPr>
      <w:rFonts w:ascii="Times New Roman" w:eastAsia="Times New Roman" w:hAnsi="Times New Roman" w:cs="Times New Roman"/>
      <w:color w:val="000000"/>
      <w:sz w:val="28"/>
      <w:lang w:eastAsia="fr-FR"/>
    </w:rPr>
  </w:style>
  <w:style w:type="paragraph" w:styleId="Footer">
    <w:name w:val="footer"/>
    <w:basedOn w:val="Normal"/>
    <w:link w:val="FooterChar"/>
    <w:uiPriority w:val="99"/>
    <w:unhideWhenUsed/>
    <w:rsid w:val="009803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980314"/>
    <w:rPr>
      <w:rFonts w:ascii="Times New Roman" w:eastAsia="Times New Roman" w:hAnsi="Times New Roman" w:cs="Times New Roman"/>
      <w:color w:val="000000"/>
      <w:sz w:val="2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39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1B6C6-6135-42D1-A1D7-703A3A852D09}"/>
</file>

<file path=customXml/itemProps2.xml><?xml version="1.0" encoding="utf-8"?>
<ds:datastoreItem xmlns:ds="http://schemas.openxmlformats.org/officeDocument/2006/customXml" ds:itemID="{BF6FED13-AEE4-4B50-90BA-86E1EF1D5319}"/>
</file>

<file path=customXml/itemProps3.xml><?xml version="1.0" encoding="utf-8"?>
<ds:datastoreItem xmlns:ds="http://schemas.openxmlformats.org/officeDocument/2006/customXml" ds:itemID="{A2525EB5-7B70-4219-83D0-76A527821E94}"/>
</file>

<file path=docProps/app.xml><?xml version="1.0" encoding="utf-8"?>
<Properties xmlns="http://schemas.openxmlformats.org/officeDocument/2006/extended-properties" xmlns:vt="http://schemas.openxmlformats.org/officeDocument/2006/docPropsVTypes">
  <Template>Normal.dotm</Template>
  <TotalTime>1</TotalTime>
  <Pages>9</Pages>
  <Words>1943</Words>
  <Characters>11079</Characters>
  <Application>Microsoft Office Word</Application>
  <DocSecurity>0</DocSecurity>
  <Lines>92</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Abdallah El Hacene</dc:creator>
  <cp:keywords/>
  <dc:description/>
  <cp:lastModifiedBy>REYNAUD Céline</cp:lastModifiedBy>
  <cp:revision>2</cp:revision>
  <dcterms:created xsi:type="dcterms:W3CDTF">2021-08-09T16:48:00Z</dcterms:created>
  <dcterms:modified xsi:type="dcterms:W3CDTF">2021-08-09T16:48:00Z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