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E1AAA" w14:textId="71E32CF1" w:rsidR="00F21C30" w:rsidRDefault="00F21C30" w:rsidP="00F21C30">
      <w:pPr>
        <w:pBdr>
          <w:bottom w:val="single" w:sz="18" w:space="1" w:color="auto"/>
        </w:pBdr>
        <w:jc w:val="center"/>
        <w:rPr>
          <w:rFonts w:asciiTheme="majorBidi" w:hAnsiTheme="majorBidi" w:cstheme="majorBidi"/>
          <w:b/>
          <w:bCs/>
          <w:color w:val="FF0000"/>
          <w:sz w:val="28"/>
          <w:szCs w:val="28"/>
        </w:rPr>
      </w:pPr>
      <w:bookmarkStart w:id="0" w:name="OLE_LINK273"/>
      <w:r w:rsidRPr="00F21C30">
        <w:rPr>
          <w:rFonts w:asciiTheme="majorBidi" w:hAnsiTheme="majorBidi" w:cstheme="majorBidi"/>
          <w:b/>
          <w:bCs/>
          <w:color w:val="2F5496" w:themeColor="accent5" w:themeShade="BF"/>
          <w:sz w:val="28"/>
          <w:szCs w:val="28"/>
        </w:rPr>
        <w:t xml:space="preserve">Maat </w:t>
      </w:r>
      <w:bookmarkEnd w:id="0"/>
      <w:r w:rsidRPr="00F21C30">
        <w:rPr>
          <w:rFonts w:asciiTheme="majorBidi" w:hAnsiTheme="majorBidi" w:cstheme="majorBidi"/>
          <w:b/>
          <w:bCs/>
          <w:color w:val="2F5496" w:themeColor="accent5" w:themeShade="BF"/>
          <w:sz w:val="28"/>
          <w:szCs w:val="28"/>
        </w:rPr>
        <w:t xml:space="preserve">for Peace’ Report Submitted to Committee Against Torture Regarding the State of </w:t>
      </w:r>
      <w:r w:rsidRPr="00F21C30">
        <w:rPr>
          <w:rFonts w:asciiTheme="majorBidi" w:hAnsiTheme="majorBidi" w:cstheme="majorBidi"/>
          <w:b/>
          <w:bCs/>
          <w:color w:val="FF0000"/>
          <w:sz w:val="28"/>
          <w:szCs w:val="28"/>
        </w:rPr>
        <w:t>Kuwait</w:t>
      </w:r>
    </w:p>
    <w:p w14:paraId="642EDC69" w14:textId="7B94B957" w:rsidR="00F21C30" w:rsidRPr="00F21C30" w:rsidRDefault="00F21C30" w:rsidP="00F21C30">
      <w:pPr>
        <w:pBdr>
          <w:bottom w:val="single" w:sz="18" w:space="1" w:color="auto"/>
        </w:pBdr>
        <w:jc w:val="center"/>
        <w:rPr>
          <w:rFonts w:asciiTheme="majorBidi" w:hAnsiTheme="majorBidi" w:cstheme="majorBidi"/>
          <w:b/>
          <w:bCs/>
        </w:rPr>
      </w:pPr>
      <w:r w:rsidRPr="00F21C30">
        <w:rPr>
          <w:rFonts w:asciiTheme="majorBidi" w:hAnsiTheme="majorBidi" w:cstheme="majorBidi"/>
          <w:b/>
          <w:bCs/>
        </w:rPr>
        <w:t>September 2024</w:t>
      </w:r>
    </w:p>
    <w:p w14:paraId="7C3F76B8" w14:textId="77777777" w:rsidR="00F21C30" w:rsidRPr="00F21C30" w:rsidRDefault="00F21C30" w:rsidP="00F21C30">
      <w:pPr>
        <w:jc w:val="both"/>
        <w:rPr>
          <w:rFonts w:asciiTheme="majorBidi" w:hAnsiTheme="majorBidi" w:cstheme="majorBidi"/>
          <w:sz w:val="24"/>
          <w:szCs w:val="24"/>
        </w:rPr>
      </w:pPr>
      <w:r w:rsidRPr="00F21C30">
        <w:rPr>
          <w:rFonts w:asciiTheme="majorBidi" w:hAnsiTheme="majorBidi" w:cstheme="majorBidi"/>
          <w:sz w:val="24"/>
          <w:szCs w:val="24"/>
        </w:rPr>
        <w:t>Kuwait ratified the International Convention against Torture and Other Cruel, Inhuman or Degrading Treatment or Punishment (CAT), referred to as the "Convention" in this report, becoming the first Gulf state to accede to the Convention in 1996. Kuwait is committed to submitting periodic reports to the Committee against Torture (the Committee), with the most recent being the fourth periodic report submitted in 2020. Additionally, Kuwait has established a permanent national committee tasked with preparing these reports and following up on human rights recommendations.</w:t>
      </w:r>
      <w:r w:rsidRPr="00F21C30">
        <w:rPr>
          <w:rStyle w:val="FootnoteReference"/>
          <w:rFonts w:asciiTheme="majorBidi" w:hAnsiTheme="majorBidi" w:cstheme="majorBidi"/>
          <w:sz w:val="24"/>
          <w:szCs w:val="24"/>
        </w:rPr>
        <w:footnoteReference w:id="1"/>
      </w:r>
    </w:p>
    <w:p w14:paraId="29BA6D3A" w14:textId="77777777" w:rsidR="00F21C30" w:rsidRPr="00F21C30" w:rsidRDefault="00F21C30" w:rsidP="00F21C30">
      <w:pPr>
        <w:jc w:val="both"/>
        <w:rPr>
          <w:rFonts w:asciiTheme="majorBidi" w:hAnsiTheme="majorBidi" w:cstheme="majorBidi"/>
          <w:sz w:val="24"/>
          <w:szCs w:val="24"/>
        </w:rPr>
      </w:pPr>
      <w:r w:rsidRPr="00F21C30">
        <w:rPr>
          <w:rFonts w:asciiTheme="majorBidi" w:hAnsiTheme="majorBidi" w:cstheme="majorBidi"/>
          <w:sz w:val="24"/>
          <w:szCs w:val="24"/>
        </w:rPr>
        <w:t xml:space="preserve">Despite Kuwait's notable efforts to adhere to the provisions of the Convention and to improve and protect human rights, several conditions and practices persist that indicate non-compliance with its obligations under the Convention. In this regard, </w:t>
      </w:r>
      <w:r w:rsidRPr="00F21C30">
        <w:rPr>
          <w:rFonts w:asciiTheme="majorBidi" w:hAnsiTheme="majorBidi" w:cstheme="majorBidi"/>
          <w:b/>
          <w:bCs/>
          <w:sz w:val="24"/>
          <w:szCs w:val="24"/>
        </w:rPr>
        <w:t>Maat for Peace, Development and Human Rights</w:t>
      </w:r>
      <w:r w:rsidRPr="00F21C30">
        <w:rPr>
          <w:rFonts w:asciiTheme="majorBidi" w:hAnsiTheme="majorBidi" w:cstheme="majorBidi"/>
          <w:sz w:val="24"/>
          <w:szCs w:val="24"/>
        </w:rPr>
        <w:t xml:space="preserve"> presents the following report to the Committee against Torture, evaluating the extent of Kuwait’s commitment to the Convention's provisions in anticipation of its upcoming review during the Committee's 81st session, scheduled from October 28 to November 22, 2024. This report also highlights the significant challenges facing Kuwait and offers recommendations to address these shortcomings.</w:t>
      </w:r>
    </w:p>
    <w:p w14:paraId="6FFD11A0" w14:textId="581507B1" w:rsidR="00F21C30" w:rsidRPr="00F21C30" w:rsidRDefault="00F21C30" w:rsidP="00F21C30">
      <w:pPr>
        <w:jc w:val="both"/>
        <w:rPr>
          <w:rFonts w:asciiTheme="majorBidi" w:hAnsiTheme="majorBidi" w:cstheme="majorBidi"/>
          <w:b/>
          <w:bCs/>
          <w:color w:val="ED0000"/>
          <w:sz w:val="28"/>
          <w:szCs w:val="28"/>
        </w:rPr>
      </w:pPr>
      <w:r w:rsidRPr="00F21C30">
        <w:rPr>
          <w:rFonts w:asciiTheme="majorBidi" w:hAnsiTheme="majorBidi" w:cstheme="majorBidi"/>
          <w:b/>
          <w:bCs/>
          <w:color w:val="ED0000"/>
          <w:sz w:val="28"/>
          <w:szCs w:val="28"/>
        </w:rPr>
        <w:t>Article 1: Definition of Torture</w:t>
      </w:r>
    </w:p>
    <w:p w14:paraId="5A9A12DF" w14:textId="77777777" w:rsidR="00F21C30" w:rsidRPr="00F21C30" w:rsidRDefault="00F21C30" w:rsidP="00F21C30">
      <w:pPr>
        <w:jc w:val="both"/>
        <w:rPr>
          <w:rFonts w:asciiTheme="majorBidi" w:hAnsiTheme="majorBidi" w:cstheme="majorBidi"/>
          <w:sz w:val="24"/>
          <w:szCs w:val="24"/>
        </w:rPr>
      </w:pPr>
      <w:r w:rsidRPr="00F21C30">
        <w:rPr>
          <w:rFonts w:asciiTheme="majorBidi" w:hAnsiTheme="majorBidi" w:cstheme="majorBidi"/>
          <w:sz w:val="24"/>
          <w:szCs w:val="24"/>
        </w:rPr>
        <w:t>Many Kuwaiti laws prohibit acts of torture and inhuman treatment, imposing penalties for such actions. Relevant statutes include Articles 70 and 184 of Kuwaiti Penal Code No. 16 of 1960, as well as Articles 53 and 56 of Penal Code No. 31 of 1970. However, Maat believes that while these articles address the criminal offense of torture, they do not provide sufficiently accurate descriptions. Furthermore, Kuwaiti laws have not yet adopted a comprehensive and specific definition of torture, contrary to Article 1 of the Convention.</w:t>
      </w:r>
      <w:r w:rsidRPr="00F21C30">
        <w:rPr>
          <w:rStyle w:val="FootnoteReference"/>
          <w:rFonts w:asciiTheme="majorBidi" w:hAnsiTheme="majorBidi" w:cstheme="majorBidi"/>
          <w:sz w:val="24"/>
          <w:szCs w:val="24"/>
        </w:rPr>
        <w:footnoteReference w:id="2"/>
      </w:r>
    </w:p>
    <w:p w14:paraId="63D2D6A4" w14:textId="77777777" w:rsidR="00F21C30" w:rsidRPr="00F21C30" w:rsidRDefault="00F21C30" w:rsidP="00F21C30">
      <w:pPr>
        <w:jc w:val="both"/>
        <w:rPr>
          <w:rFonts w:asciiTheme="majorBidi" w:hAnsiTheme="majorBidi" w:cstheme="majorBidi"/>
          <w:sz w:val="24"/>
          <w:szCs w:val="24"/>
        </w:rPr>
      </w:pPr>
      <w:r w:rsidRPr="00F21C30">
        <w:rPr>
          <w:rFonts w:asciiTheme="majorBidi" w:hAnsiTheme="majorBidi" w:cstheme="majorBidi"/>
          <w:sz w:val="24"/>
          <w:szCs w:val="24"/>
        </w:rPr>
        <w:t>Kuwaiti authorities justify this legal gap by asserting that Article 70 of the Kuwaiti Constitution considers international treaties an integral part of national law upon ratification and publication in the Official Gazette. Thus, they argue that this implicitly recognizes the definition contained in the Convention without explicitly incorporating it into domestic laws.</w:t>
      </w:r>
      <w:r w:rsidRPr="00F21C30">
        <w:rPr>
          <w:rStyle w:val="FootnoteReference"/>
          <w:rFonts w:asciiTheme="majorBidi" w:hAnsiTheme="majorBidi" w:cstheme="majorBidi"/>
          <w:sz w:val="24"/>
          <w:szCs w:val="24"/>
        </w:rPr>
        <w:footnoteReference w:id="3"/>
      </w:r>
      <w:r w:rsidRPr="00F21C30">
        <w:rPr>
          <w:rFonts w:asciiTheme="majorBidi" w:hAnsiTheme="majorBidi" w:cstheme="majorBidi"/>
          <w:sz w:val="24"/>
          <w:szCs w:val="24"/>
        </w:rPr>
        <w:t xml:space="preserve"> Maat emphasizes that having </w:t>
      </w:r>
      <w:r w:rsidRPr="00F21C30">
        <w:rPr>
          <w:rFonts w:asciiTheme="majorBidi" w:hAnsiTheme="majorBidi" w:cstheme="majorBidi"/>
          <w:sz w:val="24"/>
          <w:szCs w:val="24"/>
        </w:rPr>
        <w:lastRenderedPageBreak/>
        <w:t xml:space="preserve">a comprehensive definition of torture in Kuwaiti national laws is crucial, as the </w:t>
      </w:r>
      <w:proofErr w:type="gramStart"/>
      <w:r w:rsidRPr="00F21C30">
        <w:rPr>
          <w:rFonts w:asciiTheme="majorBidi" w:hAnsiTheme="majorBidi" w:cstheme="majorBidi"/>
          <w:sz w:val="24"/>
          <w:szCs w:val="24"/>
        </w:rPr>
        <w:t>general public</w:t>
      </w:r>
      <w:proofErr w:type="gramEnd"/>
      <w:r w:rsidRPr="00F21C30">
        <w:rPr>
          <w:rFonts w:asciiTheme="majorBidi" w:hAnsiTheme="majorBidi" w:cstheme="majorBidi"/>
          <w:sz w:val="24"/>
          <w:szCs w:val="24"/>
        </w:rPr>
        <w:t xml:space="preserve"> is typically more familiar with domestic laws than with international agreements. This familiarity can enhance public awareness of the crime of torture, its elements, and various forms, ultimately reducing citizens' willingness to commit such acts, whether intentionally or out of ignorance.</w:t>
      </w:r>
    </w:p>
    <w:p w14:paraId="2A81456B" w14:textId="1BCFA743" w:rsidR="00F21C30" w:rsidRPr="00F21C30" w:rsidRDefault="00F21C30" w:rsidP="00F21C30">
      <w:pPr>
        <w:jc w:val="both"/>
        <w:rPr>
          <w:rFonts w:asciiTheme="majorBidi" w:hAnsiTheme="majorBidi" w:cstheme="majorBidi"/>
          <w:b/>
          <w:bCs/>
          <w:color w:val="ED0000"/>
          <w:sz w:val="28"/>
          <w:szCs w:val="28"/>
        </w:rPr>
      </w:pPr>
      <w:r w:rsidRPr="00F21C30">
        <w:rPr>
          <w:rFonts w:asciiTheme="majorBidi" w:hAnsiTheme="majorBidi" w:cstheme="majorBidi"/>
          <w:b/>
          <w:bCs/>
          <w:color w:val="ED0000"/>
          <w:sz w:val="28"/>
          <w:szCs w:val="28"/>
        </w:rPr>
        <w:t>Article 2: Guarantees for Prevention of Torture</w:t>
      </w:r>
    </w:p>
    <w:p w14:paraId="3C50ECAB" w14:textId="77777777" w:rsidR="00F21C30" w:rsidRPr="00F21C30" w:rsidRDefault="00F21C30" w:rsidP="00F21C30">
      <w:pPr>
        <w:jc w:val="both"/>
        <w:rPr>
          <w:rFonts w:asciiTheme="majorBidi" w:hAnsiTheme="majorBidi" w:cstheme="majorBidi"/>
          <w:sz w:val="24"/>
          <w:szCs w:val="24"/>
        </w:rPr>
      </w:pPr>
      <w:r w:rsidRPr="00F21C30">
        <w:rPr>
          <w:rFonts w:asciiTheme="majorBidi" w:hAnsiTheme="majorBidi" w:cstheme="majorBidi"/>
          <w:sz w:val="24"/>
          <w:szCs w:val="24"/>
        </w:rPr>
        <w:t>Maat appreciates recent developments aimed at preventing practices that may amount to torture in Kuwait, including the adoption of Law No. 16 of 2020 regarding protection from domestic violence and the establishment of a national committee for this protection pursuant to Ministerial Resolution No. 4 of 2023. Maat also reviewed the measures outlined in Kuwait's fourth report to implement Article 2 of the Convention. This article mandates that the Criminal Procedures and Trials Law includes various safeguards to prevent torture, such as the requirement to observe the prescribed detention period and the obligation to allow the accused to contact their lawyer or inform another chosen individual during detention. The law has entrusted the police with implementing guarantees to protect detainees. The Committee on Torture has emphasized the need for adequate measures to safeguard detainees from the risk of torture and ill-treatment, ensuring that all their rights are secured within prisons and detention centers. However, in violation of this principle, Article 58 of Law No. 26 of 1962, which regulates prisons in Kuwait, permits the use of shackles on hands and feet for up to one month as a punishment for violations. This law also allows for the deprivation of certain types of food for a week.</w:t>
      </w:r>
      <w:r w:rsidRPr="00F21C30">
        <w:rPr>
          <w:rStyle w:val="FootnoteReference"/>
          <w:rFonts w:asciiTheme="majorBidi" w:hAnsiTheme="majorBidi" w:cstheme="majorBidi"/>
          <w:sz w:val="24"/>
          <w:szCs w:val="24"/>
        </w:rPr>
        <w:footnoteReference w:id="4"/>
      </w:r>
      <w:r w:rsidRPr="00F21C30">
        <w:rPr>
          <w:rFonts w:asciiTheme="majorBidi" w:hAnsiTheme="majorBidi" w:cstheme="majorBidi"/>
          <w:sz w:val="24"/>
          <w:szCs w:val="24"/>
        </w:rPr>
        <w:t xml:space="preserve"> Such practices highlight a conflict between some Kuwaiti domestic laws and the stipulations outlined in Article 2 of the Convention.</w:t>
      </w:r>
    </w:p>
    <w:p w14:paraId="07942AF3" w14:textId="77777777" w:rsidR="00F21C30" w:rsidRPr="00F21C30" w:rsidRDefault="00F21C30" w:rsidP="00F21C30">
      <w:pPr>
        <w:jc w:val="both"/>
        <w:rPr>
          <w:rFonts w:asciiTheme="majorBidi" w:hAnsiTheme="majorBidi" w:cstheme="majorBidi"/>
          <w:sz w:val="24"/>
          <w:szCs w:val="24"/>
        </w:rPr>
      </w:pPr>
      <w:r w:rsidRPr="00F21C30">
        <w:rPr>
          <w:rFonts w:asciiTheme="majorBidi" w:hAnsiTheme="majorBidi" w:cstheme="majorBidi"/>
          <w:sz w:val="24"/>
          <w:szCs w:val="24"/>
        </w:rPr>
        <w:t>Additionally, testimonies from some prisoners indicate that during the investigative stages prior to sentencing, they were denied access to legal assistance and were subjected to forms of torture, including electrocution, suspension, and simulated drowning, to extract confessions against their will. Concerns are heightened by the Public Prosecution’s failure to address these prisoners’ complaints, with reports indicating that such complaints were not recorded in official records at all.</w:t>
      </w:r>
      <w:r w:rsidRPr="00F21C30">
        <w:rPr>
          <w:rStyle w:val="FootnoteReference"/>
          <w:rFonts w:asciiTheme="majorBidi" w:hAnsiTheme="majorBidi" w:cstheme="majorBidi"/>
          <w:sz w:val="24"/>
          <w:szCs w:val="24"/>
        </w:rPr>
        <w:footnoteReference w:id="5"/>
      </w:r>
      <w:r w:rsidRPr="00F21C30">
        <w:rPr>
          <w:rFonts w:asciiTheme="majorBidi" w:hAnsiTheme="majorBidi" w:cstheme="majorBidi"/>
          <w:sz w:val="24"/>
          <w:szCs w:val="24"/>
        </w:rPr>
        <w:t xml:space="preserve"> </w:t>
      </w:r>
    </w:p>
    <w:p w14:paraId="5A40630C" w14:textId="77777777" w:rsidR="00F21C30" w:rsidRPr="00F21C30" w:rsidRDefault="00F21C30" w:rsidP="001C6199">
      <w:pPr>
        <w:jc w:val="both"/>
        <w:rPr>
          <w:rFonts w:asciiTheme="majorBidi" w:hAnsiTheme="majorBidi" w:cstheme="majorBidi"/>
          <w:sz w:val="24"/>
          <w:szCs w:val="24"/>
        </w:rPr>
      </w:pPr>
      <w:r w:rsidRPr="00F21C30">
        <w:rPr>
          <w:rFonts w:asciiTheme="majorBidi" w:hAnsiTheme="majorBidi" w:cstheme="majorBidi"/>
          <w:sz w:val="24"/>
          <w:szCs w:val="24"/>
        </w:rPr>
        <w:t xml:space="preserve">There have been reports of ill-treatment of prisoners in Kuwait. For instance, in June 2023, security forces attacked inmates at the Central Prison, resulting in injuries to 12 prisoners. These attacks occurred after riots in the prison, with allegations of excessive force used to restore order, adversely affecting the inmates and their basic rights. Such incidents contradict the guarantees enshrined in the Universal Declaration of Human Rights and the United Nations Standard </w:t>
      </w:r>
      <w:r w:rsidRPr="00F21C30">
        <w:rPr>
          <w:rFonts w:asciiTheme="majorBidi" w:hAnsiTheme="majorBidi" w:cstheme="majorBidi"/>
          <w:sz w:val="24"/>
          <w:szCs w:val="24"/>
        </w:rPr>
        <w:lastRenderedPageBreak/>
        <w:t>Minimum Rules for the Treatment of Prisoners. In response to these events, a decision was issued by the First Deputy Prime Minister, Minister of Interior, and Acting Minister of Defense, which included the suspension of the Assistant Undersecretary of the Ministry of Interior for Special Security Affairs and Correctional Institutions, as well as the Director General of the General Administration of Correctional Institutions. An investigation committee was formed to examine the events at the Central Prison, ultimately recommending that the matter be referred to the Public Prosecution. These accountability procedures support the right to justice for the victims.</w:t>
      </w:r>
    </w:p>
    <w:p w14:paraId="7324BB18" w14:textId="23BE3DA1" w:rsidR="00F21C30" w:rsidRPr="00621BD9" w:rsidRDefault="00F21C30" w:rsidP="00F21C30">
      <w:pPr>
        <w:jc w:val="both"/>
        <w:rPr>
          <w:rFonts w:asciiTheme="majorBidi" w:hAnsiTheme="majorBidi" w:cstheme="majorBidi"/>
          <w:b/>
          <w:bCs/>
          <w:color w:val="ED0000"/>
          <w:sz w:val="28"/>
          <w:szCs w:val="28"/>
        </w:rPr>
      </w:pPr>
      <w:r w:rsidRPr="00621BD9">
        <w:rPr>
          <w:rFonts w:asciiTheme="majorBidi" w:hAnsiTheme="majorBidi" w:cstheme="majorBidi"/>
          <w:b/>
          <w:bCs/>
          <w:color w:val="ED0000"/>
          <w:sz w:val="28"/>
          <w:szCs w:val="28"/>
        </w:rPr>
        <w:t>Article 3: Non-Refoulement</w:t>
      </w:r>
    </w:p>
    <w:p w14:paraId="632A6B99" w14:textId="77777777" w:rsidR="00F21C30" w:rsidRPr="00F21C30" w:rsidRDefault="00F21C30" w:rsidP="00621BD9">
      <w:pPr>
        <w:jc w:val="both"/>
        <w:rPr>
          <w:rFonts w:asciiTheme="majorBidi" w:hAnsiTheme="majorBidi" w:cstheme="majorBidi"/>
          <w:sz w:val="24"/>
          <w:szCs w:val="24"/>
        </w:rPr>
      </w:pPr>
      <w:r w:rsidRPr="00F21C30">
        <w:rPr>
          <w:rFonts w:asciiTheme="majorBidi" w:hAnsiTheme="majorBidi" w:cstheme="majorBidi"/>
          <w:sz w:val="24"/>
          <w:szCs w:val="24"/>
        </w:rPr>
        <w:t xml:space="preserve">Kuwait is committed under Article 3 of the Convention not to expel or extradite any person to another country if such action would expose them to the risk of torture. Maat believes that the State of Kuwait continues to face challenges in fulfilling this obligation effectively. In 2023 alone, approximately 42,000 expatriates were deported from Kuwait for violations related to labor laws and residency requirements. In July 2024, Kuwaiti authorities initiated a plan to deport illegal immigrants residing in the country. This deportation program includes provisions that prohibit deportees from re-entering Kuwaiti territory for life, as well as barring them from entering Gulf Cooperation Council countries for five years. These measures are part of the </w:t>
      </w:r>
      <w:r w:rsidRPr="00A07D53">
        <w:rPr>
          <w:rFonts w:asciiTheme="majorBidi" w:hAnsiTheme="majorBidi" w:cstheme="majorBidi"/>
          <w:b/>
          <w:bCs/>
          <w:sz w:val="24"/>
          <w:szCs w:val="24"/>
        </w:rPr>
        <w:t xml:space="preserve">job localization </w:t>
      </w:r>
      <w:r w:rsidRPr="00F21C30">
        <w:rPr>
          <w:rFonts w:asciiTheme="majorBidi" w:hAnsiTheme="majorBidi" w:cstheme="majorBidi"/>
          <w:sz w:val="24"/>
          <w:szCs w:val="24"/>
        </w:rPr>
        <w:t>efforts that Kuwaiti authorities have pursued in recent years.</w:t>
      </w:r>
      <w:r w:rsidRPr="00F21C30">
        <w:rPr>
          <w:rStyle w:val="FootnoteReference"/>
          <w:rFonts w:asciiTheme="majorBidi" w:hAnsiTheme="majorBidi" w:cstheme="majorBidi"/>
          <w:sz w:val="24"/>
          <w:szCs w:val="24"/>
        </w:rPr>
        <w:footnoteReference w:id="6"/>
      </w:r>
    </w:p>
    <w:p w14:paraId="6D6EAB5D" w14:textId="77777777" w:rsidR="00F21C30" w:rsidRPr="00F21C30" w:rsidRDefault="00F21C30" w:rsidP="00621BD9">
      <w:pPr>
        <w:jc w:val="both"/>
        <w:rPr>
          <w:rFonts w:asciiTheme="majorBidi" w:hAnsiTheme="majorBidi" w:cstheme="majorBidi"/>
          <w:sz w:val="24"/>
          <w:szCs w:val="24"/>
        </w:rPr>
      </w:pPr>
      <w:r w:rsidRPr="00F21C30">
        <w:rPr>
          <w:rFonts w:asciiTheme="majorBidi" w:hAnsiTheme="majorBidi" w:cstheme="majorBidi"/>
          <w:sz w:val="24"/>
          <w:szCs w:val="24"/>
        </w:rPr>
        <w:t>Maat is concerned that the mass or arbitrary deportation of expatriates may force some individuals to return to their home countries under unstable conditions, or to remain in Kuwait illegally, leaving them vulnerable to persecution and exploitation by employers. For instance, Maat has observed the arrest of dozens of Syrians and Yemenis in Kuwait in recent years for violations of residency laws. Many of these individuals were detained in Kuwaiti prisons and subsequently deported to their home countries.</w:t>
      </w:r>
      <w:r w:rsidRPr="00F21C30">
        <w:rPr>
          <w:rStyle w:val="FootnoteReference"/>
          <w:rFonts w:asciiTheme="majorBidi" w:hAnsiTheme="majorBidi" w:cstheme="majorBidi"/>
          <w:sz w:val="24"/>
          <w:szCs w:val="24"/>
        </w:rPr>
        <w:footnoteReference w:id="7"/>
      </w:r>
      <w:r w:rsidRPr="00F21C30">
        <w:rPr>
          <w:rFonts w:asciiTheme="majorBidi" w:hAnsiTheme="majorBidi" w:cstheme="majorBidi"/>
          <w:sz w:val="24"/>
          <w:szCs w:val="24"/>
        </w:rPr>
        <w:t xml:space="preserve">  Confirming these concerns, four Syrian citizens who were deported from Kuwait to Syria for minor infractions, such as driving without a license or committing traffic violations, were executed by Syrian authorities based on their political affiliations. Additionally, numerous Syrians have disappeared in Syria without any information regarding their whereabouts or fates.</w:t>
      </w:r>
      <w:r w:rsidRPr="00F21C30">
        <w:rPr>
          <w:rStyle w:val="FootnoteReference"/>
          <w:rFonts w:asciiTheme="majorBidi" w:hAnsiTheme="majorBidi" w:cstheme="majorBidi"/>
          <w:sz w:val="24"/>
          <w:szCs w:val="24"/>
        </w:rPr>
        <w:footnoteReference w:id="8"/>
      </w:r>
      <w:r w:rsidRPr="00F21C30">
        <w:rPr>
          <w:rFonts w:asciiTheme="majorBidi" w:hAnsiTheme="majorBidi" w:cstheme="majorBidi"/>
          <w:sz w:val="24"/>
          <w:szCs w:val="24"/>
        </w:rPr>
        <w:t xml:space="preserve"> Such policies hinder Kuwait from fulfilling its obligations under Article 3 of the Convention and expose thousands of deportees to violations that can result in the loss of life.</w:t>
      </w:r>
    </w:p>
    <w:p w14:paraId="49B1065F" w14:textId="747C10FC" w:rsidR="00F21C30" w:rsidRPr="000F1DF6" w:rsidRDefault="00F21C30" w:rsidP="00F21C30">
      <w:pPr>
        <w:jc w:val="both"/>
        <w:rPr>
          <w:rFonts w:asciiTheme="majorBidi" w:hAnsiTheme="majorBidi" w:cstheme="majorBidi"/>
          <w:b/>
          <w:bCs/>
          <w:color w:val="ED0000"/>
          <w:sz w:val="28"/>
          <w:szCs w:val="28"/>
        </w:rPr>
      </w:pPr>
      <w:r w:rsidRPr="000F1DF6">
        <w:rPr>
          <w:rFonts w:asciiTheme="majorBidi" w:hAnsiTheme="majorBidi" w:cstheme="majorBidi"/>
          <w:b/>
          <w:bCs/>
          <w:color w:val="ED0000"/>
          <w:sz w:val="28"/>
          <w:szCs w:val="28"/>
        </w:rPr>
        <w:lastRenderedPageBreak/>
        <w:t>Article 4: Criminalization of Torture</w:t>
      </w:r>
    </w:p>
    <w:p w14:paraId="274E4075" w14:textId="77777777" w:rsidR="00F21C30" w:rsidRPr="00F21C30" w:rsidRDefault="00F21C30" w:rsidP="000F1DF6">
      <w:pPr>
        <w:jc w:val="both"/>
        <w:rPr>
          <w:rFonts w:asciiTheme="majorBidi" w:hAnsiTheme="majorBidi" w:cstheme="majorBidi"/>
          <w:sz w:val="24"/>
          <w:szCs w:val="24"/>
        </w:rPr>
      </w:pPr>
      <w:r w:rsidRPr="00F21C30">
        <w:rPr>
          <w:rFonts w:asciiTheme="majorBidi" w:hAnsiTheme="majorBidi" w:cstheme="majorBidi"/>
          <w:sz w:val="24"/>
          <w:szCs w:val="24"/>
        </w:rPr>
        <w:t xml:space="preserve">Article 4 of the Convention emphasizes the need for States Parties to classify all acts of torture or attempted torture as serious crimes, warranting deterrent penalties. However, Kuwaiti laws have not yet achieved the necessary level of strictness. Article 37 of the Kuwaiti Criminal Procedure Code permits the use of "any means" during investigations to obtain evidence, </w:t>
      </w:r>
      <w:proofErr w:type="gramStart"/>
      <w:r w:rsidRPr="00F21C30">
        <w:rPr>
          <w:rFonts w:asciiTheme="majorBidi" w:hAnsiTheme="majorBidi" w:cstheme="majorBidi"/>
          <w:sz w:val="24"/>
          <w:szCs w:val="24"/>
        </w:rPr>
        <w:t>provided that</w:t>
      </w:r>
      <w:proofErr w:type="gramEnd"/>
      <w:r w:rsidRPr="00F21C30">
        <w:rPr>
          <w:rFonts w:asciiTheme="majorBidi" w:hAnsiTheme="majorBidi" w:cstheme="majorBidi"/>
          <w:sz w:val="24"/>
          <w:szCs w:val="24"/>
        </w:rPr>
        <w:t xml:space="preserve"> it does not violate public morals or infringe upon the rights and freedoms of individuals.</w:t>
      </w:r>
      <w:r w:rsidRPr="00F21C30">
        <w:rPr>
          <w:rStyle w:val="FootnoteReference"/>
          <w:rFonts w:asciiTheme="majorBidi" w:hAnsiTheme="majorBidi" w:cstheme="majorBidi"/>
          <w:sz w:val="24"/>
          <w:szCs w:val="24"/>
        </w:rPr>
        <w:footnoteReference w:id="9"/>
      </w:r>
      <w:r w:rsidRPr="00F21C30">
        <w:rPr>
          <w:rFonts w:asciiTheme="majorBidi" w:hAnsiTheme="majorBidi" w:cstheme="majorBidi"/>
          <w:sz w:val="24"/>
          <w:szCs w:val="24"/>
        </w:rPr>
        <w:t xml:space="preserve"> Maat condemns the phrase “any means” in this article due to its vague wording, which is open to interpretations that may be inappropriate. This language contradicts the absolute prohibition of torture emphasized by the Convention, especially since </w:t>
      </w:r>
      <w:proofErr w:type="gramStart"/>
      <w:r w:rsidRPr="00F21C30">
        <w:rPr>
          <w:rFonts w:asciiTheme="majorBidi" w:hAnsiTheme="majorBidi" w:cstheme="majorBidi"/>
          <w:sz w:val="24"/>
          <w:szCs w:val="24"/>
        </w:rPr>
        <w:t>the majority of</w:t>
      </w:r>
      <w:proofErr w:type="gramEnd"/>
      <w:r w:rsidRPr="00F21C30">
        <w:rPr>
          <w:rFonts w:asciiTheme="majorBidi" w:hAnsiTheme="majorBidi" w:cstheme="majorBidi"/>
          <w:sz w:val="24"/>
          <w:szCs w:val="24"/>
        </w:rPr>
        <w:t xml:space="preserve"> torture incidents carried out by Kuwaiti authorities occur during investigations and pre-trial detention.</w:t>
      </w:r>
    </w:p>
    <w:p w14:paraId="000B8919" w14:textId="77777777" w:rsidR="00F21C30" w:rsidRPr="00F21C30" w:rsidRDefault="00F21C30" w:rsidP="000F1DF6">
      <w:pPr>
        <w:jc w:val="both"/>
        <w:rPr>
          <w:rFonts w:asciiTheme="majorBidi" w:hAnsiTheme="majorBidi" w:cstheme="majorBidi"/>
          <w:sz w:val="24"/>
          <w:szCs w:val="24"/>
        </w:rPr>
      </w:pPr>
      <w:r w:rsidRPr="00F21C30">
        <w:rPr>
          <w:rFonts w:asciiTheme="majorBidi" w:hAnsiTheme="majorBidi" w:cstheme="majorBidi"/>
          <w:sz w:val="24"/>
          <w:szCs w:val="24"/>
        </w:rPr>
        <w:t>Moreover, Kuwaiti Penal Code No. 31 of 1970, which amends some provisions of Penal Code No. 16 of 1960, imposes lenient and non-deterrent penalties for torture. Article 53 states that public employees involved in torturing an accused, witness, or expert to extract confessions or statements may face imprisonment for a period not exceeding five years and a fine not exceeding five hundred dinars, or either of these penalties. Similarly, Article 56 of the Penal Code stipulates that any public employee who uses cruelty towards individuals in their official capacity, resulting in a violation of honor or causing physical pain, may be punished with imprisonment for up to three years and a fine not exceeding two hundred and twenty-five dinars, or either penalty.</w:t>
      </w:r>
      <w:r w:rsidRPr="00F21C30">
        <w:rPr>
          <w:rStyle w:val="FootnoteReference"/>
          <w:rFonts w:asciiTheme="majorBidi" w:hAnsiTheme="majorBidi" w:cstheme="majorBidi"/>
          <w:sz w:val="24"/>
          <w:szCs w:val="24"/>
        </w:rPr>
        <w:footnoteReference w:id="10"/>
      </w:r>
    </w:p>
    <w:p w14:paraId="55972739" w14:textId="77777777" w:rsidR="00F21C30" w:rsidRPr="00F21C30" w:rsidRDefault="00F21C30" w:rsidP="000F1DF6">
      <w:pPr>
        <w:jc w:val="both"/>
        <w:rPr>
          <w:rFonts w:asciiTheme="majorBidi" w:hAnsiTheme="majorBidi" w:cstheme="majorBidi"/>
          <w:sz w:val="24"/>
          <w:szCs w:val="24"/>
        </w:rPr>
      </w:pPr>
      <w:r w:rsidRPr="00F21C30">
        <w:rPr>
          <w:rFonts w:asciiTheme="majorBidi" w:hAnsiTheme="majorBidi" w:cstheme="majorBidi"/>
          <w:sz w:val="24"/>
          <w:szCs w:val="24"/>
        </w:rPr>
        <w:t xml:space="preserve">Maat emphasizes that maintaining these provisions without significant tightening diminishes the seriousness of torture, reducing it to a mere disciplinary issue. The </w:t>
      </w:r>
      <w:proofErr w:type="gramStart"/>
      <w:r w:rsidRPr="00F21C30">
        <w:rPr>
          <w:rFonts w:asciiTheme="majorBidi" w:hAnsiTheme="majorBidi" w:cstheme="majorBidi"/>
          <w:sz w:val="24"/>
          <w:szCs w:val="24"/>
        </w:rPr>
        <w:t>aforementioned texts</w:t>
      </w:r>
      <w:proofErr w:type="gramEnd"/>
      <w:r w:rsidRPr="00F21C30">
        <w:rPr>
          <w:rFonts w:asciiTheme="majorBidi" w:hAnsiTheme="majorBidi" w:cstheme="majorBidi"/>
          <w:sz w:val="24"/>
          <w:szCs w:val="24"/>
        </w:rPr>
        <w:t xml:space="preserve"> also create legal loopholes that facilitate impunity for those involved in such crimes, contributing to the continued prevalence of torture.</w:t>
      </w:r>
    </w:p>
    <w:p w14:paraId="22C896D1" w14:textId="388B8CC7" w:rsidR="00F21C30" w:rsidRPr="000F1DF6" w:rsidRDefault="00F21C30" w:rsidP="00F21C30">
      <w:pPr>
        <w:jc w:val="both"/>
        <w:rPr>
          <w:rFonts w:asciiTheme="majorBidi" w:hAnsiTheme="majorBidi" w:cstheme="majorBidi"/>
          <w:b/>
          <w:bCs/>
          <w:color w:val="ED0000"/>
          <w:sz w:val="28"/>
          <w:szCs w:val="28"/>
        </w:rPr>
      </w:pPr>
      <w:r w:rsidRPr="000F1DF6">
        <w:rPr>
          <w:rFonts w:asciiTheme="majorBidi" w:hAnsiTheme="majorBidi" w:cstheme="majorBidi"/>
          <w:b/>
          <w:bCs/>
          <w:color w:val="ED0000"/>
          <w:sz w:val="28"/>
          <w:szCs w:val="28"/>
        </w:rPr>
        <w:t>Article 11: Interrogation Rules</w:t>
      </w:r>
    </w:p>
    <w:p w14:paraId="044EA0A1" w14:textId="77777777" w:rsidR="00F21C30" w:rsidRPr="00F21C30" w:rsidRDefault="00F21C30" w:rsidP="000F1DF6">
      <w:pPr>
        <w:jc w:val="both"/>
        <w:rPr>
          <w:rFonts w:asciiTheme="majorBidi" w:hAnsiTheme="majorBidi" w:cstheme="majorBidi"/>
          <w:sz w:val="24"/>
          <w:szCs w:val="24"/>
        </w:rPr>
      </w:pPr>
      <w:r w:rsidRPr="00F21C30">
        <w:rPr>
          <w:rFonts w:asciiTheme="majorBidi" w:hAnsiTheme="majorBidi" w:cstheme="majorBidi"/>
          <w:sz w:val="24"/>
          <w:szCs w:val="24"/>
        </w:rPr>
        <w:t xml:space="preserve">Kuwaiti authorities are obligated to establish interrogation rules that prevent incidents of torture, in accordance with Article 11 of the Convention. Despite this, Maat has documented numerous incidents that reveal the normalization of torture within some official agencies in Kuwait, particularly during the investigation and interrogation stages, without adequate measures taken to prevent or punish such acts.  In June 2022, a Kuwaiti citizen, referred to as A.F., was subjected to torture and violence at a branch of the Criminal Investigation Department while being investigated on charges of using a weapon at a wedding party. As a result of the torture, A.F. suffered </w:t>
      </w:r>
      <w:r w:rsidRPr="00F21C30">
        <w:rPr>
          <w:rFonts w:asciiTheme="majorBidi" w:hAnsiTheme="majorBidi" w:cstheme="majorBidi"/>
          <w:sz w:val="24"/>
          <w:szCs w:val="24"/>
        </w:rPr>
        <w:lastRenderedPageBreak/>
        <w:t>hemiplegia and required intensive care in a hospital.</w:t>
      </w:r>
      <w:r w:rsidRPr="00F21C30">
        <w:rPr>
          <w:rStyle w:val="FootnoteReference"/>
          <w:rFonts w:asciiTheme="majorBidi" w:hAnsiTheme="majorBidi" w:cstheme="majorBidi"/>
          <w:sz w:val="24"/>
          <w:szCs w:val="24"/>
        </w:rPr>
        <w:footnoteReference w:id="11"/>
      </w:r>
      <w:r w:rsidRPr="00F21C30">
        <w:rPr>
          <w:rFonts w:asciiTheme="majorBidi" w:hAnsiTheme="majorBidi" w:cstheme="majorBidi"/>
          <w:sz w:val="24"/>
          <w:szCs w:val="24"/>
        </w:rPr>
        <w:t xml:space="preserve"> In January of the same year, the Kuwaiti Public Prosecution began investigating the torture of an officer by members of the Kuwaiti Security Service at a State Security headquarters. The officer was placed in a cold room for several consecutive days, resulting in a complete loss of consciousness and hospitalization. The officer disclosed that the torture occurred with the knowledge of some leaders within the service and indicated that such practices are employed to extract information from detainees, particularly when they refuse to disclose information during investigations.</w:t>
      </w:r>
      <w:r w:rsidRPr="00F21C30">
        <w:rPr>
          <w:rStyle w:val="FootnoteReference"/>
          <w:rFonts w:asciiTheme="majorBidi" w:hAnsiTheme="majorBidi" w:cstheme="majorBidi"/>
          <w:sz w:val="24"/>
          <w:szCs w:val="24"/>
        </w:rPr>
        <w:footnoteReference w:id="12"/>
      </w:r>
      <w:r w:rsidRPr="00F21C30">
        <w:rPr>
          <w:rFonts w:asciiTheme="majorBidi" w:hAnsiTheme="majorBidi" w:cstheme="majorBidi"/>
          <w:sz w:val="24"/>
          <w:szCs w:val="24"/>
        </w:rPr>
        <w:t xml:space="preserve"> In September 2022, the Kuwaiti judiciary acquitted the officers accused of torture.</w:t>
      </w:r>
      <w:r w:rsidRPr="00F21C30">
        <w:rPr>
          <w:rStyle w:val="FootnoteReference"/>
          <w:rFonts w:asciiTheme="majorBidi" w:hAnsiTheme="majorBidi" w:cstheme="majorBidi"/>
          <w:sz w:val="24"/>
          <w:szCs w:val="24"/>
        </w:rPr>
        <w:footnoteReference w:id="13"/>
      </w:r>
    </w:p>
    <w:p w14:paraId="5774E5A7" w14:textId="77777777" w:rsidR="00F21C30" w:rsidRPr="00F21C30" w:rsidRDefault="00F21C30" w:rsidP="000F1DF6">
      <w:pPr>
        <w:jc w:val="both"/>
        <w:rPr>
          <w:rFonts w:asciiTheme="majorBidi" w:hAnsiTheme="majorBidi" w:cstheme="majorBidi"/>
          <w:sz w:val="24"/>
          <w:szCs w:val="24"/>
        </w:rPr>
      </w:pPr>
      <w:r w:rsidRPr="00F21C30">
        <w:rPr>
          <w:rFonts w:asciiTheme="majorBidi" w:hAnsiTheme="majorBidi" w:cstheme="majorBidi"/>
          <w:sz w:val="24"/>
          <w:szCs w:val="24"/>
        </w:rPr>
        <w:t>Maat believes that the prevalence of these violations reflects a significant gap between Kuwait's international obligations to eliminate torture and its actual implementation of those obligations. These practices also hinder the enforcement of Article 11 of the Convention within Kuwait, contributing to the rise of torture incidents and threatening human rights more broadly.</w:t>
      </w:r>
    </w:p>
    <w:p w14:paraId="3A9B151B" w14:textId="56A47EB1" w:rsidR="00F21C30" w:rsidRPr="000F1DF6" w:rsidRDefault="00F21C30" w:rsidP="00F21C30">
      <w:pPr>
        <w:jc w:val="both"/>
        <w:rPr>
          <w:rFonts w:asciiTheme="majorBidi" w:hAnsiTheme="majorBidi" w:cstheme="majorBidi"/>
          <w:b/>
          <w:bCs/>
          <w:color w:val="ED0000"/>
          <w:sz w:val="28"/>
          <w:szCs w:val="28"/>
        </w:rPr>
      </w:pPr>
      <w:r w:rsidRPr="000F1DF6">
        <w:rPr>
          <w:rFonts w:asciiTheme="majorBidi" w:hAnsiTheme="majorBidi" w:cstheme="majorBidi"/>
          <w:b/>
          <w:bCs/>
          <w:color w:val="ED0000"/>
          <w:sz w:val="28"/>
          <w:szCs w:val="28"/>
        </w:rPr>
        <w:t>Article 14: Justice and Compensation for Victims</w:t>
      </w:r>
    </w:p>
    <w:p w14:paraId="6A8573B0" w14:textId="77777777" w:rsidR="00F21C30" w:rsidRPr="00F21C30" w:rsidRDefault="00F21C30" w:rsidP="000F1DF6">
      <w:pPr>
        <w:jc w:val="both"/>
        <w:rPr>
          <w:rFonts w:asciiTheme="majorBidi" w:hAnsiTheme="majorBidi" w:cstheme="majorBidi"/>
          <w:sz w:val="24"/>
          <w:szCs w:val="24"/>
        </w:rPr>
      </w:pPr>
      <w:r w:rsidRPr="00F21C30">
        <w:rPr>
          <w:rFonts w:asciiTheme="majorBidi" w:hAnsiTheme="majorBidi" w:cstheme="majorBidi"/>
          <w:sz w:val="24"/>
          <w:szCs w:val="24"/>
        </w:rPr>
        <w:t xml:space="preserve">Kuwait’s civil law provides individuals harmed by unlawful acts the right to receive adequate compensation for the harm suffered, including moral harm. However, Maat expresses concern regarding reports that stateless persons who have been abused and sought compensation have not been afforded this opportunity. Additionally, domestic workers are particularly vulnerable to abuse and cruel treatment. In January 2023, a 35-year-old Filipina domestic worker was found dead in the Kuwaiti desert, pregnant and burned. Her employer’s 17-year-old son was convicted in connection with her death. This incident is not isolated, as numerous cases of physical and emotional abuse against migrant domestic workers have been reported in Kuwait. </w:t>
      </w:r>
    </w:p>
    <w:p w14:paraId="1CB420B3" w14:textId="77777777" w:rsidR="00F21C30" w:rsidRPr="00F21C30" w:rsidRDefault="00F21C30" w:rsidP="000F1DF6">
      <w:pPr>
        <w:jc w:val="both"/>
        <w:rPr>
          <w:rFonts w:asciiTheme="majorBidi" w:hAnsiTheme="majorBidi" w:cstheme="majorBidi"/>
          <w:sz w:val="24"/>
          <w:szCs w:val="24"/>
        </w:rPr>
      </w:pPr>
      <w:r w:rsidRPr="00F21C30">
        <w:rPr>
          <w:rFonts w:asciiTheme="majorBidi" w:hAnsiTheme="majorBidi" w:cstheme="majorBidi"/>
          <w:sz w:val="24"/>
          <w:szCs w:val="24"/>
        </w:rPr>
        <w:t>Reports indicate that workers frequently face sexual assault, rape, human trafficking, violations of employment contracts, and unlawful termination. In 2022 alone, the Philippine Migrant Workers Administration reported 24,000 cases of rights violations and abuses against Filipino domestic workers, while the Overseas Filipino Workers Welfare Administration documented 196 deaths of Filipino workers in Kuwait between 2016 and 2022. Yet, the Kuwaiti government continues to ignore the families' pleas for compensation related to these abuses.</w:t>
      </w:r>
    </w:p>
    <w:p w14:paraId="45572CDF" w14:textId="77777777" w:rsidR="00F21C30" w:rsidRPr="000F1DF6" w:rsidRDefault="00F21C30" w:rsidP="00F21C30">
      <w:pPr>
        <w:jc w:val="both"/>
        <w:rPr>
          <w:rFonts w:asciiTheme="majorBidi" w:hAnsiTheme="majorBidi" w:cstheme="majorBidi"/>
          <w:b/>
          <w:bCs/>
          <w:color w:val="ED0000"/>
          <w:sz w:val="28"/>
          <w:szCs w:val="28"/>
        </w:rPr>
      </w:pPr>
      <w:r w:rsidRPr="000F1DF6">
        <w:rPr>
          <w:rFonts w:asciiTheme="majorBidi" w:hAnsiTheme="majorBidi" w:cstheme="majorBidi"/>
          <w:b/>
          <w:bCs/>
          <w:color w:val="ED0000"/>
          <w:sz w:val="28"/>
          <w:szCs w:val="28"/>
        </w:rPr>
        <w:t>Recommendations</w:t>
      </w:r>
    </w:p>
    <w:p w14:paraId="3C61498B" w14:textId="77777777" w:rsidR="00F21C30" w:rsidRPr="0020617D" w:rsidRDefault="00F21C30" w:rsidP="00F21C30">
      <w:pPr>
        <w:jc w:val="both"/>
        <w:rPr>
          <w:rFonts w:asciiTheme="majorBidi" w:hAnsiTheme="majorBidi" w:cstheme="majorBidi"/>
          <w:b/>
          <w:bCs/>
          <w:sz w:val="24"/>
          <w:szCs w:val="24"/>
        </w:rPr>
      </w:pPr>
      <w:r w:rsidRPr="0020617D">
        <w:rPr>
          <w:rFonts w:asciiTheme="majorBidi" w:hAnsiTheme="majorBidi" w:cstheme="majorBidi"/>
          <w:b/>
          <w:bCs/>
          <w:sz w:val="24"/>
          <w:szCs w:val="24"/>
        </w:rPr>
        <w:lastRenderedPageBreak/>
        <w:t>Maat for Peace, Development and Human Rights offers the following recommendations to the authorities in State of Kuwait:</w:t>
      </w:r>
    </w:p>
    <w:p w14:paraId="7B4F2DDD" w14:textId="77777777" w:rsidR="00F21C30" w:rsidRPr="00F21C30" w:rsidRDefault="00F21C30" w:rsidP="00F21C30">
      <w:pPr>
        <w:pStyle w:val="ListParagraph"/>
        <w:numPr>
          <w:ilvl w:val="0"/>
          <w:numId w:val="38"/>
        </w:numPr>
        <w:spacing w:line="278" w:lineRule="auto"/>
        <w:jc w:val="both"/>
        <w:rPr>
          <w:rFonts w:asciiTheme="majorBidi" w:hAnsiTheme="majorBidi" w:cstheme="majorBidi"/>
          <w:sz w:val="24"/>
          <w:szCs w:val="24"/>
        </w:rPr>
      </w:pPr>
      <w:r w:rsidRPr="00F21C30">
        <w:rPr>
          <w:rFonts w:asciiTheme="majorBidi" w:hAnsiTheme="majorBidi" w:cstheme="majorBidi"/>
          <w:sz w:val="24"/>
          <w:szCs w:val="24"/>
        </w:rPr>
        <w:t xml:space="preserve">Adopt a comprehensive and clear definition of torture in Kuwaiti laws that aligns with Article 1 of the Convention, and increase the penalties imposed on perpetrators of this crime to exceed five years, without the option of replacing imprisonment with a fine. </w:t>
      </w:r>
    </w:p>
    <w:p w14:paraId="279F655B" w14:textId="77777777" w:rsidR="00F21C30" w:rsidRPr="00F21C30" w:rsidRDefault="00F21C30" w:rsidP="00F21C30">
      <w:pPr>
        <w:pStyle w:val="ListParagraph"/>
        <w:numPr>
          <w:ilvl w:val="0"/>
          <w:numId w:val="38"/>
        </w:numPr>
        <w:spacing w:line="278" w:lineRule="auto"/>
        <w:jc w:val="both"/>
        <w:rPr>
          <w:rFonts w:asciiTheme="majorBidi" w:hAnsiTheme="majorBidi" w:cstheme="majorBidi"/>
          <w:sz w:val="24"/>
          <w:szCs w:val="24"/>
        </w:rPr>
      </w:pPr>
      <w:r w:rsidRPr="00F21C30">
        <w:rPr>
          <w:rFonts w:asciiTheme="majorBidi" w:hAnsiTheme="majorBidi" w:cstheme="majorBidi"/>
          <w:sz w:val="24"/>
          <w:szCs w:val="24"/>
        </w:rPr>
        <w:t>Create a safer working environment for migrants in Kuwait by abolishing the sponsorship system and replacing it with fairer and more humane labor laws and policies that comply with international standards.</w:t>
      </w:r>
    </w:p>
    <w:p w14:paraId="29002775" w14:textId="77777777" w:rsidR="00F21C30" w:rsidRPr="00F21C30" w:rsidRDefault="00F21C30" w:rsidP="00F21C30">
      <w:pPr>
        <w:pStyle w:val="ListParagraph"/>
        <w:numPr>
          <w:ilvl w:val="0"/>
          <w:numId w:val="38"/>
        </w:numPr>
        <w:spacing w:line="278" w:lineRule="auto"/>
        <w:jc w:val="both"/>
        <w:rPr>
          <w:rFonts w:asciiTheme="majorBidi" w:hAnsiTheme="majorBidi" w:cstheme="majorBidi"/>
          <w:sz w:val="24"/>
          <w:szCs w:val="24"/>
        </w:rPr>
      </w:pPr>
      <w:r w:rsidRPr="00F21C30">
        <w:rPr>
          <w:rFonts w:asciiTheme="majorBidi" w:hAnsiTheme="majorBidi" w:cstheme="majorBidi"/>
          <w:sz w:val="24"/>
          <w:szCs w:val="24"/>
        </w:rPr>
        <w:t>Establish an independent investigative body administratively and financially from the government, consisting of experts in law and human rights, whose mission is to monitor and investigate incidents of torture and ill-treatment occurring at various levels within Kuwait.</w:t>
      </w:r>
    </w:p>
    <w:p w14:paraId="05F66D5A" w14:textId="77777777" w:rsidR="00F21C30" w:rsidRPr="00F21C30" w:rsidRDefault="00F21C30" w:rsidP="00F21C30">
      <w:pPr>
        <w:pStyle w:val="ListParagraph"/>
        <w:numPr>
          <w:ilvl w:val="0"/>
          <w:numId w:val="38"/>
        </w:numPr>
        <w:spacing w:line="278" w:lineRule="auto"/>
        <w:jc w:val="both"/>
        <w:rPr>
          <w:rFonts w:asciiTheme="majorBidi" w:hAnsiTheme="majorBidi" w:cstheme="majorBidi"/>
          <w:sz w:val="24"/>
          <w:szCs w:val="24"/>
        </w:rPr>
      </w:pPr>
      <w:r w:rsidRPr="00F21C30">
        <w:rPr>
          <w:rFonts w:asciiTheme="majorBidi" w:hAnsiTheme="majorBidi" w:cstheme="majorBidi"/>
          <w:sz w:val="24"/>
          <w:szCs w:val="24"/>
        </w:rPr>
        <w:t xml:space="preserve">Review and amend Domestic Workers Law No. 68 of 2015 to protect the lives of domestic workers in </w:t>
      </w:r>
      <w:proofErr w:type="gramStart"/>
      <w:r w:rsidRPr="00F21C30">
        <w:rPr>
          <w:rFonts w:asciiTheme="majorBidi" w:hAnsiTheme="majorBidi" w:cstheme="majorBidi"/>
          <w:sz w:val="24"/>
          <w:szCs w:val="24"/>
        </w:rPr>
        <w:t>Kuwait, and</w:t>
      </w:r>
      <w:proofErr w:type="gramEnd"/>
      <w:r w:rsidRPr="00F21C30">
        <w:rPr>
          <w:rFonts w:asciiTheme="majorBidi" w:hAnsiTheme="majorBidi" w:cstheme="majorBidi"/>
          <w:sz w:val="24"/>
          <w:szCs w:val="24"/>
        </w:rPr>
        <w:t xml:space="preserve"> reduce the powers of employers to ensure that they do not abuse or violate workers’ rights.</w:t>
      </w:r>
    </w:p>
    <w:p w14:paraId="59CDD1DD" w14:textId="77777777" w:rsidR="00F21C30" w:rsidRPr="00F21C30" w:rsidRDefault="00F21C30" w:rsidP="00F21C30">
      <w:pPr>
        <w:pStyle w:val="ListParagraph"/>
        <w:numPr>
          <w:ilvl w:val="0"/>
          <w:numId w:val="38"/>
        </w:numPr>
        <w:spacing w:line="278" w:lineRule="auto"/>
        <w:jc w:val="both"/>
        <w:rPr>
          <w:rFonts w:asciiTheme="majorBidi" w:hAnsiTheme="majorBidi" w:cstheme="majorBidi"/>
          <w:sz w:val="24"/>
          <w:szCs w:val="24"/>
        </w:rPr>
      </w:pPr>
      <w:r w:rsidRPr="00F21C30">
        <w:rPr>
          <w:rFonts w:asciiTheme="majorBidi" w:hAnsiTheme="majorBidi" w:cstheme="majorBidi"/>
          <w:sz w:val="24"/>
          <w:szCs w:val="24"/>
        </w:rPr>
        <w:t>Provide training programs for police officers and prison workers to familiarize them with international standards for detainees’ rights and Kuwait’s international obligations in this regard, and how to contribute to their implementation on the ground.</w:t>
      </w:r>
    </w:p>
    <w:p w14:paraId="47F8DFA7" w14:textId="77777777" w:rsidR="00F21C30" w:rsidRPr="00F21C30" w:rsidRDefault="00F21C30" w:rsidP="00F21C30">
      <w:pPr>
        <w:pStyle w:val="ListParagraph"/>
        <w:numPr>
          <w:ilvl w:val="0"/>
          <w:numId w:val="38"/>
        </w:numPr>
        <w:spacing w:line="278" w:lineRule="auto"/>
        <w:jc w:val="both"/>
        <w:rPr>
          <w:rFonts w:asciiTheme="majorBidi" w:hAnsiTheme="majorBidi" w:cstheme="majorBidi"/>
          <w:sz w:val="24"/>
          <w:szCs w:val="24"/>
        </w:rPr>
      </w:pPr>
      <w:r w:rsidRPr="00F21C30">
        <w:rPr>
          <w:rFonts w:asciiTheme="majorBidi" w:hAnsiTheme="majorBidi" w:cstheme="majorBidi"/>
          <w:sz w:val="24"/>
          <w:szCs w:val="24"/>
        </w:rPr>
        <w:t>Tighten oversight of prisons and detention centers by Public Prosecution or another independent body to ensure humane detention conditions in all aspects within these institutions.</w:t>
      </w:r>
    </w:p>
    <w:p w14:paraId="31A8F7BD" w14:textId="77777777" w:rsidR="00F21C30" w:rsidRPr="00F21C30" w:rsidRDefault="00F21C30" w:rsidP="00F21C30">
      <w:pPr>
        <w:pStyle w:val="ListParagraph"/>
        <w:numPr>
          <w:ilvl w:val="0"/>
          <w:numId w:val="38"/>
        </w:numPr>
        <w:spacing w:line="278" w:lineRule="auto"/>
        <w:jc w:val="both"/>
        <w:rPr>
          <w:rFonts w:asciiTheme="majorBidi" w:hAnsiTheme="majorBidi" w:cstheme="majorBidi"/>
          <w:sz w:val="24"/>
          <w:szCs w:val="24"/>
        </w:rPr>
      </w:pPr>
      <w:r w:rsidRPr="00F21C30">
        <w:rPr>
          <w:rFonts w:asciiTheme="majorBidi" w:hAnsiTheme="majorBidi" w:cstheme="majorBidi"/>
          <w:sz w:val="24"/>
          <w:szCs w:val="24"/>
        </w:rPr>
        <w:t>Abolish the method of shackling as a disciplinary punishment inside prisons and detention centers, and open urgent investigations into crimes of torture and other documented violations inside prisons in recent years.</w:t>
      </w:r>
    </w:p>
    <w:p w14:paraId="3A34E0FB" w14:textId="77777777" w:rsidR="00F21C30" w:rsidRPr="00F21C30" w:rsidRDefault="00F21C30" w:rsidP="00F21C30">
      <w:pPr>
        <w:pStyle w:val="ListParagraph"/>
        <w:numPr>
          <w:ilvl w:val="0"/>
          <w:numId w:val="38"/>
        </w:numPr>
        <w:spacing w:line="278" w:lineRule="auto"/>
        <w:jc w:val="both"/>
        <w:rPr>
          <w:rFonts w:asciiTheme="majorBidi" w:hAnsiTheme="majorBidi" w:cstheme="majorBidi"/>
          <w:sz w:val="24"/>
          <w:szCs w:val="24"/>
        </w:rPr>
      </w:pPr>
      <w:r w:rsidRPr="00F21C30">
        <w:rPr>
          <w:rFonts w:asciiTheme="majorBidi" w:hAnsiTheme="majorBidi" w:cstheme="majorBidi"/>
          <w:sz w:val="24"/>
          <w:szCs w:val="24"/>
        </w:rPr>
        <w:t>Reconsider deportation of citizens of countries suffering from armed conflicts or internal unrest, such as Syria and Yemen, especially those involved in minor cases such as violations, until the situation in their countries stabilizes; to avoid the dangers they may face inside their countries, which sometimes lead to loss of life.</w:t>
      </w:r>
    </w:p>
    <w:p w14:paraId="0B2E4F0B" w14:textId="2BB6E7D2" w:rsidR="00F871C7" w:rsidRPr="00F21C30" w:rsidRDefault="00F871C7" w:rsidP="00F21C30">
      <w:pPr>
        <w:jc w:val="both"/>
        <w:rPr>
          <w:sz w:val="24"/>
          <w:szCs w:val="24"/>
          <w:rtl/>
        </w:rPr>
      </w:pPr>
    </w:p>
    <w:sectPr w:rsidR="00F871C7" w:rsidRPr="00F21C30"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41BC5" w14:textId="77777777" w:rsidR="00F82A42" w:rsidRDefault="00F82A42" w:rsidP="004F6D5A">
      <w:pPr>
        <w:spacing w:after="0" w:line="240" w:lineRule="auto"/>
      </w:pPr>
      <w:r>
        <w:separator/>
      </w:r>
    </w:p>
  </w:endnote>
  <w:endnote w:type="continuationSeparator" w:id="0">
    <w:p w14:paraId="697C1A3C" w14:textId="77777777" w:rsidR="00F82A42" w:rsidRDefault="00F82A4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E1817" w14:textId="77777777" w:rsidR="00F82A42" w:rsidRDefault="00F82A42" w:rsidP="004F6D5A">
      <w:pPr>
        <w:spacing w:after="0" w:line="240" w:lineRule="auto"/>
      </w:pPr>
      <w:r>
        <w:separator/>
      </w:r>
    </w:p>
  </w:footnote>
  <w:footnote w:type="continuationSeparator" w:id="0">
    <w:p w14:paraId="3E95084A" w14:textId="77777777" w:rsidR="00F82A42" w:rsidRDefault="00F82A42" w:rsidP="004F6D5A">
      <w:pPr>
        <w:spacing w:after="0" w:line="240" w:lineRule="auto"/>
      </w:pPr>
      <w:r>
        <w:continuationSeparator/>
      </w:r>
    </w:p>
  </w:footnote>
  <w:footnote w:id="1">
    <w:p w14:paraId="19A7D66D" w14:textId="77777777"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Treaty Body Database, Kuwait, </w:t>
      </w:r>
      <w:hyperlink r:id="rId1" w:history="1">
        <w:r w:rsidRPr="00F21C30">
          <w:rPr>
            <w:rStyle w:val="Hyperlink"/>
            <w:rFonts w:asciiTheme="majorBidi" w:hAnsiTheme="majorBidi" w:cstheme="majorBidi"/>
            <w:sz w:val="18"/>
            <w:szCs w:val="18"/>
          </w:rPr>
          <w:t>https://2h.ae/wfUt</w:t>
        </w:r>
      </w:hyperlink>
    </w:p>
  </w:footnote>
  <w:footnote w:id="2">
    <w:p w14:paraId="56D9D3E3" w14:textId="77777777"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Convention against Torture and Other Cruel, Inhuman or Degrading Treatment or Punishment, </w:t>
      </w:r>
      <w:hyperlink r:id="rId2" w:history="1">
        <w:r w:rsidRPr="00F21C30">
          <w:rPr>
            <w:rStyle w:val="Hyperlink"/>
            <w:rFonts w:asciiTheme="majorBidi" w:hAnsiTheme="majorBidi" w:cstheme="majorBidi"/>
            <w:sz w:val="18"/>
            <w:szCs w:val="18"/>
          </w:rPr>
          <w:t>https://2h.ae/VyCE</w:t>
        </w:r>
      </w:hyperlink>
      <w:r w:rsidRPr="00F21C30">
        <w:rPr>
          <w:rFonts w:asciiTheme="majorBidi" w:hAnsiTheme="majorBidi" w:cstheme="majorBidi"/>
          <w:sz w:val="18"/>
          <w:szCs w:val="18"/>
        </w:rPr>
        <w:t xml:space="preserve"> </w:t>
      </w:r>
    </w:p>
  </w:footnote>
  <w:footnote w:id="3">
    <w:p w14:paraId="7DA27F75" w14:textId="77777777"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Fourth periodic report submitted by Kuwait under Article 19 of the Convention in 2020, </w:t>
      </w:r>
      <w:hyperlink r:id="rId3" w:history="1">
        <w:r w:rsidRPr="00F21C30">
          <w:rPr>
            <w:rStyle w:val="Hyperlink"/>
            <w:rFonts w:asciiTheme="majorBidi" w:hAnsiTheme="majorBidi" w:cstheme="majorBidi"/>
            <w:sz w:val="18"/>
            <w:szCs w:val="18"/>
          </w:rPr>
          <w:t>https://2h.ae/AjVj</w:t>
        </w:r>
      </w:hyperlink>
      <w:r w:rsidRPr="00F21C30">
        <w:rPr>
          <w:rFonts w:asciiTheme="majorBidi" w:hAnsiTheme="majorBidi" w:cstheme="majorBidi"/>
          <w:sz w:val="18"/>
          <w:szCs w:val="18"/>
        </w:rPr>
        <w:t xml:space="preserve"> </w:t>
      </w:r>
    </w:p>
  </w:footnote>
  <w:footnote w:id="4">
    <w:p w14:paraId="5E009D18" w14:textId="77777777"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Law No. 26 of 1962 regulating prisons, </w:t>
      </w:r>
      <w:hyperlink r:id="rId4" w:history="1">
        <w:r w:rsidRPr="00F21C30">
          <w:rPr>
            <w:rStyle w:val="Hyperlink"/>
            <w:rFonts w:asciiTheme="majorBidi" w:hAnsiTheme="majorBidi" w:cstheme="majorBidi"/>
            <w:sz w:val="18"/>
            <w:szCs w:val="18"/>
          </w:rPr>
          <w:t>https://2h.ae/hxzq</w:t>
        </w:r>
      </w:hyperlink>
      <w:r w:rsidRPr="00F21C30">
        <w:rPr>
          <w:rFonts w:asciiTheme="majorBidi" w:hAnsiTheme="majorBidi" w:cstheme="majorBidi"/>
          <w:sz w:val="18"/>
          <w:szCs w:val="18"/>
        </w:rPr>
        <w:t xml:space="preserve"> </w:t>
      </w:r>
    </w:p>
  </w:footnote>
  <w:footnote w:id="5">
    <w:p w14:paraId="589789A5" w14:textId="79F93039"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w:t>
      </w:r>
      <w:r w:rsidR="0020617D">
        <w:rPr>
          <w:rFonts w:asciiTheme="majorBidi" w:hAnsiTheme="majorBidi" w:cstheme="majorBidi"/>
          <w:sz w:val="18"/>
          <w:szCs w:val="18"/>
        </w:rPr>
        <w:t>I</w:t>
      </w:r>
      <w:r w:rsidRPr="00F21C30">
        <w:rPr>
          <w:rFonts w:asciiTheme="majorBidi" w:hAnsiTheme="majorBidi" w:cstheme="majorBidi"/>
          <w:sz w:val="18"/>
          <w:szCs w:val="18"/>
        </w:rPr>
        <w:t xml:space="preserve">bid, </w:t>
      </w:r>
      <w:hyperlink r:id="rId5">
        <w:r w:rsidRPr="00F21C30">
          <w:rPr>
            <w:rFonts w:asciiTheme="majorBidi" w:hAnsiTheme="majorBidi" w:cstheme="majorBidi"/>
            <w:color w:val="1155CC"/>
            <w:sz w:val="18"/>
            <w:szCs w:val="18"/>
            <w:u w:val="single"/>
          </w:rPr>
          <w:t>https://2h.ae/DZLf</w:t>
        </w:r>
      </w:hyperlink>
    </w:p>
  </w:footnote>
  <w:footnote w:id="6">
    <w:p w14:paraId="4888564F" w14:textId="77777777"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Repercussions of Amnesty Plan in Kuwait: Beginning of Another Wave of Mass Deportations, ADHRB, </w:t>
      </w:r>
      <w:hyperlink r:id="rId6" w:history="1">
        <w:r w:rsidRPr="00F21C30">
          <w:rPr>
            <w:rStyle w:val="Hyperlink"/>
            <w:rFonts w:asciiTheme="majorBidi" w:hAnsiTheme="majorBidi" w:cstheme="majorBidi"/>
            <w:sz w:val="18"/>
            <w:szCs w:val="18"/>
          </w:rPr>
          <w:t>https://www.adhrb.org/ar/?p=9976</w:t>
        </w:r>
      </w:hyperlink>
      <w:r w:rsidRPr="00F21C30">
        <w:rPr>
          <w:rFonts w:asciiTheme="majorBidi" w:hAnsiTheme="majorBidi" w:cstheme="majorBidi"/>
          <w:sz w:val="18"/>
          <w:szCs w:val="18"/>
        </w:rPr>
        <w:t xml:space="preserve"> </w:t>
      </w:r>
    </w:p>
  </w:footnote>
  <w:footnote w:id="7">
    <w:p w14:paraId="3163E699" w14:textId="77777777"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Kuwait decides to deport Yemeni and Syrian refugees under the pretext of violating the residency law, Al-</w:t>
      </w:r>
      <w:proofErr w:type="spellStart"/>
      <w:r w:rsidRPr="00F21C30">
        <w:rPr>
          <w:rFonts w:asciiTheme="majorBidi" w:hAnsiTheme="majorBidi" w:cstheme="majorBidi"/>
          <w:sz w:val="18"/>
          <w:szCs w:val="18"/>
        </w:rPr>
        <w:t>Mawqea</w:t>
      </w:r>
      <w:proofErr w:type="spellEnd"/>
      <w:r w:rsidRPr="00F21C30">
        <w:rPr>
          <w:rFonts w:asciiTheme="majorBidi" w:hAnsiTheme="majorBidi" w:cstheme="majorBidi"/>
          <w:sz w:val="18"/>
          <w:szCs w:val="18"/>
        </w:rPr>
        <w:t xml:space="preserve"> Post, </w:t>
      </w:r>
      <w:hyperlink r:id="rId7" w:history="1">
        <w:r w:rsidRPr="00F21C30">
          <w:rPr>
            <w:rStyle w:val="Hyperlink"/>
            <w:rFonts w:asciiTheme="majorBidi" w:hAnsiTheme="majorBidi" w:cstheme="majorBidi"/>
            <w:sz w:val="18"/>
            <w:szCs w:val="18"/>
          </w:rPr>
          <w:t>https://almawqeapost.net/news/31829</w:t>
        </w:r>
      </w:hyperlink>
      <w:r w:rsidRPr="00F21C30">
        <w:rPr>
          <w:rFonts w:asciiTheme="majorBidi" w:hAnsiTheme="majorBidi" w:cstheme="majorBidi"/>
          <w:sz w:val="18"/>
          <w:szCs w:val="18"/>
        </w:rPr>
        <w:t xml:space="preserve"> </w:t>
      </w:r>
    </w:p>
  </w:footnote>
  <w:footnote w:id="8">
    <w:p w14:paraId="60924383" w14:textId="77777777"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Syrians in Kuwait cry for help because detainees are not deported, Al-Qabas, </w:t>
      </w:r>
      <w:hyperlink r:id="rId8" w:history="1">
        <w:r w:rsidRPr="00F21C30">
          <w:rPr>
            <w:rStyle w:val="Hyperlink"/>
            <w:rFonts w:asciiTheme="majorBidi" w:hAnsiTheme="majorBidi" w:cstheme="majorBidi"/>
            <w:sz w:val="18"/>
            <w:szCs w:val="18"/>
          </w:rPr>
          <w:t>https://2h.ae/bLio</w:t>
        </w:r>
      </w:hyperlink>
      <w:r w:rsidRPr="00F21C30">
        <w:rPr>
          <w:rFonts w:asciiTheme="majorBidi" w:hAnsiTheme="majorBidi" w:cstheme="majorBidi"/>
          <w:sz w:val="18"/>
          <w:szCs w:val="18"/>
        </w:rPr>
        <w:t xml:space="preserve"> </w:t>
      </w:r>
    </w:p>
  </w:footnote>
  <w:footnote w:id="9">
    <w:p w14:paraId="6634E0D0" w14:textId="77777777"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Kuwait’s Code of Procedures 17/1960, </w:t>
      </w:r>
      <w:hyperlink r:id="rId9">
        <w:r w:rsidRPr="00F21C30">
          <w:rPr>
            <w:rFonts w:asciiTheme="majorBidi" w:hAnsiTheme="majorBidi" w:cstheme="majorBidi"/>
            <w:color w:val="1155CC"/>
            <w:sz w:val="18"/>
            <w:szCs w:val="18"/>
            <w:u w:val="single"/>
          </w:rPr>
          <w:t>https://2h.ae/EETe</w:t>
        </w:r>
      </w:hyperlink>
    </w:p>
  </w:footnote>
  <w:footnote w:id="10">
    <w:p w14:paraId="15A17ECE" w14:textId="77777777"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Law No. 31 of 1970 amending some provisions of Penal Code No. 16 of 1960 (31/1970), </w:t>
      </w:r>
      <w:hyperlink r:id="rId10" w:history="1">
        <w:r w:rsidRPr="00F21C30">
          <w:rPr>
            <w:rStyle w:val="Hyperlink"/>
            <w:rFonts w:asciiTheme="majorBidi" w:hAnsiTheme="majorBidi" w:cstheme="majorBidi"/>
            <w:sz w:val="18"/>
            <w:szCs w:val="18"/>
          </w:rPr>
          <w:t>https://2h.ae/zAvV</w:t>
        </w:r>
      </w:hyperlink>
      <w:r w:rsidRPr="00F21C30">
        <w:rPr>
          <w:rFonts w:asciiTheme="majorBidi" w:hAnsiTheme="majorBidi" w:cstheme="majorBidi"/>
          <w:sz w:val="18"/>
          <w:szCs w:val="18"/>
        </w:rPr>
        <w:t xml:space="preserve"> </w:t>
      </w:r>
    </w:p>
  </w:footnote>
  <w:footnote w:id="11">
    <w:p w14:paraId="6F8A663F" w14:textId="77777777"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Torture of a Kuwaiti citizen: Anger on social media and demands to hold those involved accountable... What is the story? BBC Arabic, </w:t>
      </w:r>
      <w:hyperlink r:id="rId11" w:history="1">
        <w:r w:rsidRPr="00F21C30">
          <w:rPr>
            <w:rStyle w:val="Hyperlink"/>
            <w:rFonts w:asciiTheme="majorBidi" w:hAnsiTheme="majorBidi" w:cstheme="majorBidi"/>
            <w:sz w:val="18"/>
            <w:szCs w:val="18"/>
          </w:rPr>
          <w:t>https://2h.ae/QBXP</w:t>
        </w:r>
      </w:hyperlink>
      <w:r w:rsidRPr="00F21C30">
        <w:rPr>
          <w:rFonts w:asciiTheme="majorBidi" w:hAnsiTheme="majorBidi" w:cstheme="majorBidi"/>
          <w:sz w:val="18"/>
          <w:szCs w:val="18"/>
        </w:rPr>
        <w:t xml:space="preserve"> </w:t>
      </w:r>
    </w:p>
  </w:footnote>
  <w:footnote w:id="12">
    <w:p w14:paraId="2B816EAE" w14:textId="77777777"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Kuwaiti security agents kidnap and imprison own officer in ‘cold lock-up’, independent, </w:t>
      </w:r>
      <w:hyperlink r:id="rId12">
        <w:r w:rsidRPr="00F21C30">
          <w:rPr>
            <w:rFonts w:asciiTheme="majorBidi" w:hAnsiTheme="majorBidi" w:cstheme="majorBidi"/>
            <w:color w:val="1155CC"/>
            <w:sz w:val="18"/>
            <w:szCs w:val="18"/>
            <w:u w:val="single"/>
          </w:rPr>
          <w:t>https://2h.ae/sKgt</w:t>
        </w:r>
      </w:hyperlink>
    </w:p>
  </w:footnote>
  <w:footnote w:id="13">
    <w:p w14:paraId="1F7FE35A" w14:textId="77777777" w:rsidR="00F21C30" w:rsidRPr="00F21C30" w:rsidRDefault="00F21C30" w:rsidP="00F21C30">
      <w:pPr>
        <w:pStyle w:val="FootnoteText"/>
        <w:rPr>
          <w:rFonts w:asciiTheme="majorBidi" w:hAnsiTheme="majorBidi" w:cstheme="majorBidi"/>
          <w:sz w:val="18"/>
          <w:szCs w:val="18"/>
        </w:rPr>
      </w:pPr>
      <w:r w:rsidRPr="00F21C30">
        <w:rPr>
          <w:rStyle w:val="FootnoteReference"/>
          <w:rFonts w:asciiTheme="majorBidi" w:hAnsiTheme="majorBidi" w:cstheme="majorBidi"/>
          <w:sz w:val="18"/>
          <w:szCs w:val="18"/>
        </w:rPr>
        <w:footnoteRef/>
      </w:r>
      <w:r w:rsidRPr="00F21C30">
        <w:rPr>
          <w:rFonts w:asciiTheme="majorBidi" w:hAnsiTheme="majorBidi" w:cstheme="majorBidi"/>
          <w:sz w:val="18"/>
          <w:szCs w:val="18"/>
        </w:rPr>
        <w:t xml:space="preserve"> Kuwait. Security officers were acquitted of the charge of torturing their colleague “in a cold room,” Al-</w:t>
      </w:r>
      <w:proofErr w:type="spellStart"/>
      <w:r w:rsidRPr="00F21C30">
        <w:rPr>
          <w:rFonts w:asciiTheme="majorBidi" w:hAnsiTheme="majorBidi" w:cstheme="majorBidi"/>
          <w:sz w:val="18"/>
          <w:szCs w:val="18"/>
        </w:rPr>
        <w:t>Hurra</w:t>
      </w:r>
      <w:proofErr w:type="spellEnd"/>
      <w:r w:rsidRPr="00F21C30">
        <w:rPr>
          <w:rFonts w:asciiTheme="majorBidi" w:hAnsiTheme="majorBidi" w:cstheme="majorBidi"/>
          <w:sz w:val="18"/>
          <w:szCs w:val="18"/>
        </w:rPr>
        <w:t xml:space="preserve">, </w:t>
      </w:r>
      <w:hyperlink r:id="rId13" w:history="1">
        <w:r w:rsidRPr="00F21C30">
          <w:rPr>
            <w:rStyle w:val="Hyperlink"/>
            <w:rFonts w:asciiTheme="majorBidi" w:hAnsiTheme="majorBidi" w:cstheme="majorBidi"/>
            <w:sz w:val="18"/>
            <w:szCs w:val="18"/>
          </w:rPr>
          <w:t>https://2h.ae/pAyf</w:t>
        </w:r>
      </w:hyperlink>
      <w:r w:rsidRPr="00F21C30">
        <w:rPr>
          <w:rFonts w:asciiTheme="majorBidi" w:hAnsiTheme="majorBidi" w:cstheme="majorBid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B2C1016"/>
    <w:multiLevelType w:val="hybridMultilevel"/>
    <w:tmpl w:val="BDEA5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6"/>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28"/>
  </w:num>
  <w:num w:numId="7" w16cid:durableId="1975796718">
    <w:abstractNumId w:val="33"/>
  </w:num>
  <w:num w:numId="8" w16cid:durableId="168910388">
    <w:abstractNumId w:val="36"/>
  </w:num>
  <w:num w:numId="9" w16cid:durableId="864364265">
    <w:abstractNumId w:val="26"/>
  </w:num>
  <w:num w:numId="10" w16cid:durableId="1110662610">
    <w:abstractNumId w:val="29"/>
  </w:num>
  <w:num w:numId="11" w16cid:durableId="48504678">
    <w:abstractNumId w:val="20"/>
  </w:num>
  <w:num w:numId="12" w16cid:durableId="1057243330">
    <w:abstractNumId w:val="35"/>
  </w:num>
  <w:num w:numId="13" w16cid:durableId="113838224">
    <w:abstractNumId w:val="18"/>
  </w:num>
  <w:num w:numId="14" w16cid:durableId="1819300015">
    <w:abstractNumId w:val="7"/>
  </w:num>
  <w:num w:numId="15" w16cid:durableId="1354769003">
    <w:abstractNumId w:val="25"/>
  </w:num>
  <w:num w:numId="16" w16cid:durableId="765884069">
    <w:abstractNumId w:val="13"/>
  </w:num>
  <w:num w:numId="17" w16cid:durableId="1830708544">
    <w:abstractNumId w:val="0"/>
  </w:num>
  <w:num w:numId="18" w16cid:durableId="1195772453">
    <w:abstractNumId w:val="17"/>
  </w:num>
  <w:num w:numId="19" w16cid:durableId="116266373">
    <w:abstractNumId w:val="2"/>
  </w:num>
  <w:num w:numId="20" w16cid:durableId="1165899663">
    <w:abstractNumId w:val="9"/>
  </w:num>
  <w:num w:numId="21" w16cid:durableId="1921870603">
    <w:abstractNumId w:val="37"/>
  </w:num>
  <w:num w:numId="22" w16cid:durableId="1106846340">
    <w:abstractNumId w:val="11"/>
  </w:num>
  <w:num w:numId="23" w16cid:durableId="1120413215">
    <w:abstractNumId w:val="15"/>
  </w:num>
  <w:num w:numId="24" w16cid:durableId="884490536">
    <w:abstractNumId w:val="27"/>
  </w:num>
  <w:num w:numId="25" w16cid:durableId="1098991049">
    <w:abstractNumId w:val="31"/>
  </w:num>
  <w:num w:numId="26" w16cid:durableId="631596808">
    <w:abstractNumId w:val="8"/>
  </w:num>
  <w:num w:numId="27" w16cid:durableId="1306087360">
    <w:abstractNumId w:val="6"/>
  </w:num>
  <w:num w:numId="28" w16cid:durableId="909191109">
    <w:abstractNumId w:val="21"/>
  </w:num>
  <w:num w:numId="29" w16cid:durableId="556204899">
    <w:abstractNumId w:val="23"/>
  </w:num>
  <w:num w:numId="30" w16cid:durableId="1668284805">
    <w:abstractNumId w:val="14"/>
  </w:num>
  <w:num w:numId="31" w16cid:durableId="1777868951">
    <w:abstractNumId w:val="19"/>
  </w:num>
  <w:num w:numId="32" w16cid:durableId="1614898655">
    <w:abstractNumId w:val="5"/>
  </w:num>
  <w:num w:numId="33" w16cid:durableId="364449577">
    <w:abstractNumId w:val="10"/>
  </w:num>
  <w:num w:numId="34" w16cid:durableId="248081818">
    <w:abstractNumId w:val="34"/>
  </w:num>
  <w:num w:numId="35" w16cid:durableId="1742749116">
    <w:abstractNumId w:val="32"/>
  </w:num>
  <w:num w:numId="36" w16cid:durableId="1632056943">
    <w:abstractNumId w:val="24"/>
  </w:num>
  <w:num w:numId="37" w16cid:durableId="16198188">
    <w:abstractNumId w:val="30"/>
  </w:num>
  <w:num w:numId="38" w16cid:durableId="49272099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564A3"/>
    <w:rsid w:val="00086352"/>
    <w:rsid w:val="000A0E24"/>
    <w:rsid w:val="000B5D57"/>
    <w:rsid w:val="000B6F75"/>
    <w:rsid w:val="000C7C14"/>
    <w:rsid w:val="000F1DF6"/>
    <w:rsid w:val="00101544"/>
    <w:rsid w:val="0013590D"/>
    <w:rsid w:val="00156C09"/>
    <w:rsid w:val="00196443"/>
    <w:rsid w:val="001A6E66"/>
    <w:rsid w:val="001C6199"/>
    <w:rsid w:val="001D532C"/>
    <w:rsid w:val="001D6213"/>
    <w:rsid w:val="0020617D"/>
    <w:rsid w:val="002257CD"/>
    <w:rsid w:val="002305C5"/>
    <w:rsid w:val="00284AAE"/>
    <w:rsid w:val="002876FE"/>
    <w:rsid w:val="002A309E"/>
    <w:rsid w:val="002D0B34"/>
    <w:rsid w:val="002D5B01"/>
    <w:rsid w:val="003319F3"/>
    <w:rsid w:val="003439F7"/>
    <w:rsid w:val="00360DAB"/>
    <w:rsid w:val="00372B51"/>
    <w:rsid w:val="0038184B"/>
    <w:rsid w:val="003A1F96"/>
    <w:rsid w:val="003A745E"/>
    <w:rsid w:val="003B7C83"/>
    <w:rsid w:val="004055DB"/>
    <w:rsid w:val="004134D4"/>
    <w:rsid w:val="00414D42"/>
    <w:rsid w:val="00434DDB"/>
    <w:rsid w:val="00436AE3"/>
    <w:rsid w:val="004650D2"/>
    <w:rsid w:val="004704E1"/>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105E2"/>
    <w:rsid w:val="00621BD9"/>
    <w:rsid w:val="00640577"/>
    <w:rsid w:val="006412F6"/>
    <w:rsid w:val="00644334"/>
    <w:rsid w:val="00644785"/>
    <w:rsid w:val="00646A53"/>
    <w:rsid w:val="006807A3"/>
    <w:rsid w:val="00693967"/>
    <w:rsid w:val="00713444"/>
    <w:rsid w:val="0075015E"/>
    <w:rsid w:val="00755B2C"/>
    <w:rsid w:val="00786D2C"/>
    <w:rsid w:val="007A3C77"/>
    <w:rsid w:val="007B5697"/>
    <w:rsid w:val="007C2144"/>
    <w:rsid w:val="007C3E73"/>
    <w:rsid w:val="007E56C8"/>
    <w:rsid w:val="007F62CB"/>
    <w:rsid w:val="00823531"/>
    <w:rsid w:val="00823F46"/>
    <w:rsid w:val="00826C6D"/>
    <w:rsid w:val="00860C1C"/>
    <w:rsid w:val="00871BB0"/>
    <w:rsid w:val="00875304"/>
    <w:rsid w:val="008823E1"/>
    <w:rsid w:val="00884133"/>
    <w:rsid w:val="008A0867"/>
    <w:rsid w:val="008F2641"/>
    <w:rsid w:val="0091285A"/>
    <w:rsid w:val="009337BF"/>
    <w:rsid w:val="009412A9"/>
    <w:rsid w:val="009850AD"/>
    <w:rsid w:val="00990858"/>
    <w:rsid w:val="009B028E"/>
    <w:rsid w:val="009C623E"/>
    <w:rsid w:val="009D1F8F"/>
    <w:rsid w:val="009E290C"/>
    <w:rsid w:val="00A07D53"/>
    <w:rsid w:val="00A3448D"/>
    <w:rsid w:val="00A37636"/>
    <w:rsid w:val="00A537CE"/>
    <w:rsid w:val="00A81650"/>
    <w:rsid w:val="00A81860"/>
    <w:rsid w:val="00A83C1E"/>
    <w:rsid w:val="00AF7FD1"/>
    <w:rsid w:val="00B01D47"/>
    <w:rsid w:val="00B35D5B"/>
    <w:rsid w:val="00B50DC2"/>
    <w:rsid w:val="00B53978"/>
    <w:rsid w:val="00B66916"/>
    <w:rsid w:val="00B76BA7"/>
    <w:rsid w:val="00BA7411"/>
    <w:rsid w:val="00BB10FB"/>
    <w:rsid w:val="00BB2414"/>
    <w:rsid w:val="00BB2E0C"/>
    <w:rsid w:val="00BC2D2E"/>
    <w:rsid w:val="00BE6F35"/>
    <w:rsid w:val="00C0706B"/>
    <w:rsid w:val="00C34E13"/>
    <w:rsid w:val="00C47923"/>
    <w:rsid w:val="00C86D0C"/>
    <w:rsid w:val="00CC2F15"/>
    <w:rsid w:val="00CC606D"/>
    <w:rsid w:val="00CD3720"/>
    <w:rsid w:val="00CD5381"/>
    <w:rsid w:val="00D01C6A"/>
    <w:rsid w:val="00D11899"/>
    <w:rsid w:val="00D500E7"/>
    <w:rsid w:val="00D56CB6"/>
    <w:rsid w:val="00D674C8"/>
    <w:rsid w:val="00DB04A9"/>
    <w:rsid w:val="00DB5AB9"/>
    <w:rsid w:val="00DC35AC"/>
    <w:rsid w:val="00DE35AB"/>
    <w:rsid w:val="00DF3596"/>
    <w:rsid w:val="00E3117B"/>
    <w:rsid w:val="00E4520A"/>
    <w:rsid w:val="00E45A93"/>
    <w:rsid w:val="00E55456"/>
    <w:rsid w:val="00E94DD0"/>
    <w:rsid w:val="00E9641B"/>
    <w:rsid w:val="00EA2C34"/>
    <w:rsid w:val="00EA4670"/>
    <w:rsid w:val="00EB7424"/>
    <w:rsid w:val="00ED3ED2"/>
    <w:rsid w:val="00ED7702"/>
    <w:rsid w:val="00EF597D"/>
    <w:rsid w:val="00F21C30"/>
    <w:rsid w:val="00F533B4"/>
    <w:rsid w:val="00F56B3D"/>
    <w:rsid w:val="00F60E10"/>
    <w:rsid w:val="00F72F2C"/>
    <w:rsid w:val="00F82A42"/>
    <w:rsid w:val="00F8429A"/>
    <w:rsid w:val="00F871C7"/>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2h.ae/bLio" TargetMode="External"/><Relationship Id="rId13" Type="http://schemas.openxmlformats.org/officeDocument/2006/relationships/hyperlink" Target="https://2h.ae/pAyf" TargetMode="External"/><Relationship Id="rId3" Type="http://schemas.openxmlformats.org/officeDocument/2006/relationships/hyperlink" Target="https://2h.ae/AjVj" TargetMode="External"/><Relationship Id="rId7" Type="http://schemas.openxmlformats.org/officeDocument/2006/relationships/hyperlink" Target="https://almawqeapost.net/news/31829" TargetMode="External"/><Relationship Id="rId12" Type="http://schemas.openxmlformats.org/officeDocument/2006/relationships/hyperlink" Target="https://2h.ae/sKgt" TargetMode="External"/><Relationship Id="rId2" Type="http://schemas.openxmlformats.org/officeDocument/2006/relationships/hyperlink" Target="https://2h.ae/VyCE" TargetMode="External"/><Relationship Id="rId1" Type="http://schemas.openxmlformats.org/officeDocument/2006/relationships/hyperlink" Target="https://2h.ae/wfUt" TargetMode="External"/><Relationship Id="rId6" Type="http://schemas.openxmlformats.org/officeDocument/2006/relationships/hyperlink" Target="https://www.adhrb.org/ar/?p=9976" TargetMode="External"/><Relationship Id="rId11" Type="http://schemas.openxmlformats.org/officeDocument/2006/relationships/hyperlink" Target="https://2h.ae/QBXP" TargetMode="External"/><Relationship Id="rId5" Type="http://schemas.openxmlformats.org/officeDocument/2006/relationships/hyperlink" Target="https://2h.ae/DZLf" TargetMode="External"/><Relationship Id="rId10" Type="http://schemas.openxmlformats.org/officeDocument/2006/relationships/hyperlink" Target="https://2h.ae/zAvV" TargetMode="External"/><Relationship Id="rId4" Type="http://schemas.openxmlformats.org/officeDocument/2006/relationships/hyperlink" Target="https://2h.ae/hxzq" TargetMode="External"/><Relationship Id="rId9" Type="http://schemas.openxmlformats.org/officeDocument/2006/relationships/hyperlink" Target="https://2h.ae/EE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2024-10-09T13:59:20+00:00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2024-10-09T13:59:20+00:00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2024-10-09T13:59:20+00:00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8528066A-3CCC-4B59-9ABC-01CD64566729}"/>
</file>

<file path=customXml/itemProps3.xml><?xml version="1.0" encoding="utf-8"?>
<ds:datastoreItem xmlns:ds="http://schemas.openxmlformats.org/officeDocument/2006/customXml" ds:itemID="{D7859F77-E95F-4C6B-AB26-98B35960B167}"/>
</file>

<file path=customXml/itemProps4.xml><?xml version="1.0" encoding="utf-8"?>
<ds:datastoreItem xmlns:ds="http://schemas.openxmlformats.org/officeDocument/2006/customXml" ds:itemID="{8FC825FE-A46B-4476-96DE-AC81F1B3E090}"/>
</file>

<file path=docProps/app.xml><?xml version="1.0" encoding="utf-8"?>
<Properties xmlns="http://schemas.openxmlformats.org/officeDocument/2006/extended-properties" xmlns:vt="http://schemas.openxmlformats.org/officeDocument/2006/docPropsVTypes">
  <Template>Normal.dotm</Template>
  <TotalTime>0</TotalTime>
  <Pages>6</Pages>
  <Words>2233</Words>
  <Characters>12729</Characters>
  <Application>Microsoft Office Word</Application>
  <DocSecurity>4</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Youssef Hamdan</cp:lastModifiedBy>
  <cp:revision>2</cp:revision>
  <dcterms:created xsi:type="dcterms:W3CDTF">2024-09-30T10:53:00Z</dcterms:created>
  <dcterms:modified xsi:type="dcterms:W3CDTF">2024-09-30T10:53:00Z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0x010100A7FA57C9FAB45A42AB7F0F2F29DA9B83</vt:lpwstr>
  </property>
</Properties>
</file>