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8E1" w:rsidRPr="00A818E1" w:rsidRDefault="00A818E1" w:rsidP="00A818E1">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fr-FR"/>
        </w:rPr>
      </w:pPr>
      <w:r w:rsidRPr="00A818E1">
        <w:rPr>
          <w:rFonts w:ascii="Times New Roman" w:eastAsia="Times New Roman" w:hAnsi="Times New Roman" w:cs="Times New Roman"/>
          <w:b/>
          <w:bCs/>
          <w:kern w:val="36"/>
          <w:sz w:val="48"/>
          <w:szCs w:val="48"/>
          <w:lang w:eastAsia="fr-FR"/>
        </w:rPr>
        <w:t>RAPPORT ALTERNATIF RENFORCÉ</w:t>
      </w:r>
    </w:p>
    <w:p w:rsidR="00A818E1" w:rsidRPr="00A818E1" w:rsidRDefault="00A818E1" w:rsidP="00A818E1">
      <w:pPr>
        <w:spacing w:before="100" w:beforeAutospacing="1" w:after="100" w:afterAutospacing="1" w:line="240" w:lineRule="auto"/>
        <w:jc w:val="center"/>
        <w:outlineLvl w:val="2"/>
        <w:rPr>
          <w:rFonts w:ascii="Times New Roman" w:eastAsia="Times New Roman" w:hAnsi="Times New Roman" w:cs="Times New Roman"/>
          <w:b/>
          <w:bCs/>
          <w:sz w:val="27"/>
          <w:szCs w:val="27"/>
          <w:lang w:eastAsia="fr-FR"/>
        </w:rPr>
      </w:pPr>
      <w:r w:rsidRPr="00A818E1">
        <w:rPr>
          <w:rFonts w:ascii="Times New Roman" w:eastAsia="Times New Roman" w:hAnsi="Times New Roman" w:cs="Times New Roman"/>
          <w:b/>
          <w:bCs/>
          <w:sz w:val="27"/>
          <w:szCs w:val="27"/>
          <w:lang w:eastAsia="fr-FR"/>
        </w:rPr>
        <w:t>Coalition des organisations de la société civile gabonaise</w:t>
      </w:r>
    </w:p>
    <w:p w:rsidR="00A818E1" w:rsidRPr="00A818E1" w:rsidRDefault="00A818E1" w:rsidP="00A818E1">
      <w:pPr>
        <w:spacing w:before="100" w:beforeAutospacing="1" w:after="100" w:afterAutospacing="1" w:line="240" w:lineRule="auto"/>
        <w:jc w:val="center"/>
        <w:outlineLvl w:val="2"/>
        <w:rPr>
          <w:rFonts w:ascii="Times New Roman" w:eastAsia="Times New Roman" w:hAnsi="Times New Roman" w:cs="Times New Roman"/>
          <w:b/>
          <w:bCs/>
          <w:sz w:val="27"/>
          <w:szCs w:val="27"/>
          <w:lang w:eastAsia="fr-FR"/>
        </w:rPr>
      </w:pPr>
      <w:r w:rsidRPr="00A818E1">
        <w:rPr>
          <w:rFonts w:ascii="Times New Roman" w:eastAsia="Times New Roman" w:hAnsi="Times New Roman" w:cs="Times New Roman"/>
          <w:b/>
          <w:bCs/>
          <w:sz w:val="27"/>
          <w:szCs w:val="27"/>
          <w:lang w:eastAsia="fr-FR"/>
        </w:rPr>
        <w:t>Examen du Gabon – 2026</w:t>
      </w:r>
    </w:p>
    <w:p w:rsidR="00A818E1" w:rsidRPr="00A818E1" w:rsidRDefault="00A818E1" w:rsidP="00A818E1">
      <w:pPr>
        <w:spacing w:before="100" w:beforeAutospacing="1" w:after="100" w:afterAutospacing="1" w:line="240" w:lineRule="auto"/>
        <w:jc w:val="center"/>
        <w:outlineLvl w:val="2"/>
        <w:rPr>
          <w:rFonts w:ascii="Times New Roman" w:eastAsia="Times New Roman" w:hAnsi="Times New Roman" w:cs="Times New Roman"/>
          <w:b/>
          <w:bCs/>
          <w:sz w:val="27"/>
          <w:szCs w:val="27"/>
          <w:lang w:eastAsia="fr-FR"/>
        </w:rPr>
      </w:pPr>
      <w:r w:rsidRPr="00A818E1">
        <w:rPr>
          <w:rFonts w:ascii="Times New Roman" w:eastAsia="Times New Roman" w:hAnsi="Times New Roman" w:cs="Times New Roman"/>
          <w:b/>
          <w:bCs/>
          <w:sz w:val="27"/>
          <w:szCs w:val="27"/>
          <w:lang w:eastAsia="fr-FR"/>
        </w:rPr>
        <w:t>Soumis au titre de l’article 19 de la Convention contre la torture</w:t>
      </w:r>
    </w:p>
    <w:p w:rsidR="00A818E1" w:rsidRPr="00A818E1" w:rsidRDefault="00A818E1" w:rsidP="00A818E1">
      <w:pPr>
        <w:spacing w:after="0" w:line="240" w:lineRule="auto"/>
        <w:jc w:val="center"/>
        <w:rPr>
          <w:rFonts w:ascii="Times New Roman" w:eastAsia="Times New Roman" w:hAnsi="Times New Roman" w:cs="Times New Roman"/>
          <w:sz w:val="24"/>
          <w:szCs w:val="24"/>
          <w:lang w:eastAsia="fr-FR"/>
        </w:rPr>
      </w:pPr>
      <w:r w:rsidRPr="00A818E1">
        <w:rPr>
          <w:rFonts w:ascii="Times New Roman" w:eastAsia="Times New Roman" w:hAnsi="Times New Roman" w:cs="Times New Roman"/>
          <w:sz w:val="24"/>
          <w:szCs w:val="24"/>
          <w:lang w:eastAsia="fr-FR"/>
        </w:rPr>
        <w:pict>
          <v:rect id="_x0000_i1025" style="width:0;height:1.5pt" o:hralign="center" o:hrstd="t" o:hr="t" fillcolor="#a0a0a0" stroked="f"/>
        </w:pict>
      </w:r>
    </w:p>
    <w:p w:rsidR="00AF1718" w:rsidRDefault="007A783A"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Pr>
        <w:jc w:val="center"/>
      </w:pPr>
    </w:p>
    <w:p w:rsidR="00A818E1" w:rsidRDefault="00A818E1" w:rsidP="00A818E1"/>
    <w:p w:rsidR="00A818E1" w:rsidRPr="00A818E1" w:rsidRDefault="00A818E1" w:rsidP="00A818E1">
      <w:pPr>
        <w:rPr>
          <w:b/>
          <w:bCs/>
        </w:rPr>
      </w:pPr>
      <w:r w:rsidRPr="00A818E1">
        <w:rPr>
          <w:b/>
          <w:bCs/>
        </w:rPr>
        <w:lastRenderedPageBreak/>
        <w:t>1. RÉSUMÉ EXÉCUTIF</w:t>
      </w:r>
    </w:p>
    <w:p w:rsidR="00A818E1" w:rsidRPr="00A818E1" w:rsidRDefault="00A818E1" w:rsidP="00A818E1">
      <w:pPr>
        <w:jc w:val="both"/>
      </w:pPr>
      <w:r w:rsidRPr="00A818E1">
        <w:t>La coalition des organisations de la société civile gabonaise soumet respectueusement le présent rapport dans le cadre de l’examen périodique du Gabon prévu en 2026 par le Comité contre la torture.</w:t>
      </w:r>
    </w:p>
    <w:p w:rsidR="00A818E1" w:rsidRPr="00A818E1" w:rsidRDefault="00A818E1" w:rsidP="00A818E1">
      <w:pPr>
        <w:jc w:val="both"/>
      </w:pPr>
      <w:r w:rsidRPr="00A818E1">
        <w:t>Depuis les observations finales adoptées en 2013, certaines avancées normatives méritent d’être reconnues, notamment l’adoption du Code de l’enfant en 2019, certaines rénovations d’infrastructures pénitentiaires et l’engagement affiché dans la lutte contre la traite des personnes.</w:t>
      </w:r>
    </w:p>
    <w:p w:rsidR="00A818E1" w:rsidRPr="00A818E1" w:rsidRDefault="00A818E1" w:rsidP="00A818E1">
      <w:pPr>
        <w:jc w:val="both"/>
      </w:pPr>
      <w:r w:rsidRPr="00A818E1">
        <w:t>Cependant, des préoccupations majeures persistent :</w:t>
      </w:r>
    </w:p>
    <w:p w:rsidR="00A818E1" w:rsidRPr="00A818E1" w:rsidRDefault="00A818E1" w:rsidP="00A818E1">
      <w:pPr>
        <w:numPr>
          <w:ilvl w:val="0"/>
          <w:numId w:val="1"/>
        </w:numPr>
        <w:jc w:val="both"/>
      </w:pPr>
      <w:r w:rsidRPr="00A818E1">
        <w:t>Absence d’incrimination autonome et complète de la torture dans le Code pénal ;</w:t>
      </w:r>
    </w:p>
    <w:p w:rsidR="00A818E1" w:rsidRPr="00A818E1" w:rsidRDefault="00A818E1" w:rsidP="00A818E1">
      <w:pPr>
        <w:numPr>
          <w:ilvl w:val="0"/>
          <w:numId w:val="1"/>
        </w:numPr>
        <w:jc w:val="both"/>
      </w:pPr>
      <w:r w:rsidRPr="00A818E1">
        <w:t>Lacunes concernant la criminalisation explicite de la tentative et de la complicité ;</w:t>
      </w:r>
    </w:p>
    <w:p w:rsidR="00A818E1" w:rsidRPr="00A818E1" w:rsidRDefault="00A818E1" w:rsidP="00A818E1">
      <w:pPr>
        <w:numPr>
          <w:ilvl w:val="0"/>
          <w:numId w:val="1"/>
        </w:numPr>
        <w:jc w:val="both"/>
      </w:pPr>
      <w:r w:rsidRPr="00A818E1">
        <w:t>Défaut d’intégration explicite du principe de non-refoulement en droit interne ;</w:t>
      </w:r>
    </w:p>
    <w:p w:rsidR="00A818E1" w:rsidRPr="00A818E1" w:rsidRDefault="00A818E1" w:rsidP="00A818E1">
      <w:pPr>
        <w:numPr>
          <w:ilvl w:val="0"/>
          <w:numId w:val="1"/>
        </w:numPr>
        <w:jc w:val="both"/>
      </w:pPr>
      <w:r w:rsidRPr="00A818E1">
        <w:t>Allégations persistantes de torture et de mauvais traitements en détention ;</w:t>
      </w:r>
    </w:p>
    <w:p w:rsidR="00A818E1" w:rsidRPr="00A818E1" w:rsidRDefault="00A818E1" w:rsidP="00A818E1">
      <w:pPr>
        <w:numPr>
          <w:ilvl w:val="0"/>
          <w:numId w:val="1"/>
        </w:numPr>
        <w:jc w:val="both"/>
      </w:pPr>
      <w:r w:rsidRPr="00A818E1">
        <w:t>Recours excessif à la détention préventive ;</w:t>
      </w:r>
    </w:p>
    <w:p w:rsidR="00A818E1" w:rsidRPr="00A818E1" w:rsidRDefault="00A818E1" w:rsidP="00A818E1">
      <w:pPr>
        <w:numPr>
          <w:ilvl w:val="0"/>
          <w:numId w:val="1"/>
        </w:numPr>
        <w:jc w:val="both"/>
      </w:pPr>
      <w:r w:rsidRPr="00A818E1">
        <w:t>Surpopulation carcérale chronique ;</w:t>
      </w:r>
    </w:p>
    <w:p w:rsidR="00A818E1" w:rsidRPr="00A818E1" w:rsidRDefault="00A818E1" w:rsidP="00A818E1">
      <w:pPr>
        <w:numPr>
          <w:ilvl w:val="0"/>
          <w:numId w:val="1"/>
        </w:numPr>
        <w:jc w:val="both"/>
      </w:pPr>
      <w:r w:rsidRPr="00A818E1">
        <w:t>Application inégale du Code de l’enfant sur l’ensemble du territoire ;</w:t>
      </w:r>
    </w:p>
    <w:p w:rsidR="00A818E1" w:rsidRPr="00A818E1" w:rsidRDefault="00A818E1" w:rsidP="00A818E1">
      <w:pPr>
        <w:numPr>
          <w:ilvl w:val="0"/>
          <w:numId w:val="1"/>
        </w:numPr>
        <w:jc w:val="both"/>
      </w:pPr>
      <w:r w:rsidRPr="00A818E1">
        <w:t>Insuffisance de protection des victimes adultes de la traite des personnes ;</w:t>
      </w:r>
    </w:p>
    <w:p w:rsidR="00A818E1" w:rsidRPr="00A818E1" w:rsidRDefault="00A818E1" w:rsidP="00A818E1">
      <w:pPr>
        <w:numPr>
          <w:ilvl w:val="0"/>
          <w:numId w:val="1"/>
        </w:numPr>
        <w:jc w:val="both"/>
      </w:pPr>
      <w:r w:rsidRPr="00A818E1">
        <w:t>Absence de système centralisé de gestion des données judiciaires et pénitentiaires.</w:t>
      </w:r>
    </w:p>
    <w:p w:rsidR="00A818E1" w:rsidRPr="00A818E1" w:rsidRDefault="00A818E1" w:rsidP="00A818E1">
      <w:pPr>
        <w:jc w:val="both"/>
      </w:pPr>
      <w:r w:rsidRPr="00A818E1">
        <w:t>La coalition adopte une approche constructive et formule des recommandations graduées (2026–2030) visant à accompagner l’État gabonais dans la pleine mise en conformité avec ses obligations internationales.</w:t>
      </w:r>
    </w:p>
    <w:p w:rsidR="00A818E1" w:rsidRPr="00A818E1" w:rsidRDefault="00A818E1" w:rsidP="00A818E1">
      <w:pPr>
        <w:jc w:val="both"/>
        <w:rPr>
          <w:b/>
          <w:bCs/>
        </w:rPr>
      </w:pPr>
      <w:r w:rsidRPr="00A818E1">
        <w:rPr>
          <w:b/>
          <w:bCs/>
        </w:rPr>
        <w:t>2. MÉTHODOLOGIE</w:t>
      </w:r>
    </w:p>
    <w:p w:rsidR="00A818E1" w:rsidRPr="00A818E1" w:rsidRDefault="00A818E1" w:rsidP="00A818E1">
      <w:pPr>
        <w:jc w:val="both"/>
      </w:pPr>
      <w:r w:rsidRPr="00A818E1">
        <w:t>Le présent rapport repose sur :</w:t>
      </w:r>
    </w:p>
    <w:p w:rsidR="00A818E1" w:rsidRPr="00A818E1" w:rsidRDefault="00A818E1" w:rsidP="00A818E1">
      <w:pPr>
        <w:numPr>
          <w:ilvl w:val="0"/>
          <w:numId w:val="2"/>
        </w:numPr>
        <w:jc w:val="both"/>
      </w:pPr>
      <w:r w:rsidRPr="00A818E1">
        <w:t>Analyse du cadre juridique national (Code pénal, Code de procédure pénale, Code de l’enfant, loi n°09/2004 relative à la traite) ;</w:t>
      </w:r>
    </w:p>
    <w:p w:rsidR="00A818E1" w:rsidRPr="00A818E1" w:rsidRDefault="00A818E1" w:rsidP="00A818E1">
      <w:pPr>
        <w:numPr>
          <w:ilvl w:val="0"/>
          <w:numId w:val="2"/>
        </w:numPr>
        <w:jc w:val="both"/>
      </w:pPr>
      <w:r w:rsidRPr="00A818E1">
        <w:t>Étude des observations finales du Comité (2013) ;</w:t>
      </w:r>
    </w:p>
    <w:p w:rsidR="00A818E1" w:rsidRPr="00A818E1" w:rsidRDefault="00A818E1" w:rsidP="00A818E1">
      <w:pPr>
        <w:numPr>
          <w:ilvl w:val="0"/>
          <w:numId w:val="2"/>
        </w:numPr>
        <w:jc w:val="both"/>
      </w:pPr>
      <w:r w:rsidRPr="00A818E1">
        <w:t>Témoignages recueillis auprès de personnes détenues, anciens détenus et acteurs judiciaires ;</w:t>
      </w:r>
    </w:p>
    <w:p w:rsidR="00A818E1" w:rsidRPr="00A818E1" w:rsidRDefault="00A818E1" w:rsidP="00A818E1">
      <w:pPr>
        <w:numPr>
          <w:ilvl w:val="0"/>
          <w:numId w:val="2"/>
        </w:numPr>
        <w:jc w:val="both"/>
      </w:pPr>
      <w:r w:rsidRPr="00A818E1">
        <w:t>Données issues d’organisations nationales et internationales, notamment l’Organisation internationale pour les migrations (rapport 2022 sur la traite des personnes) ;</w:t>
      </w:r>
    </w:p>
    <w:p w:rsidR="00A818E1" w:rsidRPr="00A818E1" w:rsidRDefault="00A818E1" w:rsidP="00A818E1">
      <w:pPr>
        <w:numPr>
          <w:ilvl w:val="0"/>
          <w:numId w:val="2"/>
        </w:numPr>
        <w:jc w:val="both"/>
      </w:pPr>
      <w:r w:rsidRPr="00A818E1">
        <w:t>Revue documentaire de rapports publics et articles de presse.</w:t>
      </w:r>
    </w:p>
    <w:p w:rsidR="00A818E1" w:rsidRDefault="00A818E1" w:rsidP="00A818E1">
      <w:pPr>
        <w:jc w:val="both"/>
      </w:pPr>
      <w:r w:rsidRPr="00A818E1">
        <w:t xml:space="preserve">La coalition a veillé à la protection de l’identité des personnes interrogées. Les cas cités sont </w:t>
      </w:r>
      <w:proofErr w:type="spellStart"/>
      <w:r w:rsidRPr="00A818E1">
        <w:t>anonymisés</w:t>
      </w:r>
      <w:proofErr w:type="spellEnd"/>
      <w:r w:rsidRPr="00A818E1">
        <w:t xml:space="preserve"> lorsque nécessaire.</w:t>
      </w:r>
    </w:p>
    <w:p w:rsidR="00A818E1" w:rsidRDefault="00A818E1" w:rsidP="00A818E1">
      <w:pPr>
        <w:jc w:val="both"/>
      </w:pPr>
    </w:p>
    <w:p w:rsidR="00A818E1" w:rsidRDefault="00A818E1" w:rsidP="00A818E1">
      <w:pPr>
        <w:jc w:val="both"/>
      </w:pPr>
    </w:p>
    <w:p w:rsidR="00A818E1" w:rsidRDefault="00A818E1" w:rsidP="00A818E1">
      <w:pPr>
        <w:jc w:val="both"/>
      </w:pPr>
    </w:p>
    <w:p w:rsidR="00A818E1" w:rsidRDefault="00A818E1" w:rsidP="00A818E1">
      <w:pPr>
        <w:jc w:val="both"/>
      </w:pPr>
    </w:p>
    <w:p w:rsidR="00A818E1" w:rsidRPr="00A818E1" w:rsidRDefault="00A818E1" w:rsidP="00A818E1">
      <w:pPr>
        <w:jc w:val="both"/>
        <w:rPr>
          <w:b/>
          <w:bCs/>
        </w:rPr>
      </w:pPr>
      <w:r w:rsidRPr="00A818E1">
        <w:rPr>
          <w:b/>
          <w:bCs/>
        </w:rPr>
        <w:lastRenderedPageBreak/>
        <w:t>3. CADRE JURIDIQUE ET CONFORMITÉ AUX ARTICLES 1, 2 ET 4 DE LA CONVENTION</w:t>
      </w:r>
    </w:p>
    <w:p w:rsidR="00A818E1" w:rsidRPr="00A818E1" w:rsidRDefault="00A818E1" w:rsidP="00A818E1">
      <w:pPr>
        <w:jc w:val="both"/>
        <w:rPr>
          <w:b/>
          <w:bCs/>
        </w:rPr>
      </w:pPr>
      <w:r w:rsidRPr="00A818E1">
        <w:rPr>
          <w:b/>
          <w:bCs/>
        </w:rPr>
        <w:t>3.1 Absence d’incrimination autonome de la torture</w:t>
      </w:r>
    </w:p>
    <w:p w:rsidR="00A818E1" w:rsidRPr="00A818E1" w:rsidRDefault="00A818E1" w:rsidP="00A818E1">
      <w:pPr>
        <w:jc w:val="both"/>
      </w:pPr>
      <w:r w:rsidRPr="00A818E1">
        <w:t>L’article 1 de la Convention définit la torture comme :</w:t>
      </w:r>
    </w:p>
    <w:p w:rsidR="00A818E1" w:rsidRPr="00A818E1" w:rsidRDefault="00A818E1" w:rsidP="00A818E1">
      <w:pPr>
        <w:jc w:val="both"/>
      </w:pPr>
      <w:r w:rsidRPr="00A818E1">
        <w:t>Tout acte par lequel une douleur ou des souffrances aiguës, physiques ou mentales, sont intentionnellement infligées par un agent public ou à son instigation, à des fins spécifiques telles que l’obtention d’aveux, la punition, l’intimidation ou la discrimination.</w:t>
      </w:r>
    </w:p>
    <w:p w:rsidR="00A818E1" w:rsidRPr="00A818E1" w:rsidRDefault="00A818E1" w:rsidP="00A818E1">
      <w:pPr>
        <w:jc w:val="both"/>
      </w:pPr>
      <w:r w:rsidRPr="00A818E1">
        <w:t>À ce jour, le Code pénal gabonais ne contient pas de disposition autonome reprenant intégralement cette définition. Les faits susceptibles de constituer des actes de torture sont généralement poursuivis sous des qualifications de droit commun (coups et blessures, violences aggravées, abus d’autorité).</w:t>
      </w:r>
    </w:p>
    <w:p w:rsidR="00A818E1" w:rsidRPr="00A818E1" w:rsidRDefault="00A818E1" w:rsidP="00A818E1">
      <w:pPr>
        <w:jc w:val="both"/>
      </w:pPr>
      <w:r w:rsidRPr="00A818E1">
        <w:t>Cette pratique entraîne :</w:t>
      </w:r>
    </w:p>
    <w:p w:rsidR="00A818E1" w:rsidRPr="00A818E1" w:rsidRDefault="00A818E1" w:rsidP="00A818E1">
      <w:pPr>
        <w:numPr>
          <w:ilvl w:val="0"/>
          <w:numId w:val="3"/>
        </w:numPr>
        <w:jc w:val="both"/>
      </w:pPr>
      <w:r w:rsidRPr="00A818E1">
        <w:t>Une dilution de la gravité spécifique de l’acte de torture ;</w:t>
      </w:r>
    </w:p>
    <w:p w:rsidR="00A818E1" w:rsidRPr="00A818E1" w:rsidRDefault="00A818E1" w:rsidP="00A818E1">
      <w:pPr>
        <w:numPr>
          <w:ilvl w:val="0"/>
          <w:numId w:val="3"/>
        </w:numPr>
        <w:jc w:val="both"/>
      </w:pPr>
      <w:r w:rsidRPr="00A818E1">
        <w:t>Des peines souvent non proportionnelles ;</w:t>
      </w:r>
    </w:p>
    <w:p w:rsidR="00A818E1" w:rsidRPr="00A818E1" w:rsidRDefault="00A818E1" w:rsidP="00A818E1">
      <w:pPr>
        <w:numPr>
          <w:ilvl w:val="0"/>
          <w:numId w:val="3"/>
        </w:numPr>
        <w:jc w:val="both"/>
      </w:pPr>
      <w:r w:rsidRPr="00A818E1">
        <w:t>Une difficulté statistique à documenter le phénomène ;</w:t>
      </w:r>
    </w:p>
    <w:p w:rsidR="00A818E1" w:rsidRPr="00A818E1" w:rsidRDefault="00A818E1" w:rsidP="00A818E1">
      <w:pPr>
        <w:numPr>
          <w:ilvl w:val="0"/>
          <w:numId w:val="3"/>
        </w:numPr>
        <w:jc w:val="both"/>
      </w:pPr>
      <w:r w:rsidRPr="00A818E1">
        <w:t>Un risque d’impunité structurelle.</w:t>
      </w:r>
    </w:p>
    <w:p w:rsidR="00A818E1" w:rsidRPr="00A818E1" w:rsidRDefault="00A818E1" w:rsidP="00A818E1">
      <w:pPr>
        <w:jc w:val="both"/>
      </w:pPr>
      <w:r w:rsidRPr="00A818E1">
        <w:t>La non-conformité partielle avec l’article 1 constitue une lacune normative importante.</w:t>
      </w:r>
    </w:p>
    <w:p w:rsidR="00A818E1" w:rsidRPr="00A818E1" w:rsidRDefault="00A818E1" w:rsidP="00A818E1">
      <w:pPr>
        <w:jc w:val="both"/>
      </w:pPr>
    </w:p>
    <w:p w:rsidR="00A818E1" w:rsidRPr="00A818E1" w:rsidRDefault="00A818E1" w:rsidP="00A818E1">
      <w:pPr>
        <w:jc w:val="both"/>
        <w:rPr>
          <w:b/>
          <w:bCs/>
        </w:rPr>
      </w:pPr>
      <w:r w:rsidRPr="00A818E1">
        <w:rPr>
          <w:b/>
          <w:bCs/>
        </w:rPr>
        <w:t>3.2 Criminalisation incomplète de la tentative et de la complicité</w:t>
      </w:r>
    </w:p>
    <w:p w:rsidR="00A818E1" w:rsidRPr="00A818E1" w:rsidRDefault="00A818E1" w:rsidP="00A818E1">
      <w:pPr>
        <w:jc w:val="both"/>
      </w:pPr>
      <w:r w:rsidRPr="00A818E1">
        <w:t>L’article 4 de la Convention impose aux États parties de veiller à ce que :</w:t>
      </w:r>
    </w:p>
    <w:p w:rsidR="00A818E1" w:rsidRPr="00A818E1" w:rsidRDefault="00A818E1" w:rsidP="00A818E1">
      <w:pPr>
        <w:numPr>
          <w:ilvl w:val="0"/>
          <w:numId w:val="4"/>
        </w:numPr>
        <w:jc w:val="both"/>
      </w:pPr>
      <w:r w:rsidRPr="00A818E1">
        <w:t>Tous les actes de torture soient des infractions pénales ;</w:t>
      </w:r>
    </w:p>
    <w:p w:rsidR="00A818E1" w:rsidRPr="00A818E1" w:rsidRDefault="00A818E1" w:rsidP="00A818E1">
      <w:pPr>
        <w:numPr>
          <w:ilvl w:val="0"/>
          <w:numId w:val="4"/>
        </w:numPr>
        <w:jc w:val="both"/>
      </w:pPr>
      <w:r w:rsidRPr="00A818E1">
        <w:t>Toute tentative de torture soit punissable ;</w:t>
      </w:r>
    </w:p>
    <w:p w:rsidR="00A818E1" w:rsidRPr="00A818E1" w:rsidRDefault="00A818E1" w:rsidP="00A818E1">
      <w:pPr>
        <w:numPr>
          <w:ilvl w:val="0"/>
          <w:numId w:val="4"/>
        </w:numPr>
        <w:jc w:val="both"/>
      </w:pPr>
      <w:r w:rsidRPr="00A818E1">
        <w:t>Toute complicité ou participation soit également incriminée.</w:t>
      </w:r>
    </w:p>
    <w:p w:rsidR="00A818E1" w:rsidRPr="00A818E1" w:rsidRDefault="00A818E1" w:rsidP="00A818E1">
      <w:pPr>
        <w:jc w:val="both"/>
      </w:pPr>
      <w:r w:rsidRPr="00A818E1">
        <w:t>Les dispositions actuelles du droit pénal gabonais ne prévoient pas explicitement :</w:t>
      </w:r>
    </w:p>
    <w:p w:rsidR="00A818E1" w:rsidRPr="00A818E1" w:rsidRDefault="00A818E1" w:rsidP="00A818E1">
      <w:pPr>
        <w:numPr>
          <w:ilvl w:val="0"/>
          <w:numId w:val="5"/>
        </w:numPr>
        <w:jc w:val="both"/>
      </w:pPr>
      <w:r w:rsidRPr="00A818E1">
        <w:t>L’incrimination spécifique de la tentative de torture ;</w:t>
      </w:r>
    </w:p>
    <w:p w:rsidR="00A818E1" w:rsidRPr="00A818E1" w:rsidRDefault="00A818E1" w:rsidP="00A818E1">
      <w:pPr>
        <w:numPr>
          <w:ilvl w:val="0"/>
          <w:numId w:val="5"/>
        </w:numPr>
        <w:jc w:val="both"/>
      </w:pPr>
      <w:r w:rsidRPr="00A818E1">
        <w:t>La complicité spécifique liée à la torture en tant qu’infraction autonome.</w:t>
      </w:r>
    </w:p>
    <w:p w:rsidR="00A818E1" w:rsidRDefault="00A818E1" w:rsidP="00A818E1">
      <w:pPr>
        <w:jc w:val="both"/>
      </w:pPr>
      <w:r w:rsidRPr="00A818E1">
        <w:t>Cette absence compromet la pleine conformité à l’article 4 et limite l’effet dissuasif du cadre juridique.</w:t>
      </w:r>
    </w:p>
    <w:p w:rsidR="00A818E1" w:rsidRPr="00A818E1" w:rsidRDefault="00A818E1" w:rsidP="00A818E1">
      <w:pPr>
        <w:jc w:val="both"/>
      </w:pPr>
    </w:p>
    <w:p w:rsidR="00A818E1" w:rsidRPr="00A818E1" w:rsidRDefault="00A818E1" w:rsidP="00A818E1">
      <w:pPr>
        <w:jc w:val="both"/>
        <w:rPr>
          <w:b/>
          <w:bCs/>
        </w:rPr>
      </w:pPr>
      <w:r w:rsidRPr="00A818E1">
        <w:rPr>
          <w:b/>
          <w:bCs/>
        </w:rPr>
        <w:t>3.3 Allégations de torture et obligation d’enquête (Articles 12 et 13)</w:t>
      </w:r>
    </w:p>
    <w:p w:rsidR="00A818E1" w:rsidRPr="00A818E1" w:rsidRDefault="00A818E1" w:rsidP="00A818E1">
      <w:pPr>
        <w:jc w:val="both"/>
      </w:pPr>
      <w:r w:rsidRPr="00A818E1">
        <w:t>La coalition a documenté plusieurs allégations de torture ou de traitements cruels lors :</w:t>
      </w:r>
    </w:p>
    <w:p w:rsidR="00A818E1" w:rsidRPr="00A818E1" w:rsidRDefault="00A818E1" w:rsidP="00A818E1">
      <w:pPr>
        <w:numPr>
          <w:ilvl w:val="0"/>
          <w:numId w:val="6"/>
        </w:numPr>
        <w:jc w:val="both"/>
      </w:pPr>
      <w:r w:rsidRPr="00A818E1">
        <w:t>De gardes à vue prolongées ;</w:t>
      </w:r>
    </w:p>
    <w:p w:rsidR="00A818E1" w:rsidRPr="00A818E1" w:rsidRDefault="00A818E1" w:rsidP="00A818E1">
      <w:pPr>
        <w:numPr>
          <w:ilvl w:val="0"/>
          <w:numId w:val="6"/>
        </w:numPr>
        <w:jc w:val="both"/>
      </w:pPr>
      <w:r w:rsidRPr="00A818E1">
        <w:t>D’affaires à caractère politique ou sensible ;</w:t>
      </w:r>
    </w:p>
    <w:p w:rsidR="00A818E1" w:rsidRPr="00A818E1" w:rsidRDefault="00A818E1" w:rsidP="00A818E1">
      <w:pPr>
        <w:numPr>
          <w:ilvl w:val="0"/>
          <w:numId w:val="6"/>
        </w:numPr>
        <w:jc w:val="both"/>
      </w:pPr>
      <w:r w:rsidRPr="00A818E1">
        <w:t>D’interrogatoires en détention préventive.</w:t>
      </w:r>
    </w:p>
    <w:p w:rsidR="00A818E1" w:rsidRPr="00A818E1" w:rsidRDefault="00A818E1" w:rsidP="00A818E1">
      <w:pPr>
        <w:jc w:val="both"/>
      </w:pPr>
      <w:r w:rsidRPr="00A818E1">
        <w:lastRenderedPageBreak/>
        <w:t>Le cas d’un sous-officier désigné sous le pseudonyme « JB », décédé à la suite de sévices allégués, illustre les préoccupations persistantes. Bien que des mesures disciplinaires aient été annoncées, les poursuites judiciaires effectives demeurent limitées.</w:t>
      </w:r>
    </w:p>
    <w:p w:rsidR="00A818E1" w:rsidRPr="00A818E1" w:rsidRDefault="00A818E1" w:rsidP="00A818E1">
      <w:pPr>
        <w:jc w:val="both"/>
      </w:pPr>
      <w:r w:rsidRPr="00A818E1">
        <w:t>Conformément aux articles 12 et 13 de la Convention, l’État est tenu :</w:t>
      </w:r>
    </w:p>
    <w:p w:rsidR="00A818E1" w:rsidRPr="00A818E1" w:rsidRDefault="00A818E1" w:rsidP="00A818E1">
      <w:pPr>
        <w:numPr>
          <w:ilvl w:val="0"/>
          <w:numId w:val="7"/>
        </w:numPr>
        <w:jc w:val="both"/>
      </w:pPr>
      <w:r w:rsidRPr="00A818E1">
        <w:t>D’ouvrir immédiatement une enquête impartiale ;</w:t>
      </w:r>
    </w:p>
    <w:p w:rsidR="00A818E1" w:rsidRPr="00A818E1" w:rsidRDefault="00A818E1" w:rsidP="00A818E1">
      <w:pPr>
        <w:numPr>
          <w:ilvl w:val="0"/>
          <w:numId w:val="7"/>
        </w:numPr>
        <w:jc w:val="both"/>
      </w:pPr>
      <w:r w:rsidRPr="00A818E1">
        <w:t>De protéger les plaignants contre les représailles ;</w:t>
      </w:r>
    </w:p>
    <w:p w:rsidR="00A818E1" w:rsidRPr="00A818E1" w:rsidRDefault="00A818E1" w:rsidP="00A818E1">
      <w:pPr>
        <w:numPr>
          <w:ilvl w:val="0"/>
          <w:numId w:val="7"/>
        </w:numPr>
        <w:jc w:val="both"/>
      </w:pPr>
      <w:r w:rsidRPr="00A818E1">
        <w:t>De garantir un recours effectif.</w:t>
      </w:r>
    </w:p>
    <w:p w:rsidR="00A818E1" w:rsidRPr="00A818E1" w:rsidRDefault="00A818E1" w:rsidP="00A818E1">
      <w:pPr>
        <w:jc w:val="both"/>
      </w:pPr>
      <w:r w:rsidRPr="00A818E1">
        <w:t>L’absence de mécanisme indépendant d’enquête constitue une vulnérabilité institutionnelle.</w:t>
      </w:r>
    </w:p>
    <w:tbl>
      <w:tblPr>
        <w:tblStyle w:val="Grilledutableau"/>
        <w:tblW w:w="0" w:type="auto"/>
        <w:tblLook w:val="06A0" w:firstRow="1" w:lastRow="0" w:firstColumn="1" w:lastColumn="0" w:noHBand="1" w:noVBand="1"/>
      </w:tblPr>
      <w:tblGrid>
        <w:gridCol w:w="1200"/>
        <w:gridCol w:w="2949"/>
        <w:gridCol w:w="3212"/>
        <w:gridCol w:w="1701"/>
      </w:tblGrid>
      <w:tr w:rsidR="00A818E1" w:rsidRPr="00A818E1" w:rsidTr="00F766B7">
        <w:tc>
          <w:tcPr>
            <w:tcW w:w="0" w:type="auto"/>
            <w:hideMark/>
          </w:tcPr>
          <w:p w:rsidR="00A818E1" w:rsidRPr="00A818E1" w:rsidRDefault="00A818E1" w:rsidP="00F766B7">
            <w:pPr>
              <w:spacing w:after="160" w:line="259" w:lineRule="auto"/>
              <w:jc w:val="center"/>
              <w:rPr>
                <w:b/>
                <w:bCs/>
              </w:rPr>
            </w:pPr>
            <w:r w:rsidRPr="00A818E1">
              <w:rPr>
                <w:b/>
                <w:bCs/>
              </w:rPr>
              <w:t>Article CAT</w:t>
            </w:r>
          </w:p>
        </w:tc>
        <w:tc>
          <w:tcPr>
            <w:tcW w:w="0" w:type="auto"/>
            <w:hideMark/>
          </w:tcPr>
          <w:p w:rsidR="00A818E1" w:rsidRPr="00A818E1" w:rsidRDefault="00A818E1" w:rsidP="00F766B7">
            <w:pPr>
              <w:spacing w:after="160" w:line="259" w:lineRule="auto"/>
              <w:jc w:val="center"/>
              <w:rPr>
                <w:b/>
                <w:bCs/>
              </w:rPr>
            </w:pPr>
            <w:r w:rsidRPr="00A818E1">
              <w:rPr>
                <w:b/>
                <w:bCs/>
              </w:rPr>
              <w:t>Obligation internationale</w:t>
            </w:r>
          </w:p>
        </w:tc>
        <w:tc>
          <w:tcPr>
            <w:tcW w:w="3212" w:type="dxa"/>
            <w:hideMark/>
          </w:tcPr>
          <w:p w:rsidR="00A818E1" w:rsidRPr="00A818E1" w:rsidRDefault="00A818E1" w:rsidP="00F766B7">
            <w:pPr>
              <w:spacing w:after="160" w:line="259" w:lineRule="auto"/>
              <w:jc w:val="center"/>
              <w:rPr>
                <w:b/>
                <w:bCs/>
              </w:rPr>
            </w:pPr>
            <w:r w:rsidRPr="00A818E1">
              <w:rPr>
                <w:b/>
                <w:bCs/>
              </w:rPr>
              <w:t>Situation actuelle au Gabon</w:t>
            </w:r>
          </w:p>
        </w:tc>
        <w:tc>
          <w:tcPr>
            <w:tcW w:w="1701" w:type="dxa"/>
            <w:hideMark/>
          </w:tcPr>
          <w:p w:rsidR="00A818E1" w:rsidRPr="00A818E1" w:rsidRDefault="00A818E1" w:rsidP="00F766B7">
            <w:pPr>
              <w:spacing w:after="160" w:line="259" w:lineRule="auto"/>
              <w:jc w:val="center"/>
              <w:rPr>
                <w:b/>
                <w:bCs/>
              </w:rPr>
            </w:pPr>
            <w:r w:rsidRPr="00A818E1">
              <w:rPr>
                <w:b/>
                <w:bCs/>
              </w:rPr>
              <w:t>Niveau de conformité</w:t>
            </w:r>
          </w:p>
        </w:tc>
      </w:tr>
      <w:tr w:rsidR="00A818E1" w:rsidRPr="00A818E1" w:rsidTr="00F766B7">
        <w:tc>
          <w:tcPr>
            <w:tcW w:w="0" w:type="auto"/>
            <w:hideMark/>
          </w:tcPr>
          <w:p w:rsidR="00A818E1" w:rsidRPr="00A818E1" w:rsidRDefault="00A818E1" w:rsidP="00F766B7">
            <w:pPr>
              <w:spacing w:after="160" w:line="259" w:lineRule="auto"/>
              <w:jc w:val="center"/>
            </w:pPr>
            <w:r w:rsidRPr="00A818E1">
              <w:t>Article 1</w:t>
            </w:r>
          </w:p>
        </w:tc>
        <w:tc>
          <w:tcPr>
            <w:tcW w:w="0" w:type="auto"/>
            <w:hideMark/>
          </w:tcPr>
          <w:p w:rsidR="00A818E1" w:rsidRPr="00A818E1" w:rsidRDefault="00A818E1" w:rsidP="00F766B7">
            <w:pPr>
              <w:spacing w:after="160" w:line="259" w:lineRule="auto"/>
              <w:jc w:val="center"/>
            </w:pPr>
            <w:r w:rsidRPr="00A818E1">
              <w:t>Définition complète de la torture</w:t>
            </w:r>
          </w:p>
        </w:tc>
        <w:tc>
          <w:tcPr>
            <w:tcW w:w="3212" w:type="dxa"/>
            <w:hideMark/>
          </w:tcPr>
          <w:p w:rsidR="00A818E1" w:rsidRPr="00A818E1" w:rsidRDefault="00A818E1" w:rsidP="00F766B7">
            <w:pPr>
              <w:spacing w:after="160" w:line="259" w:lineRule="auto"/>
              <w:jc w:val="center"/>
            </w:pPr>
            <w:r w:rsidRPr="00A818E1">
              <w:t>Absence d’incrimination autonome</w:t>
            </w:r>
          </w:p>
        </w:tc>
        <w:tc>
          <w:tcPr>
            <w:tcW w:w="1701" w:type="dxa"/>
            <w:hideMark/>
          </w:tcPr>
          <w:p w:rsidR="00A818E1" w:rsidRPr="00A818E1" w:rsidRDefault="00A818E1" w:rsidP="00F766B7">
            <w:pPr>
              <w:spacing w:after="160" w:line="259" w:lineRule="auto"/>
              <w:jc w:val="center"/>
            </w:pPr>
            <w:r w:rsidRPr="00A818E1">
              <w:t>Partielle</w:t>
            </w:r>
          </w:p>
        </w:tc>
      </w:tr>
      <w:tr w:rsidR="00A818E1" w:rsidRPr="00A818E1" w:rsidTr="00F766B7">
        <w:tc>
          <w:tcPr>
            <w:tcW w:w="0" w:type="auto"/>
            <w:hideMark/>
          </w:tcPr>
          <w:p w:rsidR="00A818E1" w:rsidRPr="00A818E1" w:rsidRDefault="00A818E1" w:rsidP="00F766B7">
            <w:pPr>
              <w:spacing w:after="160" w:line="259" w:lineRule="auto"/>
              <w:jc w:val="center"/>
            </w:pPr>
            <w:r w:rsidRPr="00A818E1">
              <w:t>Article 2</w:t>
            </w:r>
          </w:p>
        </w:tc>
        <w:tc>
          <w:tcPr>
            <w:tcW w:w="0" w:type="auto"/>
            <w:hideMark/>
          </w:tcPr>
          <w:p w:rsidR="00A818E1" w:rsidRPr="00A818E1" w:rsidRDefault="00A818E1" w:rsidP="00F766B7">
            <w:pPr>
              <w:spacing w:after="160" w:line="259" w:lineRule="auto"/>
              <w:jc w:val="center"/>
            </w:pPr>
            <w:r w:rsidRPr="00A818E1">
              <w:t>Interdiction absolue</w:t>
            </w:r>
          </w:p>
        </w:tc>
        <w:tc>
          <w:tcPr>
            <w:tcW w:w="3212" w:type="dxa"/>
            <w:hideMark/>
          </w:tcPr>
          <w:p w:rsidR="00A818E1" w:rsidRPr="00A818E1" w:rsidRDefault="00A818E1" w:rsidP="00F766B7">
            <w:pPr>
              <w:spacing w:after="160" w:line="259" w:lineRule="auto"/>
              <w:jc w:val="center"/>
            </w:pPr>
            <w:r w:rsidRPr="00A818E1">
              <w:t>Interdiction constitutionnelle mais lacunes pénales</w:t>
            </w:r>
          </w:p>
        </w:tc>
        <w:tc>
          <w:tcPr>
            <w:tcW w:w="1701" w:type="dxa"/>
            <w:hideMark/>
          </w:tcPr>
          <w:p w:rsidR="00A818E1" w:rsidRPr="00A818E1" w:rsidRDefault="00A818E1" w:rsidP="00F766B7">
            <w:pPr>
              <w:spacing w:after="160" w:line="259" w:lineRule="auto"/>
              <w:jc w:val="center"/>
            </w:pPr>
            <w:r w:rsidRPr="00A818E1">
              <w:t>Partielle</w:t>
            </w:r>
          </w:p>
        </w:tc>
      </w:tr>
      <w:tr w:rsidR="00A818E1" w:rsidRPr="00A818E1" w:rsidTr="00F766B7">
        <w:tc>
          <w:tcPr>
            <w:tcW w:w="0" w:type="auto"/>
            <w:hideMark/>
          </w:tcPr>
          <w:p w:rsidR="00A818E1" w:rsidRPr="00A818E1" w:rsidRDefault="00A818E1" w:rsidP="00F766B7">
            <w:pPr>
              <w:spacing w:after="160" w:line="259" w:lineRule="auto"/>
              <w:jc w:val="center"/>
            </w:pPr>
            <w:r w:rsidRPr="00A818E1">
              <w:t>Article 3</w:t>
            </w:r>
          </w:p>
        </w:tc>
        <w:tc>
          <w:tcPr>
            <w:tcW w:w="0" w:type="auto"/>
            <w:hideMark/>
          </w:tcPr>
          <w:p w:rsidR="00A818E1" w:rsidRPr="00A818E1" w:rsidRDefault="00A818E1" w:rsidP="00F766B7">
            <w:pPr>
              <w:spacing w:after="160" w:line="259" w:lineRule="auto"/>
              <w:jc w:val="center"/>
            </w:pPr>
            <w:r w:rsidRPr="00A818E1">
              <w:t>Non-refoulement</w:t>
            </w:r>
          </w:p>
        </w:tc>
        <w:tc>
          <w:tcPr>
            <w:tcW w:w="3212" w:type="dxa"/>
            <w:hideMark/>
          </w:tcPr>
          <w:p w:rsidR="00A818E1" w:rsidRPr="00A818E1" w:rsidRDefault="00A818E1" w:rsidP="00F766B7">
            <w:pPr>
              <w:spacing w:after="160" w:line="259" w:lineRule="auto"/>
              <w:jc w:val="center"/>
            </w:pPr>
            <w:r w:rsidRPr="00A818E1">
              <w:t>Non explicitement intégré</w:t>
            </w:r>
          </w:p>
        </w:tc>
        <w:tc>
          <w:tcPr>
            <w:tcW w:w="1701" w:type="dxa"/>
            <w:hideMark/>
          </w:tcPr>
          <w:p w:rsidR="00A818E1" w:rsidRPr="00A818E1" w:rsidRDefault="00A818E1" w:rsidP="00F766B7">
            <w:pPr>
              <w:spacing w:after="160" w:line="259" w:lineRule="auto"/>
              <w:jc w:val="center"/>
            </w:pPr>
            <w:r w:rsidRPr="00A818E1">
              <w:t>Insuffisante</w:t>
            </w:r>
          </w:p>
        </w:tc>
      </w:tr>
      <w:tr w:rsidR="00A818E1" w:rsidRPr="00A818E1" w:rsidTr="00F766B7">
        <w:tc>
          <w:tcPr>
            <w:tcW w:w="0" w:type="auto"/>
            <w:hideMark/>
          </w:tcPr>
          <w:p w:rsidR="00A818E1" w:rsidRPr="00A818E1" w:rsidRDefault="00A818E1" w:rsidP="00F766B7">
            <w:pPr>
              <w:spacing w:after="160" w:line="259" w:lineRule="auto"/>
              <w:jc w:val="center"/>
            </w:pPr>
            <w:r w:rsidRPr="00A818E1">
              <w:t>Article 4</w:t>
            </w:r>
          </w:p>
        </w:tc>
        <w:tc>
          <w:tcPr>
            <w:tcW w:w="0" w:type="auto"/>
            <w:hideMark/>
          </w:tcPr>
          <w:p w:rsidR="00A818E1" w:rsidRPr="00A818E1" w:rsidRDefault="00A818E1" w:rsidP="00F766B7">
            <w:pPr>
              <w:spacing w:after="160" w:line="259" w:lineRule="auto"/>
              <w:jc w:val="center"/>
            </w:pPr>
            <w:r w:rsidRPr="00A818E1">
              <w:t>Incrimination tentative/complicité</w:t>
            </w:r>
          </w:p>
        </w:tc>
        <w:tc>
          <w:tcPr>
            <w:tcW w:w="3212" w:type="dxa"/>
            <w:hideMark/>
          </w:tcPr>
          <w:p w:rsidR="00A818E1" w:rsidRPr="00A818E1" w:rsidRDefault="00A818E1" w:rsidP="00F766B7">
            <w:pPr>
              <w:spacing w:after="160" w:line="259" w:lineRule="auto"/>
              <w:jc w:val="center"/>
            </w:pPr>
            <w:r w:rsidRPr="00A818E1">
              <w:t>Non explicite</w:t>
            </w:r>
          </w:p>
        </w:tc>
        <w:tc>
          <w:tcPr>
            <w:tcW w:w="1701" w:type="dxa"/>
            <w:hideMark/>
          </w:tcPr>
          <w:p w:rsidR="00A818E1" w:rsidRPr="00A818E1" w:rsidRDefault="00A818E1" w:rsidP="00F766B7">
            <w:pPr>
              <w:spacing w:after="160" w:line="259" w:lineRule="auto"/>
              <w:jc w:val="center"/>
            </w:pPr>
            <w:r w:rsidRPr="00A818E1">
              <w:t>Insuffisante</w:t>
            </w:r>
          </w:p>
        </w:tc>
      </w:tr>
      <w:tr w:rsidR="00A818E1" w:rsidRPr="00A818E1" w:rsidTr="00F766B7">
        <w:tc>
          <w:tcPr>
            <w:tcW w:w="0" w:type="auto"/>
            <w:hideMark/>
          </w:tcPr>
          <w:p w:rsidR="00A818E1" w:rsidRPr="00A818E1" w:rsidRDefault="00A818E1" w:rsidP="00F766B7">
            <w:pPr>
              <w:spacing w:after="160" w:line="259" w:lineRule="auto"/>
              <w:jc w:val="center"/>
            </w:pPr>
            <w:r w:rsidRPr="00A818E1">
              <w:t>Article 11</w:t>
            </w:r>
          </w:p>
        </w:tc>
        <w:tc>
          <w:tcPr>
            <w:tcW w:w="0" w:type="auto"/>
            <w:hideMark/>
          </w:tcPr>
          <w:p w:rsidR="00A818E1" w:rsidRPr="00A818E1" w:rsidRDefault="00A818E1" w:rsidP="00F766B7">
            <w:pPr>
              <w:spacing w:after="160" w:line="259" w:lineRule="auto"/>
              <w:jc w:val="center"/>
            </w:pPr>
            <w:r w:rsidRPr="00A818E1">
              <w:t>Surveillance des lieux de détention</w:t>
            </w:r>
          </w:p>
        </w:tc>
        <w:tc>
          <w:tcPr>
            <w:tcW w:w="3212" w:type="dxa"/>
            <w:hideMark/>
          </w:tcPr>
          <w:p w:rsidR="00A818E1" w:rsidRPr="00A818E1" w:rsidRDefault="00A818E1" w:rsidP="00F766B7">
            <w:pPr>
              <w:spacing w:after="160" w:line="259" w:lineRule="auto"/>
              <w:jc w:val="center"/>
            </w:pPr>
            <w:r w:rsidRPr="00A818E1">
              <w:t>Contrôle limité, absence mécanisme indépendant</w:t>
            </w:r>
          </w:p>
        </w:tc>
        <w:tc>
          <w:tcPr>
            <w:tcW w:w="1701" w:type="dxa"/>
            <w:hideMark/>
          </w:tcPr>
          <w:p w:rsidR="00A818E1" w:rsidRPr="00A818E1" w:rsidRDefault="00A818E1" w:rsidP="00F766B7">
            <w:pPr>
              <w:spacing w:after="160" w:line="259" w:lineRule="auto"/>
              <w:jc w:val="center"/>
            </w:pPr>
            <w:r w:rsidRPr="00A818E1">
              <w:t>Partielle</w:t>
            </w:r>
          </w:p>
        </w:tc>
      </w:tr>
      <w:tr w:rsidR="00A818E1" w:rsidRPr="00A818E1" w:rsidTr="00F766B7">
        <w:tc>
          <w:tcPr>
            <w:tcW w:w="0" w:type="auto"/>
            <w:hideMark/>
          </w:tcPr>
          <w:p w:rsidR="00A818E1" w:rsidRPr="00A818E1" w:rsidRDefault="00A818E1" w:rsidP="00F766B7">
            <w:pPr>
              <w:spacing w:after="160" w:line="259" w:lineRule="auto"/>
              <w:jc w:val="center"/>
            </w:pPr>
            <w:r w:rsidRPr="00A818E1">
              <w:t>Article 12-13</w:t>
            </w:r>
          </w:p>
        </w:tc>
        <w:tc>
          <w:tcPr>
            <w:tcW w:w="0" w:type="auto"/>
            <w:hideMark/>
          </w:tcPr>
          <w:p w:rsidR="00A818E1" w:rsidRPr="00A818E1" w:rsidRDefault="00A818E1" w:rsidP="00F766B7">
            <w:pPr>
              <w:spacing w:after="160" w:line="259" w:lineRule="auto"/>
              <w:jc w:val="center"/>
            </w:pPr>
            <w:r w:rsidRPr="00A818E1">
              <w:t>Enquête rapide et impartiale</w:t>
            </w:r>
          </w:p>
        </w:tc>
        <w:tc>
          <w:tcPr>
            <w:tcW w:w="3212" w:type="dxa"/>
            <w:hideMark/>
          </w:tcPr>
          <w:p w:rsidR="00A818E1" w:rsidRPr="00A818E1" w:rsidRDefault="00A818E1" w:rsidP="00F766B7">
            <w:pPr>
              <w:spacing w:after="160" w:line="259" w:lineRule="auto"/>
              <w:jc w:val="center"/>
            </w:pPr>
            <w:r w:rsidRPr="00A818E1">
              <w:t>Allégations persistantes d’impunité</w:t>
            </w:r>
          </w:p>
        </w:tc>
        <w:tc>
          <w:tcPr>
            <w:tcW w:w="1701" w:type="dxa"/>
            <w:hideMark/>
          </w:tcPr>
          <w:p w:rsidR="00A818E1" w:rsidRPr="00A818E1" w:rsidRDefault="00A818E1" w:rsidP="00F766B7">
            <w:pPr>
              <w:spacing w:after="160" w:line="259" w:lineRule="auto"/>
              <w:jc w:val="center"/>
            </w:pPr>
            <w:r w:rsidRPr="00A818E1">
              <w:t>Insuffisante</w:t>
            </w:r>
          </w:p>
        </w:tc>
      </w:tr>
      <w:tr w:rsidR="00A818E1" w:rsidRPr="00A818E1" w:rsidTr="00F766B7">
        <w:tc>
          <w:tcPr>
            <w:tcW w:w="0" w:type="auto"/>
            <w:hideMark/>
          </w:tcPr>
          <w:p w:rsidR="00A818E1" w:rsidRPr="00A818E1" w:rsidRDefault="00A818E1" w:rsidP="00F766B7">
            <w:pPr>
              <w:spacing w:after="160" w:line="259" w:lineRule="auto"/>
              <w:jc w:val="center"/>
            </w:pPr>
            <w:r w:rsidRPr="00A818E1">
              <w:t>Article 16</w:t>
            </w:r>
          </w:p>
        </w:tc>
        <w:tc>
          <w:tcPr>
            <w:tcW w:w="0" w:type="auto"/>
            <w:hideMark/>
          </w:tcPr>
          <w:p w:rsidR="00A818E1" w:rsidRPr="00A818E1" w:rsidRDefault="00A818E1" w:rsidP="00F766B7">
            <w:pPr>
              <w:spacing w:after="160" w:line="259" w:lineRule="auto"/>
              <w:jc w:val="center"/>
            </w:pPr>
            <w:r w:rsidRPr="00A818E1">
              <w:t>Prévention traitements cruels</w:t>
            </w:r>
          </w:p>
        </w:tc>
        <w:tc>
          <w:tcPr>
            <w:tcW w:w="3212" w:type="dxa"/>
            <w:hideMark/>
          </w:tcPr>
          <w:p w:rsidR="00A818E1" w:rsidRPr="00A818E1" w:rsidRDefault="00A818E1" w:rsidP="00F766B7">
            <w:pPr>
              <w:spacing w:after="160" w:line="259" w:lineRule="auto"/>
              <w:jc w:val="center"/>
            </w:pPr>
            <w:r w:rsidRPr="00A818E1">
              <w:t>Surpopulation et conditions préoccupantes</w:t>
            </w:r>
          </w:p>
        </w:tc>
        <w:tc>
          <w:tcPr>
            <w:tcW w:w="1701" w:type="dxa"/>
            <w:hideMark/>
          </w:tcPr>
          <w:p w:rsidR="00A818E1" w:rsidRPr="00A818E1" w:rsidRDefault="00A818E1" w:rsidP="00F766B7">
            <w:pPr>
              <w:spacing w:after="160" w:line="259" w:lineRule="auto"/>
              <w:jc w:val="center"/>
            </w:pPr>
            <w:r w:rsidRPr="00A818E1">
              <w:t>Partielle</w:t>
            </w:r>
          </w:p>
        </w:tc>
      </w:tr>
    </w:tbl>
    <w:p w:rsidR="00A818E1" w:rsidRDefault="00A818E1" w:rsidP="00A818E1">
      <w:pPr>
        <w:jc w:val="both"/>
      </w:pPr>
    </w:p>
    <w:p w:rsidR="00A818E1" w:rsidRPr="00A818E1" w:rsidRDefault="00A818E1" w:rsidP="00A818E1">
      <w:pPr>
        <w:jc w:val="both"/>
        <w:rPr>
          <w:b/>
          <w:bCs/>
        </w:rPr>
      </w:pPr>
      <w:r w:rsidRPr="00A818E1">
        <w:rPr>
          <w:b/>
          <w:bCs/>
        </w:rPr>
        <w:t>RECOMMANDATIONS PRIORITAIRES (2026–2027)</w:t>
      </w:r>
    </w:p>
    <w:p w:rsidR="00A818E1" w:rsidRPr="00A818E1" w:rsidRDefault="00A818E1" w:rsidP="00A818E1">
      <w:pPr>
        <w:numPr>
          <w:ilvl w:val="0"/>
          <w:numId w:val="8"/>
        </w:numPr>
        <w:jc w:val="both"/>
      </w:pPr>
      <w:r w:rsidRPr="00A818E1">
        <w:t>Introduire une incrimination autonome complète de la torture conforme à l’article 1 de la Convention.</w:t>
      </w:r>
    </w:p>
    <w:p w:rsidR="00A818E1" w:rsidRPr="00A818E1" w:rsidRDefault="00A818E1" w:rsidP="00A818E1">
      <w:pPr>
        <w:numPr>
          <w:ilvl w:val="0"/>
          <w:numId w:val="8"/>
        </w:numPr>
        <w:jc w:val="both"/>
      </w:pPr>
      <w:r w:rsidRPr="00A818E1">
        <w:t>Criminaliser explicitement la tentative, la complicité et la participation.</w:t>
      </w:r>
    </w:p>
    <w:p w:rsidR="00A818E1" w:rsidRPr="00A818E1" w:rsidRDefault="00A818E1" w:rsidP="00A818E1">
      <w:pPr>
        <w:numPr>
          <w:ilvl w:val="0"/>
          <w:numId w:val="8"/>
        </w:numPr>
        <w:jc w:val="both"/>
      </w:pPr>
      <w:r w:rsidRPr="00A818E1">
        <w:t>Mettre en place un mécanisme indépendant d’enquête sur les allégations de torture.</w:t>
      </w:r>
    </w:p>
    <w:p w:rsidR="00A818E1" w:rsidRPr="00A818E1" w:rsidRDefault="00A818E1" w:rsidP="00A818E1">
      <w:pPr>
        <w:numPr>
          <w:ilvl w:val="0"/>
          <w:numId w:val="8"/>
        </w:numPr>
        <w:jc w:val="both"/>
      </w:pPr>
      <w:r w:rsidRPr="00A818E1">
        <w:t>Intégrer explicitement le principe de non-refoulement dans la législation nationale.</w:t>
      </w:r>
    </w:p>
    <w:p w:rsidR="00A818E1" w:rsidRPr="00A818E1" w:rsidRDefault="00A818E1" w:rsidP="00A818E1">
      <w:pPr>
        <w:numPr>
          <w:ilvl w:val="0"/>
          <w:numId w:val="8"/>
        </w:numPr>
        <w:jc w:val="both"/>
      </w:pPr>
      <w:r w:rsidRPr="00A818E1">
        <w:t>Réduire la détention préventive par des alternatives judiciaires.</w:t>
      </w:r>
    </w:p>
    <w:p w:rsidR="00A818E1" w:rsidRPr="00A818E1" w:rsidRDefault="00A818E1" w:rsidP="00A818E1">
      <w:pPr>
        <w:jc w:val="both"/>
      </w:pPr>
    </w:p>
    <w:p w:rsidR="00A818E1" w:rsidRDefault="00A818E1" w:rsidP="00A818E1">
      <w:pPr>
        <w:jc w:val="both"/>
      </w:pPr>
    </w:p>
    <w:p w:rsidR="001B2E82" w:rsidRDefault="001B2E82" w:rsidP="00A818E1">
      <w:pPr>
        <w:jc w:val="both"/>
      </w:pPr>
    </w:p>
    <w:p w:rsidR="00A818E1" w:rsidRPr="00A818E1" w:rsidRDefault="00A818E1" w:rsidP="00A818E1">
      <w:pPr>
        <w:jc w:val="both"/>
        <w:rPr>
          <w:b/>
          <w:bCs/>
        </w:rPr>
      </w:pPr>
      <w:r w:rsidRPr="00A818E1">
        <w:rPr>
          <w:b/>
          <w:bCs/>
        </w:rPr>
        <w:lastRenderedPageBreak/>
        <w:t>4. RESPECT DE L’ARTICLE 3 – PRINCIPE DE NON-REFOULEMENT</w:t>
      </w:r>
    </w:p>
    <w:p w:rsidR="00A818E1" w:rsidRPr="00A818E1" w:rsidRDefault="00A818E1" w:rsidP="00A818E1">
      <w:pPr>
        <w:jc w:val="both"/>
        <w:rPr>
          <w:b/>
          <w:bCs/>
        </w:rPr>
      </w:pPr>
      <w:r w:rsidRPr="00A818E1">
        <w:rPr>
          <w:b/>
          <w:bCs/>
        </w:rPr>
        <w:t>4.1 Cadre juridique international</w:t>
      </w:r>
    </w:p>
    <w:p w:rsidR="00A818E1" w:rsidRPr="00A818E1" w:rsidRDefault="00A818E1" w:rsidP="00A818E1">
      <w:pPr>
        <w:jc w:val="both"/>
      </w:pPr>
      <w:r w:rsidRPr="00A818E1">
        <w:t>L’article 3 de la Convention contre la torture interdit formellement à tout État partie :</w:t>
      </w:r>
    </w:p>
    <w:p w:rsidR="00A818E1" w:rsidRPr="00A818E1" w:rsidRDefault="001B2E82" w:rsidP="00A818E1">
      <w:pPr>
        <w:jc w:val="both"/>
      </w:pPr>
      <w:r w:rsidRPr="00A818E1">
        <w:t>D’expulser</w:t>
      </w:r>
      <w:r w:rsidR="00A818E1" w:rsidRPr="00A818E1">
        <w:t>, refouler ou extrader une personne vers un État où il y a des motifs sérieux de croire qu’elle risque d’être soumise à la torture.</w:t>
      </w:r>
    </w:p>
    <w:p w:rsidR="00A818E1" w:rsidRPr="00A818E1" w:rsidRDefault="00A818E1" w:rsidP="00A818E1">
      <w:pPr>
        <w:jc w:val="both"/>
      </w:pPr>
      <w:r w:rsidRPr="00A818E1">
        <w:t>Cette obligation est absolue et ne souffre d’aucune dérogation, même en cas de menace sécuritaire.</w:t>
      </w:r>
    </w:p>
    <w:p w:rsidR="00A818E1" w:rsidRPr="00A818E1" w:rsidRDefault="00A818E1" w:rsidP="00A818E1">
      <w:pPr>
        <w:jc w:val="both"/>
      </w:pPr>
      <w:r w:rsidRPr="00A818E1">
        <w:t>Elle est également consolidée par :</w:t>
      </w:r>
    </w:p>
    <w:p w:rsidR="00A818E1" w:rsidRPr="00A818E1" w:rsidRDefault="00A818E1" w:rsidP="00A818E1">
      <w:pPr>
        <w:numPr>
          <w:ilvl w:val="0"/>
          <w:numId w:val="9"/>
        </w:numPr>
        <w:jc w:val="both"/>
      </w:pPr>
      <w:r w:rsidRPr="00A818E1">
        <w:t>Le droit international des réfugiés ;</w:t>
      </w:r>
    </w:p>
    <w:p w:rsidR="00A818E1" w:rsidRPr="00A818E1" w:rsidRDefault="00A818E1" w:rsidP="00A818E1">
      <w:pPr>
        <w:numPr>
          <w:ilvl w:val="0"/>
          <w:numId w:val="9"/>
        </w:numPr>
        <w:jc w:val="both"/>
      </w:pPr>
      <w:r w:rsidRPr="00A818E1">
        <w:t>Le Pacte international relatif aux droits civils et politiques ;</w:t>
      </w:r>
    </w:p>
    <w:p w:rsidR="001B2E82" w:rsidRDefault="00A818E1" w:rsidP="001B2E82">
      <w:pPr>
        <w:numPr>
          <w:ilvl w:val="0"/>
          <w:numId w:val="9"/>
        </w:numPr>
        <w:jc w:val="both"/>
      </w:pPr>
      <w:r w:rsidRPr="00A818E1">
        <w:t>La jurisprudence consta</w:t>
      </w:r>
      <w:r w:rsidR="001B2E82">
        <w:t>nte du Comité contre la torture ;</w:t>
      </w:r>
    </w:p>
    <w:p w:rsidR="001B2E82" w:rsidRPr="001B2E82" w:rsidRDefault="001B2E82" w:rsidP="001B2E82">
      <w:pPr>
        <w:jc w:val="both"/>
        <w:rPr>
          <w:b/>
          <w:bCs/>
        </w:rPr>
      </w:pPr>
      <w:r w:rsidRPr="001B2E82">
        <w:rPr>
          <w:b/>
          <w:bCs/>
        </w:rPr>
        <w:t>4.2 Situation juridique au Gabon</w:t>
      </w:r>
    </w:p>
    <w:p w:rsidR="001B2E82" w:rsidRPr="001B2E82" w:rsidRDefault="001B2E82" w:rsidP="001B2E82">
      <w:pPr>
        <w:jc w:val="both"/>
      </w:pPr>
      <w:r w:rsidRPr="001B2E82">
        <w:t>À ce jour, le principe de non-refoulement n’est pas explicitement intégré dans la législation interne gabonaise sous une forme conforme à l’article 3 de la Convention.</w:t>
      </w:r>
    </w:p>
    <w:p w:rsidR="001B2E82" w:rsidRPr="001B2E82" w:rsidRDefault="001B2E82" w:rsidP="001B2E82">
      <w:pPr>
        <w:jc w:val="both"/>
      </w:pPr>
      <w:r w:rsidRPr="001B2E82">
        <w:t>Bien que le Gabon soit partie à plusieurs instruments internationaux pertinents, l’absence d’incorporation claire en droit interne :</w:t>
      </w:r>
    </w:p>
    <w:p w:rsidR="001B2E82" w:rsidRPr="001B2E82" w:rsidRDefault="001B2E82" w:rsidP="001B2E82">
      <w:pPr>
        <w:numPr>
          <w:ilvl w:val="0"/>
          <w:numId w:val="10"/>
        </w:numPr>
        <w:jc w:val="both"/>
      </w:pPr>
      <w:r w:rsidRPr="001B2E82">
        <w:t>Ne garantit pas l’évaluation individualisée du risque ;</w:t>
      </w:r>
    </w:p>
    <w:p w:rsidR="001B2E82" w:rsidRPr="001B2E82" w:rsidRDefault="001B2E82" w:rsidP="001B2E82">
      <w:pPr>
        <w:numPr>
          <w:ilvl w:val="0"/>
          <w:numId w:val="10"/>
        </w:numPr>
        <w:jc w:val="both"/>
      </w:pPr>
      <w:r w:rsidRPr="001B2E82">
        <w:t>N’assure pas l’existence d’un recours suspensif effectif ;</w:t>
      </w:r>
    </w:p>
    <w:p w:rsidR="001B2E82" w:rsidRPr="001B2E82" w:rsidRDefault="001B2E82" w:rsidP="001B2E82">
      <w:pPr>
        <w:numPr>
          <w:ilvl w:val="0"/>
          <w:numId w:val="10"/>
        </w:numPr>
        <w:jc w:val="both"/>
      </w:pPr>
      <w:r w:rsidRPr="001B2E82">
        <w:t>N’impose pas un examen systématique des risques de torture.</w:t>
      </w:r>
    </w:p>
    <w:p w:rsidR="001B2E82" w:rsidRPr="001B2E82" w:rsidRDefault="001B2E82" w:rsidP="001B2E82">
      <w:pPr>
        <w:jc w:val="both"/>
      </w:pPr>
      <w:r w:rsidRPr="001B2E82">
        <w:t>La coalition a documenté le cas d’un ressortissant étranger extradé malgré des allégations crédibles de risque de mauvais traitements. Aucun mécanisme indépendant d’évaluation préalable n’a été activé.</w:t>
      </w:r>
    </w:p>
    <w:p w:rsidR="001B2E82" w:rsidRPr="001B2E82" w:rsidRDefault="001B2E82" w:rsidP="001B2E82">
      <w:pPr>
        <w:jc w:val="both"/>
        <w:rPr>
          <w:b/>
          <w:bCs/>
        </w:rPr>
      </w:pPr>
      <w:r w:rsidRPr="001B2E82">
        <w:rPr>
          <w:b/>
          <w:bCs/>
        </w:rPr>
        <w:t>4.3 Enjeux systémiques</w:t>
      </w:r>
    </w:p>
    <w:p w:rsidR="001B2E82" w:rsidRPr="001B2E82" w:rsidRDefault="001B2E82" w:rsidP="001B2E82">
      <w:pPr>
        <w:jc w:val="both"/>
      </w:pPr>
      <w:r w:rsidRPr="001B2E82">
        <w:t>L’absence de procédure codifiée crée un risque :</w:t>
      </w:r>
    </w:p>
    <w:p w:rsidR="001B2E82" w:rsidRPr="001B2E82" w:rsidRDefault="001B2E82" w:rsidP="001B2E82">
      <w:pPr>
        <w:numPr>
          <w:ilvl w:val="0"/>
          <w:numId w:val="11"/>
        </w:numPr>
        <w:jc w:val="both"/>
      </w:pPr>
      <w:r w:rsidRPr="001B2E82">
        <w:t>D’extraditions administratives rapides ;</w:t>
      </w:r>
    </w:p>
    <w:p w:rsidR="001B2E82" w:rsidRPr="001B2E82" w:rsidRDefault="001B2E82" w:rsidP="001B2E82">
      <w:pPr>
        <w:numPr>
          <w:ilvl w:val="0"/>
          <w:numId w:val="11"/>
        </w:numPr>
        <w:jc w:val="both"/>
      </w:pPr>
      <w:r w:rsidRPr="001B2E82">
        <w:t>De décisions motivées par des considérations diplomatiques ;</w:t>
      </w:r>
    </w:p>
    <w:p w:rsidR="001B2E82" w:rsidRPr="001B2E82" w:rsidRDefault="001B2E82" w:rsidP="001B2E82">
      <w:pPr>
        <w:numPr>
          <w:ilvl w:val="0"/>
          <w:numId w:val="11"/>
        </w:numPr>
        <w:jc w:val="both"/>
      </w:pPr>
      <w:r w:rsidRPr="001B2E82">
        <w:t>D’insuffisance de formation des autorités administratives.</w:t>
      </w:r>
    </w:p>
    <w:p w:rsidR="001B2E82" w:rsidRPr="001B2E82" w:rsidRDefault="001B2E82" w:rsidP="001B2E82">
      <w:pPr>
        <w:jc w:val="both"/>
      </w:pPr>
      <w:r w:rsidRPr="001B2E82">
        <w:t>Dans un contexte régional marqué par des tensions politiques et sécuritaires, la formalisation juridique du principe constitue une garantie essentielle.</w:t>
      </w:r>
    </w:p>
    <w:p w:rsidR="001B2E82" w:rsidRPr="001B2E82" w:rsidRDefault="001B2E82" w:rsidP="001B2E82">
      <w:pPr>
        <w:jc w:val="both"/>
        <w:rPr>
          <w:b/>
          <w:bCs/>
        </w:rPr>
      </w:pPr>
      <w:r w:rsidRPr="001B2E82">
        <w:rPr>
          <w:b/>
          <w:bCs/>
        </w:rPr>
        <w:t>4.4 Recommandations</w:t>
      </w:r>
    </w:p>
    <w:p w:rsidR="001B2E82" w:rsidRPr="001B2E82" w:rsidRDefault="001B2E82" w:rsidP="001B2E82">
      <w:pPr>
        <w:jc w:val="both"/>
      </w:pPr>
      <w:r w:rsidRPr="001B2E82">
        <w:t>D’ici 2027 :</w:t>
      </w:r>
    </w:p>
    <w:p w:rsidR="001B2E82" w:rsidRPr="001B2E82" w:rsidRDefault="001B2E82" w:rsidP="001B2E82">
      <w:pPr>
        <w:numPr>
          <w:ilvl w:val="0"/>
          <w:numId w:val="12"/>
        </w:numPr>
        <w:jc w:val="both"/>
      </w:pPr>
      <w:r w:rsidRPr="001B2E82">
        <w:t>Inscrire explicitement le principe de non-refoulement dans la législation nationale.</w:t>
      </w:r>
    </w:p>
    <w:p w:rsidR="001B2E82" w:rsidRPr="001B2E82" w:rsidRDefault="001B2E82" w:rsidP="001B2E82">
      <w:pPr>
        <w:numPr>
          <w:ilvl w:val="0"/>
          <w:numId w:val="12"/>
        </w:numPr>
        <w:jc w:val="both"/>
      </w:pPr>
      <w:r w:rsidRPr="001B2E82">
        <w:t>Instituer une procédure d’évaluation individuelle obligatoire.</w:t>
      </w:r>
    </w:p>
    <w:p w:rsidR="001B2E82" w:rsidRPr="001B2E82" w:rsidRDefault="001B2E82" w:rsidP="001B2E82">
      <w:pPr>
        <w:numPr>
          <w:ilvl w:val="0"/>
          <w:numId w:val="12"/>
        </w:numPr>
        <w:jc w:val="both"/>
      </w:pPr>
      <w:r w:rsidRPr="001B2E82">
        <w:t>Garantir un recours suspensif automatique.</w:t>
      </w:r>
    </w:p>
    <w:p w:rsidR="001B2E82" w:rsidRDefault="001B2E82" w:rsidP="001B2E82">
      <w:pPr>
        <w:numPr>
          <w:ilvl w:val="0"/>
          <w:numId w:val="12"/>
        </w:numPr>
        <w:jc w:val="both"/>
      </w:pPr>
      <w:r w:rsidRPr="001B2E82">
        <w:lastRenderedPageBreak/>
        <w:t>Former magistrats, forces de sécurité et services d’immigration.</w:t>
      </w:r>
    </w:p>
    <w:p w:rsidR="001B2E82" w:rsidRDefault="001B2E82" w:rsidP="001B2E82">
      <w:pPr>
        <w:ind w:left="360"/>
        <w:jc w:val="both"/>
      </w:pPr>
    </w:p>
    <w:p w:rsidR="001B2E82" w:rsidRPr="001B2E82" w:rsidRDefault="001B2E82" w:rsidP="001B2E82">
      <w:pPr>
        <w:jc w:val="both"/>
        <w:rPr>
          <w:b/>
          <w:bCs/>
        </w:rPr>
      </w:pPr>
      <w:r w:rsidRPr="001B2E82">
        <w:rPr>
          <w:b/>
          <w:bCs/>
        </w:rPr>
        <w:t>5. JUSTICE DES MINEURS (ARTICLES 11 ET 16)</w:t>
      </w:r>
    </w:p>
    <w:p w:rsidR="001B2E82" w:rsidRPr="001B2E82" w:rsidRDefault="001B2E82" w:rsidP="001B2E82">
      <w:pPr>
        <w:jc w:val="both"/>
        <w:rPr>
          <w:b/>
          <w:bCs/>
        </w:rPr>
      </w:pPr>
      <w:r w:rsidRPr="001B2E82">
        <w:rPr>
          <w:b/>
          <w:bCs/>
        </w:rPr>
        <w:t>5.1 Cadre normatif international</w:t>
      </w:r>
    </w:p>
    <w:p w:rsidR="001B2E82" w:rsidRPr="001B2E82" w:rsidRDefault="001B2E82" w:rsidP="001B2E82">
      <w:pPr>
        <w:jc w:val="both"/>
      </w:pPr>
      <w:r w:rsidRPr="001B2E82">
        <w:t>La protection des enfants en conflit avec la loi est encadrée par :</w:t>
      </w:r>
    </w:p>
    <w:p w:rsidR="001B2E82" w:rsidRPr="001B2E82" w:rsidRDefault="001B2E82" w:rsidP="001B2E82">
      <w:pPr>
        <w:numPr>
          <w:ilvl w:val="0"/>
          <w:numId w:val="13"/>
        </w:numPr>
        <w:jc w:val="both"/>
      </w:pPr>
      <w:r w:rsidRPr="001B2E82">
        <w:t>La Convention relative aux droits de l'enfant ;</w:t>
      </w:r>
    </w:p>
    <w:p w:rsidR="001B2E82" w:rsidRPr="001B2E82" w:rsidRDefault="001B2E82" w:rsidP="001B2E82">
      <w:pPr>
        <w:numPr>
          <w:ilvl w:val="0"/>
          <w:numId w:val="13"/>
        </w:numPr>
        <w:jc w:val="both"/>
      </w:pPr>
      <w:r w:rsidRPr="001B2E82">
        <w:t>Les Règles de Beijing (Règles minima des Nations Unies concernant l'administration de la justice pour mineurs) ;</w:t>
      </w:r>
    </w:p>
    <w:p w:rsidR="001B2E82" w:rsidRPr="001B2E82" w:rsidRDefault="001B2E82" w:rsidP="001B2E82">
      <w:pPr>
        <w:numPr>
          <w:ilvl w:val="0"/>
          <w:numId w:val="13"/>
        </w:numPr>
        <w:jc w:val="both"/>
      </w:pPr>
      <w:r w:rsidRPr="001B2E82">
        <w:t>Les Règles de La Havane relatives à la protection des mineurs privés de liberté.</w:t>
      </w:r>
    </w:p>
    <w:p w:rsidR="001B2E82" w:rsidRPr="001B2E82" w:rsidRDefault="001B2E82" w:rsidP="001B2E82">
      <w:pPr>
        <w:jc w:val="both"/>
      </w:pPr>
      <w:r w:rsidRPr="001B2E82">
        <w:t>Ces instruments consacrent :</w:t>
      </w:r>
    </w:p>
    <w:p w:rsidR="001B2E82" w:rsidRPr="001B2E82" w:rsidRDefault="001B2E82" w:rsidP="001B2E82">
      <w:pPr>
        <w:numPr>
          <w:ilvl w:val="0"/>
          <w:numId w:val="14"/>
        </w:numPr>
        <w:jc w:val="both"/>
      </w:pPr>
      <w:r w:rsidRPr="001B2E82">
        <w:t>La primauté de l’intérêt supérieur de l’enfant ;</w:t>
      </w:r>
    </w:p>
    <w:p w:rsidR="001B2E82" w:rsidRPr="001B2E82" w:rsidRDefault="001B2E82" w:rsidP="001B2E82">
      <w:pPr>
        <w:numPr>
          <w:ilvl w:val="0"/>
          <w:numId w:val="14"/>
        </w:numPr>
        <w:jc w:val="both"/>
      </w:pPr>
      <w:r w:rsidRPr="001B2E82">
        <w:t>La détention comme mesure de dernier ressort ;</w:t>
      </w:r>
    </w:p>
    <w:p w:rsidR="001B2E82" w:rsidRPr="001B2E82" w:rsidRDefault="001B2E82" w:rsidP="001B2E82">
      <w:pPr>
        <w:numPr>
          <w:ilvl w:val="0"/>
          <w:numId w:val="14"/>
        </w:numPr>
        <w:jc w:val="both"/>
      </w:pPr>
      <w:r w:rsidRPr="001B2E82">
        <w:t>La séparation stricte mineurs/adultes ;</w:t>
      </w:r>
    </w:p>
    <w:p w:rsidR="001B2E82" w:rsidRPr="001B2E82" w:rsidRDefault="001B2E82" w:rsidP="001B2E82">
      <w:pPr>
        <w:numPr>
          <w:ilvl w:val="0"/>
          <w:numId w:val="14"/>
        </w:numPr>
        <w:jc w:val="both"/>
      </w:pPr>
      <w:r w:rsidRPr="001B2E82">
        <w:t>L’accompagnement psychosocial obligatoire.</w:t>
      </w:r>
    </w:p>
    <w:p w:rsidR="001B2E82" w:rsidRPr="001B2E82" w:rsidRDefault="001B2E82" w:rsidP="00F766B7">
      <w:pPr>
        <w:jc w:val="both"/>
        <w:rPr>
          <w:b/>
          <w:bCs/>
        </w:rPr>
      </w:pPr>
      <w:r w:rsidRPr="001B2E82">
        <w:rPr>
          <w:b/>
          <w:bCs/>
        </w:rPr>
        <w:t>5.2 Avancées normatives nationales</w:t>
      </w:r>
    </w:p>
    <w:p w:rsidR="001B2E82" w:rsidRPr="001B2E82" w:rsidRDefault="001B2E82" w:rsidP="001B2E82">
      <w:pPr>
        <w:spacing w:before="100" w:beforeAutospacing="1" w:after="100" w:afterAutospacing="1" w:line="240" w:lineRule="auto"/>
        <w:rPr>
          <w:rFonts w:eastAsia="Times New Roman" w:cstheme="minorHAnsi"/>
          <w:sz w:val="24"/>
          <w:szCs w:val="24"/>
          <w:lang w:eastAsia="fr-FR"/>
        </w:rPr>
      </w:pPr>
      <w:r w:rsidRPr="001B2E82">
        <w:rPr>
          <w:rFonts w:eastAsia="Times New Roman" w:cstheme="minorHAnsi"/>
          <w:sz w:val="24"/>
          <w:szCs w:val="24"/>
          <w:lang w:eastAsia="fr-FR"/>
        </w:rPr>
        <w:t>L’adoption en 2019 du Code de l’Enfant constitue une avancée significative :</w:t>
      </w:r>
    </w:p>
    <w:p w:rsidR="001B2E82" w:rsidRPr="001B2E82" w:rsidRDefault="001B2E82" w:rsidP="001B2E82">
      <w:pPr>
        <w:numPr>
          <w:ilvl w:val="0"/>
          <w:numId w:val="15"/>
        </w:numPr>
        <w:spacing w:before="100" w:beforeAutospacing="1" w:after="100" w:afterAutospacing="1" w:line="240" w:lineRule="auto"/>
        <w:rPr>
          <w:rFonts w:eastAsia="Times New Roman" w:cstheme="minorHAnsi"/>
          <w:sz w:val="24"/>
          <w:szCs w:val="24"/>
          <w:lang w:eastAsia="fr-FR"/>
        </w:rPr>
      </w:pPr>
      <w:r w:rsidRPr="001B2E82">
        <w:rPr>
          <w:rFonts w:eastAsia="Times New Roman" w:cstheme="minorHAnsi"/>
          <w:sz w:val="24"/>
          <w:szCs w:val="24"/>
          <w:lang w:eastAsia="fr-FR"/>
        </w:rPr>
        <w:t>Séparation des juridictions mineurs/adultes ;</w:t>
      </w:r>
    </w:p>
    <w:p w:rsidR="001B2E82" w:rsidRPr="001B2E82" w:rsidRDefault="001B2E82" w:rsidP="001B2E82">
      <w:pPr>
        <w:numPr>
          <w:ilvl w:val="0"/>
          <w:numId w:val="15"/>
        </w:numPr>
        <w:spacing w:before="100" w:beforeAutospacing="1" w:after="100" w:afterAutospacing="1" w:line="240" w:lineRule="auto"/>
        <w:rPr>
          <w:rFonts w:eastAsia="Times New Roman" w:cstheme="minorHAnsi"/>
          <w:sz w:val="24"/>
          <w:szCs w:val="24"/>
          <w:lang w:eastAsia="fr-FR"/>
        </w:rPr>
      </w:pPr>
      <w:r w:rsidRPr="001B2E82">
        <w:rPr>
          <w:rFonts w:eastAsia="Times New Roman" w:cstheme="minorHAnsi"/>
          <w:sz w:val="24"/>
          <w:szCs w:val="24"/>
          <w:lang w:eastAsia="fr-FR"/>
        </w:rPr>
        <w:t>Spécialisation des magistrats ;</w:t>
      </w:r>
    </w:p>
    <w:p w:rsidR="001B2E82" w:rsidRPr="001B2E82" w:rsidRDefault="001B2E82" w:rsidP="001B2E82">
      <w:pPr>
        <w:numPr>
          <w:ilvl w:val="0"/>
          <w:numId w:val="15"/>
        </w:numPr>
        <w:spacing w:before="100" w:beforeAutospacing="1" w:after="100" w:afterAutospacing="1" w:line="240" w:lineRule="auto"/>
        <w:rPr>
          <w:rFonts w:eastAsia="Times New Roman" w:cstheme="minorHAnsi"/>
          <w:sz w:val="24"/>
          <w:szCs w:val="24"/>
          <w:lang w:eastAsia="fr-FR"/>
        </w:rPr>
      </w:pPr>
      <w:r w:rsidRPr="001B2E82">
        <w:rPr>
          <w:rFonts w:eastAsia="Times New Roman" w:cstheme="minorHAnsi"/>
          <w:sz w:val="24"/>
          <w:szCs w:val="24"/>
          <w:lang w:eastAsia="fr-FR"/>
        </w:rPr>
        <w:t>Mesures alternatives à l’emprisonnement (article 174) ;</w:t>
      </w:r>
    </w:p>
    <w:p w:rsidR="001B2E82" w:rsidRPr="001B2E82" w:rsidRDefault="001B2E82" w:rsidP="001B2E82">
      <w:pPr>
        <w:numPr>
          <w:ilvl w:val="0"/>
          <w:numId w:val="15"/>
        </w:numPr>
        <w:spacing w:before="100" w:beforeAutospacing="1" w:after="100" w:afterAutospacing="1" w:line="240" w:lineRule="auto"/>
        <w:rPr>
          <w:rFonts w:eastAsia="Times New Roman" w:cstheme="minorHAnsi"/>
          <w:sz w:val="24"/>
          <w:szCs w:val="24"/>
          <w:lang w:eastAsia="fr-FR"/>
        </w:rPr>
      </w:pPr>
      <w:r w:rsidRPr="001B2E82">
        <w:rPr>
          <w:rFonts w:eastAsia="Times New Roman" w:cstheme="minorHAnsi"/>
          <w:sz w:val="24"/>
          <w:szCs w:val="24"/>
          <w:lang w:eastAsia="fr-FR"/>
        </w:rPr>
        <w:t>Présence obligatoire d’un travailleur social.</w:t>
      </w:r>
    </w:p>
    <w:p w:rsidR="001B2E82" w:rsidRPr="001B2E82" w:rsidRDefault="001B2E82" w:rsidP="001B2E82">
      <w:pPr>
        <w:spacing w:before="100" w:beforeAutospacing="1" w:after="100" w:afterAutospacing="1" w:line="240" w:lineRule="auto"/>
        <w:rPr>
          <w:rFonts w:eastAsia="Times New Roman" w:cstheme="minorHAnsi"/>
          <w:sz w:val="24"/>
          <w:szCs w:val="24"/>
          <w:lang w:eastAsia="fr-FR"/>
        </w:rPr>
      </w:pPr>
      <w:r w:rsidRPr="001B2E82">
        <w:rPr>
          <w:rFonts w:eastAsia="Times New Roman" w:cstheme="minorHAnsi"/>
          <w:sz w:val="24"/>
          <w:szCs w:val="24"/>
          <w:lang w:eastAsia="fr-FR"/>
        </w:rPr>
        <w:t>Cette réforme aligne partiellement le Gabon sur les standards internationaux.</w:t>
      </w:r>
    </w:p>
    <w:p w:rsidR="001B2E82" w:rsidRPr="001B2E82" w:rsidRDefault="001B2E82" w:rsidP="001B2E82">
      <w:pPr>
        <w:jc w:val="both"/>
        <w:rPr>
          <w:b/>
          <w:bCs/>
        </w:rPr>
      </w:pPr>
      <w:r w:rsidRPr="001B2E82">
        <w:rPr>
          <w:b/>
          <w:bCs/>
        </w:rPr>
        <w:t>5.3 Défis persistants</w:t>
      </w:r>
    </w:p>
    <w:p w:rsidR="001B2E82" w:rsidRPr="001B2E82" w:rsidRDefault="001B2E82" w:rsidP="001B2E82">
      <w:pPr>
        <w:jc w:val="both"/>
      </w:pPr>
      <w:r w:rsidRPr="001B2E82">
        <w:t>Cependant, l’application demeure inégale :</w:t>
      </w:r>
    </w:p>
    <w:p w:rsidR="001B2E82" w:rsidRPr="001B2E82" w:rsidRDefault="001B2E82" w:rsidP="001B2E82">
      <w:pPr>
        <w:numPr>
          <w:ilvl w:val="0"/>
          <w:numId w:val="16"/>
        </w:numPr>
        <w:jc w:val="both"/>
      </w:pPr>
      <w:r w:rsidRPr="001B2E82">
        <w:t>Manque de travailleurs sociaux spécialisés ;</w:t>
      </w:r>
    </w:p>
    <w:p w:rsidR="001B2E82" w:rsidRPr="001B2E82" w:rsidRDefault="001B2E82" w:rsidP="001B2E82">
      <w:pPr>
        <w:numPr>
          <w:ilvl w:val="0"/>
          <w:numId w:val="16"/>
        </w:numPr>
        <w:jc w:val="both"/>
      </w:pPr>
      <w:r w:rsidRPr="001B2E82">
        <w:t>Formation insuffisante des officiers de police judiciaire ;</w:t>
      </w:r>
    </w:p>
    <w:p w:rsidR="001B2E82" w:rsidRPr="001B2E82" w:rsidRDefault="001B2E82" w:rsidP="001B2E82">
      <w:pPr>
        <w:numPr>
          <w:ilvl w:val="0"/>
          <w:numId w:val="16"/>
        </w:numPr>
        <w:jc w:val="both"/>
      </w:pPr>
      <w:r w:rsidRPr="001B2E82">
        <w:t>Absence de séparation effective en zone rurale ;</w:t>
      </w:r>
    </w:p>
    <w:p w:rsidR="001B2E82" w:rsidRPr="001B2E82" w:rsidRDefault="001B2E82" w:rsidP="001B2E82">
      <w:pPr>
        <w:numPr>
          <w:ilvl w:val="0"/>
          <w:numId w:val="16"/>
        </w:numPr>
        <w:jc w:val="both"/>
      </w:pPr>
      <w:r w:rsidRPr="001B2E82">
        <w:t>Mineurs encore détenus dans des quartiers pour adultes.</w:t>
      </w:r>
    </w:p>
    <w:p w:rsidR="001B2E82" w:rsidRPr="001B2E82" w:rsidRDefault="001B2E82" w:rsidP="001B2E82">
      <w:pPr>
        <w:jc w:val="both"/>
      </w:pPr>
      <w:r w:rsidRPr="001B2E82">
        <w:t>Ces écarts sont susceptibles de constituer des traitements contraires à l’article 16 de la Convention contre la torture.</w:t>
      </w:r>
    </w:p>
    <w:p w:rsidR="00A818E1" w:rsidRDefault="00A818E1" w:rsidP="00A818E1">
      <w:pPr>
        <w:jc w:val="both"/>
      </w:pPr>
    </w:p>
    <w:p w:rsidR="00F766B7" w:rsidRDefault="00F766B7" w:rsidP="00A818E1">
      <w:pPr>
        <w:jc w:val="both"/>
      </w:pPr>
    </w:p>
    <w:p w:rsidR="001B2E82" w:rsidRDefault="001B2E82" w:rsidP="00A818E1">
      <w:pPr>
        <w:jc w:val="both"/>
      </w:pPr>
    </w:p>
    <w:p w:rsidR="001B2E82" w:rsidRPr="001B2E82" w:rsidRDefault="001B2E82" w:rsidP="001B2E82">
      <w:pPr>
        <w:jc w:val="both"/>
        <w:rPr>
          <w:b/>
          <w:bCs/>
        </w:rPr>
      </w:pPr>
      <w:r w:rsidRPr="001B2E82">
        <w:rPr>
          <w:b/>
          <w:bCs/>
        </w:rPr>
        <w:lastRenderedPageBreak/>
        <w:t>5.4 Recommandations (2026–2028)</w:t>
      </w:r>
    </w:p>
    <w:p w:rsidR="001B2E82" w:rsidRPr="001B2E82" w:rsidRDefault="001B2E82" w:rsidP="001B2E82">
      <w:pPr>
        <w:numPr>
          <w:ilvl w:val="0"/>
          <w:numId w:val="17"/>
        </w:numPr>
        <w:jc w:val="both"/>
      </w:pPr>
      <w:r w:rsidRPr="001B2E82">
        <w:t>Plan national de formation obligatoire pour tous les acteurs judiciaires.</w:t>
      </w:r>
    </w:p>
    <w:p w:rsidR="001B2E82" w:rsidRPr="001B2E82" w:rsidRDefault="001B2E82" w:rsidP="001B2E82">
      <w:pPr>
        <w:numPr>
          <w:ilvl w:val="0"/>
          <w:numId w:val="17"/>
        </w:numPr>
        <w:jc w:val="both"/>
      </w:pPr>
      <w:r w:rsidRPr="001B2E82">
        <w:t>Recrutement progressif d’éducateurs spécialisés.</w:t>
      </w:r>
    </w:p>
    <w:p w:rsidR="001B2E82" w:rsidRPr="001B2E82" w:rsidRDefault="001B2E82" w:rsidP="001B2E82">
      <w:pPr>
        <w:numPr>
          <w:ilvl w:val="0"/>
          <w:numId w:val="17"/>
        </w:numPr>
        <w:jc w:val="both"/>
      </w:pPr>
      <w:r w:rsidRPr="001B2E82">
        <w:t>Création de centres éducatifs régionaux.</w:t>
      </w:r>
    </w:p>
    <w:p w:rsidR="001B2E82" w:rsidRPr="001B2E82" w:rsidRDefault="001B2E82" w:rsidP="001B2E82">
      <w:pPr>
        <w:numPr>
          <w:ilvl w:val="0"/>
          <w:numId w:val="17"/>
        </w:numPr>
        <w:jc w:val="both"/>
      </w:pPr>
      <w:r w:rsidRPr="001B2E82">
        <w:t>Contrôle indépendant des lieux de détention pour mineurs.</w:t>
      </w:r>
    </w:p>
    <w:p w:rsidR="001B2E82" w:rsidRPr="001B2E82" w:rsidRDefault="001B2E82" w:rsidP="001B2E82">
      <w:pPr>
        <w:jc w:val="both"/>
        <w:rPr>
          <w:b/>
          <w:bCs/>
        </w:rPr>
      </w:pPr>
      <w:r w:rsidRPr="001B2E82">
        <w:rPr>
          <w:b/>
          <w:bCs/>
        </w:rPr>
        <w:t>6. TORTURE, DÉTENTION PRÉVENTIVE ET GARANTIES FONDAMENTALES</w:t>
      </w:r>
    </w:p>
    <w:p w:rsidR="001B2E82" w:rsidRPr="001B2E82" w:rsidRDefault="001B2E82" w:rsidP="001B2E82">
      <w:pPr>
        <w:jc w:val="both"/>
        <w:rPr>
          <w:b/>
          <w:bCs/>
        </w:rPr>
      </w:pPr>
      <w:r w:rsidRPr="001B2E82">
        <w:rPr>
          <w:b/>
          <w:bCs/>
        </w:rPr>
        <w:t>6.1 Détention préventive</w:t>
      </w:r>
    </w:p>
    <w:p w:rsidR="001B2E82" w:rsidRPr="001B2E82" w:rsidRDefault="001B2E82" w:rsidP="001B2E82">
      <w:pPr>
        <w:jc w:val="both"/>
      </w:pPr>
      <w:r w:rsidRPr="001B2E82">
        <w:t>Le Code de procédure pénale prévoit une garde à vue de 48 heures.</w:t>
      </w:r>
      <w:r w:rsidRPr="001B2E82">
        <w:br/>
        <w:t>Cependant, la coalition observe :</w:t>
      </w:r>
    </w:p>
    <w:p w:rsidR="001B2E82" w:rsidRPr="001B2E82" w:rsidRDefault="001B2E82" w:rsidP="001B2E82">
      <w:pPr>
        <w:numPr>
          <w:ilvl w:val="0"/>
          <w:numId w:val="18"/>
        </w:numPr>
        <w:jc w:val="both"/>
      </w:pPr>
      <w:r w:rsidRPr="001B2E82">
        <w:t>Des prolongations informelles ;</w:t>
      </w:r>
    </w:p>
    <w:p w:rsidR="001B2E82" w:rsidRPr="001B2E82" w:rsidRDefault="001B2E82" w:rsidP="001B2E82">
      <w:pPr>
        <w:numPr>
          <w:ilvl w:val="0"/>
          <w:numId w:val="18"/>
        </w:numPr>
        <w:jc w:val="both"/>
      </w:pPr>
      <w:r w:rsidRPr="001B2E82">
        <w:t>Des retards de présentation au magistrat ;</w:t>
      </w:r>
    </w:p>
    <w:p w:rsidR="001B2E82" w:rsidRPr="001B2E82" w:rsidRDefault="001B2E82" w:rsidP="001B2E82">
      <w:pPr>
        <w:numPr>
          <w:ilvl w:val="0"/>
          <w:numId w:val="18"/>
        </w:numPr>
        <w:jc w:val="both"/>
      </w:pPr>
      <w:r w:rsidRPr="001B2E82">
        <w:t>Une utilisation extensive de la détention préventive.</w:t>
      </w:r>
    </w:p>
    <w:p w:rsidR="001B2E82" w:rsidRPr="001B2E82" w:rsidRDefault="001B2E82" w:rsidP="001B2E82">
      <w:pPr>
        <w:jc w:val="both"/>
      </w:pPr>
      <w:r w:rsidRPr="001B2E82">
        <w:t>La détention préventive excessive favorise :</w:t>
      </w:r>
    </w:p>
    <w:p w:rsidR="001B2E82" w:rsidRPr="001B2E82" w:rsidRDefault="001B2E82" w:rsidP="001B2E82">
      <w:pPr>
        <w:numPr>
          <w:ilvl w:val="0"/>
          <w:numId w:val="19"/>
        </w:numPr>
        <w:jc w:val="both"/>
      </w:pPr>
      <w:r w:rsidRPr="001B2E82">
        <w:t>Surpopulation carcérale ;</w:t>
      </w:r>
    </w:p>
    <w:p w:rsidR="001B2E82" w:rsidRPr="001B2E82" w:rsidRDefault="001B2E82" w:rsidP="001B2E82">
      <w:pPr>
        <w:numPr>
          <w:ilvl w:val="0"/>
          <w:numId w:val="19"/>
        </w:numPr>
        <w:jc w:val="both"/>
      </w:pPr>
      <w:r w:rsidRPr="001B2E82">
        <w:t>Pressions pour obtention d’aveux ;</w:t>
      </w:r>
    </w:p>
    <w:p w:rsidR="001B2E82" w:rsidRDefault="001B2E82" w:rsidP="00A818E1">
      <w:pPr>
        <w:numPr>
          <w:ilvl w:val="0"/>
          <w:numId w:val="19"/>
        </w:numPr>
        <w:jc w:val="both"/>
      </w:pPr>
      <w:r w:rsidRPr="001B2E82">
        <w:t>Vulnérabilité accrue aux mauvais traitements.</w:t>
      </w:r>
    </w:p>
    <w:p w:rsidR="001B2E82" w:rsidRPr="001B2E82" w:rsidRDefault="001B2E82" w:rsidP="001B2E82">
      <w:pPr>
        <w:jc w:val="both"/>
        <w:rPr>
          <w:b/>
          <w:bCs/>
        </w:rPr>
      </w:pPr>
      <w:r w:rsidRPr="001B2E82">
        <w:rPr>
          <w:b/>
          <w:bCs/>
        </w:rPr>
        <w:t>6.2 Garanties fondamentales</w:t>
      </w:r>
    </w:p>
    <w:p w:rsidR="001B2E82" w:rsidRPr="001B2E82" w:rsidRDefault="001B2E82" w:rsidP="001B2E82">
      <w:pPr>
        <w:pStyle w:val="NormalWeb"/>
        <w:rPr>
          <w:rFonts w:asciiTheme="minorHAnsi" w:eastAsiaTheme="minorHAnsi" w:hAnsiTheme="minorHAnsi" w:cstheme="minorBidi"/>
          <w:sz w:val="22"/>
          <w:szCs w:val="22"/>
          <w:lang w:eastAsia="en-US"/>
        </w:rPr>
      </w:pPr>
      <w:r w:rsidRPr="001B2E82">
        <w:rPr>
          <w:rFonts w:asciiTheme="minorHAnsi" w:eastAsiaTheme="minorHAnsi" w:hAnsiTheme="minorHAnsi" w:cstheme="minorBidi"/>
          <w:sz w:val="22"/>
          <w:szCs w:val="22"/>
          <w:lang w:eastAsia="en-US"/>
        </w:rPr>
        <w:t>Les articles 53 et 54 du Code de procédure pénale garantissent :</w:t>
      </w:r>
    </w:p>
    <w:p w:rsidR="001B2E82" w:rsidRPr="00F766B7" w:rsidRDefault="001B2E82" w:rsidP="001B2E82">
      <w:pPr>
        <w:pStyle w:val="NormalWeb"/>
        <w:numPr>
          <w:ilvl w:val="0"/>
          <w:numId w:val="20"/>
        </w:numPr>
        <w:rPr>
          <w:rFonts w:asciiTheme="minorHAnsi" w:hAnsiTheme="minorHAnsi" w:cstheme="minorHAnsi"/>
        </w:rPr>
      </w:pPr>
      <w:r w:rsidRPr="00F766B7">
        <w:rPr>
          <w:rFonts w:asciiTheme="minorHAnsi" w:hAnsiTheme="minorHAnsi" w:cstheme="minorHAnsi"/>
        </w:rPr>
        <w:t>Droit à un avocat ;</w:t>
      </w:r>
    </w:p>
    <w:p w:rsidR="001B2E82" w:rsidRPr="00F766B7" w:rsidRDefault="001B2E82" w:rsidP="001B2E82">
      <w:pPr>
        <w:pStyle w:val="NormalWeb"/>
        <w:numPr>
          <w:ilvl w:val="0"/>
          <w:numId w:val="20"/>
        </w:numPr>
        <w:rPr>
          <w:rFonts w:asciiTheme="minorHAnsi" w:hAnsiTheme="minorHAnsi" w:cstheme="minorHAnsi"/>
        </w:rPr>
      </w:pPr>
      <w:r w:rsidRPr="00F766B7">
        <w:rPr>
          <w:rFonts w:asciiTheme="minorHAnsi" w:hAnsiTheme="minorHAnsi" w:cstheme="minorHAnsi"/>
        </w:rPr>
        <w:t>Droit à un médecin ;</w:t>
      </w:r>
    </w:p>
    <w:p w:rsidR="001B2E82" w:rsidRPr="00F766B7" w:rsidRDefault="001B2E82" w:rsidP="001B2E82">
      <w:pPr>
        <w:pStyle w:val="NormalWeb"/>
        <w:numPr>
          <w:ilvl w:val="0"/>
          <w:numId w:val="20"/>
        </w:numPr>
        <w:rPr>
          <w:rFonts w:asciiTheme="minorHAnsi" w:hAnsiTheme="minorHAnsi" w:cstheme="minorHAnsi"/>
        </w:rPr>
      </w:pPr>
      <w:r w:rsidRPr="00F766B7">
        <w:rPr>
          <w:rFonts w:asciiTheme="minorHAnsi" w:hAnsiTheme="minorHAnsi" w:cstheme="minorHAnsi"/>
        </w:rPr>
        <w:t>Droit d’informer un proche.</w:t>
      </w:r>
    </w:p>
    <w:p w:rsidR="001B2E82" w:rsidRPr="00F766B7" w:rsidRDefault="001B2E82" w:rsidP="001B2E82">
      <w:pPr>
        <w:pStyle w:val="NormalWeb"/>
        <w:rPr>
          <w:rFonts w:asciiTheme="minorHAnsi" w:hAnsiTheme="minorHAnsi" w:cstheme="minorHAnsi"/>
        </w:rPr>
      </w:pPr>
      <w:r w:rsidRPr="00F766B7">
        <w:rPr>
          <w:rFonts w:asciiTheme="minorHAnsi" w:hAnsiTheme="minorHAnsi" w:cstheme="minorHAnsi"/>
        </w:rPr>
        <w:t>Toutefois, leur application demeure inconstante, notamment en province.</w:t>
      </w:r>
    </w:p>
    <w:p w:rsidR="001B2E82" w:rsidRPr="001B2E82" w:rsidRDefault="001B2E82" w:rsidP="001B2E82">
      <w:pPr>
        <w:jc w:val="both"/>
        <w:rPr>
          <w:b/>
          <w:bCs/>
        </w:rPr>
      </w:pPr>
      <w:r w:rsidRPr="001B2E82">
        <w:rPr>
          <w:b/>
          <w:bCs/>
        </w:rPr>
        <w:t>6.3 Obligation d’enquête</w:t>
      </w:r>
    </w:p>
    <w:p w:rsidR="001B2E82" w:rsidRPr="001B2E82" w:rsidRDefault="001B2E82" w:rsidP="001B2E82">
      <w:pPr>
        <w:jc w:val="both"/>
      </w:pPr>
      <w:r w:rsidRPr="001B2E82">
        <w:t>Conformément aux articles 12 et 13 de la Convention, toute allégation crédible de torture doit donner lieu à une enquête rapide, impartiale et indépendante.</w:t>
      </w:r>
    </w:p>
    <w:p w:rsidR="001B2E82" w:rsidRPr="001B2E82" w:rsidRDefault="001B2E82" w:rsidP="001B2E82">
      <w:pPr>
        <w:jc w:val="both"/>
      </w:pPr>
      <w:r w:rsidRPr="001B2E82">
        <w:t>La coalition observe une faiblesse structurelle en matière de :</w:t>
      </w:r>
    </w:p>
    <w:p w:rsidR="001B2E82" w:rsidRPr="001B2E82" w:rsidRDefault="001B2E82" w:rsidP="001B2E82">
      <w:pPr>
        <w:numPr>
          <w:ilvl w:val="0"/>
          <w:numId w:val="21"/>
        </w:numPr>
        <w:jc w:val="both"/>
      </w:pPr>
      <w:r w:rsidRPr="001B2E82">
        <w:t>Protection des plaignants ;</w:t>
      </w:r>
    </w:p>
    <w:p w:rsidR="001B2E82" w:rsidRPr="001B2E82" w:rsidRDefault="001B2E82" w:rsidP="001B2E82">
      <w:pPr>
        <w:numPr>
          <w:ilvl w:val="0"/>
          <w:numId w:val="21"/>
        </w:numPr>
        <w:jc w:val="both"/>
      </w:pPr>
      <w:r w:rsidRPr="001B2E82">
        <w:t>Indépendance des enquêtes impliquant des forces de sécurité ;</w:t>
      </w:r>
    </w:p>
    <w:p w:rsidR="001B2E82" w:rsidRDefault="001B2E82" w:rsidP="001B2E82">
      <w:pPr>
        <w:numPr>
          <w:ilvl w:val="0"/>
          <w:numId w:val="21"/>
        </w:numPr>
        <w:jc w:val="both"/>
      </w:pPr>
      <w:r w:rsidRPr="001B2E82">
        <w:t>Publication des résultats.</w:t>
      </w:r>
    </w:p>
    <w:p w:rsidR="001B2E82" w:rsidRDefault="001B2E82" w:rsidP="001B2E82">
      <w:pPr>
        <w:jc w:val="both"/>
      </w:pPr>
    </w:p>
    <w:p w:rsidR="00F766B7" w:rsidRPr="001B2E82" w:rsidRDefault="00F766B7" w:rsidP="001B2E82">
      <w:pPr>
        <w:jc w:val="both"/>
      </w:pPr>
    </w:p>
    <w:p w:rsidR="001B2E82" w:rsidRPr="001B2E82" w:rsidRDefault="001B2E82" w:rsidP="001B2E82">
      <w:pPr>
        <w:jc w:val="both"/>
        <w:rPr>
          <w:b/>
          <w:bCs/>
        </w:rPr>
      </w:pPr>
      <w:r w:rsidRPr="001B2E82">
        <w:rPr>
          <w:b/>
          <w:bCs/>
        </w:rPr>
        <w:lastRenderedPageBreak/>
        <w:t>7. TRAITE DES PERSONNES</w:t>
      </w:r>
    </w:p>
    <w:p w:rsidR="001B2E82" w:rsidRPr="001B2E82" w:rsidRDefault="001B2E82" w:rsidP="001B2E82">
      <w:pPr>
        <w:jc w:val="both"/>
        <w:rPr>
          <w:b/>
          <w:bCs/>
        </w:rPr>
      </w:pPr>
      <w:r w:rsidRPr="001B2E82">
        <w:rPr>
          <w:b/>
          <w:bCs/>
        </w:rPr>
        <w:t>7.1 Cadre international</w:t>
      </w:r>
    </w:p>
    <w:p w:rsidR="001B2E82" w:rsidRPr="001B2E82" w:rsidRDefault="001B2E82" w:rsidP="001B2E82">
      <w:pPr>
        <w:jc w:val="both"/>
      </w:pPr>
      <w:r w:rsidRPr="001B2E82">
        <w:t xml:space="preserve">Le Gabon est </w:t>
      </w:r>
      <w:proofErr w:type="gramStart"/>
      <w:r w:rsidRPr="001B2E82">
        <w:t>partie</w:t>
      </w:r>
      <w:proofErr w:type="gramEnd"/>
      <w:r w:rsidRPr="001B2E82">
        <w:t xml:space="preserve"> :</w:t>
      </w:r>
    </w:p>
    <w:p w:rsidR="001B2E82" w:rsidRPr="001B2E82" w:rsidRDefault="001B2E82" w:rsidP="001B2E82">
      <w:pPr>
        <w:numPr>
          <w:ilvl w:val="0"/>
          <w:numId w:val="22"/>
        </w:numPr>
        <w:jc w:val="both"/>
      </w:pPr>
      <w:r w:rsidRPr="001B2E82">
        <w:t>À la Convention des Nations Unies contre la criminalité transnationale organisée ;</w:t>
      </w:r>
    </w:p>
    <w:p w:rsidR="001B2E82" w:rsidRPr="001B2E82" w:rsidRDefault="001B2E82" w:rsidP="001B2E82">
      <w:pPr>
        <w:numPr>
          <w:ilvl w:val="0"/>
          <w:numId w:val="22"/>
        </w:numPr>
        <w:jc w:val="both"/>
      </w:pPr>
      <w:r w:rsidRPr="001B2E82">
        <w:t>Au Protocole additionnel visant à prévenir, réprimer et punir la traite des personnes.</w:t>
      </w:r>
    </w:p>
    <w:p w:rsidR="001B2E82" w:rsidRPr="001B2E82" w:rsidRDefault="001B2E82" w:rsidP="001B2E82">
      <w:pPr>
        <w:jc w:val="both"/>
      </w:pPr>
      <w:r w:rsidRPr="001B2E82">
        <w:t>Selon les données collectées en 2022 par l’Organisation internationale pour les migrations :</w:t>
      </w:r>
    </w:p>
    <w:p w:rsidR="001B2E82" w:rsidRPr="001B2E82" w:rsidRDefault="001B2E82" w:rsidP="001B2E82">
      <w:pPr>
        <w:numPr>
          <w:ilvl w:val="0"/>
          <w:numId w:val="23"/>
        </w:numPr>
        <w:jc w:val="both"/>
      </w:pPr>
      <w:r w:rsidRPr="001B2E82">
        <w:t>42,86 % des cas recensés concernaient des filles ;</w:t>
      </w:r>
    </w:p>
    <w:p w:rsidR="001B2E82" w:rsidRPr="001B2E82" w:rsidRDefault="001B2E82" w:rsidP="001B2E82">
      <w:pPr>
        <w:numPr>
          <w:ilvl w:val="0"/>
          <w:numId w:val="23"/>
        </w:numPr>
        <w:jc w:val="both"/>
      </w:pPr>
      <w:r w:rsidRPr="001B2E82">
        <w:t>35,27 % des garçons ;</w:t>
      </w:r>
    </w:p>
    <w:p w:rsidR="001B2E82" w:rsidRPr="001B2E82" w:rsidRDefault="001B2E82" w:rsidP="001B2E82">
      <w:pPr>
        <w:numPr>
          <w:ilvl w:val="0"/>
          <w:numId w:val="23"/>
        </w:numPr>
        <w:jc w:val="both"/>
      </w:pPr>
      <w:r w:rsidRPr="001B2E82">
        <w:t>21,87 % des adultes.</w:t>
      </w:r>
    </w:p>
    <w:p w:rsidR="001B2E82" w:rsidRDefault="001B2E82" w:rsidP="001B2E82">
      <w:pPr>
        <w:jc w:val="both"/>
      </w:pPr>
      <w:r w:rsidRPr="001B2E82">
        <w:t>Ces chiffres confirment la vulnérabilité persistante des mineurs.</w:t>
      </w:r>
    </w:p>
    <w:p w:rsidR="001B2E82" w:rsidRPr="001B2E82" w:rsidRDefault="001B2E82" w:rsidP="001B2E82">
      <w:pPr>
        <w:jc w:val="both"/>
        <w:rPr>
          <w:b/>
          <w:bCs/>
        </w:rPr>
      </w:pPr>
      <w:r w:rsidRPr="001B2E82">
        <w:rPr>
          <w:b/>
          <w:bCs/>
        </w:rPr>
        <w:t>7.2 Lacunes observées</w:t>
      </w:r>
    </w:p>
    <w:p w:rsidR="001B2E82" w:rsidRPr="001B2E82" w:rsidRDefault="001B2E82" w:rsidP="001B2E82">
      <w:pPr>
        <w:numPr>
          <w:ilvl w:val="0"/>
          <w:numId w:val="24"/>
        </w:numPr>
        <w:jc w:val="both"/>
      </w:pPr>
      <w:r w:rsidRPr="001B2E82">
        <w:t>Protection insuffisante des victimes adultes ;</w:t>
      </w:r>
    </w:p>
    <w:p w:rsidR="001B2E82" w:rsidRPr="001B2E82" w:rsidRDefault="001B2E82" w:rsidP="001B2E82">
      <w:pPr>
        <w:numPr>
          <w:ilvl w:val="0"/>
          <w:numId w:val="24"/>
        </w:numPr>
        <w:jc w:val="both"/>
      </w:pPr>
      <w:r w:rsidRPr="001B2E82">
        <w:t>Manque de base de données centralisée ;</w:t>
      </w:r>
    </w:p>
    <w:p w:rsidR="001B2E82" w:rsidRPr="001B2E82" w:rsidRDefault="001B2E82" w:rsidP="001B2E82">
      <w:pPr>
        <w:numPr>
          <w:ilvl w:val="0"/>
          <w:numId w:val="24"/>
        </w:numPr>
        <w:jc w:val="both"/>
      </w:pPr>
      <w:r w:rsidRPr="001B2E82">
        <w:t>Identification tardive des victimes ;</w:t>
      </w:r>
    </w:p>
    <w:p w:rsidR="001B2E82" w:rsidRPr="001B2E82" w:rsidRDefault="001B2E82" w:rsidP="001B2E82">
      <w:pPr>
        <w:numPr>
          <w:ilvl w:val="0"/>
          <w:numId w:val="24"/>
        </w:numPr>
        <w:jc w:val="both"/>
      </w:pPr>
      <w:r w:rsidRPr="001B2E82">
        <w:t>Ressources limitées des centres d’accueil.</w:t>
      </w:r>
    </w:p>
    <w:p w:rsidR="001B2E82" w:rsidRPr="001B2E82" w:rsidRDefault="001B2E82" w:rsidP="001B2E82">
      <w:pPr>
        <w:jc w:val="both"/>
      </w:pPr>
      <w:r w:rsidRPr="001B2E82">
        <w:t>Le Gabon a été reclassé au niveau 2 (efforts significatifs mais normes minimales non pleinement respectées).</w:t>
      </w:r>
    </w:p>
    <w:p w:rsidR="001B2E82" w:rsidRPr="001B2E82" w:rsidRDefault="001B2E82" w:rsidP="001B2E82">
      <w:pPr>
        <w:jc w:val="both"/>
        <w:rPr>
          <w:b/>
          <w:bCs/>
        </w:rPr>
      </w:pPr>
      <w:r w:rsidRPr="001B2E82">
        <w:rPr>
          <w:b/>
          <w:bCs/>
        </w:rPr>
        <w:t>7.3 Recommandations stratégiques</w:t>
      </w:r>
    </w:p>
    <w:p w:rsidR="001B2E82" w:rsidRPr="001B2E82" w:rsidRDefault="001B2E82" w:rsidP="001B2E82">
      <w:pPr>
        <w:jc w:val="both"/>
      </w:pPr>
      <w:r w:rsidRPr="001B2E82">
        <w:t>D’ici 2028 :</w:t>
      </w:r>
    </w:p>
    <w:p w:rsidR="001B2E82" w:rsidRPr="001B2E82" w:rsidRDefault="001B2E82" w:rsidP="001B2E82">
      <w:pPr>
        <w:numPr>
          <w:ilvl w:val="0"/>
          <w:numId w:val="25"/>
        </w:numPr>
        <w:jc w:val="both"/>
      </w:pPr>
      <w:r w:rsidRPr="001B2E82">
        <w:t>Finaliser la révision de la loi n°09/2004.</w:t>
      </w:r>
    </w:p>
    <w:p w:rsidR="001B2E82" w:rsidRPr="001B2E82" w:rsidRDefault="001B2E82" w:rsidP="001B2E82">
      <w:pPr>
        <w:numPr>
          <w:ilvl w:val="0"/>
          <w:numId w:val="25"/>
        </w:numPr>
        <w:jc w:val="both"/>
      </w:pPr>
      <w:r w:rsidRPr="001B2E82">
        <w:t>Étendre la protection à toutes les formes de traite.</w:t>
      </w:r>
    </w:p>
    <w:p w:rsidR="001B2E82" w:rsidRPr="001B2E82" w:rsidRDefault="001B2E82" w:rsidP="001B2E82">
      <w:pPr>
        <w:numPr>
          <w:ilvl w:val="0"/>
          <w:numId w:val="25"/>
        </w:numPr>
        <w:jc w:val="both"/>
      </w:pPr>
      <w:r w:rsidRPr="001B2E82">
        <w:t>Mettre en place un système national de collecte de données.</w:t>
      </w:r>
    </w:p>
    <w:p w:rsidR="001B2E82" w:rsidRPr="001B2E82" w:rsidRDefault="001B2E82" w:rsidP="001B2E82">
      <w:pPr>
        <w:numPr>
          <w:ilvl w:val="0"/>
          <w:numId w:val="25"/>
        </w:numPr>
        <w:jc w:val="both"/>
      </w:pPr>
      <w:r w:rsidRPr="001B2E82">
        <w:t>Renforcer les financements des centres d’accueil.</w:t>
      </w:r>
    </w:p>
    <w:p w:rsidR="001B2E82" w:rsidRDefault="001B2E82" w:rsidP="001B2E82">
      <w:pPr>
        <w:numPr>
          <w:ilvl w:val="0"/>
          <w:numId w:val="25"/>
        </w:numPr>
        <w:jc w:val="both"/>
      </w:pPr>
      <w:r w:rsidRPr="001B2E82">
        <w:t>Former systématiquement les services d’immigration.</w:t>
      </w:r>
    </w:p>
    <w:p w:rsidR="001B2E82" w:rsidRPr="001B2E82" w:rsidRDefault="001B2E82" w:rsidP="001B2E82">
      <w:pPr>
        <w:jc w:val="both"/>
        <w:rPr>
          <w:b/>
          <w:bCs/>
        </w:rPr>
      </w:pPr>
      <w:r w:rsidRPr="001B2E82">
        <w:rPr>
          <w:b/>
          <w:bCs/>
        </w:rPr>
        <w:t>8. CONDITIONS CARCÉRALES (ARTICLE 16)</w:t>
      </w:r>
    </w:p>
    <w:p w:rsidR="001B2E82" w:rsidRPr="001B2E82" w:rsidRDefault="001B2E82" w:rsidP="001B2E82">
      <w:pPr>
        <w:ind w:left="360"/>
        <w:jc w:val="both"/>
        <w:rPr>
          <w:b/>
          <w:bCs/>
        </w:rPr>
      </w:pPr>
      <w:r w:rsidRPr="001B2E82">
        <w:rPr>
          <w:b/>
          <w:bCs/>
        </w:rPr>
        <w:t>8.1 Normes internationales applicables</w:t>
      </w:r>
    </w:p>
    <w:p w:rsidR="001B2E82" w:rsidRPr="001B2E82" w:rsidRDefault="001B2E82" w:rsidP="001B2E82">
      <w:pPr>
        <w:ind w:left="360"/>
        <w:jc w:val="both"/>
      </w:pPr>
      <w:r w:rsidRPr="001B2E82">
        <w:t>Les Règles Mandela établissent les standards minimaux :</w:t>
      </w:r>
    </w:p>
    <w:p w:rsidR="001B2E82" w:rsidRPr="001B2E82" w:rsidRDefault="001B2E82" w:rsidP="001B2E82">
      <w:pPr>
        <w:numPr>
          <w:ilvl w:val="0"/>
          <w:numId w:val="26"/>
        </w:numPr>
        <w:jc w:val="both"/>
      </w:pPr>
      <w:r w:rsidRPr="001B2E82">
        <w:t>Accès à l’eau potable ;</w:t>
      </w:r>
    </w:p>
    <w:p w:rsidR="001B2E82" w:rsidRPr="001B2E82" w:rsidRDefault="001B2E82" w:rsidP="001B2E82">
      <w:pPr>
        <w:numPr>
          <w:ilvl w:val="0"/>
          <w:numId w:val="26"/>
        </w:numPr>
        <w:jc w:val="both"/>
      </w:pPr>
      <w:r w:rsidRPr="001B2E82">
        <w:t>Soins médicaux équivalents à ceux de la population générale ;</w:t>
      </w:r>
    </w:p>
    <w:p w:rsidR="001B2E82" w:rsidRPr="001B2E82" w:rsidRDefault="001B2E82" w:rsidP="001B2E82">
      <w:pPr>
        <w:numPr>
          <w:ilvl w:val="0"/>
          <w:numId w:val="26"/>
        </w:numPr>
        <w:jc w:val="both"/>
      </w:pPr>
      <w:r w:rsidRPr="001B2E82">
        <w:t>Séparation catégorielle ;</w:t>
      </w:r>
    </w:p>
    <w:p w:rsidR="001B2E82" w:rsidRDefault="001B2E82" w:rsidP="00F766B7">
      <w:pPr>
        <w:numPr>
          <w:ilvl w:val="0"/>
          <w:numId w:val="26"/>
        </w:numPr>
        <w:jc w:val="both"/>
      </w:pPr>
      <w:r w:rsidRPr="001B2E82">
        <w:t>Dignité humaine.</w:t>
      </w:r>
    </w:p>
    <w:p w:rsidR="001B2E82" w:rsidRPr="001B2E82" w:rsidRDefault="001B2E82" w:rsidP="001B2E82">
      <w:pPr>
        <w:ind w:left="360"/>
        <w:jc w:val="both"/>
        <w:rPr>
          <w:b/>
          <w:bCs/>
        </w:rPr>
      </w:pPr>
      <w:r w:rsidRPr="001B2E82">
        <w:rPr>
          <w:b/>
          <w:bCs/>
        </w:rPr>
        <w:lastRenderedPageBreak/>
        <w:t>8.2 Situation au Gabon</w:t>
      </w:r>
    </w:p>
    <w:p w:rsidR="001B2E82" w:rsidRPr="001B2E82" w:rsidRDefault="001B2E82" w:rsidP="001B2E82">
      <w:pPr>
        <w:ind w:left="360"/>
        <w:jc w:val="both"/>
      </w:pPr>
      <w:r w:rsidRPr="001B2E82">
        <w:t>Des améliorations sont observées :</w:t>
      </w:r>
    </w:p>
    <w:p w:rsidR="001B2E82" w:rsidRPr="001B2E82" w:rsidRDefault="001B2E82" w:rsidP="001B2E82">
      <w:pPr>
        <w:numPr>
          <w:ilvl w:val="0"/>
          <w:numId w:val="27"/>
        </w:numPr>
        <w:jc w:val="both"/>
      </w:pPr>
      <w:r w:rsidRPr="001B2E82">
        <w:t>Rénovations partielles ;</w:t>
      </w:r>
    </w:p>
    <w:p w:rsidR="001B2E82" w:rsidRPr="001B2E82" w:rsidRDefault="001B2E82" w:rsidP="001B2E82">
      <w:pPr>
        <w:numPr>
          <w:ilvl w:val="0"/>
          <w:numId w:val="27"/>
        </w:numPr>
        <w:jc w:val="both"/>
      </w:pPr>
      <w:r w:rsidRPr="001B2E82">
        <w:t>Construction de châteaux d’eau ;</w:t>
      </w:r>
    </w:p>
    <w:p w:rsidR="001B2E82" w:rsidRPr="001B2E82" w:rsidRDefault="001B2E82" w:rsidP="001B2E82">
      <w:pPr>
        <w:numPr>
          <w:ilvl w:val="0"/>
          <w:numId w:val="27"/>
        </w:numPr>
        <w:jc w:val="both"/>
      </w:pPr>
      <w:r w:rsidRPr="001B2E82">
        <w:t>Efforts de séparation.</w:t>
      </w:r>
    </w:p>
    <w:p w:rsidR="001B2E82" w:rsidRPr="001B2E82" w:rsidRDefault="001B2E82" w:rsidP="001B2E82">
      <w:pPr>
        <w:ind w:left="360"/>
        <w:jc w:val="both"/>
      </w:pPr>
      <w:r w:rsidRPr="001B2E82">
        <w:t>Toutefois :</w:t>
      </w:r>
    </w:p>
    <w:p w:rsidR="001B2E82" w:rsidRPr="001B2E82" w:rsidRDefault="001B2E82" w:rsidP="001B2E82">
      <w:pPr>
        <w:numPr>
          <w:ilvl w:val="0"/>
          <w:numId w:val="28"/>
        </w:numPr>
        <w:jc w:val="both"/>
      </w:pPr>
      <w:r w:rsidRPr="001B2E82">
        <w:t>Surpopulation persistante ;</w:t>
      </w:r>
    </w:p>
    <w:p w:rsidR="001B2E82" w:rsidRPr="001B2E82" w:rsidRDefault="001B2E82" w:rsidP="001B2E82">
      <w:pPr>
        <w:numPr>
          <w:ilvl w:val="0"/>
          <w:numId w:val="28"/>
        </w:numPr>
        <w:jc w:val="both"/>
      </w:pPr>
      <w:r w:rsidRPr="001B2E82">
        <w:t>Insuffisance alimentaire ;</w:t>
      </w:r>
    </w:p>
    <w:p w:rsidR="001B2E82" w:rsidRPr="001B2E82" w:rsidRDefault="001B2E82" w:rsidP="001B2E82">
      <w:pPr>
        <w:numPr>
          <w:ilvl w:val="0"/>
          <w:numId w:val="28"/>
        </w:numPr>
        <w:jc w:val="both"/>
      </w:pPr>
      <w:r w:rsidRPr="001B2E82">
        <w:t>Accès irrégulier aux soins ;</w:t>
      </w:r>
    </w:p>
    <w:p w:rsidR="001B2E82" w:rsidRPr="001B2E82" w:rsidRDefault="001B2E82" w:rsidP="001B2E82">
      <w:pPr>
        <w:numPr>
          <w:ilvl w:val="0"/>
          <w:numId w:val="28"/>
        </w:numPr>
        <w:jc w:val="both"/>
      </w:pPr>
      <w:r w:rsidRPr="001B2E82">
        <w:t>Détentions préventives prolongées.</w:t>
      </w:r>
    </w:p>
    <w:p w:rsidR="001B2E82" w:rsidRPr="001B2E82" w:rsidRDefault="001B2E82" w:rsidP="001B2E82">
      <w:pPr>
        <w:ind w:left="360"/>
        <w:jc w:val="both"/>
      </w:pPr>
      <w:r w:rsidRPr="001B2E82">
        <w:t>Des témoignages publics récents soulignent la gravité de certaines situations, révélant un écart préoccupant entre normes juridiques et réalité pratique.</w:t>
      </w:r>
    </w:p>
    <w:p w:rsidR="001B2E82" w:rsidRPr="001B2E82" w:rsidRDefault="001B2E82" w:rsidP="001B2E82">
      <w:pPr>
        <w:ind w:left="360"/>
        <w:jc w:val="both"/>
        <w:rPr>
          <w:b/>
          <w:bCs/>
        </w:rPr>
      </w:pPr>
      <w:r w:rsidRPr="001B2E82">
        <w:rPr>
          <w:b/>
          <w:bCs/>
        </w:rPr>
        <w:t>8.3 Recommandations prioritaires (2026–2030)</w:t>
      </w:r>
    </w:p>
    <w:p w:rsidR="001B2E82" w:rsidRPr="001B2E82" w:rsidRDefault="001B2E82" w:rsidP="001B2E82">
      <w:pPr>
        <w:numPr>
          <w:ilvl w:val="0"/>
          <w:numId w:val="29"/>
        </w:numPr>
        <w:jc w:val="both"/>
      </w:pPr>
      <w:r w:rsidRPr="001B2E82">
        <w:t>Plan national de désengorgement carcéral.</w:t>
      </w:r>
    </w:p>
    <w:p w:rsidR="001B2E82" w:rsidRPr="001B2E82" w:rsidRDefault="001B2E82" w:rsidP="001B2E82">
      <w:pPr>
        <w:numPr>
          <w:ilvl w:val="0"/>
          <w:numId w:val="29"/>
        </w:numPr>
        <w:jc w:val="both"/>
      </w:pPr>
      <w:r w:rsidRPr="001B2E82">
        <w:t>Alternatives à la détention pour délits mineurs.</w:t>
      </w:r>
    </w:p>
    <w:p w:rsidR="001B2E82" w:rsidRPr="001B2E82" w:rsidRDefault="001B2E82" w:rsidP="001B2E82">
      <w:pPr>
        <w:numPr>
          <w:ilvl w:val="0"/>
          <w:numId w:val="29"/>
        </w:numPr>
        <w:jc w:val="both"/>
      </w:pPr>
      <w:r w:rsidRPr="001B2E82">
        <w:t>Base de données pénitentiaire centralisée.</w:t>
      </w:r>
    </w:p>
    <w:p w:rsidR="001B2E82" w:rsidRPr="001B2E82" w:rsidRDefault="001B2E82" w:rsidP="001B2E82">
      <w:pPr>
        <w:numPr>
          <w:ilvl w:val="0"/>
          <w:numId w:val="29"/>
        </w:numPr>
        <w:jc w:val="both"/>
      </w:pPr>
      <w:r w:rsidRPr="001B2E82">
        <w:t>Augmentation du budget santé pénitentiaire.</w:t>
      </w:r>
    </w:p>
    <w:p w:rsidR="001B2E82" w:rsidRPr="001B2E82" w:rsidRDefault="001B2E82" w:rsidP="001B2E82">
      <w:pPr>
        <w:numPr>
          <w:ilvl w:val="0"/>
          <w:numId w:val="29"/>
        </w:numPr>
        <w:jc w:val="both"/>
      </w:pPr>
      <w:r w:rsidRPr="001B2E82">
        <w:t>Mécanisme indépendant de contrôle des lieux de détention.</w:t>
      </w:r>
    </w:p>
    <w:p w:rsidR="001B2E82" w:rsidRDefault="001B2E82"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Pr="00F766B7" w:rsidRDefault="00F766B7" w:rsidP="00F766B7">
      <w:pPr>
        <w:ind w:left="360"/>
        <w:jc w:val="both"/>
        <w:rPr>
          <w:b/>
          <w:bCs/>
        </w:rPr>
      </w:pPr>
      <w:r w:rsidRPr="00F766B7">
        <w:rPr>
          <w:b/>
          <w:bCs/>
        </w:rPr>
        <w:lastRenderedPageBreak/>
        <w:t>9. RECOMMANDATIONS CONSOLIDÉES ET HIÉRARCHISÉES</w:t>
      </w:r>
    </w:p>
    <w:p w:rsidR="00F766B7" w:rsidRPr="00F766B7" w:rsidRDefault="00F766B7" w:rsidP="00F766B7">
      <w:pPr>
        <w:ind w:left="360"/>
        <w:jc w:val="both"/>
      </w:pPr>
      <w:r w:rsidRPr="00F766B7">
        <w:t>Dans un esprit de coopération constructive, la coalition propose une feuille de route graduée (2026–2030).</w:t>
      </w:r>
    </w:p>
    <w:p w:rsidR="00F766B7" w:rsidRPr="00F766B7" w:rsidRDefault="00F766B7" w:rsidP="00F766B7">
      <w:pPr>
        <w:ind w:left="360"/>
        <w:jc w:val="both"/>
        <w:rPr>
          <w:b/>
          <w:bCs/>
        </w:rPr>
      </w:pPr>
      <w:r w:rsidRPr="00F766B7">
        <w:rPr>
          <w:b/>
          <w:bCs/>
        </w:rPr>
        <w:t>9.1 Priorités immédiates (2026–2027)</w:t>
      </w:r>
    </w:p>
    <w:p w:rsidR="00F766B7" w:rsidRPr="00F766B7" w:rsidRDefault="00F766B7" w:rsidP="00F766B7">
      <w:pPr>
        <w:ind w:left="360"/>
        <w:jc w:val="both"/>
        <w:rPr>
          <w:b/>
          <w:bCs/>
        </w:rPr>
      </w:pPr>
      <w:r w:rsidRPr="00F766B7">
        <w:rPr>
          <w:b/>
          <w:bCs/>
        </w:rPr>
        <w:t>Cadre normatif</w:t>
      </w:r>
    </w:p>
    <w:p w:rsidR="00F766B7" w:rsidRPr="00F766B7" w:rsidRDefault="00F766B7" w:rsidP="00F766B7">
      <w:pPr>
        <w:numPr>
          <w:ilvl w:val="0"/>
          <w:numId w:val="30"/>
        </w:numPr>
        <w:jc w:val="both"/>
      </w:pPr>
      <w:r w:rsidRPr="00F766B7">
        <w:t>Introduire dans le Code pénal une définition autonome et complète de la torture conforme à l’article 1 de la Convention contre la torture.</w:t>
      </w:r>
    </w:p>
    <w:p w:rsidR="00F766B7" w:rsidRPr="00F766B7" w:rsidRDefault="00F766B7" w:rsidP="00F766B7">
      <w:pPr>
        <w:numPr>
          <w:ilvl w:val="0"/>
          <w:numId w:val="30"/>
        </w:numPr>
        <w:jc w:val="both"/>
      </w:pPr>
      <w:r w:rsidRPr="00F766B7">
        <w:t>Criminaliser explicitement la tentative, la complicité et la participation.</w:t>
      </w:r>
    </w:p>
    <w:p w:rsidR="00F766B7" w:rsidRPr="00F766B7" w:rsidRDefault="00F766B7" w:rsidP="00F766B7">
      <w:pPr>
        <w:numPr>
          <w:ilvl w:val="0"/>
          <w:numId w:val="30"/>
        </w:numPr>
        <w:jc w:val="both"/>
      </w:pPr>
      <w:r w:rsidRPr="00F766B7">
        <w:t>Intégrer explicitement le principe de non-refoulement dans la législation nationale.</w:t>
      </w:r>
    </w:p>
    <w:p w:rsidR="00F766B7" w:rsidRPr="00F766B7" w:rsidRDefault="00F766B7" w:rsidP="00F766B7">
      <w:pPr>
        <w:ind w:left="360"/>
        <w:jc w:val="both"/>
        <w:rPr>
          <w:b/>
          <w:bCs/>
        </w:rPr>
      </w:pPr>
      <w:r w:rsidRPr="00F766B7">
        <w:rPr>
          <w:b/>
          <w:bCs/>
        </w:rPr>
        <w:t>Garanties procédurales</w:t>
      </w:r>
    </w:p>
    <w:p w:rsidR="00F766B7" w:rsidRPr="00F766B7" w:rsidRDefault="00F766B7" w:rsidP="00F766B7">
      <w:pPr>
        <w:numPr>
          <w:ilvl w:val="0"/>
          <w:numId w:val="31"/>
        </w:numPr>
        <w:jc w:val="both"/>
      </w:pPr>
      <w:r w:rsidRPr="00F766B7">
        <w:t>Garantir l’accès immédiat à un avocat dès le début de la garde à vue.</w:t>
      </w:r>
    </w:p>
    <w:p w:rsidR="00F766B7" w:rsidRPr="00F766B7" w:rsidRDefault="00F766B7" w:rsidP="00F766B7">
      <w:pPr>
        <w:numPr>
          <w:ilvl w:val="0"/>
          <w:numId w:val="31"/>
        </w:numPr>
        <w:jc w:val="both"/>
      </w:pPr>
      <w:r w:rsidRPr="00F766B7">
        <w:t>Instituer un mécanisme indépendant d’enquête sur les allégations de torture.</w:t>
      </w:r>
    </w:p>
    <w:p w:rsidR="00F766B7" w:rsidRPr="00F766B7" w:rsidRDefault="00F766B7" w:rsidP="00F766B7">
      <w:pPr>
        <w:ind w:left="360"/>
        <w:jc w:val="both"/>
        <w:rPr>
          <w:b/>
          <w:bCs/>
        </w:rPr>
      </w:pPr>
      <w:r w:rsidRPr="00F766B7">
        <w:rPr>
          <w:b/>
          <w:bCs/>
        </w:rPr>
        <w:t>Justice des mineurs</w:t>
      </w:r>
    </w:p>
    <w:p w:rsidR="00F766B7" w:rsidRPr="00F766B7" w:rsidRDefault="00F766B7" w:rsidP="00F766B7">
      <w:pPr>
        <w:numPr>
          <w:ilvl w:val="0"/>
          <w:numId w:val="32"/>
        </w:numPr>
        <w:jc w:val="both"/>
      </w:pPr>
      <w:r w:rsidRPr="00F766B7">
        <w:t>Former l’ensemble des officiers de police judiciaire et magistrats au Code de l’Enfant.</w:t>
      </w:r>
    </w:p>
    <w:p w:rsidR="00F766B7" w:rsidRPr="00F766B7" w:rsidRDefault="00F766B7" w:rsidP="00F766B7">
      <w:pPr>
        <w:numPr>
          <w:ilvl w:val="0"/>
          <w:numId w:val="32"/>
        </w:numPr>
        <w:jc w:val="both"/>
      </w:pPr>
      <w:r w:rsidRPr="00F766B7">
        <w:t>Assurer la séparation effective mineurs/adultes sur tout le territoire.</w:t>
      </w:r>
    </w:p>
    <w:p w:rsidR="00F766B7" w:rsidRDefault="00F766B7" w:rsidP="001B2E82">
      <w:pPr>
        <w:ind w:left="360"/>
        <w:jc w:val="both"/>
      </w:pPr>
    </w:p>
    <w:p w:rsidR="00F766B7" w:rsidRPr="00F766B7" w:rsidRDefault="00F766B7" w:rsidP="00F766B7">
      <w:pPr>
        <w:ind w:left="360"/>
        <w:jc w:val="both"/>
        <w:rPr>
          <w:b/>
          <w:bCs/>
        </w:rPr>
      </w:pPr>
      <w:r w:rsidRPr="00F766B7">
        <w:rPr>
          <w:b/>
          <w:bCs/>
        </w:rPr>
        <w:t>9.2 Objectifs à moyen terme (2027–2028)</w:t>
      </w:r>
    </w:p>
    <w:p w:rsidR="00F766B7" w:rsidRPr="00F766B7" w:rsidRDefault="00F766B7" w:rsidP="00F766B7">
      <w:pPr>
        <w:ind w:left="360"/>
        <w:jc w:val="both"/>
        <w:rPr>
          <w:b/>
          <w:bCs/>
        </w:rPr>
      </w:pPr>
      <w:r w:rsidRPr="00F766B7">
        <w:rPr>
          <w:b/>
          <w:bCs/>
        </w:rPr>
        <w:t>Système pénitentiaire</w:t>
      </w:r>
    </w:p>
    <w:p w:rsidR="00F766B7" w:rsidRPr="00F766B7" w:rsidRDefault="00F766B7" w:rsidP="00F766B7">
      <w:pPr>
        <w:numPr>
          <w:ilvl w:val="0"/>
          <w:numId w:val="33"/>
        </w:numPr>
        <w:jc w:val="both"/>
      </w:pPr>
      <w:r w:rsidRPr="00F766B7">
        <w:t>Mettre en œuvre un plan national de désengorgement carcéral.</w:t>
      </w:r>
    </w:p>
    <w:p w:rsidR="00F766B7" w:rsidRPr="00F766B7" w:rsidRDefault="00F766B7" w:rsidP="00F766B7">
      <w:pPr>
        <w:numPr>
          <w:ilvl w:val="0"/>
          <w:numId w:val="33"/>
        </w:numPr>
        <w:jc w:val="both"/>
      </w:pPr>
      <w:r w:rsidRPr="00F766B7">
        <w:t>Développer les alternatives à la détention pour les infractions mineures.</w:t>
      </w:r>
    </w:p>
    <w:p w:rsidR="00F766B7" w:rsidRPr="00F766B7" w:rsidRDefault="00F766B7" w:rsidP="00F766B7">
      <w:pPr>
        <w:numPr>
          <w:ilvl w:val="0"/>
          <w:numId w:val="33"/>
        </w:numPr>
        <w:jc w:val="both"/>
      </w:pPr>
      <w:r w:rsidRPr="00F766B7">
        <w:t>Digitaliser le suivi des dossiers pénaux afin de prévenir les détentions arbitraires.</w:t>
      </w:r>
    </w:p>
    <w:p w:rsidR="00F766B7" w:rsidRPr="00F766B7" w:rsidRDefault="00F766B7" w:rsidP="00F766B7">
      <w:pPr>
        <w:ind w:left="360"/>
        <w:jc w:val="both"/>
        <w:rPr>
          <w:b/>
          <w:bCs/>
        </w:rPr>
      </w:pPr>
      <w:r w:rsidRPr="00F766B7">
        <w:rPr>
          <w:b/>
          <w:bCs/>
        </w:rPr>
        <w:t>Traite des personnes</w:t>
      </w:r>
    </w:p>
    <w:p w:rsidR="00F766B7" w:rsidRPr="00F766B7" w:rsidRDefault="00F766B7" w:rsidP="00F766B7">
      <w:pPr>
        <w:numPr>
          <w:ilvl w:val="0"/>
          <w:numId w:val="34"/>
        </w:numPr>
        <w:jc w:val="both"/>
      </w:pPr>
      <w:r w:rsidRPr="00F766B7">
        <w:t>Finaliser la révision de la loi n°09/2004.</w:t>
      </w:r>
    </w:p>
    <w:p w:rsidR="00F766B7" w:rsidRPr="00F766B7" w:rsidRDefault="00F766B7" w:rsidP="00F766B7">
      <w:pPr>
        <w:numPr>
          <w:ilvl w:val="0"/>
          <w:numId w:val="34"/>
        </w:numPr>
        <w:jc w:val="both"/>
      </w:pPr>
      <w:r w:rsidRPr="00F766B7">
        <w:t>Mettre en place un système national intégré de collecte de données.</w:t>
      </w:r>
    </w:p>
    <w:p w:rsidR="00F766B7" w:rsidRPr="00F766B7" w:rsidRDefault="00F766B7" w:rsidP="00F766B7">
      <w:pPr>
        <w:numPr>
          <w:ilvl w:val="0"/>
          <w:numId w:val="34"/>
        </w:numPr>
        <w:jc w:val="both"/>
      </w:pPr>
      <w:r w:rsidRPr="00F766B7">
        <w:t>Augmenter les financements dédiés aux centres d’accueil des victimes.</w:t>
      </w:r>
    </w:p>
    <w:p w:rsidR="00F766B7" w:rsidRDefault="00F766B7" w:rsidP="001B2E82">
      <w:pPr>
        <w:ind w:left="360"/>
        <w:jc w:val="both"/>
      </w:pPr>
    </w:p>
    <w:p w:rsidR="00F766B7" w:rsidRPr="00F766B7" w:rsidRDefault="00F766B7" w:rsidP="00F766B7">
      <w:pPr>
        <w:ind w:left="360"/>
        <w:jc w:val="both"/>
        <w:rPr>
          <w:b/>
          <w:bCs/>
        </w:rPr>
      </w:pPr>
      <w:r w:rsidRPr="00F766B7">
        <w:rPr>
          <w:b/>
          <w:bCs/>
        </w:rPr>
        <w:t>9.3 Objectifs structurels (2028–2030)</w:t>
      </w:r>
    </w:p>
    <w:p w:rsidR="00F766B7" w:rsidRPr="00F766B7" w:rsidRDefault="00F766B7" w:rsidP="00F766B7">
      <w:pPr>
        <w:numPr>
          <w:ilvl w:val="0"/>
          <w:numId w:val="35"/>
        </w:numPr>
        <w:jc w:val="both"/>
      </w:pPr>
      <w:r w:rsidRPr="00F766B7">
        <w:t>Créer un mécanisme national indépendant de prévention conforme au Protocole facultatif.</w:t>
      </w:r>
    </w:p>
    <w:p w:rsidR="00F766B7" w:rsidRPr="00F766B7" w:rsidRDefault="00F766B7" w:rsidP="00F766B7">
      <w:pPr>
        <w:numPr>
          <w:ilvl w:val="0"/>
          <w:numId w:val="35"/>
        </w:numPr>
        <w:jc w:val="both"/>
      </w:pPr>
      <w:r w:rsidRPr="00F766B7">
        <w:t>Renforcer la formation continue des forces de sécurité.</w:t>
      </w:r>
    </w:p>
    <w:p w:rsidR="00F766B7" w:rsidRPr="00F766B7" w:rsidRDefault="00F766B7" w:rsidP="00F766B7">
      <w:pPr>
        <w:numPr>
          <w:ilvl w:val="0"/>
          <w:numId w:val="35"/>
        </w:numPr>
        <w:jc w:val="both"/>
      </w:pPr>
      <w:r w:rsidRPr="00F766B7">
        <w:t>Mettre en place une base de données pénitentiaire centralisée.</w:t>
      </w:r>
    </w:p>
    <w:p w:rsidR="00F766B7" w:rsidRDefault="00F766B7" w:rsidP="00F766B7">
      <w:pPr>
        <w:numPr>
          <w:ilvl w:val="0"/>
          <w:numId w:val="35"/>
        </w:numPr>
        <w:jc w:val="both"/>
      </w:pPr>
      <w:r w:rsidRPr="00F766B7">
        <w:t>Garantir l’équivalence des soins médicaux en milieu carcéral.</w:t>
      </w:r>
    </w:p>
    <w:p w:rsidR="00F766B7" w:rsidRDefault="00F766B7" w:rsidP="00F766B7">
      <w:pPr>
        <w:ind w:left="720"/>
        <w:jc w:val="both"/>
      </w:pPr>
    </w:p>
    <w:p w:rsidR="00F766B7" w:rsidRPr="00F766B7" w:rsidRDefault="00F766B7" w:rsidP="00F766B7">
      <w:pPr>
        <w:ind w:left="360"/>
        <w:jc w:val="both"/>
        <w:rPr>
          <w:b/>
          <w:bCs/>
        </w:rPr>
      </w:pPr>
      <w:r w:rsidRPr="00F766B7">
        <w:rPr>
          <w:b/>
          <w:bCs/>
        </w:rPr>
        <w:lastRenderedPageBreak/>
        <w:t>10. CONCLUSION</w:t>
      </w:r>
    </w:p>
    <w:p w:rsidR="00F766B7" w:rsidRPr="00F766B7" w:rsidRDefault="00F766B7" w:rsidP="00F766B7">
      <w:pPr>
        <w:ind w:left="360"/>
        <w:jc w:val="both"/>
      </w:pPr>
      <w:r w:rsidRPr="00F766B7">
        <w:t xml:space="preserve">La coalition des organisations de la société civile gabonaise réaffirme son attachement au dialogue constructif avec l’État et avec le </w:t>
      </w:r>
      <w:r w:rsidRPr="00F766B7">
        <w:rPr>
          <w:b/>
          <w:bCs/>
        </w:rPr>
        <w:t>Comité des Nations Unies contre la torture</w:t>
      </w:r>
      <w:r w:rsidRPr="00F766B7">
        <w:t>.</w:t>
      </w:r>
    </w:p>
    <w:p w:rsidR="00F766B7" w:rsidRPr="00F766B7" w:rsidRDefault="00F766B7" w:rsidP="00F766B7">
      <w:pPr>
        <w:ind w:left="360"/>
        <w:jc w:val="both"/>
      </w:pPr>
      <w:r w:rsidRPr="00F766B7">
        <w:t>Depuis le précédent examen, le Gabon a démontré une volonté normative de progresser, notamment par l’adoption du Code de l’Enfant et certains efforts dans la lutte contre la traite des personnes. Ces avancées constituent une base encourageante.</w:t>
      </w:r>
    </w:p>
    <w:p w:rsidR="00F766B7" w:rsidRPr="00F766B7" w:rsidRDefault="00F766B7" w:rsidP="00F766B7">
      <w:pPr>
        <w:ind w:left="360"/>
        <w:jc w:val="both"/>
      </w:pPr>
      <w:r w:rsidRPr="00F766B7">
        <w:t>Cependant, l’absence d’incrimination autonome de la torture, les allégations persistantes de mauvais traitements, la surpopulation carcérale et les lacunes dans l’application effective des garanties procédurales témoignent d’un écart entre engagement international et réalité pratique.</w:t>
      </w:r>
    </w:p>
    <w:p w:rsidR="00F766B7" w:rsidRPr="00F766B7" w:rsidRDefault="00F766B7" w:rsidP="00F766B7">
      <w:pPr>
        <w:ind w:left="360"/>
        <w:jc w:val="both"/>
      </w:pPr>
      <w:r w:rsidRPr="00F766B7">
        <w:t>La consolidation de l’État de droit passe par :</w:t>
      </w:r>
    </w:p>
    <w:p w:rsidR="00F766B7" w:rsidRPr="00F766B7" w:rsidRDefault="00F766B7" w:rsidP="00F766B7">
      <w:pPr>
        <w:numPr>
          <w:ilvl w:val="0"/>
          <w:numId w:val="36"/>
        </w:numPr>
        <w:jc w:val="both"/>
      </w:pPr>
      <w:r w:rsidRPr="00F766B7">
        <w:t>La lutte contre l’impunité ;</w:t>
      </w:r>
    </w:p>
    <w:p w:rsidR="00F766B7" w:rsidRPr="00F766B7" w:rsidRDefault="00F766B7" w:rsidP="00F766B7">
      <w:pPr>
        <w:numPr>
          <w:ilvl w:val="0"/>
          <w:numId w:val="36"/>
        </w:numPr>
        <w:jc w:val="both"/>
      </w:pPr>
      <w:r w:rsidRPr="00F766B7">
        <w:t>La transparence institutionnelle ;</w:t>
      </w:r>
    </w:p>
    <w:p w:rsidR="00F766B7" w:rsidRPr="00F766B7" w:rsidRDefault="00F766B7" w:rsidP="00F766B7">
      <w:pPr>
        <w:numPr>
          <w:ilvl w:val="0"/>
          <w:numId w:val="36"/>
        </w:numPr>
        <w:jc w:val="both"/>
      </w:pPr>
      <w:r w:rsidRPr="00F766B7">
        <w:t>Le renforcement des mécanismes de contrôle ;</w:t>
      </w:r>
    </w:p>
    <w:p w:rsidR="00F766B7" w:rsidRPr="00F766B7" w:rsidRDefault="00F766B7" w:rsidP="00F766B7">
      <w:pPr>
        <w:numPr>
          <w:ilvl w:val="0"/>
          <w:numId w:val="36"/>
        </w:numPr>
        <w:jc w:val="both"/>
      </w:pPr>
      <w:r w:rsidRPr="00F766B7">
        <w:t>La protection effective des personnes vulnérables.</w:t>
      </w:r>
    </w:p>
    <w:p w:rsidR="00F766B7" w:rsidRPr="00F766B7" w:rsidRDefault="00F766B7" w:rsidP="00F766B7">
      <w:pPr>
        <w:ind w:left="360"/>
        <w:jc w:val="both"/>
      </w:pPr>
      <w:r w:rsidRPr="00F766B7">
        <w:t>La prévention de la torture ne repose pas uniquement sur la norme juridique, mais sur une culture institutionnelle fondée sur la dignité humaine.</w:t>
      </w:r>
    </w:p>
    <w:p w:rsidR="00F766B7" w:rsidRDefault="00F766B7" w:rsidP="001B2E82">
      <w:pPr>
        <w:ind w:left="360"/>
        <w:jc w:val="both"/>
      </w:pPr>
    </w:p>
    <w:p w:rsidR="00F766B7" w:rsidRPr="00F766B7" w:rsidRDefault="00F766B7" w:rsidP="00F766B7">
      <w:pPr>
        <w:ind w:left="360"/>
        <w:jc w:val="both"/>
        <w:rPr>
          <w:b/>
          <w:bCs/>
        </w:rPr>
      </w:pPr>
      <w:r w:rsidRPr="00F766B7">
        <w:rPr>
          <w:b/>
          <w:bCs/>
        </w:rPr>
        <w:t>OUVERTURE STRATÉGIQUE</w:t>
      </w:r>
    </w:p>
    <w:p w:rsidR="00F766B7" w:rsidRPr="00F766B7" w:rsidRDefault="00F766B7" w:rsidP="00F766B7">
      <w:pPr>
        <w:ind w:left="360"/>
        <w:jc w:val="both"/>
      </w:pPr>
      <w:r w:rsidRPr="00F766B7">
        <w:t>La coalition encourage l’État gabonais à :</w:t>
      </w:r>
    </w:p>
    <w:p w:rsidR="00F766B7" w:rsidRPr="00F766B7" w:rsidRDefault="00F766B7" w:rsidP="00F766B7">
      <w:pPr>
        <w:numPr>
          <w:ilvl w:val="0"/>
          <w:numId w:val="37"/>
        </w:numPr>
        <w:jc w:val="both"/>
      </w:pPr>
      <w:r w:rsidRPr="00F766B7">
        <w:t>Solliciter une coopération technique renforcée avec le Haut-Commissariat des Nations Unies aux droits de l’homme ;</w:t>
      </w:r>
    </w:p>
    <w:p w:rsidR="00F766B7" w:rsidRPr="00F766B7" w:rsidRDefault="00F766B7" w:rsidP="00F766B7">
      <w:pPr>
        <w:numPr>
          <w:ilvl w:val="0"/>
          <w:numId w:val="37"/>
        </w:numPr>
        <w:jc w:val="both"/>
      </w:pPr>
      <w:r w:rsidRPr="00F766B7">
        <w:t>Développer des partenariats avec l’Organisation internationale pour les migrations pour la gestion des données sur la traite ;</w:t>
      </w:r>
    </w:p>
    <w:p w:rsidR="00F766B7" w:rsidRPr="00F766B7" w:rsidRDefault="00F766B7" w:rsidP="00F766B7">
      <w:pPr>
        <w:numPr>
          <w:ilvl w:val="0"/>
          <w:numId w:val="37"/>
        </w:numPr>
        <w:jc w:val="both"/>
      </w:pPr>
      <w:r w:rsidRPr="00F766B7">
        <w:t>Engager un dialogue multi-acteurs régulier incluant la société civile ;</w:t>
      </w:r>
    </w:p>
    <w:p w:rsidR="00F766B7" w:rsidRPr="00F766B7" w:rsidRDefault="00F766B7" w:rsidP="00F766B7">
      <w:pPr>
        <w:numPr>
          <w:ilvl w:val="0"/>
          <w:numId w:val="37"/>
        </w:numPr>
        <w:jc w:val="both"/>
      </w:pPr>
      <w:r w:rsidRPr="00F766B7">
        <w:t>Publier un plan d’action national de mise en conformité 2026–2030.</w:t>
      </w:r>
    </w:p>
    <w:p w:rsidR="00F766B7" w:rsidRPr="00F766B7" w:rsidRDefault="00F766B7" w:rsidP="00F766B7">
      <w:pPr>
        <w:ind w:left="360"/>
        <w:jc w:val="both"/>
      </w:pPr>
      <w:r w:rsidRPr="00F766B7">
        <w:t>L’examen de 2026 constitue une opportunité stratégique pour le Gabon de consolider son image d’État engagé en faveur des droits humains et de renforcer la confiance des citoyens et partenaires internationaux.</w:t>
      </w:r>
    </w:p>
    <w:p w:rsidR="00F766B7" w:rsidRPr="00F766B7" w:rsidRDefault="00F766B7" w:rsidP="00F766B7">
      <w:pPr>
        <w:ind w:left="360"/>
        <w:jc w:val="both"/>
      </w:pPr>
      <w:r w:rsidRPr="00F766B7">
        <w:t>La société civile demeure disposée à contribuer activement à cette dynamique.</w:t>
      </w: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p w:rsidR="00F766B7" w:rsidRDefault="00F766B7" w:rsidP="001B2E82">
      <w:pPr>
        <w:ind w:left="360"/>
        <w:jc w:val="both"/>
      </w:pPr>
    </w:p>
    <w:tbl>
      <w:tblPr>
        <w:tblStyle w:val="Grilledutableau"/>
        <w:tblW w:w="9209" w:type="dxa"/>
        <w:tblLook w:val="04A0" w:firstRow="1" w:lastRow="0" w:firstColumn="1" w:lastColumn="0" w:noHBand="0" w:noVBand="1"/>
      </w:tblPr>
      <w:tblGrid>
        <w:gridCol w:w="1175"/>
        <w:gridCol w:w="2434"/>
        <w:gridCol w:w="2116"/>
        <w:gridCol w:w="2096"/>
        <w:gridCol w:w="1434"/>
      </w:tblGrid>
      <w:tr w:rsidR="007A783A" w:rsidRPr="007A783A" w:rsidTr="007A783A">
        <w:tc>
          <w:tcPr>
            <w:tcW w:w="0" w:type="auto"/>
            <w:hideMark/>
          </w:tcPr>
          <w:p w:rsidR="007A783A" w:rsidRPr="007A783A" w:rsidRDefault="007A783A" w:rsidP="007A783A">
            <w:pPr>
              <w:spacing w:after="160" w:line="259" w:lineRule="auto"/>
              <w:ind w:left="360"/>
              <w:jc w:val="center"/>
              <w:rPr>
                <w:b/>
                <w:bCs/>
              </w:rPr>
            </w:pPr>
            <w:r w:rsidRPr="007A783A">
              <w:rPr>
                <w:b/>
                <w:bCs/>
              </w:rPr>
              <w:lastRenderedPageBreak/>
              <w:t>Article CAT</w:t>
            </w:r>
          </w:p>
        </w:tc>
        <w:tc>
          <w:tcPr>
            <w:tcW w:w="0" w:type="auto"/>
            <w:hideMark/>
          </w:tcPr>
          <w:p w:rsidR="007A783A" w:rsidRPr="007A783A" w:rsidRDefault="007A783A" w:rsidP="007A783A">
            <w:pPr>
              <w:spacing w:after="160" w:line="259" w:lineRule="auto"/>
              <w:ind w:left="360"/>
              <w:jc w:val="center"/>
              <w:rPr>
                <w:b/>
                <w:bCs/>
              </w:rPr>
            </w:pPr>
            <w:r w:rsidRPr="007A783A">
              <w:rPr>
                <w:b/>
                <w:bCs/>
              </w:rPr>
              <w:t>Exigence</w:t>
            </w:r>
          </w:p>
        </w:tc>
        <w:tc>
          <w:tcPr>
            <w:tcW w:w="0" w:type="auto"/>
            <w:hideMark/>
          </w:tcPr>
          <w:p w:rsidR="007A783A" w:rsidRPr="007A783A" w:rsidRDefault="007A783A" w:rsidP="007A783A">
            <w:pPr>
              <w:spacing w:after="160" w:line="259" w:lineRule="auto"/>
              <w:ind w:left="360"/>
              <w:jc w:val="center"/>
              <w:rPr>
                <w:b/>
                <w:bCs/>
              </w:rPr>
            </w:pPr>
            <w:r w:rsidRPr="007A783A">
              <w:rPr>
                <w:b/>
                <w:bCs/>
              </w:rPr>
              <w:t>Situation observée</w:t>
            </w:r>
          </w:p>
        </w:tc>
        <w:tc>
          <w:tcPr>
            <w:tcW w:w="0" w:type="auto"/>
            <w:hideMark/>
          </w:tcPr>
          <w:p w:rsidR="007A783A" w:rsidRPr="007A783A" w:rsidRDefault="007A783A" w:rsidP="007A783A">
            <w:pPr>
              <w:spacing w:after="160" w:line="259" w:lineRule="auto"/>
              <w:ind w:left="360"/>
              <w:jc w:val="center"/>
              <w:rPr>
                <w:b/>
                <w:bCs/>
              </w:rPr>
            </w:pPr>
            <w:r w:rsidRPr="007A783A">
              <w:rPr>
                <w:b/>
                <w:bCs/>
              </w:rPr>
              <w:t>Action recommandée</w:t>
            </w:r>
          </w:p>
        </w:tc>
        <w:tc>
          <w:tcPr>
            <w:tcW w:w="1552" w:type="dxa"/>
            <w:hideMark/>
          </w:tcPr>
          <w:p w:rsidR="007A783A" w:rsidRPr="007A783A" w:rsidRDefault="007A783A" w:rsidP="007A783A">
            <w:pPr>
              <w:spacing w:after="160" w:line="259" w:lineRule="auto"/>
              <w:ind w:left="360"/>
              <w:jc w:val="center"/>
              <w:rPr>
                <w:b/>
                <w:bCs/>
              </w:rPr>
            </w:pPr>
            <w:r w:rsidRPr="007A783A">
              <w:rPr>
                <w:b/>
                <w:bCs/>
              </w:rPr>
              <w:t>Échéance</w:t>
            </w:r>
          </w:p>
        </w:tc>
      </w:tr>
      <w:tr w:rsidR="007A783A" w:rsidRPr="007A783A" w:rsidTr="007A783A">
        <w:tc>
          <w:tcPr>
            <w:tcW w:w="0" w:type="auto"/>
            <w:hideMark/>
          </w:tcPr>
          <w:p w:rsidR="007A783A" w:rsidRPr="007A783A" w:rsidRDefault="007A783A" w:rsidP="007A783A">
            <w:pPr>
              <w:spacing w:after="160" w:line="259" w:lineRule="auto"/>
              <w:ind w:left="360"/>
              <w:jc w:val="center"/>
            </w:pPr>
            <w:r w:rsidRPr="007A783A">
              <w:t>Art. 1</w:t>
            </w:r>
          </w:p>
        </w:tc>
        <w:tc>
          <w:tcPr>
            <w:tcW w:w="0" w:type="auto"/>
            <w:hideMark/>
          </w:tcPr>
          <w:p w:rsidR="007A783A" w:rsidRPr="007A783A" w:rsidRDefault="007A783A" w:rsidP="007A783A">
            <w:pPr>
              <w:spacing w:after="160" w:line="259" w:lineRule="auto"/>
              <w:ind w:left="360"/>
              <w:jc w:val="both"/>
            </w:pPr>
            <w:r w:rsidRPr="007A783A">
              <w:t>Définition complète</w:t>
            </w:r>
          </w:p>
        </w:tc>
        <w:tc>
          <w:tcPr>
            <w:tcW w:w="0" w:type="auto"/>
            <w:hideMark/>
          </w:tcPr>
          <w:p w:rsidR="007A783A" w:rsidRPr="007A783A" w:rsidRDefault="007A783A" w:rsidP="007A783A">
            <w:pPr>
              <w:spacing w:after="160" w:line="259" w:lineRule="auto"/>
              <w:ind w:left="360"/>
              <w:jc w:val="both"/>
            </w:pPr>
            <w:r w:rsidRPr="007A783A">
              <w:t>Absente</w:t>
            </w:r>
          </w:p>
        </w:tc>
        <w:tc>
          <w:tcPr>
            <w:tcW w:w="0" w:type="auto"/>
            <w:hideMark/>
          </w:tcPr>
          <w:p w:rsidR="007A783A" w:rsidRPr="007A783A" w:rsidRDefault="007A783A" w:rsidP="007A783A">
            <w:pPr>
              <w:spacing w:after="160" w:line="259" w:lineRule="auto"/>
              <w:ind w:left="360"/>
              <w:jc w:val="both"/>
            </w:pPr>
            <w:r w:rsidRPr="007A783A">
              <w:t>Introduire incrimination autonome</w:t>
            </w:r>
          </w:p>
        </w:tc>
        <w:tc>
          <w:tcPr>
            <w:tcW w:w="1552" w:type="dxa"/>
            <w:hideMark/>
          </w:tcPr>
          <w:p w:rsidR="007A783A" w:rsidRPr="007A783A" w:rsidRDefault="007A783A" w:rsidP="007A783A">
            <w:pPr>
              <w:spacing w:after="160" w:line="259" w:lineRule="auto"/>
              <w:ind w:left="360"/>
              <w:jc w:val="both"/>
            </w:pPr>
            <w:r w:rsidRPr="007A783A">
              <w:t>2027</w:t>
            </w:r>
          </w:p>
        </w:tc>
      </w:tr>
      <w:tr w:rsidR="007A783A" w:rsidRPr="007A783A" w:rsidTr="007A783A">
        <w:tc>
          <w:tcPr>
            <w:tcW w:w="0" w:type="auto"/>
            <w:hideMark/>
          </w:tcPr>
          <w:p w:rsidR="007A783A" w:rsidRPr="007A783A" w:rsidRDefault="007A783A" w:rsidP="007A783A">
            <w:pPr>
              <w:spacing w:after="160" w:line="259" w:lineRule="auto"/>
              <w:ind w:left="360"/>
              <w:jc w:val="center"/>
            </w:pPr>
            <w:r w:rsidRPr="007A783A">
              <w:t>Art. 2</w:t>
            </w:r>
          </w:p>
        </w:tc>
        <w:tc>
          <w:tcPr>
            <w:tcW w:w="0" w:type="auto"/>
            <w:hideMark/>
          </w:tcPr>
          <w:p w:rsidR="007A783A" w:rsidRPr="007A783A" w:rsidRDefault="007A783A" w:rsidP="007A783A">
            <w:pPr>
              <w:spacing w:after="160" w:line="259" w:lineRule="auto"/>
              <w:ind w:left="360"/>
              <w:jc w:val="both"/>
            </w:pPr>
            <w:r w:rsidRPr="007A783A">
              <w:t>Interdiction absolue</w:t>
            </w:r>
          </w:p>
        </w:tc>
        <w:tc>
          <w:tcPr>
            <w:tcW w:w="0" w:type="auto"/>
            <w:hideMark/>
          </w:tcPr>
          <w:p w:rsidR="007A783A" w:rsidRPr="007A783A" w:rsidRDefault="007A783A" w:rsidP="007A783A">
            <w:pPr>
              <w:spacing w:after="160" w:line="259" w:lineRule="auto"/>
              <w:ind w:left="360"/>
              <w:jc w:val="both"/>
            </w:pPr>
            <w:r w:rsidRPr="007A783A">
              <w:t>Constitutionnelle mais lacunes pénales</w:t>
            </w:r>
          </w:p>
        </w:tc>
        <w:tc>
          <w:tcPr>
            <w:tcW w:w="0" w:type="auto"/>
            <w:hideMark/>
          </w:tcPr>
          <w:p w:rsidR="007A783A" w:rsidRPr="007A783A" w:rsidRDefault="007A783A" w:rsidP="007A783A">
            <w:pPr>
              <w:spacing w:after="160" w:line="259" w:lineRule="auto"/>
              <w:ind w:left="360"/>
              <w:jc w:val="both"/>
            </w:pPr>
            <w:r w:rsidRPr="007A783A">
              <w:t>Harmonisation Code pénal</w:t>
            </w:r>
          </w:p>
        </w:tc>
        <w:tc>
          <w:tcPr>
            <w:tcW w:w="1552" w:type="dxa"/>
            <w:hideMark/>
          </w:tcPr>
          <w:p w:rsidR="007A783A" w:rsidRPr="007A783A" w:rsidRDefault="007A783A" w:rsidP="007A783A">
            <w:pPr>
              <w:spacing w:after="160" w:line="259" w:lineRule="auto"/>
              <w:ind w:left="360"/>
              <w:jc w:val="both"/>
            </w:pPr>
            <w:r w:rsidRPr="007A783A">
              <w:t>2027</w:t>
            </w:r>
          </w:p>
        </w:tc>
      </w:tr>
      <w:tr w:rsidR="007A783A" w:rsidRPr="007A783A" w:rsidTr="007A783A">
        <w:tc>
          <w:tcPr>
            <w:tcW w:w="0" w:type="auto"/>
            <w:hideMark/>
          </w:tcPr>
          <w:p w:rsidR="007A783A" w:rsidRPr="007A783A" w:rsidRDefault="007A783A" w:rsidP="007A783A">
            <w:pPr>
              <w:spacing w:after="160" w:line="259" w:lineRule="auto"/>
              <w:ind w:left="360"/>
              <w:jc w:val="center"/>
            </w:pPr>
            <w:r w:rsidRPr="007A783A">
              <w:t>Art. 3</w:t>
            </w:r>
          </w:p>
        </w:tc>
        <w:tc>
          <w:tcPr>
            <w:tcW w:w="0" w:type="auto"/>
            <w:hideMark/>
          </w:tcPr>
          <w:p w:rsidR="007A783A" w:rsidRPr="007A783A" w:rsidRDefault="007A783A" w:rsidP="007A783A">
            <w:pPr>
              <w:spacing w:after="160" w:line="259" w:lineRule="auto"/>
              <w:ind w:left="360"/>
              <w:jc w:val="both"/>
            </w:pPr>
            <w:r w:rsidRPr="007A783A">
              <w:t>Non-refoulement</w:t>
            </w:r>
          </w:p>
        </w:tc>
        <w:tc>
          <w:tcPr>
            <w:tcW w:w="0" w:type="auto"/>
            <w:hideMark/>
          </w:tcPr>
          <w:p w:rsidR="007A783A" w:rsidRPr="007A783A" w:rsidRDefault="007A783A" w:rsidP="007A783A">
            <w:pPr>
              <w:spacing w:after="160" w:line="259" w:lineRule="auto"/>
              <w:ind w:left="360"/>
              <w:jc w:val="both"/>
            </w:pPr>
            <w:r w:rsidRPr="007A783A">
              <w:t>Non intégré explicitement</w:t>
            </w:r>
          </w:p>
        </w:tc>
        <w:tc>
          <w:tcPr>
            <w:tcW w:w="0" w:type="auto"/>
            <w:hideMark/>
          </w:tcPr>
          <w:p w:rsidR="007A783A" w:rsidRPr="007A783A" w:rsidRDefault="007A783A" w:rsidP="007A783A">
            <w:pPr>
              <w:spacing w:after="160" w:line="259" w:lineRule="auto"/>
              <w:ind w:left="360"/>
              <w:jc w:val="both"/>
            </w:pPr>
            <w:r w:rsidRPr="007A783A">
              <w:t>Intégration législative + recours suspensif</w:t>
            </w:r>
          </w:p>
        </w:tc>
        <w:tc>
          <w:tcPr>
            <w:tcW w:w="1552" w:type="dxa"/>
            <w:hideMark/>
          </w:tcPr>
          <w:p w:rsidR="007A783A" w:rsidRPr="007A783A" w:rsidRDefault="007A783A" w:rsidP="007A783A">
            <w:pPr>
              <w:spacing w:after="160" w:line="259" w:lineRule="auto"/>
              <w:ind w:left="360"/>
              <w:jc w:val="both"/>
            </w:pPr>
            <w:r w:rsidRPr="007A783A">
              <w:t>2027</w:t>
            </w:r>
          </w:p>
        </w:tc>
      </w:tr>
      <w:tr w:rsidR="007A783A" w:rsidRPr="007A783A" w:rsidTr="007A783A">
        <w:tc>
          <w:tcPr>
            <w:tcW w:w="0" w:type="auto"/>
            <w:hideMark/>
          </w:tcPr>
          <w:p w:rsidR="007A783A" w:rsidRPr="007A783A" w:rsidRDefault="007A783A" w:rsidP="007A783A">
            <w:pPr>
              <w:spacing w:after="160" w:line="259" w:lineRule="auto"/>
              <w:ind w:left="360"/>
              <w:jc w:val="center"/>
            </w:pPr>
            <w:r w:rsidRPr="007A783A">
              <w:t>Art. 4</w:t>
            </w:r>
          </w:p>
        </w:tc>
        <w:tc>
          <w:tcPr>
            <w:tcW w:w="0" w:type="auto"/>
            <w:hideMark/>
          </w:tcPr>
          <w:p w:rsidR="007A783A" w:rsidRPr="007A783A" w:rsidRDefault="007A783A" w:rsidP="007A783A">
            <w:pPr>
              <w:spacing w:after="160" w:line="259" w:lineRule="auto"/>
              <w:ind w:left="360"/>
              <w:jc w:val="both"/>
            </w:pPr>
            <w:r w:rsidRPr="007A783A">
              <w:t>Tentative/complicité</w:t>
            </w:r>
          </w:p>
        </w:tc>
        <w:tc>
          <w:tcPr>
            <w:tcW w:w="0" w:type="auto"/>
            <w:hideMark/>
          </w:tcPr>
          <w:p w:rsidR="007A783A" w:rsidRPr="007A783A" w:rsidRDefault="007A783A" w:rsidP="007A783A">
            <w:pPr>
              <w:spacing w:after="160" w:line="259" w:lineRule="auto"/>
              <w:ind w:left="360"/>
              <w:jc w:val="both"/>
            </w:pPr>
            <w:r w:rsidRPr="007A783A">
              <w:t>Non explicitement prévues</w:t>
            </w:r>
          </w:p>
        </w:tc>
        <w:tc>
          <w:tcPr>
            <w:tcW w:w="0" w:type="auto"/>
            <w:hideMark/>
          </w:tcPr>
          <w:p w:rsidR="007A783A" w:rsidRPr="007A783A" w:rsidRDefault="007A783A" w:rsidP="007A783A">
            <w:pPr>
              <w:spacing w:after="160" w:line="259" w:lineRule="auto"/>
              <w:ind w:left="360"/>
              <w:jc w:val="both"/>
            </w:pPr>
            <w:r w:rsidRPr="007A783A">
              <w:t>Modification législative</w:t>
            </w:r>
          </w:p>
        </w:tc>
        <w:tc>
          <w:tcPr>
            <w:tcW w:w="1552" w:type="dxa"/>
            <w:hideMark/>
          </w:tcPr>
          <w:p w:rsidR="007A783A" w:rsidRPr="007A783A" w:rsidRDefault="007A783A" w:rsidP="007A783A">
            <w:pPr>
              <w:spacing w:after="160" w:line="259" w:lineRule="auto"/>
              <w:ind w:left="360"/>
              <w:jc w:val="both"/>
            </w:pPr>
            <w:r w:rsidRPr="007A783A">
              <w:t>2027</w:t>
            </w:r>
          </w:p>
        </w:tc>
      </w:tr>
      <w:tr w:rsidR="007A783A" w:rsidRPr="007A783A" w:rsidTr="007A783A">
        <w:tc>
          <w:tcPr>
            <w:tcW w:w="0" w:type="auto"/>
            <w:hideMark/>
          </w:tcPr>
          <w:p w:rsidR="007A783A" w:rsidRPr="007A783A" w:rsidRDefault="007A783A" w:rsidP="007A783A">
            <w:pPr>
              <w:spacing w:after="160" w:line="259" w:lineRule="auto"/>
              <w:ind w:left="360"/>
              <w:jc w:val="center"/>
            </w:pPr>
            <w:r w:rsidRPr="007A783A">
              <w:t>Art. 11</w:t>
            </w:r>
          </w:p>
        </w:tc>
        <w:tc>
          <w:tcPr>
            <w:tcW w:w="0" w:type="auto"/>
            <w:hideMark/>
          </w:tcPr>
          <w:p w:rsidR="007A783A" w:rsidRPr="007A783A" w:rsidRDefault="007A783A" w:rsidP="007A783A">
            <w:pPr>
              <w:spacing w:after="160" w:line="259" w:lineRule="auto"/>
              <w:ind w:left="360"/>
              <w:jc w:val="both"/>
            </w:pPr>
            <w:r w:rsidRPr="007A783A">
              <w:t>Surveillance lieux détention</w:t>
            </w:r>
          </w:p>
        </w:tc>
        <w:tc>
          <w:tcPr>
            <w:tcW w:w="0" w:type="auto"/>
            <w:hideMark/>
          </w:tcPr>
          <w:p w:rsidR="007A783A" w:rsidRPr="007A783A" w:rsidRDefault="007A783A" w:rsidP="007A783A">
            <w:pPr>
              <w:spacing w:after="160" w:line="259" w:lineRule="auto"/>
              <w:ind w:left="360"/>
              <w:jc w:val="both"/>
            </w:pPr>
            <w:r w:rsidRPr="007A783A">
              <w:t>Contrôle limité</w:t>
            </w:r>
          </w:p>
        </w:tc>
        <w:tc>
          <w:tcPr>
            <w:tcW w:w="0" w:type="auto"/>
            <w:hideMark/>
          </w:tcPr>
          <w:p w:rsidR="007A783A" w:rsidRPr="007A783A" w:rsidRDefault="007A783A" w:rsidP="007A783A">
            <w:pPr>
              <w:spacing w:after="160" w:line="259" w:lineRule="auto"/>
              <w:ind w:left="360"/>
              <w:jc w:val="both"/>
            </w:pPr>
            <w:r w:rsidRPr="007A783A">
              <w:t>Mécanisme indépendant</w:t>
            </w:r>
          </w:p>
        </w:tc>
        <w:tc>
          <w:tcPr>
            <w:tcW w:w="1552" w:type="dxa"/>
            <w:hideMark/>
          </w:tcPr>
          <w:p w:rsidR="007A783A" w:rsidRPr="007A783A" w:rsidRDefault="007A783A" w:rsidP="007A783A">
            <w:pPr>
              <w:spacing w:after="160" w:line="259" w:lineRule="auto"/>
              <w:ind w:left="360"/>
              <w:jc w:val="both"/>
            </w:pPr>
            <w:r w:rsidRPr="007A783A">
              <w:t>2028</w:t>
            </w:r>
          </w:p>
        </w:tc>
      </w:tr>
      <w:tr w:rsidR="007A783A" w:rsidRPr="007A783A" w:rsidTr="007A783A">
        <w:tc>
          <w:tcPr>
            <w:tcW w:w="0" w:type="auto"/>
            <w:hideMark/>
          </w:tcPr>
          <w:p w:rsidR="007A783A" w:rsidRPr="007A783A" w:rsidRDefault="007A783A" w:rsidP="007A783A">
            <w:pPr>
              <w:spacing w:after="160" w:line="259" w:lineRule="auto"/>
              <w:ind w:left="360"/>
              <w:jc w:val="center"/>
            </w:pPr>
            <w:r w:rsidRPr="007A783A">
              <w:t>Art. 12</w:t>
            </w:r>
          </w:p>
        </w:tc>
        <w:tc>
          <w:tcPr>
            <w:tcW w:w="0" w:type="auto"/>
            <w:hideMark/>
          </w:tcPr>
          <w:p w:rsidR="007A783A" w:rsidRPr="007A783A" w:rsidRDefault="007A783A" w:rsidP="007A783A">
            <w:pPr>
              <w:spacing w:after="160" w:line="259" w:lineRule="auto"/>
              <w:ind w:left="360"/>
              <w:jc w:val="both"/>
            </w:pPr>
            <w:r w:rsidRPr="007A783A">
              <w:t>Enquête rapide</w:t>
            </w:r>
          </w:p>
        </w:tc>
        <w:tc>
          <w:tcPr>
            <w:tcW w:w="0" w:type="auto"/>
            <w:hideMark/>
          </w:tcPr>
          <w:p w:rsidR="007A783A" w:rsidRPr="007A783A" w:rsidRDefault="007A783A" w:rsidP="007A783A">
            <w:pPr>
              <w:spacing w:after="160" w:line="259" w:lineRule="auto"/>
              <w:ind w:left="360"/>
              <w:jc w:val="both"/>
            </w:pPr>
            <w:r w:rsidRPr="007A783A">
              <w:t>Faible indépendance</w:t>
            </w:r>
          </w:p>
        </w:tc>
        <w:tc>
          <w:tcPr>
            <w:tcW w:w="0" w:type="auto"/>
            <w:hideMark/>
          </w:tcPr>
          <w:p w:rsidR="007A783A" w:rsidRPr="007A783A" w:rsidRDefault="007A783A" w:rsidP="007A783A">
            <w:pPr>
              <w:spacing w:after="160" w:line="259" w:lineRule="auto"/>
              <w:ind w:left="360"/>
              <w:jc w:val="both"/>
            </w:pPr>
            <w:r w:rsidRPr="007A783A">
              <w:t>Organe d’enquête autonome</w:t>
            </w:r>
          </w:p>
        </w:tc>
        <w:tc>
          <w:tcPr>
            <w:tcW w:w="1552" w:type="dxa"/>
            <w:hideMark/>
          </w:tcPr>
          <w:p w:rsidR="007A783A" w:rsidRPr="007A783A" w:rsidRDefault="007A783A" w:rsidP="007A783A">
            <w:pPr>
              <w:spacing w:after="160" w:line="259" w:lineRule="auto"/>
              <w:ind w:left="360"/>
              <w:jc w:val="both"/>
            </w:pPr>
            <w:r w:rsidRPr="007A783A">
              <w:t>2027</w:t>
            </w:r>
          </w:p>
        </w:tc>
      </w:tr>
      <w:tr w:rsidR="007A783A" w:rsidRPr="007A783A" w:rsidTr="007A783A">
        <w:tc>
          <w:tcPr>
            <w:tcW w:w="0" w:type="auto"/>
            <w:hideMark/>
          </w:tcPr>
          <w:p w:rsidR="007A783A" w:rsidRPr="007A783A" w:rsidRDefault="007A783A" w:rsidP="007A783A">
            <w:pPr>
              <w:spacing w:after="160" w:line="259" w:lineRule="auto"/>
              <w:ind w:left="360"/>
              <w:jc w:val="center"/>
            </w:pPr>
            <w:r w:rsidRPr="007A783A">
              <w:t>Art. 13</w:t>
            </w:r>
          </w:p>
        </w:tc>
        <w:tc>
          <w:tcPr>
            <w:tcW w:w="0" w:type="auto"/>
            <w:hideMark/>
          </w:tcPr>
          <w:p w:rsidR="007A783A" w:rsidRPr="007A783A" w:rsidRDefault="007A783A" w:rsidP="007A783A">
            <w:pPr>
              <w:spacing w:after="160" w:line="259" w:lineRule="auto"/>
              <w:ind w:left="360"/>
              <w:jc w:val="both"/>
            </w:pPr>
            <w:r w:rsidRPr="007A783A">
              <w:t>Protection plaignants</w:t>
            </w:r>
          </w:p>
        </w:tc>
        <w:tc>
          <w:tcPr>
            <w:tcW w:w="0" w:type="auto"/>
            <w:hideMark/>
          </w:tcPr>
          <w:p w:rsidR="007A783A" w:rsidRPr="007A783A" w:rsidRDefault="007A783A" w:rsidP="007A783A">
            <w:pPr>
              <w:spacing w:after="160" w:line="259" w:lineRule="auto"/>
              <w:ind w:left="360"/>
              <w:jc w:val="both"/>
            </w:pPr>
            <w:r w:rsidRPr="007A783A">
              <w:t>Insuffisante</w:t>
            </w:r>
          </w:p>
        </w:tc>
        <w:tc>
          <w:tcPr>
            <w:tcW w:w="0" w:type="auto"/>
            <w:hideMark/>
          </w:tcPr>
          <w:p w:rsidR="007A783A" w:rsidRPr="007A783A" w:rsidRDefault="007A783A" w:rsidP="007A783A">
            <w:pPr>
              <w:spacing w:after="160" w:line="259" w:lineRule="auto"/>
              <w:ind w:left="360"/>
              <w:jc w:val="both"/>
            </w:pPr>
            <w:r w:rsidRPr="007A783A">
              <w:t>Dispositif anti-représailles</w:t>
            </w:r>
          </w:p>
        </w:tc>
        <w:tc>
          <w:tcPr>
            <w:tcW w:w="1552" w:type="dxa"/>
            <w:hideMark/>
          </w:tcPr>
          <w:p w:rsidR="007A783A" w:rsidRPr="007A783A" w:rsidRDefault="007A783A" w:rsidP="007A783A">
            <w:pPr>
              <w:spacing w:after="160" w:line="259" w:lineRule="auto"/>
              <w:ind w:left="360"/>
              <w:jc w:val="both"/>
            </w:pPr>
            <w:r w:rsidRPr="007A783A">
              <w:t>2027</w:t>
            </w:r>
          </w:p>
        </w:tc>
      </w:tr>
      <w:tr w:rsidR="007A783A" w:rsidRPr="007A783A" w:rsidTr="007A783A">
        <w:tc>
          <w:tcPr>
            <w:tcW w:w="0" w:type="auto"/>
            <w:hideMark/>
          </w:tcPr>
          <w:p w:rsidR="007A783A" w:rsidRPr="007A783A" w:rsidRDefault="007A783A" w:rsidP="007A783A">
            <w:pPr>
              <w:spacing w:after="160" w:line="259" w:lineRule="auto"/>
              <w:ind w:left="360"/>
              <w:jc w:val="center"/>
            </w:pPr>
            <w:r w:rsidRPr="007A783A">
              <w:t>Art. 16</w:t>
            </w:r>
          </w:p>
        </w:tc>
        <w:tc>
          <w:tcPr>
            <w:tcW w:w="0" w:type="auto"/>
            <w:hideMark/>
          </w:tcPr>
          <w:p w:rsidR="007A783A" w:rsidRPr="007A783A" w:rsidRDefault="007A783A" w:rsidP="007A783A">
            <w:pPr>
              <w:spacing w:after="160" w:line="259" w:lineRule="auto"/>
              <w:ind w:left="360"/>
              <w:jc w:val="both"/>
            </w:pPr>
            <w:r w:rsidRPr="007A783A">
              <w:t>Prévention traitements cruels</w:t>
            </w:r>
          </w:p>
        </w:tc>
        <w:tc>
          <w:tcPr>
            <w:tcW w:w="0" w:type="auto"/>
            <w:hideMark/>
          </w:tcPr>
          <w:p w:rsidR="007A783A" w:rsidRPr="007A783A" w:rsidRDefault="007A783A" w:rsidP="007A783A">
            <w:pPr>
              <w:spacing w:after="160" w:line="259" w:lineRule="auto"/>
              <w:ind w:left="360"/>
              <w:jc w:val="both"/>
            </w:pPr>
            <w:r w:rsidRPr="007A783A">
              <w:t>Surpopulation et conditions dégradées</w:t>
            </w:r>
          </w:p>
        </w:tc>
        <w:tc>
          <w:tcPr>
            <w:tcW w:w="0" w:type="auto"/>
            <w:hideMark/>
          </w:tcPr>
          <w:p w:rsidR="007A783A" w:rsidRPr="007A783A" w:rsidRDefault="007A783A" w:rsidP="007A783A">
            <w:pPr>
              <w:spacing w:after="160" w:line="259" w:lineRule="auto"/>
              <w:ind w:left="360"/>
              <w:jc w:val="both"/>
            </w:pPr>
            <w:r w:rsidRPr="007A783A">
              <w:t>Plan désengorgement + budget santé</w:t>
            </w:r>
          </w:p>
        </w:tc>
        <w:tc>
          <w:tcPr>
            <w:tcW w:w="1552" w:type="dxa"/>
            <w:hideMark/>
          </w:tcPr>
          <w:p w:rsidR="007A783A" w:rsidRPr="007A783A" w:rsidRDefault="007A783A" w:rsidP="007A783A">
            <w:pPr>
              <w:spacing w:after="160" w:line="259" w:lineRule="auto"/>
              <w:ind w:left="360"/>
              <w:jc w:val="both"/>
            </w:pPr>
            <w:r w:rsidRPr="007A783A">
              <w:t>2030</w:t>
            </w:r>
          </w:p>
        </w:tc>
      </w:tr>
    </w:tbl>
    <w:p w:rsidR="00F766B7" w:rsidRDefault="00F766B7" w:rsidP="001B2E82">
      <w:pPr>
        <w:ind w:left="360"/>
        <w:jc w:val="both"/>
      </w:pPr>
    </w:p>
    <w:p w:rsidR="007A783A" w:rsidRPr="007A783A" w:rsidRDefault="007A783A" w:rsidP="007A783A">
      <w:pPr>
        <w:ind w:left="360"/>
        <w:jc w:val="both"/>
        <w:rPr>
          <w:b/>
          <w:bCs/>
        </w:rPr>
      </w:pPr>
      <w:r w:rsidRPr="007A783A">
        <w:rPr>
          <w:b/>
          <w:bCs/>
        </w:rPr>
        <w:t>ANNEXE III – LISTE DES ORGANISATIONS SIGNATAIRES</w:t>
      </w:r>
    </w:p>
    <w:p w:rsidR="007A783A" w:rsidRPr="007A783A" w:rsidRDefault="007A783A" w:rsidP="007A783A">
      <w:pPr>
        <w:numPr>
          <w:ilvl w:val="0"/>
          <w:numId w:val="38"/>
        </w:numPr>
        <w:jc w:val="both"/>
      </w:pPr>
      <w:r w:rsidRPr="007A783A">
        <w:t>ONG HOREB</w:t>
      </w:r>
    </w:p>
    <w:p w:rsidR="007A783A" w:rsidRPr="007A783A" w:rsidRDefault="007A783A" w:rsidP="007A783A">
      <w:pPr>
        <w:numPr>
          <w:ilvl w:val="0"/>
          <w:numId w:val="38"/>
        </w:numPr>
        <w:jc w:val="both"/>
      </w:pPr>
      <w:r w:rsidRPr="007A783A">
        <w:t>ONG MINE</w:t>
      </w:r>
    </w:p>
    <w:p w:rsidR="007A783A" w:rsidRPr="007A783A" w:rsidRDefault="007A783A" w:rsidP="007A783A">
      <w:pPr>
        <w:numPr>
          <w:ilvl w:val="0"/>
          <w:numId w:val="38"/>
        </w:numPr>
        <w:jc w:val="both"/>
      </w:pPr>
      <w:r w:rsidRPr="007A783A">
        <w:t>Association ARC-EN-CIEL</w:t>
      </w:r>
    </w:p>
    <w:p w:rsidR="007A783A" w:rsidRPr="007A783A" w:rsidRDefault="007A783A" w:rsidP="007A783A">
      <w:pPr>
        <w:numPr>
          <w:ilvl w:val="0"/>
          <w:numId w:val="38"/>
        </w:numPr>
        <w:jc w:val="both"/>
      </w:pPr>
      <w:r w:rsidRPr="007A783A">
        <w:t>ONG EDUCAF</w:t>
      </w:r>
    </w:p>
    <w:p w:rsidR="007A783A" w:rsidRPr="007A783A" w:rsidRDefault="007A783A" w:rsidP="007A783A">
      <w:pPr>
        <w:numPr>
          <w:ilvl w:val="0"/>
          <w:numId w:val="38"/>
        </w:numPr>
        <w:jc w:val="both"/>
      </w:pPr>
      <w:r w:rsidRPr="007A783A">
        <w:t>ONG GUITU+</w:t>
      </w:r>
    </w:p>
    <w:p w:rsidR="007A783A" w:rsidRPr="007A783A" w:rsidRDefault="007A783A" w:rsidP="007A783A">
      <w:pPr>
        <w:numPr>
          <w:ilvl w:val="0"/>
          <w:numId w:val="38"/>
        </w:numPr>
        <w:jc w:val="both"/>
      </w:pPr>
      <w:r w:rsidRPr="007A783A">
        <w:t>Ligue Nationale des Droits Humains (LNDH)</w:t>
      </w:r>
    </w:p>
    <w:p w:rsidR="007A783A" w:rsidRPr="007A783A" w:rsidRDefault="007A783A" w:rsidP="007A783A">
      <w:pPr>
        <w:numPr>
          <w:ilvl w:val="0"/>
          <w:numId w:val="38"/>
        </w:numPr>
        <w:jc w:val="both"/>
      </w:pPr>
      <w:r w:rsidRPr="007A783A">
        <w:t>Réseau Femme Lève-Toi (REFLET)</w:t>
      </w:r>
    </w:p>
    <w:p w:rsidR="007A783A" w:rsidRPr="007A783A" w:rsidRDefault="007A783A" w:rsidP="007A783A">
      <w:pPr>
        <w:numPr>
          <w:ilvl w:val="0"/>
          <w:numId w:val="38"/>
        </w:numPr>
        <w:jc w:val="both"/>
      </w:pPr>
      <w:r w:rsidRPr="007A783A">
        <w:t>ONG SAMBA MWANA</w:t>
      </w:r>
    </w:p>
    <w:p w:rsidR="007A783A" w:rsidRPr="007A783A" w:rsidRDefault="007A783A" w:rsidP="007A783A">
      <w:pPr>
        <w:numPr>
          <w:ilvl w:val="0"/>
          <w:numId w:val="38"/>
        </w:numPr>
        <w:jc w:val="both"/>
      </w:pPr>
      <w:r w:rsidRPr="007A783A">
        <w:t>BIO FOOD AND FEED GABON</w:t>
      </w:r>
    </w:p>
    <w:p w:rsidR="00F766B7" w:rsidRDefault="00F766B7" w:rsidP="001B2E82">
      <w:pPr>
        <w:ind w:left="360"/>
        <w:jc w:val="both"/>
      </w:pPr>
    </w:p>
    <w:p w:rsidR="007A783A" w:rsidRPr="007A783A" w:rsidRDefault="007A783A" w:rsidP="007A783A">
      <w:pPr>
        <w:ind w:left="360"/>
        <w:jc w:val="both"/>
        <w:rPr>
          <w:b/>
          <w:bCs/>
        </w:rPr>
      </w:pPr>
      <w:r w:rsidRPr="007A783A">
        <w:rPr>
          <w:b/>
          <w:bCs/>
        </w:rPr>
        <w:lastRenderedPageBreak/>
        <w:t>BIBLIOGRAPHIE (Format ONU)</w:t>
      </w:r>
    </w:p>
    <w:p w:rsidR="007A783A" w:rsidRPr="007A783A" w:rsidRDefault="007A783A" w:rsidP="007A783A">
      <w:pPr>
        <w:numPr>
          <w:ilvl w:val="0"/>
          <w:numId w:val="39"/>
        </w:numPr>
        <w:jc w:val="both"/>
      </w:pPr>
      <w:r w:rsidRPr="007A783A">
        <w:t>Convention contre la torture et autres peines ou traitements cruels, inhumains ou dégradants, 1984.</w:t>
      </w:r>
    </w:p>
    <w:p w:rsidR="007A783A" w:rsidRPr="007A783A" w:rsidRDefault="007A783A" w:rsidP="007A783A">
      <w:pPr>
        <w:numPr>
          <w:ilvl w:val="0"/>
          <w:numId w:val="39"/>
        </w:numPr>
        <w:jc w:val="both"/>
      </w:pPr>
      <w:r w:rsidRPr="007A783A">
        <w:t>Convention relative aux droits de l’enfant, 1989.</w:t>
      </w:r>
    </w:p>
    <w:p w:rsidR="007A783A" w:rsidRPr="007A783A" w:rsidRDefault="007A783A" w:rsidP="007A783A">
      <w:pPr>
        <w:numPr>
          <w:ilvl w:val="0"/>
          <w:numId w:val="39"/>
        </w:numPr>
        <w:jc w:val="both"/>
      </w:pPr>
      <w:r w:rsidRPr="007A783A">
        <w:t>Protocole visant à prévenir, réprimer et punir la traite des personnes.</w:t>
      </w:r>
    </w:p>
    <w:p w:rsidR="007A783A" w:rsidRPr="007A783A" w:rsidRDefault="007A783A" w:rsidP="007A783A">
      <w:pPr>
        <w:numPr>
          <w:ilvl w:val="0"/>
          <w:numId w:val="39"/>
        </w:numPr>
        <w:jc w:val="both"/>
      </w:pPr>
      <w:r w:rsidRPr="007A783A">
        <w:t>Organisation internationale pour les migrations (2022). Collecte de données sur la traite des personnes au Gabon.</w:t>
      </w:r>
    </w:p>
    <w:p w:rsidR="007A783A" w:rsidRPr="007A783A" w:rsidRDefault="007A783A" w:rsidP="007A783A">
      <w:pPr>
        <w:numPr>
          <w:ilvl w:val="0"/>
          <w:numId w:val="39"/>
        </w:numPr>
        <w:jc w:val="both"/>
      </w:pPr>
      <w:r w:rsidRPr="007A783A">
        <w:t>Code de l’Enfant en République Gabonaise (Loi organique n°002/2018).</w:t>
      </w:r>
    </w:p>
    <w:p w:rsidR="007A783A" w:rsidRPr="007A783A" w:rsidRDefault="007A783A" w:rsidP="007A783A">
      <w:pPr>
        <w:numPr>
          <w:ilvl w:val="0"/>
          <w:numId w:val="39"/>
        </w:numPr>
        <w:jc w:val="both"/>
      </w:pPr>
      <w:r w:rsidRPr="007A783A">
        <w:t>Code de procédure pénale de la République Gabonaise.</w:t>
      </w:r>
    </w:p>
    <w:p w:rsidR="007A783A" w:rsidRPr="007A783A" w:rsidRDefault="007A783A" w:rsidP="007A783A">
      <w:pPr>
        <w:numPr>
          <w:ilvl w:val="0"/>
          <w:numId w:val="39"/>
        </w:numPr>
        <w:jc w:val="both"/>
      </w:pPr>
      <w:r w:rsidRPr="007A783A">
        <w:t>Loi n°09/2004 relative à la prévention et à la lutte contre le trafic des enfants.</w:t>
      </w:r>
    </w:p>
    <w:p w:rsidR="007A783A" w:rsidRDefault="007A783A" w:rsidP="001B2E82">
      <w:pPr>
        <w:ind w:left="360"/>
        <w:jc w:val="both"/>
      </w:pPr>
      <w:bookmarkStart w:id="0" w:name="_GoBack"/>
      <w:bookmarkEnd w:id="0"/>
    </w:p>
    <w:sectPr w:rsidR="007A78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419A"/>
    <w:multiLevelType w:val="multilevel"/>
    <w:tmpl w:val="DE5E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A47A8"/>
    <w:multiLevelType w:val="multilevel"/>
    <w:tmpl w:val="6A26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C343C"/>
    <w:multiLevelType w:val="multilevel"/>
    <w:tmpl w:val="4CBA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A1A6D"/>
    <w:multiLevelType w:val="multilevel"/>
    <w:tmpl w:val="1D24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98359D"/>
    <w:multiLevelType w:val="multilevel"/>
    <w:tmpl w:val="01F0C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D7D44"/>
    <w:multiLevelType w:val="multilevel"/>
    <w:tmpl w:val="F038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6770F"/>
    <w:multiLevelType w:val="multilevel"/>
    <w:tmpl w:val="87C4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931158"/>
    <w:multiLevelType w:val="multilevel"/>
    <w:tmpl w:val="13B8D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0E5580"/>
    <w:multiLevelType w:val="multilevel"/>
    <w:tmpl w:val="A542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987DD9"/>
    <w:multiLevelType w:val="multilevel"/>
    <w:tmpl w:val="8C7C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F11984"/>
    <w:multiLevelType w:val="multilevel"/>
    <w:tmpl w:val="17F2061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E87B42"/>
    <w:multiLevelType w:val="multilevel"/>
    <w:tmpl w:val="EFAC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8C24AA"/>
    <w:multiLevelType w:val="multilevel"/>
    <w:tmpl w:val="ADD8CB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A965DC"/>
    <w:multiLevelType w:val="multilevel"/>
    <w:tmpl w:val="C5DC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3547F0"/>
    <w:multiLevelType w:val="multilevel"/>
    <w:tmpl w:val="03AC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D1625B"/>
    <w:multiLevelType w:val="multilevel"/>
    <w:tmpl w:val="230C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E67573"/>
    <w:multiLevelType w:val="multilevel"/>
    <w:tmpl w:val="1EFC1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99167D"/>
    <w:multiLevelType w:val="multilevel"/>
    <w:tmpl w:val="C2D4F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7C1E3E"/>
    <w:multiLevelType w:val="multilevel"/>
    <w:tmpl w:val="B3B2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6D32A7"/>
    <w:multiLevelType w:val="multilevel"/>
    <w:tmpl w:val="C180E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050E8D"/>
    <w:multiLevelType w:val="multilevel"/>
    <w:tmpl w:val="F80A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907CF8"/>
    <w:multiLevelType w:val="multilevel"/>
    <w:tmpl w:val="29E2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9421C4"/>
    <w:multiLevelType w:val="multilevel"/>
    <w:tmpl w:val="27844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BE2CEE"/>
    <w:multiLevelType w:val="multilevel"/>
    <w:tmpl w:val="D782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91647F"/>
    <w:multiLevelType w:val="multilevel"/>
    <w:tmpl w:val="68B43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A5234E"/>
    <w:multiLevelType w:val="multilevel"/>
    <w:tmpl w:val="3B9A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0D44DC"/>
    <w:multiLevelType w:val="multilevel"/>
    <w:tmpl w:val="CEDC5F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C12FEA"/>
    <w:multiLevelType w:val="multilevel"/>
    <w:tmpl w:val="B39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DD48CD"/>
    <w:multiLevelType w:val="multilevel"/>
    <w:tmpl w:val="5AC2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12480B"/>
    <w:multiLevelType w:val="multilevel"/>
    <w:tmpl w:val="0012F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757E72"/>
    <w:multiLevelType w:val="multilevel"/>
    <w:tmpl w:val="3DA2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CC312A"/>
    <w:multiLevelType w:val="multilevel"/>
    <w:tmpl w:val="B2A60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0E2CB2"/>
    <w:multiLevelType w:val="multilevel"/>
    <w:tmpl w:val="B82CF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667CEA"/>
    <w:multiLevelType w:val="multilevel"/>
    <w:tmpl w:val="E094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BC5211"/>
    <w:multiLevelType w:val="multilevel"/>
    <w:tmpl w:val="2C2016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C92FCC"/>
    <w:multiLevelType w:val="multilevel"/>
    <w:tmpl w:val="BDBEA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3E7B49"/>
    <w:multiLevelType w:val="multilevel"/>
    <w:tmpl w:val="C63C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E16DC0"/>
    <w:multiLevelType w:val="multilevel"/>
    <w:tmpl w:val="620C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9D2201"/>
    <w:multiLevelType w:val="multilevel"/>
    <w:tmpl w:val="652E271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28"/>
  </w:num>
  <w:num w:numId="4">
    <w:abstractNumId w:val="0"/>
  </w:num>
  <w:num w:numId="5">
    <w:abstractNumId w:val="25"/>
  </w:num>
  <w:num w:numId="6">
    <w:abstractNumId w:val="6"/>
  </w:num>
  <w:num w:numId="7">
    <w:abstractNumId w:val="1"/>
  </w:num>
  <w:num w:numId="8">
    <w:abstractNumId w:val="19"/>
  </w:num>
  <w:num w:numId="9">
    <w:abstractNumId w:val="11"/>
  </w:num>
  <w:num w:numId="10">
    <w:abstractNumId w:val="18"/>
  </w:num>
  <w:num w:numId="11">
    <w:abstractNumId w:val="3"/>
  </w:num>
  <w:num w:numId="12">
    <w:abstractNumId w:val="31"/>
  </w:num>
  <w:num w:numId="13">
    <w:abstractNumId w:val="20"/>
  </w:num>
  <w:num w:numId="14">
    <w:abstractNumId w:val="15"/>
  </w:num>
  <w:num w:numId="15">
    <w:abstractNumId w:val="24"/>
  </w:num>
  <w:num w:numId="16">
    <w:abstractNumId w:val="13"/>
  </w:num>
  <w:num w:numId="17">
    <w:abstractNumId w:val="35"/>
  </w:num>
  <w:num w:numId="18">
    <w:abstractNumId w:val="4"/>
  </w:num>
  <w:num w:numId="19">
    <w:abstractNumId w:val="22"/>
  </w:num>
  <w:num w:numId="20">
    <w:abstractNumId w:val="37"/>
  </w:num>
  <w:num w:numId="21">
    <w:abstractNumId w:val="36"/>
  </w:num>
  <w:num w:numId="22">
    <w:abstractNumId w:val="30"/>
  </w:num>
  <w:num w:numId="23">
    <w:abstractNumId w:val="27"/>
  </w:num>
  <w:num w:numId="24">
    <w:abstractNumId w:val="16"/>
  </w:num>
  <w:num w:numId="25">
    <w:abstractNumId w:val="7"/>
  </w:num>
  <w:num w:numId="26">
    <w:abstractNumId w:val="2"/>
  </w:num>
  <w:num w:numId="27">
    <w:abstractNumId w:val="21"/>
  </w:num>
  <w:num w:numId="28">
    <w:abstractNumId w:val="23"/>
  </w:num>
  <w:num w:numId="29">
    <w:abstractNumId w:val="32"/>
  </w:num>
  <w:num w:numId="30">
    <w:abstractNumId w:val="29"/>
  </w:num>
  <w:num w:numId="31">
    <w:abstractNumId w:val="26"/>
  </w:num>
  <w:num w:numId="32">
    <w:abstractNumId w:val="34"/>
  </w:num>
  <w:num w:numId="33">
    <w:abstractNumId w:val="12"/>
  </w:num>
  <w:num w:numId="34">
    <w:abstractNumId w:val="38"/>
  </w:num>
  <w:num w:numId="35">
    <w:abstractNumId w:val="10"/>
  </w:num>
  <w:num w:numId="36">
    <w:abstractNumId w:val="17"/>
  </w:num>
  <w:num w:numId="37">
    <w:abstractNumId w:val="33"/>
  </w:num>
  <w:num w:numId="38">
    <w:abstractNumId w:val="14"/>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8E1"/>
    <w:rsid w:val="001B2E82"/>
    <w:rsid w:val="007A783A"/>
    <w:rsid w:val="00A818E1"/>
    <w:rsid w:val="00C54B89"/>
    <w:rsid w:val="00D63813"/>
    <w:rsid w:val="00F766B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FCA1A"/>
  <w15:chartTrackingRefBased/>
  <w15:docId w15:val="{8193528C-F167-4925-92A7-A49095CC3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1B2E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link w:val="Titre2Car"/>
    <w:uiPriority w:val="9"/>
    <w:qFormat/>
    <w:rsid w:val="001B2E82"/>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semiHidden/>
    <w:unhideWhenUsed/>
    <w:qFormat/>
    <w:rsid w:val="00F766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A81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uiPriority w:val="9"/>
    <w:rsid w:val="001B2E82"/>
    <w:rPr>
      <w:rFonts w:ascii="Times New Roman" w:eastAsia="Times New Roman" w:hAnsi="Times New Roman" w:cs="Times New Roman"/>
      <w:b/>
      <w:bCs/>
      <w:sz w:val="36"/>
      <w:szCs w:val="36"/>
      <w:lang w:eastAsia="fr-FR"/>
    </w:rPr>
  </w:style>
  <w:style w:type="paragraph" w:styleId="NormalWeb">
    <w:name w:val="Normal (Web)"/>
    <w:basedOn w:val="Normal"/>
    <w:uiPriority w:val="99"/>
    <w:semiHidden/>
    <w:unhideWhenUsed/>
    <w:rsid w:val="001B2E8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uiPriority w:val="9"/>
    <w:rsid w:val="001B2E82"/>
    <w:rPr>
      <w:rFonts w:asciiTheme="majorHAnsi" w:eastAsiaTheme="majorEastAsia" w:hAnsiTheme="majorHAnsi" w:cstheme="majorBidi"/>
      <w:color w:val="2E74B5" w:themeColor="accent1" w:themeShade="BF"/>
      <w:sz w:val="32"/>
      <w:szCs w:val="32"/>
    </w:rPr>
  </w:style>
  <w:style w:type="character" w:customStyle="1" w:styleId="Titre3Car">
    <w:name w:val="Titre 3 Car"/>
    <w:basedOn w:val="Policepardfaut"/>
    <w:link w:val="Titre3"/>
    <w:uiPriority w:val="9"/>
    <w:semiHidden/>
    <w:rsid w:val="00F766B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7409">
      <w:bodyDiv w:val="1"/>
      <w:marLeft w:val="0"/>
      <w:marRight w:val="0"/>
      <w:marTop w:val="0"/>
      <w:marBottom w:val="0"/>
      <w:divBdr>
        <w:top w:val="none" w:sz="0" w:space="0" w:color="auto"/>
        <w:left w:val="none" w:sz="0" w:space="0" w:color="auto"/>
        <w:bottom w:val="none" w:sz="0" w:space="0" w:color="auto"/>
        <w:right w:val="none" w:sz="0" w:space="0" w:color="auto"/>
      </w:divBdr>
    </w:div>
    <w:div w:id="40401883">
      <w:bodyDiv w:val="1"/>
      <w:marLeft w:val="0"/>
      <w:marRight w:val="0"/>
      <w:marTop w:val="0"/>
      <w:marBottom w:val="0"/>
      <w:divBdr>
        <w:top w:val="none" w:sz="0" w:space="0" w:color="auto"/>
        <w:left w:val="none" w:sz="0" w:space="0" w:color="auto"/>
        <w:bottom w:val="none" w:sz="0" w:space="0" w:color="auto"/>
        <w:right w:val="none" w:sz="0" w:space="0" w:color="auto"/>
      </w:divBdr>
    </w:div>
    <w:div w:id="62334407">
      <w:bodyDiv w:val="1"/>
      <w:marLeft w:val="0"/>
      <w:marRight w:val="0"/>
      <w:marTop w:val="0"/>
      <w:marBottom w:val="0"/>
      <w:divBdr>
        <w:top w:val="none" w:sz="0" w:space="0" w:color="auto"/>
        <w:left w:val="none" w:sz="0" w:space="0" w:color="auto"/>
        <w:bottom w:val="none" w:sz="0" w:space="0" w:color="auto"/>
        <w:right w:val="none" w:sz="0" w:space="0" w:color="auto"/>
      </w:divBdr>
    </w:div>
    <w:div w:id="95711602">
      <w:bodyDiv w:val="1"/>
      <w:marLeft w:val="0"/>
      <w:marRight w:val="0"/>
      <w:marTop w:val="0"/>
      <w:marBottom w:val="0"/>
      <w:divBdr>
        <w:top w:val="none" w:sz="0" w:space="0" w:color="auto"/>
        <w:left w:val="none" w:sz="0" w:space="0" w:color="auto"/>
        <w:bottom w:val="none" w:sz="0" w:space="0" w:color="auto"/>
        <w:right w:val="none" w:sz="0" w:space="0" w:color="auto"/>
      </w:divBdr>
    </w:div>
    <w:div w:id="178083904">
      <w:bodyDiv w:val="1"/>
      <w:marLeft w:val="0"/>
      <w:marRight w:val="0"/>
      <w:marTop w:val="0"/>
      <w:marBottom w:val="0"/>
      <w:divBdr>
        <w:top w:val="none" w:sz="0" w:space="0" w:color="auto"/>
        <w:left w:val="none" w:sz="0" w:space="0" w:color="auto"/>
        <w:bottom w:val="none" w:sz="0" w:space="0" w:color="auto"/>
        <w:right w:val="none" w:sz="0" w:space="0" w:color="auto"/>
      </w:divBdr>
    </w:div>
    <w:div w:id="329604913">
      <w:bodyDiv w:val="1"/>
      <w:marLeft w:val="0"/>
      <w:marRight w:val="0"/>
      <w:marTop w:val="0"/>
      <w:marBottom w:val="0"/>
      <w:divBdr>
        <w:top w:val="none" w:sz="0" w:space="0" w:color="auto"/>
        <w:left w:val="none" w:sz="0" w:space="0" w:color="auto"/>
        <w:bottom w:val="none" w:sz="0" w:space="0" w:color="auto"/>
        <w:right w:val="none" w:sz="0" w:space="0" w:color="auto"/>
      </w:divBdr>
    </w:div>
    <w:div w:id="521895898">
      <w:bodyDiv w:val="1"/>
      <w:marLeft w:val="0"/>
      <w:marRight w:val="0"/>
      <w:marTop w:val="0"/>
      <w:marBottom w:val="0"/>
      <w:divBdr>
        <w:top w:val="none" w:sz="0" w:space="0" w:color="auto"/>
        <w:left w:val="none" w:sz="0" w:space="0" w:color="auto"/>
        <w:bottom w:val="none" w:sz="0" w:space="0" w:color="auto"/>
        <w:right w:val="none" w:sz="0" w:space="0" w:color="auto"/>
      </w:divBdr>
    </w:div>
    <w:div w:id="594097565">
      <w:bodyDiv w:val="1"/>
      <w:marLeft w:val="0"/>
      <w:marRight w:val="0"/>
      <w:marTop w:val="0"/>
      <w:marBottom w:val="0"/>
      <w:divBdr>
        <w:top w:val="none" w:sz="0" w:space="0" w:color="auto"/>
        <w:left w:val="none" w:sz="0" w:space="0" w:color="auto"/>
        <w:bottom w:val="none" w:sz="0" w:space="0" w:color="auto"/>
        <w:right w:val="none" w:sz="0" w:space="0" w:color="auto"/>
      </w:divBdr>
    </w:div>
    <w:div w:id="609168915">
      <w:bodyDiv w:val="1"/>
      <w:marLeft w:val="0"/>
      <w:marRight w:val="0"/>
      <w:marTop w:val="0"/>
      <w:marBottom w:val="0"/>
      <w:divBdr>
        <w:top w:val="none" w:sz="0" w:space="0" w:color="auto"/>
        <w:left w:val="none" w:sz="0" w:space="0" w:color="auto"/>
        <w:bottom w:val="none" w:sz="0" w:space="0" w:color="auto"/>
        <w:right w:val="none" w:sz="0" w:space="0" w:color="auto"/>
      </w:divBdr>
    </w:div>
    <w:div w:id="653533824">
      <w:bodyDiv w:val="1"/>
      <w:marLeft w:val="0"/>
      <w:marRight w:val="0"/>
      <w:marTop w:val="0"/>
      <w:marBottom w:val="0"/>
      <w:divBdr>
        <w:top w:val="none" w:sz="0" w:space="0" w:color="auto"/>
        <w:left w:val="none" w:sz="0" w:space="0" w:color="auto"/>
        <w:bottom w:val="none" w:sz="0" w:space="0" w:color="auto"/>
        <w:right w:val="none" w:sz="0" w:space="0" w:color="auto"/>
      </w:divBdr>
      <w:divsChild>
        <w:div w:id="4667784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4544179">
      <w:bodyDiv w:val="1"/>
      <w:marLeft w:val="0"/>
      <w:marRight w:val="0"/>
      <w:marTop w:val="0"/>
      <w:marBottom w:val="0"/>
      <w:divBdr>
        <w:top w:val="none" w:sz="0" w:space="0" w:color="auto"/>
        <w:left w:val="none" w:sz="0" w:space="0" w:color="auto"/>
        <w:bottom w:val="none" w:sz="0" w:space="0" w:color="auto"/>
        <w:right w:val="none" w:sz="0" w:space="0" w:color="auto"/>
      </w:divBdr>
    </w:div>
    <w:div w:id="742530951">
      <w:bodyDiv w:val="1"/>
      <w:marLeft w:val="0"/>
      <w:marRight w:val="0"/>
      <w:marTop w:val="0"/>
      <w:marBottom w:val="0"/>
      <w:divBdr>
        <w:top w:val="none" w:sz="0" w:space="0" w:color="auto"/>
        <w:left w:val="none" w:sz="0" w:space="0" w:color="auto"/>
        <w:bottom w:val="none" w:sz="0" w:space="0" w:color="auto"/>
        <w:right w:val="none" w:sz="0" w:space="0" w:color="auto"/>
      </w:divBdr>
      <w:divsChild>
        <w:div w:id="575020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8545515">
      <w:bodyDiv w:val="1"/>
      <w:marLeft w:val="0"/>
      <w:marRight w:val="0"/>
      <w:marTop w:val="0"/>
      <w:marBottom w:val="0"/>
      <w:divBdr>
        <w:top w:val="none" w:sz="0" w:space="0" w:color="auto"/>
        <w:left w:val="none" w:sz="0" w:space="0" w:color="auto"/>
        <w:bottom w:val="none" w:sz="0" w:space="0" w:color="auto"/>
        <w:right w:val="none" w:sz="0" w:space="0" w:color="auto"/>
      </w:divBdr>
    </w:div>
    <w:div w:id="956255156">
      <w:bodyDiv w:val="1"/>
      <w:marLeft w:val="0"/>
      <w:marRight w:val="0"/>
      <w:marTop w:val="0"/>
      <w:marBottom w:val="0"/>
      <w:divBdr>
        <w:top w:val="none" w:sz="0" w:space="0" w:color="auto"/>
        <w:left w:val="none" w:sz="0" w:space="0" w:color="auto"/>
        <w:bottom w:val="none" w:sz="0" w:space="0" w:color="auto"/>
        <w:right w:val="none" w:sz="0" w:space="0" w:color="auto"/>
      </w:divBdr>
    </w:div>
    <w:div w:id="991060863">
      <w:bodyDiv w:val="1"/>
      <w:marLeft w:val="0"/>
      <w:marRight w:val="0"/>
      <w:marTop w:val="0"/>
      <w:marBottom w:val="0"/>
      <w:divBdr>
        <w:top w:val="none" w:sz="0" w:space="0" w:color="auto"/>
        <w:left w:val="none" w:sz="0" w:space="0" w:color="auto"/>
        <w:bottom w:val="none" w:sz="0" w:space="0" w:color="auto"/>
        <w:right w:val="none" w:sz="0" w:space="0" w:color="auto"/>
      </w:divBdr>
    </w:div>
    <w:div w:id="1028456530">
      <w:bodyDiv w:val="1"/>
      <w:marLeft w:val="0"/>
      <w:marRight w:val="0"/>
      <w:marTop w:val="0"/>
      <w:marBottom w:val="0"/>
      <w:divBdr>
        <w:top w:val="none" w:sz="0" w:space="0" w:color="auto"/>
        <w:left w:val="none" w:sz="0" w:space="0" w:color="auto"/>
        <w:bottom w:val="none" w:sz="0" w:space="0" w:color="auto"/>
        <w:right w:val="none" w:sz="0" w:space="0" w:color="auto"/>
      </w:divBdr>
    </w:div>
    <w:div w:id="1032001309">
      <w:bodyDiv w:val="1"/>
      <w:marLeft w:val="0"/>
      <w:marRight w:val="0"/>
      <w:marTop w:val="0"/>
      <w:marBottom w:val="0"/>
      <w:divBdr>
        <w:top w:val="none" w:sz="0" w:space="0" w:color="auto"/>
        <w:left w:val="none" w:sz="0" w:space="0" w:color="auto"/>
        <w:bottom w:val="none" w:sz="0" w:space="0" w:color="auto"/>
        <w:right w:val="none" w:sz="0" w:space="0" w:color="auto"/>
      </w:divBdr>
    </w:div>
    <w:div w:id="1157111649">
      <w:bodyDiv w:val="1"/>
      <w:marLeft w:val="0"/>
      <w:marRight w:val="0"/>
      <w:marTop w:val="0"/>
      <w:marBottom w:val="0"/>
      <w:divBdr>
        <w:top w:val="none" w:sz="0" w:space="0" w:color="auto"/>
        <w:left w:val="none" w:sz="0" w:space="0" w:color="auto"/>
        <w:bottom w:val="none" w:sz="0" w:space="0" w:color="auto"/>
        <w:right w:val="none" w:sz="0" w:space="0" w:color="auto"/>
      </w:divBdr>
    </w:div>
    <w:div w:id="1182282746">
      <w:bodyDiv w:val="1"/>
      <w:marLeft w:val="0"/>
      <w:marRight w:val="0"/>
      <w:marTop w:val="0"/>
      <w:marBottom w:val="0"/>
      <w:divBdr>
        <w:top w:val="none" w:sz="0" w:space="0" w:color="auto"/>
        <w:left w:val="none" w:sz="0" w:space="0" w:color="auto"/>
        <w:bottom w:val="none" w:sz="0" w:space="0" w:color="auto"/>
        <w:right w:val="none" w:sz="0" w:space="0" w:color="auto"/>
      </w:divBdr>
    </w:div>
    <w:div w:id="1318193116">
      <w:bodyDiv w:val="1"/>
      <w:marLeft w:val="0"/>
      <w:marRight w:val="0"/>
      <w:marTop w:val="0"/>
      <w:marBottom w:val="0"/>
      <w:divBdr>
        <w:top w:val="none" w:sz="0" w:space="0" w:color="auto"/>
        <w:left w:val="none" w:sz="0" w:space="0" w:color="auto"/>
        <w:bottom w:val="none" w:sz="0" w:space="0" w:color="auto"/>
        <w:right w:val="none" w:sz="0" w:space="0" w:color="auto"/>
      </w:divBdr>
    </w:div>
    <w:div w:id="1356465096">
      <w:bodyDiv w:val="1"/>
      <w:marLeft w:val="0"/>
      <w:marRight w:val="0"/>
      <w:marTop w:val="0"/>
      <w:marBottom w:val="0"/>
      <w:divBdr>
        <w:top w:val="none" w:sz="0" w:space="0" w:color="auto"/>
        <w:left w:val="none" w:sz="0" w:space="0" w:color="auto"/>
        <w:bottom w:val="none" w:sz="0" w:space="0" w:color="auto"/>
        <w:right w:val="none" w:sz="0" w:space="0" w:color="auto"/>
      </w:divBdr>
    </w:div>
    <w:div w:id="1417632382">
      <w:bodyDiv w:val="1"/>
      <w:marLeft w:val="0"/>
      <w:marRight w:val="0"/>
      <w:marTop w:val="0"/>
      <w:marBottom w:val="0"/>
      <w:divBdr>
        <w:top w:val="none" w:sz="0" w:space="0" w:color="auto"/>
        <w:left w:val="none" w:sz="0" w:space="0" w:color="auto"/>
        <w:bottom w:val="none" w:sz="0" w:space="0" w:color="auto"/>
        <w:right w:val="none" w:sz="0" w:space="0" w:color="auto"/>
      </w:divBdr>
    </w:div>
    <w:div w:id="1488743765">
      <w:bodyDiv w:val="1"/>
      <w:marLeft w:val="0"/>
      <w:marRight w:val="0"/>
      <w:marTop w:val="0"/>
      <w:marBottom w:val="0"/>
      <w:divBdr>
        <w:top w:val="none" w:sz="0" w:space="0" w:color="auto"/>
        <w:left w:val="none" w:sz="0" w:space="0" w:color="auto"/>
        <w:bottom w:val="none" w:sz="0" w:space="0" w:color="auto"/>
        <w:right w:val="none" w:sz="0" w:space="0" w:color="auto"/>
      </w:divBdr>
    </w:div>
    <w:div w:id="1501970838">
      <w:bodyDiv w:val="1"/>
      <w:marLeft w:val="0"/>
      <w:marRight w:val="0"/>
      <w:marTop w:val="0"/>
      <w:marBottom w:val="0"/>
      <w:divBdr>
        <w:top w:val="none" w:sz="0" w:space="0" w:color="auto"/>
        <w:left w:val="none" w:sz="0" w:space="0" w:color="auto"/>
        <w:bottom w:val="none" w:sz="0" w:space="0" w:color="auto"/>
        <w:right w:val="none" w:sz="0" w:space="0" w:color="auto"/>
      </w:divBdr>
    </w:div>
    <w:div w:id="1526796799">
      <w:bodyDiv w:val="1"/>
      <w:marLeft w:val="0"/>
      <w:marRight w:val="0"/>
      <w:marTop w:val="0"/>
      <w:marBottom w:val="0"/>
      <w:divBdr>
        <w:top w:val="none" w:sz="0" w:space="0" w:color="auto"/>
        <w:left w:val="none" w:sz="0" w:space="0" w:color="auto"/>
        <w:bottom w:val="none" w:sz="0" w:space="0" w:color="auto"/>
        <w:right w:val="none" w:sz="0" w:space="0" w:color="auto"/>
      </w:divBdr>
    </w:div>
    <w:div w:id="1528565552">
      <w:bodyDiv w:val="1"/>
      <w:marLeft w:val="0"/>
      <w:marRight w:val="0"/>
      <w:marTop w:val="0"/>
      <w:marBottom w:val="0"/>
      <w:divBdr>
        <w:top w:val="none" w:sz="0" w:space="0" w:color="auto"/>
        <w:left w:val="none" w:sz="0" w:space="0" w:color="auto"/>
        <w:bottom w:val="none" w:sz="0" w:space="0" w:color="auto"/>
        <w:right w:val="none" w:sz="0" w:space="0" w:color="auto"/>
      </w:divBdr>
    </w:div>
    <w:div w:id="1634367885">
      <w:bodyDiv w:val="1"/>
      <w:marLeft w:val="0"/>
      <w:marRight w:val="0"/>
      <w:marTop w:val="0"/>
      <w:marBottom w:val="0"/>
      <w:divBdr>
        <w:top w:val="none" w:sz="0" w:space="0" w:color="auto"/>
        <w:left w:val="none" w:sz="0" w:space="0" w:color="auto"/>
        <w:bottom w:val="none" w:sz="0" w:space="0" w:color="auto"/>
        <w:right w:val="none" w:sz="0" w:space="0" w:color="auto"/>
      </w:divBdr>
    </w:div>
    <w:div w:id="1675498427">
      <w:bodyDiv w:val="1"/>
      <w:marLeft w:val="0"/>
      <w:marRight w:val="0"/>
      <w:marTop w:val="0"/>
      <w:marBottom w:val="0"/>
      <w:divBdr>
        <w:top w:val="none" w:sz="0" w:space="0" w:color="auto"/>
        <w:left w:val="none" w:sz="0" w:space="0" w:color="auto"/>
        <w:bottom w:val="none" w:sz="0" w:space="0" w:color="auto"/>
        <w:right w:val="none" w:sz="0" w:space="0" w:color="auto"/>
      </w:divBdr>
    </w:div>
    <w:div w:id="1722316194">
      <w:bodyDiv w:val="1"/>
      <w:marLeft w:val="0"/>
      <w:marRight w:val="0"/>
      <w:marTop w:val="0"/>
      <w:marBottom w:val="0"/>
      <w:divBdr>
        <w:top w:val="none" w:sz="0" w:space="0" w:color="auto"/>
        <w:left w:val="none" w:sz="0" w:space="0" w:color="auto"/>
        <w:bottom w:val="none" w:sz="0" w:space="0" w:color="auto"/>
        <w:right w:val="none" w:sz="0" w:space="0" w:color="auto"/>
      </w:divBdr>
    </w:div>
    <w:div w:id="1773042457">
      <w:bodyDiv w:val="1"/>
      <w:marLeft w:val="0"/>
      <w:marRight w:val="0"/>
      <w:marTop w:val="0"/>
      <w:marBottom w:val="0"/>
      <w:divBdr>
        <w:top w:val="none" w:sz="0" w:space="0" w:color="auto"/>
        <w:left w:val="none" w:sz="0" w:space="0" w:color="auto"/>
        <w:bottom w:val="none" w:sz="0" w:space="0" w:color="auto"/>
        <w:right w:val="none" w:sz="0" w:space="0" w:color="auto"/>
      </w:divBdr>
    </w:div>
    <w:div w:id="1826311388">
      <w:bodyDiv w:val="1"/>
      <w:marLeft w:val="0"/>
      <w:marRight w:val="0"/>
      <w:marTop w:val="0"/>
      <w:marBottom w:val="0"/>
      <w:divBdr>
        <w:top w:val="none" w:sz="0" w:space="0" w:color="auto"/>
        <w:left w:val="none" w:sz="0" w:space="0" w:color="auto"/>
        <w:bottom w:val="none" w:sz="0" w:space="0" w:color="auto"/>
        <w:right w:val="none" w:sz="0" w:space="0" w:color="auto"/>
      </w:divBdr>
    </w:div>
    <w:div w:id="2010595674">
      <w:bodyDiv w:val="1"/>
      <w:marLeft w:val="0"/>
      <w:marRight w:val="0"/>
      <w:marTop w:val="0"/>
      <w:marBottom w:val="0"/>
      <w:divBdr>
        <w:top w:val="none" w:sz="0" w:space="0" w:color="auto"/>
        <w:left w:val="none" w:sz="0" w:space="0" w:color="auto"/>
        <w:bottom w:val="none" w:sz="0" w:space="0" w:color="auto"/>
        <w:right w:val="none" w:sz="0" w:space="0" w:color="auto"/>
      </w:divBdr>
    </w:div>
    <w:div w:id="2018462152">
      <w:bodyDiv w:val="1"/>
      <w:marLeft w:val="0"/>
      <w:marRight w:val="0"/>
      <w:marTop w:val="0"/>
      <w:marBottom w:val="0"/>
      <w:divBdr>
        <w:top w:val="none" w:sz="0" w:space="0" w:color="auto"/>
        <w:left w:val="none" w:sz="0" w:space="0" w:color="auto"/>
        <w:bottom w:val="none" w:sz="0" w:space="0" w:color="auto"/>
        <w:right w:val="none" w:sz="0" w:space="0" w:color="auto"/>
      </w:divBdr>
    </w:div>
    <w:div w:id="2081901467">
      <w:bodyDiv w:val="1"/>
      <w:marLeft w:val="0"/>
      <w:marRight w:val="0"/>
      <w:marTop w:val="0"/>
      <w:marBottom w:val="0"/>
      <w:divBdr>
        <w:top w:val="none" w:sz="0" w:space="0" w:color="auto"/>
        <w:left w:val="none" w:sz="0" w:space="0" w:color="auto"/>
        <w:bottom w:val="none" w:sz="0" w:space="0" w:color="auto"/>
        <w:right w:val="none" w:sz="0" w:space="0" w:color="auto"/>
      </w:divBdr>
    </w:div>
    <w:div w:id="2088114828">
      <w:bodyDiv w:val="1"/>
      <w:marLeft w:val="0"/>
      <w:marRight w:val="0"/>
      <w:marTop w:val="0"/>
      <w:marBottom w:val="0"/>
      <w:divBdr>
        <w:top w:val="none" w:sz="0" w:space="0" w:color="auto"/>
        <w:left w:val="none" w:sz="0" w:space="0" w:color="auto"/>
        <w:bottom w:val="none" w:sz="0" w:space="0" w:color="auto"/>
        <w:right w:val="none" w:sz="0" w:space="0" w:color="auto"/>
      </w:divBdr>
    </w:div>
    <w:div w:id="214453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13</Pages>
  <Words>2733</Words>
  <Characters>15036</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xxx</cp:lastModifiedBy>
  <cp:revision>1</cp:revision>
  <dcterms:created xsi:type="dcterms:W3CDTF">2026-02-20T15:33:00Z</dcterms:created>
  <dcterms:modified xsi:type="dcterms:W3CDTF">2026-02-20T16:11:00Z</dcterms:modified>
</cp:coreProperties>
</file>