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B56E9C" w:rsidRPr="005563A3" w14:paraId="3A64034B" w14:textId="77777777" w:rsidTr="005563A3">
        <w:trPr>
          <w:cantSplit/>
          <w:trHeight w:hRule="exact" w:val="851"/>
        </w:trPr>
        <w:tc>
          <w:tcPr>
            <w:tcW w:w="1276" w:type="dxa"/>
            <w:tcBorders>
              <w:bottom w:val="single" w:sz="4" w:space="0" w:color="auto"/>
            </w:tcBorders>
            <w:vAlign w:val="bottom"/>
          </w:tcPr>
          <w:p w14:paraId="6425EA64" w14:textId="77777777" w:rsidR="00B56E9C" w:rsidRDefault="00B56E9C" w:rsidP="00DC046E">
            <w:pPr>
              <w:spacing w:after="80"/>
            </w:pPr>
          </w:p>
        </w:tc>
        <w:tc>
          <w:tcPr>
            <w:tcW w:w="2268" w:type="dxa"/>
            <w:tcBorders>
              <w:bottom w:val="single" w:sz="4" w:space="0" w:color="auto"/>
            </w:tcBorders>
            <w:vAlign w:val="bottom"/>
          </w:tcPr>
          <w:p w14:paraId="1D9DDC84" w14:textId="616EDEF7" w:rsidR="00B56E9C" w:rsidRPr="00BE5AC7" w:rsidRDefault="00B56E9C" w:rsidP="00DC046E">
            <w:pPr>
              <w:spacing w:after="80" w:line="300" w:lineRule="exact"/>
              <w:rPr>
                <w:b/>
                <w:sz w:val="24"/>
                <w:szCs w:val="24"/>
              </w:rPr>
            </w:pPr>
          </w:p>
        </w:tc>
        <w:tc>
          <w:tcPr>
            <w:tcW w:w="6095" w:type="dxa"/>
            <w:gridSpan w:val="2"/>
            <w:tcBorders>
              <w:bottom w:val="single" w:sz="4" w:space="0" w:color="auto"/>
            </w:tcBorders>
            <w:vAlign w:val="bottom"/>
          </w:tcPr>
          <w:p w14:paraId="7AACB05D" w14:textId="03B759BB" w:rsidR="00824B60" w:rsidRPr="004F0E35" w:rsidRDefault="005563A3">
            <w:pPr>
              <w:spacing w:line="240" w:lineRule="exact"/>
              <w:jc w:val="center"/>
              <w:rPr>
                <w:lang w:val="fr-FR"/>
              </w:rPr>
            </w:pPr>
            <w:r w:rsidRPr="004F0E35">
              <w:rPr>
                <w:sz w:val="26"/>
                <w:szCs w:val="26"/>
                <w:lang w:val="fr-FR"/>
              </w:rPr>
              <w:t>CCPR</w:t>
            </w:r>
            <w:r w:rsidRPr="004F0E35">
              <w:rPr>
                <w:lang w:val="fr-FR"/>
              </w:rPr>
              <w:t>/C/139/D/2914/2016</w:t>
            </w:r>
            <w:r w:rsidR="005C1CDE" w:rsidRPr="004F0E35">
              <w:rPr>
                <w:lang w:val="fr-FR"/>
              </w:rPr>
              <w:t xml:space="preserve">, </w:t>
            </w:r>
            <w:r w:rsidRPr="004F0E35">
              <w:rPr>
                <w:sz w:val="26"/>
                <w:szCs w:val="26"/>
                <w:lang w:val="fr-FR"/>
              </w:rPr>
              <w:t>CCPR</w:t>
            </w:r>
            <w:r w:rsidRPr="004F0E35">
              <w:rPr>
                <w:lang w:val="fr-FR"/>
              </w:rPr>
              <w:t xml:space="preserve">/C/139/D/3040/2017 </w:t>
            </w:r>
          </w:p>
          <w:p w14:paraId="4C2173CB" w14:textId="528DBAB3" w:rsidR="004F1456" w:rsidRPr="00BE5AC7" w:rsidRDefault="004F1456" w:rsidP="004F0E35">
            <w:pPr>
              <w:spacing w:line="240" w:lineRule="exact"/>
              <w:jc w:val="center"/>
            </w:pPr>
            <w:r w:rsidRPr="005563A3">
              <w:rPr>
                <w:sz w:val="26"/>
                <w:szCs w:val="26"/>
              </w:rPr>
              <w:t>CCPR</w:t>
            </w:r>
            <w:r w:rsidRPr="00BE5AC7">
              <w:t>/C/139/D/30</w:t>
            </w:r>
            <w:r w:rsidR="0094216F">
              <w:t>51</w:t>
            </w:r>
            <w:r w:rsidRPr="00BE5AC7">
              <w:t>/201</w:t>
            </w:r>
            <w:r w:rsidR="0094216F">
              <w:t>7</w:t>
            </w:r>
            <w:r w:rsidR="005563A3" w:rsidRPr="005563A3">
              <w:rPr>
                <w:sz w:val="26"/>
                <w:szCs w:val="26"/>
              </w:rPr>
              <w:t xml:space="preserve"> </w:t>
            </w:r>
          </w:p>
        </w:tc>
      </w:tr>
      <w:tr w:rsidR="00B56E9C" w:rsidRPr="00BE5AC7" w14:paraId="44EA9D67" w14:textId="77777777" w:rsidTr="00DC046E">
        <w:trPr>
          <w:cantSplit/>
          <w:trHeight w:hRule="exact" w:val="2835"/>
        </w:trPr>
        <w:tc>
          <w:tcPr>
            <w:tcW w:w="1276" w:type="dxa"/>
            <w:tcBorders>
              <w:top w:val="single" w:sz="4" w:space="0" w:color="auto"/>
              <w:bottom w:val="single" w:sz="12" w:space="0" w:color="auto"/>
            </w:tcBorders>
          </w:tcPr>
          <w:p w14:paraId="29DF3834" w14:textId="22403773" w:rsidR="00B56E9C" w:rsidRPr="00BE5AC7" w:rsidRDefault="005563A3" w:rsidP="00DC046E">
            <w:pPr>
              <w:spacing w:before="120"/>
            </w:pPr>
            <w:r>
              <w:br/>
            </w:r>
          </w:p>
        </w:tc>
        <w:tc>
          <w:tcPr>
            <w:tcW w:w="5528" w:type="dxa"/>
            <w:gridSpan w:val="2"/>
            <w:tcBorders>
              <w:top w:val="single" w:sz="4" w:space="0" w:color="auto"/>
              <w:bottom w:val="single" w:sz="12" w:space="0" w:color="auto"/>
            </w:tcBorders>
          </w:tcPr>
          <w:p w14:paraId="684EF1C4" w14:textId="6D0529F2" w:rsidR="00B56E9C" w:rsidRDefault="00B56E9C" w:rsidP="00DC046E">
            <w:pPr>
              <w:spacing w:before="120" w:line="380" w:lineRule="exact"/>
              <w:rPr>
                <w:b/>
                <w:sz w:val="34"/>
                <w:szCs w:val="40"/>
              </w:rPr>
            </w:pPr>
          </w:p>
          <w:p w14:paraId="6B674108" w14:textId="77777777" w:rsidR="00C55329" w:rsidRDefault="00C55329" w:rsidP="00DC046E">
            <w:pPr>
              <w:spacing w:before="120" w:line="380" w:lineRule="exact"/>
              <w:rPr>
                <w:b/>
                <w:sz w:val="34"/>
                <w:szCs w:val="40"/>
              </w:rPr>
            </w:pPr>
          </w:p>
          <w:p w14:paraId="737BE234" w14:textId="097135F6" w:rsidR="00C55329" w:rsidRPr="00BE5AC7" w:rsidRDefault="00C55329" w:rsidP="00DC046E">
            <w:pPr>
              <w:spacing w:before="120" w:line="380" w:lineRule="exact"/>
              <w:rPr>
                <w:sz w:val="34"/>
              </w:rPr>
            </w:pPr>
            <w:r>
              <w:rPr>
                <w:b/>
                <w:sz w:val="34"/>
                <w:szCs w:val="40"/>
              </w:rPr>
              <w:t>Advance unedited version</w:t>
            </w:r>
          </w:p>
        </w:tc>
        <w:tc>
          <w:tcPr>
            <w:tcW w:w="2835" w:type="dxa"/>
            <w:tcBorders>
              <w:top w:val="single" w:sz="4" w:space="0" w:color="auto"/>
              <w:bottom w:val="single" w:sz="12" w:space="0" w:color="auto"/>
            </w:tcBorders>
          </w:tcPr>
          <w:p w14:paraId="74F120D4" w14:textId="6C0F35FF" w:rsidR="001645A7" w:rsidRPr="00BE5AC7" w:rsidRDefault="001645A7" w:rsidP="001645A7">
            <w:pPr>
              <w:spacing w:before="240" w:line="240" w:lineRule="exact"/>
              <w:rPr>
                <w:lang w:eastAsia="en-GB"/>
              </w:rPr>
            </w:pPr>
            <w:r w:rsidRPr="00BE5AC7">
              <w:t xml:space="preserve">Distr.: </w:t>
            </w:r>
            <w:r w:rsidR="006B4592">
              <w:t>General</w:t>
            </w:r>
          </w:p>
          <w:p w14:paraId="54BFB024" w14:textId="1E976D5A" w:rsidR="001645A7" w:rsidRDefault="006B4592" w:rsidP="001645A7">
            <w:pPr>
              <w:spacing w:line="240" w:lineRule="exact"/>
            </w:pPr>
            <w:r>
              <w:t xml:space="preserve">20 </w:t>
            </w:r>
            <w:r w:rsidR="000F12AF">
              <w:t>October 2023</w:t>
            </w:r>
          </w:p>
          <w:p w14:paraId="16F063F0" w14:textId="77777777" w:rsidR="000F12AF" w:rsidRPr="00BE5AC7" w:rsidRDefault="000F12AF" w:rsidP="001645A7">
            <w:pPr>
              <w:spacing w:line="240" w:lineRule="exact"/>
            </w:pPr>
          </w:p>
          <w:p w14:paraId="72A1D162" w14:textId="324AD6F6" w:rsidR="00B56E9C" w:rsidRPr="00BE5AC7" w:rsidRDefault="001645A7" w:rsidP="005563A3">
            <w:pPr>
              <w:spacing w:line="240" w:lineRule="exact"/>
            </w:pPr>
            <w:r w:rsidRPr="00BE5AC7">
              <w:t>English</w:t>
            </w:r>
            <w:r w:rsidR="000F12AF">
              <w:t xml:space="preserve"> </w:t>
            </w:r>
          </w:p>
        </w:tc>
      </w:tr>
    </w:tbl>
    <w:p w14:paraId="5F7D48D0" w14:textId="77777777" w:rsidR="001645A7" w:rsidRPr="004F5259" w:rsidRDefault="001645A7" w:rsidP="001645A7">
      <w:pPr>
        <w:spacing w:before="120"/>
        <w:rPr>
          <w:b/>
          <w:sz w:val="24"/>
          <w:szCs w:val="24"/>
        </w:rPr>
      </w:pPr>
      <w:r w:rsidRPr="004F5259">
        <w:rPr>
          <w:b/>
          <w:sz w:val="24"/>
          <w:szCs w:val="24"/>
        </w:rPr>
        <w:t>Human Rights Committee</w:t>
      </w:r>
    </w:p>
    <w:p w14:paraId="2B2812A1" w14:textId="5CEA72B5" w:rsidR="001645A7" w:rsidRPr="005C1CDE" w:rsidRDefault="001645A7" w:rsidP="005C1CDE">
      <w:pPr>
        <w:pStyle w:val="HChG"/>
      </w:pPr>
      <w:r w:rsidRPr="00BE5AC7">
        <w:tab/>
      </w:r>
      <w:r w:rsidRPr="00BE5AC7">
        <w:tab/>
      </w:r>
      <w:r w:rsidR="006B4592" w:rsidRPr="005C1CDE">
        <w:t>Views adopted by the Committee under article 5 (4) of the Optional Protocol, concerning c</w:t>
      </w:r>
      <w:r w:rsidRPr="005C1CDE">
        <w:t xml:space="preserve">ommunications Nos. </w:t>
      </w:r>
      <w:r w:rsidR="0094216F" w:rsidRPr="005C1CDE">
        <w:t>2914</w:t>
      </w:r>
      <w:r w:rsidRPr="005C1CDE">
        <w:t>/201</w:t>
      </w:r>
      <w:r w:rsidR="0094216F" w:rsidRPr="005C1CDE">
        <w:t>6</w:t>
      </w:r>
      <w:r w:rsidR="004F1456" w:rsidRPr="005C1CDE">
        <w:t>, 30</w:t>
      </w:r>
      <w:r w:rsidR="0094216F" w:rsidRPr="005C1CDE">
        <w:t>40</w:t>
      </w:r>
      <w:r w:rsidR="004F1456" w:rsidRPr="005C1CDE">
        <w:t>/201</w:t>
      </w:r>
      <w:r w:rsidR="0094216F" w:rsidRPr="005C1CDE">
        <w:t>7</w:t>
      </w:r>
      <w:r w:rsidRPr="005C1CDE">
        <w:t xml:space="preserve"> and 30</w:t>
      </w:r>
      <w:r w:rsidR="0094216F" w:rsidRPr="005C1CDE">
        <w:t>51</w:t>
      </w:r>
      <w:r w:rsidRPr="005C1CDE">
        <w:t>/201</w:t>
      </w:r>
      <w:r w:rsidR="0094216F" w:rsidRPr="005C1CDE">
        <w:t>7</w:t>
      </w:r>
      <w:r w:rsidR="006B4592" w:rsidRPr="004F0E35">
        <w:rPr>
          <w:rStyle w:val="FootnoteReference"/>
          <w:sz w:val="28"/>
          <w:vertAlign w:val="baseline"/>
        </w:rPr>
        <w:footnoteReference w:customMarkFollows="1" w:id="2"/>
        <w:t>*</w:t>
      </w:r>
      <w:r w:rsidR="006B4592" w:rsidRPr="004F0E35">
        <w:rPr>
          <w:vertAlign w:val="superscript"/>
        </w:rPr>
        <w:t>,</w:t>
      </w:r>
      <w:r w:rsidR="006B4592" w:rsidRPr="004F0E35">
        <w:rPr>
          <w:rStyle w:val="FootnoteReference"/>
          <w:sz w:val="28"/>
          <w:vertAlign w:val="baseline"/>
        </w:rPr>
        <w:footnoteReference w:customMarkFollows="1" w:id="3"/>
        <w:t>**</w:t>
      </w:r>
    </w:p>
    <w:p w14:paraId="1A0397C7" w14:textId="55A14318" w:rsidR="001645A7" w:rsidRPr="00BE5AC7" w:rsidRDefault="001645A7" w:rsidP="001645A7">
      <w:pPr>
        <w:pStyle w:val="SingleTxtG"/>
        <w:ind w:left="4536" w:hanging="3402"/>
        <w:jc w:val="left"/>
      </w:pPr>
      <w:r w:rsidRPr="00BE5AC7">
        <w:rPr>
          <w:i/>
        </w:rPr>
        <w:t>Communications submitted by:</w:t>
      </w:r>
      <w:r w:rsidRPr="00BE5AC7">
        <w:tab/>
      </w:r>
      <w:r w:rsidR="0094216F">
        <w:rPr>
          <w:bCs/>
        </w:rPr>
        <w:t>Fatima Dzhandosova, Asiya Tulesova</w:t>
      </w:r>
      <w:r w:rsidR="00866C26">
        <w:rPr>
          <w:bCs/>
        </w:rPr>
        <w:t xml:space="preserve"> and</w:t>
      </w:r>
      <w:r w:rsidR="0094216F">
        <w:rPr>
          <w:bCs/>
        </w:rPr>
        <w:t xml:space="preserve"> Asel Nurgazieva</w:t>
      </w:r>
      <w:r w:rsidR="000501BB" w:rsidRPr="00BE5AC7">
        <w:t xml:space="preserve"> </w:t>
      </w:r>
      <w:r w:rsidRPr="00BE5AC7">
        <w:t>(</w:t>
      </w:r>
      <w:r w:rsidR="000501BB" w:rsidRPr="00BE5AC7">
        <w:t xml:space="preserve">all </w:t>
      </w:r>
      <w:r w:rsidRPr="00BE5AC7">
        <w:t xml:space="preserve">represented by counsel, </w:t>
      </w:r>
      <w:r w:rsidR="0094216F">
        <w:t>Bakhytzhan Toregozhina</w:t>
      </w:r>
      <w:r w:rsidR="000501BB" w:rsidRPr="00BE5AC7">
        <w:t>)</w:t>
      </w:r>
    </w:p>
    <w:p w14:paraId="16E25C5A" w14:textId="77777777" w:rsidR="001645A7" w:rsidRPr="00BE5AC7" w:rsidRDefault="001645A7" w:rsidP="001645A7">
      <w:pPr>
        <w:pStyle w:val="SingleTxtG"/>
        <w:ind w:left="4536" w:hanging="3402"/>
        <w:jc w:val="left"/>
      </w:pPr>
      <w:r w:rsidRPr="00BE5AC7">
        <w:rPr>
          <w:i/>
        </w:rPr>
        <w:t>Alleged victims:</w:t>
      </w:r>
      <w:r w:rsidRPr="00BE5AC7">
        <w:tab/>
        <w:t>The authors</w:t>
      </w:r>
    </w:p>
    <w:p w14:paraId="04FD9EDF" w14:textId="4DA8B9E0" w:rsidR="001645A7" w:rsidRPr="00BE5AC7" w:rsidRDefault="001645A7" w:rsidP="001645A7">
      <w:pPr>
        <w:pStyle w:val="SingleTxtG"/>
        <w:ind w:left="4536" w:hanging="3402"/>
        <w:jc w:val="left"/>
      </w:pPr>
      <w:r w:rsidRPr="00BE5AC7">
        <w:rPr>
          <w:i/>
        </w:rPr>
        <w:t>State party:</w:t>
      </w:r>
      <w:r w:rsidRPr="00BE5AC7">
        <w:tab/>
      </w:r>
      <w:bookmarkStart w:id="0" w:name="_Hlk153191442"/>
      <w:r w:rsidR="00FD0DFD">
        <w:t>Kazakhstan</w:t>
      </w:r>
      <w:bookmarkEnd w:id="0"/>
    </w:p>
    <w:p w14:paraId="10C49101" w14:textId="7E7E202A" w:rsidR="001645A7" w:rsidRPr="00BE5AC7" w:rsidRDefault="001645A7" w:rsidP="001645A7">
      <w:pPr>
        <w:pStyle w:val="SingleTxtG"/>
        <w:ind w:left="4536" w:hanging="3402"/>
        <w:jc w:val="left"/>
      </w:pPr>
      <w:r w:rsidRPr="00BE5AC7">
        <w:rPr>
          <w:i/>
        </w:rPr>
        <w:t>Date of communications:</w:t>
      </w:r>
      <w:r w:rsidRPr="00BE5AC7">
        <w:tab/>
      </w:r>
      <w:r w:rsidR="00206F2B">
        <w:t>6 October 2016</w:t>
      </w:r>
      <w:r w:rsidR="00206F2B" w:rsidRPr="00BE5AC7">
        <w:t xml:space="preserve"> </w:t>
      </w:r>
      <w:r w:rsidRPr="00BE5AC7">
        <w:t>(initial submissions)</w:t>
      </w:r>
    </w:p>
    <w:p w14:paraId="5FFB8B7C" w14:textId="3AB1C70D" w:rsidR="001645A7" w:rsidRPr="00BE5AC7" w:rsidRDefault="001645A7" w:rsidP="001645A7">
      <w:pPr>
        <w:pStyle w:val="SingleTxtG"/>
        <w:ind w:left="4536" w:hanging="3402"/>
        <w:jc w:val="left"/>
        <w:rPr>
          <w:rFonts w:eastAsia="SimSun"/>
          <w:lang w:eastAsia="zh-CN"/>
        </w:rPr>
      </w:pPr>
      <w:r w:rsidRPr="00BE5AC7">
        <w:rPr>
          <w:i/>
        </w:rPr>
        <w:t>Document references:</w:t>
      </w:r>
      <w:r w:rsidRPr="00BE5AC7">
        <w:tab/>
      </w:r>
      <w:r w:rsidRPr="00BE5AC7">
        <w:rPr>
          <w:rFonts w:eastAsia="SimSun"/>
          <w:lang w:eastAsia="zh-CN"/>
        </w:rPr>
        <w:t xml:space="preserve">Decisions taken pursuant to rule 92 of the Committee’s rules of procedure, transmitted to the State party on </w:t>
      </w:r>
      <w:r w:rsidR="00206F2B">
        <w:rPr>
          <w:rFonts w:eastAsia="SimSun"/>
          <w:lang w:eastAsia="zh-CN"/>
        </w:rPr>
        <w:t>30 December 2016</w:t>
      </w:r>
      <w:r w:rsidRPr="00BE5AC7">
        <w:rPr>
          <w:rFonts w:eastAsia="SimSun"/>
          <w:lang w:eastAsia="zh-CN"/>
        </w:rPr>
        <w:t xml:space="preserve"> (communication No. </w:t>
      </w:r>
      <w:r w:rsidR="00206F2B">
        <w:rPr>
          <w:rFonts w:eastAsia="SimSun"/>
          <w:lang w:eastAsia="zh-CN"/>
        </w:rPr>
        <w:t>2914</w:t>
      </w:r>
      <w:r w:rsidRPr="00BE5AC7">
        <w:rPr>
          <w:rFonts w:eastAsia="SimSun"/>
          <w:lang w:eastAsia="zh-CN"/>
        </w:rPr>
        <w:t>/201</w:t>
      </w:r>
      <w:r w:rsidR="00206F2B">
        <w:rPr>
          <w:rFonts w:eastAsia="SimSun"/>
          <w:lang w:eastAsia="zh-CN"/>
        </w:rPr>
        <w:t>6</w:t>
      </w:r>
      <w:r w:rsidRPr="00BE5AC7">
        <w:rPr>
          <w:rFonts w:eastAsia="SimSun"/>
          <w:lang w:eastAsia="zh-CN"/>
        </w:rPr>
        <w:t>)</w:t>
      </w:r>
      <w:r w:rsidR="00206F2B">
        <w:rPr>
          <w:rFonts w:eastAsia="SimSun"/>
          <w:lang w:eastAsia="zh-CN"/>
        </w:rPr>
        <w:t xml:space="preserve">, 10 November 2017 </w:t>
      </w:r>
      <w:r w:rsidRPr="00BE5AC7">
        <w:rPr>
          <w:rFonts w:eastAsia="SimSun"/>
          <w:lang w:eastAsia="zh-CN"/>
        </w:rPr>
        <w:t>(communication No. 30</w:t>
      </w:r>
      <w:r w:rsidR="00206F2B">
        <w:rPr>
          <w:rFonts w:eastAsia="SimSun"/>
          <w:lang w:eastAsia="zh-CN"/>
        </w:rPr>
        <w:t>40</w:t>
      </w:r>
      <w:r w:rsidRPr="00BE5AC7">
        <w:rPr>
          <w:rFonts w:eastAsia="SimSun"/>
          <w:lang w:eastAsia="zh-CN"/>
        </w:rPr>
        <w:t>/201</w:t>
      </w:r>
      <w:r w:rsidR="00206F2B">
        <w:rPr>
          <w:rFonts w:eastAsia="SimSun"/>
          <w:lang w:eastAsia="zh-CN"/>
        </w:rPr>
        <w:t>7)</w:t>
      </w:r>
      <w:r w:rsidR="000501BB" w:rsidRPr="00BE5AC7">
        <w:rPr>
          <w:rFonts w:eastAsia="SimSun"/>
          <w:lang w:eastAsia="zh-CN"/>
        </w:rPr>
        <w:t xml:space="preserve"> and</w:t>
      </w:r>
      <w:r w:rsidR="00206F2B">
        <w:rPr>
          <w:rFonts w:eastAsia="SimSun"/>
          <w:lang w:eastAsia="zh-CN"/>
        </w:rPr>
        <w:t xml:space="preserve"> 22 November 2017 </w:t>
      </w:r>
      <w:r w:rsidR="00206F2B" w:rsidRPr="00BE5AC7">
        <w:rPr>
          <w:rFonts w:eastAsia="SimSun"/>
          <w:lang w:eastAsia="zh-CN"/>
        </w:rPr>
        <w:t>(communication No. 30</w:t>
      </w:r>
      <w:r w:rsidR="00206F2B">
        <w:rPr>
          <w:rFonts w:eastAsia="SimSun"/>
          <w:lang w:eastAsia="zh-CN"/>
        </w:rPr>
        <w:t>51</w:t>
      </w:r>
      <w:r w:rsidR="00206F2B" w:rsidRPr="00BE5AC7">
        <w:rPr>
          <w:rFonts w:eastAsia="SimSun"/>
          <w:lang w:eastAsia="zh-CN"/>
        </w:rPr>
        <w:t>/201</w:t>
      </w:r>
      <w:r w:rsidR="00206F2B">
        <w:rPr>
          <w:rFonts w:eastAsia="SimSun"/>
          <w:lang w:eastAsia="zh-CN"/>
        </w:rPr>
        <w:t>7)</w:t>
      </w:r>
      <w:r w:rsidR="000501BB" w:rsidRPr="00BE5AC7">
        <w:rPr>
          <w:rFonts w:eastAsia="SimSun"/>
          <w:lang w:eastAsia="zh-CN"/>
        </w:rPr>
        <w:t xml:space="preserve"> </w:t>
      </w:r>
      <w:r w:rsidRPr="00BE5AC7">
        <w:rPr>
          <w:rFonts w:eastAsia="SimSun"/>
          <w:lang w:eastAsia="zh-CN"/>
        </w:rPr>
        <w:t xml:space="preserve"> </w:t>
      </w:r>
      <w:r w:rsidRPr="00BE5AC7">
        <w:rPr>
          <w:rFonts w:eastAsia="SimSun"/>
          <w:color w:val="FF0000"/>
          <w:lang w:eastAsia="zh-CN"/>
        </w:rPr>
        <w:t xml:space="preserve"> </w:t>
      </w:r>
    </w:p>
    <w:p w14:paraId="5022EFC2" w14:textId="74C61683" w:rsidR="001645A7" w:rsidRPr="00BE5AC7" w:rsidRDefault="001645A7" w:rsidP="001645A7">
      <w:pPr>
        <w:pStyle w:val="SingleTxtG"/>
        <w:ind w:left="4536" w:hanging="3402"/>
        <w:jc w:val="left"/>
        <w:rPr>
          <w:i/>
        </w:rPr>
      </w:pPr>
      <w:r w:rsidRPr="00BE5AC7">
        <w:rPr>
          <w:i/>
        </w:rPr>
        <w:t>Date of adoption of Views:</w:t>
      </w:r>
      <w:r w:rsidRPr="00BE5AC7">
        <w:tab/>
      </w:r>
      <w:r w:rsidR="006B4592">
        <w:t xml:space="preserve">20 October </w:t>
      </w:r>
      <w:r w:rsidRPr="00BE5AC7">
        <w:t>2023</w:t>
      </w:r>
    </w:p>
    <w:p w14:paraId="6754CBE7" w14:textId="2D5F1CA8" w:rsidR="001645A7" w:rsidRPr="00BE5AC7" w:rsidRDefault="001645A7" w:rsidP="001645A7">
      <w:pPr>
        <w:pStyle w:val="SingleTxtG"/>
        <w:ind w:left="4536" w:hanging="3402"/>
        <w:jc w:val="left"/>
      </w:pPr>
      <w:r w:rsidRPr="00BE5AC7">
        <w:rPr>
          <w:i/>
          <w:iCs/>
        </w:rPr>
        <w:t>Subject matter:</w:t>
      </w:r>
      <w:r w:rsidRPr="00BE5AC7">
        <w:tab/>
      </w:r>
      <w:bookmarkStart w:id="1" w:name="_Hlk134445188"/>
      <w:r w:rsidR="00206F2B">
        <w:t>Denial of the right to participate in public elections</w:t>
      </w:r>
      <w:r w:rsidRPr="00BE5AC7">
        <w:t xml:space="preserve"> </w:t>
      </w:r>
      <w:bookmarkEnd w:id="1"/>
    </w:p>
    <w:p w14:paraId="3B1F425F" w14:textId="5A0C22CD" w:rsidR="001645A7" w:rsidRPr="00BE5AC7" w:rsidRDefault="001645A7" w:rsidP="001645A7">
      <w:pPr>
        <w:pStyle w:val="SingleTxtG"/>
        <w:ind w:left="4536" w:hanging="3402"/>
        <w:jc w:val="left"/>
      </w:pPr>
      <w:r w:rsidRPr="00BE5AC7">
        <w:rPr>
          <w:i/>
          <w:iCs/>
        </w:rPr>
        <w:t>Procedural issue</w:t>
      </w:r>
      <w:r w:rsidR="000501BB" w:rsidRPr="00BE5AC7">
        <w:rPr>
          <w:i/>
          <w:iCs/>
        </w:rPr>
        <w:t>s</w:t>
      </w:r>
      <w:r w:rsidRPr="00BE5AC7">
        <w:rPr>
          <w:i/>
          <w:iCs/>
        </w:rPr>
        <w:t xml:space="preserve">: </w:t>
      </w:r>
      <w:r w:rsidRPr="00BE5AC7">
        <w:rPr>
          <w:i/>
          <w:iCs/>
        </w:rPr>
        <w:tab/>
      </w:r>
      <w:r w:rsidR="00674133">
        <w:t xml:space="preserve">Exhaustion of domestic remedies; </w:t>
      </w:r>
      <w:r w:rsidR="00674133" w:rsidRPr="00674133">
        <w:t>s</w:t>
      </w:r>
      <w:r w:rsidRPr="00674133">
        <w:t>ubstantiation of claims</w:t>
      </w:r>
      <w:r w:rsidRPr="00BE5AC7">
        <w:t xml:space="preserve"> </w:t>
      </w:r>
    </w:p>
    <w:p w14:paraId="39420E1B" w14:textId="2524B6E9" w:rsidR="001645A7" w:rsidRPr="00BE5AC7" w:rsidRDefault="001645A7" w:rsidP="001645A7">
      <w:pPr>
        <w:pStyle w:val="SingleTxtG"/>
        <w:ind w:left="4536" w:hanging="3402"/>
        <w:jc w:val="left"/>
      </w:pPr>
      <w:r w:rsidRPr="00BE5AC7">
        <w:rPr>
          <w:i/>
          <w:iCs/>
        </w:rPr>
        <w:t xml:space="preserve">Substantive issues: </w:t>
      </w:r>
      <w:r w:rsidRPr="00BE5AC7">
        <w:rPr>
          <w:i/>
          <w:iCs/>
        </w:rPr>
        <w:tab/>
      </w:r>
      <w:r w:rsidR="00206F2B">
        <w:t xml:space="preserve">Voting and election; </w:t>
      </w:r>
      <w:r w:rsidR="00206F2B" w:rsidRPr="00206F2B">
        <w:t>discrimination on the ground of political or other opinion</w:t>
      </w:r>
    </w:p>
    <w:p w14:paraId="3623E23F" w14:textId="3D31B5E1" w:rsidR="001645A7" w:rsidRPr="00BE5AC7" w:rsidRDefault="001645A7" w:rsidP="001645A7">
      <w:pPr>
        <w:pStyle w:val="SingleTxtG"/>
        <w:ind w:left="4536" w:hanging="3402"/>
        <w:jc w:val="left"/>
        <w:rPr>
          <w:lang w:val="en-US"/>
        </w:rPr>
      </w:pPr>
      <w:r w:rsidRPr="00BE5AC7">
        <w:rPr>
          <w:i/>
          <w:iCs/>
        </w:rPr>
        <w:t>Articles of the Covenant:</w:t>
      </w:r>
      <w:r w:rsidRPr="00BE5AC7">
        <w:t xml:space="preserve"> </w:t>
      </w:r>
      <w:r w:rsidRPr="00BE5AC7">
        <w:tab/>
      </w:r>
      <w:r w:rsidR="00866C26">
        <w:t>25 and 26</w:t>
      </w:r>
      <w:r w:rsidRPr="00BE5AC7">
        <w:t xml:space="preserve"> </w:t>
      </w:r>
    </w:p>
    <w:p w14:paraId="22CC91BA" w14:textId="53D9DAF0" w:rsidR="001645A7" w:rsidRPr="00BE5AC7" w:rsidRDefault="001645A7" w:rsidP="001645A7">
      <w:pPr>
        <w:pStyle w:val="SingleTxtG"/>
      </w:pPr>
      <w:r w:rsidRPr="00BE5AC7">
        <w:rPr>
          <w:i/>
          <w:iCs/>
        </w:rPr>
        <w:t>Articles of the Optional Protocol:</w:t>
      </w:r>
      <w:r w:rsidR="00FD6A66" w:rsidRPr="00BE5AC7">
        <w:rPr>
          <w:i/>
          <w:iCs/>
        </w:rPr>
        <w:tab/>
      </w:r>
      <w:r w:rsidR="00FD6A66" w:rsidRPr="00BE5AC7">
        <w:rPr>
          <w:i/>
          <w:iCs/>
        </w:rPr>
        <w:tab/>
      </w:r>
      <w:r w:rsidR="00FD6A66" w:rsidRPr="00674133">
        <w:t>2</w:t>
      </w:r>
      <w:r w:rsidR="00674133">
        <w:t xml:space="preserve"> and 5</w:t>
      </w:r>
    </w:p>
    <w:p w14:paraId="5B8559D1" w14:textId="61C1021B" w:rsidR="001645A7" w:rsidRPr="00BE5AC7" w:rsidRDefault="001645A7" w:rsidP="001645A7">
      <w:pPr>
        <w:pStyle w:val="SingleTxtG"/>
      </w:pPr>
      <w:r w:rsidRPr="00BE5AC7">
        <w:t>1.</w:t>
      </w:r>
      <w:r w:rsidR="001F353B" w:rsidRPr="00BE5AC7">
        <w:t>1</w:t>
      </w:r>
      <w:r w:rsidRPr="00BE5AC7">
        <w:tab/>
        <w:t xml:space="preserve">The authors of the communications are </w:t>
      </w:r>
      <w:r w:rsidR="00866C26">
        <w:rPr>
          <w:bCs/>
        </w:rPr>
        <w:t xml:space="preserve">Fatima Dzhandosova </w:t>
      </w:r>
      <w:r w:rsidR="00866C26" w:rsidRPr="00BE5AC7">
        <w:rPr>
          <w:rFonts w:eastAsia="SimSun"/>
          <w:lang w:eastAsia="zh-CN"/>
        </w:rPr>
        <w:t xml:space="preserve">(communication No. </w:t>
      </w:r>
      <w:r w:rsidR="00866C26">
        <w:rPr>
          <w:rFonts w:eastAsia="SimSun"/>
          <w:lang w:eastAsia="zh-CN"/>
        </w:rPr>
        <w:t>2914</w:t>
      </w:r>
      <w:r w:rsidR="00866C26" w:rsidRPr="00BE5AC7">
        <w:rPr>
          <w:rFonts w:eastAsia="SimSun"/>
          <w:lang w:eastAsia="zh-CN"/>
        </w:rPr>
        <w:t>/201</w:t>
      </w:r>
      <w:r w:rsidR="00866C26">
        <w:rPr>
          <w:rFonts w:eastAsia="SimSun"/>
          <w:lang w:eastAsia="zh-CN"/>
        </w:rPr>
        <w:t>6</w:t>
      </w:r>
      <w:r w:rsidR="00866C26" w:rsidRPr="00BE5AC7">
        <w:rPr>
          <w:rFonts w:eastAsia="SimSun"/>
          <w:lang w:eastAsia="zh-CN"/>
        </w:rPr>
        <w:t>)</w:t>
      </w:r>
      <w:r w:rsidR="00866C26">
        <w:rPr>
          <w:bCs/>
        </w:rPr>
        <w:t xml:space="preserve">, Asiya Tulesova </w:t>
      </w:r>
      <w:r w:rsidR="00866C26" w:rsidRPr="00BE5AC7">
        <w:rPr>
          <w:rFonts w:eastAsia="SimSun"/>
          <w:lang w:eastAsia="zh-CN"/>
        </w:rPr>
        <w:t>(communication No. 30</w:t>
      </w:r>
      <w:r w:rsidR="00866C26">
        <w:rPr>
          <w:rFonts w:eastAsia="SimSun"/>
          <w:lang w:eastAsia="zh-CN"/>
        </w:rPr>
        <w:t>40</w:t>
      </w:r>
      <w:r w:rsidR="00866C26" w:rsidRPr="00BE5AC7">
        <w:rPr>
          <w:rFonts w:eastAsia="SimSun"/>
          <w:lang w:eastAsia="zh-CN"/>
        </w:rPr>
        <w:t>/201</w:t>
      </w:r>
      <w:r w:rsidR="00866C26">
        <w:rPr>
          <w:rFonts w:eastAsia="SimSun"/>
          <w:lang w:eastAsia="zh-CN"/>
        </w:rPr>
        <w:t>7)</w:t>
      </w:r>
      <w:r w:rsidR="00866C26">
        <w:rPr>
          <w:bCs/>
        </w:rPr>
        <w:t xml:space="preserve"> and Asel Nurgazieva </w:t>
      </w:r>
      <w:r w:rsidR="00866C26" w:rsidRPr="00BE5AC7">
        <w:rPr>
          <w:rFonts w:eastAsia="SimSun"/>
          <w:lang w:eastAsia="zh-CN"/>
        </w:rPr>
        <w:t>(communication No. 30</w:t>
      </w:r>
      <w:r w:rsidR="00866C26">
        <w:rPr>
          <w:rFonts w:eastAsia="SimSun"/>
          <w:lang w:eastAsia="zh-CN"/>
        </w:rPr>
        <w:t>51</w:t>
      </w:r>
      <w:r w:rsidR="00866C26" w:rsidRPr="00BE5AC7">
        <w:rPr>
          <w:rFonts w:eastAsia="SimSun"/>
          <w:lang w:eastAsia="zh-CN"/>
        </w:rPr>
        <w:t>/201</w:t>
      </w:r>
      <w:r w:rsidR="00866C26">
        <w:rPr>
          <w:rFonts w:eastAsia="SimSun"/>
          <w:lang w:eastAsia="zh-CN"/>
        </w:rPr>
        <w:t>7)</w:t>
      </w:r>
      <w:r w:rsidRPr="00BE5AC7">
        <w:rPr>
          <w:lang w:val="en-US"/>
        </w:rPr>
        <w:t xml:space="preserve">. The authors are </w:t>
      </w:r>
      <w:r w:rsidRPr="00BE5AC7">
        <w:t xml:space="preserve">nationals of </w:t>
      </w:r>
      <w:r w:rsidR="00ED78F4">
        <w:t>Kazakhstan</w:t>
      </w:r>
      <w:r w:rsidRPr="00BE5AC7">
        <w:t xml:space="preserve"> born in </w:t>
      </w:r>
      <w:r w:rsidRPr="00BE5AC7">
        <w:rPr>
          <w:lang w:val="en-US"/>
        </w:rPr>
        <w:t>19</w:t>
      </w:r>
      <w:r w:rsidR="000501BB" w:rsidRPr="00BE5AC7">
        <w:rPr>
          <w:lang w:val="en-US"/>
        </w:rPr>
        <w:t>7</w:t>
      </w:r>
      <w:r w:rsidR="00866C26">
        <w:rPr>
          <w:lang w:val="en-US"/>
        </w:rPr>
        <w:t>0</w:t>
      </w:r>
      <w:r w:rsidRPr="00BE5AC7">
        <w:rPr>
          <w:lang w:val="en-US"/>
        </w:rPr>
        <w:t xml:space="preserve">, </w:t>
      </w:r>
      <w:r w:rsidR="003E516C" w:rsidRPr="00BE5AC7">
        <w:rPr>
          <w:lang w:val="en-US"/>
        </w:rPr>
        <w:t>19</w:t>
      </w:r>
      <w:r w:rsidR="00866C26">
        <w:rPr>
          <w:lang w:val="en-US"/>
        </w:rPr>
        <w:t>84</w:t>
      </w:r>
      <w:r w:rsidRPr="00BE5AC7">
        <w:rPr>
          <w:lang w:val="en-US"/>
        </w:rPr>
        <w:t xml:space="preserve"> and 19</w:t>
      </w:r>
      <w:r w:rsidR="00866C26">
        <w:rPr>
          <w:lang w:val="en-US"/>
        </w:rPr>
        <w:t>78</w:t>
      </w:r>
      <w:r w:rsidRPr="00BE5AC7">
        <w:rPr>
          <w:lang w:val="en-US"/>
        </w:rPr>
        <w:t>,</w:t>
      </w:r>
      <w:r w:rsidRPr="00BE5AC7">
        <w:t xml:space="preserve"> respectively. They claim that the State party has violated their rights under articles </w:t>
      </w:r>
      <w:r w:rsidR="00866C26">
        <w:lastRenderedPageBreak/>
        <w:t>25 and 26</w:t>
      </w:r>
      <w:r w:rsidRPr="00BE5AC7">
        <w:t xml:space="preserve"> of the Covenant. The Optional Protocol entered into force for </w:t>
      </w:r>
      <w:r w:rsidR="00866C26">
        <w:t>Kazakhstan</w:t>
      </w:r>
      <w:r w:rsidRPr="00BE5AC7">
        <w:t xml:space="preserve"> on </w:t>
      </w:r>
      <w:r w:rsidR="00866C26">
        <w:t>30 September</w:t>
      </w:r>
      <w:r w:rsidRPr="00BE5AC7">
        <w:t xml:space="preserve"> </w:t>
      </w:r>
      <w:r w:rsidR="00866C26">
        <w:t>2009</w:t>
      </w:r>
      <w:r w:rsidRPr="00BE5AC7">
        <w:t>.  The authors are represented by counsel.</w:t>
      </w:r>
    </w:p>
    <w:p w14:paraId="2EBE9A96" w14:textId="6E5A8B09" w:rsidR="001F353B" w:rsidRPr="00BE5AC7" w:rsidRDefault="001F353B" w:rsidP="001645A7">
      <w:pPr>
        <w:pStyle w:val="SingleTxtG"/>
      </w:pPr>
      <w:r w:rsidRPr="00BE5AC7">
        <w:t>1.2</w:t>
      </w:r>
      <w:r w:rsidRPr="00BE5AC7">
        <w:tab/>
      </w:r>
      <w:r w:rsidR="00F94091" w:rsidRPr="00BE5AC7">
        <w:t xml:space="preserve">On </w:t>
      </w:r>
      <w:r w:rsidR="00FF63C8">
        <w:t>20 October 2023</w:t>
      </w:r>
      <w:r w:rsidR="00F94091" w:rsidRPr="00BE5AC7">
        <w:t xml:space="preserve">, pursuant to rule 97 (3) of the Committee’s rules of procedure, the Committee decided to join communications </w:t>
      </w:r>
      <w:r w:rsidR="00866C26">
        <w:t xml:space="preserve">Nos. </w:t>
      </w:r>
      <w:r w:rsidR="00866C26">
        <w:rPr>
          <w:rFonts w:eastAsia="SimSun"/>
          <w:lang w:eastAsia="zh-CN"/>
        </w:rPr>
        <w:t>2914</w:t>
      </w:r>
      <w:r w:rsidR="00866C26" w:rsidRPr="00BE5AC7">
        <w:rPr>
          <w:rFonts w:eastAsia="SimSun"/>
          <w:lang w:eastAsia="zh-CN"/>
        </w:rPr>
        <w:t>/201</w:t>
      </w:r>
      <w:r w:rsidR="00866C26">
        <w:rPr>
          <w:rFonts w:eastAsia="SimSun"/>
          <w:lang w:eastAsia="zh-CN"/>
        </w:rPr>
        <w:t>6,</w:t>
      </w:r>
      <w:r w:rsidR="00866C26" w:rsidRPr="00BE5AC7">
        <w:rPr>
          <w:rFonts w:eastAsia="SimSun"/>
          <w:lang w:eastAsia="zh-CN"/>
        </w:rPr>
        <w:t xml:space="preserve"> 30</w:t>
      </w:r>
      <w:r w:rsidR="00866C26">
        <w:rPr>
          <w:rFonts w:eastAsia="SimSun"/>
          <w:lang w:eastAsia="zh-CN"/>
        </w:rPr>
        <w:t>40</w:t>
      </w:r>
      <w:r w:rsidR="00866C26" w:rsidRPr="00BE5AC7">
        <w:rPr>
          <w:rFonts w:eastAsia="SimSun"/>
          <w:lang w:eastAsia="zh-CN"/>
        </w:rPr>
        <w:t>/201</w:t>
      </w:r>
      <w:r w:rsidR="00866C26">
        <w:rPr>
          <w:rFonts w:eastAsia="SimSun"/>
          <w:lang w:eastAsia="zh-CN"/>
        </w:rPr>
        <w:t xml:space="preserve">7 and </w:t>
      </w:r>
      <w:r w:rsidR="00866C26" w:rsidRPr="00BE5AC7">
        <w:rPr>
          <w:rFonts w:eastAsia="SimSun"/>
          <w:lang w:eastAsia="zh-CN"/>
        </w:rPr>
        <w:t>30</w:t>
      </w:r>
      <w:r w:rsidR="00866C26">
        <w:rPr>
          <w:rFonts w:eastAsia="SimSun"/>
          <w:lang w:eastAsia="zh-CN"/>
        </w:rPr>
        <w:t>51</w:t>
      </w:r>
      <w:r w:rsidR="00866C26" w:rsidRPr="00BE5AC7">
        <w:rPr>
          <w:rFonts w:eastAsia="SimSun"/>
          <w:lang w:eastAsia="zh-CN"/>
        </w:rPr>
        <w:t>/201</w:t>
      </w:r>
      <w:r w:rsidR="00866C26">
        <w:rPr>
          <w:rFonts w:eastAsia="SimSun"/>
          <w:lang w:eastAsia="zh-CN"/>
        </w:rPr>
        <w:t>7</w:t>
      </w:r>
      <w:r w:rsidR="00F94091" w:rsidRPr="00BE5AC7">
        <w:t xml:space="preserve"> submitted by </w:t>
      </w:r>
      <w:r w:rsidR="00866C26">
        <w:t>three</w:t>
      </w:r>
      <w:r w:rsidR="00F94091" w:rsidRPr="00BE5AC7">
        <w:t xml:space="preserve"> different authors for a join</w:t>
      </w:r>
      <w:r w:rsidR="00A2290F">
        <w:t>ed</w:t>
      </w:r>
      <w:r w:rsidR="00F94091" w:rsidRPr="00BE5AC7">
        <w:t xml:space="preserve"> decision, in view of substantial factual and legal similarity.</w:t>
      </w:r>
    </w:p>
    <w:p w14:paraId="25D38A48" w14:textId="5BBC91DC" w:rsidR="001645A7" w:rsidRPr="00BE5AC7" w:rsidRDefault="001645A7" w:rsidP="001645A7">
      <w:pPr>
        <w:pStyle w:val="H23G"/>
      </w:pPr>
      <w:r w:rsidRPr="00BE5AC7">
        <w:tab/>
      </w:r>
      <w:r w:rsidRPr="00BE5AC7">
        <w:tab/>
      </w:r>
      <w:r w:rsidR="001F353B" w:rsidRPr="00BE5AC7">
        <w:t>F</w:t>
      </w:r>
      <w:r w:rsidRPr="00BE5AC7">
        <w:t>acts as submitted by the authors</w:t>
      </w:r>
    </w:p>
    <w:p w14:paraId="3F6CC073" w14:textId="2294C465" w:rsidR="001645A7" w:rsidRPr="00BE5AC7" w:rsidRDefault="001645A7" w:rsidP="001645A7">
      <w:pPr>
        <w:pStyle w:val="SingleTxtG"/>
      </w:pPr>
      <w:r w:rsidRPr="00BE5AC7">
        <w:t>2.1</w:t>
      </w:r>
      <w:r w:rsidRPr="00BE5AC7">
        <w:tab/>
      </w:r>
      <w:r w:rsidR="009D6217">
        <w:t>O</w:t>
      </w:r>
      <w:r w:rsidR="009D6217" w:rsidRPr="00C2284C">
        <w:t xml:space="preserve">n 20 March 2016, the </w:t>
      </w:r>
      <w:r w:rsidR="009D6217">
        <w:t>State party</w:t>
      </w:r>
      <w:r w:rsidR="009D6217" w:rsidRPr="00C2284C">
        <w:t xml:space="preserve"> announced extraordinary elections</w:t>
      </w:r>
      <w:r w:rsidR="009D6217">
        <w:t xml:space="preserve"> to the parliament and local councils</w:t>
      </w:r>
      <w:r w:rsidR="009D6217" w:rsidRPr="00C2284C">
        <w:t xml:space="preserve">. </w:t>
      </w:r>
      <w:r w:rsidR="009D6217">
        <w:t xml:space="preserve">All authors submitted their applications as independent candidates </w:t>
      </w:r>
      <w:r w:rsidR="001737C0">
        <w:t xml:space="preserve">for their local councils </w:t>
      </w:r>
      <w:r w:rsidR="009D6217">
        <w:t xml:space="preserve">and </w:t>
      </w:r>
      <w:r w:rsidR="001737C0">
        <w:t>were registered as such</w:t>
      </w:r>
      <w:r w:rsidR="009D6217">
        <w:t xml:space="preserve">, </w:t>
      </w:r>
      <w:r w:rsidR="00741FF8">
        <w:t>however,</w:t>
      </w:r>
      <w:r w:rsidR="009D6217">
        <w:t xml:space="preserve"> </w:t>
      </w:r>
      <w:r w:rsidR="00741FF8">
        <w:t xml:space="preserve">they </w:t>
      </w:r>
      <w:r w:rsidR="00A74C5E">
        <w:t>later were disqualified from running by local election commissions</w:t>
      </w:r>
      <w:r w:rsidR="00211BEE">
        <w:t xml:space="preserve"> for submitting false information in their income declarations</w:t>
      </w:r>
      <w:r w:rsidR="00A74C5E">
        <w:t xml:space="preserve">. </w:t>
      </w:r>
      <w:r w:rsidR="009D6217">
        <w:t xml:space="preserve"> </w:t>
      </w:r>
      <w:r w:rsidR="000501BB" w:rsidRPr="00BE5AC7">
        <w:t xml:space="preserve"> </w:t>
      </w:r>
      <w:r w:rsidRPr="00BE5AC7">
        <w:t xml:space="preserve"> </w:t>
      </w:r>
    </w:p>
    <w:p w14:paraId="4A1FE2E1" w14:textId="5EE8EECD" w:rsidR="001645A7" w:rsidRPr="00CB2D13" w:rsidRDefault="001645A7" w:rsidP="001645A7">
      <w:pPr>
        <w:pStyle w:val="SingleTxtG"/>
      </w:pPr>
      <w:r w:rsidRPr="00BE5AC7">
        <w:t xml:space="preserve">2.2 </w:t>
      </w:r>
      <w:r w:rsidR="00EA7D04">
        <w:tab/>
      </w:r>
      <w:r w:rsidRPr="00BE5AC7">
        <w:t>The facts relevant to each individual communication are summarized below.</w:t>
      </w:r>
    </w:p>
    <w:p w14:paraId="444FA92E" w14:textId="222E6BF9" w:rsidR="001645A7" w:rsidRPr="00BE5AC7" w:rsidRDefault="001645A7" w:rsidP="001645A7">
      <w:pPr>
        <w:pStyle w:val="H4G"/>
      </w:pPr>
      <w:r w:rsidRPr="00BE5AC7">
        <w:tab/>
      </w:r>
      <w:r w:rsidRPr="00BE5AC7">
        <w:tab/>
        <w:t xml:space="preserve">Communication No. </w:t>
      </w:r>
      <w:r w:rsidR="00A74C5E">
        <w:rPr>
          <w:rFonts w:eastAsia="SimSun"/>
          <w:lang w:eastAsia="zh-CN"/>
        </w:rPr>
        <w:t>2914</w:t>
      </w:r>
      <w:r w:rsidR="00A74C5E" w:rsidRPr="00BE5AC7">
        <w:rPr>
          <w:rFonts w:eastAsia="SimSun"/>
          <w:lang w:eastAsia="zh-CN"/>
        </w:rPr>
        <w:t>/201</w:t>
      </w:r>
      <w:r w:rsidR="00A74C5E">
        <w:rPr>
          <w:rFonts w:eastAsia="SimSun"/>
          <w:lang w:eastAsia="zh-CN"/>
        </w:rPr>
        <w:t>6</w:t>
      </w:r>
      <w:r w:rsidRPr="00BE5AC7">
        <w:t xml:space="preserve">, </w:t>
      </w:r>
      <w:r w:rsidR="00A74C5E">
        <w:rPr>
          <w:bCs/>
        </w:rPr>
        <w:t xml:space="preserve">Dzhandosova </w:t>
      </w:r>
      <w:r w:rsidRPr="00BE5AC7">
        <w:t>v</w:t>
      </w:r>
      <w:r w:rsidR="000501BB" w:rsidRPr="00BE5AC7">
        <w:t>.</w:t>
      </w:r>
      <w:r w:rsidRPr="00BE5AC7">
        <w:t xml:space="preserve"> </w:t>
      </w:r>
      <w:r w:rsidR="00A74C5E">
        <w:t>Kazakhstan</w:t>
      </w:r>
    </w:p>
    <w:p w14:paraId="31518810" w14:textId="403F0E5D" w:rsidR="00DA5A06" w:rsidRPr="00255ED1" w:rsidRDefault="001645A7" w:rsidP="001737C0">
      <w:pPr>
        <w:pStyle w:val="SingleTxtG"/>
        <w:rPr>
          <w:lang w:val="en-US"/>
        </w:rPr>
      </w:pPr>
      <w:r w:rsidRPr="00BE5AC7">
        <w:t>2.3</w:t>
      </w:r>
      <w:r w:rsidRPr="00BE5AC7">
        <w:tab/>
      </w:r>
      <w:r w:rsidR="001737C0">
        <w:t>On 16 February 2016, the author</w:t>
      </w:r>
      <w:r w:rsidR="00252090">
        <w:t>, who is a civil</w:t>
      </w:r>
      <w:r w:rsidR="00252090">
        <w:rPr>
          <w:lang w:val="en-US"/>
        </w:rPr>
        <w:t xml:space="preserve"> society </w:t>
      </w:r>
      <w:r w:rsidR="00252090">
        <w:t>activist</w:t>
      </w:r>
      <w:r w:rsidR="00B87496">
        <w:t xml:space="preserve"> and a member of the civil council under the </w:t>
      </w:r>
      <w:r w:rsidR="00686C96">
        <w:t xml:space="preserve">auspices of the </w:t>
      </w:r>
      <w:r w:rsidR="00B87496">
        <w:t>Nationwide Social Democratic Party</w:t>
      </w:r>
      <w:r w:rsidR="00252090">
        <w:t>,</w:t>
      </w:r>
      <w:r w:rsidR="001737C0">
        <w:t xml:space="preserve"> submitted her documents to the regional election commission to be registered as a candidate for the elections to the Astana city Maslikhat.</w:t>
      </w:r>
      <w:r w:rsidR="001737C0">
        <w:rPr>
          <w:rStyle w:val="FootnoteReference"/>
        </w:rPr>
        <w:footnoteReference w:id="4"/>
      </w:r>
      <w:r w:rsidR="001737C0">
        <w:t xml:space="preserve"> On the same day, she received an ID certifying her status as a candidate and immediately started her election campaign. On 2 March 2016, she was </w:t>
      </w:r>
      <w:r w:rsidR="00505659">
        <w:t>summoned</w:t>
      </w:r>
      <w:r w:rsidR="001737C0">
        <w:t xml:space="preserve"> to the local election commission and informed that she </w:t>
      </w:r>
      <w:r w:rsidR="00505659">
        <w:t>would be</w:t>
      </w:r>
      <w:r w:rsidR="001737C0">
        <w:t xml:space="preserve"> disqualified from running due to </w:t>
      </w:r>
      <w:r w:rsidR="00505659">
        <w:t>submitting false</w:t>
      </w:r>
      <w:r w:rsidR="001737C0">
        <w:t xml:space="preserve"> information in her income declaration. </w:t>
      </w:r>
      <w:r w:rsidR="001737C0">
        <w:rPr>
          <w:lang w:val="en-US"/>
        </w:rPr>
        <w:t xml:space="preserve">In accordance with the information provided to the election commission by the local tax authorities, the author incorrectly indicated </w:t>
      </w:r>
      <w:r w:rsidR="00DA5A06">
        <w:rPr>
          <w:lang w:val="en-US"/>
        </w:rPr>
        <w:t>the amount of money she had in her banking accounts</w:t>
      </w:r>
      <w:r w:rsidR="00C70F20">
        <w:rPr>
          <w:lang w:val="en-US"/>
        </w:rPr>
        <w:t xml:space="preserve">. </w:t>
      </w:r>
      <w:r w:rsidR="00FF1E6E">
        <w:rPr>
          <w:lang w:val="en-US"/>
        </w:rPr>
        <w:t>T</w:t>
      </w:r>
      <w:r w:rsidR="00C70F20">
        <w:rPr>
          <w:lang w:val="en-US"/>
        </w:rPr>
        <w:t>he letter submitted by the local tax authority to the election commission</w:t>
      </w:r>
      <w:r w:rsidR="00FF1E6E">
        <w:rPr>
          <w:lang w:val="en-US"/>
        </w:rPr>
        <w:t xml:space="preserve"> stated that</w:t>
      </w:r>
      <w:r w:rsidR="00C70F20">
        <w:rPr>
          <w:lang w:val="en-US"/>
        </w:rPr>
        <w:t xml:space="preserve"> the author </w:t>
      </w:r>
      <w:r w:rsidR="00FF1E6E">
        <w:rPr>
          <w:lang w:val="en-US"/>
        </w:rPr>
        <w:t xml:space="preserve">had </w:t>
      </w:r>
      <w:r w:rsidR="00C70F20">
        <w:rPr>
          <w:lang w:val="en-US"/>
        </w:rPr>
        <w:t>overdeclared by 0,96 US dollars her balance in “Eurasian Bank”</w:t>
      </w:r>
      <w:r w:rsidR="00FF1E6E">
        <w:rPr>
          <w:lang w:val="en-US"/>
        </w:rPr>
        <w:t>,</w:t>
      </w:r>
      <w:r w:rsidR="00C70F20">
        <w:rPr>
          <w:lang w:val="en-US"/>
        </w:rPr>
        <w:t xml:space="preserve"> underdeclared by 4,778.96 teng</w:t>
      </w:r>
      <w:r w:rsidR="00C70F20">
        <w:t>é</w:t>
      </w:r>
      <w:r w:rsidR="00C70F20">
        <w:rPr>
          <w:lang w:val="en-US"/>
        </w:rPr>
        <w:t xml:space="preserve"> her balance in “Kaspi Bank”</w:t>
      </w:r>
      <w:r w:rsidR="00FF1E6E">
        <w:rPr>
          <w:lang w:val="en-US"/>
        </w:rPr>
        <w:t>,</w:t>
      </w:r>
      <w:r w:rsidR="00C70F20">
        <w:rPr>
          <w:lang w:val="en-US"/>
        </w:rPr>
        <w:t xml:space="preserve"> </w:t>
      </w:r>
      <w:r w:rsidR="00FF1E6E">
        <w:rPr>
          <w:lang w:val="en-US"/>
        </w:rPr>
        <w:t>u</w:t>
      </w:r>
      <w:r w:rsidR="00C70F20">
        <w:rPr>
          <w:lang w:val="en-US"/>
        </w:rPr>
        <w:t>nderdeclared by 0.93 tengé her balance in “ATF Bank”</w:t>
      </w:r>
      <w:r w:rsidR="00FF1E6E">
        <w:rPr>
          <w:lang w:val="en-US"/>
        </w:rPr>
        <w:t>,</w:t>
      </w:r>
      <w:r w:rsidR="00C70F20">
        <w:rPr>
          <w:lang w:val="en-US"/>
        </w:rPr>
        <w:t xml:space="preserve"> overdeclared by 4,926 teng</w:t>
      </w:r>
      <w:r w:rsidR="00C70F20">
        <w:t>é</w:t>
      </w:r>
      <w:r w:rsidR="00C70F20">
        <w:rPr>
          <w:lang w:val="en-US"/>
        </w:rPr>
        <w:t xml:space="preserve"> her balance in “Kazkom</w:t>
      </w:r>
      <w:r w:rsidR="005D5F2F">
        <w:rPr>
          <w:lang w:val="en-US"/>
        </w:rPr>
        <w:t>m</w:t>
      </w:r>
      <w:r w:rsidR="00C70F20">
        <w:rPr>
          <w:lang w:val="en-US"/>
        </w:rPr>
        <w:t>er</w:t>
      </w:r>
      <w:r w:rsidR="005D5F2F">
        <w:rPr>
          <w:lang w:val="en-US"/>
        </w:rPr>
        <w:t>ts</w:t>
      </w:r>
      <w:r w:rsidR="00C70F20">
        <w:rPr>
          <w:lang w:val="en-US"/>
        </w:rPr>
        <w:t>bank”</w:t>
      </w:r>
      <w:r w:rsidR="00FF1E6E">
        <w:rPr>
          <w:lang w:val="en-US"/>
        </w:rPr>
        <w:t>,</w:t>
      </w:r>
      <w:r w:rsidR="00C70F20">
        <w:rPr>
          <w:lang w:val="en-US"/>
        </w:rPr>
        <w:t xml:space="preserve"> and underdeclared the balance in the foreign currency account she had in the same bank by 41.9 US dollars.</w:t>
      </w:r>
      <w:r w:rsidR="00255ED1">
        <w:rPr>
          <w:lang w:val="en-US"/>
        </w:rPr>
        <w:t xml:space="preserve"> The tax authority sent its letter to the election commission on 29 February 2016 without giving an opportunity to the author to contest</w:t>
      </w:r>
      <w:r w:rsidR="00505659">
        <w:rPr>
          <w:lang w:val="en-US"/>
        </w:rPr>
        <w:t xml:space="preserve"> its conclusion</w:t>
      </w:r>
      <w:r w:rsidR="00255ED1">
        <w:rPr>
          <w:lang w:val="en-US"/>
        </w:rPr>
        <w:t xml:space="preserve"> or </w:t>
      </w:r>
      <w:r w:rsidR="00505659">
        <w:rPr>
          <w:lang w:val="en-US"/>
        </w:rPr>
        <w:t xml:space="preserve">to </w:t>
      </w:r>
      <w:r w:rsidR="00255ED1">
        <w:rPr>
          <w:lang w:val="en-US"/>
        </w:rPr>
        <w:t>rectify the</w:t>
      </w:r>
      <w:r w:rsidR="00505659">
        <w:rPr>
          <w:lang w:val="en-US"/>
        </w:rPr>
        <w:t xml:space="preserve"> errors in the</w:t>
      </w:r>
      <w:r w:rsidR="00255ED1">
        <w:rPr>
          <w:lang w:val="en-US"/>
        </w:rPr>
        <w:t xml:space="preserve"> </w:t>
      </w:r>
      <w:r w:rsidR="00614C6E">
        <w:rPr>
          <w:lang w:val="en-US"/>
        </w:rPr>
        <w:t>income declaration</w:t>
      </w:r>
      <w:r w:rsidR="00255ED1">
        <w:rPr>
          <w:lang w:val="en-US"/>
        </w:rPr>
        <w:t xml:space="preserve">. </w:t>
      </w:r>
    </w:p>
    <w:p w14:paraId="2988DF12" w14:textId="7B0EEFDB" w:rsidR="002E42EF" w:rsidRPr="00211BEE" w:rsidRDefault="00255ED1" w:rsidP="001737C0">
      <w:pPr>
        <w:pStyle w:val="SingleTxtG"/>
      </w:pPr>
      <w:r>
        <w:rPr>
          <w:lang w:val="en-US"/>
        </w:rPr>
        <w:t>2.4</w:t>
      </w:r>
      <w:r>
        <w:rPr>
          <w:lang w:val="en-US"/>
        </w:rPr>
        <w:tab/>
        <w:t xml:space="preserve">On 3 March 2016, the author contested her disqualification to Saryarik District Court. </w:t>
      </w:r>
      <w:r w:rsidR="002E42EF">
        <w:rPr>
          <w:lang w:val="en-US"/>
        </w:rPr>
        <w:t xml:space="preserve">She argued that 1) the information contained in her income declaration was based on statements provided by her banks, and 2) the discrepancy identified by the tax authority was so minimal that her disqualification </w:t>
      </w:r>
      <w:r w:rsidR="00D377B5">
        <w:rPr>
          <w:lang w:val="en-US"/>
        </w:rPr>
        <w:t>constitute</w:t>
      </w:r>
      <w:r w:rsidR="00505659">
        <w:rPr>
          <w:lang w:val="en-US"/>
        </w:rPr>
        <w:t>d</w:t>
      </w:r>
      <w:r w:rsidR="002E42EF">
        <w:rPr>
          <w:lang w:val="en-US"/>
        </w:rPr>
        <w:t xml:space="preserve"> an unreasonable and disproportionate restriction of her right to run for</w:t>
      </w:r>
      <w:r w:rsidR="00505659">
        <w:rPr>
          <w:lang w:val="en-US"/>
        </w:rPr>
        <w:t xml:space="preserve"> </w:t>
      </w:r>
      <w:r w:rsidR="002E42EF">
        <w:rPr>
          <w:lang w:val="en-US"/>
        </w:rPr>
        <w:t xml:space="preserve">public office. </w:t>
      </w:r>
      <w:r w:rsidR="00211BEE">
        <w:rPr>
          <w:lang w:val="en-US"/>
        </w:rPr>
        <w:t xml:space="preserve">The author notes that the court did not call representatives of the banks where she had accounts or the local tax authority to verify the provided information despite her motions to do so. </w:t>
      </w:r>
      <w:r w:rsidR="009A7C26">
        <w:rPr>
          <w:lang w:val="en-US"/>
        </w:rPr>
        <w:t xml:space="preserve">On 4 March 2016, Saryarik District Court rejected </w:t>
      </w:r>
      <w:r w:rsidR="00211BEE">
        <w:rPr>
          <w:lang w:val="en-US"/>
        </w:rPr>
        <w:t>the author’s</w:t>
      </w:r>
      <w:r w:rsidR="009A7C26">
        <w:rPr>
          <w:lang w:val="en-US"/>
        </w:rPr>
        <w:t xml:space="preserve"> complaint because </w:t>
      </w:r>
      <w:r w:rsidR="00211BEE">
        <w:rPr>
          <w:lang w:val="en-US"/>
        </w:rPr>
        <w:t xml:space="preserve">“the court was able to establish the </w:t>
      </w:r>
      <w:r w:rsidR="00211BEE" w:rsidRPr="00211BEE">
        <w:rPr>
          <w:lang w:val="en-US"/>
        </w:rPr>
        <w:t xml:space="preserve">discrepancy </w:t>
      </w:r>
      <w:r w:rsidR="009A7C26" w:rsidRPr="00211BEE">
        <w:rPr>
          <w:lang w:val="en-US"/>
        </w:rPr>
        <w:t>in the author’s income declaration</w:t>
      </w:r>
      <w:r w:rsidR="00211BEE" w:rsidRPr="00211BEE">
        <w:rPr>
          <w:lang w:val="en-US"/>
        </w:rPr>
        <w:t xml:space="preserve"> a</w:t>
      </w:r>
      <w:r w:rsidR="00211BEE">
        <w:rPr>
          <w:lang w:val="en-US"/>
        </w:rPr>
        <w:t>nd the election commission acted within its powers”</w:t>
      </w:r>
      <w:r w:rsidR="009A7C26">
        <w:rPr>
          <w:lang w:val="en-US"/>
        </w:rPr>
        <w:t>.</w:t>
      </w:r>
      <w:r w:rsidR="00F41C2C">
        <w:rPr>
          <w:lang w:val="en-US"/>
        </w:rPr>
        <w:t xml:space="preserve"> </w:t>
      </w:r>
    </w:p>
    <w:p w14:paraId="5B392F00" w14:textId="69F0EFF8" w:rsidR="001645A7" w:rsidRPr="00DA5A06" w:rsidRDefault="002E42EF" w:rsidP="001737C0">
      <w:pPr>
        <w:pStyle w:val="SingleTxtG"/>
        <w:rPr>
          <w:lang w:val="en-US"/>
        </w:rPr>
      </w:pPr>
      <w:r>
        <w:rPr>
          <w:lang w:val="en-US"/>
        </w:rPr>
        <w:t>2.5</w:t>
      </w:r>
      <w:r>
        <w:rPr>
          <w:lang w:val="en-US"/>
        </w:rPr>
        <w:tab/>
      </w:r>
      <w:r w:rsidR="00B87CE0">
        <w:rPr>
          <w:lang w:val="en-US"/>
        </w:rPr>
        <w:t xml:space="preserve">On 5 March 2016, the author submitted an appeal to Astana City Court, which was rejected on 6 March 2016. The author also submitted requests for a supervisory </w:t>
      </w:r>
      <w:r w:rsidR="008568C7">
        <w:rPr>
          <w:lang w:val="en-US"/>
        </w:rPr>
        <w:t xml:space="preserve">review </w:t>
      </w:r>
      <w:r w:rsidR="00B87CE0">
        <w:rPr>
          <w:lang w:val="en-US"/>
        </w:rPr>
        <w:t xml:space="preserve">to the Astana City Prosecutor and the Office of Prosecutor General, however both of them were dismissed on </w:t>
      </w:r>
      <w:r w:rsidR="00614C6E">
        <w:rPr>
          <w:lang w:val="en-US"/>
        </w:rPr>
        <w:t>11 March and 15 March 2016</w:t>
      </w:r>
      <w:r w:rsidR="005D5F2F">
        <w:rPr>
          <w:lang w:val="en-US"/>
        </w:rPr>
        <w:t>,</w:t>
      </w:r>
      <w:r w:rsidR="00614C6E">
        <w:rPr>
          <w:lang w:val="en-US"/>
        </w:rPr>
        <w:t xml:space="preserve"> respectively.</w:t>
      </w:r>
      <w:r w:rsidR="00DA5A06">
        <w:rPr>
          <w:lang w:val="en-US"/>
        </w:rPr>
        <w:t xml:space="preserve">  </w:t>
      </w:r>
    </w:p>
    <w:p w14:paraId="42EE2004" w14:textId="5B32E5FE" w:rsidR="001645A7" w:rsidRPr="00BE5AC7" w:rsidRDefault="001645A7" w:rsidP="006A3934">
      <w:pPr>
        <w:pStyle w:val="H4G"/>
        <w:tabs>
          <w:tab w:val="left" w:pos="1134"/>
          <w:tab w:val="left" w:pos="1701"/>
          <w:tab w:val="left" w:pos="2268"/>
          <w:tab w:val="left" w:pos="2835"/>
          <w:tab w:val="left" w:pos="3402"/>
          <w:tab w:val="left" w:pos="3969"/>
          <w:tab w:val="left" w:pos="4536"/>
          <w:tab w:val="left" w:pos="5103"/>
          <w:tab w:val="left" w:pos="5670"/>
          <w:tab w:val="left" w:pos="6237"/>
          <w:tab w:val="right" w:pos="8505"/>
        </w:tabs>
      </w:pPr>
      <w:r w:rsidRPr="00BE5AC7">
        <w:tab/>
      </w:r>
      <w:r w:rsidRPr="00BE5AC7">
        <w:tab/>
        <w:t xml:space="preserve">Communication No. </w:t>
      </w:r>
      <w:r w:rsidR="00EF30FF" w:rsidRPr="00BE5AC7">
        <w:t>30</w:t>
      </w:r>
      <w:r w:rsidR="00A74C5E">
        <w:t>40</w:t>
      </w:r>
      <w:r w:rsidR="00EF30FF" w:rsidRPr="00BE5AC7">
        <w:t>/201</w:t>
      </w:r>
      <w:r w:rsidR="00A74C5E">
        <w:t>7</w:t>
      </w:r>
      <w:r w:rsidRPr="00BE5AC7">
        <w:t xml:space="preserve">, </w:t>
      </w:r>
      <w:r w:rsidR="00A74C5E">
        <w:rPr>
          <w:bCs/>
        </w:rPr>
        <w:t xml:space="preserve">Tulesova </w:t>
      </w:r>
      <w:r w:rsidRPr="00BE5AC7">
        <w:t xml:space="preserve">v. </w:t>
      </w:r>
      <w:r w:rsidR="00A74C5E">
        <w:t>Kazakhstan</w:t>
      </w:r>
      <w:r w:rsidR="006A3934">
        <w:tab/>
      </w:r>
      <w:r w:rsidR="006A3934">
        <w:tab/>
      </w:r>
    </w:p>
    <w:p w14:paraId="2DDEB354" w14:textId="6BA1A01A" w:rsidR="00614C6E" w:rsidRPr="00255ED1" w:rsidRDefault="00614C6E" w:rsidP="00614C6E">
      <w:pPr>
        <w:pStyle w:val="SingleTxtG"/>
        <w:rPr>
          <w:lang w:val="en-US"/>
        </w:rPr>
      </w:pPr>
      <w:r w:rsidRPr="00BE5AC7">
        <w:t>2.</w:t>
      </w:r>
      <w:r>
        <w:t>6</w:t>
      </w:r>
      <w:r w:rsidRPr="00BE5AC7">
        <w:tab/>
      </w:r>
      <w:r>
        <w:t>On 1</w:t>
      </w:r>
      <w:r w:rsidR="006F2EC9">
        <w:t>6</w:t>
      </w:r>
      <w:r>
        <w:t xml:space="preserve"> February 2016, the author</w:t>
      </w:r>
      <w:r w:rsidR="00252090">
        <w:t>, who is a civil</w:t>
      </w:r>
      <w:r w:rsidR="00252090">
        <w:rPr>
          <w:lang w:val="en-US"/>
        </w:rPr>
        <w:t xml:space="preserve"> society </w:t>
      </w:r>
      <w:r w:rsidR="00252090">
        <w:t xml:space="preserve">activist and environmentalist, </w:t>
      </w:r>
      <w:r>
        <w:t xml:space="preserve">submitted her documents to the regional election commission to be registered as a candidate for the elections to the </w:t>
      </w:r>
      <w:r w:rsidR="006F2EC9">
        <w:t>Almaty</w:t>
      </w:r>
      <w:r>
        <w:t xml:space="preserve"> city Maslikhat. On the same day, she received an ID certifying her status as a candidate and immediately started her election campaign. On </w:t>
      </w:r>
      <w:r w:rsidR="006F2EC9">
        <w:t>19 February</w:t>
      </w:r>
      <w:r>
        <w:t xml:space="preserve"> 2016, she was </w:t>
      </w:r>
      <w:r w:rsidR="00211BEE">
        <w:t>summoned</w:t>
      </w:r>
      <w:r>
        <w:t xml:space="preserve"> to the local election commission and informed that she </w:t>
      </w:r>
      <w:r w:rsidR="00211BEE">
        <w:t>would be</w:t>
      </w:r>
      <w:r>
        <w:t xml:space="preserve"> </w:t>
      </w:r>
      <w:r>
        <w:lastRenderedPageBreak/>
        <w:t xml:space="preserve">disqualified from running due to </w:t>
      </w:r>
      <w:r w:rsidR="00211BEE">
        <w:t>submitting false information</w:t>
      </w:r>
      <w:r>
        <w:t xml:space="preserve"> in her income declaration. </w:t>
      </w:r>
      <w:r>
        <w:rPr>
          <w:lang w:val="en-US"/>
        </w:rPr>
        <w:t>In accordance with the information, provided to the election commission by the local tax authorities, the author incorrectly indicated the amount of money she had in her banking accounts. According to the letter submitted by the local tax authority to the election commission, the author overdeclared her balance in “Kazko</w:t>
      </w:r>
      <w:r w:rsidR="005D5F2F">
        <w:rPr>
          <w:lang w:val="en-US"/>
        </w:rPr>
        <w:t>m</w:t>
      </w:r>
      <w:r>
        <w:rPr>
          <w:lang w:val="en-US"/>
        </w:rPr>
        <w:t>mer</w:t>
      </w:r>
      <w:r w:rsidR="005D5F2F">
        <w:rPr>
          <w:lang w:val="en-US"/>
        </w:rPr>
        <w:t>ts</w:t>
      </w:r>
      <w:r>
        <w:rPr>
          <w:lang w:val="en-US"/>
        </w:rPr>
        <w:t xml:space="preserve">bank” </w:t>
      </w:r>
      <w:r w:rsidR="00741FF8">
        <w:rPr>
          <w:lang w:val="en-US"/>
        </w:rPr>
        <w:t>by 0.78 teng</w:t>
      </w:r>
      <w:r w:rsidR="00741FF8">
        <w:t>é</w:t>
      </w:r>
      <w:r w:rsidR="00741FF8">
        <w:rPr>
          <w:lang w:val="en-US"/>
        </w:rPr>
        <w:t xml:space="preserve"> </w:t>
      </w:r>
      <w:r>
        <w:rPr>
          <w:lang w:val="en-US"/>
        </w:rPr>
        <w:t xml:space="preserve">and underdeclared the balance in the foreign currency account she had in the same bank by </w:t>
      </w:r>
      <w:r w:rsidR="004C2129">
        <w:rPr>
          <w:lang w:val="en-US"/>
        </w:rPr>
        <w:t>18</w:t>
      </w:r>
      <w:r>
        <w:rPr>
          <w:lang w:val="en-US"/>
        </w:rPr>
        <w:t>.</w:t>
      </w:r>
      <w:r w:rsidR="004C2129">
        <w:rPr>
          <w:lang w:val="en-US"/>
        </w:rPr>
        <w:t>73</w:t>
      </w:r>
      <w:r>
        <w:rPr>
          <w:lang w:val="en-US"/>
        </w:rPr>
        <w:t xml:space="preserve"> US dollars. The tax authority sent its letter to the election commission on </w:t>
      </w:r>
      <w:r w:rsidR="002B5C67">
        <w:rPr>
          <w:lang w:val="en-US"/>
        </w:rPr>
        <w:t>1</w:t>
      </w:r>
      <w:r>
        <w:rPr>
          <w:lang w:val="en-US"/>
        </w:rPr>
        <w:t xml:space="preserve">9 February 2016 without giving an opportunity to the author to contest or rectify the amounts. </w:t>
      </w:r>
    </w:p>
    <w:p w14:paraId="7DA130DB" w14:textId="4E16DE0D" w:rsidR="002B5C67" w:rsidRDefault="00614C6E" w:rsidP="00614C6E">
      <w:pPr>
        <w:pStyle w:val="SingleTxtG"/>
        <w:rPr>
          <w:lang w:val="en-US"/>
        </w:rPr>
      </w:pPr>
      <w:r>
        <w:rPr>
          <w:lang w:val="en-US"/>
        </w:rPr>
        <w:t>2.</w:t>
      </w:r>
      <w:r w:rsidR="005D5F2F">
        <w:rPr>
          <w:lang w:val="en-US"/>
        </w:rPr>
        <w:t>7</w:t>
      </w:r>
      <w:r>
        <w:rPr>
          <w:lang w:val="en-US"/>
        </w:rPr>
        <w:tab/>
        <w:t xml:space="preserve">On </w:t>
      </w:r>
      <w:r w:rsidR="002B5C67">
        <w:rPr>
          <w:lang w:val="en-US"/>
        </w:rPr>
        <w:t>an unspecified date</w:t>
      </w:r>
      <w:r>
        <w:rPr>
          <w:lang w:val="en-US"/>
        </w:rPr>
        <w:t xml:space="preserve">, the author contested her disqualification as a candidate to </w:t>
      </w:r>
      <w:r w:rsidR="002B5C67">
        <w:rPr>
          <w:lang w:val="en-US"/>
        </w:rPr>
        <w:t>Medeu</w:t>
      </w:r>
      <w:r>
        <w:rPr>
          <w:lang w:val="en-US"/>
        </w:rPr>
        <w:t xml:space="preserve"> District Court. She argued that</w:t>
      </w:r>
      <w:r w:rsidR="00F3342E">
        <w:rPr>
          <w:lang w:val="en-US"/>
        </w:rPr>
        <w:t xml:space="preserve"> on 19 February 2016,</w:t>
      </w:r>
      <w:r>
        <w:rPr>
          <w:lang w:val="en-US"/>
        </w:rPr>
        <w:t xml:space="preserve"> </w:t>
      </w:r>
      <w:r w:rsidR="002B5C67">
        <w:rPr>
          <w:lang w:val="en-US"/>
        </w:rPr>
        <w:t xml:space="preserve">she </w:t>
      </w:r>
      <w:r w:rsidR="00842CF2">
        <w:rPr>
          <w:lang w:val="en-US"/>
        </w:rPr>
        <w:t xml:space="preserve">submitted </w:t>
      </w:r>
      <w:r w:rsidR="00F3342E">
        <w:rPr>
          <w:lang w:val="en-US"/>
        </w:rPr>
        <w:t xml:space="preserve">a new income declaration </w:t>
      </w:r>
      <w:r w:rsidR="00842CF2">
        <w:rPr>
          <w:lang w:val="en-US"/>
        </w:rPr>
        <w:t xml:space="preserve">with corrections and clarifications </w:t>
      </w:r>
      <w:r w:rsidR="00F3342E">
        <w:rPr>
          <w:lang w:val="en-US"/>
        </w:rPr>
        <w:t>to her original declaration</w:t>
      </w:r>
      <w:r w:rsidR="006B3019">
        <w:rPr>
          <w:lang w:val="en-US"/>
        </w:rPr>
        <w:t xml:space="preserve">. She also noted that she had rounded the numbers in her declaration because there was no space in the form to indicate “tiyin”, and that the information in her declaration was based on </w:t>
      </w:r>
      <w:r w:rsidR="003E7C8C">
        <w:rPr>
          <w:lang w:val="en-US"/>
        </w:rPr>
        <w:t xml:space="preserve">the </w:t>
      </w:r>
      <w:r w:rsidR="006B3019">
        <w:rPr>
          <w:lang w:val="en-US"/>
        </w:rPr>
        <w:t>statements obtained from her bank</w:t>
      </w:r>
      <w:r w:rsidR="005D5F2F">
        <w:rPr>
          <w:lang w:val="en-US"/>
        </w:rPr>
        <w:t xml:space="preserve">, </w:t>
      </w:r>
      <w:r w:rsidR="00CE125E">
        <w:rPr>
          <w:lang w:val="en-US"/>
        </w:rPr>
        <w:t xml:space="preserve">and </w:t>
      </w:r>
      <w:r w:rsidR="005D5F2F">
        <w:rPr>
          <w:lang w:val="en-US"/>
        </w:rPr>
        <w:t>a representative from “Kazkommertsbank”</w:t>
      </w:r>
      <w:r w:rsidR="003E7C8C">
        <w:rPr>
          <w:lang w:val="en-US"/>
        </w:rPr>
        <w:t xml:space="preserve"> </w:t>
      </w:r>
      <w:r w:rsidR="00CE125E">
        <w:rPr>
          <w:lang w:val="en-US"/>
        </w:rPr>
        <w:t xml:space="preserve">confirmed the authenticity of the statement issued to the author </w:t>
      </w:r>
      <w:r w:rsidR="003E7C8C">
        <w:rPr>
          <w:lang w:val="en-US"/>
        </w:rPr>
        <w:t>during the court hearing</w:t>
      </w:r>
      <w:r w:rsidR="006B3019">
        <w:rPr>
          <w:lang w:val="en-US"/>
        </w:rPr>
        <w:t>.</w:t>
      </w:r>
      <w:r w:rsidR="007C7C01">
        <w:rPr>
          <w:lang w:val="en-US"/>
        </w:rPr>
        <w:t xml:space="preserve"> The court agreed that </w:t>
      </w:r>
      <w:r w:rsidR="00CE125E">
        <w:rPr>
          <w:lang w:val="en-US"/>
        </w:rPr>
        <w:t>the author’s</w:t>
      </w:r>
      <w:r w:rsidR="007C7C01">
        <w:rPr>
          <w:lang w:val="en-US"/>
        </w:rPr>
        <w:t xml:space="preserve"> </w:t>
      </w:r>
      <w:r w:rsidR="004C2129">
        <w:rPr>
          <w:lang w:val="en-US"/>
        </w:rPr>
        <w:t xml:space="preserve">original </w:t>
      </w:r>
      <w:r w:rsidR="007C7C01">
        <w:rPr>
          <w:lang w:val="en-US"/>
        </w:rPr>
        <w:t xml:space="preserve">declaration was submitted based on the information received from her bank. However, the court </w:t>
      </w:r>
      <w:r w:rsidR="00CD194E">
        <w:rPr>
          <w:lang w:val="en-US"/>
        </w:rPr>
        <w:t>held</w:t>
      </w:r>
      <w:r w:rsidR="007C7C01">
        <w:rPr>
          <w:lang w:val="en-US"/>
        </w:rPr>
        <w:t xml:space="preserve"> that since </w:t>
      </w:r>
      <w:r w:rsidR="00CD194E">
        <w:rPr>
          <w:lang w:val="en-US"/>
        </w:rPr>
        <w:t>the author</w:t>
      </w:r>
      <w:r w:rsidR="007C7C01">
        <w:rPr>
          <w:lang w:val="en-US"/>
        </w:rPr>
        <w:t xml:space="preserve"> had submitted </w:t>
      </w:r>
      <w:r w:rsidR="004C2129">
        <w:rPr>
          <w:lang w:val="en-US"/>
        </w:rPr>
        <w:t>another</w:t>
      </w:r>
      <w:r w:rsidR="007C7C01">
        <w:rPr>
          <w:lang w:val="en-US"/>
        </w:rPr>
        <w:t xml:space="preserve"> declaration </w:t>
      </w:r>
      <w:r w:rsidR="004C2129">
        <w:rPr>
          <w:lang w:val="en-US"/>
        </w:rPr>
        <w:t>on 19 February 2016</w:t>
      </w:r>
      <w:r w:rsidR="007C7C01">
        <w:rPr>
          <w:lang w:val="en-US"/>
        </w:rPr>
        <w:t xml:space="preserve">, </w:t>
      </w:r>
      <w:r w:rsidR="00B82ED2">
        <w:rPr>
          <w:lang w:val="en-US"/>
        </w:rPr>
        <w:t xml:space="preserve">the </w:t>
      </w:r>
      <w:r w:rsidR="00051548">
        <w:rPr>
          <w:lang w:val="en-US"/>
        </w:rPr>
        <w:t xml:space="preserve">two declarations </w:t>
      </w:r>
      <w:r w:rsidR="003C1CA8">
        <w:rPr>
          <w:lang w:val="en-US"/>
        </w:rPr>
        <w:t xml:space="preserve">must </w:t>
      </w:r>
      <w:r w:rsidR="00051548">
        <w:rPr>
          <w:lang w:val="en-US"/>
        </w:rPr>
        <w:t>be added</w:t>
      </w:r>
      <w:r w:rsidR="005D5F2F">
        <w:rPr>
          <w:lang w:val="en-US"/>
        </w:rPr>
        <w:t>,</w:t>
      </w:r>
      <w:r w:rsidR="004C2129">
        <w:rPr>
          <w:lang w:val="en-US"/>
        </w:rPr>
        <w:t xml:space="preserve"> as a result of which </w:t>
      </w:r>
      <w:r w:rsidR="00CD194E">
        <w:rPr>
          <w:lang w:val="en-US"/>
        </w:rPr>
        <w:t>the discrepancy in her new income declaration became 14,925.78 teng</w:t>
      </w:r>
      <w:r w:rsidR="00CD194E">
        <w:t>é and 8,058.73 US dollars, respectively.</w:t>
      </w:r>
      <w:r w:rsidR="005D5F2F">
        <w:rPr>
          <w:lang w:val="en-US"/>
        </w:rPr>
        <w:t xml:space="preserve"> </w:t>
      </w:r>
      <w:r w:rsidR="00CD194E">
        <w:rPr>
          <w:lang w:val="en-US"/>
        </w:rPr>
        <w:t>B</w:t>
      </w:r>
      <w:r w:rsidR="005D5F2F">
        <w:rPr>
          <w:lang w:val="en-US"/>
        </w:rPr>
        <w:t>ased on that</w:t>
      </w:r>
      <w:r w:rsidR="00CD194E">
        <w:rPr>
          <w:lang w:val="en-US"/>
        </w:rPr>
        <w:t xml:space="preserve"> conclusion, the court</w:t>
      </w:r>
      <w:r w:rsidR="005D5F2F">
        <w:rPr>
          <w:lang w:val="en-US"/>
        </w:rPr>
        <w:t xml:space="preserve"> rejected </w:t>
      </w:r>
      <w:r w:rsidR="00CD194E">
        <w:rPr>
          <w:lang w:val="en-US"/>
        </w:rPr>
        <w:t xml:space="preserve">the author’s </w:t>
      </w:r>
      <w:r w:rsidR="005D5F2F">
        <w:rPr>
          <w:lang w:val="en-US"/>
        </w:rPr>
        <w:t>complaint</w:t>
      </w:r>
      <w:r w:rsidR="009E3A62">
        <w:rPr>
          <w:lang w:val="en-US"/>
        </w:rPr>
        <w:t xml:space="preserve"> on 26 February 2016</w:t>
      </w:r>
      <w:r w:rsidR="005D5F2F">
        <w:rPr>
          <w:lang w:val="en-US"/>
        </w:rPr>
        <w:t xml:space="preserve">. </w:t>
      </w:r>
    </w:p>
    <w:p w14:paraId="331F6512" w14:textId="5E517183" w:rsidR="00614C6E" w:rsidRPr="00DA5A06" w:rsidRDefault="00614C6E" w:rsidP="00614C6E">
      <w:pPr>
        <w:pStyle w:val="SingleTxtG"/>
        <w:rPr>
          <w:lang w:val="en-US"/>
        </w:rPr>
      </w:pPr>
      <w:r>
        <w:rPr>
          <w:lang w:val="en-US"/>
        </w:rPr>
        <w:t>2.</w:t>
      </w:r>
      <w:r w:rsidR="005D5F2F">
        <w:rPr>
          <w:lang w:val="en-US"/>
        </w:rPr>
        <w:t>8</w:t>
      </w:r>
      <w:r>
        <w:rPr>
          <w:lang w:val="en-US"/>
        </w:rPr>
        <w:tab/>
        <w:t xml:space="preserve"> On </w:t>
      </w:r>
      <w:r w:rsidR="005D5F2F">
        <w:rPr>
          <w:lang w:val="en-US"/>
        </w:rPr>
        <w:t>an unspecified date</w:t>
      </w:r>
      <w:r>
        <w:rPr>
          <w:lang w:val="en-US"/>
        </w:rPr>
        <w:t xml:space="preserve">, the author submitted an appeal to </w:t>
      </w:r>
      <w:r w:rsidR="005D5F2F">
        <w:rPr>
          <w:lang w:val="en-US"/>
        </w:rPr>
        <w:t>Almaty</w:t>
      </w:r>
      <w:r>
        <w:rPr>
          <w:lang w:val="en-US"/>
        </w:rPr>
        <w:t xml:space="preserve"> City Court, which was rejected on </w:t>
      </w:r>
      <w:r w:rsidR="005D5F2F">
        <w:rPr>
          <w:lang w:val="en-US"/>
        </w:rPr>
        <w:t>14</w:t>
      </w:r>
      <w:r>
        <w:rPr>
          <w:lang w:val="en-US"/>
        </w:rPr>
        <w:t xml:space="preserve"> March 2016. The author also submitted requests for a supervisory </w:t>
      </w:r>
      <w:r w:rsidR="008568C7">
        <w:rPr>
          <w:lang w:val="en-US"/>
        </w:rPr>
        <w:t xml:space="preserve">review </w:t>
      </w:r>
      <w:r>
        <w:rPr>
          <w:lang w:val="en-US"/>
        </w:rPr>
        <w:t xml:space="preserve">to the </w:t>
      </w:r>
      <w:r w:rsidR="005D5F2F">
        <w:rPr>
          <w:lang w:val="en-US"/>
        </w:rPr>
        <w:t xml:space="preserve">Almaty </w:t>
      </w:r>
      <w:r>
        <w:rPr>
          <w:lang w:val="en-US"/>
        </w:rPr>
        <w:t>City Prosecutor and the Office of Prosecutor General, however both of them were dismissed on 1</w:t>
      </w:r>
      <w:r w:rsidR="005D5F2F">
        <w:rPr>
          <w:lang w:val="en-US"/>
        </w:rPr>
        <w:t>8</w:t>
      </w:r>
      <w:r>
        <w:rPr>
          <w:lang w:val="en-US"/>
        </w:rPr>
        <w:t xml:space="preserve"> March and </w:t>
      </w:r>
      <w:r w:rsidR="005D5F2F">
        <w:rPr>
          <w:lang w:val="en-US"/>
        </w:rPr>
        <w:t>20</w:t>
      </w:r>
      <w:r>
        <w:rPr>
          <w:lang w:val="en-US"/>
        </w:rPr>
        <w:t xml:space="preserve"> March 2016</w:t>
      </w:r>
      <w:r w:rsidR="005D5F2F">
        <w:rPr>
          <w:lang w:val="en-US"/>
        </w:rPr>
        <w:t>,</w:t>
      </w:r>
      <w:r>
        <w:rPr>
          <w:lang w:val="en-US"/>
        </w:rPr>
        <w:t xml:space="preserve"> respectively.  </w:t>
      </w:r>
    </w:p>
    <w:p w14:paraId="023DC69C" w14:textId="1607E58D" w:rsidR="000501BB" w:rsidRPr="00BE5AC7" w:rsidRDefault="000501BB" w:rsidP="000501BB">
      <w:pPr>
        <w:pStyle w:val="H4G"/>
      </w:pPr>
      <w:r w:rsidRPr="00BE5AC7">
        <w:tab/>
      </w:r>
      <w:r w:rsidRPr="00BE5AC7">
        <w:tab/>
        <w:t xml:space="preserve">Communication No. </w:t>
      </w:r>
      <w:r w:rsidR="00EF30FF" w:rsidRPr="00BE5AC7">
        <w:t>30</w:t>
      </w:r>
      <w:r w:rsidR="00A74C5E">
        <w:t>51</w:t>
      </w:r>
      <w:r w:rsidR="00EF30FF" w:rsidRPr="00BE5AC7">
        <w:t>/201</w:t>
      </w:r>
      <w:r w:rsidR="00A74C5E">
        <w:t>7</w:t>
      </w:r>
      <w:r w:rsidRPr="00BE5AC7">
        <w:t xml:space="preserve">, </w:t>
      </w:r>
      <w:r w:rsidR="00A74C5E">
        <w:rPr>
          <w:bCs/>
        </w:rPr>
        <w:t xml:space="preserve">Nurgazieva </w:t>
      </w:r>
      <w:r w:rsidRPr="00BE5AC7">
        <w:t xml:space="preserve">v. </w:t>
      </w:r>
      <w:r w:rsidR="00A74C5E">
        <w:t>Kazakhstan</w:t>
      </w:r>
    </w:p>
    <w:p w14:paraId="0B86689D" w14:textId="46F20578" w:rsidR="005C504A" w:rsidRDefault="000501BB" w:rsidP="005C504A">
      <w:pPr>
        <w:pStyle w:val="SingleTxtG"/>
        <w:rPr>
          <w:lang w:val="en-US"/>
        </w:rPr>
      </w:pPr>
      <w:r w:rsidRPr="00BE5AC7">
        <w:t>2.9</w:t>
      </w:r>
      <w:r w:rsidRPr="00BE5AC7">
        <w:tab/>
        <w:t xml:space="preserve"> </w:t>
      </w:r>
      <w:r w:rsidR="005C504A">
        <w:t xml:space="preserve">On 23 February 2016, the author, who is </w:t>
      </w:r>
      <w:r w:rsidR="00252090">
        <w:t xml:space="preserve">a </w:t>
      </w:r>
      <w:r w:rsidR="005C504A">
        <w:t xml:space="preserve">well-known human rights defender and civil </w:t>
      </w:r>
      <w:r w:rsidR="00252090">
        <w:t>society activist</w:t>
      </w:r>
      <w:r w:rsidR="005C504A">
        <w:t xml:space="preserve"> in Atyrau, submitted her documents to the regional election commission to be registered as a candidate for the elections to the Atyrau Regional Maslikhat. On the same day, she received an ID certifying her status as a candidate and immediately started her election campaign. On 12 March 2016, she was </w:t>
      </w:r>
      <w:r w:rsidR="00F3342E">
        <w:t>summoned</w:t>
      </w:r>
      <w:r w:rsidR="005C504A">
        <w:t xml:space="preserve"> to the local election commission and informed that she w</w:t>
      </w:r>
      <w:r w:rsidR="00F3342E">
        <w:t>ould be</w:t>
      </w:r>
      <w:r w:rsidR="005C504A">
        <w:t xml:space="preserve"> disqualified from running due to </w:t>
      </w:r>
      <w:r w:rsidR="00F3342E">
        <w:t>submitting false information</w:t>
      </w:r>
      <w:r w:rsidR="005C504A">
        <w:t xml:space="preserve"> in her income declaration. </w:t>
      </w:r>
      <w:r w:rsidR="005C504A">
        <w:rPr>
          <w:lang w:val="en-US"/>
        </w:rPr>
        <w:t xml:space="preserve">In accordance with the information provided to the election commission by the local tax authorities, the author incorrectly indicated the amount of money she had in her banking accounts. According to the </w:t>
      </w:r>
      <w:r w:rsidR="00F3342E">
        <w:rPr>
          <w:lang w:val="en-US"/>
        </w:rPr>
        <w:t>calculations made by the tax authority</w:t>
      </w:r>
      <w:r w:rsidR="005C504A">
        <w:rPr>
          <w:lang w:val="en-US"/>
        </w:rPr>
        <w:t>, the author incorrectly indicated her pension savings (difference in the amount of 21 933 teng</w:t>
      </w:r>
      <w:r w:rsidR="005C504A">
        <w:t>é</w:t>
      </w:r>
      <w:r w:rsidR="005C504A">
        <w:rPr>
          <w:lang w:val="en-US"/>
        </w:rPr>
        <w:t xml:space="preserve">), and </w:t>
      </w:r>
      <w:r w:rsidR="00CF7EC7">
        <w:rPr>
          <w:lang w:val="en-US"/>
        </w:rPr>
        <w:t>did not disclose</w:t>
      </w:r>
      <w:r w:rsidR="005C504A">
        <w:rPr>
          <w:lang w:val="en-US"/>
        </w:rPr>
        <w:t xml:space="preserve"> 3 additional bank accounts (in one of those accounts she had 40 teng</w:t>
      </w:r>
      <w:r w:rsidR="005C504A">
        <w:t>é</w:t>
      </w:r>
      <w:r w:rsidR="005C504A">
        <w:rPr>
          <w:lang w:val="en-US"/>
        </w:rPr>
        <w:t>, and did not have any money in the other two).</w:t>
      </w:r>
    </w:p>
    <w:p w14:paraId="5B54B3F2" w14:textId="1724906C" w:rsidR="005C504A" w:rsidRDefault="005C504A" w:rsidP="005C504A">
      <w:pPr>
        <w:pStyle w:val="SingleTxtG"/>
        <w:rPr>
          <w:lang w:val="en-US"/>
        </w:rPr>
      </w:pPr>
      <w:r>
        <w:rPr>
          <w:lang w:val="en-US"/>
        </w:rPr>
        <w:t>2.10</w:t>
      </w:r>
      <w:r>
        <w:rPr>
          <w:lang w:val="en-US"/>
        </w:rPr>
        <w:tab/>
      </w:r>
      <w:r w:rsidR="009E3A62">
        <w:rPr>
          <w:lang w:val="en-US"/>
        </w:rPr>
        <w:t>On an unspecified date</w:t>
      </w:r>
      <w:r>
        <w:rPr>
          <w:lang w:val="en-US"/>
        </w:rPr>
        <w:t xml:space="preserve">, the author contested her disqualification as a candidate to Atyrau City Court. She argued that 1) the information </w:t>
      </w:r>
      <w:r w:rsidR="00CF7EC7">
        <w:rPr>
          <w:lang w:val="en-US"/>
        </w:rPr>
        <w:t>in the</w:t>
      </w:r>
      <w:r>
        <w:rPr>
          <w:lang w:val="en-US"/>
        </w:rPr>
        <w:t xml:space="preserve"> income declaration</w:t>
      </w:r>
      <w:r w:rsidR="00CF7EC7">
        <w:rPr>
          <w:lang w:val="en-US"/>
        </w:rPr>
        <w:t xml:space="preserve"> concerning her pension savings</w:t>
      </w:r>
      <w:r>
        <w:rPr>
          <w:lang w:val="en-US"/>
        </w:rPr>
        <w:t xml:space="preserve"> was based on </w:t>
      </w:r>
      <w:r w:rsidR="003C1CA8">
        <w:rPr>
          <w:lang w:val="en-US"/>
        </w:rPr>
        <w:t>balance</w:t>
      </w:r>
      <w:r>
        <w:rPr>
          <w:lang w:val="en-US"/>
        </w:rPr>
        <w:t xml:space="preserve"> statement </w:t>
      </w:r>
      <w:r w:rsidR="00F4743A">
        <w:rPr>
          <w:lang w:val="en-US"/>
        </w:rPr>
        <w:t>provided by</w:t>
      </w:r>
      <w:r>
        <w:rPr>
          <w:lang w:val="en-US"/>
        </w:rPr>
        <w:t xml:space="preserve"> the Pension Fund, and 2) </w:t>
      </w:r>
      <w:r w:rsidR="00CF7EC7">
        <w:rPr>
          <w:lang w:val="en-US"/>
        </w:rPr>
        <w:t xml:space="preserve">she forgot to formally close </w:t>
      </w:r>
      <w:r w:rsidR="005F3D5B">
        <w:rPr>
          <w:lang w:val="en-US"/>
        </w:rPr>
        <w:t>three</w:t>
      </w:r>
      <w:r w:rsidR="00CF7EC7">
        <w:rPr>
          <w:lang w:val="en-US"/>
        </w:rPr>
        <w:t xml:space="preserve"> bank accounts, which she had stopped using</w:t>
      </w:r>
      <w:r w:rsidR="00F3342E">
        <w:rPr>
          <w:lang w:val="en-US"/>
        </w:rPr>
        <w:t xml:space="preserve"> a long time before</w:t>
      </w:r>
      <w:r w:rsidR="00CF7EC7">
        <w:rPr>
          <w:lang w:val="en-US"/>
        </w:rPr>
        <w:t xml:space="preserve">, and </w:t>
      </w:r>
      <w:r>
        <w:rPr>
          <w:lang w:val="en-US"/>
        </w:rPr>
        <w:t xml:space="preserve">the discrepancy </w:t>
      </w:r>
      <w:r w:rsidR="00F4743A">
        <w:rPr>
          <w:lang w:val="en-US"/>
        </w:rPr>
        <w:t>in the amount of 40 teng</w:t>
      </w:r>
      <w:r w:rsidR="00F4743A">
        <w:t>é</w:t>
      </w:r>
      <w:r w:rsidR="00F4743A">
        <w:rPr>
          <w:lang w:val="en-US"/>
        </w:rPr>
        <w:t xml:space="preserve"> </w:t>
      </w:r>
      <w:r>
        <w:rPr>
          <w:lang w:val="en-US"/>
        </w:rPr>
        <w:t xml:space="preserve">identified by the tax authority </w:t>
      </w:r>
      <w:r w:rsidR="00F4743A">
        <w:rPr>
          <w:lang w:val="en-US"/>
        </w:rPr>
        <w:t xml:space="preserve">on </w:t>
      </w:r>
      <w:r w:rsidR="00CF7EC7">
        <w:rPr>
          <w:lang w:val="en-US"/>
        </w:rPr>
        <w:t>one of those</w:t>
      </w:r>
      <w:r w:rsidR="00F4743A">
        <w:rPr>
          <w:lang w:val="en-US"/>
        </w:rPr>
        <w:t xml:space="preserve"> banking accounts </w:t>
      </w:r>
      <w:r>
        <w:rPr>
          <w:lang w:val="en-US"/>
        </w:rPr>
        <w:t>was so minimal that her disqualification would constitute an unreasonable and disproportionate restriction of her right to run for public office.</w:t>
      </w:r>
      <w:r w:rsidR="009E3A62">
        <w:rPr>
          <w:lang w:val="en-US"/>
        </w:rPr>
        <w:t xml:space="preserve"> </w:t>
      </w:r>
      <w:r w:rsidR="00CE125E">
        <w:rPr>
          <w:lang w:val="en-US"/>
        </w:rPr>
        <w:t xml:space="preserve">The author also argued that the discrepancy in her pension funds could have been explained by the fact that the tax authority obtained its information on the day when she registered her candidacy for the elections, while she obtained her statement from the pension fund 15 days before the registration date. </w:t>
      </w:r>
    </w:p>
    <w:p w14:paraId="395194F3" w14:textId="47FE1F06" w:rsidR="005C504A" w:rsidRDefault="005C504A" w:rsidP="005C504A">
      <w:pPr>
        <w:pStyle w:val="SingleTxtG"/>
        <w:rPr>
          <w:lang w:val="en-US"/>
        </w:rPr>
      </w:pPr>
      <w:r>
        <w:rPr>
          <w:lang w:val="en-US"/>
        </w:rPr>
        <w:t>2.</w:t>
      </w:r>
      <w:r w:rsidR="00D85249">
        <w:rPr>
          <w:lang w:val="en-US"/>
        </w:rPr>
        <w:t>11</w:t>
      </w:r>
      <w:r>
        <w:rPr>
          <w:lang w:val="en-US"/>
        </w:rPr>
        <w:tab/>
      </w:r>
      <w:r w:rsidR="00CE125E">
        <w:rPr>
          <w:lang w:val="en-US"/>
        </w:rPr>
        <w:t xml:space="preserve">On 16 March 2016, Atyrau City Court rejected her complaint because “the court was able to establish the </w:t>
      </w:r>
      <w:r w:rsidR="00CE125E" w:rsidRPr="00211BEE">
        <w:rPr>
          <w:lang w:val="en-US"/>
        </w:rPr>
        <w:t>discrepancy in the author’s income declaration a</w:t>
      </w:r>
      <w:r w:rsidR="00CE125E">
        <w:rPr>
          <w:lang w:val="en-US"/>
        </w:rPr>
        <w:t xml:space="preserve">nd the election commission acted within its powers”. </w:t>
      </w:r>
      <w:r>
        <w:rPr>
          <w:lang w:val="en-US"/>
        </w:rPr>
        <w:t xml:space="preserve">On </w:t>
      </w:r>
      <w:r w:rsidR="00D85249">
        <w:rPr>
          <w:lang w:val="en-US"/>
        </w:rPr>
        <w:t>17</w:t>
      </w:r>
      <w:r>
        <w:rPr>
          <w:lang w:val="en-US"/>
        </w:rPr>
        <w:t xml:space="preserve"> March 2016, the author submitted an appeal to </w:t>
      </w:r>
      <w:r w:rsidR="00D85249">
        <w:rPr>
          <w:lang w:val="en-US"/>
        </w:rPr>
        <w:t>Atyrau</w:t>
      </w:r>
      <w:r>
        <w:rPr>
          <w:lang w:val="en-US"/>
        </w:rPr>
        <w:t xml:space="preserve"> </w:t>
      </w:r>
      <w:r w:rsidR="00D85249">
        <w:rPr>
          <w:lang w:val="en-US"/>
        </w:rPr>
        <w:t>Regional</w:t>
      </w:r>
      <w:r>
        <w:rPr>
          <w:lang w:val="en-US"/>
        </w:rPr>
        <w:t xml:space="preserve"> Court, which was rejected on </w:t>
      </w:r>
      <w:r w:rsidR="00D85249">
        <w:rPr>
          <w:lang w:val="en-US"/>
        </w:rPr>
        <w:t>the same day</w:t>
      </w:r>
      <w:r>
        <w:rPr>
          <w:lang w:val="en-US"/>
        </w:rPr>
        <w:t xml:space="preserve">. The author also submitted requests for a supervisory </w:t>
      </w:r>
      <w:r w:rsidR="008568C7">
        <w:rPr>
          <w:lang w:val="en-US"/>
        </w:rPr>
        <w:t xml:space="preserve">review </w:t>
      </w:r>
      <w:r>
        <w:rPr>
          <w:lang w:val="en-US"/>
        </w:rPr>
        <w:t xml:space="preserve">to the </w:t>
      </w:r>
      <w:r w:rsidR="00D85249">
        <w:rPr>
          <w:lang w:val="en-US"/>
        </w:rPr>
        <w:t>Atyrau Regional</w:t>
      </w:r>
      <w:r>
        <w:rPr>
          <w:lang w:val="en-US"/>
        </w:rPr>
        <w:t xml:space="preserve"> Prosecutor and the Office of Prosecutor General, however both of them were dismissed on 1</w:t>
      </w:r>
      <w:r w:rsidR="00D85249">
        <w:rPr>
          <w:lang w:val="en-US"/>
        </w:rPr>
        <w:t>8</w:t>
      </w:r>
      <w:r>
        <w:rPr>
          <w:lang w:val="en-US"/>
        </w:rPr>
        <w:t xml:space="preserve"> March and </w:t>
      </w:r>
      <w:r w:rsidR="00D85249">
        <w:rPr>
          <w:lang w:val="en-US"/>
        </w:rPr>
        <w:t>14 April</w:t>
      </w:r>
      <w:r>
        <w:rPr>
          <w:lang w:val="en-US"/>
        </w:rPr>
        <w:t xml:space="preserve"> 2016, respectively.</w:t>
      </w:r>
    </w:p>
    <w:p w14:paraId="5DC76CBA" w14:textId="6C3495C3" w:rsidR="001645A7" w:rsidRPr="00BE5AC7" w:rsidRDefault="001645A7" w:rsidP="001645A7">
      <w:pPr>
        <w:pStyle w:val="H4G"/>
        <w:rPr>
          <w:b/>
          <w:bCs/>
          <w:i w:val="0"/>
          <w:iCs/>
        </w:rPr>
      </w:pPr>
      <w:r w:rsidRPr="00BE5AC7">
        <w:lastRenderedPageBreak/>
        <w:tab/>
      </w:r>
      <w:r w:rsidRPr="00BE5AC7">
        <w:tab/>
      </w:r>
      <w:r w:rsidR="001F353B" w:rsidRPr="00BE5AC7">
        <w:rPr>
          <w:b/>
          <w:bCs/>
          <w:i w:val="0"/>
          <w:iCs/>
        </w:rPr>
        <w:t>C</w:t>
      </w:r>
      <w:r w:rsidRPr="00BE5AC7">
        <w:rPr>
          <w:b/>
          <w:bCs/>
          <w:i w:val="0"/>
          <w:iCs/>
        </w:rPr>
        <w:t>omplaint</w:t>
      </w:r>
    </w:p>
    <w:p w14:paraId="46A30658" w14:textId="2321DEF8" w:rsidR="001645A7" w:rsidRDefault="001645A7" w:rsidP="001645A7">
      <w:pPr>
        <w:pStyle w:val="SingleTxtG"/>
      </w:pPr>
      <w:r w:rsidRPr="00BE5AC7">
        <w:rPr>
          <w:lang w:val="en-US"/>
        </w:rPr>
        <w:t>3.1</w:t>
      </w:r>
      <w:r w:rsidRPr="00BE5AC7">
        <w:rPr>
          <w:lang w:val="en-US"/>
        </w:rPr>
        <w:tab/>
      </w:r>
      <w:r w:rsidR="00D85249">
        <w:t xml:space="preserve">The authors claim that the State party has violated their right </w:t>
      </w:r>
      <w:r w:rsidR="00D85249" w:rsidRPr="007C25F3">
        <w:t>to take part in conduct of public affairs, and to elect and be elected, in violation of article 25 of the Covenant</w:t>
      </w:r>
      <w:r w:rsidR="00D85249">
        <w:t xml:space="preserve">. They argue that such small discrepancies in their income declarations cannot be considered objective and substantiated grounds for their disqualification from </w:t>
      </w:r>
      <w:r w:rsidR="00AF7264">
        <w:t xml:space="preserve">running for </w:t>
      </w:r>
      <w:r w:rsidR="00C55329">
        <w:t>election.</w:t>
      </w:r>
      <w:r w:rsidR="00D85249">
        <w:t xml:space="preserve"> Even if their declarations had mistakes, those mistakes were based on official bank and pension fund statements, and the election commissions should have allowed them an opportunity to correct them.</w:t>
      </w:r>
      <w:r w:rsidR="00AB00F4" w:rsidRPr="00BE5AC7">
        <w:t xml:space="preserve"> </w:t>
      </w:r>
      <w:r w:rsidR="006F3D71">
        <w:t>According to the authors,</w:t>
      </w:r>
      <w:r w:rsidR="006F3D71">
        <w:rPr>
          <w:lang w:val="en-US"/>
        </w:rPr>
        <w:t xml:space="preserve"> the Central Election Commission </w:t>
      </w:r>
      <w:r w:rsidR="007E213A">
        <w:rPr>
          <w:lang w:val="en-US"/>
        </w:rPr>
        <w:t xml:space="preserve">has </w:t>
      </w:r>
      <w:r w:rsidR="006F3D71">
        <w:rPr>
          <w:lang w:val="en-US"/>
        </w:rPr>
        <w:t>stated that more than 300 candidates running for public offices were disqualified because of similar small mistakes during the election period, but refused to provide the names of those who were disqualified.</w:t>
      </w:r>
      <w:r w:rsidR="00E01BDC">
        <w:rPr>
          <w:rStyle w:val="FootnoteReference"/>
          <w:lang w:val="en-US"/>
        </w:rPr>
        <w:footnoteReference w:id="5"/>
      </w:r>
      <w:r w:rsidR="006F3D71">
        <w:rPr>
          <w:lang w:val="en-US"/>
        </w:rPr>
        <w:t xml:space="preserve"> The authors suggest that the actual number of those who were disqualified was about 40, and all of them were independent candidates or candidates from opposition parties.</w:t>
      </w:r>
      <w:r w:rsidR="00AB00F4" w:rsidRPr="00BE5AC7">
        <w:t xml:space="preserve"> </w:t>
      </w:r>
    </w:p>
    <w:p w14:paraId="38E4C42B" w14:textId="112593BA" w:rsidR="00D85249" w:rsidRPr="00BE5AC7" w:rsidRDefault="00D85249" w:rsidP="001645A7">
      <w:pPr>
        <w:pStyle w:val="SingleTxtG"/>
        <w:rPr>
          <w:lang w:val="en-US"/>
        </w:rPr>
      </w:pPr>
      <w:r>
        <w:t>3.2</w:t>
      </w:r>
      <w:r>
        <w:tab/>
        <w:t xml:space="preserve">The authors further claim </w:t>
      </w:r>
      <w:r w:rsidR="008418FA">
        <w:t>a violation of their rights under article 26 of the Covenant because</w:t>
      </w:r>
      <w:r>
        <w:t xml:space="preserve"> </w:t>
      </w:r>
      <w:r w:rsidR="008418FA">
        <w:t>they were disqualified from running for</w:t>
      </w:r>
      <w:r>
        <w:t xml:space="preserve"> their independent political views, which were different from those of the government. </w:t>
      </w:r>
      <w:r w:rsidR="008418FA">
        <w:t>They are known civil society activists in their respective regions</w:t>
      </w:r>
      <w:r>
        <w:t xml:space="preserve"> </w:t>
      </w:r>
      <w:r w:rsidR="003C1CA8">
        <w:t>who</w:t>
      </w:r>
      <w:r>
        <w:t xml:space="preserve"> </w:t>
      </w:r>
      <w:r w:rsidR="008418FA">
        <w:t>often criticized</w:t>
      </w:r>
      <w:r>
        <w:t xml:space="preserve"> policies of the ruling party “Nur</w:t>
      </w:r>
      <w:r w:rsidR="00785D28">
        <w:t xml:space="preserve"> </w:t>
      </w:r>
      <w:r>
        <w:t>Otan”</w:t>
      </w:r>
      <w:r w:rsidR="003C1CA8">
        <w:t xml:space="preserve"> and were considered to be strong candidates to win elections to their local legislatures</w:t>
      </w:r>
      <w:r>
        <w:t>.</w:t>
      </w:r>
    </w:p>
    <w:p w14:paraId="3D5DBDF5" w14:textId="0DBA3C92" w:rsidR="001645A7" w:rsidRPr="00BE5AC7" w:rsidRDefault="001645A7" w:rsidP="001645A7">
      <w:pPr>
        <w:pStyle w:val="H23G"/>
        <w:ind w:right="-144"/>
      </w:pPr>
      <w:r w:rsidRPr="00BE5AC7">
        <w:tab/>
      </w:r>
      <w:r w:rsidRPr="00BE5AC7">
        <w:tab/>
      </w:r>
      <w:bookmarkStart w:id="2" w:name="_Hlk113452517"/>
      <w:r w:rsidRPr="00BE5AC7">
        <w:t xml:space="preserve">State party’s observations on </w:t>
      </w:r>
      <w:r w:rsidR="004977FE">
        <w:t xml:space="preserve">admissibility and </w:t>
      </w:r>
      <w:r w:rsidR="00BF49E6" w:rsidRPr="00BE5AC7">
        <w:t xml:space="preserve">the </w:t>
      </w:r>
      <w:r w:rsidRPr="00BE5AC7">
        <w:t>merits</w:t>
      </w:r>
      <w:bookmarkEnd w:id="2"/>
    </w:p>
    <w:p w14:paraId="4715E83F" w14:textId="1BD6065A" w:rsidR="004239D3" w:rsidRDefault="00AB00F4" w:rsidP="008418FA">
      <w:pPr>
        <w:pStyle w:val="SingleTxtG"/>
      </w:pPr>
      <w:r w:rsidRPr="00BE5AC7">
        <w:t>4.1</w:t>
      </w:r>
      <w:r w:rsidRPr="00BE5AC7">
        <w:tab/>
        <w:t>By note verbale of 15 March 201</w:t>
      </w:r>
      <w:r w:rsidR="00D94D85">
        <w:t>7</w:t>
      </w:r>
      <w:r w:rsidRPr="00BE5AC7">
        <w:t>, the State party submitted its observations on the</w:t>
      </w:r>
      <w:r w:rsidR="00D94D85">
        <w:t xml:space="preserve"> admissibility and</w:t>
      </w:r>
      <w:r w:rsidRPr="00BE5AC7">
        <w:t xml:space="preserve"> merits of </w:t>
      </w:r>
      <w:r w:rsidRPr="001347EE">
        <w:rPr>
          <w:i/>
          <w:iCs/>
        </w:rPr>
        <w:t>communication</w:t>
      </w:r>
      <w:r w:rsidR="00C01D84">
        <w:t xml:space="preserve"> </w:t>
      </w:r>
      <w:r w:rsidR="00C01D84" w:rsidRPr="00D94D85">
        <w:rPr>
          <w:i/>
          <w:iCs/>
        </w:rPr>
        <w:t>2914/2016</w:t>
      </w:r>
      <w:r w:rsidR="00C01D84">
        <w:t>. The State party notes that in accordance with article 104</w:t>
      </w:r>
      <w:r w:rsidR="00674361">
        <w:t xml:space="preserve"> (1)</w:t>
      </w:r>
      <w:r w:rsidR="00C01D84">
        <w:t xml:space="preserve"> of the Law on elections, before registering their </w:t>
      </w:r>
      <w:r w:rsidR="009A0CAE">
        <w:t>candidacies</w:t>
      </w:r>
      <w:r w:rsidR="00C01D84">
        <w:t xml:space="preserve"> for elections, all candidates must submit income declarations to their local tax authorities. </w:t>
      </w:r>
      <w:r w:rsidRPr="00BE5AC7">
        <w:rPr>
          <w:lang w:val="en-US"/>
        </w:rPr>
        <w:t xml:space="preserve"> </w:t>
      </w:r>
      <w:r w:rsidR="00785D28">
        <w:rPr>
          <w:lang w:val="en-US"/>
        </w:rPr>
        <w:t xml:space="preserve">Based on the submitted documents by the author, the Astana Department of State Income (tax authority) audited the author’s income declaration and determined that </w:t>
      </w:r>
      <w:r w:rsidR="00674361">
        <w:rPr>
          <w:lang w:val="en-US"/>
        </w:rPr>
        <w:t>the author had underdeclared the money she had on</w:t>
      </w:r>
      <w:r w:rsidR="00ED21B0">
        <w:rPr>
          <w:lang w:val="en-US"/>
        </w:rPr>
        <w:t xml:space="preserve"> some of</w:t>
      </w:r>
      <w:r w:rsidR="00674361">
        <w:rPr>
          <w:lang w:val="en-US"/>
        </w:rPr>
        <w:t xml:space="preserve"> </w:t>
      </w:r>
      <w:r w:rsidR="00ED21B0">
        <w:rPr>
          <w:lang w:val="en-US"/>
        </w:rPr>
        <w:t>her banking</w:t>
      </w:r>
      <w:r w:rsidR="00674361">
        <w:rPr>
          <w:lang w:val="en-US"/>
        </w:rPr>
        <w:t xml:space="preserve"> accounts by 4,779.79 teng</w:t>
      </w:r>
      <w:r w:rsidR="00674361">
        <w:t>é</w:t>
      </w:r>
      <w:r w:rsidR="00674361">
        <w:rPr>
          <w:lang w:val="en-US"/>
        </w:rPr>
        <w:t xml:space="preserve"> and 41.9 US dollars, and overdeclared </w:t>
      </w:r>
      <w:r w:rsidR="00ED21B0">
        <w:rPr>
          <w:lang w:val="en-US"/>
        </w:rPr>
        <w:t>the balance</w:t>
      </w:r>
      <w:r w:rsidR="00674361">
        <w:rPr>
          <w:lang w:val="en-US"/>
        </w:rPr>
        <w:t xml:space="preserve"> on other accounts by 4,926 teng</w:t>
      </w:r>
      <w:r w:rsidR="00674361">
        <w:t>é</w:t>
      </w:r>
      <w:r w:rsidR="00674361">
        <w:rPr>
          <w:lang w:val="en-US"/>
        </w:rPr>
        <w:t xml:space="preserve"> and 0.96 US dollars. The State party notes that in accordance with article 104 (6) (3) of the same law, elections commissions must revoke the candidate’s registration if</w:t>
      </w:r>
      <w:r w:rsidR="00D573E2">
        <w:rPr>
          <w:lang w:val="en-US"/>
        </w:rPr>
        <w:t xml:space="preserve"> it </w:t>
      </w:r>
      <w:r w:rsidR="00ED21B0">
        <w:rPr>
          <w:lang w:val="en-US"/>
        </w:rPr>
        <w:t>determines</w:t>
      </w:r>
      <w:r w:rsidR="00D573E2">
        <w:rPr>
          <w:lang w:val="en-US"/>
        </w:rPr>
        <w:t xml:space="preserve"> that the candidate’s income declaration contains false information.</w:t>
      </w:r>
      <w:r w:rsidR="00ED21B0">
        <w:rPr>
          <w:lang w:val="en-US"/>
        </w:rPr>
        <w:t xml:space="preserve"> Therefore, when the tax authority informed the election commission about the discrepancy in the candidate’s income declaration, the commission revoked its registration of the author as a candidate </w:t>
      </w:r>
      <w:r w:rsidR="00ED21B0">
        <w:t xml:space="preserve">for the elections to the Astana city Maslikhat. The State party submits that the domestic courts have </w:t>
      </w:r>
      <w:r w:rsidR="00B97A32">
        <w:t xml:space="preserve">determined that the author indeed failed to show correct information in her income declaration, and </w:t>
      </w:r>
      <w:r w:rsidR="004239D3">
        <w:t>that</w:t>
      </w:r>
      <w:r w:rsidR="00B97A32">
        <w:t xml:space="preserve"> </w:t>
      </w:r>
      <w:r w:rsidR="004239D3">
        <w:t>the election commission’s decision to revoke her registration was in compliance with the domestic legislation.</w:t>
      </w:r>
    </w:p>
    <w:p w14:paraId="44E1A362" w14:textId="7CBE65A9" w:rsidR="00AF2F0A" w:rsidRDefault="004239D3" w:rsidP="00AF2F0A">
      <w:pPr>
        <w:pStyle w:val="SingleTxtG"/>
      </w:pPr>
      <w:r>
        <w:t>4.2</w:t>
      </w:r>
      <w:r>
        <w:tab/>
        <w:t xml:space="preserve"> The State party </w:t>
      </w:r>
      <w:r w:rsidR="00AF2F0A">
        <w:t>submits that</w:t>
      </w:r>
      <w:r>
        <w:t xml:space="preserve"> the author</w:t>
      </w:r>
      <w:r w:rsidR="00AF2F0A">
        <w:t xml:space="preserve"> wasn’t able to substantiate her</w:t>
      </w:r>
      <w:r>
        <w:t xml:space="preserve"> claim of a violation </w:t>
      </w:r>
      <w:r w:rsidR="00692260">
        <w:t xml:space="preserve">of </w:t>
      </w:r>
      <w:r>
        <w:t>article</w:t>
      </w:r>
      <w:r w:rsidR="00FD12D5">
        <w:t>s</w:t>
      </w:r>
      <w:r>
        <w:t xml:space="preserve"> 25</w:t>
      </w:r>
      <w:r w:rsidR="00FD12D5">
        <w:t xml:space="preserve"> and 26</w:t>
      </w:r>
      <w:r>
        <w:t xml:space="preserve"> of the Covenant. It notes that the author was able to register her candida</w:t>
      </w:r>
      <w:r w:rsidR="003C1CA8">
        <w:t>cy</w:t>
      </w:r>
      <w:r>
        <w:t xml:space="preserve">, however due to her own </w:t>
      </w:r>
      <w:r w:rsidR="004E7E79">
        <w:t xml:space="preserve">disregard for the provisions of the elections law, her registration was later revoked. The State party notes that </w:t>
      </w:r>
      <w:r w:rsidR="00FD12D5">
        <w:t>to stand for elections, candidates must meet the requirements set in articles 33 and 86 of the Constitution.</w:t>
      </w:r>
      <w:r w:rsidR="00AF2F0A">
        <w:t xml:space="preserve"> It also notes that in accordance with article 14 of the Constitution, e</w:t>
      </w:r>
      <w:r w:rsidR="00AF2F0A" w:rsidRPr="00AF2F0A">
        <w:t>veryone shall be equal before the law and court</w:t>
      </w:r>
      <w:r w:rsidR="00AF2F0A">
        <w:t>, and no</w:t>
      </w:r>
      <w:r w:rsidR="00AF2F0A" w:rsidRPr="00AF2F0A">
        <w:t xml:space="preserve"> one shall be subject to any discrimination for reasons of origin, social, property</w:t>
      </w:r>
      <w:r w:rsidR="00AF2F0A">
        <w:t xml:space="preserve"> </w:t>
      </w:r>
      <w:r w:rsidR="00AF2F0A" w:rsidRPr="00AF2F0A">
        <w:t>status, occupation, sex, race, nationality, language, attitude towards religion, convictions, place of residence or any other circumstances</w:t>
      </w:r>
      <w:r w:rsidR="00AF2F0A">
        <w:t>.</w:t>
      </w:r>
    </w:p>
    <w:p w14:paraId="7C02C39C" w14:textId="2E34277E" w:rsidR="00AF2F0A" w:rsidRDefault="00AF2F0A" w:rsidP="00AF2F0A">
      <w:pPr>
        <w:pStyle w:val="SingleTxtG"/>
      </w:pPr>
      <w:r>
        <w:t>4.3</w:t>
      </w:r>
      <w:r>
        <w:tab/>
        <w:t xml:space="preserve">The State party rejects the author’s argument that the discrepancy in </w:t>
      </w:r>
      <w:r w:rsidR="00181389">
        <w:t>her income declaration</w:t>
      </w:r>
      <w:r w:rsidR="006D3285">
        <w:t>, because of its small amount,</w:t>
      </w:r>
      <w:r w:rsidR="00181389">
        <w:t xml:space="preserve"> c</w:t>
      </w:r>
      <w:r w:rsidR="006D3285">
        <w:t>ould not</w:t>
      </w:r>
      <w:r w:rsidR="00181389">
        <w:t xml:space="preserve"> be used as </w:t>
      </w:r>
      <w:r w:rsidR="00CD0CC6">
        <w:t xml:space="preserve">the </w:t>
      </w:r>
      <w:r w:rsidR="00181389">
        <w:t>grounds for her disqualification as a candidate</w:t>
      </w:r>
      <w:r w:rsidR="006F3D71">
        <w:t>.</w:t>
      </w:r>
      <w:r w:rsidR="00B74F6F">
        <w:t xml:space="preserve"> </w:t>
      </w:r>
      <w:r w:rsidR="006F3D71">
        <w:t xml:space="preserve">It also rejects the author’s assertion that she was disqualified for her political views and that </w:t>
      </w:r>
      <w:r w:rsidR="00667E03">
        <w:t xml:space="preserve">more than 300 candidates were disqualified from running in the election because of their political views. The State party notes that the author has not </w:t>
      </w:r>
      <w:r w:rsidR="00FB1568">
        <w:t xml:space="preserve">challenged the constitutionality of </w:t>
      </w:r>
      <w:r w:rsidR="00FB1568">
        <w:rPr>
          <w:lang w:val="en-US"/>
        </w:rPr>
        <w:t xml:space="preserve">article 104 (6) (3) </w:t>
      </w:r>
      <w:r w:rsidR="00FB1568">
        <w:t>of the Law on elections and has</w:t>
      </w:r>
      <w:r w:rsidR="004977FE">
        <w:t xml:space="preserve"> </w:t>
      </w:r>
      <w:r w:rsidR="00FB1568">
        <w:t>n</w:t>
      </w:r>
      <w:r w:rsidR="004977FE">
        <w:t>o</w:t>
      </w:r>
      <w:r w:rsidR="00FB1568">
        <w:t xml:space="preserve">t substantiated her claim of discrimination based on political views. </w:t>
      </w:r>
      <w:r w:rsidR="00CD0CC6">
        <w:t xml:space="preserve">It also notes that the author </w:t>
      </w:r>
      <w:r w:rsidR="00CD0CC6">
        <w:lastRenderedPageBreak/>
        <w:t>has</w:t>
      </w:r>
      <w:r w:rsidR="004977FE">
        <w:t xml:space="preserve"> </w:t>
      </w:r>
      <w:r w:rsidR="00CD0CC6">
        <w:t>n</w:t>
      </w:r>
      <w:r w:rsidR="004977FE">
        <w:t>o</w:t>
      </w:r>
      <w:r w:rsidR="00CD0CC6">
        <w:t xml:space="preserve">t raised the issue of discrimination based on political views in domestic proceedings, which makes it inadmissible for lack of exhaustion of domestic remedies. </w:t>
      </w:r>
    </w:p>
    <w:p w14:paraId="0572214A" w14:textId="3F00FC76" w:rsidR="00FB1568" w:rsidRDefault="00FB1568" w:rsidP="00AF2F0A">
      <w:pPr>
        <w:pStyle w:val="SingleTxtG"/>
      </w:pPr>
      <w:r>
        <w:t>4.4</w:t>
      </w:r>
      <w:r>
        <w:tab/>
        <w:t xml:space="preserve">Finally, the State party </w:t>
      </w:r>
      <w:r w:rsidR="000315FD">
        <w:t>refers to the author’s submission that she was</w:t>
      </w:r>
      <w:r w:rsidR="006D3285">
        <w:t xml:space="preserve"> not</w:t>
      </w:r>
      <w:r w:rsidR="000315FD">
        <w:t xml:space="preserve"> </w:t>
      </w:r>
      <w:r w:rsidR="000315FD">
        <w:rPr>
          <w:lang w:val="en-US"/>
        </w:rPr>
        <w:t>given an opportunity to contest or rectify the income declaration</w:t>
      </w:r>
      <w:r w:rsidR="004977FE">
        <w:rPr>
          <w:lang w:val="en-US"/>
        </w:rPr>
        <w:t>,</w:t>
      </w:r>
      <w:r>
        <w:t xml:space="preserve"> </w:t>
      </w:r>
      <w:r w:rsidR="000315FD">
        <w:t xml:space="preserve">and notes that the </w:t>
      </w:r>
      <w:r w:rsidR="008568C7">
        <w:t>Law on elections</w:t>
      </w:r>
      <w:r w:rsidR="000315FD">
        <w:t xml:space="preserve"> does not provide for </w:t>
      </w:r>
      <w:r w:rsidR="00D94D85">
        <w:t xml:space="preserve">a correction of income declarations once they are submitted. </w:t>
      </w:r>
    </w:p>
    <w:p w14:paraId="7A8F098E" w14:textId="0C84530F" w:rsidR="00D94D85" w:rsidRDefault="00D94D85" w:rsidP="00AF2F0A">
      <w:pPr>
        <w:pStyle w:val="SingleTxtG"/>
      </w:pPr>
      <w:r>
        <w:t>4.5</w:t>
      </w:r>
      <w:r>
        <w:tab/>
      </w:r>
      <w:r w:rsidRPr="00BE5AC7">
        <w:t>By note verbale of 1</w:t>
      </w:r>
      <w:r>
        <w:t>1 January</w:t>
      </w:r>
      <w:r w:rsidRPr="00BE5AC7">
        <w:t xml:space="preserve"> 2018, the State party submitted its observations on the</w:t>
      </w:r>
      <w:r>
        <w:t xml:space="preserve"> admissibility and</w:t>
      </w:r>
      <w:r w:rsidRPr="00BE5AC7">
        <w:t xml:space="preserve"> merits of </w:t>
      </w:r>
      <w:r w:rsidRPr="001347EE">
        <w:rPr>
          <w:i/>
          <w:iCs/>
        </w:rPr>
        <w:t>communication</w:t>
      </w:r>
      <w:r>
        <w:t xml:space="preserve"> </w:t>
      </w:r>
      <w:r w:rsidRPr="00D94D85">
        <w:rPr>
          <w:i/>
          <w:iCs/>
        </w:rPr>
        <w:t>3051/201</w:t>
      </w:r>
      <w:r>
        <w:rPr>
          <w:i/>
          <w:iCs/>
        </w:rPr>
        <w:t>7</w:t>
      </w:r>
      <w:r>
        <w:t xml:space="preserve">. The State party notes that the submission of income declaration is a measure of </w:t>
      </w:r>
      <w:r>
        <w:rPr>
          <w:lang w:val="en-US"/>
        </w:rPr>
        <w:t xml:space="preserve">countering corruption and financial control </w:t>
      </w:r>
      <w:r w:rsidR="00A0595E">
        <w:rPr>
          <w:lang w:val="en-US"/>
        </w:rPr>
        <w:t xml:space="preserve">over those who aspire to enter civil service. </w:t>
      </w:r>
      <w:r w:rsidR="00BB4665">
        <w:rPr>
          <w:lang w:val="en-US"/>
        </w:rPr>
        <w:t>It further notes that the domestic courts have determined that the author declared her pension savings to be in the amount of 1,030,471 teng</w:t>
      </w:r>
      <w:r w:rsidR="00BB4665">
        <w:t xml:space="preserve">é while her actual savings amounted to 1,008,538 </w:t>
      </w:r>
      <w:r w:rsidR="00BB4665">
        <w:rPr>
          <w:lang w:val="en-US"/>
        </w:rPr>
        <w:t>teng</w:t>
      </w:r>
      <w:r w:rsidR="00BB4665">
        <w:t xml:space="preserve">é. The author also failed to </w:t>
      </w:r>
      <w:r w:rsidR="006E5A38">
        <w:t xml:space="preserve">declare 40 </w:t>
      </w:r>
      <w:r w:rsidR="006E5A38">
        <w:rPr>
          <w:lang w:val="en-US"/>
        </w:rPr>
        <w:t>teng</w:t>
      </w:r>
      <w:r w:rsidR="006E5A38">
        <w:t xml:space="preserve">é that were in one of her bank accounts and to </w:t>
      </w:r>
      <w:r w:rsidR="00BB4665">
        <w:t xml:space="preserve">declare 2 other bank accounts </w:t>
      </w:r>
      <w:r w:rsidR="006E5A38">
        <w:t>without any money in them</w:t>
      </w:r>
      <w:r w:rsidR="00BB4665">
        <w:t xml:space="preserve">. </w:t>
      </w:r>
    </w:p>
    <w:p w14:paraId="19B44F01" w14:textId="1E739FBF" w:rsidR="006D3285" w:rsidRDefault="006D3285" w:rsidP="00AF2F0A">
      <w:pPr>
        <w:pStyle w:val="SingleTxtG"/>
      </w:pPr>
      <w:r>
        <w:t>4.6</w:t>
      </w:r>
      <w:r>
        <w:tab/>
        <w:t xml:space="preserve">Similarly to </w:t>
      </w:r>
      <w:r w:rsidR="00B74F6F">
        <w:t xml:space="preserve">its observations in </w:t>
      </w:r>
      <w:r w:rsidR="00981A69" w:rsidRPr="00981A69">
        <w:t>communication 2914/2016</w:t>
      </w:r>
      <w:r>
        <w:t xml:space="preserve">, the State party </w:t>
      </w:r>
      <w:r w:rsidR="00B74F6F">
        <w:t xml:space="preserve">rejects the author’s argument that the discrepancy in her income declaration, because of its small amount, could not be used as </w:t>
      </w:r>
      <w:r w:rsidR="00CD0CC6">
        <w:t xml:space="preserve">the </w:t>
      </w:r>
      <w:r w:rsidR="00B74F6F">
        <w:t xml:space="preserve">grounds for her disqualification as a candidate, and rejects the author’s assertion that she was disqualified for her political views. </w:t>
      </w:r>
      <w:r w:rsidR="00CD0CC6">
        <w:t xml:space="preserve">It also notes that the author hasn’t raised the issue of discrimination in </w:t>
      </w:r>
      <w:r w:rsidR="00981A69">
        <w:t xml:space="preserve">the </w:t>
      </w:r>
      <w:r w:rsidR="00CD0CC6">
        <w:t>domestic proceedings, which makes it inadmissible for lack of exhaustion of domestic remedies.</w:t>
      </w:r>
    </w:p>
    <w:p w14:paraId="79F120B1" w14:textId="1863FA80" w:rsidR="00CD0CC6" w:rsidRDefault="00CD0CC6" w:rsidP="00AF2F0A">
      <w:pPr>
        <w:pStyle w:val="SingleTxtG"/>
      </w:pPr>
      <w:r>
        <w:t>4.7</w:t>
      </w:r>
      <w:r>
        <w:tab/>
      </w:r>
      <w:r w:rsidRPr="00BE5AC7">
        <w:t>By note verbale of 1</w:t>
      </w:r>
      <w:r>
        <w:t>4 August</w:t>
      </w:r>
      <w:r w:rsidRPr="00BE5AC7">
        <w:t xml:space="preserve"> 2018, the State party submitted its observations on the</w:t>
      </w:r>
      <w:r>
        <w:t xml:space="preserve"> </w:t>
      </w:r>
      <w:r w:rsidRPr="00BE5AC7">
        <w:t xml:space="preserve">merits of </w:t>
      </w:r>
      <w:r w:rsidRPr="001347EE">
        <w:rPr>
          <w:i/>
          <w:iCs/>
        </w:rPr>
        <w:t>communication</w:t>
      </w:r>
      <w:r>
        <w:t xml:space="preserve"> </w:t>
      </w:r>
      <w:r w:rsidRPr="00D94D85">
        <w:rPr>
          <w:i/>
          <w:iCs/>
        </w:rPr>
        <w:t>30</w:t>
      </w:r>
      <w:r>
        <w:rPr>
          <w:i/>
          <w:iCs/>
        </w:rPr>
        <w:t>40</w:t>
      </w:r>
      <w:r w:rsidRPr="00D94D85">
        <w:rPr>
          <w:i/>
          <w:iCs/>
        </w:rPr>
        <w:t>/201</w:t>
      </w:r>
      <w:r>
        <w:rPr>
          <w:i/>
          <w:iCs/>
        </w:rPr>
        <w:t>7</w:t>
      </w:r>
      <w:r>
        <w:t xml:space="preserve">. The State party </w:t>
      </w:r>
      <w:r w:rsidR="006870F1">
        <w:t>notes</w:t>
      </w:r>
      <w:r w:rsidR="00CD194E">
        <w:t xml:space="preserve"> that the </w:t>
      </w:r>
      <w:r w:rsidR="00CD194E">
        <w:rPr>
          <w:lang w:val="en-US"/>
        </w:rPr>
        <w:t>Almaty Department of State Income identified a discrepancy in the amount of 0.78 teng</w:t>
      </w:r>
      <w:r w:rsidR="00CD194E">
        <w:t>é</w:t>
      </w:r>
      <w:r w:rsidR="00CD194E">
        <w:rPr>
          <w:lang w:val="en-US"/>
        </w:rPr>
        <w:t xml:space="preserve"> and 18.73 US dollars </w:t>
      </w:r>
      <w:r w:rsidR="006870F1">
        <w:t>in the author’s original income declaration</w:t>
      </w:r>
      <w:r w:rsidR="00CD194E">
        <w:rPr>
          <w:lang w:val="en-US"/>
        </w:rPr>
        <w:t>. According to the State party,</w:t>
      </w:r>
      <w:r w:rsidR="0061384A">
        <w:rPr>
          <w:lang w:val="en-US"/>
        </w:rPr>
        <w:t xml:space="preserve"> Medeu District Court accepted the author’s argument that her declaration was based on the statement</w:t>
      </w:r>
      <w:r w:rsidR="00CD194E">
        <w:rPr>
          <w:lang w:val="en-US"/>
        </w:rPr>
        <w:t xml:space="preserve"> </w:t>
      </w:r>
      <w:r w:rsidR="0061384A">
        <w:rPr>
          <w:lang w:val="en-US"/>
        </w:rPr>
        <w:t xml:space="preserve">received from her bank. </w:t>
      </w:r>
      <w:r w:rsidR="00CD194E">
        <w:rPr>
          <w:lang w:val="en-US"/>
        </w:rPr>
        <w:t>However, since the author later submitted another income declaration, the</w:t>
      </w:r>
      <w:r w:rsidR="005975B2">
        <w:rPr>
          <w:lang w:val="en-US"/>
        </w:rPr>
        <w:t xml:space="preserve"> court held that the amounts in both declarations needed to be added to one another, which increased the</w:t>
      </w:r>
      <w:r w:rsidR="00CD194E">
        <w:rPr>
          <w:lang w:val="en-US"/>
        </w:rPr>
        <w:t xml:space="preserve"> discrepancy</w:t>
      </w:r>
      <w:r w:rsidR="005975B2">
        <w:rPr>
          <w:lang w:val="en-US"/>
        </w:rPr>
        <w:t xml:space="preserve"> </w:t>
      </w:r>
      <w:r w:rsidR="00CD194E">
        <w:rPr>
          <w:lang w:val="en-US"/>
        </w:rPr>
        <w:t>to 14,925.78 teng</w:t>
      </w:r>
      <w:r w:rsidR="00CD194E">
        <w:t>é and 8,058.73 US dollars</w:t>
      </w:r>
      <w:r w:rsidR="006870F1">
        <w:t xml:space="preserve"> respectively</w:t>
      </w:r>
      <w:r w:rsidR="005975B2">
        <w:t>. Based on that</w:t>
      </w:r>
      <w:r w:rsidR="0061384A">
        <w:t xml:space="preserve">, </w:t>
      </w:r>
      <w:r w:rsidR="005975B2">
        <w:rPr>
          <w:lang w:val="en-US"/>
        </w:rPr>
        <w:t>the court</w:t>
      </w:r>
      <w:r w:rsidR="006870F1">
        <w:t xml:space="preserve"> </w:t>
      </w:r>
      <w:r w:rsidR="0061384A">
        <w:t xml:space="preserve">held that the election commission </w:t>
      </w:r>
      <w:r w:rsidR="005975B2">
        <w:t xml:space="preserve">had </w:t>
      </w:r>
      <w:r w:rsidR="0061384A">
        <w:t>correctly revoked its registration of the author</w:t>
      </w:r>
      <w:r w:rsidR="005975B2">
        <w:t xml:space="preserve">’s </w:t>
      </w:r>
      <w:r w:rsidR="009A0CAE">
        <w:t xml:space="preserve">candidacy </w:t>
      </w:r>
      <w:r w:rsidR="0061384A">
        <w:rPr>
          <w:lang w:val="en-US"/>
        </w:rPr>
        <w:t>for submitting false information about her income.</w:t>
      </w:r>
    </w:p>
    <w:p w14:paraId="03B2A19E" w14:textId="0E169B14" w:rsidR="00592052" w:rsidRPr="00BE5AC7" w:rsidRDefault="00592052" w:rsidP="00592052">
      <w:pPr>
        <w:pStyle w:val="H23G"/>
      </w:pPr>
      <w:r w:rsidRPr="00BE5AC7">
        <w:tab/>
      </w:r>
      <w:r w:rsidRPr="00BE5AC7">
        <w:tab/>
        <w:t>Authors</w:t>
      </w:r>
      <w:r w:rsidRPr="00BE5AC7">
        <w:rPr>
          <w:lang w:val="en-US"/>
        </w:rPr>
        <w:t>’</w:t>
      </w:r>
      <w:r w:rsidRPr="00BE5AC7">
        <w:t xml:space="preserve"> comments on the State </w:t>
      </w:r>
      <w:r w:rsidR="00277933" w:rsidRPr="00BE5AC7">
        <w:t>party’s</w:t>
      </w:r>
      <w:r w:rsidRPr="00BE5AC7">
        <w:t xml:space="preserve"> observations</w:t>
      </w:r>
    </w:p>
    <w:p w14:paraId="7F0CDA23" w14:textId="2F4F02BA" w:rsidR="00692260" w:rsidRDefault="00592052" w:rsidP="00592052">
      <w:pPr>
        <w:pStyle w:val="SingleTxtG"/>
      </w:pPr>
      <w:r w:rsidRPr="00BE5AC7">
        <w:t>5.1</w:t>
      </w:r>
      <w:r w:rsidRPr="00BE5AC7">
        <w:tab/>
        <w:t xml:space="preserve">On </w:t>
      </w:r>
      <w:r w:rsidR="005975B2">
        <w:t>18 April</w:t>
      </w:r>
      <w:r w:rsidRPr="00BE5AC7">
        <w:t xml:space="preserve"> 201</w:t>
      </w:r>
      <w:r w:rsidR="005975B2">
        <w:t>7</w:t>
      </w:r>
      <w:r w:rsidRPr="00BE5AC7">
        <w:t>, the author</w:t>
      </w:r>
      <w:r w:rsidR="005975B2">
        <w:t xml:space="preserve"> of </w:t>
      </w:r>
      <w:r w:rsidR="005975B2" w:rsidRPr="001347EE">
        <w:rPr>
          <w:i/>
          <w:iCs/>
        </w:rPr>
        <w:t>communication</w:t>
      </w:r>
      <w:r w:rsidR="005975B2">
        <w:t xml:space="preserve"> </w:t>
      </w:r>
      <w:r w:rsidR="005975B2" w:rsidRPr="00D94D85">
        <w:rPr>
          <w:i/>
          <w:iCs/>
        </w:rPr>
        <w:t>2914/2016</w:t>
      </w:r>
      <w:r w:rsidRPr="00BE5AC7">
        <w:t xml:space="preserve"> submitted </w:t>
      </w:r>
      <w:r w:rsidR="005975B2">
        <w:t>her</w:t>
      </w:r>
      <w:r w:rsidRPr="00BE5AC7">
        <w:t xml:space="preserve"> comments on the State party’s observations. </w:t>
      </w:r>
      <w:r w:rsidR="005975B2">
        <w:t>She</w:t>
      </w:r>
      <w:r w:rsidRPr="00BE5AC7">
        <w:t xml:space="preserve"> </w:t>
      </w:r>
      <w:r w:rsidR="00310C9B" w:rsidRPr="00BE5AC7">
        <w:t>note</w:t>
      </w:r>
      <w:r w:rsidR="005975B2">
        <w:t>s</w:t>
      </w:r>
      <w:r w:rsidRPr="00BE5AC7">
        <w:t xml:space="preserve"> that the State part</w:t>
      </w:r>
      <w:r w:rsidR="005010EC">
        <w:t xml:space="preserve">y regularly uses </w:t>
      </w:r>
      <w:r w:rsidR="005010EC">
        <w:rPr>
          <w:lang w:val="en-US"/>
        </w:rPr>
        <w:t xml:space="preserve">article 104 (6) (3) </w:t>
      </w:r>
      <w:r w:rsidR="005010EC">
        <w:t xml:space="preserve">of the Law on elections to prevent independent and opposing candidates from running for elections. </w:t>
      </w:r>
      <w:r w:rsidR="002532E4">
        <w:t>The author notes that t</w:t>
      </w:r>
      <w:r w:rsidR="00320F55">
        <w:t xml:space="preserve">he State party </w:t>
      </w:r>
      <w:r w:rsidR="00903FB7">
        <w:t>has</w:t>
      </w:r>
      <w:r w:rsidR="00320F55">
        <w:t xml:space="preserve"> not den</w:t>
      </w:r>
      <w:r w:rsidR="00903FB7">
        <w:t>ied</w:t>
      </w:r>
      <w:r w:rsidR="00320F55">
        <w:t xml:space="preserve"> that the courts did not call any witnesses, including representatives of banks and the local tax authority, </w:t>
      </w:r>
      <w:r w:rsidR="00903FB7">
        <w:t>thus</w:t>
      </w:r>
      <w:r w:rsidR="00903FB7">
        <w:rPr>
          <w:lang w:val="en-US"/>
        </w:rPr>
        <w:t xml:space="preserve"> showing that the trial was conducted in a biased and superficial manner. She also </w:t>
      </w:r>
      <w:r w:rsidR="00692260">
        <w:rPr>
          <w:lang w:val="en-US"/>
        </w:rPr>
        <w:t xml:space="preserve">refers to the State party’s submission that </w:t>
      </w:r>
      <w:r w:rsidR="00692260">
        <w:t>the domestic legislation does not provide for a correction of income declarations once they are submitted and argues that this also violates her rights under the Covenant.</w:t>
      </w:r>
      <w:r w:rsidR="0027403D">
        <w:t xml:space="preserve"> </w:t>
      </w:r>
      <w:r w:rsidR="00692260">
        <w:t xml:space="preserve">The author reiterates her assertion that she was disqualified from running in the elections due to her </w:t>
      </w:r>
      <w:r w:rsidR="0027403D">
        <w:t>political views</w:t>
      </w:r>
      <w:r w:rsidR="00B87496">
        <w:t xml:space="preserve">. </w:t>
      </w:r>
    </w:p>
    <w:p w14:paraId="2761D48D" w14:textId="62FFB4D0" w:rsidR="0027403D" w:rsidRDefault="0027403D" w:rsidP="00A02D55">
      <w:pPr>
        <w:pStyle w:val="SingleTxtG"/>
      </w:pPr>
      <w:r>
        <w:t>5.2</w:t>
      </w:r>
      <w:r>
        <w:tab/>
      </w:r>
      <w:r w:rsidR="009C209B">
        <w:t xml:space="preserve">On 11 January 2018, </w:t>
      </w:r>
      <w:r w:rsidR="009C209B" w:rsidRPr="00BE5AC7">
        <w:t>the author</w:t>
      </w:r>
      <w:r w:rsidR="009C209B">
        <w:t xml:space="preserve"> of </w:t>
      </w:r>
      <w:r w:rsidR="009C209B" w:rsidRPr="001347EE">
        <w:rPr>
          <w:i/>
          <w:iCs/>
        </w:rPr>
        <w:t>communication</w:t>
      </w:r>
      <w:r w:rsidR="009C209B">
        <w:t xml:space="preserve"> </w:t>
      </w:r>
      <w:r w:rsidR="009C209B">
        <w:rPr>
          <w:i/>
          <w:iCs/>
        </w:rPr>
        <w:t>3051</w:t>
      </w:r>
      <w:r w:rsidR="009C209B" w:rsidRPr="00D94D85">
        <w:rPr>
          <w:i/>
          <w:iCs/>
        </w:rPr>
        <w:t>/201</w:t>
      </w:r>
      <w:r w:rsidR="009C209B">
        <w:rPr>
          <w:i/>
          <w:iCs/>
        </w:rPr>
        <w:t>7</w:t>
      </w:r>
      <w:r w:rsidR="009C209B" w:rsidRPr="00BE5AC7">
        <w:t xml:space="preserve"> submitted </w:t>
      </w:r>
      <w:r w:rsidR="009C209B">
        <w:t>her</w:t>
      </w:r>
      <w:r w:rsidR="009C209B" w:rsidRPr="00BE5AC7">
        <w:t xml:space="preserve"> comments on the State party’s observations. </w:t>
      </w:r>
      <w:r w:rsidR="009C209B">
        <w:t>She</w:t>
      </w:r>
      <w:r w:rsidR="009C209B" w:rsidRPr="00BE5AC7">
        <w:t xml:space="preserve"> </w:t>
      </w:r>
      <w:r w:rsidR="009436BB">
        <w:t xml:space="preserve">reiterates her claim that </w:t>
      </w:r>
      <w:r w:rsidR="00A02D55">
        <w:t>she has been subjected to a disproportional restriction of her right to be elected</w:t>
      </w:r>
      <w:r w:rsidR="00432BB1">
        <w:t xml:space="preserve">. She refers to the 15 January 2012 OSCE/ODIHR election report and argues </w:t>
      </w:r>
      <w:r w:rsidR="00A02D55">
        <w:t>that this practice</w:t>
      </w:r>
      <w:r w:rsidR="00432BB1">
        <w:t xml:space="preserve"> is</w:t>
      </w:r>
      <w:r w:rsidR="00A02D55">
        <w:t xml:space="preserve"> </w:t>
      </w:r>
      <w:r w:rsidR="00432BB1">
        <w:t xml:space="preserve">used </w:t>
      </w:r>
      <w:r w:rsidR="0003705A">
        <w:t xml:space="preserve">by the State party </w:t>
      </w:r>
      <w:r w:rsidR="00432BB1">
        <w:t xml:space="preserve">to prevent independent candidates and those from opposition parties </w:t>
      </w:r>
      <w:r w:rsidR="001A3AF9">
        <w:t>from running</w:t>
      </w:r>
      <w:r w:rsidR="00432BB1">
        <w:t xml:space="preserve"> in elections</w:t>
      </w:r>
      <w:r w:rsidR="00A02D55">
        <w:t>.</w:t>
      </w:r>
      <w:r w:rsidR="00A02D55">
        <w:rPr>
          <w:rStyle w:val="FootnoteReference"/>
        </w:rPr>
        <w:footnoteReference w:id="6"/>
      </w:r>
    </w:p>
    <w:p w14:paraId="3A2B58BE" w14:textId="703666B0" w:rsidR="00A02D55" w:rsidRDefault="00A02D55" w:rsidP="00A02D55">
      <w:pPr>
        <w:pStyle w:val="SingleTxtG"/>
      </w:pPr>
      <w:r>
        <w:t>5.3</w:t>
      </w:r>
      <w:r>
        <w:tab/>
        <w:t xml:space="preserve">On 10 October 2018, </w:t>
      </w:r>
      <w:r w:rsidRPr="00BE5AC7">
        <w:t>the author</w:t>
      </w:r>
      <w:r>
        <w:t xml:space="preserve"> of </w:t>
      </w:r>
      <w:r w:rsidRPr="001347EE">
        <w:rPr>
          <w:i/>
          <w:iCs/>
        </w:rPr>
        <w:t>communication</w:t>
      </w:r>
      <w:r>
        <w:t xml:space="preserve"> </w:t>
      </w:r>
      <w:r>
        <w:rPr>
          <w:i/>
          <w:iCs/>
        </w:rPr>
        <w:t>3040</w:t>
      </w:r>
      <w:r w:rsidRPr="00D94D85">
        <w:rPr>
          <w:i/>
          <w:iCs/>
        </w:rPr>
        <w:t>/201</w:t>
      </w:r>
      <w:r>
        <w:rPr>
          <w:i/>
          <w:iCs/>
        </w:rPr>
        <w:t>7</w:t>
      </w:r>
      <w:r w:rsidRPr="00BE5AC7">
        <w:t xml:space="preserve"> submitted </w:t>
      </w:r>
      <w:r>
        <w:t>her</w:t>
      </w:r>
      <w:r w:rsidRPr="00BE5AC7">
        <w:t xml:space="preserve"> comments on the State party’s observations.</w:t>
      </w:r>
      <w:r>
        <w:t xml:space="preserve"> </w:t>
      </w:r>
      <w:r w:rsidR="002A2653">
        <w:t xml:space="preserve">The author </w:t>
      </w:r>
      <w:r w:rsidR="00F04ADB">
        <w:t>notes</w:t>
      </w:r>
      <w:r w:rsidR="0003705A">
        <w:t xml:space="preserve"> that</w:t>
      </w:r>
      <w:r w:rsidR="000C64AC">
        <w:rPr>
          <w:lang w:val="en-US"/>
        </w:rPr>
        <w:t xml:space="preserve"> in accordance with article 274 of </w:t>
      </w:r>
      <w:r w:rsidR="0003705A">
        <w:t xml:space="preserve">the </w:t>
      </w:r>
      <w:r w:rsidR="000C64AC">
        <w:t xml:space="preserve">Code on Administrative Offenses, submitting </w:t>
      </w:r>
      <w:r w:rsidR="00D5764B">
        <w:t xml:space="preserve">false information in income declaration is considered a violation, unless this information is later rectified by way of </w:t>
      </w:r>
      <w:r w:rsidR="00D5764B">
        <w:lastRenderedPageBreak/>
        <w:t>submitting an additional declaration. The author notes that</w:t>
      </w:r>
      <w:r w:rsidR="00EA5F4A">
        <w:t xml:space="preserve"> this</w:t>
      </w:r>
      <w:r w:rsidR="00D5764B">
        <w:t xml:space="preserve"> provision of the Code was disregarded by the domestic courts</w:t>
      </w:r>
      <w:r w:rsidR="00501E29">
        <w:t xml:space="preserve"> in her case</w:t>
      </w:r>
      <w:r w:rsidR="00EA5F4A">
        <w:t xml:space="preserve">. </w:t>
      </w:r>
    </w:p>
    <w:p w14:paraId="67266239" w14:textId="638FE061" w:rsidR="00EA5F4A" w:rsidRDefault="00EA5F4A" w:rsidP="00A02D55">
      <w:pPr>
        <w:pStyle w:val="SingleTxtG"/>
      </w:pPr>
      <w:r>
        <w:t>5.4</w:t>
      </w:r>
      <w:r>
        <w:tab/>
        <w:t xml:space="preserve">The author </w:t>
      </w:r>
      <w:r w:rsidR="00AD17BD">
        <w:t>reiterates</w:t>
      </w:r>
      <w:r>
        <w:t xml:space="preserve"> that the</w:t>
      </w:r>
      <w:r w:rsidR="00AD17BD">
        <w:t xml:space="preserve"> discrepancy between her income declaration and the actual amount of money in her banking accounts was so insignificant that it could not serve as objective and reasonable grounds for restricting her right to run for elections. She argues that the State party authorities should have allowed her to clarify and rectify her declaration but instead</w:t>
      </w:r>
      <w:r w:rsidR="00A27B3A">
        <w:t>,</w:t>
      </w:r>
      <w:r w:rsidR="00AD17BD">
        <w:t xml:space="preserve"> she was immediately disqualified. She notes that </w:t>
      </w:r>
      <w:r w:rsidR="00A27B3A">
        <w:t xml:space="preserve">she understands that </w:t>
      </w:r>
      <w:r w:rsidR="00AD17BD">
        <w:t xml:space="preserve">the right to be elected is not absolute, however she </w:t>
      </w:r>
      <w:r w:rsidR="00F04ADB">
        <w:t>argues that the restrictions foreseen by the Law on elections</w:t>
      </w:r>
      <w:r w:rsidR="00F04ADB">
        <w:rPr>
          <w:lang w:val="en-US"/>
        </w:rPr>
        <w:t xml:space="preserve">, as applied in her case, </w:t>
      </w:r>
      <w:r w:rsidR="00F04ADB">
        <w:t xml:space="preserve">can be qualified as disproportionate and unreasonable. </w:t>
      </w:r>
    </w:p>
    <w:p w14:paraId="77D297B1" w14:textId="77777777" w:rsidR="00AB00F4" w:rsidRPr="00BE5AC7" w:rsidRDefault="00AB00F4" w:rsidP="00AB00F4">
      <w:pPr>
        <w:pStyle w:val="H23G"/>
        <w:ind w:right="36"/>
      </w:pPr>
      <w:r w:rsidRPr="00BE5AC7">
        <w:tab/>
      </w:r>
      <w:r w:rsidRPr="00BE5AC7">
        <w:tab/>
        <w:t>Issues and proceedings before the Committee</w:t>
      </w:r>
    </w:p>
    <w:p w14:paraId="6512628D" w14:textId="77777777" w:rsidR="00AB00F4" w:rsidRPr="00BE5AC7" w:rsidRDefault="00AB00F4" w:rsidP="00AB00F4">
      <w:pPr>
        <w:pStyle w:val="H4G"/>
        <w:ind w:right="36"/>
        <w:rPr>
          <w:i w:val="0"/>
        </w:rPr>
      </w:pPr>
      <w:r w:rsidRPr="00BE5AC7">
        <w:tab/>
      </w:r>
      <w:r w:rsidRPr="00BE5AC7">
        <w:tab/>
        <w:t>Consideration of admissibility</w:t>
      </w:r>
    </w:p>
    <w:p w14:paraId="0D5BA1CE" w14:textId="6B16D190" w:rsidR="00AB00F4" w:rsidRPr="00BE5AC7" w:rsidRDefault="00F04ADB" w:rsidP="00AB00F4">
      <w:pPr>
        <w:pStyle w:val="SingleTxtG"/>
      </w:pPr>
      <w:r>
        <w:t>6</w:t>
      </w:r>
      <w:r w:rsidR="00AB00F4" w:rsidRPr="00BE5AC7">
        <w:t>.1</w:t>
      </w:r>
      <w:r w:rsidR="00AB00F4" w:rsidRPr="00BE5AC7">
        <w:tab/>
        <w:t>Before considering any claim contained in a communication, the Committee must decide, in accordance with rule 97 of its rules of procedure, whether the communication is admissible under the Optional Protocol.</w:t>
      </w:r>
    </w:p>
    <w:p w14:paraId="0F5B0281" w14:textId="721F3675" w:rsidR="00AB00F4" w:rsidRPr="00BE5AC7" w:rsidRDefault="00F04ADB" w:rsidP="00AB00F4">
      <w:pPr>
        <w:pStyle w:val="SingleTxtG"/>
      </w:pPr>
      <w:r>
        <w:t>6</w:t>
      </w:r>
      <w:r w:rsidR="00AB00F4" w:rsidRPr="00BE5AC7">
        <w:t>.2</w:t>
      </w:r>
      <w:r w:rsidR="00AB00F4" w:rsidRPr="00BE5AC7">
        <w:tab/>
        <w:t>The Committee has ascertained, as required under article 5 (2) (a) of the Optional Protocol, that the same matter is not being examined under another procedure of international investigation or settlement.</w:t>
      </w:r>
    </w:p>
    <w:p w14:paraId="317BB7DA" w14:textId="7E83D94C" w:rsidR="00AB00F4" w:rsidRPr="00BE5AC7" w:rsidRDefault="00F04ADB" w:rsidP="00AB00F4">
      <w:pPr>
        <w:pStyle w:val="SingleTxtG"/>
        <w:rPr>
          <w:lang w:val="en-US"/>
        </w:rPr>
      </w:pPr>
      <w:r>
        <w:t>6</w:t>
      </w:r>
      <w:r w:rsidR="00AB00F4" w:rsidRPr="00BE5AC7">
        <w:t>.3</w:t>
      </w:r>
      <w:r w:rsidR="00AB00F4" w:rsidRPr="00BE5AC7">
        <w:tab/>
      </w:r>
      <w:r w:rsidR="00387106">
        <w:t xml:space="preserve">The Committee notes the authors’ claim that they have exhausted all effective domestic remedies available to them. It also notes the State party’s submissions in </w:t>
      </w:r>
      <w:r w:rsidR="00387106" w:rsidRPr="001347EE">
        <w:rPr>
          <w:i/>
          <w:iCs/>
        </w:rPr>
        <w:t>communications</w:t>
      </w:r>
      <w:r w:rsidR="00387106">
        <w:t xml:space="preserve"> </w:t>
      </w:r>
      <w:r w:rsidR="00387106" w:rsidRPr="00D94D85">
        <w:rPr>
          <w:i/>
          <w:iCs/>
        </w:rPr>
        <w:t>2914/2016</w:t>
      </w:r>
      <w:r w:rsidR="00387106">
        <w:t xml:space="preserve"> and </w:t>
      </w:r>
      <w:r w:rsidR="00387106" w:rsidRPr="00501E29">
        <w:rPr>
          <w:i/>
          <w:iCs/>
        </w:rPr>
        <w:t>3051/2017</w:t>
      </w:r>
      <w:r w:rsidR="00387106">
        <w:t xml:space="preserve"> that in their complaints before the domestic authorities, the authors did not raise the issue of discrimination based on their political views. The Committee observes that in order to exhaust domestic remedies, the author must have raised, through all effective and available domestic mechanisms for redress, the substance of the claims that are the subject of the communication before the Committee.</w:t>
      </w:r>
      <w:r w:rsidR="00387106">
        <w:rPr>
          <w:rStyle w:val="FootnoteReference"/>
        </w:rPr>
        <w:footnoteReference w:id="7"/>
      </w:r>
      <w:r w:rsidR="00387106">
        <w:t xml:space="preserve"> The Committee notes that none of the authors provided any information on whether they raised their claims of discrimination before domestic authorities. The Committee further notes, based on the information on file, that their claims before the domestic authorities </w:t>
      </w:r>
      <w:r w:rsidR="00D53803">
        <w:t xml:space="preserve">related to </w:t>
      </w:r>
      <w:r w:rsidR="00387106">
        <w:t>the claim that they should not have been disqualified from running in the elections due to the disproportional measures taken by the local election commissions.</w:t>
      </w:r>
      <w:r w:rsidR="00D53803">
        <w:t xml:space="preserve"> The authors, however, did not raise claims of discrimination based on their political views of the Covenant before the domestic courts.</w:t>
      </w:r>
      <w:r w:rsidR="00387106">
        <w:t xml:space="preserve"> The Committee therefore finds the claims under article 26 of the Covenant inadmissible pursuant to article 5 (2) (b) of the Optional Protocol for all communications</w:t>
      </w:r>
      <w:r w:rsidR="00AB00F4" w:rsidRPr="00BE5AC7">
        <w:rPr>
          <w:lang w:val="en-US"/>
        </w:rPr>
        <w:t xml:space="preserve">. </w:t>
      </w:r>
    </w:p>
    <w:p w14:paraId="7248E761" w14:textId="44E60796" w:rsidR="00AB00F4" w:rsidRDefault="00F04ADB" w:rsidP="00AB00F4">
      <w:pPr>
        <w:pStyle w:val="SingleTxtG"/>
      </w:pPr>
      <w:r>
        <w:rPr>
          <w:lang w:val="en-US"/>
        </w:rPr>
        <w:t>6</w:t>
      </w:r>
      <w:r w:rsidR="00AB00F4" w:rsidRPr="00BE5AC7">
        <w:rPr>
          <w:lang w:val="en-US"/>
        </w:rPr>
        <w:t>.4</w:t>
      </w:r>
      <w:r w:rsidR="00387106">
        <w:rPr>
          <w:lang w:val="en-US"/>
        </w:rPr>
        <w:t xml:space="preserve"> </w:t>
      </w:r>
      <w:r w:rsidR="00387106">
        <w:rPr>
          <w:lang w:val="en-US"/>
        </w:rPr>
        <w:tab/>
      </w:r>
      <w:r w:rsidR="00AB00F4" w:rsidRPr="00BE5AC7">
        <w:t xml:space="preserve">The Committee </w:t>
      </w:r>
      <w:r w:rsidR="003E3446" w:rsidRPr="00BE5AC7">
        <w:t>considers</w:t>
      </w:r>
      <w:r w:rsidR="00AB00F4" w:rsidRPr="00BE5AC7">
        <w:t xml:space="preserve"> that the authors have sufficiently substantiated their claims under article 2</w:t>
      </w:r>
      <w:r w:rsidR="00387106">
        <w:t>5</w:t>
      </w:r>
      <w:r w:rsidR="00AB00F4" w:rsidRPr="00BE5AC7">
        <w:t xml:space="preserve"> of the Covenant, for the purposes of admissibility, and proceeds with their consideration of the merits.</w:t>
      </w:r>
    </w:p>
    <w:p w14:paraId="71E1757D" w14:textId="77777777" w:rsidR="00AB00F4" w:rsidRPr="00BE5AC7" w:rsidRDefault="00AB00F4" w:rsidP="00AB00F4">
      <w:pPr>
        <w:pStyle w:val="H4G"/>
        <w:ind w:right="36"/>
      </w:pPr>
      <w:r w:rsidRPr="00BE5AC7">
        <w:tab/>
      </w:r>
      <w:r w:rsidRPr="00BE5AC7">
        <w:tab/>
        <w:t>Considerations of the merits</w:t>
      </w:r>
    </w:p>
    <w:p w14:paraId="716522FC" w14:textId="091C6709" w:rsidR="00AB00F4" w:rsidRPr="00BE5AC7" w:rsidRDefault="00F1426B" w:rsidP="00AB00F4">
      <w:pPr>
        <w:pStyle w:val="SingleTxtG"/>
      </w:pPr>
      <w:r>
        <w:t>7</w:t>
      </w:r>
      <w:r w:rsidR="00AB00F4" w:rsidRPr="00BE5AC7">
        <w:t>.1</w:t>
      </w:r>
      <w:r w:rsidR="00AB00F4" w:rsidRPr="00BE5AC7">
        <w:tab/>
        <w:t>The Committee has considered the communications in the light of all the information made available to it by the parties, as provided under article 5 (1) of the Optional Protocol.</w:t>
      </w:r>
    </w:p>
    <w:p w14:paraId="4EDB3E96" w14:textId="3341356D" w:rsidR="0068765C" w:rsidRDefault="00F1426B" w:rsidP="000019BE">
      <w:pPr>
        <w:pStyle w:val="SingleTxtG"/>
        <w:rPr>
          <w:lang w:val="en-US"/>
        </w:rPr>
      </w:pPr>
      <w:r>
        <w:t>7</w:t>
      </w:r>
      <w:r w:rsidR="00AB00F4" w:rsidRPr="00BE5AC7">
        <w:t>.2</w:t>
      </w:r>
      <w:r w:rsidR="00AB00F4" w:rsidRPr="00BE5AC7">
        <w:tab/>
      </w:r>
      <w:r w:rsidR="005925DC">
        <w:t>The issue before the Committee is whether the authors</w:t>
      </w:r>
      <w:r w:rsidR="00674133">
        <w:t>’</w:t>
      </w:r>
      <w:r w:rsidR="005925DC">
        <w:t xml:space="preserve"> rights under article 25</w:t>
      </w:r>
      <w:r w:rsidR="00674133">
        <w:t xml:space="preserve"> </w:t>
      </w:r>
      <w:r w:rsidR="005925DC">
        <w:t xml:space="preserve">of the Covenant, including the right to take part in the conduct of public affairs, to vote and to be elected to public office, were violated by the </w:t>
      </w:r>
      <w:r>
        <w:t>disqualification of their</w:t>
      </w:r>
      <w:r w:rsidR="005925DC">
        <w:t xml:space="preserve"> </w:t>
      </w:r>
      <w:r w:rsidR="009A0CAE">
        <w:t>candidacies</w:t>
      </w:r>
      <w:r>
        <w:t xml:space="preserve"> </w:t>
      </w:r>
      <w:r w:rsidR="005925DC">
        <w:t>for the 20</w:t>
      </w:r>
      <w:r w:rsidR="00210FD5">
        <w:t>16</w:t>
      </w:r>
      <w:r w:rsidR="005925DC">
        <w:t xml:space="preserve"> elections to </w:t>
      </w:r>
      <w:r w:rsidR="00210FD5">
        <w:t>local legislatures</w:t>
      </w:r>
      <w:r w:rsidR="005925DC">
        <w:t>.</w:t>
      </w:r>
      <w:r w:rsidR="00674133">
        <w:t xml:space="preserve"> </w:t>
      </w:r>
      <w:r w:rsidR="005925DC">
        <w:t xml:space="preserve">The Committee </w:t>
      </w:r>
      <w:r w:rsidR="00FE647D">
        <w:t>observes</w:t>
      </w:r>
      <w:r w:rsidR="005925DC">
        <w:t xml:space="preserve"> that, in the present case</w:t>
      </w:r>
      <w:r w:rsidR="00674133">
        <w:t>s</w:t>
      </w:r>
      <w:r w:rsidR="005925DC">
        <w:t>, the registration of the author</w:t>
      </w:r>
      <w:r w:rsidR="00674133">
        <w:t>s</w:t>
      </w:r>
      <w:r w:rsidR="005925DC">
        <w:t xml:space="preserve"> was </w:t>
      </w:r>
      <w:r w:rsidR="00674133">
        <w:t>revoked</w:t>
      </w:r>
      <w:r w:rsidR="005925DC">
        <w:t xml:space="preserve"> by </w:t>
      </w:r>
      <w:r w:rsidR="00674133">
        <w:t>their respective election commissions</w:t>
      </w:r>
      <w:r w:rsidR="005925DC">
        <w:t xml:space="preserve"> on the ground</w:t>
      </w:r>
      <w:r w:rsidR="00F85489">
        <w:t>s</w:t>
      </w:r>
      <w:r w:rsidR="005925DC">
        <w:t xml:space="preserve"> that </w:t>
      </w:r>
      <w:r w:rsidR="00674133">
        <w:t>t</w:t>
      </w:r>
      <w:r w:rsidR="005925DC">
        <w:t>he</w:t>
      </w:r>
      <w:r w:rsidR="00674133">
        <w:t>y</w:t>
      </w:r>
      <w:r w:rsidR="005925DC">
        <w:t xml:space="preserve"> </w:t>
      </w:r>
      <w:r w:rsidR="00674133">
        <w:t xml:space="preserve">had </w:t>
      </w:r>
      <w:r w:rsidR="0068765C">
        <w:t xml:space="preserve">misstated their financial assets in their income declarations submitted earlier to their local tax authorities. The </w:t>
      </w:r>
      <w:r w:rsidR="00EE2059">
        <w:t xml:space="preserve">Committee notes that the author of </w:t>
      </w:r>
      <w:r w:rsidR="00EE2059" w:rsidRPr="001347EE">
        <w:rPr>
          <w:i/>
          <w:iCs/>
        </w:rPr>
        <w:t>communication 2914/2016</w:t>
      </w:r>
      <w:r w:rsidR="00EE2059">
        <w:t xml:space="preserve"> has misstated her assets in several bank accounts, with the largest discrepancy being in the amount of 41.9 US dollars. Similarly, the mistake in the income declaration of the author of </w:t>
      </w:r>
      <w:r w:rsidR="00EE2059" w:rsidRPr="001347EE">
        <w:rPr>
          <w:i/>
          <w:iCs/>
        </w:rPr>
        <w:t>communication 30</w:t>
      </w:r>
      <w:r w:rsidR="008568C7">
        <w:rPr>
          <w:i/>
          <w:iCs/>
        </w:rPr>
        <w:t>51</w:t>
      </w:r>
      <w:r w:rsidR="00EE2059" w:rsidRPr="001347EE">
        <w:rPr>
          <w:i/>
          <w:iCs/>
        </w:rPr>
        <w:t>/2017</w:t>
      </w:r>
      <w:r w:rsidR="00EE2059">
        <w:t xml:space="preserve"> amounted to </w:t>
      </w:r>
      <w:r w:rsidR="00A913C5">
        <w:t>the equivalent of 6</w:t>
      </w:r>
      <w:r w:rsidR="008568C7">
        <w:t>5</w:t>
      </w:r>
      <w:r w:rsidR="00EE2059">
        <w:t xml:space="preserve"> US dollars</w:t>
      </w:r>
      <w:r w:rsidR="00A913C5">
        <w:t xml:space="preserve"> in pension savings</w:t>
      </w:r>
      <w:r w:rsidR="00EE2059">
        <w:t xml:space="preserve">. Finally, </w:t>
      </w:r>
      <w:r w:rsidR="00210FD5">
        <w:t xml:space="preserve">the local tax authorities were able to identify a discrepancy in the </w:t>
      </w:r>
      <w:r w:rsidR="00210FD5">
        <w:lastRenderedPageBreak/>
        <w:t>amount equivalent to 19 US dollars</w:t>
      </w:r>
      <w:r w:rsidR="008568C7">
        <w:t xml:space="preserve"> in the income declaration of the author of </w:t>
      </w:r>
      <w:r w:rsidR="008568C7" w:rsidRPr="008568C7">
        <w:rPr>
          <w:i/>
          <w:iCs/>
        </w:rPr>
        <w:t>communication</w:t>
      </w:r>
      <w:r w:rsidR="008568C7">
        <w:t xml:space="preserve"> </w:t>
      </w:r>
      <w:r w:rsidR="008568C7" w:rsidRPr="00F622E3">
        <w:rPr>
          <w:i/>
          <w:iCs/>
        </w:rPr>
        <w:t>3040/2017</w:t>
      </w:r>
      <w:r w:rsidR="00210FD5">
        <w:t xml:space="preserve">, which was later doubled by </w:t>
      </w:r>
      <w:r w:rsidR="00210FD5">
        <w:rPr>
          <w:lang w:val="en-US"/>
        </w:rPr>
        <w:t xml:space="preserve">Medeu District Court. </w:t>
      </w:r>
    </w:p>
    <w:p w14:paraId="526CA005" w14:textId="36F40B23" w:rsidR="00E01BDC" w:rsidRDefault="00E01BDC" w:rsidP="000019BE">
      <w:pPr>
        <w:pStyle w:val="SingleTxtG"/>
      </w:pPr>
      <w:r>
        <w:rPr>
          <w:lang w:val="en-US"/>
        </w:rPr>
        <w:t>7.3</w:t>
      </w:r>
      <w:r>
        <w:rPr>
          <w:lang w:val="en-US"/>
        </w:rPr>
        <w:tab/>
        <w:t xml:space="preserve">The Committee notes the State party’s </w:t>
      </w:r>
      <w:r w:rsidR="00271D72">
        <w:rPr>
          <w:lang w:val="en-US"/>
        </w:rPr>
        <w:t>submission</w:t>
      </w:r>
      <w:r>
        <w:rPr>
          <w:lang w:val="en-US"/>
        </w:rPr>
        <w:t xml:space="preserve"> that</w:t>
      </w:r>
      <w:r w:rsidR="00012235">
        <w:rPr>
          <w:lang w:val="en-US"/>
        </w:rPr>
        <w:t>, as determined by the domestic courts,</w:t>
      </w:r>
      <w:r>
        <w:rPr>
          <w:lang w:val="en-US"/>
        </w:rPr>
        <w:t xml:space="preserve"> </w:t>
      </w:r>
      <w:r w:rsidR="00966CE1">
        <w:rPr>
          <w:lang w:val="en-US"/>
        </w:rPr>
        <w:t>the</w:t>
      </w:r>
      <w:r w:rsidR="00012235">
        <w:rPr>
          <w:lang w:val="en-US"/>
        </w:rPr>
        <w:t xml:space="preserve"> authors </w:t>
      </w:r>
      <w:r w:rsidR="001263CF">
        <w:t>submitted false</w:t>
      </w:r>
      <w:r w:rsidR="00012235">
        <w:t xml:space="preserve"> information in their income declarations, and that the election commissions’ decisions to revoke their registrations were in compliance with the domestic legislation. </w:t>
      </w:r>
      <w:r w:rsidR="00271D72">
        <w:t>It observes</w:t>
      </w:r>
      <w:r w:rsidR="00966CE1">
        <w:t xml:space="preserve"> that the authors were not </w:t>
      </w:r>
      <w:r w:rsidR="00966CE1">
        <w:rPr>
          <w:lang w:val="en-US"/>
        </w:rPr>
        <w:t xml:space="preserve">allowed to contest or rectify their income declarations because </w:t>
      </w:r>
      <w:r w:rsidR="00966CE1">
        <w:t>the</w:t>
      </w:r>
      <w:r w:rsidR="008568C7">
        <w:t xml:space="preserve"> Law on elections</w:t>
      </w:r>
      <w:r w:rsidR="00966CE1">
        <w:t xml:space="preserve"> does not provide for a correction of income declarations. </w:t>
      </w:r>
      <w:r w:rsidR="00271D72">
        <w:rPr>
          <w:lang w:val="en-US"/>
        </w:rPr>
        <w:t xml:space="preserve">The Committee also notes the authors’ argument that the discrepancies in their income </w:t>
      </w:r>
      <w:r w:rsidR="00271D72">
        <w:t>declarations were caused by official bank and pension fund statements, and once identified, the election commissions should have allowed them an opportunity to correct them.</w:t>
      </w:r>
    </w:p>
    <w:p w14:paraId="2E5C9D77" w14:textId="0F713E32" w:rsidR="00CC4826" w:rsidRDefault="00966CE1" w:rsidP="00CC4826">
      <w:pPr>
        <w:pStyle w:val="SingleTxtG"/>
      </w:pPr>
      <w:r>
        <w:t>7.4</w:t>
      </w:r>
      <w:r>
        <w:tab/>
      </w:r>
      <w:r w:rsidR="00CC4826">
        <w:t>The Committee recalls that article 25 of the Covenant recognizes and protects the right of every citizen to take part in the conduct of public affairs, the right to vote and to be elected, and the right to have access to public service. Whatever form of constitution or government is in force, the exercise of these rights by citizens may not be suspended or excluded except on grounds which are established by laws that are objective and reasonable, and that incorporate fair procedures.</w:t>
      </w:r>
      <w:r w:rsidR="00CC4826">
        <w:rPr>
          <w:rStyle w:val="FootnoteReference"/>
        </w:rPr>
        <w:footnoteReference w:id="8"/>
      </w:r>
      <w:r w:rsidR="00CC4826">
        <w:t xml:space="preserve"> </w:t>
      </w:r>
    </w:p>
    <w:p w14:paraId="7FB96B52" w14:textId="252998AC" w:rsidR="00CA0421" w:rsidRDefault="00CC4826" w:rsidP="009C4A82">
      <w:pPr>
        <w:pStyle w:val="SingleTxtG"/>
      </w:pPr>
      <w:r>
        <w:t>7.5</w:t>
      </w:r>
      <w:r>
        <w:tab/>
      </w:r>
      <w:r w:rsidR="005925DC" w:rsidRPr="00157F64">
        <w:t xml:space="preserve">The Committee </w:t>
      </w:r>
      <w:r w:rsidR="003013A4">
        <w:t>notes the State party’s submission</w:t>
      </w:r>
      <w:r w:rsidR="003013A4" w:rsidRPr="00157F64">
        <w:t xml:space="preserve"> </w:t>
      </w:r>
      <w:r w:rsidR="005925DC" w:rsidRPr="00157F64">
        <w:t xml:space="preserve">that </w:t>
      </w:r>
      <w:r w:rsidR="00966CE1">
        <w:rPr>
          <w:lang w:val="en-US"/>
        </w:rPr>
        <w:t xml:space="preserve">article 104 (6) (3) of the Law on elections </w:t>
      </w:r>
      <w:r w:rsidR="001A3AF9">
        <w:rPr>
          <w:lang w:val="en-US"/>
        </w:rPr>
        <w:t>prescribes that</w:t>
      </w:r>
      <w:r w:rsidR="00966CE1">
        <w:rPr>
          <w:lang w:val="en-US"/>
        </w:rPr>
        <w:t xml:space="preserve"> elections commissions </w:t>
      </w:r>
      <w:r w:rsidR="001A3AF9">
        <w:rPr>
          <w:lang w:val="en-US"/>
        </w:rPr>
        <w:t>must</w:t>
      </w:r>
      <w:r w:rsidR="00966CE1">
        <w:rPr>
          <w:lang w:val="en-US"/>
        </w:rPr>
        <w:t xml:space="preserve"> revoke candidates</w:t>
      </w:r>
      <w:r w:rsidR="003C1E10">
        <w:rPr>
          <w:lang w:val="en-US"/>
        </w:rPr>
        <w:t>’</w:t>
      </w:r>
      <w:r w:rsidR="00966CE1">
        <w:rPr>
          <w:lang w:val="en-US"/>
        </w:rPr>
        <w:t xml:space="preserve"> registration</w:t>
      </w:r>
      <w:r w:rsidR="003C1E10">
        <w:rPr>
          <w:lang w:val="en-US"/>
        </w:rPr>
        <w:t>s</w:t>
      </w:r>
      <w:r w:rsidR="00966CE1">
        <w:rPr>
          <w:lang w:val="en-US"/>
        </w:rPr>
        <w:t xml:space="preserve"> if they determine that candidates’ income declarations contain false information</w:t>
      </w:r>
      <w:r w:rsidR="001A3AF9">
        <w:rPr>
          <w:lang w:val="en-US"/>
        </w:rPr>
        <w:t xml:space="preserve">. </w:t>
      </w:r>
      <w:r w:rsidR="001A03CD">
        <w:rPr>
          <w:lang w:val="en-US"/>
        </w:rPr>
        <w:t xml:space="preserve">Since the </w:t>
      </w:r>
      <w:r w:rsidR="008568C7">
        <w:rPr>
          <w:lang w:val="en-US"/>
        </w:rPr>
        <w:t>L</w:t>
      </w:r>
      <w:r w:rsidR="001A03CD">
        <w:rPr>
          <w:lang w:val="en-US"/>
        </w:rPr>
        <w:t>aw</w:t>
      </w:r>
      <w:r w:rsidR="008568C7">
        <w:rPr>
          <w:lang w:val="en-US"/>
        </w:rPr>
        <w:t xml:space="preserve"> on elections</w:t>
      </w:r>
      <w:r w:rsidR="001A03CD">
        <w:rPr>
          <w:lang w:val="en-US"/>
        </w:rPr>
        <w:t xml:space="preserve"> does </w:t>
      </w:r>
      <w:r w:rsidR="001A03CD">
        <w:t xml:space="preserve">not </w:t>
      </w:r>
      <w:r w:rsidR="001A03CD">
        <w:rPr>
          <w:lang w:val="en-US"/>
        </w:rPr>
        <w:t xml:space="preserve">allow candidates to contest or rectify their income declarations, the registrations are revoked based </w:t>
      </w:r>
      <w:r w:rsidR="001A3AF9">
        <w:t>solely on notifications obtained from the tax authorities</w:t>
      </w:r>
      <w:r w:rsidR="001A03CD">
        <w:t>.</w:t>
      </w:r>
      <w:r w:rsidR="003013A4">
        <w:t xml:space="preserve"> In this respect, the Committee notes that the State party has failed to address the authors’ argument that in accordance with article 274 of the Code on Administrative Offenses, submitting false information in income declaration is considered a violation unless this information is later rectified by way of submitting an additional declaration</w:t>
      </w:r>
      <w:r w:rsidR="00D53803">
        <w:t>.</w:t>
      </w:r>
      <w:r w:rsidR="001A03CD">
        <w:t xml:space="preserve"> The Committee </w:t>
      </w:r>
      <w:r w:rsidR="003013A4">
        <w:t xml:space="preserve">observes </w:t>
      </w:r>
      <w:r w:rsidR="001A03CD">
        <w:t xml:space="preserve">that despite the fact that the authors were able to </w:t>
      </w:r>
      <w:r w:rsidR="00DB0CC9">
        <w:t xml:space="preserve">show </w:t>
      </w:r>
      <w:r w:rsidR="007C0813">
        <w:t xml:space="preserve">that the discrepancies were caused by </w:t>
      </w:r>
      <w:r w:rsidR="001263CF">
        <w:t>incorrect</w:t>
      </w:r>
      <w:r w:rsidR="001A03CD">
        <w:t xml:space="preserve"> statements</w:t>
      </w:r>
      <w:r w:rsidR="0098675A">
        <w:t xml:space="preserve"> from banks and pension funds,</w:t>
      </w:r>
      <w:r w:rsidR="001A03CD">
        <w:t xml:space="preserve"> the </w:t>
      </w:r>
      <w:r w:rsidR="007C0813">
        <w:t xml:space="preserve">domestic </w:t>
      </w:r>
      <w:r w:rsidR="001A03CD">
        <w:t xml:space="preserve">courts </w:t>
      </w:r>
      <w:r w:rsidR="0098675A">
        <w:t xml:space="preserve">held that the </w:t>
      </w:r>
      <w:r w:rsidR="001263CF">
        <w:t xml:space="preserve">existence of </w:t>
      </w:r>
      <w:r w:rsidR="001A03CD">
        <w:rPr>
          <w:lang w:val="en-US"/>
        </w:rPr>
        <w:t xml:space="preserve">the </w:t>
      </w:r>
      <w:r w:rsidR="001A03CD" w:rsidRPr="00211BEE">
        <w:rPr>
          <w:lang w:val="en-US"/>
        </w:rPr>
        <w:t>discrepanc</w:t>
      </w:r>
      <w:r w:rsidR="001263CF">
        <w:rPr>
          <w:lang w:val="en-US"/>
        </w:rPr>
        <w:t>ies</w:t>
      </w:r>
      <w:r w:rsidR="001A03CD" w:rsidRPr="00211BEE">
        <w:rPr>
          <w:lang w:val="en-US"/>
        </w:rPr>
        <w:t xml:space="preserve"> in the authors</w:t>
      </w:r>
      <w:r w:rsidR="0098675A">
        <w:rPr>
          <w:lang w:val="en-US"/>
        </w:rPr>
        <w:t>’</w:t>
      </w:r>
      <w:r w:rsidR="001A03CD" w:rsidRPr="00211BEE">
        <w:rPr>
          <w:lang w:val="en-US"/>
        </w:rPr>
        <w:t xml:space="preserve"> income declaration</w:t>
      </w:r>
      <w:r w:rsidR="0098675A">
        <w:rPr>
          <w:lang w:val="en-US"/>
        </w:rPr>
        <w:t>s</w:t>
      </w:r>
      <w:r w:rsidR="001A03CD" w:rsidRPr="00211BEE">
        <w:rPr>
          <w:lang w:val="en-US"/>
        </w:rPr>
        <w:t xml:space="preserve"> </w:t>
      </w:r>
      <w:r w:rsidR="001263CF">
        <w:rPr>
          <w:lang w:val="en-US"/>
        </w:rPr>
        <w:t>was sufficient for th</w:t>
      </w:r>
      <w:r w:rsidR="001A03CD">
        <w:rPr>
          <w:lang w:val="en-US"/>
        </w:rPr>
        <w:t>e election commission</w:t>
      </w:r>
      <w:r w:rsidR="0098675A">
        <w:rPr>
          <w:lang w:val="en-US"/>
        </w:rPr>
        <w:t>s</w:t>
      </w:r>
      <w:r w:rsidR="001A03CD">
        <w:rPr>
          <w:lang w:val="en-US"/>
        </w:rPr>
        <w:t xml:space="preserve"> </w:t>
      </w:r>
      <w:r w:rsidR="001263CF">
        <w:rPr>
          <w:lang w:val="en-US"/>
        </w:rPr>
        <w:t>to disqualify the authors</w:t>
      </w:r>
      <w:r w:rsidR="0098675A">
        <w:rPr>
          <w:lang w:val="en-US"/>
        </w:rPr>
        <w:t xml:space="preserve">. </w:t>
      </w:r>
      <w:r w:rsidR="00671960">
        <w:rPr>
          <w:lang w:val="en-US"/>
        </w:rPr>
        <w:t>The Committee notes that</w:t>
      </w:r>
      <w:r w:rsidR="007C0813">
        <w:rPr>
          <w:lang w:val="en-US"/>
        </w:rPr>
        <w:t xml:space="preserve"> i</w:t>
      </w:r>
      <w:r w:rsidR="006737D0">
        <w:rPr>
          <w:lang w:val="en-US"/>
        </w:rPr>
        <w:t xml:space="preserve">n </w:t>
      </w:r>
      <w:r w:rsidR="006737D0" w:rsidRPr="008568C7">
        <w:rPr>
          <w:i/>
          <w:iCs/>
          <w:lang w:val="en-US"/>
        </w:rPr>
        <w:t>communication</w:t>
      </w:r>
      <w:r w:rsidR="006737D0">
        <w:rPr>
          <w:lang w:val="en-US"/>
        </w:rPr>
        <w:t xml:space="preserve"> </w:t>
      </w:r>
      <w:r w:rsidR="006737D0" w:rsidRPr="008568C7">
        <w:rPr>
          <w:i/>
          <w:iCs/>
          <w:lang w:val="en-US"/>
        </w:rPr>
        <w:t>3040/2017</w:t>
      </w:r>
      <w:r w:rsidR="006737D0">
        <w:rPr>
          <w:lang w:val="en-US"/>
        </w:rPr>
        <w:t>, Medeu District Court accepted the author’s argument that her declaration was based on the statement received from her bank, however it did</w:t>
      </w:r>
      <w:r w:rsidR="00D53803">
        <w:rPr>
          <w:lang w:val="en-US"/>
        </w:rPr>
        <w:t xml:space="preserve"> </w:t>
      </w:r>
      <w:r w:rsidR="006737D0">
        <w:rPr>
          <w:lang w:val="en-US"/>
        </w:rPr>
        <w:t>n</w:t>
      </w:r>
      <w:r w:rsidR="00D53803">
        <w:rPr>
          <w:lang w:val="en-US"/>
        </w:rPr>
        <w:t>o</w:t>
      </w:r>
      <w:r w:rsidR="006737D0">
        <w:rPr>
          <w:lang w:val="en-US"/>
        </w:rPr>
        <w:t xml:space="preserve">t prevent the court from finding that the author was at fault for submitting false information in </w:t>
      </w:r>
      <w:r w:rsidR="009C4A82">
        <w:rPr>
          <w:lang w:val="en-US"/>
        </w:rPr>
        <w:t xml:space="preserve">her income declaration. In these circumstances, once tax authorities identify a discrepancy in a candidate’s income declaration, it becomes impossible for that candidate to contest disqualification, which according to the State party’s interpretation of article 104 (6) (3) of the Law on elections, is the only possible outcome. In this respect, the Committee </w:t>
      </w:r>
      <w:r w:rsidR="00273D55">
        <w:rPr>
          <w:lang w:val="en-US"/>
        </w:rPr>
        <w:t xml:space="preserve">notes </w:t>
      </w:r>
      <w:r w:rsidR="009C4A82">
        <w:rPr>
          <w:lang w:val="en-US"/>
        </w:rPr>
        <w:t xml:space="preserve">that the State party did not provide information as to any incidents when candidates were successful in challenging their disqualification due to submission of incorrect information in income declaration. </w:t>
      </w:r>
      <w:r w:rsidR="00CA0421">
        <w:t>Therefore, in the circumstances of the authors</w:t>
      </w:r>
      <w:r w:rsidR="00DB0CC9">
        <w:t>’</w:t>
      </w:r>
      <w:r w:rsidR="00CA0421">
        <w:t xml:space="preserve"> case</w:t>
      </w:r>
      <w:r w:rsidR="00DB0CC9">
        <w:t>s</w:t>
      </w:r>
      <w:r w:rsidR="00CA0421">
        <w:t xml:space="preserve">, the Committee concludes that the </w:t>
      </w:r>
      <w:r w:rsidR="00DB0CC9">
        <w:t>election commissions’ respective decisions</w:t>
      </w:r>
      <w:r w:rsidR="00CA0421">
        <w:t xml:space="preserve"> to </w:t>
      </w:r>
      <w:r w:rsidR="00DB0CC9">
        <w:t>disqualify the authors from running in local elections</w:t>
      </w:r>
      <w:r w:rsidR="00CA0421">
        <w:t xml:space="preserve"> without </w:t>
      </w:r>
      <w:r w:rsidR="00DB0CC9">
        <w:t>allowing them to contest or clarify their income declarations</w:t>
      </w:r>
      <w:r w:rsidR="00DE7C16">
        <w:t xml:space="preserve">, </w:t>
      </w:r>
      <w:r w:rsidR="00743E94">
        <w:t xml:space="preserve">even if </w:t>
      </w:r>
      <w:r w:rsidR="00CB2D13">
        <w:t>they were</w:t>
      </w:r>
      <w:r w:rsidR="00743E94">
        <w:t xml:space="preserve"> based on the domestic law, </w:t>
      </w:r>
      <w:r w:rsidR="00DE7C16">
        <w:t>c</w:t>
      </w:r>
      <w:r w:rsidR="00CA0421">
        <w:t xml:space="preserve">oupled with the subsequent lack of access to an effective judicial review, </w:t>
      </w:r>
      <w:r w:rsidR="008568C7">
        <w:t xml:space="preserve">incorporated unfair procedures and </w:t>
      </w:r>
      <w:r w:rsidR="00CA0421">
        <w:t>led to a</w:t>
      </w:r>
      <w:r w:rsidR="001F6F35">
        <w:t xml:space="preserve">n </w:t>
      </w:r>
      <w:r w:rsidR="00CA0421">
        <w:t>unreasonable restriction of the authors</w:t>
      </w:r>
      <w:r w:rsidR="00DB0CC9">
        <w:t>’</w:t>
      </w:r>
      <w:r w:rsidR="00CA0421">
        <w:t xml:space="preserve"> rights under article 25</w:t>
      </w:r>
      <w:r w:rsidR="00DB0CC9">
        <w:t xml:space="preserve"> of the Covenant</w:t>
      </w:r>
      <w:r w:rsidR="00CA0421">
        <w:t>. In light of the foregoing and in view of the material brought before it, the Committee concludes that the State party is responsible for breaching the authors</w:t>
      </w:r>
      <w:r w:rsidR="00DB0CC9">
        <w:t>’</w:t>
      </w:r>
      <w:r w:rsidR="00CA0421">
        <w:t xml:space="preserve"> rights under article 25</w:t>
      </w:r>
      <w:r w:rsidR="00DB0CC9">
        <w:t xml:space="preserve"> (b) and (c) </w:t>
      </w:r>
      <w:r w:rsidR="00CA0421">
        <w:t>of the Covenant.</w:t>
      </w:r>
    </w:p>
    <w:p w14:paraId="3B38CE4E" w14:textId="23005A57" w:rsidR="00AB00F4" w:rsidRPr="00BE5AC7" w:rsidRDefault="00DB0CC9" w:rsidP="00AB00F4">
      <w:pPr>
        <w:pStyle w:val="SingleTxtG"/>
      </w:pPr>
      <w:r>
        <w:t>8</w:t>
      </w:r>
      <w:r w:rsidR="00AB00F4" w:rsidRPr="00BE5AC7">
        <w:t>.</w:t>
      </w:r>
      <w:r w:rsidR="00AB00F4" w:rsidRPr="00BE5AC7">
        <w:tab/>
        <w:t xml:space="preserve">The Committee, acting under article 5 (4) of the Optional Protocol, is of the view that the facts before it disclose a violation by the State party of the authors’ rights under article </w:t>
      </w:r>
      <w:r>
        <w:t xml:space="preserve">25 (b) and (c) </w:t>
      </w:r>
      <w:r w:rsidR="00AB00F4" w:rsidRPr="00BE5AC7">
        <w:t xml:space="preserve">of the Covenant. </w:t>
      </w:r>
    </w:p>
    <w:p w14:paraId="0D4F680C" w14:textId="145E3DEB" w:rsidR="00AB00F4" w:rsidRPr="00BE5AC7" w:rsidRDefault="00DB0CC9" w:rsidP="00AB00F4">
      <w:pPr>
        <w:pStyle w:val="SingleTxtG"/>
      </w:pPr>
      <w:r>
        <w:t>9</w:t>
      </w:r>
      <w:r w:rsidR="00AB00F4" w:rsidRPr="00BE5AC7">
        <w:t>.</w:t>
      </w:r>
      <w:r w:rsidR="00AB00F4" w:rsidRPr="00BE5AC7">
        <w:tab/>
        <w:t xml:space="preserve">Pursuant to article 2 (3) (a) of the Covenant, the State party is under an obligation to provide the authors with an effective remedy. This requires it to make full reparation to individuals whose Covenant rights have been violated. Accordingly, the State party is </w:t>
      </w:r>
      <w:r w:rsidR="00AB00F4" w:rsidRPr="00BE5AC7">
        <w:lastRenderedPageBreak/>
        <w:t>obligated to provide the authors with adequate compensation. The State party is also under an obligation to take all steps necessary to prevent similar violations from occurring in the future</w:t>
      </w:r>
      <w:r w:rsidR="008568C7">
        <w:t>, including by ensuring that election regulations and their application are consistent with article 25 of the Covenant</w:t>
      </w:r>
      <w:r w:rsidR="00AB00F4" w:rsidRPr="00BE5AC7">
        <w:t>.</w:t>
      </w:r>
    </w:p>
    <w:p w14:paraId="2A94AB24" w14:textId="4D972774" w:rsidR="001645A7" w:rsidRDefault="00AB00F4" w:rsidP="00AB00F4">
      <w:pPr>
        <w:pStyle w:val="SingleTxtG"/>
      </w:pPr>
      <w:r w:rsidRPr="00BE5AC7">
        <w:t>1</w:t>
      </w:r>
      <w:r w:rsidR="00DB0CC9">
        <w:t>0</w:t>
      </w:r>
      <w:r w:rsidRPr="00BE5AC7">
        <w:t>.</w:t>
      </w:r>
      <w:r w:rsidRPr="00BE5AC7">
        <w:tab/>
        <w:t>Bearing in mind that, by becoming a party to the Optional Protocol, the State party has recognized the competence of the Committee to determine whether there has been a violation of the Covenant and that, pursuant to article 2 of the Covenant, the State party has undertaken to ensure to all individuals within its territory and subject to its jurisdiction the rights recognized in the Covenant and to provide an effective and enforceable remedy when it has been determined that a violation has occurred, the Committee wishes to receive from the State party, within 180 days, information about the measures taken to give effect to the Committee’s Views. The State party is also requested to publish the present Views and to have them widely disseminated in the official languages of the State party.</w:t>
      </w:r>
    </w:p>
    <w:p w14:paraId="55487933" w14:textId="585E89C5" w:rsidR="00FF1501" w:rsidRPr="00FF1501" w:rsidRDefault="00FF1501" w:rsidP="00FF1501">
      <w:pPr>
        <w:pStyle w:val="SingleTxtG"/>
        <w:spacing w:before="240" w:after="0"/>
        <w:jc w:val="center"/>
        <w:rPr>
          <w:u w:val="single"/>
        </w:rPr>
      </w:pPr>
      <w:r>
        <w:rPr>
          <w:u w:val="single"/>
        </w:rPr>
        <w:tab/>
      </w:r>
      <w:r>
        <w:rPr>
          <w:u w:val="single"/>
        </w:rPr>
        <w:tab/>
      </w:r>
      <w:r>
        <w:rPr>
          <w:u w:val="single"/>
        </w:rPr>
        <w:tab/>
      </w:r>
    </w:p>
    <w:sectPr w:rsidR="00FF1501" w:rsidRPr="00FF1501" w:rsidSect="00FF1501">
      <w:headerReference w:type="even" r:id="rId11"/>
      <w:headerReference w:type="default" r:id="rId12"/>
      <w:footerReference w:type="even" r:id="rId13"/>
      <w:footerReference w:type="default" r:id="rId14"/>
      <w:footerReference w:type="first" r:id="rId15"/>
      <w:endnotePr>
        <w:numFmt w:val="decimal"/>
      </w:endnotePr>
      <w:pgSz w:w="11907" w:h="16840" w:code="9"/>
      <w:pgMar w:top="1417" w:right="1134" w:bottom="1134" w:left="1134" w:header="68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24DDBBA" w14:textId="77777777" w:rsidR="00F4570F" w:rsidRDefault="00F4570F"/>
  </w:endnote>
  <w:endnote w:type="continuationSeparator" w:id="0">
    <w:p w14:paraId="2F95DF34" w14:textId="77777777" w:rsidR="00F4570F" w:rsidRDefault="00F4570F"/>
  </w:endnote>
  <w:endnote w:type="continuationNotice" w:id="1">
    <w:p w14:paraId="651BC4EE" w14:textId="77777777" w:rsidR="00F4570F" w:rsidRDefault="00F4570F"/>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MS Mincho">
    <w:altName w:val="ＭＳ 明朝"/>
    <w:panose1 w:val="020206090402050803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0242A95" w14:textId="54B59400" w:rsidR="007A7775" w:rsidRPr="007A7775" w:rsidRDefault="007A7775">
    <w:pPr>
      <w:pStyle w:val="Footer"/>
      <w:rPr>
        <w:b/>
        <w:bCs/>
      </w:rPr>
    </w:pPr>
    <w:r w:rsidRPr="007A7775">
      <w:rPr>
        <w:b/>
        <w:bCs/>
      </w:rPr>
      <w:fldChar w:fldCharType="begin"/>
    </w:r>
    <w:r w:rsidRPr="007A7775">
      <w:rPr>
        <w:b/>
        <w:bCs/>
      </w:rPr>
      <w:instrText xml:space="preserve"> PAGE   \* MERGEFORMAT </w:instrText>
    </w:r>
    <w:r w:rsidRPr="007A7775">
      <w:rPr>
        <w:b/>
        <w:bCs/>
      </w:rPr>
      <w:fldChar w:fldCharType="separate"/>
    </w:r>
    <w:r w:rsidRPr="007A7775">
      <w:rPr>
        <w:b/>
        <w:bCs/>
        <w:noProof/>
      </w:rPr>
      <w:t>1</w:t>
    </w:r>
    <w:r w:rsidRPr="007A7775">
      <w:rPr>
        <w:b/>
        <w:bCs/>
        <w:noProof/>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E181EF3" w14:textId="54FBB584" w:rsidR="007A7775" w:rsidRPr="007A7775" w:rsidRDefault="007A7775" w:rsidP="007A7775">
    <w:pPr>
      <w:pStyle w:val="Footer"/>
      <w:jc w:val="right"/>
      <w:rPr>
        <w:b/>
        <w:bCs/>
      </w:rPr>
    </w:pPr>
    <w:r w:rsidRPr="007A7775">
      <w:rPr>
        <w:b/>
        <w:bCs/>
      </w:rPr>
      <w:fldChar w:fldCharType="begin"/>
    </w:r>
    <w:r w:rsidRPr="007A7775">
      <w:rPr>
        <w:b/>
        <w:bCs/>
      </w:rPr>
      <w:instrText xml:space="preserve"> PAGE   \* MERGEFORMAT </w:instrText>
    </w:r>
    <w:r w:rsidRPr="007A7775">
      <w:rPr>
        <w:b/>
        <w:bCs/>
      </w:rPr>
      <w:fldChar w:fldCharType="separate"/>
    </w:r>
    <w:r w:rsidRPr="007A7775">
      <w:rPr>
        <w:b/>
        <w:bCs/>
        <w:noProof/>
      </w:rPr>
      <w:t>1</w:t>
    </w:r>
    <w:r w:rsidRPr="007A7775">
      <w:rPr>
        <w:b/>
        <w:bCs/>
        <w:noProof/>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9D8152F" w14:textId="6D238E3F" w:rsidR="001B4ABA" w:rsidRDefault="001B4ABA" w:rsidP="001B4ABA">
    <w:pPr>
      <w:pStyle w:val="Footer"/>
    </w:pPr>
    <w:r w:rsidRPr="0027112F">
      <w:rPr>
        <w:noProof/>
        <w:lang w:val="en-US"/>
      </w:rPr>
      <w:drawing>
        <wp:anchor distT="0" distB="0" distL="114300" distR="114300" simplePos="0" relativeHeight="251659264" behindDoc="0" locked="1" layoutInCell="1" allowOverlap="1" wp14:anchorId="2FDC11D9" wp14:editId="28A56BC1">
          <wp:simplePos x="0" y="0"/>
          <wp:positionH relativeFrom="column">
            <wp:posOffset>4558030</wp:posOffset>
          </wp:positionH>
          <wp:positionV relativeFrom="page">
            <wp:posOffset>10128250</wp:posOffset>
          </wp:positionV>
          <wp:extent cx="932400" cy="230400"/>
          <wp:effectExtent l="0" t="0" r="1270" b="0"/>
          <wp:wrapNone/>
          <wp:docPr id="5" name="Picture 5" descr="Please recycl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0814FD80" w14:textId="3AD4FA6D" w:rsidR="001B4ABA" w:rsidRPr="001B4ABA" w:rsidRDefault="001B4ABA" w:rsidP="001B4ABA">
    <w:pPr>
      <w:pStyle w:val="Footer"/>
      <w:ind w:right="1134"/>
      <w:rPr>
        <w:sz w:val="20"/>
      </w:rPr>
    </w:pPr>
    <w:r>
      <w:rPr>
        <w:noProof/>
        <w:sz w:val="20"/>
      </w:rPr>
      <w:drawing>
        <wp:anchor distT="0" distB="0" distL="114300" distR="114300" simplePos="0" relativeHeight="251660288" behindDoc="0" locked="0" layoutInCell="1" allowOverlap="1" wp14:anchorId="4C9C98B4" wp14:editId="69975F33">
          <wp:simplePos x="0" y="0"/>
          <wp:positionH relativeFrom="margin">
            <wp:posOffset>5615940</wp:posOffset>
          </wp:positionH>
          <wp:positionV relativeFrom="margin">
            <wp:posOffset>8905875</wp:posOffset>
          </wp:positionV>
          <wp:extent cx="561975" cy="561975"/>
          <wp:effectExtent l="0" t="0" r="9525" b="9525"/>
          <wp:wrapNone/>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05B57FD" w14:textId="77777777" w:rsidR="00F4570F" w:rsidRPr="000B175B" w:rsidRDefault="00F4570F" w:rsidP="000B175B">
      <w:pPr>
        <w:tabs>
          <w:tab w:val="right" w:pos="2155"/>
        </w:tabs>
        <w:spacing w:after="80"/>
        <w:ind w:left="680"/>
        <w:rPr>
          <w:u w:val="single"/>
        </w:rPr>
      </w:pPr>
      <w:r>
        <w:rPr>
          <w:u w:val="single"/>
        </w:rPr>
        <w:tab/>
      </w:r>
    </w:p>
  </w:footnote>
  <w:footnote w:type="continuationSeparator" w:id="0">
    <w:p w14:paraId="53B2D21D" w14:textId="77777777" w:rsidR="00F4570F" w:rsidRPr="00FC68B7" w:rsidRDefault="00F4570F" w:rsidP="00FC68B7">
      <w:pPr>
        <w:tabs>
          <w:tab w:val="left" w:pos="2155"/>
        </w:tabs>
        <w:spacing w:after="80"/>
        <w:ind w:left="680"/>
        <w:rPr>
          <w:u w:val="single"/>
        </w:rPr>
      </w:pPr>
      <w:r>
        <w:rPr>
          <w:u w:val="single"/>
        </w:rPr>
        <w:tab/>
      </w:r>
    </w:p>
  </w:footnote>
  <w:footnote w:type="continuationNotice" w:id="1">
    <w:p w14:paraId="6939F4E8" w14:textId="77777777" w:rsidR="00F4570F" w:rsidRDefault="00F4570F"/>
  </w:footnote>
  <w:footnote w:id="2">
    <w:p w14:paraId="1C666248" w14:textId="77777777" w:rsidR="006B4592" w:rsidRPr="005C1CDE" w:rsidRDefault="006B4592" w:rsidP="005C1CDE">
      <w:pPr>
        <w:pStyle w:val="FootnoteText"/>
      </w:pPr>
      <w:r>
        <w:rPr>
          <w:rStyle w:val="FootnoteReference"/>
        </w:rPr>
        <w:tab/>
      </w:r>
      <w:r w:rsidRPr="004F0E35">
        <w:rPr>
          <w:rStyle w:val="FootnoteReference"/>
          <w:vertAlign w:val="baseline"/>
        </w:rPr>
        <w:t>*</w:t>
      </w:r>
      <w:r w:rsidRPr="004F0E35">
        <w:rPr>
          <w:rStyle w:val="FootnoteReference"/>
          <w:vertAlign w:val="baseline"/>
        </w:rPr>
        <w:tab/>
      </w:r>
      <w:r w:rsidRPr="005C1CDE">
        <w:t>Adopted by the Committee at its 139th session (9 October-3 November 2023).</w:t>
      </w:r>
    </w:p>
  </w:footnote>
  <w:footnote w:id="3">
    <w:p w14:paraId="1ED51F6D" w14:textId="77777777" w:rsidR="006B4592" w:rsidRPr="0081449D" w:rsidRDefault="006B4592" w:rsidP="005C1CDE">
      <w:pPr>
        <w:pStyle w:val="FootnoteText"/>
      </w:pPr>
      <w:r w:rsidRPr="004F0E35">
        <w:rPr>
          <w:rStyle w:val="FootnoteReference"/>
          <w:vertAlign w:val="baseline"/>
        </w:rPr>
        <w:tab/>
        <w:t>**</w:t>
      </w:r>
      <w:r w:rsidRPr="004F0E35">
        <w:rPr>
          <w:rStyle w:val="FootnoteReference"/>
          <w:vertAlign w:val="baseline"/>
        </w:rPr>
        <w:tab/>
      </w:r>
      <w:r w:rsidRPr="005C1CDE">
        <w:t>The following members of the Committee participated in the examination of the communication: Tania María Abdo Rocholl, Farid Ahmadov, Wafaa Ashraf Moharram Bassim, Rodrigo A. Carazo, Yvonne Donders, Mahjoub El Haiba, Laurence R. Helfer, Teraya Koji, Carlos Gómez Martínez, Bacre Waly Ndiaye, Marcia V.J. Kran, Hernán Quezada Cabrera, José Manuel Santos Pais, Soh Changrok, Tijana Šurlan, Kobauyah Tchamdja Kpatcha, Hélène Tigroudja and Imeru Tamerat Yigezu</w:t>
      </w:r>
      <w:r w:rsidRPr="00BF71FC">
        <w:t>.</w:t>
      </w:r>
    </w:p>
  </w:footnote>
  <w:footnote w:id="4">
    <w:p w14:paraId="5AF590F2" w14:textId="7AF55C21" w:rsidR="001737C0" w:rsidRPr="001737C0" w:rsidRDefault="001737C0">
      <w:pPr>
        <w:pStyle w:val="FootnoteText"/>
        <w:rPr>
          <w:lang w:val="en-US"/>
        </w:rPr>
      </w:pPr>
      <w:r>
        <w:tab/>
      </w:r>
      <w:r>
        <w:rPr>
          <w:rStyle w:val="FootnoteReference"/>
        </w:rPr>
        <w:footnoteRef/>
      </w:r>
      <w:r>
        <w:t xml:space="preserve"> </w:t>
      </w:r>
      <w:r>
        <w:tab/>
        <w:t>A</w:t>
      </w:r>
      <w:r w:rsidRPr="001737C0">
        <w:rPr>
          <w:lang w:val="en-US"/>
        </w:rPr>
        <w:t> </w:t>
      </w:r>
      <w:hyperlink r:id="rId1" w:tooltip="Unicameralism" w:history="1">
        <w:r w:rsidRPr="001737C0">
          <w:rPr>
            <w:lang w:val="en-US"/>
          </w:rPr>
          <w:t>unicameral</w:t>
        </w:r>
      </w:hyperlink>
      <w:r w:rsidRPr="001737C0">
        <w:rPr>
          <w:lang w:val="en-US"/>
        </w:rPr>
        <w:t> </w:t>
      </w:r>
      <w:hyperlink r:id="rId2" w:tooltip="Legislature" w:history="1">
        <w:r w:rsidRPr="001737C0">
          <w:rPr>
            <w:lang w:val="en-US"/>
          </w:rPr>
          <w:t>legislature</w:t>
        </w:r>
      </w:hyperlink>
      <w:r w:rsidRPr="001737C0">
        <w:rPr>
          <w:lang w:val="en-US"/>
        </w:rPr>
        <w:t> of </w:t>
      </w:r>
      <w:hyperlink r:id="rId3" w:tooltip="Kazakhstan" w:history="1">
        <w:r w:rsidRPr="001737C0">
          <w:rPr>
            <w:lang w:val="en-US"/>
          </w:rPr>
          <w:t>Kazakhstan</w:t>
        </w:r>
      </w:hyperlink>
      <w:r w:rsidRPr="001737C0">
        <w:rPr>
          <w:lang w:val="en-US"/>
        </w:rPr>
        <w:t>’s capital city of </w:t>
      </w:r>
      <w:hyperlink r:id="rId4" w:tooltip="Astana" w:history="1">
        <w:r w:rsidRPr="001737C0">
          <w:rPr>
            <w:lang w:val="en-US"/>
          </w:rPr>
          <w:t>Astana</w:t>
        </w:r>
      </w:hyperlink>
      <w:r>
        <w:rPr>
          <w:lang w:val="en-US"/>
        </w:rPr>
        <w:t>.</w:t>
      </w:r>
    </w:p>
  </w:footnote>
  <w:footnote w:id="5">
    <w:p w14:paraId="07FB145E" w14:textId="185D1005" w:rsidR="00E01BDC" w:rsidRPr="00E01BDC" w:rsidRDefault="00E01BDC">
      <w:pPr>
        <w:pStyle w:val="FootnoteText"/>
        <w:rPr>
          <w:lang w:val="en-US"/>
        </w:rPr>
      </w:pPr>
      <w:r>
        <w:tab/>
      </w:r>
      <w:r>
        <w:rPr>
          <w:rStyle w:val="FootnoteReference"/>
        </w:rPr>
        <w:footnoteRef/>
      </w:r>
      <w:r>
        <w:t xml:space="preserve"> </w:t>
      </w:r>
      <w:r>
        <w:tab/>
      </w:r>
      <w:r>
        <w:rPr>
          <w:lang w:val="en-US"/>
        </w:rPr>
        <w:t xml:space="preserve">The authors refer to the news website tengrinews.kz, which in turn quotes a member of the Central Election Commission. Available </w:t>
      </w:r>
      <w:r w:rsidR="00CB2D13">
        <w:rPr>
          <w:lang w:val="en-US"/>
        </w:rPr>
        <w:t xml:space="preserve">in Russian </w:t>
      </w:r>
      <w:r>
        <w:rPr>
          <w:lang w:val="en-US"/>
        </w:rPr>
        <w:t xml:space="preserve">at </w:t>
      </w:r>
      <w:hyperlink r:id="rId5" w:history="1">
        <w:r w:rsidRPr="00A62658">
          <w:rPr>
            <w:rStyle w:val="Hyperlink"/>
            <w:lang w:val="en-US"/>
          </w:rPr>
          <w:t>https://tengrinews.kz/kazakhstan_news/okolo-300-kandidatov-deputatyi-maslihatov-rk-snyatyi-290595/</w:t>
        </w:r>
      </w:hyperlink>
      <w:r w:rsidR="003B3A21">
        <w:rPr>
          <w:rStyle w:val="Hyperlink"/>
          <w:lang w:val="en-US"/>
        </w:rPr>
        <w:t>.</w:t>
      </w:r>
      <w:r>
        <w:rPr>
          <w:lang w:val="en-US"/>
        </w:rPr>
        <w:t xml:space="preserve"> </w:t>
      </w:r>
    </w:p>
  </w:footnote>
  <w:footnote w:id="6">
    <w:p w14:paraId="10FBAA6F" w14:textId="33C9079A" w:rsidR="00A02D55" w:rsidRPr="00A02D55" w:rsidRDefault="00A02D55">
      <w:pPr>
        <w:pStyle w:val="FootnoteText"/>
      </w:pPr>
      <w:r>
        <w:tab/>
      </w:r>
      <w:r>
        <w:rPr>
          <w:rStyle w:val="FootnoteReference"/>
        </w:rPr>
        <w:footnoteRef/>
      </w:r>
      <w:r>
        <w:t xml:space="preserve"> </w:t>
      </w:r>
      <w:r>
        <w:tab/>
        <w:t xml:space="preserve">OSCE/ODIHR Election Observation Mission Final Report, available at </w:t>
      </w:r>
      <w:r w:rsidRPr="00A02D55">
        <w:t>https://www.osce.org/files/f/documents/7/3/89401.pdf</w:t>
      </w:r>
      <w:r w:rsidR="003B3A21">
        <w:t>.</w:t>
      </w:r>
    </w:p>
  </w:footnote>
  <w:footnote w:id="7">
    <w:p w14:paraId="38EA32D1" w14:textId="1F77471D" w:rsidR="00387106" w:rsidRPr="00387106" w:rsidRDefault="00387106">
      <w:pPr>
        <w:pStyle w:val="FootnoteText"/>
      </w:pPr>
      <w:r>
        <w:tab/>
      </w:r>
      <w:r>
        <w:rPr>
          <w:rStyle w:val="FootnoteReference"/>
        </w:rPr>
        <w:footnoteRef/>
      </w:r>
      <w:r>
        <w:t xml:space="preserve"> </w:t>
      </w:r>
      <w:r>
        <w:tab/>
        <w:t xml:space="preserve">See </w:t>
      </w:r>
      <w:r w:rsidRPr="00387106">
        <w:rPr>
          <w:i/>
          <w:iCs/>
        </w:rPr>
        <w:t>Corral v. Spain</w:t>
      </w:r>
      <w:r>
        <w:t xml:space="preserve"> (CCPR/C/83/D/1356/2005), para. 4.2, in which the Committee stated that authors must “raise the substance of the issues submitted to the Committee before domestic courts”.</w:t>
      </w:r>
    </w:p>
  </w:footnote>
  <w:footnote w:id="8">
    <w:p w14:paraId="6A47295F" w14:textId="7D895D03" w:rsidR="00CC4826" w:rsidRPr="005925DC" w:rsidRDefault="00CC4826" w:rsidP="00CC4826">
      <w:pPr>
        <w:pStyle w:val="FootnoteText"/>
        <w:rPr>
          <w:lang w:val="en-US"/>
        </w:rPr>
      </w:pPr>
      <w:r>
        <w:tab/>
      </w:r>
      <w:r>
        <w:rPr>
          <w:rStyle w:val="FootnoteReference"/>
        </w:rPr>
        <w:footnoteRef/>
      </w:r>
      <w:r>
        <w:t xml:space="preserve"> </w:t>
      </w:r>
      <w:r>
        <w:tab/>
        <w:t>See general comment No. 25</w:t>
      </w:r>
      <w:r w:rsidR="005275A4">
        <w:t xml:space="preserve"> (1996) on participation in public affairs and the right to vote</w:t>
      </w:r>
      <w:r w:rsidRPr="00271D72">
        <w:t>, paras. 3, 4 and 16.</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D5758BF" w14:textId="7E8B1C47" w:rsidR="001645A7" w:rsidRPr="004F0E35" w:rsidRDefault="001645A7">
    <w:pPr>
      <w:pStyle w:val="Header"/>
      <w:rPr>
        <w:lang w:val="fr-FR"/>
      </w:rPr>
    </w:pPr>
    <w:r w:rsidRPr="004F0E35">
      <w:rPr>
        <w:lang w:val="fr-FR"/>
      </w:rPr>
      <w:t>CCPR/C/13</w:t>
    </w:r>
    <w:r w:rsidR="000501BB" w:rsidRPr="004F0E35">
      <w:rPr>
        <w:lang w:val="fr-FR"/>
      </w:rPr>
      <w:t>9</w:t>
    </w:r>
    <w:r w:rsidRPr="004F0E35">
      <w:rPr>
        <w:lang w:val="fr-FR"/>
      </w:rPr>
      <w:t>/D/</w:t>
    </w:r>
    <w:r w:rsidR="0094216F" w:rsidRPr="004F0E35">
      <w:rPr>
        <w:lang w:val="fr-FR"/>
      </w:rPr>
      <w:t>2914</w:t>
    </w:r>
    <w:r w:rsidR="00FF1501" w:rsidRPr="004F0E35">
      <w:rPr>
        <w:lang w:val="fr-FR"/>
      </w:rPr>
      <w:t>/201</w:t>
    </w:r>
    <w:r w:rsidR="0094216F" w:rsidRPr="004F0E35">
      <w:rPr>
        <w:lang w:val="fr-FR"/>
      </w:rPr>
      <w:t>6</w:t>
    </w:r>
  </w:p>
  <w:p w14:paraId="7B3B99EB" w14:textId="680B5984" w:rsidR="00824B60" w:rsidRPr="004F0E35" w:rsidRDefault="00FF1501">
    <w:pPr>
      <w:pStyle w:val="Header"/>
      <w:rPr>
        <w:lang w:val="fr-FR"/>
      </w:rPr>
    </w:pPr>
    <w:r w:rsidRPr="004F0E35">
      <w:rPr>
        <w:lang w:val="fr-FR"/>
      </w:rPr>
      <w:t>CCPR/C/13</w:t>
    </w:r>
    <w:r w:rsidR="000501BB" w:rsidRPr="004F0E35">
      <w:rPr>
        <w:lang w:val="fr-FR"/>
      </w:rPr>
      <w:t>9</w:t>
    </w:r>
    <w:r w:rsidRPr="004F0E35">
      <w:rPr>
        <w:lang w:val="fr-FR"/>
      </w:rPr>
      <w:t>/D/30</w:t>
    </w:r>
    <w:r w:rsidR="0094216F" w:rsidRPr="004F0E35">
      <w:rPr>
        <w:lang w:val="fr-FR"/>
      </w:rPr>
      <w:t>40</w:t>
    </w:r>
    <w:r w:rsidRPr="004F0E35">
      <w:rPr>
        <w:lang w:val="fr-FR"/>
      </w:rPr>
      <w:t>/201</w:t>
    </w:r>
    <w:r w:rsidR="0094216F" w:rsidRPr="004F0E35">
      <w:rPr>
        <w:lang w:val="fr-FR"/>
      </w:rPr>
      <w:t>7</w:t>
    </w:r>
    <w:r w:rsidR="005563A3" w:rsidRPr="004F0E35">
      <w:rPr>
        <w:lang w:val="fr-FR"/>
      </w:rPr>
      <w:t xml:space="preserve"> </w:t>
    </w:r>
  </w:p>
  <w:p w14:paraId="71C3969A" w14:textId="6A5AF5D2" w:rsidR="000501BB" w:rsidRDefault="000501BB">
    <w:pPr>
      <w:pStyle w:val="Header"/>
    </w:pPr>
    <w:r>
      <w:t>CCPR/C/139/D/30</w:t>
    </w:r>
    <w:r w:rsidR="0094216F">
      <w:t>51</w:t>
    </w:r>
    <w:r>
      <w:t>/2017</w:t>
    </w:r>
    <w:r w:rsidR="00C55329">
      <w:t xml:space="preserve"> Advance unedited version</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D0B2BFD" w14:textId="03ED5048" w:rsidR="000501BB" w:rsidRPr="004F0E35" w:rsidRDefault="00FF1501" w:rsidP="000501BB">
    <w:pPr>
      <w:pStyle w:val="Header"/>
      <w:jc w:val="right"/>
      <w:rPr>
        <w:szCs w:val="18"/>
        <w:lang w:val="fr-FR"/>
      </w:rPr>
    </w:pPr>
    <w:r>
      <w:tab/>
    </w:r>
    <w:r w:rsidR="000501BB" w:rsidRPr="004F0E35">
      <w:rPr>
        <w:szCs w:val="18"/>
        <w:lang w:val="fr-FR"/>
      </w:rPr>
      <w:t>CCPR/C/139/D/</w:t>
    </w:r>
    <w:r w:rsidR="0094216F" w:rsidRPr="004F0E35">
      <w:rPr>
        <w:szCs w:val="18"/>
        <w:lang w:val="fr-FR"/>
      </w:rPr>
      <w:t>2914</w:t>
    </w:r>
    <w:r w:rsidR="000501BB" w:rsidRPr="004F0E35">
      <w:rPr>
        <w:szCs w:val="18"/>
        <w:lang w:val="fr-FR"/>
      </w:rPr>
      <w:t>/201</w:t>
    </w:r>
    <w:r w:rsidR="0094216F" w:rsidRPr="004F0E35">
      <w:rPr>
        <w:szCs w:val="18"/>
        <w:lang w:val="fr-FR"/>
      </w:rPr>
      <w:t>6</w:t>
    </w:r>
  </w:p>
  <w:p w14:paraId="26B242CE" w14:textId="690C8C9B" w:rsidR="00824B60" w:rsidRPr="004F0E35" w:rsidRDefault="000501BB" w:rsidP="007C5328">
    <w:pPr>
      <w:pStyle w:val="Header"/>
      <w:ind w:left="6237" w:firstLine="567"/>
      <w:jc w:val="center"/>
      <w:rPr>
        <w:szCs w:val="18"/>
        <w:lang w:val="fr-FR"/>
      </w:rPr>
    </w:pPr>
    <w:r w:rsidRPr="004F0E35">
      <w:rPr>
        <w:szCs w:val="18"/>
        <w:lang w:val="fr-FR"/>
      </w:rPr>
      <w:t>CCPR/C/139/D/30</w:t>
    </w:r>
    <w:r w:rsidR="0094216F" w:rsidRPr="004F0E35">
      <w:rPr>
        <w:szCs w:val="18"/>
        <w:lang w:val="fr-FR"/>
      </w:rPr>
      <w:t>40</w:t>
    </w:r>
    <w:r w:rsidRPr="004F0E35">
      <w:rPr>
        <w:szCs w:val="18"/>
        <w:lang w:val="fr-FR"/>
      </w:rPr>
      <w:t>/2017</w:t>
    </w:r>
    <w:r w:rsidR="005563A3" w:rsidRPr="004F0E35">
      <w:rPr>
        <w:szCs w:val="18"/>
        <w:lang w:val="fr-FR"/>
      </w:rPr>
      <w:t xml:space="preserve"> </w:t>
    </w:r>
  </w:p>
  <w:p w14:paraId="4A10E4A3" w14:textId="2CA115FB" w:rsidR="001645A7" w:rsidRPr="00824B60" w:rsidRDefault="000501BB" w:rsidP="000501BB">
    <w:pPr>
      <w:pStyle w:val="Header"/>
      <w:jc w:val="right"/>
      <w:rPr>
        <w:szCs w:val="18"/>
      </w:rPr>
    </w:pPr>
    <w:r w:rsidRPr="00824B60">
      <w:rPr>
        <w:szCs w:val="18"/>
      </w:rPr>
      <w:t>CCPR/C/139/D/30</w:t>
    </w:r>
    <w:r w:rsidR="0094216F" w:rsidRPr="00824B60">
      <w:rPr>
        <w:szCs w:val="18"/>
      </w:rPr>
      <w:t>51</w:t>
    </w:r>
    <w:r w:rsidRPr="00824B60">
      <w:rPr>
        <w:szCs w:val="18"/>
      </w:rPr>
      <w:t>/2017</w:t>
    </w:r>
    <w:r w:rsidR="00C55329">
      <w:rPr>
        <w:szCs w:val="18"/>
      </w:rPr>
      <w:t xml:space="preserve"> Advance unedited version</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F2036B"/>
    <w:multiLevelType w:val="hybridMultilevel"/>
    <w:tmpl w:val="B22E0BFA"/>
    <w:lvl w:ilvl="0" w:tplc="9008FA9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2" w15:restartNumberingAfterBreak="0">
    <w:nsid w:val="68862366"/>
    <w:multiLevelType w:val="hybridMultilevel"/>
    <w:tmpl w:val="523E6D94"/>
    <w:lvl w:ilvl="0" w:tplc="E24C15DA">
      <w:start w:val="1"/>
      <w:numFmt w:val="bullet"/>
      <w:pStyle w:val="Bullet2G"/>
      <w:lvlText w:val="•"/>
      <w:lvlJc w:val="left"/>
      <w:pPr>
        <w:tabs>
          <w:tab w:val="num" w:pos="2268"/>
        </w:tabs>
        <w:ind w:left="2268"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num w:numId="1" w16cid:durableId="1337346114">
    <w:abstractNumId w:val="0"/>
  </w:num>
  <w:num w:numId="2" w16cid:durableId="914051480">
    <w:abstractNumId w:val="2"/>
  </w:num>
  <w:num w:numId="3" w16cid:durableId="669914841">
    <w:abstractNumId w:val="1"/>
  </w:num>
  <w:num w:numId="4" w16cid:durableId="800195629">
    <w:abstractNumId w:val="1"/>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bordersDoNotSurroundHeader/>
  <w:bordersDoNotSurroundFooter/>
  <w:activeWritingStyle w:appName="MSWord" w:lang="en-GB" w:vendorID="64" w:dllVersion="5" w:nlCheck="1" w:checkStyle="1"/>
  <w:activeWritingStyle w:appName="MSWord" w:lang="en-GB" w:vendorID="64" w:dllVersion="6" w:nlCheck="1" w:checkStyle="1"/>
  <w:activeWritingStyle w:appName="MSWord" w:lang="en-GB" w:vendorID="64" w:dllVersion="0" w:nlCheck="1" w:checkStyle="0"/>
  <w:activeWritingStyle w:appName="MSWord" w:lang="en-US" w:vendorID="64" w:dllVersion="0" w:nlCheck="1" w:checkStyle="0"/>
  <w:activeWritingStyle w:appName="MSWord" w:lang="es-ES" w:vendorID="64" w:dllVersion="0" w:nlCheck="1" w:checkStyle="0"/>
  <w:activeWritingStyle w:appName="MSWord" w:lang="fr-FR" w:vendorID="64" w:dllVersion="0" w:nlCheck="1" w:checkStyle="0"/>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revisionView w:markup="0"/>
  <w:defaultTabStop w:val="567"/>
  <w:hyphenationZone w:val="357"/>
  <w:evenAndOddHeaders/>
  <w:characterSpacingControl w:val="doNotCompress"/>
  <w:hdrShapeDefaults>
    <o:shapedefaults v:ext="edit" spidmax="2050">
      <v:textbox inset="5.85pt,.7pt,5.85pt,.7pt"/>
    </o:shapedefaults>
  </w:hdrShapeDefaults>
  <w:footnotePr>
    <w:footnote w:id="-1"/>
    <w:footnote w:id="0"/>
    <w:footnote w:id="1"/>
  </w:footnotePr>
  <w:endnotePr>
    <w:numFmt w:val="decimal"/>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645A7"/>
    <w:rsid w:val="000019BE"/>
    <w:rsid w:val="0000614D"/>
    <w:rsid w:val="000114F5"/>
    <w:rsid w:val="00012235"/>
    <w:rsid w:val="000272B3"/>
    <w:rsid w:val="000315FD"/>
    <w:rsid w:val="0003705A"/>
    <w:rsid w:val="000501BB"/>
    <w:rsid w:val="00050F6B"/>
    <w:rsid w:val="00051548"/>
    <w:rsid w:val="00057E97"/>
    <w:rsid w:val="00060C3A"/>
    <w:rsid w:val="00072C8C"/>
    <w:rsid w:val="000733B5"/>
    <w:rsid w:val="00074A15"/>
    <w:rsid w:val="00081815"/>
    <w:rsid w:val="000931C0"/>
    <w:rsid w:val="000B0A25"/>
    <w:rsid w:val="000B175B"/>
    <w:rsid w:val="000B3A0F"/>
    <w:rsid w:val="000B4EF7"/>
    <w:rsid w:val="000C1D68"/>
    <w:rsid w:val="000C2C03"/>
    <w:rsid w:val="000C2D2E"/>
    <w:rsid w:val="000C42B6"/>
    <w:rsid w:val="000C64AC"/>
    <w:rsid w:val="000E0415"/>
    <w:rsid w:val="000E0F97"/>
    <w:rsid w:val="000F12AF"/>
    <w:rsid w:val="000F56E6"/>
    <w:rsid w:val="001103AA"/>
    <w:rsid w:val="00115EA0"/>
    <w:rsid w:val="001263CF"/>
    <w:rsid w:val="001347EE"/>
    <w:rsid w:val="001348E0"/>
    <w:rsid w:val="001415FB"/>
    <w:rsid w:val="00151451"/>
    <w:rsid w:val="001523A8"/>
    <w:rsid w:val="001645A7"/>
    <w:rsid w:val="00165F3A"/>
    <w:rsid w:val="00167E64"/>
    <w:rsid w:val="001737C0"/>
    <w:rsid w:val="00181389"/>
    <w:rsid w:val="00183968"/>
    <w:rsid w:val="001A03CD"/>
    <w:rsid w:val="001A3AF9"/>
    <w:rsid w:val="001A6686"/>
    <w:rsid w:val="001B4ABA"/>
    <w:rsid w:val="001B4B04"/>
    <w:rsid w:val="001C6663"/>
    <w:rsid w:val="001C7895"/>
    <w:rsid w:val="001D0C8C"/>
    <w:rsid w:val="001D25E7"/>
    <w:rsid w:val="001D26DF"/>
    <w:rsid w:val="001D35B3"/>
    <w:rsid w:val="001D3A03"/>
    <w:rsid w:val="001D4ACB"/>
    <w:rsid w:val="001E0E73"/>
    <w:rsid w:val="001E19A4"/>
    <w:rsid w:val="001E29CA"/>
    <w:rsid w:val="001E4C86"/>
    <w:rsid w:val="001F353B"/>
    <w:rsid w:val="001F6F35"/>
    <w:rsid w:val="00202DA8"/>
    <w:rsid w:val="00206F2B"/>
    <w:rsid w:val="00210FD5"/>
    <w:rsid w:val="00211BEE"/>
    <w:rsid w:val="00211E0B"/>
    <w:rsid w:val="00213890"/>
    <w:rsid w:val="002209D3"/>
    <w:rsid w:val="0023210C"/>
    <w:rsid w:val="002361F8"/>
    <w:rsid w:val="002456B5"/>
    <w:rsid w:val="00245DAE"/>
    <w:rsid w:val="00247E9E"/>
    <w:rsid w:val="00252090"/>
    <w:rsid w:val="002532E4"/>
    <w:rsid w:val="00255ED1"/>
    <w:rsid w:val="00267F5F"/>
    <w:rsid w:val="00271D72"/>
    <w:rsid w:val="00273D55"/>
    <w:rsid w:val="0027403D"/>
    <w:rsid w:val="00277933"/>
    <w:rsid w:val="0028463A"/>
    <w:rsid w:val="00286B4D"/>
    <w:rsid w:val="002A2653"/>
    <w:rsid w:val="002B5C67"/>
    <w:rsid w:val="002B6977"/>
    <w:rsid w:val="002E42EF"/>
    <w:rsid w:val="002E60AF"/>
    <w:rsid w:val="002F175C"/>
    <w:rsid w:val="003013A4"/>
    <w:rsid w:val="00310C9B"/>
    <w:rsid w:val="00320F55"/>
    <w:rsid w:val="00321BD6"/>
    <w:rsid w:val="003229D8"/>
    <w:rsid w:val="00335F01"/>
    <w:rsid w:val="00352709"/>
    <w:rsid w:val="00363416"/>
    <w:rsid w:val="00367567"/>
    <w:rsid w:val="00371178"/>
    <w:rsid w:val="0038336C"/>
    <w:rsid w:val="00387106"/>
    <w:rsid w:val="00392591"/>
    <w:rsid w:val="00394245"/>
    <w:rsid w:val="003A6810"/>
    <w:rsid w:val="003B3A21"/>
    <w:rsid w:val="003C1CA8"/>
    <w:rsid w:val="003C1E10"/>
    <w:rsid w:val="003C1EB8"/>
    <w:rsid w:val="003C2CC4"/>
    <w:rsid w:val="003C3337"/>
    <w:rsid w:val="003C3DEC"/>
    <w:rsid w:val="003C6326"/>
    <w:rsid w:val="003D4B23"/>
    <w:rsid w:val="003D4D2D"/>
    <w:rsid w:val="003E2681"/>
    <w:rsid w:val="003E3446"/>
    <w:rsid w:val="003E3933"/>
    <w:rsid w:val="003E516C"/>
    <w:rsid w:val="003E7C8C"/>
    <w:rsid w:val="003F000E"/>
    <w:rsid w:val="0040375B"/>
    <w:rsid w:val="00406221"/>
    <w:rsid w:val="004076CD"/>
    <w:rsid w:val="00410C89"/>
    <w:rsid w:val="00413F7E"/>
    <w:rsid w:val="004239D3"/>
    <w:rsid w:val="00426B9B"/>
    <w:rsid w:val="00430BA2"/>
    <w:rsid w:val="004325CB"/>
    <w:rsid w:val="00432BB1"/>
    <w:rsid w:val="00436B33"/>
    <w:rsid w:val="00442A83"/>
    <w:rsid w:val="00451DF0"/>
    <w:rsid w:val="0045495B"/>
    <w:rsid w:val="00471C9A"/>
    <w:rsid w:val="00474A33"/>
    <w:rsid w:val="00475982"/>
    <w:rsid w:val="00482B47"/>
    <w:rsid w:val="00487488"/>
    <w:rsid w:val="00493DA9"/>
    <w:rsid w:val="004948E1"/>
    <w:rsid w:val="004977FE"/>
    <w:rsid w:val="004A0865"/>
    <w:rsid w:val="004A1696"/>
    <w:rsid w:val="004B1A88"/>
    <w:rsid w:val="004C2129"/>
    <w:rsid w:val="004C3868"/>
    <w:rsid w:val="004D3FFF"/>
    <w:rsid w:val="004E1A00"/>
    <w:rsid w:val="004E7183"/>
    <w:rsid w:val="004E7E79"/>
    <w:rsid w:val="004F0E35"/>
    <w:rsid w:val="004F1456"/>
    <w:rsid w:val="004F5259"/>
    <w:rsid w:val="005010EC"/>
    <w:rsid w:val="00501E29"/>
    <w:rsid w:val="00505659"/>
    <w:rsid w:val="0052136D"/>
    <w:rsid w:val="005275A4"/>
    <w:rsid w:val="0052775E"/>
    <w:rsid w:val="005420F2"/>
    <w:rsid w:val="005446F5"/>
    <w:rsid w:val="00545082"/>
    <w:rsid w:val="005563A3"/>
    <w:rsid w:val="005628B6"/>
    <w:rsid w:val="0057590C"/>
    <w:rsid w:val="005848B3"/>
    <w:rsid w:val="00592052"/>
    <w:rsid w:val="005925DC"/>
    <w:rsid w:val="005975B2"/>
    <w:rsid w:val="005A5398"/>
    <w:rsid w:val="005B3DB3"/>
    <w:rsid w:val="005C1A98"/>
    <w:rsid w:val="005C1CDE"/>
    <w:rsid w:val="005C504A"/>
    <w:rsid w:val="005D5F2F"/>
    <w:rsid w:val="005F3D5B"/>
    <w:rsid w:val="005F7717"/>
    <w:rsid w:val="005F7B75"/>
    <w:rsid w:val="006001EE"/>
    <w:rsid w:val="00603606"/>
    <w:rsid w:val="00605042"/>
    <w:rsid w:val="00611FC4"/>
    <w:rsid w:val="0061384A"/>
    <w:rsid w:val="00614C6E"/>
    <w:rsid w:val="006176FB"/>
    <w:rsid w:val="0061782B"/>
    <w:rsid w:val="0063059B"/>
    <w:rsid w:val="00637B6D"/>
    <w:rsid w:val="00640B26"/>
    <w:rsid w:val="006434EC"/>
    <w:rsid w:val="00644671"/>
    <w:rsid w:val="00652D0A"/>
    <w:rsid w:val="00662BB6"/>
    <w:rsid w:val="00667E03"/>
    <w:rsid w:val="00671960"/>
    <w:rsid w:val="006737D0"/>
    <w:rsid w:val="00674133"/>
    <w:rsid w:val="00674361"/>
    <w:rsid w:val="00684C21"/>
    <w:rsid w:val="00686C96"/>
    <w:rsid w:val="00686EC4"/>
    <w:rsid w:val="006870F1"/>
    <w:rsid w:val="0068765C"/>
    <w:rsid w:val="00692260"/>
    <w:rsid w:val="006959A1"/>
    <w:rsid w:val="006A0921"/>
    <w:rsid w:val="006A3934"/>
    <w:rsid w:val="006B1707"/>
    <w:rsid w:val="006B3019"/>
    <w:rsid w:val="006B4592"/>
    <w:rsid w:val="006B7DBF"/>
    <w:rsid w:val="006D3285"/>
    <w:rsid w:val="006D37AF"/>
    <w:rsid w:val="006D51D0"/>
    <w:rsid w:val="006E564B"/>
    <w:rsid w:val="006E5A38"/>
    <w:rsid w:val="006E7191"/>
    <w:rsid w:val="006F2EC9"/>
    <w:rsid w:val="006F3D71"/>
    <w:rsid w:val="006F7FD0"/>
    <w:rsid w:val="00702F83"/>
    <w:rsid w:val="00703577"/>
    <w:rsid w:val="00722218"/>
    <w:rsid w:val="0072632A"/>
    <w:rsid w:val="0073104C"/>
    <w:rsid w:val="007327D5"/>
    <w:rsid w:val="00741B39"/>
    <w:rsid w:val="00741FF8"/>
    <w:rsid w:val="00743E94"/>
    <w:rsid w:val="007629C8"/>
    <w:rsid w:val="007802AE"/>
    <w:rsid w:val="00785D28"/>
    <w:rsid w:val="007A0B82"/>
    <w:rsid w:val="007A4C34"/>
    <w:rsid w:val="007A6CDB"/>
    <w:rsid w:val="007A7775"/>
    <w:rsid w:val="007A7E37"/>
    <w:rsid w:val="007B6BA5"/>
    <w:rsid w:val="007C0813"/>
    <w:rsid w:val="007C3390"/>
    <w:rsid w:val="007C4F4B"/>
    <w:rsid w:val="007C5328"/>
    <w:rsid w:val="007C784F"/>
    <w:rsid w:val="007C7C01"/>
    <w:rsid w:val="007E0B2D"/>
    <w:rsid w:val="007E213A"/>
    <w:rsid w:val="007F6611"/>
    <w:rsid w:val="007F77BE"/>
    <w:rsid w:val="00803AB2"/>
    <w:rsid w:val="008105B8"/>
    <w:rsid w:val="008242D7"/>
    <w:rsid w:val="00824B60"/>
    <w:rsid w:val="00824E9A"/>
    <w:rsid w:val="008257B1"/>
    <w:rsid w:val="00833477"/>
    <w:rsid w:val="008418FA"/>
    <w:rsid w:val="00842CF2"/>
    <w:rsid w:val="00843767"/>
    <w:rsid w:val="0085099E"/>
    <w:rsid w:val="008568C7"/>
    <w:rsid w:val="00860ED6"/>
    <w:rsid w:val="00866C26"/>
    <w:rsid w:val="0086779C"/>
    <w:rsid w:val="008679D9"/>
    <w:rsid w:val="008812A2"/>
    <w:rsid w:val="008979B1"/>
    <w:rsid w:val="008A1DB2"/>
    <w:rsid w:val="008A6B25"/>
    <w:rsid w:val="008A6C4F"/>
    <w:rsid w:val="008B2335"/>
    <w:rsid w:val="008C0552"/>
    <w:rsid w:val="008D2BF5"/>
    <w:rsid w:val="008E0678"/>
    <w:rsid w:val="00903FB7"/>
    <w:rsid w:val="00910F40"/>
    <w:rsid w:val="00912C08"/>
    <w:rsid w:val="009133A3"/>
    <w:rsid w:val="00915F1C"/>
    <w:rsid w:val="00921C6B"/>
    <w:rsid w:val="009223CA"/>
    <w:rsid w:val="0092579A"/>
    <w:rsid w:val="00940F93"/>
    <w:rsid w:val="0094216F"/>
    <w:rsid w:val="009436BB"/>
    <w:rsid w:val="00950269"/>
    <w:rsid w:val="0095347F"/>
    <w:rsid w:val="00966CE1"/>
    <w:rsid w:val="00970E86"/>
    <w:rsid w:val="00975C70"/>
    <w:rsid w:val="009760F3"/>
    <w:rsid w:val="0097647A"/>
    <w:rsid w:val="00981A69"/>
    <w:rsid w:val="0098675A"/>
    <w:rsid w:val="00987485"/>
    <w:rsid w:val="009909F5"/>
    <w:rsid w:val="009A0CAE"/>
    <w:rsid w:val="009A0E8D"/>
    <w:rsid w:val="009A7C26"/>
    <w:rsid w:val="009B26E7"/>
    <w:rsid w:val="009C209B"/>
    <w:rsid w:val="009C4A82"/>
    <w:rsid w:val="009D6217"/>
    <w:rsid w:val="009E3A62"/>
    <w:rsid w:val="009F26FD"/>
    <w:rsid w:val="00A00A3F"/>
    <w:rsid w:val="00A01489"/>
    <w:rsid w:val="00A02D55"/>
    <w:rsid w:val="00A0595E"/>
    <w:rsid w:val="00A13B2F"/>
    <w:rsid w:val="00A2290F"/>
    <w:rsid w:val="00A27B3A"/>
    <w:rsid w:val="00A338F1"/>
    <w:rsid w:val="00A44615"/>
    <w:rsid w:val="00A460D1"/>
    <w:rsid w:val="00A54885"/>
    <w:rsid w:val="00A72F22"/>
    <w:rsid w:val="00A7360F"/>
    <w:rsid w:val="00A748A6"/>
    <w:rsid w:val="00A74C5E"/>
    <w:rsid w:val="00A769F4"/>
    <w:rsid w:val="00A776B4"/>
    <w:rsid w:val="00A913C5"/>
    <w:rsid w:val="00A94361"/>
    <w:rsid w:val="00AA01CD"/>
    <w:rsid w:val="00AA293C"/>
    <w:rsid w:val="00AB00F4"/>
    <w:rsid w:val="00AB0625"/>
    <w:rsid w:val="00AC5B6E"/>
    <w:rsid w:val="00AD17BD"/>
    <w:rsid w:val="00AD6C98"/>
    <w:rsid w:val="00AE6E7E"/>
    <w:rsid w:val="00AF2F0A"/>
    <w:rsid w:val="00AF7264"/>
    <w:rsid w:val="00B13E9B"/>
    <w:rsid w:val="00B156B2"/>
    <w:rsid w:val="00B241ED"/>
    <w:rsid w:val="00B30179"/>
    <w:rsid w:val="00B339A7"/>
    <w:rsid w:val="00B56E4A"/>
    <w:rsid w:val="00B56E9C"/>
    <w:rsid w:val="00B64B1F"/>
    <w:rsid w:val="00B6553F"/>
    <w:rsid w:val="00B66E5E"/>
    <w:rsid w:val="00B724DA"/>
    <w:rsid w:val="00B74F6F"/>
    <w:rsid w:val="00B77D05"/>
    <w:rsid w:val="00B81206"/>
    <w:rsid w:val="00B81E12"/>
    <w:rsid w:val="00B82ED2"/>
    <w:rsid w:val="00B87496"/>
    <w:rsid w:val="00B87CE0"/>
    <w:rsid w:val="00B9067B"/>
    <w:rsid w:val="00B97A32"/>
    <w:rsid w:val="00BB1983"/>
    <w:rsid w:val="00BB1FC1"/>
    <w:rsid w:val="00BB4665"/>
    <w:rsid w:val="00BC2C23"/>
    <w:rsid w:val="00BC74E9"/>
    <w:rsid w:val="00BD5D2A"/>
    <w:rsid w:val="00BE3F8E"/>
    <w:rsid w:val="00BE5AC7"/>
    <w:rsid w:val="00BF16DF"/>
    <w:rsid w:val="00BF18F7"/>
    <w:rsid w:val="00BF49E6"/>
    <w:rsid w:val="00BF68A8"/>
    <w:rsid w:val="00C00220"/>
    <w:rsid w:val="00C01D84"/>
    <w:rsid w:val="00C11A03"/>
    <w:rsid w:val="00C127E7"/>
    <w:rsid w:val="00C463DD"/>
    <w:rsid w:val="00C4724C"/>
    <w:rsid w:val="00C55329"/>
    <w:rsid w:val="00C629A0"/>
    <w:rsid w:val="00C70F20"/>
    <w:rsid w:val="00C745C3"/>
    <w:rsid w:val="00CA0421"/>
    <w:rsid w:val="00CB2A24"/>
    <w:rsid w:val="00CB2D13"/>
    <w:rsid w:val="00CC4826"/>
    <w:rsid w:val="00CD0CC6"/>
    <w:rsid w:val="00CD194E"/>
    <w:rsid w:val="00CE125E"/>
    <w:rsid w:val="00CE1DA6"/>
    <w:rsid w:val="00CE3B2B"/>
    <w:rsid w:val="00CE4A8F"/>
    <w:rsid w:val="00CE65DF"/>
    <w:rsid w:val="00CF7EC7"/>
    <w:rsid w:val="00D03699"/>
    <w:rsid w:val="00D2031B"/>
    <w:rsid w:val="00D25FE2"/>
    <w:rsid w:val="00D31B69"/>
    <w:rsid w:val="00D377B5"/>
    <w:rsid w:val="00D40A88"/>
    <w:rsid w:val="00D43252"/>
    <w:rsid w:val="00D47EEA"/>
    <w:rsid w:val="00D53803"/>
    <w:rsid w:val="00D573E2"/>
    <w:rsid w:val="00D5764B"/>
    <w:rsid w:val="00D64C22"/>
    <w:rsid w:val="00D85249"/>
    <w:rsid w:val="00D94D85"/>
    <w:rsid w:val="00D95303"/>
    <w:rsid w:val="00D978C6"/>
    <w:rsid w:val="00DA3111"/>
    <w:rsid w:val="00DA3C1C"/>
    <w:rsid w:val="00DA5A06"/>
    <w:rsid w:val="00DB0C79"/>
    <w:rsid w:val="00DB0CC9"/>
    <w:rsid w:val="00DB5076"/>
    <w:rsid w:val="00DC046E"/>
    <w:rsid w:val="00DC2B79"/>
    <w:rsid w:val="00DE416A"/>
    <w:rsid w:val="00DE7C16"/>
    <w:rsid w:val="00DE7F88"/>
    <w:rsid w:val="00DF09A5"/>
    <w:rsid w:val="00E01BDC"/>
    <w:rsid w:val="00E02C21"/>
    <w:rsid w:val="00E10780"/>
    <w:rsid w:val="00E10D3B"/>
    <w:rsid w:val="00E27346"/>
    <w:rsid w:val="00E47C90"/>
    <w:rsid w:val="00E54209"/>
    <w:rsid w:val="00E558A1"/>
    <w:rsid w:val="00E71BC8"/>
    <w:rsid w:val="00E7260F"/>
    <w:rsid w:val="00E779FC"/>
    <w:rsid w:val="00E879A5"/>
    <w:rsid w:val="00E96630"/>
    <w:rsid w:val="00EA2C88"/>
    <w:rsid w:val="00EA5F4A"/>
    <w:rsid w:val="00EA7D04"/>
    <w:rsid w:val="00EB2581"/>
    <w:rsid w:val="00EB3E75"/>
    <w:rsid w:val="00EC24C5"/>
    <w:rsid w:val="00ED21B0"/>
    <w:rsid w:val="00ED6021"/>
    <w:rsid w:val="00ED78F4"/>
    <w:rsid w:val="00ED7A2A"/>
    <w:rsid w:val="00EE2059"/>
    <w:rsid w:val="00EE4EAC"/>
    <w:rsid w:val="00EF10A1"/>
    <w:rsid w:val="00EF1D7F"/>
    <w:rsid w:val="00EF30FF"/>
    <w:rsid w:val="00F00CA3"/>
    <w:rsid w:val="00F04ADB"/>
    <w:rsid w:val="00F06BB7"/>
    <w:rsid w:val="00F113EB"/>
    <w:rsid w:val="00F1426B"/>
    <w:rsid w:val="00F20C3D"/>
    <w:rsid w:val="00F2457C"/>
    <w:rsid w:val="00F3342E"/>
    <w:rsid w:val="00F41C2C"/>
    <w:rsid w:val="00F43E9E"/>
    <w:rsid w:val="00F4570F"/>
    <w:rsid w:val="00F4743A"/>
    <w:rsid w:val="00F85489"/>
    <w:rsid w:val="00F87633"/>
    <w:rsid w:val="00F9057C"/>
    <w:rsid w:val="00F906D7"/>
    <w:rsid w:val="00F93781"/>
    <w:rsid w:val="00F94091"/>
    <w:rsid w:val="00FB1568"/>
    <w:rsid w:val="00FB613B"/>
    <w:rsid w:val="00FC33B0"/>
    <w:rsid w:val="00FC33EC"/>
    <w:rsid w:val="00FC68B7"/>
    <w:rsid w:val="00FD0DFD"/>
    <w:rsid w:val="00FD12D5"/>
    <w:rsid w:val="00FD6A66"/>
    <w:rsid w:val="00FE106A"/>
    <w:rsid w:val="00FE18F2"/>
    <w:rsid w:val="00FE30A5"/>
    <w:rsid w:val="00FE647D"/>
    <w:rsid w:val="00FF087C"/>
    <w:rsid w:val="00FF1501"/>
    <w:rsid w:val="00FF1E6E"/>
    <w:rsid w:val="00FF63C8"/>
    <w:rsid w:val="00FF7D02"/>
  </w:rsids>
  <m:mathPr>
    <m:mathFont m:val="Cambria Math"/>
    <m:brkBin m:val="before"/>
    <m:brkBinSub m:val="--"/>
    <m:smallFrac m:val="0"/>
    <m:dispDef/>
    <m:lMargin m:val="0"/>
    <m:rMargin m:val="0"/>
    <m:defJc m:val="centerGroup"/>
    <m:wrapIndent m:val="1440"/>
    <m:intLim m:val="subSup"/>
    <m:naryLim m:val="undOvr"/>
  </m:mathPr>
  <w:themeFontLang w:val="fr-FR"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v:textbox inset="5.85pt,.7pt,5.85pt,.7pt"/>
    </o:shapedefaults>
    <o:shapelayout v:ext="edit">
      <o:idmap v:ext="edit" data="2"/>
    </o:shapelayout>
  </w:shapeDefaults>
  <w:decimalSymbol w:val="."/>
  <w:listSeparator w:val=","/>
  <w14:docId w14:val="206E2C98"/>
  <w15:docId w15:val="{4BD58E92-5CA4-46D5-AEDC-B78668DBAE2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MS Mincho" w:hAnsi="Times New Roman" w:cs="Times New Roman"/>
        <w:lang w:val="fr-FR" w:eastAsia="fr-FR"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qFormat="1"/>
    <w:lsdException w:name="endnote reference" w:semiHidden="1" w:unhideWhenUsed="1" w:qFormat="1"/>
    <w:lsdException w:name="endnote text" w:semiHidden="1" w:unhideWhenUsed="1" w:qFormat="1"/>
    <w:lsdException w:name="table of authorities" w:semiHidden="1"/>
    <w:lsdException w:name="macro" w:semiHidden="1" w:unhideWhenUsed="1"/>
    <w:lsdException w:name="toa heading" w:semiHidden="1" w:unhideWhenUsed="1"/>
    <w:lsdException w:name="List" w:semiHidden="1"/>
    <w:lsdException w:name="List Bullet" w:semiHidden="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lsdException w:name="List Continue 3" w:semiHidden="1"/>
    <w:lsdException w:name="List Continue 4" w:semiHidden="1"/>
    <w:lsdException w:name="List Continue 5" w:semiHidden="1"/>
    <w:lsdException w:name="Message Header" w:semiHidden="1" w:unhideWhenUsed="1"/>
    <w:lsdException w:name="Subtitle" w:semiHidden="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semiHidden="1" w:uiPriority="22" w:qFormat="1"/>
    <w:lsdException w:name="Emphasis" w:semiHidden="1"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FC33EC"/>
    <w:pPr>
      <w:suppressAutoHyphens/>
      <w:spacing w:line="240" w:lineRule="atLeast"/>
    </w:pPr>
    <w:rPr>
      <w:lang w:val="en-GB" w:eastAsia="en-US"/>
    </w:rPr>
  </w:style>
  <w:style w:type="paragraph" w:styleId="Heading1">
    <w:name w:val="heading 1"/>
    <w:aliases w:val="Table_G"/>
    <w:basedOn w:val="SingleTxtG"/>
    <w:next w:val="SingleTxtG"/>
    <w:qFormat/>
    <w:rsid w:val="000272B3"/>
    <w:pPr>
      <w:spacing w:after="0" w:line="240" w:lineRule="auto"/>
      <w:ind w:right="0"/>
      <w:jc w:val="left"/>
      <w:outlineLvl w:val="0"/>
    </w:pPr>
  </w:style>
  <w:style w:type="paragraph" w:styleId="Heading2">
    <w:name w:val="heading 2"/>
    <w:basedOn w:val="Normal"/>
    <w:next w:val="Normal"/>
    <w:semiHidden/>
    <w:qFormat/>
    <w:rsid w:val="000272B3"/>
    <w:pPr>
      <w:spacing w:line="240" w:lineRule="auto"/>
      <w:outlineLvl w:val="1"/>
    </w:pPr>
  </w:style>
  <w:style w:type="paragraph" w:styleId="Heading3">
    <w:name w:val="heading 3"/>
    <w:basedOn w:val="Normal"/>
    <w:next w:val="Normal"/>
    <w:semiHidden/>
    <w:qFormat/>
    <w:rsid w:val="000272B3"/>
    <w:pPr>
      <w:spacing w:line="240" w:lineRule="auto"/>
      <w:outlineLvl w:val="2"/>
    </w:pPr>
  </w:style>
  <w:style w:type="paragraph" w:styleId="Heading4">
    <w:name w:val="heading 4"/>
    <w:basedOn w:val="Normal"/>
    <w:next w:val="Normal"/>
    <w:semiHidden/>
    <w:qFormat/>
    <w:rsid w:val="000272B3"/>
    <w:pPr>
      <w:spacing w:line="240" w:lineRule="auto"/>
      <w:outlineLvl w:val="3"/>
    </w:pPr>
  </w:style>
  <w:style w:type="paragraph" w:styleId="Heading5">
    <w:name w:val="heading 5"/>
    <w:basedOn w:val="Normal"/>
    <w:next w:val="Normal"/>
    <w:semiHidden/>
    <w:qFormat/>
    <w:rsid w:val="000272B3"/>
    <w:pPr>
      <w:spacing w:line="240" w:lineRule="auto"/>
      <w:outlineLvl w:val="4"/>
    </w:pPr>
  </w:style>
  <w:style w:type="paragraph" w:styleId="Heading6">
    <w:name w:val="heading 6"/>
    <w:basedOn w:val="Normal"/>
    <w:next w:val="Normal"/>
    <w:semiHidden/>
    <w:qFormat/>
    <w:rsid w:val="000272B3"/>
    <w:pPr>
      <w:spacing w:line="240" w:lineRule="auto"/>
      <w:outlineLvl w:val="5"/>
    </w:pPr>
  </w:style>
  <w:style w:type="paragraph" w:styleId="Heading7">
    <w:name w:val="heading 7"/>
    <w:basedOn w:val="Normal"/>
    <w:next w:val="Normal"/>
    <w:semiHidden/>
    <w:qFormat/>
    <w:rsid w:val="000272B3"/>
    <w:pPr>
      <w:spacing w:line="240" w:lineRule="auto"/>
      <w:outlineLvl w:val="6"/>
    </w:pPr>
  </w:style>
  <w:style w:type="paragraph" w:styleId="Heading8">
    <w:name w:val="heading 8"/>
    <w:basedOn w:val="Normal"/>
    <w:next w:val="Normal"/>
    <w:semiHidden/>
    <w:qFormat/>
    <w:rsid w:val="000272B3"/>
    <w:pPr>
      <w:spacing w:line="240" w:lineRule="auto"/>
      <w:outlineLvl w:val="7"/>
    </w:pPr>
  </w:style>
  <w:style w:type="paragraph" w:styleId="Heading9">
    <w:name w:val="heading 9"/>
    <w:basedOn w:val="Normal"/>
    <w:next w:val="Normal"/>
    <w:semiHidden/>
    <w:qFormat/>
    <w:rsid w:val="000272B3"/>
    <w:pPr>
      <w:spacing w:line="240" w:lineRule="auto"/>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ingleTxtG">
    <w:name w:val="_ Single Txt_G"/>
    <w:basedOn w:val="Normal"/>
    <w:link w:val="SingleTxtGChar"/>
    <w:qFormat/>
    <w:rsid w:val="000272B3"/>
    <w:pPr>
      <w:spacing w:after="120"/>
      <w:ind w:left="1134" w:right="1134"/>
      <w:jc w:val="both"/>
    </w:pPr>
  </w:style>
  <w:style w:type="paragraph" w:customStyle="1" w:styleId="HMG">
    <w:name w:val="_ H __M_G"/>
    <w:basedOn w:val="Normal"/>
    <w:next w:val="Normal"/>
    <w:qFormat/>
    <w:rsid w:val="000272B3"/>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qFormat/>
    <w:rsid w:val="000272B3"/>
    <w:pPr>
      <w:keepNext/>
      <w:keepLines/>
      <w:tabs>
        <w:tab w:val="right" w:pos="851"/>
      </w:tabs>
      <w:spacing w:before="360" w:after="240" w:line="300" w:lineRule="exact"/>
      <w:ind w:left="1134" w:right="1134" w:hanging="1134"/>
    </w:pPr>
    <w:rPr>
      <w:b/>
      <w:sz w:val="28"/>
    </w:rPr>
  </w:style>
  <w:style w:type="paragraph" w:styleId="Header">
    <w:name w:val="header"/>
    <w:aliases w:val="6_G"/>
    <w:basedOn w:val="Normal"/>
    <w:qFormat/>
    <w:rsid w:val="000272B3"/>
    <w:pPr>
      <w:pBdr>
        <w:bottom w:val="single" w:sz="4" w:space="4" w:color="auto"/>
      </w:pBdr>
      <w:spacing w:line="240" w:lineRule="auto"/>
    </w:pPr>
    <w:rPr>
      <w:b/>
      <w:sz w:val="18"/>
    </w:rPr>
  </w:style>
  <w:style w:type="table" w:styleId="TableGrid">
    <w:name w:val="Table Grid"/>
    <w:basedOn w:val="TableNormal"/>
    <w:semiHidden/>
    <w:rsid w:val="000272B3"/>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basedOn w:val="DefaultParagraphFont"/>
    <w:semiHidden/>
    <w:rsid w:val="000272B3"/>
    <w:rPr>
      <w:color w:val="auto"/>
      <w:u w:val="none"/>
    </w:rPr>
  </w:style>
  <w:style w:type="character" w:styleId="FollowedHyperlink">
    <w:name w:val="FollowedHyperlink"/>
    <w:basedOn w:val="DefaultParagraphFont"/>
    <w:semiHidden/>
    <w:rsid w:val="000272B3"/>
    <w:rPr>
      <w:color w:val="auto"/>
      <w:u w:val="none"/>
    </w:rPr>
  </w:style>
  <w:style w:type="paragraph" w:styleId="FootnoteText">
    <w:name w:val="footnote text"/>
    <w:aliases w:val="5_G,Footnote Text Char Char Char Char Char,Footnote Text Char Char Char Char,Footnote reference,FA Fu,Footnote Text Char Char Char,Footnote Reference1, Char,Char,ft,Style 27,Char Char Char Char Char,Style 11, Char Char Char,Char Char Char"/>
    <w:basedOn w:val="Normal"/>
    <w:link w:val="FootnoteTextChar"/>
    <w:qFormat/>
    <w:rsid w:val="000272B3"/>
    <w:pPr>
      <w:tabs>
        <w:tab w:val="right" w:pos="1021"/>
      </w:tabs>
      <w:spacing w:line="220" w:lineRule="exact"/>
      <w:ind w:left="1134" w:right="1134" w:hanging="1134"/>
    </w:pPr>
    <w:rPr>
      <w:sz w:val="18"/>
    </w:rPr>
  </w:style>
  <w:style w:type="paragraph" w:styleId="EndnoteText">
    <w:name w:val="endnote text"/>
    <w:aliases w:val="2_G"/>
    <w:basedOn w:val="FootnoteText"/>
    <w:qFormat/>
    <w:rsid w:val="000272B3"/>
  </w:style>
  <w:style w:type="paragraph" w:customStyle="1" w:styleId="SMG">
    <w:name w:val="__S_M_G"/>
    <w:basedOn w:val="Normal"/>
    <w:next w:val="Normal"/>
    <w:rsid w:val="000272B3"/>
    <w:pPr>
      <w:keepNext/>
      <w:keepLines/>
      <w:spacing w:before="240" w:after="240" w:line="420" w:lineRule="exact"/>
      <w:ind w:left="1134" w:right="1134"/>
    </w:pPr>
    <w:rPr>
      <w:b/>
      <w:sz w:val="40"/>
    </w:rPr>
  </w:style>
  <w:style w:type="paragraph" w:customStyle="1" w:styleId="SLG">
    <w:name w:val="__S_L_G"/>
    <w:basedOn w:val="Normal"/>
    <w:next w:val="Normal"/>
    <w:rsid w:val="000272B3"/>
    <w:pPr>
      <w:keepNext/>
      <w:keepLines/>
      <w:spacing w:before="240" w:after="240" w:line="580" w:lineRule="exact"/>
      <w:ind w:left="1134" w:right="1134"/>
    </w:pPr>
    <w:rPr>
      <w:b/>
      <w:sz w:val="56"/>
    </w:rPr>
  </w:style>
  <w:style w:type="paragraph" w:customStyle="1" w:styleId="SSG">
    <w:name w:val="__S_S_G"/>
    <w:basedOn w:val="Normal"/>
    <w:next w:val="Normal"/>
    <w:rsid w:val="000272B3"/>
    <w:pPr>
      <w:keepNext/>
      <w:keepLines/>
      <w:spacing w:before="240" w:after="240" w:line="300" w:lineRule="exact"/>
      <w:ind w:left="1134" w:right="1134"/>
    </w:pPr>
    <w:rPr>
      <w:b/>
      <w:sz w:val="28"/>
    </w:rPr>
  </w:style>
  <w:style w:type="character" w:styleId="EndnoteReference">
    <w:name w:val="endnote reference"/>
    <w:aliases w:val="1_G"/>
    <w:basedOn w:val="FootnoteReference"/>
    <w:qFormat/>
    <w:rsid w:val="000272B3"/>
    <w:rPr>
      <w:rFonts w:ascii="Times New Roman" w:hAnsi="Times New Roman"/>
      <w:sz w:val="18"/>
      <w:vertAlign w:val="superscript"/>
    </w:rPr>
  </w:style>
  <w:style w:type="character" w:styleId="FootnoteReference">
    <w:name w:val="footnote reference"/>
    <w:aliases w:val="4_G,Footnote number,ftref,Footnotes refss,Style 10,referencia nota al pie,BVI fnr,Footnote text,4_Footnote text,callout,Fago Fußnotenzeichen,16 Point,Superscript 6 Point,Footnote,Footnote symbol,f,Ref,SUPERS,4_,Appel note de bas de p."/>
    <w:basedOn w:val="DefaultParagraphFont"/>
    <w:link w:val="Appelnotedebasde"/>
    <w:qFormat/>
    <w:rsid w:val="000272B3"/>
    <w:rPr>
      <w:rFonts w:ascii="Times New Roman" w:hAnsi="Times New Roman"/>
      <w:sz w:val="18"/>
      <w:vertAlign w:val="superscript"/>
    </w:rPr>
  </w:style>
  <w:style w:type="character" w:styleId="PageNumber">
    <w:name w:val="page number"/>
    <w:aliases w:val="7_G"/>
    <w:basedOn w:val="DefaultParagraphFont"/>
    <w:qFormat/>
    <w:rsid w:val="000272B3"/>
    <w:rPr>
      <w:rFonts w:ascii="Times New Roman" w:hAnsi="Times New Roman"/>
      <w:b/>
      <w:sz w:val="18"/>
    </w:rPr>
  </w:style>
  <w:style w:type="paragraph" w:customStyle="1" w:styleId="XLargeG">
    <w:name w:val="__XLarge_G"/>
    <w:basedOn w:val="Normal"/>
    <w:next w:val="Normal"/>
    <w:rsid w:val="000272B3"/>
    <w:pPr>
      <w:keepNext/>
      <w:keepLines/>
      <w:spacing w:before="240" w:after="240" w:line="420" w:lineRule="exact"/>
      <w:ind w:left="1134" w:right="1134"/>
    </w:pPr>
    <w:rPr>
      <w:b/>
      <w:sz w:val="40"/>
    </w:rPr>
  </w:style>
  <w:style w:type="paragraph" w:customStyle="1" w:styleId="Bullet1G">
    <w:name w:val="_Bullet 1_G"/>
    <w:basedOn w:val="Normal"/>
    <w:qFormat/>
    <w:rsid w:val="000272B3"/>
    <w:pPr>
      <w:numPr>
        <w:numId w:val="1"/>
      </w:numPr>
      <w:spacing w:after="120"/>
      <w:ind w:right="1134"/>
      <w:jc w:val="both"/>
    </w:pPr>
  </w:style>
  <w:style w:type="paragraph" w:styleId="Footer">
    <w:name w:val="footer"/>
    <w:aliases w:val="3_G"/>
    <w:basedOn w:val="Normal"/>
    <w:qFormat/>
    <w:rsid w:val="000272B3"/>
    <w:pPr>
      <w:spacing w:line="240" w:lineRule="auto"/>
    </w:pPr>
    <w:rPr>
      <w:sz w:val="16"/>
    </w:rPr>
  </w:style>
  <w:style w:type="paragraph" w:customStyle="1" w:styleId="Bullet2G">
    <w:name w:val="_Bullet 2_G"/>
    <w:basedOn w:val="Normal"/>
    <w:qFormat/>
    <w:rsid w:val="000272B3"/>
    <w:pPr>
      <w:numPr>
        <w:numId w:val="2"/>
      </w:numPr>
      <w:spacing w:after="120"/>
      <w:ind w:right="1134"/>
      <w:jc w:val="both"/>
    </w:pPr>
  </w:style>
  <w:style w:type="paragraph" w:customStyle="1" w:styleId="H1G">
    <w:name w:val="_ H_1_G"/>
    <w:basedOn w:val="Normal"/>
    <w:next w:val="Normal"/>
    <w:qFormat/>
    <w:rsid w:val="000272B3"/>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uiPriority w:val="99"/>
    <w:qFormat/>
    <w:rsid w:val="000272B3"/>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0272B3"/>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0272B3"/>
    <w:pPr>
      <w:keepNext/>
      <w:keepLines/>
      <w:tabs>
        <w:tab w:val="right" w:pos="851"/>
      </w:tabs>
      <w:spacing w:before="240" w:after="120" w:line="240" w:lineRule="exact"/>
      <w:ind w:left="1134" w:right="1134" w:hanging="1134"/>
    </w:pPr>
  </w:style>
  <w:style w:type="paragraph" w:styleId="BalloonText">
    <w:name w:val="Balloon Text"/>
    <w:basedOn w:val="Normal"/>
    <w:link w:val="BalloonTextChar"/>
    <w:semiHidden/>
    <w:rsid w:val="00FC33EC"/>
    <w:pPr>
      <w:spacing w:line="240" w:lineRule="auto"/>
    </w:pPr>
    <w:rPr>
      <w:rFonts w:ascii="Tahoma" w:hAnsi="Tahoma" w:cs="Tahoma"/>
      <w:sz w:val="16"/>
      <w:szCs w:val="16"/>
    </w:rPr>
  </w:style>
  <w:style w:type="character" w:customStyle="1" w:styleId="BalloonTextChar">
    <w:name w:val="Balloon Text Char"/>
    <w:basedOn w:val="DefaultParagraphFont"/>
    <w:link w:val="BalloonText"/>
    <w:semiHidden/>
    <w:rsid w:val="00FC33EC"/>
    <w:rPr>
      <w:rFonts w:ascii="Tahoma" w:hAnsi="Tahoma" w:cs="Tahoma"/>
      <w:sz w:val="16"/>
      <w:szCs w:val="16"/>
      <w:lang w:val="en-GB" w:eastAsia="en-US"/>
    </w:rPr>
  </w:style>
  <w:style w:type="paragraph" w:customStyle="1" w:styleId="ParNoG">
    <w:name w:val="_ParNo_G"/>
    <w:basedOn w:val="SingleTxtG"/>
    <w:qFormat/>
    <w:rsid w:val="0086779C"/>
    <w:pPr>
      <w:numPr>
        <w:numId w:val="4"/>
      </w:numPr>
      <w:kinsoku w:val="0"/>
      <w:overflowPunct w:val="0"/>
      <w:autoSpaceDE w:val="0"/>
      <w:autoSpaceDN w:val="0"/>
      <w:adjustRightInd w:val="0"/>
      <w:snapToGrid w:val="0"/>
    </w:pPr>
  </w:style>
  <w:style w:type="character" w:customStyle="1" w:styleId="FootnoteTextChar">
    <w:name w:val="Footnote Text Char"/>
    <w:aliases w:val="5_G Char,Footnote Text Char Char Char Char Char Char,Footnote Text Char Char Char Char Char1,Footnote reference Char,FA Fu Char,Footnote Text Char Char Char Char1,Footnote Reference1 Char, Char Char,Char Char,ft Char,Style 27 Char"/>
    <w:basedOn w:val="DefaultParagraphFont"/>
    <w:link w:val="FootnoteText"/>
    <w:rsid w:val="001645A7"/>
    <w:rPr>
      <w:sz w:val="18"/>
      <w:lang w:val="en-GB" w:eastAsia="en-US"/>
    </w:rPr>
  </w:style>
  <w:style w:type="paragraph" w:customStyle="1" w:styleId="Appelnotedebasde">
    <w:name w:val="Appel note de bas de"/>
    <w:aliases w:val="Appel note de bas de page Char Char Char Char Char Char Char Char,Appel note de bas de page Char2 Char Char Char Char Char Char Char Char Char Char,Appel note de bas de page Char1"/>
    <w:basedOn w:val="Normal"/>
    <w:link w:val="FootnoteReference"/>
    <w:rsid w:val="001645A7"/>
    <w:pPr>
      <w:suppressAutoHyphens w:val="0"/>
      <w:spacing w:before="120" w:after="120" w:line="240" w:lineRule="auto"/>
    </w:pPr>
    <w:rPr>
      <w:sz w:val="18"/>
      <w:vertAlign w:val="superscript"/>
      <w:lang w:val="fr-FR" w:eastAsia="fr-FR"/>
    </w:rPr>
  </w:style>
  <w:style w:type="character" w:customStyle="1" w:styleId="SingleTxtGChar">
    <w:name w:val="_ Single Txt_G Char"/>
    <w:link w:val="SingleTxtG"/>
    <w:locked/>
    <w:rsid w:val="001645A7"/>
    <w:rPr>
      <w:lang w:val="en-GB" w:eastAsia="en-US"/>
    </w:rPr>
  </w:style>
  <w:style w:type="paragraph" w:styleId="Revision">
    <w:name w:val="Revision"/>
    <w:hidden/>
    <w:uiPriority w:val="99"/>
    <w:semiHidden/>
    <w:rsid w:val="000E0F97"/>
    <w:rPr>
      <w:lang w:val="en-GB" w:eastAsia="en-US"/>
    </w:rPr>
  </w:style>
  <w:style w:type="character" w:styleId="Strong">
    <w:name w:val="Strong"/>
    <w:basedOn w:val="DefaultParagraphFont"/>
    <w:uiPriority w:val="22"/>
    <w:qFormat/>
    <w:rsid w:val="00741B39"/>
    <w:rPr>
      <w:b/>
      <w:bCs/>
    </w:rPr>
  </w:style>
  <w:style w:type="paragraph" w:styleId="NormalWeb">
    <w:name w:val="Normal (Web)"/>
    <w:basedOn w:val="Normal"/>
    <w:uiPriority w:val="99"/>
    <w:semiHidden/>
    <w:unhideWhenUsed/>
    <w:rsid w:val="00AF2F0A"/>
    <w:pPr>
      <w:suppressAutoHyphens w:val="0"/>
      <w:spacing w:before="100" w:beforeAutospacing="1" w:after="100" w:afterAutospacing="1" w:line="240" w:lineRule="auto"/>
    </w:pPr>
    <w:rPr>
      <w:sz w:val="24"/>
      <w:szCs w:val="24"/>
      <w:lang w:eastAsia="en-GB"/>
    </w:rPr>
  </w:style>
  <w:style w:type="character" w:styleId="UnresolvedMention">
    <w:name w:val="Unresolved Mention"/>
    <w:basedOn w:val="DefaultParagraphFont"/>
    <w:uiPriority w:val="99"/>
    <w:semiHidden/>
    <w:unhideWhenUsed/>
    <w:rsid w:val="00A02D55"/>
    <w:rPr>
      <w:color w:val="605E5C"/>
      <w:shd w:val="clear" w:color="auto" w:fill="E1DFDD"/>
    </w:rPr>
  </w:style>
  <w:style w:type="character" w:styleId="CommentReference">
    <w:name w:val="annotation reference"/>
    <w:basedOn w:val="DefaultParagraphFont"/>
    <w:semiHidden/>
    <w:unhideWhenUsed/>
    <w:rsid w:val="00273D55"/>
    <w:rPr>
      <w:sz w:val="16"/>
      <w:szCs w:val="16"/>
    </w:rPr>
  </w:style>
  <w:style w:type="paragraph" w:styleId="CommentText">
    <w:name w:val="annotation text"/>
    <w:basedOn w:val="Normal"/>
    <w:link w:val="CommentTextChar"/>
    <w:unhideWhenUsed/>
    <w:rsid w:val="00273D55"/>
    <w:pPr>
      <w:spacing w:line="240" w:lineRule="auto"/>
    </w:pPr>
  </w:style>
  <w:style w:type="character" w:customStyle="1" w:styleId="CommentTextChar">
    <w:name w:val="Comment Text Char"/>
    <w:basedOn w:val="DefaultParagraphFont"/>
    <w:link w:val="CommentText"/>
    <w:rsid w:val="00273D55"/>
    <w:rPr>
      <w:lang w:val="en-GB" w:eastAsia="en-US"/>
    </w:rPr>
  </w:style>
  <w:style w:type="paragraph" w:styleId="CommentSubject">
    <w:name w:val="annotation subject"/>
    <w:basedOn w:val="CommentText"/>
    <w:next w:val="CommentText"/>
    <w:link w:val="CommentSubjectChar"/>
    <w:semiHidden/>
    <w:unhideWhenUsed/>
    <w:rsid w:val="00273D55"/>
    <w:rPr>
      <w:b/>
      <w:bCs/>
    </w:rPr>
  </w:style>
  <w:style w:type="character" w:customStyle="1" w:styleId="CommentSubjectChar">
    <w:name w:val="Comment Subject Char"/>
    <w:basedOn w:val="CommentTextChar"/>
    <w:link w:val="CommentSubject"/>
    <w:semiHidden/>
    <w:rsid w:val="00273D55"/>
    <w:rPr>
      <w:b/>
      <w:bCs/>
      <w:lang w:val="en-GB" w:eastAsia="en-US"/>
    </w:rPr>
  </w:style>
  <w:style w:type="character" w:customStyle="1" w:styleId="s0">
    <w:name w:val="s0"/>
    <w:basedOn w:val="DefaultParagraphFont"/>
    <w:rsid w:val="006A0921"/>
  </w:style>
  <w:style w:type="character" w:styleId="PlaceholderText">
    <w:name w:val="Placeholder Text"/>
    <w:basedOn w:val="DefaultParagraphFont"/>
    <w:uiPriority w:val="99"/>
    <w:semiHidden/>
    <w:rsid w:val="00B156B2"/>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04687486">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oter" Target="footer3.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footer3.xml.rels><?xml version="1.0" encoding="UTF-8" standalone="yes"?>
<Relationships xmlns="http://schemas.openxmlformats.org/package/2006/relationships"><Relationship Id="rId2" Type="http://schemas.openxmlformats.org/officeDocument/2006/relationships/image" Target="media/image2.gif"/><Relationship Id="rId1" Type="http://schemas.openxmlformats.org/officeDocument/2006/relationships/image" Target="media/image1.png"/></Relationships>
</file>

<file path=word/_rels/footnotes.xml.rels><?xml version="1.0" encoding="UTF-8" standalone="yes"?>
<Relationships xmlns="http://schemas.openxmlformats.org/package/2006/relationships"><Relationship Id="rId3" Type="http://schemas.openxmlformats.org/officeDocument/2006/relationships/hyperlink" Target="https://en.wikipedia.org/wiki/Kazakhstan" TargetMode="External"/><Relationship Id="rId2" Type="http://schemas.openxmlformats.org/officeDocument/2006/relationships/hyperlink" Target="https://en.wikipedia.org/wiki/Legislature" TargetMode="External"/><Relationship Id="rId1" Type="http://schemas.openxmlformats.org/officeDocument/2006/relationships/hyperlink" Target="https://en.wikipedia.org/wiki/Unicameralism" TargetMode="External"/><Relationship Id="rId5" Type="http://schemas.openxmlformats.org/officeDocument/2006/relationships/hyperlink" Target="https://tengrinews.kz/kazakhstan_news/okolo-300-kandidatov-deputatyi-maslihatov-rk-snyatyi-290595/" TargetMode="External"/><Relationship Id="rId4" Type="http://schemas.openxmlformats.org/officeDocument/2006/relationships/hyperlink" Target="https://en.wikipedia.org/wiki/Astana"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C:\UN-Docs2017\Templates\CCPR\CCPR_E.dotm" TargetMode="Externa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Chamber_2 xmlns="d0e6e1dd-cead-4b20-a8ab-6c17962cc4ab">false</Chamber_2>
    <Inadmissibility xmlns="d0e6e1dd-cead-4b20-a8ab-6c17962cc4ab">false</Inadmissibility>
    <Chamber_1 xmlns="d0e6e1dd-cead-4b20-a8ab-6c17962cc4ab">false</Chamber_1>
    <Cover_x0020_page xmlns="843519ee-602c-4a77-9f98-e0b2d1df032d">false</Cover_x0020_page>
    <Follow_x002d_up xmlns="d0e6e1dd-cead-4b20-a8ab-6c17962cc4ab">false</Follow_x002d_up>
    <Repetitive xmlns="d0e6e1dd-cead-4b20-a8ab-6c17962cc4ab">false</Repetitive>
    <Case xmlns="1bb7588e-e247-4215-aaaa-8ddb8e8e8079" xsi:nil="true"/>
    <Folder xmlns="843519ee-602c-4a77-9f98-e0b2d1df032d">Folder 2</Folder>
    <Drafts_x0020_adopted_x0020_by_x0020_the_x0020_chambers xmlns="2d113eb4-e65a-468c-82cb-a0357bc1037f">false</Drafts_x0020_adopted_x0020_by_x0020_the_x0020_chambers>
    <Admissible xmlns="2d113eb4-e65a-468c-82cb-a0357bc1037f">false</Admissible>
    <Discontinuance xmlns="d0e6e1dd-cead-4b20-a8ab-6c17962cc4ab">false</Discontinuance>
    <List_x0020_of_x0020_documents xmlns="d0e6e1dd-cead-4b20-a8ab-6c17962cc4ab">false</List_x0020_of_x0020_documents>
  </documentManagement>
</p:properties>
</file>

<file path=customXml/item2.xml><?xml version="1.0" encoding="utf-8"?>
<ct:contentTypeSchema xmlns:ct="http://schemas.microsoft.com/office/2006/metadata/contentType" xmlns:ma="http://schemas.microsoft.com/office/2006/metadata/properties/metaAttributes" ct:_="" ma:_="" ma:contentTypeName="Case document" ma:contentTypeID="0x010100A70BC505B2949A43BBFACEE4A972077000BFB2A85C4D5578468EFD8A017682D8B7" ma:contentTypeVersion="17" ma:contentTypeDescription="" ma:contentTypeScope="" ma:versionID="e4117c5df31e86bd50a20fc64f3c5582">
  <xsd:schema xmlns:xsd="http://www.w3.org/2001/XMLSchema" xmlns:xs="http://www.w3.org/2001/XMLSchema" xmlns:p="http://schemas.microsoft.com/office/2006/metadata/properties" xmlns:ns2="843519ee-602c-4a77-9f98-e0b2d1df032d" xmlns:ns3="1bb7588e-e247-4215-aaaa-8ddb8e8e8079" xmlns:ns4="d0e6e1dd-cead-4b20-a8ab-6c17962cc4ab" xmlns:ns5="2d113eb4-e65a-468c-82cb-a0357bc1037f" targetNamespace="http://schemas.microsoft.com/office/2006/metadata/properties" ma:root="true" ma:fieldsID="9c21b8c842bae9d1267c904587dc4f63" ns2:_="" ns3:_="" ns4:_="" ns5:_="">
    <xsd:import namespace="843519ee-602c-4a77-9f98-e0b2d1df032d"/>
    <xsd:import namespace="1bb7588e-e247-4215-aaaa-8ddb8e8e8079"/>
    <xsd:import namespace="d0e6e1dd-cead-4b20-a8ab-6c17962cc4ab"/>
    <xsd:import namespace="2d113eb4-e65a-468c-82cb-a0357bc1037f"/>
    <xsd:element name="properties">
      <xsd:complexType>
        <xsd:sequence>
          <xsd:element name="documentManagement">
            <xsd:complexType>
              <xsd:all>
                <xsd:element ref="ns2:Folder" minOccurs="0"/>
                <xsd:element ref="ns2:Cover_x0020_page" minOccurs="0"/>
                <xsd:element ref="ns3:Case" minOccurs="0"/>
                <xsd:element ref="ns4:Follow_x002d_up" minOccurs="0"/>
                <xsd:element ref="ns4:Inadmissibility" minOccurs="0"/>
                <xsd:element ref="ns4:Discontinuance" minOccurs="0"/>
                <xsd:element ref="ns4:List_x0020_of_x0020_documents" minOccurs="0"/>
                <xsd:element ref="ns4:Repetitive" minOccurs="0"/>
                <xsd:element ref="ns4:Chamber_1" minOccurs="0"/>
                <xsd:element ref="ns4:Chamber_2" minOccurs="0"/>
                <xsd:element ref="ns5:Drafts_x0020_adopted_x0020_by_x0020_the_x0020_chambers" minOccurs="0"/>
                <xsd:element ref="ns5:Admissibl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43519ee-602c-4a77-9f98-e0b2d1df032d" elementFormDefault="qualified">
    <xsd:import namespace="http://schemas.microsoft.com/office/2006/documentManagement/types"/>
    <xsd:import namespace="http://schemas.microsoft.com/office/infopath/2007/PartnerControls"/>
    <xsd:element name="Folder" ma:index="8" nillable="true" ma:displayName="Folder" ma:default="-" ma:description="Please select the folder, if needed" ma:format="Dropdown" ma:internalName="Folder">
      <xsd:simpleType>
        <xsd:restriction base="dms:Choice">
          <xsd:enumeration value="-"/>
          <xsd:enumeration value="Folder 1"/>
          <xsd:enumeration value="Folder 2"/>
          <xsd:enumeration value="Folder 3"/>
          <xsd:enumeration value="Folder 4"/>
          <xsd:enumeration value="Folder 5"/>
          <xsd:enumeration value="Folder 6"/>
          <xsd:enumeration value="Folder 7"/>
          <xsd:enumeration value="Folder 8"/>
          <xsd:enumeration value="Folder 9"/>
          <xsd:enumeration value="Discontinuance Report"/>
          <xsd:enumeration value="Follow Up To Views"/>
        </xsd:restriction>
      </xsd:simpleType>
    </xsd:element>
    <xsd:element name="Cover_x0020_page" ma:index="9" nillable="true" ma:displayName="Cover page" ma:default="0" ma:description="Check the box if it is a cover page folder" ma:internalName="Cover_x0020_page">
      <xsd:simpleType>
        <xsd:restriction base="dms:Boolean"/>
      </xsd:simpleType>
    </xsd:element>
  </xsd:schema>
  <xsd:schema xmlns:xsd="http://www.w3.org/2001/XMLSchema" xmlns:xs="http://www.w3.org/2001/XMLSchema" xmlns:dms="http://schemas.microsoft.com/office/2006/documentManagement/types" xmlns:pc="http://schemas.microsoft.com/office/infopath/2007/PartnerControls" targetNamespace="1bb7588e-e247-4215-aaaa-8ddb8e8e8079" elementFormDefault="qualified">
    <xsd:import namespace="http://schemas.microsoft.com/office/2006/documentManagement/types"/>
    <xsd:import namespace="http://schemas.microsoft.com/office/infopath/2007/PartnerControls"/>
    <xsd:element name="Case" ma:index="10" nillable="true" ma:displayName="Case" ma:description="Please select a case" ma:list="{544f8d53-f405-494b-9312-94ad2f3a27a5}" ma:internalName="Case" ma:showField="Title">
      <xsd:simpleType>
        <xsd:restriction base="dms:Lookup"/>
      </xsd:simpleType>
    </xsd:element>
  </xsd:schema>
  <xsd:schema xmlns:xsd="http://www.w3.org/2001/XMLSchema" xmlns:xs="http://www.w3.org/2001/XMLSchema" xmlns:dms="http://schemas.microsoft.com/office/2006/documentManagement/types" xmlns:pc="http://schemas.microsoft.com/office/infopath/2007/PartnerControls" targetNamespace="d0e6e1dd-cead-4b20-a8ab-6c17962cc4ab" elementFormDefault="qualified">
    <xsd:import namespace="http://schemas.microsoft.com/office/2006/documentManagement/types"/>
    <xsd:import namespace="http://schemas.microsoft.com/office/infopath/2007/PartnerControls"/>
    <xsd:element name="Follow_x002d_up" ma:index="11" nillable="true" ma:displayName="Follow-up" ma:default="0" ma:description="Check the box if it is a follow-up report" ma:internalName="Follow_x002d_up">
      <xsd:simpleType>
        <xsd:restriction base="dms:Boolean"/>
      </xsd:simpleType>
    </xsd:element>
    <xsd:element name="Inadmissibility" ma:index="12" nillable="true" ma:displayName="Inadmissibility" ma:default="0" ma:description="Check the box if it is Indadmissibility" ma:internalName="Inadmissibility">
      <xsd:simpleType>
        <xsd:restriction base="dms:Boolean"/>
      </xsd:simpleType>
    </xsd:element>
    <xsd:element name="Discontinuance" ma:index="13" nillable="true" ma:displayName="Discontinuance" ma:default="0" ma:description="Select the box if it is Discontinuance" ma:internalName="Discontinuance">
      <xsd:simpleType>
        <xsd:restriction base="dms:Boolean"/>
      </xsd:simpleType>
    </xsd:element>
    <xsd:element name="List_x0020_of_x0020_documents" ma:index="14" nillable="true" ma:displayName="Drafts on the merits" ma:default="0" ma:description="Select the box if it is a Draft on the merits" ma:internalName="List_x0020_of_x0020_documents">
      <xsd:simpleType>
        <xsd:restriction base="dms:Boolean"/>
      </xsd:simpleType>
    </xsd:element>
    <xsd:element name="Repetitive" ma:index="15" nillable="true" ma:displayName="Repetitive" ma:default="0" ma:description="Select the box if it is repetive" ma:internalName="Repetitive">
      <xsd:simpleType>
        <xsd:restriction base="dms:Boolean"/>
      </xsd:simpleType>
    </xsd:element>
    <xsd:element name="Chamber_1" ma:index="16" nillable="true" ma:displayName="Chamber_1" ma:default="0" ma:description="Select the box if it is Chamber 1" ma:internalName="Chamber_1">
      <xsd:simpleType>
        <xsd:restriction base="dms:Boolean"/>
      </xsd:simpleType>
    </xsd:element>
    <xsd:element name="Chamber_2" ma:index="17" nillable="true" ma:displayName="Chamber_2" ma:default="0" ma:description="Select the box if it is Chamber 2" ma:internalName="Chamber_2">
      <xsd:simpleType>
        <xsd:restriction base="dms:Boolean"/>
      </xsd:simpleType>
    </xsd:element>
  </xsd:schema>
  <xsd:schema xmlns:xsd="http://www.w3.org/2001/XMLSchema" xmlns:xs="http://www.w3.org/2001/XMLSchema" xmlns:dms="http://schemas.microsoft.com/office/2006/documentManagement/types" xmlns:pc="http://schemas.microsoft.com/office/infopath/2007/PartnerControls" targetNamespace="2d113eb4-e65a-468c-82cb-a0357bc1037f" elementFormDefault="qualified">
    <xsd:import namespace="http://schemas.microsoft.com/office/2006/documentManagement/types"/>
    <xsd:import namespace="http://schemas.microsoft.com/office/infopath/2007/PartnerControls"/>
    <xsd:element name="Drafts_x0020_adopted_x0020_by_x0020_the_x0020_chambers" ma:index="18" nillable="true" ma:displayName="Drafts adopted by the chambers" ma:default="0" ma:internalName="Drafts_x0020_adopted_x0020_by_x0020_the_x0020_chambers">
      <xsd:simpleType>
        <xsd:restriction base="dms:Boolean"/>
      </xsd:simpleType>
    </xsd:element>
    <xsd:element name="Admissible" ma:index="19" nillable="true" ma:displayName="Admissible" ma:default="0" ma:internalName="Admissibl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E6F71591-B428-4105-8B4D-912F63900492}">
  <ds:schemaRefs>
    <ds:schemaRef ds:uri="http://purl.org/dc/dcmitype/"/>
    <ds:schemaRef ds:uri="http://schemas.microsoft.com/office/infopath/2007/PartnerControls"/>
    <ds:schemaRef ds:uri="http://schemas.microsoft.com/office/2006/documentManagement/types"/>
    <ds:schemaRef ds:uri="843519ee-602c-4a77-9f98-e0b2d1df032d"/>
    <ds:schemaRef ds:uri="http://schemas.microsoft.com/office/2006/metadata/properties"/>
    <ds:schemaRef ds:uri="1bb7588e-e247-4215-aaaa-8ddb8e8e8079"/>
    <ds:schemaRef ds:uri="http://www.w3.org/XML/1998/namespace"/>
    <ds:schemaRef ds:uri="2d113eb4-e65a-468c-82cb-a0357bc1037f"/>
    <ds:schemaRef ds:uri="http://purl.org/dc/terms/"/>
    <ds:schemaRef ds:uri="http://schemas.openxmlformats.org/package/2006/metadata/core-properties"/>
    <ds:schemaRef ds:uri="d0e6e1dd-cead-4b20-a8ab-6c17962cc4ab"/>
    <ds:schemaRef ds:uri="http://purl.org/dc/elements/1.1/"/>
  </ds:schemaRefs>
</ds:datastoreItem>
</file>

<file path=customXml/itemProps2.xml><?xml version="1.0" encoding="utf-8"?>
<ds:datastoreItem xmlns:ds="http://schemas.openxmlformats.org/officeDocument/2006/customXml" ds:itemID="{D9295272-75A4-4683-9BCC-CF284AC947A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43519ee-602c-4a77-9f98-e0b2d1df032d"/>
    <ds:schemaRef ds:uri="1bb7588e-e247-4215-aaaa-8ddb8e8e8079"/>
    <ds:schemaRef ds:uri="d0e6e1dd-cead-4b20-a8ab-6c17962cc4ab"/>
    <ds:schemaRef ds:uri="2d113eb4-e65a-468c-82cb-a0357bc1037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357B3B18-08EA-48E6-8B34-11C828C3A241}">
  <ds:schemaRefs>
    <ds:schemaRef ds:uri="http://schemas.openxmlformats.org/officeDocument/2006/bibliography"/>
  </ds:schemaRefs>
</ds:datastoreItem>
</file>

<file path=customXml/itemProps4.xml><?xml version="1.0" encoding="utf-8"?>
<ds:datastoreItem xmlns:ds="http://schemas.openxmlformats.org/officeDocument/2006/customXml" ds:itemID="{6FDC90D2-544B-4D8A-B035-1ACB497DF78F}">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CCPR_E.dotm</Template>
  <TotalTime>5</TotalTime>
  <Pages>8</Pages>
  <Words>4293</Words>
  <Characters>24473</Characters>
  <DocSecurity>0</DocSecurity>
  <Lines>203</Lines>
  <Paragraphs>57</Paragraphs>
  <ScaleCrop>false</ScaleCrop>
  <HeadingPairs>
    <vt:vector size="4" baseType="variant">
      <vt:variant>
        <vt:lpstr>Title</vt:lpstr>
      </vt:variant>
      <vt:variant>
        <vt:i4>1</vt:i4>
      </vt:variant>
      <vt:variant>
        <vt:lpstr>Titre</vt:lpstr>
      </vt:variant>
      <vt:variant>
        <vt:i4>1</vt:i4>
      </vt:variant>
    </vt:vector>
  </HeadingPairs>
  <TitlesOfParts>
    <vt:vector size="2" baseType="lpstr">
      <vt:lpstr>CCPR/C/139/DR/2914/2016</vt:lpstr>
      <vt:lpstr>United Nations</vt:lpstr>
    </vt:vector>
  </TitlesOfParts>
  <LinksUpToDate>false</LinksUpToDate>
  <CharactersWithSpaces>28709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description/>
  <cp:lastPrinted>2008-01-29T11:04:00Z</cp:lastPrinted>
  <dcterms:created xsi:type="dcterms:W3CDTF">2023-12-11T17:26:00Z</dcterms:created>
  <dcterms:modified xsi:type="dcterms:W3CDTF">2023-12-11T19:38:00Z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0x010100A70BC505B2949A43BBFACEE4A972077000BFB2A85C4D5578468EFD8A017682D8B7</vt:lpwstr>
  </property>
  <property fmtid="{D5CDD505-2E9C-101B-9397-08002B2CF9AE}" pid="3" name="GrammarlyDocumentId">
    <vt:lpwstr>69cf84d31dd6ae106e11962cfdf4b2deb9747aecb115e5eb1819488f02c8d515</vt:lpwstr>
  </property>
</Properties>
</file>