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F34C8B" w:rsidRDefault="004146BA">
      <w:pPr>
        <w:shd w:val="clear" w:color="auto" w:fill="FFFFFF"/>
        <w:spacing w:before="240" w:after="0" w:line="276"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COMITÉ PARA LA ELIMINACIÓN</w:t>
      </w:r>
    </w:p>
    <w:p w14:paraId="00000002" w14:textId="77777777" w:rsidR="00F34C8B" w:rsidRDefault="004146BA">
      <w:pPr>
        <w:shd w:val="clear" w:color="auto" w:fill="FFFFFF"/>
        <w:spacing w:after="0" w:line="276" w:lineRule="auto"/>
        <w:ind w:left="720"/>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DE TODAS LAS FORMAS DE DISCRIMINACIÓN </w:t>
      </w:r>
    </w:p>
    <w:p w14:paraId="00000003" w14:textId="77777777" w:rsidR="00F34C8B" w:rsidRDefault="004146BA">
      <w:pPr>
        <w:shd w:val="clear" w:color="auto" w:fill="FFFFFF"/>
        <w:spacing w:after="0" w:line="276" w:lineRule="auto"/>
        <w:ind w:left="720"/>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CONTRA LA MUJER</w:t>
      </w:r>
    </w:p>
    <w:p w14:paraId="00000004" w14:textId="77777777" w:rsidR="00F34C8B" w:rsidRDefault="004146BA">
      <w:pPr>
        <w:shd w:val="clear" w:color="auto" w:fill="FFFFFF"/>
        <w:spacing w:after="0" w:line="276" w:lineRule="auto"/>
        <w:ind w:left="720"/>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86</w:t>
      </w:r>
      <w:r>
        <w:rPr>
          <w:rFonts w:ascii="Times New Roman" w:eastAsia="Times New Roman" w:hAnsi="Times New Roman" w:cs="Times New Roman"/>
          <w:sz w:val="24"/>
          <w:szCs w:val="24"/>
        </w:rPr>
        <w:t>°</w:t>
      </w:r>
      <w:r>
        <w:rPr>
          <w:rFonts w:ascii="Times New Roman" w:eastAsia="Times New Roman" w:hAnsi="Times New Roman" w:cs="Times New Roman"/>
          <w:b/>
          <w:sz w:val="24"/>
          <w:szCs w:val="24"/>
          <w:highlight w:val="white"/>
        </w:rPr>
        <w:t xml:space="preserve">período de sesiones </w:t>
      </w:r>
    </w:p>
    <w:p w14:paraId="00000005" w14:textId="09BECF5E" w:rsidR="00F34C8B" w:rsidRDefault="00B61903">
      <w:pPr>
        <w:shd w:val="clear" w:color="auto" w:fill="FFFFFF"/>
        <w:spacing w:before="240" w:after="240" w:line="276"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br/>
      </w:r>
      <w:r>
        <w:rPr>
          <w:rFonts w:ascii="Times New Roman" w:eastAsia="Times New Roman" w:hAnsi="Times New Roman" w:cs="Times New Roman"/>
          <w:b/>
          <w:sz w:val="24"/>
          <w:szCs w:val="24"/>
          <w:highlight w:val="white"/>
        </w:rPr>
        <w:br/>
      </w:r>
      <w:r w:rsidR="004146BA">
        <w:rPr>
          <w:rFonts w:ascii="Times New Roman" w:eastAsia="Times New Roman" w:hAnsi="Times New Roman" w:cs="Times New Roman"/>
          <w:b/>
          <w:sz w:val="24"/>
          <w:szCs w:val="24"/>
          <w:highlight w:val="white"/>
        </w:rPr>
        <w:br/>
      </w:r>
    </w:p>
    <w:p w14:paraId="00000006" w14:textId="77777777" w:rsidR="00F34C8B" w:rsidRDefault="00F34C8B">
      <w:pPr>
        <w:shd w:val="clear" w:color="auto" w:fill="FFFFFF"/>
        <w:spacing w:before="240" w:after="240" w:line="276" w:lineRule="auto"/>
        <w:jc w:val="both"/>
        <w:rPr>
          <w:rFonts w:ascii="Times New Roman" w:eastAsia="Times New Roman" w:hAnsi="Times New Roman" w:cs="Times New Roman"/>
          <w:sz w:val="24"/>
          <w:szCs w:val="24"/>
        </w:rPr>
      </w:pPr>
    </w:p>
    <w:p w14:paraId="00000007" w14:textId="77777777" w:rsidR="00F34C8B" w:rsidRDefault="004146BA">
      <w:pPr>
        <w:shd w:val="clear" w:color="auto" w:fill="FFFFFF"/>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14:paraId="00000008" w14:textId="77777777" w:rsidR="00F34C8B" w:rsidRDefault="004146BA">
      <w:pPr>
        <w:shd w:val="clear" w:color="auto" w:fill="FFFFFF"/>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14:paraId="00000009" w14:textId="2DF4178F" w:rsidR="00F34C8B" w:rsidRDefault="004146BA">
      <w:pPr>
        <w:shd w:val="clear" w:color="auto" w:fill="FFFFFF"/>
        <w:spacing w:after="0" w:line="276" w:lineRule="auto"/>
        <w:ind w:left="720"/>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PRESENTACIÓN INFORME </w:t>
      </w:r>
      <w:r w:rsidR="00F42E6D">
        <w:rPr>
          <w:rFonts w:ascii="Times New Roman" w:eastAsia="Times New Roman" w:hAnsi="Times New Roman" w:cs="Times New Roman"/>
          <w:b/>
          <w:sz w:val="24"/>
          <w:szCs w:val="24"/>
          <w:highlight w:val="white"/>
        </w:rPr>
        <w:t>ALTERNATIVO</w:t>
      </w:r>
      <w:r>
        <w:rPr>
          <w:rFonts w:ascii="Times New Roman" w:eastAsia="Times New Roman" w:hAnsi="Times New Roman" w:cs="Times New Roman"/>
          <w:b/>
          <w:sz w:val="24"/>
          <w:szCs w:val="24"/>
          <w:highlight w:val="white"/>
        </w:rPr>
        <w:t xml:space="preserve"> </w:t>
      </w:r>
    </w:p>
    <w:p w14:paraId="0000000A" w14:textId="77777777" w:rsidR="00F34C8B" w:rsidRDefault="004146BA">
      <w:pPr>
        <w:shd w:val="clear" w:color="auto" w:fill="FFFFFF"/>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0B" w14:textId="77777777" w:rsidR="00F34C8B" w:rsidRDefault="004146BA">
      <w:pPr>
        <w:shd w:val="clear" w:color="auto" w:fill="FFFFFF"/>
        <w:spacing w:after="0" w:line="276" w:lineRule="auto"/>
        <w:ind w:left="720"/>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BUFETE JURÍDICO DE</w:t>
      </w:r>
    </w:p>
    <w:p w14:paraId="0000000C" w14:textId="77777777" w:rsidR="00F34C8B" w:rsidRDefault="004146BA">
      <w:pPr>
        <w:shd w:val="clear" w:color="auto" w:fill="FFFFFF"/>
        <w:spacing w:after="0" w:line="276" w:lineRule="auto"/>
        <w:ind w:left="720"/>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DERECHOS HUMANOS</w:t>
      </w:r>
    </w:p>
    <w:p w14:paraId="0000000E" w14:textId="103474AA" w:rsidR="00F34C8B" w:rsidRDefault="004146BA">
      <w:pPr>
        <w:shd w:val="clear" w:color="auto" w:fill="FFFFFF"/>
        <w:spacing w:before="240" w:after="0" w:line="276"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br/>
      </w:r>
      <w:r>
        <w:rPr>
          <w:rFonts w:ascii="Times New Roman" w:eastAsia="Times New Roman" w:hAnsi="Times New Roman" w:cs="Times New Roman"/>
          <w:b/>
          <w:sz w:val="24"/>
          <w:szCs w:val="24"/>
          <w:highlight w:val="white"/>
        </w:rPr>
        <w:br/>
      </w:r>
      <w:r>
        <w:rPr>
          <w:rFonts w:ascii="Times New Roman" w:eastAsia="Times New Roman" w:hAnsi="Times New Roman" w:cs="Times New Roman"/>
          <w:b/>
          <w:sz w:val="24"/>
          <w:szCs w:val="24"/>
          <w:highlight w:val="white"/>
        </w:rPr>
        <w:br/>
      </w:r>
      <w:r>
        <w:rPr>
          <w:rFonts w:ascii="Times New Roman" w:eastAsia="Times New Roman" w:hAnsi="Times New Roman" w:cs="Times New Roman"/>
          <w:b/>
          <w:sz w:val="24"/>
          <w:szCs w:val="24"/>
          <w:highlight w:val="white"/>
        </w:rPr>
        <w:br/>
      </w:r>
      <w:r>
        <w:rPr>
          <w:rFonts w:ascii="Times New Roman" w:eastAsia="Times New Roman" w:hAnsi="Times New Roman" w:cs="Times New Roman"/>
          <w:b/>
          <w:sz w:val="24"/>
          <w:szCs w:val="24"/>
          <w:highlight w:val="white"/>
        </w:rPr>
        <w:br/>
      </w:r>
      <w:r>
        <w:rPr>
          <w:rFonts w:ascii="Times New Roman" w:eastAsia="Times New Roman" w:hAnsi="Times New Roman" w:cs="Times New Roman"/>
          <w:b/>
          <w:sz w:val="24"/>
          <w:szCs w:val="24"/>
          <w:highlight w:val="white"/>
        </w:rPr>
        <w:br/>
      </w:r>
      <w:r>
        <w:rPr>
          <w:rFonts w:ascii="Times New Roman" w:eastAsia="Times New Roman" w:hAnsi="Times New Roman" w:cs="Times New Roman"/>
          <w:b/>
          <w:sz w:val="24"/>
          <w:szCs w:val="24"/>
          <w:highlight w:val="white"/>
        </w:rPr>
        <w:br/>
      </w:r>
      <w:r>
        <w:rPr>
          <w:rFonts w:ascii="Times New Roman" w:eastAsia="Times New Roman" w:hAnsi="Times New Roman" w:cs="Times New Roman"/>
          <w:b/>
          <w:sz w:val="24"/>
          <w:szCs w:val="24"/>
          <w:highlight w:val="white"/>
        </w:rPr>
        <w:br/>
      </w:r>
    </w:p>
    <w:p w14:paraId="0000000F" w14:textId="77777777" w:rsidR="00F34C8B" w:rsidRDefault="004146BA">
      <w:pPr>
        <w:shd w:val="clear" w:color="auto" w:fill="FFFFFF"/>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14:paraId="00000010" w14:textId="77777777" w:rsidR="00F34C8B" w:rsidRDefault="004146BA">
      <w:pPr>
        <w:shd w:val="clear" w:color="auto" w:fill="FFFFFF"/>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11" w14:textId="77777777" w:rsidR="00F34C8B" w:rsidRDefault="004146BA">
      <w:pPr>
        <w:shd w:val="clear" w:color="auto" w:fill="FFFFFF"/>
        <w:spacing w:after="0" w:line="276" w:lineRule="auto"/>
        <w:ind w:left="720"/>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Guatemala, 11 de septiembre de 2023. </w:t>
      </w:r>
    </w:p>
    <w:p w14:paraId="00000012" w14:textId="77777777" w:rsidR="00F34C8B" w:rsidRDefault="004146BA">
      <w:pPr>
        <w:shd w:val="clear" w:color="auto" w:fill="FFFFFF"/>
        <w:spacing w:after="0" w:line="276" w:lineRule="auto"/>
        <w:ind w:left="720"/>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 </w:t>
      </w:r>
    </w:p>
    <w:p w14:paraId="00000013" w14:textId="77777777" w:rsidR="00F34C8B" w:rsidRDefault="004146BA">
      <w:pPr>
        <w:shd w:val="clear" w:color="auto" w:fill="FFFFFF"/>
        <w:spacing w:after="0" w:line="276" w:lineRule="auto"/>
        <w:ind w:left="720"/>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 xml:space="preserve"> </w:t>
      </w:r>
    </w:p>
    <w:p w14:paraId="00000014" w14:textId="77777777" w:rsidR="00F34C8B" w:rsidRDefault="004146BA">
      <w:pPr>
        <w:shd w:val="clear" w:color="auto" w:fill="FFFFFF"/>
        <w:spacing w:after="0" w:line="276" w:lineRule="auto"/>
        <w:ind w:left="720"/>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 </w:t>
      </w:r>
    </w:p>
    <w:p w14:paraId="00000015" w14:textId="77777777" w:rsidR="00F34C8B" w:rsidRDefault="004146BA">
      <w:pPr>
        <w:shd w:val="clear" w:color="auto" w:fill="FFFFFF"/>
        <w:spacing w:after="0" w:line="276" w:lineRule="auto"/>
        <w:ind w:left="720"/>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 </w:t>
      </w:r>
    </w:p>
    <w:p w14:paraId="00000016" w14:textId="77777777" w:rsidR="00F34C8B" w:rsidRDefault="004146BA">
      <w:pPr>
        <w:shd w:val="clear" w:color="auto" w:fill="FFFFFF"/>
        <w:spacing w:after="0" w:line="276"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17" w14:textId="77777777" w:rsidR="00F34C8B" w:rsidRDefault="004146BA" w:rsidP="00B93854">
      <w:pPr>
        <w:shd w:val="clear" w:color="auto" w:fill="FFFFFF"/>
        <w:spacing w:before="240" w:after="0" w:line="240" w:lineRule="auto"/>
        <w:jc w:val="center"/>
        <w:rPr>
          <w:rFonts w:ascii="Times New Roman" w:eastAsia="Times New Roman" w:hAnsi="Times New Roman" w:cs="Times New Roman"/>
          <w:b/>
          <w:sz w:val="24"/>
          <w:szCs w:val="24"/>
          <w:highlight w:val="white"/>
          <w:u w:val="single"/>
        </w:rPr>
      </w:pPr>
      <w:r>
        <w:rPr>
          <w:rFonts w:ascii="Times New Roman" w:eastAsia="Times New Roman" w:hAnsi="Times New Roman" w:cs="Times New Roman"/>
          <w:b/>
          <w:sz w:val="24"/>
          <w:szCs w:val="24"/>
          <w:highlight w:val="white"/>
          <w:u w:val="single"/>
        </w:rPr>
        <w:t>Institución responsable:</w:t>
      </w:r>
    </w:p>
    <w:p w14:paraId="00000018" w14:textId="77777777" w:rsidR="00F34C8B" w:rsidRDefault="004146BA" w:rsidP="00B93854">
      <w:pPr>
        <w:shd w:val="clear" w:color="auto" w:fill="FFFFFF"/>
        <w:spacing w:before="240" w:after="0" w:line="24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Asociación Bufete Jurídico de Derechos Humanos.</w:t>
      </w:r>
    </w:p>
    <w:p w14:paraId="3DB035E2" w14:textId="77777777" w:rsidR="00B93854" w:rsidRDefault="004146BA" w:rsidP="00B93854">
      <w:pPr>
        <w:shd w:val="clear" w:color="auto" w:fill="FFFFFF"/>
        <w:spacing w:before="240" w:after="0" w:line="240" w:lineRule="auto"/>
        <w:jc w:val="center"/>
        <w:rPr>
          <w:rFonts w:ascii="Times New Roman" w:eastAsia="Times New Roman" w:hAnsi="Times New Roman" w:cs="Times New Roman"/>
          <w:b/>
          <w:sz w:val="24"/>
          <w:szCs w:val="24"/>
          <w:highlight w:val="white"/>
          <w:u w:val="single"/>
        </w:rPr>
      </w:pPr>
      <w:r>
        <w:rPr>
          <w:rFonts w:ascii="Times New Roman" w:eastAsia="Times New Roman" w:hAnsi="Times New Roman" w:cs="Times New Roman"/>
          <w:b/>
          <w:sz w:val="24"/>
          <w:szCs w:val="24"/>
          <w:highlight w:val="white"/>
          <w:u w:val="single"/>
        </w:rPr>
        <w:t>Redacción:</w:t>
      </w:r>
    </w:p>
    <w:p w14:paraId="5E6D43F0" w14:textId="77777777" w:rsidR="00B93854" w:rsidRDefault="004146BA" w:rsidP="00B93854">
      <w:pPr>
        <w:shd w:val="clear" w:color="auto" w:fill="FFFFFF"/>
        <w:spacing w:before="240" w:after="0" w:line="240" w:lineRule="auto"/>
        <w:jc w:val="center"/>
        <w:rPr>
          <w:rFonts w:ascii="Times New Roman" w:eastAsia="Times New Roman" w:hAnsi="Times New Roman" w:cs="Times New Roman"/>
          <w:b/>
          <w:sz w:val="24"/>
          <w:szCs w:val="24"/>
          <w:highlight w:val="white"/>
          <w:u w:val="single"/>
        </w:rPr>
      </w:pPr>
      <w:r>
        <w:rPr>
          <w:rFonts w:ascii="Times New Roman" w:eastAsia="Times New Roman" w:hAnsi="Times New Roman" w:cs="Times New Roman"/>
          <w:sz w:val="24"/>
          <w:szCs w:val="24"/>
          <w:highlight w:val="white"/>
        </w:rPr>
        <w:t xml:space="preserve">Abogadas: Diana Elizabeth Méndez Vivar, Juanita </w:t>
      </w:r>
      <w:proofErr w:type="spellStart"/>
      <w:r>
        <w:rPr>
          <w:rFonts w:ascii="Times New Roman" w:eastAsia="Times New Roman" w:hAnsi="Times New Roman" w:cs="Times New Roman"/>
          <w:sz w:val="24"/>
          <w:szCs w:val="24"/>
          <w:highlight w:val="white"/>
        </w:rPr>
        <w:t>Licely</w:t>
      </w:r>
      <w:proofErr w:type="spellEnd"/>
      <w:r>
        <w:rPr>
          <w:rFonts w:ascii="Times New Roman" w:eastAsia="Times New Roman" w:hAnsi="Times New Roman" w:cs="Times New Roman"/>
          <w:sz w:val="24"/>
          <w:szCs w:val="24"/>
          <w:highlight w:val="white"/>
        </w:rPr>
        <w:t xml:space="preserve"> Pérez Diego y Glenda Fabiola Rodríguez Chávez.</w:t>
      </w:r>
    </w:p>
    <w:p w14:paraId="0000001B" w14:textId="6330B3C4" w:rsidR="00F34C8B" w:rsidRPr="00B93854" w:rsidRDefault="004146BA" w:rsidP="00B93854">
      <w:pPr>
        <w:shd w:val="clear" w:color="auto" w:fill="FFFFFF"/>
        <w:spacing w:before="240" w:after="0" w:line="240" w:lineRule="auto"/>
        <w:jc w:val="center"/>
        <w:rPr>
          <w:rFonts w:ascii="Times New Roman" w:eastAsia="Times New Roman" w:hAnsi="Times New Roman" w:cs="Times New Roman"/>
          <w:b/>
          <w:sz w:val="24"/>
          <w:szCs w:val="24"/>
          <w:highlight w:val="white"/>
          <w:u w:val="single"/>
        </w:rPr>
      </w:pPr>
      <w:r>
        <w:rPr>
          <w:rFonts w:ascii="Times New Roman" w:eastAsia="Times New Roman" w:hAnsi="Times New Roman" w:cs="Times New Roman"/>
          <w:b/>
          <w:sz w:val="24"/>
          <w:szCs w:val="24"/>
          <w:highlight w:val="white"/>
          <w:u w:val="single"/>
        </w:rPr>
        <w:t>Aportes y revisión:</w:t>
      </w:r>
    </w:p>
    <w:p w14:paraId="0000001C" w14:textId="77777777" w:rsidR="00F34C8B" w:rsidRDefault="004146BA" w:rsidP="00B93854">
      <w:pPr>
        <w:shd w:val="clear" w:color="auto" w:fill="FFFFFF"/>
        <w:spacing w:after="0" w:line="240" w:lineRule="auto"/>
        <w:ind w:left="720"/>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Coordinadora: Wendy </w:t>
      </w:r>
      <w:proofErr w:type="spellStart"/>
      <w:r>
        <w:rPr>
          <w:rFonts w:ascii="Times New Roman" w:eastAsia="Times New Roman" w:hAnsi="Times New Roman" w:cs="Times New Roman"/>
          <w:sz w:val="24"/>
          <w:szCs w:val="24"/>
          <w:highlight w:val="white"/>
        </w:rPr>
        <w:t>Johara</w:t>
      </w:r>
      <w:proofErr w:type="spellEnd"/>
      <w:r>
        <w:rPr>
          <w:rFonts w:ascii="Times New Roman" w:eastAsia="Times New Roman" w:hAnsi="Times New Roman" w:cs="Times New Roman"/>
          <w:sz w:val="24"/>
          <w:szCs w:val="24"/>
          <w:highlight w:val="white"/>
        </w:rPr>
        <w:t xml:space="preserve"> Maldonado Urbina.</w:t>
      </w:r>
    </w:p>
    <w:p w14:paraId="0000001D" w14:textId="77777777" w:rsidR="00F34C8B" w:rsidRDefault="004146BA" w:rsidP="00B93854">
      <w:pPr>
        <w:shd w:val="clear" w:color="auto" w:fill="FFFFFF"/>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br/>
      </w:r>
      <w:r>
        <w:rPr>
          <w:rFonts w:ascii="Times New Roman" w:eastAsia="Times New Roman" w:hAnsi="Times New Roman" w:cs="Times New Roman"/>
          <w:sz w:val="24"/>
          <w:szCs w:val="24"/>
          <w:highlight w:val="white"/>
        </w:rPr>
        <w:br/>
      </w:r>
      <w:r>
        <w:rPr>
          <w:rFonts w:ascii="Times New Roman" w:eastAsia="Times New Roman" w:hAnsi="Times New Roman" w:cs="Times New Roman"/>
          <w:sz w:val="24"/>
          <w:szCs w:val="24"/>
          <w:highlight w:val="white"/>
        </w:rPr>
        <w:br/>
      </w:r>
      <w:r>
        <w:rPr>
          <w:rFonts w:ascii="Times New Roman" w:eastAsia="Times New Roman" w:hAnsi="Times New Roman" w:cs="Times New Roman"/>
          <w:sz w:val="24"/>
          <w:szCs w:val="24"/>
          <w:highlight w:val="white"/>
        </w:rPr>
        <w:br/>
      </w:r>
      <w:r>
        <w:rPr>
          <w:rFonts w:ascii="Times New Roman" w:eastAsia="Times New Roman" w:hAnsi="Times New Roman" w:cs="Times New Roman"/>
          <w:sz w:val="24"/>
          <w:szCs w:val="24"/>
          <w:highlight w:val="white"/>
        </w:rPr>
        <w:br/>
      </w:r>
      <w:r>
        <w:rPr>
          <w:rFonts w:ascii="Times New Roman" w:eastAsia="Times New Roman" w:hAnsi="Times New Roman" w:cs="Times New Roman"/>
          <w:sz w:val="24"/>
          <w:szCs w:val="24"/>
          <w:highlight w:val="white"/>
        </w:rPr>
        <w:br/>
      </w:r>
      <w:r>
        <w:rPr>
          <w:rFonts w:ascii="Times New Roman" w:eastAsia="Times New Roman" w:hAnsi="Times New Roman" w:cs="Times New Roman"/>
          <w:sz w:val="24"/>
          <w:szCs w:val="24"/>
          <w:highlight w:val="white"/>
        </w:rPr>
        <w:br/>
      </w:r>
    </w:p>
    <w:p w14:paraId="0000001E" w14:textId="77777777" w:rsidR="00F34C8B" w:rsidRDefault="004146BA">
      <w:pPr>
        <w:shd w:val="clear" w:color="auto" w:fill="FFFFFF"/>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1F" w14:textId="77777777" w:rsidR="00F34C8B" w:rsidRDefault="004146BA">
      <w:pPr>
        <w:shd w:val="clear" w:color="auto" w:fill="FFFFFF"/>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9B37F0C" w14:textId="77777777" w:rsidR="00B93854" w:rsidRDefault="004146BA">
      <w:pPr>
        <w:shd w:val="clear" w:color="auto" w:fill="FFFFFF"/>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14:paraId="1EA5A7BF" w14:textId="77777777" w:rsidR="00B93854" w:rsidRDefault="00B93854">
      <w:pPr>
        <w:shd w:val="clear" w:color="auto" w:fill="FFFFFF"/>
        <w:spacing w:before="240" w:after="240" w:line="276" w:lineRule="auto"/>
        <w:jc w:val="both"/>
        <w:rPr>
          <w:rFonts w:ascii="Times New Roman" w:eastAsia="Times New Roman" w:hAnsi="Times New Roman" w:cs="Times New Roman"/>
          <w:sz w:val="24"/>
          <w:szCs w:val="24"/>
        </w:rPr>
      </w:pPr>
    </w:p>
    <w:p w14:paraId="13109DEE" w14:textId="77777777" w:rsidR="00B93854" w:rsidRDefault="00B93854">
      <w:pPr>
        <w:shd w:val="clear" w:color="auto" w:fill="FFFFFF"/>
        <w:spacing w:before="240" w:after="240" w:line="276" w:lineRule="auto"/>
        <w:jc w:val="both"/>
        <w:rPr>
          <w:rFonts w:ascii="Times New Roman" w:eastAsia="Times New Roman" w:hAnsi="Times New Roman" w:cs="Times New Roman"/>
          <w:sz w:val="24"/>
          <w:szCs w:val="24"/>
        </w:rPr>
      </w:pPr>
    </w:p>
    <w:p w14:paraId="00000020" w14:textId="54210D86" w:rsidR="00F34C8B" w:rsidRDefault="004146BA" w:rsidP="00B61903">
      <w:pPr>
        <w:shd w:val="clear" w:color="auto" w:fill="FFFFFF"/>
        <w:spacing w:before="240" w:after="240" w:line="276"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14:paraId="00000021" w14:textId="77777777" w:rsidR="00F34C8B" w:rsidRDefault="004146BA" w:rsidP="00B61903">
      <w:pPr>
        <w:shd w:val="clear" w:color="auto" w:fill="FFFFFF"/>
        <w:spacing w:before="240" w:after="0" w:line="276" w:lineRule="auto"/>
        <w:jc w:val="right"/>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 xml:space="preserve">Nota: </w:t>
      </w:r>
      <w:r>
        <w:rPr>
          <w:rFonts w:ascii="Times New Roman" w:eastAsia="Times New Roman" w:hAnsi="Times New Roman" w:cs="Times New Roman"/>
          <w:sz w:val="24"/>
          <w:szCs w:val="24"/>
          <w:highlight w:val="white"/>
        </w:rPr>
        <w:t xml:space="preserve">Este </w:t>
      </w:r>
      <w:r>
        <w:rPr>
          <w:rFonts w:ascii="Times New Roman" w:eastAsia="Times New Roman" w:hAnsi="Times New Roman" w:cs="Times New Roman"/>
          <w:color w:val="222222"/>
          <w:sz w:val="24"/>
          <w:szCs w:val="24"/>
          <w:highlight w:val="white"/>
        </w:rPr>
        <w:t xml:space="preserve">informe elaborado por el BDH es una herramienta de seguimiento y vigilancia del cumplimiento de la Convención por parte del Estado de Guatemala. </w:t>
      </w:r>
      <w:r>
        <w:rPr>
          <w:rFonts w:ascii="Times New Roman" w:eastAsia="Times New Roman" w:hAnsi="Times New Roman" w:cs="Times New Roman"/>
          <w:sz w:val="24"/>
          <w:szCs w:val="24"/>
        </w:rPr>
        <w:t xml:space="preserve"> </w:t>
      </w:r>
    </w:p>
    <w:p w14:paraId="00000022" w14:textId="7B5B6CEB" w:rsidR="00F34C8B" w:rsidRPr="00F2185D" w:rsidRDefault="004146BA" w:rsidP="00F2185D">
      <w:pPr>
        <w:pStyle w:val="Prrafodelista"/>
        <w:numPr>
          <w:ilvl w:val="0"/>
          <w:numId w:val="9"/>
        </w:numPr>
        <w:shd w:val="clear" w:color="auto" w:fill="FFFFFF"/>
        <w:spacing w:before="240" w:after="240" w:line="276" w:lineRule="auto"/>
        <w:jc w:val="both"/>
        <w:rPr>
          <w:rFonts w:ascii="Times New Roman" w:eastAsia="Times New Roman" w:hAnsi="Times New Roman" w:cs="Times New Roman"/>
          <w:b/>
          <w:sz w:val="24"/>
          <w:szCs w:val="24"/>
          <w:highlight w:val="white"/>
        </w:rPr>
      </w:pPr>
      <w:r w:rsidRPr="00F2185D">
        <w:rPr>
          <w:rFonts w:ascii="Times New Roman" w:eastAsia="Times New Roman" w:hAnsi="Times New Roman" w:cs="Times New Roman"/>
          <w:b/>
          <w:sz w:val="24"/>
          <w:szCs w:val="24"/>
          <w:highlight w:val="white"/>
        </w:rPr>
        <w:lastRenderedPageBreak/>
        <w:t>PRESENTACIÓN</w:t>
      </w:r>
    </w:p>
    <w:p w14:paraId="00000023" w14:textId="77777777" w:rsidR="00F34C8B" w:rsidRDefault="004146BA">
      <w:pPr>
        <w:shd w:val="clear" w:color="auto" w:fill="FFFFFF"/>
        <w:spacing w:before="240"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El Bufete Jurídico de Derechos Humanos (BDH), pone a consideración del Comité para la eliminación de todas las formas de discriminación contra la mujer CEDAW, el presente informe sombra. </w:t>
      </w:r>
    </w:p>
    <w:p w14:paraId="00000024" w14:textId="12D9F452" w:rsidR="00F34C8B" w:rsidRDefault="004146BA">
      <w:pPr>
        <w:shd w:val="clear" w:color="auto" w:fill="FFFFFF"/>
        <w:spacing w:before="240"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El BDH es una asociación </w:t>
      </w:r>
      <w:r w:rsidR="000B615B">
        <w:rPr>
          <w:rFonts w:ascii="Times New Roman" w:eastAsia="Times New Roman" w:hAnsi="Times New Roman" w:cs="Times New Roman"/>
          <w:sz w:val="24"/>
          <w:szCs w:val="24"/>
          <w:highlight w:val="white"/>
        </w:rPr>
        <w:t>que,</w:t>
      </w:r>
      <w:r>
        <w:rPr>
          <w:rFonts w:ascii="Times New Roman" w:eastAsia="Times New Roman" w:hAnsi="Times New Roman" w:cs="Times New Roman"/>
          <w:sz w:val="24"/>
          <w:szCs w:val="24"/>
          <w:highlight w:val="white"/>
        </w:rPr>
        <w:t xml:space="preserve"> e</w:t>
      </w:r>
      <w:r w:rsidR="001F5C2B">
        <w:rPr>
          <w:rFonts w:ascii="Times New Roman" w:eastAsia="Times New Roman" w:hAnsi="Times New Roman" w:cs="Times New Roman"/>
          <w:sz w:val="24"/>
          <w:szCs w:val="24"/>
          <w:highlight w:val="white"/>
        </w:rPr>
        <w:t>ntre el desarrollo de sus fines</w:t>
      </w:r>
      <w:bookmarkStart w:id="0" w:name="_GoBack"/>
      <w:bookmarkEnd w:id="0"/>
      <w:r>
        <w:rPr>
          <w:rFonts w:ascii="Times New Roman" w:eastAsia="Times New Roman" w:hAnsi="Times New Roman" w:cs="Times New Roman"/>
          <w:sz w:val="24"/>
          <w:szCs w:val="24"/>
          <w:highlight w:val="white"/>
        </w:rPr>
        <w:t xml:space="preserve"> tiene el brindar apoyo legal a víctimas de graves violaciones a los DDHH. En ese marco, asume casos de violencia contra la mujer, en los que busca promover e incidir en la protección, reparación y/o reivindicación de derechos vulnerados desde la perspectiva de género en el desarrollo y resolución de procesos penales de violencia de género, lo cual se realiza a partir del litigio estratégico por profesionales que litigan bajo los principios de buena fe, lealtad procesal y las buenas prácticas. </w:t>
      </w:r>
    </w:p>
    <w:p w14:paraId="00000025" w14:textId="77777777" w:rsidR="00F34C8B" w:rsidRDefault="004146BA">
      <w:pPr>
        <w:numPr>
          <w:ilvl w:val="0"/>
          <w:numId w:val="1"/>
        </w:numPr>
        <w:shd w:val="clear" w:color="auto" w:fill="FFFFFF"/>
        <w:spacing w:before="240" w:after="240" w:line="276" w:lineRule="auto"/>
        <w:jc w:val="both"/>
        <w:rPr>
          <w:rFonts w:ascii="Arial" w:eastAsia="Arial" w:hAnsi="Arial" w:cs="Arial"/>
          <w:sz w:val="24"/>
          <w:szCs w:val="24"/>
        </w:rPr>
      </w:pPr>
      <w:r>
        <w:rPr>
          <w:rFonts w:ascii="Times New Roman" w:eastAsia="Times New Roman" w:hAnsi="Times New Roman" w:cs="Times New Roman"/>
          <w:b/>
          <w:sz w:val="24"/>
          <w:szCs w:val="24"/>
          <w:highlight w:val="white"/>
        </w:rPr>
        <w:t xml:space="preserve">RESUMEN EJECUTIVO. </w:t>
      </w:r>
    </w:p>
    <w:p w14:paraId="00000026" w14:textId="77777777" w:rsidR="00F34C8B" w:rsidRDefault="004146BA">
      <w:pPr>
        <w:shd w:val="clear" w:color="auto" w:fill="FFFFFF"/>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Dentro del sistema de justicia guatemalteco la interpretación de los parámetros de protección de los derechos de las mujeres es restrictiva. Los operadores de justicia, para investigar y juzgar los actos de violencia y discriminación en contra de las mujeres, no observan los estándares nacionales e internacionales, continúan con la </w:t>
      </w:r>
      <w:proofErr w:type="spellStart"/>
      <w:r>
        <w:rPr>
          <w:rFonts w:ascii="Times New Roman" w:eastAsia="Times New Roman" w:hAnsi="Times New Roman" w:cs="Times New Roman"/>
          <w:sz w:val="24"/>
          <w:szCs w:val="24"/>
          <w:highlight w:val="white"/>
        </w:rPr>
        <w:t>invisibilización</w:t>
      </w:r>
      <w:proofErr w:type="spellEnd"/>
      <w:r>
        <w:rPr>
          <w:rFonts w:ascii="Times New Roman" w:eastAsia="Times New Roman" w:hAnsi="Times New Roman" w:cs="Times New Roman"/>
          <w:sz w:val="24"/>
          <w:szCs w:val="24"/>
          <w:highlight w:val="white"/>
        </w:rPr>
        <w:t xml:space="preserve"> de las víctimas mujeres alrededor de los crímenes cometidos, trayendo consigo impunidad. </w:t>
      </w:r>
    </w:p>
    <w:p w14:paraId="00000027" w14:textId="77777777" w:rsidR="00F34C8B" w:rsidRDefault="004146BA">
      <w:pPr>
        <w:shd w:val="clear" w:color="auto" w:fill="FFFFFF"/>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Preocupa que el Estado siga sin adaptar el concepto de discriminación y violencia contra la mujer establecida en la propia CEDAW y que continúe aplicando de forma restrictiva e </w:t>
      </w:r>
      <w:proofErr w:type="spellStart"/>
      <w:r>
        <w:rPr>
          <w:rFonts w:ascii="Times New Roman" w:eastAsia="Times New Roman" w:hAnsi="Times New Roman" w:cs="Times New Roman"/>
          <w:sz w:val="24"/>
          <w:szCs w:val="24"/>
          <w:highlight w:val="white"/>
        </w:rPr>
        <w:t>invisivilizando</w:t>
      </w:r>
      <w:proofErr w:type="spellEnd"/>
      <w:r>
        <w:rPr>
          <w:rFonts w:ascii="Times New Roman" w:eastAsia="Times New Roman" w:hAnsi="Times New Roman" w:cs="Times New Roman"/>
          <w:sz w:val="24"/>
          <w:szCs w:val="24"/>
          <w:highlight w:val="white"/>
        </w:rPr>
        <w:t xml:space="preserve"> acciones constitutivas de violencia contra la mujer en distintos ámbitos y esferas. Aún más preocupante, son algunas prácticas de los operadores de justicia que justifican la violencia basados en ciertos estereotipos y prácticas sociales y culturales, creando una respuesta de victimización secundaria. </w:t>
      </w:r>
    </w:p>
    <w:p w14:paraId="00000028" w14:textId="77777777" w:rsidR="00F34C8B" w:rsidRDefault="004146BA">
      <w:pPr>
        <w:shd w:val="clear" w:color="auto" w:fill="FFFFFF"/>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Durante el periodo que cubre este informe se evidencia la debilidad de las instituciones claves en el acceso a la justicia, como son las Fiscalías Especializadas del Ministerio Público y los juzgados especializados, existiendo falencias en cuanto a la observancia de la Convención, especialmente sobre la implementación de medidas políticas y judiciales que sean eficaces para eliminar la discriminación y garanticen la Igualdad de las mujeres ante la ley (Art. 2 y 15). </w:t>
      </w:r>
    </w:p>
    <w:p w14:paraId="00000029" w14:textId="77777777" w:rsidR="00F34C8B" w:rsidRDefault="004146BA">
      <w:pPr>
        <w:shd w:val="clear" w:color="auto" w:fill="FFFFFF"/>
        <w:spacing w:before="240"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Desde el acompañamiento que el BDH da a casos de violencia contra la mujer o que la lleva implícita, se presentan algunos hallazgos de denegación de justicia. Este informe se basa en los expedientes judiciales que acompaña el BDH y que de alguna manera reflejan la violencia de género y la falta de observancia de estándares internacionales y nacionales. </w:t>
      </w:r>
    </w:p>
    <w:p w14:paraId="0000002A" w14:textId="77777777" w:rsidR="00F34C8B" w:rsidRDefault="004146BA">
      <w:pPr>
        <w:shd w:val="clear" w:color="auto" w:fill="FFFFFF"/>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2B" w14:textId="77777777" w:rsidR="00F34C8B" w:rsidRDefault="004146BA">
      <w:pPr>
        <w:numPr>
          <w:ilvl w:val="0"/>
          <w:numId w:val="2"/>
        </w:numPr>
        <w:shd w:val="clear" w:color="auto" w:fill="FFFFFF"/>
        <w:spacing w:before="240" w:after="240" w:line="276" w:lineRule="auto"/>
        <w:jc w:val="both"/>
        <w:rPr>
          <w:rFonts w:ascii="Arial" w:eastAsia="Arial" w:hAnsi="Arial" w:cs="Arial"/>
          <w:sz w:val="24"/>
          <w:szCs w:val="24"/>
        </w:rPr>
      </w:pPr>
      <w:r>
        <w:rPr>
          <w:rFonts w:ascii="Times New Roman" w:eastAsia="Times New Roman" w:hAnsi="Times New Roman" w:cs="Times New Roman"/>
          <w:b/>
          <w:sz w:val="24"/>
          <w:szCs w:val="24"/>
          <w:highlight w:val="white"/>
        </w:rPr>
        <w:lastRenderedPageBreak/>
        <w:t>SOBRE EL CONTEXTO DE GUATEMALA A CONSIDERAR:</w:t>
      </w:r>
    </w:p>
    <w:p w14:paraId="0000002C" w14:textId="77777777" w:rsidR="00F34C8B" w:rsidRDefault="004146BA">
      <w:pPr>
        <w:shd w:val="clear" w:color="auto" w:fill="FFFFFF"/>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En cumplimiento de su función de órgano supervisor, el Comité CEDAW con relación al acceso de las mujeres a la justicia, ha emitido una serie de recomendaciones al Estado de Guatemala, no obstante, el incumplimiento de estas en el actual contexto continúa.</w:t>
      </w:r>
      <w:r>
        <w:rPr>
          <w:rFonts w:ascii="Times New Roman" w:eastAsia="Times New Roman" w:hAnsi="Times New Roman" w:cs="Times New Roman"/>
          <w:sz w:val="24"/>
          <w:szCs w:val="24"/>
        </w:rPr>
        <w:t xml:space="preserve"> </w:t>
      </w:r>
    </w:p>
    <w:p w14:paraId="0000002D" w14:textId="77777777" w:rsidR="00F34C8B" w:rsidRDefault="004146BA">
      <w:pPr>
        <w:shd w:val="clear" w:color="auto" w:fill="FFFFFF"/>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Durante el 2021 el Ministerio Público, recibió 59 mil 534 denuncias por todo tipo de violencia contra la mujer, ese mismo año fueron desestimadas 55,010 lo que representa un 80% de las denuncias recibidas, de acuerdo con información que recopiló el CIEN. </w:t>
      </w:r>
    </w:p>
    <w:p w14:paraId="0000002E" w14:textId="77777777" w:rsidR="00F34C8B" w:rsidRDefault="004146BA">
      <w:pPr>
        <w:shd w:val="clear" w:color="auto" w:fill="FFFFFF"/>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el año 2019, la Procuraduría de los Derechos Humanos de Guatemala, informó al Comité CEDAW que: “La débil formación de las y los operadores de justicia en materia de derechos humanos de las mujeres y en justicia especializada, es un problema estructural; la Defensoría de la Mujer de la PDH, a través de la atención que ha brindado a mujeres víctimas de violencia contra la mujer, ha identificado falencias en la recepción de las denuncias y construcción de expedientes de investigación relativas a las mismas, por ejemplo ha conocido casos de mujeres que en el MP, son registrados como faltas a las personas, discriminación o violencia intrafamiliar, cuando el hecho denunciado es violencia contra la mujer. La Defensoría de la Mujer también ha conocido casos de mujeres a quienes se les ha negado la toma de sus denuncias por violencia contra la mujer cuando no presentan rasgos visibles de violencia física y cuando la violencia que viven es en contexto laboral. </w:t>
      </w:r>
    </w:p>
    <w:p w14:paraId="0000002F" w14:textId="4701A8C3" w:rsidR="00F34C8B" w:rsidRPr="00F2185D" w:rsidRDefault="004146BA" w:rsidP="00F2185D">
      <w:pPr>
        <w:pStyle w:val="Prrafodelista"/>
        <w:numPr>
          <w:ilvl w:val="0"/>
          <w:numId w:val="2"/>
        </w:numPr>
        <w:shd w:val="clear" w:color="auto" w:fill="FFFFFF"/>
        <w:spacing w:before="240" w:after="0" w:line="276" w:lineRule="auto"/>
        <w:jc w:val="both"/>
        <w:rPr>
          <w:rFonts w:ascii="Times New Roman" w:eastAsia="Times New Roman" w:hAnsi="Times New Roman" w:cs="Times New Roman"/>
          <w:b/>
          <w:sz w:val="24"/>
          <w:szCs w:val="24"/>
        </w:rPr>
      </w:pPr>
      <w:r w:rsidRPr="00F2185D">
        <w:rPr>
          <w:rFonts w:ascii="Times New Roman" w:eastAsia="Times New Roman" w:hAnsi="Times New Roman" w:cs="Times New Roman"/>
          <w:b/>
          <w:sz w:val="24"/>
          <w:szCs w:val="24"/>
        </w:rPr>
        <w:t xml:space="preserve">Artículo 2: Medidas políticas que deben tomarse para eliminar la discriminación: </w:t>
      </w:r>
    </w:p>
    <w:p w14:paraId="00000030" w14:textId="77777777" w:rsidR="00F34C8B" w:rsidRDefault="004146BA">
      <w:pPr>
        <w:shd w:val="clear" w:color="auto" w:fill="FFFFFF"/>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Estado ha hecho cambios legales, sin embargo, estos en la práctica no incluyen aspectos procesales y sustantivos en relación al acceso a la justicia por parte de las víctimas, se ha hecho más latente la inacción legal o acciones inapropiadas por parte de los funcionarios, sobre todo, cuando se trata del delito de violación sexual, existiendo falencias en la promoción de una debida diligencia reforzada con perspectiva de género, afectando el acceso a la justicia de las víctimas. </w:t>
      </w:r>
    </w:p>
    <w:p w14:paraId="00000031" w14:textId="77777777" w:rsidR="00F34C8B" w:rsidRDefault="004146BA">
      <w:pPr>
        <w:shd w:val="clear" w:color="auto" w:fill="FFFFFF"/>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el proceso judicial No. 05030-2022-00095, en el que “D” figura como víctima de violación sexual, ha sido ella quien desde el primer momento instó la promoción de las líneas de investigación y proporcionó elementos de convicción, no solo para ligar a proceso al agresor, sino con el objetivo de la búsqueda de la verdad y acceder a la justicia, </w:t>
      </w:r>
      <w:r>
        <w:rPr>
          <w:rFonts w:ascii="Times New Roman" w:eastAsia="Times New Roman" w:hAnsi="Times New Roman" w:cs="Times New Roman"/>
          <w:b/>
          <w:sz w:val="24"/>
          <w:szCs w:val="24"/>
        </w:rPr>
        <w:t>volviéndose el proceso en una suerte de instancia particular</w:t>
      </w:r>
      <w:r>
        <w:rPr>
          <w:rFonts w:ascii="Times New Roman" w:eastAsia="Times New Roman" w:hAnsi="Times New Roman" w:cs="Times New Roman"/>
          <w:sz w:val="24"/>
          <w:szCs w:val="24"/>
        </w:rPr>
        <w:t xml:space="preserve">, siendo que por la naturaleza del tipo penal de violación, debería conocerse por el ente investigador de forma integral, oficiosa y con la debida diligencia reforzada. Además, el ente investigador, se negaba a profundizar en el elemento de consentimiento de la víctima y en el grado de inconsciencia en que ésta se encontraba al momento del hecho, tampoco desarrolla la </w:t>
      </w:r>
      <w:r>
        <w:rPr>
          <w:rFonts w:ascii="Times New Roman" w:eastAsia="Times New Roman" w:hAnsi="Times New Roman" w:cs="Times New Roman"/>
          <w:sz w:val="24"/>
          <w:szCs w:val="24"/>
        </w:rPr>
        <w:lastRenderedPageBreak/>
        <w:t xml:space="preserve">definición amplia de violación sexual, ya que indicaba que si no existen rasgos de violencia física, no existe violación sexual, pretendiendo con estos argumento cerrar el proceso, señalando expresamente a las abogadas del caso que este no había sido archivado porque ellas insistían en realizar varias diligencias de investigación. </w:t>
      </w:r>
    </w:p>
    <w:p w14:paraId="00000032" w14:textId="77777777" w:rsidR="00F34C8B" w:rsidRDefault="004146BA">
      <w:pPr>
        <w:shd w:val="clear" w:color="auto" w:fill="FFFFFF"/>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Otro aspecto importante es la falta de debida diligencia en la aplicación de los protocolos para toma de declaración testimonial de forma efectiva y no </w:t>
      </w:r>
      <w:proofErr w:type="spellStart"/>
      <w:r>
        <w:rPr>
          <w:rFonts w:ascii="Times New Roman" w:eastAsia="Times New Roman" w:hAnsi="Times New Roman" w:cs="Times New Roman"/>
          <w:sz w:val="24"/>
          <w:szCs w:val="24"/>
        </w:rPr>
        <w:t>revictimización</w:t>
      </w:r>
      <w:proofErr w:type="spellEnd"/>
      <w:r>
        <w:rPr>
          <w:rFonts w:ascii="Times New Roman" w:eastAsia="Times New Roman" w:hAnsi="Times New Roman" w:cs="Times New Roman"/>
          <w:sz w:val="24"/>
          <w:szCs w:val="24"/>
        </w:rPr>
        <w:t xml:space="preserve">, así como, la falta de implementación de un enfoque </w:t>
      </w:r>
      <w:proofErr w:type="spellStart"/>
      <w:r>
        <w:rPr>
          <w:rFonts w:ascii="Times New Roman" w:eastAsia="Times New Roman" w:hAnsi="Times New Roman" w:cs="Times New Roman"/>
          <w:sz w:val="24"/>
          <w:szCs w:val="24"/>
        </w:rPr>
        <w:t>interseccional</w:t>
      </w:r>
      <w:proofErr w:type="spellEnd"/>
      <w:r>
        <w:rPr>
          <w:rFonts w:ascii="Times New Roman" w:eastAsia="Times New Roman" w:hAnsi="Times New Roman" w:cs="Times New Roman"/>
          <w:sz w:val="24"/>
          <w:szCs w:val="24"/>
        </w:rPr>
        <w:t xml:space="preserve"> sobre la promoción de</w:t>
      </w:r>
      <w:r>
        <w:rPr>
          <w:rFonts w:ascii="Times New Roman" w:eastAsia="Times New Roman" w:hAnsi="Times New Roman" w:cs="Times New Roman"/>
          <w:b/>
          <w:sz w:val="24"/>
          <w:szCs w:val="24"/>
        </w:rPr>
        <w:t xml:space="preserve"> acceso a la justicia por parte de operadores y auxiliares de justicia sensibilizados y capacitados hacia niñas víctimas de violencia sexual.</w:t>
      </w:r>
      <w:r>
        <w:rPr>
          <w:rFonts w:ascii="Times New Roman" w:eastAsia="Times New Roman" w:hAnsi="Times New Roman" w:cs="Times New Roman"/>
          <w:sz w:val="24"/>
          <w:szCs w:val="24"/>
        </w:rPr>
        <w:t xml:space="preserve"> </w:t>
      </w:r>
    </w:p>
    <w:p w14:paraId="00000033" w14:textId="77777777" w:rsidR="00F34C8B" w:rsidRDefault="004146BA">
      <w:pPr>
        <w:shd w:val="clear" w:color="auto" w:fill="FFFFFF"/>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el proceso judicial No.01188-2014-00471, “K” es madre de “PMAR” una niña víctima de agresión sexual en el entorno familiar, el presunto agresor su progenitor. Las víctimas han recorrido todas las instancias del sistema de justicia por más de nueve años, requiriendo la aplicación de una protección judicial oportuna y efectiva, bajo la observancia del deber de garantía, “K” ha sido la principal promotora del proceso penal, requiriendo protección y que los órganos de justicia respeten el </w:t>
      </w:r>
      <w:r>
        <w:rPr>
          <w:rFonts w:ascii="Times New Roman" w:eastAsia="Times New Roman" w:hAnsi="Times New Roman" w:cs="Times New Roman"/>
          <w:b/>
          <w:sz w:val="24"/>
          <w:szCs w:val="24"/>
        </w:rPr>
        <w:t xml:space="preserve">interés superior de la niña, </w:t>
      </w:r>
      <w:r>
        <w:rPr>
          <w:rFonts w:ascii="Times New Roman" w:eastAsia="Times New Roman" w:hAnsi="Times New Roman" w:cs="Times New Roman"/>
          <w:sz w:val="24"/>
          <w:szCs w:val="24"/>
        </w:rPr>
        <w:t>y se realice el análisis de los medios de prueba testimoniales. A la fecha dentro del proceso se siguen evidenciando falencias, pues no se observan las afectaciones psicológicas documentadas.</w:t>
      </w:r>
    </w:p>
    <w:p w14:paraId="00000034" w14:textId="77777777" w:rsidR="00F34C8B" w:rsidRDefault="004146BA">
      <w:pPr>
        <w:shd w:val="clear" w:color="auto" w:fill="FFFFFF"/>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estos casos </w:t>
      </w:r>
      <w:proofErr w:type="spellStart"/>
      <w:r>
        <w:rPr>
          <w:rFonts w:ascii="Times New Roman" w:eastAsia="Times New Roman" w:hAnsi="Times New Roman" w:cs="Times New Roman"/>
          <w:sz w:val="24"/>
          <w:szCs w:val="24"/>
        </w:rPr>
        <w:t>ejemplificantes</w:t>
      </w:r>
      <w:proofErr w:type="spellEnd"/>
      <w:r>
        <w:rPr>
          <w:rFonts w:ascii="Times New Roman" w:eastAsia="Times New Roman" w:hAnsi="Times New Roman" w:cs="Times New Roman"/>
          <w:sz w:val="24"/>
          <w:szCs w:val="24"/>
        </w:rPr>
        <w:t xml:space="preserve">, el Estado inobserva su obligación de hacer realidad el derecho de igualdad y de adoptar todas las medidas para eliminar las formas de discriminación contra la mujer, como el acceder a la justicia en condiciones de igualdad y sin ningún tipo de discriminación. Siendo en el presente caso, que todos los funcionarios, no se han convertido en garante de los derechos de las víctimas pues no se está aplicando la perspectiva de género en los procesos y por lo tanto </w:t>
      </w:r>
      <w:r>
        <w:rPr>
          <w:rFonts w:ascii="Times New Roman" w:eastAsia="Times New Roman" w:hAnsi="Times New Roman" w:cs="Times New Roman"/>
          <w:b/>
          <w:sz w:val="24"/>
          <w:szCs w:val="24"/>
        </w:rPr>
        <w:t>el proceso penal no está siendo un recurso efectivo para detectar asimetrías de poder y eliminar todo tipo de discriminación en contra de las mujeres.</w:t>
      </w:r>
      <w:r>
        <w:rPr>
          <w:rFonts w:ascii="Times New Roman" w:eastAsia="Times New Roman" w:hAnsi="Times New Roman" w:cs="Times New Roman"/>
          <w:sz w:val="24"/>
          <w:szCs w:val="24"/>
        </w:rPr>
        <w:t xml:space="preserve"> </w:t>
      </w:r>
    </w:p>
    <w:p w14:paraId="1818D7ED" w14:textId="77777777" w:rsidR="00237987" w:rsidRDefault="004146BA">
      <w:pPr>
        <w:shd w:val="clear" w:color="auto" w:fill="FFFFFF"/>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el proceso judicial No.05030-2022-00095, al requerir a la agente fiscal encargada del caso que la investigación observe la debida diligencia reforzada y los derechos humanos de las mujeres, señaló que tal petición significaba una amenaza para ella y que los DDHH solo se desarrollan en temas del Conflicto Armado Interno y nada tienen que ver en estos procesos. Cabe resaltar que tanto el expediente No.05030-2022-00095 como el expediente No.01188-2014-00471 están asignados a la misma fiscalía.</w:t>
      </w:r>
    </w:p>
    <w:p w14:paraId="653F8114" w14:textId="77777777" w:rsidR="00E76837" w:rsidRDefault="004146BA" w:rsidP="00E76837">
      <w:pPr>
        <w:shd w:val="clear" w:color="auto" w:fill="FFFFFF"/>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Sobre la violencia psicológica, los órganos especializados en la promoción, recepción e investigación de este tipo de denuncias las manejan con excesivo rigorismo, exigiendo pruebas “materiales” para vincular la responsabilidad criminal por las afectaciones psicológicas ocasionadas a las mujeres, de esa cuenta los informes psicológicos o las mismas declaraciones de las víctimas son consideradas insuficientes e inclusive poco</w:t>
      </w:r>
      <w:r w:rsidR="000B615B">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lastRenderedPageBreak/>
        <w:t xml:space="preserve">valoradas dentro del desarrollo del proceso penal, lo que conlleva que las denuncias sean desestimadas desde un inicio u obtengan sentencias absolutorias. </w:t>
      </w:r>
    </w:p>
    <w:p w14:paraId="4602216E" w14:textId="0A3E190E" w:rsidR="00E76837" w:rsidRDefault="004146BA" w:rsidP="00E76837">
      <w:pPr>
        <w:shd w:val="clear" w:color="auto" w:fill="FFFFFF"/>
        <w:spacing w:before="240" w:after="0" w:line="276"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En el caso de </w:t>
      </w:r>
      <w:r>
        <w:rPr>
          <w:rFonts w:ascii="Times New Roman" w:eastAsia="Times New Roman" w:hAnsi="Times New Roman" w:cs="Times New Roman"/>
          <w:i/>
          <w:sz w:val="24"/>
          <w:szCs w:val="24"/>
        </w:rPr>
        <w:t xml:space="preserve">‘MEMM’ </w:t>
      </w:r>
      <w:r>
        <w:rPr>
          <w:rFonts w:ascii="Times New Roman" w:eastAsia="Times New Roman" w:hAnsi="Times New Roman" w:cs="Times New Roman"/>
          <w:sz w:val="24"/>
          <w:szCs w:val="24"/>
        </w:rPr>
        <w:t xml:space="preserve">mujer adulta mayor que en el </w:t>
      </w:r>
      <w:r>
        <w:rPr>
          <w:rFonts w:ascii="Times New Roman" w:eastAsia="Times New Roman" w:hAnsi="Times New Roman" w:cs="Times New Roman"/>
          <w:sz w:val="24"/>
          <w:szCs w:val="24"/>
          <w:highlight w:val="white"/>
        </w:rPr>
        <w:t xml:space="preserve">2014 inició su mandato como Magistrada en el Tribunal Supremo Electoral, donde cuatro magistrados eran hombres y </w:t>
      </w:r>
      <w:r>
        <w:rPr>
          <w:rFonts w:ascii="Times New Roman" w:eastAsia="Times New Roman" w:hAnsi="Times New Roman" w:cs="Times New Roman"/>
          <w:i/>
          <w:sz w:val="24"/>
          <w:szCs w:val="24"/>
          <w:highlight w:val="white"/>
        </w:rPr>
        <w:t xml:space="preserve">‘MEMM’ </w:t>
      </w:r>
      <w:r>
        <w:rPr>
          <w:rFonts w:ascii="Times New Roman" w:eastAsia="Times New Roman" w:hAnsi="Times New Roman" w:cs="Times New Roman"/>
          <w:sz w:val="24"/>
          <w:szCs w:val="24"/>
          <w:highlight w:val="white"/>
        </w:rPr>
        <w:t xml:space="preserve">la única mujer. </w:t>
      </w:r>
      <w:r>
        <w:rPr>
          <w:rFonts w:ascii="Times New Roman" w:eastAsia="Times New Roman" w:hAnsi="Times New Roman" w:cs="Times New Roman"/>
          <w:i/>
          <w:sz w:val="24"/>
          <w:szCs w:val="24"/>
        </w:rPr>
        <w:t xml:space="preserve">‘MEMM’ </w:t>
      </w:r>
      <w:r>
        <w:rPr>
          <w:rFonts w:ascii="Times New Roman" w:eastAsia="Times New Roman" w:hAnsi="Times New Roman" w:cs="Times New Roman"/>
          <w:sz w:val="24"/>
          <w:szCs w:val="24"/>
        </w:rPr>
        <w:t xml:space="preserve">sufrió actos de violencia por parte de uno de los Magistrados. Derivado de dichos actos, </w:t>
      </w:r>
      <w:r>
        <w:rPr>
          <w:rFonts w:ascii="Times New Roman" w:eastAsia="Times New Roman" w:hAnsi="Times New Roman" w:cs="Times New Roman"/>
          <w:i/>
          <w:sz w:val="24"/>
          <w:szCs w:val="24"/>
        </w:rPr>
        <w:t xml:space="preserve">‘MEMM’ </w:t>
      </w:r>
      <w:r>
        <w:rPr>
          <w:rFonts w:ascii="Times New Roman" w:eastAsia="Times New Roman" w:hAnsi="Times New Roman" w:cs="Times New Roman"/>
          <w:sz w:val="24"/>
          <w:szCs w:val="24"/>
        </w:rPr>
        <w:t>denuncia los hechos, instando una investigación por la posible comisión del delito de violencia contra la mujer por los tratos diferenciados, actos de hostigamientos, violencia psicológica y de género. Los órganos de justicia “especializados” consideraron que: “</w:t>
      </w:r>
      <w:r>
        <w:rPr>
          <w:rFonts w:ascii="Times New Roman" w:eastAsia="Times New Roman" w:hAnsi="Times New Roman" w:cs="Times New Roman"/>
          <w:i/>
          <w:sz w:val="24"/>
          <w:szCs w:val="24"/>
        </w:rPr>
        <w:t>no es posible otorgar las medidas de seguridad solicitadas, en virtud que</w:t>
      </w:r>
      <w:r>
        <w:rPr>
          <w:rFonts w:ascii="Times New Roman" w:eastAsia="Times New Roman" w:hAnsi="Times New Roman" w:cs="Times New Roman"/>
          <w:b/>
          <w:i/>
          <w:sz w:val="24"/>
          <w:szCs w:val="24"/>
        </w:rPr>
        <w:t xml:space="preserve"> las partes se encuentran al mismo nivel y que no existe ninguna relación desigual de poder, por lo que no se dan los presupuestos necesarios para que concurra el delito de violencia contra la mujer y que en su sede se brindan las medidas de seguridad cuando los problemas son de violencia intrafamiliar dentro del ámbito privado</w:t>
      </w:r>
      <w:r>
        <w:rPr>
          <w:rFonts w:ascii="Times New Roman" w:eastAsia="Times New Roman" w:hAnsi="Times New Roman" w:cs="Times New Roman"/>
          <w:i/>
          <w:sz w:val="24"/>
          <w:szCs w:val="24"/>
        </w:rPr>
        <w:t>.”</w:t>
      </w:r>
    </w:p>
    <w:p w14:paraId="0B53F100" w14:textId="77777777" w:rsidR="00E76837" w:rsidRDefault="00E76837" w:rsidP="00E76837">
      <w:pPr>
        <w:shd w:val="clear" w:color="auto" w:fill="FFFFFF"/>
        <w:spacing w:before="240" w:after="0" w:line="276" w:lineRule="auto"/>
        <w:jc w:val="both"/>
        <w:rPr>
          <w:rFonts w:ascii="Times New Roman" w:eastAsia="Times New Roman" w:hAnsi="Times New Roman" w:cs="Times New Roman"/>
          <w:sz w:val="24"/>
          <w:szCs w:val="24"/>
        </w:rPr>
      </w:pPr>
    </w:p>
    <w:p w14:paraId="02E16309" w14:textId="7498A8DE" w:rsidR="00E76837" w:rsidRDefault="004146BA" w:rsidP="00E76837">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Dentro de una de las acciones de amparo solicitadas por </w:t>
      </w:r>
      <w:r>
        <w:rPr>
          <w:rFonts w:ascii="Times New Roman" w:eastAsia="Times New Roman" w:hAnsi="Times New Roman" w:cs="Times New Roman"/>
          <w:i/>
          <w:sz w:val="24"/>
          <w:szCs w:val="24"/>
        </w:rPr>
        <w:t>‘MEMM’</w:t>
      </w:r>
      <w:r>
        <w:rPr>
          <w:rFonts w:ascii="Times New Roman" w:eastAsia="Times New Roman" w:hAnsi="Times New Roman" w:cs="Times New Roman"/>
          <w:sz w:val="24"/>
          <w:szCs w:val="24"/>
        </w:rPr>
        <w:t xml:space="preserve">  para evitar que se desestimara la denuncia y se investigara los hechos, la Corte de Constitucionalidad emite un fallo en donde pondera la prerrogativa de antejuicio como una inmunidad absoluta, a tal grado de proteger al Magistrado denunciado de ser investigado por la posible comisión de delitos en contra de una mujer, estableciendo que la prerrogativa de antejuicio debe prevalecer, aún sobre el otorgamiento de </w:t>
      </w:r>
      <w:r>
        <w:rPr>
          <w:rFonts w:ascii="Times New Roman" w:eastAsia="Times New Roman" w:hAnsi="Times New Roman" w:cs="Times New Roman"/>
          <w:i/>
          <w:sz w:val="24"/>
          <w:szCs w:val="24"/>
        </w:rPr>
        <w:t>medida de seguridad</w:t>
      </w:r>
      <w:r>
        <w:rPr>
          <w:rFonts w:ascii="Times New Roman" w:eastAsia="Times New Roman" w:hAnsi="Times New Roman" w:cs="Times New Roman"/>
          <w:sz w:val="24"/>
          <w:szCs w:val="24"/>
        </w:rPr>
        <w:t>, pese a que la naturaleza de estas medidas son de carácter temporal, de urgencia y que no constituyen  en sí mismas parte de un procedimiento penal que vulnera el principio de presunción de inocencia. Constituyendo una vulneración a los derechos de las mujeres de acceder a mecanismos de resguardo inmediato y de acceso efectivo a la justicia por delitos cometidos en su contra.</w:t>
      </w:r>
    </w:p>
    <w:p w14:paraId="1F935026" w14:textId="77777777" w:rsidR="00E76837" w:rsidRDefault="00E76837" w:rsidP="00E76837">
      <w:pPr>
        <w:shd w:val="clear" w:color="auto" w:fill="FFFFFF"/>
        <w:spacing w:after="0" w:line="276" w:lineRule="auto"/>
        <w:jc w:val="both"/>
        <w:rPr>
          <w:rFonts w:ascii="Times New Roman" w:eastAsia="Times New Roman" w:hAnsi="Times New Roman" w:cs="Times New Roman"/>
          <w:sz w:val="24"/>
          <w:szCs w:val="24"/>
        </w:rPr>
      </w:pPr>
    </w:p>
    <w:p w14:paraId="0808EEDD" w14:textId="33BC8CDC" w:rsidR="00237987" w:rsidRPr="00E76837" w:rsidRDefault="00F2185D" w:rsidP="00E76837">
      <w:pPr>
        <w:pStyle w:val="Prrafodelista"/>
        <w:numPr>
          <w:ilvl w:val="0"/>
          <w:numId w:val="2"/>
        </w:numPr>
        <w:shd w:val="clear" w:color="auto" w:fill="FFFFFF"/>
        <w:spacing w:after="200" w:line="276" w:lineRule="auto"/>
        <w:jc w:val="both"/>
        <w:rPr>
          <w:rFonts w:ascii="Times New Roman" w:eastAsia="Times New Roman" w:hAnsi="Times New Roman" w:cs="Times New Roman"/>
          <w:sz w:val="24"/>
          <w:szCs w:val="24"/>
        </w:rPr>
      </w:pPr>
      <w:r w:rsidRPr="00F2185D">
        <w:rPr>
          <w:rFonts w:ascii="Times New Roman" w:eastAsia="Times New Roman" w:hAnsi="Times New Roman" w:cs="Times New Roman"/>
          <w:b/>
          <w:sz w:val="24"/>
          <w:szCs w:val="24"/>
        </w:rPr>
        <w:t>Artículo 15: igualdad ante la ley</w:t>
      </w:r>
      <w:r w:rsidR="00237987" w:rsidRPr="00F2185D">
        <w:rPr>
          <w:rFonts w:ascii="Times New Roman" w:eastAsia="Times New Roman" w:hAnsi="Times New Roman" w:cs="Times New Roman"/>
          <w:b/>
          <w:sz w:val="24"/>
          <w:szCs w:val="24"/>
        </w:rPr>
        <w:t xml:space="preserve">: </w:t>
      </w:r>
      <w:r w:rsidR="00E76837">
        <w:rPr>
          <w:rFonts w:ascii="Times New Roman" w:eastAsia="Times New Roman" w:hAnsi="Times New Roman" w:cs="Times New Roman"/>
          <w:b/>
          <w:sz w:val="24"/>
          <w:szCs w:val="24"/>
        </w:rPr>
        <w:t xml:space="preserve"> </w:t>
      </w:r>
      <w:r w:rsidR="00237987" w:rsidRPr="00E76837">
        <w:rPr>
          <w:rFonts w:ascii="Times New Roman" w:eastAsia="Times New Roman" w:hAnsi="Times New Roman" w:cs="Times New Roman"/>
          <w:b/>
          <w:sz w:val="24"/>
          <w:szCs w:val="24"/>
        </w:rPr>
        <w:t xml:space="preserve">Las mujeres no son tratadas como iguales en los procesos judiciales, y en las cortes. </w:t>
      </w:r>
    </w:p>
    <w:p w14:paraId="3336D155" w14:textId="77777777" w:rsidR="00237987" w:rsidRDefault="004146BA" w:rsidP="00E76837">
      <w:pPr>
        <w:shd w:val="clear" w:color="auto" w:fill="FFFFFF"/>
        <w:spacing w:after="200" w:line="276" w:lineRule="auto"/>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Dentro de los procesos penales en los que son cometidos en forma conjunta varias violaciones de derechos, muchas veces no se contemplan o profundizan las investigaciones desde una perspectiva de género, por lo tanto, no se da un reconocimiento y dignificación como víctimas a las mujeres que han sufrido la violencia en sus distintas manifestaciones.</w:t>
      </w:r>
    </w:p>
    <w:p w14:paraId="5AECD416" w14:textId="45B5E4DC" w:rsidR="00237987" w:rsidRPr="00E76837" w:rsidRDefault="00237987" w:rsidP="00E76837">
      <w:pPr>
        <w:numPr>
          <w:ilvl w:val="0"/>
          <w:numId w:val="4"/>
        </w:numPr>
        <w:shd w:val="clear" w:color="auto" w:fill="FFFFFF"/>
        <w:spacing w:before="240" w:after="20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Sobre el HSVA-Hogar “Seguro”. Ref. Judicial: 01069-2017-00123. </w:t>
      </w:r>
    </w:p>
    <w:p w14:paraId="0EB5EA24" w14:textId="77777777" w:rsidR="000F4DF7" w:rsidRDefault="004146BA" w:rsidP="000F4DF7">
      <w:pPr>
        <w:shd w:val="clear" w:color="auto" w:fill="FFFFFF"/>
        <w:spacing w:before="240" w:after="200" w:line="276" w:lineRule="auto"/>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Sobre el caso HSVA, el Estado de Guatemala en el 10° Informe periódico de implementación de las observaciones finales del Comité CEDAW sobre los informes periódicos 8° y 9° combinados, señaló las acciones institucionales implementadas respecto a garantizar la “búsqueda de justicia.” </w:t>
      </w:r>
    </w:p>
    <w:p w14:paraId="1E84EBD7" w14:textId="77777777" w:rsidR="000F4DF7" w:rsidRDefault="004146BA" w:rsidP="000F4DF7">
      <w:pPr>
        <w:shd w:val="clear" w:color="auto" w:fill="FFFFFF"/>
        <w:spacing w:before="240" w:after="200" w:line="276" w:lineRule="auto"/>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Sin embargo, dentro del proceso judicial que se lleva por la muerte de 41 niñas adolescentes y 15 gravemente heridas, se insistió una investigación seria para identificar, enjuiciar y castigar a los responsables, así como reparar de forma integral los daños sufridos por las víctimas. A la fecha, han transcurrido más de seis años y no se cuenta con una certeza de qué pasará con el proceso, mucho menos con una sola sentencia, ello debido al retardo en la administración de justicia, por las reiteradas suspensiones de las audiencias. </w:t>
      </w:r>
    </w:p>
    <w:p w14:paraId="176E6A2C" w14:textId="77777777" w:rsidR="000F4DF7" w:rsidRDefault="004146BA" w:rsidP="000F4DF7">
      <w:pPr>
        <w:shd w:val="clear" w:color="auto" w:fill="FFFFFF"/>
        <w:spacing w:before="240" w:after="200" w:line="276" w:lineRule="auto"/>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Los acusados están siendo procesados por delitos menores. Dichas figuras delictivas no reflejan la gravedad de las acciones, pero lo más relevante es que en todo el proceso no se plantea el contexto en que se dieron los hechos y el trato diferenciado que incluso se les dio a los niños en comparación con el trato a las niñas.  Además de no aplicarse el Protocolo de Estambul en las investigaciones, ni el Ministerio Público ni los jueces contralores le han dado la importancia necesaria a los sufrimientos emocionales y a los efectos psicológicos de la tortura, calificándolos como “maltrato contra menores de edad”, a pesar del trauma severo y sufrimiento psicológico que experimentaron directamente las niñas y que continúan experimentando las sobrevivientes.</w:t>
      </w:r>
    </w:p>
    <w:p w14:paraId="293BC861" w14:textId="77777777" w:rsidR="000F4DF7" w:rsidRDefault="004146BA" w:rsidP="000F4DF7">
      <w:pPr>
        <w:shd w:val="clear" w:color="auto" w:fill="FFFFFF"/>
        <w:spacing w:before="240" w:after="200" w:line="276" w:lineRule="auto"/>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Los querellantes solicitaron que se conociera el proceso por los delitos de tortura, </w:t>
      </w:r>
      <w:proofErr w:type="spellStart"/>
      <w:r>
        <w:rPr>
          <w:rFonts w:ascii="Times New Roman" w:eastAsia="Times New Roman" w:hAnsi="Times New Roman" w:cs="Times New Roman"/>
          <w:sz w:val="24"/>
          <w:szCs w:val="24"/>
        </w:rPr>
        <w:t>femicidio</w:t>
      </w:r>
      <w:proofErr w:type="spellEnd"/>
      <w:r>
        <w:rPr>
          <w:rFonts w:ascii="Times New Roman" w:eastAsia="Times New Roman" w:hAnsi="Times New Roman" w:cs="Times New Roman"/>
          <w:sz w:val="24"/>
          <w:szCs w:val="24"/>
        </w:rPr>
        <w:t xml:space="preserve"> y detenciones ilegales. El Juez rechazó dicha solicitud, argumentado que la tortura se configura solamente en casos en los cuales se trata de sacar información de la víctima. También se solicitó́ una reforma de los delitos imputados a un grupo de acusados, el Juez se negó́ a incluir los delitos de tortura, ejecución extrajudicial, detenciones ilegales y lesiones gravísimas.</w:t>
      </w:r>
    </w:p>
    <w:p w14:paraId="32FD6D2B" w14:textId="77777777" w:rsidR="000F4DF7" w:rsidRDefault="004146BA" w:rsidP="000F4DF7">
      <w:pPr>
        <w:shd w:val="clear" w:color="auto" w:fill="FFFFFF"/>
        <w:spacing w:before="240" w:after="200" w:line="276" w:lineRule="auto"/>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la fecha el Estado ha sido incapaz de investigar efectivamente, procesar, juzgar y sancionar a los responsables de graves violaciones de derechos humanos, en contra de las 56 niñas y adolescentes víctimas, habiendo una demora indebida en el sistema judicial guatemalteco, por falta de jueces, espacios físicos, salas de audiencias adecuadas para la gran cantidad de sujetos procesales del caso y recursos indebidos alegados por la defensa de los ex funcionarios. Según las constancias procesales: 15 veces suspendida audiencia de ofrecimiento de prueba del segundo grupo; 10 veces se suspendió audiencia de primera declaración del tercer grupo y 11 veces se suspendió el inicio de debate del primer y segundo grupo. </w:t>
      </w:r>
    </w:p>
    <w:p w14:paraId="14F43E2F" w14:textId="77777777" w:rsidR="000F4DF7" w:rsidRDefault="004146BA" w:rsidP="000F4DF7">
      <w:pPr>
        <w:shd w:val="clear" w:color="auto" w:fill="FFFFFF"/>
        <w:spacing w:before="240" w:after="200" w:line="276" w:lineRule="auto"/>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trato diferenciado hacia las madres querellantes también se ha violentado, no se ha garantizado el respeto por su dignidad, ni el acceso a los a los tribunales libremente. El 14 de junio de 2021 en la entrada de torre de tribunales, se reflejó predisposición y prejuicio hacia dos madres querellantes, pues se les exigió que se desprendieran de la playera que portaban con la leyenda “Nos duelen 56”, símbolo que se ha convertido en una acción global en la búsqueda de justicia para sus hijas. Representó también el despojo arbitrario de su identidad, violentando la memoria al no permitirles llevar de una manera digna su lucha y sus símbolos. </w:t>
      </w:r>
    </w:p>
    <w:p w14:paraId="03B4B8C6" w14:textId="77777777" w:rsidR="000F4DF7" w:rsidRDefault="004146BA" w:rsidP="000F4DF7">
      <w:pPr>
        <w:shd w:val="clear" w:color="auto" w:fill="FFFFFF"/>
        <w:spacing w:before="240" w:after="200" w:line="276" w:lineRule="auto"/>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Sobre el decreto 16-2018 del Congreso de la República “Ley que declara el ocho de marzo, día nacional de las víctimas de la tragedia ocurrida en el HSVA, y aprueba pensión vitalicia a las niñas y adolescentes sobrevivientes; está condicionado a conductas específicas que deben cumplir, por lo que viven en una constante incertidumbre de que, al incumplimiento mínimo de una condición, el Estado pueda retirarlas. </w:t>
      </w:r>
    </w:p>
    <w:p w14:paraId="20C27EED" w14:textId="77777777" w:rsidR="000F4DF7" w:rsidRDefault="004146BA" w:rsidP="000F4DF7">
      <w:pPr>
        <w:shd w:val="clear" w:color="auto" w:fill="FFFFFF"/>
        <w:spacing w:before="240" w:after="200" w:line="276" w:lineRule="auto"/>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monto de la pensión, es insuficiente para cubrir de manera integral el daño causado a las sobrevivientes, pues no contempla los tratamientos médicos especializados por la discapacidad que les causaron los hechos; tampoco cubre los gastos psicológicos y todo lo necesario dada su condición de víctimas sobrevivientes. No hay seguimiento por parte del Estado al proyecto de vida transformador y productivo de cada una de las niñas. Resulta cuestionable que el Decreto mencione los nombres completos de las 15 sobrevivientes por la vulneración a su privacidad. </w:t>
      </w:r>
    </w:p>
    <w:p w14:paraId="162A3A37" w14:textId="60E57314" w:rsidR="000F4DF7" w:rsidRPr="000F4DF7" w:rsidRDefault="000F4DF7" w:rsidP="000F4DF7">
      <w:pPr>
        <w:numPr>
          <w:ilvl w:val="0"/>
          <w:numId w:val="5"/>
        </w:numPr>
        <w:shd w:val="clear" w:color="auto" w:fill="FFFFFF"/>
        <w:spacing w:before="240" w:after="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Caso “Masacre de las Dos Erres”. Ref.Judicial:01076-2010-00003. </w:t>
      </w:r>
    </w:p>
    <w:p w14:paraId="6D87F5D2" w14:textId="77777777" w:rsidR="000F4DF7" w:rsidRDefault="004146BA" w:rsidP="000F4DF7">
      <w:pPr>
        <w:shd w:val="clear" w:color="auto" w:fill="FFFFFF"/>
        <w:spacing w:before="240" w:after="200" w:line="276" w:lineRule="auto"/>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Dentro del contexto del Conflicto Armado Interno, una de las acciones perpetradas por las fuerzas operativas del Estado, se encuentra la Masacre en contra de población civil no combatiente del Parcelamiento de Las Dos Erres, hechos suscitados entre los días 6 al 8 de diciembre de 1982, en el que se cometió, entre otros, violencia y violación sexual contra las mujeres. Estos hechos se dieron en forma conjunta con varias violaciones a los DDHH, situación que ha contribuido a la invisibilidad de las diversas modalidades de violencia de carácter sexual. </w:t>
      </w:r>
    </w:p>
    <w:p w14:paraId="492EE999" w14:textId="77777777" w:rsidR="000F4DF7" w:rsidRDefault="004146BA" w:rsidP="000F4DF7">
      <w:pPr>
        <w:shd w:val="clear" w:color="auto" w:fill="FFFFFF"/>
        <w:spacing w:before="240" w:after="200" w:line="276" w:lineRule="auto"/>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la complejidad que revisten estos hechos y a 40 años de la masacre, en los tres juicios que se llevaron a cabo entre los años 2011, 2012 y 2018, no se ha visibilizado con plenitud los crímenes sexuales cometidos en contra de las mujeres del Parcelamiento de las Dos Erres, privándolas con ello a su derecho a la verdad y “ha vaciado el derecho de reparación de su contenido de dignificación”.   </w:t>
      </w:r>
    </w:p>
    <w:p w14:paraId="10A4F335" w14:textId="77777777" w:rsidR="000F4DF7" w:rsidRDefault="004146BA" w:rsidP="000F4DF7">
      <w:pPr>
        <w:shd w:val="clear" w:color="auto" w:fill="FFFFFF"/>
        <w:spacing w:before="240" w:after="200" w:line="276" w:lineRule="auto"/>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Haciéndose importante no perder de vista la responsabilidad que tiene el Estado, en un cuarto juicio que se lleva actualmente en contra en 3 </w:t>
      </w:r>
      <w:proofErr w:type="spellStart"/>
      <w:r>
        <w:rPr>
          <w:rFonts w:ascii="Times New Roman" w:eastAsia="Times New Roman" w:hAnsi="Times New Roman" w:cs="Times New Roman"/>
          <w:sz w:val="24"/>
          <w:szCs w:val="24"/>
        </w:rPr>
        <w:t>kaibiles</w:t>
      </w:r>
      <w:proofErr w:type="spellEnd"/>
      <w:r>
        <w:rPr>
          <w:rFonts w:ascii="Times New Roman" w:eastAsia="Times New Roman" w:hAnsi="Times New Roman" w:cs="Times New Roman"/>
          <w:sz w:val="24"/>
          <w:szCs w:val="24"/>
        </w:rPr>
        <w:t>, de hacer visible el fenómeno de violencia y violación sexual durante el Conflicto Armado Interno y en específico las sufridas en el Parcelamiento de las Dos Erres, ya que está obligado al reconocimiento de que los hechos existieron y que contribuyeron a graves violaciones a los derechos y libertades fundamentales de las víctimas, sobrevivientes y sus familiares. “Lo que garantiza justicia como una de las modalidades de reparación frente a la impunidad que han vivido por más de 40 años.”</w:t>
      </w:r>
    </w:p>
    <w:p w14:paraId="0F042AC6" w14:textId="77777777" w:rsidR="00D814C9" w:rsidRDefault="004146BA" w:rsidP="00D814C9">
      <w:pPr>
        <w:shd w:val="clear" w:color="auto" w:fill="FFFFFF"/>
        <w:spacing w:before="240" w:after="200" w:line="276" w:lineRule="auto"/>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Estado de Guatemala, ha creado tribunales especializados, fiscalías contra el delito de </w:t>
      </w:r>
      <w:proofErr w:type="spellStart"/>
      <w:r>
        <w:rPr>
          <w:rFonts w:ascii="Times New Roman" w:eastAsia="Times New Roman" w:hAnsi="Times New Roman" w:cs="Times New Roman"/>
          <w:sz w:val="24"/>
          <w:szCs w:val="24"/>
        </w:rPr>
        <w:t>femicidio</w:t>
      </w:r>
      <w:proofErr w:type="spellEnd"/>
      <w:r>
        <w:rPr>
          <w:rFonts w:ascii="Times New Roman" w:eastAsia="Times New Roman" w:hAnsi="Times New Roman" w:cs="Times New Roman"/>
          <w:sz w:val="24"/>
          <w:szCs w:val="24"/>
        </w:rPr>
        <w:t xml:space="preserve"> y fiscalías de sección de la mujer, que en teoría tendrían que estar sensibilizados para conocer causas sobre violencia contra la mujer, discriminación y desigualdad, además de brindar una atención especializada, la capacitación  para llevar a cabo sus obligaciones conforme la Convención de la CEDAW es una deuda que se tiene aún, pues no todos los funcionarios y funcionarias en estos sectores especializados son efectivos para enfrentar las violaciones a los derechos de las mujeres y proporcionar recursos para su reivindicación.</w:t>
      </w:r>
    </w:p>
    <w:p w14:paraId="0000004A" w14:textId="54EDB89F" w:rsidR="00F34C8B" w:rsidRPr="00D814C9" w:rsidRDefault="004146BA" w:rsidP="00D814C9">
      <w:pPr>
        <w:pStyle w:val="Prrafodelista"/>
        <w:numPr>
          <w:ilvl w:val="0"/>
          <w:numId w:val="2"/>
        </w:numPr>
        <w:shd w:val="clear" w:color="auto" w:fill="FFFFFF"/>
        <w:spacing w:before="240" w:after="200" w:line="276" w:lineRule="auto"/>
        <w:jc w:val="both"/>
        <w:rPr>
          <w:rFonts w:ascii="Times New Roman" w:eastAsia="Times New Roman" w:hAnsi="Times New Roman" w:cs="Times New Roman"/>
          <w:sz w:val="24"/>
          <w:szCs w:val="24"/>
        </w:rPr>
      </w:pPr>
      <w:r w:rsidRPr="00D814C9">
        <w:rPr>
          <w:rFonts w:ascii="Times New Roman" w:eastAsia="Times New Roman" w:hAnsi="Times New Roman" w:cs="Times New Roman"/>
          <w:b/>
          <w:sz w:val="24"/>
          <w:szCs w:val="24"/>
        </w:rPr>
        <w:t>CONCLUSIONES</w:t>
      </w:r>
    </w:p>
    <w:p w14:paraId="1D876FE4" w14:textId="5DF0D34F" w:rsidR="000B615B" w:rsidRPr="000E2B2F" w:rsidRDefault="004146BA" w:rsidP="000B615B">
      <w:pPr>
        <w:pStyle w:val="Prrafodelista"/>
        <w:numPr>
          <w:ilvl w:val="0"/>
          <w:numId w:val="8"/>
        </w:numPr>
        <w:shd w:val="clear" w:color="auto" w:fill="FFFFFF"/>
        <w:spacing w:after="440" w:line="276" w:lineRule="auto"/>
        <w:jc w:val="both"/>
        <w:rPr>
          <w:rFonts w:ascii="Times New Roman" w:eastAsia="Times New Roman" w:hAnsi="Times New Roman" w:cs="Times New Roman"/>
          <w:sz w:val="24"/>
          <w:szCs w:val="24"/>
        </w:rPr>
      </w:pPr>
      <w:r w:rsidRPr="000B615B">
        <w:rPr>
          <w:rFonts w:ascii="Times New Roman" w:eastAsia="Times New Roman" w:hAnsi="Times New Roman" w:cs="Times New Roman"/>
          <w:sz w:val="24"/>
          <w:szCs w:val="24"/>
        </w:rPr>
        <w:t xml:space="preserve">La falta de capacitación y sensibilización sobre los derechos humanos de las mujeres por parte de los operadores de justicia y funcionarios, son elementos que contribuyen con las altas tasas de impunidad, pues, a causa de ello perpetúan prácticas </w:t>
      </w:r>
      <w:proofErr w:type="spellStart"/>
      <w:r w:rsidRPr="000B615B">
        <w:rPr>
          <w:rFonts w:ascii="Times New Roman" w:eastAsia="Times New Roman" w:hAnsi="Times New Roman" w:cs="Times New Roman"/>
          <w:sz w:val="24"/>
          <w:szCs w:val="24"/>
        </w:rPr>
        <w:t>revictimizantes</w:t>
      </w:r>
      <w:proofErr w:type="spellEnd"/>
      <w:r w:rsidRPr="000B615B">
        <w:rPr>
          <w:rFonts w:ascii="Times New Roman" w:eastAsia="Times New Roman" w:hAnsi="Times New Roman" w:cs="Times New Roman"/>
          <w:sz w:val="24"/>
          <w:szCs w:val="24"/>
        </w:rPr>
        <w:t>, por lo que las víctimas se enfrenten a un aparato estatal sin perspectiva de género y co</w:t>
      </w:r>
      <w:r w:rsidRPr="000E2B2F">
        <w:rPr>
          <w:rFonts w:ascii="Times New Roman" w:eastAsia="Times New Roman" w:hAnsi="Times New Roman" w:cs="Times New Roman"/>
          <w:sz w:val="24"/>
          <w:szCs w:val="24"/>
        </w:rPr>
        <w:t xml:space="preserve">n procedimientos dilatorios. Esta situación conduce a las mujeres víctimas a no denunciar o retirar la denuncia interpuesta.  </w:t>
      </w:r>
    </w:p>
    <w:p w14:paraId="4230417D" w14:textId="22F65704" w:rsidR="000F4DF7" w:rsidRPr="000E2B2F" w:rsidRDefault="00514D3D" w:rsidP="000F4DF7">
      <w:pPr>
        <w:pStyle w:val="Prrafodelista"/>
        <w:numPr>
          <w:ilvl w:val="0"/>
          <w:numId w:val="8"/>
        </w:numPr>
        <w:shd w:val="clear" w:color="auto" w:fill="FFFFFF"/>
        <w:spacing w:after="440" w:line="276" w:lineRule="auto"/>
        <w:jc w:val="both"/>
        <w:rPr>
          <w:rFonts w:ascii="Times New Roman" w:eastAsia="Times New Roman" w:hAnsi="Times New Roman" w:cs="Times New Roman"/>
          <w:sz w:val="24"/>
          <w:szCs w:val="24"/>
        </w:rPr>
      </w:pPr>
      <w:r w:rsidRPr="000B615B">
        <w:rPr>
          <w:rFonts w:ascii="Times New Roman" w:eastAsia="Times New Roman" w:hAnsi="Times New Roman" w:cs="Times New Roman"/>
          <w:sz w:val="24"/>
          <w:szCs w:val="24"/>
        </w:rPr>
        <w:t>No habrá justicia efectiva para las mujeres en tanto los operadores de justicia y personas que ostentan cargos en las instituciones especializadas no tengan la formación y sensibilización necesarias para atender y dar una respuesta efectiva a las mujeres víctimas.</w:t>
      </w:r>
    </w:p>
    <w:p w14:paraId="5F74F3D7" w14:textId="77777777" w:rsidR="00D814C9" w:rsidRPr="000F4DF7" w:rsidRDefault="00D814C9" w:rsidP="00D814C9">
      <w:pPr>
        <w:pStyle w:val="Prrafodelista"/>
        <w:shd w:val="clear" w:color="auto" w:fill="FFFFFF"/>
        <w:spacing w:after="440" w:line="276" w:lineRule="auto"/>
        <w:ind w:left="1440"/>
        <w:jc w:val="both"/>
        <w:rPr>
          <w:rFonts w:ascii="Times New Roman" w:eastAsia="Times New Roman" w:hAnsi="Times New Roman" w:cs="Times New Roman"/>
          <w:color w:val="212529"/>
          <w:sz w:val="24"/>
          <w:szCs w:val="24"/>
          <w:highlight w:val="white"/>
        </w:rPr>
      </w:pPr>
    </w:p>
    <w:p w14:paraId="30B66BCD" w14:textId="500AB88E" w:rsidR="000F4DF7" w:rsidRPr="00D814C9" w:rsidRDefault="004146BA" w:rsidP="00D814C9">
      <w:pPr>
        <w:pStyle w:val="Prrafodelista"/>
        <w:numPr>
          <w:ilvl w:val="0"/>
          <w:numId w:val="2"/>
        </w:numPr>
        <w:shd w:val="clear" w:color="auto" w:fill="FFFFFF"/>
        <w:spacing w:after="440" w:line="276" w:lineRule="auto"/>
        <w:jc w:val="both"/>
        <w:rPr>
          <w:rFonts w:ascii="Times New Roman" w:eastAsia="Times New Roman" w:hAnsi="Times New Roman" w:cs="Times New Roman"/>
          <w:color w:val="212529"/>
          <w:sz w:val="24"/>
          <w:szCs w:val="24"/>
          <w:highlight w:val="white"/>
        </w:rPr>
      </w:pPr>
      <w:r w:rsidRPr="00D814C9">
        <w:rPr>
          <w:rFonts w:ascii="Times New Roman" w:eastAsia="Times New Roman" w:hAnsi="Times New Roman" w:cs="Times New Roman"/>
          <w:b/>
          <w:sz w:val="24"/>
          <w:szCs w:val="24"/>
        </w:rPr>
        <w:t xml:space="preserve">RECOMENDACIONES: </w:t>
      </w:r>
    </w:p>
    <w:p w14:paraId="00000050" w14:textId="2C360DA6" w:rsidR="00F34C8B" w:rsidRPr="000E2B2F" w:rsidRDefault="004146BA" w:rsidP="000F4DF7">
      <w:pPr>
        <w:shd w:val="clear" w:color="auto" w:fill="FFFFFF"/>
        <w:spacing w:after="200" w:line="276" w:lineRule="auto"/>
        <w:ind w:left="720"/>
        <w:jc w:val="both"/>
        <w:rPr>
          <w:rFonts w:ascii="Times New Roman" w:eastAsia="Times New Roman" w:hAnsi="Times New Roman" w:cs="Times New Roman"/>
          <w:sz w:val="24"/>
          <w:szCs w:val="24"/>
        </w:rPr>
      </w:pPr>
      <w:r w:rsidRPr="000E2B2F">
        <w:rPr>
          <w:rFonts w:ascii="Times New Roman" w:eastAsia="Times New Roman" w:hAnsi="Times New Roman" w:cs="Times New Roman"/>
          <w:sz w:val="24"/>
          <w:szCs w:val="24"/>
        </w:rPr>
        <w:t>Proponemos al Comité CEDAW que efectúe las siguientes recomendaciones al Estado, para así superar las diversas situaciones que impiden a las mujeres vivir una vida libre de violencia.</w:t>
      </w:r>
    </w:p>
    <w:p w14:paraId="00000051" w14:textId="579A0D5B" w:rsidR="00F34C8B" w:rsidRPr="000E2B2F" w:rsidRDefault="004146BA" w:rsidP="000E2B2F">
      <w:pPr>
        <w:pStyle w:val="Prrafodelista"/>
        <w:numPr>
          <w:ilvl w:val="0"/>
          <w:numId w:val="8"/>
        </w:numPr>
        <w:shd w:val="clear" w:color="auto" w:fill="FFFFFF"/>
        <w:spacing w:after="440" w:line="276" w:lineRule="auto"/>
        <w:jc w:val="both"/>
        <w:rPr>
          <w:rFonts w:ascii="Times New Roman" w:eastAsia="Times New Roman" w:hAnsi="Times New Roman" w:cs="Times New Roman"/>
          <w:sz w:val="24"/>
          <w:szCs w:val="24"/>
        </w:rPr>
      </w:pPr>
      <w:r w:rsidRPr="000E2B2F">
        <w:rPr>
          <w:rFonts w:ascii="Times New Roman" w:eastAsia="Times New Roman" w:hAnsi="Times New Roman" w:cs="Times New Roman"/>
          <w:sz w:val="24"/>
          <w:szCs w:val="24"/>
        </w:rPr>
        <w:t xml:space="preserve">Desarrollar acciones de capacitación comprobada a las instituciones encargadas de velar por los derechos de las mujeres, y asegurar que estas cuenten con los recursos para </w:t>
      </w:r>
      <w:r w:rsidRPr="00514D3D">
        <w:rPr>
          <w:rFonts w:ascii="Times New Roman" w:eastAsia="Times New Roman" w:hAnsi="Times New Roman" w:cs="Times New Roman"/>
          <w:sz w:val="24"/>
          <w:szCs w:val="24"/>
        </w:rPr>
        <w:t xml:space="preserve">brindar atención especializada, las cuales sean acordes a las obligaciones conforme la Convención de la CEDAW. Creando perfiles y procedimientos claros, transparentes y especializados para nombrar y trasladar a personal en las instituciones, así como los operadores de justicia. </w:t>
      </w:r>
    </w:p>
    <w:p w14:paraId="00000052" w14:textId="77777777" w:rsidR="00F34C8B" w:rsidRPr="000E2B2F" w:rsidRDefault="004146BA" w:rsidP="000E2B2F">
      <w:pPr>
        <w:pStyle w:val="Prrafodelista"/>
        <w:numPr>
          <w:ilvl w:val="0"/>
          <w:numId w:val="8"/>
        </w:numPr>
        <w:shd w:val="clear" w:color="auto" w:fill="FFFFFF"/>
        <w:spacing w:after="440" w:line="276" w:lineRule="auto"/>
        <w:jc w:val="both"/>
        <w:rPr>
          <w:rFonts w:ascii="Times New Roman" w:eastAsia="Times New Roman" w:hAnsi="Times New Roman" w:cs="Times New Roman"/>
          <w:sz w:val="24"/>
          <w:szCs w:val="24"/>
        </w:rPr>
      </w:pPr>
      <w:r w:rsidRPr="000E2B2F">
        <w:rPr>
          <w:rFonts w:ascii="Times New Roman" w:eastAsia="Times New Roman" w:hAnsi="Times New Roman" w:cs="Times New Roman"/>
          <w:sz w:val="24"/>
          <w:szCs w:val="24"/>
        </w:rPr>
        <w:t>Investigar, juzgar, sancionar y reparar los delitos contra la mujer en estricto apego a los estándares internacionales y principios que dan vida a la justicia especializada.</w:t>
      </w:r>
    </w:p>
    <w:p w14:paraId="1509F6EE" w14:textId="77777777" w:rsidR="000E2B2F" w:rsidRDefault="004146BA" w:rsidP="000E2B2F">
      <w:pPr>
        <w:pStyle w:val="Prrafodelista"/>
        <w:numPr>
          <w:ilvl w:val="0"/>
          <w:numId w:val="8"/>
        </w:numPr>
        <w:shd w:val="clear" w:color="auto" w:fill="FFFFFF"/>
        <w:spacing w:after="440" w:line="276" w:lineRule="auto"/>
        <w:jc w:val="both"/>
        <w:rPr>
          <w:rFonts w:ascii="Times New Roman" w:eastAsia="Times New Roman" w:hAnsi="Times New Roman" w:cs="Times New Roman"/>
          <w:sz w:val="24"/>
          <w:szCs w:val="24"/>
        </w:rPr>
      </w:pPr>
      <w:r w:rsidRPr="000E2B2F">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eben ser reforzados los estándares de acceso a la justicia en los casos de víctimas que se encuentran en un grado más alto de vulnerabilidad y desigualdad, tales como niñas, mujeres indígenas y adultas mayores, quienes son sometidas a violencia. Resulta importante que la administración de justicia sea con enfoques amplios e </w:t>
      </w:r>
      <w:proofErr w:type="spellStart"/>
      <w:r>
        <w:rPr>
          <w:rFonts w:ascii="Times New Roman" w:eastAsia="Times New Roman" w:hAnsi="Times New Roman" w:cs="Times New Roman"/>
          <w:sz w:val="24"/>
          <w:szCs w:val="24"/>
        </w:rPr>
        <w:t>interseccionales</w:t>
      </w:r>
      <w:proofErr w:type="spellEnd"/>
      <w:r>
        <w:rPr>
          <w:rFonts w:ascii="Times New Roman" w:eastAsia="Times New Roman" w:hAnsi="Times New Roman" w:cs="Times New Roman"/>
          <w:sz w:val="24"/>
          <w:szCs w:val="24"/>
        </w:rPr>
        <w:t xml:space="preserve"> claros, escritos</w:t>
      </w:r>
      <w:r w:rsidR="00D63F0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pero también monitoreados para su efectiva aplicación. </w:t>
      </w:r>
    </w:p>
    <w:p w14:paraId="00000054" w14:textId="1C2D6860" w:rsidR="00F34C8B" w:rsidRPr="000E2B2F" w:rsidRDefault="004146BA" w:rsidP="000E2B2F">
      <w:pPr>
        <w:pStyle w:val="Prrafodelista"/>
        <w:numPr>
          <w:ilvl w:val="0"/>
          <w:numId w:val="8"/>
        </w:numPr>
        <w:shd w:val="clear" w:color="auto" w:fill="FFFFFF"/>
        <w:spacing w:after="440" w:line="276" w:lineRule="auto"/>
        <w:jc w:val="both"/>
        <w:rPr>
          <w:rFonts w:ascii="Times New Roman" w:eastAsia="Times New Roman" w:hAnsi="Times New Roman" w:cs="Times New Roman"/>
          <w:sz w:val="24"/>
          <w:szCs w:val="24"/>
        </w:rPr>
      </w:pPr>
      <w:r w:rsidRPr="000E2B2F">
        <w:rPr>
          <w:rFonts w:ascii="Times New Roman" w:eastAsia="Times New Roman" w:hAnsi="Times New Roman" w:cs="Times New Roman"/>
          <w:sz w:val="24"/>
          <w:szCs w:val="24"/>
        </w:rPr>
        <w:t xml:space="preserve">Con respecto al caso HSVA, se debe considerar el derecho al acceso a la justicia de las víctimas de las graves violaciones de derechos humanos, por lo que el Estado debe garantizar que el proceso judicial se produzca en tiempo razonable, ya que la demora prolongada está constituyendo, por sí misma, una violación de las garantías judiciales de las 56 víctimas y sus familiares. </w:t>
      </w:r>
    </w:p>
    <w:p w14:paraId="00000055" w14:textId="77777777" w:rsidR="00F34C8B" w:rsidRDefault="004146BA">
      <w:pPr>
        <w:shd w:val="clear" w:color="auto" w:fill="FFFFFF"/>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56" w14:textId="77777777" w:rsidR="00F34C8B" w:rsidRDefault="00F34C8B">
      <w:pPr>
        <w:shd w:val="clear" w:color="auto" w:fill="FFFFFF"/>
        <w:spacing w:after="240" w:line="360" w:lineRule="auto"/>
        <w:jc w:val="both"/>
        <w:rPr>
          <w:rFonts w:ascii="Arial" w:eastAsia="Arial" w:hAnsi="Arial" w:cs="Arial"/>
          <w:b/>
          <w:sz w:val="24"/>
          <w:szCs w:val="24"/>
          <w:highlight w:val="white"/>
        </w:rPr>
      </w:pPr>
    </w:p>
    <w:p w14:paraId="00000057" w14:textId="77777777" w:rsidR="00F34C8B" w:rsidRDefault="00F34C8B">
      <w:pPr>
        <w:spacing w:after="200" w:line="276" w:lineRule="auto"/>
        <w:jc w:val="both"/>
        <w:rPr>
          <w:rFonts w:ascii="Arial" w:eastAsia="Arial" w:hAnsi="Arial" w:cs="Arial"/>
          <w:color w:val="FF0000"/>
          <w:sz w:val="24"/>
          <w:szCs w:val="24"/>
        </w:rPr>
      </w:pPr>
    </w:p>
    <w:sectPr w:rsidR="00F34C8B" w:rsidSect="00D814C9">
      <w:footerReference w:type="default" r:id="rId8"/>
      <w:headerReference w:type="first" r:id="rId9"/>
      <w:pgSz w:w="12240" w:h="15840"/>
      <w:pgMar w:top="1417" w:right="1701" w:bottom="1417" w:left="1984" w:header="708" w:footer="70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8F71DB" w14:textId="77777777" w:rsidR="00BB18A4" w:rsidRDefault="00BB18A4" w:rsidP="00BB18A4">
      <w:pPr>
        <w:spacing w:after="0" w:line="240" w:lineRule="auto"/>
      </w:pPr>
      <w:r>
        <w:separator/>
      </w:r>
    </w:p>
  </w:endnote>
  <w:endnote w:type="continuationSeparator" w:id="0">
    <w:p w14:paraId="53386C46" w14:textId="77777777" w:rsidR="00BB18A4" w:rsidRDefault="00BB18A4" w:rsidP="00BB1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4312B" w14:textId="3D265A8D" w:rsidR="00BB18A4" w:rsidRDefault="00BB18A4">
    <w:pPr>
      <w:pStyle w:val="Piedepgina"/>
      <w:jc w:val="center"/>
      <w:rPr>
        <w:caps/>
        <w:color w:val="5B9BD5" w:themeColor="accent1"/>
      </w:rPr>
    </w:pPr>
    <w:r>
      <w:rPr>
        <w:caps/>
        <w:color w:val="5B9BD5" w:themeColor="accent1"/>
      </w:rPr>
      <w:fldChar w:fldCharType="begin"/>
    </w:r>
    <w:r>
      <w:rPr>
        <w:caps/>
        <w:color w:val="5B9BD5" w:themeColor="accent1"/>
      </w:rPr>
      <w:instrText>PAGE   \* MERGEFORMAT</w:instrText>
    </w:r>
    <w:r>
      <w:rPr>
        <w:caps/>
        <w:color w:val="5B9BD5" w:themeColor="accent1"/>
      </w:rPr>
      <w:fldChar w:fldCharType="separate"/>
    </w:r>
    <w:r w:rsidR="001F5C2B" w:rsidRPr="001F5C2B">
      <w:rPr>
        <w:caps/>
        <w:noProof/>
        <w:color w:val="5B9BD5" w:themeColor="accent1"/>
        <w:lang w:val="es-ES"/>
      </w:rPr>
      <w:t>6</w:t>
    </w:r>
    <w:r>
      <w:rPr>
        <w:caps/>
        <w:color w:val="5B9BD5" w:themeColor="accent1"/>
      </w:rPr>
      <w:fldChar w:fldCharType="end"/>
    </w:r>
  </w:p>
  <w:p w14:paraId="061595BE" w14:textId="77777777" w:rsidR="00BB18A4" w:rsidRDefault="00BB18A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D74E30" w14:textId="77777777" w:rsidR="00BB18A4" w:rsidRDefault="00BB18A4" w:rsidP="00BB18A4">
      <w:pPr>
        <w:spacing w:after="0" w:line="240" w:lineRule="auto"/>
      </w:pPr>
      <w:r>
        <w:separator/>
      </w:r>
    </w:p>
  </w:footnote>
  <w:footnote w:type="continuationSeparator" w:id="0">
    <w:p w14:paraId="0A8E7F5B" w14:textId="77777777" w:rsidR="00BB18A4" w:rsidRDefault="00BB18A4" w:rsidP="00BB18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E2E29" w14:textId="147F2F0F" w:rsidR="00B61903" w:rsidRDefault="00B61903">
    <w:pPr>
      <w:pStyle w:val="Encabezado"/>
    </w:pPr>
    <w:r>
      <w:rPr>
        <w:noProof/>
      </w:rPr>
      <w:drawing>
        <wp:inline distT="0" distB="0" distL="0" distR="0" wp14:anchorId="6E3D0E3D" wp14:editId="29729BDD">
          <wp:extent cx="2647454" cy="819807"/>
          <wp:effectExtent l="0" t="0" r="0" b="0"/>
          <wp:docPr id="2" name="Imagen 2" descr="../Desktop/logo%20grande_Mesa%20de%20trabajo%201%20copia%2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logo%20grande_Mesa%20de%20trabajo%201%20copia%20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2702" cy="8276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272BD3"/>
    <w:multiLevelType w:val="multilevel"/>
    <w:tmpl w:val="DE3C52A6"/>
    <w:lvl w:ilvl="0">
      <w:start w:val="4"/>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237630B2"/>
    <w:multiLevelType w:val="multilevel"/>
    <w:tmpl w:val="B4A6EF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A8B4075"/>
    <w:multiLevelType w:val="multilevel"/>
    <w:tmpl w:val="112C1D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500576F"/>
    <w:multiLevelType w:val="multilevel"/>
    <w:tmpl w:val="E9B2D712"/>
    <w:lvl w:ilvl="0">
      <w:start w:val="2"/>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601D71CC"/>
    <w:multiLevelType w:val="multilevel"/>
    <w:tmpl w:val="600E821E"/>
    <w:lvl w:ilvl="0">
      <w:start w:val="3"/>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63E35573"/>
    <w:multiLevelType w:val="hybridMultilevel"/>
    <w:tmpl w:val="C53885C6"/>
    <w:lvl w:ilvl="0" w:tplc="100A0013">
      <w:start w:val="1"/>
      <w:numFmt w:val="upperRoman"/>
      <w:lvlText w:val="%1."/>
      <w:lvlJc w:val="right"/>
      <w:pPr>
        <w:ind w:left="1440" w:hanging="360"/>
      </w:pPr>
    </w:lvl>
    <w:lvl w:ilvl="1" w:tplc="100A0019" w:tentative="1">
      <w:start w:val="1"/>
      <w:numFmt w:val="lowerLetter"/>
      <w:lvlText w:val="%2."/>
      <w:lvlJc w:val="left"/>
      <w:pPr>
        <w:ind w:left="2160" w:hanging="360"/>
      </w:pPr>
    </w:lvl>
    <w:lvl w:ilvl="2" w:tplc="100A001B" w:tentative="1">
      <w:start w:val="1"/>
      <w:numFmt w:val="lowerRoman"/>
      <w:lvlText w:val="%3."/>
      <w:lvlJc w:val="right"/>
      <w:pPr>
        <w:ind w:left="2880" w:hanging="180"/>
      </w:pPr>
    </w:lvl>
    <w:lvl w:ilvl="3" w:tplc="100A000F" w:tentative="1">
      <w:start w:val="1"/>
      <w:numFmt w:val="decimal"/>
      <w:lvlText w:val="%4."/>
      <w:lvlJc w:val="left"/>
      <w:pPr>
        <w:ind w:left="3600" w:hanging="360"/>
      </w:pPr>
    </w:lvl>
    <w:lvl w:ilvl="4" w:tplc="100A0019" w:tentative="1">
      <w:start w:val="1"/>
      <w:numFmt w:val="lowerLetter"/>
      <w:lvlText w:val="%5."/>
      <w:lvlJc w:val="left"/>
      <w:pPr>
        <w:ind w:left="4320" w:hanging="360"/>
      </w:pPr>
    </w:lvl>
    <w:lvl w:ilvl="5" w:tplc="100A001B" w:tentative="1">
      <w:start w:val="1"/>
      <w:numFmt w:val="lowerRoman"/>
      <w:lvlText w:val="%6."/>
      <w:lvlJc w:val="right"/>
      <w:pPr>
        <w:ind w:left="5040" w:hanging="180"/>
      </w:pPr>
    </w:lvl>
    <w:lvl w:ilvl="6" w:tplc="100A000F" w:tentative="1">
      <w:start w:val="1"/>
      <w:numFmt w:val="decimal"/>
      <w:lvlText w:val="%7."/>
      <w:lvlJc w:val="left"/>
      <w:pPr>
        <w:ind w:left="5760" w:hanging="360"/>
      </w:pPr>
    </w:lvl>
    <w:lvl w:ilvl="7" w:tplc="100A0019" w:tentative="1">
      <w:start w:val="1"/>
      <w:numFmt w:val="lowerLetter"/>
      <w:lvlText w:val="%8."/>
      <w:lvlJc w:val="left"/>
      <w:pPr>
        <w:ind w:left="6480" w:hanging="360"/>
      </w:pPr>
    </w:lvl>
    <w:lvl w:ilvl="8" w:tplc="100A001B" w:tentative="1">
      <w:start w:val="1"/>
      <w:numFmt w:val="lowerRoman"/>
      <w:lvlText w:val="%9."/>
      <w:lvlJc w:val="right"/>
      <w:pPr>
        <w:ind w:left="7200" w:hanging="180"/>
      </w:pPr>
    </w:lvl>
  </w:abstractNum>
  <w:abstractNum w:abstractNumId="6" w15:restartNumberingAfterBreak="0">
    <w:nsid w:val="77A55076"/>
    <w:multiLevelType w:val="multilevel"/>
    <w:tmpl w:val="97FC3330"/>
    <w:lvl w:ilvl="0">
      <w:start w:val="1"/>
      <w:numFmt w:val="upperRoman"/>
      <w:lvlText w:val="%1."/>
      <w:lvlJc w:val="right"/>
      <w:pPr>
        <w:ind w:left="720" w:hanging="360"/>
      </w:pPr>
      <w:rPr>
        <w:rFonts w:ascii="Times New Roman" w:eastAsia="Times New Roman" w:hAnsi="Times New Roman" w:cs="Times New Roman"/>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7C52355B"/>
    <w:multiLevelType w:val="multilevel"/>
    <w:tmpl w:val="6068F4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D6D0F8B"/>
    <w:multiLevelType w:val="hybridMultilevel"/>
    <w:tmpl w:val="94587CD8"/>
    <w:lvl w:ilvl="0" w:tplc="98800C6A">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1"/>
  </w:num>
  <w:num w:numId="5">
    <w:abstractNumId w:val="7"/>
  </w:num>
  <w:num w:numId="6">
    <w:abstractNumId w:val="6"/>
  </w:num>
  <w:num w:numId="7">
    <w:abstractNumId w:val="0"/>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C8B"/>
    <w:rsid w:val="000B615B"/>
    <w:rsid w:val="000E2B2F"/>
    <w:rsid w:val="000F4DF7"/>
    <w:rsid w:val="001F5C2B"/>
    <w:rsid w:val="00237987"/>
    <w:rsid w:val="0030261E"/>
    <w:rsid w:val="004146BA"/>
    <w:rsid w:val="00514D3D"/>
    <w:rsid w:val="00B61903"/>
    <w:rsid w:val="00B93854"/>
    <w:rsid w:val="00BB18A4"/>
    <w:rsid w:val="00D63F0A"/>
    <w:rsid w:val="00D814C9"/>
    <w:rsid w:val="00E76837"/>
    <w:rsid w:val="00F2185D"/>
    <w:rsid w:val="00F34C8B"/>
    <w:rsid w:val="00F42E6D"/>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27F55"/>
  <w15:docId w15:val="{EFEAF61F-4C88-43EA-A2D5-E3F85F4AC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GT" w:eastAsia="es-GT" w:bidi="ar-SA"/>
      </w:rPr>
    </w:rPrDefault>
    <w:pPrDefault>
      <w:pPr>
        <w:spacing w:after="160" w:line="25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B9C"/>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9E6B9C"/>
    <w:rPr>
      <w:sz w:val="16"/>
      <w:szCs w:val="16"/>
    </w:rPr>
  </w:style>
  <w:style w:type="paragraph" w:styleId="Textodeglobo">
    <w:name w:val="Balloon Text"/>
    <w:basedOn w:val="Normal"/>
    <w:link w:val="TextodegloboCar"/>
    <w:uiPriority w:val="99"/>
    <w:semiHidden/>
    <w:unhideWhenUsed/>
    <w:rsid w:val="009E6B9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E6B9C"/>
    <w:rPr>
      <w:rFonts w:ascii="Segoe UI" w:eastAsia="Calibri" w:hAnsi="Segoe UI" w:cs="Segoe UI"/>
      <w:sz w:val="18"/>
      <w:szCs w:val="18"/>
      <w:lang w:eastAsia="es-GT"/>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paragraph" w:styleId="Prrafodelista">
    <w:name w:val="List Paragraph"/>
    <w:basedOn w:val="Normal"/>
    <w:uiPriority w:val="34"/>
    <w:qFormat/>
    <w:rsid w:val="004E5F9E"/>
    <w:pPr>
      <w:ind w:left="720"/>
      <w:contextualSpacing/>
    </w:pPr>
  </w:style>
  <w:style w:type="paragraph" w:styleId="Encabezado">
    <w:name w:val="header"/>
    <w:basedOn w:val="Normal"/>
    <w:link w:val="EncabezadoCar"/>
    <w:uiPriority w:val="99"/>
    <w:unhideWhenUsed/>
    <w:rsid w:val="00BB18A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B18A4"/>
  </w:style>
  <w:style w:type="paragraph" w:styleId="Piedepgina">
    <w:name w:val="footer"/>
    <w:basedOn w:val="Normal"/>
    <w:link w:val="PiedepginaCar"/>
    <w:uiPriority w:val="99"/>
    <w:unhideWhenUsed/>
    <w:rsid w:val="00BB18A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B18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6NBC/xJ9W7rOK/5OrffFPF7i7A==">CgMxLjA4AHIhMU0xOVhJNHNRNk1ScjR3RGczR1ZBLWNlTHBJVGtnZ2Ix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3192</Words>
  <Characters>17556</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Fabiola Rodriguez</dc:creator>
  <cp:lastModifiedBy>Diana Méndez Vivar</cp:lastModifiedBy>
  <cp:revision>3</cp:revision>
  <cp:lastPrinted>2023-09-11T23:37:00Z</cp:lastPrinted>
  <dcterms:created xsi:type="dcterms:W3CDTF">2023-09-11T23:41:00Z</dcterms:created>
  <dcterms:modified xsi:type="dcterms:W3CDTF">2023-09-20T14:57:00Z</dcterms:modified>
</cp:coreProperties>
</file>