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92148" w14:textId="4DC54625" w:rsidR="000775E1" w:rsidRDefault="000775E1" w:rsidP="000775E1">
      <w:pPr>
        <w:jc w:val="center"/>
        <w:rPr>
          <w:rFonts w:asciiTheme="majorBidi" w:hAnsiTheme="majorBidi" w:cstheme="majorBidi"/>
          <w:b/>
          <w:bCs/>
          <w:color w:val="2F5496" w:themeColor="accent5" w:themeShade="BF"/>
          <w:sz w:val="28"/>
          <w:szCs w:val="28"/>
        </w:rPr>
      </w:pPr>
      <w:r w:rsidRPr="002039CF">
        <w:rPr>
          <w:rFonts w:asciiTheme="majorBidi" w:hAnsiTheme="majorBidi" w:cstheme="majorBidi"/>
          <w:b/>
          <w:bCs/>
          <w:color w:val="2F5496" w:themeColor="accent5" w:themeShade="BF"/>
          <w:sz w:val="28"/>
          <w:szCs w:val="28"/>
        </w:rPr>
        <w:t xml:space="preserve">Maat for Peace’ Report submitted to The Committee on Rights of Persons with Disabilities on </w:t>
      </w:r>
      <w:r>
        <w:rPr>
          <w:rFonts w:asciiTheme="majorBidi" w:hAnsiTheme="majorBidi" w:cstheme="majorBidi"/>
          <w:b/>
          <w:bCs/>
          <w:color w:val="FF0000"/>
          <w:sz w:val="28"/>
          <w:szCs w:val="28"/>
        </w:rPr>
        <w:t>The European Union</w:t>
      </w:r>
    </w:p>
    <w:p w14:paraId="585E9DFF" w14:textId="77777777" w:rsidR="000775E1" w:rsidRPr="002039CF" w:rsidRDefault="000775E1" w:rsidP="000775E1">
      <w:pPr>
        <w:pBdr>
          <w:bottom w:val="single" w:sz="12" w:space="1" w:color="auto"/>
        </w:pBdr>
        <w:jc w:val="center"/>
        <w:rPr>
          <w:rFonts w:asciiTheme="majorBidi" w:hAnsiTheme="majorBidi" w:cstheme="majorBidi"/>
          <w:b/>
          <w:bCs/>
          <w:sz w:val="24"/>
          <w:szCs w:val="24"/>
        </w:rPr>
      </w:pPr>
      <w:r w:rsidRPr="002039CF">
        <w:rPr>
          <w:rFonts w:asciiTheme="majorBidi" w:hAnsiTheme="majorBidi" w:cstheme="majorBidi"/>
          <w:b/>
          <w:bCs/>
          <w:sz w:val="24"/>
          <w:szCs w:val="24"/>
        </w:rPr>
        <w:t>January 2025</w:t>
      </w:r>
    </w:p>
    <w:p w14:paraId="56E72594" w14:textId="4CAE9DBD" w:rsidR="000775E1" w:rsidRPr="000775E1" w:rsidRDefault="000775E1" w:rsidP="000775E1">
      <w:pPr>
        <w:jc w:val="both"/>
        <w:rPr>
          <w:rFonts w:asciiTheme="majorBidi" w:hAnsiTheme="majorBidi" w:cstheme="majorBidi"/>
          <w:sz w:val="24"/>
          <w:szCs w:val="24"/>
        </w:rPr>
      </w:pPr>
      <w:r w:rsidRPr="000775E1">
        <w:rPr>
          <w:rFonts w:asciiTheme="majorBidi" w:hAnsiTheme="majorBidi" w:cstheme="majorBidi"/>
          <w:sz w:val="24"/>
          <w:szCs w:val="24"/>
        </w:rPr>
        <w:t>The European Union signed the United Nations Convention on the Rights of Persons with Disabilities on 30 March 2007 and ratified it on 23 December 2010 (hereinafter referred to as the “Convention”). By virtue of this ratification, the European Union is now a State Party to the Convention, and has concurrent competences with Member States in certain areas of human rights, which allows it to cooperate with them in implementing those competences. In this context, the European Union submitted its second and third reports to the United Nations Committee on the Rights of Persons with Disabilities (“the Committee”) in April 2023, after submitting its first report in June 2014, to demonstrate its commitment to the provisions of the Convention</w:t>
      </w:r>
      <w:r w:rsidR="00CF70BB">
        <w:rPr>
          <w:rStyle w:val="FootnoteReference"/>
          <w:rFonts w:asciiTheme="majorBidi" w:hAnsiTheme="majorBidi" w:cstheme="majorBidi"/>
          <w:sz w:val="24"/>
          <w:szCs w:val="24"/>
        </w:rPr>
        <w:footnoteReference w:id="1"/>
      </w:r>
      <w:r w:rsidRPr="000775E1">
        <w:rPr>
          <w:rFonts w:asciiTheme="majorBidi" w:hAnsiTheme="majorBidi" w:cstheme="majorBidi"/>
          <w:sz w:val="24"/>
          <w:szCs w:val="24"/>
        </w:rPr>
        <w:t>.</w:t>
      </w:r>
    </w:p>
    <w:p w14:paraId="6FC6308C" w14:textId="67A5DDB3" w:rsidR="006B1AFB" w:rsidRDefault="000775E1" w:rsidP="000775E1">
      <w:pPr>
        <w:jc w:val="both"/>
        <w:rPr>
          <w:rFonts w:asciiTheme="majorBidi" w:hAnsiTheme="majorBidi" w:cstheme="majorBidi"/>
          <w:sz w:val="24"/>
          <w:szCs w:val="24"/>
        </w:rPr>
      </w:pPr>
      <w:r w:rsidRPr="000775E1">
        <w:rPr>
          <w:rFonts w:asciiTheme="majorBidi" w:hAnsiTheme="majorBidi" w:cstheme="majorBidi"/>
          <w:sz w:val="24"/>
          <w:szCs w:val="24"/>
        </w:rPr>
        <w:t>The European Union is home to around 70 million people with disabilities ranging from mild to severe. However, these individuals continue to face significant challenges in participating in social life on an equal footing and independently, as well as difficulties in accessing employment and healthcare</w:t>
      </w:r>
      <w:r w:rsidR="00CF70BB">
        <w:rPr>
          <w:rStyle w:val="FootnoteReference"/>
          <w:rFonts w:asciiTheme="majorBidi" w:hAnsiTheme="majorBidi" w:cstheme="majorBidi"/>
          <w:sz w:val="24"/>
          <w:szCs w:val="24"/>
        </w:rPr>
        <w:footnoteReference w:id="2"/>
      </w:r>
      <w:r w:rsidRPr="000775E1">
        <w:rPr>
          <w:rFonts w:asciiTheme="majorBidi" w:hAnsiTheme="majorBidi" w:cstheme="majorBidi"/>
          <w:sz w:val="24"/>
          <w:szCs w:val="24"/>
        </w:rPr>
        <w:t>. In this context, Maat for Peace, Development and Human Rights is submitting this report to the Committee, as the European Union will be subject to review during the Committee’s 32nd session, scheduled to be held from 3 to 21 March 2025. The report aims to assess the European Union’s compliance with the provisions of the Convention, highlighting the most prominent challenges and providing recommendations to address them, thus contributing to supporting the Committee in conducting a comprehensive and objective assessment of the European Union’s file during the next session</w:t>
      </w:r>
      <w:r w:rsidR="00CF70BB">
        <w:rPr>
          <w:rStyle w:val="FootnoteReference"/>
          <w:rFonts w:asciiTheme="majorBidi" w:hAnsiTheme="majorBidi" w:cstheme="majorBidi"/>
          <w:sz w:val="24"/>
          <w:szCs w:val="24"/>
        </w:rPr>
        <w:footnoteReference w:id="3"/>
      </w:r>
      <w:r w:rsidRPr="000775E1">
        <w:rPr>
          <w:rFonts w:asciiTheme="majorBidi" w:hAnsiTheme="majorBidi" w:cstheme="majorBidi"/>
          <w:sz w:val="24"/>
          <w:szCs w:val="24"/>
        </w:rPr>
        <w:t>.</w:t>
      </w:r>
    </w:p>
    <w:p w14:paraId="5D5BE14A" w14:textId="77777777" w:rsidR="000775E1" w:rsidRPr="000775E1" w:rsidRDefault="000775E1" w:rsidP="000775E1">
      <w:pPr>
        <w:jc w:val="both"/>
        <w:rPr>
          <w:rFonts w:asciiTheme="majorBidi" w:hAnsiTheme="majorBidi" w:cstheme="majorBidi"/>
          <w:b/>
          <w:bCs/>
          <w:color w:val="FF0000"/>
          <w:sz w:val="28"/>
          <w:szCs w:val="28"/>
        </w:rPr>
      </w:pPr>
      <w:r w:rsidRPr="000775E1">
        <w:rPr>
          <w:rFonts w:asciiTheme="majorBidi" w:hAnsiTheme="majorBidi" w:cstheme="majorBidi"/>
          <w:b/>
          <w:bCs/>
          <w:color w:val="FF0000"/>
          <w:sz w:val="28"/>
          <w:szCs w:val="28"/>
        </w:rPr>
        <w:t>Article 5 - Equality and non-discrimination</w:t>
      </w:r>
    </w:p>
    <w:p w14:paraId="28DEB6CA" w14:textId="0392B205" w:rsidR="000775E1" w:rsidRPr="000775E1" w:rsidRDefault="000775E1" w:rsidP="000775E1">
      <w:pPr>
        <w:jc w:val="both"/>
        <w:rPr>
          <w:rFonts w:asciiTheme="majorBidi" w:hAnsiTheme="majorBidi" w:cstheme="majorBidi"/>
          <w:sz w:val="24"/>
          <w:szCs w:val="24"/>
        </w:rPr>
      </w:pPr>
      <w:r w:rsidRPr="000775E1">
        <w:rPr>
          <w:rFonts w:asciiTheme="majorBidi" w:hAnsiTheme="majorBidi" w:cstheme="majorBidi"/>
          <w:sz w:val="24"/>
          <w:szCs w:val="24"/>
        </w:rPr>
        <w:t xml:space="preserve">In March 2021, the European Commission launched the “Strategy for the Rights of Persons with Disabilities 2021-2030” (hereinafter referred to as the “Strategy”), a ten-year plan to improve the lives of persons with disabilities within the European Union and globally. This strategy builds on the findings of the “European Disability Strategy 2010-2020” and places particular emphasis on ensuring equal participation and effective protection of persons with disabilities from all forms of </w:t>
      </w:r>
      <w:r w:rsidRPr="000775E1">
        <w:rPr>
          <w:rFonts w:asciiTheme="majorBidi" w:hAnsiTheme="majorBidi" w:cstheme="majorBidi"/>
          <w:sz w:val="24"/>
          <w:szCs w:val="24"/>
        </w:rPr>
        <w:lastRenderedPageBreak/>
        <w:t>discrimination and violence. The strategy also seeks to achieve equal opportunities in access to justice, education, culture, sport and tourism, while ensuring equal access to all health services</w:t>
      </w:r>
      <w:r w:rsidR="00CF70BB">
        <w:rPr>
          <w:rStyle w:val="FootnoteReference"/>
          <w:rFonts w:asciiTheme="majorBidi" w:hAnsiTheme="majorBidi" w:cstheme="majorBidi"/>
          <w:sz w:val="24"/>
          <w:szCs w:val="24"/>
        </w:rPr>
        <w:footnoteReference w:id="4"/>
      </w:r>
      <w:r w:rsidRPr="000775E1">
        <w:rPr>
          <w:rFonts w:asciiTheme="majorBidi" w:hAnsiTheme="majorBidi" w:cstheme="majorBidi"/>
          <w:sz w:val="24"/>
          <w:szCs w:val="24"/>
        </w:rPr>
        <w:t>.</w:t>
      </w:r>
    </w:p>
    <w:p w14:paraId="71174294" w14:textId="0EEE5C82" w:rsidR="000775E1" w:rsidRDefault="000775E1" w:rsidP="000775E1">
      <w:pPr>
        <w:jc w:val="both"/>
        <w:rPr>
          <w:rFonts w:asciiTheme="majorBidi" w:hAnsiTheme="majorBidi" w:cstheme="majorBidi"/>
          <w:sz w:val="24"/>
          <w:szCs w:val="24"/>
        </w:rPr>
      </w:pPr>
      <w:r w:rsidRPr="000775E1">
        <w:rPr>
          <w:rFonts w:asciiTheme="majorBidi" w:hAnsiTheme="majorBidi" w:cstheme="majorBidi"/>
          <w:sz w:val="24"/>
          <w:szCs w:val="24"/>
        </w:rPr>
        <w:t>Maat stresses that the new strategy builds on the lessons learned from its predecessor, with a focus on ensuring that all persons with disabilities in the EU enjoy their human rights without discrimination on the grounds of gender, ethnic origin, religion or belief or age. It also focuses on enabling them to participate equally in social and economic life, providing freedom to choose their place of residence, lifestyle and with whom they live, as well as facilitating their movement within the European Union without any restrictions related to their support needs, while ensuring their protection from discrimination. In this context, the inclusion and support of persons with disabilities is a fundamental obligation under Article 19 of the Treaty on the Functioning of the European Union and Article 26 of the Charter of Fundamental Rights of the European Union. However, despite these legal obligations, the vast majority of persons with disabilities, who constitute around 100 million people within the European Union, continue to suffer from social exclusion. They also face significant challenges in the labour market, as they are more likely to be unemployed, with only 51.3% of them working compared to 75.6% of people without disabilities</w:t>
      </w:r>
      <w:r w:rsidR="00CF70BB">
        <w:rPr>
          <w:rStyle w:val="FootnoteReference"/>
          <w:rFonts w:asciiTheme="majorBidi" w:hAnsiTheme="majorBidi" w:cstheme="majorBidi"/>
          <w:sz w:val="24"/>
          <w:szCs w:val="24"/>
        </w:rPr>
        <w:footnoteReference w:id="5"/>
      </w:r>
      <w:r w:rsidRPr="000775E1">
        <w:rPr>
          <w:rFonts w:asciiTheme="majorBidi" w:hAnsiTheme="majorBidi" w:cstheme="majorBidi"/>
          <w:sz w:val="24"/>
          <w:szCs w:val="24"/>
        </w:rPr>
        <w:t>. Moreover, they face discrimination and the risk of poverty and social marginalization to a greater extent than others, with reports indicating that 52% of persons with disabilities feel at least discriminated against based on their testimonies. This situation reflects a significant delay in fulfilling the EU's obligations under Article 5 of the Convention on the Rights of Persons with Disabilities to date</w:t>
      </w:r>
      <w:r w:rsidR="00CF70BB">
        <w:rPr>
          <w:rStyle w:val="FootnoteReference"/>
          <w:rFonts w:asciiTheme="majorBidi" w:hAnsiTheme="majorBidi" w:cstheme="majorBidi"/>
          <w:sz w:val="24"/>
          <w:szCs w:val="24"/>
        </w:rPr>
        <w:footnoteReference w:id="6"/>
      </w:r>
      <w:r w:rsidRPr="000775E1">
        <w:rPr>
          <w:rFonts w:asciiTheme="majorBidi" w:hAnsiTheme="majorBidi" w:cstheme="majorBidi"/>
          <w:sz w:val="24"/>
          <w:szCs w:val="24"/>
        </w:rPr>
        <w:t>.</w:t>
      </w:r>
    </w:p>
    <w:p w14:paraId="3B3C1244" w14:textId="77777777" w:rsidR="005E7AA9" w:rsidRPr="005E7AA9" w:rsidRDefault="005E7AA9" w:rsidP="005E7AA9">
      <w:pPr>
        <w:jc w:val="both"/>
        <w:rPr>
          <w:rFonts w:asciiTheme="majorBidi" w:hAnsiTheme="majorBidi" w:cstheme="majorBidi"/>
          <w:b/>
          <w:bCs/>
          <w:color w:val="FF0000"/>
          <w:sz w:val="28"/>
          <w:szCs w:val="28"/>
        </w:rPr>
      </w:pPr>
      <w:r w:rsidRPr="005E7AA9">
        <w:rPr>
          <w:rFonts w:asciiTheme="majorBidi" w:hAnsiTheme="majorBidi" w:cstheme="majorBidi"/>
          <w:b/>
          <w:bCs/>
          <w:color w:val="FF0000"/>
          <w:sz w:val="28"/>
          <w:szCs w:val="28"/>
        </w:rPr>
        <w:t>Article 9 - Accessibility</w:t>
      </w:r>
    </w:p>
    <w:p w14:paraId="56CA3E0C" w14:textId="27BB3B1C" w:rsidR="001B2987" w:rsidRDefault="005E7AA9" w:rsidP="005E7AA9">
      <w:pPr>
        <w:jc w:val="both"/>
        <w:rPr>
          <w:rFonts w:asciiTheme="majorBidi" w:hAnsiTheme="majorBidi" w:cstheme="majorBidi"/>
          <w:sz w:val="24"/>
          <w:szCs w:val="24"/>
        </w:rPr>
      </w:pPr>
      <w:r w:rsidRPr="005E7AA9">
        <w:rPr>
          <w:rFonts w:asciiTheme="majorBidi" w:hAnsiTheme="majorBidi" w:cstheme="majorBidi"/>
          <w:sz w:val="24"/>
          <w:szCs w:val="24"/>
        </w:rPr>
        <w:t xml:space="preserve">The new strategy includes a set of measures and initiatives across various fields, most notably improving accessibility, which is an essential element for ensuring freedom of movement and enabling persons with disabilities to fully participate in public and private life, while enhancing their independence and ability to make their own decisions. In this context, Maat has recently monitored positive steps taken by the European Union. In October 2024, the Council of the European Union adopted two new directives that facilitate travel for persons with disabilities within the EU. The first relates to the establishment of the “European Disability Card”, while the second relates to the establishment of the “European Parking Card for Persons with Disabilities”. These two directives aim to ensure equal access to privileges or preferential treatment during short </w:t>
      </w:r>
      <w:r w:rsidRPr="005E7AA9">
        <w:rPr>
          <w:rFonts w:asciiTheme="majorBidi" w:hAnsiTheme="majorBidi" w:cstheme="majorBidi"/>
          <w:sz w:val="24"/>
          <w:szCs w:val="24"/>
        </w:rPr>
        <w:lastRenderedPageBreak/>
        <w:t>stays in EU countries, including reduced or exempted entry fees, priority access, assistance, and the provision of dedicated parking spaces. The scope of these provisions has been extended to include non-EU citizens legally residing in EU countries, allowing them to use these cards during their short stays in EU member states</w:t>
      </w:r>
      <w:r w:rsidR="001B2987">
        <w:rPr>
          <w:rStyle w:val="FootnoteReference"/>
          <w:rFonts w:asciiTheme="majorBidi" w:hAnsiTheme="majorBidi" w:cstheme="majorBidi"/>
          <w:sz w:val="24"/>
          <w:szCs w:val="24"/>
        </w:rPr>
        <w:footnoteReference w:id="7"/>
      </w:r>
      <w:r w:rsidRPr="005E7AA9">
        <w:rPr>
          <w:rFonts w:asciiTheme="majorBidi" w:hAnsiTheme="majorBidi" w:cstheme="majorBidi"/>
          <w:sz w:val="24"/>
          <w:szCs w:val="24"/>
        </w:rPr>
        <w:t>.</w:t>
      </w:r>
    </w:p>
    <w:p w14:paraId="04CC10C1" w14:textId="00B998F8" w:rsidR="000775E1" w:rsidRDefault="005E7AA9" w:rsidP="005E7AA9">
      <w:pPr>
        <w:jc w:val="both"/>
        <w:rPr>
          <w:rFonts w:asciiTheme="majorBidi" w:hAnsiTheme="majorBidi" w:cstheme="majorBidi"/>
          <w:sz w:val="24"/>
          <w:szCs w:val="24"/>
        </w:rPr>
      </w:pPr>
      <w:r w:rsidRPr="005E7AA9">
        <w:rPr>
          <w:rFonts w:asciiTheme="majorBidi" w:hAnsiTheme="majorBidi" w:cstheme="majorBidi"/>
          <w:sz w:val="24"/>
          <w:szCs w:val="24"/>
        </w:rPr>
        <w:t>On the other hand, in November 2024, the European Council held negotiations that could lead to the rollback of some of the improvements proposed by the European Commission on the rights of passengers with disabilities. The Council seeks to remove the provision that requires airlines to allow the accompanying person to travel free of charge in cases where the airline requires people with disabilities to travel with an accompanying person. According to the proposal, airlines will only bear the cost of the passenger’s ticket, while airport fees and other charges will remain the responsibility of the passenger. Maat considers this proposal to be a very worrying step, as the additional fees constitute a large part of the total cost of the ticket. The adoption of this decision would also hinder the effective implementation of the provisions contained in Article 9 of the Convention on the Rights of Persons with Disabilities as required</w:t>
      </w:r>
      <w:r w:rsidR="001B2987">
        <w:rPr>
          <w:rStyle w:val="FootnoteReference"/>
          <w:rFonts w:asciiTheme="majorBidi" w:hAnsiTheme="majorBidi" w:cstheme="majorBidi"/>
          <w:sz w:val="24"/>
          <w:szCs w:val="24"/>
        </w:rPr>
        <w:footnoteReference w:id="8"/>
      </w:r>
      <w:r w:rsidRPr="005E7AA9">
        <w:rPr>
          <w:rFonts w:asciiTheme="majorBidi" w:hAnsiTheme="majorBidi" w:cstheme="majorBidi"/>
          <w:sz w:val="24"/>
          <w:szCs w:val="24"/>
        </w:rPr>
        <w:t>.</w:t>
      </w:r>
    </w:p>
    <w:p w14:paraId="01C92F92" w14:textId="77777777" w:rsidR="005E7AA9" w:rsidRPr="005E7AA9" w:rsidRDefault="005E7AA9" w:rsidP="005E7AA9">
      <w:pPr>
        <w:jc w:val="both"/>
        <w:rPr>
          <w:rFonts w:asciiTheme="majorBidi" w:hAnsiTheme="majorBidi" w:cstheme="majorBidi"/>
          <w:b/>
          <w:bCs/>
          <w:color w:val="FF0000"/>
          <w:sz w:val="28"/>
          <w:szCs w:val="28"/>
        </w:rPr>
      </w:pPr>
      <w:r w:rsidRPr="005E7AA9">
        <w:rPr>
          <w:rFonts w:asciiTheme="majorBidi" w:hAnsiTheme="majorBidi" w:cstheme="majorBidi"/>
          <w:b/>
          <w:bCs/>
          <w:color w:val="FF0000"/>
          <w:sz w:val="28"/>
          <w:szCs w:val="28"/>
        </w:rPr>
        <w:t>Article 12 - Equal recognition before the law</w:t>
      </w:r>
    </w:p>
    <w:p w14:paraId="0CDC7CB3" w14:textId="64A5D3A5" w:rsidR="005E7AA9" w:rsidRDefault="005E7AA9" w:rsidP="005E7AA9">
      <w:pPr>
        <w:jc w:val="both"/>
        <w:rPr>
          <w:rFonts w:asciiTheme="majorBidi" w:hAnsiTheme="majorBidi" w:cstheme="majorBidi"/>
          <w:sz w:val="24"/>
          <w:szCs w:val="24"/>
        </w:rPr>
      </w:pPr>
      <w:r w:rsidRPr="005E7AA9">
        <w:rPr>
          <w:rFonts w:asciiTheme="majorBidi" w:hAnsiTheme="majorBidi" w:cstheme="majorBidi"/>
          <w:sz w:val="24"/>
          <w:szCs w:val="24"/>
        </w:rPr>
        <w:t>Maat notes that EU Member States have not fully complied with Article 12 of the Convention on the Rights of Persons with Disabilities, which guarantees equal recognition of the legal capacity of persons with disabilities before the law. Many Member States still have policies that allow persons with disabilities to be deprived of their legal capacity, either completely or partially. In this regard, Maat notes that 12 EU Member States allow persons with disabilities to be deprived of their legal capacity completely, while 9 allow partial deprivation. On the other hand, 6 countries have abolished almost all forms of deprivation of legal capacity, but still impose some exceptions. The EU and the Council of Europe, including the European Court of Human Rights, have not yet taken sufficient measures to promote and protect the legal capacity of persons with disabilities. This failure reflects a failure to guarantee the autonomy and right to make decisions for themselves, which calls for further efforts to achieve full compliance with Article 12 of the Convention</w:t>
      </w:r>
      <w:r w:rsidR="001B2987">
        <w:rPr>
          <w:rStyle w:val="FootnoteReference"/>
          <w:rFonts w:asciiTheme="majorBidi" w:hAnsiTheme="majorBidi" w:cstheme="majorBidi"/>
          <w:sz w:val="24"/>
          <w:szCs w:val="24"/>
        </w:rPr>
        <w:footnoteReference w:id="9"/>
      </w:r>
      <w:r w:rsidRPr="005E7AA9">
        <w:rPr>
          <w:rFonts w:asciiTheme="majorBidi" w:hAnsiTheme="majorBidi" w:cstheme="majorBidi"/>
          <w:sz w:val="24"/>
          <w:szCs w:val="24"/>
        </w:rPr>
        <w:t>.</w:t>
      </w:r>
    </w:p>
    <w:p w14:paraId="5E67E6B6" w14:textId="77777777" w:rsidR="005E7AA9" w:rsidRPr="005E7AA9" w:rsidRDefault="005E7AA9" w:rsidP="005E7AA9">
      <w:pPr>
        <w:jc w:val="both"/>
        <w:rPr>
          <w:rFonts w:asciiTheme="majorBidi" w:hAnsiTheme="majorBidi" w:cstheme="majorBidi"/>
          <w:b/>
          <w:bCs/>
          <w:color w:val="FF0000"/>
          <w:sz w:val="28"/>
          <w:szCs w:val="28"/>
        </w:rPr>
      </w:pPr>
      <w:r w:rsidRPr="005E7AA9">
        <w:rPr>
          <w:rFonts w:asciiTheme="majorBidi" w:hAnsiTheme="majorBidi" w:cstheme="majorBidi"/>
          <w:b/>
          <w:bCs/>
          <w:color w:val="FF0000"/>
          <w:sz w:val="28"/>
          <w:szCs w:val="28"/>
        </w:rPr>
        <w:t>Article 24 – Education</w:t>
      </w:r>
    </w:p>
    <w:p w14:paraId="530AC243" w14:textId="704016D9" w:rsidR="005E7AA9" w:rsidRPr="005E7AA9" w:rsidRDefault="005E7AA9" w:rsidP="005E7AA9">
      <w:pPr>
        <w:jc w:val="both"/>
        <w:rPr>
          <w:rFonts w:asciiTheme="majorBidi" w:hAnsiTheme="majorBidi" w:cstheme="majorBidi"/>
          <w:sz w:val="24"/>
          <w:szCs w:val="24"/>
        </w:rPr>
      </w:pPr>
      <w:r w:rsidRPr="005E7AA9">
        <w:rPr>
          <w:rFonts w:asciiTheme="majorBidi" w:hAnsiTheme="majorBidi" w:cstheme="majorBidi"/>
          <w:sz w:val="24"/>
          <w:szCs w:val="24"/>
        </w:rPr>
        <w:t xml:space="preserve">Maat has observed that over the past five decades, special schools in many European countries have been criticized for isolating students with disabilities, limiting their academic and social </w:t>
      </w:r>
      <w:r w:rsidRPr="005E7AA9">
        <w:rPr>
          <w:rFonts w:asciiTheme="majorBidi" w:hAnsiTheme="majorBidi" w:cstheme="majorBidi"/>
          <w:sz w:val="24"/>
          <w:szCs w:val="24"/>
        </w:rPr>
        <w:lastRenderedPageBreak/>
        <w:t>opportunities. Experience has shown that segregated schools are not only harmful to students with disabilities, but also negatively impact their peers, fostering an environment of exclusion and perpetuating social stigmas associated with disability. They also undermine the principles of inclusion and diversity, hindering the integral development of all children. To address these challenges, the European Union supports Member States’ efforts to improve education. A European Schools Task Force has been established to address the recommendations adopted by the Committee in its 2015 Concluding Observations</w:t>
      </w:r>
      <w:r w:rsidR="001B2987">
        <w:rPr>
          <w:rStyle w:val="FootnoteReference"/>
          <w:rFonts w:asciiTheme="majorBidi" w:hAnsiTheme="majorBidi" w:cstheme="majorBidi"/>
          <w:sz w:val="24"/>
          <w:szCs w:val="24"/>
        </w:rPr>
        <w:footnoteReference w:id="10"/>
      </w:r>
      <w:r w:rsidRPr="005E7AA9">
        <w:rPr>
          <w:rFonts w:asciiTheme="majorBidi" w:hAnsiTheme="majorBidi" w:cstheme="majorBidi"/>
          <w:sz w:val="24"/>
          <w:szCs w:val="24"/>
        </w:rPr>
        <w:t>.</w:t>
      </w:r>
    </w:p>
    <w:p w14:paraId="755DC10F" w14:textId="28C445F3" w:rsidR="001B2987" w:rsidRDefault="005E7AA9" w:rsidP="005E7AA9">
      <w:pPr>
        <w:jc w:val="both"/>
        <w:rPr>
          <w:rFonts w:asciiTheme="majorBidi" w:hAnsiTheme="majorBidi" w:cstheme="majorBidi"/>
          <w:sz w:val="24"/>
          <w:szCs w:val="24"/>
        </w:rPr>
      </w:pPr>
      <w:r w:rsidRPr="005E7AA9">
        <w:rPr>
          <w:rFonts w:asciiTheme="majorBidi" w:hAnsiTheme="majorBidi" w:cstheme="majorBidi"/>
          <w:sz w:val="24"/>
          <w:szCs w:val="24"/>
        </w:rPr>
        <w:t>Furthermore, the EU Disability Strategy 2021-2030, launched by the European Commission in March 2021, places inclusive education as a key priority. The strategy aims to improve the educational experiences of children with disabilities across Europe, with a focus on enhancing accessibility, improving teaching practices, increasing support, and ensuring that every child is given the opportunity to succeed, regardless of their abilities. As a result of these efforts, recent data indicate that around 65% of children with disabilities in Europe are now enrolled in regular schools, although this percentage varies from country to country and from one type of disability to another</w:t>
      </w:r>
      <w:r w:rsidR="001B2987">
        <w:rPr>
          <w:rStyle w:val="FootnoteReference"/>
          <w:rFonts w:asciiTheme="majorBidi" w:hAnsiTheme="majorBidi" w:cstheme="majorBidi"/>
          <w:sz w:val="24"/>
          <w:szCs w:val="24"/>
        </w:rPr>
        <w:footnoteReference w:id="11"/>
      </w:r>
      <w:r w:rsidRPr="005E7AA9">
        <w:rPr>
          <w:rFonts w:asciiTheme="majorBidi" w:hAnsiTheme="majorBidi" w:cstheme="majorBidi"/>
          <w:sz w:val="24"/>
          <w:szCs w:val="24"/>
        </w:rPr>
        <w:t>.</w:t>
      </w:r>
    </w:p>
    <w:p w14:paraId="21D2723F" w14:textId="1D73EA08" w:rsidR="005E7AA9" w:rsidRDefault="005E7AA9" w:rsidP="005E7AA9">
      <w:pPr>
        <w:jc w:val="both"/>
        <w:rPr>
          <w:rFonts w:asciiTheme="majorBidi" w:hAnsiTheme="majorBidi" w:cstheme="majorBidi"/>
          <w:sz w:val="24"/>
          <w:szCs w:val="24"/>
        </w:rPr>
      </w:pPr>
      <w:r w:rsidRPr="005E7AA9">
        <w:rPr>
          <w:rFonts w:asciiTheme="majorBidi" w:hAnsiTheme="majorBidi" w:cstheme="majorBidi"/>
          <w:sz w:val="24"/>
          <w:szCs w:val="24"/>
        </w:rPr>
        <w:t>However, significant challenges remain to provide education for people with disabilities in accordance with the provisions of Article 24 of the Convention. In this context, Maat documents that many old school buildings, especially in rural areas or historic neighborhoods, lack the necessary facilities for people with disabilities, such as ramps, lifts, and accessible bathrooms. These infrastructure gaps prevent many students with disabilities from fully accessing their schools. The lack of qualified staff is another challenge, as many teachers and assistants lack the necessary training to effectively meet the needs of students with disabilities. Some teachers have also expressed their inability to deal with these needs in the classroom. Social and behavioral barriers remain an obstacle to inclusive education within the EU, as stigma against students with disabilities persists in many countries, often starting with teachers, colleagues, and even parents. These negative attitudes lead to bullying and limit the opportunities for social integration of these students. Finally, Maat notes that standardized curricula often fail to meet the needs of students with disabilities, requiring more efforts to prepare schools and provide them with the tools and strategies necessary to adapt education and assess students with different abilities</w:t>
      </w:r>
      <w:r w:rsidR="001B2987">
        <w:rPr>
          <w:rStyle w:val="FootnoteReference"/>
          <w:rFonts w:asciiTheme="majorBidi" w:hAnsiTheme="majorBidi" w:cstheme="majorBidi"/>
          <w:sz w:val="24"/>
          <w:szCs w:val="24"/>
        </w:rPr>
        <w:footnoteReference w:id="12"/>
      </w:r>
      <w:r w:rsidRPr="005E7AA9">
        <w:rPr>
          <w:rFonts w:asciiTheme="majorBidi" w:hAnsiTheme="majorBidi" w:cstheme="majorBidi"/>
          <w:sz w:val="24"/>
          <w:szCs w:val="24"/>
        </w:rPr>
        <w:t>.</w:t>
      </w:r>
    </w:p>
    <w:p w14:paraId="7996EC00" w14:textId="54ADB378" w:rsidR="005C4A5E" w:rsidRPr="005C4A5E" w:rsidRDefault="005C4A5E" w:rsidP="005C4A5E">
      <w:pPr>
        <w:jc w:val="both"/>
        <w:rPr>
          <w:rFonts w:asciiTheme="majorBidi" w:hAnsiTheme="majorBidi" w:cstheme="majorBidi"/>
          <w:b/>
          <w:bCs/>
          <w:color w:val="FF0000"/>
          <w:sz w:val="28"/>
          <w:szCs w:val="28"/>
        </w:rPr>
      </w:pPr>
      <w:r w:rsidRPr="005C4A5E">
        <w:rPr>
          <w:rFonts w:asciiTheme="majorBidi" w:hAnsiTheme="majorBidi" w:cstheme="majorBidi"/>
          <w:b/>
          <w:bCs/>
          <w:color w:val="FF0000"/>
          <w:sz w:val="28"/>
          <w:szCs w:val="28"/>
        </w:rPr>
        <w:lastRenderedPageBreak/>
        <w:t>Article 29 - Participation in political and public life</w:t>
      </w:r>
    </w:p>
    <w:p w14:paraId="54C825CB" w14:textId="496B4918" w:rsidR="005C4A5E" w:rsidRPr="005C4A5E" w:rsidRDefault="005C4A5E" w:rsidP="005C4A5E">
      <w:pPr>
        <w:jc w:val="both"/>
        <w:rPr>
          <w:rFonts w:asciiTheme="majorBidi" w:hAnsiTheme="majorBidi" w:cstheme="majorBidi"/>
          <w:sz w:val="24"/>
          <w:szCs w:val="24"/>
        </w:rPr>
      </w:pPr>
      <w:r w:rsidRPr="005C4A5E">
        <w:rPr>
          <w:rFonts w:asciiTheme="majorBidi" w:hAnsiTheme="majorBidi" w:cstheme="majorBidi"/>
          <w:sz w:val="24"/>
          <w:szCs w:val="24"/>
        </w:rPr>
        <w:t>The European Union has paid increasing attention to the political rights of persons with disabilities in recent years. In its 2020 Strategy and Citizenship Report, the European Commission committed to supporting the rights of persons with disabilities to electoral participation. Indeed, the Commission facilitates the exchange of good practices within the European Cooperation Network on Elections and has commissioned studies on the political participation of persons with disabilities. In its proposal to rewrite the Directive on Voting Rights for EU Citizens on the Move, the Commission imposed a requirement on Member States to provide electoral information to persons with disabilities and older persons, as well as to provide digital information to facilitate access to political information for persons with disabilities</w:t>
      </w:r>
      <w:r w:rsidR="00B260BE">
        <w:rPr>
          <w:rStyle w:val="FootnoteReference"/>
          <w:rFonts w:asciiTheme="majorBidi" w:hAnsiTheme="majorBidi" w:cstheme="majorBidi"/>
          <w:sz w:val="24"/>
          <w:szCs w:val="24"/>
        </w:rPr>
        <w:footnoteReference w:id="13"/>
      </w:r>
      <w:r w:rsidRPr="005C4A5E">
        <w:rPr>
          <w:rFonts w:asciiTheme="majorBidi" w:hAnsiTheme="majorBidi" w:cstheme="majorBidi"/>
          <w:sz w:val="24"/>
          <w:szCs w:val="24"/>
        </w:rPr>
        <w:t>.</w:t>
      </w:r>
    </w:p>
    <w:p w14:paraId="0C0BFBC2" w14:textId="42C5F0AE" w:rsidR="00B260BE" w:rsidRDefault="005C4A5E" w:rsidP="005C4A5E">
      <w:pPr>
        <w:jc w:val="both"/>
        <w:rPr>
          <w:rFonts w:asciiTheme="majorBidi" w:hAnsiTheme="majorBidi" w:cstheme="majorBidi"/>
          <w:sz w:val="24"/>
          <w:szCs w:val="24"/>
        </w:rPr>
      </w:pPr>
      <w:r w:rsidRPr="005C4A5E">
        <w:rPr>
          <w:rFonts w:asciiTheme="majorBidi" w:hAnsiTheme="majorBidi" w:cstheme="majorBidi"/>
          <w:sz w:val="24"/>
          <w:szCs w:val="24"/>
        </w:rPr>
        <w:t>However, Maat points out that persons with disabilities continue to be excluded from some aspects of political life in the EU. Human rights reports have revealed that the websites of major political parties in Europe are still not adequately adapted to meet the needs of persons with disabilities. These parties include the European People’s Party, the Party of European Socialists, the European Green Party, the European Left Party and the Identity and Democracy Party. These conditions contribute to the violation of the right of persons with disabilities to political and party participation within Europe. Reports have also shown that European political parties do not sufficiently commit to providing information in a way that facilitates access for all voters, regardless of their special needs. This neglect not only harms the rights of persons with disabilities, but also negatively affects the democratic process as a whole</w:t>
      </w:r>
      <w:r w:rsidR="00B260BE">
        <w:rPr>
          <w:rStyle w:val="FootnoteReference"/>
          <w:rFonts w:asciiTheme="majorBidi" w:hAnsiTheme="majorBidi" w:cstheme="majorBidi"/>
          <w:sz w:val="24"/>
          <w:szCs w:val="24"/>
        </w:rPr>
        <w:footnoteReference w:id="14"/>
      </w:r>
      <w:r w:rsidRPr="005C4A5E">
        <w:rPr>
          <w:rFonts w:asciiTheme="majorBidi" w:hAnsiTheme="majorBidi" w:cstheme="majorBidi"/>
          <w:sz w:val="24"/>
          <w:szCs w:val="24"/>
        </w:rPr>
        <w:t>.</w:t>
      </w:r>
    </w:p>
    <w:p w14:paraId="491F0522" w14:textId="79FF11B1" w:rsidR="005C4A5E" w:rsidRDefault="005C4A5E" w:rsidP="005C4A5E">
      <w:pPr>
        <w:jc w:val="both"/>
        <w:rPr>
          <w:rFonts w:asciiTheme="majorBidi" w:hAnsiTheme="majorBidi" w:cstheme="majorBidi"/>
          <w:sz w:val="24"/>
          <w:szCs w:val="24"/>
        </w:rPr>
      </w:pPr>
      <w:r w:rsidRPr="005C4A5E">
        <w:rPr>
          <w:rFonts w:asciiTheme="majorBidi" w:hAnsiTheme="majorBidi" w:cstheme="majorBidi"/>
          <w:sz w:val="24"/>
          <w:szCs w:val="24"/>
        </w:rPr>
        <w:t>With regard to the needs of persons with disabilities, some political party websites suffer from unjustified barriers to accessibility, which leads to the exclusion of segments of users and the violation of their right to access information. Among the most prominent problems monitored by the reports are the poor color contrast on some websites, in addition to some parties removing codes that support the needs of users with disabilities, which has deliberately made those websites less accessible. These practices contribute to undermining the proper implementation of the provisions of Article 29 of the Convention, which emphasizes ensuring the full and effective participation of persons with disabilities in political and public life</w:t>
      </w:r>
      <w:r w:rsidR="00B260BE">
        <w:rPr>
          <w:rStyle w:val="FootnoteReference"/>
          <w:rFonts w:asciiTheme="majorBidi" w:hAnsiTheme="majorBidi" w:cstheme="majorBidi"/>
          <w:sz w:val="24"/>
          <w:szCs w:val="24"/>
        </w:rPr>
        <w:footnoteReference w:id="15"/>
      </w:r>
      <w:r w:rsidRPr="005C4A5E">
        <w:rPr>
          <w:rFonts w:asciiTheme="majorBidi" w:hAnsiTheme="majorBidi" w:cstheme="majorBidi"/>
          <w:sz w:val="24"/>
          <w:szCs w:val="24"/>
        </w:rPr>
        <w:t>.</w:t>
      </w:r>
    </w:p>
    <w:p w14:paraId="358ABD8F" w14:textId="18FA0A43" w:rsidR="005C4A5E" w:rsidRPr="005C4A5E" w:rsidRDefault="005C4A5E" w:rsidP="005C4A5E">
      <w:pPr>
        <w:jc w:val="both"/>
        <w:rPr>
          <w:rFonts w:asciiTheme="majorBidi" w:hAnsiTheme="majorBidi" w:cstheme="majorBidi"/>
          <w:b/>
          <w:bCs/>
          <w:color w:val="FF0000"/>
          <w:sz w:val="28"/>
          <w:szCs w:val="28"/>
        </w:rPr>
      </w:pPr>
      <w:r w:rsidRPr="005C4A5E">
        <w:rPr>
          <w:rFonts w:asciiTheme="majorBidi" w:hAnsiTheme="majorBidi" w:cstheme="majorBidi"/>
          <w:b/>
          <w:bCs/>
          <w:color w:val="FF0000"/>
          <w:sz w:val="28"/>
          <w:szCs w:val="28"/>
        </w:rPr>
        <w:t>Article 30 – Participation in cultural life, leisure, entertainment and sport</w:t>
      </w:r>
    </w:p>
    <w:p w14:paraId="2696F5BC" w14:textId="7D24875C" w:rsidR="005C4A5E" w:rsidRPr="005C4A5E" w:rsidRDefault="005C4A5E" w:rsidP="005C4A5E">
      <w:pPr>
        <w:jc w:val="both"/>
        <w:rPr>
          <w:rFonts w:asciiTheme="majorBidi" w:hAnsiTheme="majorBidi" w:cstheme="majorBidi"/>
          <w:sz w:val="24"/>
          <w:szCs w:val="24"/>
        </w:rPr>
      </w:pPr>
      <w:r w:rsidRPr="005C4A5E">
        <w:rPr>
          <w:rFonts w:asciiTheme="majorBidi" w:hAnsiTheme="majorBidi" w:cstheme="majorBidi"/>
          <w:sz w:val="24"/>
          <w:szCs w:val="24"/>
        </w:rPr>
        <w:lastRenderedPageBreak/>
        <w:t>Recent human rights reports indicate that the number of persons with disabilities living in isolated and unsafe environments is increasing in many EU Member States. It is currently estimated that 1.4 million persons with disabilities, both children and adults under the age of 65, live in such environments, compared with 1.1 million a decade ago. This increase raises concerns about the extent to which persons with disabilities are included in cultural life, leisure and sporting activities within the EU. The data shows that 13 Member States have seen an increase in the number of adults with disabilities living in institutions compared with ten years ago, and the number of children in such institutions has increased to 466,000</w:t>
      </w:r>
      <w:r w:rsidR="00860E01">
        <w:rPr>
          <w:rStyle w:val="FootnoteReference"/>
          <w:rFonts w:asciiTheme="majorBidi" w:hAnsiTheme="majorBidi" w:cstheme="majorBidi"/>
          <w:sz w:val="24"/>
          <w:szCs w:val="24"/>
        </w:rPr>
        <w:footnoteReference w:id="16"/>
      </w:r>
      <w:r w:rsidRPr="005C4A5E">
        <w:rPr>
          <w:rFonts w:asciiTheme="majorBidi" w:hAnsiTheme="majorBidi" w:cstheme="majorBidi"/>
          <w:sz w:val="24"/>
          <w:szCs w:val="24"/>
        </w:rPr>
        <w:t>.</w:t>
      </w:r>
    </w:p>
    <w:p w14:paraId="53AA6FA1" w14:textId="6813B2B7" w:rsidR="005C4A5E" w:rsidRDefault="005C4A5E" w:rsidP="005C4A5E">
      <w:pPr>
        <w:jc w:val="both"/>
        <w:rPr>
          <w:rFonts w:asciiTheme="majorBidi" w:hAnsiTheme="majorBidi" w:cstheme="majorBidi"/>
          <w:sz w:val="24"/>
          <w:szCs w:val="24"/>
        </w:rPr>
      </w:pPr>
      <w:r w:rsidRPr="005C4A5E">
        <w:rPr>
          <w:rFonts w:asciiTheme="majorBidi" w:hAnsiTheme="majorBidi" w:cstheme="majorBidi"/>
          <w:sz w:val="24"/>
          <w:szCs w:val="24"/>
        </w:rPr>
        <w:t xml:space="preserve">In a related context, it has been reported that at least 852,000 persons with intellectual disabilities live in segregated care institutions across Europe, in addition to a further 32,000 in psychiatric hospitals. Maat notes that forcing adults with intellectual disabilities to live in institutions results in their excessive exclusion from society, reducing their opportunities for social relationships outside of these institutions. They also face difficulty in accessing public services compared to the rest of society. </w:t>
      </w:r>
      <w:r>
        <w:rPr>
          <w:rFonts w:asciiTheme="majorBidi" w:hAnsiTheme="majorBidi" w:cstheme="majorBidi"/>
          <w:sz w:val="24"/>
          <w:szCs w:val="24"/>
        </w:rPr>
        <w:t xml:space="preserve">Maat </w:t>
      </w:r>
      <w:r w:rsidRPr="005C4A5E">
        <w:rPr>
          <w:rFonts w:asciiTheme="majorBidi" w:hAnsiTheme="majorBidi" w:cstheme="majorBidi"/>
          <w:sz w:val="24"/>
          <w:szCs w:val="24"/>
        </w:rPr>
        <w:t>points out that many of these institutions are located on the outskirts of cities or in rural areas, which increases their spatial isolation and reduces their opportunities for access to employment and public services, as well as their participation in cultural life, recreational activities and sports, which is in clear contradiction to the provisions of Article 30 of the Convention on the Rights of Persons with Disabilities</w:t>
      </w:r>
      <w:r w:rsidR="00574AD7">
        <w:rPr>
          <w:rStyle w:val="FootnoteReference"/>
          <w:rFonts w:asciiTheme="majorBidi" w:hAnsiTheme="majorBidi" w:cstheme="majorBidi"/>
          <w:sz w:val="24"/>
          <w:szCs w:val="24"/>
        </w:rPr>
        <w:footnoteReference w:id="17"/>
      </w:r>
      <w:r w:rsidRPr="005C4A5E">
        <w:rPr>
          <w:rFonts w:asciiTheme="majorBidi" w:hAnsiTheme="majorBidi" w:cstheme="majorBidi"/>
          <w:sz w:val="24"/>
          <w:szCs w:val="24"/>
        </w:rPr>
        <w:t>.</w:t>
      </w:r>
    </w:p>
    <w:p w14:paraId="12508A21" w14:textId="37AF84AB" w:rsidR="005C4A5E" w:rsidRPr="005C4A5E" w:rsidRDefault="005C4A5E" w:rsidP="005C4A5E">
      <w:pPr>
        <w:jc w:val="both"/>
        <w:rPr>
          <w:rFonts w:asciiTheme="majorBidi" w:hAnsiTheme="majorBidi" w:cstheme="majorBidi"/>
          <w:b/>
          <w:bCs/>
          <w:color w:val="FF0000"/>
          <w:sz w:val="28"/>
          <w:szCs w:val="28"/>
        </w:rPr>
      </w:pPr>
      <w:r w:rsidRPr="005C4A5E">
        <w:rPr>
          <w:rFonts w:asciiTheme="majorBidi" w:hAnsiTheme="majorBidi" w:cstheme="majorBidi"/>
          <w:b/>
          <w:bCs/>
          <w:color w:val="FF0000"/>
          <w:sz w:val="28"/>
          <w:szCs w:val="28"/>
        </w:rPr>
        <w:t>Recommendations</w:t>
      </w:r>
    </w:p>
    <w:p w14:paraId="36CFD075" w14:textId="63816258" w:rsidR="005C4A5E" w:rsidRPr="005C4A5E" w:rsidRDefault="005C4A5E" w:rsidP="005C4A5E">
      <w:pPr>
        <w:jc w:val="both"/>
        <w:rPr>
          <w:rFonts w:asciiTheme="majorBidi" w:hAnsiTheme="majorBidi" w:cstheme="majorBidi"/>
          <w:b/>
          <w:bCs/>
          <w:sz w:val="24"/>
          <w:szCs w:val="24"/>
        </w:rPr>
      </w:pPr>
      <w:r w:rsidRPr="005C4A5E">
        <w:rPr>
          <w:rFonts w:asciiTheme="majorBidi" w:hAnsiTheme="majorBidi" w:cstheme="majorBidi"/>
          <w:b/>
          <w:bCs/>
          <w:sz w:val="24"/>
          <w:szCs w:val="24"/>
        </w:rPr>
        <w:t>Maat for Peace, Development and Human Rights presents the following recommendations to the European Union to enhance the optimal implementation of the Convention on the Rights of Persons with Disabilities:</w:t>
      </w:r>
    </w:p>
    <w:p w14:paraId="5D7CE262" w14:textId="4A65C948" w:rsidR="005C4A5E" w:rsidRDefault="005C4A5E" w:rsidP="005C4A5E">
      <w:pPr>
        <w:pStyle w:val="ListParagraph"/>
        <w:numPr>
          <w:ilvl w:val="0"/>
          <w:numId w:val="41"/>
        </w:numPr>
        <w:jc w:val="both"/>
        <w:rPr>
          <w:rFonts w:asciiTheme="majorBidi" w:hAnsiTheme="majorBidi" w:cstheme="majorBidi"/>
          <w:sz w:val="24"/>
          <w:szCs w:val="24"/>
        </w:rPr>
      </w:pPr>
      <w:r w:rsidRPr="005C4A5E">
        <w:rPr>
          <w:rFonts w:asciiTheme="majorBidi" w:hAnsiTheme="majorBidi" w:cstheme="majorBidi"/>
          <w:sz w:val="24"/>
          <w:szCs w:val="24"/>
        </w:rPr>
        <w:t xml:space="preserve">Maat recommends promoting equality and non-discrimination by developing effective oversight mechanisms that ensure member states’ commitment to implementing anti-discrimination laws, especially in the areas of work, education and health services. </w:t>
      </w:r>
      <w:r>
        <w:rPr>
          <w:rFonts w:asciiTheme="majorBidi" w:hAnsiTheme="majorBidi" w:cstheme="majorBidi"/>
          <w:sz w:val="24"/>
          <w:szCs w:val="24"/>
        </w:rPr>
        <w:t xml:space="preserve">It </w:t>
      </w:r>
      <w:r w:rsidRPr="005C4A5E">
        <w:rPr>
          <w:rFonts w:asciiTheme="majorBidi" w:hAnsiTheme="majorBidi" w:cstheme="majorBidi"/>
          <w:sz w:val="24"/>
          <w:szCs w:val="24"/>
        </w:rPr>
        <w:t xml:space="preserve">also require launching awareness campaigns targeting society and employers to reduce social stigma towards persons with disabilities and promote equal opportunities. This </w:t>
      </w:r>
      <w:r>
        <w:rPr>
          <w:rFonts w:asciiTheme="majorBidi" w:hAnsiTheme="majorBidi" w:cstheme="majorBidi"/>
          <w:sz w:val="24"/>
          <w:szCs w:val="24"/>
        </w:rPr>
        <w:t>can be</w:t>
      </w:r>
      <w:r w:rsidRPr="005C4A5E">
        <w:rPr>
          <w:rFonts w:asciiTheme="majorBidi" w:hAnsiTheme="majorBidi" w:cstheme="majorBidi"/>
          <w:sz w:val="24"/>
          <w:szCs w:val="24"/>
        </w:rPr>
        <w:t xml:space="preserve"> done by adopting unified standards for accessibility in infrastructure, transportation and websites, with penalties imposed on non-compliant parties.</w:t>
      </w:r>
    </w:p>
    <w:p w14:paraId="1B05A731" w14:textId="5C16C6EE" w:rsidR="005C4A5E" w:rsidRDefault="005C4A5E" w:rsidP="005C4A5E">
      <w:pPr>
        <w:pStyle w:val="ListParagraph"/>
        <w:numPr>
          <w:ilvl w:val="0"/>
          <w:numId w:val="41"/>
        </w:numPr>
        <w:jc w:val="both"/>
        <w:rPr>
          <w:rFonts w:asciiTheme="majorBidi" w:hAnsiTheme="majorBidi" w:cstheme="majorBidi"/>
          <w:sz w:val="24"/>
          <w:szCs w:val="24"/>
        </w:rPr>
      </w:pPr>
      <w:r>
        <w:rPr>
          <w:rFonts w:asciiTheme="majorBidi" w:hAnsiTheme="majorBidi" w:cstheme="majorBidi"/>
          <w:sz w:val="24"/>
          <w:szCs w:val="24"/>
        </w:rPr>
        <w:lastRenderedPageBreak/>
        <w:t xml:space="preserve">Maat </w:t>
      </w:r>
      <w:r w:rsidRPr="005C4A5E">
        <w:rPr>
          <w:rFonts w:asciiTheme="majorBidi" w:hAnsiTheme="majorBidi" w:cstheme="majorBidi"/>
          <w:sz w:val="24"/>
          <w:szCs w:val="24"/>
        </w:rPr>
        <w:t>calls for providing financial and technical support to member states to modernize infrastructure, especially in rural areas, in addition to reviewing national legislation to ensure the elimination of all forms of deprivation of legal capacity for persons with disabilities.</w:t>
      </w:r>
    </w:p>
    <w:p w14:paraId="1CB54800" w14:textId="6B0072D8" w:rsidR="005C4A5E" w:rsidRDefault="005C4A5E" w:rsidP="005C4A5E">
      <w:pPr>
        <w:pStyle w:val="ListParagraph"/>
        <w:numPr>
          <w:ilvl w:val="0"/>
          <w:numId w:val="41"/>
        </w:numPr>
        <w:jc w:val="both"/>
        <w:rPr>
          <w:rFonts w:asciiTheme="majorBidi" w:hAnsiTheme="majorBidi" w:cstheme="majorBidi"/>
          <w:sz w:val="24"/>
          <w:szCs w:val="24"/>
        </w:rPr>
      </w:pPr>
      <w:r w:rsidRPr="005C4A5E">
        <w:rPr>
          <w:rFonts w:asciiTheme="majorBidi" w:hAnsiTheme="majorBidi" w:cstheme="majorBidi"/>
          <w:sz w:val="24"/>
          <w:szCs w:val="24"/>
        </w:rPr>
        <w:t>Decision-making support programs must be strengthened that enable persons with disabilities to exercise their legal rights independently.</w:t>
      </w:r>
    </w:p>
    <w:p w14:paraId="66FBFC21" w14:textId="427CA2EB" w:rsidR="005C4A5E" w:rsidRDefault="005C4A5E" w:rsidP="005C4A5E">
      <w:pPr>
        <w:pStyle w:val="ListParagraph"/>
        <w:numPr>
          <w:ilvl w:val="0"/>
          <w:numId w:val="41"/>
        </w:numPr>
        <w:jc w:val="both"/>
        <w:rPr>
          <w:rFonts w:asciiTheme="majorBidi" w:hAnsiTheme="majorBidi" w:cstheme="majorBidi"/>
          <w:sz w:val="24"/>
          <w:szCs w:val="24"/>
        </w:rPr>
      </w:pPr>
      <w:r w:rsidRPr="005C4A5E">
        <w:rPr>
          <w:rFonts w:asciiTheme="majorBidi" w:hAnsiTheme="majorBidi" w:cstheme="majorBidi"/>
          <w:sz w:val="24"/>
          <w:szCs w:val="24"/>
        </w:rPr>
        <w:t xml:space="preserve">In terms of education, </w:t>
      </w:r>
      <w:r>
        <w:rPr>
          <w:rFonts w:asciiTheme="majorBidi" w:hAnsiTheme="majorBidi" w:cstheme="majorBidi"/>
          <w:sz w:val="24"/>
          <w:szCs w:val="24"/>
        </w:rPr>
        <w:t xml:space="preserve">Maat </w:t>
      </w:r>
      <w:r w:rsidRPr="005C4A5E">
        <w:rPr>
          <w:rFonts w:asciiTheme="majorBidi" w:hAnsiTheme="majorBidi" w:cstheme="majorBidi"/>
          <w:sz w:val="24"/>
          <w:szCs w:val="24"/>
        </w:rPr>
        <w:t>recommends allocating budgets to rehabilitate old schools to be prepared for the needs of students with disabilities, in addition to providing training programs for teachers and assistants to meet these needs effectively. Curricula should also be strengthened to be flexible and inclusive, allowing them to be adapted to suit all abilities.</w:t>
      </w:r>
    </w:p>
    <w:p w14:paraId="6C045EF1" w14:textId="1C057B01" w:rsidR="005C4A5E" w:rsidRDefault="005C4A5E" w:rsidP="005C4A5E">
      <w:pPr>
        <w:pStyle w:val="ListParagraph"/>
        <w:numPr>
          <w:ilvl w:val="0"/>
          <w:numId w:val="41"/>
        </w:numPr>
        <w:jc w:val="both"/>
        <w:rPr>
          <w:rFonts w:asciiTheme="majorBidi" w:hAnsiTheme="majorBidi" w:cstheme="majorBidi"/>
          <w:sz w:val="24"/>
          <w:szCs w:val="24"/>
        </w:rPr>
      </w:pPr>
      <w:r w:rsidRPr="005C4A5E">
        <w:rPr>
          <w:rFonts w:asciiTheme="majorBidi" w:hAnsiTheme="majorBidi" w:cstheme="majorBidi"/>
          <w:sz w:val="24"/>
          <w:szCs w:val="24"/>
        </w:rPr>
        <w:t xml:space="preserve">In the political field, </w:t>
      </w:r>
      <w:r>
        <w:rPr>
          <w:rFonts w:asciiTheme="majorBidi" w:hAnsiTheme="majorBidi" w:cstheme="majorBidi"/>
          <w:sz w:val="24"/>
          <w:szCs w:val="24"/>
        </w:rPr>
        <w:t xml:space="preserve">Maat </w:t>
      </w:r>
      <w:r w:rsidRPr="005C4A5E">
        <w:rPr>
          <w:rFonts w:asciiTheme="majorBidi" w:hAnsiTheme="majorBidi" w:cstheme="majorBidi"/>
          <w:sz w:val="24"/>
          <w:szCs w:val="24"/>
        </w:rPr>
        <w:t>stresses the need to oblige political parties to provide websites fully adapted to the needs of persons with disabilities, in addition to facilitating their access to polling stations by equipping them with appropriate infrastructure. Initiatives should also be launched to raise awareness of the importance of political participation for persons with disabilities.</w:t>
      </w:r>
    </w:p>
    <w:p w14:paraId="773B6C1F" w14:textId="52DDB3E0" w:rsidR="005C4A5E" w:rsidRPr="005C4A5E" w:rsidRDefault="005C4A5E" w:rsidP="005C4A5E">
      <w:pPr>
        <w:pStyle w:val="ListParagraph"/>
        <w:numPr>
          <w:ilvl w:val="0"/>
          <w:numId w:val="41"/>
        </w:numPr>
        <w:jc w:val="both"/>
        <w:rPr>
          <w:rFonts w:asciiTheme="majorBidi" w:hAnsiTheme="majorBidi" w:cstheme="majorBidi"/>
          <w:sz w:val="24"/>
          <w:szCs w:val="24"/>
          <w:rtl/>
        </w:rPr>
      </w:pPr>
      <w:r w:rsidRPr="005C4A5E">
        <w:rPr>
          <w:rFonts w:asciiTheme="majorBidi" w:hAnsiTheme="majorBidi" w:cstheme="majorBidi"/>
          <w:sz w:val="24"/>
          <w:szCs w:val="24"/>
        </w:rPr>
        <w:t xml:space="preserve">Finally, </w:t>
      </w:r>
      <w:r>
        <w:rPr>
          <w:rFonts w:asciiTheme="majorBidi" w:hAnsiTheme="majorBidi" w:cstheme="majorBidi"/>
          <w:sz w:val="24"/>
          <w:szCs w:val="24"/>
        </w:rPr>
        <w:t xml:space="preserve">Maat </w:t>
      </w:r>
      <w:r w:rsidRPr="005C4A5E">
        <w:rPr>
          <w:rFonts w:asciiTheme="majorBidi" w:hAnsiTheme="majorBidi" w:cstheme="majorBidi"/>
          <w:sz w:val="24"/>
          <w:szCs w:val="24"/>
        </w:rPr>
        <w:t>stresses the need to strengthen policies and provide material and moral facilities that ensure the integration of persons with disabilities in community, cultural and recreational activities, while enhancing their participation in policy development and monitoring its implementation to ensure that their actual needs are met.</w:t>
      </w:r>
    </w:p>
    <w:sectPr w:rsidR="005C4A5E" w:rsidRPr="005C4A5E"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EBEC3" w14:textId="77777777" w:rsidR="00D27F47" w:rsidRDefault="00D27F47" w:rsidP="004F6D5A">
      <w:pPr>
        <w:spacing w:after="0" w:line="240" w:lineRule="auto"/>
      </w:pPr>
      <w:r>
        <w:separator/>
      </w:r>
    </w:p>
  </w:endnote>
  <w:endnote w:type="continuationSeparator" w:id="0">
    <w:p w14:paraId="1D6DF931" w14:textId="77777777" w:rsidR="00D27F47" w:rsidRDefault="00D27F47"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DFFAB" w14:textId="77777777" w:rsidR="00D27F47" w:rsidRDefault="00D27F47" w:rsidP="004F6D5A">
      <w:pPr>
        <w:spacing w:after="0" w:line="240" w:lineRule="auto"/>
      </w:pPr>
      <w:r>
        <w:separator/>
      </w:r>
    </w:p>
  </w:footnote>
  <w:footnote w:type="continuationSeparator" w:id="0">
    <w:p w14:paraId="3588025B" w14:textId="77777777" w:rsidR="00D27F47" w:rsidRDefault="00D27F47" w:rsidP="004F6D5A">
      <w:pPr>
        <w:spacing w:after="0" w:line="240" w:lineRule="auto"/>
      </w:pPr>
      <w:r>
        <w:continuationSeparator/>
      </w:r>
    </w:p>
  </w:footnote>
  <w:footnote w:id="1">
    <w:p w14:paraId="61E64A41" w14:textId="720C5339" w:rsidR="00CF70BB" w:rsidRPr="00574AD7" w:rsidRDefault="00CF70BB">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Ratification, Reporting &amp; Documentation for European Union, ohchr, </w:t>
      </w:r>
      <w:hyperlink r:id="rId1" w:history="1">
        <w:r w:rsidRPr="00574AD7">
          <w:rPr>
            <w:rStyle w:val="Hyperlink"/>
            <w:rFonts w:asciiTheme="majorBidi" w:hAnsiTheme="majorBidi" w:cstheme="majorBidi"/>
            <w:sz w:val="18"/>
            <w:szCs w:val="18"/>
          </w:rPr>
          <w:t>https://2h.ae/wfUt</w:t>
        </w:r>
      </w:hyperlink>
      <w:r w:rsidRPr="00574AD7">
        <w:rPr>
          <w:rFonts w:asciiTheme="majorBidi" w:hAnsiTheme="majorBidi" w:cstheme="majorBidi"/>
          <w:sz w:val="18"/>
          <w:szCs w:val="18"/>
        </w:rPr>
        <w:t xml:space="preserve"> </w:t>
      </w:r>
    </w:p>
  </w:footnote>
  <w:footnote w:id="2">
    <w:p w14:paraId="66179698" w14:textId="000D78DF" w:rsidR="00CF70BB" w:rsidRPr="00574AD7" w:rsidRDefault="00CF70BB">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People with disabilities, Federal Ministry of Labour and Social Affairs, </w:t>
      </w:r>
      <w:hyperlink r:id="rId2" w:history="1">
        <w:r w:rsidRPr="00574AD7">
          <w:rPr>
            <w:rStyle w:val="Hyperlink"/>
            <w:rFonts w:asciiTheme="majorBidi" w:hAnsiTheme="majorBidi" w:cstheme="majorBidi"/>
            <w:sz w:val="18"/>
            <w:szCs w:val="18"/>
          </w:rPr>
          <w:t>https://2h.ae/SrAS</w:t>
        </w:r>
      </w:hyperlink>
      <w:r w:rsidRPr="00574AD7">
        <w:rPr>
          <w:rFonts w:asciiTheme="majorBidi" w:hAnsiTheme="majorBidi" w:cstheme="majorBidi"/>
          <w:sz w:val="18"/>
          <w:szCs w:val="18"/>
        </w:rPr>
        <w:t xml:space="preserve"> </w:t>
      </w:r>
    </w:p>
  </w:footnote>
  <w:footnote w:id="3">
    <w:p w14:paraId="61370500" w14:textId="0F68F31E" w:rsidR="00CF70BB" w:rsidRPr="00574AD7" w:rsidRDefault="00CF70BB">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CRPD - Convention on the Rights of Persons with Disabilities 32nd Session (03 Mar 2025 - 21 Mar 2025), ohchr, </w:t>
      </w:r>
      <w:hyperlink r:id="rId3" w:history="1">
        <w:r w:rsidRPr="00574AD7">
          <w:rPr>
            <w:rStyle w:val="Hyperlink"/>
            <w:rFonts w:asciiTheme="majorBidi" w:hAnsiTheme="majorBidi" w:cstheme="majorBidi"/>
            <w:sz w:val="18"/>
            <w:szCs w:val="18"/>
          </w:rPr>
          <w:t>https://2h.ae/BVGW</w:t>
        </w:r>
      </w:hyperlink>
      <w:r w:rsidRPr="00574AD7">
        <w:rPr>
          <w:rFonts w:asciiTheme="majorBidi" w:hAnsiTheme="majorBidi" w:cstheme="majorBidi"/>
          <w:sz w:val="18"/>
          <w:szCs w:val="18"/>
        </w:rPr>
        <w:t xml:space="preserve"> </w:t>
      </w:r>
    </w:p>
  </w:footnote>
  <w:footnote w:id="4">
    <w:p w14:paraId="2DC41307" w14:textId="2027A861" w:rsidR="00CF70BB" w:rsidRPr="00574AD7" w:rsidRDefault="00CF70BB">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People with disabilities, Federal Ministry of Labour and Social Affairs, </w:t>
      </w:r>
      <w:hyperlink r:id="rId4" w:history="1">
        <w:r w:rsidRPr="00574AD7">
          <w:rPr>
            <w:rStyle w:val="Hyperlink"/>
            <w:rFonts w:asciiTheme="majorBidi" w:hAnsiTheme="majorBidi" w:cstheme="majorBidi"/>
            <w:sz w:val="18"/>
            <w:szCs w:val="18"/>
          </w:rPr>
          <w:t>https://2h.ae/SrAS</w:t>
        </w:r>
      </w:hyperlink>
      <w:r w:rsidRPr="00574AD7">
        <w:rPr>
          <w:rFonts w:asciiTheme="majorBidi" w:hAnsiTheme="majorBidi" w:cstheme="majorBidi"/>
          <w:sz w:val="18"/>
          <w:szCs w:val="18"/>
        </w:rPr>
        <w:t xml:space="preserve"> </w:t>
      </w:r>
    </w:p>
  </w:footnote>
  <w:footnote w:id="5">
    <w:p w14:paraId="4CA44EA8" w14:textId="7D02D60D" w:rsidR="00CF70BB" w:rsidRPr="00574AD7" w:rsidRDefault="00CF70BB">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EU must support rights of workers with disabilities with Disability Employment Guarantee, EDF, </w:t>
      </w:r>
      <w:hyperlink r:id="rId5" w:history="1">
        <w:r w:rsidRPr="00574AD7">
          <w:rPr>
            <w:rStyle w:val="Hyperlink"/>
            <w:rFonts w:asciiTheme="majorBidi" w:hAnsiTheme="majorBidi" w:cstheme="majorBidi"/>
            <w:sz w:val="18"/>
            <w:szCs w:val="18"/>
          </w:rPr>
          <w:t>https://2h.ae/KfNc</w:t>
        </w:r>
      </w:hyperlink>
      <w:r w:rsidRPr="00574AD7">
        <w:rPr>
          <w:rFonts w:asciiTheme="majorBidi" w:hAnsiTheme="majorBidi" w:cstheme="majorBidi"/>
          <w:sz w:val="18"/>
          <w:szCs w:val="18"/>
        </w:rPr>
        <w:t xml:space="preserve"> </w:t>
      </w:r>
    </w:p>
  </w:footnote>
  <w:footnote w:id="6">
    <w:p w14:paraId="695FA4E4" w14:textId="108ECB53" w:rsidR="00CF70BB" w:rsidRPr="00574AD7" w:rsidRDefault="00CF70BB">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Do European Parties care about integrating people with disabilities?, the good lobby, </w:t>
      </w:r>
      <w:hyperlink r:id="rId6" w:history="1">
        <w:r w:rsidRPr="00574AD7">
          <w:rPr>
            <w:rStyle w:val="Hyperlink"/>
            <w:rFonts w:asciiTheme="majorBidi" w:hAnsiTheme="majorBidi" w:cstheme="majorBidi"/>
            <w:sz w:val="18"/>
            <w:szCs w:val="18"/>
          </w:rPr>
          <w:t>https://2h.ae/lNLw</w:t>
        </w:r>
      </w:hyperlink>
      <w:r w:rsidRPr="00574AD7">
        <w:rPr>
          <w:rFonts w:asciiTheme="majorBidi" w:hAnsiTheme="majorBidi" w:cstheme="majorBidi"/>
          <w:sz w:val="18"/>
          <w:szCs w:val="18"/>
        </w:rPr>
        <w:t xml:space="preserve"> </w:t>
      </w:r>
    </w:p>
  </w:footnote>
  <w:footnote w:id="7">
    <w:p w14:paraId="54D77876" w14:textId="3A1F2B38" w:rsidR="001B2987" w:rsidRPr="00574AD7" w:rsidRDefault="001B2987">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European disability card and European parking card for persons with disabilities: Council adopts new directives, Council of the European Union, </w:t>
      </w:r>
      <w:hyperlink r:id="rId7" w:history="1">
        <w:r w:rsidRPr="00574AD7">
          <w:rPr>
            <w:rStyle w:val="Hyperlink"/>
            <w:rFonts w:asciiTheme="majorBidi" w:hAnsiTheme="majorBidi" w:cstheme="majorBidi"/>
            <w:sz w:val="18"/>
            <w:szCs w:val="18"/>
          </w:rPr>
          <w:t>https://2h.ae/BSWs</w:t>
        </w:r>
      </w:hyperlink>
      <w:r w:rsidRPr="00574AD7">
        <w:rPr>
          <w:rFonts w:asciiTheme="majorBidi" w:hAnsiTheme="majorBidi" w:cstheme="majorBidi"/>
          <w:sz w:val="18"/>
          <w:szCs w:val="18"/>
        </w:rPr>
        <w:t xml:space="preserve"> </w:t>
      </w:r>
    </w:p>
  </w:footnote>
  <w:footnote w:id="8">
    <w:p w14:paraId="6B2E1857" w14:textId="7EB08582" w:rsidR="001B2987" w:rsidRPr="00574AD7" w:rsidRDefault="001B2987">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EU Council unacceptably weakens the rights of passengers with disabilities, EDF, </w:t>
      </w:r>
      <w:hyperlink r:id="rId8" w:history="1">
        <w:r w:rsidRPr="00574AD7">
          <w:rPr>
            <w:rStyle w:val="Hyperlink"/>
            <w:rFonts w:asciiTheme="majorBidi" w:hAnsiTheme="majorBidi" w:cstheme="majorBidi"/>
            <w:sz w:val="18"/>
            <w:szCs w:val="18"/>
          </w:rPr>
          <w:t>https://2h.ae/nKUa</w:t>
        </w:r>
      </w:hyperlink>
      <w:r w:rsidRPr="00574AD7">
        <w:rPr>
          <w:rFonts w:asciiTheme="majorBidi" w:hAnsiTheme="majorBidi" w:cstheme="majorBidi"/>
          <w:sz w:val="18"/>
          <w:szCs w:val="18"/>
        </w:rPr>
        <w:t xml:space="preserve"> </w:t>
      </w:r>
    </w:p>
  </w:footnote>
  <w:footnote w:id="9">
    <w:p w14:paraId="48B53DC7" w14:textId="341DCE30" w:rsidR="001B2987" w:rsidRPr="00574AD7" w:rsidRDefault="001B2987">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EDF Human Rights Report 2024 - Legal capacity: Personal choice and control,  EDF, </w:t>
      </w:r>
      <w:hyperlink r:id="rId9" w:history="1">
        <w:r w:rsidRPr="00574AD7">
          <w:rPr>
            <w:rStyle w:val="Hyperlink"/>
            <w:rFonts w:asciiTheme="majorBidi" w:hAnsiTheme="majorBidi" w:cstheme="majorBidi"/>
            <w:sz w:val="18"/>
            <w:szCs w:val="18"/>
          </w:rPr>
          <w:t>https://2h.ae/TVoY</w:t>
        </w:r>
      </w:hyperlink>
      <w:r w:rsidRPr="00574AD7">
        <w:rPr>
          <w:rFonts w:asciiTheme="majorBidi" w:hAnsiTheme="majorBidi" w:cstheme="majorBidi"/>
          <w:sz w:val="18"/>
          <w:szCs w:val="18"/>
        </w:rPr>
        <w:t xml:space="preserve"> </w:t>
      </w:r>
    </w:p>
  </w:footnote>
  <w:footnote w:id="10">
    <w:p w14:paraId="65B9855B" w14:textId="251C5A3F" w:rsidR="001B2987" w:rsidRPr="00574AD7" w:rsidRDefault="001B2987">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Combined second and third periodic reports of the European Union under Article 35 of the Convention, due in 2021, </w:t>
      </w:r>
      <w:hyperlink r:id="rId10" w:history="1">
        <w:r w:rsidRPr="00574AD7">
          <w:rPr>
            <w:rStyle w:val="Hyperlink"/>
            <w:rFonts w:asciiTheme="majorBidi" w:hAnsiTheme="majorBidi" w:cstheme="majorBidi"/>
            <w:sz w:val="18"/>
            <w:szCs w:val="18"/>
          </w:rPr>
          <w:t>https://2h.ae/UIXa</w:t>
        </w:r>
      </w:hyperlink>
      <w:r w:rsidRPr="00574AD7">
        <w:rPr>
          <w:rFonts w:asciiTheme="majorBidi" w:hAnsiTheme="majorBidi" w:cstheme="majorBidi"/>
          <w:sz w:val="18"/>
          <w:szCs w:val="18"/>
        </w:rPr>
        <w:t xml:space="preserve"> </w:t>
      </w:r>
    </w:p>
  </w:footnote>
  <w:footnote w:id="11">
    <w:p w14:paraId="0CBC4B87" w14:textId="13799DD8" w:rsidR="001B2987" w:rsidRPr="00574AD7" w:rsidRDefault="001B2987">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Inclusive education for children with disabilities in Europe, Humanim, </w:t>
      </w:r>
      <w:hyperlink r:id="rId11" w:history="1">
        <w:r w:rsidRPr="00574AD7">
          <w:rPr>
            <w:rStyle w:val="Hyperlink"/>
            <w:rFonts w:asciiTheme="majorBidi" w:hAnsiTheme="majorBidi" w:cstheme="majorBidi"/>
            <w:sz w:val="18"/>
            <w:szCs w:val="18"/>
          </w:rPr>
          <w:t>https://2h.ae/pERI</w:t>
        </w:r>
      </w:hyperlink>
      <w:r w:rsidRPr="00574AD7">
        <w:rPr>
          <w:rFonts w:asciiTheme="majorBidi" w:hAnsiTheme="majorBidi" w:cstheme="majorBidi"/>
          <w:sz w:val="18"/>
          <w:szCs w:val="18"/>
        </w:rPr>
        <w:t xml:space="preserve"> </w:t>
      </w:r>
    </w:p>
  </w:footnote>
  <w:footnote w:id="12">
    <w:p w14:paraId="02E5EFE1" w14:textId="51B54456" w:rsidR="001B2987" w:rsidRPr="00574AD7" w:rsidRDefault="001B2987">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000A71FD" w:rsidRPr="00574AD7">
        <w:rPr>
          <w:rFonts w:asciiTheme="majorBidi" w:hAnsiTheme="majorBidi" w:cstheme="majorBidi"/>
          <w:sz w:val="18"/>
          <w:szCs w:val="18"/>
        </w:rPr>
        <w:t>Ibid</w:t>
      </w:r>
      <w:r w:rsidRPr="00574AD7">
        <w:rPr>
          <w:rFonts w:asciiTheme="majorBidi" w:hAnsiTheme="majorBidi" w:cstheme="majorBidi"/>
          <w:sz w:val="18"/>
          <w:szCs w:val="18"/>
        </w:rPr>
        <w:t xml:space="preserve"> </w:t>
      </w:r>
    </w:p>
  </w:footnote>
  <w:footnote w:id="13">
    <w:p w14:paraId="33DFE7D3" w14:textId="73287645" w:rsidR="00B260BE" w:rsidRPr="00574AD7" w:rsidRDefault="00B260BE">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Combined second and third periodic reports of the European Union under Article 35 of the Convention, due in 2021, </w:t>
      </w:r>
      <w:hyperlink r:id="rId12" w:history="1">
        <w:r w:rsidRPr="00574AD7">
          <w:rPr>
            <w:rStyle w:val="Hyperlink"/>
            <w:rFonts w:asciiTheme="majorBidi" w:hAnsiTheme="majorBidi" w:cstheme="majorBidi"/>
            <w:sz w:val="18"/>
            <w:szCs w:val="18"/>
          </w:rPr>
          <w:t>https://2h.ae/UIXa</w:t>
        </w:r>
      </w:hyperlink>
      <w:r w:rsidRPr="00574AD7">
        <w:rPr>
          <w:rFonts w:asciiTheme="majorBidi" w:hAnsiTheme="majorBidi" w:cstheme="majorBidi"/>
          <w:sz w:val="18"/>
          <w:szCs w:val="18"/>
        </w:rPr>
        <w:t xml:space="preserve"> </w:t>
      </w:r>
    </w:p>
  </w:footnote>
  <w:footnote w:id="14">
    <w:p w14:paraId="3EAF2DAF" w14:textId="24CFF982" w:rsidR="00B260BE" w:rsidRPr="00574AD7" w:rsidRDefault="00B260BE">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Access Denied: The (in)accessibility of European Political Party websites, EDF, </w:t>
      </w:r>
      <w:hyperlink r:id="rId13" w:history="1">
        <w:r w:rsidRPr="00574AD7">
          <w:rPr>
            <w:rStyle w:val="Hyperlink"/>
            <w:rFonts w:asciiTheme="majorBidi" w:hAnsiTheme="majorBidi" w:cstheme="majorBidi"/>
            <w:sz w:val="18"/>
            <w:szCs w:val="18"/>
          </w:rPr>
          <w:t>https://2h.ae/dTRo</w:t>
        </w:r>
      </w:hyperlink>
      <w:r w:rsidRPr="00574AD7">
        <w:rPr>
          <w:rFonts w:asciiTheme="majorBidi" w:hAnsiTheme="majorBidi" w:cstheme="majorBidi"/>
          <w:sz w:val="18"/>
          <w:szCs w:val="18"/>
        </w:rPr>
        <w:t xml:space="preserve"> </w:t>
      </w:r>
    </w:p>
  </w:footnote>
  <w:footnote w:id="15">
    <w:p w14:paraId="4956AC4F" w14:textId="75C693EB" w:rsidR="00B260BE" w:rsidRPr="00574AD7" w:rsidRDefault="00B260BE">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Ibid</w:t>
      </w:r>
    </w:p>
  </w:footnote>
  <w:footnote w:id="16">
    <w:p w14:paraId="7D69C99B" w14:textId="526C34CA" w:rsidR="00860E01" w:rsidRPr="00574AD7" w:rsidRDefault="00860E01">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EU countries are segregating more and more people in institutions, EDF, </w:t>
      </w:r>
      <w:hyperlink r:id="rId14">
        <w:r w:rsidRPr="00574AD7">
          <w:rPr>
            <w:rFonts w:asciiTheme="majorBidi" w:hAnsiTheme="majorBidi" w:cstheme="majorBidi"/>
            <w:color w:val="1155CC"/>
            <w:sz w:val="18"/>
            <w:szCs w:val="18"/>
            <w:u w:val="single"/>
          </w:rPr>
          <w:t>https://2h.ae/lgcu</w:t>
        </w:r>
      </w:hyperlink>
    </w:p>
  </w:footnote>
  <w:footnote w:id="17">
    <w:p w14:paraId="56BC0F1D" w14:textId="1CC20CE3" w:rsidR="00574AD7" w:rsidRPr="00574AD7" w:rsidRDefault="00574AD7">
      <w:pPr>
        <w:pStyle w:val="FootnoteText"/>
        <w:rPr>
          <w:rFonts w:asciiTheme="majorBidi" w:hAnsiTheme="majorBidi" w:cstheme="majorBidi"/>
          <w:sz w:val="18"/>
          <w:szCs w:val="18"/>
        </w:rPr>
      </w:pPr>
      <w:r w:rsidRPr="00574AD7">
        <w:rPr>
          <w:rStyle w:val="FootnoteReference"/>
          <w:rFonts w:asciiTheme="majorBidi" w:hAnsiTheme="majorBidi" w:cstheme="majorBidi"/>
          <w:sz w:val="18"/>
          <w:szCs w:val="18"/>
        </w:rPr>
        <w:footnoteRef/>
      </w:r>
      <w:r w:rsidRPr="00574AD7">
        <w:rPr>
          <w:rFonts w:asciiTheme="majorBidi" w:hAnsiTheme="majorBidi" w:cstheme="majorBidi"/>
          <w:sz w:val="18"/>
          <w:szCs w:val="18"/>
        </w:rPr>
        <w:t xml:space="preserve"> </w:t>
      </w:r>
      <w:r w:rsidRPr="00574AD7">
        <w:rPr>
          <w:rFonts w:asciiTheme="majorBidi" w:hAnsiTheme="majorBidi" w:cstheme="majorBidi"/>
          <w:sz w:val="18"/>
          <w:szCs w:val="18"/>
        </w:rPr>
        <w:t xml:space="preserve">Housing for people with intellectual disabilities, inclusion </w:t>
      </w:r>
      <w:r w:rsidRPr="00574AD7">
        <w:rPr>
          <w:rFonts w:asciiTheme="majorBidi" w:hAnsiTheme="majorBidi" w:cstheme="majorBidi"/>
          <w:sz w:val="18"/>
          <w:szCs w:val="18"/>
        </w:rPr>
        <w:t>Europe</w:t>
      </w:r>
      <w:r w:rsidRPr="00574AD7">
        <w:rPr>
          <w:rFonts w:asciiTheme="majorBidi" w:hAnsiTheme="majorBidi" w:cstheme="majorBidi"/>
          <w:sz w:val="18"/>
          <w:szCs w:val="18"/>
        </w:rPr>
        <w:t xml:space="preserve">, </w:t>
      </w:r>
      <w:hyperlink r:id="rId15">
        <w:r w:rsidRPr="00574AD7">
          <w:rPr>
            <w:rFonts w:asciiTheme="majorBidi" w:hAnsiTheme="majorBidi" w:cstheme="majorBidi"/>
            <w:color w:val="1155CC"/>
            <w:sz w:val="18"/>
            <w:szCs w:val="18"/>
            <w:u w:val="single"/>
          </w:rPr>
          <w:t>https://2h.ae/vhdr</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9C62AD"/>
    <w:multiLevelType w:val="hybridMultilevel"/>
    <w:tmpl w:val="9326A8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6"/>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30"/>
  </w:num>
  <w:num w:numId="7" w16cid:durableId="1975796718">
    <w:abstractNumId w:val="35"/>
  </w:num>
  <w:num w:numId="8" w16cid:durableId="168910388">
    <w:abstractNumId w:val="38"/>
  </w:num>
  <w:num w:numId="9" w16cid:durableId="864364265">
    <w:abstractNumId w:val="28"/>
  </w:num>
  <w:num w:numId="10" w16cid:durableId="1110662610">
    <w:abstractNumId w:val="31"/>
  </w:num>
  <w:num w:numId="11" w16cid:durableId="48504678">
    <w:abstractNumId w:val="23"/>
  </w:num>
  <w:num w:numId="12" w16cid:durableId="1057243330">
    <w:abstractNumId w:val="37"/>
  </w:num>
  <w:num w:numId="13" w16cid:durableId="113838224">
    <w:abstractNumId w:val="21"/>
  </w:num>
  <w:num w:numId="14" w16cid:durableId="1819300015">
    <w:abstractNumId w:val="7"/>
  </w:num>
  <w:num w:numId="15" w16cid:durableId="1354769003">
    <w:abstractNumId w:val="27"/>
  </w:num>
  <w:num w:numId="16" w16cid:durableId="765884069">
    <w:abstractNumId w:val="13"/>
  </w:num>
  <w:num w:numId="17" w16cid:durableId="1830708544">
    <w:abstractNumId w:val="0"/>
  </w:num>
  <w:num w:numId="18" w16cid:durableId="1195772453">
    <w:abstractNumId w:val="18"/>
  </w:num>
  <w:num w:numId="19" w16cid:durableId="116266373">
    <w:abstractNumId w:val="2"/>
  </w:num>
  <w:num w:numId="20" w16cid:durableId="1165899663">
    <w:abstractNumId w:val="9"/>
  </w:num>
  <w:num w:numId="21" w16cid:durableId="1921870603">
    <w:abstractNumId w:val="40"/>
  </w:num>
  <w:num w:numId="22" w16cid:durableId="1106846340">
    <w:abstractNumId w:val="11"/>
  </w:num>
  <w:num w:numId="23" w16cid:durableId="1120413215">
    <w:abstractNumId w:val="15"/>
  </w:num>
  <w:num w:numId="24" w16cid:durableId="884490536">
    <w:abstractNumId w:val="29"/>
  </w:num>
  <w:num w:numId="25" w16cid:durableId="1098991049">
    <w:abstractNumId w:val="33"/>
  </w:num>
  <w:num w:numId="26" w16cid:durableId="631596808">
    <w:abstractNumId w:val="8"/>
  </w:num>
  <w:num w:numId="27" w16cid:durableId="1306087360">
    <w:abstractNumId w:val="6"/>
  </w:num>
  <w:num w:numId="28" w16cid:durableId="909191109">
    <w:abstractNumId w:val="24"/>
  </w:num>
  <w:num w:numId="29" w16cid:durableId="556204899">
    <w:abstractNumId w:val="25"/>
  </w:num>
  <w:num w:numId="30" w16cid:durableId="1668284805">
    <w:abstractNumId w:val="14"/>
  </w:num>
  <w:num w:numId="31" w16cid:durableId="1777868951">
    <w:abstractNumId w:val="22"/>
  </w:num>
  <w:num w:numId="32" w16cid:durableId="1614898655">
    <w:abstractNumId w:val="5"/>
  </w:num>
  <w:num w:numId="33" w16cid:durableId="364449577">
    <w:abstractNumId w:val="10"/>
  </w:num>
  <w:num w:numId="34" w16cid:durableId="248081818">
    <w:abstractNumId w:val="36"/>
  </w:num>
  <w:num w:numId="35" w16cid:durableId="1742749116">
    <w:abstractNumId w:val="34"/>
  </w:num>
  <w:num w:numId="36" w16cid:durableId="1632056943">
    <w:abstractNumId w:val="26"/>
  </w:num>
  <w:num w:numId="37" w16cid:durableId="16198188">
    <w:abstractNumId w:val="32"/>
  </w:num>
  <w:num w:numId="38" w16cid:durableId="995642619">
    <w:abstractNumId w:val="19"/>
  </w:num>
  <w:num w:numId="39" w16cid:durableId="1951429902">
    <w:abstractNumId w:val="39"/>
  </w:num>
  <w:num w:numId="40" w16cid:durableId="1660618793">
    <w:abstractNumId w:val="20"/>
  </w:num>
  <w:num w:numId="41" w16cid:durableId="20778963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2C6F"/>
    <w:rsid w:val="0004495D"/>
    <w:rsid w:val="0004619A"/>
    <w:rsid w:val="00046C49"/>
    <w:rsid w:val="00050B79"/>
    <w:rsid w:val="000775E1"/>
    <w:rsid w:val="00086352"/>
    <w:rsid w:val="00093D9F"/>
    <w:rsid w:val="000A0E24"/>
    <w:rsid w:val="000A71FD"/>
    <w:rsid w:val="000B5D57"/>
    <w:rsid w:val="000B6F75"/>
    <w:rsid w:val="000C7C14"/>
    <w:rsid w:val="000D4D5A"/>
    <w:rsid w:val="00101544"/>
    <w:rsid w:val="00114CCA"/>
    <w:rsid w:val="00156C09"/>
    <w:rsid w:val="001668A8"/>
    <w:rsid w:val="00196443"/>
    <w:rsid w:val="001A6E66"/>
    <w:rsid w:val="001B13EB"/>
    <w:rsid w:val="001B2987"/>
    <w:rsid w:val="001B450B"/>
    <w:rsid w:val="001D1DBC"/>
    <w:rsid w:val="001D532C"/>
    <w:rsid w:val="001D6213"/>
    <w:rsid w:val="001F47FD"/>
    <w:rsid w:val="002257CD"/>
    <w:rsid w:val="002305C5"/>
    <w:rsid w:val="00284AAE"/>
    <w:rsid w:val="0028723E"/>
    <w:rsid w:val="002876FE"/>
    <w:rsid w:val="0029400A"/>
    <w:rsid w:val="002D0B34"/>
    <w:rsid w:val="002D5B01"/>
    <w:rsid w:val="002D65A3"/>
    <w:rsid w:val="002D7273"/>
    <w:rsid w:val="003216C7"/>
    <w:rsid w:val="00326F85"/>
    <w:rsid w:val="003319F3"/>
    <w:rsid w:val="003439F7"/>
    <w:rsid w:val="00360DAB"/>
    <w:rsid w:val="00372B51"/>
    <w:rsid w:val="0038184B"/>
    <w:rsid w:val="00383811"/>
    <w:rsid w:val="003A0EBE"/>
    <w:rsid w:val="003A1F96"/>
    <w:rsid w:val="003A60A9"/>
    <w:rsid w:val="003A745E"/>
    <w:rsid w:val="003B7C83"/>
    <w:rsid w:val="00401F8D"/>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74AD7"/>
    <w:rsid w:val="0058685C"/>
    <w:rsid w:val="005A38AA"/>
    <w:rsid w:val="005B3A8D"/>
    <w:rsid w:val="005C3446"/>
    <w:rsid w:val="005C4A5E"/>
    <w:rsid w:val="005E2E96"/>
    <w:rsid w:val="005E7AA9"/>
    <w:rsid w:val="006105E2"/>
    <w:rsid w:val="00640577"/>
    <w:rsid w:val="006412F6"/>
    <w:rsid w:val="00644334"/>
    <w:rsid w:val="00644785"/>
    <w:rsid w:val="00646A53"/>
    <w:rsid w:val="006807A3"/>
    <w:rsid w:val="00690C3F"/>
    <w:rsid w:val="00693967"/>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60E01"/>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290C"/>
    <w:rsid w:val="00A162C1"/>
    <w:rsid w:val="00A3448D"/>
    <w:rsid w:val="00A37636"/>
    <w:rsid w:val="00A537CE"/>
    <w:rsid w:val="00A63977"/>
    <w:rsid w:val="00A64F85"/>
    <w:rsid w:val="00A81650"/>
    <w:rsid w:val="00A81860"/>
    <w:rsid w:val="00A83C1E"/>
    <w:rsid w:val="00AB2EAB"/>
    <w:rsid w:val="00AE7B0F"/>
    <w:rsid w:val="00AF7FD1"/>
    <w:rsid w:val="00B01D47"/>
    <w:rsid w:val="00B23185"/>
    <w:rsid w:val="00B260BE"/>
    <w:rsid w:val="00B35D5B"/>
    <w:rsid w:val="00B36D64"/>
    <w:rsid w:val="00B50DC2"/>
    <w:rsid w:val="00B53978"/>
    <w:rsid w:val="00B66916"/>
    <w:rsid w:val="00B76BA7"/>
    <w:rsid w:val="00BA7411"/>
    <w:rsid w:val="00BB10FB"/>
    <w:rsid w:val="00BB2414"/>
    <w:rsid w:val="00BB2E0C"/>
    <w:rsid w:val="00BC2D2E"/>
    <w:rsid w:val="00BC41A1"/>
    <w:rsid w:val="00BE6F35"/>
    <w:rsid w:val="00BF1B11"/>
    <w:rsid w:val="00C0706B"/>
    <w:rsid w:val="00C26FE4"/>
    <w:rsid w:val="00C34E13"/>
    <w:rsid w:val="00C351FE"/>
    <w:rsid w:val="00C47923"/>
    <w:rsid w:val="00C86D0C"/>
    <w:rsid w:val="00CC193E"/>
    <w:rsid w:val="00CC2F15"/>
    <w:rsid w:val="00CC606D"/>
    <w:rsid w:val="00CD3720"/>
    <w:rsid w:val="00CD5381"/>
    <w:rsid w:val="00CF70BB"/>
    <w:rsid w:val="00D01C6A"/>
    <w:rsid w:val="00D11899"/>
    <w:rsid w:val="00D27F47"/>
    <w:rsid w:val="00D500E7"/>
    <w:rsid w:val="00D56CB6"/>
    <w:rsid w:val="00D57B63"/>
    <w:rsid w:val="00D65CAF"/>
    <w:rsid w:val="00D674C8"/>
    <w:rsid w:val="00D705E1"/>
    <w:rsid w:val="00DB04A9"/>
    <w:rsid w:val="00DB5AB9"/>
    <w:rsid w:val="00DC35AC"/>
    <w:rsid w:val="00DD77D6"/>
    <w:rsid w:val="00DE35AB"/>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2h.ae/nKUa" TargetMode="External"/><Relationship Id="rId13" Type="http://schemas.openxmlformats.org/officeDocument/2006/relationships/hyperlink" Target="https://2h.ae/dTRo" TargetMode="External"/><Relationship Id="rId3" Type="http://schemas.openxmlformats.org/officeDocument/2006/relationships/hyperlink" Target="https://2h.ae/BVGW" TargetMode="External"/><Relationship Id="rId7" Type="http://schemas.openxmlformats.org/officeDocument/2006/relationships/hyperlink" Target="https://2h.ae/BSWs" TargetMode="External"/><Relationship Id="rId12" Type="http://schemas.openxmlformats.org/officeDocument/2006/relationships/hyperlink" Target="https://2h.ae/UIXa" TargetMode="External"/><Relationship Id="rId2" Type="http://schemas.openxmlformats.org/officeDocument/2006/relationships/hyperlink" Target="https://2h.ae/SrAS" TargetMode="External"/><Relationship Id="rId1" Type="http://schemas.openxmlformats.org/officeDocument/2006/relationships/hyperlink" Target="https://2h.ae/wfUt" TargetMode="External"/><Relationship Id="rId6" Type="http://schemas.openxmlformats.org/officeDocument/2006/relationships/hyperlink" Target="https://2h.ae/lNLw" TargetMode="External"/><Relationship Id="rId11" Type="http://schemas.openxmlformats.org/officeDocument/2006/relationships/hyperlink" Target="https://2h.ae/pERI" TargetMode="External"/><Relationship Id="rId5" Type="http://schemas.openxmlformats.org/officeDocument/2006/relationships/hyperlink" Target="https://2h.ae/KfNc" TargetMode="External"/><Relationship Id="rId15" Type="http://schemas.openxmlformats.org/officeDocument/2006/relationships/hyperlink" Target="https://2h.ae/vhdr" TargetMode="External"/><Relationship Id="rId10" Type="http://schemas.openxmlformats.org/officeDocument/2006/relationships/hyperlink" Target="https://2h.ae/UIXa" TargetMode="External"/><Relationship Id="rId4" Type="http://schemas.openxmlformats.org/officeDocument/2006/relationships/hyperlink" Target="https://2h.ae/SrAS" TargetMode="External"/><Relationship Id="rId9" Type="http://schemas.openxmlformats.org/officeDocument/2006/relationships/hyperlink" Target="https://2h.ae/TVoY" TargetMode="External"/><Relationship Id="rId14" Type="http://schemas.openxmlformats.org/officeDocument/2006/relationships/hyperlink" Target="https://2h.ae/lgc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2025-01-24T14:41:51+00:00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41BAB981-5A34-4C74-BA4F-580CEA826DF1}"/>
</file>

<file path=customXml/itemProps3.xml><?xml version="1.0" encoding="utf-8"?>
<ds:datastoreItem xmlns:ds="http://schemas.openxmlformats.org/officeDocument/2006/customXml" ds:itemID="{CC236DE1-E72B-4281-944B-F9ADB0FCC3CA}"/>
</file>

<file path=customXml/itemProps4.xml><?xml version="1.0" encoding="utf-8"?>
<ds:datastoreItem xmlns:ds="http://schemas.openxmlformats.org/officeDocument/2006/customXml" ds:itemID="{2E2CCE07-16BB-4C6C-83B6-9A9298A2F515}"/>
</file>

<file path=docProps/app.xml><?xml version="1.0" encoding="utf-8"?>
<Properties xmlns="http://schemas.openxmlformats.org/officeDocument/2006/extended-properties" xmlns:vt="http://schemas.openxmlformats.org/officeDocument/2006/docPropsVTypes">
  <Template>Normal</Template>
  <TotalTime>10</TotalTime>
  <Pages>7</Pages>
  <Words>2531</Words>
  <Characters>14433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8</cp:revision>
  <dcterms:created xsi:type="dcterms:W3CDTF">2025-01-24T12:09:00Z</dcterms:created>
  <dcterms:modified xsi:type="dcterms:W3CDTF">2025-01-24T12:22:00Z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0x0101001A3F5FACD05E93499D4EAF05403D4F75</vt:lpwstr>
  </property>
</Properties>
</file>