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F8B" w:rsidRPr="000F7F8B" w:rsidRDefault="000F7F8B" w:rsidP="000F7F8B">
      <w:pPr>
        <w:spacing w:before="15" w:after="15" w:line="240" w:lineRule="auto"/>
        <w:ind w:left="15" w:right="15"/>
        <w:jc w:val="center"/>
        <w:rPr>
          <w:rFonts w:ascii="Times New Roman" w:eastAsia="Times New Roman" w:hAnsi="Times New Roman" w:cs="Times New Roman"/>
          <w:sz w:val="24"/>
          <w:szCs w:val="24"/>
          <w:lang w:eastAsia="en-IN"/>
        </w:rPr>
      </w:pPr>
      <w:r w:rsidRPr="000F7F8B">
        <w:rPr>
          <w:rFonts w:ascii="Times New Roman" w:eastAsia="Times New Roman" w:hAnsi="Times New Roman" w:cs="Times New Roman"/>
          <w:b/>
          <w:bCs/>
          <w:sz w:val="32"/>
          <w:szCs w:val="32"/>
          <w:lang w:eastAsia="en-IN"/>
        </w:rPr>
        <w:t>National Human Rights Commission</w:t>
      </w:r>
    </w:p>
    <w:p w:rsidR="000F7F8B" w:rsidRPr="000F7F8B" w:rsidRDefault="000F7F8B" w:rsidP="000F7F8B">
      <w:pPr>
        <w:spacing w:before="15" w:after="15" w:line="240" w:lineRule="auto"/>
        <w:ind w:left="15" w:right="15"/>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 </w:t>
      </w:r>
    </w:p>
    <w:p w:rsidR="000F7F8B" w:rsidRPr="000F7F8B" w:rsidRDefault="000F7F8B" w:rsidP="000F7F8B">
      <w:pPr>
        <w:jc w:val="center"/>
        <w:rPr>
          <w:rFonts w:ascii="Calibri" w:eastAsia="Times New Roman" w:hAnsi="Calibri" w:cs="Calibri"/>
          <w:szCs w:val="22"/>
          <w:lang w:eastAsia="en-IN"/>
        </w:rPr>
      </w:pPr>
      <w:r w:rsidRPr="000F7F8B">
        <w:rPr>
          <w:rFonts w:ascii="Times New Roman" w:eastAsia="Times New Roman" w:hAnsi="Times New Roman" w:cs="Times New Roman"/>
          <w:b/>
          <w:bCs/>
          <w:sz w:val="28"/>
          <w:szCs w:val="28"/>
          <w:lang w:eastAsia="en-IN"/>
        </w:rPr>
        <w:t>Inputs for 118</w:t>
      </w:r>
      <w:r w:rsidRPr="000F7F8B">
        <w:rPr>
          <w:rFonts w:ascii="Times New Roman" w:eastAsia="Times New Roman" w:hAnsi="Times New Roman" w:cs="Times New Roman"/>
          <w:b/>
          <w:bCs/>
          <w:sz w:val="28"/>
          <w:szCs w:val="28"/>
          <w:vertAlign w:val="superscript"/>
          <w:lang w:eastAsia="en-IN"/>
        </w:rPr>
        <w:t>th</w:t>
      </w:r>
      <w:r w:rsidRPr="000F7F8B">
        <w:rPr>
          <w:rFonts w:ascii="Times New Roman" w:eastAsia="Times New Roman" w:hAnsi="Times New Roman" w:cs="Times New Roman"/>
          <w:b/>
          <w:bCs/>
          <w:sz w:val="28"/>
          <w:szCs w:val="28"/>
          <w:lang w:eastAsia="en-IN"/>
        </w:rPr>
        <w:t xml:space="preserve"> session of Committee of Racial Discrimination</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India is a sovereign, socialist, secular, democratic republic with a deeply pluralistic, multi-cultural, multi-religious and multi-lingual society, in which equality and non-discrimination are affirmed as core constitutional guarantees. </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 xml:space="preserve">The Constitution guarantees equality before the law and equal protection of the laws (Article 14) and expressly prohibits discrimination on the grounds of religion, race, caste, sex or place of birth (Article 15). These guarantees are reinforced by Article 16 which provides for equality of opportunity in public employment and Article 17 which abolishes </w:t>
      </w:r>
      <w:proofErr w:type="spellStart"/>
      <w:r w:rsidRPr="000F7F8B">
        <w:rPr>
          <w:rFonts w:ascii="Times New Roman" w:eastAsia="Times New Roman" w:hAnsi="Times New Roman" w:cs="Times New Roman"/>
          <w:sz w:val="24"/>
          <w:szCs w:val="24"/>
          <w:lang w:eastAsia="en-IN"/>
        </w:rPr>
        <w:t>untouchability</w:t>
      </w:r>
      <w:proofErr w:type="spellEnd"/>
      <w:r w:rsidRPr="000F7F8B">
        <w:rPr>
          <w:rFonts w:ascii="Times New Roman" w:eastAsia="Times New Roman" w:hAnsi="Times New Roman" w:cs="Times New Roman"/>
          <w:sz w:val="24"/>
          <w:szCs w:val="24"/>
          <w:lang w:eastAsia="en-IN"/>
        </w:rPr>
        <w:t>.</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 xml:space="preserve">Special legal protections for conservation of distinct culture, language and script and other interests of minority communities have also been guaranteed in the Constitution. </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 xml:space="preserve">These guarantees are </w:t>
      </w:r>
      <w:proofErr w:type="spellStart"/>
      <w:r w:rsidRPr="000F7F8B">
        <w:rPr>
          <w:rFonts w:ascii="Times New Roman" w:eastAsia="Times New Roman" w:hAnsi="Times New Roman" w:cs="Times New Roman"/>
          <w:sz w:val="24"/>
          <w:szCs w:val="24"/>
          <w:lang w:eastAsia="en-IN"/>
        </w:rPr>
        <w:t>operationalised</w:t>
      </w:r>
      <w:proofErr w:type="spellEnd"/>
      <w:r w:rsidRPr="000F7F8B">
        <w:rPr>
          <w:rFonts w:ascii="Times New Roman" w:eastAsia="Times New Roman" w:hAnsi="Times New Roman" w:cs="Times New Roman"/>
          <w:sz w:val="24"/>
          <w:szCs w:val="24"/>
          <w:lang w:eastAsia="en-IN"/>
        </w:rPr>
        <w:t xml:space="preserve"> through a wider body of legislation and public policies designed to protect vulnerable and marginalised groups, including Scheduled Castes, Scheduled Tribes and religious minorities.</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 xml:space="preserve">India has established dedicated national institutions for these groups, notably the National Commission for Scheduled Castes, the National Commission for Scheduled Tribes and the National Commission for Minorities, among others. Moreover, the Chairpersons of these bodies are deemed members of the National Human Rights </w:t>
      </w:r>
      <w:proofErr w:type="gramStart"/>
      <w:r w:rsidRPr="000F7F8B">
        <w:rPr>
          <w:rFonts w:ascii="Times New Roman" w:eastAsia="Times New Roman" w:hAnsi="Times New Roman" w:cs="Times New Roman"/>
          <w:sz w:val="24"/>
          <w:szCs w:val="24"/>
          <w:lang w:eastAsia="en-IN"/>
        </w:rPr>
        <w:t>Commission</w:t>
      </w:r>
      <w:r w:rsidRPr="000F7F8B">
        <w:rPr>
          <w:rFonts w:ascii="Times New Roman" w:eastAsia="Times New Roman" w:hAnsi="Times New Roman" w:cs="Times New Roman"/>
          <w:sz w:val="24"/>
          <w:szCs w:val="24"/>
          <w:vertAlign w:val="superscript"/>
          <w:lang w:eastAsia="en-IN"/>
        </w:rPr>
        <w:t>[</w:t>
      </w:r>
      <w:proofErr w:type="gramEnd"/>
      <w:r w:rsidRPr="000F7F8B">
        <w:rPr>
          <w:rFonts w:ascii="Times New Roman" w:eastAsia="Times New Roman" w:hAnsi="Times New Roman" w:cs="Times New Roman"/>
          <w:sz w:val="24"/>
          <w:szCs w:val="24"/>
          <w:vertAlign w:val="superscript"/>
          <w:lang w:eastAsia="en-IN"/>
        </w:rPr>
        <w:t>1]</w:t>
      </w:r>
      <w:r w:rsidRPr="000F7F8B">
        <w:rPr>
          <w:rFonts w:ascii="Times New Roman" w:eastAsia="Times New Roman" w:hAnsi="Times New Roman" w:cs="Times New Roman"/>
          <w:sz w:val="24"/>
          <w:szCs w:val="24"/>
          <w:lang w:eastAsia="en-IN"/>
        </w:rPr>
        <w:t xml:space="preserve"> under the Protection of Human Rights Act 1993 as amended in 2019.</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 xml:space="preserve">This institutional architecture is complemented by the NHRC’s complaint handling system and the nationwide </w:t>
      </w:r>
      <w:proofErr w:type="spellStart"/>
      <w:r w:rsidRPr="000F7F8B">
        <w:rPr>
          <w:rFonts w:ascii="Times New Roman" w:eastAsia="Times New Roman" w:hAnsi="Times New Roman" w:cs="Times New Roman"/>
          <w:sz w:val="24"/>
          <w:szCs w:val="24"/>
          <w:lang w:eastAsia="en-IN"/>
        </w:rPr>
        <w:t>HRCNet</w:t>
      </w:r>
      <w:proofErr w:type="spellEnd"/>
      <w:r w:rsidRPr="000F7F8B">
        <w:rPr>
          <w:rFonts w:ascii="Times New Roman" w:eastAsia="Times New Roman" w:hAnsi="Times New Roman" w:cs="Times New Roman"/>
          <w:sz w:val="24"/>
          <w:szCs w:val="24"/>
          <w:lang w:eastAsia="en-IN"/>
        </w:rPr>
        <w:t xml:space="preserve"> online portal, which allow any person to file complaints and track their status, enabling the commission to discern and follow up on patterns of alleged violations affecting particular communities and other vulnerable populations.</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Parliament has also enacted specific legislation such as the Scheduled Castes and the Scheduled Tribes (Prevention of Atrocities) Act, 1989 which is aimed at preventing offences of atrocities against SCs and STs, establishing special courts for their trial and providing for the relief and rehabilitation of victims.</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For religious minorities, the National Commission for Minorities was constituted under the National Commission for Minorities Act 1992 to safeguard and promote the interests of notified minority communities consistent with constitutional guarantees.</w:t>
      </w:r>
    </w:p>
    <w:p w:rsidR="000F7F8B" w:rsidRPr="000F7F8B" w:rsidRDefault="000F7F8B" w:rsidP="000F7F8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t xml:space="preserve">In parallel, the Social Justice and Empowerment Division of NITI </w:t>
      </w:r>
      <w:proofErr w:type="spellStart"/>
      <w:r w:rsidRPr="000F7F8B">
        <w:rPr>
          <w:rFonts w:ascii="Times New Roman" w:eastAsia="Times New Roman" w:hAnsi="Times New Roman" w:cs="Times New Roman"/>
          <w:sz w:val="24"/>
          <w:szCs w:val="24"/>
          <w:lang w:eastAsia="en-IN"/>
        </w:rPr>
        <w:t>Aayog</w:t>
      </w:r>
      <w:proofErr w:type="spellEnd"/>
      <w:r w:rsidRPr="000F7F8B">
        <w:rPr>
          <w:rFonts w:ascii="Times New Roman" w:eastAsia="Times New Roman" w:hAnsi="Times New Roman" w:cs="Times New Roman"/>
          <w:sz w:val="24"/>
          <w:szCs w:val="24"/>
          <w:vertAlign w:val="superscript"/>
          <w:lang w:eastAsia="en-IN"/>
        </w:rPr>
        <w:t>[2]</w:t>
      </w:r>
      <w:r w:rsidRPr="000F7F8B">
        <w:rPr>
          <w:rFonts w:ascii="Times New Roman" w:eastAsia="Times New Roman" w:hAnsi="Times New Roman" w:cs="Times New Roman"/>
          <w:sz w:val="24"/>
          <w:szCs w:val="24"/>
          <w:lang w:eastAsia="en-IN"/>
        </w:rPr>
        <w:t xml:space="preserve"> formulated special policies and strategies such as the Scheduled Castes Sub Plan (SCSP) and Tribal Sub Plan (TSP) to address development deficits among SCs, STs, religious minorities and other vulnerable groups, thereby strengthening the broader equality framework.</w:t>
      </w:r>
    </w:p>
    <w:p w:rsidR="000F7F8B" w:rsidRPr="000F7F8B" w:rsidRDefault="000F7F8B" w:rsidP="000F7F8B">
      <w:pPr>
        <w:spacing w:after="0" w:line="240" w:lineRule="auto"/>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br w:type="textWrapping" w:clear="all"/>
      </w:r>
    </w:p>
    <w:p w:rsidR="000F7F8B" w:rsidRPr="000F7F8B" w:rsidRDefault="000F7F8B" w:rsidP="000F7F8B">
      <w:pPr>
        <w:spacing w:after="0" w:line="240" w:lineRule="auto"/>
        <w:rPr>
          <w:rFonts w:ascii="Times New Roman" w:eastAsia="Times New Roman" w:hAnsi="Times New Roman" w:cs="Times New Roman"/>
          <w:sz w:val="24"/>
          <w:szCs w:val="24"/>
          <w:lang w:eastAsia="en-IN"/>
        </w:rPr>
      </w:pPr>
      <w:r w:rsidRPr="000F7F8B">
        <w:rPr>
          <w:rFonts w:ascii="Times New Roman" w:eastAsia="Times New Roman" w:hAnsi="Times New Roman" w:cs="Times New Roman"/>
          <w:sz w:val="24"/>
          <w:szCs w:val="24"/>
          <w:lang w:eastAsia="en-IN"/>
        </w:rPr>
        <w:pict>
          <v:rect id="_x0000_i1025" style="width:148.95pt;height:.75pt" o:hrpct="330" o:hrstd="t" o:hr="t" fillcolor="#a0a0a0" stroked="f"/>
        </w:pict>
      </w:r>
    </w:p>
    <w:p w:rsidR="000F7F8B" w:rsidRPr="000F7F8B" w:rsidRDefault="000F7F8B" w:rsidP="000F7F8B">
      <w:pPr>
        <w:spacing w:after="0" w:line="240" w:lineRule="auto"/>
        <w:rPr>
          <w:rFonts w:ascii="Calibri" w:eastAsia="Times New Roman" w:hAnsi="Calibri" w:cs="Calibri"/>
          <w:sz w:val="20"/>
          <w:lang w:eastAsia="en-IN"/>
        </w:rPr>
      </w:pPr>
      <w:r w:rsidRPr="000F7F8B">
        <w:rPr>
          <w:rFonts w:ascii="Calibri" w:eastAsia="Times New Roman" w:hAnsi="Calibri" w:cs="Calibri"/>
          <w:sz w:val="20"/>
          <w:vertAlign w:val="superscript"/>
          <w:lang w:eastAsia="en-IN"/>
        </w:rPr>
        <w:t>[1]</w:t>
      </w:r>
      <w:r w:rsidRPr="000F7F8B">
        <w:rPr>
          <w:rFonts w:ascii="Calibri" w:eastAsia="Times New Roman" w:hAnsi="Calibri" w:cs="Calibri"/>
          <w:sz w:val="20"/>
          <w:lang w:eastAsia="en-IN"/>
        </w:rPr>
        <w:t xml:space="preserve"> https://nhrc.nic.in/about-us/composition_of_commission</w:t>
      </w:r>
    </w:p>
    <w:p w:rsidR="000F7F8B" w:rsidRPr="000F7F8B" w:rsidRDefault="000F7F8B" w:rsidP="000F7F8B">
      <w:pPr>
        <w:spacing w:after="0" w:line="240" w:lineRule="auto"/>
        <w:rPr>
          <w:rFonts w:ascii="Calibri" w:eastAsia="Times New Roman" w:hAnsi="Calibri" w:cs="Calibri"/>
          <w:sz w:val="20"/>
          <w:lang w:eastAsia="en-IN"/>
        </w:rPr>
      </w:pPr>
      <w:r w:rsidRPr="000F7F8B">
        <w:rPr>
          <w:rFonts w:ascii="Calibri" w:eastAsia="Times New Roman" w:hAnsi="Calibri" w:cs="Calibri"/>
          <w:sz w:val="20"/>
          <w:vertAlign w:val="superscript"/>
          <w:lang w:eastAsia="en-IN"/>
        </w:rPr>
        <w:t>[2]</w:t>
      </w:r>
      <w:r w:rsidRPr="000F7F8B">
        <w:rPr>
          <w:rFonts w:ascii="Calibri" w:eastAsia="Times New Roman" w:hAnsi="Calibri" w:cs="Calibri"/>
          <w:sz w:val="20"/>
          <w:lang w:eastAsia="en-IN"/>
        </w:rPr>
        <w:t xml:space="preserve"> https://niti.gov.in/divisions/division/social-justice-and-empowerment</w:t>
      </w:r>
    </w:p>
    <w:p w:rsidR="006302C7" w:rsidRDefault="006302C7">
      <w:bookmarkStart w:id="0" w:name="_GoBack"/>
      <w:bookmarkEnd w:id="0"/>
    </w:p>
    <w:sectPr w:rsidR="00630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auto"/>
    <w:pitch w:val="variable"/>
    <w:sig w:usb0="00008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81684"/>
    <w:multiLevelType w:val="multilevel"/>
    <w:tmpl w:val="0168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8B"/>
    <w:rsid w:val="000F7F8B"/>
    <w:rsid w:val="006302C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F8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F7F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F8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F7F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697060">
      <w:bodyDiv w:val="1"/>
      <w:marLeft w:val="0"/>
      <w:marRight w:val="0"/>
      <w:marTop w:val="0"/>
      <w:marBottom w:val="0"/>
      <w:divBdr>
        <w:top w:val="none" w:sz="0" w:space="0" w:color="auto"/>
        <w:left w:val="none" w:sz="0" w:space="0" w:color="auto"/>
        <w:bottom w:val="none" w:sz="0" w:space="0" w:color="auto"/>
        <w:right w:val="none" w:sz="0" w:space="0" w:color="auto"/>
      </w:divBdr>
      <w:divsChild>
        <w:div w:id="608242717">
          <w:marLeft w:val="0"/>
          <w:marRight w:val="0"/>
          <w:marTop w:val="0"/>
          <w:marBottom w:val="0"/>
          <w:divBdr>
            <w:top w:val="none" w:sz="0" w:space="0" w:color="auto"/>
            <w:left w:val="none" w:sz="0" w:space="0" w:color="auto"/>
            <w:bottom w:val="none" w:sz="0" w:space="0" w:color="auto"/>
            <w:right w:val="none" w:sz="0" w:space="0" w:color="auto"/>
          </w:divBdr>
          <w:divsChild>
            <w:div w:id="1609004000">
              <w:marLeft w:val="0"/>
              <w:marRight w:val="0"/>
              <w:marTop w:val="0"/>
              <w:marBottom w:val="0"/>
              <w:divBdr>
                <w:top w:val="none" w:sz="0" w:space="0" w:color="auto"/>
                <w:left w:val="none" w:sz="0" w:space="0" w:color="auto"/>
                <w:bottom w:val="none" w:sz="0" w:space="0" w:color="auto"/>
                <w:right w:val="none" w:sz="0" w:space="0" w:color="auto"/>
              </w:divBdr>
            </w:div>
            <w:div w:id="202801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431</Words>
  <Characters>2462</Characters>
  <Application>Microsoft Office Word</Application>
  <DocSecurity>0</DocSecurity>
  <Lines>20</Lines>
  <Paragraphs>5</Paragraphs>
  <ScaleCrop>false</ScaleCrop>
  <Company>HP Inc.</Company>
  <LinksUpToDate>false</LinksUpToDate>
  <CharactersWithSpaces>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NHRC</dc:creator>
  <cp:lastModifiedBy>NHRC</cp:lastModifiedBy>
  <cp:revision>1</cp:revision>
  <dcterms:created xsi:type="dcterms:W3CDTF">2026-05-14T10:15:00Z</dcterms:created>
  <dcterms:modified xsi:type="dcterms:W3CDTF">2026-05-14T10:16:00Z</dcterms:modified>
</cp:coreProperties>
</file>