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270D" w:rsidRDefault="0014270D" w:rsidP="00066032">
      <w:pPr>
        <w:spacing w:after="0"/>
        <w:jc w:val="center"/>
        <w:rPr>
          <w:rFonts w:asciiTheme="majorBidi" w:eastAsia="Times New Roman" w:hAnsiTheme="majorBidi" w:cstheme="majorBidi"/>
          <w:b/>
          <w:bCs/>
          <w:color w:val="365F91" w:themeColor="accent1" w:themeShade="BF"/>
          <w:sz w:val="32"/>
          <w:szCs w:val="32"/>
        </w:rPr>
      </w:pPr>
    </w:p>
    <w:p w:rsidR="0014270D" w:rsidRDefault="0014270D" w:rsidP="00066032">
      <w:pPr>
        <w:spacing w:after="0"/>
        <w:jc w:val="center"/>
        <w:rPr>
          <w:rFonts w:asciiTheme="majorBidi" w:eastAsia="Times New Roman" w:hAnsiTheme="majorBidi" w:cstheme="majorBidi"/>
          <w:b/>
          <w:bCs/>
          <w:color w:val="365F91" w:themeColor="accent1" w:themeShade="BF"/>
          <w:sz w:val="32"/>
          <w:szCs w:val="32"/>
        </w:rPr>
      </w:pPr>
      <w:r w:rsidRPr="00BA5371">
        <w:rPr>
          <w:rFonts w:asciiTheme="majorBidi" w:hAnsiTheme="majorBidi" w:cs="B Lotus"/>
          <w:noProof/>
          <w:sz w:val="28"/>
          <w:szCs w:val="28"/>
        </w:rPr>
        <w:drawing>
          <wp:inline distT="0" distB="0" distL="0" distR="0" wp14:anchorId="4C7022D1" wp14:editId="04F48804">
            <wp:extent cx="1514475" cy="2145506"/>
            <wp:effectExtent l="0" t="0" r="0" b="7620"/>
            <wp:docPr id="3" name="Picture 3" descr="C:\Users\55\Documents\Received Files\لوگو بنیاد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55\Documents\Received Files\لوگو بنیاد .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7768" cy="2164337"/>
                    </a:xfrm>
                    <a:prstGeom prst="rect">
                      <a:avLst/>
                    </a:prstGeom>
                    <a:noFill/>
                    <a:ln>
                      <a:noFill/>
                    </a:ln>
                  </pic:spPr>
                </pic:pic>
              </a:graphicData>
            </a:graphic>
          </wp:inline>
        </w:drawing>
      </w:r>
    </w:p>
    <w:p w:rsidR="00EB60A6" w:rsidRPr="0014270D" w:rsidRDefault="00EB60A6" w:rsidP="00EB60A6">
      <w:pPr>
        <w:jc w:val="both"/>
        <w:rPr>
          <w:rFonts w:asciiTheme="majorBidi" w:hAnsiTheme="majorBidi" w:cstheme="majorBidi"/>
          <w:b/>
          <w:bCs/>
          <w:sz w:val="28"/>
          <w:szCs w:val="28"/>
        </w:rPr>
      </w:pPr>
      <w:r w:rsidRPr="0014270D">
        <w:rPr>
          <w:rFonts w:asciiTheme="majorBidi" w:hAnsiTheme="majorBidi" w:cstheme="majorBidi"/>
          <w:b/>
          <w:bCs/>
          <w:sz w:val="28"/>
          <w:szCs w:val="28"/>
        </w:rPr>
        <w:t>Submission by: Abshar Atefeha Charity Institute</w:t>
      </w:r>
    </w:p>
    <w:bookmarkStart w:id="0" w:name="_GoBack"/>
    <w:bookmarkEnd w:id="0"/>
    <w:p w:rsidR="00EB60A6" w:rsidRPr="00EB60A6" w:rsidRDefault="00EB60A6" w:rsidP="00EB60A6">
      <w:pPr>
        <w:spacing w:after="0" w:line="360" w:lineRule="auto"/>
        <w:rPr>
          <w:rFonts w:asciiTheme="majorBidi" w:hAnsiTheme="majorBidi" w:cs="B Lotus"/>
          <w:sz w:val="28"/>
          <w:szCs w:val="28"/>
        </w:rPr>
      </w:pPr>
      <w:r w:rsidRPr="00EB60A6">
        <w:fldChar w:fldCharType="begin"/>
      </w:r>
      <w:r w:rsidRPr="00EB60A6">
        <w:instrText xml:space="preserve"> HYPERLINK "mailto:info2@absharatefeha.ir" </w:instrText>
      </w:r>
      <w:r w:rsidRPr="00EB60A6">
        <w:fldChar w:fldCharType="separate"/>
      </w:r>
      <w:r w:rsidRPr="00EB60A6">
        <w:rPr>
          <w:rStyle w:val="Hyperlink"/>
          <w:rFonts w:asciiTheme="majorBidi" w:hAnsiTheme="majorBidi" w:cs="B Lotus"/>
          <w:color w:val="auto"/>
          <w:sz w:val="28"/>
          <w:szCs w:val="28"/>
          <w:u w:val="none"/>
        </w:rPr>
        <w:t>info2@absharatefeha.ir</w:t>
      </w:r>
      <w:r w:rsidRPr="00EB60A6">
        <w:rPr>
          <w:rStyle w:val="Hyperlink"/>
          <w:rFonts w:asciiTheme="majorBidi" w:hAnsiTheme="majorBidi" w:cs="B Lotus"/>
          <w:color w:val="auto"/>
          <w:sz w:val="28"/>
          <w:szCs w:val="28"/>
          <w:u w:val="none"/>
        </w:rPr>
        <w:fldChar w:fldCharType="end"/>
      </w:r>
    </w:p>
    <w:p w:rsidR="0014270D" w:rsidRDefault="0014270D" w:rsidP="00066032">
      <w:pPr>
        <w:spacing w:after="0"/>
        <w:jc w:val="center"/>
        <w:rPr>
          <w:rFonts w:asciiTheme="majorBidi" w:eastAsia="Times New Roman" w:hAnsiTheme="majorBidi" w:cstheme="majorBidi"/>
          <w:b/>
          <w:bCs/>
          <w:color w:val="365F91" w:themeColor="accent1" w:themeShade="BF"/>
          <w:sz w:val="32"/>
          <w:szCs w:val="32"/>
        </w:rPr>
      </w:pPr>
    </w:p>
    <w:p w:rsidR="00EB60A6" w:rsidRDefault="00EB60A6" w:rsidP="00066032">
      <w:pPr>
        <w:spacing w:after="0"/>
        <w:jc w:val="center"/>
        <w:rPr>
          <w:rFonts w:asciiTheme="majorBidi" w:eastAsia="Times New Roman" w:hAnsiTheme="majorBidi" w:cstheme="majorBidi"/>
          <w:b/>
          <w:bCs/>
          <w:color w:val="365F91" w:themeColor="accent1" w:themeShade="BF"/>
          <w:sz w:val="32"/>
          <w:szCs w:val="32"/>
        </w:rPr>
      </w:pPr>
    </w:p>
    <w:p w:rsidR="00066032" w:rsidRPr="00066032" w:rsidRDefault="00723998" w:rsidP="00066032">
      <w:pPr>
        <w:spacing w:after="0"/>
        <w:jc w:val="center"/>
        <w:rPr>
          <w:rFonts w:asciiTheme="majorBidi" w:eastAsia="Times New Roman" w:hAnsiTheme="majorBidi" w:cstheme="majorBidi"/>
          <w:b/>
          <w:bCs/>
          <w:color w:val="365F91" w:themeColor="accent1" w:themeShade="BF"/>
          <w:sz w:val="32"/>
          <w:szCs w:val="32"/>
          <w:rtl/>
        </w:rPr>
      </w:pPr>
      <w:r>
        <w:rPr>
          <w:rFonts w:asciiTheme="majorBidi" w:eastAsia="Times New Roman" w:hAnsiTheme="majorBidi" w:cstheme="majorBidi"/>
          <w:b/>
          <w:bCs/>
          <w:color w:val="365F91" w:themeColor="accent1" w:themeShade="BF"/>
          <w:sz w:val="32"/>
          <w:szCs w:val="32"/>
        </w:rPr>
        <w:t xml:space="preserve">Committee on </w:t>
      </w:r>
      <w:r w:rsidR="00066032" w:rsidRPr="00066032">
        <w:rPr>
          <w:rFonts w:asciiTheme="majorBidi" w:eastAsia="Times New Roman" w:hAnsiTheme="majorBidi" w:cstheme="majorBidi"/>
          <w:b/>
          <w:bCs/>
          <w:color w:val="365F91" w:themeColor="accent1" w:themeShade="BF"/>
          <w:sz w:val="32"/>
          <w:szCs w:val="32"/>
        </w:rPr>
        <w:t>International Covenant on Economic, Social, and Cultural Rights</w:t>
      </w:r>
    </w:p>
    <w:p w:rsidR="00066032" w:rsidRPr="00066032" w:rsidRDefault="00066032" w:rsidP="00066032">
      <w:pPr>
        <w:spacing w:after="0"/>
        <w:jc w:val="center"/>
        <w:rPr>
          <w:rFonts w:eastAsia="Times New Roman" w:cstheme="majorBidi"/>
          <w:color w:val="365F91" w:themeColor="accent1" w:themeShade="BF"/>
          <w:sz w:val="2"/>
          <w:szCs w:val="2"/>
        </w:rPr>
      </w:pPr>
    </w:p>
    <w:p w:rsidR="00066032" w:rsidRPr="00066032" w:rsidRDefault="00066032" w:rsidP="00066032">
      <w:pPr>
        <w:spacing w:after="0" w:line="240" w:lineRule="auto"/>
        <w:jc w:val="center"/>
        <w:rPr>
          <w:rFonts w:asciiTheme="majorBidi" w:eastAsia="Times New Roman" w:hAnsiTheme="majorBidi" w:cstheme="majorBidi"/>
          <w:b/>
          <w:bCs/>
          <w:i/>
          <w:iCs/>
          <w:color w:val="365F91" w:themeColor="accent1" w:themeShade="BF"/>
          <w:sz w:val="28"/>
          <w:szCs w:val="28"/>
        </w:rPr>
      </w:pPr>
      <w:r w:rsidRPr="00066032">
        <w:rPr>
          <w:rFonts w:asciiTheme="majorBidi" w:eastAsia="Times New Roman" w:hAnsiTheme="majorBidi" w:cstheme="majorBidi"/>
          <w:b/>
          <w:bCs/>
          <w:i/>
          <w:iCs/>
          <w:color w:val="365F91" w:themeColor="accent1" w:themeShade="BF"/>
          <w:sz w:val="28"/>
          <w:szCs w:val="28"/>
        </w:rPr>
        <w:t>77 Session (10 Feb 2025 - 28 Feb 2025)</w:t>
      </w:r>
    </w:p>
    <w:p w:rsidR="00066032" w:rsidRPr="00066032" w:rsidRDefault="00066032" w:rsidP="00066032">
      <w:pPr>
        <w:spacing w:after="0" w:line="240" w:lineRule="auto"/>
        <w:jc w:val="center"/>
        <w:rPr>
          <w:rFonts w:asciiTheme="majorBidi" w:eastAsia="Times New Roman" w:hAnsiTheme="majorBidi" w:cstheme="majorBidi"/>
          <w:b/>
          <w:bCs/>
          <w:i/>
          <w:iCs/>
          <w:color w:val="365F91" w:themeColor="accent1" w:themeShade="BF"/>
          <w:sz w:val="28"/>
          <w:szCs w:val="28"/>
        </w:rPr>
      </w:pPr>
    </w:p>
    <w:p w:rsidR="00066032" w:rsidRPr="00066032" w:rsidRDefault="00066032" w:rsidP="00066032">
      <w:pPr>
        <w:spacing w:after="0"/>
        <w:jc w:val="center"/>
        <w:rPr>
          <w:rFonts w:asciiTheme="majorBidi" w:eastAsia="Times New Roman" w:hAnsiTheme="majorBidi" w:cstheme="majorBidi"/>
          <w:b/>
          <w:bCs/>
          <w:color w:val="365F91" w:themeColor="accent1" w:themeShade="BF"/>
          <w:sz w:val="28"/>
          <w:szCs w:val="28"/>
        </w:rPr>
      </w:pPr>
      <w:r w:rsidRPr="00066032">
        <w:rPr>
          <w:rFonts w:asciiTheme="majorBidi" w:eastAsia="Times New Roman" w:hAnsiTheme="majorBidi" w:cstheme="majorBidi"/>
          <w:b/>
          <w:bCs/>
          <w:color w:val="365F91" w:themeColor="accent1" w:themeShade="BF"/>
          <w:sz w:val="28"/>
          <w:szCs w:val="28"/>
        </w:rPr>
        <w:t>Review of the “United Kingdom of Great Britain and Northern Ireland”</w:t>
      </w:r>
    </w:p>
    <w:p w:rsidR="00066032" w:rsidRDefault="00066032" w:rsidP="0068123D">
      <w:pPr>
        <w:jc w:val="both"/>
        <w:rPr>
          <w:rFonts w:asciiTheme="majorBidi" w:hAnsiTheme="majorBidi" w:cstheme="majorBidi"/>
          <w:b/>
          <w:bCs/>
        </w:rPr>
      </w:pPr>
    </w:p>
    <w:p w:rsidR="009B1F5C" w:rsidRPr="00066032" w:rsidRDefault="009B1F5C" w:rsidP="0068123D">
      <w:pPr>
        <w:jc w:val="both"/>
        <w:rPr>
          <w:rFonts w:asciiTheme="majorBidi" w:hAnsiTheme="majorBidi" w:cstheme="majorBidi"/>
          <w:b/>
          <w:bCs/>
          <w:rtl/>
        </w:rPr>
      </w:pPr>
    </w:p>
    <w:p w:rsidR="00F759CE" w:rsidRPr="00066032" w:rsidRDefault="004E42E5" w:rsidP="0068123D">
      <w:pPr>
        <w:jc w:val="both"/>
        <w:rPr>
          <w:rFonts w:asciiTheme="majorBidi" w:hAnsiTheme="majorBidi" w:cstheme="majorBidi"/>
          <w:b/>
          <w:bCs/>
          <w:color w:val="000000" w:themeColor="text1"/>
          <w:sz w:val="24"/>
          <w:szCs w:val="24"/>
        </w:rPr>
      </w:pPr>
      <w:r w:rsidRPr="00066032">
        <w:rPr>
          <w:rFonts w:asciiTheme="majorBidi" w:hAnsiTheme="majorBidi" w:cstheme="majorBidi"/>
          <w:b/>
          <w:bCs/>
          <w:color w:val="000000" w:themeColor="text1"/>
          <w:sz w:val="24"/>
          <w:szCs w:val="24"/>
        </w:rPr>
        <w:t>Poverty and economic problems in the UK, with an emphasis on rising fuel and food prices</w:t>
      </w:r>
    </w:p>
    <w:p w:rsidR="00F759CE" w:rsidRPr="00066032" w:rsidRDefault="00F759CE" w:rsidP="0068123D">
      <w:pPr>
        <w:pStyle w:val="ListParagraph"/>
        <w:numPr>
          <w:ilvl w:val="0"/>
          <w:numId w:val="4"/>
        </w:numPr>
        <w:jc w:val="both"/>
        <w:rPr>
          <w:rFonts w:asciiTheme="majorBidi" w:hAnsiTheme="majorBidi" w:cstheme="majorBidi"/>
          <w:b/>
          <w:bCs/>
          <w:sz w:val="24"/>
          <w:szCs w:val="24"/>
        </w:rPr>
      </w:pPr>
      <w:r w:rsidRPr="00066032">
        <w:rPr>
          <w:rFonts w:asciiTheme="majorBidi" w:hAnsiTheme="majorBidi" w:cstheme="majorBidi"/>
          <w:b/>
          <w:bCs/>
          <w:sz w:val="24"/>
          <w:szCs w:val="24"/>
        </w:rPr>
        <w:t xml:space="preserve">Introduction </w:t>
      </w:r>
    </w:p>
    <w:p w:rsidR="00590CAB" w:rsidRPr="00066032" w:rsidRDefault="00590CAB" w:rsidP="00066032">
      <w:pPr>
        <w:jc w:val="both"/>
        <w:rPr>
          <w:rFonts w:asciiTheme="majorBidi" w:hAnsiTheme="majorBidi" w:cstheme="majorBidi"/>
          <w:sz w:val="24"/>
          <w:szCs w:val="24"/>
          <w:vertAlign w:val="superscript"/>
        </w:rPr>
      </w:pPr>
      <w:r w:rsidRPr="00066032">
        <w:rPr>
          <w:rFonts w:asciiTheme="majorBidi" w:hAnsiTheme="majorBidi" w:cstheme="majorBidi"/>
          <w:sz w:val="24"/>
          <w:szCs w:val="24"/>
        </w:rPr>
        <w:t xml:space="preserve">The United Kingdom (UK) is facing an economic crisis and stark cost-of-living crisis, worsened by the COVID-19 pandemic, the Russian invasion of Ukraine, and the ongoing climate emergency, wherein UK news articles have </w:t>
      </w:r>
      <w:r w:rsidR="00066032">
        <w:rPr>
          <w:rFonts w:asciiTheme="majorBidi" w:hAnsiTheme="majorBidi" w:cstheme="majorBidi"/>
          <w:sz w:val="24"/>
          <w:szCs w:val="24"/>
        </w:rPr>
        <w:t>repeatedly been</w:t>
      </w:r>
      <w:r w:rsidRPr="00066032">
        <w:rPr>
          <w:rFonts w:asciiTheme="majorBidi" w:hAnsiTheme="majorBidi" w:cstheme="majorBidi"/>
          <w:sz w:val="24"/>
          <w:szCs w:val="24"/>
        </w:rPr>
        <w:t xml:space="preserve"> reporting that individuals are “choosing between heating and eating”. Food poverty (or food insecurity) is an inability to acquire food of sufficient quantity and nutritious quality in socially acceptable ways or an uncertainty that one will be able to do so. Fuel poverty (or energy poverty) is an inability to use household appliances and adequately heat and/or cool one's home to maintain decent living standards due to housing inefficiencies, above-average energy needs, an inability to access fuel sources, and/or a lack of resources. FFP are two dimensions of poverty that suggest a deprivation of basic human needs as defined by the United Nations Sustainable Development Goals two and seven – zero hunger and </w:t>
      </w:r>
      <w:r w:rsidRPr="00066032">
        <w:rPr>
          <w:rFonts w:asciiTheme="majorBidi" w:hAnsiTheme="majorBidi" w:cstheme="majorBidi"/>
          <w:sz w:val="24"/>
          <w:szCs w:val="24"/>
        </w:rPr>
        <w:lastRenderedPageBreak/>
        <w:t>affordable and clean energy (United Nations Department of Economic and Social Affairs). The occurrence of both deprivations simultaneously within the UK, a high-income country, is indicative of stark societal inequalities.</w:t>
      </w:r>
    </w:p>
    <w:p w:rsidR="00433D0D" w:rsidRPr="00066032" w:rsidRDefault="00590CAB" w:rsidP="008F505A">
      <w:pPr>
        <w:jc w:val="both"/>
        <w:rPr>
          <w:rFonts w:asciiTheme="majorBidi" w:hAnsiTheme="majorBidi" w:cstheme="majorBidi"/>
          <w:sz w:val="24"/>
          <w:szCs w:val="24"/>
        </w:rPr>
      </w:pPr>
      <w:r w:rsidRPr="00066032">
        <w:rPr>
          <w:rFonts w:asciiTheme="majorBidi" w:hAnsiTheme="majorBidi" w:cstheme="majorBidi"/>
          <w:sz w:val="24"/>
          <w:szCs w:val="24"/>
        </w:rPr>
        <w:t>Health consequences of fuel poverty include increased excess winter mortality, colds and influenza, cardiovascular and respiratory disorders, and heightened anxiety and depression. Food poverty is similarly associated with mental health issues such as anxiety and depression, as well as malnutrition (under- and over-nutrition due to reduced food intake or the consumption of unhealthy</w:t>
      </w:r>
      <w:r w:rsidR="00066032">
        <w:rPr>
          <w:rFonts w:asciiTheme="majorBidi" w:hAnsiTheme="majorBidi" w:cstheme="majorBidi"/>
          <w:sz w:val="24"/>
          <w:szCs w:val="24"/>
        </w:rPr>
        <w:t>,</w:t>
      </w:r>
      <w:r w:rsidRPr="00066032">
        <w:rPr>
          <w:rFonts w:asciiTheme="majorBidi" w:hAnsiTheme="majorBidi" w:cstheme="majorBidi"/>
          <w:sz w:val="24"/>
          <w:szCs w:val="24"/>
        </w:rPr>
        <w:t xml:space="preserve"> cheaper foods), type two diabetes, cardiovascular disease, cancers, and liver disease. The health ramifications of FFP individually suggest the need for public health intervention and involvement to address these deprivations.</w:t>
      </w:r>
      <w:r w:rsidR="008F505A">
        <w:rPr>
          <w:rStyle w:val="FootnoteReference"/>
          <w:rFonts w:asciiTheme="majorBidi" w:hAnsiTheme="majorBidi" w:cstheme="majorBidi"/>
          <w:sz w:val="24"/>
          <w:szCs w:val="24"/>
        </w:rPr>
        <w:footnoteReference w:id="1"/>
      </w:r>
    </w:p>
    <w:p w:rsidR="004E42E5" w:rsidRPr="00066032" w:rsidRDefault="004E42E5" w:rsidP="0068123D">
      <w:pPr>
        <w:jc w:val="both"/>
        <w:rPr>
          <w:rFonts w:asciiTheme="majorBidi" w:hAnsiTheme="majorBidi" w:cstheme="majorBidi"/>
          <w:b/>
          <w:bCs/>
          <w:sz w:val="24"/>
          <w:szCs w:val="24"/>
        </w:rPr>
      </w:pPr>
      <w:r w:rsidRPr="00066032">
        <w:rPr>
          <w:rFonts w:asciiTheme="majorBidi" w:hAnsiTheme="majorBidi" w:cstheme="majorBidi"/>
          <w:b/>
          <w:bCs/>
          <w:sz w:val="24"/>
          <w:szCs w:val="24"/>
        </w:rPr>
        <w:t>Poverty and inequality in the UK</w:t>
      </w:r>
    </w:p>
    <w:p w:rsidR="00F759CE" w:rsidRPr="00066032" w:rsidRDefault="00F759CE" w:rsidP="008F6FAB">
      <w:pPr>
        <w:jc w:val="both"/>
        <w:rPr>
          <w:rFonts w:asciiTheme="majorBidi" w:hAnsiTheme="majorBidi" w:cstheme="majorBidi"/>
          <w:sz w:val="24"/>
          <w:szCs w:val="24"/>
          <w:vertAlign w:val="superscript"/>
        </w:rPr>
      </w:pPr>
      <w:r w:rsidRPr="00066032">
        <w:rPr>
          <w:rFonts w:asciiTheme="majorBidi" w:hAnsiTheme="majorBidi" w:cstheme="majorBidi"/>
          <w:sz w:val="24"/>
          <w:szCs w:val="24"/>
        </w:rPr>
        <w:t>Poverty is deeply rooted in the UK, with more than a decade of cuts meaning millions of families across the country are struggling through financial hardship. Many more are being pushed below the breadline as the cost of living crisis hits low-income households the hardest.</w:t>
      </w:r>
    </w:p>
    <w:p w:rsidR="00F759CE" w:rsidRPr="00066032" w:rsidRDefault="00F759CE" w:rsidP="008F6FAB">
      <w:pPr>
        <w:jc w:val="both"/>
        <w:rPr>
          <w:rFonts w:asciiTheme="majorBidi" w:hAnsiTheme="majorBidi" w:cstheme="majorBidi"/>
          <w:sz w:val="24"/>
          <w:szCs w:val="24"/>
          <w:vertAlign w:val="superscript"/>
        </w:rPr>
      </w:pPr>
      <w:r w:rsidRPr="00066032">
        <w:rPr>
          <w:rFonts w:asciiTheme="majorBidi" w:hAnsiTheme="majorBidi" w:cstheme="majorBidi"/>
          <w:sz w:val="24"/>
          <w:szCs w:val="24"/>
        </w:rPr>
        <w:t>Around 14.4 million people were living in poverty in the UK in 2021/2022, according to the government’s official statistics. That is around one in five people. A total of 4.2 million children were affected.</w:t>
      </w:r>
    </w:p>
    <w:p w:rsidR="00F759CE" w:rsidRPr="00066032" w:rsidRDefault="00F759CE" w:rsidP="0068123D">
      <w:pPr>
        <w:jc w:val="both"/>
        <w:rPr>
          <w:rFonts w:asciiTheme="majorBidi" w:hAnsiTheme="majorBidi" w:cstheme="majorBidi"/>
          <w:sz w:val="24"/>
          <w:szCs w:val="24"/>
        </w:rPr>
      </w:pPr>
      <w:r w:rsidRPr="00066032">
        <w:rPr>
          <w:rFonts w:asciiTheme="majorBidi" w:hAnsiTheme="majorBidi" w:cstheme="majorBidi"/>
          <w:sz w:val="24"/>
          <w:szCs w:val="24"/>
        </w:rPr>
        <w:t>These harrowing figures were captured before the cost of living crisis took its toll on the country. The situation now is likely far worse.</w:t>
      </w:r>
    </w:p>
    <w:p w:rsidR="00F759CE" w:rsidRPr="00066032" w:rsidRDefault="00F759CE" w:rsidP="008F6FAB">
      <w:pPr>
        <w:jc w:val="both"/>
        <w:rPr>
          <w:rFonts w:asciiTheme="majorBidi" w:hAnsiTheme="majorBidi" w:cstheme="majorBidi"/>
          <w:sz w:val="24"/>
          <w:szCs w:val="24"/>
        </w:rPr>
      </w:pPr>
      <w:r w:rsidRPr="00066032">
        <w:rPr>
          <w:rFonts w:asciiTheme="majorBidi" w:hAnsiTheme="majorBidi" w:cstheme="majorBidi"/>
          <w:sz w:val="24"/>
          <w:szCs w:val="24"/>
        </w:rPr>
        <w:t>Millions of Brits will be cut off from energy this winter because they can’t afford bills</w:t>
      </w:r>
      <w:r w:rsidR="00F202FD" w:rsidRPr="00066032">
        <w:rPr>
          <w:rFonts w:asciiTheme="majorBidi" w:hAnsiTheme="majorBidi" w:cstheme="majorBidi"/>
          <w:sz w:val="24"/>
          <w:szCs w:val="24"/>
        </w:rPr>
        <w:t xml:space="preserve">. </w:t>
      </w:r>
      <w:r w:rsidRPr="00066032">
        <w:rPr>
          <w:rFonts w:asciiTheme="majorBidi" w:hAnsiTheme="majorBidi" w:cstheme="majorBidi"/>
          <w:sz w:val="24"/>
          <w:szCs w:val="24"/>
        </w:rPr>
        <w:t>Many people are struggling to afford the basics to live and rely on charities and food banks to survive.</w:t>
      </w:r>
      <w:r w:rsidR="008F505A" w:rsidRPr="008F505A">
        <w:rPr>
          <w:rFonts w:asciiTheme="majorBidi" w:hAnsiTheme="majorBidi" w:cstheme="majorBidi"/>
          <w:sz w:val="24"/>
          <w:szCs w:val="24"/>
          <w:vertAlign w:val="superscript"/>
        </w:rPr>
        <w:t xml:space="preserve"> </w:t>
      </w:r>
      <w:r w:rsidR="008F6FAB">
        <w:rPr>
          <w:rStyle w:val="FootnoteReference"/>
          <w:rFonts w:asciiTheme="majorBidi" w:hAnsiTheme="majorBidi" w:cstheme="majorBidi"/>
          <w:sz w:val="24"/>
          <w:szCs w:val="24"/>
        </w:rPr>
        <w:footnoteReference w:id="2"/>
      </w:r>
    </w:p>
    <w:p w:rsidR="004E42E5" w:rsidRPr="00066032" w:rsidRDefault="00471780" w:rsidP="0068123D">
      <w:pPr>
        <w:jc w:val="both"/>
        <w:rPr>
          <w:rFonts w:asciiTheme="majorBidi" w:hAnsiTheme="majorBidi" w:cstheme="majorBidi"/>
          <w:sz w:val="24"/>
          <w:szCs w:val="24"/>
        </w:rPr>
      </w:pPr>
      <w:r w:rsidRPr="00066032">
        <w:rPr>
          <w:rFonts w:asciiTheme="majorBidi" w:hAnsiTheme="majorBidi" w:cstheme="majorBidi"/>
          <w:b/>
          <w:bCs/>
          <w:sz w:val="24"/>
          <w:szCs w:val="24"/>
        </w:rPr>
        <w:t>Children</w:t>
      </w:r>
      <w:r w:rsidR="00DB2DF4" w:rsidRPr="00066032">
        <w:rPr>
          <w:rFonts w:asciiTheme="majorBidi" w:hAnsiTheme="majorBidi" w:cstheme="majorBidi"/>
          <w:b/>
          <w:bCs/>
          <w:sz w:val="24"/>
          <w:szCs w:val="24"/>
        </w:rPr>
        <w:t xml:space="preserve"> live in poverty</w:t>
      </w:r>
      <w:r w:rsidR="00066032">
        <w:rPr>
          <w:rFonts w:asciiTheme="majorBidi" w:hAnsiTheme="majorBidi" w:cstheme="majorBidi"/>
          <w:b/>
          <w:bCs/>
          <w:sz w:val="24"/>
          <w:szCs w:val="24"/>
        </w:rPr>
        <w:t>.</w:t>
      </w:r>
    </w:p>
    <w:p w:rsidR="004E42E5" w:rsidRPr="00066032" w:rsidRDefault="004E42E5" w:rsidP="00066032">
      <w:pPr>
        <w:jc w:val="both"/>
        <w:rPr>
          <w:rFonts w:asciiTheme="majorBidi" w:hAnsiTheme="majorBidi" w:cstheme="majorBidi"/>
          <w:sz w:val="24"/>
          <w:szCs w:val="24"/>
          <w:vertAlign w:val="superscript"/>
        </w:rPr>
      </w:pPr>
      <w:r w:rsidRPr="00066032">
        <w:rPr>
          <w:rFonts w:asciiTheme="majorBidi" w:hAnsiTheme="majorBidi" w:cstheme="majorBidi"/>
          <w:sz w:val="24"/>
          <w:szCs w:val="24"/>
        </w:rPr>
        <w:t xml:space="preserve">The government has estimated that 4.3 million children, or 30% of all children in the UK, were living in </w:t>
      </w:r>
      <w:r w:rsidR="00066032">
        <w:rPr>
          <w:rFonts w:asciiTheme="majorBidi" w:hAnsiTheme="majorBidi" w:cstheme="majorBidi"/>
          <w:sz w:val="24"/>
          <w:szCs w:val="24"/>
        </w:rPr>
        <w:t>relatively</w:t>
      </w:r>
      <w:r w:rsidRPr="00066032">
        <w:rPr>
          <w:rFonts w:asciiTheme="majorBidi" w:hAnsiTheme="majorBidi" w:cstheme="majorBidi"/>
          <w:sz w:val="24"/>
          <w:szCs w:val="24"/>
        </w:rPr>
        <w:t xml:space="preserve"> low-income households after housing costs in 2022/23. This represents an increase </w:t>
      </w:r>
      <w:r w:rsidR="00066032">
        <w:rPr>
          <w:rFonts w:asciiTheme="majorBidi" w:hAnsiTheme="majorBidi" w:cstheme="majorBidi"/>
          <w:sz w:val="24"/>
          <w:szCs w:val="24"/>
        </w:rPr>
        <w:t>from</w:t>
      </w:r>
      <w:r w:rsidRPr="00066032">
        <w:rPr>
          <w:rFonts w:asciiTheme="majorBidi" w:hAnsiTheme="majorBidi" w:cstheme="majorBidi"/>
          <w:sz w:val="24"/>
          <w:szCs w:val="24"/>
        </w:rPr>
        <w:t xml:space="preserve"> the previous year. The government has said unexpectedly high inflation, driven by the war in Ukraine and supply chain chal</w:t>
      </w:r>
      <w:r w:rsidR="00DB2DF4" w:rsidRPr="00066032">
        <w:rPr>
          <w:rFonts w:asciiTheme="majorBidi" w:hAnsiTheme="majorBidi" w:cstheme="majorBidi"/>
          <w:sz w:val="24"/>
          <w:szCs w:val="24"/>
        </w:rPr>
        <w:t>lenges, contributed to the rise</w:t>
      </w:r>
      <w:r w:rsidRPr="00066032">
        <w:rPr>
          <w:rFonts w:asciiTheme="majorBidi" w:hAnsiTheme="majorBidi" w:cstheme="majorBidi"/>
          <w:sz w:val="24"/>
          <w:szCs w:val="24"/>
        </w:rPr>
        <w:t>.</w:t>
      </w:r>
      <w:r w:rsidR="008F505A">
        <w:rPr>
          <w:rStyle w:val="FootnoteReference"/>
          <w:rFonts w:asciiTheme="majorBidi" w:hAnsiTheme="majorBidi" w:cstheme="majorBidi"/>
          <w:sz w:val="24"/>
          <w:szCs w:val="24"/>
        </w:rPr>
        <w:footnoteReference w:id="3"/>
      </w:r>
    </w:p>
    <w:p w:rsidR="00471780" w:rsidRPr="00066032" w:rsidRDefault="00471780" w:rsidP="0068123D">
      <w:pPr>
        <w:jc w:val="both"/>
        <w:rPr>
          <w:rFonts w:asciiTheme="majorBidi" w:hAnsiTheme="majorBidi" w:cstheme="majorBidi"/>
          <w:b/>
          <w:bCs/>
          <w:sz w:val="24"/>
          <w:szCs w:val="24"/>
        </w:rPr>
      </w:pPr>
      <w:r w:rsidRPr="00066032">
        <w:rPr>
          <w:rFonts w:asciiTheme="majorBidi" w:hAnsiTheme="majorBidi" w:cstheme="majorBidi"/>
          <w:b/>
          <w:bCs/>
          <w:sz w:val="24"/>
          <w:szCs w:val="24"/>
        </w:rPr>
        <w:t>What is fuel poverty?</w:t>
      </w:r>
    </w:p>
    <w:p w:rsidR="00471780" w:rsidRPr="00066032" w:rsidRDefault="00471780" w:rsidP="00066032">
      <w:pPr>
        <w:jc w:val="both"/>
        <w:rPr>
          <w:rFonts w:asciiTheme="majorBidi" w:hAnsiTheme="majorBidi" w:cstheme="majorBidi"/>
          <w:sz w:val="24"/>
          <w:szCs w:val="24"/>
        </w:rPr>
      </w:pPr>
      <w:r w:rsidRPr="00066032">
        <w:rPr>
          <w:rFonts w:asciiTheme="majorBidi" w:hAnsiTheme="majorBidi" w:cstheme="majorBidi"/>
          <w:sz w:val="24"/>
          <w:szCs w:val="24"/>
        </w:rPr>
        <w:t xml:space="preserve">In general, fuel poverty relates to households that must spend </w:t>
      </w:r>
      <w:r w:rsidR="00066032">
        <w:rPr>
          <w:rFonts w:asciiTheme="majorBidi" w:hAnsiTheme="majorBidi" w:cstheme="majorBidi"/>
          <w:sz w:val="24"/>
          <w:szCs w:val="24"/>
        </w:rPr>
        <w:t>much</w:t>
      </w:r>
      <w:r w:rsidRPr="00066032">
        <w:rPr>
          <w:rFonts w:asciiTheme="majorBidi" w:hAnsiTheme="majorBidi" w:cstheme="majorBidi"/>
          <w:sz w:val="24"/>
          <w:szCs w:val="24"/>
        </w:rPr>
        <w:t xml:space="preserve"> of their household income to keep their home at a reasonable temperature. Fuel poverty is affected by three key factors: a </w:t>
      </w:r>
      <w:r w:rsidRPr="00066032">
        <w:rPr>
          <w:rFonts w:asciiTheme="majorBidi" w:hAnsiTheme="majorBidi" w:cstheme="majorBidi"/>
          <w:sz w:val="24"/>
          <w:szCs w:val="24"/>
        </w:rPr>
        <w:lastRenderedPageBreak/>
        <w:t>household’s income, fuel costs, and energy consumption (which in turn can be affected by the energy efficiency of the dwelling).</w:t>
      </w:r>
    </w:p>
    <w:p w:rsidR="00471780" w:rsidRPr="00066032" w:rsidRDefault="00471780" w:rsidP="00066032">
      <w:pPr>
        <w:jc w:val="both"/>
        <w:rPr>
          <w:rFonts w:asciiTheme="majorBidi" w:hAnsiTheme="majorBidi" w:cstheme="majorBidi"/>
          <w:sz w:val="24"/>
          <w:szCs w:val="24"/>
        </w:rPr>
      </w:pPr>
      <w:r w:rsidRPr="00066032">
        <w:rPr>
          <w:rFonts w:asciiTheme="majorBidi" w:hAnsiTheme="majorBidi" w:cstheme="majorBidi"/>
          <w:sz w:val="24"/>
          <w:szCs w:val="24"/>
        </w:rPr>
        <w:t>The rapid increases in energy prices from late 2021 onwards led to higher energy debt, more customers on prepayment meters ‘self-disconnecting</w:t>
      </w:r>
      <w:r w:rsidR="00066032">
        <w:rPr>
          <w:rFonts w:asciiTheme="majorBidi" w:hAnsiTheme="majorBidi" w:cstheme="majorBidi"/>
          <w:sz w:val="24"/>
          <w:szCs w:val="24"/>
        </w:rPr>
        <w:t>,’</w:t>
      </w:r>
      <w:r w:rsidRPr="00066032">
        <w:rPr>
          <w:rFonts w:asciiTheme="majorBidi" w:hAnsiTheme="majorBidi" w:cstheme="majorBidi"/>
          <w:sz w:val="24"/>
          <w:szCs w:val="24"/>
        </w:rPr>
        <w:t xml:space="preserve"> and others having </w:t>
      </w:r>
      <w:r w:rsidR="00066032">
        <w:rPr>
          <w:rFonts w:asciiTheme="majorBidi" w:hAnsiTheme="majorBidi" w:cstheme="majorBidi"/>
          <w:sz w:val="24"/>
          <w:szCs w:val="24"/>
        </w:rPr>
        <w:t>to cut their energy usage drastically</w:t>
      </w:r>
      <w:r w:rsidRPr="00066032">
        <w:rPr>
          <w:rFonts w:asciiTheme="majorBidi" w:hAnsiTheme="majorBidi" w:cstheme="majorBidi"/>
          <w:sz w:val="24"/>
          <w:szCs w:val="24"/>
        </w:rPr>
        <w:t xml:space="preserve">. These, along with </w:t>
      </w:r>
      <w:r w:rsidR="00066032">
        <w:rPr>
          <w:rFonts w:asciiTheme="majorBidi" w:hAnsiTheme="majorBidi" w:cstheme="majorBidi"/>
          <w:sz w:val="24"/>
          <w:szCs w:val="24"/>
        </w:rPr>
        <w:t>the broader</w:t>
      </w:r>
      <w:r w:rsidRPr="00066032">
        <w:rPr>
          <w:rFonts w:asciiTheme="majorBidi" w:hAnsiTheme="majorBidi" w:cstheme="majorBidi"/>
          <w:sz w:val="24"/>
          <w:szCs w:val="24"/>
        </w:rPr>
        <w:t xml:space="preserve"> cost of living pressures, have all led to heightened concerns about the extent and severity of fuel poverty and its impact on people.</w:t>
      </w:r>
    </w:p>
    <w:p w:rsidR="001711A7" w:rsidRPr="00066032" w:rsidRDefault="00471780" w:rsidP="00B75F6A">
      <w:pPr>
        <w:jc w:val="both"/>
        <w:rPr>
          <w:rFonts w:asciiTheme="majorBidi" w:hAnsiTheme="majorBidi" w:cstheme="majorBidi"/>
          <w:sz w:val="24"/>
          <w:szCs w:val="24"/>
        </w:rPr>
      </w:pPr>
      <w:r w:rsidRPr="00066032">
        <w:rPr>
          <w:rFonts w:asciiTheme="majorBidi" w:hAnsiTheme="majorBidi" w:cstheme="majorBidi"/>
          <w:sz w:val="24"/>
          <w:szCs w:val="24"/>
        </w:rPr>
        <w:t>Fuel poverty is a devolved policy area and is defined and measured differently in different parts of the UK.</w:t>
      </w:r>
      <w:r w:rsidR="00B75F6A">
        <w:rPr>
          <w:rStyle w:val="FootnoteReference"/>
          <w:rFonts w:asciiTheme="majorBidi" w:hAnsiTheme="majorBidi" w:cstheme="majorBidi"/>
          <w:sz w:val="24"/>
          <w:szCs w:val="24"/>
        </w:rPr>
        <w:footnoteReference w:id="4"/>
      </w:r>
    </w:p>
    <w:p w:rsidR="001711A7" w:rsidRPr="00066032" w:rsidRDefault="001711A7" w:rsidP="0068123D">
      <w:pPr>
        <w:jc w:val="both"/>
        <w:rPr>
          <w:rFonts w:asciiTheme="majorBidi" w:hAnsiTheme="majorBidi" w:cstheme="majorBidi"/>
          <w:b/>
          <w:bCs/>
          <w:sz w:val="24"/>
          <w:szCs w:val="24"/>
        </w:rPr>
      </w:pPr>
      <w:r w:rsidRPr="00066032">
        <w:rPr>
          <w:rFonts w:asciiTheme="majorBidi" w:hAnsiTheme="majorBidi" w:cstheme="majorBidi"/>
          <w:b/>
          <w:bCs/>
          <w:sz w:val="24"/>
          <w:szCs w:val="24"/>
        </w:rPr>
        <w:t>Fuel poverty’s impact on health</w:t>
      </w:r>
    </w:p>
    <w:p w:rsidR="001711A7" w:rsidRPr="00066032" w:rsidRDefault="001711A7" w:rsidP="00B75F6A">
      <w:pPr>
        <w:jc w:val="both"/>
        <w:rPr>
          <w:rFonts w:asciiTheme="majorBidi" w:hAnsiTheme="majorBidi" w:cstheme="majorBidi"/>
          <w:sz w:val="24"/>
          <w:szCs w:val="24"/>
          <w:vertAlign w:val="superscript"/>
        </w:rPr>
      </w:pPr>
      <w:r w:rsidRPr="00066032">
        <w:rPr>
          <w:rFonts w:asciiTheme="majorBidi" w:hAnsiTheme="majorBidi" w:cstheme="majorBidi"/>
          <w:sz w:val="24"/>
          <w:szCs w:val="24"/>
        </w:rPr>
        <w:t xml:space="preserve">Cold homes can cause or worsen a range of </w:t>
      </w:r>
      <w:r w:rsidR="00066032">
        <w:rPr>
          <w:rFonts w:asciiTheme="majorBidi" w:hAnsiTheme="majorBidi" w:cstheme="majorBidi"/>
          <w:sz w:val="24"/>
          <w:szCs w:val="24"/>
        </w:rPr>
        <w:t>severe</w:t>
      </w:r>
      <w:r w:rsidRPr="00066032">
        <w:rPr>
          <w:rFonts w:asciiTheme="majorBidi" w:hAnsiTheme="majorBidi" w:cstheme="majorBidi"/>
          <w:sz w:val="24"/>
          <w:szCs w:val="24"/>
        </w:rPr>
        <w:t xml:space="preserve"> health conditions</w:t>
      </w:r>
      <w:r w:rsidR="00066032">
        <w:rPr>
          <w:rFonts w:asciiTheme="majorBidi" w:hAnsiTheme="majorBidi" w:cstheme="majorBidi"/>
          <w:sz w:val="24"/>
          <w:szCs w:val="24"/>
        </w:rPr>
        <w:t>,</w:t>
      </w:r>
      <w:r w:rsidRPr="00066032">
        <w:rPr>
          <w:rFonts w:asciiTheme="majorBidi" w:hAnsiTheme="majorBidi" w:cstheme="majorBidi"/>
          <w:sz w:val="24"/>
          <w:szCs w:val="24"/>
        </w:rPr>
        <w:t xml:space="preserve"> including heart attacks, strokes, bronchitis, and asthma. Each year, around 10,000 people die as a result of living in a cold home. Fuel poverty can also have a significant impact on mental health and is a known risk factor for suicide.</w:t>
      </w:r>
    </w:p>
    <w:p w:rsidR="001711A7" w:rsidRPr="00066032" w:rsidRDefault="001711A7" w:rsidP="00066032">
      <w:pPr>
        <w:jc w:val="both"/>
        <w:rPr>
          <w:rFonts w:asciiTheme="majorBidi" w:hAnsiTheme="majorBidi" w:cstheme="majorBidi"/>
          <w:sz w:val="24"/>
          <w:szCs w:val="24"/>
        </w:rPr>
      </w:pPr>
      <w:r w:rsidRPr="00066032">
        <w:rPr>
          <w:rFonts w:asciiTheme="majorBidi" w:hAnsiTheme="majorBidi" w:cstheme="majorBidi"/>
          <w:sz w:val="24"/>
          <w:szCs w:val="24"/>
        </w:rPr>
        <w:t xml:space="preserve">Public Health England (PHE) has warned </w:t>
      </w:r>
      <w:r w:rsidR="00066032">
        <w:rPr>
          <w:rFonts w:asciiTheme="majorBidi" w:hAnsiTheme="majorBidi" w:cstheme="majorBidi"/>
          <w:sz w:val="24"/>
          <w:szCs w:val="24"/>
        </w:rPr>
        <w:t xml:space="preserve">that </w:t>
      </w:r>
      <w:r w:rsidRPr="00066032">
        <w:rPr>
          <w:rFonts w:asciiTheme="majorBidi" w:hAnsiTheme="majorBidi" w:cstheme="majorBidi"/>
          <w:sz w:val="24"/>
          <w:szCs w:val="24"/>
        </w:rPr>
        <w:t>there is a damaging overlap between the health impacts of living in a cold home and Covid-19. Pre-existing chronic medical conditions such as cardiovascular and respiratory conditions like chronic obstructive pulmonary disease (COPD), asthma</w:t>
      </w:r>
      <w:r w:rsidR="00066032">
        <w:rPr>
          <w:rFonts w:asciiTheme="majorBidi" w:hAnsiTheme="majorBidi" w:cstheme="majorBidi"/>
          <w:sz w:val="24"/>
          <w:szCs w:val="24"/>
        </w:rPr>
        <w:t>,</w:t>
      </w:r>
      <w:r w:rsidRPr="00066032">
        <w:rPr>
          <w:rFonts w:asciiTheme="majorBidi" w:hAnsiTheme="majorBidi" w:cstheme="majorBidi"/>
          <w:sz w:val="24"/>
          <w:szCs w:val="24"/>
        </w:rPr>
        <w:t xml:space="preserve"> and heart disease are particularly </w:t>
      </w:r>
      <w:r w:rsidR="00066032">
        <w:rPr>
          <w:rFonts w:asciiTheme="majorBidi" w:hAnsiTheme="majorBidi" w:cstheme="majorBidi"/>
          <w:sz w:val="24"/>
          <w:szCs w:val="24"/>
        </w:rPr>
        <w:t>severely</w:t>
      </w:r>
      <w:r w:rsidRPr="00066032">
        <w:rPr>
          <w:rFonts w:asciiTheme="majorBidi" w:hAnsiTheme="majorBidi" w:cstheme="majorBidi"/>
          <w:sz w:val="24"/>
          <w:szCs w:val="24"/>
        </w:rPr>
        <w:t xml:space="preserve"> impacted by a cold home.</w:t>
      </w:r>
    </w:p>
    <w:p w:rsidR="00066032" w:rsidRPr="00066032" w:rsidRDefault="001711A7" w:rsidP="00B75F6A">
      <w:pPr>
        <w:jc w:val="both"/>
        <w:rPr>
          <w:rFonts w:asciiTheme="majorBidi" w:hAnsiTheme="majorBidi" w:cstheme="majorBidi"/>
          <w:sz w:val="24"/>
          <w:szCs w:val="24"/>
          <w:vertAlign w:val="superscript"/>
        </w:rPr>
      </w:pPr>
      <w:r w:rsidRPr="00066032">
        <w:rPr>
          <w:rFonts w:asciiTheme="majorBidi" w:hAnsiTheme="majorBidi" w:cstheme="majorBidi"/>
          <w:sz w:val="24"/>
          <w:szCs w:val="24"/>
        </w:rPr>
        <w:t>Cold homes also prevent children from thriving. Without a warm, quiet place to do their homework, they can fall behind at school. A lack of hot water means they might avoid personal care, leading to bullying and social isolation. With no warm space to spend time with their family, they can spend hours of the day alone in bed. Some resort to using public places like libraries or friends’ houses to stay warm. All this is disruptive and damaging at a time crucial for their development.</w:t>
      </w:r>
    </w:p>
    <w:p w:rsidR="001711A7" w:rsidRPr="00066032" w:rsidRDefault="001711A7" w:rsidP="0068123D">
      <w:pPr>
        <w:jc w:val="both"/>
        <w:rPr>
          <w:rFonts w:asciiTheme="majorBidi" w:hAnsiTheme="majorBidi" w:cstheme="majorBidi"/>
          <w:b/>
          <w:bCs/>
          <w:sz w:val="24"/>
          <w:szCs w:val="24"/>
        </w:rPr>
      </w:pPr>
      <w:r w:rsidRPr="00066032">
        <w:rPr>
          <w:rFonts w:asciiTheme="majorBidi" w:hAnsiTheme="majorBidi" w:cstheme="majorBidi"/>
          <w:b/>
          <w:bCs/>
          <w:sz w:val="24"/>
          <w:szCs w:val="24"/>
        </w:rPr>
        <w:t>A significant and growing debt problem</w:t>
      </w:r>
    </w:p>
    <w:p w:rsidR="00471780" w:rsidRPr="00066032" w:rsidRDefault="001711A7" w:rsidP="00B75F6A">
      <w:pPr>
        <w:jc w:val="both"/>
        <w:rPr>
          <w:rFonts w:asciiTheme="majorBidi" w:hAnsiTheme="majorBidi" w:cstheme="majorBidi"/>
          <w:sz w:val="24"/>
          <w:szCs w:val="24"/>
          <w:vertAlign w:val="superscript"/>
        </w:rPr>
      </w:pPr>
      <w:r w:rsidRPr="00066032">
        <w:rPr>
          <w:rFonts w:asciiTheme="majorBidi" w:hAnsiTheme="majorBidi" w:cstheme="majorBidi"/>
          <w:sz w:val="24"/>
          <w:szCs w:val="24"/>
        </w:rPr>
        <w:t>Prolonged periods when households struggle to pay their bills can lead to increasing and unsustainable levels of debt for households, resulting in a vicious cycle that can be difficult to escape from. It can also lead to unsafe energy rationing, where households try to use as little energy as possible, and even voluntary self-disconnection by those with prepayment meters in a bid to spend less. Bad debt is a growing problem in the energy sector, which is adding to the cost of everyone’s bills.</w:t>
      </w:r>
      <w:r w:rsidR="00B75F6A">
        <w:rPr>
          <w:rStyle w:val="FootnoteReference"/>
          <w:rFonts w:asciiTheme="majorBidi" w:hAnsiTheme="majorBidi" w:cstheme="majorBidi"/>
          <w:sz w:val="24"/>
          <w:szCs w:val="24"/>
        </w:rPr>
        <w:footnoteReference w:id="5"/>
      </w:r>
    </w:p>
    <w:p w:rsidR="00D64ADA" w:rsidRPr="00066032" w:rsidRDefault="00D64ADA" w:rsidP="0068123D">
      <w:pPr>
        <w:jc w:val="both"/>
        <w:rPr>
          <w:rFonts w:asciiTheme="majorBidi" w:hAnsiTheme="majorBidi" w:cstheme="majorBidi"/>
          <w:b/>
          <w:bCs/>
          <w:sz w:val="24"/>
          <w:szCs w:val="24"/>
        </w:rPr>
      </w:pPr>
      <w:r w:rsidRPr="00066032">
        <w:rPr>
          <w:rFonts w:asciiTheme="majorBidi" w:hAnsiTheme="majorBidi" w:cstheme="majorBidi"/>
          <w:b/>
          <w:bCs/>
          <w:sz w:val="24"/>
          <w:szCs w:val="24"/>
        </w:rPr>
        <w:t>What is food poverty?</w:t>
      </w:r>
    </w:p>
    <w:p w:rsidR="00D64ADA" w:rsidRPr="00066032" w:rsidRDefault="00D64ADA" w:rsidP="00066032">
      <w:pPr>
        <w:jc w:val="both"/>
        <w:rPr>
          <w:rFonts w:asciiTheme="majorBidi" w:hAnsiTheme="majorBidi" w:cstheme="majorBidi"/>
          <w:sz w:val="24"/>
          <w:szCs w:val="24"/>
        </w:rPr>
      </w:pPr>
      <w:r w:rsidRPr="00066032">
        <w:rPr>
          <w:rFonts w:asciiTheme="majorBidi" w:hAnsiTheme="majorBidi" w:cstheme="majorBidi"/>
          <w:sz w:val="24"/>
          <w:szCs w:val="24"/>
        </w:rPr>
        <w:lastRenderedPageBreak/>
        <w:t>There is no widely accepted definition of ‘food poverty</w:t>
      </w:r>
      <w:r w:rsidR="00066032">
        <w:rPr>
          <w:rFonts w:asciiTheme="majorBidi" w:hAnsiTheme="majorBidi" w:cstheme="majorBidi"/>
          <w:sz w:val="24"/>
          <w:szCs w:val="24"/>
        </w:rPr>
        <w:t>.’</w:t>
      </w:r>
      <w:r w:rsidRPr="00066032">
        <w:rPr>
          <w:rFonts w:asciiTheme="majorBidi" w:hAnsiTheme="majorBidi" w:cstheme="majorBidi"/>
          <w:sz w:val="24"/>
          <w:szCs w:val="24"/>
        </w:rPr>
        <w:t xml:space="preserve"> However, a household can broadly be defined as experiencing food poverty or ‘household food insecurity’ if they cannot (or are uncertain about whether they can) acquire “an adequate quality or sufficient quantity of food in socially acceptable ways</w:t>
      </w:r>
      <w:r w:rsidR="00066032">
        <w:rPr>
          <w:rFonts w:asciiTheme="majorBidi" w:hAnsiTheme="majorBidi" w:cstheme="majorBidi"/>
          <w:sz w:val="24"/>
          <w:szCs w:val="24"/>
        </w:rPr>
        <w:t>.”</w:t>
      </w:r>
    </w:p>
    <w:p w:rsidR="006A4E7A" w:rsidRPr="00066032" w:rsidRDefault="00D64ADA" w:rsidP="00BB720A">
      <w:pPr>
        <w:jc w:val="both"/>
        <w:rPr>
          <w:rFonts w:asciiTheme="majorBidi" w:hAnsiTheme="majorBidi" w:cstheme="majorBidi"/>
          <w:sz w:val="24"/>
          <w:szCs w:val="24"/>
        </w:rPr>
      </w:pPr>
      <w:r w:rsidRPr="00066032">
        <w:rPr>
          <w:rFonts w:asciiTheme="majorBidi" w:hAnsiTheme="majorBidi" w:cstheme="majorBidi"/>
          <w:sz w:val="24"/>
          <w:szCs w:val="24"/>
        </w:rPr>
        <w:t xml:space="preserve">According to the Department for Work and </w:t>
      </w:r>
      <w:r w:rsidR="00066032">
        <w:rPr>
          <w:rFonts w:asciiTheme="majorBidi" w:hAnsiTheme="majorBidi" w:cstheme="majorBidi"/>
          <w:sz w:val="24"/>
          <w:szCs w:val="24"/>
        </w:rPr>
        <w:t>Pensions</w:t>
      </w:r>
      <w:r w:rsidRPr="00066032">
        <w:rPr>
          <w:rFonts w:asciiTheme="majorBidi" w:hAnsiTheme="majorBidi" w:cstheme="majorBidi"/>
          <w:sz w:val="24"/>
          <w:szCs w:val="24"/>
        </w:rPr>
        <w:t xml:space="preserve"> (DWP) Households Below Average Income survey, in 2022/23, 7.2 million people (11%) in the UK were in food insecure households, an increase of 2.5 million people since 2021/22. Among the 11.3 million people found to be in relative poverty before housing costs, 22% were in </w:t>
      </w:r>
      <w:r w:rsidR="00066032">
        <w:rPr>
          <w:rFonts w:asciiTheme="majorBidi" w:hAnsiTheme="majorBidi" w:cstheme="majorBidi"/>
          <w:sz w:val="24"/>
          <w:szCs w:val="24"/>
        </w:rPr>
        <w:t>food-insecure</w:t>
      </w:r>
      <w:r w:rsidRPr="00066032">
        <w:rPr>
          <w:rFonts w:asciiTheme="majorBidi" w:hAnsiTheme="majorBidi" w:cstheme="majorBidi"/>
          <w:sz w:val="24"/>
          <w:szCs w:val="24"/>
        </w:rPr>
        <w:t xml:space="preserve"> households, including 30% of children. People in relative poverty live in a household with income less than 60% of the contemporary median income.</w:t>
      </w:r>
      <w:r w:rsidR="008F505A" w:rsidRPr="008F505A">
        <w:rPr>
          <w:rFonts w:asciiTheme="majorBidi" w:hAnsiTheme="majorBidi" w:cstheme="majorBidi"/>
          <w:sz w:val="24"/>
          <w:szCs w:val="24"/>
          <w:vertAlign w:val="superscript"/>
        </w:rPr>
        <w:t xml:space="preserve"> </w:t>
      </w:r>
    </w:p>
    <w:p w:rsidR="00D64ADA" w:rsidRPr="00066032" w:rsidRDefault="00D64ADA" w:rsidP="00066032">
      <w:pPr>
        <w:jc w:val="both"/>
        <w:rPr>
          <w:rFonts w:asciiTheme="majorBidi" w:hAnsiTheme="majorBidi" w:cstheme="majorBidi"/>
          <w:b/>
          <w:bCs/>
          <w:sz w:val="24"/>
          <w:szCs w:val="24"/>
        </w:rPr>
      </w:pPr>
      <w:r w:rsidRPr="00066032">
        <w:rPr>
          <w:rFonts w:asciiTheme="majorBidi" w:hAnsiTheme="majorBidi" w:cstheme="majorBidi"/>
          <w:b/>
          <w:bCs/>
          <w:sz w:val="24"/>
          <w:szCs w:val="24"/>
        </w:rPr>
        <w:t xml:space="preserve">How </w:t>
      </w:r>
      <w:r w:rsidR="00066032">
        <w:rPr>
          <w:rFonts w:asciiTheme="majorBidi" w:hAnsiTheme="majorBidi" w:cstheme="majorBidi"/>
          <w:b/>
          <w:bCs/>
          <w:sz w:val="24"/>
          <w:szCs w:val="24"/>
        </w:rPr>
        <w:t xml:space="preserve">does </w:t>
      </w:r>
      <w:r w:rsidRPr="00066032">
        <w:rPr>
          <w:rFonts w:asciiTheme="majorBidi" w:hAnsiTheme="majorBidi" w:cstheme="majorBidi"/>
          <w:b/>
          <w:bCs/>
          <w:sz w:val="24"/>
          <w:szCs w:val="24"/>
        </w:rPr>
        <w:t xml:space="preserve">the rising cost of living </w:t>
      </w:r>
      <w:r w:rsidR="00066032">
        <w:rPr>
          <w:rFonts w:asciiTheme="majorBidi" w:hAnsiTheme="majorBidi" w:cstheme="majorBidi"/>
          <w:b/>
          <w:bCs/>
          <w:sz w:val="24"/>
          <w:szCs w:val="24"/>
        </w:rPr>
        <w:t>affect</w:t>
      </w:r>
      <w:r w:rsidRPr="00066032">
        <w:rPr>
          <w:rFonts w:asciiTheme="majorBidi" w:hAnsiTheme="majorBidi" w:cstheme="majorBidi"/>
          <w:b/>
          <w:bCs/>
          <w:sz w:val="24"/>
          <w:szCs w:val="24"/>
        </w:rPr>
        <w:t xml:space="preserve"> food </w:t>
      </w:r>
      <w:r w:rsidR="00066032" w:rsidRPr="00066032">
        <w:rPr>
          <w:rFonts w:asciiTheme="majorBidi" w:hAnsiTheme="majorBidi" w:cstheme="majorBidi"/>
          <w:b/>
          <w:bCs/>
          <w:sz w:val="24"/>
          <w:szCs w:val="24"/>
        </w:rPr>
        <w:t>insecurity?</w:t>
      </w:r>
    </w:p>
    <w:p w:rsidR="00D64ADA" w:rsidRPr="00066032" w:rsidRDefault="00D64ADA" w:rsidP="00066032">
      <w:pPr>
        <w:jc w:val="both"/>
        <w:rPr>
          <w:rFonts w:asciiTheme="majorBidi" w:hAnsiTheme="majorBidi" w:cstheme="majorBidi"/>
          <w:sz w:val="24"/>
          <w:szCs w:val="24"/>
        </w:rPr>
      </w:pPr>
      <w:r w:rsidRPr="00066032">
        <w:rPr>
          <w:rFonts w:asciiTheme="majorBidi" w:hAnsiTheme="majorBidi" w:cstheme="majorBidi"/>
          <w:sz w:val="24"/>
          <w:szCs w:val="24"/>
        </w:rPr>
        <w:t xml:space="preserve">Food prices have been rising since the second half of 2021. Food and non-alcoholic drink prices were 19.1% higher </w:t>
      </w:r>
      <w:r w:rsidR="00066032">
        <w:rPr>
          <w:rFonts w:asciiTheme="majorBidi" w:hAnsiTheme="majorBidi" w:cstheme="majorBidi"/>
          <w:sz w:val="24"/>
          <w:szCs w:val="24"/>
        </w:rPr>
        <w:t>from</w:t>
      </w:r>
      <w:r w:rsidRPr="00066032">
        <w:rPr>
          <w:rFonts w:asciiTheme="majorBidi" w:hAnsiTheme="majorBidi" w:cstheme="majorBidi"/>
          <w:sz w:val="24"/>
          <w:szCs w:val="24"/>
        </w:rPr>
        <w:t xml:space="preserve"> 12 months to March 2023, the highest since 1977. In July 2024, food inflation was 1.5%, but the long period of high food inflation </w:t>
      </w:r>
      <w:r w:rsidR="00066032">
        <w:rPr>
          <w:rFonts w:asciiTheme="majorBidi" w:hAnsiTheme="majorBidi" w:cstheme="majorBidi"/>
          <w:sz w:val="24"/>
          <w:szCs w:val="24"/>
        </w:rPr>
        <w:t>affected</w:t>
      </w:r>
      <w:r w:rsidRPr="00066032">
        <w:rPr>
          <w:rFonts w:asciiTheme="majorBidi" w:hAnsiTheme="majorBidi" w:cstheme="majorBidi"/>
          <w:sz w:val="24"/>
          <w:szCs w:val="24"/>
        </w:rPr>
        <w:t xml:space="preserve"> households.</w:t>
      </w:r>
    </w:p>
    <w:p w:rsidR="00D64ADA" w:rsidRPr="00066032" w:rsidRDefault="00D64ADA" w:rsidP="00066032">
      <w:pPr>
        <w:jc w:val="both"/>
        <w:rPr>
          <w:rFonts w:asciiTheme="majorBidi" w:hAnsiTheme="majorBidi" w:cstheme="majorBidi"/>
          <w:sz w:val="24"/>
          <w:szCs w:val="24"/>
        </w:rPr>
      </w:pPr>
      <w:r w:rsidRPr="00066032">
        <w:rPr>
          <w:rFonts w:asciiTheme="majorBidi" w:hAnsiTheme="majorBidi" w:cstheme="majorBidi"/>
          <w:sz w:val="24"/>
          <w:szCs w:val="24"/>
        </w:rPr>
        <w:t>In July 2024, 45% of adults in Great Britain reported an increase in their cost of living compared with the month before</w:t>
      </w:r>
      <w:r w:rsidR="00066032">
        <w:rPr>
          <w:rFonts w:asciiTheme="majorBidi" w:hAnsiTheme="majorBidi" w:cstheme="majorBidi"/>
          <w:sz w:val="24"/>
          <w:szCs w:val="24"/>
        </w:rPr>
        <w:t>,</w:t>
      </w:r>
      <w:r w:rsidRPr="00066032">
        <w:rPr>
          <w:rFonts w:asciiTheme="majorBidi" w:hAnsiTheme="majorBidi" w:cstheme="majorBidi"/>
          <w:sz w:val="24"/>
          <w:szCs w:val="24"/>
        </w:rPr>
        <w:t xml:space="preserve"> according to the Office for National Statistics (ONS). Of these, 92% saw the price of their food shopping </w:t>
      </w:r>
      <w:r w:rsidR="00066032">
        <w:rPr>
          <w:rFonts w:asciiTheme="majorBidi" w:hAnsiTheme="majorBidi" w:cstheme="majorBidi"/>
          <w:sz w:val="24"/>
          <w:szCs w:val="24"/>
        </w:rPr>
        <w:t>increase</w:t>
      </w:r>
      <w:r w:rsidRPr="00066032">
        <w:rPr>
          <w:rFonts w:asciiTheme="majorBidi" w:hAnsiTheme="majorBidi" w:cstheme="majorBidi"/>
          <w:sz w:val="24"/>
          <w:szCs w:val="24"/>
        </w:rPr>
        <w:t>, and 37% had started spending less on essentials, including food.</w:t>
      </w:r>
    </w:p>
    <w:p w:rsidR="00D64ADA" w:rsidRPr="00066032" w:rsidRDefault="00D64ADA" w:rsidP="00BB720A">
      <w:pPr>
        <w:jc w:val="both"/>
        <w:rPr>
          <w:rFonts w:asciiTheme="majorBidi" w:hAnsiTheme="majorBidi" w:cstheme="majorBidi"/>
          <w:sz w:val="24"/>
          <w:szCs w:val="24"/>
          <w:vertAlign w:val="superscript"/>
        </w:rPr>
      </w:pPr>
      <w:r w:rsidRPr="00066032">
        <w:rPr>
          <w:rFonts w:asciiTheme="majorBidi" w:hAnsiTheme="majorBidi" w:cstheme="majorBidi"/>
          <w:sz w:val="24"/>
          <w:szCs w:val="24"/>
        </w:rPr>
        <w:t xml:space="preserve">The rising cost of living </w:t>
      </w:r>
      <w:r w:rsidR="00066032">
        <w:rPr>
          <w:rFonts w:asciiTheme="majorBidi" w:hAnsiTheme="majorBidi" w:cstheme="majorBidi"/>
          <w:sz w:val="24"/>
          <w:szCs w:val="24"/>
        </w:rPr>
        <w:t>is</w:t>
      </w:r>
      <w:r w:rsidRPr="00066032">
        <w:rPr>
          <w:rFonts w:asciiTheme="majorBidi" w:hAnsiTheme="majorBidi" w:cstheme="majorBidi"/>
          <w:sz w:val="24"/>
          <w:szCs w:val="24"/>
        </w:rPr>
        <w:t xml:space="preserve"> increasing household food insecurity. A YouGov survey by the Food Foundation, a food poverty charity, found that in June and July 2024, 13.6% of households in the UK were ‘food insecure’ (ate less or went a day without eating because they couldn’t access or afford food).</w:t>
      </w:r>
      <w:r w:rsidR="00BB720A">
        <w:rPr>
          <w:rStyle w:val="FootnoteReference"/>
          <w:rFonts w:asciiTheme="majorBidi" w:hAnsiTheme="majorBidi" w:cstheme="majorBidi"/>
          <w:sz w:val="24"/>
          <w:szCs w:val="24"/>
        </w:rPr>
        <w:footnoteReference w:id="6"/>
      </w:r>
    </w:p>
    <w:p w:rsidR="00922856" w:rsidRPr="00066032" w:rsidRDefault="00922856" w:rsidP="0068123D">
      <w:pPr>
        <w:jc w:val="both"/>
        <w:rPr>
          <w:rFonts w:asciiTheme="majorBidi" w:hAnsiTheme="majorBidi" w:cstheme="majorBidi"/>
          <w:b/>
          <w:bCs/>
          <w:sz w:val="24"/>
          <w:szCs w:val="24"/>
        </w:rPr>
      </w:pPr>
      <w:r w:rsidRPr="00066032">
        <w:rPr>
          <w:rFonts w:asciiTheme="majorBidi" w:hAnsiTheme="majorBidi" w:cstheme="majorBidi"/>
          <w:b/>
          <w:bCs/>
          <w:sz w:val="24"/>
          <w:szCs w:val="24"/>
        </w:rPr>
        <w:t>How much more expensive is food?</w:t>
      </w:r>
    </w:p>
    <w:p w:rsidR="00922856" w:rsidRPr="00066032" w:rsidRDefault="00922856" w:rsidP="00BB720A">
      <w:pPr>
        <w:jc w:val="both"/>
        <w:rPr>
          <w:rFonts w:asciiTheme="majorBidi" w:hAnsiTheme="majorBidi" w:cstheme="majorBidi"/>
          <w:sz w:val="24"/>
          <w:szCs w:val="24"/>
        </w:rPr>
      </w:pPr>
      <w:r w:rsidRPr="00066032">
        <w:rPr>
          <w:rFonts w:asciiTheme="majorBidi" w:hAnsiTheme="majorBidi" w:cstheme="majorBidi"/>
          <w:sz w:val="24"/>
          <w:szCs w:val="24"/>
        </w:rPr>
        <w:t xml:space="preserve">Food prices today are about 31 percent higher than they were three years ago, according to data from the Office for National Statistics (ONS). The prices of many staples have risen even higher still. The average price of a pint (about 0.5 </w:t>
      </w:r>
      <w:r w:rsidR="00066032">
        <w:rPr>
          <w:rFonts w:asciiTheme="majorBidi" w:hAnsiTheme="majorBidi" w:cstheme="majorBidi"/>
          <w:sz w:val="24"/>
          <w:szCs w:val="24"/>
        </w:rPr>
        <w:t>liters</w:t>
      </w:r>
      <w:r w:rsidRPr="00066032">
        <w:rPr>
          <w:rFonts w:asciiTheme="majorBidi" w:hAnsiTheme="majorBidi" w:cstheme="majorBidi"/>
          <w:sz w:val="24"/>
          <w:szCs w:val="24"/>
        </w:rPr>
        <w:t>) of milk is up by 23 pence ($0.29), or 55 percent. The price of a kilogram (</w:t>
      </w:r>
      <w:r w:rsidR="00066032">
        <w:rPr>
          <w:rFonts w:asciiTheme="majorBidi" w:hAnsiTheme="majorBidi" w:cstheme="majorBidi"/>
          <w:sz w:val="24"/>
          <w:szCs w:val="24"/>
        </w:rPr>
        <w:t>2.2 lbs</w:t>
      </w:r>
      <w:r w:rsidRPr="00066032">
        <w:rPr>
          <w:rFonts w:asciiTheme="majorBidi" w:hAnsiTheme="majorBidi" w:cstheme="majorBidi"/>
          <w:sz w:val="24"/>
          <w:szCs w:val="24"/>
        </w:rPr>
        <w:t xml:space="preserve">) of sugar has risen by 45 pence ($0.57), or 63 percent, while a whole chicken costs an extra 1 pound and 7 pence ($1.36), or 40 percent more. The effect of rising prices on people’s pocketbooks has been worsened by years of </w:t>
      </w:r>
      <w:r w:rsidR="00066032">
        <w:rPr>
          <w:rFonts w:asciiTheme="majorBidi" w:hAnsiTheme="majorBidi" w:cstheme="majorBidi"/>
          <w:sz w:val="24"/>
          <w:szCs w:val="24"/>
        </w:rPr>
        <w:t>anemic</w:t>
      </w:r>
      <w:r w:rsidRPr="00066032">
        <w:rPr>
          <w:rFonts w:asciiTheme="majorBidi" w:hAnsiTheme="majorBidi" w:cstheme="majorBidi"/>
          <w:sz w:val="24"/>
          <w:szCs w:val="24"/>
        </w:rPr>
        <w:t xml:space="preserve"> economic growth. Against this backdrop of </w:t>
      </w:r>
      <w:r w:rsidR="00066032">
        <w:rPr>
          <w:rFonts w:asciiTheme="majorBidi" w:hAnsiTheme="majorBidi" w:cstheme="majorBidi"/>
          <w:sz w:val="24"/>
          <w:szCs w:val="24"/>
        </w:rPr>
        <w:t>lackluster</w:t>
      </w:r>
      <w:r w:rsidRPr="00066032">
        <w:rPr>
          <w:rFonts w:asciiTheme="majorBidi" w:hAnsiTheme="majorBidi" w:cstheme="majorBidi"/>
          <w:sz w:val="24"/>
          <w:szCs w:val="24"/>
        </w:rPr>
        <w:t xml:space="preserve"> growth, wages have not kept pace with inflation. Average weekly earnings in Great Britain rose from 581 pounds (about $800) to 687 pounds ($871) between May 2021 and April of this year, a rise of 18 percent, according to the ONS.</w:t>
      </w:r>
      <w:r w:rsidR="00BB720A">
        <w:rPr>
          <w:rStyle w:val="FootnoteReference"/>
          <w:rFonts w:asciiTheme="majorBidi" w:hAnsiTheme="majorBidi" w:cstheme="majorBidi"/>
          <w:sz w:val="24"/>
          <w:szCs w:val="24"/>
        </w:rPr>
        <w:footnoteReference w:id="7"/>
      </w:r>
    </w:p>
    <w:p w:rsidR="00A73C30" w:rsidRPr="00066032" w:rsidRDefault="00A73C30" w:rsidP="0068123D">
      <w:pPr>
        <w:jc w:val="both"/>
        <w:rPr>
          <w:rFonts w:asciiTheme="majorBidi" w:hAnsiTheme="majorBidi" w:cstheme="majorBidi"/>
          <w:b/>
          <w:bCs/>
          <w:sz w:val="24"/>
          <w:szCs w:val="24"/>
        </w:rPr>
      </w:pPr>
      <w:r w:rsidRPr="00066032">
        <w:rPr>
          <w:rFonts w:asciiTheme="majorBidi" w:hAnsiTheme="majorBidi" w:cstheme="majorBidi"/>
          <w:b/>
          <w:bCs/>
          <w:sz w:val="24"/>
          <w:szCs w:val="24"/>
        </w:rPr>
        <w:lastRenderedPageBreak/>
        <w:t xml:space="preserve">Who is most likely to experience food insecurity? </w:t>
      </w:r>
    </w:p>
    <w:p w:rsidR="00A73C30" w:rsidRPr="00066032" w:rsidRDefault="00A73C30" w:rsidP="00066032">
      <w:pPr>
        <w:jc w:val="both"/>
        <w:rPr>
          <w:rFonts w:asciiTheme="majorBidi" w:hAnsiTheme="majorBidi" w:cstheme="majorBidi"/>
          <w:sz w:val="24"/>
          <w:szCs w:val="24"/>
        </w:rPr>
      </w:pPr>
      <w:r w:rsidRPr="00066032">
        <w:rPr>
          <w:rFonts w:asciiTheme="majorBidi" w:hAnsiTheme="majorBidi" w:cstheme="majorBidi"/>
          <w:sz w:val="24"/>
          <w:szCs w:val="24"/>
        </w:rPr>
        <w:t xml:space="preserve">Since food insecurity in the UK is </w:t>
      </w:r>
      <w:r w:rsidR="00066032">
        <w:rPr>
          <w:rFonts w:asciiTheme="majorBidi" w:hAnsiTheme="majorBidi" w:cstheme="majorBidi"/>
          <w:sz w:val="24"/>
          <w:szCs w:val="24"/>
        </w:rPr>
        <w:t>due mainly</w:t>
      </w:r>
      <w:r w:rsidRPr="00066032">
        <w:rPr>
          <w:rFonts w:asciiTheme="majorBidi" w:hAnsiTheme="majorBidi" w:cstheme="majorBidi"/>
          <w:sz w:val="24"/>
          <w:szCs w:val="24"/>
        </w:rPr>
        <w:t xml:space="preserve"> to households not being able to afford food, groups </w:t>
      </w:r>
      <w:r w:rsidR="00066032">
        <w:rPr>
          <w:rFonts w:asciiTheme="majorBidi" w:hAnsiTheme="majorBidi" w:cstheme="majorBidi"/>
          <w:sz w:val="24"/>
          <w:szCs w:val="24"/>
        </w:rPr>
        <w:t>that</w:t>
      </w:r>
      <w:r w:rsidRPr="00066032">
        <w:rPr>
          <w:rFonts w:asciiTheme="majorBidi" w:hAnsiTheme="majorBidi" w:cstheme="majorBidi"/>
          <w:sz w:val="24"/>
          <w:szCs w:val="24"/>
        </w:rPr>
        <w:t xml:space="preserve"> are more likely to have low incomes are also more likely to be food insecure.  </w:t>
      </w:r>
    </w:p>
    <w:p w:rsidR="00A73C30" w:rsidRPr="00066032" w:rsidRDefault="00A73C30" w:rsidP="0068123D">
      <w:pPr>
        <w:pStyle w:val="ListParagraph"/>
        <w:numPr>
          <w:ilvl w:val="0"/>
          <w:numId w:val="3"/>
        </w:numPr>
        <w:jc w:val="both"/>
        <w:rPr>
          <w:rFonts w:asciiTheme="majorBidi" w:hAnsiTheme="majorBidi" w:cstheme="majorBidi"/>
          <w:b/>
          <w:bCs/>
          <w:sz w:val="24"/>
          <w:szCs w:val="24"/>
        </w:rPr>
      </w:pPr>
      <w:r w:rsidRPr="00066032">
        <w:rPr>
          <w:rFonts w:asciiTheme="majorBidi" w:hAnsiTheme="majorBidi" w:cstheme="majorBidi"/>
          <w:b/>
          <w:bCs/>
          <w:sz w:val="24"/>
          <w:szCs w:val="24"/>
        </w:rPr>
        <w:t xml:space="preserve">Children are more likely than adults to be in food insecure households </w:t>
      </w:r>
    </w:p>
    <w:p w:rsidR="00A73C30" w:rsidRPr="00066032" w:rsidRDefault="00A73C30" w:rsidP="0068123D">
      <w:pPr>
        <w:jc w:val="both"/>
        <w:rPr>
          <w:rFonts w:asciiTheme="majorBidi" w:hAnsiTheme="majorBidi" w:cstheme="majorBidi"/>
          <w:sz w:val="24"/>
          <w:szCs w:val="24"/>
        </w:rPr>
      </w:pPr>
      <w:r w:rsidRPr="00066032">
        <w:rPr>
          <w:rFonts w:asciiTheme="majorBidi" w:hAnsiTheme="majorBidi" w:cstheme="majorBidi"/>
          <w:sz w:val="24"/>
          <w:szCs w:val="24"/>
        </w:rPr>
        <w:t>In 2022/23, 17% of children, 11% of working-age adults</w:t>
      </w:r>
      <w:r w:rsidR="00066032">
        <w:rPr>
          <w:rFonts w:asciiTheme="majorBidi" w:hAnsiTheme="majorBidi" w:cstheme="majorBidi"/>
          <w:sz w:val="24"/>
          <w:szCs w:val="24"/>
        </w:rPr>
        <w:t>,</w:t>
      </w:r>
      <w:r w:rsidRPr="00066032">
        <w:rPr>
          <w:rFonts w:asciiTheme="majorBidi" w:hAnsiTheme="majorBidi" w:cstheme="majorBidi"/>
          <w:sz w:val="24"/>
          <w:szCs w:val="24"/>
        </w:rPr>
        <w:t xml:space="preserve"> and 3% of pensioners were in food insecure households. </w:t>
      </w:r>
    </w:p>
    <w:p w:rsidR="00A73C30" w:rsidRPr="00066032" w:rsidRDefault="00A73C30" w:rsidP="00BB720A">
      <w:pPr>
        <w:jc w:val="both"/>
        <w:rPr>
          <w:rFonts w:asciiTheme="majorBidi" w:hAnsiTheme="majorBidi" w:cstheme="majorBidi"/>
          <w:sz w:val="24"/>
          <w:szCs w:val="24"/>
          <w:vertAlign w:val="superscript"/>
        </w:rPr>
      </w:pPr>
      <w:r w:rsidRPr="00066032">
        <w:rPr>
          <w:rFonts w:asciiTheme="majorBidi" w:hAnsiTheme="majorBidi" w:cstheme="majorBidi"/>
          <w:sz w:val="24"/>
          <w:szCs w:val="24"/>
        </w:rPr>
        <w:t xml:space="preserve">However, not everyone in a </w:t>
      </w:r>
      <w:r w:rsidR="00066032">
        <w:rPr>
          <w:rFonts w:asciiTheme="majorBidi" w:hAnsiTheme="majorBidi" w:cstheme="majorBidi"/>
          <w:sz w:val="24"/>
          <w:szCs w:val="24"/>
        </w:rPr>
        <w:t>food-insecure</w:t>
      </w:r>
      <w:r w:rsidRPr="00066032">
        <w:rPr>
          <w:rFonts w:asciiTheme="majorBidi" w:hAnsiTheme="majorBidi" w:cstheme="majorBidi"/>
          <w:sz w:val="24"/>
          <w:szCs w:val="24"/>
        </w:rPr>
        <w:t xml:space="preserve"> household experiences it directly. The Child Poverty Action Group reports that children in these households do not always have insufficient food, as parents often skip meals to ma</w:t>
      </w:r>
      <w:r w:rsidR="00BB720A">
        <w:rPr>
          <w:rFonts w:asciiTheme="majorBidi" w:hAnsiTheme="majorBidi" w:cstheme="majorBidi"/>
          <w:sz w:val="24"/>
          <w:szCs w:val="24"/>
        </w:rPr>
        <w:t>ke sure their children are fed.</w:t>
      </w:r>
      <w:r w:rsidR="00BB720A">
        <w:rPr>
          <w:rStyle w:val="FootnoteReference"/>
          <w:rFonts w:asciiTheme="majorBidi" w:hAnsiTheme="majorBidi" w:cstheme="majorBidi"/>
          <w:sz w:val="24"/>
          <w:szCs w:val="24"/>
        </w:rPr>
        <w:footnoteReference w:id="8"/>
      </w:r>
    </w:p>
    <w:p w:rsidR="00A73C30" w:rsidRPr="00066032" w:rsidRDefault="00A73C30" w:rsidP="0068123D">
      <w:pPr>
        <w:pStyle w:val="ListParagraph"/>
        <w:numPr>
          <w:ilvl w:val="0"/>
          <w:numId w:val="3"/>
        </w:numPr>
        <w:jc w:val="both"/>
        <w:rPr>
          <w:rFonts w:asciiTheme="majorBidi" w:hAnsiTheme="majorBidi" w:cstheme="majorBidi"/>
          <w:b/>
          <w:bCs/>
          <w:sz w:val="24"/>
          <w:szCs w:val="24"/>
        </w:rPr>
      </w:pPr>
      <w:r w:rsidRPr="00066032">
        <w:rPr>
          <w:rFonts w:asciiTheme="majorBidi" w:hAnsiTheme="majorBidi" w:cstheme="majorBidi"/>
          <w:b/>
          <w:bCs/>
          <w:sz w:val="24"/>
          <w:szCs w:val="24"/>
        </w:rPr>
        <w:t xml:space="preserve">Disabled people are more likely to experience food insecurity </w:t>
      </w:r>
    </w:p>
    <w:p w:rsidR="00A73C30" w:rsidRPr="00066032" w:rsidRDefault="00A73C30" w:rsidP="00BB720A">
      <w:pPr>
        <w:jc w:val="both"/>
        <w:rPr>
          <w:rFonts w:asciiTheme="majorBidi" w:hAnsiTheme="majorBidi" w:cstheme="majorBidi"/>
          <w:sz w:val="24"/>
          <w:szCs w:val="24"/>
          <w:vertAlign w:val="superscript"/>
        </w:rPr>
      </w:pPr>
      <w:r w:rsidRPr="00066032">
        <w:rPr>
          <w:rFonts w:asciiTheme="majorBidi" w:hAnsiTheme="majorBidi" w:cstheme="majorBidi"/>
          <w:sz w:val="24"/>
          <w:szCs w:val="24"/>
        </w:rPr>
        <w:t xml:space="preserve">18% of disabled people lived in a food insecure household compared with 9% of people who were not disabled in 2022/23.  </w:t>
      </w:r>
      <w:r w:rsidR="00E87557" w:rsidRPr="00066032">
        <w:rPr>
          <w:rFonts w:asciiTheme="majorBidi" w:hAnsiTheme="majorBidi" w:cstheme="majorBidi"/>
          <w:sz w:val="24"/>
          <w:szCs w:val="24"/>
        </w:rPr>
        <w:t>Families</w:t>
      </w:r>
      <w:r w:rsidRPr="00066032">
        <w:rPr>
          <w:rFonts w:asciiTheme="majorBidi" w:hAnsiTheme="majorBidi" w:cstheme="majorBidi"/>
          <w:sz w:val="24"/>
          <w:szCs w:val="24"/>
        </w:rPr>
        <w:t xml:space="preserve"> in which someone is disabled are more likely to live with food insecurity. 18% of people in families where someone is disabled were in a food insecure household, compared with 7% of people in famil</w:t>
      </w:r>
      <w:r w:rsidR="00E87557" w:rsidRPr="00066032">
        <w:rPr>
          <w:rFonts w:asciiTheme="majorBidi" w:hAnsiTheme="majorBidi" w:cstheme="majorBidi"/>
          <w:sz w:val="24"/>
          <w:szCs w:val="24"/>
        </w:rPr>
        <w:t xml:space="preserve">ies where nobody was disabled. </w:t>
      </w:r>
    </w:p>
    <w:p w:rsidR="00A73C30" w:rsidRPr="00066032" w:rsidRDefault="00A73C30" w:rsidP="0068123D">
      <w:pPr>
        <w:pStyle w:val="ListParagraph"/>
        <w:numPr>
          <w:ilvl w:val="0"/>
          <w:numId w:val="3"/>
        </w:numPr>
        <w:jc w:val="both"/>
        <w:rPr>
          <w:rFonts w:asciiTheme="majorBidi" w:hAnsiTheme="majorBidi" w:cstheme="majorBidi"/>
          <w:b/>
          <w:bCs/>
          <w:sz w:val="24"/>
          <w:szCs w:val="24"/>
        </w:rPr>
      </w:pPr>
      <w:r w:rsidRPr="00066032">
        <w:rPr>
          <w:rFonts w:asciiTheme="majorBidi" w:hAnsiTheme="majorBidi" w:cstheme="majorBidi"/>
          <w:b/>
          <w:bCs/>
          <w:sz w:val="24"/>
          <w:szCs w:val="24"/>
        </w:rPr>
        <w:t xml:space="preserve">People in families where nobody works are more likely to experience food insecurity </w:t>
      </w:r>
    </w:p>
    <w:p w:rsidR="00A73C30" w:rsidRPr="00066032" w:rsidRDefault="00A73C30" w:rsidP="00BB720A">
      <w:pPr>
        <w:jc w:val="both"/>
        <w:rPr>
          <w:rFonts w:asciiTheme="majorBidi" w:hAnsiTheme="majorBidi" w:cstheme="majorBidi"/>
          <w:sz w:val="24"/>
          <w:szCs w:val="24"/>
        </w:rPr>
      </w:pPr>
      <w:r w:rsidRPr="00066032">
        <w:rPr>
          <w:rFonts w:asciiTheme="majorBidi" w:hAnsiTheme="majorBidi" w:cstheme="majorBidi"/>
          <w:sz w:val="24"/>
          <w:szCs w:val="24"/>
        </w:rPr>
        <w:t xml:space="preserve">Families in which everyone is out of work are much more likely to have a low household income and more likely to experience food insecurity. </w:t>
      </w:r>
      <w:r w:rsidR="00E87557" w:rsidRPr="00066032">
        <w:rPr>
          <w:rFonts w:asciiTheme="majorBidi" w:hAnsiTheme="majorBidi" w:cstheme="majorBidi"/>
          <w:sz w:val="24"/>
          <w:szCs w:val="24"/>
        </w:rPr>
        <w:t xml:space="preserve"> </w:t>
      </w:r>
      <w:r w:rsidRPr="00066032">
        <w:rPr>
          <w:rFonts w:asciiTheme="majorBidi" w:hAnsiTheme="majorBidi" w:cstheme="majorBidi"/>
          <w:sz w:val="24"/>
          <w:szCs w:val="24"/>
        </w:rPr>
        <w:t xml:space="preserve">17% of people in families where nobody worked were in food insecure households in 2022/23, compared with 9% of people in families where at least one adult worked. </w:t>
      </w:r>
    </w:p>
    <w:p w:rsidR="00CB362E" w:rsidRPr="00066032" w:rsidRDefault="00CB362E" w:rsidP="0068123D">
      <w:pPr>
        <w:jc w:val="both"/>
        <w:rPr>
          <w:rFonts w:asciiTheme="majorBidi" w:hAnsiTheme="majorBidi" w:cstheme="majorBidi"/>
          <w:b/>
          <w:bCs/>
          <w:sz w:val="24"/>
          <w:szCs w:val="24"/>
        </w:rPr>
      </w:pPr>
      <w:r w:rsidRPr="00066032">
        <w:rPr>
          <w:rFonts w:asciiTheme="majorBidi" w:hAnsiTheme="majorBidi" w:cstheme="majorBidi"/>
          <w:b/>
          <w:bCs/>
          <w:sz w:val="24"/>
          <w:szCs w:val="24"/>
        </w:rPr>
        <w:t xml:space="preserve">Food insecurity varies substantially by ethnic group </w:t>
      </w:r>
    </w:p>
    <w:p w:rsidR="00CB362E" w:rsidRPr="00066032" w:rsidRDefault="00CB362E" w:rsidP="00066032">
      <w:pPr>
        <w:jc w:val="both"/>
        <w:rPr>
          <w:rFonts w:asciiTheme="majorBidi" w:hAnsiTheme="majorBidi" w:cstheme="majorBidi"/>
          <w:sz w:val="24"/>
          <w:szCs w:val="24"/>
        </w:rPr>
      </w:pPr>
      <w:r w:rsidRPr="00066032">
        <w:rPr>
          <w:rFonts w:asciiTheme="majorBidi" w:hAnsiTheme="majorBidi" w:cstheme="majorBidi"/>
          <w:sz w:val="24"/>
          <w:szCs w:val="24"/>
        </w:rPr>
        <w:t>In the DWP’s data, the ethnic group of the household is determined by the ‘household reference person</w:t>
      </w:r>
      <w:r w:rsidR="00066032">
        <w:rPr>
          <w:rFonts w:asciiTheme="majorBidi" w:hAnsiTheme="majorBidi" w:cstheme="majorBidi"/>
          <w:sz w:val="24"/>
          <w:szCs w:val="24"/>
        </w:rPr>
        <w:t>.’</w:t>
      </w:r>
      <w:r w:rsidRPr="00066032">
        <w:rPr>
          <w:rFonts w:asciiTheme="majorBidi" w:hAnsiTheme="majorBidi" w:cstheme="majorBidi"/>
          <w:sz w:val="24"/>
          <w:szCs w:val="24"/>
        </w:rPr>
        <w:t xml:space="preserve"> This is usually the person in whose name the accommodation is owned or rented or the person in the household with the highest income. </w:t>
      </w:r>
    </w:p>
    <w:p w:rsidR="00E87557" w:rsidRPr="00066032" w:rsidRDefault="00CB362E" w:rsidP="00BB720A">
      <w:pPr>
        <w:jc w:val="both"/>
        <w:rPr>
          <w:rFonts w:asciiTheme="majorBidi" w:hAnsiTheme="majorBidi" w:cstheme="majorBidi"/>
          <w:sz w:val="24"/>
          <w:szCs w:val="24"/>
        </w:rPr>
      </w:pPr>
      <w:r w:rsidRPr="00066032">
        <w:rPr>
          <w:rFonts w:asciiTheme="majorBidi" w:hAnsiTheme="majorBidi" w:cstheme="majorBidi"/>
          <w:sz w:val="24"/>
          <w:szCs w:val="24"/>
        </w:rPr>
        <w:t xml:space="preserve">People in a household from a Black/African/Caribbean/Black British ethnic group were most likely to experience food insecurity (21%), followed by people in a household where the reference person was from a Mixed or multiple ethnic </w:t>
      </w:r>
      <w:r w:rsidR="00066032">
        <w:rPr>
          <w:rFonts w:asciiTheme="majorBidi" w:hAnsiTheme="majorBidi" w:cstheme="majorBidi"/>
          <w:sz w:val="24"/>
          <w:szCs w:val="24"/>
        </w:rPr>
        <w:t>group</w:t>
      </w:r>
      <w:r w:rsidRPr="00066032">
        <w:rPr>
          <w:rFonts w:asciiTheme="majorBidi" w:hAnsiTheme="majorBidi" w:cstheme="majorBidi"/>
          <w:sz w:val="24"/>
          <w:szCs w:val="24"/>
        </w:rPr>
        <w:t xml:space="preserve"> (19%).</w:t>
      </w:r>
    </w:p>
    <w:p w:rsidR="00CB362E" w:rsidRPr="00066032" w:rsidRDefault="00CB362E" w:rsidP="0068123D">
      <w:pPr>
        <w:jc w:val="both"/>
        <w:rPr>
          <w:rFonts w:asciiTheme="majorBidi" w:hAnsiTheme="majorBidi" w:cstheme="majorBidi"/>
          <w:b/>
          <w:bCs/>
          <w:sz w:val="24"/>
          <w:szCs w:val="24"/>
        </w:rPr>
      </w:pPr>
      <w:r w:rsidRPr="00066032">
        <w:rPr>
          <w:rFonts w:asciiTheme="majorBidi" w:hAnsiTheme="majorBidi" w:cstheme="majorBidi"/>
          <w:b/>
          <w:bCs/>
          <w:sz w:val="24"/>
          <w:szCs w:val="24"/>
        </w:rPr>
        <w:t xml:space="preserve">The North East and North West have the highest rates of food insecurity </w:t>
      </w:r>
    </w:p>
    <w:p w:rsidR="00CB362E" w:rsidRPr="00066032" w:rsidRDefault="00CB362E" w:rsidP="00066032">
      <w:pPr>
        <w:jc w:val="both"/>
        <w:rPr>
          <w:rFonts w:asciiTheme="majorBidi" w:hAnsiTheme="majorBidi" w:cstheme="majorBidi"/>
          <w:sz w:val="24"/>
          <w:szCs w:val="24"/>
        </w:rPr>
      </w:pPr>
      <w:r w:rsidRPr="00066032">
        <w:rPr>
          <w:rFonts w:asciiTheme="majorBidi" w:hAnsiTheme="majorBidi" w:cstheme="majorBidi"/>
          <w:sz w:val="24"/>
          <w:szCs w:val="24"/>
        </w:rPr>
        <w:t xml:space="preserve">12% of people in the North East and the North West of England were in food insecure households in 2022/23. Northern Ireland had the lowest rate of people in </w:t>
      </w:r>
      <w:r w:rsidR="00066032">
        <w:rPr>
          <w:rFonts w:asciiTheme="majorBidi" w:hAnsiTheme="majorBidi" w:cstheme="majorBidi"/>
          <w:sz w:val="24"/>
          <w:szCs w:val="24"/>
        </w:rPr>
        <w:t>food-insecure</w:t>
      </w:r>
      <w:r w:rsidRPr="00066032">
        <w:rPr>
          <w:rFonts w:asciiTheme="majorBidi" w:hAnsiTheme="majorBidi" w:cstheme="majorBidi"/>
          <w:sz w:val="24"/>
          <w:szCs w:val="24"/>
        </w:rPr>
        <w:t xml:space="preserve"> households at 6%. Over a quarter of households in social rented accommodation experience food insecurity </w:t>
      </w:r>
    </w:p>
    <w:p w:rsidR="00CB362E" w:rsidRPr="00066032" w:rsidRDefault="00CB362E" w:rsidP="00066032">
      <w:pPr>
        <w:jc w:val="both"/>
        <w:rPr>
          <w:rFonts w:asciiTheme="majorBidi" w:hAnsiTheme="majorBidi" w:cstheme="majorBidi"/>
          <w:sz w:val="24"/>
          <w:szCs w:val="24"/>
        </w:rPr>
      </w:pPr>
      <w:r w:rsidRPr="00066032">
        <w:rPr>
          <w:rFonts w:asciiTheme="majorBidi" w:hAnsiTheme="majorBidi" w:cstheme="majorBidi"/>
          <w:sz w:val="24"/>
          <w:szCs w:val="24"/>
        </w:rPr>
        <w:lastRenderedPageBreak/>
        <w:t xml:space="preserve">Social rented sector tenants (people who rent from councils or housing associations) were much more likely to be in </w:t>
      </w:r>
      <w:r w:rsidR="00066032">
        <w:rPr>
          <w:rFonts w:asciiTheme="majorBidi" w:hAnsiTheme="majorBidi" w:cstheme="majorBidi"/>
          <w:sz w:val="24"/>
          <w:szCs w:val="24"/>
        </w:rPr>
        <w:t>food-insecure</w:t>
      </w:r>
      <w:r w:rsidRPr="00066032">
        <w:rPr>
          <w:rFonts w:asciiTheme="majorBidi" w:hAnsiTheme="majorBidi" w:cstheme="majorBidi"/>
          <w:sz w:val="24"/>
          <w:szCs w:val="24"/>
        </w:rPr>
        <w:t xml:space="preserve"> households (27%). This compares with 14% of private renters in </w:t>
      </w:r>
      <w:r w:rsidR="00066032">
        <w:rPr>
          <w:rFonts w:asciiTheme="majorBidi" w:hAnsiTheme="majorBidi" w:cstheme="majorBidi"/>
          <w:sz w:val="24"/>
          <w:szCs w:val="24"/>
        </w:rPr>
        <w:t>food-insecure</w:t>
      </w:r>
      <w:r w:rsidRPr="00066032">
        <w:rPr>
          <w:rFonts w:asciiTheme="majorBidi" w:hAnsiTheme="majorBidi" w:cstheme="majorBidi"/>
          <w:sz w:val="24"/>
          <w:szCs w:val="24"/>
        </w:rPr>
        <w:t xml:space="preserve"> households. </w:t>
      </w:r>
    </w:p>
    <w:p w:rsidR="009C669D" w:rsidRPr="00066032" w:rsidRDefault="00CB362E" w:rsidP="00BB720A">
      <w:pPr>
        <w:jc w:val="both"/>
        <w:rPr>
          <w:rFonts w:asciiTheme="majorBidi" w:hAnsiTheme="majorBidi" w:cstheme="majorBidi"/>
          <w:sz w:val="24"/>
          <w:szCs w:val="24"/>
          <w:vertAlign w:val="superscript"/>
        </w:rPr>
      </w:pPr>
      <w:r w:rsidRPr="00066032">
        <w:rPr>
          <w:rFonts w:asciiTheme="majorBidi" w:hAnsiTheme="majorBidi" w:cstheme="majorBidi"/>
          <w:sz w:val="24"/>
          <w:szCs w:val="24"/>
        </w:rPr>
        <w:t xml:space="preserve">The proportion of those in food insecure households was lowest among those who owned their home outright (without a mortgage), at 2%. This is partly why the rate of food insecurity is so low among pensioners; a large proportion of pensioners own their </w:t>
      </w:r>
      <w:r w:rsidR="00066032">
        <w:rPr>
          <w:rFonts w:asciiTheme="majorBidi" w:hAnsiTheme="majorBidi" w:cstheme="majorBidi"/>
          <w:sz w:val="24"/>
          <w:szCs w:val="24"/>
        </w:rPr>
        <w:t>homes</w:t>
      </w:r>
      <w:r w:rsidRPr="00066032">
        <w:rPr>
          <w:rFonts w:asciiTheme="majorBidi" w:hAnsiTheme="majorBidi" w:cstheme="majorBidi"/>
          <w:sz w:val="24"/>
          <w:szCs w:val="24"/>
        </w:rPr>
        <w:t xml:space="preserve"> outright. </w:t>
      </w:r>
      <w:r w:rsidR="00BB720A">
        <w:rPr>
          <w:rStyle w:val="FootnoteReference"/>
          <w:rFonts w:asciiTheme="majorBidi" w:hAnsiTheme="majorBidi" w:cstheme="majorBidi"/>
          <w:sz w:val="24"/>
          <w:szCs w:val="24"/>
        </w:rPr>
        <w:footnoteReference w:id="9"/>
      </w:r>
    </w:p>
    <w:p w:rsidR="00BB720A" w:rsidRDefault="00BB720A" w:rsidP="0068123D">
      <w:pPr>
        <w:jc w:val="both"/>
        <w:rPr>
          <w:rFonts w:asciiTheme="majorBidi" w:hAnsiTheme="majorBidi" w:cstheme="majorBidi"/>
          <w:b/>
          <w:bCs/>
          <w:sz w:val="24"/>
          <w:szCs w:val="24"/>
        </w:rPr>
      </w:pPr>
    </w:p>
    <w:p w:rsidR="00477152" w:rsidRPr="00066032" w:rsidRDefault="00477152" w:rsidP="0068123D">
      <w:pPr>
        <w:jc w:val="both"/>
        <w:rPr>
          <w:rFonts w:asciiTheme="majorBidi" w:hAnsiTheme="majorBidi" w:cstheme="majorBidi"/>
          <w:b/>
          <w:bCs/>
          <w:sz w:val="24"/>
          <w:szCs w:val="24"/>
        </w:rPr>
      </w:pPr>
      <w:r w:rsidRPr="00066032">
        <w:rPr>
          <w:rFonts w:asciiTheme="majorBidi" w:hAnsiTheme="majorBidi" w:cstheme="majorBidi"/>
          <w:b/>
          <w:bCs/>
          <w:sz w:val="24"/>
          <w:szCs w:val="24"/>
        </w:rPr>
        <w:t xml:space="preserve">Recommendations </w:t>
      </w:r>
    </w:p>
    <w:p w:rsidR="005C526D" w:rsidRPr="00066032" w:rsidRDefault="005C526D" w:rsidP="0068123D">
      <w:pPr>
        <w:jc w:val="both"/>
        <w:rPr>
          <w:rFonts w:asciiTheme="majorBidi" w:hAnsiTheme="majorBidi" w:cstheme="majorBidi"/>
          <w:sz w:val="24"/>
          <w:szCs w:val="24"/>
        </w:rPr>
      </w:pPr>
      <w:r w:rsidRPr="00066032">
        <w:rPr>
          <w:rFonts w:asciiTheme="majorBidi" w:hAnsiTheme="majorBidi" w:cstheme="majorBidi"/>
          <w:sz w:val="24"/>
          <w:szCs w:val="24"/>
        </w:rPr>
        <w:t>Several stakeholders have recommended that governments do more to address fuel poverty, pointing to wider potential benefits such as health from avoiding cold homes and decarbonization from more energy-efficient homes.4 The UK faces a challenging road ahead in tackling food poverty, but there are solutions. Supporting British farming, diversifying crops, and investing in sustainable agriculture can reduce reliance on imports. At the same time, a more streamlined redistribution of surplus food</w:t>
      </w:r>
      <w:r w:rsidR="0068123D" w:rsidRPr="00066032">
        <w:rPr>
          <w:rFonts w:asciiTheme="majorBidi" w:hAnsiTheme="majorBidi" w:cstheme="majorBidi"/>
          <w:sz w:val="24"/>
          <w:szCs w:val="24"/>
        </w:rPr>
        <w:t xml:space="preserve"> will help meet immediate needs</w:t>
      </w:r>
      <w:r w:rsidR="00066032">
        <w:rPr>
          <w:rFonts w:asciiTheme="majorBidi" w:hAnsiTheme="majorBidi" w:cstheme="majorBidi"/>
          <w:sz w:val="24"/>
          <w:szCs w:val="24"/>
        </w:rPr>
        <w:t>, and</w:t>
      </w:r>
      <w:r w:rsidR="0068123D" w:rsidRPr="00066032">
        <w:rPr>
          <w:rFonts w:asciiTheme="majorBidi" w:hAnsiTheme="majorBidi" w:cstheme="majorBidi"/>
          <w:sz w:val="24"/>
          <w:szCs w:val="24"/>
        </w:rPr>
        <w:t xml:space="preserve"> a</w:t>
      </w:r>
      <w:r w:rsidRPr="00066032">
        <w:rPr>
          <w:rFonts w:asciiTheme="majorBidi" w:hAnsiTheme="majorBidi" w:cstheme="majorBidi"/>
          <w:sz w:val="24"/>
          <w:szCs w:val="24"/>
        </w:rPr>
        <w:t xml:space="preserve"> diverse group of stakeholders has unanimously called on governments to take comprehensive and proactive measures to combat fuel poverty. They argue that addressing this issue not only has the potential to improve health outcomes by preventing the dangers associated with cold homes, but it also plays a crucial role in decarbonization efforts through the promotion of energy-efficient housing solutions. </w:t>
      </w:r>
    </w:p>
    <w:p w:rsidR="005C526D" w:rsidRPr="00066032" w:rsidRDefault="005C526D" w:rsidP="0068123D">
      <w:pPr>
        <w:jc w:val="both"/>
        <w:rPr>
          <w:rFonts w:asciiTheme="majorBidi" w:hAnsiTheme="majorBidi" w:cstheme="majorBidi"/>
          <w:sz w:val="24"/>
          <w:szCs w:val="24"/>
        </w:rPr>
      </w:pPr>
      <w:r w:rsidRPr="00066032">
        <w:rPr>
          <w:rFonts w:asciiTheme="majorBidi" w:hAnsiTheme="majorBidi" w:cstheme="majorBidi"/>
          <w:sz w:val="24"/>
          <w:szCs w:val="24"/>
        </w:rPr>
        <w:t>Simultaneously, the UK is facing significant challenges in dealing with food poverty, which requires immediate and focused intervention. There are multiple effective strategies that can be employed to mitigate this problem. One key solution is to support British farming initiatives, which can enhance local food production and decrease reliance on imported goods. This can be achieved through policies that encourage the diversification of crops, allowing farmers to grow a wider range of produce suited for various markets and climate conditions.</w:t>
      </w:r>
    </w:p>
    <w:p w:rsidR="005C526D" w:rsidRPr="00066032" w:rsidRDefault="005C526D" w:rsidP="0068123D">
      <w:pPr>
        <w:jc w:val="both"/>
        <w:rPr>
          <w:rFonts w:asciiTheme="majorBidi" w:hAnsiTheme="majorBidi" w:cstheme="majorBidi"/>
          <w:sz w:val="24"/>
          <w:szCs w:val="24"/>
        </w:rPr>
      </w:pPr>
      <w:r w:rsidRPr="00066032">
        <w:rPr>
          <w:rFonts w:asciiTheme="majorBidi" w:hAnsiTheme="majorBidi" w:cstheme="majorBidi"/>
          <w:sz w:val="24"/>
          <w:szCs w:val="24"/>
        </w:rPr>
        <w:t xml:space="preserve">In parallel, it is essential to invest in sustainable agricultural practices that not only maximize yields but also protect the environment for future generations. This includes promoting techniques that minimize waste and encourage responsible resource use. </w:t>
      </w:r>
    </w:p>
    <w:p w:rsidR="00F202FD" w:rsidRDefault="005C526D" w:rsidP="005A6BB4">
      <w:pPr>
        <w:jc w:val="both"/>
        <w:rPr>
          <w:rFonts w:asciiTheme="majorBidi" w:hAnsiTheme="majorBidi" w:cstheme="majorBidi"/>
          <w:sz w:val="24"/>
          <w:szCs w:val="24"/>
          <w:rtl/>
        </w:rPr>
      </w:pPr>
      <w:r w:rsidRPr="00066032">
        <w:rPr>
          <w:rFonts w:asciiTheme="majorBidi" w:hAnsiTheme="majorBidi" w:cstheme="majorBidi"/>
          <w:sz w:val="24"/>
          <w:szCs w:val="24"/>
        </w:rPr>
        <w:t>Moreover, establishing a more streamlined and efficient system for the redistribution of surplus food is critical. By effectively channeling excess food from producers to those in need, we can directly address immediate hunger issues while simultaneously reducing food waste. Collectively, these actions will not only help alleviate the pressing issues of fuel and food poverty but will also contribute to a healthier, more sustainable society.</w:t>
      </w:r>
      <w:r w:rsidR="00066032">
        <w:rPr>
          <w:rFonts w:asciiTheme="majorBidi" w:hAnsiTheme="majorBidi" w:cstheme="majorBidi"/>
          <w:sz w:val="24"/>
          <w:szCs w:val="24"/>
        </w:rPr>
        <w:t xml:space="preserve"> </w:t>
      </w:r>
      <w:r w:rsidRPr="00066032">
        <w:rPr>
          <w:rFonts w:asciiTheme="majorBidi" w:hAnsiTheme="majorBidi" w:cstheme="majorBidi"/>
          <w:sz w:val="24"/>
          <w:szCs w:val="24"/>
        </w:rPr>
        <w:t xml:space="preserve">Stakeholders are firmly calling on governments to take decisive action against fuel poverty, emphasizing the critical benefits of preventing cold homes, which can lead to significant health improvements, and advancing decarbonization through </w:t>
      </w:r>
      <w:r w:rsidRPr="00066032">
        <w:rPr>
          <w:rFonts w:asciiTheme="majorBidi" w:hAnsiTheme="majorBidi" w:cstheme="majorBidi"/>
          <w:sz w:val="24"/>
          <w:szCs w:val="24"/>
        </w:rPr>
        <w:lastRenderedPageBreak/>
        <w:t xml:space="preserve">enhanced energy efficiency in housing. The UK must tackle food poverty head-on, and there are clear solutions available. </w:t>
      </w:r>
      <w:r w:rsidR="005A6BB4">
        <w:rPr>
          <w:rFonts w:asciiTheme="majorBidi" w:hAnsiTheme="majorBidi" w:cstheme="majorBidi"/>
          <w:sz w:val="24"/>
          <w:szCs w:val="24"/>
        </w:rPr>
        <w:t>We can reduce our dependence on food imports by bolstering British farming, diversifying crop production, and investing in sustainable agriculture</w:t>
      </w:r>
      <w:r w:rsidRPr="00066032">
        <w:rPr>
          <w:rFonts w:asciiTheme="majorBidi" w:hAnsiTheme="majorBidi" w:cstheme="majorBidi"/>
          <w:sz w:val="24"/>
          <w:szCs w:val="24"/>
        </w:rPr>
        <w:t>. Furthermore, implementing a more effective system for redistributing surplus food is essential to addressing immediate needs and ensuring that no one goes hungry.</w:t>
      </w:r>
    </w:p>
    <w:p w:rsidR="00E87557" w:rsidRPr="00066032" w:rsidRDefault="00E87557" w:rsidP="00433D0D">
      <w:pPr>
        <w:pStyle w:val="ListParagraph"/>
        <w:ind w:left="1080"/>
        <w:jc w:val="both"/>
        <w:rPr>
          <w:rFonts w:asciiTheme="majorBidi" w:hAnsiTheme="majorBidi" w:cstheme="majorBidi"/>
          <w:sz w:val="24"/>
          <w:szCs w:val="24"/>
        </w:rPr>
      </w:pPr>
    </w:p>
    <w:p w:rsidR="00F759CE" w:rsidRPr="00066032" w:rsidRDefault="00DB2DF4" w:rsidP="0068123D">
      <w:pPr>
        <w:jc w:val="both"/>
        <w:rPr>
          <w:rFonts w:asciiTheme="majorBidi" w:hAnsiTheme="majorBidi" w:cstheme="majorBidi" w:hint="cs"/>
          <w:sz w:val="24"/>
          <w:szCs w:val="24"/>
          <w:rtl/>
          <w:lang w:bidi="fa-IR"/>
        </w:rPr>
      </w:pPr>
      <w:r w:rsidRPr="00066032">
        <w:rPr>
          <w:rFonts w:asciiTheme="majorBidi" w:hAnsiTheme="majorBidi" w:cstheme="majorBidi"/>
          <w:sz w:val="24"/>
          <w:szCs w:val="24"/>
        </w:rPr>
        <w:tab/>
      </w:r>
    </w:p>
    <w:sectPr w:rsidR="00F759CE" w:rsidRPr="00066032" w:rsidSect="00066032">
      <w:footerReference w:type="default" r:id="rId9"/>
      <w:pgSz w:w="12240" w:h="15840"/>
      <w:pgMar w:top="1440" w:right="1440" w:bottom="1440" w:left="1440" w:header="708" w:footer="708" w:gutter="0"/>
      <w:pgBorders w:offsetFrom="page">
        <w:top w:val="single" w:sz="18" w:space="24" w:color="0D0D0D" w:themeColor="text1" w:themeTint="F2"/>
        <w:left w:val="single" w:sz="18" w:space="24" w:color="0D0D0D" w:themeColor="text1" w:themeTint="F2"/>
        <w:bottom w:val="single" w:sz="18" w:space="24" w:color="0D0D0D" w:themeColor="text1" w:themeTint="F2"/>
        <w:right w:val="single" w:sz="18" w:space="24" w:color="0D0D0D" w:themeColor="text1" w:themeTint="F2"/>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02BB" w:rsidRDefault="006A02BB" w:rsidP="00F759CE">
      <w:pPr>
        <w:spacing w:after="0" w:line="240" w:lineRule="auto"/>
      </w:pPr>
      <w:r>
        <w:separator/>
      </w:r>
    </w:p>
  </w:endnote>
  <w:endnote w:type="continuationSeparator" w:id="0">
    <w:p w:rsidR="006A02BB" w:rsidRDefault="006A02BB" w:rsidP="00F75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Lotus">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8496140"/>
      <w:docPartObj>
        <w:docPartGallery w:val="Page Numbers (Bottom of Page)"/>
        <w:docPartUnique/>
      </w:docPartObj>
    </w:sdtPr>
    <w:sdtEndPr>
      <w:rPr>
        <w:noProof/>
      </w:rPr>
    </w:sdtEndPr>
    <w:sdtContent>
      <w:p w:rsidR="00066032" w:rsidRDefault="00066032">
        <w:pPr>
          <w:pStyle w:val="Footer"/>
          <w:jc w:val="center"/>
        </w:pPr>
        <w:r>
          <w:fldChar w:fldCharType="begin"/>
        </w:r>
        <w:r>
          <w:instrText xml:space="preserve"> PAGE   \* MERGEFORMAT </w:instrText>
        </w:r>
        <w:r>
          <w:fldChar w:fldCharType="separate"/>
        </w:r>
        <w:r w:rsidR="00EB60A6">
          <w:rPr>
            <w:noProof/>
          </w:rPr>
          <w:t>1</w:t>
        </w:r>
        <w:r>
          <w:rPr>
            <w:noProof/>
          </w:rPr>
          <w:fldChar w:fldCharType="end"/>
        </w:r>
      </w:p>
    </w:sdtContent>
  </w:sdt>
  <w:p w:rsidR="00DB2DF4" w:rsidRDefault="00DB2DF4" w:rsidP="00DB2DF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02BB" w:rsidRDefault="006A02BB" w:rsidP="00F759CE">
      <w:pPr>
        <w:spacing w:after="0" w:line="240" w:lineRule="auto"/>
      </w:pPr>
      <w:r>
        <w:separator/>
      </w:r>
    </w:p>
  </w:footnote>
  <w:footnote w:type="continuationSeparator" w:id="0">
    <w:p w:rsidR="006A02BB" w:rsidRDefault="006A02BB" w:rsidP="00F759CE">
      <w:pPr>
        <w:spacing w:after="0" w:line="240" w:lineRule="auto"/>
      </w:pPr>
      <w:r>
        <w:continuationSeparator/>
      </w:r>
    </w:p>
  </w:footnote>
  <w:footnote w:id="1">
    <w:p w:rsidR="008F505A" w:rsidRDefault="008F505A">
      <w:pPr>
        <w:pStyle w:val="FootnoteText"/>
        <w:rPr>
          <w:lang w:bidi="fa-IR"/>
        </w:rPr>
      </w:pPr>
      <w:r>
        <w:rPr>
          <w:rStyle w:val="FootnoteReference"/>
        </w:rPr>
        <w:footnoteRef/>
      </w:r>
      <w:r>
        <w:t xml:space="preserve"> </w:t>
      </w:r>
      <w:r>
        <w:rPr>
          <w:lang w:bidi="fa-IR"/>
        </w:rPr>
        <w:t xml:space="preserve">. </w:t>
      </w:r>
      <w:r w:rsidRPr="008F505A">
        <w:rPr>
          <w:lang w:bidi="fa-IR"/>
        </w:rPr>
        <w:t>https://www.sciencedirect.com/science/article/pii/S0277953624007512</w:t>
      </w:r>
    </w:p>
  </w:footnote>
  <w:footnote w:id="2">
    <w:p w:rsidR="008F6FAB" w:rsidRDefault="008F6FAB" w:rsidP="008F6FAB">
      <w:pPr>
        <w:pStyle w:val="FootnoteText"/>
      </w:pPr>
      <w:r>
        <w:rPr>
          <w:rStyle w:val="FootnoteReference"/>
        </w:rPr>
        <w:footnoteRef/>
      </w:r>
      <w:r>
        <w:t xml:space="preserve"> . </w:t>
      </w:r>
      <w:r w:rsidRPr="008F6FAB">
        <w:t>https://www.bigissue.com/news/social-justice/uk-poverty-the-facts-figures-effects-solutions-cost-living-crisis/</w:t>
      </w:r>
    </w:p>
  </w:footnote>
  <w:footnote w:id="3">
    <w:p w:rsidR="008F505A" w:rsidRDefault="008F505A" w:rsidP="008F6FAB">
      <w:pPr>
        <w:pStyle w:val="FootnoteText"/>
      </w:pPr>
      <w:r>
        <w:rPr>
          <w:rStyle w:val="FootnoteReference"/>
        </w:rPr>
        <w:footnoteRef/>
      </w:r>
      <w:r>
        <w:t xml:space="preserve"> . </w:t>
      </w:r>
      <w:r w:rsidR="00BB720A" w:rsidRPr="00BB720A">
        <w:t>https://lordslibrary.parliament.uk/child-poverty-statistics-causes-and-the-uks-policy-response/</w:t>
      </w:r>
    </w:p>
  </w:footnote>
  <w:footnote w:id="4">
    <w:p w:rsidR="00B75F6A" w:rsidRDefault="00B75F6A" w:rsidP="00BB720A">
      <w:pPr>
        <w:pStyle w:val="FootnoteText"/>
        <w:rPr>
          <w:rFonts w:hint="cs"/>
          <w:rtl/>
          <w:lang w:bidi="fa-IR"/>
        </w:rPr>
      </w:pPr>
      <w:r>
        <w:rPr>
          <w:rStyle w:val="FootnoteReference"/>
        </w:rPr>
        <w:footnoteRef/>
      </w:r>
      <w:r>
        <w:t xml:space="preserve"> </w:t>
      </w:r>
      <w:r>
        <w:rPr>
          <w:lang w:bidi="fa-IR"/>
        </w:rPr>
        <w:t xml:space="preserve">. </w:t>
      </w:r>
      <w:r w:rsidR="00BB720A" w:rsidRPr="00BB720A">
        <w:rPr>
          <w:lang w:bidi="fa-IR"/>
        </w:rPr>
        <w:t>https://commonslibrary.parliament.uk/research-briefings/cbp-8730/</w:t>
      </w:r>
    </w:p>
  </w:footnote>
  <w:footnote w:id="5">
    <w:p w:rsidR="00B75F6A" w:rsidRDefault="00B75F6A" w:rsidP="00BB720A">
      <w:pPr>
        <w:pStyle w:val="FootnoteText"/>
        <w:rPr>
          <w:lang w:bidi="fa-IR"/>
        </w:rPr>
      </w:pPr>
      <w:r>
        <w:rPr>
          <w:rStyle w:val="FootnoteReference"/>
        </w:rPr>
        <w:footnoteRef/>
      </w:r>
      <w:r>
        <w:t xml:space="preserve"> </w:t>
      </w:r>
      <w:r>
        <w:rPr>
          <w:lang w:bidi="fa-IR"/>
        </w:rPr>
        <w:t xml:space="preserve">. </w:t>
      </w:r>
      <w:r w:rsidR="00BB720A" w:rsidRPr="00BB720A">
        <w:rPr>
          <w:lang w:bidi="fa-IR"/>
        </w:rPr>
        <w:t>https://www.nea.org.uk/what-is-fuel-poverty/</w:t>
      </w:r>
    </w:p>
  </w:footnote>
  <w:footnote w:id="6">
    <w:p w:rsidR="00BB720A" w:rsidRDefault="00BB720A">
      <w:pPr>
        <w:pStyle w:val="FootnoteText"/>
      </w:pPr>
      <w:r>
        <w:rPr>
          <w:rStyle w:val="FootnoteReference"/>
        </w:rPr>
        <w:footnoteRef/>
      </w:r>
      <w:r>
        <w:t xml:space="preserve"> . </w:t>
      </w:r>
      <w:r w:rsidRPr="00BB720A">
        <w:t>https://commonslibrary.parliament.uk/research-briefings/cbp-9209/</w:t>
      </w:r>
    </w:p>
  </w:footnote>
  <w:footnote w:id="7">
    <w:p w:rsidR="00BB720A" w:rsidRDefault="00BB720A">
      <w:pPr>
        <w:pStyle w:val="FootnoteText"/>
      </w:pPr>
      <w:r>
        <w:rPr>
          <w:rStyle w:val="FootnoteReference"/>
        </w:rPr>
        <w:footnoteRef/>
      </w:r>
      <w:r>
        <w:t xml:space="preserve"> . </w:t>
      </w:r>
      <w:r w:rsidRPr="00BB720A">
        <w:t>https://www.aljazeera.com/economy/2024/7/3/thirty-one-percent-the-jump-in-food-prices-as-uk-goes-to-the-polls</w:t>
      </w:r>
    </w:p>
  </w:footnote>
  <w:footnote w:id="8">
    <w:p w:rsidR="00BB720A" w:rsidRDefault="00BB720A">
      <w:pPr>
        <w:pStyle w:val="FootnoteText"/>
      </w:pPr>
      <w:r>
        <w:rPr>
          <w:rStyle w:val="FootnoteReference"/>
        </w:rPr>
        <w:footnoteRef/>
      </w:r>
      <w:r>
        <w:t xml:space="preserve"> . </w:t>
      </w:r>
      <w:r w:rsidRPr="00BB720A">
        <w:t>https://commonslibrary.parliament.uk/who-is-experiencing-food-insecurity-in-the-uk/</w:t>
      </w:r>
    </w:p>
  </w:footnote>
  <w:footnote w:id="9">
    <w:p w:rsidR="00BB720A" w:rsidRDefault="00BB720A">
      <w:pPr>
        <w:pStyle w:val="FootnoteText"/>
      </w:pPr>
      <w:r>
        <w:rPr>
          <w:rStyle w:val="FootnoteReference"/>
        </w:rPr>
        <w:footnoteRef/>
      </w:r>
      <w:r>
        <w:t xml:space="preserve"> . Ibid</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E5552B"/>
    <w:multiLevelType w:val="hybridMultilevel"/>
    <w:tmpl w:val="1D1E4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C417B3"/>
    <w:multiLevelType w:val="hybridMultilevel"/>
    <w:tmpl w:val="1BACDF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DB46B9"/>
    <w:multiLevelType w:val="hybridMultilevel"/>
    <w:tmpl w:val="C7909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9E3967"/>
    <w:multiLevelType w:val="hybridMultilevel"/>
    <w:tmpl w:val="311ED6FA"/>
    <w:lvl w:ilvl="0" w:tplc="9C8A065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CAB"/>
    <w:rsid w:val="00066032"/>
    <w:rsid w:val="00072ACD"/>
    <w:rsid w:val="0014270D"/>
    <w:rsid w:val="001711A7"/>
    <w:rsid w:val="001A729D"/>
    <w:rsid w:val="00433D0D"/>
    <w:rsid w:val="00471780"/>
    <w:rsid w:val="00477152"/>
    <w:rsid w:val="004E42E5"/>
    <w:rsid w:val="00590CAB"/>
    <w:rsid w:val="005A6BB4"/>
    <w:rsid w:val="005C526D"/>
    <w:rsid w:val="0068123D"/>
    <w:rsid w:val="006A02BB"/>
    <w:rsid w:val="006A4E7A"/>
    <w:rsid w:val="00723998"/>
    <w:rsid w:val="007757BA"/>
    <w:rsid w:val="008F505A"/>
    <w:rsid w:val="008F6FAB"/>
    <w:rsid w:val="00922856"/>
    <w:rsid w:val="00965624"/>
    <w:rsid w:val="009B1F5C"/>
    <w:rsid w:val="009C669D"/>
    <w:rsid w:val="009D4938"/>
    <w:rsid w:val="009F439D"/>
    <w:rsid w:val="00A37F16"/>
    <w:rsid w:val="00A73C30"/>
    <w:rsid w:val="00AE3851"/>
    <w:rsid w:val="00B75F6A"/>
    <w:rsid w:val="00BB720A"/>
    <w:rsid w:val="00BF4E29"/>
    <w:rsid w:val="00C1005E"/>
    <w:rsid w:val="00CB362E"/>
    <w:rsid w:val="00D64ADA"/>
    <w:rsid w:val="00DB2DF4"/>
    <w:rsid w:val="00E87557"/>
    <w:rsid w:val="00EB60A6"/>
    <w:rsid w:val="00F202FD"/>
    <w:rsid w:val="00F759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2C3EC5"/>
  <w15:docId w15:val="{31346084-C6DA-4D68-A60C-B5E829DE5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9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9CE"/>
  </w:style>
  <w:style w:type="paragraph" w:styleId="Footer">
    <w:name w:val="footer"/>
    <w:basedOn w:val="Normal"/>
    <w:link w:val="FooterChar"/>
    <w:uiPriority w:val="99"/>
    <w:unhideWhenUsed/>
    <w:rsid w:val="00F759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9CE"/>
  </w:style>
  <w:style w:type="character" w:styleId="Hyperlink">
    <w:name w:val="Hyperlink"/>
    <w:basedOn w:val="DefaultParagraphFont"/>
    <w:uiPriority w:val="99"/>
    <w:unhideWhenUsed/>
    <w:rsid w:val="00F759CE"/>
    <w:rPr>
      <w:color w:val="0000FF" w:themeColor="hyperlink"/>
      <w:u w:val="single"/>
    </w:rPr>
  </w:style>
  <w:style w:type="paragraph" w:styleId="ListParagraph">
    <w:name w:val="List Paragraph"/>
    <w:basedOn w:val="Normal"/>
    <w:uiPriority w:val="34"/>
    <w:qFormat/>
    <w:rsid w:val="00DB2DF4"/>
    <w:pPr>
      <w:ind w:left="720"/>
      <w:contextualSpacing/>
    </w:pPr>
  </w:style>
  <w:style w:type="character" w:styleId="FollowedHyperlink">
    <w:name w:val="FollowedHyperlink"/>
    <w:basedOn w:val="DefaultParagraphFont"/>
    <w:uiPriority w:val="99"/>
    <w:semiHidden/>
    <w:unhideWhenUsed/>
    <w:rsid w:val="008F505A"/>
    <w:rPr>
      <w:color w:val="800080" w:themeColor="followedHyperlink"/>
      <w:u w:val="single"/>
    </w:rPr>
  </w:style>
  <w:style w:type="paragraph" w:styleId="EndnoteText">
    <w:name w:val="endnote text"/>
    <w:basedOn w:val="Normal"/>
    <w:link w:val="EndnoteTextChar"/>
    <w:uiPriority w:val="99"/>
    <w:semiHidden/>
    <w:unhideWhenUsed/>
    <w:rsid w:val="008F505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F505A"/>
    <w:rPr>
      <w:sz w:val="20"/>
      <w:szCs w:val="20"/>
    </w:rPr>
  </w:style>
  <w:style w:type="character" w:styleId="EndnoteReference">
    <w:name w:val="endnote reference"/>
    <w:basedOn w:val="DefaultParagraphFont"/>
    <w:uiPriority w:val="99"/>
    <w:semiHidden/>
    <w:unhideWhenUsed/>
    <w:rsid w:val="008F505A"/>
    <w:rPr>
      <w:vertAlign w:val="superscript"/>
    </w:rPr>
  </w:style>
  <w:style w:type="paragraph" w:styleId="FootnoteText">
    <w:name w:val="footnote text"/>
    <w:basedOn w:val="Normal"/>
    <w:link w:val="FootnoteTextChar"/>
    <w:uiPriority w:val="99"/>
    <w:semiHidden/>
    <w:unhideWhenUsed/>
    <w:rsid w:val="008F505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F505A"/>
    <w:rPr>
      <w:sz w:val="20"/>
      <w:szCs w:val="20"/>
    </w:rPr>
  </w:style>
  <w:style w:type="character" w:styleId="FootnoteReference">
    <w:name w:val="footnote reference"/>
    <w:basedOn w:val="DefaultParagraphFont"/>
    <w:uiPriority w:val="99"/>
    <w:semiHidden/>
    <w:unhideWhenUsed/>
    <w:rsid w:val="008F505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3147">
      <w:bodyDiv w:val="1"/>
      <w:marLeft w:val="0"/>
      <w:marRight w:val="0"/>
      <w:marTop w:val="0"/>
      <w:marBottom w:val="0"/>
      <w:divBdr>
        <w:top w:val="none" w:sz="0" w:space="0" w:color="auto"/>
        <w:left w:val="none" w:sz="0" w:space="0" w:color="auto"/>
        <w:bottom w:val="none" w:sz="0" w:space="0" w:color="auto"/>
        <w:right w:val="none" w:sz="0" w:space="0" w:color="auto"/>
      </w:divBdr>
      <w:divsChild>
        <w:div w:id="1184518854">
          <w:marLeft w:val="0"/>
          <w:marRight w:val="0"/>
          <w:marTop w:val="0"/>
          <w:marBottom w:val="0"/>
          <w:divBdr>
            <w:top w:val="none" w:sz="0" w:space="0" w:color="auto"/>
            <w:left w:val="none" w:sz="0" w:space="0" w:color="auto"/>
            <w:bottom w:val="none" w:sz="0" w:space="0" w:color="auto"/>
            <w:right w:val="none" w:sz="0" w:space="0" w:color="auto"/>
          </w:divBdr>
        </w:div>
        <w:div w:id="917253798">
          <w:marLeft w:val="0"/>
          <w:marRight w:val="0"/>
          <w:marTop w:val="0"/>
          <w:marBottom w:val="0"/>
          <w:divBdr>
            <w:top w:val="none" w:sz="0" w:space="0" w:color="auto"/>
            <w:left w:val="none" w:sz="0" w:space="0" w:color="auto"/>
            <w:bottom w:val="none" w:sz="0" w:space="0" w:color="auto"/>
            <w:right w:val="none" w:sz="0" w:space="0" w:color="auto"/>
          </w:divBdr>
          <w:divsChild>
            <w:div w:id="428700591">
              <w:marLeft w:val="0"/>
              <w:marRight w:val="0"/>
              <w:marTop w:val="0"/>
              <w:marBottom w:val="0"/>
              <w:divBdr>
                <w:top w:val="none" w:sz="0" w:space="0" w:color="auto"/>
                <w:left w:val="none" w:sz="0" w:space="0" w:color="auto"/>
                <w:bottom w:val="none" w:sz="0" w:space="0" w:color="auto"/>
                <w:right w:val="none" w:sz="0" w:space="0" w:color="auto"/>
              </w:divBdr>
              <w:divsChild>
                <w:div w:id="2083212557">
                  <w:marLeft w:val="0"/>
                  <w:marRight w:val="0"/>
                  <w:marTop w:val="0"/>
                  <w:marBottom w:val="0"/>
                  <w:divBdr>
                    <w:top w:val="none" w:sz="0" w:space="0" w:color="auto"/>
                    <w:left w:val="none" w:sz="0" w:space="0" w:color="auto"/>
                    <w:bottom w:val="none" w:sz="0" w:space="0" w:color="auto"/>
                    <w:right w:val="none" w:sz="0" w:space="0" w:color="auto"/>
                  </w:divBdr>
                  <w:divsChild>
                    <w:div w:id="36275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954514">
          <w:marLeft w:val="0"/>
          <w:marRight w:val="0"/>
          <w:marTop w:val="0"/>
          <w:marBottom w:val="0"/>
          <w:divBdr>
            <w:top w:val="none" w:sz="0" w:space="0" w:color="auto"/>
            <w:left w:val="none" w:sz="0" w:space="0" w:color="auto"/>
            <w:bottom w:val="none" w:sz="0" w:space="0" w:color="auto"/>
            <w:right w:val="none" w:sz="0" w:space="0" w:color="auto"/>
          </w:divBdr>
          <w:divsChild>
            <w:div w:id="797071344">
              <w:marLeft w:val="0"/>
              <w:marRight w:val="0"/>
              <w:marTop w:val="0"/>
              <w:marBottom w:val="0"/>
              <w:divBdr>
                <w:top w:val="none" w:sz="0" w:space="0" w:color="auto"/>
                <w:left w:val="none" w:sz="0" w:space="0" w:color="auto"/>
                <w:bottom w:val="none" w:sz="0" w:space="0" w:color="auto"/>
                <w:right w:val="none" w:sz="0" w:space="0" w:color="auto"/>
              </w:divBdr>
            </w:div>
          </w:divsChild>
        </w:div>
        <w:div w:id="691106684">
          <w:marLeft w:val="0"/>
          <w:marRight w:val="0"/>
          <w:marTop w:val="0"/>
          <w:marBottom w:val="0"/>
          <w:divBdr>
            <w:top w:val="none" w:sz="0" w:space="0" w:color="auto"/>
            <w:left w:val="none" w:sz="0" w:space="0" w:color="auto"/>
            <w:bottom w:val="none" w:sz="0" w:space="0" w:color="auto"/>
            <w:right w:val="none" w:sz="0" w:space="0" w:color="auto"/>
          </w:divBdr>
        </w:div>
      </w:divsChild>
    </w:div>
    <w:div w:id="898243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B5A1C-96D7-49FD-9F4A-7AF88E4E5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7</Pages>
  <Words>2142</Words>
  <Characters>12216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zahra kianifar</dc:creator>
  <cp:lastModifiedBy>م</cp:lastModifiedBy>
  <cp:revision>6</cp:revision>
  <dcterms:created xsi:type="dcterms:W3CDTF">2025-01-13T05:37:00Z</dcterms:created>
  <dcterms:modified xsi:type="dcterms:W3CDTF">2025-01-13T06:33:00Z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2fcfc5d684248c87d2878048e1ffd73c29821953e145dbbd56ad4575349e5843</vt:lpwstr>
  </property>
</Properties>
</file>