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777B1" w:rsidRDefault="00D777B1">
      <w:pPr>
        <w:pStyle w:val="Normal1"/>
        <w:shd w:val="clear" w:color="auto" w:fill="FFFFFF"/>
        <w:spacing w:before="120" w:after="0" w:line="240" w:lineRule="auto"/>
        <w:ind w:left="4248" w:right="6" w:firstLine="708"/>
        <w:jc w:val="both"/>
        <w:rPr>
          <w:rFonts w:ascii="Arial" w:eastAsia="Arial" w:hAnsi="Arial" w:cs="Arial"/>
          <w:b/>
          <w:color w:val="222222"/>
        </w:rPr>
      </w:pPr>
      <w:bookmarkStart w:id="0" w:name="_GoBack"/>
      <w:bookmarkEnd w:id="0"/>
    </w:p>
    <w:p w:rsidR="00D777B1" w:rsidRPr="0038476D" w:rsidRDefault="00416819">
      <w:pPr>
        <w:pStyle w:val="Normal1"/>
        <w:shd w:val="clear" w:color="auto" w:fill="FFFFFF"/>
        <w:spacing w:before="120" w:after="0" w:line="240" w:lineRule="auto"/>
        <w:ind w:left="4248" w:right="6" w:firstLine="708"/>
        <w:jc w:val="both"/>
        <w:rPr>
          <w:rFonts w:ascii="Arial" w:eastAsia="Arial" w:hAnsi="Arial" w:cs="Arial"/>
          <w:b/>
          <w:color w:val="222222"/>
          <w:lang w:val="en-GB"/>
        </w:rPr>
      </w:pPr>
      <w:r w:rsidRPr="0038476D">
        <w:rPr>
          <w:rFonts w:ascii="Arial" w:eastAsia="Arial" w:hAnsi="Arial" w:cs="Arial"/>
          <w:b/>
          <w:color w:val="222222"/>
          <w:lang w:val="en-GB"/>
        </w:rPr>
        <w:t>Montevideo, May 6th, 2017</w:t>
      </w:r>
    </w:p>
    <w:p w:rsidR="00D777B1" w:rsidRPr="0038476D" w:rsidRDefault="00D777B1">
      <w:pPr>
        <w:pStyle w:val="Normal1"/>
        <w:spacing w:before="100" w:after="100" w:line="240" w:lineRule="auto"/>
        <w:jc w:val="both"/>
        <w:rPr>
          <w:rFonts w:ascii="Arial" w:eastAsia="Arial" w:hAnsi="Arial" w:cs="Arial"/>
          <w:color w:val="222222"/>
          <w:lang w:val="en-GB"/>
        </w:rPr>
      </w:pPr>
    </w:p>
    <w:p w:rsidR="00D777B1" w:rsidRPr="0038476D" w:rsidRDefault="00A122DA">
      <w:pPr>
        <w:pStyle w:val="Normal1"/>
        <w:spacing w:before="100" w:after="100" w:line="240" w:lineRule="auto"/>
        <w:jc w:val="both"/>
        <w:rPr>
          <w:rFonts w:ascii="Arial" w:eastAsia="Arial" w:hAnsi="Arial" w:cs="Arial"/>
          <w:color w:val="222222"/>
          <w:lang w:val="en-GB"/>
        </w:rPr>
      </w:pPr>
      <w:r w:rsidRPr="0038476D">
        <w:rPr>
          <w:rFonts w:ascii="Arial" w:eastAsia="Arial" w:hAnsi="Arial" w:cs="Arial"/>
          <w:color w:val="222222"/>
          <w:lang w:val="en-GB"/>
        </w:rPr>
        <w:t xml:space="preserve">Alternative Report of </w:t>
      </w:r>
      <w:r w:rsidR="00416819" w:rsidRPr="0038476D">
        <w:rPr>
          <w:rFonts w:ascii="Arial" w:eastAsia="Arial" w:hAnsi="Arial" w:cs="Arial"/>
          <w:color w:val="222222"/>
          <w:lang w:val="en-GB"/>
        </w:rPr>
        <w:t>the Committee on the Rights of the Child of Uruguay to the</w:t>
      </w:r>
    </w:p>
    <w:p w:rsidR="00D777B1" w:rsidRPr="0038476D" w:rsidRDefault="00416819">
      <w:pPr>
        <w:pStyle w:val="Normal1"/>
        <w:spacing w:before="100" w:after="100" w:line="240" w:lineRule="auto"/>
        <w:jc w:val="both"/>
        <w:rPr>
          <w:rFonts w:ascii="Arial" w:eastAsia="Arial" w:hAnsi="Arial" w:cs="Arial"/>
          <w:color w:val="222222"/>
          <w:lang w:val="en-GB"/>
        </w:rPr>
      </w:pPr>
      <w:r w:rsidRPr="0038476D">
        <w:rPr>
          <w:rFonts w:ascii="Arial" w:eastAsia="Arial" w:hAnsi="Arial" w:cs="Arial"/>
          <w:color w:val="222222"/>
          <w:lang w:val="en-GB"/>
        </w:rPr>
        <w:t>61st Session of the Committee on Economic, Social and Cultural Rights - CESCR (29th May to 23rd June, 2017)</w:t>
      </w:r>
    </w:p>
    <w:p w:rsidR="00D777B1" w:rsidRPr="0038476D" w:rsidRDefault="00416819">
      <w:pPr>
        <w:pStyle w:val="Normal1"/>
        <w:spacing w:before="100" w:after="100" w:line="240" w:lineRule="auto"/>
        <w:jc w:val="both"/>
        <w:rPr>
          <w:rFonts w:ascii="Arial" w:eastAsia="Arial" w:hAnsi="Arial" w:cs="Arial"/>
          <w:color w:val="222222"/>
          <w:lang w:val="en-GB"/>
        </w:rPr>
      </w:pPr>
      <w:r w:rsidRPr="0038476D">
        <w:rPr>
          <w:rFonts w:ascii="Arial" w:eastAsia="Arial" w:hAnsi="Arial" w:cs="Arial"/>
          <w:color w:val="222222"/>
          <w:lang w:val="en-GB"/>
        </w:rPr>
        <w:t xml:space="preserve"> </w:t>
      </w:r>
    </w:p>
    <w:p w:rsidR="00D777B1" w:rsidRPr="0038476D" w:rsidRDefault="00416819">
      <w:pPr>
        <w:pStyle w:val="Normal1"/>
        <w:spacing w:before="100" w:after="100" w:line="240" w:lineRule="auto"/>
        <w:jc w:val="both"/>
        <w:rPr>
          <w:rFonts w:ascii="Arial" w:eastAsia="Arial" w:hAnsi="Arial" w:cs="Arial"/>
          <w:color w:val="222222"/>
          <w:lang w:val="en-GB"/>
        </w:rPr>
      </w:pPr>
      <w:r w:rsidRPr="0038476D">
        <w:rPr>
          <w:rFonts w:ascii="Arial" w:eastAsia="Arial" w:hAnsi="Arial" w:cs="Arial"/>
          <w:color w:val="222222"/>
          <w:lang w:val="en-GB"/>
        </w:rPr>
        <w:t>The Committee on the Rights of the Child is a coalition of over 20 nongovernmental, social and cultural organizations created in 1991, following the ratification by our country of the International Convention on the Rights of the Child. The Convention, in the Articles 43, 44 and 45, stipulated the formation of an International Committee on the Rights of the Child, working under the umbrella of the United Nations, whose role is to receive information from all the countries that have ratified it, in order to identify the real situation of the rights of children and adolescents. Our main task is making a thorough followup in terms of the respect observed for the rights of children and adolescents, as well as preserving the achievements achieved for the advancement of the same, along with the defense of possible legal, political and social decline achieved in this area.</w:t>
      </w:r>
    </w:p>
    <w:p w:rsidR="00D777B1" w:rsidRPr="0038476D" w:rsidRDefault="00D777B1">
      <w:pPr>
        <w:pStyle w:val="Normal1"/>
        <w:shd w:val="clear" w:color="auto" w:fill="FFFFFF"/>
        <w:spacing w:before="120" w:after="0" w:line="240" w:lineRule="auto"/>
        <w:ind w:right="6"/>
        <w:jc w:val="both"/>
        <w:rPr>
          <w:rFonts w:ascii="Arial" w:eastAsia="Arial" w:hAnsi="Arial" w:cs="Arial"/>
          <w:b/>
          <w:color w:val="222222"/>
          <w:lang w:val="en-GB"/>
        </w:rPr>
      </w:pPr>
    </w:p>
    <w:p w:rsidR="00D777B1" w:rsidRPr="0038476D" w:rsidRDefault="00416819">
      <w:pPr>
        <w:pStyle w:val="Normal1"/>
        <w:shd w:val="clear" w:color="auto" w:fill="FFFFFF"/>
        <w:spacing w:before="120" w:after="0" w:line="240" w:lineRule="auto"/>
        <w:ind w:right="6"/>
        <w:jc w:val="both"/>
        <w:rPr>
          <w:rFonts w:ascii="Arial" w:eastAsia="Arial" w:hAnsi="Arial" w:cs="Arial"/>
          <w:b/>
          <w:color w:val="222222"/>
          <w:lang w:val="en-GB"/>
        </w:rPr>
      </w:pPr>
      <w:proofErr w:type="gramStart"/>
      <w:r w:rsidRPr="0038476D">
        <w:rPr>
          <w:rFonts w:ascii="Arial" w:eastAsia="Arial" w:hAnsi="Arial" w:cs="Arial"/>
          <w:b/>
          <w:color w:val="222222"/>
          <w:lang w:val="en-GB"/>
        </w:rPr>
        <w:t>Situation of Children in Uruguay in relation to the CESCR.</w:t>
      </w:r>
      <w:proofErr w:type="gramEnd"/>
    </w:p>
    <w:p w:rsidR="00D777B1" w:rsidRPr="0038476D" w:rsidRDefault="00416819">
      <w:pPr>
        <w:pStyle w:val="Normal1"/>
        <w:shd w:val="clear" w:color="auto" w:fill="FFFFFF"/>
        <w:spacing w:before="120" w:after="0" w:line="240" w:lineRule="auto"/>
        <w:ind w:right="6"/>
        <w:jc w:val="both"/>
        <w:rPr>
          <w:rFonts w:ascii="Arial" w:eastAsia="Arial" w:hAnsi="Arial" w:cs="Arial"/>
          <w:color w:val="222222"/>
          <w:sz w:val="19"/>
          <w:szCs w:val="19"/>
          <w:lang w:val="en-GB"/>
        </w:rPr>
      </w:pPr>
      <w:r w:rsidRPr="0038476D">
        <w:rPr>
          <w:rFonts w:ascii="Arial" w:eastAsia="Arial" w:hAnsi="Arial" w:cs="Arial"/>
          <w:color w:val="222222"/>
          <w:lang w:val="en-GB"/>
        </w:rPr>
        <w:t>While in the last ten years the indicators related to general living conditions of Uruguayans have shown a marked improvement, the situation, as it refers to Children and Adolescents is still a pending matter.</w:t>
      </w:r>
    </w:p>
    <w:p w:rsidR="00D777B1" w:rsidRPr="0038476D" w:rsidRDefault="00D777B1">
      <w:pPr>
        <w:pStyle w:val="Normal1"/>
        <w:shd w:val="clear" w:color="auto" w:fill="FFFFFF"/>
        <w:spacing w:before="120" w:after="0" w:line="240" w:lineRule="auto"/>
        <w:ind w:right="6"/>
        <w:jc w:val="both"/>
        <w:rPr>
          <w:rFonts w:ascii="Arial" w:eastAsia="Arial" w:hAnsi="Arial" w:cs="Arial"/>
          <w:color w:val="222222"/>
          <w:lang w:val="en-GB"/>
        </w:rPr>
      </w:pPr>
    </w:p>
    <w:p w:rsidR="00D777B1" w:rsidRPr="0038476D" w:rsidRDefault="00416819">
      <w:pPr>
        <w:pStyle w:val="Normal1"/>
        <w:shd w:val="clear" w:color="auto" w:fill="FFFFFF"/>
        <w:spacing w:before="120" w:after="0" w:line="240" w:lineRule="auto"/>
        <w:ind w:right="6"/>
        <w:jc w:val="both"/>
        <w:rPr>
          <w:rFonts w:ascii="Arial" w:eastAsia="Arial" w:hAnsi="Arial" w:cs="Arial"/>
          <w:b/>
          <w:color w:val="222222"/>
          <w:lang w:val="en-GB"/>
        </w:rPr>
      </w:pPr>
      <w:r w:rsidRPr="0038476D">
        <w:rPr>
          <w:rFonts w:ascii="Arial" w:eastAsia="Arial" w:hAnsi="Arial" w:cs="Arial"/>
          <w:b/>
          <w:color w:val="222222"/>
          <w:lang w:val="en-GB"/>
        </w:rPr>
        <w:t>Poverty.</w:t>
      </w:r>
    </w:p>
    <w:p w:rsidR="00D777B1" w:rsidRPr="0038476D" w:rsidRDefault="00416819">
      <w:pPr>
        <w:pStyle w:val="Normal1"/>
        <w:shd w:val="clear" w:color="auto" w:fill="FFFFFF"/>
        <w:spacing w:before="120" w:after="0" w:line="240" w:lineRule="auto"/>
        <w:ind w:right="6"/>
        <w:jc w:val="both"/>
        <w:rPr>
          <w:rFonts w:ascii="Arial" w:eastAsia="Arial" w:hAnsi="Arial" w:cs="Arial"/>
          <w:color w:val="222222"/>
          <w:lang w:val="en-GB"/>
        </w:rPr>
      </w:pPr>
      <w:r w:rsidRPr="0038476D">
        <w:rPr>
          <w:rFonts w:ascii="Arial" w:eastAsia="Arial" w:hAnsi="Arial" w:cs="Arial"/>
          <w:color w:val="222222"/>
          <w:lang w:val="en-GB"/>
        </w:rPr>
        <w:t>According to data released in 2016 by the State of the World’s Children (</w:t>
      </w:r>
      <w:proofErr w:type="gramStart"/>
      <w:r w:rsidRPr="0038476D">
        <w:rPr>
          <w:rFonts w:ascii="Arial" w:eastAsia="Arial" w:hAnsi="Arial" w:cs="Arial"/>
          <w:color w:val="222222"/>
          <w:lang w:val="en-GB"/>
        </w:rPr>
        <w:t>Unicef</w:t>
      </w:r>
      <w:proofErr w:type="gramEnd"/>
      <w:r w:rsidRPr="0038476D">
        <w:rPr>
          <w:rFonts w:ascii="Arial" w:eastAsia="Arial" w:hAnsi="Arial" w:cs="Arial"/>
          <w:color w:val="222222"/>
          <w:lang w:val="en-GB"/>
        </w:rPr>
        <w:t>), 18 out of a 100 Uruguayan children reside in households living below the poverty line, when only considering the threshold set by monetary income</w:t>
      </w:r>
      <w:r>
        <w:rPr>
          <w:rFonts w:ascii="Arial" w:eastAsia="Arial" w:hAnsi="Arial" w:cs="Arial"/>
          <w:color w:val="222222"/>
          <w:vertAlign w:val="superscript"/>
        </w:rPr>
        <w:footnoteReference w:id="1"/>
      </w:r>
      <w:r w:rsidRPr="0038476D">
        <w:rPr>
          <w:rFonts w:ascii="Arial" w:eastAsia="Arial" w:hAnsi="Arial" w:cs="Arial"/>
          <w:color w:val="222222"/>
          <w:lang w:val="en-GB"/>
        </w:rPr>
        <w:t>. Nevertheless, the latter gains relevance when considering the Multidimensional Poverty Index</w:t>
      </w:r>
      <w:bookmarkStart w:id="1" w:name="gjdgxs" w:colFirst="0" w:colLast="0"/>
      <w:bookmarkEnd w:id="1"/>
      <w:r>
        <w:rPr>
          <w:rFonts w:ascii="Arial" w:eastAsia="Arial" w:hAnsi="Arial" w:cs="Arial"/>
          <w:color w:val="222222"/>
          <w:vertAlign w:val="superscript"/>
        </w:rPr>
        <w:footnoteReference w:id="2"/>
      </w:r>
      <w:r w:rsidRPr="0038476D">
        <w:rPr>
          <w:rFonts w:ascii="Arial" w:eastAsia="Arial" w:hAnsi="Arial" w:cs="Arial"/>
          <w:color w:val="222222"/>
          <w:lang w:val="en-GB"/>
        </w:rPr>
        <w:t xml:space="preserve">: up to 2014, 36 out of every 100 Uruguayan children had at least one deprivation, either of a material nature, in their access to health, or the possibility of accessing to formal education. This situation is even more worrying when studying the gap of this indicator by geographical area of residence, and/or ethnic-racial descent. Only taking into account the latest indicators for 2016, afro-descendant children living in households below the poverty </w:t>
      </w:r>
      <w:r w:rsidRPr="0038476D">
        <w:rPr>
          <w:rFonts w:ascii="Arial" w:eastAsia="Arial" w:hAnsi="Arial" w:cs="Arial"/>
          <w:color w:val="222222"/>
          <w:lang w:val="en-GB"/>
        </w:rPr>
        <w:lastRenderedPageBreak/>
        <w:t>line doubled the number of their non afro-descendant peers</w:t>
      </w:r>
      <w:r>
        <w:rPr>
          <w:rFonts w:ascii="Arial" w:eastAsia="Arial" w:hAnsi="Arial" w:cs="Arial"/>
          <w:color w:val="222222"/>
          <w:vertAlign w:val="superscript"/>
        </w:rPr>
        <w:footnoteReference w:id="3"/>
      </w:r>
      <w:r w:rsidRPr="0038476D">
        <w:rPr>
          <w:rFonts w:ascii="Arial" w:eastAsia="Arial" w:hAnsi="Arial" w:cs="Arial"/>
          <w:color w:val="222222"/>
          <w:lang w:val="en-GB"/>
        </w:rPr>
        <w:t>. The vulnerability of this population is further accentuated when considering the great inequality that exists within different age gaps. According to data published by the Ministry of Social Development in its 2015 report "Monitoring the situation of children in Uruguay"; from an economic point of view, 6 out of 10 adolescents between the ages of 14 and 17 are living in the most relegated households (1 and 2 quintiles of income). Meanwhile, according to data compiled by the National Statistical Institute in the last National Census (2011), poverty is even more acute among children and adolescents than in adults. As the average age of the individual progresses this is reduced progressively and considerably.</w:t>
      </w:r>
    </w:p>
    <w:p w:rsidR="00D777B1" w:rsidRPr="0038476D" w:rsidRDefault="00D777B1">
      <w:pPr>
        <w:pStyle w:val="Normal1"/>
        <w:shd w:val="clear" w:color="auto" w:fill="FFFFFF"/>
        <w:spacing w:before="120" w:after="0" w:line="240" w:lineRule="auto"/>
        <w:ind w:right="6"/>
        <w:jc w:val="both"/>
        <w:rPr>
          <w:rFonts w:ascii="Arial" w:eastAsia="Arial" w:hAnsi="Arial" w:cs="Arial"/>
          <w:color w:val="222222"/>
          <w:lang w:val="en-GB"/>
        </w:rPr>
      </w:pPr>
    </w:p>
    <w:p w:rsidR="00D777B1" w:rsidRPr="0038476D" w:rsidRDefault="00416819">
      <w:pPr>
        <w:pStyle w:val="Normal1"/>
        <w:shd w:val="clear" w:color="auto" w:fill="FFFFFF"/>
        <w:spacing w:before="120" w:after="0" w:line="240" w:lineRule="auto"/>
        <w:ind w:right="6"/>
        <w:jc w:val="both"/>
        <w:rPr>
          <w:rFonts w:ascii="Arial" w:eastAsia="Arial" w:hAnsi="Arial" w:cs="Arial"/>
          <w:b/>
          <w:color w:val="222222"/>
          <w:lang w:val="en-GB"/>
        </w:rPr>
      </w:pPr>
      <w:r w:rsidRPr="0038476D">
        <w:rPr>
          <w:rFonts w:ascii="Arial" w:eastAsia="Arial" w:hAnsi="Arial" w:cs="Arial"/>
          <w:b/>
          <w:color w:val="222222"/>
          <w:lang w:val="en-GB"/>
        </w:rPr>
        <w:t>Education.</w:t>
      </w:r>
    </w:p>
    <w:p w:rsidR="00D777B1" w:rsidRPr="0038476D" w:rsidRDefault="00416819">
      <w:pPr>
        <w:pStyle w:val="Normal1"/>
        <w:shd w:val="clear" w:color="auto" w:fill="FFFFFF"/>
        <w:spacing w:before="120" w:after="0" w:line="240" w:lineRule="auto"/>
        <w:ind w:right="6"/>
        <w:jc w:val="both"/>
        <w:rPr>
          <w:rFonts w:ascii="Arial" w:eastAsia="Arial" w:hAnsi="Arial" w:cs="Arial"/>
          <w:color w:val="222222"/>
          <w:lang w:val="en-GB"/>
        </w:rPr>
      </w:pPr>
      <w:r w:rsidRPr="0038476D">
        <w:rPr>
          <w:rFonts w:ascii="Arial" w:eastAsia="Arial" w:hAnsi="Arial" w:cs="Arial"/>
          <w:color w:val="222222"/>
          <w:lang w:val="en-GB"/>
        </w:rPr>
        <w:t xml:space="preserve">Concurrently, and according to what’s stated in the State of the World’s Children (UNICEF), educational inequality when expressed in access, and level of schooling for Uruguayan children and adolescents shows a wide gap of inequity according to their socioeconomic background. Regarding access, and according to data released by the Evaluation and Monitoring Directorate of MIDES, in 2014, 32% of adolescents between the ages of 15 and 17 belonging to the most vulnerable quintile did not attend the education system, while this figure rose to 40% when considering those adolescents whose assistance was insufficient. Likewise, completion levels of primary and secondary education according to their household’s monetary income are rather telling. The percentage of children and adolescents coming from the most favorable contexts (located in the highest income quintile) completing this basic level of education doubles the numbers of their peers coming from less favorable contexts (lowest quintile of income). This gap is even larger in the upper secondary school, where only 10.9% of lower income children and adolescents complete this level of </w:t>
      </w:r>
      <w:proofErr w:type="gramStart"/>
      <w:r w:rsidRPr="0038476D">
        <w:rPr>
          <w:rFonts w:ascii="Arial" w:eastAsia="Arial" w:hAnsi="Arial" w:cs="Arial"/>
          <w:color w:val="222222"/>
          <w:lang w:val="en-GB"/>
        </w:rPr>
        <w:t>education ,a</w:t>
      </w:r>
      <w:proofErr w:type="gramEnd"/>
      <w:r w:rsidRPr="0038476D">
        <w:rPr>
          <w:rFonts w:ascii="Arial" w:eastAsia="Arial" w:hAnsi="Arial" w:cs="Arial"/>
          <w:color w:val="222222"/>
          <w:lang w:val="en-GB"/>
        </w:rPr>
        <w:t xml:space="preserve"> figure that rises to 70.9% among the top quintile. Additionally, among children and adolescents enrolled in secondary education, the evaluation cycles from the Program for International Student Assessment (PISA) have shown throughout the evaluated period (2003-2015) a sustained inequality gap in learning between children and adolescents from different social backgrounds (2015 PISA Report</w:t>
      </w:r>
      <w:r>
        <w:rPr>
          <w:rFonts w:ascii="Arial" w:eastAsia="Arial" w:hAnsi="Arial" w:cs="Arial"/>
          <w:color w:val="222222"/>
          <w:vertAlign w:val="superscript"/>
        </w:rPr>
        <w:footnoteReference w:id="4"/>
      </w:r>
      <w:r w:rsidRPr="0038476D">
        <w:rPr>
          <w:rFonts w:ascii="Arial" w:eastAsia="Arial" w:hAnsi="Arial" w:cs="Arial"/>
          <w:color w:val="222222"/>
          <w:lang w:val="en-GB"/>
        </w:rPr>
        <w:t xml:space="preserve">.) </w:t>
      </w:r>
    </w:p>
    <w:p w:rsidR="00D777B1" w:rsidRPr="0038476D" w:rsidRDefault="00D777B1">
      <w:pPr>
        <w:pStyle w:val="Normal1"/>
        <w:shd w:val="clear" w:color="auto" w:fill="FFFFFF"/>
        <w:spacing w:before="120" w:after="0" w:line="240" w:lineRule="auto"/>
        <w:ind w:right="6"/>
        <w:jc w:val="both"/>
        <w:rPr>
          <w:rFonts w:ascii="Arial" w:eastAsia="Arial" w:hAnsi="Arial" w:cs="Arial"/>
          <w:color w:val="222222"/>
          <w:lang w:val="en-GB"/>
        </w:rPr>
      </w:pPr>
    </w:p>
    <w:p w:rsidR="00D777B1" w:rsidRPr="0038476D" w:rsidRDefault="00416819">
      <w:pPr>
        <w:pStyle w:val="Normal1"/>
        <w:shd w:val="clear" w:color="auto" w:fill="FFFFFF"/>
        <w:spacing w:before="120" w:after="0" w:line="240" w:lineRule="auto"/>
        <w:ind w:right="6"/>
        <w:jc w:val="both"/>
        <w:rPr>
          <w:rFonts w:ascii="Arial" w:eastAsia="Arial" w:hAnsi="Arial" w:cs="Arial"/>
          <w:b/>
          <w:color w:val="222222"/>
          <w:sz w:val="19"/>
          <w:szCs w:val="19"/>
          <w:lang w:val="en-GB"/>
        </w:rPr>
      </w:pPr>
      <w:proofErr w:type="gramStart"/>
      <w:r w:rsidRPr="0038476D">
        <w:rPr>
          <w:rFonts w:ascii="Arial" w:eastAsia="Arial" w:hAnsi="Arial" w:cs="Arial"/>
          <w:b/>
          <w:color w:val="222222"/>
          <w:lang w:val="en-GB"/>
        </w:rPr>
        <w:t>Right to family life, right to housing, and institutionalization.</w:t>
      </w:r>
      <w:proofErr w:type="gramEnd"/>
    </w:p>
    <w:p w:rsidR="00D777B1" w:rsidRPr="0038476D" w:rsidRDefault="00416819">
      <w:pPr>
        <w:pStyle w:val="Normal1"/>
        <w:shd w:val="clear" w:color="auto" w:fill="FFFFFF"/>
        <w:spacing w:after="0" w:line="240" w:lineRule="auto"/>
        <w:jc w:val="both"/>
        <w:rPr>
          <w:rFonts w:ascii="Arial" w:eastAsia="Arial" w:hAnsi="Arial" w:cs="Arial"/>
          <w:i/>
          <w:color w:val="222222"/>
          <w:lang w:val="en-GB"/>
        </w:rPr>
      </w:pPr>
      <w:r w:rsidRPr="0038476D">
        <w:rPr>
          <w:rFonts w:ascii="Arial" w:eastAsia="Arial" w:hAnsi="Arial" w:cs="Arial"/>
          <w:color w:val="222222"/>
          <w:lang w:val="en-GB"/>
        </w:rPr>
        <w:br/>
        <w:t xml:space="preserve">Our country has one of the highest rates of institutionalization of children in the region, according to data from UNICEF </w:t>
      </w:r>
      <w:r w:rsidRPr="0038476D">
        <w:rPr>
          <w:rFonts w:ascii="Arial" w:eastAsia="Arial" w:hAnsi="Arial" w:cs="Arial"/>
          <w:i/>
          <w:color w:val="222222"/>
          <w:lang w:val="en-GB"/>
        </w:rPr>
        <w:t>"Within the region, Uruguay is the country with the highest rate of institutionalized children and adolescents. According to 2013 information from UNICEF, proportionally, Uruguay has almost seven times more children residing in institutions than Brazil, four-fold the number in Paraguay, three times more than Argentina, and almost double the amount than Chile</w:t>
      </w:r>
      <w:r>
        <w:rPr>
          <w:rFonts w:ascii="Arial" w:eastAsia="Arial" w:hAnsi="Arial" w:cs="Arial"/>
          <w:color w:val="222222"/>
          <w:vertAlign w:val="superscript"/>
        </w:rPr>
        <w:footnoteReference w:id="5"/>
      </w:r>
      <w:r w:rsidRPr="0038476D">
        <w:rPr>
          <w:rFonts w:ascii="Arial" w:eastAsia="Arial" w:hAnsi="Arial" w:cs="Arial"/>
          <w:i/>
          <w:color w:val="222222"/>
          <w:lang w:val="en-GB"/>
        </w:rPr>
        <w:t>."</w:t>
      </w:r>
    </w:p>
    <w:p w:rsidR="00D777B1" w:rsidRPr="0038476D" w:rsidRDefault="00D777B1">
      <w:pPr>
        <w:pStyle w:val="Normal1"/>
        <w:shd w:val="clear" w:color="auto" w:fill="FFFFFF"/>
        <w:spacing w:after="0" w:line="240" w:lineRule="auto"/>
        <w:jc w:val="both"/>
        <w:rPr>
          <w:rFonts w:ascii="Arial" w:eastAsia="Arial" w:hAnsi="Arial" w:cs="Arial"/>
          <w:color w:val="222222"/>
          <w:lang w:val="en-GB"/>
        </w:rPr>
      </w:pPr>
    </w:p>
    <w:p w:rsidR="00D777B1" w:rsidRPr="0038476D" w:rsidRDefault="00416819">
      <w:pPr>
        <w:pStyle w:val="Normal1"/>
        <w:shd w:val="clear" w:color="auto" w:fill="FFFFFF"/>
        <w:spacing w:after="0" w:line="240" w:lineRule="auto"/>
        <w:jc w:val="both"/>
        <w:rPr>
          <w:rFonts w:ascii="Arial" w:eastAsia="Arial" w:hAnsi="Arial" w:cs="Arial"/>
          <w:color w:val="222222"/>
          <w:lang w:val="en-GB"/>
        </w:rPr>
      </w:pPr>
      <w:bookmarkStart w:id="2" w:name="_1fob9te" w:colFirst="0" w:colLast="0"/>
      <w:bookmarkEnd w:id="2"/>
      <w:r w:rsidRPr="0038476D">
        <w:rPr>
          <w:rFonts w:ascii="Arial" w:eastAsia="Arial" w:hAnsi="Arial" w:cs="Arial"/>
          <w:color w:val="222222"/>
          <w:lang w:val="en-GB"/>
        </w:rPr>
        <w:t xml:space="preserve">To reinforce the heavy weight of institutionalization of children, we leave you with one of several complaints we’ve received, from a family who lost their housing because of weather factors, the State, through MIDES (Ministry of Social Development,) proposed separating the family, offering institutionalizing the children, sending the mother to a women’s shelter, while the father was sent to a male’s shelter. Undoubtedly, this kind of policies, that ignore the human right to housing, and propose dismantling the core of a family life are diametrically opposed to a state that cares for its people. </w:t>
      </w:r>
    </w:p>
    <w:sectPr w:rsidR="00D777B1" w:rsidRPr="0038476D" w:rsidSect="00D777B1">
      <w:headerReference w:type="default" r:id="rId7"/>
      <w:footerReference w:type="default" r:id="rId8"/>
      <w:pgSz w:w="11906" w:h="16838"/>
      <w:pgMar w:top="1417" w:right="1701" w:bottom="1417" w:left="1701"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819" w:rsidRDefault="00416819" w:rsidP="00D777B1">
      <w:pPr>
        <w:spacing w:after="0" w:line="240" w:lineRule="auto"/>
      </w:pPr>
      <w:r>
        <w:separator/>
      </w:r>
    </w:p>
  </w:endnote>
  <w:endnote w:type="continuationSeparator" w:id="0">
    <w:p w:rsidR="00416819" w:rsidRDefault="00416819" w:rsidP="00D77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7B1" w:rsidRDefault="00D777B1">
    <w:pPr>
      <w:pStyle w:val="Normal1"/>
      <w:tabs>
        <w:tab w:val="center" w:pos="4252"/>
        <w:tab w:val="right" w:pos="8504"/>
      </w:tabs>
      <w:spacing w:after="0" w:line="240" w:lineRule="auto"/>
      <w:jc w:val="center"/>
    </w:pPr>
  </w:p>
  <w:p w:rsidR="00D777B1" w:rsidRDefault="0038476D">
    <w:pPr>
      <w:pStyle w:val="Normal1"/>
      <w:tabs>
        <w:tab w:val="center" w:pos="4252"/>
        <w:tab w:val="right" w:pos="8504"/>
      </w:tabs>
      <w:spacing w:after="0" w:line="240" w:lineRule="auto"/>
      <w:jc w:val="center"/>
      <w:rPr>
        <w:b/>
        <w:color w:val="FF6600"/>
      </w:rPr>
    </w:pPr>
    <w:hyperlink r:id="rId1">
      <w:r w:rsidR="00416819">
        <w:rPr>
          <w:b/>
          <w:color w:val="0000FF"/>
          <w:u w:val="single"/>
        </w:rPr>
        <w:t>www.comitednu.org</w:t>
      </w:r>
    </w:hyperlink>
  </w:p>
  <w:p w:rsidR="00D777B1" w:rsidRDefault="00416819">
    <w:pPr>
      <w:pStyle w:val="Normal1"/>
      <w:tabs>
        <w:tab w:val="center" w:pos="4252"/>
        <w:tab w:val="right" w:pos="8504"/>
      </w:tabs>
      <w:spacing w:after="0" w:line="240" w:lineRule="auto"/>
      <w:jc w:val="center"/>
      <w:rPr>
        <w:b/>
        <w:sz w:val="16"/>
        <w:szCs w:val="16"/>
      </w:rPr>
    </w:pPr>
    <w:r>
      <w:rPr>
        <w:b/>
        <w:sz w:val="16"/>
        <w:szCs w:val="16"/>
      </w:rPr>
      <w:t>Plaza Independencia 1376 piso 8</w:t>
    </w:r>
  </w:p>
  <w:p w:rsidR="00D777B1" w:rsidRDefault="00416819">
    <w:pPr>
      <w:pStyle w:val="Normal1"/>
      <w:tabs>
        <w:tab w:val="center" w:pos="4252"/>
        <w:tab w:val="right" w:pos="8504"/>
      </w:tabs>
      <w:spacing w:after="0" w:line="240" w:lineRule="auto"/>
      <w:jc w:val="center"/>
      <w:rPr>
        <w:b/>
        <w:sz w:val="16"/>
        <w:szCs w:val="16"/>
      </w:rPr>
    </w:pPr>
    <w:r>
      <w:rPr>
        <w:b/>
        <w:sz w:val="16"/>
        <w:szCs w:val="16"/>
      </w:rPr>
      <w:t xml:space="preserve"> (+598) 29087803</w:t>
    </w:r>
  </w:p>
  <w:p w:rsidR="00D777B1" w:rsidRDefault="00D777B1">
    <w:pPr>
      <w:pStyle w:val="Normal1"/>
      <w:tabs>
        <w:tab w:val="center" w:pos="4252"/>
        <w:tab w:val="right" w:pos="8504"/>
      </w:tabs>
      <w:spacing w:after="0" w:line="240" w:lineRule="auto"/>
      <w:rPr>
        <w:sz w:val="16"/>
        <w:szCs w:val="16"/>
      </w:rPr>
    </w:pPr>
  </w:p>
  <w:p w:rsidR="00D777B1" w:rsidRDefault="00416819">
    <w:pPr>
      <w:pStyle w:val="Normal1"/>
      <w:tabs>
        <w:tab w:val="center" w:pos="4252"/>
        <w:tab w:val="right" w:pos="8504"/>
      </w:tabs>
      <w:spacing w:after="0" w:line="240" w:lineRule="auto"/>
      <w:rPr>
        <w:sz w:val="16"/>
        <w:szCs w:val="16"/>
      </w:rPr>
    </w:pPr>
    <w:r>
      <w:rPr>
        <w:noProof/>
        <w:lang w:val="en-GB" w:eastAsia="en-GB"/>
      </w:rPr>
      <w:drawing>
        <wp:inline distT="0" distB="0" distL="0" distR="0">
          <wp:extent cx="190500" cy="190500"/>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
                  <a:srcRect/>
                  <a:stretch>
                    <a:fillRect/>
                  </a:stretch>
                </pic:blipFill>
                <pic:spPr>
                  <a:xfrm>
                    <a:off x="0" y="0"/>
                    <a:ext cx="190500" cy="190500"/>
                  </a:xfrm>
                  <a:prstGeom prst="rect">
                    <a:avLst/>
                  </a:prstGeom>
                  <a:ln/>
                </pic:spPr>
              </pic:pic>
            </a:graphicData>
          </a:graphic>
        </wp:inline>
      </w:drawing>
    </w:r>
    <w:r>
      <w:rPr>
        <w:b/>
        <w:sz w:val="16"/>
        <w:szCs w:val="16"/>
      </w:rPr>
      <w:t>https://www.facebook.com/pages/Comité-de-los-Derechos-del-Niño-del-Uruguay</w:t>
    </w:r>
    <w:r>
      <w:rPr>
        <w:sz w:val="16"/>
        <w:szCs w:val="16"/>
      </w:rPr>
      <w:t xml:space="preserve"> </w:t>
    </w:r>
  </w:p>
  <w:p w:rsidR="00D777B1" w:rsidRDefault="00416819">
    <w:pPr>
      <w:pStyle w:val="Normal1"/>
      <w:tabs>
        <w:tab w:val="center" w:pos="4252"/>
        <w:tab w:val="right" w:pos="8504"/>
      </w:tabs>
      <w:spacing w:after="0" w:line="240" w:lineRule="auto"/>
    </w:pPr>
    <w:r>
      <w:rPr>
        <w:noProof/>
        <w:lang w:val="en-GB" w:eastAsia="en-GB"/>
      </w:rPr>
      <w:drawing>
        <wp:inline distT="0" distB="0" distL="0" distR="0">
          <wp:extent cx="190500" cy="190500"/>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
                  <a:srcRect/>
                  <a:stretch>
                    <a:fillRect/>
                  </a:stretch>
                </pic:blipFill>
                <pic:spPr>
                  <a:xfrm>
                    <a:off x="0" y="0"/>
                    <a:ext cx="190500" cy="190500"/>
                  </a:xfrm>
                  <a:prstGeom prst="rect">
                    <a:avLst/>
                  </a:prstGeom>
                  <a:ln/>
                </pic:spPr>
              </pic:pic>
            </a:graphicData>
          </a:graphic>
        </wp:inline>
      </w:drawing>
    </w:r>
    <w:r>
      <w:rPr>
        <w:b/>
        <w:sz w:val="16"/>
        <w:szCs w:val="16"/>
      </w:rPr>
      <w:t>https://twitter.com/CDNURUGUAY</w:t>
    </w:r>
    <w:r>
      <w:rPr>
        <w:sz w:val="16"/>
        <w:szCs w:val="16"/>
      </w:rPr>
      <w:t xml:space="preserve"> </w:t>
    </w:r>
  </w:p>
  <w:p w:rsidR="00D777B1" w:rsidRDefault="00D777B1">
    <w:pPr>
      <w:pStyle w:val="Normal1"/>
      <w:tabs>
        <w:tab w:val="center" w:pos="4252"/>
        <w:tab w:val="right" w:pos="8504"/>
      </w:tabs>
      <w:spacing w:after="291"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819" w:rsidRDefault="00416819" w:rsidP="00D777B1">
      <w:pPr>
        <w:spacing w:after="0" w:line="240" w:lineRule="auto"/>
      </w:pPr>
      <w:r>
        <w:separator/>
      </w:r>
    </w:p>
  </w:footnote>
  <w:footnote w:type="continuationSeparator" w:id="0">
    <w:p w:rsidR="00416819" w:rsidRDefault="00416819" w:rsidP="00D777B1">
      <w:pPr>
        <w:spacing w:after="0" w:line="240" w:lineRule="auto"/>
      </w:pPr>
      <w:r>
        <w:continuationSeparator/>
      </w:r>
    </w:p>
  </w:footnote>
  <w:footnote w:id="1">
    <w:p w:rsidR="00D777B1" w:rsidRPr="0038476D" w:rsidRDefault="00416819">
      <w:pPr>
        <w:pStyle w:val="Normal1"/>
        <w:spacing w:after="0" w:line="240" w:lineRule="auto"/>
        <w:rPr>
          <w:sz w:val="20"/>
          <w:szCs w:val="20"/>
          <w:lang w:val="en-GB"/>
        </w:rPr>
      </w:pPr>
      <w:r>
        <w:rPr>
          <w:vertAlign w:val="superscript"/>
        </w:rPr>
        <w:footnoteRef/>
      </w:r>
      <w:r w:rsidRPr="0038476D">
        <w:rPr>
          <w:sz w:val="20"/>
          <w:szCs w:val="20"/>
          <w:lang w:val="en-GB"/>
        </w:rPr>
        <w:t xml:space="preserve"> </w:t>
      </w:r>
      <w:r w:rsidRPr="0038476D">
        <w:rPr>
          <w:rFonts w:ascii="Arial" w:eastAsia="Arial" w:hAnsi="Arial" w:cs="Arial"/>
          <w:color w:val="222222"/>
          <w:sz w:val="20"/>
          <w:szCs w:val="20"/>
          <w:lang w:val="en-GB"/>
        </w:rPr>
        <w:t>Additionally, and according to data released by the National Statistics Institute in 2011, 2% of Uruguayan children and adolescents are indigent</w:t>
      </w:r>
    </w:p>
  </w:footnote>
  <w:footnote w:id="2">
    <w:p w:rsidR="00D777B1" w:rsidRPr="0038476D" w:rsidRDefault="00416819">
      <w:pPr>
        <w:pStyle w:val="Normal1"/>
        <w:shd w:val="clear" w:color="auto" w:fill="FFFFFF"/>
        <w:spacing w:before="100" w:after="100" w:line="240" w:lineRule="auto"/>
        <w:rPr>
          <w:lang w:val="en-GB"/>
        </w:rPr>
      </w:pPr>
      <w:r>
        <w:rPr>
          <w:vertAlign w:val="superscript"/>
        </w:rPr>
        <w:footnoteRef/>
      </w:r>
      <w:r w:rsidRPr="0038476D">
        <w:rPr>
          <w:lang w:val="en-GB"/>
        </w:rPr>
        <w:t xml:space="preserve"> </w:t>
      </w:r>
      <w:r w:rsidRPr="0038476D">
        <w:rPr>
          <w:rFonts w:ascii="Arial" w:eastAsia="Arial" w:hAnsi="Arial" w:cs="Arial"/>
          <w:color w:val="222222"/>
          <w:sz w:val="20"/>
          <w:szCs w:val="20"/>
          <w:lang w:val="en-GB"/>
        </w:rPr>
        <w:t>This indicator is constructed from 10 indicators related to the dimensions of health deprivation, and educational materials</w:t>
      </w:r>
    </w:p>
  </w:footnote>
  <w:footnote w:id="3">
    <w:p w:rsidR="00D777B1" w:rsidRPr="0038476D" w:rsidRDefault="00416819">
      <w:pPr>
        <w:pStyle w:val="Normal1"/>
        <w:shd w:val="clear" w:color="auto" w:fill="FFFFFF"/>
        <w:spacing w:before="100" w:after="280" w:line="240" w:lineRule="auto"/>
        <w:rPr>
          <w:rFonts w:ascii="Arial" w:eastAsia="Arial" w:hAnsi="Arial" w:cs="Arial"/>
          <w:color w:val="222222"/>
          <w:sz w:val="19"/>
          <w:szCs w:val="19"/>
          <w:lang w:val="en-GB"/>
        </w:rPr>
      </w:pPr>
      <w:r>
        <w:rPr>
          <w:vertAlign w:val="superscript"/>
        </w:rPr>
        <w:footnoteRef/>
      </w:r>
      <w:r w:rsidRPr="0038476D">
        <w:rPr>
          <w:lang w:val="en-GB"/>
        </w:rPr>
        <w:t xml:space="preserve"> </w:t>
      </w:r>
      <w:r w:rsidRPr="0038476D">
        <w:rPr>
          <w:rFonts w:ascii="Arial" w:eastAsia="Arial" w:hAnsi="Arial" w:cs="Arial"/>
          <w:color w:val="222222"/>
          <w:sz w:val="20"/>
          <w:szCs w:val="20"/>
          <w:lang w:val="en-GB"/>
        </w:rPr>
        <w:t>31.8% of afro-descendant children live below the poverty line</w:t>
      </w:r>
    </w:p>
    <w:p w:rsidR="00D777B1" w:rsidRPr="0038476D" w:rsidRDefault="00D777B1">
      <w:pPr>
        <w:pStyle w:val="Normal1"/>
        <w:spacing w:after="0" w:line="240" w:lineRule="auto"/>
        <w:rPr>
          <w:sz w:val="20"/>
          <w:szCs w:val="20"/>
          <w:lang w:val="en-GB"/>
        </w:rPr>
      </w:pPr>
    </w:p>
  </w:footnote>
  <w:footnote w:id="4">
    <w:p w:rsidR="00D777B1" w:rsidRPr="0038476D" w:rsidRDefault="00416819">
      <w:pPr>
        <w:pStyle w:val="Normal1"/>
        <w:shd w:val="clear" w:color="auto" w:fill="FFFFFF"/>
        <w:spacing w:before="100" w:after="100" w:line="240" w:lineRule="auto"/>
        <w:rPr>
          <w:lang w:val="fr-CH"/>
        </w:rPr>
      </w:pPr>
      <w:r>
        <w:rPr>
          <w:vertAlign w:val="superscript"/>
        </w:rPr>
        <w:footnoteRef/>
      </w:r>
      <w:r w:rsidRPr="0038476D">
        <w:rPr>
          <w:lang w:val="fr-CH"/>
        </w:rPr>
        <w:t xml:space="preserve"> </w:t>
      </w:r>
      <w:r w:rsidRPr="0038476D">
        <w:rPr>
          <w:rFonts w:ascii="Arial" w:eastAsia="Arial" w:hAnsi="Arial" w:cs="Arial"/>
          <w:color w:val="222222"/>
          <w:sz w:val="20"/>
          <w:szCs w:val="20"/>
          <w:lang w:val="fr-CH"/>
        </w:rPr>
        <w:t>Available at:</w:t>
      </w:r>
      <w:hyperlink r:id="rId1">
        <w:r w:rsidRPr="0038476D">
          <w:rPr>
            <w:rFonts w:ascii="Arial" w:eastAsia="Arial" w:hAnsi="Arial" w:cs="Arial"/>
            <w:color w:val="222222"/>
            <w:sz w:val="20"/>
            <w:szCs w:val="20"/>
            <w:lang w:val="fr-CH"/>
          </w:rPr>
          <w:t>http://www.anep.edu.uy/anep/index.php/codicen-publicaciones/category/114-pisa-pisa-2015-publicaciones?download=2041:primer-informe-de-resultados-pisa-2015)</w:t>
        </w:r>
      </w:hyperlink>
    </w:p>
  </w:footnote>
  <w:footnote w:id="5">
    <w:p w:rsidR="00D777B1" w:rsidRPr="0038476D" w:rsidRDefault="00416819">
      <w:pPr>
        <w:pStyle w:val="Normal1"/>
        <w:spacing w:after="0" w:line="240" w:lineRule="auto"/>
        <w:rPr>
          <w:sz w:val="20"/>
          <w:szCs w:val="20"/>
          <w:lang w:val="fr-CH"/>
        </w:rPr>
      </w:pPr>
      <w:r>
        <w:rPr>
          <w:vertAlign w:val="superscript"/>
        </w:rPr>
        <w:footnoteRef/>
      </w:r>
      <w:r w:rsidRPr="0038476D">
        <w:rPr>
          <w:sz w:val="20"/>
          <w:szCs w:val="20"/>
          <w:lang w:val="fr-CH"/>
        </w:rPr>
        <w:t xml:space="preserve"> </w:t>
      </w:r>
      <w:hyperlink r:id="rId2">
        <w:r w:rsidRPr="0038476D">
          <w:rPr>
            <w:rFonts w:ascii="Arial" w:eastAsia="Arial" w:hAnsi="Arial" w:cs="Arial"/>
            <w:color w:val="222222"/>
            <w:sz w:val="20"/>
            <w:szCs w:val="20"/>
            <w:lang w:val="fr-CH"/>
          </w:rPr>
          <w:t>https://ladiaria.com.uy/articulo/2016/1/escondidos/</w:t>
        </w:r>
      </w:hyperlink>
      <w:r w:rsidRPr="0038476D">
        <w:rPr>
          <w:rFonts w:ascii="Arial" w:eastAsia="Arial" w:hAnsi="Arial" w:cs="Arial"/>
          <w:color w:val="222222"/>
          <w:sz w:val="20"/>
          <w:szCs w:val="20"/>
          <w:lang w:val="fr-CH"/>
        </w:rPr>
        <w:t xml:space="preserve">  Niños que crecen en hogares: se identifica como problema, pero el apoyo a las familias continúa siendo insuficiente (Children growing institutionalized: Identified as an issue, but support to families remains insufficient)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7B1" w:rsidRDefault="00416819">
    <w:pPr>
      <w:pStyle w:val="Normal1"/>
      <w:tabs>
        <w:tab w:val="center" w:pos="4252"/>
        <w:tab w:val="right" w:pos="8504"/>
      </w:tabs>
      <w:spacing w:before="708" w:after="0" w:line="240" w:lineRule="auto"/>
      <w:jc w:val="center"/>
    </w:pPr>
    <w:r>
      <w:rPr>
        <w:noProof/>
        <w:lang w:val="en-GB" w:eastAsia="en-GB"/>
      </w:rPr>
      <w:drawing>
        <wp:inline distT="0" distB="0" distL="0" distR="0">
          <wp:extent cx="2507024" cy="879315"/>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2507024" cy="87931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7B1"/>
    <w:rsid w:val="0038476D"/>
    <w:rsid w:val="00416819"/>
    <w:rsid w:val="00556D3B"/>
    <w:rsid w:val="00A122DA"/>
    <w:rsid w:val="00D777B1"/>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s-UY" w:eastAsia="es-UY"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D777B1"/>
    <w:pPr>
      <w:keepNext/>
      <w:keepLines/>
      <w:spacing w:before="480" w:after="120"/>
      <w:contextualSpacing/>
      <w:outlineLvl w:val="0"/>
    </w:pPr>
    <w:rPr>
      <w:b/>
      <w:sz w:val="48"/>
      <w:szCs w:val="48"/>
    </w:rPr>
  </w:style>
  <w:style w:type="paragraph" w:styleId="Heading2">
    <w:name w:val="heading 2"/>
    <w:basedOn w:val="Normal1"/>
    <w:next w:val="Normal1"/>
    <w:rsid w:val="00D777B1"/>
    <w:pPr>
      <w:keepNext/>
      <w:keepLines/>
      <w:spacing w:before="360" w:after="80"/>
      <w:contextualSpacing/>
      <w:outlineLvl w:val="1"/>
    </w:pPr>
    <w:rPr>
      <w:b/>
      <w:sz w:val="36"/>
      <w:szCs w:val="36"/>
    </w:rPr>
  </w:style>
  <w:style w:type="paragraph" w:styleId="Heading3">
    <w:name w:val="heading 3"/>
    <w:basedOn w:val="Normal1"/>
    <w:next w:val="Normal1"/>
    <w:rsid w:val="00D777B1"/>
    <w:pPr>
      <w:keepNext/>
      <w:keepLines/>
      <w:spacing w:before="280" w:after="80"/>
      <w:contextualSpacing/>
      <w:outlineLvl w:val="2"/>
    </w:pPr>
    <w:rPr>
      <w:b/>
      <w:sz w:val="28"/>
      <w:szCs w:val="28"/>
    </w:rPr>
  </w:style>
  <w:style w:type="paragraph" w:styleId="Heading4">
    <w:name w:val="heading 4"/>
    <w:basedOn w:val="Normal1"/>
    <w:next w:val="Normal1"/>
    <w:rsid w:val="00D777B1"/>
    <w:pPr>
      <w:keepNext/>
      <w:keepLines/>
      <w:spacing w:before="240" w:after="40"/>
      <w:contextualSpacing/>
      <w:outlineLvl w:val="3"/>
    </w:pPr>
    <w:rPr>
      <w:b/>
      <w:sz w:val="24"/>
      <w:szCs w:val="24"/>
    </w:rPr>
  </w:style>
  <w:style w:type="paragraph" w:styleId="Heading5">
    <w:name w:val="heading 5"/>
    <w:basedOn w:val="Normal1"/>
    <w:next w:val="Normal1"/>
    <w:rsid w:val="00D777B1"/>
    <w:pPr>
      <w:keepNext/>
      <w:keepLines/>
      <w:spacing w:before="220" w:after="40"/>
      <w:contextualSpacing/>
      <w:outlineLvl w:val="4"/>
    </w:pPr>
    <w:rPr>
      <w:b/>
    </w:rPr>
  </w:style>
  <w:style w:type="paragraph" w:styleId="Heading6">
    <w:name w:val="heading 6"/>
    <w:basedOn w:val="Normal1"/>
    <w:next w:val="Normal1"/>
    <w:rsid w:val="00D777B1"/>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77B1"/>
  </w:style>
  <w:style w:type="table" w:customStyle="1" w:styleId="TableNormal1">
    <w:name w:val="Table Normal1"/>
    <w:rsid w:val="00D777B1"/>
    <w:tblPr>
      <w:tblCellMar>
        <w:top w:w="0" w:type="dxa"/>
        <w:left w:w="0" w:type="dxa"/>
        <w:bottom w:w="0" w:type="dxa"/>
        <w:right w:w="0" w:type="dxa"/>
      </w:tblCellMar>
    </w:tblPr>
  </w:style>
  <w:style w:type="paragraph" w:styleId="Title">
    <w:name w:val="Title"/>
    <w:basedOn w:val="Normal1"/>
    <w:next w:val="Normal1"/>
    <w:rsid w:val="00D777B1"/>
    <w:pPr>
      <w:keepNext/>
      <w:keepLines/>
      <w:spacing w:before="480" w:after="120"/>
      <w:contextualSpacing/>
    </w:pPr>
    <w:rPr>
      <w:b/>
      <w:sz w:val="72"/>
      <w:szCs w:val="72"/>
    </w:rPr>
  </w:style>
  <w:style w:type="paragraph" w:styleId="Subtitle">
    <w:name w:val="Subtitle"/>
    <w:basedOn w:val="Normal1"/>
    <w:next w:val="Normal1"/>
    <w:rsid w:val="00D777B1"/>
    <w:pPr>
      <w:keepNext/>
      <w:keepLines/>
      <w:spacing w:before="360" w:after="80"/>
      <w:contextualSpacing/>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56D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D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s-UY" w:eastAsia="es-UY"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D777B1"/>
    <w:pPr>
      <w:keepNext/>
      <w:keepLines/>
      <w:spacing w:before="480" w:after="120"/>
      <w:contextualSpacing/>
      <w:outlineLvl w:val="0"/>
    </w:pPr>
    <w:rPr>
      <w:b/>
      <w:sz w:val="48"/>
      <w:szCs w:val="48"/>
    </w:rPr>
  </w:style>
  <w:style w:type="paragraph" w:styleId="Heading2">
    <w:name w:val="heading 2"/>
    <w:basedOn w:val="Normal1"/>
    <w:next w:val="Normal1"/>
    <w:rsid w:val="00D777B1"/>
    <w:pPr>
      <w:keepNext/>
      <w:keepLines/>
      <w:spacing w:before="360" w:after="80"/>
      <w:contextualSpacing/>
      <w:outlineLvl w:val="1"/>
    </w:pPr>
    <w:rPr>
      <w:b/>
      <w:sz w:val="36"/>
      <w:szCs w:val="36"/>
    </w:rPr>
  </w:style>
  <w:style w:type="paragraph" w:styleId="Heading3">
    <w:name w:val="heading 3"/>
    <w:basedOn w:val="Normal1"/>
    <w:next w:val="Normal1"/>
    <w:rsid w:val="00D777B1"/>
    <w:pPr>
      <w:keepNext/>
      <w:keepLines/>
      <w:spacing w:before="280" w:after="80"/>
      <w:contextualSpacing/>
      <w:outlineLvl w:val="2"/>
    </w:pPr>
    <w:rPr>
      <w:b/>
      <w:sz w:val="28"/>
      <w:szCs w:val="28"/>
    </w:rPr>
  </w:style>
  <w:style w:type="paragraph" w:styleId="Heading4">
    <w:name w:val="heading 4"/>
    <w:basedOn w:val="Normal1"/>
    <w:next w:val="Normal1"/>
    <w:rsid w:val="00D777B1"/>
    <w:pPr>
      <w:keepNext/>
      <w:keepLines/>
      <w:spacing w:before="240" w:after="40"/>
      <w:contextualSpacing/>
      <w:outlineLvl w:val="3"/>
    </w:pPr>
    <w:rPr>
      <w:b/>
      <w:sz w:val="24"/>
      <w:szCs w:val="24"/>
    </w:rPr>
  </w:style>
  <w:style w:type="paragraph" w:styleId="Heading5">
    <w:name w:val="heading 5"/>
    <w:basedOn w:val="Normal1"/>
    <w:next w:val="Normal1"/>
    <w:rsid w:val="00D777B1"/>
    <w:pPr>
      <w:keepNext/>
      <w:keepLines/>
      <w:spacing w:before="220" w:after="40"/>
      <w:contextualSpacing/>
      <w:outlineLvl w:val="4"/>
    </w:pPr>
    <w:rPr>
      <w:b/>
    </w:rPr>
  </w:style>
  <w:style w:type="paragraph" w:styleId="Heading6">
    <w:name w:val="heading 6"/>
    <w:basedOn w:val="Normal1"/>
    <w:next w:val="Normal1"/>
    <w:rsid w:val="00D777B1"/>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77B1"/>
  </w:style>
  <w:style w:type="table" w:customStyle="1" w:styleId="TableNormal1">
    <w:name w:val="Table Normal1"/>
    <w:rsid w:val="00D777B1"/>
    <w:tblPr>
      <w:tblCellMar>
        <w:top w:w="0" w:type="dxa"/>
        <w:left w:w="0" w:type="dxa"/>
        <w:bottom w:w="0" w:type="dxa"/>
        <w:right w:w="0" w:type="dxa"/>
      </w:tblCellMar>
    </w:tblPr>
  </w:style>
  <w:style w:type="paragraph" w:styleId="Title">
    <w:name w:val="Title"/>
    <w:basedOn w:val="Normal1"/>
    <w:next w:val="Normal1"/>
    <w:rsid w:val="00D777B1"/>
    <w:pPr>
      <w:keepNext/>
      <w:keepLines/>
      <w:spacing w:before="480" w:after="120"/>
      <w:contextualSpacing/>
    </w:pPr>
    <w:rPr>
      <w:b/>
      <w:sz w:val="72"/>
      <w:szCs w:val="72"/>
    </w:rPr>
  </w:style>
  <w:style w:type="paragraph" w:styleId="Subtitle">
    <w:name w:val="Subtitle"/>
    <w:basedOn w:val="Normal1"/>
    <w:next w:val="Normal1"/>
    <w:rsid w:val="00D777B1"/>
    <w:pPr>
      <w:keepNext/>
      <w:keepLines/>
      <w:spacing w:before="360" w:after="80"/>
      <w:contextualSpacing/>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56D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D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hyperlink" Target="http://www.comitednu.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adiaria.com.uy/articulo/2016/1/escondidos/" TargetMode="External"/><Relationship Id="rId1" Type="http://schemas.openxmlformats.org/officeDocument/2006/relationships/hyperlink" Target="http://www.anep.edu.uy/anep/index.php/codicen-publicaciones/category/114-pisa-pisa-2015-publicaciones?download=2041:primer-informe-de-resultados-pisa-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3E8DAE-FBEE-4FB8-86AE-2C5ECF601770}"/>
</file>

<file path=customXml/itemProps2.xml><?xml version="1.0" encoding="utf-8"?>
<ds:datastoreItem xmlns:ds="http://schemas.openxmlformats.org/officeDocument/2006/customXml" ds:itemID="{4E27CA71-40A5-4F5D-A1ED-C1BF3914A7EA}"/>
</file>

<file path=customXml/itemProps3.xml><?xml version="1.0" encoding="utf-8"?>
<ds:datastoreItem xmlns:ds="http://schemas.openxmlformats.org/officeDocument/2006/customXml" ds:itemID="{779C991B-29CC-4378-931E-93C481E2C7E2}"/>
</file>

<file path=docProps/app.xml><?xml version="1.0" encoding="utf-8"?>
<Properties xmlns="http://schemas.openxmlformats.org/officeDocument/2006/extended-properties" xmlns:vt="http://schemas.openxmlformats.org/officeDocument/2006/docPropsVTypes">
  <Template>Normal.dotm</Template>
  <TotalTime>1</TotalTime>
  <Pages>3</Pages>
  <Words>844</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dc:creator>
  <cp:lastModifiedBy>CESCR Intern</cp:lastModifiedBy>
  <cp:revision>2</cp:revision>
  <dcterms:created xsi:type="dcterms:W3CDTF">2017-05-08T08:18:00Z</dcterms:created>
  <dcterms:modified xsi:type="dcterms:W3CDTF">2017-05-08T08:18:00Z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