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DBF2FD" w14:textId="0C19E7FE" w:rsidR="008039BB" w:rsidRDefault="008039BB">
      <w:pPr>
        <w:jc w:val="both"/>
        <w:rPr>
          <w:rFonts w:ascii="Arial" w:eastAsia="Arial" w:hAnsi="Arial" w:cs="Arial"/>
        </w:rPr>
      </w:pPr>
    </w:p>
    <w:p w14:paraId="60945CA6" w14:textId="2BE47D35" w:rsidR="008039BB" w:rsidRDefault="008039BB" w:rsidP="008039BB">
      <w:pPr>
        <w:jc w:val="center"/>
      </w:pPr>
      <w:r>
        <w:rPr>
          <w:noProof/>
        </w:rPr>
        <w:drawing>
          <wp:inline distT="0" distB="0" distL="0" distR="0" wp14:anchorId="12BF8020" wp14:editId="4FE6EDAD">
            <wp:extent cx="1836549" cy="1833762"/>
            <wp:effectExtent l="0" t="0" r="5080" b="0"/>
            <wp:docPr id="1" name="image1.jp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g" descr="Icon&#10;&#10;Description automatically generated"/>
                    <pic:cNvPicPr preferRelativeResize="0"/>
                  </pic:nvPicPr>
                  <pic:blipFill>
                    <a:blip r:embed="rId7" cstate="print">
                      <a:extLst>
                        <a:ext uri="{28A0092B-C50C-407E-A947-70E740481C1C}">
                          <a14:useLocalDpi xmlns:a14="http://schemas.microsoft.com/office/drawing/2010/main" val="0"/>
                        </a:ext>
                      </a:extLst>
                    </a:blip>
                    <a:srcRect/>
                    <a:stretch>
                      <a:fillRect/>
                    </a:stretch>
                  </pic:blipFill>
                  <pic:spPr>
                    <a:xfrm>
                      <a:off x="0" y="0"/>
                      <a:ext cx="1866620" cy="1863787"/>
                    </a:xfrm>
                    <a:prstGeom prst="rect">
                      <a:avLst/>
                    </a:prstGeom>
                    <a:ln/>
                  </pic:spPr>
                </pic:pic>
              </a:graphicData>
            </a:graphic>
          </wp:inline>
        </w:drawing>
      </w:r>
    </w:p>
    <w:p w14:paraId="035415D4" w14:textId="5D48E386" w:rsidR="008039BB" w:rsidRPr="005F7180" w:rsidRDefault="008039BB" w:rsidP="005F7180">
      <w:pPr>
        <w:jc w:val="center"/>
      </w:pPr>
      <w:r>
        <w:rPr>
          <w:b/>
          <w:noProof/>
          <w:lang w:val="en-US"/>
        </w:rPr>
        <w:drawing>
          <wp:inline distT="0" distB="0" distL="0" distR="0" wp14:anchorId="5AE36F61" wp14:editId="6234CD74">
            <wp:extent cx="2540635" cy="752475"/>
            <wp:effectExtent l="0" t="0" r="0" b="9525"/>
            <wp:docPr id="2" name="Picture 2"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clipar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08230" cy="772495"/>
                    </a:xfrm>
                    <a:prstGeom prst="rect">
                      <a:avLst/>
                    </a:prstGeom>
                    <a:noFill/>
                  </pic:spPr>
                </pic:pic>
              </a:graphicData>
            </a:graphic>
          </wp:inline>
        </w:drawing>
      </w:r>
      <w:r w:rsidR="005F7180">
        <w:rPr>
          <w:b/>
          <w:noProof/>
          <w:lang w:val="en-US"/>
        </w:rPr>
        <w:drawing>
          <wp:inline distT="0" distB="0" distL="0" distR="0" wp14:anchorId="681A7D59" wp14:editId="5B47BA70">
            <wp:extent cx="1685925" cy="1340986"/>
            <wp:effectExtent l="0" t="0" r="0" b="0"/>
            <wp:docPr id="4" name="Picture 4"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 company name&#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01625" cy="1353474"/>
                    </a:xfrm>
                    <a:prstGeom prst="rect">
                      <a:avLst/>
                    </a:prstGeom>
                    <a:noFill/>
                  </pic:spPr>
                </pic:pic>
              </a:graphicData>
            </a:graphic>
          </wp:inline>
        </w:drawing>
      </w:r>
      <w:r w:rsidR="005F7180">
        <w:rPr>
          <w:b/>
          <w:noProof/>
          <w:lang w:val="en-US"/>
        </w:rPr>
        <w:drawing>
          <wp:inline distT="0" distB="0" distL="0" distR="0" wp14:anchorId="17C3845C" wp14:editId="42B97398">
            <wp:extent cx="2281555" cy="1211373"/>
            <wp:effectExtent l="0" t="0" r="4445" b="8255"/>
            <wp:docPr id="3" name="Picture 3" descr="A blue logo with white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ue logo with white text&#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02263" cy="1222368"/>
                    </a:xfrm>
                    <a:prstGeom prst="rect">
                      <a:avLst/>
                    </a:prstGeom>
                    <a:noFill/>
                  </pic:spPr>
                </pic:pic>
              </a:graphicData>
            </a:graphic>
          </wp:inline>
        </w:drawing>
      </w:r>
    </w:p>
    <w:p w14:paraId="79E45D64" w14:textId="77777777" w:rsidR="008039BB" w:rsidRDefault="008039BB">
      <w:pPr>
        <w:jc w:val="both"/>
        <w:rPr>
          <w:rFonts w:ascii="Arial" w:eastAsia="Arial" w:hAnsi="Arial" w:cs="Arial"/>
        </w:rPr>
      </w:pPr>
    </w:p>
    <w:p w14:paraId="49A45B6E" w14:textId="77777777" w:rsidR="008039BB" w:rsidRDefault="008039BB">
      <w:pPr>
        <w:jc w:val="both"/>
        <w:rPr>
          <w:rFonts w:ascii="Arial" w:eastAsia="Arial" w:hAnsi="Arial" w:cs="Arial"/>
        </w:rPr>
      </w:pPr>
    </w:p>
    <w:p w14:paraId="46A0ED16" w14:textId="48DFB80B" w:rsidR="00DF4114" w:rsidRPr="00517434" w:rsidRDefault="00F60794">
      <w:pPr>
        <w:jc w:val="both"/>
        <w:rPr>
          <w:rFonts w:ascii="Arial" w:eastAsia="Arial" w:hAnsi="Arial" w:cs="Arial"/>
          <w:b/>
          <w:bCs/>
        </w:rPr>
      </w:pPr>
      <w:r w:rsidRPr="00517434">
        <w:rPr>
          <w:rFonts w:ascii="Arial" w:eastAsia="Arial" w:hAnsi="Arial" w:cs="Arial"/>
          <w:b/>
          <w:bCs/>
        </w:rPr>
        <w:t>Informe alternativo para el examen de Nicaragua por parte del Comité CEDAW</w:t>
      </w:r>
    </w:p>
    <w:p w14:paraId="6A9AF0B4" w14:textId="5B14268B" w:rsidR="00F60794" w:rsidRPr="00517434" w:rsidRDefault="00F60794" w:rsidP="00517434">
      <w:pPr>
        <w:pStyle w:val="ListParagraph"/>
        <w:numPr>
          <w:ilvl w:val="0"/>
          <w:numId w:val="6"/>
        </w:numPr>
        <w:jc w:val="both"/>
        <w:rPr>
          <w:rFonts w:ascii="Arial" w:eastAsia="Arial" w:hAnsi="Arial" w:cs="Arial"/>
          <w:b/>
          <w:bCs/>
        </w:rPr>
      </w:pPr>
      <w:r w:rsidRPr="00517434">
        <w:rPr>
          <w:rFonts w:ascii="Arial" w:eastAsia="Arial" w:hAnsi="Arial" w:cs="Arial"/>
          <w:b/>
          <w:bCs/>
        </w:rPr>
        <w:t xml:space="preserve">Sesión </w:t>
      </w:r>
      <w:r w:rsidR="008039BB" w:rsidRPr="00517434">
        <w:rPr>
          <w:rFonts w:ascii="Arial" w:eastAsia="Arial" w:hAnsi="Arial" w:cs="Arial"/>
          <w:b/>
          <w:bCs/>
        </w:rPr>
        <w:t>80 (18 Oct 2021 - 12 Nov 2021)</w:t>
      </w:r>
    </w:p>
    <w:p w14:paraId="2F179596" w14:textId="6EEC2044" w:rsidR="008039BB" w:rsidRPr="008039BB" w:rsidRDefault="008039BB">
      <w:pPr>
        <w:jc w:val="both"/>
        <w:rPr>
          <w:rFonts w:ascii="Arial" w:eastAsia="Arial" w:hAnsi="Arial" w:cs="Arial"/>
        </w:rPr>
      </w:pPr>
    </w:p>
    <w:p w14:paraId="77286B48" w14:textId="77777777" w:rsidR="005F7180" w:rsidRDefault="005F7180">
      <w:pPr>
        <w:jc w:val="both"/>
        <w:rPr>
          <w:rFonts w:ascii="Arial" w:eastAsia="Arial" w:hAnsi="Arial" w:cs="Arial"/>
        </w:rPr>
      </w:pPr>
    </w:p>
    <w:p w14:paraId="044D57CB" w14:textId="77151CB5" w:rsidR="008039BB" w:rsidRDefault="008039BB">
      <w:pPr>
        <w:jc w:val="both"/>
        <w:rPr>
          <w:rFonts w:ascii="Arial" w:eastAsia="Arial" w:hAnsi="Arial" w:cs="Arial"/>
        </w:rPr>
      </w:pPr>
      <w:r w:rsidRPr="008039BB">
        <w:rPr>
          <w:rFonts w:ascii="Arial" w:eastAsia="Arial" w:hAnsi="Arial" w:cs="Arial"/>
        </w:rPr>
        <w:t>Presentado por:</w:t>
      </w:r>
    </w:p>
    <w:p w14:paraId="7FFB37A6" w14:textId="77777777" w:rsidR="005F7180" w:rsidRPr="008039BB" w:rsidRDefault="005F7180">
      <w:pPr>
        <w:jc w:val="both"/>
        <w:rPr>
          <w:rFonts w:ascii="Arial" w:eastAsia="Arial" w:hAnsi="Arial" w:cs="Arial"/>
        </w:rPr>
      </w:pPr>
    </w:p>
    <w:p w14:paraId="7E2D9F85" w14:textId="1E015EC4" w:rsidR="008039BB" w:rsidRPr="008039BB" w:rsidRDefault="008039BB" w:rsidP="008039BB">
      <w:pPr>
        <w:pStyle w:val="ListParagraph"/>
        <w:numPr>
          <w:ilvl w:val="0"/>
          <w:numId w:val="4"/>
        </w:numPr>
        <w:rPr>
          <w:rFonts w:ascii="Arial" w:eastAsia="Arial" w:hAnsi="Arial" w:cs="Arial"/>
          <w:b/>
        </w:rPr>
      </w:pPr>
      <w:r w:rsidRPr="008039BB">
        <w:rPr>
          <w:rFonts w:ascii="Arial" w:eastAsia="Arial" w:hAnsi="Arial" w:cs="Arial"/>
          <w:b/>
        </w:rPr>
        <w:t>GRUPO LÉSBICO FEMINISTA ARTEMISA</w:t>
      </w:r>
    </w:p>
    <w:p w14:paraId="6FCFEC20" w14:textId="77777777" w:rsidR="008039BB" w:rsidRPr="008039BB" w:rsidRDefault="008039BB" w:rsidP="008039BB">
      <w:pPr>
        <w:numPr>
          <w:ilvl w:val="0"/>
          <w:numId w:val="4"/>
        </w:numPr>
        <w:pBdr>
          <w:top w:val="nil"/>
          <w:left w:val="nil"/>
          <w:bottom w:val="nil"/>
          <w:right w:val="nil"/>
          <w:between w:val="nil"/>
        </w:pBdr>
        <w:jc w:val="both"/>
        <w:rPr>
          <w:rFonts w:ascii="Arial" w:hAnsi="Arial" w:cs="Arial"/>
          <w:b/>
          <w:color w:val="000000"/>
          <w:lang w:val="es-AR"/>
        </w:rPr>
      </w:pPr>
      <w:proofErr w:type="spellStart"/>
      <w:r w:rsidRPr="008039BB">
        <w:rPr>
          <w:rFonts w:ascii="Arial" w:hAnsi="Arial" w:cs="Arial"/>
          <w:b/>
          <w:color w:val="000000"/>
          <w:lang w:val="es-AR"/>
        </w:rPr>
        <w:t>Akahatá</w:t>
      </w:r>
      <w:proofErr w:type="spellEnd"/>
      <w:r w:rsidRPr="008039BB">
        <w:rPr>
          <w:rFonts w:ascii="Arial" w:hAnsi="Arial" w:cs="Arial"/>
          <w:b/>
          <w:color w:val="000000"/>
          <w:lang w:val="es-AR"/>
        </w:rPr>
        <w:t xml:space="preserve"> – Equipo de trabajo en sexualidades y géneros</w:t>
      </w:r>
    </w:p>
    <w:p w14:paraId="04A444FC" w14:textId="74307B18" w:rsidR="005F7180" w:rsidRPr="005F7180" w:rsidRDefault="005F7180" w:rsidP="005F7180">
      <w:pPr>
        <w:numPr>
          <w:ilvl w:val="0"/>
          <w:numId w:val="4"/>
        </w:numPr>
        <w:pBdr>
          <w:top w:val="nil"/>
          <w:left w:val="nil"/>
          <w:bottom w:val="nil"/>
          <w:right w:val="nil"/>
          <w:between w:val="nil"/>
        </w:pBdr>
        <w:jc w:val="both"/>
        <w:rPr>
          <w:rFonts w:ascii="Arial" w:hAnsi="Arial" w:cs="Arial"/>
          <w:b/>
          <w:color w:val="000000"/>
          <w:lang w:val="en-US"/>
        </w:rPr>
      </w:pPr>
      <w:r w:rsidRPr="008039BB">
        <w:rPr>
          <w:rFonts w:ascii="Arial" w:hAnsi="Arial" w:cs="Arial"/>
          <w:b/>
          <w:color w:val="000000"/>
          <w:lang w:val="en-US"/>
        </w:rPr>
        <w:t>SRI – Sexual Rights Initiative</w:t>
      </w:r>
    </w:p>
    <w:p w14:paraId="16A27446" w14:textId="13A38EA6" w:rsidR="008039BB" w:rsidRPr="008039BB" w:rsidRDefault="008039BB" w:rsidP="008039BB">
      <w:pPr>
        <w:numPr>
          <w:ilvl w:val="0"/>
          <w:numId w:val="4"/>
        </w:numPr>
        <w:pBdr>
          <w:top w:val="nil"/>
          <w:left w:val="nil"/>
          <w:bottom w:val="nil"/>
          <w:right w:val="nil"/>
          <w:between w:val="nil"/>
        </w:pBdr>
        <w:jc w:val="both"/>
        <w:rPr>
          <w:rFonts w:ascii="Arial" w:hAnsi="Arial" w:cs="Arial"/>
          <w:b/>
          <w:color w:val="000000"/>
          <w:lang w:val="en-US"/>
        </w:rPr>
      </w:pPr>
      <w:r w:rsidRPr="008039BB">
        <w:rPr>
          <w:rFonts w:ascii="Arial" w:hAnsi="Arial" w:cs="Arial"/>
          <w:b/>
          <w:color w:val="000000"/>
          <w:lang w:val="en-US"/>
        </w:rPr>
        <w:t xml:space="preserve">Synergia </w:t>
      </w:r>
      <w:r w:rsidRPr="008039BB">
        <w:rPr>
          <w:rFonts w:ascii="Cambria Math" w:eastAsia="Cambria Math" w:hAnsi="Cambria Math" w:cs="Cambria Math"/>
          <w:b/>
          <w:color w:val="000000"/>
          <w:lang w:val="en-US"/>
        </w:rPr>
        <w:t>‐</w:t>
      </w:r>
      <w:r w:rsidRPr="008039BB">
        <w:rPr>
          <w:rFonts w:ascii="Arial" w:hAnsi="Arial" w:cs="Arial"/>
          <w:b/>
          <w:color w:val="000000"/>
          <w:lang w:val="en-US"/>
        </w:rPr>
        <w:t xml:space="preserve"> Initiatives for Human Rig</w:t>
      </w:r>
      <w:r>
        <w:rPr>
          <w:rFonts w:ascii="Arial" w:hAnsi="Arial" w:cs="Arial"/>
          <w:b/>
          <w:color w:val="000000"/>
          <w:lang w:val="en-US"/>
        </w:rPr>
        <w:t>hts</w:t>
      </w:r>
    </w:p>
    <w:p w14:paraId="52D41517" w14:textId="440EF0D5" w:rsidR="00F60794" w:rsidRPr="005F7180" w:rsidRDefault="00F60794">
      <w:pPr>
        <w:jc w:val="both"/>
        <w:rPr>
          <w:lang w:val="en-US"/>
        </w:rPr>
      </w:pPr>
    </w:p>
    <w:p w14:paraId="56BF6198" w14:textId="77777777" w:rsidR="005F7180" w:rsidRDefault="005F7180" w:rsidP="005F7180">
      <w:pPr>
        <w:pStyle w:val="NormalWeb"/>
        <w:spacing w:before="0" w:beforeAutospacing="0" w:after="0" w:afterAutospacing="0"/>
        <w:jc w:val="both"/>
        <w:rPr>
          <w:rFonts w:ascii="Liberation Serif" w:hAnsi="Liberation Serif"/>
          <w:color w:val="000000"/>
        </w:rPr>
      </w:pPr>
    </w:p>
    <w:p w14:paraId="464A4B85" w14:textId="070FE388" w:rsidR="00DF4114" w:rsidRPr="005F7180" w:rsidRDefault="005F7180" w:rsidP="005F7180">
      <w:pPr>
        <w:pStyle w:val="NormalWeb"/>
        <w:spacing w:before="0" w:beforeAutospacing="0" w:after="0" w:afterAutospacing="0"/>
        <w:jc w:val="both"/>
        <w:rPr>
          <w:rFonts w:ascii="Arial" w:hAnsi="Arial" w:cs="Arial"/>
        </w:rPr>
      </w:pPr>
      <w:r w:rsidRPr="005F7180">
        <w:rPr>
          <w:rFonts w:ascii="Arial" w:hAnsi="Arial" w:cs="Arial"/>
          <w:color w:val="000000"/>
        </w:rPr>
        <w:t xml:space="preserve">El </w:t>
      </w:r>
      <w:r w:rsidRPr="005F7180">
        <w:rPr>
          <w:rFonts w:ascii="Arial" w:hAnsi="Arial" w:cs="Arial"/>
          <w:b/>
          <w:bCs/>
          <w:color w:val="000000"/>
          <w:lang w:val="es-ES_tradnl"/>
        </w:rPr>
        <w:t>G</w:t>
      </w:r>
      <w:r w:rsidRPr="005F7180">
        <w:rPr>
          <w:rFonts w:ascii="Arial" w:hAnsi="Arial" w:cs="Arial"/>
          <w:b/>
          <w:bCs/>
          <w:color w:val="000000"/>
        </w:rPr>
        <w:t>rupo Artemisa</w:t>
      </w:r>
      <w:r w:rsidRPr="005F7180">
        <w:rPr>
          <w:rFonts w:ascii="Arial" w:hAnsi="Arial" w:cs="Arial"/>
          <w:color w:val="000000"/>
        </w:rPr>
        <w:t xml:space="preserve"> es un colectivo de mujeres  lesbianas de  Nicaragua que trabajan por la defensa de los derechos humanos de las mujeres lesbianas, su misión es: Contribuir a fortalecer el respeto de los derechos humanos de las mujeres jóvenes lesbianas, a través de herramientas educativas que promuevan la toma de decisiones desde un enfoque de derechos y de género en temas de salud sexual y reproductiva y es un grupo referente a nivel nacional como espacio articulador de acciones sociales y políticas en aras de promover un cambio social positivo en la vida de las mujeres lesbianas.</w:t>
      </w:r>
    </w:p>
    <w:p w14:paraId="4706F0AF" w14:textId="704C383F" w:rsidR="005F7180" w:rsidRPr="005F7180" w:rsidRDefault="005F7180">
      <w:pPr>
        <w:jc w:val="both"/>
        <w:rPr>
          <w:rFonts w:ascii="Arial" w:eastAsia="Arial" w:hAnsi="Arial" w:cs="Arial"/>
        </w:rPr>
      </w:pPr>
    </w:p>
    <w:p w14:paraId="3716BE73" w14:textId="77777777" w:rsidR="005F7180" w:rsidRPr="005F7180" w:rsidRDefault="005F7180">
      <w:pPr>
        <w:jc w:val="both"/>
        <w:rPr>
          <w:rFonts w:ascii="Arial" w:eastAsia="Arial" w:hAnsi="Arial" w:cs="Arial"/>
        </w:rPr>
      </w:pPr>
    </w:p>
    <w:p w14:paraId="5A637058" w14:textId="1884D7E0" w:rsidR="005F7180" w:rsidRDefault="005F7180" w:rsidP="005F7180">
      <w:pPr>
        <w:jc w:val="center"/>
        <w:rPr>
          <w:rFonts w:ascii="Arial" w:eastAsia="Arial" w:hAnsi="Arial" w:cs="Arial"/>
          <w:b/>
        </w:rPr>
      </w:pPr>
      <w:r>
        <w:rPr>
          <w:rFonts w:ascii="Arial" w:eastAsia="Arial" w:hAnsi="Arial" w:cs="Arial"/>
          <w:b/>
        </w:rPr>
        <w:t>Septiembre,</w:t>
      </w:r>
      <w:r w:rsidR="009F7A4D">
        <w:rPr>
          <w:rFonts w:ascii="Arial" w:eastAsia="Arial" w:hAnsi="Arial" w:cs="Arial"/>
          <w:b/>
        </w:rPr>
        <w:t xml:space="preserve"> 2021</w:t>
      </w:r>
      <w:bookmarkStart w:id="0" w:name="_gjdgxs" w:colFirst="0" w:colLast="0"/>
      <w:bookmarkEnd w:id="0"/>
    </w:p>
    <w:p w14:paraId="3B5A63F9" w14:textId="77777777" w:rsidR="005F7180" w:rsidRPr="005F7180" w:rsidRDefault="005F7180" w:rsidP="005F7180">
      <w:pPr>
        <w:jc w:val="center"/>
        <w:rPr>
          <w:rFonts w:ascii="Arial" w:eastAsia="Arial" w:hAnsi="Arial" w:cs="Arial"/>
          <w:b/>
        </w:rPr>
      </w:pPr>
    </w:p>
    <w:p w14:paraId="22D9797F" w14:textId="77777777" w:rsidR="00DF4114" w:rsidRDefault="009F7A4D" w:rsidP="005F7180">
      <w:pPr>
        <w:keepNext/>
        <w:pBdr>
          <w:top w:val="nil"/>
          <w:left w:val="nil"/>
          <w:bottom w:val="nil"/>
          <w:right w:val="nil"/>
          <w:between w:val="nil"/>
        </w:pBdr>
        <w:spacing w:before="240" w:after="120"/>
        <w:jc w:val="center"/>
        <w:rPr>
          <w:rFonts w:ascii="Liberation Sans" w:eastAsia="Liberation Sans" w:hAnsi="Liberation Sans" w:cs="Liberation Sans"/>
          <w:b/>
          <w:color w:val="000000"/>
          <w:sz w:val="32"/>
          <w:szCs w:val="32"/>
        </w:rPr>
      </w:pPr>
      <w:r>
        <w:rPr>
          <w:rFonts w:ascii="Liberation Sans" w:eastAsia="Liberation Sans" w:hAnsi="Liberation Sans" w:cs="Liberation Sans"/>
          <w:b/>
          <w:sz w:val="32"/>
          <w:szCs w:val="32"/>
        </w:rPr>
        <w:t>Índice</w:t>
      </w:r>
    </w:p>
    <w:sdt>
      <w:sdtPr>
        <w:id w:val="-210118085"/>
        <w:docPartObj>
          <w:docPartGallery w:val="Table of Contents"/>
          <w:docPartUnique/>
        </w:docPartObj>
      </w:sdtPr>
      <w:sdtEndPr/>
      <w:sdtContent>
        <w:p w14:paraId="0C16C658" w14:textId="77777777" w:rsidR="00DF4114" w:rsidRDefault="009F7A4D" w:rsidP="005F7180">
          <w:pPr>
            <w:tabs>
              <w:tab w:val="right" w:pos="8787"/>
            </w:tabs>
            <w:spacing w:before="80"/>
            <w:jc w:val="center"/>
            <w:rPr>
              <w:rFonts w:ascii="Calibri" w:eastAsia="Calibri" w:hAnsi="Calibri" w:cs="Calibri"/>
              <w:b/>
              <w:smallCaps/>
              <w:color w:val="000000"/>
              <w:sz w:val="20"/>
              <w:szCs w:val="20"/>
            </w:rPr>
          </w:pPr>
          <w:r>
            <w:fldChar w:fldCharType="begin"/>
          </w:r>
          <w:r>
            <w:instrText xml:space="preserve"> TOC \h \u \z </w:instrText>
          </w:r>
          <w:r>
            <w:fldChar w:fldCharType="separate"/>
          </w:r>
          <w:hyperlink w:anchor="_30j0zll">
            <w:r>
              <w:rPr>
                <w:rFonts w:ascii="Calibri" w:eastAsia="Calibri" w:hAnsi="Calibri" w:cs="Calibri"/>
                <w:b/>
                <w:smallCaps/>
                <w:sz w:val="20"/>
                <w:szCs w:val="20"/>
              </w:rPr>
              <w:t>Introducción</w:t>
            </w:r>
          </w:hyperlink>
          <w:r>
            <w:rPr>
              <w:rFonts w:ascii="Calibri" w:eastAsia="Calibri" w:hAnsi="Calibri" w:cs="Calibri"/>
              <w:b/>
              <w:smallCaps/>
              <w:color w:val="000000"/>
              <w:sz w:val="20"/>
              <w:szCs w:val="20"/>
            </w:rPr>
            <w:tab/>
          </w:r>
          <w:r>
            <w:fldChar w:fldCharType="begin"/>
          </w:r>
          <w:r>
            <w:instrText xml:space="preserve"> PAGEREF _30j0zll \h </w:instrText>
          </w:r>
          <w:r>
            <w:fldChar w:fldCharType="separate"/>
          </w:r>
          <w:r>
            <w:rPr>
              <w:rFonts w:ascii="Calibri" w:eastAsia="Calibri" w:hAnsi="Calibri" w:cs="Calibri"/>
              <w:b/>
              <w:smallCaps/>
              <w:color w:val="000000"/>
              <w:sz w:val="20"/>
              <w:szCs w:val="20"/>
            </w:rPr>
            <w:t>3</w:t>
          </w:r>
          <w:r>
            <w:fldChar w:fldCharType="end"/>
          </w:r>
        </w:p>
        <w:p w14:paraId="60C3E333" w14:textId="77777777" w:rsidR="00DF4114" w:rsidRDefault="009F7A4D" w:rsidP="005F7180">
          <w:pPr>
            <w:tabs>
              <w:tab w:val="right" w:pos="8787"/>
            </w:tabs>
            <w:spacing w:before="200"/>
            <w:jc w:val="center"/>
            <w:rPr>
              <w:rFonts w:ascii="Calibri" w:eastAsia="Calibri" w:hAnsi="Calibri" w:cs="Calibri"/>
              <w:b/>
              <w:smallCaps/>
              <w:color w:val="000000"/>
              <w:sz w:val="20"/>
              <w:szCs w:val="20"/>
            </w:rPr>
          </w:pPr>
          <w:hyperlink w:anchor="_1fob9te">
            <w:r>
              <w:rPr>
                <w:rFonts w:ascii="Calibri" w:eastAsia="Calibri" w:hAnsi="Calibri" w:cs="Calibri"/>
                <w:b/>
                <w:smallCaps/>
                <w:color w:val="000000"/>
                <w:sz w:val="20"/>
                <w:szCs w:val="20"/>
              </w:rPr>
              <w:t>Leyes y políticas Públicas (Artículos 1, 2 y 3)</w:t>
            </w:r>
          </w:hyperlink>
          <w:r>
            <w:rPr>
              <w:rFonts w:ascii="Calibri" w:eastAsia="Calibri" w:hAnsi="Calibri" w:cs="Calibri"/>
              <w:b/>
              <w:smallCaps/>
              <w:color w:val="000000"/>
              <w:sz w:val="20"/>
              <w:szCs w:val="20"/>
            </w:rPr>
            <w:tab/>
          </w:r>
          <w:r>
            <w:fldChar w:fldCharType="begin"/>
          </w:r>
          <w:r>
            <w:instrText xml:space="preserve"> PAGEREF _1fob9te \h </w:instrText>
          </w:r>
          <w:r>
            <w:fldChar w:fldCharType="separate"/>
          </w:r>
          <w:r>
            <w:rPr>
              <w:rFonts w:ascii="Calibri" w:eastAsia="Calibri" w:hAnsi="Calibri" w:cs="Calibri"/>
              <w:b/>
              <w:smallCaps/>
              <w:color w:val="000000"/>
              <w:sz w:val="20"/>
              <w:szCs w:val="20"/>
            </w:rPr>
            <w:t>5</w:t>
          </w:r>
          <w:r>
            <w:fldChar w:fldCharType="end"/>
          </w:r>
        </w:p>
        <w:p w14:paraId="55F0156F" w14:textId="77777777" w:rsidR="00DF4114" w:rsidRDefault="009F7A4D" w:rsidP="005F7180">
          <w:pPr>
            <w:tabs>
              <w:tab w:val="right" w:pos="8787"/>
            </w:tabs>
            <w:spacing w:before="60"/>
            <w:ind w:left="360"/>
            <w:jc w:val="center"/>
            <w:rPr>
              <w:rFonts w:ascii="Calibri" w:eastAsia="Calibri" w:hAnsi="Calibri" w:cs="Calibri"/>
              <w:smallCaps/>
              <w:color w:val="000000"/>
              <w:sz w:val="20"/>
              <w:szCs w:val="20"/>
            </w:rPr>
          </w:pPr>
          <w:hyperlink w:anchor="_3znysh7">
            <w:r>
              <w:rPr>
                <w:rFonts w:ascii="Calibri" w:eastAsia="Calibri" w:hAnsi="Calibri" w:cs="Calibri"/>
                <w:smallCaps/>
                <w:color w:val="000000"/>
                <w:sz w:val="20"/>
                <w:szCs w:val="20"/>
              </w:rPr>
              <w:t>Ley de igualdad de derechos y oportunidades</w:t>
            </w:r>
          </w:hyperlink>
          <w:r>
            <w:rPr>
              <w:rFonts w:ascii="Calibri" w:eastAsia="Calibri" w:hAnsi="Calibri" w:cs="Calibri"/>
              <w:smallCaps/>
              <w:color w:val="000000"/>
              <w:sz w:val="20"/>
              <w:szCs w:val="20"/>
            </w:rPr>
            <w:tab/>
          </w:r>
          <w:r>
            <w:fldChar w:fldCharType="begin"/>
          </w:r>
          <w:r>
            <w:instrText xml:space="preserve"> PAGEREF _3znysh7 \h </w:instrText>
          </w:r>
          <w:r>
            <w:fldChar w:fldCharType="separate"/>
          </w:r>
          <w:r>
            <w:rPr>
              <w:rFonts w:ascii="Calibri" w:eastAsia="Calibri" w:hAnsi="Calibri" w:cs="Calibri"/>
              <w:smallCaps/>
              <w:color w:val="000000"/>
              <w:sz w:val="20"/>
              <w:szCs w:val="20"/>
            </w:rPr>
            <w:t>5</w:t>
          </w:r>
          <w:r>
            <w:fldChar w:fldCharType="end"/>
          </w:r>
        </w:p>
        <w:p w14:paraId="76733177" w14:textId="77777777" w:rsidR="00DF4114" w:rsidRDefault="009F7A4D" w:rsidP="005F7180">
          <w:pPr>
            <w:tabs>
              <w:tab w:val="right" w:pos="8787"/>
            </w:tabs>
            <w:spacing w:before="60"/>
            <w:ind w:left="360"/>
            <w:jc w:val="center"/>
            <w:rPr>
              <w:rFonts w:ascii="Calibri" w:eastAsia="Calibri" w:hAnsi="Calibri" w:cs="Calibri"/>
              <w:smallCaps/>
              <w:color w:val="000000"/>
              <w:sz w:val="20"/>
              <w:szCs w:val="20"/>
            </w:rPr>
          </w:pPr>
          <w:hyperlink w:anchor="_2et92p0">
            <w:r>
              <w:rPr>
                <w:rFonts w:ascii="Calibri" w:eastAsia="Calibri" w:hAnsi="Calibri" w:cs="Calibri"/>
                <w:smallCaps/>
                <w:color w:val="000000"/>
                <w:sz w:val="20"/>
                <w:szCs w:val="20"/>
              </w:rPr>
              <w:t>El In</w:t>
            </w:r>
            <w:r>
              <w:rPr>
                <w:rFonts w:ascii="Calibri" w:eastAsia="Calibri" w:hAnsi="Calibri" w:cs="Calibri"/>
                <w:smallCaps/>
                <w:color w:val="000000"/>
                <w:sz w:val="20"/>
                <w:szCs w:val="20"/>
              </w:rPr>
              <w:t>stituto Nicaragüense de la Mujer</w:t>
            </w:r>
          </w:hyperlink>
          <w:r>
            <w:rPr>
              <w:rFonts w:ascii="Calibri" w:eastAsia="Calibri" w:hAnsi="Calibri" w:cs="Calibri"/>
              <w:smallCaps/>
              <w:color w:val="000000"/>
              <w:sz w:val="20"/>
              <w:szCs w:val="20"/>
            </w:rPr>
            <w:tab/>
          </w:r>
          <w:r>
            <w:fldChar w:fldCharType="begin"/>
          </w:r>
          <w:r>
            <w:instrText xml:space="preserve"> PAGEREF _2et92p0 \h </w:instrText>
          </w:r>
          <w:r>
            <w:fldChar w:fldCharType="separate"/>
          </w:r>
          <w:r>
            <w:rPr>
              <w:rFonts w:ascii="Calibri" w:eastAsia="Calibri" w:hAnsi="Calibri" w:cs="Calibri"/>
              <w:smallCaps/>
              <w:color w:val="000000"/>
              <w:sz w:val="20"/>
              <w:szCs w:val="20"/>
            </w:rPr>
            <w:t>5</w:t>
          </w:r>
          <w:r>
            <w:fldChar w:fldCharType="end"/>
          </w:r>
        </w:p>
        <w:p w14:paraId="3C3DA2E2" w14:textId="77777777" w:rsidR="00DF4114" w:rsidRDefault="009F7A4D" w:rsidP="005F7180">
          <w:pPr>
            <w:tabs>
              <w:tab w:val="right" w:pos="8787"/>
            </w:tabs>
            <w:spacing w:before="60"/>
            <w:ind w:left="360"/>
            <w:jc w:val="center"/>
            <w:rPr>
              <w:rFonts w:ascii="Calibri" w:eastAsia="Calibri" w:hAnsi="Calibri" w:cs="Calibri"/>
              <w:smallCaps/>
              <w:color w:val="000000"/>
              <w:sz w:val="20"/>
              <w:szCs w:val="20"/>
            </w:rPr>
          </w:pPr>
          <w:hyperlink w:anchor="_tyjcwt">
            <w:r>
              <w:rPr>
                <w:rFonts w:ascii="Calibri" w:eastAsia="Calibri" w:hAnsi="Calibri" w:cs="Calibri"/>
                <w:smallCaps/>
                <w:color w:val="000000"/>
                <w:sz w:val="20"/>
                <w:szCs w:val="20"/>
              </w:rPr>
              <w:t>Ley 779 Ley Integral contra la violencia contra las mujeres</w:t>
            </w:r>
          </w:hyperlink>
          <w:r>
            <w:rPr>
              <w:rFonts w:ascii="Calibri" w:eastAsia="Calibri" w:hAnsi="Calibri" w:cs="Calibri"/>
              <w:smallCaps/>
              <w:color w:val="000000"/>
              <w:sz w:val="20"/>
              <w:szCs w:val="20"/>
            </w:rPr>
            <w:tab/>
          </w:r>
          <w:r>
            <w:fldChar w:fldCharType="begin"/>
          </w:r>
          <w:r>
            <w:instrText xml:space="preserve"> PAGEREF _tyjcwt \h </w:instrText>
          </w:r>
          <w:r>
            <w:fldChar w:fldCharType="separate"/>
          </w:r>
          <w:r>
            <w:rPr>
              <w:rFonts w:ascii="Calibri" w:eastAsia="Calibri" w:hAnsi="Calibri" w:cs="Calibri"/>
              <w:smallCaps/>
              <w:color w:val="000000"/>
              <w:sz w:val="20"/>
              <w:szCs w:val="20"/>
            </w:rPr>
            <w:t>5</w:t>
          </w:r>
          <w:r>
            <w:fldChar w:fldCharType="end"/>
          </w:r>
        </w:p>
        <w:p w14:paraId="239E8D4C" w14:textId="77777777" w:rsidR="00DF4114" w:rsidRDefault="009F7A4D" w:rsidP="005F7180">
          <w:pPr>
            <w:tabs>
              <w:tab w:val="right" w:pos="8787"/>
            </w:tabs>
            <w:spacing w:before="60"/>
            <w:ind w:left="360"/>
            <w:jc w:val="center"/>
            <w:rPr>
              <w:rFonts w:ascii="Calibri" w:eastAsia="Calibri" w:hAnsi="Calibri" w:cs="Calibri"/>
              <w:smallCaps/>
              <w:color w:val="000000"/>
              <w:sz w:val="20"/>
              <w:szCs w:val="20"/>
            </w:rPr>
          </w:pPr>
          <w:hyperlink w:anchor="_3dy6vkm">
            <w:r>
              <w:rPr>
                <w:rFonts w:ascii="Calibri" w:eastAsia="Calibri" w:hAnsi="Calibri" w:cs="Calibri"/>
                <w:smallCaps/>
                <w:color w:val="000000"/>
                <w:sz w:val="20"/>
                <w:szCs w:val="20"/>
              </w:rPr>
              <w:t>Código De Familia Ley 870, Aprobada el 24 de junio de 2014</w:t>
            </w:r>
          </w:hyperlink>
          <w:r>
            <w:rPr>
              <w:rFonts w:ascii="Calibri" w:eastAsia="Calibri" w:hAnsi="Calibri" w:cs="Calibri"/>
              <w:smallCaps/>
              <w:color w:val="000000"/>
              <w:sz w:val="20"/>
              <w:szCs w:val="20"/>
            </w:rPr>
            <w:tab/>
          </w:r>
          <w:r>
            <w:fldChar w:fldCharType="begin"/>
          </w:r>
          <w:r>
            <w:instrText xml:space="preserve"> PAGEREF _3dy6vkm \h </w:instrText>
          </w:r>
          <w:r>
            <w:fldChar w:fldCharType="separate"/>
          </w:r>
          <w:r>
            <w:rPr>
              <w:rFonts w:ascii="Calibri" w:eastAsia="Calibri" w:hAnsi="Calibri" w:cs="Calibri"/>
              <w:smallCaps/>
              <w:color w:val="000000"/>
              <w:sz w:val="20"/>
              <w:szCs w:val="20"/>
            </w:rPr>
            <w:t>7</w:t>
          </w:r>
          <w:r>
            <w:fldChar w:fldCharType="end"/>
          </w:r>
        </w:p>
        <w:p w14:paraId="149F643E" w14:textId="77777777" w:rsidR="00DF4114" w:rsidRDefault="009F7A4D" w:rsidP="005F7180">
          <w:pPr>
            <w:tabs>
              <w:tab w:val="right" w:pos="8787"/>
            </w:tabs>
            <w:spacing w:before="60"/>
            <w:ind w:left="360"/>
            <w:jc w:val="center"/>
            <w:rPr>
              <w:rFonts w:ascii="Calibri" w:eastAsia="Calibri" w:hAnsi="Calibri" w:cs="Calibri"/>
              <w:smallCaps/>
              <w:color w:val="000000"/>
              <w:sz w:val="20"/>
              <w:szCs w:val="20"/>
            </w:rPr>
          </w:pPr>
          <w:hyperlink w:anchor="_1t3h5sf">
            <w:r>
              <w:rPr>
                <w:rFonts w:ascii="Calibri" w:eastAsia="Calibri" w:hAnsi="Calibri" w:cs="Calibri"/>
                <w:smallCaps/>
                <w:color w:val="000000"/>
                <w:sz w:val="20"/>
                <w:szCs w:val="20"/>
              </w:rPr>
              <w:t>Recomendaciones</w:t>
            </w:r>
          </w:hyperlink>
          <w:r>
            <w:rPr>
              <w:rFonts w:ascii="Calibri" w:eastAsia="Calibri" w:hAnsi="Calibri" w:cs="Calibri"/>
              <w:smallCaps/>
              <w:color w:val="000000"/>
              <w:sz w:val="20"/>
              <w:szCs w:val="20"/>
            </w:rPr>
            <w:tab/>
          </w:r>
          <w:r>
            <w:fldChar w:fldCharType="begin"/>
          </w:r>
          <w:r>
            <w:instrText xml:space="preserve"> PAGEREF _1t3h5sf \h </w:instrText>
          </w:r>
          <w:r>
            <w:fldChar w:fldCharType="separate"/>
          </w:r>
          <w:r>
            <w:rPr>
              <w:rFonts w:ascii="Calibri" w:eastAsia="Calibri" w:hAnsi="Calibri" w:cs="Calibri"/>
              <w:smallCaps/>
              <w:color w:val="000000"/>
              <w:sz w:val="20"/>
              <w:szCs w:val="20"/>
            </w:rPr>
            <w:t>8</w:t>
          </w:r>
          <w:r>
            <w:fldChar w:fldCharType="end"/>
          </w:r>
        </w:p>
        <w:p w14:paraId="41D56AE0" w14:textId="77777777" w:rsidR="00DF4114" w:rsidRDefault="009F7A4D" w:rsidP="005F7180">
          <w:pPr>
            <w:tabs>
              <w:tab w:val="right" w:pos="8787"/>
            </w:tabs>
            <w:spacing w:before="60"/>
            <w:ind w:left="1080"/>
            <w:jc w:val="center"/>
            <w:rPr>
              <w:rFonts w:ascii="Calibri" w:eastAsia="Calibri" w:hAnsi="Calibri" w:cs="Calibri"/>
              <w:smallCaps/>
              <w:color w:val="000000"/>
              <w:sz w:val="20"/>
              <w:szCs w:val="20"/>
            </w:rPr>
          </w:pPr>
          <w:hyperlink w:anchor="_4d34og8">
            <w:r>
              <w:rPr>
                <w:rFonts w:ascii="Calibri" w:eastAsia="Calibri" w:hAnsi="Calibri" w:cs="Calibri"/>
                <w:smallCaps/>
                <w:color w:val="000000"/>
                <w:sz w:val="20"/>
                <w:szCs w:val="20"/>
              </w:rPr>
              <w:t>El Estado de Nicaragua debería:</w:t>
            </w:r>
          </w:hyperlink>
          <w:r>
            <w:rPr>
              <w:rFonts w:ascii="Calibri" w:eastAsia="Calibri" w:hAnsi="Calibri" w:cs="Calibri"/>
              <w:smallCaps/>
              <w:color w:val="000000"/>
              <w:sz w:val="20"/>
              <w:szCs w:val="20"/>
            </w:rPr>
            <w:tab/>
          </w:r>
          <w:r>
            <w:fldChar w:fldCharType="begin"/>
          </w:r>
          <w:r>
            <w:instrText xml:space="preserve"> </w:instrText>
          </w:r>
          <w:r>
            <w:instrText xml:space="preserve">PAGEREF _4d34og8 \h </w:instrText>
          </w:r>
          <w:r>
            <w:fldChar w:fldCharType="separate"/>
          </w:r>
          <w:r>
            <w:rPr>
              <w:rFonts w:ascii="Calibri" w:eastAsia="Calibri" w:hAnsi="Calibri" w:cs="Calibri"/>
              <w:smallCaps/>
              <w:color w:val="000000"/>
              <w:sz w:val="20"/>
              <w:szCs w:val="20"/>
            </w:rPr>
            <w:t>8</w:t>
          </w:r>
          <w:r>
            <w:fldChar w:fldCharType="end"/>
          </w:r>
        </w:p>
        <w:p w14:paraId="3371F0BD" w14:textId="77777777" w:rsidR="00DF4114" w:rsidRDefault="009F7A4D" w:rsidP="005F7180">
          <w:pPr>
            <w:tabs>
              <w:tab w:val="right" w:pos="8787"/>
            </w:tabs>
            <w:spacing w:before="200"/>
            <w:jc w:val="center"/>
            <w:rPr>
              <w:rFonts w:ascii="Calibri" w:eastAsia="Calibri" w:hAnsi="Calibri" w:cs="Calibri"/>
              <w:b/>
              <w:smallCaps/>
              <w:color w:val="000000"/>
              <w:sz w:val="20"/>
              <w:szCs w:val="20"/>
            </w:rPr>
          </w:pPr>
          <w:hyperlink w:anchor="_2s8eyo1">
            <w:r>
              <w:rPr>
                <w:rFonts w:ascii="Calibri" w:eastAsia="Calibri" w:hAnsi="Calibri" w:cs="Calibri"/>
                <w:b/>
                <w:smallCaps/>
                <w:color w:val="000000"/>
                <w:sz w:val="20"/>
                <w:szCs w:val="20"/>
              </w:rPr>
              <w:t>Mujeres afrodescendientes.</w:t>
            </w:r>
          </w:hyperlink>
          <w:r>
            <w:rPr>
              <w:rFonts w:ascii="Calibri" w:eastAsia="Calibri" w:hAnsi="Calibri" w:cs="Calibri"/>
              <w:b/>
              <w:smallCaps/>
              <w:color w:val="000000"/>
              <w:sz w:val="20"/>
              <w:szCs w:val="20"/>
            </w:rPr>
            <w:tab/>
          </w:r>
          <w:r>
            <w:fldChar w:fldCharType="begin"/>
          </w:r>
          <w:r>
            <w:instrText xml:space="preserve"> PAGEREF _2s8eyo1 \h </w:instrText>
          </w:r>
          <w:r>
            <w:fldChar w:fldCharType="separate"/>
          </w:r>
          <w:r>
            <w:rPr>
              <w:rFonts w:ascii="Calibri" w:eastAsia="Calibri" w:hAnsi="Calibri" w:cs="Calibri"/>
              <w:b/>
              <w:smallCaps/>
              <w:color w:val="000000"/>
              <w:sz w:val="20"/>
              <w:szCs w:val="20"/>
            </w:rPr>
            <w:t>9</w:t>
          </w:r>
          <w:r>
            <w:fldChar w:fldCharType="end"/>
          </w:r>
        </w:p>
        <w:p w14:paraId="352D4293" w14:textId="77777777" w:rsidR="00DF4114" w:rsidRDefault="009F7A4D" w:rsidP="005F7180">
          <w:pPr>
            <w:tabs>
              <w:tab w:val="right" w:pos="8787"/>
            </w:tabs>
            <w:spacing w:before="60"/>
            <w:ind w:left="360"/>
            <w:jc w:val="center"/>
            <w:rPr>
              <w:rFonts w:ascii="Calibri" w:eastAsia="Calibri" w:hAnsi="Calibri" w:cs="Calibri"/>
              <w:smallCaps/>
              <w:color w:val="000000"/>
              <w:sz w:val="20"/>
              <w:szCs w:val="20"/>
            </w:rPr>
          </w:pPr>
          <w:hyperlink w:anchor="_17dp8vu">
            <w:r>
              <w:rPr>
                <w:rFonts w:ascii="Calibri" w:eastAsia="Calibri" w:hAnsi="Calibri" w:cs="Calibri"/>
                <w:smallCaps/>
                <w:color w:val="000000"/>
                <w:sz w:val="20"/>
                <w:szCs w:val="20"/>
              </w:rPr>
              <w:t>Contexto de las mujeres en la Costa Caribe Nicaragüense.</w:t>
            </w:r>
          </w:hyperlink>
          <w:r>
            <w:rPr>
              <w:rFonts w:ascii="Calibri" w:eastAsia="Calibri" w:hAnsi="Calibri" w:cs="Calibri"/>
              <w:smallCaps/>
              <w:color w:val="000000"/>
              <w:sz w:val="20"/>
              <w:szCs w:val="20"/>
            </w:rPr>
            <w:tab/>
          </w:r>
          <w:r>
            <w:fldChar w:fldCharType="begin"/>
          </w:r>
          <w:r>
            <w:instrText xml:space="preserve"> PAGEREF _17dp8vu \h </w:instrText>
          </w:r>
          <w:r>
            <w:fldChar w:fldCharType="separate"/>
          </w:r>
          <w:r>
            <w:rPr>
              <w:rFonts w:ascii="Calibri" w:eastAsia="Calibri" w:hAnsi="Calibri" w:cs="Calibri"/>
              <w:smallCaps/>
              <w:color w:val="000000"/>
              <w:sz w:val="20"/>
              <w:szCs w:val="20"/>
            </w:rPr>
            <w:t>9</w:t>
          </w:r>
          <w:r>
            <w:fldChar w:fldCharType="end"/>
          </w:r>
        </w:p>
        <w:p w14:paraId="0C118F35" w14:textId="10ABCB44" w:rsidR="00DF4114" w:rsidRDefault="009F7A4D" w:rsidP="005F7180">
          <w:pPr>
            <w:tabs>
              <w:tab w:val="right" w:pos="8787"/>
            </w:tabs>
            <w:spacing w:before="60"/>
            <w:ind w:left="360"/>
            <w:jc w:val="center"/>
            <w:rPr>
              <w:rFonts w:ascii="Calibri" w:eastAsia="Calibri" w:hAnsi="Calibri" w:cs="Calibri"/>
              <w:smallCaps/>
              <w:color w:val="000000"/>
              <w:sz w:val="20"/>
              <w:szCs w:val="20"/>
            </w:rPr>
          </w:pPr>
          <w:hyperlink w:anchor="_3rdcrjn">
            <w:r>
              <w:rPr>
                <w:rFonts w:ascii="Calibri" w:eastAsia="Calibri" w:hAnsi="Calibri" w:cs="Calibri"/>
                <w:smallCaps/>
                <w:color w:val="000000"/>
                <w:sz w:val="20"/>
                <w:szCs w:val="20"/>
              </w:rPr>
              <w:t>Desigualdades de Género:</w:t>
            </w:r>
          </w:hyperlink>
          <w:r>
            <w:rPr>
              <w:rFonts w:ascii="Calibri" w:eastAsia="Calibri" w:hAnsi="Calibri" w:cs="Calibri"/>
              <w:smallCaps/>
              <w:color w:val="000000"/>
              <w:sz w:val="20"/>
              <w:szCs w:val="20"/>
            </w:rPr>
            <w:tab/>
          </w:r>
          <w:r>
            <w:fldChar w:fldCharType="begin"/>
          </w:r>
          <w:r>
            <w:instrText xml:space="preserve"> PAGEREF _3rdcrjn \h </w:instrText>
          </w:r>
          <w:r>
            <w:fldChar w:fldCharType="separate"/>
          </w:r>
          <w:r>
            <w:rPr>
              <w:rFonts w:ascii="Calibri" w:eastAsia="Calibri" w:hAnsi="Calibri" w:cs="Calibri"/>
              <w:smallCaps/>
              <w:color w:val="000000"/>
              <w:sz w:val="20"/>
              <w:szCs w:val="20"/>
            </w:rPr>
            <w:t>9</w:t>
          </w:r>
          <w:r>
            <w:fldChar w:fldCharType="end"/>
          </w:r>
        </w:p>
        <w:p w14:paraId="18AFA3F2" w14:textId="77777777" w:rsidR="00DF4114" w:rsidRDefault="009F7A4D" w:rsidP="005F7180">
          <w:pPr>
            <w:tabs>
              <w:tab w:val="right" w:pos="8787"/>
            </w:tabs>
            <w:spacing w:before="200"/>
            <w:jc w:val="center"/>
            <w:rPr>
              <w:rFonts w:ascii="Calibri" w:eastAsia="Calibri" w:hAnsi="Calibri" w:cs="Calibri"/>
              <w:b/>
              <w:smallCaps/>
              <w:color w:val="000000"/>
              <w:sz w:val="20"/>
              <w:szCs w:val="20"/>
            </w:rPr>
          </w:pPr>
          <w:hyperlink w:anchor="_lnxbz9">
            <w:r>
              <w:rPr>
                <w:rFonts w:ascii="Calibri" w:eastAsia="Calibri" w:hAnsi="Calibri" w:cs="Calibri"/>
                <w:b/>
                <w:smallCaps/>
                <w:color w:val="000000"/>
                <w:sz w:val="20"/>
                <w:szCs w:val="20"/>
              </w:rPr>
              <w:t>Mujer Rural (Artículo 14 CEDAW)</w:t>
            </w:r>
          </w:hyperlink>
          <w:r>
            <w:rPr>
              <w:rFonts w:ascii="Calibri" w:eastAsia="Calibri" w:hAnsi="Calibri" w:cs="Calibri"/>
              <w:b/>
              <w:smallCaps/>
              <w:color w:val="000000"/>
              <w:sz w:val="20"/>
              <w:szCs w:val="20"/>
            </w:rPr>
            <w:tab/>
          </w:r>
          <w:r>
            <w:fldChar w:fldCharType="begin"/>
          </w:r>
          <w:r>
            <w:instrText xml:space="preserve"> PAGEREF _lnxbz9 \h </w:instrText>
          </w:r>
          <w:r>
            <w:fldChar w:fldCharType="separate"/>
          </w:r>
          <w:r>
            <w:rPr>
              <w:rFonts w:ascii="Calibri" w:eastAsia="Calibri" w:hAnsi="Calibri" w:cs="Calibri"/>
              <w:b/>
              <w:smallCaps/>
              <w:color w:val="000000"/>
              <w:sz w:val="20"/>
              <w:szCs w:val="20"/>
            </w:rPr>
            <w:t>10</w:t>
          </w:r>
          <w:r>
            <w:fldChar w:fldCharType="end"/>
          </w:r>
        </w:p>
        <w:p w14:paraId="25313D87" w14:textId="77777777" w:rsidR="00DF4114" w:rsidRDefault="009F7A4D" w:rsidP="005F7180">
          <w:pPr>
            <w:tabs>
              <w:tab w:val="right" w:pos="8787"/>
            </w:tabs>
            <w:spacing w:before="60"/>
            <w:ind w:left="360"/>
            <w:jc w:val="center"/>
            <w:rPr>
              <w:rFonts w:ascii="Calibri" w:eastAsia="Calibri" w:hAnsi="Calibri" w:cs="Calibri"/>
              <w:smallCaps/>
              <w:color w:val="000000"/>
              <w:sz w:val="20"/>
              <w:szCs w:val="20"/>
            </w:rPr>
          </w:pPr>
          <w:hyperlink w:anchor="_35nkun2">
            <w:r>
              <w:rPr>
                <w:rFonts w:ascii="Calibri" w:eastAsia="Calibri" w:hAnsi="Calibri" w:cs="Calibri"/>
                <w:smallCaps/>
                <w:color w:val="000000"/>
                <w:sz w:val="20"/>
                <w:szCs w:val="20"/>
              </w:rPr>
              <w:t>Situación de la mujer rural nicaragüense en el contexto actual:</w:t>
            </w:r>
          </w:hyperlink>
          <w:r>
            <w:rPr>
              <w:rFonts w:ascii="Calibri" w:eastAsia="Calibri" w:hAnsi="Calibri" w:cs="Calibri"/>
              <w:smallCaps/>
              <w:color w:val="000000"/>
              <w:sz w:val="20"/>
              <w:szCs w:val="20"/>
            </w:rPr>
            <w:tab/>
          </w:r>
          <w:r>
            <w:fldChar w:fldCharType="begin"/>
          </w:r>
          <w:r>
            <w:instrText xml:space="preserve"> PAGEREF _35nkun2 \h </w:instrText>
          </w:r>
          <w:r>
            <w:fldChar w:fldCharType="separate"/>
          </w:r>
          <w:r>
            <w:rPr>
              <w:rFonts w:ascii="Calibri" w:eastAsia="Calibri" w:hAnsi="Calibri" w:cs="Calibri"/>
              <w:smallCaps/>
              <w:color w:val="000000"/>
              <w:sz w:val="20"/>
              <w:szCs w:val="20"/>
            </w:rPr>
            <w:t>10</w:t>
          </w:r>
          <w:r>
            <w:fldChar w:fldCharType="end"/>
          </w:r>
        </w:p>
        <w:p w14:paraId="6D1229E0" w14:textId="77777777" w:rsidR="00DF4114" w:rsidRDefault="009F7A4D" w:rsidP="005F7180">
          <w:pPr>
            <w:tabs>
              <w:tab w:val="right" w:pos="8787"/>
            </w:tabs>
            <w:spacing w:before="60"/>
            <w:ind w:left="360"/>
            <w:jc w:val="center"/>
            <w:rPr>
              <w:rFonts w:ascii="Calibri" w:eastAsia="Calibri" w:hAnsi="Calibri" w:cs="Calibri"/>
              <w:smallCaps/>
              <w:color w:val="000000"/>
              <w:sz w:val="20"/>
              <w:szCs w:val="20"/>
            </w:rPr>
          </w:pPr>
          <w:hyperlink w:anchor="_1ksv4uv">
            <w:r>
              <w:rPr>
                <w:rFonts w:ascii="Calibri" w:eastAsia="Calibri" w:hAnsi="Calibri" w:cs="Calibri"/>
                <w:smallCaps/>
                <w:color w:val="000000"/>
                <w:sz w:val="20"/>
                <w:szCs w:val="20"/>
              </w:rPr>
              <w:t>Acceso a la tierra y propiedad:</w:t>
            </w:r>
          </w:hyperlink>
          <w:r>
            <w:rPr>
              <w:rFonts w:ascii="Calibri" w:eastAsia="Calibri" w:hAnsi="Calibri" w:cs="Calibri"/>
              <w:smallCaps/>
              <w:color w:val="000000"/>
              <w:sz w:val="20"/>
              <w:szCs w:val="20"/>
            </w:rPr>
            <w:tab/>
          </w:r>
          <w:r>
            <w:fldChar w:fldCharType="begin"/>
          </w:r>
          <w:r>
            <w:instrText xml:space="preserve"> PAGEREF _1ksv4uv \h </w:instrText>
          </w:r>
          <w:r>
            <w:fldChar w:fldCharType="separate"/>
          </w:r>
          <w:r>
            <w:rPr>
              <w:rFonts w:ascii="Calibri" w:eastAsia="Calibri" w:hAnsi="Calibri" w:cs="Calibri"/>
              <w:smallCaps/>
              <w:color w:val="000000"/>
              <w:sz w:val="20"/>
              <w:szCs w:val="20"/>
            </w:rPr>
            <w:t>11</w:t>
          </w:r>
          <w:r>
            <w:fldChar w:fldCharType="end"/>
          </w:r>
        </w:p>
        <w:p w14:paraId="6CDD5B4D" w14:textId="77777777" w:rsidR="00DF4114" w:rsidRDefault="009F7A4D" w:rsidP="005F7180">
          <w:pPr>
            <w:tabs>
              <w:tab w:val="right" w:pos="8787"/>
            </w:tabs>
            <w:spacing w:before="60"/>
            <w:ind w:left="360"/>
            <w:jc w:val="center"/>
            <w:rPr>
              <w:rFonts w:ascii="Calibri" w:eastAsia="Calibri" w:hAnsi="Calibri" w:cs="Calibri"/>
              <w:smallCaps/>
              <w:color w:val="000000"/>
              <w:sz w:val="20"/>
              <w:szCs w:val="20"/>
            </w:rPr>
          </w:pPr>
          <w:hyperlink w:anchor="_44sinio">
            <w:r>
              <w:rPr>
                <w:rFonts w:ascii="Calibri" w:eastAsia="Calibri" w:hAnsi="Calibri" w:cs="Calibri"/>
                <w:smallCaps/>
                <w:color w:val="000000"/>
                <w:sz w:val="20"/>
                <w:szCs w:val="20"/>
              </w:rPr>
              <w:t>Recomendaciones</w:t>
            </w:r>
          </w:hyperlink>
          <w:r>
            <w:rPr>
              <w:rFonts w:ascii="Calibri" w:eastAsia="Calibri" w:hAnsi="Calibri" w:cs="Calibri"/>
              <w:smallCaps/>
              <w:color w:val="000000"/>
              <w:sz w:val="20"/>
              <w:szCs w:val="20"/>
            </w:rPr>
            <w:tab/>
          </w:r>
          <w:r>
            <w:fldChar w:fldCharType="begin"/>
          </w:r>
          <w:r>
            <w:instrText xml:space="preserve"> PAGEREF _44sinio \h </w:instrText>
          </w:r>
          <w:r>
            <w:fldChar w:fldCharType="separate"/>
          </w:r>
          <w:r>
            <w:rPr>
              <w:rFonts w:ascii="Calibri" w:eastAsia="Calibri" w:hAnsi="Calibri" w:cs="Calibri"/>
              <w:smallCaps/>
              <w:color w:val="000000"/>
              <w:sz w:val="20"/>
              <w:szCs w:val="20"/>
            </w:rPr>
            <w:t>11</w:t>
          </w:r>
          <w:r>
            <w:fldChar w:fldCharType="end"/>
          </w:r>
        </w:p>
        <w:p w14:paraId="03048C97" w14:textId="77777777" w:rsidR="00DF4114" w:rsidRDefault="009F7A4D" w:rsidP="005F7180">
          <w:pPr>
            <w:tabs>
              <w:tab w:val="right" w:pos="8787"/>
            </w:tabs>
            <w:spacing w:before="60"/>
            <w:ind w:left="720"/>
            <w:jc w:val="center"/>
            <w:rPr>
              <w:rFonts w:ascii="Calibri" w:eastAsia="Calibri" w:hAnsi="Calibri" w:cs="Calibri"/>
              <w:smallCaps/>
              <w:color w:val="000000"/>
              <w:sz w:val="20"/>
              <w:szCs w:val="20"/>
            </w:rPr>
          </w:pPr>
          <w:hyperlink w:anchor="_2jxsxqh">
            <w:r>
              <w:rPr>
                <w:rFonts w:ascii="Calibri" w:eastAsia="Calibri" w:hAnsi="Calibri" w:cs="Calibri"/>
                <w:smallCaps/>
                <w:color w:val="000000"/>
                <w:sz w:val="20"/>
                <w:szCs w:val="20"/>
              </w:rPr>
              <w:t>El estado nicaragüense debería</w:t>
            </w:r>
          </w:hyperlink>
          <w:r>
            <w:rPr>
              <w:rFonts w:ascii="Calibri" w:eastAsia="Calibri" w:hAnsi="Calibri" w:cs="Calibri"/>
              <w:smallCaps/>
              <w:color w:val="000000"/>
              <w:sz w:val="20"/>
              <w:szCs w:val="20"/>
            </w:rPr>
            <w:tab/>
          </w:r>
          <w:r>
            <w:fldChar w:fldCharType="begin"/>
          </w:r>
          <w:r>
            <w:instrText xml:space="preserve"> PAGEREF _2jxsxqh \h </w:instrText>
          </w:r>
          <w:r>
            <w:fldChar w:fldCharType="separate"/>
          </w:r>
          <w:r>
            <w:rPr>
              <w:rFonts w:ascii="Calibri" w:eastAsia="Calibri" w:hAnsi="Calibri" w:cs="Calibri"/>
              <w:smallCaps/>
              <w:color w:val="000000"/>
              <w:sz w:val="20"/>
              <w:szCs w:val="20"/>
            </w:rPr>
            <w:t>11</w:t>
          </w:r>
          <w:r>
            <w:fldChar w:fldCharType="end"/>
          </w:r>
        </w:p>
        <w:p w14:paraId="60923AD2" w14:textId="77777777" w:rsidR="00DF4114" w:rsidRDefault="009F7A4D" w:rsidP="005F7180">
          <w:pPr>
            <w:tabs>
              <w:tab w:val="right" w:pos="8787"/>
            </w:tabs>
            <w:spacing w:before="200"/>
            <w:jc w:val="center"/>
            <w:rPr>
              <w:rFonts w:ascii="Calibri" w:eastAsia="Calibri" w:hAnsi="Calibri" w:cs="Calibri"/>
              <w:b/>
              <w:smallCaps/>
              <w:color w:val="000000"/>
              <w:sz w:val="20"/>
              <w:szCs w:val="20"/>
            </w:rPr>
          </w:pPr>
          <w:hyperlink w:anchor="_z337ya">
            <w:r>
              <w:rPr>
                <w:rFonts w:ascii="Calibri" w:eastAsia="Calibri" w:hAnsi="Calibri" w:cs="Calibri"/>
                <w:b/>
                <w:smallCaps/>
                <w:color w:val="000000"/>
                <w:sz w:val="20"/>
                <w:szCs w:val="20"/>
              </w:rPr>
              <w:t>Igualdad de Derechos en la Esfera de la Salud</w:t>
            </w:r>
          </w:hyperlink>
          <w:r>
            <w:rPr>
              <w:rFonts w:ascii="Calibri" w:eastAsia="Calibri" w:hAnsi="Calibri" w:cs="Calibri"/>
              <w:b/>
              <w:smallCaps/>
              <w:color w:val="000000"/>
              <w:sz w:val="20"/>
              <w:szCs w:val="20"/>
            </w:rPr>
            <w:tab/>
          </w:r>
          <w:r>
            <w:fldChar w:fldCharType="begin"/>
          </w:r>
          <w:r>
            <w:instrText xml:space="preserve"> PAGEREF _z337ya \h </w:instrText>
          </w:r>
          <w:r>
            <w:fldChar w:fldCharType="separate"/>
          </w:r>
          <w:r>
            <w:rPr>
              <w:rFonts w:ascii="Calibri" w:eastAsia="Calibri" w:hAnsi="Calibri" w:cs="Calibri"/>
              <w:b/>
              <w:smallCaps/>
              <w:color w:val="000000"/>
              <w:sz w:val="20"/>
              <w:szCs w:val="20"/>
            </w:rPr>
            <w:t>12</w:t>
          </w:r>
          <w:r>
            <w:fldChar w:fldCharType="end"/>
          </w:r>
        </w:p>
        <w:p w14:paraId="11A36EBB" w14:textId="63B15C13" w:rsidR="00E47BE4" w:rsidRDefault="005F7180" w:rsidP="005F7180">
          <w:pPr>
            <w:tabs>
              <w:tab w:val="right" w:pos="8787"/>
            </w:tabs>
            <w:spacing w:before="60"/>
            <w:ind w:left="360"/>
            <w:rPr>
              <w:rFonts w:ascii="Calibri" w:eastAsia="Calibri" w:hAnsi="Calibri" w:cs="Calibri"/>
              <w:smallCaps/>
              <w:color w:val="000000"/>
              <w:sz w:val="20"/>
              <w:szCs w:val="20"/>
            </w:rPr>
          </w:pPr>
          <w:r>
            <w:t xml:space="preserve">        </w:t>
          </w:r>
          <w:hyperlink w:anchor="_3j2qqm3">
            <w:r w:rsidR="009F7A4D">
              <w:rPr>
                <w:rFonts w:ascii="Calibri" w:eastAsia="Calibri" w:hAnsi="Calibri" w:cs="Calibri"/>
                <w:smallCaps/>
                <w:color w:val="000000"/>
                <w:sz w:val="20"/>
                <w:szCs w:val="20"/>
              </w:rPr>
              <w:t>Pandemia de COVID 19</w:t>
            </w:r>
          </w:hyperlink>
        </w:p>
        <w:p w14:paraId="64E76C72" w14:textId="45DBBFE5" w:rsidR="00DF4114" w:rsidRDefault="00E47BE4" w:rsidP="005F7180">
          <w:pPr>
            <w:tabs>
              <w:tab w:val="right" w:pos="8787"/>
            </w:tabs>
            <w:spacing w:before="60"/>
            <w:ind w:left="360"/>
            <w:jc w:val="center"/>
            <w:rPr>
              <w:rFonts w:ascii="Calibri" w:eastAsia="Calibri" w:hAnsi="Calibri" w:cs="Calibri"/>
              <w:smallCaps/>
              <w:color w:val="000000"/>
              <w:sz w:val="20"/>
              <w:szCs w:val="20"/>
            </w:rPr>
          </w:pPr>
          <w:hyperlink w:anchor="_26in1rg">
            <w:r>
              <w:rPr>
                <w:rFonts w:ascii="Calibri" w:eastAsia="Calibri" w:hAnsi="Calibri" w:cs="Calibri"/>
                <w:smallCaps/>
                <w:color w:val="000000"/>
                <w:sz w:val="20"/>
                <w:szCs w:val="20"/>
              </w:rPr>
              <w:t>Salud Sexual y Reproductiva:</w:t>
            </w:r>
          </w:hyperlink>
          <w:r w:rsidR="009F7A4D">
            <w:rPr>
              <w:rFonts w:ascii="Calibri" w:eastAsia="Calibri" w:hAnsi="Calibri" w:cs="Calibri"/>
              <w:smallCaps/>
              <w:color w:val="000000"/>
              <w:sz w:val="20"/>
              <w:szCs w:val="20"/>
            </w:rPr>
            <w:tab/>
          </w:r>
          <w:r w:rsidR="009F7A4D">
            <w:fldChar w:fldCharType="begin"/>
          </w:r>
          <w:r w:rsidR="009F7A4D">
            <w:instrText xml:space="preserve"> PAGEREF _3j2qqm3 \h </w:instrText>
          </w:r>
          <w:r w:rsidR="009F7A4D">
            <w:fldChar w:fldCharType="separate"/>
          </w:r>
          <w:r w:rsidR="009F7A4D">
            <w:rPr>
              <w:rFonts w:ascii="Calibri" w:eastAsia="Calibri" w:hAnsi="Calibri" w:cs="Calibri"/>
              <w:smallCaps/>
              <w:color w:val="000000"/>
              <w:sz w:val="20"/>
              <w:szCs w:val="20"/>
            </w:rPr>
            <w:t>12</w:t>
          </w:r>
          <w:r w:rsidR="009F7A4D">
            <w:fldChar w:fldCharType="end"/>
          </w:r>
        </w:p>
        <w:p w14:paraId="1D38404F" w14:textId="77777777" w:rsidR="00DF4114" w:rsidRDefault="009F7A4D" w:rsidP="005F7180">
          <w:pPr>
            <w:tabs>
              <w:tab w:val="right" w:pos="8787"/>
            </w:tabs>
            <w:spacing w:before="60"/>
            <w:ind w:left="360"/>
            <w:jc w:val="center"/>
            <w:rPr>
              <w:rFonts w:ascii="Calibri" w:eastAsia="Calibri" w:hAnsi="Calibri" w:cs="Calibri"/>
              <w:smallCaps/>
              <w:color w:val="000000"/>
              <w:sz w:val="20"/>
              <w:szCs w:val="20"/>
            </w:rPr>
          </w:pPr>
          <w:hyperlink w:anchor="_1y810tw">
            <w:r>
              <w:rPr>
                <w:rFonts w:ascii="Calibri" w:eastAsia="Calibri" w:hAnsi="Calibri" w:cs="Calibri"/>
                <w:smallCaps/>
                <w:color w:val="000000"/>
                <w:sz w:val="20"/>
                <w:szCs w:val="20"/>
              </w:rPr>
              <w:t>Infecciones de Transmisión Sexual y el VIH</w:t>
            </w:r>
          </w:hyperlink>
          <w:r>
            <w:rPr>
              <w:rFonts w:ascii="Calibri" w:eastAsia="Calibri" w:hAnsi="Calibri" w:cs="Calibri"/>
              <w:smallCaps/>
              <w:color w:val="000000"/>
              <w:sz w:val="20"/>
              <w:szCs w:val="20"/>
            </w:rPr>
            <w:tab/>
          </w:r>
          <w:r>
            <w:fldChar w:fldCharType="begin"/>
          </w:r>
          <w:r>
            <w:instrText xml:space="preserve"> PAGEREF _1y810tw \h </w:instrText>
          </w:r>
          <w:r>
            <w:fldChar w:fldCharType="separate"/>
          </w:r>
          <w:r>
            <w:rPr>
              <w:rFonts w:ascii="Calibri" w:eastAsia="Calibri" w:hAnsi="Calibri" w:cs="Calibri"/>
              <w:smallCaps/>
              <w:color w:val="000000"/>
              <w:sz w:val="20"/>
              <w:szCs w:val="20"/>
            </w:rPr>
            <w:t>13</w:t>
          </w:r>
          <w:r>
            <w:fldChar w:fldCharType="end"/>
          </w:r>
        </w:p>
        <w:p w14:paraId="1207E9F3" w14:textId="77777777" w:rsidR="00DF4114" w:rsidRDefault="009F7A4D" w:rsidP="005F7180">
          <w:pPr>
            <w:tabs>
              <w:tab w:val="right" w:pos="8787"/>
            </w:tabs>
            <w:spacing w:before="60"/>
            <w:ind w:left="360"/>
            <w:jc w:val="center"/>
            <w:rPr>
              <w:rFonts w:ascii="Calibri" w:eastAsia="Calibri" w:hAnsi="Calibri" w:cs="Calibri"/>
              <w:smallCaps/>
              <w:color w:val="000000"/>
              <w:sz w:val="20"/>
              <w:szCs w:val="20"/>
            </w:rPr>
          </w:pPr>
          <w:hyperlink w:anchor="_4i7ojhp">
            <w:r>
              <w:rPr>
                <w:rFonts w:ascii="Calibri" w:eastAsia="Calibri" w:hAnsi="Calibri" w:cs="Calibri"/>
                <w:smallCaps/>
                <w:color w:val="000000"/>
                <w:sz w:val="20"/>
                <w:szCs w:val="20"/>
              </w:rPr>
              <w:t>Penal</w:t>
            </w:r>
            <w:r>
              <w:rPr>
                <w:rFonts w:ascii="Calibri" w:eastAsia="Calibri" w:hAnsi="Calibri" w:cs="Calibri"/>
                <w:smallCaps/>
                <w:color w:val="000000"/>
                <w:sz w:val="20"/>
                <w:szCs w:val="20"/>
              </w:rPr>
              <w:t>ización del aborto terapéutico y su impacto en la vida de las mujeres</w:t>
            </w:r>
          </w:hyperlink>
          <w:r>
            <w:rPr>
              <w:rFonts w:ascii="Calibri" w:eastAsia="Calibri" w:hAnsi="Calibri" w:cs="Calibri"/>
              <w:smallCaps/>
              <w:color w:val="000000"/>
              <w:sz w:val="20"/>
              <w:szCs w:val="20"/>
            </w:rPr>
            <w:tab/>
          </w:r>
          <w:r>
            <w:fldChar w:fldCharType="begin"/>
          </w:r>
          <w:r>
            <w:instrText xml:space="preserve"> PAGEREF _4i7ojhp \h </w:instrText>
          </w:r>
          <w:r>
            <w:fldChar w:fldCharType="separate"/>
          </w:r>
          <w:r>
            <w:rPr>
              <w:rFonts w:ascii="Calibri" w:eastAsia="Calibri" w:hAnsi="Calibri" w:cs="Calibri"/>
              <w:smallCaps/>
              <w:color w:val="000000"/>
              <w:sz w:val="20"/>
              <w:szCs w:val="20"/>
            </w:rPr>
            <w:t>13</w:t>
          </w:r>
          <w:r>
            <w:fldChar w:fldCharType="end"/>
          </w:r>
        </w:p>
        <w:p w14:paraId="54A6BB2F" w14:textId="77777777" w:rsidR="00DF4114" w:rsidRDefault="009F7A4D" w:rsidP="005F7180">
          <w:pPr>
            <w:tabs>
              <w:tab w:val="right" w:pos="8787"/>
            </w:tabs>
            <w:spacing w:before="60"/>
            <w:ind w:left="360"/>
            <w:jc w:val="center"/>
            <w:rPr>
              <w:rFonts w:ascii="Calibri" w:eastAsia="Calibri" w:hAnsi="Calibri" w:cs="Calibri"/>
              <w:smallCaps/>
              <w:color w:val="000000"/>
              <w:sz w:val="20"/>
              <w:szCs w:val="20"/>
            </w:rPr>
          </w:pPr>
          <w:hyperlink w:anchor="_2xcytpi">
            <w:r>
              <w:rPr>
                <w:rFonts w:ascii="Calibri" w:eastAsia="Calibri" w:hAnsi="Calibri" w:cs="Calibri"/>
                <w:smallCaps/>
                <w:color w:val="000000"/>
                <w:sz w:val="20"/>
                <w:szCs w:val="20"/>
              </w:rPr>
              <w:t>Recomendaciones</w:t>
            </w:r>
          </w:hyperlink>
          <w:r>
            <w:rPr>
              <w:rFonts w:ascii="Calibri" w:eastAsia="Calibri" w:hAnsi="Calibri" w:cs="Calibri"/>
              <w:smallCaps/>
              <w:color w:val="000000"/>
              <w:sz w:val="20"/>
              <w:szCs w:val="20"/>
            </w:rPr>
            <w:tab/>
          </w:r>
          <w:r>
            <w:fldChar w:fldCharType="begin"/>
          </w:r>
          <w:r>
            <w:instrText xml:space="preserve"> PAGEREF _2xcytpi \h </w:instrText>
          </w:r>
          <w:r>
            <w:fldChar w:fldCharType="separate"/>
          </w:r>
          <w:r>
            <w:rPr>
              <w:rFonts w:ascii="Calibri" w:eastAsia="Calibri" w:hAnsi="Calibri" w:cs="Calibri"/>
              <w:smallCaps/>
              <w:color w:val="000000"/>
              <w:sz w:val="20"/>
              <w:szCs w:val="20"/>
            </w:rPr>
            <w:t>14</w:t>
          </w:r>
          <w:r>
            <w:fldChar w:fldCharType="end"/>
          </w:r>
        </w:p>
        <w:p w14:paraId="1B67E4D9" w14:textId="77777777" w:rsidR="00DF4114" w:rsidRDefault="009F7A4D" w:rsidP="005F7180">
          <w:pPr>
            <w:tabs>
              <w:tab w:val="right" w:pos="8787"/>
            </w:tabs>
            <w:spacing w:before="60" w:after="80"/>
            <w:ind w:left="1080"/>
            <w:jc w:val="center"/>
            <w:rPr>
              <w:rFonts w:ascii="Calibri" w:eastAsia="Calibri" w:hAnsi="Calibri" w:cs="Calibri"/>
              <w:smallCaps/>
              <w:color w:val="000000"/>
              <w:sz w:val="20"/>
              <w:szCs w:val="20"/>
            </w:rPr>
          </w:pPr>
          <w:hyperlink w:anchor="_41khe2wu21un">
            <w:r>
              <w:rPr>
                <w:rFonts w:ascii="Calibri" w:eastAsia="Calibri" w:hAnsi="Calibri" w:cs="Calibri"/>
                <w:smallCaps/>
                <w:color w:val="000000"/>
                <w:sz w:val="20"/>
                <w:szCs w:val="20"/>
              </w:rPr>
              <w:t>El estado nicaragüense debería</w:t>
            </w:r>
          </w:hyperlink>
          <w:r>
            <w:rPr>
              <w:rFonts w:ascii="Calibri" w:eastAsia="Calibri" w:hAnsi="Calibri" w:cs="Calibri"/>
              <w:smallCaps/>
              <w:color w:val="000000"/>
              <w:sz w:val="20"/>
              <w:szCs w:val="20"/>
            </w:rPr>
            <w:tab/>
          </w:r>
          <w:r>
            <w:fldChar w:fldCharType="begin"/>
          </w:r>
          <w:r>
            <w:instrText xml:space="preserve"> PAGEREF _41khe2wu21un \h </w:instrText>
          </w:r>
          <w:r>
            <w:fldChar w:fldCharType="separate"/>
          </w:r>
          <w:r>
            <w:rPr>
              <w:rFonts w:ascii="Calibri" w:eastAsia="Calibri" w:hAnsi="Calibri" w:cs="Calibri"/>
              <w:smallCaps/>
              <w:color w:val="000000"/>
              <w:sz w:val="20"/>
              <w:szCs w:val="20"/>
            </w:rPr>
            <w:t>14</w:t>
          </w:r>
          <w:r>
            <w:fldChar w:fldCharType="end"/>
          </w:r>
          <w:r>
            <w:fldChar w:fldCharType="end"/>
          </w:r>
        </w:p>
      </w:sdtContent>
    </w:sdt>
    <w:p w14:paraId="7BC32C73" w14:textId="77777777" w:rsidR="00DF4114" w:rsidRDefault="009F7A4D">
      <w:pPr>
        <w:keepNext/>
        <w:keepLines/>
        <w:pBdr>
          <w:top w:val="nil"/>
          <w:left w:val="nil"/>
          <w:bottom w:val="nil"/>
          <w:right w:val="nil"/>
          <w:between w:val="nil"/>
        </w:pBdr>
        <w:spacing w:before="240" w:line="254" w:lineRule="auto"/>
        <w:ind w:left="720"/>
        <w:jc w:val="both"/>
        <w:rPr>
          <w:rFonts w:ascii="Calibri" w:eastAsia="Calibri" w:hAnsi="Calibri" w:cs="Calibri"/>
          <w:color w:val="2F5496"/>
          <w:sz w:val="32"/>
          <w:szCs w:val="32"/>
        </w:rPr>
      </w:pPr>
      <w:r>
        <w:br w:type="page"/>
      </w:r>
    </w:p>
    <w:p w14:paraId="098D2CE5" w14:textId="77777777" w:rsidR="00DF4114" w:rsidRDefault="00DF4114">
      <w:pPr>
        <w:pBdr>
          <w:top w:val="nil"/>
          <w:left w:val="nil"/>
          <w:bottom w:val="nil"/>
          <w:right w:val="nil"/>
          <w:between w:val="nil"/>
        </w:pBdr>
        <w:jc w:val="both"/>
        <w:rPr>
          <w:rFonts w:ascii="Calibri" w:eastAsia="Calibri" w:hAnsi="Calibri" w:cs="Calibri"/>
          <w:color w:val="000000"/>
        </w:rPr>
      </w:pPr>
    </w:p>
    <w:p w14:paraId="07FFFD13" w14:textId="77777777" w:rsidR="00DF4114" w:rsidRDefault="00DF4114">
      <w:pPr>
        <w:jc w:val="both"/>
      </w:pPr>
    </w:p>
    <w:p w14:paraId="029C7801" w14:textId="77777777" w:rsidR="00DF4114" w:rsidRDefault="009F7A4D">
      <w:pPr>
        <w:pStyle w:val="Heading1"/>
        <w:numPr>
          <w:ilvl w:val="0"/>
          <w:numId w:val="2"/>
        </w:numPr>
        <w:spacing w:before="0" w:after="240"/>
        <w:ind w:firstLine="0"/>
      </w:pPr>
      <w:bookmarkStart w:id="1" w:name="_30j0zll" w:colFirst="0" w:colLast="0"/>
      <w:bookmarkEnd w:id="1"/>
      <w:r>
        <w:t>Introducción</w:t>
      </w:r>
    </w:p>
    <w:p w14:paraId="47B47762" w14:textId="77777777" w:rsidR="00DF4114" w:rsidRDefault="009F7A4D">
      <w:pPr>
        <w:pBdr>
          <w:top w:val="nil"/>
          <w:left w:val="nil"/>
          <w:bottom w:val="nil"/>
          <w:right w:val="nil"/>
          <w:between w:val="nil"/>
        </w:pBdr>
        <w:jc w:val="both"/>
        <w:rPr>
          <w:rFonts w:ascii="Calibri" w:eastAsia="Calibri" w:hAnsi="Calibri" w:cs="Calibri"/>
          <w:color w:val="000000"/>
        </w:rPr>
      </w:pPr>
      <w:r>
        <w:rPr>
          <w:rFonts w:ascii="Calibri" w:eastAsia="Calibri" w:hAnsi="Calibri" w:cs="Calibri"/>
          <w:color w:val="000000"/>
        </w:rPr>
        <w:t xml:space="preserve">En este Informe expondremos una mirada parcial de las múltiples dificultades sociales que actualmente enfrentan las mujeres en Nicaragua, haremos énfasis en </w:t>
      </w:r>
      <w:proofErr w:type="spellStart"/>
      <w:proofErr w:type="gramStart"/>
      <w:r>
        <w:rPr>
          <w:rFonts w:ascii="Calibri" w:eastAsia="Calibri" w:hAnsi="Calibri" w:cs="Calibri"/>
          <w:color w:val="000000"/>
        </w:rPr>
        <w:t>en</w:t>
      </w:r>
      <w:proofErr w:type="spellEnd"/>
      <w:r>
        <w:rPr>
          <w:rFonts w:ascii="Calibri" w:eastAsia="Calibri" w:hAnsi="Calibri" w:cs="Calibri"/>
          <w:color w:val="000000"/>
        </w:rPr>
        <w:t xml:space="preserve"> relación al</w:t>
      </w:r>
      <w:proofErr w:type="gramEnd"/>
      <w:r>
        <w:rPr>
          <w:rFonts w:ascii="Calibri" w:eastAsia="Calibri" w:hAnsi="Calibri" w:cs="Calibri"/>
          <w:color w:val="000000"/>
        </w:rPr>
        <w:t xml:space="preserve"> deterioro de los mecanismos estatales para ejercer en liberta</w:t>
      </w:r>
      <w:r>
        <w:rPr>
          <w:rFonts w:ascii="Calibri" w:eastAsia="Calibri" w:hAnsi="Calibri" w:cs="Calibri"/>
        </w:rPr>
        <w:t>d</w:t>
      </w:r>
      <w:r>
        <w:rPr>
          <w:rFonts w:ascii="Calibri" w:eastAsia="Calibri" w:hAnsi="Calibri" w:cs="Calibri"/>
          <w:color w:val="000000"/>
        </w:rPr>
        <w:t xml:space="preserve"> el derecho a vivir un</w:t>
      </w:r>
      <w:r>
        <w:rPr>
          <w:rFonts w:ascii="Calibri" w:eastAsia="Calibri" w:hAnsi="Calibri" w:cs="Calibri"/>
          <w:color w:val="000000"/>
        </w:rPr>
        <w:t>a vida sin discriminaci</w:t>
      </w:r>
      <w:r>
        <w:rPr>
          <w:rFonts w:ascii="Calibri" w:eastAsia="Calibri" w:hAnsi="Calibri" w:cs="Calibri"/>
        </w:rPr>
        <w:t>ón,</w:t>
      </w:r>
      <w:r>
        <w:rPr>
          <w:rFonts w:ascii="Calibri" w:eastAsia="Calibri" w:hAnsi="Calibri" w:cs="Calibri"/>
          <w:color w:val="000000"/>
        </w:rPr>
        <w:t xml:space="preserve"> en libertad, con autonomía y amparo estatal.</w:t>
      </w:r>
    </w:p>
    <w:p w14:paraId="7154CD35" w14:textId="77777777" w:rsidR="00DF4114" w:rsidRDefault="00DF4114">
      <w:pPr>
        <w:pBdr>
          <w:top w:val="nil"/>
          <w:left w:val="nil"/>
          <w:bottom w:val="nil"/>
          <w:right w:val="nil"/>
          <w:between w:val="nil"/>
        </w:pBdr>
        <w:jc w:val="both"/>
        <w:rPr>
          <w:rFonts w:ascii="Calibri" w:eastAsia="Calibri" w:hAnsi="Calibri" w:cs="Calibri"/>
          <w:color w:val="000000"/>
        </w:rPr>
      </w:pPr>
    </w:p>
    <w:p w14:paraId="5D515C98" w14:textId="77777777" w:rsidR="00DF4114" w:rsidRDefault="009F7A4D">
      <w:pPr>
        <w:pBdr>
          <w:top w:val="nil"/>
          <w:left w:val="nil"/>
          <w:bottom w:val="nil"/>
          <w:right w:val="nil"/>
          <w:between w:val="nil"/>
        </w:pBdr>
        <w:jc w:val="both"/>
        <w:rPr>
          <w:rFonts w:ascii="Calibri" w:eastAsia="Calibri" w:hAnsi="Calibri" w:cs="Calibri"/>
          <w:color w:val="000000"/>
        </w:rPr>
      </w:pPr>
      <w:r>
        <w:rPr>
          <w:rFonts w:ascii="Calibri" w:eastAsia="Calibri" w:hAnsi="Calibri" w:cs="Calibri"/>
          <w:color w:val="000000"/>
        </w:rPr>
        <w:t>En Nicaragua en la actualidad la violación de derechos humanos se ha agravado notablemente desde el 18 de abril del 2018 cuando autoridades policiales y grupos afines al gobierno de t</w:t>
      </w:r>
      <w:r>
        <w:rPr>
          <w:rFonts w:ascii="Calibri" w:eastAsia="Calibri" w:hAnsi="Calibri" w:cs="Calibri"/>
          <w:color w:val="000000"/>
        </w:rPr>
        <w:t xml:space="preserve">urno empezaron a utilizar la violencia como mecanismo represor frente a quienes se manifestaron en desacuerdo con algunas acciones ejecutadas por el gobierno.  </w:t>
      </w:r>
      <w:r>
        <w:rPr>
          <w:rFonts w:ascii="Calibri" w:eastAsia="Calibri" w:hAnsi="Calibri" w:cs="Calibri"/>
        </w:rPr>
        <w:t>E</w:t>
      </w:r>
      <w:r>
        <w:rPr>
          <w:rFonts w:ascii="Calibri" w:eastAsia="Calibri" w:hAnsi="Calibri" w:cs="Calibri"/>
          <w:color w:val="000000"/>
        </w:rPr>
        <w:t xml:space="preserve">ntre ellas </w:t>
      </w:r>
      <w:r>
        <w:rPr>
          <w:rFonts w:ascii="Calibri" w:eastAsia="Calibri" w:hAnsi="Calibri" w:cs="Calibri"/>
        </w:rPr>
        <w:t>s</w:t>
      </w:r>
      <w:r>
        <w:rPr>
          <w:rFonts w:ascii="Calibri" w:eastAsia="Calibri" w:hAnsi="Calibri" w:cs="Calibri"/>
          <w:color w:val="000000"/>
        </w:rPr>
        <w:t>e incluía la aprobación de una ley sobre la regulación al instituto de seguridad so</w:t>
      </w:r>
      <w:r>
        <w:rPr>
          <w:rFonts w:ascii="Calibri" w:eastAsia="Calibri" w:hAnsi="Calibri" w:cs="Calibri"/>
          <w:color w:val="000000"/>
        </w:rPr>
        <w:t xml:space="preserve">cial (INSS) la cual fue aprobada sin consulta ciudadana y que incluía el incremento de </w:t>
      </w:r>
      <w:r>
        <w:rPr>
          <w:rFonts w:ascii="Calibri" w:eastAsia="Calibri" w:hAnsi="Calibri" w:cs="Calibri"/>
        </w:rPr>
        <w:t>número</w:t>
      </w:r>
      <w:r>
        <w:rPr>
          <w:rFonts w:ascii="Calibri" w:eastAsia="Calibri" w:hAnsi="Calibri" w:cs="Calibri"/>
          <w:color w:val="000000"/>
        </w:rPr>
        <w:t xml:space="preserve"> de cuotas a cotizar para los empleados activos y reducía en un 5% las pensiones a las personas jubiladas. Aunque la ley en cuestión fue derogada, la población </w:t>
      </w:r>
      <w:r>
        <w:rPr>
          <w:rFonts w:ascii="Calibri" w:eastAsia="Calibri" w:hAnsi="Calibri" w:cs="Calibri"/>
        </w:rPr>
        <w:t>con</w:t>
      </w:r>
      <w:r>
        <w:rPr>
          <w:rFonts w:ascii="Calibri" w:eastAsia="Calibri" w:hAnsi="Calibri" w:cs="Calibri"/>
        </w:rPr>
        <w:t>tinuó</w:t>
      </w:r>
      <w:r>
        <w:rPr>
          <w:rFonts w:ascii="Calibri" w:eastAsia="Calibri" w:hAnsi="Calibri" w:cs="Calibri"/>
          <w:color w:val="000000"/>
        </w:rPr>
        <w:t xml:space="preserve"> organizándose de cara a exigir al gobierno un cese a </w:t>
      </w:r>
      <w:r>
        <w:rPr>
          <w:rFonts w:ascii="Calibri" w:eastAsia="Calibri" w:hAnsi="Calibri" w:cs="Calibri"/>
        </w:rPr>
        <w:t>la represión</w:t>
      </w:r>
      <w:r>
        <w:rPr>
          <w:rFonts w:ascii="Calibri" w:eastAsia="Calibri" w:hAnsi="Calibri" w:cs="Calibri"/>
          <w:color w:val="000000"/>
        </w:rPr>
        <w:t xml:space="preserve">, sobretodo porque esto se tradujo en la </w:t>
      </w:r>
      <w:r>
        <w:rPr>
          <w:rFonts w:ascii="Calibri" w:eastAsia="Calibri" w:hAnsi="Calibri" w:cs="Calibri"/>
        </w:rPr>
        <w:t>pérdida</w:t>
      </w:r>
      <w:r>
        <w:rPr>
          <w:rFonts w:ascii="Calibri" w:eastAsia="Calibri" w:hAnsi="Calibri" w:cs="Calibri"/>
          <w:color w:val="000000"/>
        </w:rPr>
        <w:t xml:space="preserve"> de vidas de personas que fueron heridas de muerte por agentes policiales durante las protestas</w:t>
      </w:r>
      <w:r>
        <w:rPr>
          <w:rFonts w:ascii="Calibri" w:eastAsia="Calibri" w:hAnsi="Calibri" w:cs="Calibri"/>
        </w:rPr>
        <w:t>.</w:t>
      </w:r>
      <w:r>
        <w:rPr>
          <w:rFonts w:ascii="Calibri" w:eastAsia="Calibri" w:hAnsi="Calibri" w:cs="Calibri"/>
          <w:color w:val="000000"/>
        </w:rPr>
        <w:t xml:space="preserve"> </w:t>
      </w:r>
      <w:r>
        <w:rPr>
          <w:rFonts w:ascii="Calibri" w:eastAsia="Calibri" w:hAnsi="Calibri" w:cs="Calibri"/>
        </w:rPr>
        <w:t>En algunos casos</w:t>
      </w:r>
      <w:r>
        <w:rPr>
          <w:rFonts w:ascii="Calibri" w:eastAsia="Calibri" w:hAnsi="Calibri" w:cs="Calibri"/>
          <w:color w:val="000000"/>
        </w:rPr>
        <w:t xml:space="preserve"> a las personas heridas </w:t>
      </w:r>
      <w:r>
        <w:rPr>
          <w:rFonts w:ascii="Calibri" w:eastAsia="Calibri" w:hAnsi="Calibri" w:cs="Calibri"/>
          <w:color w:val="000000"/>
        </w:rPr>
        <w:t xml:space="preserve">se les negó atención </w:t>
      </w:r>
      <w:r>
        <w:rPr>
          <w:rFonts w:ascii="Calibri" w:eastAsia="Calibri" w:hAnsi="Calibri" w:cs="Calibri"/>
        </w:rPr>
        <w:t>médica</w:t>
      </w:r>
      <w:r>
        <w:rPr>
          <w:rFonts w:ascii="Calibri" w:eastAsia="Calibri" w:hAnsi="Calibri" w:cs="Calibri"/>
          <w:color w:val="000000"/>
        </w:rPr>
        <w:t xml:space="preserve"> en los puestos de salud públicos.</w:t>
      </w:r>
    </w:p>
    <w:p w14:paraId="155A1441" w14:textId="77777777" w:rsidR="00DF4114" w:rsidRDefault="00DF4114">
      <w:pPr>
        <w:pBdr>
          <w:top w:val="nil"/>
          <w:left w:val="nil"/>
          <w:bottom w:val="nil"/>
          <w:right w:val="nil"/>
          <w:between w:val="nil"/>
        </w:pBdr>
        <w:jc w:val="both"/>
        <w:rPr>
          <w:rFonts w:ascii="Calibri" w:eastAsia="Calibri" w:hAnsi="Calibri" w:cs="Calibri"/>
          <w:color w:val="000000"/>
        </w:rPr>
      </w:pPr>
    </w:p>
    <w:p w14:paraId="3BC7BDB5" w14:textId="5EACDA5D" w:rsidR="00DF4114" w:rsidRDefault="009F7A4D">
      <w:pPr>
        <w:pBdr>
          <w:top w:val="nil"/>
          <w:left w:val="nil"/>
          <w:bottom w:val="nil"/>
          <w:right w:val="nil"/>
          <w:between w:val="nil"/>
        </w:pBdr>
        <w:jc w:val="both"/>
        <w:rPr>
          <w:rFonts w:ascii="Calibri" w:eastAsia="Calibri" w:hAnsi="Calibri" w:cs="Calibri"/>
          <w:color w:val="000000"/>
        </w:rPr>
      </w:pPr>
      <w:r>
        <w:rPr>
          <w:rFonts w:ascii="Calibri" w:eastAsia="Calibri" w:hAnsi="Calibri" w:cs="Calibri"/>
          <w:color w:val="000000"/>
        </w:rPr>
        <w:t xml:space="preserve">Otro </w:t>
      </w:r>
      <w:r>
        <w:rPr>
          <w:rFonts w:ascii="Calibri" w:eastAsia="Calibri" w:hAnsi="Calibri" w:cs="Calibri"/>
        </w:rPr>
        <w:t>desafío</w:t>
      </w:r>
      <w:r>
        <w:rPr>
          <w:rFonts w:ascii="Calibri" w:eastAsia="Calibri" w:hAnsi="Calibri" w:cs="Calibri"/>
          <w:color w:val="000000"/>
        </w:rPr>
        <w:t xml:space="preserve"> en Nicaragua es el incremento de personas que abandonan el país, desde 2018 se contabilizan </w:t>
      </w:r>
      <w:r>
        <w:rPr>
          <w:rFonts w:ascii="Calibri" w:eastAsia="Calibri" w:hAnsi="Calibri" w:cs="Calibri"/>
        </w:rPr>
        <w:t>más</w:t>
      </w:r>
      <w:r>
        <w:rPr>
          <w:rFonts w:ascii="Calibri" w:eastAsia="Calibri" w:hAnsi="Calibri" w:cs="Calibri"/>
          <w:color w:val="000000"/>
        </w:rPr>
        <w:t xml:space="preserve"> de 108.000 </w:t>
      </w:r>
      <w:r w:rsidR="005F7180">
        <w:rPr>
          <w:rFonts w:ascii="Calibri" w:eastAsia="Calibri" w:hAnsi="Calibri" w:cs="Calibri"/>
          <w:color w:val="000000"/>
        </w:rPr>
        <w:t>nicaragüenses</w:t>
      </w:r>
      <w:r>
        <w:rPr>
          <w:rFonts w:ascii="Calibri" w:eastAsia="Calibri" w:hAnsi="Calibri" w:cs="Calibri"/>
          <w:color w:val="000000"/>
        </w:rPr>
        <w:t xml:space="preserve"> en el exilio, en Costa Rica actualmente hay casi 90.000 </w:t>
      </w:r>
      <w:proofErr w:type="gramStart"/>
      <w:r>
        <w:rPr>
          <w:rFonts w:ascii="Calibri" w:eastAsia="Calibri" w:hAnsi="Calibri" w:cs="Calibri"/>
          <w:color w:val="000000"/>
        </w:rPr>
        <w:t>Nic</w:t>
      </w:r>
      <w:r>
        <w:rPr>
          <w:rFonts w:ascii="Calibri" w:eastAsia="Calibri" w:hAnsi="Calibri" w:cs="Calibri"/>
          <w:color w:val="000000"/>
        </w:rPr>
        <w:t>aragüenses</w:t>
      </w:r>
      <w:proofErr w:type="gramEnd"/>
      <w:r>
        <w:rPr>
          <w:rFonts w:ascii="Calibri" w:eastAsia="Calibri" w:hAnsi="Calibri" w:cs="Calibri"/>
          <w:color w:val="000000"/>
        </w:rPr>
        <w:t xml:space="preserve"> solicitantes de asilo y en </w:t>
      </w:r>
      <w:r w:rsidR="005F7180">
        <w:rPr>
          <w:rFonts w:ascii="Calibri" w:eastAsia="Calibri" w:hAnsi="Calibri" w:cs="Calibri"/>
          <w:color w:val="000000"/>
        </w:rPr>
        <w:t>EEUU</w:t>
      </w:r>
      <w:r>
        <w:rPr>
          <w:rFonts w:ascii="Calibri" w:eastAsia="Calibri" w:hAnsi="Calibri" w:cs="Calibri"/>
          <w:color w:val="000000"/>
        </w:rPr>
        <w:t xml:space="preserve"> y España el </w:t>
      </w:r>
      <w:r>
        <w:rPr>
          <w:rFonts w:ascii="Calibri" w:eastAsia="Calibri" w:hAnsi="Calibri" w:cs="Calibri"/>
        </w:rPr>
        <w:t>número</w:t>
      </w:r>
      <w:r>
        <w:rPr>
          <w:rFonts w:ascii="Calibri" w:eastAsia="Calibri" w:hAnsi="Calibri" w:cs="Calibri"/>
          <w:color w:val="000000"/>
        </w:rPr>
        <w:t xml:space="preserve"> de solicitudes desde 2018 se han triplicado ACNUR (2020).</w:t>
      </w:r>
    </w:p>
    <w:p w14:paraId="78C59627" w14:textId="77777777" w:rsidR="00DF4114" w:rsidRDefault="00DF4114">
      <w:pPr>
        <w:pBdr>
          <w:top w:val="nil"/>
          <w:left w:val="nil"/>
          <w:bottom w:val="nil"/>
          <w:right w:val="nil"/>
          <w:between w:val="nil"/>
        </w:pBdr>
        <w:jc w:val="both"/>
        <w:rPr>
          <w:rFonts w:ascii="Calibri" w:eastAsia="Calibri" w:hAnsi="Calibri" w:cs="Calibri"/>
          <w:color w:val="000000"/>
        </w:rPr>
      </w:pPr>
    </w:p>
    <w:p w14:paraId="4F1E485C" w14:textId="0E87FB9B" w:rsidR="00DF4114" w:rsidRDefault="009F7A4D">
      <w:pPr>
        <w:pBdr>
          <w:top w:val="nil"/>
          <w:left w:val="nil"/>
          <w:bottom w:val="nil"/>
          <w:right w:val="nil"/>
          <w:between w:val="nil"/>
        </w:pBdr>
        <w:jc w:val="both"/>
        <w:rPr>
          <w:rFonts w:ascii="Calibri" w:eastAsia="Calibri" w:hAnsi="Calibri" w:cs="Calibri"/>
          <w:color w:val="000000"/>
        </w:rPr>
      </w:pPr>
      <w:r>
        <w:rPr>
          <w:rFonts w:ascii="Calibri" w:eastAsia="Calibri" w:hAnsi="Calibri" w:cs="Calibri"/>
          <w:color w:val="000000"/>
        </w:rPr>
        <w:t xml:space="preserve">Es muy conocido y a nivel mundial </w:t>
      </w:r>
      <w:r>
        <w:rPr>
          <w:rFonts w:ascii="Calibri" w:eastAsia="Calibri" w:hAnsi="Calibri" w:cs="Calibri"/>
        </w:rPr>
        <w:t>está</w:t>
      </w:r>
      <w:r>
        <w:rPr>
          <w:rFonts w:ascii="Calibri" w:eastAsia="Calibri" w:hAnsi="Calibri" w:cs="Calibri"/>
          <w:color w:val="000000"/>
        </w:rPr>
        <w:t xml:space="preserve"> registrado </w:t>
      </w:r>
      <w:r w:rsidR="005F7180">
        <w:rPr>
          <w:rFonts w:ascii="Calibri" w:eastAsia="Calibri" w:hAnsi="Calibri" w:cs="Calibri"/>
          <w:color w:val="000000"/>
        </w:rPr>
        <w:t>que,</w:t>
      </w:r>
      <w:r>
        <w:rPr>
          <w:rFonts w:ascii="Calibri" w:eastAsia="Calibri" w:hAnsi="Calibri" w:cs="Calibri"/>
          <w:color w:val="000000"/>
        </w:rPr>
        <w:t xml:space="preserve"> en situaciones de pobreza, conflictos sociales, o guerras, las mujeres, aunque p</w:t>
      </w:r>
      <w:r>
        <w:rPr>
          <w:rFonts w:ascii="Calibri" w:eastAsia="Calibri" w:hAnsi="Calibri" w:cs="Calibri"/>
          <w:color w:val="000000"/>
        </w:rPr>
        <w:t xml:space="preserve">udiera pensarse que son quienes menos riesgos corren, son quienes </w:t>
      </w:r>
      <w:r>
        <w:rPr>
          <w:rFonts w:ascii="Calibri" w:eastAsia="Calibri" w:hAnsi="Calibri" w:cs="Calibri"/>
        </w:rPr>
        <w:t>más</w:t>
      </w:r>
      <w:r>
        <w:rPr>
          <w:rFonts w:ascii="Calibri" w:eastAsia="Calibri" w:hAnsi="Calibri" w:cs="Calibri"/>
          <w:color w:val="000000"/>
        </w:rPr>
        <w:t xml:space="preserve"> enfrentan situaciones hostiles en estos contextos, y hay intersecciones que pueden intensificar la hostilidad en aras de la clase social, la orientación sexual, la raza y el lugar donde </w:t>
      </w:r>
      <w:r>
        <w:rPr>
          <w:rFonts w:ascii="Calibri" w:eastAsia="Calibri" w:hAnsi="Calibri" w:cs="Calibri"/>
          <w:color w:val="000000"/>
        </w:rPr>
        <w:t xml:space="preserve">habita (rural o urbano). De 2010 al 2020 se han registrado 637 feminicidios en el país: </w:t>
      </w:r>
      <w:r w:rsidR="005F7180">
        <w:rPr>
          <w:rFonts w:ascii="Calibri" w:eastAsia="Calibri" w:hAnsi="Calibri" w:cs="Calibri"/>
          <w:color w:val="000000"/>
        </w:rPr>
        <w:t>“armas</w:t>
      </w:r>
      <w:r>
        <w:rPr>
          <w:rFonts w:ascii="Calibri" w:eastAsia="Calibri" w:hAnsi="Calibri" w:cs="Calibri"/>
          <w:color w:val="000000"/>
        </w:rPr>
        <w:t xml:space="preserve"> de fuego, armas </w:t>
      </w:r>
      <w:r>
        <w:rPr>
          <w:rFonts w:ascii="Calibri" w:eastAsia="Calibri" w:hAnsi="Calibri" w:cs="Calibri"/>
        </w:rPr>
        <w:t>blancas</w:t>
      </w:r>
      <w:r>
        <w:rPr>
          <w:rFonts w:ascii="Calibri" w:eastAsia="Calibri" w:hAnsi="Calibri" w:cs="Calibri"/>
          <w:color w:val="000000"/>
        </w:rPr>
        <w:t xml:space="preserve"> y golpes, se han convertido en los principales instrumentos usados por los hombres para matar a las mujeres en Nicaragua” (Despacho 505,</w:t>
      </w:r>
      <w:r>
        <w:rPr>
          <w:rFonts w:ascii="Calibri" w:eastAsia="Calibri" w:hAnsi="Calibri" w:cs="Calibri"/>
          <w:color w:val="000000"/>
        </w:rPr>
        <w:t xml:space="preserve"> 2020, párrafo 1).  Esta misma fuente señala que la violencia hacia las mujeres se basa en el prejuicio de género y que, además, cuenta con la complicidad del Estado, quienes permiten la impunidad en muchos casos y debido a la falta de confianza que tienen</w:t>
      </w:r>
      <w:r>
        <w:rPr>
          <w:rFonts w:ascii="Calibri" w:eastAsia="Calibri" w:hAnsi="Calibri" w:cs="Calibri"/>
          <w:color w:val="000000"/>
        </w:rPr>
        <w:t xml:space="preserve"> las mujeres en la policía y en las entidades estatales, quedan muchos casos de violencia sin ser denunciados por las </w:t>
      </w:r>
      <w:r>
        <w:rPr>
          <w:rFonts w:ascii="Calibri" w:eastAsia="Calibri" w:hAnsi="Calibri" w:cs="Calibri"/>
        </w:rPr>
        <w:t>víctimas</w:t>
      </w:r>
      <w:r>
        <w:rPr>
          <w:rFonts w:ascii="Calibri" w:eastAsia="Calibri" w:hAnsi="Calibri" w:cs="Calibri"/>
          <w:color w:val="000000"/>
        </w:rPr>
        <w:t>.</w:t>
      </w:r>
    </w:p>
    <w:p w14:paraId="57CAC45E" w14:textId="77777777" w:rsidR="00DF4114" w:rsidRDefault="00DF4114">
      <w:pPr>
        <w:pBdr>
          <w:top w:val="nil"/>
          <w:left w:val="nil"/>
          <w:bottom w:val="nil"/>
          <w:right w:val="nil"/>
          <w:between w:val="nil"/>
        </w:pBdr>
        <w:jc w:val="both"/>
        <w:rPr>
          <w:rFonts w:ascii="Calibri" w:eastAsia="Calibri" w:hAnsi="Calibri" w:cs="Calibri"/>
          <w:color w:val="000000"/>
        </w:rPr>
      </w:pPr>
    </w:p>
    <w:p w14:paraId="18DC26EA" w14:textId="6D44EB66" w:rsidR="00DF4114" w:rsidRDefault="009F7A4D">
      <w:pPr>
        <w:pBdr>
          <w:top w:val="nil"/>
          <w:left w:val="nil"/>
          <w:bottom w:val="nil"/>
          <w:right w:val="nil"/>
          <w:between w:val="nil"/>
        </w:pBdr>
        <w:jc w:val="both"/>
        <w:rPr>
          <w:rFonts w:ascii="Calibri" w:eastAsia="Calibri" w:hAnsi="Calibri" w:cs="Calibri"/>
          <w:color w:val="000000"/>
        </w:rPr>
      </w:pPr>
      <w:r>
        <w:rPr>
          <w:rFonts w:ascii="Calibri" w:eastAsia="Calibri" w:hAnsi="Calibri" w:cs="Calibri"/>
          <w:color w:val="000000"/>
        </w:rPr>
        <w:t>Para la redacción de este informe retomamos algunas recomendaciones hechas al estado de Nicaragua en informes anteriores</w:t>
      </w:r>
      <w:r>
        <w:rPr>
          <w:rFonts w:ascii="Calibri" w:eastAsia="Calibri" w:hAnsi="Calibri" w:cs="Calibri"/>
          <w:color w:val="000000"/>
        </w:rPr>
        <w:t xml:space="preserve"> y que</w:t>
      </w:r>
      <w:r>
        <w:rPr>
          <w:rFonts w:ascii="Calibri" w:eastAsia="Calibri" w:hAnsi="Calibri" w:cs="Calibri"/>
          <w:color w:val="000000"/>
        </w:rPr>
        <w:t xml:space="preserve"> </w:t>
      </w:r>
      <w:r w:rsidR="005F7180">
        <w:rPr>
          <w:rFonts w:ascii="Calibri" w:eastAsia="Calibri" w:hAnsi="Calibri" w:cs="Calibri"/>
          <w:color w:val="000000"/>
        </w:rPr>
        <w:t>hoy</w:t>
      </w:r>
      <w:r>
        <w:rPr>
          <w:rFonts w:ascii="Calibri" w:eastAsia="Calibri" w:hAnsi="Calibri" w:cs="Calibri"/>
          <w:color w:val="000000"/>
        </w:rPr>
        <w:t xml:space="preserve"> están pendientes de ser consideradas</w:t>
      </w:r>
      <w:r>
        <w:rPr>
          <w:rFonts w:ascii="Calibri" w:eastAsia="Calibri" w:hAnsi="Calibri" w:cs="Calibri"/>
          <w:color w:val="000000"/>
        </w:rPr>
        <w:t>.</w:t>
      </w:r>
    </w:p>
    <w:p w14:paraId="50CD8D8A" w14:textId="77777777" w:rsidR="00DF4114" w:rsidRDefault="00DF4114">
      <w:pPr>
        <w:pBdr>
          <w:top w:val="nil"/>
          <w:left w:val="nil"/>
          <w:bottom w:val="nil"/>
          <w:right w:val="nil"/>
          <w:between w:val="nil"/>
        </w:pBdr>
        <w:jc w:val="both"/>
        <w:rPr>
          <w:rFonts w:ascii="Calibri" w:eastAsia="Calibri" w:hAnsi="Calibri" w:cs="Calibri"/>
          <w:color w:val="000000"/>
        </w:rPr>
      </w:pPr>
    </w:p>
    <w:p w14:paraId="78BBB940" w14:textId="77777777" w:rsidR="00DF4114" w:rsidRDefault="009F7A4D">
      <w:pPr>
        <w:pBdr>
          <w:top w:val="nil"/>
          <w:left w:val="nil"/>
          <w:bottom w:val="nil"/>
          <w:right w:val="nil"/>
          <w:between w:val="nil"/>
        </w:pBdr>
        <w:jc w:val="both"/>
        <w:rPr>
          <w:rFonts w:ascii="Calibri" w:eastAsia="Calibri" w:hAnsi="Calibri" w:cs="Calibri"/>
          <w:color w:val="000000"/>
          <w:sz w:val="16"/>
          <w:szCs w:val="16"/>
        </w:rPr>
      </w:pPr>
      <w:r>
        <w:br w:type="page"/>
      </w:r>
    </w:p>
    <w:p w14:paraId="54BECF73" w14:textId="77777777" w:rsidR="00DF4114" w:rsidRDefault="00DF4114">
      <w:pPr>
        <w:pBdr>
          <w:top w:val="nil"/>
          <w:left w:val="nil"/>
          <w:bottom w:val="nil"/>
          <w:right w:val="nil"/>
          <w:between w:val="nil"/>
        </w:pBdr>
        <w:ind w:left="720"/>
        <w:jc w:val="both"/>
        <w:rPr>
          <w:rFonts w:ascii="Arial" w:eastAsia="Arial" w:hAnsi="Arial" w:cs="Arial"/>
          <w:color w:val="000000"/>
        </w:rPr>
      </w:pPr>
    </w:p>
    <w:p w14:paraId="37294AB7" w14:textId="77777777" w:rsidR="00DF4114" w:rsidRDefault="009F7A4D">
      <w:pPr>
        <w:pStyle w:val="Heading1"/>
        <w:spacing w:before="0" w:after="240"/>
      </w:pPr>
      <w:bookmarkStart w:id="2" w:name="_1fob9te" w:colFirst="0" w:colLast="0"/>
      <w:bookmarkEnd w:id="2"/>
      <w:r>
        <w:t xml:space="preserve">Leyes y políticas Públicas (Artículos 1, 2 y 3) </w:t>
      </w:r>
    </w:p>
    <w:p w14:paraId="46242373" w14:textId="77777777" w:rsidR="00DF4114" w:rsidRDefault="009F7A4D">
      <w:pPr>
        <w:pStyle w:val="Heading2"/>
        <w:spacing w:before="0" w:after="240"/>
      </w:pPr>
      <w:bookmarkStart w:id="3" w:name="_3znysh7" w:colFirst="0" w:colLast="0"/>
      <w:bookmarkEnd w:id="3"/>
      <w:r>
        <w:t>Ley de igualdad de derechos y oportunidades</w:t>
      </w:r>
    </w:p>
    <w:p w14:paraId="7370CBDD" w14:textId="77777777"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La Ley 648 “Ley de Igualdad de Derechos y Oportunidades” (LIDO), publicada en 2008 y reglamentada en 2010, establece en su artículo 36 del Capítulo III la creación del Consejo Nacional por la Igualdad coordinado por el Instituto Nicaragüense de la Mujer (I</w:t>
      </w:r>
      <w:r>
        <w:rPr>
          <w:rFonts w:ascii="Calibri" w:eastAsia="Calibri" w:hAnsi="Calibri" w:cs="Calibri"/>
          <w:color w:val="000000"/>
          <w:sz w:val="22"/>
          <w:szCs w:val="22"/>
        </w:rPr>
        <w:t xml:space="preserve">NIM). Su misión es la de coadyuvar al diseño, formulación, ejecución, seguimiento y evaluación de la Política de Igualdad de Género, así como dar cumplimiento a las disposiciones de </w:t>
      </w:r>
      <w:r>
        <w:rPr>
          <w:rFonts w:ascii="Calibri" w:eastAsia="Calibri" w:hAnsi="Calibri" w:cs="Calibri"/>
          <w:sz w:val="22"/>
          <w:szCs w:val="22"/>
        </w:rPr>
        <w:t>esta</w:t>
      </w:r>
      <w:r>
        <w:rPr>
          <w:rFonts w:ascii="Calibri" w:eastAsia="Calibri" w:hAnsi="Calibri" w:cs="Calibri"/>
          <w:color w:val="000000"/>
          <w:sz w:val="22"/>
          <w:szCs w:val="22"/>
        </w:rPr>
        <w:t xml:space="preserve"> Ley y </w:t>
      </w:r>
      <w:proofErr w:type="spellStart"/>
      <w:r>
        <w:rPr>
          <w:rFonts w:ascii="Calibri" w:eastAsia="Calibri" w:hAnsi="Calibri" w:cs="Calibri"/>
          <w:color w:val="000000"/>
          <w:sz w:val="22"/>
          <w:szCs w:val="22"/>
        </w:rPr>
        <w:t>deﬁnir</w:t>
      </w:r>
      <w:proofErr w:type="spellEnd"/>
      <w:r>
        <w:rPr>
          <w:rFonts w:ascii="Calibri" w:eastAsia="Calibri" w:hAnsi="Calibri" w:cs="Calibri"/>
          <w:color w:val="000000"/>
          <w:sz w:val="22"/>
          <w:szCs w:val="22"/>
        </w:rPr>
        <w:t xml:space="preserve"> responsabilidades compartidas para el cumplimiento de </w:t>
      </w:r>
      <w:proofErr w:type="gramStart"/>
      <w:r>
        <w:rPr>
          <w:rFonts w:ascii="Calibri" w:eastAsia="Calibri" w:hAnsi="Calibri" w:cs="Calibri"/>
          <w:color w:val="000000"/>
          <w:sz w:val="22"/>
          <w:szCs w:val="22"/>
        </w:rPr>
        <w:t>la</w:t>
      </w:r>
      <w:r>
        <w:rPr>
          <w:rFonts w:ascii="Calibri" w:eastAsia="Calibri" w:hAnsi="Calibri" w:cs="Calibri"/>
          <w:color w:val="000000"/>
          <w:sz w:val="22"/>
          <w:szCs w:val="22"/>
        </w:rPr>
        <w:t xml:space="preserve"> misma</w:t>
      </w:r>
      <w:proofErr w:type="gramEnd"/>
      <w:r>
        <w:rPr>
          <w:rFonts w:ascii="Calibri" w:eastAsia="Calibri" w:hAnsi="Calibri" w:cs="Calibri"/>
          <w:color w:val="000000"/>
          <w:sz w:val="22"/>
          <w:szCs w:val="22"/>
        </w:rPr>
        <w:t>.</w:t>
      </w:r>
    </w:p>
    <w:p w14:paraId="4949DC5D" w14:textId="77777777"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Sin embargo, a más de diez años de adoptada esta ley, Nicaragua aún no cuenta con un mecanismo nacional que coordine las formulaciones y la implementación de políticas públicas para la igualdad de derechos y oportunidades, ni que articule los acuer</w:t>
      </w:r>
      <w:r>
        <w:rPr>
          <w:rFonts w:ascii="Calibri" w:eastAsia="Calibri" w:hAnsi="Calibri" w:cs="Calibri"/>
          <w:color w:val="000000"/>
          <w:sz w:val="22"/>
          <w:szCs w:val="22"/>
        </w:rPr>
        <w:t>dos internacionales con el conjunto de políticas públicas.</w:t>
      </w:r>
    </w:p>
    <w:p w14:paraId="3197B806" w14:textId="292AB996"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 xml:space="preserve">En ese mismo </w:t>
      </w:r>
      <w:r w:rsidR="005F7180">
        <w:rPr>
          <w:rFonts w:ascii="Calibri" w:eastAsia="Calibri" w:hAnsi="Calibri" w:cs="Calibri"/>
          <w:color w:val="000000"/>
          <w:sz w:val="22"/>
          <w:szCs w:val="22"/>
        </w:rPr>
        <w:t>artículo, Ley</w:t>
      </w:r>
      <w:r>
        <w:rPr>
          <w:rFonts w:ascii="Calibri" w:eastAsia="Calibri" w:hAnsi="Calibri" w:cs="Calibri"/>
          <w:color w:val="000000"/>
          <w:sz w:val="22"/>
          <w:szCs w:val="22"/>
        </w:rPr>
        <w:t xml:space="preserve"> 648, en su numeral 2, define la integración del Consejo y, en su inciso i) </w:t>
      </w:r>
      <w:r>
        <w:rPr>
          <w:rFonts w:ascii="Calibri" w:eastAsia="Calibri" w:hAnsi="Calibri" w:cs="Calibri"/>
          <w:sz w:val="22"/>
          <w:szCs w:val="22"/>
        </w:rPr>
        <w:t>señala que</w:t>
      </w:r>
      <w:r>
        <w:rPr>
          <w:rFonts w:ascii="Calibri" w:eastAsia="Calibri" w:hAnsi="Calibri" w:cs="Calibri"/>
          <w:color w:val="000000"/>
          <w:sz w:val="22"/>
          <w:szCs w:val="22"/>
        </w:rPr>
        <w:t xml:space="preserve"> formarán parte </w:t>
      </w:r>
      <w:proofErr w:type="gramStart"/>
      <w:r>
        <w:rPr>
          <w:rFonts w:ascii="Calibri" w:eastAsia="Calibri" w:hAnsi="Calibri" w:cs="Calibri"/>
          <w:color w:val="000000"/>
          <w:sz w:val="22"/>
          <w:szCs w:val="22"/>
        </w:rPr>
        <w:t>del mismo</w:t>
      </w:r>
      <w:proofErr w:type="gramEnd"/>
      <w:r>
        <w:rPr>
          <w:rFonts w:ascii="Calibri" w:eastAsia="Calibri" w:hAnsi="Calibri" w:cs="Calibri"/>
          <w:color w:val="000000"/>
          <w:sz w:val="22"/>
          <w:szCs w:val="22"/>
        </w:rPr>
        <w:t xml:space="preserve"> dos delegadas de organizaciones de mujeres de carácter nac</w:t>
      </w:r>
      <w:r>
        <w:rPr>
          <w:rFonts w:ascii="Calibri" w:eastAsia="Calibri" w:hAnsi="Calibri" w:cs="Calibri"/>
          <w:color w:val="000000"/>
          <w:sz w:val="22"/>
          <w:szCs w:val="22"/>
        </w:rPr>
        <w:t xml:space="preserve">ional. Esta previsión tiene por objeto la participación y el aporte de la sociedad civil en la agenda y la labor del Consejo, y un mecanismo de articulación e interlocución entre las organizaciones de mujeres y el INIM. </w:t>
      </w:r>
    </w:p>
    <w:p w14:paraId="247B88A9" w14:textId="77777777"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Sin embargo, no solo las previsione</w:t>
      </w:r>
      <w:r>
        <w:rPr>
          <w:rFonts w:ascii="Calibri" w:eastAsia="Calibri" w:hAnsi="Calibri" w:cs="Calibri"/>
          <w:color w:val="000000"/>
          <w:sz w:val="22"/>
          <w:szCs w:val="22"/>
        </w:rPr>
        <w:t>s de esta ley no se cumplen, sino que adicionalmente prevalece una total negativa por parte del Estado a brindar información y coordinar acciones con organizaciones de mujeres que no forman parte de las estructuras del partido de gobierno actual</w:t>
      </w:r>
    </w:p>
    <w:p w14:paraId="32368400" w14:textId="77777777" w:rsidR="00DF4114" w:rsidRDefault="009F7A4D">
      <w:pPr>
        <w:pStyle w:val="Heading2"/>
        <w:spacing w:before="0" w:after="240"/>
      </w:pPr>
      <w:bookmarkStart w:id="4" w:name="_2et92p0" w:colFirst="0" w:colLast="0"/>
      <w:bookmarkEnd w:id="4"/>
      <w:r>
        <w:t>El Institu</w:t>
      </w:r>
      <w:r>
        <w:t>to Nicaragüense de la Mujer</w:t>
      </w:r>
    </w:p>
    <w:p w14:paraId="7072CE36" w14:textId="77777777"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La Ley 612, aprobada el 24 de enero del 2007 que Reforma y Adiciona la Ley 290, de Organización, Competencia y Procedimientos del Poder Ejecutivo, establece que el INIM (Instituto Nicaragüense de la Mujer).</w:t>
      </w:r>
    </w:p>
    <w:p w14:paraId="7F5DE221" w14:textId="77777777"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 xml:space="preserve"> Como ente autónomo d</w:t>
      </w:r>
      <w:r>
        <w:rPr>
          <w:rFonts w:ascii="Calibri" w:eastAsia="Calibri" w:hAnsi="Calibri" w:cs="Calibri"/>
          <w:color w:val="000000"/>
          <w:sz w:val="22"/>
          <w:szCs w:val="22"/>
        </w:rPr>
        <w:t xml:space="preserve">escentralizado estará bajo la rectoría sectorial de la Presidencia de la República con las mismas facultades, competencias y recursos. </w:t>
      </w:r>
    </w:p>
    <w:p w14:paraId="4FB8F736" w14:textId="77777777"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Sin embargo, el mismo decreto de forma contradictoria también señala que le corresponde al Ministerio de la Familia como</w:t>
      </w:r>
      <w:r>
        <w:rPr>
          <w:rFonts w:ascii="Calibri" w:eastAsia="Calibri" w:hAnsi="Calibri" w:cs="Calibri"/>
          <w:color w:val="000000"/>
          <w:sz w:val="22"/>
          <w:szCs w:val="22"/>
        </w:rPr>
        <w:t xml:space="preserve"> parte de sus competencias, rectorar a través del INIM, el Programa Nacional de Equidad de Género.</w:t>
      </w:r>
    </w:p>
    <w:p w14:paraId="05F0A9C3" w14:textId="77777777"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Esta disposición sitúa al INIM en una posición carente de autonomía política y administrativa; que, además, no dispone de recursos necesarios para cumplir su</w:t>
      </w:r>
      <w:r>
        <w:rPr>
          <w:rFonts w:ascii="Calibri" w:eastAsia="Calibri" w:hAnsi="Calibri" w:cs="Calibri"/>
          <w:color w:val="000000"/>
          <w:sz w:val="22"/>
          <w:szCs w:val="22"/>
        </w:rPr>
        <w:t xml:space="preserve"> función en la rectoría de políticas públicas en materia de igualdad y equidad; contrariamente, la limitada acción pública del Instituto, lo ubica como mero ejecutor de proyectos de corto alcance que al privilegiar un enfoque centrado en la familia no abon</w:t>
      </w:r>
      <w:r>
        <w:rPr>
          <w:rFonts w:ascii="Calibri" w:eastAsia="Calibri" w:hAnsi="Calibri" w:cs="Calibri"/>
          <w:color w:val="000000"/>
          <w:sz w:val="22"/>
          <w:szCs w:val="22"/>
        </w:rPr>
        <w:t>a al empoderamiento integral de las mujeres como sujetas de derechos.</w:t>
      </w:r>
    </w:p>
    <w:p w14:paraId="7CAD5AD4" w14:textId="77777777" w:rsidR="00DF4114" w:rsidRDefault="009F7A4D">
      <w:pPr>
        <w:pStyle w:val="Heading2"/>
        <w:numPr>
          <w:ilvl w:val="1"/>
          <w:numId w:val="2"/>
        </w:numPr>
        <w:spacing w:after="200"/>
      </w:pPr>
      <w:bookmarkStart w:id="5" w:name="_tyjcwt" w:colFirst="0" w:colLast="0"/>
      <w:bookmarkEnd w:id="5"/>
      <w:r>
        <w:t>Ley 779 Ley Integral contra la violencia contra las mujeres</w:t>
      </w:r>
      <w:r>
        <w:rPr>
          <w:vertAlign w:val="superscript"/>
        </w:rPr>
        <w:footnoteReference w:id="1"/>
      </w:r>
    </w:p>
    <w:p w14:paraId="218271AD" w14:textId="77777777"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 xml:space="preserve">La Ley 779 </w:t>
      </w:r>
      <w:proofErr w:type="gramStart"/>
      <w:r>
        <w:rPr>
          <w:rFonts w:ascii="Calibri" w:eastAsia="Calibri" w:hAnsi="Calibri" w:cs="Calibri"/>
          <w:sz w:val="22"/>
          <w:szCs w:val="22"/>
        </w:rPr>
        <w:t>entró</w:t>
      </w:r>
      <w:r>
        <w:rPr>
          <w:rFonts w:ascii="Calibri" w:eastAsia="Calibri" w:hAnsi="Calibri" w:cs="Calibri"/>
          <w:color w:val="000000"/>
          <w:sz w:val="22"/>
          <w:szCs w:val="22"/>
        </w:rPr>
        <w:t xml:space="preserve"> en vigencia</w:t>
      </w:r>
      <w:proofErr w:type="gramEnd"/>
      <w:r>
        <w:rPr>
          <w:rFonts w:ascii="Calibri" w:eastAsia="Calibri" w:hAnsi="Calibri" w:cs="Calibri"/>
          <w:color w:val="000000"/>
          <w:sz w:val="22"/>
          <w:szCs w:val="22"/>
        </w:rPr>
        <w:t xml:space="preserve"> en 2012 y supuso un gran avance. Después de años de lucha de las mujeres y feministas, se aprue</w:t>
      </w:r>
      <w:r>
        <w:rPr>
          <w:rFonts w:ascii="Calibri" w:eastAsia="Calibri" w:hAnsi="Calibri" w:cs="Calibri"/>
          <w:color w:val="000000"/>
          <w:sz w:val="22"/>
          <w:szCs w:val="22"/>
        </w:rPr>
        <w:t>ba la ley apostando a frenar las cifras de violencia contra las mujeres, esta ley y su reglamento fueron aprobadas en septiembre de 2013, sin embargo, el reglamento ha sufrido considerables modificaciones, quedando actualmente como si se tratase del reglam</w:t>
      </w:r>
      <w:r>
        <w:rPr>
          <w:rFonts w:ascii="Calibri" w:eastAsia="Calibri" w:hAnsi="Calibri" w:cs="Calibri"/>
          <w:color w:val="000000"/>
          <w:sz w:val="22"/>
          <w:szCs w:val="22"/>
        </w:rPr>
        <w:t xml:space="preserve">ento de </w:t>
      </w:r>
      <w:r>
        <w:rPr>
          <w:rFonts w:ascii="Calibri" w:eastAsia="Calibri" w:hAnsi="Calibri" w:cs="Calibri"/>
          <w:color w:val="000000"/>
          <w:sz w:val="22"/>
          <w:szCs w:val="22"/>
        </w:rPr>
        <w:lastRenderedPageBreak/>
        <w:t>una ley de familia, con lo cual se refuerzan estereotipos de genero en los que las mujeres son vinculadas como sujetas de derechos solo si se trata de que su bienestar represente bienestar para el resto de personas en su entorno, como los hijos e h</w:t>
      </w:r>
      <w:r>
        <w:rPr>
          <w:rFonts w:ascii="Calibri" w:eastAsia="Calibri" w:hAnsi="Calibri" w:cs="Calibri"/>
          <w:color w:val="000000"/>
          <w:sz w:val="22"/>
          <w:szCs w:val="22"/>
        </w:rPr>
        <w:t>ijas, lo cual supone trabas en un abordaje integral de la violencia a la que son sometidas muchas mujeres. En este modelo de intervención planteado la vida de las mujeres no es puesta en el centro, sino es vista como un sujeto alterno que debe priorizar el</w:t>
      </w:r>
      <w:r>
        <w:rPr>
          <w:rFonts w:ascii="Calibri" w:eastAsia="Calibri" w:hAnsi="Calibri" w:cs="Calibri"/>
          <w:color w:val="000000"/>
          <w:sz w:val="22"/>
          <w:szCs w:val="22"/>
        </w:rPr>
        <w:t xml:space="preserve"> bienestar de las demás personas.</w:t>
      </w:r>
    </w:p>
    <w:p w14:paraId="244FBAAA" w14:textId="73EE7697"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 xml:space="preserve">Las nuevas normativas vulneran la propia legislación nicaragüense, y la vida de las mujeres, </w:t>
      </w:r>
      <w:r w:rsidR="005F7180">
        <w:rPr>
          <w:rFonts w:ascii="Calibri" w:eastAsia="Calibri" w:hAnsi="Calibri" w:cs="Calibri"/>
          <w:color w:val="000000"/>
          <w:sz w:val="22"/>
          <w:szCs w:val="22"/>
        </w:rPr>
        <w:t>ya que,</w:t>
      </w:r>
      <w:r>
        <w:rPr>
          <w:rFonts w:ascii="Calibri" w:eastAsia="Calibri" w:hAnsi="Calibri" w:cs="Calibri"/>
          <w:color w:val="000000"/>
          <w:sz w:val="22"/>
          <w:szCs w:val="22"/>
        </w:rPr>
        <w:t xml:space="preserve"> a partir de 2018 a septiembre 2021, han sido cerradas y/o expulsadas del país </w:t>
      </w:r>
      <w:r>
        <w:rPr>
          <w:rFonts w:ascii="Calibri" w:eastAsia="Calibri" w:hAnsi="Calibri" w:cs="Calibri"/>
          <w:sz w:val="22"/>
          <w:szCs w:val="22"/>
        </w:rPr>
        <w:t>más</w:t>
      </w:r>
      <w:r>
        <w:rPr>
          <w:rFonts w:ascii="Calibri" w:eastAsia="Calibri" w:hAnsi="Calibri" w:cs="Calibri"/>
          <w:color w:val="000000"/>
          <w:sz w:val="22"/>
          <w:szCs w:val="22"/>
        </w:rPr>
        <w:t xml:space="preserve"> de 20 organizaciones de sociedad civil e</w:t>
      </w:r>
      <w:r>
        <w:rPr>
          <w:rFonts w:ascii="Calibri" w:eastAsia="Calibri" w:hAnsi="Calibri" w:cs="Calibri"/>
          <w:color w:val="000000"/>
          <w:sz w:val="22"/>
          <w:szCs w:val="22"/>
        </w:rPr>
        <w:t xml:space="preserve">ncabezadas por mujeres y cuyo objetivo principal es promover la no violencia en contra de las mujeres, algunas de estas organizaciones tenían </w:t>
      </w:r>
      <w:r>
        <w:rPr>
          <w:rFonts w:ascii="Calibri" w:eastAsia="Calibri" w:hAnsi="Calibri" w:cs="Calibri"/>
          <w:sz w:val="22"/>
          <w:szCs w:val="22"/>
        </w:rPr>
        <w:t>más</w:t>
      </w:r>
      <w:r>
        <w:rPr>
          <w:rFonts w:ascii="Calibri" w:eastAsia="Calibri" w:hAnsi="Calibri" w:cs="Calibri"/>
          <w:color w:val="000000"/>
          <w:sz w:val="22"/>
          <w:szCs w:val="22"/>
        </w:rPr>
        <w:t xml:space="preserve"> de 30 años de trabajo comunitario en el país. Esta acción deja   indefensas a muchas mujeres, </w:t>
      </w:r>
      <w:r>
        <w:rPr>
          <w:rFonts w:ascii="Calibri" w:eastAsia="Calibri" w:hAnsi="Calibri" w:cs="Calibri"/>
          <w:sz w:val="22"/>
          <w:szCs w:val="22"/>
        </w:rPr>
        <w:t>sobre todo</w:t>
      </w:r>
      <w:r>
        <w:rPr>
          <w:rFonts w:ascii="Calibri" w:eastAsia="Calibri" w:hAnsi="Calibri" w:cs="Calibri"/>
          <w:color w:val="000000"/>
          <w:sz w:val="22"/>
          <w:szCs w:val="22"/>
        </w:rPr>
        <w:t xml:space="preserve"> a aqu</w:t>
      </w:r>
      <w:r>
        <w:rPr>
          <w:rFonts w:ascii="Calibri" w:eastAsia="Calibri" w:hAnsi="Calibri" w:cs="Calibri"/>
          <w:color w:val="000000"/>
          <w:sz w:val="22"/>
          <w:szCs w:val="22"/>
        </w:rPr>
        <w:t>ellas que habitan en las zonas rurales donde no llegan los servicios de entidades estatales, pero que estaban siendo cubiertas por las organizaciones no gubernamentales a las que se hace referencia.</w:t>
      </w:r>
    </w:p>
    <w:p w14:paraId="21B8C3CE" w14:textId="77777777"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Algunas intervenciones sociales no visibilizan la violenc</w:t>
      </w:r>
      <w:r>
        <w:rPr>
          <w:rFonts w:ascii="Calibri" w:eastAsia="Calibri" w:hAnsi="Calibri" w:cs="Calibri"/>
          <w:color w:val="000000"/>
          <w:sz w:val="22"/>
          <w:szCs w:val="22"/>
        </w:rPr>
        <w:t xml:space="preserve">ia como delito e impiden a las mujeres salir de su círculo de violencia, por ejemplo actualmente se involucran en algunos casos de violencia contra las mujeres mediadores comunitarios, como pueden ser los líderes religiosos, o lideres comunitarios, muchos </w:t>
      </w:r>
      <w:r>
        <w:rPr>
          <w:rFonts w:ascii="Calibri" w:eastAsia="Calibri" w:hAnsi="Calibri" w:cs="Calibri"/>
          <w:color w:val="000000"/>
          <w:sz w:val="22"/>
          <w:szCs w:val="22"/>
        </w:rPr>
        <w:t>sin la formación necesaria para el abordaje del tema, y estos el denominado “proceso de mediación” se interponen entre la víctima y la Justicia, con la intención de evitar sanciones en las diferentes expresiones de violencia, que pueden ser físicas o psico</w:t>
      </w:r>
      <w:r>
        <w:rPr>
          <w:rFonts w:ascii="Calibri" w:eastAsia="Calibri" w:hAnsi="Calibri" w:cs="Calibri"/>
          <w:color w:val="000000"/>
          <w:sz w:val="22"/>
          <w:szCs w:val="22"/>
        </w:rPr>
        <w:t>lógicas, lo cual en una relación directamente proporcional reduce los registros de casos de violencia contra las mujeres a nivel estadístico, lo que convierte los datos en sub registros.</w:t>
      </w:r>
    </w:p>
    <w:p w14:paraId="483C8A94" w14:textId="5B3B7231"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La ausencia de un sistema único de información sobre violencia contra</w:t>
      </w:r>
      <w:r>
        <w:rPr>
          <w:rFonts w:ascii="Calibri" w:eastAsia="Calibri" w:hAnsi="Calibri" w:cs="Calibri"/>
          <w:color w:val="000000"/>
          <w:sz w:val="22"/>
          <w:szCs w:val="22"/>
        </w:rPr>
        <w:t xml:space="preserve"> las mujeres y la poca confiabilidad de los datos que registran las instituciones del Estado, no permite tener una perspectiva real de la gravedad de la violencia contra las mujeres, limitando la planificación de acciones estatales con un impacto sostenido</w:t>
      </w:r>
      <w:r>
        <w:rPr>
          <w:rFonts w:ascii="Calibri" w:eastAsia="Calibri" w:hAnsi="Calibri" w:cs="Calibri"/>
          <w:color w:val="000000"/>
          <w:sz w:val="22"/>
          <w:szCs w:val="22"/>
        </w:rPr>
        <w:t xml:space="preserve"> en la prevención, sanción y erradicación de la violencia contra las mujeres. Según </w:t>
      </w:r>
      <w:proofErr w:type="gramStart"/>
      <w:r>
        <w:rPr>
          <w:rFonts w:ascii="Calibri" w:eastAsia="Calibri" w:hAnsi="Calibri" w:cs="Calibri"/>
          <w:color w:val="000000"/>
          <w:sz w:val="22"/>
          <w:szCs w:val="22"/>
        </w:rPr>
        <w:t>Católicas</w:t>
      </w:r>
      <w:proofErr w:type="gramEnd"/>
      <w:r>
        <w:rPr>
          <w:rFonts w:ascii="Calibri" w:eastAsia="Calibri" w:hAnsi="Calibri" w:cs="Calibri"/>
          <w:color w:val="000000"/>
          <w:sz w:val="22"/>
          <w:szCs w:val="22"/>
        </w:rPr>
        <w:t xml:space="preserve"> por el </w:t>
      </w:r>
      <w:r w:rsidR="005F7180">
        <w:rPr>
          <w:rFonts w:ascii="Calibri" w:eastAsia="Calibri" w:hAnsi="Calibri" w:cs="Calibri"/>
          <w:color w:val="000000"/>
          <w:sz w:val="22"/>
          <w:szCs w:val="22"/>
        </w:rPr>
        <w:t>D</w:t>
      </w:r>
      <w:r>
        <w:rPr>
          <w:rFonts w:ascii="Calibri" w:eastAsia="Calibri" w:hAnsi="Calibri" w:cs="Calibri"/>
          <w:color w:val="000000"/>
          <w:sz w:val="22"/>
          <w:szCs w:val="22"/>
        </w:rPr>
        <w:t xml:space="preserve">erecho a </w:t>
      </w:r>
      <w:r w:rsidR="005F7180">
        <w:rPr>
          <w:rFonts w:ascii="Calibri" w:eastAsia="Calibri" w:hAnsi="Calibri" w:cs="Calibri"/>
          <w:color w:val="000000"/>
          <w:sz w:val="22"/>
          <w:szCs w:val="22"/>
        </w:rPr>
        <w:t>D</w:t>
      </w:r>
      <w:r>
        <w:rPr>
          <w:rFonts w:ascii="Calibri" w:eastAsia="Calibri" w:hAnsi="Calibri" w:cs="Calibri"/>
          <w:color w:val="000000"/>
          <w:sz w:val="22"/>
          <w:szCs w:val="22"/>
        </w:rPr>
        <w:t>ecidir -</w:t>
      </w:r>
      <w:r w:rsidR="005F7180">
        <w:rPr>
          <w:rFonts w:ascii="Calibri" w:eastAsia="Calibri" w:hAnsi="Calibri" w:cs="Calibri"/>
          <w:color w:val="000000"/>
          <w:sz w:val="22"/>
          <w:szCs w:val="22"/>
        </w:rPr>
        <w:t xml:space="preserve"> </w:t>
      </w:r>
      <w:r>
        <w:rPr>
          <w:rFonts w:ascii="Calibri" w:eastAsia="Calibri" w:hAnsi="Calibri" w:cs="Calibri"/>
          <w:color w:val="000000"/>
          <w:sz w:val="22"/>
          <w:szCs w:val="22"/>
        </w:rPr>
        <w:t>Nicaragua, de 2010 a 2020 en Nicaragua se cometieron 716 feminicidios, y solo en el año 2021 hasta septiembre se contabilizan 52 mujeres</w:t>
      </w:r>
      <w:r>
        <w:rPr>
          <w:rFonts w:ascii="Calibri" w:eastAsia="Calibri" w:hAnsi="Calibri" w:cs="Calibri"/>
          <w:color w:val="000000"/>
          <w:sz w:val="22"/>
          <w:szCs w:val="22"/>
        </w:rPr>
        <w:t xml:space="preserve"> Nicaragüenses asesinadas, 10 de estas en el extranjero, destacando Costa Rica como el país donde </w:t>
      </w:r>
      <w:r>
        <w:rPr>
          <w:rFonts w:ascii="Calibri" w:eastAsia="Calibri" w:hAnsi="Calibri" w:cs="Calibri"/>
          <w:sz w:val="22"/>
          <w:szCs w:val="22"/>
        </w:rPr>
        <w:t>más</w:t>
      </w:r>
      <w:r>
        <w:rPr>
          <w:rFonts w:ascii="Calibri" w:eastAsia="Calibri" w:hAnsi="Calibri" w:cs="Calibri"/>
          <w:color w:val="000000"/>
          <w:sz w:val="22"/>
          <w:szCs w:val="22"/>
        </w:rPr>
        <w:t xml:space="preserve"> feminicidios de mujeres Nicaragüenses hubieron, destacando que entre las </w:t>
      </w:r>
      <w:r>
        <w:rPr>
          <w:rFonts w:ascii="Calibri" w:eastAsia="Calibri" w:hAnsi="Calibri" w:cs="Calibri"/>
          <w:sz w:val="22"/>
          <w:szCs w:val="22"/>
        </w:rPr>
        <w:t>víctimas</w:t>
      </w:r>
      <w:r>
        <w:rPr>
          <w:rFonts w:ascii="Calibri" w:eastAsia="Calibri" w:hAnsi="Calibri" w:cs="Calibri"/>
          <w:color w:val="000000"/>
          <w:sz w:val="22"/>
          <w:szCs w:val="22"/>
        </w:rPr>
        <w:t xml:space="preserve"> hay mujeres que salieron del país después de la crisis que vive el país </w:t>
      </w:r>
      <w:r>
        <w:rPr>
          <w:rFonts w:ascii="Calibri" w:eastAsia="Calibri" w:hAnsi="Calibri" w:cs="Calibri"/>
          <w:color w:val="000000"/>
          <w:sz w:val="22"/>
          <w:szCs w:val="22"/>
        </w:rPr>
        <w:t>desde 2018.</w:t>
      </w:r>
    </w:p>
    <w:p w14:paraId="559D3A50" w14:textId="77777777"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La violencia contra las mujeres ha incremento a raíz del contexto político, económico y social que sufre Nicaragua desde 2018, El Estado de Nicaragua todavía no reconoce la gravedad del problema y por el contrario lo minimiza comparándolo con o</w:t>
      </w:r>
      <w:r>
        <w:rPr>
          <w:rFonts w:ascii="Calibri" w:eastAsia="Calibri" w:hAnsi="Calibri" w:cs="Calibri"/>
          <w:color w:val="000000"/>
          <w:sz w:val="22"/>
          <w:szCs w:val="22"/>
        </w:rPr>
        <w:t xml:space="preserve">tros tipos de </w:t>
      </w:r>
      <w:proofErr w:type="gramStart"/>
      <w:r>
        <w:rPr>
          <w:rFonts w:ascii="Calibri" w:eastAsia="Calibri" w:hAnsi="Calibri" w:cs="Calibri"/>
          <w:color w:val="000000"/>
          <w:sz w:val="22"/>
          <w:szCs w:val="22"/>
        </w:rPr>
        <w:t>delitos ,</w:t>
      </w:r>
      <w:proofErr w:type="gramEnd"/>
      <w:r>
        <w:rPr>
          <w:rFonts w:ascii="Calibri" w:eastAsia="Calibri" w:hAnsi="Calibri" w:cs="Calibri"/>
          <w:color w:val="000000"/>
          <w:sz w:val="22"/>
          <w:szCs w:val="22"/>
        </w:rPr>
        <w:t xml:space="preserve"> esto se evidencia en la liberación bajo el beneficio de indultos a algunos agresores que están cumpliendo condenas por violencia sexual, violencia física y psicológica, feminicidio o feminicidio frustrado.</w:t>
      </w:r>
    </w:p>
    <w:p w14:paraId="0BD2F425" w14:textId="77777777"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Desde inicios del año 2007</w:t>
      </w:r>
      <w:r>
        <w:rPr>
          <w:rFonts w:ascii="Calibri" w:eastAsia="Calibri" w:hAnsi="Calibri" w:cs="Calibri"/>
          <w:color w:val="000000"/>
          <w:sz w:val="22"/>
          <w:szCs w:val="22"/>
        </w:rPr>
        <w:t xml:space="preserve"> las instituciones del Estado que forman parte de la ruta de acceso a la </w:t>
      </w:r>
      <w:proofErr w:type="gramStart"/>
      <w:r>
        <w:rPr>
          <w:rFonts w:ascii="Calibri" w:eastAsia="Calibri" w:hAnsi="Calibri" w:cs="Calibri"/>
          <w:color w:val="000000"/>
          <w:sz w:val="22"/>
          <w:szCs w:val="22"/>
        </w:rPr>
        <w:t>justicia,</w:t>
      </w:r>
      <w:proofErr w:type="gramEnd"/>
      <w:r>
        <w:rPr>
          <w:rFonts w:ascii="Calibri" w:eastAsia="Calibri" w:hAnsi="Calibri" w:cs="Calibri"/>
          <w:color w:val="000000"/>
          <w:sz w:val="22"/>
          <w:szCs w:val="22"/>
        </w:rPr>
        <w:t xml:space="preserve"> </w:t>
      </w:r>
      <w:r>
        <w:rPr>
          <w:rFonts w:ascii="Calibri" w:eastAsia="Calibri" w:hAnsi="Calibri" w:cs="Calibri"/>
          <w:sz w:val="22"/>
          <w:szCs w:val="22"/>
        </w:rPr>
        <w:t>suspendieron de manera</w:t>
      </w:r>
      <w:r>
        <w:rPr>
          <w:rFonts w:ascii="Calibri" w:eastAsia="Calibri" w:hAnsi="Calibri" w:cs="Calibri"/>
          <w:color w:val="000000"/>
          <w:sz w:val="22"/>
          <w:szCs w:val="22"/>
        </w:rPr>
        <w:t xml:space="preserve"> unilateral los mecanismos de coordinación con organizaciones de mujeres que han jugado un papel relevante en la prevención de la violencia y acompañam</w:t>
      </w:r>
      <w:r>
        <w:rPr>
          <w:rFonts w:ascii="Calibri" w:eastAsia="Calibri" w:hAnsi="Calibri" w:cs="Calibri"/>
          <w:color w:val="000000"/>
          <w:sz w:val="22"/>
          <w:szCs w:val="22"/>
        </w:rPr>
        <w:t>iento de las víctimas. El Plan Nacional para la Prevención de la Violencia Intrafamiliar y Sexual formulado para el periodo 2001-2006, no ha sido evaluado ni reformulado por el INIM, en conjunto con las instituciones del Estado involucradas y las organizac</w:t>
      </w:r>
      <w:r>
        <w:rPr>
          <w:rFonts w:ascii="Calibri" w:eastAsia="Calibri" w:hAnsi="Calibri" w:cs="Calibri"/>
          <w:color w:val="000000"/>
          <w:sz w:val="22"/>
          <w:szCs w:val="22"/>
        </w:rPr>
        <w:t>iones de mujeres.</w:t>
      </w:r>
    </w:p>
    <w:p w14:paraId="36ECE431" w14:textId="77777777"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 xml:space="preserve">El cierre de las </w:t>
      </w:r>
      <w:r>
        <w:rPr>
          <w:rFonts w:ascii="Calibri" w:eastAsia="Calibri" w:hAnsi="Calibri" w:cs="Calibri"/>
          <w:sz w:val="22"/>
          <w:szCs w:val="22"/>
        </w:rPr>
        <w:t>comisarías</w:t>
      </w:r>
      <w:r>
        <w:rPr>
          <w:rFonts w:ascii="Calibri" w:eastAsia="Calibri" w:hAnsi="Calibri" w:cs="Calibri"/>
          <w:color w:val="000000"/>
          <w:sz w:val="22"/>
          <w:szCs w:val="22"/>
        </w:rPr>
        <w:t xml:space="preserve"> en </w:t>
      </w:r>
      <w:proofErr w:type="gramStart"/>
      <w:r>
        <w:rPr>
          <w:rFonts w:ascii="Calibri" w:eastAsia="Calibri" w:hAnsi="Calibri" w:cs="Calibri"/>
          <w:color w:val="000000"/>
          <w:sz w:val="22"/>
          <w:szCs w:val="22"/>
        </w:rPr>
        <w:t>2015,</w:t>
      </w:r>
      <w:proofErr w:type="gramEnd"/>
      <w:r>
        <w:rPr>
          <w:rFonts w:ascii="Calibri" w:eastAsia="Calibri" w:hAnsi="Calibri" w:cs="Calibri"/>
          <w:color w:val="000000"/>
          <w:sz w:val="22"/>
          <w:szCs w:val="22"/>
        </w:rPr>
        <w:t xml:space="preserve"> es otra acción que ha venido a vulnerar los derechos de las mujeres. El gobierno nicaragüense inicialmente ordenó la creación de las Comisarías de la Mujer, Niñez y Adolescencia, que nacieron en el año</w:t>
      </w:r>
      <w:r>
        <w:rPr>
          <w:rFonts w:ascii="Calibri" w:eastAsia="Calibri" w:hAnsi="Calibri" w:cs="Calibri"/>
          <w:color w:val="000000"/>
          <w:sz w:val="22"/>
          <w:szCs w:val="22"/>
        </w:rPr>
        <w:t xml:space="preserve"> de 1993 para brindar a las mujeres y la niñez una atención especializada en situaciones de violencia. Sin embargo, </w:t>
      </w:r>
      <w:r>
        <w:rPr>
          <w:rFonts w:ascii="Calibri" w:eastAsia="Calibri" w:hAnsi="Calibri" w:cs="Calibri"/>
          <w:sz w:val="22"/>
          <w:szCs w:val="22"/>
        </w:rPr>
        <w:t>estas</w:t>
      </w:r>
      <w:r>
        <w:rPr>
          <w:rFonts w:ascii="Calibri" w:eastAsia="Calibri" w:hAnsi="Calibri" w:cs="Calibri"/>
          <w:color w:val="000000"/>
          <w:sz w:val="22"/>
          <w:szCs w:val="22"/>
        </w:rPr>
        <w:t xml:space="preserve"> fueron cerradas en el año 2016 y puestas en marcha nuevamente en 2020. A pesar de su reapertura, han perdido credibilidad entre la pob</w:t>
      </w:r>
      <w:r>
        <w:rPr>
          <w:rFonts w:ascii="Calibri" w:eastAsia="Calibri" w:hAnsi="Calibri" w:cs="Calibri"/>
          <w:color w:val="000000"/>
          <w:sz w:val="22"/>
          <w:szCs w:val="22"/>
        </w:rPr>
        <w:t xml:space="preserve">lación, en parte porque se incluyen dentro de su quehacer la atención a hombres acusados de ser agresores, quienes son atendidos por el mismo personal y en el mismo local que sus </w:t>
      </w:r>
      <w:r>
        <w:rPr>
          <w:rFonts w:ascii="Calibri" w:eastAsia="Calibri" w:hAnsi="Calibri" w:cs="Calibri"/>
          <w:sz w:val="22"/>
          <w:szCs w:val="22"/>
        </w:rPr>
        <w:t>víctimas</w:t>
      </w:r>
      <w:r>
        <w:rPr>
          <w:rFonts w:ascii="Calibri" w:eastAsia="Calibri" w:hAnsi="Calibri" w:cs="Calibri"/>
          <w:color w:val="000000"/>
          <w:sz w:val="22"/>
          <w:szCs w:val="22"/>
        </w:rPr>
        <w:t xml:space="preserve">. </w:t>
      </w:r>
    </w:p>
    <w:p w14:paraId="38FB00D8" w14:textId="07F33031"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lastRenderedPageBreak/>
        <w:t xml:space="preserve">Entre los principales obstáculos que enfrentan las mujeres en el acceso a la justicia se destaca la parcialización de la justicia, el </w:t>
      </w:r>
      <w:r w:rsidR="005F7180">
        <w:rPr>
          <w:rFonts w:ascii="Calibri" w:eastAsia="Calibri" w:hAnsi="Calibri" w:cs="Calibri"/>
          <w:color w:val="000000"/>
          <w:sz w:val="22"/>
          <w:szCs w:val="22"/>
        </w:rPr>
        <w:t>tráfico</w:t>
      </w:r>
      <w:r>
        <w:rPr>
          <w:rFonts w:ascii="Calibri" w:eastAsia="Calibri" w:hAnsi="Calibri" w:cs="Calibri"/>
          <w:color w:val="000000"/>
          <w:sz w:val="22"/>
          <w:szCs w:val="22"/>
        </w:rPr>
        <w:t xml:space="preserve"> de </w:t>
      </w:r>
      <w:r w:rsidR="005F7180">
        <w:rPr>
          <w:rFonts w:ascii="Calibri" w:eastAsia="Calibri" w:hAnsi="Calibri" w:cs="Calibri"/>
          <w:color w:val="000000"/>
          <w:sz w:val="22"/>
          <w:szCs w:val="22"/>
        </w:rPr>
        <w:t>influencias</w:t>
      </w:r>
      <w:r>
        <w:rPr>
          <w:rFonts w:ascii="Calibri" w:eastAsia="Calibri" w:hAnsi="Calibri" w:cs="Calibri"/>
          <w:color w:val="000000"/>
          <w:sz w:val="22"/>
          <w:szCs w:val="22"/>
        </w:rPr>
        <w:t>, el nepotismo, el mal uso del principio de oportunidad contemplado en el Código Penal,  la negociació</w:t>
      </w:r>
      <w:r>
        <w:rPr>
          <w:rFonts w:ascii="Calibri" w:eastAsia="Calibri" w:hAnsi="Calibri" w:cs="Calibri"/>
          <w:color w:val="000000"/>
          <w:sz w:val="22"/>
          <w:szCs w:val="22"/>
        </w:rPr>
        <w:t xml:space="preserve">n de la pena con el acusado, la prolongación de los procesos judiciales por la reiterada </w:t>
      </w:r>
      <w:r>
        <w:rPr>
          <w:rFonts w:ascii="Calibri" w:eastAsia="Calibri" w:hAnsi="Calibri" w:cs="Calibri"/>
          <w:sz w:val="22"/>
          <w:szCs w:val="22"/>
        </w:rPr>
        <w:t>reprogramación</w:t>
      </w:r>
      <w:r>
        <w:rPr>
          <w:rFonts w:ascii="Calibri" w:eastAsia="Calibri" w:hAnsi="Calibri" w:cs="Calibri"/>
          <w:color w:val="000000"/>
          <w:sz w:val="22"/>
          <w:szCs w:val="22"/>
        </w:rPr>
        <w:t xml:space="preserve"> de audiencias y juicios; el desgaste emocional y económico de las mujeres que se ven obligadas a abandonar el proceso; serias deficiencias en el proceso</w:t>
      </w:r>
      <w:r>
        <w:rPr>
          <w:rFonts w:ascii="Calibri" w:eastAsia="Calibri" w:hAnsi="Calibri" w:cs="Calibri"/>
          <w:color w:val="000000"/>
          <w:sz w:val="22"/>
          <w:szCs w:val="22"/>
        </w:rPr>
        <w:t xml:space="preserve"> de investigación, desaparición de pruebas para debilitar el peso de las condenas, confusión de expedientes, utilización de influencias para distorsionar las investigaciones, entre otras, son realidades cotidianas a las que se enfrentan las mujeres al denu</w:t>
      </w:r>
      <w:r>
        <w:rPr>
          <w:rFonts w:ascii="Calibri" w:eastAsia="Calibri" w:hAnsi="Calibri" w:cs="Calibri"/>
          <w:color w:val="000000"/>
          <w:sz w:val="22"/>
          <w:szCs w:val="22"/>
        </w:rPr>
        <w:t>nciar la violencia machista.</w:t>
      </w:r>
    </w:p>
    <w:p w14:paraId="105C3E88" w14:textId="023CF1A9"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 xml:space="preserve">A lo anterior se </w:t>
      </w:r>
      <w:r w:rsidR="005F7180">
        <w:rPr>
          <w:rFonts w:ascii="Calibri" w:eastAsia="Calibri" w:hAnsi="Calibri" w:cs="Calibri"/>
          <w:color w:val="000000"/>
          <w:sz w:val="22"/>
          <w:szCs w:val="22"/>
        </w:rPr>
        <w:t>suma inobservancia</w:t>
      </w:r>
      <w:r>
        <w:rPr>
          <w:rFonts w:ascii="Calibri" w:eastAsia="Calibri" w:hAnsi="Calibri" w:cs="Calibri"/>
          <w:color w:val="000000"/>
          <w:sz w:val="22"/>
          <w:szCs w:val="22"/>
        </w:rPr>
        <w:t xml:space="preserve"> de los debidos procesos, falta de cumplimiento de los protocolos establecidos para la atención a </w:t>
      </w:r>
      <w:r>
        <w:rPr>
          <w:rFonts w:ascii="Calibri" w:eastAsia="Calibri" w:hAnsi="Calibri" w:cs="Calibri"/>
          <w:sz w:val="22"/>
          <w:szCs w:val="22"/>
        </w:rPr>
        <w:t>víctimas</w:t>
      </w:r>
      <w:r>
        <w:rPr>
          <w:rFonts w:ascii="Calibri" w:eastAsia="Calibri" w:hAnsi="Calibri" w:cs="Calibri"/>
          <w:color w:val="000000"/>
          <w:sz w:val="22"/>
          <w:szCs w:val="22"/>
        </w:rPr>
        <w:t xml:space="preserve"> de violencia de </w:t>
      </w:r>
      <w:r>
        <w:rPr>
          <w:rFonts w:ascii="Calibri" w:eastAsia="Calibri" w:hAnsi="Calibri" w:cs="Calibri"/>
          <w:sz w:val="22"/>
          <w:szCs w:val="22"/>
        </w:rPr>
        <w:t>género</w:t>
      </w:r>
      <w:r>
        <w:rPr>
          <w:rFonts w:ascii="Calibri" w:eastAsia="Calibri" w:hAnsi="Calibri" w:cs="Calibri"/>
          <w:color w:val="000000"/>
          <w:sz w:val="22"/>
          <w:szCs w:val="22"/>
        </w:rPr>
        <w:t xml:space="preserve"> y sexual, falta de programas estatales que faciliten la atención, acompañamiento y movilización de las mujeres víctimas y sobrevivientes.</w:t>
      </w:r>
    </w:p>
    <w:p w14:paraId="3DD795A3" w14:textId="77777777"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Las mujeres lesbianas, a pesar de ser reconocidas jurídica y socialmente como mujeres, al no existir un marco jurídic</w:t>
      </w:r>
      <w:r>
        <w:rPr>
          <w:rFonts w:ascii="Calibri" w:eastAsia="Calibri" w:hAnsi="Calibri" w:cs="Calibri"/>
          <w:color w:val="000000"/>
          <w:sz w:val="22"/>
          <w:szCs w:val="22"/>
        </w:rPr>
        <w:t>o que reconozca la identidad lésbica como parte del ejercicio de sus derechos humanos, hay violencias ejercidas en contra de las mujeres, incluso el asesinato, pero estos son tipificados como homicidios y no como feminicidios, porque ante la falta de regul</w:t>
      </w:r>
      <w:r>
        <w:rPr>
          <w:rFonts w:ascii="Calibri" w:eastAsia="Calibri" w:hAnsi="Calibri" w:cs="Calibri"/>
          <w:color w:val="000000"/>
          <w:sz w:val="22"/>
          <w:szCs w:val="22"/>
        </w:rPr>
        <w:t xml:space="preserve">ación y amparo hay elementos sustanciales que indican que fue un acto de </w:t>
      </w:r>
      <w:proofErr w:type="spellStart"/>
      <w:r>
        <w:rPr>
          <w:rFonts w:ascii="Calibri" w:eastAsia="Calibri" w:hAnsi="Calibri" w:cs="Calibri"/>
          <w:color w:val="000000"/>
          <w:sz w:val="22"/>
          <w:szCs w:val="22"/>
        </w:rPr>
        <w:t>lesbofobia</w:t>
      </w:r>
      <w:proofErr w:type="spellEnd"/>
      <w:r>
        <w:rPr>
          <w:rFonts w:ascii="Calibri" w:eastAsia="Calibri" w:hAnsi="Calibri" w:cs="Calibri"/>
          <w:color w:val="000000"/>
          <w:sz w:val="22"/>
          <w:szCs w:val="22"/>
        </w:rPr>
        <w:t xml:space="preserve">, pero que no son considerados en el proceso de investigación y juicio. </w:t>
      </w:r>
    </w:p>
    <w:p w14:paraId="12946AD4" w14:textId="5F0A98BF"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Actualmente en Nicaragua no existe hasta la fecha una ley de identidad de g</w:t>
      </w:r>
      <w:r w:rsidR="005F7180">
        <w:rPr>
          <w:rFonts w:ascii="Calibri" w:eastAsia="Calibri" w:hAnsi="Calibri" w:cs="Calibri"/>
          <w:color w:val="000000"/>
          <w:sz w:val="22"/>
          <w:szCs w:val="22"/>
        </w:rPr>
        <w:t>é</w:t>
      </w:r>
      <w:r>
        <w:rPr>
          <w:rFonts w:ascii="Calibri" w:eastAsia="Calibri" w:hAnsi="Calibri" w:cs="Calibri"/>
          <w:color w:val="000000"/>
          <w:sz w:val="22"/>
          <w:szCs w:val="22"/>
        </w:rPr>
        <w:t>nero</w:t>
      </w:r>
      <w:r>
        <w:rPr>
          <w:rFonts w:ascii="Calibri" w:eastAsia="Calibri" w:hAnsi="Calibri" w:cs="Calibri"/>
          <w:color w:val="000000"/>
          <w:sz w:val="22"/>
          <w:szCs w:val="22"/>
        </w:rPr>
        <w:t xml:space="preserve"> que permita a las </w:t>
      </w:r>
      <w:r>
        <w:rPr>
          <w:rFonts w:ascii="Calibri" w:eastAsia="Calibri" w:hAnsi="Calibri" w:cs="Calibri"/>
          <w:color w:val="000000"/>
          <w:sz w:val="22"/>
          <w:szCs w:val="22"/>
        </w:rPr>
        <w:t xml:space="preserve">mujeres </w:t>
      </w:r>
      <w:proofErr w:type="spellStart"/>
      <w:r>
        <w:rPr>
          <w:rFonts w:ascii="Calibri" w:eastAsia="Calibri" w:hAnsi="Calibri" w:cs="Calibri"/>
          <w:color w:val="000000"/>
          <w:sz w:val="22"/>
          <w:szCs w:val="22"/>
        </w:rPr>
        <w:t>transgénero</w:t>
      </w:r>
      <w:proofErr w:type="spellEnd"/>
      <w:r>
        <w:rPr>
          <w:rFonts w:ascii="Calibri" w:eastAsia="Calibri" w:hAnsi="Calibri" w:cs="Calibri"/>
          <w:color w:val="000000"/>
          <w:sz w:val="22"/>
          <w:szCs w:val="22"/>
        </w:rPr>
        <w:t xml:space="preserve"> ser identificadas como mujeres en términos jurídicos y sociales. Esto se convierte en un obstáculo de acceso a la justicia que impide contabilizar como violencia de genero y/o feminicidios aquellos delitos o asesinatos que se ejercen en</w:t>
      </w:r>
      <w:r>
        <w:rPr>
          <w:rFonts w:ascii="Calibri" w:eastAsia="Calibri" w:hAnsi="Calibri" w:cs="Calibri"/>
          <w:color w:val="000000"/>
          <w:sz w:val="22"/>
          <w:szCs w:val="22"/>
        </w:rPr>
        <w:t xml:space="preserve"> contra de las mujeres </w:t>
      </w:r>
      <w:proofErr w:type="spellStart"/>
      <w:r>
        <w:rPr>
          <w:rFonts w:ascii="Calibri" w:eastAsia="Calibri" w:hAnsi="Calibri" w:cs="Calibri"/>
          <w:color w:val="000000"/>
          <w:sz w:val="22"/>
          <w:szCs w:val="22"/>
        </w:rPr>
        <w:t>transgénero</w:t>
      </w:r>
      <w:proofErr w:type="spellEnd"/>
      <w:r>
        <w:rPr>
          <w:rFonts w:ascii="Calibri" w:eastAsia="Calibri" w:hAnsi="Calibri" w:cs="Calibri"/>
          <w:color w:val="000000"/>
          <w:sz w:val="22"/>
          <w:szCs w:val="22"/>
        </w:rPr>
        <w:t xml:space="preserve"> y en cuyos cimientos esta la misoginia como máxima expresión del machismo.</w:t>
      </w:r>
    </w:p>
    <w:p w14:paraId="62D30DF9" w14:textId="77777777" w:rsidR="00DF4114" w:rsidRDefault="009F7A4D">
      <w:pPr>
        <w:pStyle w:val="Heading2"/>
        <w:numPr>
          <w:ilvl w:val="1"/>
          <w:numId w:val="2"/>
        </w:numPr>
        <w:spacing w:after="200"/>
      </w:pPr>
      <w:bookmarkStart w:id="6" w:name="_3dy6vkm" w:colFirst="0" w:colLast="0"/>
      <w:bookmarkEnd w:id="6"/>
      <w:r>
        <w:t>Código De Familia Ley 870, Aprobada el 24 de junio de 2014</w:t>
      </w:r>
      <w:r>
        <w:rPr>
          <w:vertAlign w:val="superscript"/>
        </w:rPr>
        <w:footnoteReference w:id="2"/>
      </w:r>
    </w:p>
    <w:p w14:paraId="55CBE3D2" w14:textId="3492CB87"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Este Código define el poder que tiene el Estado sobre nuestros arreglos privados e ín</w:t>
      </w:r>
      <w:r>
        <w:rPr>
          <w:rFonts w:ascii="Calibri" w:eastAsia="Calibri" w:hAnsi="Calibri" w:cs="Calibri"/>
          <w:color w:val="000000"/>
          <w:sz w:val="22"/>
          <w:szCs w:val="22"/>
        </w:rPr>
        <w:t>timos, sobre las definiciones de género, sobre los permisos y prohibiciones que establece en el ámbito de la sexualidad, sobre las consecuencias que tienen nuestros arreglos eróticos y reproductivos en el ámbito legal y social</w:t>
      </w:r>
      <w:r>
        <w:rPr>
          <w:rFonts w:ascii="Calibri" w:eastAsia="Calibri" w:hAnsi="Calibri" w:cs="Calibri"/>
          <w:color w:val="000000"/>
          <w:sz w:val="22"/>
          <w:szCs w:val="22"/>
        </w:rPr>
        <w:t>.</w:t>
      </w:r>
    </w:p>
    <w:p w14:paraId="09EFCB61" w14:textId="08170B31"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 xml:space="preserve">Los </w:t>
      </w:r>
      <w:r w:rsidR="005F7180">
        <w:rPr>
          <w:rFonts w:ascii="Calibri" w:eastAsia="Calibri" w:hAnsi="Calibri" w:cs="Calibri"/>
          <w:color w:val="000000"/>
          <w:sz w:val="22"/>
          <w:szCs w:val="22"/>
        </w:rPr>
        <w:t>artículos</w:t>
      </w:r>
      <w:r>
        <w:rPr>
          <w:rFonts w:ascii="Calibri" w:eastAsia="Calibri" w:hAnsi="Calibri" w:cs="Calibri"/>
          <w:color w:val="000000"/>
          <w:sz w:val="22"/>
          <w:szCs w:val="22"/>
        </w:rPr>
        <w:t xml:space="preserve"> 62 y 74 del Códi</w:t>
      </w:r>
      <w:r>
        <w:rPr>
          <w:rFonts w:ascii="Calibri" w:eastAsia="Calibri" w:hAnsi="Calibri" w:cs="Calibri"/>
          <w:color w:val="000000"/>
          <w:sz w:val="22"/>
          <w:szCs w:val="22"/>
        </w:rPr>
        <w:t xml:space="preserve">go impone a las parejas heterosexuales, la obligación del amor, la fidelidad y el deber de </w:t>
      </w:r>
      <w:r>
        <w:rPr>
          <w:rFonts w:ascii="Calibri" w:eastAsia="Calibri" w:hAnsi="Calibri" w:cs="Calibri"/>
          <w:sz w:val="22"/>
          <w:szCs w:val="22"/>
        </w:rPr>
        <w:t>acompañar para</w:t>
      </w:r>
      <w:r>
        <w:rPr>
          <w:rFonts w:ascii="Calibri" w:eastAsia="Calibri" w:hAnsi="Calibri" w:cs="Calibri"/>
          <w:color w:val="000000"/>
          <w:sz w:val="22"/>
          <w:szCs w:val="22"/>
        </w:rPr>
        <w:t xml:space="preserve"> toda la vida, reproduciendo así rituales impropios de un Estado que no tiene religión oficial. El Código reproduce una noción de familia que la homolo</w:t>
      </w:r>
      <w:r>
        <w:rPr>
          <w:rFonts w:ascii="Calibri" w:eastAsia="Calibri" w:hAnsi="Calibri" w:cs="Calibri"/>
          <w:color w:val="000000"/>
          <w:sz w:val="22"/>
          <w:szCs w:val="22"/>
        </w:rPr>
        <w:t>ga con el matrimonio tradicional y heterosexual y la establece con fines reproductivos, en abierta negación de los diversos arreglos familiares que operan en la sociedad, que no necesariamente pasan por el contrato matrimonial y la reproducción, afirma que</w:t>
      </w:r>
      <w:r>
        <w:rPr>
          <w:rFonts w:ascii="Calibri" w:eastAsia="Calibri" w:hAnsi="Calibri" w:cs="Calibri"/>
          <w:color w:val="000000"/>
          <w:sz w:val="22"/>
          <w:szCs w:val="22"/>
        </w:rPr>
        <w:t xml:space="preserve"> una mujer solo puede casarse con un hombre y viceversa. Quedando excluidas del derecho a casarse las personas lesbianas y homosexuales.</w:t>
      </w:r>
    </w:p>
    <w:p w14:paraId="4F5A04C8" w14:textId="77777777"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Al establecer el matrimonio heterosexual como única forma de establecer parejas para contar con amparo jurídico, el Est</w:t>
      </w:r>
      <w:r>
        <w:rPr>
          <w:rFonts w:ascii="Calibri" w:eastAsia="Calibri" w:hAnsi="Calibri" w:cs="Calibri"/>
          <w:color w:val="000000"/>
          <w:sz w:val="22"/>
          <w:szCs w:val="22"/>
        </w:rPr>
        <w:t xml:space="preserve">ado viola la libertad individual de las personas determinando de forma arbitraria, la existencia de una única orientación sexo-erótica y afectiva. A su vez reproduce la falacia del modelo de la familia nuclear, a pesar </w:t>
      </w:r>
      <w:proofErr w:type="gramStart"/>
      <w:r>
        <w:rPr>
          <w:rFonts w:ascii="Calibri" w:eastAsia="Calibri" w:hAnsi="Calibri" w:cs="Calibri"/>
          <w:color w:val="000000"/>
          <w:sz w:val="22"/>
          <w:szCs w:val="22"/>
        </w:rPr>
        <w:t>que  en</w:t>
      </w:r>
      <w:proofErr w:type="gramEnd"/>
      <w:r>
        <w:rPr>
          <w:rFonts w:ascii="Calibri" w:eastAsia="Calibri" w:hAnsi="Calibri" w:cs="Calibri"/>
          <w:color w:val="000000"/>
          <w:sz w:val="22"/>
          <w:szCs w:val="22"/>
        </w:rPr>
        <w:t xml:space="preserve"> Nicaragua se estima que al me</w:t>
      </w:r>
      <w:r>
        <w:rPr>
          <w:rFonts w:ascii="Calibri" w:eastAsia="Calibri" w:hAnsi="Calibri" w:cs="Calibri"/>
          <w:color w:val="000000"/>
          <w:sz w:val="22"/>
          <w:szCs w:val="22"/>
        </w:rPr>
        <w:t xml:space="preserve">nos el 35% de las familias nicaragüenses son </w:t>
      </w:r>
      <w:proofErr w:type="spellStart"/>
      <w:r>
        <w:rPr>
          <w:rFonts w:ascii="Calibri" w:eastAsia="Calibri" w:hAnsi="Calibri" w:cs="Calibri"/>
          <w:color w:val="000000"/>
          <w:sz w:val="22"/>
          <w:szCs w:val="22"/>
        </w:rPr>
        <w:t>monomarentales</w:t>
      </w:r>
      <w:proofErr w:type="spellEnd"/>
      <w:r>
        <w:rPr>
          <w:rFonts w:ascii="Calibri" w:eastAsia="Calibri" w:hAnsi="Calibri" w:cs="Calibri"/>
          <w:color w:val="000000"/>
          <w:sz w:val="22"/>
          <w:szCs w:val="22"/>
        </w:rPr>
        <w:t>, son las madres, las abuelas y las tías las que se ocupan del cuidado de las familias integradas por sus hijos, hijas, y los de otras mujeres de su entorno, quedando muchas</w:t>
      </w:r>
    </w:p>
    <w:p w14:paraId="4B763D81" w14:textId="77777777"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Cuando el código de fam</w:t>
      </w:r>
      <w:r>
        <w:rPr>
          <w:rFonts w:ascii="Calibri" w:eastAsia="Calibri" w:hAnsi="Calibri" w:cs="Calibri"/>
          <w:color w:val="000000"/>
          <w:sz w:val="22"/>
          <w:szCs w:val="22"/>
        </w:rPr>
        <w:t xml:space="preserve">ilia niega derechos a aquellos niños y niñas de madres lesbianas o de padres homosexuales ya que no cuentan con protección legal de su familia, de su identidad, de su integridad, constituyendo así una violación de derechos frente a las estipulaciones de </w:t>
      </w:r>
      <w:proofErr w:type="gramStart"/>
      <w:r>
        <w:rPr>
          <w:rFonts w:ascii="Calibri" w:eastAsia="Calibri" w:hAnsi="Calibri" w:cs="Calibri"/>
          <w:color w:val="000000"/>
          <w:sz w:val="22"/>
          <w:szCs w:val="22"/>
        </w:rPr>
        <w:t>la</w:t>
      </w:r>
      <w:r>
        <w:rPr>
          <w:rFonts w:ascii="Calibri" w:eastAsia="Calibri" w:hAnsi="Calibri" w:cs="Calibri"/>
          <w:color w:val="000000"/>
          <w:sz w:val="22"/>
          <w:szCs w:val="22"/>
        </w:rPr>
        <w:t xml:space="preserve">  Convención</w:t>
      </w:r>
      <w:proofErr w:type="gramEnd"/>
      <w:r>
        <w:rPr>
          <w:rFonts w:ascii="Calibri" w:eastAsia="Calibri" w:hAnsi="Calibri" w:cs="Calibri"/>
          <w:color w:val="000000"/>
          <w:sz w:val="22"/>
          <w:szCs w:val="22"/>
        </w:rPr>
        <w:t xml:space="preserve"> Internacional </w:t>
      </w:r>
      <w:r>
        <w:rPr>
          <w:rFonts w:ascii="Calibri" w:eastAsia="Calibri" w:hAnsi="Calibri" w:cs="Calibri"/>
          <w:color w:val="000000"/>
          <w:sz w:val="22"/>
          <w:szCs w:val="22"/>
        </w:rPr>
        <w:lastRenderedPageBreak/>
        <w:t>de los Derechos del Niño y la Niña, art 2.2</w:t>
      </w:r>
      <w:r>
        <w:rPr>
          <w:rFonts w:ascii="Calibri" w:eastAsia="Calibri" w:hAnsi="Calibri" w:cs="Calibri"/>
          <w:color w:val="000000"/>
          <w:sz w:val="26"/>
          <w:szCs w:val="26"/>
          <w:vertAlign w:val="superscript"/>
        </w:rPr>
        <w:footnoteReference w:id="3"/>
      </w:r>
      <w:r>
        <w:rPr>
          <w:rFonts w:ascii="Calibri" w:eastAsia="Calibri" w:hAnsi="Calibri" w:cs="Calibri"/>
          <w:color w:val="000000"/>
          <w:sz w:val="22"/>
          <w:szCs w:val="22"/>
        </w:rPr>
        <w:t>, en el que estipula la no discriminación en el cumplimiento de los derechos del niño y la niña.</w:t>
      </w:r>
    </w:p>
    <w:p w14:paraId="12225755" w14:textId="77777777"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En tal sentido resulta un contrasentido jurídico la aprobación de un Código que, en vez</w:t>
      </w:r>
      <w:r>
        <w:rPr>
          <w:rFonts w:ascii="Calibri" w:eastAsia="Calibri" w:hAnsi="Calibri" w:cs="Calibri"/>
          <w:color w:val="000000"/>
          <w:sz w:val="22"/>
          <w:szCs w:val="22"/>
        </w:rPr>
        <w:t xml:space="preserve"> de ampliar derechos, niegue derechos sexuales y reproductivos a hombres y mujeres, viole los derechos de niñas y adolescentes en lo relativo a su integridad y derecho a una vida libre de violencia, viole los derechos de las personas con discapacidad, nieg</w:t>
      </w:r>
      <w:r>
        <w:rPr>
          <w:rFonts w:ascii="Calibri" w:eastAsia="Calibri" w:hAnsi="Calibri" w:cs="Calibri"/>
          <w:color w:val="000000"/>
          <w:sz w:val="22"/>
          <w:szCs w:val="22"/>
        </w:rPr>
        <w:t>ue derechos a homosexuales y lesbianas.</w:t>
      </w:r>
    </w:p>
    <w:p w14:paraId="4A7D06B5" w14:textId="77777777" w:rsidR="00DF4114" w:rsidRDefault="009F7A4D">
      <w:pPr>
        <w:pStyle w:val="Heading2"/>
        <w:numPr>
          <w:ilvl w:val="1"/>
          <w:numId w:val="2"/>
        </w:numPr>
        <w:spacing w:after="200"/>
        <w:ind w:firstLine="0"/>
      </w:pPr>
      <w:bookmarkStart w:id="7" w:name="_1t3h5sf" w:colFirst="0" w:colLast="0"/>
      <w:bookmarkEnd w:id="7"/>
      <w:r>
        <w:t>Recomendaciones</w:t>
      </w:r>
    </w:p>
    <w:p w14:paraId="39773BC0" w14:textId="77777777" w:rsidR="00DF4114" w:rsidRDefault="009F7A4D">
      <w:pPr>
        <w:pStyle w:val="Heading4"/>
        <w:numPr>
          <w:ilvl w:val="3"/>
          <w:numId w:val="2"/>
        </w:numPr>
        <w:tabs>
          <w:tab w:val="left" w:pos="0"/>
        </w:tabs>
        <w:rPr>
          <w:sz w:val="22"/>
          <w:szCs w:val="22"/>
        </w:rPr>
      </w:pPr>
      <w:bookmarkStart w:id="8" w:name="_4d34og8" w:colFirst="0" w:colLast="0"/>
      <w:bookmarkEnd w:id="8"/>
      <w:r>
        <w:rPr>
          <w:sz w:val="22"/>
          <w:szCs w:val="22"/>
        </w:rPr>
        <w:t>El Estado</w:t>
      </w:r>
      <w:r>
        <w:rPr>
          <w:b/>
          <w:sz w:val="22"/>
          <w:szCs w:val="22"/>
        </w:rPr>
        <w:t xml:space="preserve"> </w:t>
      </w:r>
      <w:r>
        <w:rPr>
          <w:sz w:val="22"/>
          <w:szCs w:val="22"/>
        </w:rPr>
        <w:t>de Nicaragua</w:t>
      </w:r>
      <w:r>
        <w:rPr>
          <w:b/>
          <w:sz w:val="22"/>
          <w:szCs w:val="22"/>
        </w:rPr>
        <w:t xml:space="preserve"> </w:t>
      </w:r>
      <w:r>
        <w:rPr>
          <w:sz w:val="22"/>
          <w:szCs w:val="22"/>
        </w:rPr>
        <w:t>debería:</w:t>
      </w:r>
    </w:p>
    <w:p w14:paraId="2E3C011A" w14:textId="77777777"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 xml:space="preserve">Fortalecer el Mecanismo Nacional para el adelanto de las mujeres </w:t>
      </w:r>
      <w:r>
        <w:rPr>
          <w:rFonts w:ascii="Calibri" w:eastAsia="Calibri" w:hAnsi="Calibri" w:cs="Calibri"/>
          <w:sz w:val="22"/>
          <w:szCs w:val="22"/>
        </w:rPr>
        <w:t>dotándolo de</w:t>
      </w:r>
      <w:r>
        <w:rPr>
          <w:rFonts w:ascii="Calibri" w:eastAsia="Calibri" w:hAnsi="Calibri" w:cs="Calibri"/>
          <w:color w:val="000000"/>
          <w:sz w:val="22"/>
          <w:szCs w:val="22"/>
        </w:rPr>
        <w:t xml:space="preserve"> autoridad, capacidad decisoria y recursos financieros y talentos humanos necesarios para promover con </w:t>
      </w:r>
      <w:proofErr w:type="spellStart"/>
      <w:r>
        <w:rPr>
          <w:rFonts w:ascii="Calibri" w:eastAsia="Calibri" w:hAnsi="Calibri" w:cs="Calibri"/>
          <w:color w:val="000000"/>
          <w:sz w:val="22"/>
          <w:szCs w:val="22"/>
        </w:rPr>
        <w:t>eﬁcacia</w:t>
      </w:r>
      <w:proofErr w:type="spellEnd"/>
      <w:r>
        <w:rPr>
          <w:rFonts w:ascii="Calibri" w:eastAsia="Calibri" w:hAnsi="Calibri" w:cs="Calibri"/>
          <w:color w:val="000000"/>
          <w:sz w:val="22"/>
          <w:szCs w:val="22"/>
        </w:rPr>
        <w:t xml:space="preserve"> la igualdad de derechos y el respeto de los derechos humanos de las mujeres.</w:t>
      </w:r>
    </w:p>
    <w:p w14:paraId="4F031FCE" w14:textId="77777777"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Retomar los espacios de interlocución con el movimiento de mujeres/f</w:t>
      </w:r>
      <w:r>
        <w:rPr>
          <w:rFonts w:ascii="Calibri" w:eastAsia="Calibri" w:hAnsi="Calibri" w:cs="Calibri"/>
          <w:color w:val="000000"/>
          <w:sz w:val="22"/>
          <w:szCs w:val="22"/>
        </w:rPr>
        <w:t>eminista, como actoras claves en el avance y desarrollo de las mujeres y el ejercicio pleno de su ciudadanía.</w:t>
      </w:r>
    </w:p>
    <w:p w14:paraId="45E8081D" w14:textId="77777777"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 xml:space="preserve">Retomar los lineamientos establecidos en la creación de las </w:t>
      </w:r>
      <w:r>
        <w:rPr>
          <w:rFonts w:ascii="Calibri" w:eastAsia="Calibri" w:hAnsi="Calibri" w:cs="Calibri"/>
          <w:sz w:val="22"/>
          <w:szCs w:val="22"/>
        </w:rPr>
        <w:t>Comisarías</w:t>
      </w:r>
      <w:r>
        <w:rPr>
          <w:rFonts w:ascii="Calibri" w:eastAsia="Calibri" w:hAnsi="Calibri" w:cs="Calibri"/>
          <w:color w:val="000000"/>
          <w:sz w:val="22"/>
          <w:szCs w:val="22"/>
        </w:rPr>
        <w:t xml:space="preserve"> de la Mujer, niñez y adolescencia, de modo que sean un recurso que sea gara</w:t>
      </w:r>
      <w:r>
        <w:rPr>
          <w:rFonts w:ascii="Calibri" w:eastAsia="Calibri" w:hAnsi="Calibri" w:cs="Calibri"/>
          <w:color w:val="000000"/>
          <w:sz w:val="22"/>
          <w:szCs w:val="22"/>
        </w:rPr>
        <w:t>nte del derecho de las mujeres a la justicia.</w:t>
      </w:r>
    </w:p>
    <w:p w14:paraId="718C180C" w14:textId="77777777"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Asegurar información pública transparente y continua que permita conocer la acción pública para reducir las brechas de desigualdad.</w:t>
      </w:r>
    </w:p>
    <w:p w14:paraId="26838A8F" w14:textId="77777777"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Cumplir con los compromisos establecidos tanto en la legislación nacional como</w:t>
      </w:r>
      <w:r>
        <w:rPr>
          <w:rFonts w:ascii="Calibri" w:eastAsia="Calibri" w:hAnsi="Calibri" w:cs="Calibri"/>
          <w:color w:val="000000"/>
          <w:sz w:val="22"/>
          <w:szCs w:val="22"/>
        </w:rPr>
        <w:t xml:space="preserve"> en las convenciones y tratados </w:t>
      </w:r>
      <w:r>
        <w:rPr>
          <w:rFonts w:ascii="Calibri" w:eastAsia="Calibri" w:hAnsi="Calibri" w:cs="Calibri"/>
          <w:sz w:val="22"/>
          <w:szCs w:val="22"/>
        </w:rPr>
        <w:t>internacionales</w:t>
      </w:r>
      <w:r>
        <w:rPr>
          <w:rFonts w:ascii="Calibri" w:eastAsia="Calibri" w:hAnsi="Calibri" w:cs="Calibri"/>
          <w:color w:val="000000"/>
          <w:sz w:val="22"/>
          <w:szCs w:val="22"/>
        </w:rPr>
        <w:t xml:space="preserve"> en materia de derechos humanos de las mujeres, sobre todo el derecho a vivir libre de todas las formas de violencia.</w:t>
      </w:r>
    </w:p>
    <w:p w14:paraId="1F674FB7" w14:textId="77777777"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Velar por el cumplimiento efectivo de la ley 779, asignar los recursos materiales, humanos y financieros necesarios para su efectiva aplicación.</w:t>
      </w:r>
    </w:p>
    <w:p w14:paraId="5969E90F" w14:textId="77777777"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 xml:space="preserve">Apegarse a lo estipulado en el </w:t>
      </w:r>
      <w:r>
        <w:rPr>
          <w:rFonts w:ascii="Calibri" w:eastAsia="Calibri" w:hAnsi="Calibri" w:cs="Calibri"/>
          <w:sz w:val="22"/>
          <w:szCs w:val="22"/>
        </w:rPr>
        <w:t>artículo</w:t>
      </w:r>
      <w:r>
        <w:rPr>
          <w:rFonts w:ascii="Calibri" w:eastAsia="Calibri" w:hAnsi="Calibri" w:cs="Calibri"/>
          <w:color w:val="000000"/>
          <w:sz w:val="22"/>
          <w:szCs w:val="22"/>
        </w:rPr>
        <w:t xml:space="preserve"> 30 </w:t>
      </w:r>
      <w:proofErr w:type="gramStart"/>
      <w:r>
        <w:rPr>
          <w:rFonts w:ascii="Calibri" w:eastAsia="Calibri" w:hAnsi="Calibri" w:cs="Calibri"/>
          <w:color w:val="000000"/>
          <w:sz w:val="22"/>
          <w:szCs w:val="22"/>
        </w:rPr>
        <w:t>de  la</w:t>
      </w:r>
      <w:proofErr w:type="gramEnd"/>
      <w:r>
        <w:rPr>
          <w:rFonts w:ascii="Calibri" w:eastAsia="Calibri" w:hAnsi="Calibri" w:cs="Calibri"/>
          <w:color w:val="000000"/>
          <w:sz w:val="22"/>
          <w:szCs w:val="22"/>
        </w:rPr>
        <w:t xml:space="preserve"> Constitución Política de Nicaragua, en el que se estipula que</w:t>
      </w:r>
      <w:r>
        <w:rPr>
          <w:rFonts w:ascii="Calibri" w:eastAsia="Calibri" w:hAnsi="Calibri" w:cs="Calibri"/>
          <w:color w:val="000000"/>
          <w:sz w:val="22"/>
          <w:szCs w:val="22"/>
        </w:rPr>
        <w:t xml:space="preserve"> toda persona tiene derecho a expresar libremente su pensamiento en público o en privado, individual o colectivamente, en forma oral, escrita o por cualquier otro medio</w:t>
      </w:r>
      <w:r>
        <w:rPr>
          <w:rFonts w:ascii="Calibri" w:eastAsia="Calibri" w:hAnsi="Calibri" w:cs="Calibri"/>
          <w:color w:val="000000"/>
          <w:sz w:val="26"/>
          <w:szCs w:val="26"/>
          <w:vertAlign w:val="superscript"/>
        </w:rPr>
        <w:footnoteReference w:id="4"/>
      </w:r>
      <w:r>
        <w:rPr>
          <w:rFonts w:ascii="Calibri" w:eastAsia="Calibri" w:hAnsi="Calibri" w:cs="Calibri"/>
          <w:color w:val="000000"/>
          <w:sz w:val="22"/>
          <w:szCs w:val="22"/>
        </w:rPr>
        <w:t>.</w:t>
      </w:r>
    </w:p>
    <w:p w14:paraId="4F1ECC86" w14:textId="77777777"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Excluir del beneficio de indulto a las personas privadas de libertad que están vincu</w:t>
      </w:r>
      <w:r>
        <w:rPr>
          <w:rFonts w:ascii="Calibri" w:eastAsia="Calibri" w:hAnsi="Calibri" w:cs="Calibri"/>
          <w:color w:val="000000"/>
          <w:sz w:val="22"/>
          <w:szCs w:val="22"/>
        </w:rPr>
        <w:t>ladas a delitos de abuso sexual, feminicidio o feminicidio frustrado.</w:t>
      </w:r>
    </w:p>
    <w:p w14:paraId="6B9915FB" w14:textId="77777777"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Elaborar e implementar un plan nacional de prevención de la violencia contra las mujeres que involucre a las instituciones del estado, organizaciones de mujeres/feministas y otros actore</w:t>
      </w:r>
      <w:r>
        <w:rPr>
          <w:rFonts w:ascii="Calibri" w:eastAsia="Calibri" w:hAnsi="Calibri" w:cs="Calibri"/>
          <w:color w:val="000000"/>
          <w:sz w:val="22"/>
          <w:szCs w:val="22"/>
        </w:rPr>
        <w:t xml:space="preserve">s de la sociedad civil que permita llegar a todo el territorio nacional, prestando atención a aquellos territorios donde hay un </w:t>
      </w:r>
      <w:proofErr w:type="spellStart"/>
      <w:r>
        <w:rPr>
          <w:rFonts w:ascii="Calibri" w:eastAsia="Calibri" w:hAnsi="Calibri" w:cs="Calibri"/>
          <w:color w:val="000000"/>
          <w:sz w:val="22"/>
          <w:szCs w:val="22"/>
        </w:rPr>
        <w:t>indice</w:t>
      </w:r>
      <w:proofErr w:type="spellEnd"/>
      <w:r>
        <w:rPr>
          <w:rFonts w:ascii="Calibri" w:eastAsia="Calibri" w:hAnsi="Calibri" w:cs="Calibri"/>
          <w:color w:val="000000"/>
          <w:sz w:val="22"/>
          <w:szCs w:val="22"/>
        </w:rPr>
        <w:t xml:space="preserve"> elevado de agresores y donde las mujeres no tienen acceso a recursos de acompañamiento social, psicológico y jurídico.</w:t>
      </w:r>
    </w:p>
    <w:p w14:paraId="6AED2E33" w14:textId="77777777"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Re</w:t>
      </w:r>
      <w:r>
        <w:rPr>
          <w:rFonts w:ascii="Calibri" w:eastAsia="Calibri" w:hAnsi="Calibri" w:cs="Calibri"/>
          <w:color w:val="000000"/>
          <w:sz w:val="22"/>
          <w:szCs w:val="22"/>
        </w:rPr>
        <w:t xml:space="preserve">spetar y garantizar el derecho de las mujeres nicaragüenses a constituir una familia según el artículo 71 de la Constitución </w:t>
      </w:r>
      <w:proofErr w:type="gramStart"/>
      <w:r>
        <w:rPr>
          <w:rFonts w:ascii="Calibri" w:eastAsia="Calibri" w:hAnsi="Calibri" w:cs="Calibri"/>
          <w:color w:val="000000"/>
          <w:sz w:val="22"/>
          <w:szCs w:val="22"/>
        </w:rPr>
        <w:t>Política  de</w:t>
      </w:r>
      <w:proofErr w:type="gramEnd"/>
      <w:r>
        <w:rPr>
          <w:rFonts w:ascii="Calibri" w:eastAsia="Calibri" w:hAnsi="Calibri" w:cs="Calibri"/>
          <w:color w:val="000000"/>
          <w:sz w:val="22"/>
          <w:szCs w:val="22"/>
        </w:rPr>
        <w:t xml:space="preserve"> Nicaragua atendiendo el principio de supremacía constitucional.</w:t>
      </w:r>
    </w:p>
    <w:p w14:paraId="281249A6" w14:textId="77777777"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 xml:space="preserve">Ampliar el concepto de Familia, que se reconozcan todos los modelos de organización familiar de nuestra sociedad, de tal manera incluir a las familias formadas por personas de la comunidad </w:t>
      </w:r>
      <w:proofErr w:type="spellStart"/>
      <w:r>
        <w:rPr>
          <w:rFonts w:ascii="Calibri" w:eastAsia="Calibri" w:hAnsi="Calibri" w:cs="Calibri"/>
          <w:color w:val="000000"/>
          <w:sz w:val="22"/>
          <w:szCs w:val="22"/>
        </w:rPr>
        <w:t>lLGBT</w:t>
      </w:r>
      <w:proofErr w:type="spellEnd"/>
      <w:r>
        <w:rPr>
          <w:rFonts w:ascii="Calibri" w:eastAsia="Calibri" w:hAnsi="Calibri" w:cs="Calibri"/>
          <w:color w:val="000000"/>
          <w:sz w:val="22"/>
          <w:szCs w:val="22"/>
        </w:rPr>
        <w:t xml:space="preserve"> y proteger a las y los hijos que conforman.</w:t>
      </w:r>
    </w:p>
    <w:p w14:paraId="60A0272A" w14:textId="77777777"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Reconocer la viol</w:t>
      </w:r>
      <w:r>
        <w:rPr>
          <w:rFonts w:ascii="Calibri" w:eastAsia="Calibri" w:hAnsi="Calibri" w:cs="Calibri"/>
          <w:color w:val="000000"/>
          <w:sz w:val="22"/>
          <w:szCs w:val="22"/>
        </w:rPr>
        <w:t>encia de género en este Código de Familia y que trabaje de la mano con la ley 779, Ley Integral contra la Violencia contra las Mujeres.</w:t>
      </w:r>
    </w:p>
    <w:p w14:paraId="7B0B697F" w14:textId="77777777"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lastRenderedPageBreak/>
        <w:t>Reconocer los derechos sexuales y reproductivos de las mujeres, niñas y adolescentes en lo relativo a su integridad, aut</w:t>
      </w:r>
      <w:r>
        <w:rPr>
          <w:rFonts w:ascii="Calibri" w:eastAsia="Calibri" w:hAnsi="Calibri" w:cs="Calibri"/>
          <w:color w:val="000000"/>
          <w:sz w:val="22"/>
          <w:szCs w:val="22"/>
        </w:rPr>
        <w:t xml:space="preserve">onomía corporal y derecho a una vida libre de violencia, derechos de las mujeres con discapacidad y a las mujeres lesbianas y </w:t>
      </w:r>
      <w:proofErr w:type="spellStart"/>
      <w:r>
        <w:rPr>
          <w:rFonts w:ascii="Calibri" w:eastAsia="Calibri" w:hAnsi="Calibri" w:cs="Calibri"/>
          <w:color w:val="000000"/>
          <w:sz w:val="22"/>
          <w:szCs w:val="22"/>
        </w:rPr>
        <w:t>trans</w:t>
      </w:r>
      <w:proofErr w:type="spellEnd"/>
      <w:r>
        <w:rPr>
          <w:rFonts w:ascii="Calibri" w:eastAsia="Calibri" w:hAnsi="Calibri" w:cs="Calibri"/>
          <w:color w:val="000000"/>
          <w:sz w:val="22"/>
          <w:szCs w:val="22"/>
        </w:rPr>
        <w:t>.</w:t>
      </w:r>
    </w:p>
    <w:p w14:paraId="7FDB14E9" w14:textId="77777777" w:rsidR="00DF4114" w:rsidRDefault="009F7A4D">
      <w:pPr>
        <w:pStyle w:val="Heading1"/>
        <w:spacing w:before="0" w:after="240"/>
      </w:pPr>
      <w:bookmarkStart w:id="9" w:name="_2s8eyo1" w:colFirst="0" w:colLast="0"/>
      <w:bookmarkEnd w:id="9"/>
      <w:r>
        <w:t>Mujeres afrodescendientes.</w:t>
      </w:r>
    </w:p>
    <w:p w14:paraId="12BE1E84" w14:textId="77777777" w:rsidR="00DF4114" w:rsidRDefault="009F7A4D">
      <w:pPr>
        <w:pStyle w:val="Heading2"/>
      </w:pPr>
      <w:bookmarkStart w:id="10" w:name="_17dp8vu" w:colFirst="0" w:colLast="0"/>
      <w:bookmarkEnd w:id="10"/>
      <w:r>
        <w:t>Contexto de las mujeres en la Costa Caribe Nicaragüense.</w:t>
      </w:r>
    </w:p>
    <w:p w14:paraId="22A568C6" w14:textId="77777777"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La Costa Caribe de Nicaragua con su div</w:t>
      </w:r>
      <w:r>
        <w:rPr>
          <w:rFonts w:ascii="Calibri" w:eastAsia="Calibri" w:hAnsi="Calibri" w:cs="Calibri"/>
          <w:color w:val="000000"/>
          <w:sz w:val="22"/>
          <w:szCs w:val="22"/>
        </w:rPr>
        <w:t xml:space="preserve">ersidad étnica y riqueza cultural ocupa aproximadamente el 46% del territorio nacional y </w:t>
      </w:r>
      <w:r>
        <w:rPr>
          <w:rFonts w:ascii="Calibri" w:eastAsia="Calibri" w:hAnsi="Calibri" w:cs="Calibri"/>
          <w:sz w:val="22"/>
          <w:szCs w:val="22"/>
        </w:rPr>
        <w:t>contiene</w:t>
      </w:r>
      <w:r>
        <w:rPr>
          <w:rFonts w:ascii="Calibri" w:eastAsia="Calibri" w:hAnsi="Calibri" w:cs="Calibri"/>
          <w:color w:val="000000"/>
          <w:sz w:val="22"/>
          <w:szCs w:val="22"/>
        </w:rPr>
        <w:t xml:space="preserve"> el 60% de los recursos naturales. La totalidad de municipios de la Región Autónoma del Caribe Norte (RACN) y de la Región Autónoma del Caribe Sur (RACS) vive </w:t>
      </w:r>
      <w:r>
        <w:rPr>
          <w:rFonts w:ascii="Calibri" w:eastAsia="Calibri" w:hAnsi="Calibri" w:cs="Calibri"/>
          <w:color w:val="000000"/>
          <w:sz w:val="22"/>
          <w:szCs w:val="22"/>
        </w:rPr>
        <w:t xml:space="preserve">en extrema pobreza, la mayoría de los pueblos indígenas, afrocaribeños y comunidades étnicas viven en riesgo de exclusión. </w:t>
      </w:r>
    </w:p>
    <w:p w14:paraId="3EB13DF6" w14:textId="77777777"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 xml:space="preserve"> Según el informe del PNUD (2020)</w:t>
      </w:r>
      <w:r>
        <w:rPr>
          <w:rFonts w:ascii="Calibri" w:eastAsia="Calibri" w:hAnsi="Calibri" w:cs="Calibri"/>
          <w:color w:val="000000"/>
          <w:sz w:val="22"/>
          <w:szCs w:val="22"/>
          <w:vertAlign w:val="superscript"/>
        </w:rPr>
        <w:footnoteReference w:id="5"/>
      </w:r>
      <w:r>
        <w:rPr>
          <w:rFonts w:ascii="Calibri" w:eastAsia="Calibri" w:hAnsi="Calibri" w:cs="Calibri"/>
          <w:color w:val="000000"/>
          <w:sz w:val="22"/>
          <w:szCs w:val="22"/>
        </w:rPr>
        <w:t>, la población indígena y afrodescendiente representa cerca del 25 por ciento del total de la pob</w:t>
      </w:r>
      <w:r>
        <w:rPr>
          <w:rFonts w:ascii="Calibri" w:eastAsia="Calibri" w:hAnsi="Calibri" w:cs="Calibri"/>
          <w:color w:val="000000"/>
          <w:sz w:val="22"/>
          <w:szCs w:val="22"/>
        </w:rPr>
        <w:t>lación de la región de América Latina y el Caribe, y está distribuida de manera desigual sobre el territorio.</w:t>
      </w:r>
    </w:p>
    <w:p w14:paraId="30A2CB87" w14:textId="77777777"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La segregación sistemática de los pueblos indígenas y la población afrodescendiente es el legado persistente de las relaciones de poder basadas en</w:t>
      </w:r>
      <w:r>
        <w:rPr>
          <w:rFonts w:ascii="Calibri" w:eastAsia="Calibri" w:hAnsi="Calibri" w:cs="Calibri"/>
          <w:color w:val="000000"/>
          <w:sz w:val="22"/>
          <w:szCs w:val="22"/>
        </w:rPr>
        <w:t xml:space="preserve"> la explotación que se establecieron durante el dominio colonial y la esclavitud, y actualmente se traduce en  el no reconocimiento de las minorías étnico-raciales como agentes económicos y políticos activos dentro de sus comunidades, impidiendo de este mo</w:t>
      </w:r>
      <w:r>
        <w:rPr>
          <w:rFonts w:ascii="Calibri" w:eastAsia="Calibri" w:hAnsi="Calibri" w:cs="Calibri"/>
          <w:color w:val="000000"/>
          <w:sz w:val="22"/>
          <w:szCs w:val="22"/>
        </w:rPr>
        <w:t>do la erradicación de las injusticias estructurales que sustentan el relegar históricamente  a la población afrodescendiente a los márgenes de la sociedad</w:t>
      </w:r>
    </w:p>
    <w:p w14:paraId="7066C69E" w14:textId="77777777"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El subempleo afecta a casi el 60% de las mujeres rurales ocupadas y al 44% de las mujeres urbanas ocu</w:t>
      </w:r>
      <w:r>
        <w:rPr>
          <w:rFonts w:ascii="Calibri" w:eastAsia="Calibri" w:hAnsi="Calibri" w:cs="Calibri"/>
          <w:color w:val="000000"/>
          <w:sz w:val="22"/>
          <w:szCs w:val="22"/>
        </w:rPr>
        <w:t xml:space="preserve">padas en el trabajo doméstico duplica la de las mujeres no afrodescendientes según el informe del PNUD (2020). </w:t>
      </w:r>
    </w:p>
    <w:p w14:paraId="31DE8DAA" w14:textId="77777777"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En Nicaragua muchas comunidades donde habitan indígenas y afrodescendientes, las mujeres también se enfrentan con el idioma como una barrera, ya</w:t>
      </w:r>
      <w:r>
        <w:rPr>
          <w:rFonts w:ascii="Calibri" w:eastAsia="Calibri" w:hAnsi="Calibri" w:cs="Calibri"/>
          <w:color w:val="000000"/>
          <w:sz w:val="22"/>
          <w:szCs w:val="22"/>
        </w:rPr>
        <w:t xml:space="preserve"> que muchas mujeres </w:t>
      </w:r>
      <w:r>
        <w:rPr>
          <w:rFonts w:ascii="Calibri" w:eastAsia="Calibri" w:hAnsi="Calibri" w:cs="Calibri"/>
          <w:sz w:val="22"/>
          <w:szCs w:val="22"/>
        </w:rPr>
        <w:t>sólo</w:t>
      </w:r>
      <w:r>
        <w:rPr>
          <w:rFonts w:ascii="Calibri" w:eastAsia="Calibri" w:hAnsi="Calibri" w:cs="Calibri"/>
          <w:color w:val="000000"/>
          <w:sz w:val="22"/>
          <w:szCs w:val="22"/>
        </w:rPr>
        <w:t xml:space="preserve"> hablan su idioma originario, y esto tiene una repercusión directa en las posibilidades que tienen para acceder a la educación, salud y justicia, entre otras.</w:t>
      </w:r>
    </w:p>
    <w:p w14:paraId="41ED8CBF" w14:textId="77777777" w:rsidR="00DF4114" w:rsidRDefault="009F7A4D">
      <w:pPr>
        <w:pStyle w:val="Heading2"/>
        <w:numPr>
          <w:ilvl w:val="1"/>
          <w:numId w:val="2"/>
        </w:numPr>
        <w:spacing w:after="200"/>
      </w:pPr>
      <w:bookmarkStart w:id="11" w:name="_3rdcrjn" w:colFirst="0" w:colLast="0"/>
      <w:bookmarkEnd w:id="11"/>
      <w:r>
        <w:t>Desigualdades de Género:</w:t>
      </w:r>
    </w:p>
    <w:p w14:paraId="513D5AFF" w14:textId="77777777"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Las mujeres afrodescendientes que viven en las c</w:t>
      </w:r>
      <w:r>
        <w:rPr>
          <w:rFonts w:ascii="Calibri" w:eastAsia="Calibri" w:hAnsi="Calibri" w:cs="Calibri"/>
          <w:color w:val="000000"/>
          <w:sz w:val="22"/>
          <w:szCs w:val="22"/>
        </w:rPr>
        <w:t xml:space="preserve">omunidades rurales participan en el sector de la pesca y el pequeño comercio; entre las mestizas destaca el comercio en sus casas o en mercados locales; las </w:t>
      </w:r>
      <w:proofErr w:type="spellStart"/>
      <w:r>
        <w:rPr>
          <w:rFonts w:ascii="Calibri" w:eastAsia="Calibri" w:hAnsi="Calibri" w:cs="Calibri"/>
          <w:color w:val="000000"/>
          <w:sz w:val="22"/>
          <w:szCs w:val="22"/>
        </w:rPr>
        <w:t>miskitas</w:t>
      </w:r>
      <w:proofErr w:type="spellEnd"/>
      <w:r>
        <w:rPr>
          <w:rFonts w:ascii="Calibri" w:eastAsia="Calibri" w:hAnsi="Calibri" w:cs="Calibri"/>
          <w:color w:val="000000"/>
          <w:sz w:val="22"/>
          <w:szCs w:val="22"/>
        </w:rPr>
        <w:t xml:space="preserve"> urbanas participan en el sector servicios en zonas costeras, otras hacia actividades de ac</w:t>
      </w:r>
      <w:r>
        <w:rPr>
          <w:rFonts w:ascii="Calibri" w:eastAsia="Calibri" w:hAnsi="Calibri" w:cs="Calibri"/>
          <w:color w:val="000000"/>
          <w:sz w:val="22"/>
          <w:szCs w:val="22"/>
        </w:rPr>
        <w:t xml:space="preserve">opio y comercialización de recursos marinos. La tasa de inactividad económica de las mujeres rurales en esta macro región es 4.6 veces mayor que la de los hombres. </w:t>
      </w:r>
    </w:p>
    <w:p w14:paraId="39D8B9C9" w14:textId="77777777"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El grupo con menor acceso a crédito en el país lo constituyen las mujeres rurales de la Cos</w:t>
      </w:r>
      <w:r>
        <w:rPr>
          <w:rFonts w:ascii="Calibri" w:eastAsia="Calibri" w:hAnsi="Calibri" w:cs="Calibri"/>
          <w:color w:val="000000"/>
          <w:sz w:val="22"/>
          <w:szCs w:val="22"/>
        </w:rPr>
        <w:t>ta Caribe, quienes obtienen solamente el 18% de los préstamos otorgados y el 6,5% de la masa crediticia.</w:t>
      </w:r>
    </w:p>
    <w:p w14:paraId="4A5C22FE" w14:textId="77777777"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La RACN presenta la prevalencia más alta de violencia física del país, sumado a la violencia que las mujeres viven a manos de su pareja, hay que sumarl</w:t>
      </w:r>
      <w:r>
        <w:rPr>
          <w:rFonts w:ascii="Calibri" w:eastAsia="Calibri" w:hAnsi="Calibri" w:cs="Calibri"/>
          <w:color w:val="000000"/>
          <w:sz w:val="22"/>
          <w:szCs w:val="22"/>
        </w:rPr>
        <w:t>e las violencias subyacentes a los actuales conflictos de lucha territorial que viven las mujeres frente a la invasión de los colonos a los territorios de pueblos indígenas y afrodescendientes</w:t>
      </w:r>
      <w:r>
        <w:rPr>
          <w:rFonts w:ascii="Calibri" w:eastAsia="Calibri" w:hAnsi="Calibri" w:cs="Calibri"/>
          <w:sz w:val="22"/>
          <w:szCs w:val="22"/>
        </w:rPr>
        <w:t>.</w:t>
      </w:r>
    </w:p>
    <w:p w14:paraId="4BB75558" w14:textId="77777777" w:rsidR="00DF4114" w:rsidRDefault="009F7A4D">
      <w:pPr>
        <w:pStyle w:val="Heading3"/>
      </w:pPr>
      <w:bookmarkStart w:id="12" w:name="_ertorvrnjips" w:colFirst="0" w:colLast="0"/>
      <w:bookmarkEnd w:id="12"/>
      <w:r>
        <w:lastRenderedPageBreak/>
        <w:t>Recomendaciones</w:t>
      </w:r>
    </w:p>
    <w:p w14:paraId="53520076" w14:textId="77777777" w:rsidR="00DF4114" w:rsidRDefault="009F7A4D">
      <w:pPr>
        <w:pStyle w:val="Heading4"/>
        <w:spacing w:before="120" w:after="120"/>
        <w:ind w:left="720"/>
      </w:pPr>
      <w:bookmarkStart w:id="13" w:name="_se7kdehy06qm" w:colFirst="0" w:colLast="0"/>
      <w:bookmarkEnd w:id="13"/>
      <w:r>
        <w:t>El Estado nicaragüense debería:</w:t>
      </w:r>
    </w:p>
    <w:p w14:paraId="0BE89380" w14:textId="77777777" w:rsidR="00DF4114" w:rsidRDefault="009F7A4D">
      <w:pPr>
        <w:numPr>
          <w:ilvl w:val="0"/>
          <w:numId w:val="3"/>
        </w:numPr>
        <w:spacing w:after="200"/>
        <w:rPr>
          <w:rFonts w:ascii="Calibri" w:eastAsia="Calibri" w:hAnsi="Calibri" w:cs="Calibri"/>
          <w:color w:val="111111"/>
          <w:sz w:val="22"/>
          <w:szCs w:val="22"/>
        </w:rPr>
      </w:pPr>
      <w:r>
        <w:rPr>
          <w:rFonts w:ascii="Calibri" w:eastAsia="Calibri" w:hAnsi="Calibri" w:cs="Calibri"/>
          <w:color w:val="111111"/>
          <w:sz w:val="22"/>
          <w:szCs w:val="22"/>
        </w:rPr>
        <w:t xml:space="preserve">Diseñar políticas destinadas a promover y garantizar la igualdad de las mujeres desde una perspectiva </w:t>
      </w:r>
      <w:proofErr w:type="spellStart"/>
      <w:r>
        <w:rPr>
          <w:rFonts w:ascii="Calibri" w:eastAsia="Calibri" w:hAnsi="Calibri" w:cs="Calibri"/>
          <w:color w:val="111111"/>
          <w:sz w:val="22"/>
          <w:szCs w:val="22"/>
        </w:rPr>
        <w:t>interseccional</w:t>
      </w:r>
      <w:proofErr w:type="spellEnd"/>
      <w:r>
        <w:rPr>
          <w:rFonts w:ascii="Calibri" w:eastAsia="Calibri" w:hAnsi="Calibri" w:cs="Calibri"/>
          <w:color w:val="111111"/>
          <w:sz w:val="22"/>
          <w:szCs w:val="22"/>
        </w:rPr>
        <w:t xml:space="preserve"> de manera que contemple las necesidades y particularidades de las mujeres afrodescendientes e indígenas y g</w:t>
      </w:r>
      <w:r>
        <w:rPr>
          <w:rFonts w:ascii="Calibri" w:eastAsia="Calibri" w:hAnsi="Calibri" w:cs="Calibri"/>
          <w:color w:val="111111"/>
          <w:sz w:val="22"/>
          <w:szCs w:val="22"/>
        </w:rPr>
        <w:t xml:space="preserve">arantice igual acceso a la educación, el empleo y el crédito. </w:t>
      </w:r>
    </w:p>
    <w:p w14:paraId="40A16C69" w14:textId="7403B574" w:rsidR="00DF4114" w:rsidRPr="00E47BE4" w:rsidRDefault="009F7A4D" w:rsidP="00E47BE4">
      <w:pPr>
        <w:numPr>
          <w:ilvl w:val="0"/>
          <w:numId w:val="3"/>
        </w:numPr>
        <w:spacing w:after="200"/>
        <w:rPr>
          <w:rFonts w:ascii="Calibri" w:eastAsia="Calibri" w:hAnsi="Calibri" w:cs="Calibri"/>
          <w:color w:val="111111"/>
          <w:sz w:val="22"/>
          <w:szCs w:val="22"/>
        </w:rPr>
      </w:pPr>
      <w:r>
        <w:rPr>
          <w:rFonts w:ascii="Calibri" w:eastAsia="Calibri" w:hAnsi="Calibri" w:cs="Calibri"/>
          <w:color w:val="111111"/>
          <w:sz w:val="22"/>
          <w:szCs w:val="22"/>
        </w:rPr>
        <w:t xml:space="preserve">Tomar todas las medidas necesarias para eliminar todo tipo de violencia contra las mujeres afrodescendientes e indígenas </w:t>
      </w:r>
      <w:proofErr w:type="spellStart"/>
      <w:r>
        <w:rPr>
          <w:rFonts w:ascii="Calibri" w:eastAsia="Calibri" w:hAnsi="Calibri" w:cs="Calibri"/>
          <w:color w:val="111111"/>
          <w:sz w:val="22"/>
          <w:szCs w:val="22"/>
        </w:rPr>
        <w:t>incluída</w:t>
      </w:r>
      <w:proofErr w:type="spellEnd"/>
      <w:r>
        <w:rPr>
          <w:rFonts w:ascii="Calibri" w:eastAsia="Calibri" w:hAnsi="Calibri" w:cs="Calibri"/>
          <w:color w:val="111111"/>
          <w:sz w:val="22"/>
          <w:szCs w:val="22"/>
        </w:rPr>
        <w:t xml:space="preserve"> la violencia doméstica, la violencia sexual y la </w:t>
      </w:r>
      <w:proofErr w:type="spellStart"/>
      <w:r>
        <w:rPr>
          <w:rFonts w:ascii="Calibri" w:eastAsia="Calibri" w:hAnsi="Calibri" w:cs="Calibri"/>
          <w:color w:val="111111"/>
          <w:sz w:val="22"/>
          <w:szCs w:val="22"/>
        </w:rPr>
        <w:t>pepetrada</w:t>
      </w:r>
      <w:proofErr w:type="spellEnd"/>
      <w:r>
        <w:rPr>
          <w:rFonts w:ascii="Calibri" w:eastAsia="Calibri" w:hAnsi="Calibri" w:cs="Calibri"/>
          <w:color w:val="111111"/>
          <w:sz w:val="22"/>
          <w:szCs w:val="22"/>
        </w:rPr>
        <w:t xml:space="preserve"> en el marco de conflictos sociales.</w:t>
      </w:r>
    </w:p>
    <w:p w14:paraId="0BC8C28D" w14:textId="77777777" w:rsidR="00DF4114" w:rsidRDefault="009F7A4D">
      <w:pPr>
        <w:pStyle w:val="Heading1"/>
        <w:numPr>
          <w:ilvl w:val="0"/>
          <w:numId w:val="2"/>
        </w:numPr>
      </w:pPr>
      <w:bookmarkStart w:id="14" w:name="_lnxbz9" w:colFirst="0" w:colLast="0"/>
      <w:bookmarkEnd w:id="14"/>
      <w:r>
        <w:t>Mujer Rural (A</w:t>
      </w:r>
      <w:r>
        <w:t xml:space="preserve">rtículo 14 CEDAW) </w:t>
      </w:r>
    </w:p>
    <w:p w14:paraId="2FDC5CDC" w14:textId="77777777" w:rsidR="00DF4114" w:rsidRDefault="00DF4114">
      <w:pPr>
        <w:jc w:val="both"/>
        <w:rPr>
          <w:rFonts w:ascii="Arial" w:eastAsia="Arial" w:hAnsi="Arial" w:cs="Arial"/>
        </w:rPr>
      </w:pPr>
    </w:p>
    <w:p w14:paraId="33E34242" w14:textId="77777777" w:rsidR="00DF4114" w:rsidRDefault="009F7A4D">
      <w:pPr>
        <w:pStyle w:val="Heading2"/>
        <w:numPr>
          <w:ilvl w:val="1"/>
          <w:numId w:val="2"/>
        </w:numPr>
        <w:spacing w:after="200"/>
      </w:pPr>
      <w:bookmarkStart w:id="15" w:name="_35nkun2" w:colFirst="0" w:colLast="0"/>
      <w:bookmarkEnd w:id="15"/>
      <w:r>
        <w:t>Situación de la mujer rural nicaragüense en el contexto actual:</w:t>
      </w:r>
    </w:p>
    <w:p w14:paraId="3071ABC1" w14:textId="77777777"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Según el informe del PNUD (2020</w:t>
      </w:r>
      <w:proofErr w:type="gramStart"/>
      <w:r>
        <w:rPr>
          <w:rFonts w:ascii="Calibri" w:eastAsia="Calibri" w:hAnsi="Calibri" w:cs="Calibri"/>
          <w:color w:val="000000"/>
          <w:sz w:val="22"/>
          <w:szCs w:val="22"/>
        </w:rPr>
        <w:t>),  Nicaragua</w:t>
      </w:r>
      <w:proofErr w:type="gramEnd"/>
      <w:r>
        <w:rPr>
          <w:rFonts w:ascii="Calibri" w:eastAsia="Calibri" w:hAnsi="Calibri" w:cs="Calibri"/>
          <w:color w:val="000000"/>
          <w:sz w:val="22"/>
          <w:szCs w:val="22"/>
        </w:rPr>
        <w:t xml:space="preserve"> ocupa el lugar 128, de un total de 189 países con respecto al Índice de Desarrollo Humano Relativo al Género (IDG) evidenciando</w:t>
      </w:r>
      <w:r>
        <w:rPr>
          <w:rFonts w:ascii="Calibri" w:eastAsia="Calibri" w:hAnsi="Calibri" w:cs="Calibri"/>
          <w:color w:val="000000"/>
          <w:sz w:val="22"/>
          <w:szCs w:val="22"/>
        </w:rPr>
        <w:t xml:space="preserve"> la persistencia de las brechas de género sobre todo en los ámbitos del empleo, acceso a recursos productivos, la salud sexual y reproductiva y la violencia. </w:t>
      </w:r>
    </w:p>
    <w:p w14:paraId="13D6D36C" w14:textId="77777777"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La universalización del acceso a la educación y a los servicios básicos de salud, así como la pro</w:t>
      </w:r>
      <w:r>
        <w:rPr>
          <w:rFonts w:ascii="Calibri" w:eastAsia="Calibri" w:hAnsi="Calibri" w:cs="Calibri"/>
          <w:color w:val="000000"/>
          <w:sz w:val="22"/>
          <w:szCs w:val="22"/>
        </w:rPr>
        <w:t xml:space="preserve">tección contra el hambre y el derecho a un empleo digno son parte de los retos que enfrentan las mujeres en general, pero que se dificulta </w:t>
      </w:r>
      <w:r>
        <w:rPr>
          <w:rFonts w:ascii="Calibri" w:eastAsia="Calibri" w:hAnsi="Calibri" w:cs="Calibri"/>
          <w:sz w:val="22"/>
          <w:szCs w:val="22"/>
        </w:rPr>
        <w:t>más</w:t>
      </w:r>
      <w:r>
        <w:rPr>
          <w:rFonts w:ascii="Calibri" w:eastAsia="Calibri" w:hAnsi="Calibri" w:cs="Calibri"/>
          <w:color w:val="000000"/>
          <w:sz w:val="22"/>
          <w:szCs w:val="22"/>
        </w:rPr>
        <w:t xml:space="preserve"> para las mujeres </w:t>
      </w:r>
      <w:proofErr w:type="gramStart"/>
      <w:r>
        <w:rPr>
          <w:rFonts w:ascii="Calibri" w:eastAsia="Calibri" w:hAnsi="Calibri" w:cs="Calibri"/>
          <w:color w:val="000000"/>
          <w:sz w:val="22"/>
          <w:szCs w:val="22"/>
        </w:rPr>
        <w:t>rurales,  porque</w:t>
      </w:r>
      <w:proofErr w:type="gramEnd"/>
      <w:r>
        <w:rPr>
          <w:rFonts w:ascii="Calibri" w:eastAsia="Calibri" w:hAnsi="Calibri" w:cs="Calibri"/>
          <w:color w:val="000000"/>
          <w:sz w:val="22"/>
          <w:szCs w:val="22"/>
        </w:rPr>
        <w:t xml:space="preserve"> no existen los mecanismos suficientes que permitan a las mujeres obtener la inf</w:t>
      </w:r>
      <w:r>
        <w:rPr>
          <w:rFonts w:ascii="Calibri" w:eastAsia="Calibri" w:hAnsi="Calibri" w:cs="Calibri"/>
          <w:color w:val="000000"/>
          <w:sz w:val="22"/>
          <w:szCs w:val="22"/>
        </w:rPr>
        <w:t xml:space="preserve">ormación para acceder a dichos recursos. </w:t>
      </w:r>
    </w:p>
    <w:p w14:paraId="33799493" w14:textId="77777777"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 xml:space="preserve"> El 44% de la población es rural y vive en comunidades pequeñas y dispersas con elevados índices de marginación y vulnerabilidad ambiental. El 90% de las viviendas rurales están deterioradas, en la mayoría de </w:t>
      </w:r>
      <w:proofErr w:type="gramStart"/>
      <w:r>
        <w:rPr>
          <w:rFonts w:ascii="Calibri" w:eastAsia="Calibri" w:hAnsi="Calibri" w:cs="Calibri"/>
          <w:color w:val="000000"/>
          <w:sz w:val="22"/>
          <w:szCs w:val="22"/>
        </w:rPr>
        <w:t>casos</w:t>
      </w:r>
      <w:proofErr w:type="gramEnd"/>
      <w:r>
        <w:rPr>
          <w:rFonts w:ascii="Calibri" w:eastAsia="Calibri" w:hAnsi="Calibri" w:cs="Calibri"/>
          <w:color w:val="000000"/>
          <w:sz w:val="22"/>
          <w:szCs w:val="22"/>
        </w:rPr>
        <w:t xml:space="preserve"> la población vive hacinada y está ubicada en zonas de alto riesgo</w:t>
      </w:r>
      <w:r>
        <w:rPr>
          <w:rFonts w:ascii="Calibri" w:eastAsia="Calibri" w:hAnsi="Calibri" w:cs="Calibri"/>
          <w:color w:val="000000"/>
          <w:sz w:val="22"/>
          <w:szCs w:val="22"/>
          <w:vertAlign w:val="superscript"/>
        </w:rPr>
        <w:footnoteReference w:id="6"/>
      </w:r>
      <w:r>
        <w:rPr>
          <w:rFonts w:ascii="Calibri" w:eastAsia="Calibri" w:hAnsi="Calibri" w:cs="Calibri"/>
          <w:color w:val="000000"/>
          <w:sz w:val="22"/>
          <w:szCs w:val="22"/>
        </w:rPr>
        <w:t>.</w:t>
      </w:r>
    </w:p>
    <w:p w14:paraId="5A45AA09" w14:textId="77777777" w:rsidR="00DF4114" w:rsidRDefault="009F7A4D">
      <w:pPr>
        <w:pStyle w:val="Heading2"/>
        <w:numPr>
          <w:ilvl w:val="0"/>
          <w:numId w:val="1"/>
        </w:numPr>
        <w:spacing w:before="0"/>
      </w:pPr>
      <w:bookmarkStart w:id="16" w:name="_1ksv4uv" w:colFirst="0" w:colLast="0"/>
      <w:bookmarkEnd w:id="16"/>
      <w:r>
        <w:t>Acceso a la tierra y propiedad:</w:t>
      </w:r>
    </w:p>
    <w:p w14:paraId="3D9904EB" w14:textId="77777777"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 xml:space="preserve">Persiste la falta de reconocimiento por parte del Estado y las instituciones privadas a la contribución económica que brindan las mujeres; de ahí que quienes </w:t>
      </w:r>
      <w:proofErr w:type="spellStart"/>
      <w:r>
        <w:rPr>
          <w:rFonts w:ascii="Calibri" w:eastAsia="Calibri" w:hAnsi="Calibri" w:cs="Calibri"/>
          <w:color w:val="000000"/>
          <w:sz w:val="22"/>
          <w:szCs w:val="22"/>
        </w:rPr>
        <w:t>deﬁnen</w:t>
      </w:r>
      <w:proofErr w:type="spellEnd"/>
      <w:r>
        <w:rPr>
          <w:rFonts w:ascii="Calibri" w:eastAsia="Calibri" w:hAnsi="Calibri" w:cs="Calibri"/>
          <w:color w:val="000000"/>
          <w:sz w:val="22"/>
          <w:szCs w:val="22"/>
        </w:rPr>
        <w:t xml:space="preserve"> políticas económicas muchas veces mantienen y refuerzan la desigualdad estructural que afec</w:t>
      </w:r>
      <w:r>
        <w:rPr>
          <w:rFonts w:ascii="Calibri" w:eastAsia="Calibri" w:hAnsi="Calibri" w:cs="Calibri"/>
          <w:color w:val="000000"/>
          <w:sz w:val="22"/>
          <w:szCs w:val="22"/>
        </w:rPr>
        <w:t xml:space="preserve">ta la vida de las mujeres para acceder a los recursos productivos: tierra, crédito, capacitación y asistencia técnica, entre otros. </w:t>
      </w:r>
    </w:p>
    <w:p w14:paraId="325E898F" w14:textId="77777777"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El grupo con menor acceso a crédito en el país lo constituyen las mujeres rurales de la Costa Caribe, quienes obtienen sola</w:t>
      </w:r>
      <w:r>
        <w:rPr>
          <w:rFonts w:ascii="Calibri" w:eastAsia="Calibri" w:hAnsi="Calibri" w:cs="Calibri"/>
          <w:color w:val="000000"/>
          <w:sz w:val="22"/>
          <w:szCs w:val="22"/>
        </w:rPr>
        <w:t>mente el 18% de los préstamos otorgados y el 6,5% de la masa crediticia total correspondiente.</w:t>
      </w:r>
    </w:p>
    <w:p w14:paraId="6FCFF2C9" w14:textId="77777777"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 xml:space="preserve">Consecuentemente, los recursos, conocimientos y saberes han sido distribuidos y asumidos mayormente por los hombres. Las mujeres han sido </w:t>
      </w:r>
      <w:proofErr w:type="spellStart"/>
      <w:r>
        <w:rPr>
          <w:rFonts w:ascii="Calibri" w:eastAsia="Calibri" w:hAnsi="Calibri" w:cs="Calibri"/>
          <w:color w:val="000000"/>
          <w:sz w:val="22"/>
          <w:szCs w:val="22"/>
        </w:rPr>
        <w:t>invisibilizadas</w:t>
      </w:r>
      <w:proofErr w:type="spellEnd"/>
      <w:r>
        <w:rPr>
          <w:rFonts w:ascii="Calibri" w:eastAsia="Calibri" w:hAnsi="Calibri" w:cs="Calibri"/>
          <w:color w:val="000000"/>
          <w:sz w:val="22"/>
          <w:szCs w:val="22"/>
        </w:rPr>
        <w:t xml:space="preserve"> en los </w:t>
      </w:r>
      <w:r>
        <w:rPr>
          <w:rFonts w:ascii="Calibri" w:eastAsia="Calibri" w:hAnsi="Calibri" w:cs="Calibri"/>
          <w:color w:val="000000"/>
          <w:sz w:val="22"/>
          <w:szCs w:val="22"/>
        </w:rPr>
        <w:t xml:space="preserve">proyectos de desarrollo y desde el Estado, a través de los proyectos de </w:t>
      </w:r>
      <w:proofErr w:type="gramStart"/>
      <w:r>
        <w:rPr>
          <w:rFonts w:ascii="Calibri" w:eastAsia="Calibri" w:hAnsi="Calibri" w:cs="Calibri"/>
          <w:color w:val="000000"/>
          <w:sz w:val="22"/>
          <w:szCs w:val="22"/>
        </w:rPr>
        <w:t>intervención  se</w:t>
      </w:r>
      <w:proofErr w:type="gramEnd"/>
      <w:r>
        <w:rPr>
          <w:rFonts w:ascii="Calibri" w:eastAsia="Calibri" w:hAnsi="Calibri" w:cs="Calibri"/>
          <w:color w:val="000000"/>
          <w:sz w:val="22"/>
          <w:szCs w:val="22"/>
        </w:rPr>
        <w:t xml:space="preserve"> les ha dado el papel de gestoras comunales; asignándoles tareas que aseguren la provisión de recursos escasos como el agua, los alimentos, la salud, a través de un tra</w:t>
      </w:r>
      <w:r>
        <w:rPr>
          <w:rFonts w:ascii="Calibri" w:eastAsia="Calibri" w:hAnsi="Calibri" w:cs="Calibri"/>
          <w:color w:val="000000"/>
          <w:sz w:val="22"/>
          <w:szCs w:val="22"/>
        </w:rPr>
        <w:t xml:space="preserve">bajo voluntario o escasamente remunerado, para el cual son convocadas por el Estado. </w:t>
      </w:r>
    </w:p>
    <w:p w14:paraId="17A1FFEF" w14:textId="77777777"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Por otra parte, aun cuando hay mujeres propietarias, patrones culturales patriarcales que limitan el acceso a educación y a los recursos y refuerzan la sumisión y subordi</w:t>
      </w:r>
      <w:r>
        <w:rPr>
          <w:rFonts w:ascii="Calibri" w:eastAsia="Calibri" w:hAnsi="Calibri" w:cs="Calibri"/>
          <w:color w:val="000000"/>
          <w:sz w:val="22"/>
          <w:szCs w:val="22"/>
        </w:rPr>
        <w:t xml:space="preserve">nación frente a los hombres, impiden que su participación en la toma de decisiones en su hogar, empresa o negocio. Así, algunas </w:t>
      </w:r>
      <w:r>
        <w:rPr>
          <w:rFonts w:ascii="Calibri" w:eastAsia="Calibri" w:hAnsi="Calibri" w:cs="Calibri"/>
          <w:color w:val="000000"/>
          <w:sz w:val="22"/>
          <w:szCs w:val="22"/>
        </w:rPr>
        <w:lastRenderedPageBreak/>
        <w:t>mujeres dueñas de tierra acuden a terceros varones a la hora de tomar decisiones importantes para hacerla producir. </w:t>
      </w:r>
    </w:p>
    <w:p w14:paraId="3CE4317E" w14:textId="77777777"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 xml:space="preserve">La mayoría </w:t>
      </w:r>
      <w:r>
        <w:rPr>
          <w:rFonts w:ascii="Calibri" w:eastAsia="Calibri" w:hAnsi="Calibri" w:cs="Calibri"/>
          <w:color w:val="000000"/>
          <w:sz w:val="22"/>
          <w:szCs w:val="22"/>
        </w:rPr>
        <w:t xml:space="preserve">de </w:t>
      </w:r>
      <w:proofErr w:type="gramStart"/>
      <w:r>
        <w:rPr>
          <w:rFonts w:ascii="Calibri" w:eastAsia="Calibri" w:hAnsi="Calibri" w:cs="Calibri"/>
          <w:color w:val="000000"/>
          <w:sz w:val="22"/>
          <w:szCs w:val="22"/>
        </w:rPr>
        <w:t>recursos</w:t>
      </w:r>
      <w:proofErr w:type="gramEnd"/>
      <w:r>
        <w:rPr>
          <w:rFonts w:ascii="Calibri" w:eastAsia="Calibri" w:hAnsi="Calibri" w:cs="Calibri"/>
          <w:color w:val="000000"/>
          <w:sz w:val="22"/>
          <w:szCs w:val="22"/>
        </w:rPr>
        <w:t xml:space="preserve"> para que las mujeres accedan a la tierra provienen de organismos internacionales y organizaciones que trabajan por los derechos de las mujeres. Aunque la ley de acceso a la tierra, Ley 717 se aprobó hace </w:t>
      </w:r>
      <w:r>
        <w:rPr>
          <w:rFonts w:ascii="Calibri" w:eastAsia="Calibri" w:hAnsi="Calibri" w:cs="Calibri"/>
          <w:sz w:val="22"/>
          <w:szCs w:val="22"/>
        </w:rPr>
        <w:t>más</w:t>
      </w:r>
      <w:r>
        <w:rPr>
          <w:rFonts w:ascii="Calibri" w:eastAsia="Calibri" w:hAnsi="Calibri" w:cs="Calibri"/>
          <w:color w:val="000000"/>
          <w:sz w:val="22"/>
          <w:szCs w:val="22"/>
        </w:rPr>
        <w:t xml:space="preserve"> de 10 años en Nicaragua, actualmente</w:t>
      </w:r>
      <w:r>
        <w:rPr>
          <w:rFonts w:ascii="Calibri" w:eastAsia="Calibri" w:hAnsi="Calibri" w:cs="Calibri"/>
          <w:color w:val="000000"/>
          <w:sz w:val="22"/>
          <w:szCs w:val="22"/>
        </w:rPr>
        <w:t xml:space="preserve"> no se le ha asignado un presupuesto para su debido cumplimiento.</w:t>
      </w:r>
    </w:p>
    <w:p w14:paraId="194B750F" w14:textId="77777777"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 xml:space="preserve">Las cooperativas de mujeres rurales han ido creciendo en algunas comunidades del país, la mayoría de los proyectos vinculados a estas cooperativas fomentan la adquisición de tierras y </w:t>
      </w:r>
      <w:r>
        <w:rPr>
          <w:rFonts w:ascii="Calibri" w:eastAsia="Calibri" w:hAnsi="Calibri" w:cs="Calibri"/>
          <w:sz w:val="22"/>
          <w:szCs w:val="22"/>
        </w:rPr>
        <w:t>está</w:t>
      </w:r>
      <w:r>
        <w:rPr>
          <w:rFonts w:ascii="Calibri" w:eastAsia="Calibri" w:hAnsi="Calibri" w:cs="Calibri"/>
          <w:color w:val="000000"/>
          <w:sz w:val="22"/>
          <w:szCs w:val="22"/>
        </w:rPr>
        <w:t xml:space="preserve"> acompañado de un proceso de capacitación, acceso a créditos, acceso a recursos tecnológicos, fortalecimiento de redes y liderazgos y gestión de proyectos, lo que ha fortalecido el proceso de empoderamiento de las mujeres organizadas y sus comunidades. </w:t>
      </w:r>
    </w:p>
    <w:p w14:paraId="7ED68275" w14:textId="77777777" w:rsidR="00DF4114" w:rsidRDefault="009F7A4D">
      <w:pPr>
        <w:pStyle w:val="Heading2"/>
        <w:numPr>
          <w:ilvl w:val="1"/>
          <w:numId w:val="2"/>
        </w:numPr>
        <w:spacing w:after="200"/>
        <w:ind w:firstLine="0"/>
        <w:rPr>
          <w:sz w:val="22"/>
          <w:szCs w:val="22"/>
        </w:rPr>
      </w:pPr>
      <w:bookmarkStart w:id="17" w:name="_44sinio" w:colFirst="0" w:colLast="0"/>
      <w:bookmarkEnd w:id="17"/>
      <w:r>
        <w:rPr>
          <w:sz w:val="22"/>
          <w:szCs w:val="22"/>
        </w:rPr>
        <w:t>Re</w:t>
      </w:r>
      <w:r>
        <w:rPr>
          <w:sz w:val="22"/>
          <w:szCs w:val="22"/>
        </w:rPr>
        <w:t>comendaciones</w:t>
      </w:r>
    </w:p>
    <w:p w14:paraId="0657C3AF" w14:textId="77777777" w:rsidR="00DF4114" w:rsidRDefault="009F7A4D">
      <w:pPr>
        <w:pStyle w:val="Heading3"/>
        <w:numPr>
          <w:ilvl w:val="2"/>
          <w:numId w:val="2"/>
        </w:numPr>
        <w:tabs>
          <w:tab w:val="left" w:pos="0"/>
        </w:tabs>
        <w:rPr>
          <w:color w:val="2F5496"/>
          <w:sz w:val="22"/>
          <w:szCs w:val="22"/>
        </w:rPr>
      </w:pPr>
      <w:bookmarkStart w:id="18" w:name="_2jxsxqh" w:colFirst="0" w:colLast="0"/>
      <w:bookmarkEnd w:id="18"/>
      <w:r>
        <w:rPr>
          <w:color w:val="2F5496"/>
          <w:sz w:val="22"/>
          <w:szCs w:val="22"/>
        </w:rPr>
        <w:t>El estado nicaragüense debería</w:t>
      </w:r>
    </w:p>
    <w:p w14:paraId="6FFAC9BE" w14:textId="77777777"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 xml:space="preserve">Diseñar e implementar una estrategia integral de desarrollo rural incorporando las necesidades específicas de las mujeres. </w:t>
      </w:r>
    </w:p>
    <w:p w14:paraId="031A6E92" w14:textId="77777777"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Asignar un presupuesto que garantice la puesta en marcha de la Ley 717</w:t>
      </w:r>
      <w:proofErr w:type="gramStart"/>
      <w:r>
        <w:rPr>
          <w:rFonts w:ascii="Calibri" w:eastAsia="Calibri" w:hAnsi="Calibri" w:cs="Calibri"/>
          <w:color w:val="000000"/>
          <w:sz w:val="22"/>
          <w:szCs w:val="22"/>
        </w:rPr>
        <w:t>, ”Ley</w:t>
      </w:r>
      <w:proofErr w:type="gramEnd"/>
      <w:r>
        <w:rPr>
          <w:rFonts w:ascii="Calibri" w:eastAsia="Calibri" w:hAnsi="Calibri" w:cs="Calibri"/>
          <w:color w:val="000000"/>
          <w:sz w:val="22"/>
          <w:szCs w:val="22"/>
        </w:rPr>
        <w:t xml:space="preserve"> creadora d</w:t>
      </w:r>
      <w:r>
        <w:rPr>
          <w:rFonts w:ascii="Calibri" w:eastAsia="Calibri" w:hAnsi="Calibri" w:cs="Calibri"/>
          <w:color w:val="000000"/>
          <w:sz w:val="22"/>
          <w:szCs w:val="22"/>
        </w:rPr>
        <w:t>e un fondo para la compra de tierras dirigido a mujeres rurales”.</w:t>
      </w:r>
    </w:p>
    <w:p w14:paraId="281083EC" w14:textId="77777777"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 xml:space="preserve">Asignar presupuesto que permita acercar los recursos a las zonas rurales, en aras de que las mujeres rurales y campesinas puedan hacer uso </w:t>
      </w:r>
      <w:proofErr w:type="gramStart"/>
      <w:r>
        <w:rPr>
          <w:rFonts w:ascii="Calibri" w:eastAsia="Calibri" w:hAnsi="Calibri" w:cs="Calibri"/>
          <w:color w:val="000000"/>
          <w:sz w:val="22"/>
          <w:szCs w:val="22"/>
        </w:rPr>
        <w:t>de  su</w:t>
      </w:r>
      <w:proofErr w:type="gramEnd"/>
      <w:r>
        <w:rPr>
          <w:rFonts w:ascii="Calibri" w:eastAsia="Calibri" w:hAnsi="Calibri" w:cs="Calibri"/>
          <w:color w:val="000000"/>
          <w:sz w:val="22"/>
          <w:szCs w:val="22"/>
        </w:rPr>
        <w:t xml:space="preserve"> derecho a la educación, a la salud y a una v</w:t>
      </w:r>
      <w:r>
        <w:rPr>
          <w:rFonts w:ascii="Calibri" w:eastAsia="Calibri" w:hAnsi="Calibri" w:cs="Calibri"/>
          <w:color w:val="000000"/>
          <w:sz w:val="22"/>
          <w:szCs w:val="22"/>
        </w:rPr>
        <w:t>ida libre de violencia.</w:t>
      </w:r>
    </w:p>
    <w:p w14:paraId="1CA1C703" w14:textId="77777777"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Establecer programas estatales de intervención que incluyan procesos de empoderamiento para las mujeres campesinas y rurales, con el objetivo de reducir las brechas de desigualdad que les afectan en el ejercicio de sus derechos.</w:t>
      </w:r>
    </w:p>
    <w:p w14:paraId="055C7325" w14:textId="77777777"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Vel</w:t>
      </w:r>
      <w:r>
        <w:rPr>
          <w:rFonts w:ascii="Calibri" w:eastAsia="Calibri" w:hAnsi="Calibri" w:cs="Calibri"/>
          <w:color w:val="000000"/>
          <w:sz w:val="22"/>
          <w:szCs w:val="22"/>
        </w:rPr>
        <w:t>ar por el cumplimento de la Ley número 28, “Ley de Autonomía de la Costa Caribe de Nicaragua”, de modo que los pueblos afrodescendientes gocen de protección frente a la creciente violencia que viven por la invasión de los colonos.</w:t>
      </w:r>
    </w:p>
    <w:p w14:paraId="46B9F6A2" w14:textId="77777777"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sz w:val="22"/>
          <w:szCs w:val="22"/>
        </w:rPr>
        <w:t>Implementar</w:t>
      </w:r>
      <w:r>
        <w:rPr>
          <w:rFonts w:ascii="Calibri" w:eastAsia="Calibri" w:hAnsi="Calibri" w:cs="Calibri"/>
          <w:color w:val="000000"/>
          <w:sz w:val="22"/>
          <w:szCs w:val="22"/>
        </w:rPr>
        <w:t xml:space="preserve"> un programa d</w:t>
      </w:r>
      <w:r>
        <w:rPr>
          <w:rFonts w:ascii="Calibri" w:eastAsia="Calibri" w:hAnsi="Calibri" w:cs="Calibri"/>
          <w:color w:val="000000"/>
          <w:sz w:val="22"/>
          <w:szCs w:val="22"/>
        </w:rPr>
        <w:t xml:space="preserve">e </w:t>
      </w:r>
      <w:proofErr w:type="gramStart"/>
      <w:r>
        <w:rPr>
          <w:rFonts w:ascii="Calibri" w:eastAsia="Calibri" w:hAnsi="Calibri" w:cs="Calibri"/>
          <w:color w:val="000000"/>
          <w:sz w:val="22"/>
          <w:szCs w:val="22"/>
        </w:rPr>
        <w:t>capacitación  constante</w:t>
      </w:r>
      <w:proofErr w:type="gramEnd"/>
      <w:r>
        <w:rPr>
          <w:rFonts w:ascii="Calibri" w:eastAsia="Calibri" w:hAnsi="Calibri" w:cs="Calibri"/>
          <w:color w:val="000000"/>
          <w:sz w:val="22"/>
          <w:szCs w:val="22"/>
        </w:rPr>
        <w:t xml:space="preserve"> y actualizado en materia de derechos de las mujeres y niñas, e impartirlo al personal de instituciones </w:t>
      </w:r>
      <w:r>
        <w:rPr>
          <w:rFonts w:ascii="Calibri" w:eastAsia="Calibri" w:hAnsi="Calibri" w:cs="Calibri"/>
          <w:sz w:val="22"/>
          <w:szCs w:val="22"/>
        </w:rPr>
        <w:t>públicas</w:t>
      </w:r>
      <w:r>
        <w:rPr>
          <w:rFonts w:ascii="Calibri" w:eastAsia="Calibri" w:hAnsi="Calibri" w:cs="Calibri"/>
          <w:color w:val="000000"/>
          <w:sz w:val="22"/>
          <w:szCs w:val="22"/>
        </w:rPr>
        <w:t xml:space="preserve"> que trabaja con mujeres y niñas </w:t>
      </w:r>
      <w:r>
        <w:rPr>
          <w:rFonts w:ascii="Calibri" w:eastAsia="Calibri" w:hAnsi="Calibri" w:cs="Calibri"/>
          <w:sz w:val="22"/>
          <w:szCs w:val="22"/>
        </w:rPr>
        <w:t>víctimas</w:t>
      </w:r>
      <w:r>
        <w:rPr>
          <w:rFonts w:ascii="Calibri" w:eastAsia="Calibri" w:hAnsi="Calibri" w:cs="Calibri"/>
          <w:color w:val="000000"/>
          <w:sz w:val="22"/>
          <w:szCs w:val="22"/>
        </w:rPr>
        <w:t xml:space="preserve"> de violencia.</w:t>
      </w:r>
    </w:p>
    <w:p w14:paraId="6737746C" w14:textId="77777777"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Restablecer las personerías Jurídicas a las organizaciones de m</w:t>
      </w:r>
      <w:r>
        <w:rPr>
          <w:rFonts w:ascii="Calibri" w:eastAsia="Calibri" w:hAnsi="Calibri" w:cs="Calibri"/>
          <w:color w:val="000000"/>
          <w:sz w:val="22"/>
          <w:szCs w:val="22"/>
        </w:rPr>
        <w:t xml:space="preserve">ujeres que durante años y de forma transparente y legal han venido construyendo un productivo trabajo </w:t>
      </w:r>
      <w:proofErr w:type="gramStart"/>
      <w:r>
        <w:rPr>
          <w:rFonts w:ascii="Calibri" w:eastAsia="Calibri" w:hAnsi="Calibri" w:cs="Calibri"/>
          <w:color w:val="000000"/>
          <w:sz w:val="22"/>
          <w:szCs w:val="22"/>
        </w:rPr>
        <w:t>en  la</w:t>
      </w:r>
      <w:proofErr w:type="gramEnd"/>
      <w:r>
        <w:rPr>
          <w:rFonts w:ascii="Calibri" w:eastAsia="Calibri" w:hAnsi="Calibri" w:cs="Calibri"/>
          <w:color w:val="000000"/>
          <w:sz w:val="22"/>
          <w:szCs w:val="22"/>
        </w:rPr>
        <w:t xml:space="preserve"> reducción de los </w:t>
      </w:r>
      <w:proofErr w:type="spellStart"/>
      <w:r>
        <w:rPr>
          <w:rFonts w:ascii="Calibri" w:eastAsia="Calibri" w:hAnsi="Calibri" w:cs="Calibri"/>
          <w:color w:val="000000"/>
          <w:sz w:val="22"/>
          <w:szCs w:val="22"/>
        </w:rPr>
        <w:t>indices</w:t>
      </w:r>
      <w:proofErr w:type="spellEnd"/>
      <w:r>
        <w:rPr>
          <w:rFonts w:ascii="Calibri" w:eastAsia="Calibri" w:hAnsi="Calibri" w:cs="Calibri"/>
          <w:color w:val="000000"/>
          <w:sz w:val="22"/>
          <w:szCs w:val="22"/>
        </w:rPr>
        <w:t xml:space="preserve"> de violencia contra las mujeres, así como el fortalecimiento del ejercicio de sus derechos como ciudadanas.</w:t>
      </w:r>
    </w:p>
    <w:p w14:paraId="557A4FB0" w14:textId="77777777" w:rsidR="00DF4114" w:rsidRDefault="009F7A4D">
      <w:pPr>
        <w:pStyle w:val="Heading1"/>
        <w:spacing w:before="0" w:after="240"/>
        <w:rPr>
          <w:sz w:val="22"/>
          <w:szCs w:val="22"/>
        </w:rPr>
      </w:pPr>
      <w:bookmarkStart w:id="19" w:name="_z337ya" w:colFirst="0" w:colLast="0"/>
      <w:bookmarkEnd w:id="19"/>
      <w:r>
        <w:rPr>
          <w:sz w:val="22"/>
          <w:szCs w:val="22"/>
        </w:rPr>
        <w:t>Igualdad de De</w:t>
      </w:r>
      <w:r>
        <w:rPr>
          <w:sz w:val="22"/>
          <w:szCs w:val="22"/>
        </w:rPr>
        <w:t xml:space="preserve">rechos en la Esfera de la Salud </w:t>
      </w:r>
    </w:p>
    <w:p w14:paraId="505007D3" w14:textId="77777777" w:rsidR="00DF4114" w:rsidRDefault="009F7A4D">
      <w:pPr>
        <w:pStyle w:val="Heading2"/>
        <w:numPr>
          <w:ilvl w:val="1"/>
          <w:numId w:val="2"/>
        </w:numPr>
        <w:spacing w:after="200"/>
        <w:rPr>
          <w:sz w:val="22"/>
          <w:szCs w:val="22"/>
        </w:rPr>
      </w:pPr>
      <w:bookmarkStart w:id="20" w:name="_3j2qqm3" w:colFirst="0" w:colLast="0"/>
      <w:bookmarkEnd w:id="20"/>
      <w:r>
        <w:rPr>
          <w:sz w:val="22"/>
          <w:szCs w:val="22"/>
        </w:rPr>
        <w:t>Pandemia de COVID 19</w:t>
      </w:r>
    </w:p>
    <w:p w14:paraId="29491148" w14:textId="77777777"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La situación de Nicaragua en el marco de la pandemia por COVID-19 es especialmente difícil en tanto que aún se encuentra en plena vigencia las violaciones sistemáticas de derechos humanos iniciadas en abril de 2018</w:t>
      </w:r>
      <w:r>
        <w:rPr>
          <w:rFonts w:ascii="Calibri" w:eastAsia="Calibri" w:hAnsi="Calibri" w:cs="Calibri"/>
          <w:b/>
          <w:color w:val="000000"/>
          <w:sz w:val="22"/>
          <w:szCs w:val="22"/>
          <w:vertAlign w:val="superscript"/>
        </w:rPr>
        <w:footnoteReference w:id="7"/>
      </w:r>
      <w:r>
        <w:rPr>
          <w:rFonts w:ascii="Calibri" w:eastAsia="Calibri" w:hAnsi="Calibri" w:cs="Calibri"/>
          <w:color w:val="000000"/>
          <w:sz w:val="22"/>
          <w:szCs w:val="22"/>
        </w:rPr>
        <w:t xml:space="preserve">. </w:t>
      </w:r>
    </w:p>
    <w:p w14:paraId="7328B2A6" w14:textId="77777777"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 xml:space="preserve">El gobierno no ha estipulado medidas </w:t>
      </w:r>
      <w:r>
        <w:rPr>
          <w:rFonts w:ascii="Calibri" w:eastAsia="Calibri" w:hAnsi="Calibri" w:cs="Calibri"/>
          <w:color w:val="000000"/>
          <w:sz w:val="22"/>
          <w:szCs w:val="22"/>
        </w:rPr>
        <w:t xml:space="preserve">de prevención y control frente a la pandemia, por el contrario de manera continua desde las instituciones </w:t>
      </w:r>
      <w:r>
        <w:rPr>
          <w:rFonts w:ascii="Calibri" w:eastAsia="Calibri" w:hAnsi="Calibri" w:cs="Calibri"/>
          <w:sz w:val="22"/>
          <w:szCs w:val="22"/>
        </w:rPr>
        <w:t>públicas</w:t>
      </w:r>
      <w:r>
        <w:rPr>
          <w:rFonts w:ascii="Calibri" w:eastAsia="Calibri" w:hAnsi="Calibri" w:cs="Calibri"/>
          <w:color w:val="000000"/>
          <w:sz w:val="22"/>
          <w:szCs w:val="22"/>
        </w:rPr>
        <w:t xml:space="preserve"> se </w:t>
      </w:r>
      <w:r>
        <w:rPr>
          <w:rFonts w:ascii="Calibri" w:eastAsia="Calibri" w:hAnsi="Calibri" w:cs="Calibri"/>
          <w:sz w:val="22"/>
          <w:szCs w:val="22"/>
        </w:rPr>
        <w:t>organizan</w:t>
      </w:r>
      <w:r>
        <w:rPr>
          <w:rFonts w:ascii="Calibri" w:eastAsia="Calibri" w:hAnsi="Calibri" w:cs="Calibri"/>
          <w:color w:val="000000"/>
          <w:sz w:val="22"/>
          <w:szCs w:val="22"/>
        </w:rPr>
        <w:t xml:space="preserve"> actividades </w:t>
      </w:r>
      <w:r>
        <w:rPr>
          <w:rFonts w:ascii="Calibri" w:eastAsia="Calibri" w:hAnsi="Calibri" w:cs="Calibri"/>
          <w:sz w:val="22"/>
          <w:szCs w:val="22"/>
        </w:rPr>
        <w:t>públicas</w:t>
      </w:r>
      <w:r>
        <w:rPr>
          <w:rFonts w:ascii="Calibri" w:eastAsia="Calibri" w:hAnsi="Calibri" w:cs="Calibri"/>
          <w:color w:val="000000"/>
          <w:sz w:val="22"/>
          <w:szCs w:val="22"/>
        </w:rPr>
        <w:t xml:space="preserve"> que promueven la aglomeración de personas. Estas acciones han tenido un efecto negativo en la población, ya</w:t>
      </w:r>
      <w:r>
        <w:rPr>
          <w:rFonts w:ascii="Calibri" w:eastAsia="Calibri" w:hAnsi="Calibri" w:cs="Calibri"/>
          <w:color w:val="000000"/>
          <w:sz w:val="22"/>
          <w:szCs w:val="22"/>
        </w:rPr>
        <w:t xml:space="preserve"> que </w:t>
      </w:r>
      <w:r>
        <w:rPr>
          <w:rFonts w:ascii="Calibri" w:eastAsia="Calibri" w:hAnsi="Calibri" w:cs="Calibri"/>
          <w:color w:val="000000"/>
          <w:sz w:val="22"/>
          <w:szCs w:val="22"/>
        </w:rPr>
        <w:lastRenderedPageBreak/>
        <w:t>actualmente, aunque el MINSA contabiliza 568 como casos positivos por COVID-</w:t>
      </w:r>
      <w:proofErr w:type="gramStart"/>
      <w:r>
        <w:rPr>
          <w:rFonts w:ascii="Calibri" w:eastAsia="Calibri" w:hAnsi="Calibri" w:cs="Calibri"/>
          <w:color w:val="000000"/>
          <w:sz w:val="22"/>
          <w:szCs w:val="22"/>
        </w:rPr>
        <w:t>19  hasta</w:t>
      </w:r>
      <w:proofErr w:type="gramEnd"/>
      <w:r>
        <w:rPr>
          <w:rFonts w:ascii="Calibri" w:eastAsia="Calibri" w:hAnsi="Calibri" w:cs="Calibri"/>
          <w:color w:val="000000"/>
          <w:sz w:val="22"/>
          <w:szCs w:val="22"/>
        </w:rPr>
        <w:t xml:space="preserve"> el 31 de agosto 2021, mientras que “El Observatorio Ciudadano</w:t>
      </w:r>
      <w:r>
        <w:rPr>
          <w:rFonts w:ascii="Calibri" w:eastAsia="Calibri" w:hAnsi="Calibri" w:cs="Calibri"/>
          <w:color w:val="000000"/>
          <w:sz w:val="22"/>
          <w:szCs w:val="22"/>
          <w:vertAlign w:val="superscript"/>
        </w:rPr>
        <w:footnoteReference w:id="8"/>
      </w:r>
      <w:r>
        <w:rPr>
          <w:rFonts w:ascii="Calibri" w:eastAsia="Calibri" w:hAnsi="Calibri" w:cs="Calibri"/>
          <w:color w:val="000000"/>
          <w:sz w:val="22"/>
          <w:szCs w:val="22"/>
        </w:rPr>
        <w:t xml:space="preserve"> ha registrado un total de 22.086 casos y de 4.002 muertes sospechosas por sintomatología asociada o presuntiva de COVID-19, 796 casos y 97 muertes reportadas solamente en la última semana  de </w:t>
      </w:r>
      <w:r>
        <w:rPr>
          <w:rFonts w:ascii="Calibri" w:eastAsia="Calibri" w:hAnsi="Calibri" w:cs="Calibri"/>
          <w:sz w:val="22"/>
          <w:szCs w:val="22"/>
        </w:rPr>
        <w:t>agosto de 2021</w:t>
      </w:r>
      <w:r>
        <w:rPr>
          <w:rFonts w:ascii="Calibri" w:eastAsia="Calibri" w:hAnsi="Calibri" w:cs="Calibri"/>
          <w:color w:val="000000"/>
          <w:sz w:val="22"/>
          <w:szCs w:val="22"/>
        </w:rPr>
        <w:t>”.</w:t>
      </w:r>
    </w:p>
    <w:p w14:paraId="7B5A6CAF" w14:textId="22B6EAA7"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 xml:space="preserve"> Entre </w:t>
      </w:r>
      <w:r w:rsidR="009811EE">
        <w:rPr>
          <w:rFonts w:ascii="Calibri" w:eastAsia="Calibri" w:hAnsi="Calibri" w:cs="Calibri"/>
          <w:color w:val="000000"/>
          <w:sz w:val="22"/>
          <w:szCs w:val="22"/>
        </w:rPr>
        <w:t>agosto</w:t>
      </w:r>
      <w:r>
        <w:rPr>
          <w:rFonts w:ascii="Calibri" w:eastAsia="Calibri" w:hAnsi="Calibri" w:cs="Calibri"/>
          <w:color w:val="000000"/>
          <w:sz w:val="22"/>
          <w:szCs w:val="22"/>
        </w:rPr>
        <w:t xml:space="preserve"> y mediados de septiembre 2021 se</w:t>
      </w:r>
      <w:r>
        <w:rPr>
          <w:rFonts w:ascii="Calibri" w:eastAsia="Calibri" w:hAnsi="Calibri" w:cs="Calibri"/>
          <w:color w:val="000000"/>
          <w:sz w:val="22"/>
          <w:szCs w:val="22"/>
        </w:rPr>
        <w:t xml:space="preserve"> contabilizan en los hospitales del país, alrededor de 40 mujeres embarazadas ingresadas por coronavirus durante este rebrote, de los cuales se registra la muerte de 4 mujeres embarazadas vinculadas a COVID-19</w:t>
      </w:r>
      <w:r>
        <w:rPr>
          <w:rFonts w:ascii="Calibri" w:eastAsia="Calibri" w:hAnsi="Calibri" w:cs="Calibri"/>
          <w:color w:val="000000"/>
          <w:sz w:val="22"/>
          <w:szCs w:val="22"/>
          <w:vertAlign w:val="superscript"/>
        </w:rPr>
        <w:footnoteReference w:id="9"/>
      </w:r>
      <w:r>
        <w:rPr>
          <w:rFonts w:ascii="Calibri" w:eastAsia="Calibri" w:hAnsi="Calibri" w:cs="Calibri"/>
          <w:color w:val="000000"/>
          <w:sz w:val="22"/>
          <w:szCs w:val="22"/>
        </w:rPr>
        <w:t>.</w:t>
      </w:r>
    </w:p>
    <w:p w14:paraId="57086272" w14:textId="77777777"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 xml:space="preserve">En el marco de la pandemia por COVID-19 la </w:t>
      </w:r>
      <w:r>
        <w:rPr>
          <w:rFonts w:ascii="Calibri" w:eastAsia="Calibri" w:hAnsi="Calibri" w:cs="Calibri"/>
          <w:color w:val="000000"/>
          <w:sz w:val="22"/>
          <w:szCs w:val="22"/>
        </w:rPr>
        <w:t xml:space="preserve">población nicaragüense enfrenta las graves consecuencias de un manejo controvertido e inadecuado por parte de las autoridades, y son las mujeres las que enfrentan grandes desafíos para subsistir en este panorama, porque se han visto afectadas laboralmente </w:t>
      </w:r>
      <w:r>
        <w:rPr>
          <w:rFonts w:ascii="Calibri" w:eastAsia="Calibri" w:hAnsi="Calibri" w:cs="Calibri"/>
          <w:color w:val="000000"/>
          <w:sz w:val="22"/>
          <w:szCs w:val="22"/>
        </w:rPr>
        <w:t xml:space="preserve">y a la hora de enfermarse carecen de los recursos para acceder a la medicación, y si por el contrario se enferma alguien de su entorno recae en ellas la responsabilidad del cuidado; en medio de la precariedad y la subsistencia deben asumir otras cargas. </w:t>
      </w:r>
    </w:p>
    <w:p w14:paraId="77B58667" w14:textId="77777777"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L</w:t>
      </w:r>
      <w:r>
        <w:rPr>
          <w:rFonts w:ascii="Calibri" w:eastAsia="Calibri" w:hAnsi="Calibri" w:cs="Calibri"/>
          <w:color w:val="000000"/>
          <w:sz w:val="22"/>
          <w:szCs w:val="22"/>
        </w:rPr>
        <w:t>a pandemia por COVID-19 se desarrolla en el país cuando está plenamente vigente las diversas formas que constituyen el patrón de violación y restricción de los derechos humanos ejecutada por el gobierno de Nicaragua desde 2018. La población nicaragüense ac</w:t>
      </w:r>
      <w:r>
        <w:rPr>
          <w:rFonts w:ascii="Calibri" w:eastAsia="Calibri" w:hAnsi="Calibri" w:cs="Calibri"/>
          <w:color w:val="000000"/>
          <w:sz w:val="22"/>
          <w:szCs w:val="22"/>
        </w:rPr>
        <w:t>tualmente es doblemente golpeada entre la restricción de los derechos y las consecuencias de la ausencia de políticas sanitarias para contrarrestar la pandemia, ambas con efectos de toda índole, incluidos efectos letales. Tienen desafíos adicionales aquell</w:t>
      </w:r>
      <w:r>
        <w:rPr>
          <w:rFonts w:ascii="Calibri" w:eastAsia="Calibri" w:hAnsi="Calibri" w:cs="Calibri"/>
          <w:color w:val="000000"/>
          <w:sz w:val="22"/>
          <w:szCs w:val="22"/>
        </w:rPr>
        <w:t>as mujeres que están vinculadas a personas (parejas, hijas/os, familiares) que se vieron obligadas a exiliarse a raíz del incremento de la represión estatal en contra de defensores, opositores, activistas y mujeres feministas; Estas mujeres incluso temen e</w:t>
      </w:r>
      <w:r>
        <w:rPr>
          <w:rFonts w:ascii="Calibri" w:eastAsia="Calibri" w:hAnsi="Calibri" w:cs="Calibri"/>
          <w:color w:val="000000"/>
          <w:sz w:val="22"/>
          <w:szCs w:val="22"/>
        </w:rPr>
        <w:t>l ir a centros médicos, así que buscan alternativas de cuidado.</w:t>
      </w:r>
    </w:p>
    <w:p w14:paraId="09F21934" w14:textId="77777777"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 xml:space="preserve">Ni siquiera la emergencia sanitaria mundial por coronavirus ha detenido a los agresores y </w:t>
      </w:r>
      <w:proofErr w:type="spellStart"/>
      <w:r>
        <w:rPr>
          <w:rFonts w:ascii="Calibri" w:eastAsia="Calibri" w:hAnsi="Calibri" w:cs="Calibri"/>
          <w:sz w:val="22"/>
          <w:szCs w:val="22"/>
        </w:rPr>
        <w:t>femicidas</w:t>
      </w:r>
      <w:proofErr w:type="spellEnd"/>
      <w:r>
        <w:rPr>
          <w:rFonts w:ascii="Calibri" w:eastAsia="Calibri" w:hAnsi="Calibri" w:cs="Calibri"/>
          <w:color w:val="000000"/>
          <w:sz w:val="22"/>
          <w:szCs w:val="22"/>
        </w:rPr>
        <w:t xml:space="preserve">, por el </w:t>
      </w:r>
      <w:proofErr w:type="gramStart"/>
      <w:r>
        <w:rPr>
          <w:rFonts w:ascii="Calibri" w:eastAsia="Calibri" w:hAnsi="Calibri" w:cs="Calibri"/>
          <w:color w:val="000000"/>
          <w:sz w:val="22"/>
          <w:szCs w:val="22"/>
        </w:rPr>
        <w:t>contrario</w:t>
      </w:r>
      <w:proofErr w:type="gramEnd"/>
      <w:r>
        <w:rPr>
          <w:rFonts w:ascii="Calibri" w:eastAsia="Calibri" w:hAnsi="Calibri" w:cs="Calibri"/>
          <w:color w:val="000000"/>
          <w:sz w:val="22"/>
          <w:szCs w:val="22"/>
        </w:rPr>
        <w:t xml:space="preserve"> el auto confinamiento y el desempleo vulnera más a las mujeres, niñas y ad</w:t>
      </w:r>
      <w:r>
        <w:rPr>
          <w:rFonts w:ascii="Calibri" w:eastAsia="Calibri" w:hAnsi="Calibri" w:cs="Calibri"/>
          <w:color w:val="000000"/>
          <w:sz w:val="22"/>
          <w:szCs w:val="22"/>
        </w:rPr>
        <w:t>olescentes, porque las obligó a compartir espacio con sus agresores, hasta septiembre 2021 se contabilizan 43 feminicidios en Nicaragua.</w:t>
      </w:r>
    </w:p>
    <w:p w14:paraId="27BD9611" w14:textId="77777777" w:rsidR="00DF4114" w:rsidRPr="009811EE" w:rsidRDefault="009F7A4D" w:rsidP="009811EE">
      <w:pPr>
        <w:pStyle w:val="Heading2"/>
        <w:spacing w:after="200"/>
        <w:ind w:left="0" w:firstLine="360"/>
        <w:rPr>
          <w:sz w:val="22"/>
          <w:szCs w:val="22"/>
        </w:rPr>
      </w:pPr>
      <w:bookmarkStart w:id="21" w:name="_26in1rg" w:colFirst="0" w:colLast="0"/>
      <w:bookmarkEnd w:id="21"/>
      <w:r w:rsidRPr="009811EE">
        <w:rPr>
          <w:sz w:val="22"/>
          <w:szCs w:val="22"/>
        </w:rPr>
        <w:t>Salud Sexual y Reproductiva:</w:t>
      </w:r>
    </w:p>
    <w:p w14:paraId="2F32CA2A" w14:textId="77777777" w:rsidR="00DF4114" w:rsidRDefault="009F7A4D">
      <w:pPr>
        <w:numPr>
          <w:ilvl w:val="0"/>
          <w:numId w:val="3"/>
        </w:numPr>
        <w:spacing w:before="120" w:after="120"/>
        <w:jc w:val="both"/>
        <w:rPr>
          <w:rFonts w:ascii="Calibri" w:eastAsia="Calibri" w:hAnsi="Calibri" w:cs="Calibri"/>
          <w:sz w:val="22"/>
          <w:szCs w:val="22"/>
        </w:rPr>
      </w:pPr>
      <w:r>
        <w:rPr>
          <w:rFonts w:ascii="Calibri" w:eastAsia="Calibri" w:hAnsi="Calibri" w:cs="Calibri"/>
          <w:sz w:val="22"/>
          <w:szCs w:val="22"/>
        </w:rPr>
        <w:t>En muchas de las comunidades del Caribe de Nicaragua, las mujeres tienen hijos e hijas a m</w:t>
      </w:r>
      <w:r>
        <w:rPr>
          <w:rFonts w:ascii="Calibri" w:eastAsia="Calibri" w:hAnsi="Calibri" w:cs="Calibri"/>
          <w:sz w:val="22"/>
          <w:szCs w:val="22"/>
        </w:rPr>
        <w:t>uy temprana edad, el porcentaje de adolescentes madres está por encima de los promedios nacionales; esto se corresponde con las altas tasas de mortalidad materna. Las tasas son significativamente más altas en las comunidades indígenas alejadas de centros u</w:t>
      </w:r>
      <w:r>
        <w:rPr>
          <w:rFonts w:ascii="Calibri" w:eastAsia="Calibri" w:hAnsi="Calibri" w:cs="Calibri"/>
          <w:sz w:val="22"/>
          <w:szCs w:val="22"/>
        </w:rPr>
        <w:t>rbanos, que registran incrementos cada año a pesar de las acciones que se impulsan para reducirlas, esta región sigue encabezando la lista de forma persistente en los años 2017 a 2020, parte del problema yace en la baja cobertura institucional de los servi</w:t>
      </w:r>
      <w:r>
        <w:rPr>
          <w:rFonts w:ascii="Calibri" w:eastAsia="Calibri" w:hAnsi="Calibri" w:cs="Calibri"/>
          <w:sz w:val="22"/>
          <w:szCs w:val="22"/>
        </w:rPr>
        <w:t xml:space="preserve">cios de salud. </w:t>
      </w:r>
    </w:p>
    <w:p w14:paraId="4A828BBE" w14:textId="77777777" w:rsidR="00DF4114" w:rsidRDefault="009F7A4D">
      <w:pPr>
        <w:numPr>
          <w:ilvl w:val="0"/>
          <w:numId w:val="3"/>
        </w:numPr>
        <w:spacing w:before="120" w:after="120"/>
        <w:jc w:val="both"/>
        <w:rPr>
          <w:rFonts w:ascii="Calibri" w:eastAsia="Calibri" w:hAnsi="Calibri" w:cs="Calibri"/>
          <w:sz w:val="22"/>
          <w:szCs w:val="22"/>
        </w:rPr>
      </w:pPr>
      <w:r>
        <w:rPr>
          <w:rFonts w:ascii="Calibri" w:eastAsia="Calibri" w:hAnsi="Calibri" w:cs="Calibri"/>
          <w:sz w:val="22"/>
          <w:szCs w:val="22"/>
        </w:rPr>
        <w:t xml:space="preserve">Los delitos sexuales contra </w:t>
      </w:r>
      <w:proofErr w:type="gramStart"/>
      <w:r>
        <w:rPr>
          <w:rFonts w:ascii="Calibri" w:eastAsia="Calibri" w:hAnsi="Calibri" w:cs="Calibri"/>
          <w:sz w:val="22"/>
          <w:szCs w:val="22"/>
        </w:rPr>
        <w:t>niñas y niños</w:t>
      </w:r>
      <w:proofErr w:type="gramEnd"/>
      <w:r>
        <w:rPr>
          <w:rFonts w:ascii="Calibri" w:eastAsia="Calibri" w:hAnsi="Calibri" w:cs="Calibri"/>
          <w:sz w:val="22"/>
          <w:szCs w:val="22"/>
        </w:rPr>
        <w:t xml:space="preserve"> son un problema grave en la región, aunque los niveles de denuncia son muy bajos, especialmente en el caso del incesto. Esa baja denuncia tiene que ver con los obstáculos de acceso a la justicia ya </w:t>
      </w:r>
      <w:r>
        <w:rPr>
          <w:rFonts w:ascii="Calibri" w:eastAsia="Calibri" w:hAnsi="Calibri" w:cs="Calibri"/>
          <w:sz w:val="22"/>
          <w:szCs w:val="22"/>
        </w:rPr>
        <w:t xml:space="preserve">señalados en el eje temático de la violencia contra la mujer, mismos que se agravan en la Costa Caribe debido a la discriminación histórica que han vivido las mujeres afrodescendientes e indígenas de estas dos Regiones, sumado a ello las posibles barreras </w:t>
      </w:r>
      <w:r>
        <w:rPr>
          <w:rFonts w:ascii="Calibri" w:eastAsia="Calibri" w:hAnsi="Calibri" w:cs="Calibri"/>
          <w:sz w:val="22"/>
          <w:szCs w:val="22"/>
        </w:rPr>
        <w:t>del idioma, ya que hay muchas mujeres que hablan su idioma.</w:t>
      </w:r>
    </w:p>
    <w:p w14:paraId="0D37D3BD" w14:textId="77777777" w:rsidR="00DF4114" w:rsidRDefault="009F7A4D">
      <w:pPr>
        <w:numPr>
          <w:ilvl w:val="0"/>
          <w:numId w:val="3"/>
        </w:numPr>
        <w:spacing w:before="120" w:after="120"/>
        <w:jc w:val="both"/>
        <w:rPr>
          <w:rFonts w:ascii="Calibri" w:eastAsia="Calibri" w:hAnsi="Calibri" w:cs="Calibri"/>
          <w:color w:val="111111"/>
          <w:sz w:val="22"/>
          <w:szCs w:val="22"/>
        </w:rPr>
      </w:pPr>
      <w:r>
        <w:rPr>
          <w:rFonts w:ascii="Calibri" w:eastAsia="Calibri" w:hAnsi="Calibri" w:cs="Calibri"/>
          <w:color w:val="111111"/>
          <w:sz w:val="22"/>
          <w:szCs w:val="22"/>
        </w:rPr>
        <w:t xml:space="preserve">Nicaragua es el país con mayor </w:t>
      </w:r>
      <w:proofErr w:type="spellStart"/>
      <w:r>
        <w:rPr>
          <w:rFonts w:ascii="Calibri" w:eastAsia="Calibri" w:hAnsi="Calibri" w:cs="Calibri"/>
          <w:color w:val="111111"/>
          <w:sz w:val="22"/>
          <w:szCs w:val="22"/>
        </w:rPr>
        <w:t>indice</w:t>
      </w:r>
      <w:proofErr w:type="spellEnd"/>
      <w:r>
        <w:rPr>
          <w:rFonts w:ascii="Calibri" w:eastAsia="Calibri" w:hAnsi="Calibri" w:cs="Calibri"/>
          <w:color w:val="111111"/>
          <w:sz w:val="22"/>
          <w:szCs w:val="22"/>
        </w:rPr>
        <w:t xml:space="preserve"> de embarazo en la adolescencia, casar las niñas a temprana edad y forzarlas a parir representan una realidad tangible en muchas zonas del país, pero en la Cos</w:t>
      </w:r>
      <w:r>
        <w:rPr>
          <w:rFonts w:ascii="Calibri" w:eastAsia="Calibri" w:hAnsi="Calibri" w:cs="Calibri"/>
          <w:color w:val="111111"/>
          <w:sz w:val="22"/>
          <w:szCs w:val="22"/>
        </w:rPr>
        <w:t xml:space="preserve">ta Caribe Sur y Norte esta violación de derechos a las mujeres y niñas es una realidad impune. Los </w:t>
      </w:r>
      <w:r>
        <w:rPr>
          <w:rFonts w:ascii="Calibri" w:eastAsia="Calibri" w:hAnsi="Calibri" w:cs="Calibri"/>
          <w:color w:val="111111"/>
          <w:sz w:val="22"/>
          <w:szCs w:val="22"/>
        </w:rPr>
        <w:lastRenderedPageBreak/>
        <w:t>embarazos precoces y la deserción escolar forman parte del camino que sostiene la precarización de las mujeres y niñas en el mundo.</w:t>
      </w:r>
    </w:p>
    <w:p w14:paraId="31C2B9BA" w14:textId="77777777" w:rsidR="00DF4114" w:rsidRDefault="009F7A4D">
      <w:pPr>
        <w:numPr>
          <w:ilvl w:val="0"/>
          <w:numId w:val="3"/>
        </w:numPr>
        <w:spacing w:before="120" w:after="120"/>
        <w:jc w:val="both"/>
        <w:rPr>
          <w:rFonts w:ascii="Calibri" w:eastAsia="Calibri" w:hAnsi="Calibri" w:cs="Calibri"/>
          <w:color w:val="111111"/>
          <w:sz w:val="22"/>
          <w:szCs w:val="22"/>
        </w:rPr>
      </w:pPr>
      <w:r>
        <w:rPr>
          <w:rFonts w:ascii="Calibri" w:eastAsia="Calibri" w:hAnsi="Calibri" w:cs="Calibri"/>
          <w:color w:val="111111"/>
          <w:sz w:val="22"/>
          <w:szCs w:val="22"/>
        </w:rPr>
        <w:t xml:space="preserve">Los avances en el acceso </w:t>
      </w:r>
      <w:r>
        <w:rPr>
          <w:rFonts w:ascii="Calibri" w:eastAsia="Calibri" w:hAnsi="Calibri" w:cs="Calibri"/>
          <w:color w:val="111111"/>
          <w:sz w:val="22"/>
          <w:szCs w:val="22"/>
        </w:rPr>
        <w:t xml:space="preserve">a la educación y la inclusión de las </w:t>
      </w:r>
      <w:proofErr w:type="gramStart"/>
      <w:r>
        <w:rPr>
          <w:rFonts w:ascii="Calibri" w:eastAsia="Calibri" w:hAnsi="Calibri" w:cs="Calibri"/>
          <w:color w:val="111111"/>
          <w:sz w:val="22"/>
          <w:szCs w:val="22"/>
        </w:rPr>
        <w:t>mujeres  afrodescendientes</w:t>
      </w:r>
      <w:proofErr w:type="gramEnd"/>
      <w:r>
        <w:rPr>
          <w:rFonts w:ascii="Calibri" w:eastAsia="Calibri" w:hAnsi="Calibri" w:cs="Calibri"/>
          <w:color w:val="111111"/>
          <w:sz w:val="22"/>
          <w:szCs w:val="22"/>
        </w:rPr>
        <w:t xml:space="preserve">  en el sistema escolar no se ha traducido en mejores condiciones en el mercado de trabajo. La población afrodescendiente sigue recibiendo un pago menor por realizar el mismo trabajo que otras </w:t>
      </w:r>
      <w:r>
        <w:rPr>
          <w:rFonts w:ascii="Calibri" w:eastAsia="Calibri" w:hAnsi="Calibri" w:cs="Calibri"/>
          <w:color w:val="111111"/>
          <w:sz w:val="22"/>
          <w:szCs w:val="22"/>
        </w:rPr>
        <w:t>poblaciones, aunque esto también varía cuando se trata de las mujeres quienes se enfrentan a niveles más altos de desempleo y precariedad en el trabajo e inseguridad laboral. Por ejemplo, la proporción de mujeres afrodescendientes con empleos precarios, vi</w:t>
      </w:r>
      <w:r>
        <w:rPr>
          <w:rFonts w:ascii="Calibri" w:eastAsia="Calibri" w:hAnsi="Calibri" w:cs="Calibri"/>
          <w:color w:val="111111"/>
          <w:sz w:val="22"/>
          <w:szCs w:val="22"/>
        </w:rPr>
        <w:t>nculados al trabajo de cuidados y limpieza.</w:t>
      </w:r>
    </w:p>
    <w:p w14:paraId="5BD3D1FC" w14:textId="734CBF0A" w:rsidR="00DF4114" w:rsidRPr="005F7180" w:rsidRDefault="009F7A4D" w:rsidP="005F7180">
      <w:pPr>
        <w:numPr>
          <w:ilvl w:val="0"/>
          <w:numId w:val="3"/>
        </w:numPr>
        <w:spacing w:before="120" w:after="120"/>
        <w:jc w:val="both"/>
        <w:rPr>
          <w:rFonts w:ascii="Calibri" w:eastAsia="Calibri" w:hAnsi="Calibri" w:cs="Calibri"/>
          <w:sz w:val="22"/>
          <w:szCs w:val="22"/>
        </w:rPr>
      </w:pPr>
      <w:r>
        <w:rPr>
          <w:rFonts w:ascii="Calibri" w:eastAsia="Calibri" w:hAnsi="Calibri" w:cs="Calibri"/>
          <w:color w:val="111111"/>
          <w:sz w:val="22"/>
          <w:szCs w:val="22"/>
        </w:rPr>
        <w:t xml:space="preserve">En la Costa Caribe Norte y Sur, se </w:t>
      </w:r>
      <w:proofErr w:type="gramStart"/>
      <w:r>
        <w:rPr>
          <w:rFonts w:ascii="Calibri" w:eastAsia="Calibri" w:hAnsi="Calibri" w:cs="Calibri"/>
          <w:color w:val="111111"/>
          <w:sz w:val="22"/>
          <w:szCs w:val="22"/>
        </w:rPr>
        <w:t>registran  casos</w:t>
      </w:r>
      <w:proofErr w:type="gramEnd"/>
      <w:r>
        <w:rPr>
          <w:rFonts w:ascii="Calibri" w:eastAsia="Calibri" w:hAnsi="Calibri" w:cs="Calibri"/>
          <w:color w:val="111111"/>
          <w:sz w:val="22"/>
          <w:szCs w:val="22"/>
        </w:rPr>
        <w:t xml:space="preserve"> de niñas embarazadas que producto de una violación quedan embarazadas y son atendidas por entidades estatales en las mismas condiciones que el resto de embaraza</w:t>
      </w:r>
      <w:r>
        <w:rPr>
          <w:rFonts w:ascii="Calibri" w:eastAsia="Calibri" w:hAnsi="Calibri" w:cs="Calibri"/>
          <w:color w:val="111111"/>
          <w:sz w:val="22"/>
          <w:szCs w:val="22"/>
        </w:rPr>
        <w:t xml:space="preserve">das, incluso obviando parcial o totalmente el hecho de que se trata de una victima de violencia sexual, razón por la que muchas veces queda impune el delito. </w:t>
      </w:r>
    </w:p>
    <w:p w14:paraId="682B9759" w14:textId="77777777" w:rsidR="00DF4114" w:rsidRDefault="009F7A4D">
      <w:pPr>
        <w:pStyle w:val="Heading2"/>
        <w:spacing w:before="0" w:after="240"/>
        <w:rPr>
          <w:sz w:val="22"/>
          <w:szCs w:val="22"/>
        </w:rPr>
      </w:pPr>
      <w:bookmarkStart w:id="22" w:name="_1y810tw" w:colFirst="0" w:colLast="0"/>
      <w:bookmarkEnd w:id="22"/>
      <w:r>
        <w:rPr>
          <w:sz w:val="22"/>
          <w:szCs w:val="22"/>
        </w:rPr>
        <w:t>Infecciones de Transmisión Sexual y el VIH</w:t>
      </w:r>
    </w:p>
    <w:p w14:paraId="6B5A1343" w14:textId="77777777"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111111"/>
          <w:sz w:val="22"/>
          <w:szCs w:val="22"/>
        </w:rPr>
        <w:t>Según estadísticas del</w:t>
      </w:r>
      <w:r>
        <w:rPr>
          <w:rFonts w:ascii="Calibri" w:eastAsia="Calibri" w:hAnsi="Calibri" w:cs="Calibri"/>
          <w:b/>
          <w:color w:val="111111"/>
          <w:sz w:val="22"/>
          <w:szCs w:val="22"/>
        </w:rPr>
        <w:t xml:space="preserve"> </w:t>
      </w:r>
      <w:r>
        <w:rPr>
          <w:rFonts w:ascii="Calibri" w:eastAsia="Calibri" w:hAnsi="Calibri" w:cs="Calibri"/>
          <w:color w:val="111111"/>
          <w:sz w:val="22"/>
          <w:szCs w:val="22"/>
        </w:rPr>
        <w:t>Ministerio de Salud (</w:t>
      </w:r>
      <w:proofErr w:type="spellStart"/>
      <w:r>
        <w:rPr>
          <w:rFonts w:ascii="Calibri" w:eastAsia="Calibri" w:hAnsi="Calibri" w:cs="Calibri"/>
          <w:color w:val="111111"/>
          <w:sz w:val="22"/>
          <w:szCs w:val="22"/>
        </w:rPr>
        <w:t>Minsa</w:t>
      </w:r>
      <w:proofErr w:type="spellEnd"/>
      <w:r>
        <w:rPr>
          <w:rFonts w:ascii="Calibri" w:eastAsia="Calibri" w:hAnsi="Calibri" w:cs="Calibri"/>
          <w:color w:val="111111"/>
          <w:sz w:val="22"/>
          <w:szCs w:val="22"/>
        </w:rPr>
        <w:t xml:space="preserve">), el 73 % de las personas con VIH en Nicaragua, tienen edades comprendidas entre los 15 y 39 años, siendo los homosexuales, </w:t>
      </w:r>
      <w:proofErr w:type="spellStart"/>
      <w:r>
        <w:rPr>
          <w:rFonts w:ascii="Calibri" w:eastAsia="Calibri" w:hAnsi="Calibri" w:cs="Calibri"/>
          <w:color w:val="111111"/>
          <w:sz w:val="22"/>
          <w:szCs w:val="22"/>
        </w:rPr>
        <w:t>trans</w:t>
      </w:r>
      <w:proofErr w:type="spellEnd"/>
      <w:r>
        <w:rPr>
          <w:rFonts w:ascii="Calibri" w:eastAsia="Calibri" w:hAnsi="Calibri" w:cs="Calibri"/>
          <w:color w:val="111111"/>
          <w:sz w:val="22"/>
          <w:szCs w:val="22"/>
        </w:rPr>
        <w:t>, lesbianas y trabajadoras sexuales, los grupos más vulnerables.</w:t>
      </w:r>
    </w:p>
    <w:p w14:paraId="79A1DAB0" w14:textId="77777777"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111111"/>
          <w:sz w:val="22"/>
          <w:szCs w:val="22"/>
        </w:rPr>
        <w:t>Durante el año 2020 se diagnosticar</w:t>
      </w:r>
      <w:r>
        <w:rPr>
          <w:rFonts w:ascii="Calibri" w:eastAsia="Calibri" w:hAnsi="Calibri" w:cs="Calibri"/>
          <w:color w:val="111111"/>
          <w:sz w:val="22"/>
          <w:szCs w:val="22"/>
        </w:rPr>
        <w:t>on 970 nuevos casos de VIH/SIDA, en lo que va del 2021 se han detectado 257 casos y efectuado 97 mil pruebas</w:t>
      </w:r>
      <w:r>
        <w:rPr>
          <w:rFonts w:ascii="Calibri" w:eastAsia="Calibri" w:hAnsi="Calibri" w:cs="Calibri"/>
          <w:color w:val="111111"/>
          <w:sz w:val="22"/>
          <w:szCs w:val="22"/>
          <w:vertAlign w:val="superscript"/>
        </w:rPr>
        <w:footnoteReference w:id="10"/>
      </w:r>
      <w:r>
        <w:rPr>
          <w:rFonts w:ascii="Calibri" w:eastAsia="Calibri" w:hAnsi="Calibri" w:cs="Calibri"/>
          <w:color w:val="111111"/>
          <w:sz w:val="22"/>
          <w:szCs w:val="22"/>
        </w:rPr>
        <w:t>.   «En Nicaragua el riesgo de contraer VIH en las poblaciones claves, el 48 veces mayores entre los hombres que tienen relaciones sexuales con ho</w:t>
      </w:r>
      <w:r>
        <w:rPr>
          <w:rFonts w:ascii="Calibri" w:eastAsia="Calibri" w:hAnsi="Calibri" w:cs="Calibri"/>
          <w:color w:val="111111"/>
          <w:sz w:val="22"/>
          <w:szCs w:val="22"/>
        </w:rPr>
        <w:t xml:space="preserve">mbre, 42 veces mayor para las personas </w:t>
      </w:r>
      <w:proofErr w:type="spellStart"/>
      <w:r>
        <w:rPr>
          <w:rFonts w:ascii="Calibri" w:eastAsia="Calibri" w:hAnsi="Calibri" w:cs="Calibri"/>
          <w:color w:val="111111"/>
          <w:sz w:val="22"/>
          <w:szCs w:val="22"/>
        </w:rPr>
        <w:t>transgéneros</w:t>
      </w:r>
      <w:proofErr w:type="spellEnd"/>
      <w:r>
        <w:rPr>
          <w:rFonts w:ascii="Calibri" w:eastAsia="Calibri" w:hAnsi="Calibri" w:cs="Calibri"/>
          <w:color w:val="111111"/>
          <w:sz w:val="22"/>
          <w:szCs w:val="22"/>
        </w:rPr>
        <w:t xml:space="preserve"> y 9 veces mayor para las mujeres trabajadoras sexuales </w:t>
      </w:r>
    </w:p>
    <w:p w14:paraId="514F7AC3" w14:textId="77777777"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111111"/>
          <w:sz w:val="22"/>
          <w:szCs w:val="22"/>
        </w:rPr>
        <w:t xml:space="preserve">Según el informe de </w:t>
      </w:r>
      <w:proofErr w:type="spellStart"/>
      <w:r>
        <w:rPr>
          <w:rFonts w:ascii="Calibri" w:eastAsia="Calibri" w:hAnsi="Calibri" w:cs="Calibri"/>
          <w:color w:val="111111"/>
          <w:sz w:val="22"/>
          <w:szCs w:val="22"/>
        </w:rPr>
        <w:t>ICWLatina</w:t>
      </w:r>
      <w:proofErr w:type="spellEnd"/>
      <w:r>
        <w:rPr>
          <w:rFonts w:ascii="Calibri" w:eastAsia="Calibri" w:hAnsi="Calibri" w:cs="Calibri"/>
          <w:color w:val="111111"/>
          <w:sz w:val="22"/>
          <w:szCs w:val="22"/>
        </w:rPr>
        <w:t xml:space="preserve">, el país mantiene la tasa de incidencia del VIH en 18 por cada 100.000 habitantes en 2020. Al 2018, un total de 4.991 </w:t>
      </w:r>
      <w:r>
        <w:rPr>
          <w:rFonts w:ascii="Calibri" w:eastAsia="Calibri" w:hAnsi="Calibri" w:cs="Calibri"/>
          <w:color w:val="111111"/>
          <w:sz w:val="22"/>
          <w:szCs w:val="22"/>
        </w:rPr>
        <w:t>personas están registradas en Terapia Antirretroviral, 97,5% son mayores de 15 años y 2,4% son menores, 66% (3.292) son hombres y 34% (1.699) mujeres atendidas en 60 clínicas de atención integral, la cobertura de ART es del 61%, se ha avanzado en la descen</w:t>
      </w:r>
      <w:r>
        <w:rPr>
          <w:rFonts w:ascii="Calibri" w:eastAsia="Calibri" w:hAnsi="Calibri" w:cs="Calibri"/>
          <w:color w:val="111111"/>
          <w:sz w:val="22"/>
          <w:szCs w:val="22"/>
        </w:rPr>
        <w:t xml:space="preserve">tralización de ART en </w:t>
      </w:r>
      <w:proofErr w:type="spellStart"/>
      <w:r>
        <w:rPr>
          <w:rFonts w:ascii="Calibri" w:eastAsia="Calibri" w:hAnsi="Calibri" w:cs="Calibri"/>
          <w:color w:val="111111"/>
          <w:sz w:val="22"/>
          <w:szCs w:val="22"/>
        </w:rPr>
        <w:t>Silais</w:t>
      </w:r>
      <w:proofErr w:type="spellEnd"/>
      <w:r>
        <w:rPr>
          <w:rFonts w:ascii="Calibri" w:eastAsia="Calibri" w:hAnsi="Calibri" w:cs="Calibri"/>
          <w:color w:val="111111"/>
          <w:sz w:val="22"/>
          <w:szCs w:val="22"/>
        </w:rPr>
        <w:t xml:space="preserve"> Managua: Pedro Altamirano, Francisco Buitrago, Yolanda Mayorga en </w:t>
      </w:r>
      <w:proofErr w:type="spellStart"/>
      <w:r>
        <w:rPr>
          <w:rFonts w:ascii="Calibri" w:eastAsia="Calibri" w:hAnsi="Calibri" w:cs="Calibri"/>
          <w:color w:val="111111"/>
          <w:sz w:val="22"/>
          <w:szCs w:val="22"/>
        </w:rPr>
        <w:t>Tipitapa</w:t>
      </w:r>
      <w:proofErr w:type="spellEnd"/>
      <w:r>
        <w:rPr>
          <w:rFonts w:ascii="Calibri" w:eastAsia="Calibri" w:hAnsi="Calibri" w:cs="Calibri"/>
          <w:color w:val="111111"/>
          <w:sz w:val="22"/>
          <w:szCs w:val="22"/>
        </w:rPr>
        <w:t xml:space="preserve"> [10 p.19 </w:t>
      </w:r>
      <w:r>
        <w:rPr>
          <w:rFonts w:ascii="Calibri" w:eastAsia="Calibri" w:hAnsi="Calibri" w:cs="Calibri"/>
          <w:color w:val="111111"/>
          <w:sz w:val="22"/>
          <w:szCs w:val="22"/>
          <w:vertAlign w:val="superscript"/>
        </w:rPr>
        <w:footnoteReference w:id="11"/>
      </w:r>
    </w:p>
    <w:p w14:paraId="7125692C" w14:textId="77777777"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111111"/>
          <w:sz w:val="22"/>
          <w:szCs w:val="22"/>
        </w:rPr>
        <w:t>Así</w:t>
      </w:r>
      <w:r>
        <w:rPr>
          <w:rFonts w:ascii="Calibri" w:eastAsia="Calibri" w:hAnsi="Calibri" w:cs="Calibri"/>
          <w:color w:val="111111"/>
          <w:sz w:val="22"/>
          <w:szCs w:val="22"/>
        </w:rPr>
        <w:t xml:space="preserve"> mismo el informe plantea que respecto a la Situación del VIH, en el primer trimestre de 2020 en Nicaragua, </w:t>
      </w:r>
      <w:proofErr w:type="gramStart"/>
      <w:r>
        <w:rPr>
          <w:rFonts w:ascii="Calibri" w:eastAsia="Calibri" w:hAnsi="Calibri" w:cs="Calibri"/>
          <w:color w:val="111111"/>
          <w:sz w:val="22"/>
          <w:szCs w:val="22"/>
        </w:rPr>
        <w:t>hubieron</w:t>
      </w:r>
      <w:proofErr w:type="gramEnd"/>
      <w:r>
        <w:rPr>
          <w:rFonts w:ascii="Calibri" w:eastAsia="Calibri" w:hAnsi="Calibri" w:cs="Calibri"/>
          <w:color w:val="111111"/>
          <w:sz w:val="22"/>
          <w:szCs w:val="22"/>
        </w:rPr>
        <w:t xml:space="preserve"> 277 nuevos casos del</w:t>
      </w:r>
      <w:r>
        <w:rPr>
          <w:rFonts w:ascii="Calibri" w:eastAsia="Calibri" w:hAnsi="Calibri" w:cs="Calibri"/>
          <w:color w:val="111111"/>
          <w:sz w:val="22"/>
          <w:szCs w:val="22"/>
        </w:rPr>
        <w:t xml:space="preserve"> </w:t>
      </w:r>
      <w:proofErr w:type="spellStart"/>
      <w:r>
        <w:rPr>
          <w:rFonts w:ascii="Calibri" w:eastAsia="Calibri" w:hAnsi="Calibri" w:cs="Calibri"/>
          <w:color w:val="111111"/>
          <w:sz w:val="22"/>
          <w:szCs w:val="22"/>
        </w:rPr>
        <w:t>Minsa</w:t>
      </w:r>
      <w:proofErr w:type="spellEnd"/>
      <w:r>
        <w:rPr>
          <w:rFonts w:ascii="Calibri" w:eastAsia="Calibri" w:hAnsi="Calibri" w:cs="Calibri"/>
          <w:color w:val="111111"/>
          <w:sz w:val="22"/>
          <w:szCs w:val="22"/>
        </w:rPr>
        <w:t>, de los cuales el 24% son mujeres y el 76% hombres, como grupo de edad de 15 a 29 años.</w:t>
      </w:r>
    </w:p>
    <w:p w14:paraId="4340B120" w14:textId="77777777"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Esta alta incidencia tiene que ver con la ausencia de una política nacional de educación sexual pública que desarrolle una buena labor de prevención; así como la</w:t>
      </w:r>
      <w:r>
        <w:rPr>
          <w:rFonts w:ascii="Calibri" w:eastAsia="Calibri" w:hAnsi="Calibri" w:cs="Calibri"/>
          <w:color w:val="000000"/>
          <w:sz w:val="22"/>
          <w:szCs w:val="22"/>
        </w:rPr>
        <w:t xml:space="preserve"> falta de coherencia entre la Estrategia Nacional de Salud Sexual y Salud Reproductiva y la calidad de los servicios públicos de salud. La efectividad de los esfuerzos que se realizan para frenar la feminización de la pandemia en Nicaragua se ven limitados</w:t>
      </w:r>
      <w:r>
        <w:rPr>
          <w:rFonts w:ascii="Calibri" w:eastAsia="Calibri" w:hAnsi="Calibri" w:cs="Calibri"/>
          <w:color w:val="000000"/>
          <w:sz w:val="22"/>
          <w:szCs w:val="22"/>
        </w:rPr>
        <w:t xml:space="preserve"> por la débil promoción del uso del condón, por la falta de educación sexual integral, y por la innegable injerencia de los fundamentalismos religiosos que llegan a las familias y </w:t>
      </w:r>
      <w:r>
        <w:rPr>
          <w:rFonts w:ascii="Calibri" w:eastAsia="Calibri" w:hAnsi="Calibri" w:cs="Calibri"/>
          <w:sz w:val="22"/>
          <w:szCs w:val="22"/>
        </w:rPr>
        <w:t>comunidades</w:t>
      </w:r>
      <w:r>
        <w:rPr>
          <w:rFonts w:ascii="Calibri" w:eastAsia="Calibri" w:hAnsi="Calibri" w:cs="Calibri"/>
          <w:color w:val="000000"/>
          <w:sz w:val="22"/>
          <w:szCs w:val="22"/>
        </w:rPr>
        <w:t xml:space="preserve"> a través de las iglesias y que se reproducen en el entorno socia</w:t>
      </w:r>
      <w:r>
        <w:rPr>
          <w:rFonts w:ascii="Calibri" w:eastAsia="Calibri" w:hAnsi="Calibri" w:cs="Calibri"/>
          <w:color w:val="000000"/>
          <w:sz w:val="22"/>
          <w:szCs w:val="22"/>
        </w:rPr>
        <w:t>l.</w:t>
      </w:r>
    </w:p>
    <w:p w14:paraId="23D7E115" w14:textId="77777777" w:rsidR="00DF4114" w:rsidRDefault="009F7A4D">
      <w:pPr>
        <w:pStyle w:val="Heading2"/>
        <w:numPr>
          <w:ilvl w:val="1"/>
          <w:numId w:val="2"/>
        </w:numPr>
        <w:spacing w:after="200"/>
      </w:pPr>
      <w:bookmarkStart w:id="23" w:name="_4i7ojhp" w:colFirst="0" w:colLast="0"/>
      <w:bookmarkEnd w:id="23"/>
      <w:r>
        <w:t>Penalización del aborto terapéutico y su impacto en la vida de las mujeres</w:t>
      </w:r>
    </w:p>
    <w:p w14:paraId="2BE2AEE8" w14:textId="77777777"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En Nicaragua sigue vigente la Ley N.º 641-07</w:t>
      </w:r>
      <w:r>
        <w:rPr>
          <w:rFonts w:ascii="Calibri" w:eastAsia="Calibri" w:hAnsi="Calibri" w:cs="Calibri"/>
          <w:b/>
          <w:color w:val="231F20"/>
          <w:sz w:val="22"/>
          <w:szCs w:val="22"/>
          <w:vertAlign w:val="superscript"/>
        </w:rPr>
        <w:footnoteReference w:id="12"/>
      </w:r>
      <w:r>
        <w:rPr>
          <w:rFonts w:ascii="Calibri" w:eastAsia="Calibri" w:hAnsi="Calibri" w:cs="Calibri"/>
          <w:color w:val="000000"/>
          <w:sz w:val="22"/>
          <w:szCs w:val="22"/>
        </w:rPr>
        <w:t xml:space="preserve">, Código Penal reformado y aprobado en la Asamblea Nacional en noviembre del 2007 que penaliza el aborto en todas sus formas, incluyendo el aborto terapéutico. En los artículos 143, 144 y 145 del nuevo Código Penal se disponen penas de cárcel para </w:t>
      </w:r>
      <w:r>
        <w:rPr>
          <w:rFonts w:ascii="Calibri" w:eastAsia="Calibri" w:hAnsi="Calibri" w:cs="Calibri"/>
          <w:color w:val="000000"/>
          <w:sz w:val="22"/>
          <w:szCs w:val="22"/>
        </w:rPr>
        <w:lastRenderedPageBreak/>
        <w:t>los prof</w:t>
      </w:r>
      <w:r>
        <w:rPr>
          <w:rFonts w:ascii="Calibri" w:eastAsia="Calibri" w:hAnsi="Calibri" w:cs="Calibri"/>
          <w:color w:val="000000"/>
          <w:sz w:val="22"/>
          <w:szCs w:val="22"/>
        </w:rPr>
        <w:t>esionales de la salud que practiquen abortos y para las mujeres y las niñas que soliciten o consigan que se les practique un aborto. Estas sanciones se aplican incluso en los casos en los que continuar con el embarazo supone un peligro para la vida o la sa</w:t>
      </w:r>
      <w:r>
        <w:rPr>
          <w:rFonts w:ascii="Calibri" w:eastAsia="Calibri" w:hAnsi="Calibri" w:cs="Calibri"/>
          <w:color w:val="000000"/>
          <w:sz w:val="22"/>
          <w:szCs w:val="22"/>
        </w:rPr>
        <w:t>lud de la embarazada.</w:t>
      </w:r>
    </w:p>
    <w:p w14:paraId="325CD0AD" w14:textId="77777777"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El Estado de Nicaragua continúa sin atender las recomendaciones de revertir la penalización del aborto terapéutico emitidas por cuatro Comités de la ONU y de otras organizaciones internacionales de derechos humanos.</w:t>
      </w:r>
    </w:p>
    <w:p w14:paraId="2DBE40E2" w14:textId="77777777"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El Código Penal ta</w:t>
      </w:r>
      <w:r>
        <w:rPr>
          <w:rFonts w:ascii="Calibri" w:eastAsia="Calibri" w:hAnsi="Calibri" w:cs="Calibri"/>
          <w:color w:val="000000"/>
          <w:sz w:val="22"/>
          <w:szCs w:val="22"/>
        </w:rPr>
        <w:t xml:space="preserve">mbién incluye otras dos disposiciones dirigidas a los proveedores de servicios de salud, los artículos 148 y 149, que dejan a </w:t>
      </w:r>
      <w:proofErr w:type="gramStart"/>
      <w:r>
        <w:rPr>
          <w:rFonts w:ascii="Calibri" w:eastAsia="Calibri" w:hAnsi="Calibri" w:cs="Calibri"/>
          <w:color w:val="000000"/>
          <w:sz w:val="22"/>
          <w:szCs w:val="22"/>
        </w:rPr>
        <w:t>los médicos y médicas</w:t>
      </w:r>
      <w:proofErr w:type="gramEnd"/>
      <w:r>
        <w:rPr>
          <w:rFonts w:ascii="Calibri" w:eastAsia="Calibri" w:hAnsi="Calibri" w:cs="Calibri"/>
          <w:color w:val="000000"/>
          <w:sz w:val="22"/>
          <w:szCs w:val="22"/>
        </w:rPr>
        <w:t xml:space="preserve"> expuestos/as a ser procesados penalmente en cualquier caso en el que, con independencia de la intención, se </w:t>
      </w:r>
      <w:r>
        <w:rPr>
          <w:rFonts w:ascii="Calibri" w:eastAsia="Calibri" w:hAnsi="Calibri" w:cs="Calibri"/>
          <w:color w:val="000000"/>
          <w:sz w:val="22"/>
          <w:szCs w:val="22"/>
        </w:rPr>
        <w:t xml:space="preserve">produzca cualquier tipo de lesión o la muerte del feto a consecuencia de la atención médica prestada para preservar la vida o la salud de la mujer o el feto. </w:t>
      </w:r>
    </w:p>
    <w:p w14:paraId="76CBF53D" w14:textId="77777777"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Desde 2006 diversos actores de la sociedad civil y del movimiento feminista ha incluido dentro de</w:t>
      </w:r>
      <w:r>
        <w:rPr>
          <w:rFonts w:ascii="Calibri" w:eastAsia="Calibri" w:hAnsi="Calibri" w:cs="Calibri"/>
          <w:color w:val="000000"/>
          <w:sz w:val="22"/>
          <w:szCs w:val="22"/>
        </w:rPr>
        <w:t xml:space="preserve"> sus acciones, incidencia política ante la Corte Suprema de Justicia (CSJ) y la Asamblea Nacional (AN), haciendo entrega de varios recursos por inconstitucionalidad junto a </w:t>
      </w:r>
      <w:proofErr w:type="spellStart"/>
      <w:r>
        <w:rPr>
          <w:rFonts w:ascii="Calibri" w:eastAsia="Calibri" w:hAnsi="Calibri" w:cs="Calibri"/>
          <w:color w:val="000000"/>
          <w:sz w:val="22"/>
          <w:szCs w:val="22"/>
        </w:rPr>
        <w:t>Amicus</w:t>
      </w:r>
      <w:proofErr w:type="spellEnd"/>
      <w:r>
        <w:rPr>
          <w:rFonts w:ascii="Calibri" w:eastAsia="Calibri" w:hAnsi="Calibri" w:cs="Calibri"/>
          <w:color w:val="000000"/>
          <w:sz w:val="22"/>
          <w:szCs w:val="22"/>
        </w:rPr>
        <w:t xml:space="preserve"> Curie que aportan una sólida argumentación con bases </w:t>
      </w:r>
      <w:proofErr w:type="spellStart"/>
      <w:r>
        <w:rPr>
          <w:rFonts w:ascii="Calibri" w:eastAsia="Calibri" w:hAnsi="Calibri" w:cs="Calibri"/>
          <w:color w:val="000000"/>
          <w:sz w:val="22"/>
          <w:szCs w:val="22"/>
        </w:rPr>
        <w:t>cientíﬁcas</w:t>
      </w:r>
      <w:proofErr w:type="spellEnd"/>
      <w:r>
        <w:rPr>
          <w:rFonts w:ascii="Calibri" w:eastAsia="Calibri" w:hAnsi="Calibri" w:cs="Calibri"/>
          <w:color w:val="000000"/>
          <w:sz w:val="22"/>
          <w:szCs w:val="22"/>
        </w:rPr>
        <w:t xml:space="preserve"> y de derecho</w:t>
      </w:r>
      <w:r>
        <w:rPr>
          <w:rFonts w:ascii="Calibri" w:eastAsia="Calibri" w:hAnsi="Calibri" w:cs="Calibri"/>
          <w:color w:val="000000"/>
          <w:sz w:val="22"/>
          <w:szCs w:val="22"/>
        </w:rPr>
        <w:t>s humanos para la restitución del aborto terapéutico. Hasta ahora todos nuestros esfuerzos han sido infructuosos ya que el poder judicial está controlado por el partido de gobierno (FSLN) y en el caso del poder legislativo, tanto el Frente Sandinista de Li</w:t>
      </w:r>
      <w:r>
        <w:rPr>
          <w:rFonts w:ascii="Calibri" w:eastAsia="Calibri" w:hAnsi="Calibri" w:cs="Calibri"/>
          <w:color w:val="000000"/>
          <w:sz w:val="22"/>
          <w:szCs w:val="22"/>
        </w:rPr>
        <w:t>beración Nacional (FSLN) como el Partido Liberal Constitucionalista (PLC) y la Alianza Liberal Nicaragüense (ALN) mantienen su compromiso con las iglesias católicas y evangélicas para mantener penalizado el aborto en todas sus formas.</w:t>
      </w:r>
    </w:p>
    <w:p w14:paraId="098C2EE2" w14:textId="77777777" w:rsidR="00DF4114" w:rsidRDefault="009F7A4D">
      <w:pPr>
        <w:pStyle w:val="Heading2"/>
        <w:numPr>
          <w:ilvl w:val="1"/>
          <w:numId w:val="2"/>
        </w:numPr>
        <w:spacing w:after="200"/>
        <w:ind w:firstLine="0"/>
        <w:rPr>
          <w:sz w:val="22"/>
          <w:szCs w:val="22"/>
        </w:rPr>
      </w:pPr>
      <w:bookmarkStart w:id="24" w:name="_2xcytpi" w:colFirst="0" w:colLast="0"/>
      <w:bookmarkEnd w:id="24"/>
      <w:r>
        <w:rPr>
          <w:sz w:val="22"/>
          <w:szCs w:val="22"/>
        </w:rPr>
        <w:t>Recomendaciones</w:t>
      </w:r>
    </w:p>
    <w:p w14:paraId="61EF422E" w14:textId="77777777" w:rsidR="00DF4114" w:rsidRDefault="009F7A4D">
      <w:pPr>
        <w:pStyle w:val="Heading4"/>
        <w:numPr>
          <w:ilvl w:val="3"/>
          <w:numId w:val="2"/>
        </w:numPr>
        <w:tabs>
          <w:tab w:val="left" w:pos="0"/>
        </w:tabs>
        <w:rPr>
          <w:sz w:val="22"/>
          <w:szCs w:val="22"/>
        </w:rPr>
      </w:pPr>
      <w:bookmarkStart w:id="25" w:name="_41khe2wu21un" w:colFirst="0" w:colLast="0"/>
      <w:bookmarkEnd w:id="25"/>
      <w:r>
        <w:rPr>
          <w:sz w:val="22"/>
          <w:szCs w:val="22"/>
        </w:rPr>
        <w:t>El estado nicaragüense debería</w:t>
      </w:r>
    </w:p>
    <w:p w14:paraId="32CAD3C0" w14:textId="2F71F5EA"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Revertir de forma inmediata la penalización del aborto terapéutico, evitando cualquier injerencia que limite el ejercicio de los derechos fundamentales de las mujeres nicaragüenses consignadas en la Constituci</w:t>
      </w:r>
      <w:r>
        <w:rPr>
          <w:rFonts w:ascii="Calibri" w:eastAsia="Calibri" w:hAnsi="Calibri" w:cs="Calibri"/>
          <w:color w:val="000000"/>
          <w:sz w:val="22"/>
          <w:szCs w:val="22"/>
        </w:rPr>
        <w:t>ón Política.</w:t>
      </w:r>
    </w:p>
    <w:p w14:paraId="2A2A3BF3" w14:textId="77777777"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Invertir mayores recursos y crear los mecanismos necesarios para la efectiva implementación de la Estrategia Nacional de Salud Sexual y Salud Reproductiva.</w:t>
      </w:r>
    </w:p>
    <w:p w14:paraId="314AB2E5" w14:textId="77777777"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Aprobar la implementación de un Manual de Educación Sexual que promueva los derechos</w:t>
      </w:r>
      <w:r>
        <w:rPr>
          <w:rFonts w:ascii="Calibri" w:eastAsia="Calibri" w:hAnsi="Calibri" w:cs="Calibri"/>
          <w:color w:val="000000"/>
          <w:sz w:val="22"/>
          <w:szCs w:val="22"/>
        </w:rPr>
        <w:t xml:space="preserve"> de las y los adolescentes en el ámbito de la sexualidad.</w:t>
      </w:r>
    </w:p>
    <w:p w14:paraId="19BDB7F6" w14:textId="77777777"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Desarrollar una estrategia integral de prevención de las ITS y del VIH y sida en coordinación con el conjunto de organizaciones de la sociedad civil que han acumulado una vasta experiencia.</w:t>
      </w:r>
    </w:p>
    <w:p w14:paraId="1E4717C2" w14:textId="3FDB7E1F"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Establec</w:t>
      </w:r>
      <w:r>
        <w:rPr>
          <w:rFonts w:ascii="Calibri" w:eastAsia="Calibri" w:hAnsi="Calibri" w:cs="Calibri"/>
          <w:color w:val="000000"/>
          <w:sz w:val="22"/>
          <w:szCs w:val="22"/>
        </w:rPr>
        <w:t>er programas de reproducción asistida, de modo que las mujeres que quieran embarazarse puedan hacerlo</w:t>
      </w:r>
      <w:r w:rsidR="009811EE">
        <w:rPr>
          <w:rFonts w:ascii="Calibri" w:eastAsia="Calibri" w:hAnsi="Calibri" w:cs="Calibri"/>
          <w:color w:val="000000"/>
          <w:sz w:val="22"/>
          <w:szCs w:val="22"/>
        </w:rPr>
        <w:t>.</w:t>
      </w:r>
    </w:p>
    <w:p w14:paraId="28673A94" w14:textId="628249E5" w:rsidR="00DF4114" w:rsidRDefault="009F7A4D">
      <w:pPr>
        <w:numPr>
          <w:ilvl w:val="0"/>
          <w:numId w:val="3"/>
        </w:num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 xml:space="preserve">Que se establezca una alerta en el país en aras de reducir los altos índices de la pandemia </w:t>
      </w:r>
      <w:r w:rsidR="00E47BE4">
        <w:rPr>
          <w:rFonts w:ascii="Calibri" w:eastAsia="Calibri" w:hAnsi="Calibri" w:cs="Calibri"/>
          <w:color w:val="000000"/>
          <w:sz w:val="22"/>
          <w:szCs w:val="22"/>
        </w:rPr>
        <w:t xml:space="preserve">por el </w:t>
      </w:r>
      <w:r>
        <w:rPr>
          <w:rFonts w:ascii="Calibri" w:eastAsia="Calibri" w:hAnsi="Calibri" w:cs="Calibri"/>
          <w:color w:val="000000"/>
          <w:sz w:val="22"/>
          <w:szCs w:val="22"/>
        </w:rPr>
        <w:t>C</w:t>
      </w:r>
      <w:r w:rsidR="00E47BE4">
        <w:rPr>
          <w:rFonts w:ascii="Calibri" w:eastAsia="Calibri" w:hAnsi="Calibri" w:cs="Calibri"/>
          <w:color w:val="000000"/>
          <w:sz w:val="22"/>
          <w:szCs w:val="22"/>
        </w:rPr>
        <w:t>OVID</w:t>
      </w:r>
      <w:r w:rsidR="009811EE">
        <w:rPr>
          <w:rFonts w:ascii="Calibri" w:eastAsia="Calibri" w:hAnsi="Calibri" w:cs="Calibri"/>
          <w:color w:val="000000"/>
          <w:sz w:val="22"/>
          <w:szCs w:val="22"/>
        </w:rPr>
        <w:t>-</w:t>
      </w:r>
      <w:r>
        <w:rPr>
          <w:rFonts w:ascii="Calibri" w:eastAsia="Calibri" w:hAnsi="Calibri" w:cs="Calibri"/>
          <w:color w:val="000000"/>
          <w:sz w:val="22"/>
          <w:szCs w:val="22"/>
        </w:rPr>
        <w:t>19 y establecer medidas adecuadas para bajar las altas t</w:t>
      </w:r>
      <w:r>
        <w:rPr>
          <w:rFonts w:ascii="Calibri" w:eastAsia="Calibri" w:hAnsi="Calibri" w:cs="Calibri"/>
          <w:color w:val="000000"/>
          <w:sz w:val="22"/>
          <w:szCs w:val="22"/>
        </w:rPr>
        <w:t>asas de muertes y presentar resultados veraces de la pandemia y no promover el aglut</w:t>
      </w:r>
      <w:r w:rsidR="009811EE">
        <w:rPr>
          <w:rFonts w:ascii="Calibri" w:eastAsia="Calibri" w:hAnsi="Calibri" w:cs="Calibri"/>
          <w:color w:val="000000"/>
          <w:sz w:val="22"/>
          <w:szCs w:val="22"/>
        </w:rPr>
        <w:t>in</w:t>
      </w:r>
      <w:r>
        <w:rPr>
          <w:rFonts w:ascii="Calibri" w:eastAsia="Calibri" w:hAnsi="Calibri" w:cs="Calibri"/>
          <w:color w:val="000000"/>
          <w:sz w:val="22"/>
          <w:szCs w:val="22"/>
        </w:rPr>
        <w:t xml:space="preserve">amiento de personas en actividades </w:t>
      </w:r>
      <w:proofErr w:type="gramStart"/>
      <w:r>
        <w:rPr>
          <w:rFonts w:ascii="Calibri" w:eastAsia="Calibri" w:hAnsi="Calibri" w:cs="Calibri"/>
          <w:color w:val="000000"/>
          <w:sz w:val="22"/>
          <w:szCs w:val="22"/>
        </w:rPr>
        <w:t>pro gobierno</w:t>
      </w:r>
      <w:proofErr w:type="gramEnd"/>
      <w:r>
        <w:rPr>
          <w:rFonts w:ascii="Calibri" w:eastAsia="Calibri" w:hAnsi="Calibri" w:cs="Calibri"/>
          <w:color w:val="000000"/>
          <w:sz w:val="22"/>
          <w:szCs w:val="22"/>
        </w:rPr>
        <w:t>.</w:t>
      </w:r>
    </w:p>
    <w:p w14:paraId="56003B4D" w14:textId="7E4DDE26" w:rsidR="00E47BE4" w:rsidRPr="00E47BE4" w:rsidRDefault="00E47BE4" w:rsidP="00E47BE4">
      <w:pPr>
        <w:numPr>
          <w:ilvl w:val="0"/>
          <w:numId w:val="3"/>
        </w:numPr>
        <w:spacing w:after="200"/>
        <w:rPr>
          <w:rFonts w:ascii="Calibri" w:eastAsia="Calibri" w:hAnsi="Calibri" w:cs="Calibri"/>
          <w:color w:val="111111"/>
          <w:sz w:val="22"/>
          <w:szCs w:val="22"/>
        </w:rPr>
      </w:pPr>
      <w:r>
        <w:rPr>
          <w:rFonts w:ascii="Calibri" w:eastAsia="Calibri" w:hAnsi="Calibri" w:cs="Calibri"/>
          <w:color w:val="111111"/>
          <w:sz w:val="22"/>
          <w:szCs w:val="22"/>
        </w:rPr>
        <w:t>Implementar acciones concretas y efectivas para reducir las tasas de mortalidad materna y embarazo adolescente de las mujeres afrodescendientes e indígenas. Particularmente mediante la información y accesibilidad a métodos anticonceptivos y educación sexual integral.</w:t>
      </w:r>
    </w:p>
    <w:p w14:paraId="1B3F1616" w14:textId="77777777" w:rsidR="00DF4114" w:rsidRDefault="00DF4114">
      <w:pPr>
        <w:jc w:val="both"/>
        <w:rPr>
          <w:rFonts w:ascii="Arial" w:eastAsia="Arial" w:hAnsi="Arial" w:cs="Arial"/>
        </w:rPr>
      </w:pPr>
    </w:p>
    <w:p w14:paraId="5E3F070F" w14:textId="77777777" w:rsidR="00DF4114" w:rsidRDefault="009F7A4D">
      <w:pPr>
        <w:jc w:val="both"/>
      </w:pPr>
      <w:r>
        <w:rPr>
          <w:rFonts w:ascii="Arial" w:eastAsia="Arial" w:hAnsi="Arial" w:cs="Arial"/>
        </w:rPr>
        <w:br/>
      </w:r>
    </w:p>
    <w:sectPr w:rsidR="00DF4114" w:rsidSect="005F7180">
      <w:footerReference w:type="default" r:id="rId11"/>
      <w:pgSz w:w="11906" w:h="16838"/>
      <w:pgMar w:top="1440" w:right="1080" w:bottom="1440" w:left="1080" w:header="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EB3BB6" w14:textId="77777777" w:rsidR="009F7A4D" w:rsidRDefault="009F7A4D">
      <w:r>
        <w:separator/>
      </w:r>
    </w:p>
  </w:endnote>
  <w:endnote w:type="continuationSeparator" w:id="0">
    <w:p w14:paraId="374C1972" w14:textId="77777777" w:rsidR="009F7A4D" w:rsidRDefault="009F7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Calibri"/>
    <w:panose1 w:val="020B0604020202020204"/>
    <w:charset w:val="00"/>
    <w:family w:val="auto"/>
    <w:pitch w:val="default"/>
  </w:font>
  <w:font w:name="Liberation Serif">
    <w:altName w:val="Times New Roman"/>
    <w:panose1 w:val="020B0604020202020204"/>
    <w:charset w:val="00"/>
    <w:family w:val="auto"/>
    <w:pitch w:val="default"/>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Liberation Sans">
    <w:altName w:val="Arial"/>
    <w:panose1 w:val="020B0604020202020204"/>
    <w:charset w:val="00"/>
    <w:family w:val="auto"/>
    <w:pitch w:val="default"/>
  </w:font>
  <w:font w:name="Helvetica Neue">
    <w:panose1 w:val="02000503000000020004"/>
    <w:charset w:val="00"/>
    <w:family w:val="auto"/>
    <w:pitch w:val="variable"/>
    <w:sig w:usb0="E50002FF" w:usb1="500079DB" w:usb2="00000010" w:usb3="00000000" w:csb0="0000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FC27D" w14:textId="77777777" w:rsidR="00DF4114" w:rsidRDefault="009F7A4D">
    <w:pPr>
      <w:pBdr>
        <w:top w:val="nil"/>
        <w:left w:val="nil"/>
        <w:bottom w:val="nil"/>
        <w:right w:val="nil"/>
        <w:between w:val="nil"/>
      </w:pBdr>
      <w:tabs>
        <w:tab w:val="center" w:pos="4252"/>
        <w:tab w:val="right" w:pos="8504"/>
      </w:tabs>
      <w:jc w:val="center"/>
      <w:rPr>
        <w:rFonts w:ascii="Calibri" w:eastAsia="Calibri" w:hAnsi="Calibri" w:cs="Calibri"/>
        <w:color w:val="000000"/>
      </w:rPr>
    </w:pPr>
    <w:r>
      <w:rPr>
        <w:rFonts w:ascii="Calibri" w:eastAsia="Calibri" w:hAnsi="Calibri" w:cs="Calibri"/>
        <w:color w:val="000000"/>
      </w:rPr>
      <w:fldChar w:fldCharType="begin"/>
    </w:r>
    <w:r>
      <w:rPr>
        <w:rFonts w:ascii="Calibri" w:eastAsia="Calibri" w:hAnsi="Calibri" w:cs="Calibri"/>
        <w:color w:val="000000"/>
      </w:rPr>
      <w:instrText>PAGE</w:instrText>
    </w:r>
    <w:r>
      <w:rPr>
        <w:rFonts w:ascii="Calibri" w:eastAsia="Calibri" w:hAnsi="Calibri" w:cs="Calibri"/>
        <w:color w:val="000000"/>
      </w:rPr>
      <w:fldChar w:fldCharType="separate"/>
    </w:r>
    <w:r w:rsidR="00E47BE4">
      <w:rPr>
        <w:rFonts w:ascii="Calibri" w:eastAsia="Calibri" w:hAnsi="Calibri" w:cs="Calibri"/>
        <w:noProof/>
        <w:color w:val="000000"/>
      </w:rPr>
      <w:t>1</w:t>
    </w:r>
    <w:r>
      <w:rPr>
        <w:rFonts w:ascii="Calibri" w:eastAsia="Calibri" w:hAnsi="Calibri" w:cs="Calibri"/>
        <w:color w:val="000000"/>
      </w:rPr>
      <w:fldChar w:fldCharType="end"/>
    </w:r>
  </w:p>
  <w:p w14:paraId="1555273B" w14:textId="77777777" w:rsidR="00DF4114" w:rsidRDefault="00DF4114">
    <w:pPr>
      <w:pBdr>
        <w:top w:val="nil"/>
        <w:left w:val="nil"/>
        <w:bottom w:val="nil"/>
        <w:right w:val="nil"/>
        <w:between w:val="nil"/>
      </w:pBdr>
      <w:tabs>
        <w:tab w:val="center" w:pos="4252"/>
        <w:tab w:val="right" w:pos="8504"/>
      </w:tabs>
      <w:jc w:val="both"/>
      <w:rPr>
        <w:rFonts w:ascii="Calibri" w:eastAsia="Calibri" w:hAnsi="Calibri" w:cs="Calibri"/>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F10B33" w14:textId="77777777" w:rsidR="009F7A4D" w:rsidRDefault="009F7A4D">
      <w:r>
        <w:separator/>
      </w:r>
    </w:p>
  </w:footnote>
  <w:footnote w:type="continuationSeparator" w:id="0">
    <w:p w14:paraId="6F3F3E32" w14:textId="77777777" w:rsidR="009F7A4D" w:rsidRDefault="009F7A4D">
      <w:r>
        <w:continuationSeparator/>
      </w:r>
    </w:p>
  </w:footnote>
  <w:footnote w:id="1">
    <w:p w14:paraId="65E4C8CF" w14:textId="77777777" w:rsidR="00DF4114" w:rsidRDefault="009F7A4D">
      <w:pPr>
        <w:pBdr>
          <w:top w:val="nil"/>
          <w:left w:val="nil"/>
          <w:bottom w:val="nil"/>
          <w:right w:val="nil"/>
          <w:between w:val="nil"/>
        </w:pBdr>
        <w:ind w:left="339" w:hanging="339"/>
        <w:rPr>
          <w:color w:val="000000"/>
          <w:sz w:val="20"/>
          <w:szCs w:val="20"/>
        </w:rPr>
      </w:pPr>
      <w:r>
        <w:rPr>
          <w:vertAlign w:val="superscript"/>
        </w:rPr>
        <w:footnoteRef/>
      </w:r>
      <w:hyperlink r:id="rId1" w:anchor=":~:text=Que%20el%20objetivo%20de%20la,fortalecer%20una%20cultura%20de%20convivencia">
        <w:r>
          <w:rPr>
            <w:color w:val="000080"/>
            <w:sz w:val="20"/>
            <w:szCs w:val="20"/>
            <w:u w:val="single"/>
          </w:rPr>
          <w:tab/>
          <w:t>Reglamento de la Ley 779, Ley Integral Contra La Violencia Ha</w:t>
        </w:r>
        <w:r>
          <w:rPr>
            <w:color w:val="000080"/>
            <w:sz w:val="20"/>
            <w:szCs w:val="20"/>
            <w:u w:val="single"/>
          </w:rPr>
          <w:t>cia Las Mujeres De Reformas a La Ley N°. 641, Ley Del "Código Penal” (</w:t>
        </w:r>
        <w:proofErr w:type="spellStart"/>
        <w:r>
          <w:rPr>
            <w:color w:val="000080"/>
            <w:sz w:val="20"/>
            <w:szCs w:val="20"/>
            <w:u w:val="single"/>
          </w:rPr>
          <w:t>Asamblea.Gob.Ni</w:t>
        </w:r>
        <w:proofErr w:type="spellEnd"/>
        <w:r>
          <w:rPr>
            <w:color w:val="000080"/>
            <w:sz w:val="20"/>
            <w:szCs w:val="20"/>
            <w:u w:val="single"/>
          </w:rPr>
          <w:t>)</w:t>
        </w:r>
      </w:hyperlink>
      <w:r>
        <w:fldChar w:fldCharType="begin"/>
      </w:r>
      <w:r>
        <w:instrText xml:space="preserve"> HYPERLINK "http://legislacion.asamblea.gob.ni/Normaweb.nsf/($All)/3387522EDDAD4A2F06257D3A00768A5A#:~:text=Que%20el%20objetivo%20de%20la,fortalecer%20una%20cultura%20de%</w:instrText>
      </w:r>
      <w:r>
        <w:instrText xml:space="preserve">20convivencia" </w:instrText>
      </w:r>
      <w:r>
        <w:fldChar w:fldCharType="separate"/>
      </w:r>
    </w:p>
    <w:p w14:paraId="14F897E6" w14:textId="77777777" w:rsidR="00DF4114" w:rsidRDefault="009F7A4D">
      <w:pPr>
        <w:pBdr>
          <w:top w:val="nil"/>
          <w:left w:val="nil"/>
          <w:bottom w:val="nil"/>
          <w:right w:val="nil"/>
          <w:between w:val="nil"/>
        </w:pBdr>
        <w:ind w:left="339" w:hanging="339"/>
        <w:rPr>
          <w:color w:val="000000"/>
          <w:sz w:val="20"/>
          <w:szCs w:val="20"/>
        </w:rPr>
      </w:pPr>
      <w:r>
        <w:fldChar w:fldCharType="end"/>
      </w:r>
    </w:p>
  </w:footnote>
  <w:footnote w:id="2">
    <w:p w14:paraId="1FE81F35" w14:textId="77777777" w:rsidR="00DF4114" w:rsidRDefault="009F7A4D">
      <w:pPr>
        <w:pBdr>
          <w:top w:val="nil"/>
          <w:left w:val="nil"/>
          <w:bottom w:val="nil"/>
          <w:right w:val="nil"/>
          <w:between w:val="nil"/>
        </w:pBdr>
        <w:ind w:left="339" w:hanging="339"/>
        <w:rPr>
          <w:color w:val="000000"/>
          <w:sz w:val="20"/>
          <w:szCs w:val="20"/>
        </w:rPr>
      </w:pPr>
      <w:r>
        <w:rPr>
          <w:vertAlign w:val="superscript"/>
        </w:rPr>
        <w:footnoteRef/>
      </w:r>
      <w:hyperlink r:id="rId2">
        <w:r>
          <w:rPr>
            <w:color w:val="0563C1"/>
            <w:sz w:val="20"/>
            <w:szCs w:val="20"/>
            <w:u w:val="single"/>
          </w:rPr>
          <w:tab/>
          <w:t xml:space="preserve">Código de Familia,  Ley 870 (2014) </w:t>
        </w:r>
      </w:hyperlink>
      <w:r>
        <w:rPr>
          <w:color w:val="000000"/>
          <w:sz w:val="20"/>
          <w:szCs w:val="20"/>
        </w:rPr>
        <w:t xml:space="preserve"> https://www.refworld.org/pdfid/5fd00a954.pdf</w:t>
      </w:r>
    </w:p>
  </w:footnote>
  <w:footnote w:id="3">
    <w:p w14:paraId="27020720" w14:textId="77777777" w:rsidR="00DF4114" w:rsidRDefault="009F7A4D">
      <w:pPr>
        <w:pBdr>
          <w:top w:val="nil"/>
          <w:left w:val="nil"/>
          <w:bottom w:val="nil"/>
          <w:right w:val="nil"/>
          <w:between w:val="nil"/>
        </w:pBdr>
        <w:ind w:left="339" w:hanging="339"/>
        <w:rPr>
          <w:color w:val="000000"/>
          <w:sz w:val="20"/>
          <w:szCs w:val="20"/>
        </w:rPr>
      </w:pPr>
      <w:r>
        <w:rPr>
          <w:vertAlign w:val="superscript"/>
        </w:rPr>
        <w:footnoteRef/>
      </w:r>
      <w:hyperlink r:id="rId3">
        <w:r>
          <w:rPr>
            <w:color w:val="000080"/>
            <w:sz w:val="20"/>
            <w:szCs w:val="20"/>
            <w:u w:val="single"/>
          </w:rPr>
          <w:tab/>
          <w:t>Texto de la Convención sobre los Derechos del Niño | UNICEF</w:t>
        </w:r>
      </w:hyperlink>
      <w:r>
        <w:rPr>
          <w:color w:val="000000"/>
          <w:sz w:val="20"/>
          <w:szCs w:val="20"/>
        </w:rPr>
        <w:t xml:space="preserve"> </w:t>
      </w:r>
    </w:p>
  </w:footnote>
  <w:footnote w:id="4">
    <w:p w14:paraId="13D82C6C" w14:textId="77777777" w:rsidR="00DF4114" w:rsidRDefault="009F7A4D">
      <w:pPr>
        <w:pBdr>
          <w:top w:val="nil"/>
          <w:left w:val="nil"/>
          <w:bottom w:val="nil"/>
          <w:right w:val="nil"/>
          <w:between w:val="nil"/>
        </w:pBdr>
        <w:ind w:left="339" w:hanging="339"/>
        <w:rPr>
          <w:color w:val="000000"/>
          <w:sz w:val="20"/>
          <w:szCs w:val="20"/>
        </w:rPr>
      </w:pPr>
      <w:r>
        <w:rPr>
          <w:vertAlign w:val="superscript"/>
        </w:rPr>
        <w:footnoteRef/>
      </w:r>
      <w:hyperlink r:id="rId4">
        <w:r>
          <w:rPr>
            <w:color w:val="000080"/>
            <w:sz w:val="20"/>
            <w:szCs w:val="20"/>
            <w:u w:val="single"/>
          </w:rPr>
          <w:tab/>
          <w:t>constitucion.pdf (asamblea.gob.ni)</w:t>
        </w:r>
      </w:hyperlink>
      <w:r>
        <w:rPr>
          <w:color w:val="000000"/>
          <w:sz w:val="20"/>
          <w:szCs w:val="20"/>
        </w:rPr>
        <w:t xml:space="preserve"> </w:t>
      </w:r>
    </w:p>
  </w:footnote>
  <w:footnote w:id="5">
    <w:p w14:paraId="672CDDE2" w14:textId="77777777" w:rsidR="00DF4114" w:rsidRDefault="009F7A4D">
      <w:pPr>
        <w:pBdr>
          <w:top w:val="nil"/>
          <w:left w:val="nil"/>
          <w:bottom w:val="nil"/>
          <w:right w:val="nil"/>
          <w:between w:val="nil"/>
        </w:pBdr>
        <w:ind w:left="339" w:hanging="339"/>
        <w:rPr>
          <w:color w:val="000000"/>
          <w:sz w:val="20"/>
          <w:szCs w:val="20"/>
        </w:rPr>
      </w:pPr>
      <w:r>
        <w:rPr>
          <w:vertAlign w:val="superscript"/>
        </w:rPr>
        <w:footnoteRef/>
      </w:r>
      <w:hyperlink r:id="rId5">
        <w:r>
          <w:rPr>
            <w:color w:val="000080"/>
            <w:sz w:val="20"/>
            <w:szCs w:val="20"/>
            <w:u w:val="single"/>
          </w:rPr>
          <w:tab/>
          <w:t>Informe Regional de Desarrollo Humano | Atrapados: Alta desigualdad y bajo crecimiento en América Latina y el Ca</w:t>
        </w:r>
        <w:r>
          <w:rPr>
            <w:color w:val="000080"/>
            <w:sz w:val="20"/>
            <w:szCs w:val="20"/>
            <w:u w:val="single"/>
          </w:rPr>
          <w:t>ribe | PNUD en América Latina y el Caribe (undp.org)</w:t>
        </w:r>
      </w:hyperlink>
      <w:r>
        <w:rPr>
          <w:color w:val="000000"/>
          <w:sz w:val="20"/>
          <w:szCs w:val="20"/>
        </w:rPr>
        <w:t xml:space="preserve"> </w:t>
      </w:r>
    </w:p>
  </w:footnote>
  <w:footnote w:id="6">
    <w:p w14:paraId="3F491F36" w14:textId="77777777" w:rsidR="00DF4114" w:rsidRDefault="009F7A4D">
      <w:pPr>
        <w:pBdr>
          <w:top w:val="nil"/>
          <w:left w:val="nil"/>
          <w:bottom w:val="nil"/>
          <w:right w:val="nil"/>
          <w:between w:val="nil"/>
        </w:pBdr>
        <w:rPr>
          <w:color w:val="000000"/>
          <w:sz w:val="20"/>
          <w:szCs w:val="20"/>
        </w:rPr>
      </w:pPr>
      <w:r>
        <w:rPr>
          <w:vertAlign w:val="superscript"/>
        </w:rPr>
        <w:footnoteRef/>
      </w:r>
      <w:r>
        <w:rPr>
          <w:rFonts w:ascii="Helvetica Neue" w:eastAsia="Helvetica Neue" w:hAnsi="Helvetica Neue" w:cs="Helvetica Neue"/>
          <w:color w:val="000080"/>
          <w:sz w:val="20"/>
          <w:szCs w:val="20"/>
          <w:u w:val="single"/>
        </w:rPr>
        <w:tab/>
        <w:t xml:space="preserve"> Informe de Sistematización Programa de Educación Fundación entre Mujeres, 2010.</w:t>
      </w:r>
    </w:p>
  </w:footnote>
  <w:footnote w:id="7">
    <w:p w14:paraId="733F3AF9" w14:textId="77777777" w:rsidR="00DF4114" w:rsidRDefault="009F7A4D">
      <w:pPr>
        <w:pBdr>
          <w:top w:val="nil"/>
          <w:left w:val="nil"/>
          <w:bottom w:val="nil"/>
          <w:right w:val="nil"/>
          <w:between w:val="nil"/>
        </w:pBdr>
        <w:ind w:left="339" w:hanging="339"/>
        <w:rPr>
          <w:color w:val="000000"/>
          <w:sz w:val="20"/>
          <w:szCs w:val="20"/>
        </w:rPr>
      </w:pPr>
      <w:r>
        <w:rPr>
          <w:vertAlign w:val="superscript"/>
        </w:rPr>
        <w:footnoteRef/>
      </w:r>
      <w:hyperlink r:id="rId6">
        <w:r>
          <w:rPr>
            <w:rFonts w:ascii="Calibri" w:eastAsia="Calibri" w:hAnsi="Calibri" w:cs="Calibri"/>
            <w:color w:val="000080"/>
            <w:sz w:val="22"/>
            <w:szCs w:val="22"/>
            <w:u w:val="single"/>
          </w:rPr>
          <w:tab/>
        </w:r>
        <w:proofErr w:type="spellStart"/>
        <w:r>
          <w:rPr>
            <w:rFonts w:ascii="Calibri" w:eastAsia="Calibri" w:hAnsi="Calibri" w:cs="Calibri"/>
            <w:color w:val="000080"/>
            <w:sz w:val="22"/>
            <w:szCs w:val="22"/>
            <w:u w:val="single"/>
          </w:rPr>
          <w:t>Femicidios</w:t>
        </w:r>
        <w:proofErr w:type="spellEnd"/>
        <w:r>
          <w:rPr>
            <w:rFonts w:ascii="Calibri" w:eastAsia="Calibri" w:hAnsi="Calibri" w:cs="Calibri"/>
            <w:color w:val="000080"/>
            <w:sz w:val="22"/>
            <w:szCs w:val="22"/>
            <w:u w:val="single"/>
          </w:rPr>
          <w:t xml:space="preserve"> y violencia sexual incrementan en la pandemia - Nicaragua (confidencial.com.ni)</w:t>
        </w:r>
      </w:hyperlink>
      <w:r>
        <w:rPr>
          <w:color w:val="000000"/>
          <w:sz w:val="20"/>
          <w:szCs w:val="20"/>
        </w:rPr>
        <w:t xml:space="preserve"> </w:t>
      </w:r>
      <w:hyperlink r:id="rId7">
        <w:r>
          <w:rPr>
            <w:color w:val="000080"/>
            <w:sz w:val="20"/>
            <w:szCs w:val="20"/>
            <w:u w:val="single"/>
          </w:rPr>
          <w:t>Nicaragua y el Covid-19: entre la fa</w:t>
        </w:r>
        <w:r>
          <w:rPr>
            <w:color w:val="000080"/>
            <w:sz w:val="20"/>
            <w:szCs w:val="20"/>
            <w:u w:val="single"/>
          </w:rPr>
          <w:t>lta de información y un Gobierno que anima a aglomerarse (france24.com)</w:t>
        </w:r>
      </w:hyperlink>
    </w:p>
  </w:footnote>
  <w:footnote w:id="8">
    <w:p w14:paraId="5BC652EC" w14:textId="77777777" w:rsidR="00DF4114" w:rsidRDefault="009F7A4D">
      <w:pPr>
        <w:pBdr>
          <w:top w:val="nil"/>
          <w:left w:val="nil"/>
          <w:bottom w:val="nil"/>
          <w:right w:val="nil"/>
          <w:between w:val="nil"/>
        </w:pBdr>
        <w:ind w:left="339" w:hanging="339"/>
        <w:rPr>
          <w:color w:val="000000"/>
          <w:sz w:val="20"/>
          <w:szCs w:val="20"/>
        </w:rPr>
      </w:pPr>
      <w:r>
        <w:rPr>
          <w:vertAlign w:val="superscript"/>
        </w:rPr>
        <w:footnoteRef/>
      </w:r>
      <w:hyperlink r:id="rId8">
        <w:r>
          <w:rPr>
            <w:color w:val="000080"/>
            <w:sz w:val="20"/>
            <w:szCs w:val="20"/>
            <w:u w:val="single"/>
          </w:rPr>
          <w:tab/>
          <w:t>Observatorio Ciudadano – Covid-19 Nicaragua (observatorioni.org)</w:t>
        </w:r>
      </w:hyperlink>
      <w:r>
        <w:rPr>
          <w:color w:val="000000"/>
          <w:sz w:val="20"/>
          <w:szCs w:val="20"/>
        </w:rPr>
        <w:t xml:space="preserve"> </w:t>
      </w:r>
    </w:p>
  </w:footnote>
  <w:footnote w:id="9">
    <w:p w14:paraId="62681A4C" w14:textId="77777777" w:rsidR="00DF4114" w:rsidRDefault="009F7A4D">
      <w:pPr>
        <w:pBdr>
          <w:top w:val="nil"/>
          <w:left w:val="nil"/>
          <w:bottom w:val="nil"/>
          <w:right w:val="nil"/>
          <w:between w:val="nil"/>
        </w:pBdr>
        <w:ind w:left="339" w:hanging="339"/>
        <w:rPr>
          <w:color w:val="000000"/>
          <w:sz w:val="20"/>
          <w:szCs w:val="20"/>
        </w:rPr>
      </w:pPr>
      <w:r>
        <w:rPr>
          <w:vertAlign w:val="superscript"/>
        </w:rPr>
        <w:footnoteRef/>
      </w:r>
      <w:hyperlink r:id="rId9">
        <w:r>
          <w:rPr>
            <w:color w:val="000080"/>
            <w:sz w:val="20"/>
            <w:szCs w:val="20"/>
            <w:u w:val="single"/>
          </w:rPr>
          <w:tab/>
          <w:t>Tragedia en el norte de Nicaragua: más de 300 muertes en dos hospitales por covid-19 ent</w:t>
        </w:r>
        <w:r>
          <w:rPr>
            <w:color w:val="000080"/>
            <w:sz w:val="20"/>
            <w:szCs w:val="20"/>
            <w:u w:val="single"/>
          </w:rPr>
          <w:t>re agosto y septiembre - Confidencial</w:t>
        </w:r>
      </w:hyperlink>
      <w:r>
        <w:rPr>
          <w:color w:val="000000"/>
          <w:sz w:val="20"/>
          <w:szCs w:val="20"/>
        </w:rPr>
        <w:t xml:space="preserve"> </w:t>
      </w:r>
    </w:p>
  </w:footnote>
  <w:footnote w:id="10">
    <w:p w14:paraId="4EC5CB65" w14:textId="77777777" w:rsidR="00DF4114" w:rsidRDefault="009F7A4D">
      <w:pPr>
        <w:pBdr>
          <w:top w:val="nil"/>
          <w:left w:val="nil"/>
          <w:bottom w:val="nil"/>
          <w:right w:val="nil"/>
          <w:between w:val="nil"/>
        </w:pBdr>
        <w:ind w:left="339" w:hanging="339"/>
        <w:rPr>
          <w:color w:val="000000"/>
          <w:sz w:val="20"/>
          <w:szCs w:val="20"/>
        </w:rPr>
      </w:pPr>
      <w:r>
        <w:rPr>
          <w:vertAlign w:val="superscript"/>
        </w:rPr>
        <w:footnoteRef/>
      </w:r>
      <w:hyperlink r:id="rId10">
        <w:r>
          <w:rPr>
            <w:color w:val="000080"/>
            <w:sz w:val="20"/>
            <w:szCs w:val="20"/>
            <w:u w:val="single"/>
          </w:rPr>
          <w:tab/>
        </w:r>
        <w:proofErr w:type="spellStart"/>
        <w:r>
          <w:rPr>
            <w:color w:val="000080"/>
            <w:sz w:val="20"/>
            <w:szCs w:val="20"/>
            <w:u w:val="single"/>
          </w:rPr>
          <w:t>Minsa</w:t>
        </w:r>
        <w:proofErr w:type="spellEnd"/>
        <w:r>
          <w:rPr>
            <w:color w:val="000080"/>
            <w:sz w:val="20"/>
            <w:szCs w:val="20"/>
            <w:u w:val="single"/>
          </w:rPr>
          <w:t>: 73% de personas con VIH en Nicaragua tienen menos de 40 años (canal2tv.com)</w:t>
        </w:r>
      </w:hyperlink>
      <w:r>
        <w:rPr>
          <w:color w:val="000000"/>
          <w:sz w:val="20"/>
          <w:szCs w:val="20"/>
        </w:rPr>
        <w:t xml:space="preserve"> </w:t>
      </w:r>
    </w:p>
  </w:footnote>
  <w:footnote w:id="11">
    <w:p w14:paraId="1518D037" w14:textId="77777777" w:rsidR="00DF4114" w:rsidRDefault="009F7A4D">
      <w:pPr>
        <w:pBdr>
          <w:top w:val="nil"/>
          <w:left w:val="nil"/>
          <w:bottom w:val="nil"/>
          <w:right w:val="nil"/>
          <w:between w:val="nil"/>
        </w:pBdr>
        <w:ind w:left="339" w:hanging="339"/>
        <w:rPr>
          <w:color w:val="000000"/>
          <w:sz w:val="20"/>
          <w:szCs w:val="20"/>
        </w:rPr>
      </w:pPr>
      <w:r>
        <w:rPr>
          <w:vertAlign w:val="superscript"/>
        </w:rPr>
        <w:footnoteRef/>
      </w:r>
      <w:hyperlink r:id="rId11">
        <w:r>
          <w:rPr>
            <w:color w:val="000080"/>
            <w:sz w:val="20"/>
            <w:szCs w:val="20"/>
            <w:u w:val="single"/>
          </w:rPr>
          <w:tab/>
          <w:t>Nosotras-Sabemos-Nosotras-podemos-1.pdf (icwlatina.org)</w:t>
        </w:r>
      </w:hyperlink>
      <w:r>
        <w:rPr>
          <w:color w:val="000000"/>
          <w:sz w:val="20"/>
          <w:szCs w:val="20"/>
        </w:rPr>
        <w:t xml:space="preserve"> </w:t>
      </w:r>
    </w:p>
  </w:footnote>
  <w:footnote w:id="12">
    <w:p w14:paraId="73F87E62" w14:textId="77777777" w:rsidR="00DF4114" w:rsidRDefault="009F7A4D">
      <w:pPr>
        <w:pBdr>
          <w:top w:val="nil"/>
          <w:left w:val="nil"/>
          <w:bottom w:val="nil"/>
          <w:right w:val="nil"/>
          <w:between w:val="nil"/>
        </w:pBdr>
        <w:rPr>
          <w:color w:val="000000"/>
          <w:sz w:val="20"/>
          <w:szCs w:val="20"/>
        </w:rPr>
      </w:pPr>
      <w:r>
        <w:rPr>
          <w:vertAlign w:val="superscript"/>
        </w:rPr>
        <w:footnoteRef/>
      </w:r>
      <w:r>
        <w:rPr>
          <w:rFonts w:ascii="Calibri" w:eastAsia="Calibri" w:hAnsi="Calibri" w:cs="Calibri"/>
          <w:color w:val="000080"/>
          <w:sz w:val="20"/>
          <w:szCs w:val="20"/>
          <w:u w:val="single"/>
        </w:rPr>
        <w:tab/>
        <w:t>Ley de Reforma y Adición a la Ley 641 Código Penal, versión electrónica</w:t>
      </w:r>
    </w:p>
    <w:p w14:paraId="1F155C7B" w14:textId="77777777" w:rsidR="00DF4114" w:rsidRDefault="009F7A4D">
      <w:pPr>
        <w:pBdr>
          <w:top w:val="nil"/>
          <w:left w:val="nil"/>
          <w:bottom w:val="nil"/>
          <w:right w:val="nil"/>
          <w:between w:val="nil"/>
        </w:pBdr>
        <w:rPr>
          <w:color w:val="000000"/>
          <w:sz w:val="20"/>
          <w:szCs w:val="20"/>
        </w:rPr>
      </w:pPr>
      <w:r>
        <w:rPr>
          <w:rFonts w:ascii="Calibri" w:eastAsia="Calibri" w:hAnsi="Calibri" w:cs="Calibri"/>
          <w:color w:val="000080"/>
          <w:sz w:val="20"/>
          <w:szCs w:val="20"/>
          <w:u w:val="single"/>
        </w:rPr>
        <w:tab/>
        <w:t>Balance Alternativo Plataforma de Acción Mundial, Beijing+15, pág</w:t>
      </w:r>
      <w:r>
        <w:rPr>
          <w:rFonts w:ascii="Calibri" w:eastAsia="Calibri" w:hAnsi="Calibri" w:cs="Calibri"/>
          <w:color w:val="000080"/>
          <w:sz w:val="20"/>
          <w:szCs w:val="20"/>
          <w:u w:val="single"/>
        </w:rPr>
        <w:t>. 10-13, marzo 2010.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A0A89"/>
    <w:multiLevelType w:val="hybridMultilevel"/>
    <w:tmpl w:val="BC34BD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89663F"/>
    <w:multiLevelType w:val="hybridMultilevel"/>
    <w:tmpl w:val="97A40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C9D57AD"/>
    <w:multiLevelType w:val="multilevel"/>
    <w:tmpl w:val="B5646EB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7FA5CFC"/>
    <w:multiLevelType w:val="multilevel"/>
    <w:tmpl w:val="E9283AA8"/>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5D6A77D0"/>
    <w:multiLevelType w:val="multilevel"/>
    <w:tmpl w:val="66646194"/>
    <w:lvl w:ilvl="0">
      <w:start w:val="1"/>
      <w:numFmt w:val="upperRoman"/>
      <w:lvlText w:val="%1."/>
      <w:lvlJc w:val="right"/>
      <w:pPr>
        <w:ind w:left="720" w:hanging="360"/>
      </w:pPr>
    </w:lvl>
    <w:lvl w:ilvl="1">
      <w:start w:val="1"/>
      <w:numFmt w:val="upperLetter"/>
      <w:lvlText w:val="%2."/>
      <w:lvlJc w:val="left"/>
      <w:pPr>
        <w:ind w:left="720" w:hanging="36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5" w15:restartNumberingAfterBreak="0">
    <w:nsid w:val="790C080A"/>
    <w:multiLevelType w:val="multilevel"/>
    <w:tmpl w:val="46B29D9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4"/>
  </w:num>
  <w:num w:numId="3">
    <w:abstractNumId w:val="5"/>
  </w:num>
  <w:num w:numId="4">
    <w:abstractNumId w:val="0"/>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4114"/>
    <w:rsid w:val="00517434"/>
    <w:rsid w:val="005F7180"/>
    <w:rsid w:val="008039BB"/>
    <w:rsid w:val="009811EE"/>
    <w:rsid w:val="009F7A4D"/>
    <w:rsid w:val="00DF4114"/>
    <w:rsid w:val="00E47BE4"/>
    <w:rsid w:val="00F60794"/>
  </w:rsids>
  <m:mathPr>
    <m:mathFont m:val="Cambria Math"/>
    <m:brkBin m:val="before"/>
    <m:brkBinSub m:val="--"/>
    <m:smallFrac m:val="0"/>
    <m:dispDef/>
    <m:lMargin m:val="0"/>
    <m:rMargin m:val="0"/>
    <m:defJc m:val="centerGroup"/>
    <m:wrapIndent m:val="1440"/>
    <m:intLim m:val="subSup"/>
    <m:naryLim m:val="undOvr"/>
  </m:mathPr>
  <w:themeFontLang w:val="en-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EFFDFC"/>
  <w15:docId w15:val="{6735275B-2239-9B48-9D12-4F9837BC5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Liberation Serif" w:hAnsi="Liberation Serif" w:cs="Liberation Serif"/>
        <w:sz w:val="24"/>
        <w:szCs w:val="24"/>
        <w:lang w:val="es-ES"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top w:val="nil"/>
        <w:left w:val="nil"/>
        <w:bottom w:val="nil"/>
        <w:right w:val="nil"/>
        <w:between w:val="nil"/>
      </w:pBdr>
      <w:spacing w:before="240"/>
      <w:ind w:left="720" w:hanging="360"/>
      <w:jc w:val="both"/>
      <w:outlineLvl w:val="0"/>
    </w:pPr>
    <w:rPr>
      <w:rFonts w:ascii="Calibri" w:eastAsia="Calibri" w:hAnsi="Calibri" w:cs="Calibri"/>
      <w:color w:val="2F5496"/>
      <w:sz w:val="32"/>
      <w:szCs w:val="32"/>
    </w:rPr>
  </w:style>
  <w:style w:type="paragraph" w:styleId="Heading2">
    <w:name w:val="heading 2"/>
    <w:basedOn w:val="Normal"/>
    <w:next w:val="Normal"/>
    <w:uiPriority w:val="9"/>
    <w:unhideWhenUsed/>
    <w:qFormat/>
    <w:pPr>
      <w:keepNext/>
      <w:keepLines/>
      <w:pBdr>
        <w:top w:val="nil"/>
        <w:left w:val="nil"/>
        <w:bottom w:val="nil"/>
        <w:right w:val="nil"/>
        <w:between w:val="nil"/>
      </w:pBdr>
      <w:spacing w:before="40"/>
      <w:ind w:left="720" w:hanging="360"/>
      <w:jc w:val="both"/>
      <w:outlineLvl w:val="1"/>
    </w:pPr>
    <w:rPr>
      <w:rFonts w:ascii="Calibri" w:eastAsia="Calibri" w:hAnsi="Calibri" w:cs="Calibri"/>
      <w:color w:val="2F5496"/>
      <w:sz w:val="26"/>
      <w:szCs w:val="26"/>
    </w:rPr>
  </w:style>
  <w:style w:type="paragraph" w:styleId="Heading3">
    <w:name w:val="heading 3"/>
    <w:basedOn w:val="Normal"/>
    <w:next w:val="Normal"/>
    <w:uiPriority w:val="9"/>
    <w:unhideWhenUsed/>
    <w:qFormat/>
    <w:pPr>
      <w:keepNext/>
      <w:keepLines/>
      <w:pBdr>
        <w:top w:val="nil"/>
        <w:left w:val="nil"/>
        <w:bottom w:val="nil"/>
        <w:right w:val="nil"/>
        <w:between w:val="nil"/>
      </w:pBdr>
      <w:spacing w:before="40"/>
      <w:jc w:val="both"/>
      <w:outlineLvl w:val="2"/>
    </w:pPr>
    <w:rPr>
      <w:rFonts w:ascii="Calibri" w:eastAsia="Calibri" w:hAnsi="Calibri" w:cs="Calibri"/>
      <w:color w:val="1F3763"/>
    </w:rPr>
  </w:style>
  <w:style w:type="paragraph" w:styleId="Heading4">
    <w:name w:val="heading 4"/>
    <w:basedOn w:val="Normal"/>
    <w:next w:val="Normal"/>
    <w:uiPriority w:val="9"/>
    <w:unhideWhenUsed/>
    <w:qFormat/>
    <w:pPr>
      <w:keepNext/>
      <w:keepLines/>
      <w:pBdr>
        <w:top w:val="nil"/>
        <w:left w:val="nil"/>
        <w:bottom w:val="nil"/>
        <w:right w:val="nil"/>
        <w:between w:val="nil"/>
      </w:pBdr>
      <w:spacing w:before="40"/>
      <w:jc w:val="both"/>
      <w:outlineLvl w:val="3"/>
    </w:pPr>
    <w:rPr>
      <w:rFonts w:ascii="Calibri" w:eastAsia="Calibri" w:hAnsi="Calibri" w:cs="Calibri"/>
      <w:i/>
      <w:color w:val="2F5496"/>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before="40"/>
      <w:jc w:val="both"/>
      <w:outlineLvl w:val="4"/>
    </w:pPr>
    <w:rPr>
      <w:rFonts w:ascii="Calibri" w:eastAsia="Calibri" w:hAnsi="Calibri" w:cs="Calibri"/>
      <w:color w:val="2F5496"/>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before="40"/>
      <w:jc w:val="both"/>
      <w:outlineLvl w:val="5"/>
    </w:pPr>
    <w:rPr>
      <w:rFonts w:ascii="Calibri" w:eastAsia="Calibri" w:hAnsi="Calibri" w:cs="Calibri"/>
      <w:color w:val="1F376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pBdr>
        <w:top w:val="nil"/>
        <w:left w:val="nil"/>
        <w:bottom w:val="nil"/>
        <w:right w:val="nil"/>
        <w:between w:val="nil"/>
      </w:pBdr>
      <w:jc w:val="both"/>
    </w:pPr>
    <w:rPr>
      <w:rFonts w:ascii="Calibri" w:eastAsia="Calibri" w:hAnsi="Calibri" w:cs="Calibri"/>
      <w:color w:val="000000"/>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8039BB"/>
    <w:pPr>
      <w:ind w:left="720"/>
      <w:contextualSpacing/>
    </w:pPr>
  </w:style>
  <w:style w:type="paragraph" w:styleId="NormalWeb">
    <w:name w:val="Normal (Web)"/>
    <w:basedOn w:val="Normal"/>
    <w:uiPriority w:val="99"/>
    <w:unhideWhenUsed/>
    <w:rsid w:val="005F7180"/>
    <w:pPr>
      <w:spacing w:before="100" w:beforeAutospacing="1" w:after="100" w:afterAutospacing="1"/>
    </w:pPr>
    <w:rPr>
      <w:rFonts w:ascii="Times New Roman" w:eastAsia="Times New Roman" w:hAnsi="Times New Roman" w:cs="Times New Roman"/>
      <w:lang w:val="en-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10290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8" Type="http://schemas.openxmlformats.org/officeDocument/2006/relationships/hyperlink" Target="https://observatorioni.org/" TargetMode="External"/><Relationship Id="rId3" Type="http://schemas.openxmlformats.org/officeDocument/2006/relationships/hyperlink" Target="https://www.unicef.org/es/convencion-derechos-nino/texto-convencion" TargetMode="External"/><Relationship Id="rId7" Type="http://schemas.openxmlformats.org/officeDocument/2006/relationships/hyperlink" Target="https://www.france24.com/es/20200914-nicaragua-seis-meses-pandemia-covid-19-falta-informacion" TargetMode="External"/><Relationship Id="rId2" Type="http://schemas.openxmlformats.org/officeDocument/2006/relationships/hyperlink" Target="http://./C%C3%B3digo%20de%20Familia,%20%20Ley%20870%20(2014)%20" TargetMode="External"/><Relationship Id="rId1" Type="http://schemas.openxmlformats.org/officeDocument/2006/relationships/hyperlink" Target="http://legislacion.asamblea.gob.ni/Normaweb.nsf/($All)/3387522EDDAD4A2F06257D3A00768A5A" TargetMode="External"/><Relationship Id="rId6" Type="http://schemas.openxmlformats.org/officeDocument/2006/relationships/hyperlink" Target="https://www.confidencial.com.ni/nacion/femicidios-y-violencia-sexual-incrementan-durante-la-pandemia-de-covid-19/" TargetMode="External"/><Relationship Id="rId11" Type="http://schemas.openxmlformats.org/officeDocument/2006/relationships/hyperlink" Target="http://icwlatina.org/wp-content/uploads/2021/09/Nosotras-Sabemos-Nosotras-podemos-1.pdf" TargetMode="External"/><Relationship Id="rId5" Type="http://schemas.openxmlformats.org/officeDocument/2006/relationships/hyperlink" Target="https://www.latinamerica.undp.org/content/rblac/es/home/library/human_development/regional-human-development-report-2021.html" TargetMode="External"/><Relationship Id="rId10" Type="http://schemas.openxmlformats.org/officeDocument/2006/relationships/hyperlink" Target="https://canal2tv.com/nacionales/minsa-personas-vih-nicaragua/" TargetMode="External"/><Relationship Id="rId4" Type="http://schemas.openxmlformats.org/officeDocument/2006/relationships/hyperlink" Target="https://www.asamblea.gob.ni/assets/constitucion.pdf" TargetMode="External"/><Relationship Id="rId9" Type="http://schemas.openxmlformats.org/officeDocument/2006/relationships/hyperlink" Target="https://www.confidencial.com.ni/nacion/tragedia-en-el-norte-de-nicaragua-mas-de-300-muertes-en-dos-hospitales-por-covid-19-entre-agosto-y-septiemb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FD2111-4FF0-4986-82EC-2A85775F0AC0}"/>
</file>

<file path=customXml/itemProps2.xml><?xml version="1.0" encoding="utf-8"?>
<ds:datastoreItem xmlns:ds="http://schemas.openxmlformats.org/officeDocument/2006/customXml" ds:itemID="{6E4232C1-C07A-4554-B981-BE24DE642502}"/>
</file>

<file path=customXml/itemProps3.xml><?xml version="1.0" encoding="utf-8"?>
<ds:datastoreItem xmlns:ds="http://schemas.openxmlformats.org/officeDocument/2006/customXml" ds:itemID="{4E48ADAF-DFCD-4E15-89E2-FED163539221}"/>
</file>

<file path=docProps/app.xml><?xml version="1.0" encoding="utf-8"?>
<Properties xmlns="http://schemas.openxmlformats.org/officeDocument/2006/extended-properties" xmlns:vt="http://schemas.openxmlformats.org/officeDocument/2006/docPropsVTypes">
  <Template>Normal.dotm</Template>
  <TotalTime>39</TotalTime>
  <Pages>13</Pages>
  <Words>6091</Words>
  <Characters>34724</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Juan S. Jaime P.</cp:lastModifiedBy>
  <cp:revision>4</cp:revision>
  <dcterms:created xsi:type="dcterms:W3CDTF">2021-09-20T15:36:00Z</dcterms:created>
  <dcterms:modified xsi:type="dcterms:W3CDTF">2021-09-20T16:29:00Z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