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CF7" w:rsidRDefault="00C6167C">
      <w:pPr>
        <w:jc w:val="center"/>
      </w:pPr>
      <w:bookmarkStart w:id="0" w:name="_GoBack"/>
      <w:bookmarkEnd w:id="0"/>
      <w:r>
        <w:rPr>
          <w:sz w:val="60"/>
          <w:szCs w:val="60"/>
        </w:rPr>
        <w:t xml:space="preserve">Convention on the Rights of the Child </w:t>
      </w:r>
      <w:r w:rsidR="00DC00C9">
        <w:rPr>
          <w:sz w:val="60"/>
          <w:szCs w:val="60"/>
        </w:rPr>
        <w:t>Alternative</w:t>
      </w:r>
      <w:r>
        <w:rPr>
          <w:sz w:val="60"/>
          <w:szCs w:val="60"/>
        </w:rPr>
        <w:t xml:space="preserve"> Report Submission: </w:t>
      </w:r>
      <w:r>
        <w:rPr>
          <w:b/>
          <w:sz w:val="60"/>
          <w:szCs w:val="60"/>
        </w:rPr>
        <w:t>Indigenous Children’s Rights Violations in Botswana</w:t>
      </w:r>
      <w:r>
        <w:t xml:space="preserve"> </w:t>
      </w:r>
      <w:r>
        <w:br/>
      </w:r>
      <w:r>
        <w:rPr>
          <w:sz w:val="40"/>
          <w:szCs w:val="40"/>
        </w:rPr>
        <w:t xml:space="preserve">November 2018 </w:t>
      </w:r>
      <w:r>
        <w:br/>
      </w:r>
      <w:r>
        <w:rPr>
          <w:sz w:val="40"/>
          <w:szCs w:val="40"/>
        </w:rPr>
        <w:t>Prepared for the 81</w:t>
      </w:r>
      <w:r>
        <w:rPr>
          <w:sz w:val="40"/>
          <w:szCs w:val="40"/>
          <w:vertAlign w:val="superscript"/>
        </w:rPr>
        <w:t>st</w:t>
      </w:r>
      <w:r>
        <w:rPr>
          <w:sz w:val="40"/>
          <w:szCs w:val="40"/>
        </w:rPr>
        <w:t xml:space="preserve"> session</w:t>
      </w:r>
    </w:p>
    <w:p w:rsidR="009F7CF7" w:rsidRDefault="009F7CF7">
      <w:pPr>
        <w:jc w:val="center"/>
        <w:rPr>
          <w:sz w:val="48"/>
          <w:szCs w:val="48"/>
        </w:rPr>
      </w:pPr>
    </w:p>
    <w:p w:rsidR="009F7CF7" w:rsidRDefault="009F7CF7">
      <w:pPr>
        <w:jc w:val="center"/>
        <w:rPr>
          <w:sz w:val="48"/>
          <w:szCs w:val="48"/>
        </w:rPr>
      </w:pPr>
    </w:p>
    <w:p w:rsidR="009F7CF7" w:rsidRDefault="009F7CF7">
      <w:pPr>
        <w:jc w:val="center"/>
        <w:rPr>
          <w:sz w:val="48"/>
          <w:szCs w:val="48"/>
        </w:rPr>
      </w:pPr>
    </w:p>
    <w:p w:rsidR="009F7CF7" w:rsidRDefault="009F7CF7">
      <w:pPr>
        <w:jc w:val="center"/>
        <w:rPr>
          <w:sz w:val="48"/>
          <w:szCs w:val="48"/>
        </w:rPr>
      </w:pPr>
    </w:p>
    <w:p w:rsidR="009F7CF7" w:rsidRDefault="009F7CF7">
      <w:pPr>
        <w:jc w:val="center"/>
        <w:rPr>
          <w:sz w:val="48"/>
          <w:szCs w:val="48"/>
        </w:rPr>
      </w:pPr>
    </w:p>
    <w:p w:rsidR="009F7CF7" w:rsidRDefault="009F7CF7">
      <w:pPr>
        <w:jc w:val="center"/>
        <w:rPr>
          <w:sz w:val="48"/>
          <w:szCs w:val="48"/>
        </w:rPr>
      </w:pPr>
    </w:p>
    <w:p w:rsidR="009F7CF7" w:rsidRDefault="009F7CF7">
      <w:pPr>
        <w:jc w:val="center"/>
        <w:rPr>
          <w:sz w:val="48"/>
          <w:szCs w:val="48"/>
        </w:rPr>
      </w:pPr>
    </w:p>
    <w:p w:rsidR="009F7CF7" w:rsidRDefault="009F7CF7"/>
    <w:p w:rsidR="009F7CF7" w:rsidRDefault="009F7CF7"/>
    <w:p w:rsidR="009F7CF7" w:rsidRDefault="00C6167C">
      <w:r>
        <w:t xml:space="preserve">Submitted by: Cultural Survival </w:t>
      </w:r>
      <w:r>
        <w:br/>
        <w:t xml:space="preserve">2067 Massachusetts Avenue </w:t>
      </w:r>
      <w:r>
        <w:br/>
        <w:t xml:space="preserve">Cambridge, MA 02140 </w:t>
      </w:r>
      <w:r>
        <w:br/>
        <w:t xml:space="preserve">Tel: 1 (617) 441 5400 </w:t>
      </w:r>
      <w:r>
        <w:br/>
        <w:t xml:space="preserve">agnes@culturalsurvival.org </w:t>
      </w:r>
      <w:r>
        <w:br/>
      </w:r>
      <w:hyperlink r:id="rId7">
        <w:r>
          <w:rPr>
            <w:color w:val="0563C1"/>
            <w:u w:val="single"/>
          </w:rPr>
          <w:t>www.culturalsurvival.org</w:t>
        </w:r>
      </w:hyperlink>
      <w:r>
        <w:t xml:space="preserve"> </w:t>
      </w:r>
    </w:p>
    <w:p w:rsidR="009F7CF7" w:rsidRDefault="00C6167C">
      <w:pPr>
        <w:rPr>
          <w:b/>
          <w:sz w:val="24"/>
          <w:szCs w:val="24"/>
        </w:rPr>
      </w:pPr>
      <w:r>
        <w:rPr>
          <w:b/>
          <w:sz w:val="24"/>
          <w:szCs w:val="24"/>
        </w:rPr>
        <w:lastRenderedPageBreak/>
        <w:t xml:space="preserve">Convention on the Rights of the Child Alternative Report Submission: </w:t>
      </w:r>
      <w:r>
        <w:rPr>
          <w:sz w:val="24"/>
          <w:szCs w:val="24"/>
        </w:rPr>
        <w:br/>
      </w:r>
      <w:r>
        <w:rPr>
          <w:b/>
          <w:sz w:val="24"/>
          <w:szCs w:val="24"/>
        </w:rPr>
        <w:t>Violations of Indigenous Children’s Rights in Botswana</w:t>
      </w:r>
      <w:r>
        <w:rPr>
          <w:b/>
          <w:sz w:val="24"/>
          <w:szCs w:val="24"/>
        </w:rPr>
        <w:br/>
      </w:r>
    </w:p>
    <w:p w:rsidR="009F7CF7" w:rsidRDefault="00C6167C">
      <w:pPr>
        <w:numPr>
          <w:ilvl w:val="0"/>
          <w:numId w:val="5"/>
        </w:numPr>
        <w:pBdr>
          <w:top w:val="nil"/>
          <w:left w:val="nil"/>
          <w:bottom w:val="nil"/>
          <w:right w:val="nil"/>
          <w:between w:val="nil"/>
        </w:pBdr>
        <w:contextualSpacing/>
        <w:rPr>
          <w:color w:val="000000"/>
          <w:sz w:val="24"/>
          <w:szCs w:val="24"/>
        </w:rPr>
      </w:pPr>
      <w:r>
        <w:rPr>
          <w:b/>
          <w:color w:val="000000"/>
          <w:sz w:val="24"/>
          <w:szCs w:val="24"/>
        </w:rPr>
        <w:t>Reporting Organization</w:t>
      </w:r>
    </w:p>
    <w:p w:rsidR="009F7CF7" w:rsidRDefault="00C6167C">
      <w:pPr>
        <w:rPr>
          <w:sz w:val="24"/>
          <w:szCs w:val="24"/>
        </w:rPr>
      </w:pPr>
      <w:r>
        <w:rPr>
          <w:sz w:val="24"/>
          <w:szCs w:val="24"/>
        </w:rPr>
        <w:br/>
        <w:t xml:space="preserve">Cultural Survival is an international Indigenous rights organization with a global Indigenous leadership and consultative status with ECOSOC since 2005. Cultural Survival is located in Cambridge, Massachusetts, and is registered as a 501(c)(3) non-profit organization in the United States. Cultural Survival monitors the protection of Indigenous Peoples' rights in countries throughout the world and publishes its findings in its magazine, the Cultural Survival Quarterly; and on its website: </w:t>
      </w:r>
      <w:hyperlink r:id="rId8">
        <w:r>
          <w:rPr>
            <w:color w:val="0563C1"/>
            <w:sz w:val="24"/>
            <w:szCs w:val="24"/>
            <w:u w:val="single"/>
          </w:rPr>
          <w:t>www.cs.org</w:t>
        </w:r>
      </w:hyperlink>
      <w:r>
        <w:rPr>
          <w:sz w:val="24"/>
          <w:szCs w:val="24"/>
        </w:rPr>
        <w:t>.</w:t>
      </w:r>
      <w:r>
        <w:rPr>
          <w:sz w:val="24"/>
          <w:szCs w:val="24"/>
        </w:rPr>
        <w:br/>
      </w:r>
    </w:p>
    <w:p w:rsidR="009F7CF7" w:rsidRDefault="00C6167C">
      <w:pPr>
        <w:numPr>
          <w:ilvl w:val="0"/>
          <w:numId w:val="5"/>
        </w:numPr>
        <w:pBdr>
          <w:top w:val="nil"/>
          <w:left w:val="nil"/>
          <w:bottom w:val="nil"/>
          <w:right w:val="nil"/>
          <w:between w:val="nil"/>
        </w:pBdr>
        <w:contextualSpacing/>
        <w:rPr>
          <w:color w:val="000000"/>
          <w:sz w:val="24"/>
          <w:szCs w:val="24"/>
        </w:rPr>
      </w:pPr>
      <w:r>
        <w:rPr>
          <w:b/>
          <w:color w:val="000000"/>
          <w:sz w:val="24"/>
          <w:szCs w:val="24"/>
        </w:rPr>
        <w:t>Background Information</w:t>
      </w:r>
    </w:p>
    <w:p w:rsidR="009F7CF7" w:rsidRDefault="00C6167C">
      <w:pPr>
        <w:rPr>
          <w:sz w:val="24"/>
          <w:szCs w:val="24"/>
        </w:rPr>
      </w:pPr>
      <w:r>
        <w:rPr>
          <w:sz w:val="24"/>
          <w:szCs w:val="24"/>
        </w:rPr>
        <w:br/>
        <w:t>The population of Botswana is a little over 2,200,000 and approximately 3.3% of the population considers itself Indigenous. The Tswana are the largest ethnic group within Botswana; forming the majority of the people of Botswana and the dominant culture of Botswana. The largest Indigenous group are the San, also called the Basarwa. As of the summer of 2015, there were 62,500 San living in Botswana. The San are perceived to be largely hunter-gatherers, but in reality the San make a living in a number of different ways including agro-pastoralism. Many San live in eastern Botswana and in the Kalahari Desert, in both rural and urban areas. There are more than 15 sub-divisions within the San, each with their own languages and unique aspects of their cultures.</w:t>
      </w:r>
      <w:r>
        <w:rPr>
          <w:sz w:val="24"/>
          <w:szCs w:val="24"/>
          <w:vertAlign w:val="superscript"/>
        </w:rPr>
        <w:footnoteReference w:id="1"/>
      </w:r>
      <w:r>
        <w:rPr>
          <w:sz w:val="24"/>
          <w:szCs w:val="24"/>
        </w:rPr>
        <w:br/>
      </w:r>
      <w:r>
        <w:rPr>
          <w:sz w:val="24"/>
          <w:szCs w:val="24"/>
        </w:rPr>
        <w:br/>
        <w:t>Other Indigenous Peoples in Botswana include the Balala, who number approximately 1,700, and the Nama, who number approximately 2,100. They live in southern Botswana and speak Khoekhoe.</w:t>
      </w:r>
      <w:r>
        <w:rPr>
          <w:sz w:val="24"/>
          <w:szCs w:val="24"/>
          <w:vertAlign w:val="superscript"/>
        </w:rPr>
        <w:footnoteReference w:id="2"/>
      </w:r>
      <w:r>
        <w:rPr>
          <w:sz w:val="24"/>
          <w:szCs w:val="24"/>
        </w:rPr>
        <w:t xml:space="preserve"> The Nama (who also live in South Africa and Namibia) are the largest group of the Khoikhoi people.</w:t>
      </w:r>
      <w:r>
        <w:rPr>
          <w:sz w:val="24"/>
          <w:szCs w:val="24"/>
          <w:vertAlign w:val="superscript"/>
        </w:rPr>
        <w:footnoteReference w:id="3"/>
      </w:r>
      <w:r>
        <w:rPr>
          <w:sz w:val="24"/>
          <w:szCs w:val="24"/>
        </w:rPr>
        <w:br/>
      </w:r>
      <w:r>
        <w:rPr>
          <w:sz w:val="24"/>
          <w:szCs w:val="24"/>
        </w:rPr>
        <w:br/>
        <w:t>Botswana voted in favor and adopted the UN Declaration on the Rights of Indigenous Peoples, but the government has failed to recognize any Indigenous Peoples within its borders.</w:t>
      </w:r>
      <w:r>
        <w:rPr>
          <w:sz w:val="24"/>
          <w:szCs w:val="24"/>
          <w:vertAlign w:val="superscript"/>
        </w:rPr>
        <w:footnoteReference w:id="4"/>
      </w:r>
      <w:r>
        <w:rPr>
          <w:sz w:val="24"/>
          <w:szCs w:val="24"/>
        </w:rPr>
        <w:t xml:space="preserve"> Though Botswana does not recognize any Indigenous Peoples, the Constitution does recognize the diverse minority ethnic groups that make up the country; including the Basarwa.</w:t>
      </w:r>
      <w:r>
        <w:rPr>
          <w:sz w:val="24"/>
          <w:szCs w:val="24"/>
          <w:vertAlign w:val="superscript"/>
        </w:rPr>
        <w:footnoteReference w:id="5"/>
      </w:r>
      <w:r>
        <w:rPr>
          <w:sz w:val="24"/>
          <w:szCs w:val="24"/>
        </w:rPr>
        <w:t xml:space="preserve"> </w:t>
      </w:r>
      <w:r>
        <w:rPr>
          <w:sz w:val="24"/>
          <w:szCs w:val="24"/>
        </w:rPr>
        <w:br/>
      </w:r>
      <w:r>
        <w:rPr>
          <w:sz w:val="24"/>
          <w:szCs w:val="24"/>
        </w:rPr>
        <w:lastRenderedPageBreak/>
        <w:br/>
        <w:t>Botswana became a party to the Convention on the Rights of the Child in 1995.</w:t>
      </w:r>
      <w:r>
        <w:rPr>
          <w:sz w:val="24"/>
          <w:szCs w:val="24"/>
          <w:vertAlign w:val="superscript"/>
        </w:rPr>
        <w:footnoteReference w:id="6"/>
      </w:r>
      <w:r>
        <w:rPr>
          <w:sz w:val="24"/>
          <w:szCs w:val="24"/>
        </w:rPr>
        <w:t xml:space="preserve"> According to UNICEF, despite significant gains for children since the adoption of the Convention on the Rights of the Child, in general the world has not delivered upon its commitments to Indigenous Children. Whether they live in low-, middle- or high-income countries, Indigenous Children continue to face glaring disparities across all human development indicators.</w:t>
      </w:r>
      <w:r>
        <w:rPr>
          <w:sz w:val="24"/>
          <w:szCs w:val="24"/>
          <w:vertAlign w:val="superscript"/>
        </w:rPr>
        <w:footnoteReference w:id="7"/>
      </w:r>
      <w:r>
        <w:rPr>
          <w:sz w:val="24"/>
          <w:szCs w:val="24"/>
        </w:rPr>
        <w:br/>
      </w:r>
    </w:p>
    <w:p w:rsidR="009F7CF7" w:rsidRDefault="00C6167C">
      <w:pPr>
        <w:numPr>
          <w:ilvl w:val="0"/>
          <w:numId w:val="5"/>
        </w:numPr>
        <w:pBdr>
          <w:top w:val="nil"/>
          <w:left w:val="nil"/>
          <w:bottom w:val="nil"/>
          <w:right w:val="nil"/>
          <w:between w:val="nil"/>
        </w:pBdr>
        <w:contextualSpacing/>
        <w:rPr>
          <w:color w:val="000000"/>
          <w:sz w:val="24"/>
          <w:szCs w:val="24"/>
        </w:rPr>
      </w:pPr>
      <w:r>
        <w:rPr>
          <w:b/>
          <w:color w:val="000000"/>
          <w:sz w:val="24"/>
          <w:szCs w:val="24"/>
        </w:rPr>
        <w:t>Ongoing Rights Violations</w:t>
      </w:r>
    </w:p>
    <w:p w:rsidR="009F7CF7" w:rsidRDefault="00C6167C">
      <w:pPr>
        <w:rPr>
          <w:sz w:val="24"/>
          <w:szCs w:val="24"/>
        </w:rPr>
      </w:pPr>
      <w:bookmarkStart w:id="1" w:name="_gjdgxs" w:colFirst="0" w:colLast="0"/>
      <w:bookmarkEnd w:id="1"/>
      <w:r>
        <w:rPr>
          <w:sz w:val="24"/>
          <w:szCs w:val="24"/>
          <w:u w:val="single"/>
        </w:rPr>
        <w:br/>
        <w:t>Education (Articles 28 and 29 violation)</w:t>
      </w:r>
      <w:r>
        <w:rPr>
          <w:sz w:val="24"/>
          <w:szCs w:val="24"/>
          <w:u w:val="single"/>
        </w:rPr>
        <w:br/>
      </w:r>
      <w:r>
        <w:rPr>
          <w:sz w:val="24"/>
          <w:szCs w:val="24"/>
        </w:rPr>
        <w:t>Botswana has an education system that provides for a compulsory free primary education, but secondary school is neither free nor compulsory.</w:t>
      </w:r>
      <w:r>
        <w:rPr>
          <w:sz w:val="24"/>
          <w:szCs w:val="24"/>
          <w:vertAlign w:val="superscript"/>
        </w:rPr>
        <w:footnoteReference w:id="8"/>
      </w:r>
      <w:r>
        <w:rPr>
          <w:sz w:val="24"/>
          <w:szCs w:val="24"/>
        </w:rPr>
        <w:t xml:space="preserve"> Though Botswana does provide for a partial exemption from school fees for low-income families</w:t>
      </w:r>
      <w:r>
        <w:rPr>
          <w:sz w:val="24"/>
          <w:szCs w:val="24"/>
          <w:vertAlign w:val="superscript"/>
        </w:rPr>
        <w:footnoteReference w:id="9"/>
      </w:r>
      <w:r>
        <w:rPr>
          <w:sz w:val="24"/>
          <w:szCs w:val="24"/>
        </w:rPr>
        <w:t xml:space="preserve">, any financial requirement creates a significant barrier to Indigenous Children who are already at the bottom of the economic strata. </w:t>
      </w:r>
      <w:r>
        <w:rPr>
          <w:sz w:val="24"/>
          <w:szCs w:val="24"/>
        </w:rPr>
        <w:br/>
      </w:r>
      <w:r>
        <w:rPr>
          <w:sz w:val="24"/>
          <w:szCs w:val="24"/>
        </w:rPr>
        <w:br/>
        <w:t>There is a discrepancy between the educational attainment of Indigenous children and the rest of the population. During a nationwide exam, the schools that traditionally have a high-rate of Indigenous children had the lowest scores in the entire country.</w:t>
      </w:r>
      <w:r>
        <w:rPr>
          <w:sz w:val="24"/>
          <w:szCs w:val="24"/>
          <w:vertAlign w:val="superscript"/>
        </w:rPr>
        <w:footnoteReference w:id="10"/>
      </w:r>
      <w:r>
        <w:rPr>
          <w:sz w:val="24"/>
          <w:szCs w:val="24"/>
        </w:rPr>
        <w:t xml:space="preserve"> The Basarwa communities have the lowest level of participation in the formal education system in Botswana.</w:t>
      </w:r>
      <w:r>
        <w:rPr>
          <w:sz w:val="24"/>
          <w:szCs w:val="24"/>
          <w:vertAlign w:val="superscript"/>
        </w:rPr>
        <w:footnoteReference w:id="11"/>
      </w:r>
      <w:r>
        <w:rPr>
          <w:sz w:val="24"/>
          <w:szCs w:val="24"/>
        </w:rPr>
        <w:t xml:space="preserve"> This is in part due to the remoteness of many Basarwa communities, which makes the physical attendance of school difficult, as well as a lack of culturally relevant curricula.</w:t>
      </w:r>
      <w:r>
        <w:rPr>
          <w:sz w:val="24"/>
          <w:szCs w:val="24"/>
        </w:rPr>
        <w:br/>
      </w:r>
      <w:r>
        <w:rPr>
          <w:sz w:val="24"/>
          <w:szCs w:val="24"/>
        </w:rPr>
        <w:br/>
        <w:t>Botswana attempted to fix the problem of geographic isolation by implanting the Remote Area Development Programme (RADP).</w:t>
      </w:r>
      <w:r>
        <w:rPr>
          <w:sz w:val="24"/>
          <w:szCs w:val="24"/>
          <w:vertAlign w:val="superscript"/>
        </w:rPr>
        <w:footnoteReference w:id="12"/>
      </w:r>
      <w:r>
        <w:rPr>
          <w:sz w:val="24"/>
          <w:szCs w:val="24"/>
        </w:rPr>
        <w:t xml:space="preserve"> RADP allows for the children to live in government run hostels while they attended primary school. Unfortunately, these hostels are plagued with discrimination against minority students. Basarwa Children have reported abuse by hostel staff, lack of cultural sensitivity, and feelings of pain and isolation.</w:t>
      </w:r>
      <w:r>
        <w:rPr>
          <w:sz w:val="24"/>
          <w:szCs w:val="24"/>
          <w:vertAlign w:val="superscript"/>
        </w:rPr>
        <w:footnoteReference w:id="13"/>
      </w:r>
      <w:r>
        <w:rPr>
          <w:sz w:val="24"/>
          <w:szCs w:val="24"/>
        </w:rPr>
        <w:t xml:space="preserve"> It is not surprising that these schools have a high rate of desertion.  </w:t>
      </w:r>
      <w:r>
        <w:rPr>
          <w:sz w:val="24"/>
          <w:szCs w:val="24"/>
        </w:rPr>
        <w:br/>
      </w:r>
      <w:r>
        <w:rPr>
          <w:sz w:val="24"/>
          <w:szCs w:val="24"/>
          <w:u w:val="single"/>
        </w:rPr>
        <w:br/>
        <w:t>Cultural Assimilation (Article 30 violation)</w:t>
      </w:r>
      <w:r>
        <w:rPr>
          <w:sz w:val="24"/>
          <w:szCs w:val="24"/>
          <w:u w:val="single"/>
        </w:rPr>
        <w:br/>
      </w:r>
      <w:r>
        <w:rPr>
          <w:sz w:val="24"/>
          <w:szCs w:val="24"/>
        </w:rPr>
        <w:t>The government of Botswana does not discourage or deny the existence of Indigenous languages. However, English is the official language of Botswana and Setswana is the national language. Schools teach only in English and Setswana.</w:t>
      </w:r>
      <w:r>
        <w:rPr>
          <w:sz w:val="24"/>
          <w:szCs w:val="24"/>
          <w:vertAlign w:val="superscript"/>
        </w:rPr>
        <w:footnoteReference w:id="14"/>
      </w:r>
      <w:r>
        <w:rPr>
          <w:sz w:val="24"/>
          <w:szCs w:val="24"/>
        </w:rPr>
        <w:t xml:space="preserve"> By allowing no exception to this rule, Indigenous children are forced to learn in a language different from their mother-tongue, which has been shown to lead to negative outcomes for learning as well as putting at risk the fluency of the child’s mother tongue  later in life. </w:t>
      </w:r>
    </w:p>
    <w:p w:rsidR="009F7CF7" w:rsidRDefault="00C6167C">
      <w:pPr>
        <w:rPr>
          <w:sz w:val="24"/>
          <w:szCs w:val="24"/>
        </w:rPr>
      </w:pPr>
      <w:bookmarkStart w:id="2" w:name="_8ilswq77cz3b" w:colFirst="0" w:colLast="0"/>
      <w:bookmarkEnd w:id="2"/>
      <w:r>
        <w:rPr>
          <w:sz w:val="24"/>
          <w:szCs w:val="24"/>
        </w:rPr>
        <w:br/>
        <w:t>Teachers in the rural areas of Botswana that teach Indigenous children are often from the majority ethnic group and do not speak the Basawra language.</w:t>
      </w:r>
      <w:r>
        <w:rPr>
          <w:sz w:val="24"/>
          <w:szCs w:val="24"/>
          <w:vertAlign w:val="superscript"/>
        </w:rPr>
        <w:footnoteReference w:id="15"/>
      </w:r>
      <w:r>
        <w:rPr>
          <w:sz w:val="24"/>
          <w:szCs w:val="24"/>
        </w:rPr>
        <w:t xml:space="preserve"> Without the help of the teacher, the Indigenous children are forced to learn a new language while also learning the respective subjects they are being taught. This severely disadvantages the Indigenous children. The required test to advance from primary to secondary school are only offered in English, which often bars the Indigenous children from advancing because they do not have a strong enough grasp of English to pass the exams.</w:t>
      </w:r>
      <w:r>
        <w:rPr>
          <w:sz w:val="24"/>
          <w:szCs w:val="24"/>
          <w:vertAlign w:val="superscript"/>
        </w:rPr>
        <w:footnoteReference w:id="16"/>
      </w:r>
      <w:r>
        <w:rPr>
          <w:sz w:val="24"/>
          <w:szCs w:val="24"/>
        </w:rPr>
        <w:t xml:space="preserve">  </w:t>
      </w:r>
      <w:r>
        <w:rPr>
          <w:sz w:val="24"/>
          <w:szCs w:val="24"/>
        </w:rPr>
        <w:br/>
      </w:r>
      <w:r>
        <w:rPr>
          <w:sz w:val="24"/>
          <w:szCs w:val="24"/>
        </w:rPr>
        <w:br/>
        <w:t>Beyond the lack of language representation, the education system also puts an emphasis on the majority Tswana cultural values. Indigenous children are treated as outsiders, bullied by other students, and have a foreign set of values imposed upon them.</w:t>
      </w:r>
      <w:r>
        <w:rPr>
          <w:sz w:val="24"/>
          <w:szCs w:val="24"/>
          <w:vertAlign w:val="superscript"/>
        </w:rPr>
        <w:footnoteReference w:id="17"/>
      </w:r>
      <w:r>
        <w:rPr>
          <w:sz w:val="24"/>
          <w:szCs w:val="24"/>
        </w:rPr>
        <w:t xml:space="preserve"> This makes the Indigenous children feel like their culture is inferior.</w:t>
      </w:r>
      <w:r>
        <w:rPr>
          <w:sz w:val="24"/>
          <w:szCs w:val="24"/>
          <w:vertAlign w:val="superscript"/>
        </w:rPr>
        <w:footnoteReference w:id="18"/>
      </w:r>
      <w:r>
        <w:rPr>
          <w:sz w:val="24"/>
          <w:szCs w:val="24"/>
        </w:rPr>
        <w:t xml:space="preserve"> Furthermore, if the children do adapt to their new environment, it is at the expense of their heritage and can lead to feelings of alienation when they return to their villages.</w:t>
      </w:r>
      <w:r>
        <w:rPr>
          <w:sz w:val="24"/>
          <w:szCs w:val="24"/>
          <w:vertAlign w:val="superscript"/>
        </w:rPr>
        <w:footnoteReference w:id="19"/>
      </w:r>
      <w:r>
        <w:rPr>
          <w:sz w:val="24"/>
          <w:szCs w:val="24"/>
        </w:rPr>
        <w:br/>
      </w:r>
      <w:r>
        <w:rPr>
          <w:sz w:val="24"/>
          <w:szCs w:val="24"/>
        </w:rPr>
        <w:br/>
        <w:t>A Naro speaker belonging to the Basarwa in Botswana, Xhwaa Qubi, said the following about education for Indigenous children in Botswana: “When the education system was put in place, all our children received a 12 year sentence to learn a foreign language and a foreign way of life.”</w:t>
      </w:r>
      <w:r>
        <w:rPr>
          <w:sz w:val="24"/>
          <w:szCs w:val="24"/>
          <w:vertAlign w:val="superscript"/>
        </w:rPr>
        <w:footnoteReference w:id="20"/>
      </w:r>
      <w:r>
        <w:rPr>
          <w:sz w:val="24"/>
          <w:szCs w:val="24"/>
        </w:rPr>
        <w:t xml:space="preserve"> The need for culturally relevant curricula in Indigenous languages that are based in communities is great. </w:t>
      </w:r>
    </w:p>
    <w:p w:rsidR="009F7CF7" w:rsidRDefault="00C6167C">
      <w:pPr>
        <w:rPr>
          <w:sz w:val="24"/>
          <w:szCs w:val="24"/>
        </w:rPr>
      </w:pPr>
      <w:bookmarkStart w:id="4" w:name="_6rzu96wqcx1r" w:colFirst="0" w:colLast="0"/>
      <w:bookmarkEnd w:id="4"/>
      <w:r>
        <w:rPr>
          <w:sz w:val="24"/>
          <w:szCs w:val="24"/>
        </w:rPr>
        <w:br/>
      </w:r>
      <w:r>
        <w:rPr>
          <w:sz w:val="24"/>
          <w:szCs w:val="24"/>
          <w:u w:val="single"/>
        </w:rPr>
        <w:t>Corporal Punishment (Article 19)</w:t>
      </w:r>
      <w:r>
        <w:rPr>
          <w:sz w:val="24"/>
          <w:szCs w:val="24"/>
          <w:u w:val="single"/>
        </w:rPr>
        <w:br/>
      </w:r>
      <w:r>
        <w:rPr>
          <w:sz w:val="24"/>
          <w:szCs w:val="24"/>
        </w:rPr>
        <w:t>Botswana law allows for the use of corporal punishment against children during school as a punishment. Though corporal punishment is only supposed to be used as a punishment of last resort, incidents of reckless use of corporal punishments still occur.</w:t>
      </w:r>
      <w:r>
        <w:rPr>
          <w:sz w:val="24"/>
          <w:szCs w:val="24"/>
          <w:vertAlign w:val="superscript"/>
        </w:rPr>
        <w:footnoteReference w:id="21"/>
      </w:r>
      <w:r>
        <w:rPr>
          <w:sz w:val="24"/>
          <w:szCs w:val="24"/>
        </w:rPr>
        <w:t xml:space="preserve"> In one incident, a seven-year old girl was hospitalized after being allegedly whipped with a hosepipe by her teacher.</w:t>
      </w:r>
      <w:r>
        <w:rPr>
          <w:sz w:val="24"/>
          <w:szCs w:val="24"/>
          <w:vertAlign w:val="superscript"/>
        </w:rPr>
        <w:footnoteReference w:id="22"/>
      </w:r>
      <w:r>
        <w:rPr>
          <w:sz w:val="24"/>
          <w:szCs w:val="24"/>
        </w:rPr>
        <w:t xml:space="preserve"> </w:t>
      </w:r>
      <w:r>
        <w:rPr>
          <w:sz w:val="24"/>
          <w:szCs w:val="24"/>
        </w:rPr>
        <w:br/>
      </w:r>
      <w:r>
        <w:rPr>
          <w:sz w:val="24"/>
          <w:szCs w:val="24"/>
        </w:rPr>
        <w:br/>
        <w:t>Though all forms of corporal punishment is wrong, it is especially troubling in regard to Basarwa children. The majority Tswana culture supports the use of corporal punishment, but the Basarwa culture does not support the use of corporal punishment.</w:t>
      </w:r>
      <w:r>
        <w:rPr>
          <w:sz w:val="24"/>
          <w:szCs w:val="24"/>
          <w:vertAlign w:val="superscript"/>
        </w:rPr>
        <w:footnoteReference w:id="23"/>
      </w:r>
      <w:r>
        <w:rPr>
          <w:sz w:val="24"/>
          <w:szCs w:val="24"/>
        </w:rPr>
        <w:t xml:space="preserve"> The Basarwa people do not believe in violence of any kind and shun the idea of disciplining children through violence.</w:t>
      </w:r>
      <w:r>
        <w:rPr>
          <w:sz w:val="24"/>
          <w:szCs w:val="24"/>
          <w:vertAlign w:val="superscript"/>
        </w:rPr>
        <w:footnoteReference w:id="24"/>
      </w:r>
      <w:r>
        <w:rPr>
          <w:sz w:val="24"/>
          <w:szCs w:val="24"/>
        </w:rPr>
        <w:t xml:space="preserve"> If the Basarwa want their children to receive a formal education, then they must accept a form of punishment for their children that runs in contrary with the basic values of their culture.</w:t>
      </w:r>
    </w:p>
    <w:p w:rsidR="009F7CF7" w:rsidRDefault="009F7CF7">
      <w:pPr>
        <w:rPr>
          <w:sz w:val="24"/>
          <w:szCs w:val="24"/>
          <w:u w:val="single"/>
        </w:rPr>
      </w:pPr>
      <w:bookmarkStart w:id="5" w:name="_iuyho9l4cwe3" w:colFirst="0" w:colLast="0"/>
      <w:bookmarkEnd w:id="5"/>
    </w:p>
    <w:p w:rsidR="009F7CF7" w:rsidRDefault="00C6167C">
      <w:pPr>
        <w:rPr>
          <w:sz w:val="24"/>
          <w:szCs w:val="24"/>
        </w:rPr>
      </w:pPr>
      <w:bookmarkStart w:id="6" w:name="_ear5vlv4umn" w:colFirst="0" w:colLast="0"/>
      <w:bookmarkEnd w:id="6"/>
      <w:r>
        <w:rPr>
          <w:sz w:val="24"/>
          <w:szCs w:val="24"/>
          <w:u w:val="single"/>
        </w:rPr>
        <w:t>Tourism, Hunting, and Land Rights (Articles 3, 6, 24, 27, 32, 34)</w:t>
      </w:r>
      <w:r>
        <w:rPr>
          <w:sz w:val="24"/>
          <w:szCs w:val="24"/>
        </w:rPr>
        <w:br/>
        <w:t xml:space="preserve">The issue of land rights is incredibly important to Indigenous Peoples. Not only does land provide a place to live and a livelihood, but it is also often central to the culture, way of life, and values of Indigenous Peoples and Indigenous children. </w:t>
      </w:r>
      <w:r>
        <w:rPr>
          <w:sz w:val="24"/>
          <w:szCs w:val="24"/>
        </w:rPr>
        <w:br/>
      </w:r>
      <w:r>
        <w:rPr>
          <w:sz w:val="24"/>
          <w:szCs w:val="24"/>
        </w:rPr>
        <w:tab/>
      </w:r>
      <w:r>
        <w:rPr>
          <w:sz w:val="24"/>
          <w:szCs w:val="24"/>
        </w:rPr>
        <w:tab/>
        <w:t xml:space="preserve"> </w:t>
      </w:r>
      <w:r>
        <w:rPr>
          <w:sz w:val="24"/>
          <w:szCs w:val="24"/>
        </w:rPr>
        <w:tab/>
        <w:t xml:space="preserve"> </w:t>
      </w:r>
      <w:r>
        <w:rPr>
          <w:sz w:val="24"/>
          <w:szCs w:val="24"/>
        </w:rPr>
        <w:tab/>
        <w:t xml:space="preserve"> </w:t>
      </w:r>
      <w:r>
        <w:rPr>
          <w:sz w:val="24"/>
          <w:szCs w:val="24"/>
        </w:rPr>
        <w:tab/>
      </w:r>
      <w:r>
        <w:rPr>
          <w:sz w:val="24"/>
          <w:szCs w:val="24"/>
        </w:rPr>
        <w:tab/>
      </w:r>
      <w:r>
        <w:rPr>
          <w:sz w:val="24"/>
          <w:szCs w:val="24"/>
        </w:rPr>
        <w:br/>
        <w:t xml:space="preserve">Botswana’s 1968 Tribal Land Act, (amended in 2008) recognizes community rights to receive compensation for their lands that are expropriated by the state under the authorization of the 1955 Acquisition of Property Act.  However, the legislation requires that community land be registered with the state in order to receive compensation, rather than respecting Indigenous communities’ rights to lands they have traditionally owned or used as stated in Article 28 of the UNDRIP.  Crucially, these laws do not establish time requirements for delivering compensation for lands acquired, violating UNDRIP Article 10 which states that no relocation shall take place until after agreement on just and fair compensation has been reached. </w:t>
      </w:r>
      <w:r>
        <w:rPr>
          <w:sz w:val="24"/>
          <w:szCs w:val="24"/>
        </w:rPr>
        <w:br/>
      </w:r>
      <w:r>
        <w:rPr>
          <w:sz w:val="24"/>
          <w:szCs w:val="24"/>
        </w:rPr>
        <w:br/>
        <w:t>A report published by the World Bank found that:  “While the government has tended to pay handsomely for freehold land acquired by the state, the compensation offered by land boards for repossessed tribal land has been inadequate...Land boards have argued that, since tribal land is ‘free’, it is impossible to quantify, in monetary terms, loss of rights to use a particular piece of land beyond the unexhausted improvements on it (e.g. standing crops, boreholes, fences, buildings, ploughing). Thus, to land boards, compensation does not need to reflect the development value of land, even in peri-urban areas.”</w:t>
      </w:r>
      <w:r>
        <w:rPr>
          <w:sz w:val="24"/>
          <w:szCs w:val="24"/>
          <w:vertAlign w:val="superscript"/>
        </w:rPr>
        <w:footnoteReference w:id="25"/>
      </w:r>
      <w:r>
        <w:rPr>
          <w:sz w:val="24"/>
          <w:szCs w:val="24"/>
        </w:rPr>
        <w:br/>
      </w:r>
      <w:r>
        <w:rPr>
          <w:sz w:val="24"/>
          <w:szCs w:val="24"/>
        </w:rPr>
        <w:tab/>
      </w:r>
      <w:r>
        <w:rPr>
          <w:sz w:val="24"/>
          <w:szCs w:val="24"/>
        </w:rPr>
        <w:tab/>
      </w:r>
      <w:r>
        <w:rPr>
          <w:sz w:val="24"/>
          <w:szCs w:val="24"/>
        </w:rPr>
        <w:tab/>
      </w:r>
      <w:r>
        <w:rPr>
          <w:sz w:val="24"/>
          <w:szCs w:val="24"/>
        </w:rPr>
        <w:tab/>
      </w:r>
      <w:r>
        <w:rPr>
          <w:sz w:val="24"/>
          <w:szCs w:val="24"/>
        </w:rPr>
        <w:br/>
        <w:t xml:space="preserve">The ineffectiveness of land rights in Botswana is most notable in the case of the Central Kalahari Game Reserve (CKGR). In 1986, the government passed a policy to relocate Indigenous Peoples living in the CKGR to settlements off the game reserve, and this policy was put into action in 2002.  This was contested by the Basarwa in Roy Sesana v the Attorney General of the Republic of Botswana , and in a crucial decision, the High Court ruled on December 13th, 2006 that the Basarwa’s rights had been violated because there had been inadequate consultation to ensure their true consent was obtained before the relocation. The Court ruled that the deprivation of water and food and other services, as well as the deprivation of the possession of their land and special hunting licenses, were all unlawful. The ruling gave the Basarwa the right to return home. It also deemed hunting bans against the Basarwa unlawful, stating that it was “tantamount to condemning them to death by starvation.”  Despite this ruling, most Basarwa still have not been adequately compensated for this forced relocation.  </w:t>
      </w:r>
      <w:r>
        <w:rPr>
          <w:sz w:val="24"/>
          <w:szCs w:val="24"/>
        </w:rPr>
        <w:br/>
      </w:r>
      <w:r>
        <w:rPr>
          <w:sz w:val="24"/>
          <w:szCs w:val="24"/>
        </w:rPr>
        <w:br/>
        <w:t xml:space="preserve"> A decade after the Roy Sesana case, the Basarwa must still apply for monthly permits to live on their land, and for special hunting licenses to be able to hunt on the game reserve. Despite the ruling that the eviction was unlawful, the government of Botswana continues to restrict the Basarwa’s access to land that the High Court deemed lawfully belonging to the community. </w:t>
      </w:r>
      <w:r>
        <w:rPr>
          <w:sz w:val="24"/>
          <w:szCs w:val="24"/>
        </w:rPr>
        <w:br/>
      </w:r>
      <w:r>
        <w:rPr>
          <w:sz w:val="24"/>
          <w:szCs w:val="24"/>
        </w:rPr>
        <w:br/>
        <w:t>Hunting is also forbidden on game reserves such as the Central Kalahari. The Basarwa rely on hunting and gathering, yet they are denied special licenses to access the resources on the reserve that they once lived on.  Indigenous Peoples who have lived in one place, using its resources, for centuries are adept at the “sustainable use” of flora and fauna. In other words, using resources “at a rate within their capacity for renewal.”  As long as Indigenous Peoples’ use of resources remains sustainable in this way, their access to the land is not a threat to conservation. Under Botswana’s 1992 Wildlife Conservation and National Parks Act, the government claims exclusive ownership over conservation areas, ignoring the fact that the biodiversity of many areas are a direct result of the stewardship and sustainable use of these areas by communities over centuries, not in spite of it.  Article 8 (j) of the Convention of Biological Diversity, to which Botswana is a signatory, commits State parties to respect and maintain the knowledge, innovations and practices of Indigenous and local communities which are relevant for conservation and sustainable use of biological diversity. Indeed, in her report on Indigenous Peoples and Conservation, UNSR Vicky Tauli Corpuz noted,  “Over the past decade, increasing evidence supports the correlation between secure Indigenous tenure and positive conservation outcomes, at times better than those achieved in State-managed protected areas.”</w:t>
      </w:r>
      <w:r>
        <w:rPr>
          <w:sz w:val="24"/>
          <w:szCs w:val="24"/>
        </w:rPr>
        <w:br/>
        <w:t xml:space="preserve"> </w:t>
      </w:r>
      <w:r>
        <w:rPr>
          <w:sz w:val="24"/>
          <w:szCs w:val="24"/>
        </w:rPr>
        <w:br/>
        <w:t xml:space="preserve">In January of 2014, President Khama declared that the hunting ban would now cover all of Botswana, effectively criminalizing hunting to feed a family. However, wealthy tourists and trophy hunters can still hunt within Botswana for a steep price. Banning hunting in order to feed families, but allowing the wealthy to hunt for trophies, illustrates deeply rooted racism and classism, and contributes to malnutrition of Indigenous children. </w:t>
      </w:r>
    </w:p>
    <w:p w:rsidR="009F7CF7" w:rsidRDefault="00C6167C">
      <w:pPr>
        <w:rPr>
          <w:sz w:val="24"/>
          <w:szCs w:val="24"/>
        </w:rPr>
      </w:pPr>
      <w:bookmarkStart w:id="7" w:name="_yqfjeneeeyaz" w:colFirst="0" w:colLast="0"/>
      <w:bookmarkEnd w:id="7"/>
      <w:r>
        <w:rPr>
          <w:sz w:val="24"/>
          <w:szCs w:val="24"/>
        </w:rPr>
        <w:br/>
        <w:t xml:space="preserve">Jamunda Kakelebone, a San from Botswana said, of the hunting ban, “We have survived for millennia in one of the world’s driest areas but they treat us as stupid. We are hunter-gatherers yet we get arrested. We cannot damage the wildlife. If we kill one animal we eat it for a month. We are not allowed to hunt but others can.” </w:t>
      </w:r>
      <w:r>
        <w:rPr>
          <w:sz w:val="24"/>
          <w:szCs w:val="24"/>
        </w:rPr>
        <w:br/>
      </w:r>
      <w:r>
        <w:rPr>
          <w:sz w:val="24"/>
          <w:szCs w:val="24"/>
        </w:rPr>
        <w:br/>
        <w:t xml:space="preserve">A recent - and deadly - development in the hunting ban debate was the implementation of  “shoot-to-kill” policy against poachers who, in this case, are often Basarwa trying to provide for their families.  Members of the Botswana police, the Botswana Defence Force (BDF), fly over the game reserve in helicopters, looking for hunters. The lucky ones are only harassed or arrested. The rest are shot on the spot.  The policy first emerged in 2013 when Pono Moatlhodi, the Deputy Speaker of the Botswana Parliament, called for such a policy to combat poaching. The policy has been upheld by Environment Minister Tshekedi Khama, who has stated that the policy applies even if poachers have surrendered.  In an interview he said “It’s a culture; we have to kill the supply to starve the culture. That is one of the reasons why, in Botswana, with our anti-poaching unit, we don’t necessarily interrogate the poacher. That is a position adopted to send a clear message to say, if you want to come and poach in Botswana, one of the possibilities is that you may not go back to your country alive.” The policy is technically unofficial, and President Ian Khama has not answered questions regarding the BDF and this policy. </w:t>
      </w:r>
      <w:r>
        <w:rPr>
          <w:sz w:val="24"/>
          <w:szCs w:val="24"/>
        </w:rPr>
        <w:br/>
      </w:r>
      <w:r>
        <w:rPr>
          <w:sz w:val="24"/>
          <w:szCs w:val="24"/>
        </w:rPr>
        <w:br/>
        <w:t xml:space="preserve">Indigenous Peoples are also not able to profit off of tourism on their land. “In 2015, some community trusts with San majorities were taken over by private companies which kept the bulk of the funds generated by ecotourism to themselves.” In May of that year, the Basarwa addressed these issues at the United Nations Permanent Forum on Indigenous Issues.  This privatization of both tourism and water, as well as claims on their land, have shut the Basarwa out of their livelihoods and basic needs. In the past, former UN Special Rapporteur on the Rights of Indigenous Peoples, James Anaya, condemned Botswana for its treatment of Indigenous People, saying that Basarwa living in the Central Kalahari Game Reserve “face harsh and dangerous conditions due to lack of access to water.” </w:t>
      </w:r>
      <w:r>
        <w:rPr>
          <w:sz w:val="24"/>
          <w:szCs w:val="24"/>
        </w:rPr>
        <w:br/>
      </w:r>
      <w:r>
        <w:rPr>
          <w:sz w:val="24"/>
          <w:szCs w:val="24"/>
        </w:rPr>
        <w:br/>
      </w:r>
    </w:p>
    <w:p w:rsidR="009F7CF7" w:rsidRDefault="00C6167C">
      <w:pPr>
        <w:numPr>
          <w:ilvl w:val="0"/>
          <w:numId w:val="5"/>
        </w:numPr>
        <w:pBdr>
          <w:top w:val="nil"/>
          <w:left w:val="nil"/>
          <w:bottom w:val="nil"/>
          <w:right w:val="nil"/>
          <w:between w:val="nil"/>
        </w:pBdr>
        <w:contextualSpacing/>
        <w:rPr>
          <w:color w:val="000000"/>
          <w:sz w:val="24"/>
          <w:szCs w:val="24"/>
        </w:rPr>
      </w:pPr>
      <w:r>
        <w:rPr>
          <w:b/>
          <w:color w:val="000000"/>
          <w:sz w:val="24"/>
          <w:szCs w:val="24"/>
        </w:rPr>
        <w:t>CRC Concluding Observations</w:t>
      </w:r>
    </w:p>
    <w:p w:rsidR="009F7CF7" w:rsidRDefault="00C6167C">
      <w:pPr>
        <w:rPr>
          <w:sz w:val="24"/>
          <w:szCs w:val="24"/>
        </w:rPr>
      </w:pPr>
      <w:r>
        <w:rPr>
          <w:sz w:val="24"/>
          <w:szCs w:val="24"/>
        </w:rPr>
        <w:br/>
        <w:t>The Committee on the Rights of the Child made the following observation and recommendation to Botswana after its review in 2004</w:t>
      </w:r>
      <w:r w:rsidR="000D3991">
        <w:rPr>
          <w:sz w:val="24"/>
          <w:szCs w:val="24"/>
        </w:rPr>
        <w:t>,</w:t>
      </w:r>
      <w:r>
        <w:rPr>
          <w:sz w:val="24"/>
          <w:szCs w:val="24"/>
        </w:rPr>
        <w:t xml:space="preserve"> which still have not been implemented:</w:t>
      </w:r>
      <w:r>
        <w:rPr>
          <w:sz w:val="24"/>
          <w:szCs w:val="24"/>
          <w:vertAlign w:val="superscript"/>
        </w:rPr>
        <w:footnoteReference w:id="26"/>
      </w:r>
    </w:p>
    <w:p w:rsidR="009F7CF7" w:rsidRDefault="00C6167C">
      <w:pPr>
        <w:numPr>
          <w:ilvl w:val="0"/>
          <w:numId w:val="1"/>
        </w:numPr>
        <w:pBdr>
          <w:top w:val="nil"/>
          <w:left w:val="nil"/>
          <w:bottom w:val="nil"/>
          <w:right w:val="nil"/>
          <w:between w:val="nil"/>
        </w:pBdr>
        <w:spacing w:after="0"/>
        <w:contextualSpacing/>
        <w:rPr>
          <w:i/>
          <w:color w:val="000000"/>
          <w:sz w:val="24"/>
          <w:szCs w:val="24"/>
        </w:rPr>
      </w:pPr>
      <w:r>
        <w:rPr>
          <w:i/>
          <w:color w:val="000000"/>
          <w:sz w:val="24"/>
          <w:szCs w:val="24"/>
        </w:rPr>
        <w:t>The Committee strongly recommends that the State party take legislative measures to expressly prohibit corporal punishment in the family, schools and other institutions and to conduct awareness-raising campaigns to ensure that positive, participatory, non-violent forms of discipline are administrated in a manner consistent with the child’s human dignity and in conformity with the Convention, especially article 28, paragraph 2, as an alternative to corporal punishment at all levels of society.</w:t>
      </w:r>
    </w:p>
    <w:p w:rsidR="009F7CF7" w:rsidRDefault="00C6167C">
      <w:pPr>
        <w:numPr>
          <w:ilvl w:val="0"/>
          <w:numId w:val="1"/>
        </w:numPr>
        <w:pBdr>
          <w:top w:val="nil"/>
          <w:left w:val="nil"/>
          <w:bottom w:val="nil"/>
          <w:right w:val="nil"/>
          <w:between w:val="nil"/>
        </w:pBdr>
        <w:spacing w:after="0"/>
        <w:contextualSpacing/>
        <w:rPr>
          <w:i/>
          <w:color w:val="000000"/>
          <w:sz w:val="24"/>
          <w:szCs w:val="24"/>
        </w:rPr>
      </w:pPr>
      <w:r>
        <w:rPr>
          <w:i/>
          <w:color w:val="000000"/>
          <w:sz w:val="24"/>
          <w:szCs w:val="24"/>
        </w:rPr>
        <w:t>The Committee welcomes the statistical data provided in the written replies but is concerned at the absence of a mechanism to systematically collect and analyse disaggregated quantitative and qualitative data on persons under the age of 18 years in all areas covered by the Convention, especially the most vulnerable groups, including children living in poverty, children living in rural and the most remote areas, children with disabilities, refugee children, indigenous children and street children.</w:t>
      </w:r>
    </w:p>
    <w:p w:rsidR="009F7CF7" w:rsidRDefault="009F7CF7">
      <w:pPr>
        <w:pBdr>
          <w:top w:val="nil"/>
          <w:left w:val="nil"/>
          <w:bottom w:val="nil"/>
          <w:right w:val="nil"/>
          <w:between w:val="nil"/>
        </w:pBdr>
        <w:spacing w:after="0"/>
        <w:ind w:left="720" w:hanging="720"/>
        <w:rPr>
          <w:color w:val="000000"/>
          <w:sz w:val="24"/>
          <w:szCs w:val="24"/>
        </w:rPr>
      </w:pPr>
    </w:p>
    <w:p w:rsidR="009F7CF7" w:rsidRDefault="00C6167C">
      <w:pPr>
        <w:numPr>
          <w:ilvl w:val="0"/>
          <w:numId w:val="5"/>
        </w:numPr>
        <w:pBdr>
          <w:top w:val="nil"/>
          <w:left w:val="nil"/>
          <w:bottom w:val="nil"/>
          <w:right w:val="nil"/>
          <w:between w:val="nil"/>
        </w:pBdr>
        <w:contextualSpacing/>
        <w:rPr>
          <w:color w:val="000000"/>
          <w:sz w:val="24"/>
          <w:szCs w:val="24"/>
        </w:rPr>
      </w:pPr>
      <w:r>
        <w:rPr>
          <w:b/>
          <w:color w:val="000000"/>
          <w:sz w:val="24"/>
          <w:szCs w:val="24"/>
        </w:rPr>
        <w:t>State Report</w:t>
      </w:r>
    </w:p>
    <w:p w:rsidR="009F7CF7" w:rsidRDefault="00C6167C">
      <w:pPr>
        <w:rPr>
          <w:sz w:val="24"/>
          <w:szCs w:val="24"/>
        </w:rPr>
      </w:pPr>
      <w:r>
        <w:rPr>
          <w:sz w:val="24"/>
          <w:szCs w:val="24"/>
        </w:rPr>
        <w:br/>
        <w:t xml:space="preserve">Botswana included a section in its state report for the cultural rights of children belonging to Indigenous and minority groups. The Botswana Constitution has been amended to recognize the diverse ethnic groups that make up the country; including the Basarwa. The Botswana government has also created the Remote Area Development Programme, which has the overall goal of promoting the social, cultural, and economic development of the remote area dwellers so they can benefit equally from the rapid growth of the country. The Programme’s main components are the provision of safe water, health facilities, primary schools and hostels for pupils, and an economic promotion fund. </w:t>
      </w:r>
      <w:r>
        <w:rPr>
          <w:sz w:val="24"/>
          <w:szCs w:val="24"/>
          <w:vertAlign w:val="superscript"/>
        </w:rPr>
        <w:footnoteReference w:id="27"/>
      </w:r>
      <w:r>
        <w:rPr>
          <w:sz w:val="24"/>
          <w:szCs w:val="24"/>
        </w:rPr>
        <w:br/>
      </w:r>
    </w:p>
    <w:p w:rsidR="009F7CF7" w:rsidRDefault="00C6167C">
      <w:pPr>
        <w:numPr>
          <w:ilvl w:val="0"/>
          <w:numId w:val="5"/>
        </w:numPr>
        <w:pBdr>
          <w:top w:val="nil"/>
          <w:left w:val="nil"/>
          <w:bottom w:val="nil"/>
          <w:right w:val="nil"/>
          <w:between w:val="nil"/>
        </w:pBdr>
        <w:spacing w:after="0"/>
        <w:contextualSpacing/>
        <w:rPr>
          <w:color w:val="000000"/>
          <w:sz w:val="24"/>
          <w:szCs w:val="24"/>
        </w:rPr>
      </w:pPr>
      <w:r>
        <w:rPr>
          <w:b/>
          <w:color w:val="000000"/>
          <w:sz w:val="24"/>
          <w:szCs w:val="24"/>
        </w:rPr>
        <w:t>The CRC General Comments</w:t>
      </w:r>
    </w:p>
    <w:p w:rsidR="009F7CF7" w:rsidRDefault="009F7CF7">
      <w:pPr>
        <w:pBdr>
          <w:top w:val="nil"/>
          <w:left w:val="nil"/>
          <w:bottom w:val="nil"/>
          <w:right w:val="nil"/>
          <w:between w:val="nil"/>
        </w:pBdr>
        <w:spacing w:after="0"/>
        <w:ind w:left="720" w:hanging="720"/>
        <w:rPr>
          <w:b/>
          <w:color w:val="000000"/>
          <w:sz w:val="24"/>
          <w:szCs w:val="24"/>
        </w:rPr>
      </w:pPr>
    </w:p>
    <w:p w:rsidR="009F7CF7" w:rsidRDefault="00C6167C">
      <w:pPr>
        <w:pBdr>
          <w:top w:val="nil"/>
          <w:left w:val="nil"/>
          <w:bottom w:val="nil"/>
          <w:right w:val="nil"/>
          <w:between w:val="nil"/>
        </w:pBdr>
        <w:spacing w:after="0"/>
        <w:ind w:hanging="720"/>
        <w:rPr>
          <w:color w:val="000000"/>
          <w:sz w:val="24"/>
          <w:szCs w:val="24"/>
        </w:rPr>
      </w:pPr>
      <w:r>
        <w:rPr>
          <w:color w:val="000000"/>
          <w:sz w:val="24"/>
          <w:szCs w:val="24"/>
        </w:rPr>
        <w:t>General comment No. 13 (2011) The right of the child to freedom from all forms of violence</w:t>
      </w:r>
      <w:r>
        <w:rPr>
          <w:color w:val="000000"/>
          <w:sz w:val="24"/>
          <w:szCs w:val="24"/>
          <w:vertAlign w:val="superscript"/>
        </w:rPr>
        <w:footnoteReference w:id="28"/>
      </w:r>
    </w:p>
    <w:p w:rsidR="009F7CF7" w:rsidRDefault="00C6167C">
      <w:pPr>
        <w:numPr>
          <w:ilvl w:val="0"/>
          <w:numId w:val="3"/>
        </w:numPr>
        <w:pBdr>
          <w:top w:val="nil"/>
          <w:left w:val="nil"/>
          <w:bottom w:val="nil"/>
          <w:right w:val="nil"/>
          <w:between w:val="nil"/>
        </w:pBdr>
        <w:spacing w:after="0"/>
        <w:contextualSpacing/>
        <w:rPr>
          <w:i/>
          <w:color w:val="000000"/>
          <w:sz w:val="24"/>
          <w:szCs w:val="24"/>
        </w:rPr>
      </w:pPr>
      <w:r>
        <w:rPr>
          <w:i/>
          <w:color w:val="000000"/>
          <w:sz w:val="24"/>
          <w:szCs w:val="24"/>
        </w:rPr>
        <w:t>22. Physical violence. This includes fatal and non-fatal physical violence. The Committee is of the opinion that physical violence includes: (a) All corporal punishment and all other forms of torture, cruel, inhuman or degrading treatment or punishment.</w:t>
      </w:r>
    </w:p>
    <w:p w:rsidR="009F7CF7" w:rsidRDefault="00C6167C">
      <w:pPr>
        <w:pBdr>
          <w:top w:val="nil"/>
          <w:left w:val="nil"/>
          <w:bottom w:val="nil"/>
          <w:right w:val="nil"/>
          <w:between w:val="nil"/>
        </w:pBdr>
        <w:spacing w:after="0"/>
        <w:ind w:hanging="720"/>
        <w:rPr>
          <w:color w:val="000000"/>
          <w:sz w:val="24"/>
          <w:szCs w:val="24"/>
        </w:rPr>
      </w:pPr>
      <w:r>
        <w:rPr>
          <w:color w:val="000000"/>
          <w:sz w:val="24"/>
          <w:szCs w:val="24"/>
        </w:rPr>
        <w:t>General Comments No. 11 (2009) Indigenous children and their rights under the Convention</w:t>
      </w:r>
      <w:r>
        <w:rPr>
          <w:color w:val="000000"/>
          <w:sz w:val="24"/>
          <w:szCs w:val="24"/>
          <w:vertAlign w:val="superscript"/>
        </w:rPr>
        <w:footnoteReference w:id="29"/>
      </w:r>
    </w:p>
    <w:p w:rsidR="009F7CF7" w:rsidRDefault="00C6167C">
      <w:pPr>
        <w:numPr>
          <w:ilvl w:val="0"/>
          <w:numId w:val="3"/>
        </w:numPr>
        <w:pBdr>
          <w:top w:val="nil"/>
          <w:left w:val="nil"/>
          <w:bottom w:val="nil"/>
          <w:right w:val="nil"/>
          <w:between w:val="nil"/>
        </w:pBdr>
        <w:spacing w:after="0"/>
        <w:contextualSpacing/>
        <w:rPr>
          <w:i/>
          <w:color w:val="000000"/>
          <w:sz w:val="24"/>
          <w:szCs w:val="24"/>
        </w:rPr>
      </w:pPr>
      <w:r>
        <w:rPr>
          <w:i/>
          <w:color w:val="000000"/>
          <w:sz w:val="24"/>
          <w:szCs w:val="24"/>
        </w:rPr>
        <w:t>39. When the right is applied to indigenous children as a group, the State party plays an important role in promoting their participation and should ensure that they are consulted on all matters affecting them. The State party should design special strategies to guarantee that their participation is effective. The State party should ensure that this right is applied in particular in the school environment, alternative care settings and in the community in general. The Committee recommends States parties to work closely with indigenous children and their communities to develop, implement and evaluate programmes, policies and strategies for implementation of the Convention.</w:t>
      </w:r>
    </w:p>
    <w:p w:rsidR="009F7CF7" w:rsidRDefault="009F7CF7">
      <w:pPr>
        <w:pBdr>
          <w:top w:val="nil"/>
          <w:left w:val="nil"/>
          <w:bottom w:val="nil"/>
          <w:right w:val="nil"/>
          <w:between w:val="nil"/>
        </w:pBdr>
        <w:spacing w:after="0"/>
        <w:ind w:left="720" w:hanging="720"/>
        <w:rPr>
          <w:i/>
          <w:color w:val="000000"/>
          <w:sz w:val="24"/>
          <w:szCs w:val="24"/>
        </w:rPr>
      </w:pPr>
    </w:p>
    <w:p w:rsidR="009F7CF7" w:rsidRDefault="00C6167C">
      <w:pPr>
        <w:numPr>
          <w:ilvl w:val="0"/>
          <w:numId w:val="5"/>
        </w:numPr>
        <w:pBdr>
          <w:top w:val="nil"/>
          <w:left w:val="nil"/>
          <w:bottom w:val="nil"/>
          <w:right w:val="nil"/>
          <w:between w:val="nil"/>
        </w:pBdr>
        <w:spacing w:after="0"/>
        <w:contextualSpacing/>
        <w:rPr>
          <w:color w:val="000000"/>
          <w:sz w:val="24"/>
          <w:szCs w:val="24"/>
        </w:rPr>
      </w:pPr>
      <w:r>
        <w:rPr>
          <w:b/>
          <w:color w:val="000000"/>
          <w:sz w:val="24"/>
          <w:szCs w:val="24"/>
        </w:rPr>
        <w:t>Recommendations from the UPR</w:t>
      </w:r>
      <w:r>
        <w:rPr>
          <w:b/>
          <w:color w:val="000000"/>
          <w:sz w:val="24"/>
          <w:szCs w:val="24"/>
        </w:rPr>
        <w:br/>
      </w:r>
    </w:p>
    <w:p w:rsidR="009F7CF7" w:rsidRDefault="00C6167C">
      <w:pPr>
        <w:pBdr>
          <w:top w:val="nil"/>
          <w:left w:val="nil"/>
          <w:bottom w:val="nil"/>
          <w:right w:val="nil"/>
          <w:between w:val="nil"/>
        </w:pBdr>
        <w:spacing w:after="0"/>
        <w:ind w:hanging="720"/>
        <w:rPr>
          <w:color w:val="000000"/>
          <w:sz w:val="24"/>
          <w:szCs w:val="24"/>
        </w:rPr>
      </w:pPr>
      <w:r>
        <w:rPr>
          <w:color w:val="000000"/>
          <w:sz w:val="24"/>
          <w:szCs w:val="24"/>
        </w:rPr>
        <w:t>The following recommendations from Botswana’s 2018 working group are relevant to the committee:</w:t>
      </w:r>
      <w:r>
        <w:rPr>
          <w:color w:val="000000"/>
          <w:sz w:val="24"/>
          <w:szCs w:val="24"/>
          <w:vertAlign w:val="superscript"/>
        </w:rPr>
        <w:footnoteReference w:id="30"/>
      </w:r>
      <w:r>
        <w:rPr>
          <w:color w:val="000000"/>
          <w:sz w:val="24"/>
          <w:szCs w:val="24"/>
        </w:rPr>
        <w:t xml:space="preserve"> </w:t>
      </w:r>
    </w:p>
    <w:p w:rsidR="009F7CF7" w:rsidRDefault="00C6167C">
      <w:pPr>
        <w:numPr>
          <w:ilvl w:val="0"/>
          <w:numId w:val="2"/>
        </w:numPr>
        <w:pBdr>
          <w:top w:val="nil"/>
          <w:left w:val="nil"/>
          <w:bottom w:val="nil"/>
          <w:right w:val="nil"/>
          <w:between w:val="nil"/>
        </w:pBdr>
        <w:spacing w:after="0"/>
        <w:contextualSpacing/>
        <w:rPr>
          <w:i/>
          <w:color w:val="000000"/>
          <w:sz w:val="24"/>
          <w:szCs w:val="24"/>
        </w:rPr>
      </w:pPr>
      <w:r>
        <w:rPr>
          <w:i/>
          <w:color w:val="000000"/>
          <w:sz w:val="24"/>
          <w:szCs w:val="24"/>
        </w:rPr>
        <w:t>7.64. Take all appropriate measures to ensure children’s access to quality education, including, when possible, education in their own language (Finland)</w:t>
      </w:r>
    </w:p>
    <w:p w:rsidR="009F7CF7" w:rsidRDefault="00C6167C">
      <w:pPr>
        <w:numPr>
          <w:ilvl w:val="0"/>
          <w:numId w:val="2"/>
        </w:numPr>
        <w:pBdr>
          <w:top w:val="nil"/>
          <w:left w:val="nil"/>
          <w:bottom w:val="nil"/>
          <w:right w:val="nil"/>
          <w:between w:val="nil"/>
        </w:pBdr>
        <w:spacing w:after="0"/>
        <w:contextualSpacing/>
        <w:rPr>
          <w:i/>
          <w:color w:val="000000"/>
          <w:sz w:val="24"/>
          <w:szCs w:val="24"/>
        </w:rPr>
      </w:pPr>
      <w:r>
        <w:rPr>
          <w:i/>
          <w:color w:val="000000"/>
          <w:sz w:val="24"/>
          <w:szCs w:val="24"/>
        </w:rPr>
        <w:t>7.69. Increase efforts in promoting the rights and well-being of indigenous peoples (Philippines)</w:t>
      </w:r>
    </w:p>
    <w:p w:rsidR="009F7CF7" w:rsidRDefault="00C6167C">
      <w:pPr>
        <w:numPr>
          <w:ilvl w:val="0"/>
          <w:numId w:val="2"/>
        </w:numPr>
        <w:pBdr>
          <w:top w:val="nil"/>
          <w:left w:val="nil"/>
          <w:bottom w:val="nil"/>
          <w:right w:val="nil"/>
          <w:between w:val="nil"/>
        </w:pBdr>
        <w:spacing w:after="0"/>
        <w:contextualSpacing/>
        <w:rPr>
          <w:i/>
          <w:color w:val="000000"/>
          <w:sz w:val="24"/>
          <w:szCs w:val="24"/>
        </w:rPr>
      </w:pPr>
      <w:r>
        <w:rPr>
          <w:i/>
          <w:color w:val="000000"/>
          <w:sz w:val="24"/>
          <w:szCs w:val="24"/>
        </w:rPr>
        <w:t>7.70. Strengthen measures to protect minorities and indigenous people living in the country (Benin)</w:t>
      </w:r>
    </w:p>
    <w:p w:rsidR="009F7CF7" w:rsidRDefault="00C6167C">
      <w:pPr>
        <w:numPr>
          <w:ilvl w:val="0"/>
          <w:numId w:val="2"/>
        </w:numPr>
        <w:pBdr>
          <w:top w:val="nil"/>
          <w:left w:val="nil"/>
          <w:bottom w:val="nil"/>
          <w:right w:val="nil"/>
          <w:between w:val="nil"/>
        </w:pBdr>
        <w:spacing w:after="0"/>
        <w:contextualSpacing/>
        <w:rPr>
          <w:i/>
          <w:color w:val="000000"/>
          <w:sz w:val="24"/>
          <w:szCs w:val="24"/>
        </w:rPr>
      </w:pPr>
      <w:r>
        <w:rPr>
          <w:i/>
          <w:color w:val="000000"/>
          <w:sz w:val="24"/>
          <w:szCs w:val="24"/>
        </w:rPr>
        <w:t>7.72. Ensure indigenous peoples receive proper access to public services and water, and repeal the hunting ban as recommended by the United Nations Special Rapporteur (Canada)</w:t>
      </w:r>
    </w:p>
    <w:p w:rsidR="009F7CF7" w:rsidRDefault="00C6167C">
      <w:pPr>
        <w:numPr>
          <w:ilvl w:val="0"/>
          <w:numId w:val="2"/>
        </w:numPr>
        <w:pBdr>
          <w:top w:val="nil"/>
          <w:left w:val="nil"/>
          <w:bottom w:val="nil"/>
          <w:right w:val="nil"/>
          <w:between w:val="nil"/>
        </w:pBdr>
        <w:spacing w:after="0"/>
        <w:contextualSpacing/>
        <w:rPr>
          <w:i/>
          <w:color w:val="000000"/>
          <w:sz w:val="24"/>
          <w:szCs w:val="24"/>
        </w:rPr>
      </w:pPr>
      <w:r>
        <w:rPr>
          <w:i/>
          <w:color w:val="000000"/>
          <w:sz w:val="24"/>
          <w:szCs w:val="24"/>
        </w:rPr>
        <w:t>8.41. Abolish practice of corporal punishment by introducing appropriate changes to the legislation (Russian Federation)</w:t>
      </w:r>
    </w:p>
    <w:p w:rsidR="009F7CF7" w:rsidRDefault="00C6167C">
      <w:pPr>
        <w:numPr>
          <w:ilvl w:val="0"/>
          <w:numId w:val="2"/>
        </w:numPr>
        <w:pBdr>
          <w:top w:val="nil"/>
          <w:left w:val="nil"/>
          <w:bottom w:val="nil"/>
          <w:right w:val="nil"/>
          <w:between w:val="nil"/>
        </w:pBdr>
        <w:spacing w:after="0"/>
        <w:contextualSpacing/>
        <w:rPr>
          <w:i/>
          <w:color w:val="000000"/>
          <w:sz w:val="24"/>
          <w:szCs w:val="24"/>
        </w:rPr>
      </w:pPr>
      <w:r>
        <w:rPr>
          <w:i/>
          <w:color w:val="000000"/>
          <w:sz w:val="24"/>
          <w:szCs w:val="24"/>
        </w:rPr>
        <w:t>8.42. Explicitly prohibit corporal punishment of children in all settings, including in the home, school and in penal institutions (Estonia)</w:t>
      </w:r>
    </w:p>
    <w:p w:rsidR="009F7CF7" w:rsidRDefault="00C6167C">
      <w:pPr>
        <w:numPr>
          <w:ilvl w:val="0"/>
          <w:numId w:val="2"/>
        </w:numPr>
        <w:pBdr>
          <w:top w:val="nil"/>
          <w:left w:val="nil"/>
          <w:bottom w:val="nil"/>
          <w:right w:val="nil"/>
          <w:between w:val="nil"/>
        </w:pBdr>
        <w:spacing w:after="0"/>
        <w:contextualSpacing/>
        <w:rPr>
          <w:i/>
          <w:color w:val="000000"/>
          <w:sz w:val="24"/>
          <w:szCs w:val="24"/>
        </w:rPr>
      </w:pPr>
      <w:r>
        <w:rPr>
          <w:i/>
          <w:color w:val="000000"/>
          <w:sz w:val="24"/>
          <w:szCs w:val="24"/>
        </w:rPr>
        <w:t>8.43. Outlaw corporal punishment in all settings (Kenya)</w:t>
      </w:r>
    </w:p>
    <w:p w:rsidR="009F7CF7" w:rsidRDefault="00C6167C">
      <w:pPr>
        <w:numPr>
          <w:ilvl w:val="0"/>
          <w:numId w:val="2"/>
        </w:numPr>
        <w:pBdr>
          <w:top w:val="nil"/>
          <w:left w:val="nil"/>
          <w:bottom w:val="nil"/>
          <w:right w:val="nil"/>
          <w:between w:val="nil"/>
        </w:pBdr>
        <w:spacing w:after="0"/>
        <w:contextualSpacing/>
        <w:rPr>
          <w:i/>
          <w:color w:val="000000"/>
          <w:sz w:val="24"/>
          <w:szCs w:val="24"/>
        </w:rPr>
      </w:pPr>
      <w:r>
        <w:rPr>
          <w:i/>
          <w:color w:val="000000"/>
          <w:sz w:val="24"/>
          <w:szCs w:val="24"/>
        </w:rPr>
        <w:t>8.7. Ratify the Indigenous and Tribal Peoples Convention No.169 of the International Labour Organization (Denmark)</w:t>
      </w:r>
      <w:r>
        <w:rPr>
          <w:i/>
          <w:color w:val="000000"/>
          <w:sz w:val="24"/>
          <w:szCs w:val="24"/>
        </w:rPr>
        <w:br/>
      </w:r>
    </w:p>
    <w:p w:rsidR="009F7CF7" w:rsidRDefault="00C6167C">
      <w:pPr>
        <w:numPr>
          <w:ilvl w:val="0"/>
          <w:numId w:val="5"/>
        </w:numPr>
        <w:pBdr>
          <w:top w:val="nil"/>
          <w:left w:val="nil"/>
          <w:bottom w:val="nil"/>
          <w:right w:val="nil"/>
          <w:between w:val="nil"/>
        </w:pBdr>
        <w:spacing w:after="0"/>
        <w:contextualSpacing/>
        <w:rPr>
          <w:color w:val="000000"/>
          <w:sz w:val="24"/>
          <w:szCs w:val="24"/>
        </w:rPr>
      </w:pPr>
      <w:r>
        <w:rPr>
          <w:b/>
          <w:color w:val="000000"/>
          <w:sz w:val="24"/>
          <w:szCs w:val="24"/>
        </w:rPr>
        <w:t>Questions</w:t>
      </w:r>
      <w:r>
        <w:rPr>
          <w:b/>
          <w:color w:val="000000"/>
          <w:sz w:val="24"/>
          <w:szCs w:val="24"/>
        </w:rPr>
        <w:br/>
      </w:r>
    </w:p>
    <w:p w:rsidR="009F7CF7" w:rsidRDefault="00C6167C">
      <w:pPr>
        <w:numPr>
          <w:ilvl w:val="0"/>
          <w:numId w:val="4"/>
        </w:numPr>
        <w:pBdr>
          <w:top w:val="nil"/>
          <w:left w:val="nil"/>
          <w:bottom w:val="nil"/>
          <w:right w:val="nil"/>
          <w:between w:val="nil"/>
        </w:pBdr>
        <w:spacing w:after="0"/>
        <w:contextualSpacing/>
      </w:pPr>
      <w:r>
        <w:rPr>
          <w:color w:val="000000"/>
        </w:rPr>
        <w:t xml:space="preserve">What steps are being taken to ensure that Indigenous </w:t>
      </w:r>
      <w:r>
        <w:t>c</w:t>
      </w:r>
      <w:r>
        <w:rPr>
          <w:color w:val="000000"/>
        </w:rPr>
        <w:t>hildren have convenient access to education?</w:t>
      </w:r>
    </w:p>
    <w:p w:rsidR="009F7CF7" w:rsidRDefault="00C6167C">
      <w:pPr>
        <w:numPr>
          <w:ilvl w:val="0"/>
          <w:numId w:val="4"/>
        </w:numPr>
        <w:pBdr>
          <w:top w:val="nil"/>
          <w:left w:val="nil"/>
          <w:bottom w:val="nil"/>
          <w:right w:val="nil"/>
          <w:between w:val="nil"/>
        </w:pBdr>
        <w:spacing w:after="0"/>
        <w:contextualSpacing/>
      </w:pPr>
      <w:r>
        <w:rPr>
          <w:color w:val="000000"/>
        </w:rPr>
        <w:t>How has the government addressed the issue of corporal punishment being used in the education system?</w:t>
      </w:r>
    </w:p>
    <w:p w:rsidR="009F7CF7" w:rsidRDefault="00C6167C">
      <w:pPr>
        <w:numPr>
          <w:ilvl w:val="0"/>
          <w:numId w:val="4"/>
        </w:numPr>
        <w:pBdr>
          <w:top w:val="nil"/>
          <w:left w:val="nil"/>
          <w:bottom w:val="nil"/>
          <w:right w:val="nil"/>
          <w:between w:val="nil"/>
        </w:pBdr>
        <w:spacing w:after="0"/>
        <w:contextualSpacing/>
      </w:pPr>
      <w:r>
        <w:rPr>
          <w:color w:val="000000"/>
        </w:rPr>
        <w:t xml:space="preserve">What efforts have been made to ensure that Indigenous </w:t>
      </w:r>
      <w:r>
        <w:t>c</w:t>
      </w:r>
      <w:r>
        <w:rPr>
          <w:color w:val="000000"/>
        </w:rPr>
        <w:t>hildren have access to education in their native language?</w:t>
      </w:r>
    </w:p>
    <w:p w:rsidR="009F7CF7" w:rsidRDefault="00C6167C">
      <w:pPr>
        <w:numPr>
          <w:ilvl w:val="0"/>
          <w:numId w:val="4"/>
        </w:numPr>
        <w:pBdr>
          <w:top w:val="nil"/>
          <w:left w:val="nil"/>
          <w:bottom w:val="nil"/>
          <w:right w:val="nil"/>
          <w:between w:val="nil"/>
        </w:pBdr>
        <w:spacing w:after="0"/>
        <w:contextualSpacing/>
      </w:pPr>
      <w:r>
        <w:rPr>
          <w:color w:val="000000"/>
        </w:rPr>
        <w:t>What steps have been taken to ensure that Indigenous</w:t>
      </w:r>
      <w:r>
        <w:t xml:space="preserve"> c</w:t>
      </w:r>
      <w:r>
        <w:rPr>
          <w:color w:val="000000"/>
        </w:rPr>
        <w:t>hildren receive an education that respects their traditional culture values?</w:t>
      </w:r>
      <w:r>
        <w:rPr>
          <w:color w:val="000000"/>
        </w:rPr>
        <w:br/>
      </w:r>
    </w:p>
    <w:p w:rsidR="009F7CF7" w:rsidRDefault="00C6167C">
      <w:pPr>
        <w:numPr>
          <w:ilvl w:val="0"/>
          <w:numId w:val="5"/>
        </w:numPr>
        <w:pBdr>
          <w:top w:val="nil"/>
          <w:left w:val="nil"/>
          <w:bottom w:val="nil"/>
          <w:right w:val="nil"/>
          <w:between w:val="nil"/>
        </w:pBdr>
        <w:spacing w:after="0"/>
        <w:contextualSpacing/>
        <w:rPr>
          <w:color w:val="000000"/>
          <w:sz w:val="24"/>
          <w:szCs w:val="24"/>
        </w:rPr>
      </w:pPr>
      <w:r>
        <w:rPr>
          <w:b/>
          <w:color w:val="000000"/>
          <w:sz w:val="24"/>
          <w:szCs w:val="24"/>
        </w:rPr>
        <w:t>Recommendations</w:t>
      </w:r>
      <w:r>
        <w:rPr>
          <w:b/>
          <w:color w:val="000000"/>
          <w:sz w:val="24"/>
          <w:szCs w:val="24"/>
        </w:rPr>
        <w:br/>
      </w:r>
    </w:p>
    <w:p w:rsidR="009F7CF7" w:rsidRDefault="00C6167C">
      <w:pPr>
        <w:pBdr>
          <w:top w:val="nil"/>
          <w:left w:val="nil"/>
          <w:bottom w:val="nil"/>
          <w:right w:val="nil"/>
          <w:between w:val="nil"/>
        </w:pBdr>
        <w:spacing w:after="0"/>
        <w:ind w:hanging="720"/>
        <w:rPr>
          <w:sz w:val="24"/>
          <w:szCs w:val="24"/>
        </w:rPr>
      </w:pPr>
      <w:r>
        <w:rPr>
          <w:color w:val="000000"/>
          <w:sz w:val="24"/>
          <w:szCs w:val="24"/>
        </w:rPr>
        <w:t>Cultural Survival recommends that the government of Botswana:</w:t>
      </w:r>
    </w:p>
    <w:p w:rsidR="009F7CF7" w:rsidRDefault="009F7CF7">
      <w:pPr>
        <w:pBdr>
          <w:top w:val="nil"/>
          <w:left w:val="nil"/>
          <w:bottom w:val="nil"/>
          <w:right w:val="nil"/>
          <w:between w:val="nil"/>
        </w:pBdr>
        <w:spacing w:after="0"/>
        <w:ind w:hanging="720"/>
        <w:rPr>
          <w:sz w:val="24"/>
          <w:szCs w:val="24"/>
        </w:rPr>
      </w:pPr>
    </w:p>
    <w:p w:rsidR="009F7CF7" w:rsidRDefault="00C6167C">
      <w:pPr>
        <w:pBdr>
          <w:top w:val="nil"/>
          <w:left w:val="nil"/>
          <w:bottom w:val="nil"/>
          <w:right w:val="nil"/>
          <w:between w:val="nil"/>
        </w:pBdr>
        <w:spacing w:after="0"/>
        <w:ind w:left="720" w:hanging="720"/>
        <w:rPr>
          <w:sz w:val="24"/>
          <w:szCs w:val="24"/>
        </w:rPr>
      </w:pPr>
      <w:r>
        <w:rPr>
          <w:sz w:val="24"/>
          <w:szCs w:val="24"/>
        </w:rPr>
        <w:t xml:space="preserve">1.  </w:t>
      </w:r>
      <w:r>
        <w:rPr>
          <w:sz w:val="24"/>
          <w:szCs w:val="24"/>
        </w:rPr>
        <w:tab/>
        <w:t>Recognize Indigenous Peoples within the constitution of Botswana and enact legislation that explicitly protects the rights of Indigenous Peoples.</w:t>
      </w:r>
    </w:p>
    <w:p w:rsidR="009F7CF7" w:rsidRDefault="00C6167C">
      <w:pPr>
        <w:pBdr>
          <w:top w:val="nil"/>
          <w:left w:val="nil"/>
          <w:bottom w:val="nil"/>
          <w:right w:val="nil"/>
          <w:between w:val="nil"/>
        </w:pBdr>
        <w:spacing w:after="0"/>
        <w:ind w:left="720" w:hanging="720"/>
        <w:rPr>
          <w:sz w:val="24"/>
          <w:szCs w:val="24"/>
        </w:rPr>
      </w:pPr>
      <w:r>
        <w:rPr>
          <w:sz w:val="24"/>
          <w:szCs w:val="24"/>
        </w:rPr>
        <w:t xml:space="preserve">2.  </w:t>
      </w:r>
      <w:r>
        <w:rPr>
          <w:sz w:val="24"/>
          <w:szCs w:val="24"/>
        </w:rPr>
        <w:tab/>
        <w:t>Recognize the authority of Indigenous chiefs and facilitate their participation in any official policy issues that affect their people.</w:t>
      </w:r>
    </w:p>
    <w:p w:rsidR="009F7CF7" w:rsidRDefault="00C6167C">
      <w:pPr>
        <w:pBdr>
          <w:top w:val="nil"/>
          <w:left w:val="nil"/>
          <w:bottom w:val="nil"/>
          <w:right w:val="nil"/>
          <w:between w:val="nil"/>
        </w:pBdr>
        <w:spacing w:after="0"/>
        <w:ind w:left="720" w:hanging="720"/>
        <w:rPr>
          <w:sz w:val="24"/>
          <w:szCs w:val="24"/>
        </w:rPr>
      </w:pPr>
      <w:r>
        <w:rPr>
          <w:sz w:val="24"/>
          <w:szCs w:val="24"/>
        </w:rPr>
        <w:t xml:space="preserve">3.  </w:t>
      </w:r>
      <w:r>
        <w:rPr>
          <w:sz w:val="24"/>
          <w:szCs w:val="24"/>
        </w:rPr>
        <w:tab/>
        <w:t>Engage Indigenous Peoples to develop policies for the sustainable use of resources by Indigenous Peoples within the Central Kalahari Game Reserves and other federally-protected land which they have traditionally lived on, and compensate those Indigenous Peoples who were forced to relocate.</w:t>
      </w:r>
    </w:p>
    <w:p w:rsidR="009F7CF7" w:rsidRDefault="00C6167C">
      <w:pPr>
        <w:pBdr>
          <w:top w:val="nil"/>
          <w:left w:val="nil"/>
          <w:bottom w:val="nil"/>
          <w:right w:val="nil"/>
          <w:between w:val="nil"/>
        </w:pBdr>
        <w:spacing w:after="0"/>
        <w:ind w:left="720" w:hanging="720"/>
        <w:rPr>
          <w:sz w:val="24"/>
          <w:szCs w:val="24"/>
        </w:rPr>
      </w:pPr>
      <w:r>
        <w:rPr>
          <w:sz w:val="24"/>
          <w:szCs w:val="24"/>
        </w:rPr>
        <w:t xml:space="preserve">4.  </w:t>
      </w:r>
      <w:r>
        <w:rPr>
          <w:sz w:val="24"/>
          <w:szCs w:val="24"/>
        </w:rPr>
        <w:tab/>
        <w:t>Consider a co-management policy of National Parks and Wildlife Conservation Areas with Indigenous Peoples.</w:t>
      </w:r>
    </w:p>
    <w:p w:rsidR="009F7CF7" w:rsidRDefault="00C6167C">
      <w:pPr>
        <w:pBdr>
          <w:top w:val="nil"/>
          <w:left w:val="nil"/>
          <w:bottom w:val="nil"/>
          <w:right w:val="nil"/>
          <w:between w:val="nil"/>
        </w:pBdr>
        <w:spacing w:after="0"/>
        <w:ind w:left="720" w:hanging="720"/>
        <w:rPr>
          <w:sz w:val="24"/>
          <w:szCs w:val="24"/>
        </w:rPr>
      </w:pPr>
      <w:r>
        <w:rPr>
          <w:sz w:val="24"/>
          <w:szCs w:val="24"/>
        </w:rPr>
        <w:t xml:space="preserve">5.  </w:t>
      </w:r>
      <w:r>
        <w:rPr>
          <w:sz w:val="24"/>
          <w:szCs w:val="24"/>
        </w:rPr>
        <w:tab/>
        <w:t>Amend the Acquisition of Property Law and Tribal Land Act to establish a specific timeline for compensation.</w:t>
      </w:r>
    </w:p>
    <w:p w:rsidR="009F7CF7" w:rsidRDefault="00C6167C">
      <w:pPr>
        <w:pBdr>
          <w:top w:val="nil"/>
          <w:left w:val="nil"/>
          <w:bottom w:val="nil"/>
          <w:right w:val="nil"/>
          <w:between w:val="nil"/>
        </w:pBdr>
        <w:spacing w:after="0"/>
        <w:ind w:left="720" w:hanging="720"/>
        <w:rPr>
          <w:sz w:val="24"/>
          <w:szCs w:val="24"/>
        </w:rPr>
      </w:pPr>
      <w:r>
        <w:rPr>
          <w:sz w:val="24"/>
          <w:szCs w:val="24"/>
        </w:rPr>
        <w:t xml:space="preserve">6.  </w:t>
      </w:r>
      <w:r>
        <w:rPr>
          <w:sz w:val="24"/>
          <w:szCs w:val="24"/>
        </w:rPr>
        <w:tab/>
        <w:t>Immediately end the “shoot-to-kill” policy for Indigenous hunters or ‘poachers’.</w:t>
      </w:r>
    </w:p>
    <w:p w:rsidR="009F7CF7" w:rsidRDefault="00C6167C">
      <w:pPr>
        <w:pBdr>
          <w:top w:val="nil"/>
          <w:left w:val="nil"/>
          <w:bottom w:val="nil"/>
          <w:right w:val="nil"/>
          <w:between w:val="nil"/>
        </w:pBdr>
        <w:spacing w:after="0"/>
        <w:ind w:left="720" w:hanging="720"/>
        <w:rPr>
          <w:sz w:val="24"/>
          <w:szCs w:val="24"/>
        </w:rPr>
      </w:pPr>
      <w:r>
        <w:rPr>
          <w:sz w:val="24"/>
          <w:szCs w:val="24"/>
        </w:rPr>
        <w:t xml:space="preserve">7.  </w:t>
      </w:r>
      <w:r>
        <w:rPr>
          <w:sz w:val="24"/>
          <w:szCs w:val="24"/>
        </w:rPr>
        <w:tab/>
        <w:t>Engage Indigenous Peoples to develop a benefits sharing policy regarding tourism on their land.</w:t>
      </w:r>
    </w:p>
    <w:p w:rsidR="009F7CF7" w:rsidRDefault="00C6167C">
      <w:pPr>
        <w:pBdr>
          <w:top w:val="nil"/>
          <w:left w:val="nil"/>
          <w:bottom w:val="nil"/>
          <w:right w:val="nil"/>
          <w:between w:val="nil"/>
        </w:pBdr>
        <w:spacing w:after="0"/>
        <w:ind w:left="720" w:hanging="720"/>
        <w:rPr>
          <w:sz w:val="24"/>
          <w:szCs w:val="24"/>
        </w:rPr>
      </w:pPr>
      <w:r>
        <w:rPr>
          <w:sz w:val="24"/>
          <w:szCs w:val="24"/>
        </w:rPr>
        <w:t xml:space="preserve">8.  </w:t>
      </w:r>
      <w:r>
        <w:rPr>
          <w:sz w:val="24"/>
          <w:szCs w:val="24"/>
        </w:rPr>
        <w:tab/>
        <w:t>Ensure that all Indigenous Peoples have adequate access to clean water.</w:t>
      </w:r>
    </w:p>
    <w:p w:rsidR="009F7CF7" w:rsidRDefault="00C6167C">
      <w:pPr>
        <w:pBdr>
          <w:top w:val="nil"/>
          <w:left w:val="nil"/>
          <w:bottom w:val="nil"/>
          <w:right w:val="nil"/>
          <w:between w:val="nil"/>
        </w:pBdr>
        <w:spacing w:after="0"/>
        <w:ind w:left="720" w:hanging="720"/>
        <w:rPr>
          <w:sz w:val="24"/>
          <w:szCs w:val="24"/>
        </w:rPr>
      </w:pPr>
      <w:r>
        <w:rPr>
          <w:sz w:val="24"/>
          <w:szCs w:val="24"/>
        </w:rPr>
        <w:t>9.          With the participation of Indigenous Peoples and children, develop policies to improve Indigenous children’s access to education.</w:t>
      </w:r>
    </w:p>
    <w:p w:rsidR="009F7CF7" w:rsidRDefault="00C6167C">
      <w:pPr>
        <w:pBdr>
          <w:top w:val="nil"/>
          <w:left w:val="nil"/>
          <w:bottom w:val="nil"/>
          <w:right w:val="nil"/>
          <w:between w:val="nil"/>
        </w:pBdr>
        <w:spacing w:after="0"/>
        <w:ind w:left="720" w:hanging="720"/>
        <w:rPr>
          <w:sz w:val="24"/>
          <w:szCs w:val="24"/>
        </w:rPr>
      </w:pPr>
      <w:r>
        <w:rPr>
          <w:sz w:val="24"/>
          <w:szCs w:val="24"/>
        </w:rPr>
        <w:t>10.        Immediately end the practice of corporal punishment in schools.</w:t>
      </w:r>
    </w:p>
    <w:p w:rsidR="009F7CF7" w:rsidRDefault="00C6167C">
      <w:pPr>
        <w:pBdr>
          <w:top w:val="nil"/>
          <w:left w:val="nil"/>
          <w:bottom w:val="nil"/>
          <w:right w:val="nil"/>
          <w:between w:val="nil"/>
        </w:pBdr>
        <w:spacing w:after="0"/>
        <w:ind w:left="720" w:hanging="720"/>
        <w:rPr>
          <w:sz w:val="24"/>
          <w:szCs w:val="24"/>
        </w:rPr>
      </w:pPr>
      <w:r>
        <w:rPr>
          <w:sz w:val="24"/>
          <w:szCs w:val="24"/>
        </w:rPr>
        <w:t>11.        With the participation of Indigenous Peoples, create and implement Indigenous-language curriculum.</w:t>
      </w:r>
    </w:p>
    <w:p w:rsidR="009F7CF7" w:rsidRDefault="00C6167C">
      <w:pPr>
        <w:spacing w:after="0" w:line="276" w:lineRule="auto"/>
        <w:ind w:left="720"/>
        <w:rPr>
          <w:sz w:val="24"/>
          <w:szCs w:val="24"/>
        </w:rPr>
      </w:pPr>
      <w:r>
        <w:rPr>
          <w:sz w:val="24"/>
          <w:szCs w:val="24"/>
        </w:rPr>
        <w:t>12.        Ensure Indigenous participation in decision-making at all levels in all matters affecting them.</w:t>
      </w:r>
    </w:p>
    <w:p w:rsidR="009F7CF7" w:rsidRDefault="00C6167C">
      <w:pPr>
        <w:spacing w:after="0" w:line="276" w:lineRule="auto"/>
        <w:ind w:left="720"/>
        <w:rPr>
          <w:sz w:val="24"/>
          <w:szCs w:val="24"/>
        </w:rPr>
      </w:pPr>
      <w:r>
        <w:rPr>
          <w:sz w:val="24"/>
          <w:szCs w:val="24"/>
        </w:rPr>
        <w:t>13.         Invite the UN Special Rapporteur on the Rights of Indigenous Peoples to visit Botswana.</w:t>
      </w:r>
    </w:p>
    <w:p w:rsidR="009F7CF7" w:rsidRDefault="00C6167C">
      <w:pPr>
        <w:spacing w:after="0" w:line="276" w:lineRule="auto"/>
        <w:ind w:left="720"/>
        <w:jc w:val="both"/>
        <w:rPr>
          <w:sz w:val="24"/>
          <w:szCs w:val="24"/>
        </w:rPr>
      </w:pPr>
      <w:r>
        <w:rPr>
          <w:sz w:val="24"/>
          <w:szCs w:val="24"/>
        </w:rPr>
        <w:t>14.       Create a National Action plan on implementing the rights of Indigenous Peoples based on the World Conference on Indigenous Peoples’ Outcome Document.</w:t>
      </w:r>
    </w:p>
    <w:p w:rsidR="009F7CF7" w:rsidRDefault="009F7CF7">
      <w:pPr>
        <w:pBdr>
          <w:top w:val="nil"/>
          <w:left w:val="nil"/>
          <w:bottom w:val="nil"/>
          <w:right w:val="nil"/>
          <w:between w:val="nil"/>
        </w:pBdr>
        <w:spacing w:after="0"/>
        <w:ind w:left="720" w:hanging="720"/>
        <w:rPr>
          <w:sz w:val="24"/>
          <w:szCs w:val="24"/>
        </w:rPr>
      </w:pPr>
    </w:p>
    <w:p w:rsidR="009F7CF7" w:rsidRDefault="009F7CF7">
      <w:pPr>
        <w:pBdr>
          <w:top w:val="nil"/>
          <w:left w:val="nil"/>
          <w:bottom w:val="nil"/>
          <w:right w:val="nil"/>
          <w:between w:val="nil"/>
        </w:pBdr>
        <w:spacing w:after="0"/>
        <w:ind w:left="720" w:hanging="720"/>
        <w:rPr>
          <w:color w:val="000000"/>
          <w:sz w:val="24"/>
          <w:szCs w:val="24"/>
        </w:rPr>
      </w:pPr>
    </w:p>
    <w:p w:rsidR="009F7CF7" w:rsidRDefault="009F7CF7">
      <w:pPr>
        <w:pBdr>
          <w:top w:val="nil"/>
          <w:left w:val="nil"/>
          <w:bottom w:val="nil"/>
          <w:right w:val="nil"/>
          <w:between w:val="nil"/>
        </w:pBdr>
        <w:spacing w:after="0"/>
        <w:ind w:hanging="720"/>
        <w:rPr>
          <w:color w:val="000000"/>
          <w:sz w:val="24"/>
          <w:szCs w:val="24"/>
        </w:rPr>
      </w:pPr>
    </w:p>
    <w:p w:rsidR="009F7CF7" w:rsidRDefault="009F7CF7">
      <w:pPr>
        <w:pBdr>
          <w:top w:val="nil"/>
          <w:left w:val="nil"/>
          <w:bottom w:val="nil"/>
          <w:right w:val="nil"/>
          <w:between w:val="nil"/>
        </w:pBdr>
        <w:spacing w:after="0"/>
        <w:ind w:left="720" w:hanging="720"/>
        <w:rPr>
          <w:color w:val="000000"/>
          <w:sz w:val="24"/>
          <w:szCs w:val="24"/>
        </w:rPr>
      </w:pPr>
    </w:p>
    <w:p w:rsidR="009F7CF7" w:rsidRDefault="009F7CF7">
      <w:pPr>
        <w:pBdr>
          <w:top w:val="nil"/>
          <w:left w:val="nil"/>
          <w:bottom w:val="nil"/>
          <w:right w:val="nil"/>
          <w:between w:val="nil"/>
        </w:pBdr>
        <w:spacing w:after="0"/>
        <w:ind w:left="720" w:hanging="720"/>
        <w:rPr>
          <w:color w:val="000000"/>
          <w:sz w:val="24"/>
          <w:szCs w:val="24"/>
        </w:rPr>
      </w:pPr>
    </w:p>
    <w:p w:rsidR="009F7CF7" w:rsidRDefault="00C6167C">
      <w:pPr>
        <w:pBdr>
          <w:top w:val="nil"/>
          <w:left w:val="nil"/>
          <w:bottom w:val="nil"/>
          <w:right w:val="nil"/>
          <w:between w:val="nil"/>
        </w:pBdr>
        <w:spacing w:after="0"/>
        <w:ind w:left="720" w:hanging="720"/>
        <w:rPr>
          <w:color w:val="000000"/>
          <w:sz w:val="24"/>
          <w:szCs w:val="24"/>
        </w:rPr>
      </w:pPr>
      <w:r>
        <w:rPr>
          <w:color w:val="000000"/>
          <w:sz w:val="24"/>
          <w:szCs w:val="24"/>
        </w:rPr>
        <w:t xml:space="preserve"> </w:t>
      </w:r>
    </w:p>
    <w:p w:rsidR="009F7CF7" w:rsidRDefault="009F7CF7">
      <w:pPr>
        <w:pBdr>
          <w:top w:val="nil"/>
          <w:left w:val="nil"/>
          <w:bottom w:val="nil"/>
          <w:right w:val="nil"/>
          <w:between w:val="nil"/>
        </w:pBdr>
        <w:ind w:left="720" w:hanging="720"/>
        <w:rPr>
          <w:color w:val="000000"/>
          <w:sz w:val="24"/>
          <w:szCs w:val="24"/>
        </w:rPr>
      </w:pPr>
    </w:p>
    <w:p w:rsidR="009F7CF7" w:rsidRDefault="00C6167C">
      <w:pPr>
        <w:ind w:left="1080"/>
        <w:rPr>
          <w:sz w:val="24"/>
          <w:szCs w:val="24"/>
        </w:rPr>
      </w:pPr>
      <w:r>
        <w:rPr>
          <w:sz w:val="24"/>
          <w:szCs w:val="24"/>
        </w:rPr>
        <w:br/>
      </w:r>
    </w:p>
    <w:p w:rsidR="009F7CF7" w:rsidRDefault="009F7CF7">
      <w:pPr>
        <w:pBdr>
          <w:top w:val="nil"/>
          <w:left w:val="nil"/>
          <w:bottom w:val="nil"/>
          <w:right w:val="nil"/>
          <w:between w:val="nil"/>
        </w:pBdr>
        <w:spacing w:after="0"/>
        <w:ind w:left="720" w:hanging="720"/>
        <w:rPr>
          <w:color w:val="000000"/>
          <w:sz w:val="24"/>
          <w:szCs w:val="24"/>
        </w:rPr>
      </w:pPr>
    </w:p>
    <w:p w:rsidR="009F7CF7" w:rsidRDefault="009F7CF7">
      <w:pPr>
        <w:pBdr>
          <w:top w:val="nil"/>
          <w:left w:val="nil"/>
          <w:bottom w:val="nil"/>
          <w:right w:val="nil"/>
          <w:between w:val="nil"/>
        </w:pBdr>
        <w:ind w:hanging="720"/>
        <w:rPr>
          <w:color w:val="000000"/>
          <w:sz w:val="24"/>
          <w:szCs w:val="24"/>
        </w:rPr>
      </w:pPr>
    </w:p>
    <w:sectPr w:rsidR="009F7CF7">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67C" w:rsidRDefault="00C6167C">
      <w:pPr>
        <w:spacing w:after="0" w:line="240" w:lineRule="auto"/>
      </w:pPr>
      <w:r>
        <w:separator/>
      </w:r>
    </w:p>
  </w:endnote>
  <w:endnote w:type="continuationSeparator" w:id="0">
    <w:p w:rsidR="00C6167C" w:rsidRDefault="00C61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CF7" w:rsidRDefault="00C6167C">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1191E">
      <w:rPr>
        <w:noProof/>
        <w:color w:val="000000"/>
      </w:rPr>
      <w:t>1</w:t>
    </w:r>
    <w:r>
      <w:rPr>
        <w:color w:val="000000"/>
      </w:rPr>
      <w:fldChar w:fldCharType="end"/>
    </w:r>
  </w:p>
  <w:p w:rsidR="009F7CF7" w:rsidRDefault="009F7CF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67C" w:rsidRDefault="00C6167C">
      <w:pPr>
        <w:spacing w:after="0" w:line="240" w:lineRule="auto"/>
      </w:pPr>
      <w:r>
        <w:separator/>
      </w:r>
    </w:p>
  </w:footnote>
  <w:footnote w:type="continuationSeparator" w:id="0">
    <w:p w:rsidR="00C6167C" w:rsidRDefault="00C6167C">
      <w:pPr>
        <w:spacing w:after="0" w:line="240" w:lineRule="auto"/>
      </w:pPr>
      <w:r>
        <w:continuationSeparator/>
      </w:r>
    </w:p>
  </w:footnote>
  <w:footnote w:id="1">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Hitchcock, Robert, Maria Sapignoli, Wayne A. Babchuk and Judith Frost. “Botswana.”</w:t>
      </w:r>
    </w:p>
  </w:footnote>
  <w:footnote w:id="2">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w:t>
      </w:r>
    </w:p>
  </w:footnote>
  <w:footnote w:id="3">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Nama</w:t>
      </w:r>
      <w:r>
        <w:rPr>
          <w:color w:val="000000"/>
          <w:sz w:val="20"/>
          <w:szCs w:val="20"/>
        </w:rPr>
        <w:t xml:space="preserve">. Encyclopedia Britannica, 14 Dec. 2007, </w:t>
      </w:r>
      <w:hyperlink r:id="rId1">
        <w:r>
          <w:rPr>
            <w:color w:val="0563C1"/>
            <w:sz w:val="20"/>
            <w:szCs w:val="20"/>
            <w:u w:val="single"/>
          </w:rPr>
          <w:t>https://www.britannica.com/topic/Nama-people</w:t>
        </w:r>
      </w:hyperlink>
      <w:r>
        <w:rPr>
          <w:color w:val="000000"/>
          <w:sz w:val="20"/>
          <w:szCs w:val="20"/>
        </w:rPr>
        <w:t xml:space="preserve">. </w:t>
      </w:r>
    </w:p>
  </w:footnote>
  <w:footnote w:id="4">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Indigenous peoples in Botswana</w:t>
      </w:r>
      <w:r>
        <w:rPr>
          <w:color w:val="000000"/>
          <w:sz w:val="20"/>
          <w:szCs w:val="20"/>
        </w:rPr>
        <w:t xml:space="preserve">. IWGIA, </w:t>
      </w:r>
      <w:hyperlink r:id="rId2">
        <w:r>
          <w:rPr>
            <w:color w:val="0563C1"/>
            <w:sz w:val="20"/>
            <w:szCs w:val="20"/>
            <w:u w:val="single"/>
          </w:rPr>
          <w:t>https://www.iwgia.org/en/botswana</w:t>
        </w:r>
      </w:hyperlink>
      <w:r>
        <w:rPr>
          <w:color w:val="000000"/>
          <w:sz w:val="20"/>
          <w:szCs w:val="20"/>
        </w:rPr>
        <w:t xml:space="preserve">. </w:t>
      </w:r>
    </w:p>
  </w:footnote>
  <w:footnote w:id="5">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Botswana, </w:t>
      </w:r>
      <w:r>
        <w:rPr>
          <w:i/>
          <w:color w:val="000000"/>
          <w:sz w:val="20"/>
          <w:szCs w:val="20"/>
        </w:rPr>
        <w:t>Combined 2</w:t>
      </w:r>
      <w:r>
        <w:rPr>
          <w:i/>
          <w:color w:val="000000"/>
          <w:sz w:val="20"/>
          <w:szCs w:val="20"/>
          <w:vertAlign w:val="superscript"/>
        </w:rPr>
        <w:t>nd</w:t>
      </w:r>
      <w:r>
        <w:rPr>
          <w:i/>
          <w:color w:val="000000"/>
          <w:sz w:val="20"/>
          <w:szCs w:val="20"/>
        </w:rPr>
        <w:t>, 3</w:t>
      </w:r>
      <w:r>
        <w:rPr>
          <w:i/>
          <w:color w:val="000000"/>
          <w:sz w:val="20"/>
          <w:szCs w:val="20"/>
          <w:vertAlign w:val="superscript"/>
        </w:rPr>
        <w:t>rd</w:t>
      </w:r>
      <w:r>
        <w:rPr>
          <w:i/>
          <w:color w:val="000000"/>
          <w:sz w:val="20"/>
          <w:szCs w:val="20"/>
        </w:rPr>
        <w:t>, and 4</w:t>
      </w:r>
      <w:r>
        <w:rPr>
          <w:i/>
          <w:color w:val="000000"/>
          <w:sz w:val="20"/>
          <w:szCs w:val="20"/>
          <w:vertAlign w:val="superscript"/>
        </w:rPr>
        <w:t>th</w:t>
      </w:r>
      <w:r>
        <w:rPr>
          <w:i/>
          <w:color w:val="000000"/>
          <w:sz w:val="20"/>
          <w:szCs w:val="20"/>
        </w:rPr>
        <w:t xml:space="preserve"> periodic reports of States parties due in 2015</w:t>
      </w:r>
      <w:r>
        <w:rPr>
          <w:color w:val="000000"/>
          <w:sz w:val="20"/>
          <w:szCs w:val="20"/>
        </w:rPr>
        <w:t xml:space="preserve">, CRC/C/BWA/2-3 (September 2017), </w:t>
      </w:r>
      <w:hyperlink r:id="rId3">
        <w:r>
          <w:rPr>
            <w:color w:val="0563C1"/>
            <w:sz w:val="20"/>
            <w:szCs w:val="20"/>
            <w:u w:val="single"/>
          </w:rPr>
          <w:t>https://tbinternet.ohchr.org/_layouts/treatybodyexternal/Download.aspx?symbolno=CRC%2fC%2fBWA%2f2-3&amp;Lang=en</w:t>
        </w:r>
      </w:hyperlink>
      <w:r>
        <w:rPr>
          <w:color w:val="000000"/>
          <w:sz w:val="20"/>
          <w:szCs w:val="20"/>
        </w:rPr>
        <w:t xml:space="preserve"> [Hereinafter Botswana State Report].</w:t>
      </w:r>
    </w:p>
  </w:footnote>
  <w:footnote w:id="6">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Reporting Status for Botswana</w:t>
      </w:r>
      <w:r>
        <w:rPr>
          <w:color w:val="000000"/>
          <w:sz w:val="20"/>
          <w:szCs w:val="20"/>
        </w:rPr>
        <w:t xml:space="preserve">. UN OHCHR, </w:t>
      </w:r>
      <w:hyperlink r:id="rId4">
        <w:r>
          <w:rPr>
            <w:color w:val="0563C1"/>
            <w:sz w:val="20"/>
            <w:szCs w:val="20"/>
            <w:u w:val="single"/>
          </w:rPr>
          <w:t>https://tbinternet.ohchr.org/_layouts/TreatyBodyExternal/Countries.aspx</w:t>
        </w:r>
      </w:hyperlink>
      <w:r>
        <w:rPr>
          <w:color w:val="000000"/>
          <w:sz w:val="20"/>
          <w:szCs w:val="20"/>
        </w:rPr>
        <w:t xml:space="preserve">. </w:t>
      </w:r>
    </w:p>
  </w:footnote>
  <w:footnote w:id="7">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UNICEF. “UNICEF: Indigenous children left behind in their countries’ progress” August 9, 2014.</w:t>
      </w:r>
    </w:p>
  </w:footnote>
  <w:footnote w:id="8">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Education in Botswana</w:t>
      </w:r>
      <w:r>
        <w:rPr>
          <w:color w:val="000000"/>
          <w:sz w:val="20"/>
          <w:szCs w:val="20"/>
        </w:rPr>
        <w:t xml:space="preserve">. K12 academics, </w:t>
      </w:r>
      <w:hyperlink r:id="rId5">
        <w:r>
          <w:rPr>
            <w:color w:val="0563C1"/>
            <w:sz w:val="20"/>
            <w:szCs w:val="20"/>
            <w:u w:val="single"/>
          </w:rPr>
          <w:t>https://www.k12academics.com/Education%20Worldwide/education-botswana</w:t>
        </w:r>
      </w:hyperlink>
      <w:r>
        <w:rPr>
          <w:color w:val="000000"/>
          <w:sz w:val="20"/>
          <w:szCs w:val="20"/>
        </w:rPr>
        <w:t xml:space="preserve">. </w:t>
      </w:r>
    </w:p>
  </w:footnote>
  <w:footnote w:id="9">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Botswana State Report at 184.</w:t>
      </w:r>
    </w:p>
  </w:footnote>
  <w:footnote w:id="10">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SALESHANDO SAYS BOTSWANA’S EDUCATION SYSTEM MARGINALISES THE POOR</w:t>
      </w:r>
      <w:r>
        <w:rPr>
          <w:color w:val="000000"/>
          <w:sz w:val="20"/>
          <w:szCs w:val="20"/>
        </w:rPr>
        <w:t xml:space="preserve">. Sunday Standard, 12 December 2011, </w:t>
      </w:r>
      <w:hyperlink r:id="rId6">
        <w:r>
          <w:rPr>
            <w:color w:val="0563C1"/>
            <w:sz w:val="20"/>
            <w:szCs w:val="20"/>
            <w:u w:val="single"/>
          </w:rPr>
          <w:t>http://www.sundaystandard.info/saleshando-says-botswana%E2%80%99s-education-system-marginalises-poor</w:t>
        </w:r>
      </w:hyperlink>
      <w:r>
        <w:rPr>
          <w:color w:val="000000"/>
          <w:sz w:val="20"/>
          <w:szCs w:val="20"/>
        </w:rPr>
        <w:t xml:space="preserve">. </w:t>
      </w:r>
    </w:p>
  </w:footnote>
  <w:footnote w:id="11">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i/>
          <w:color w:val="000000"/>
          <w:sz w:val="20"/>
          <w:szCs w:val="20"/>
        </w:rPr>
        <w:t>State of the World’s Indigenous Peoples: Education</w:t>
      </w:r>
      <w:r>
        <w:rPr>
          <w:color w:val="000000"/>
          <w:sz w:val="20"/>
          <w:szCs w:val="20"/>
        </w:rPr>
        <w:t xml:space="preserve">. United Nations, ST/ESA/368 (2017), </w:t>
      </w:r>
      <w:hyperlink r:id="rId7">
        <w:r>
          <w:rPr>
            <w:color w:val="0563C1"/>
            <w:sz w:val="20"/>
            <w:szCs w:val="20"/>
            <w:u w:val="single"/>
          </w:rPr>
          <w:t>https://www.un.org/development/desa/indigenouspeoples/wp-content/uploads/sites/19/2017/12/State-of-Worlds-Indigenous-Peoples_III_WEB2018.pdf</w:t>
        </w:r>
      </w:hyperlink>
      <w:r>
        <w:rPr>
          <w:color w:val="000000"/>
          <w:sz w:val="20"/>
          <w:szCs w:val="20"/>
        </w:rPr>
        <w:t xml:space="preserve">. </w:t>
      </w:r>
    </w:p>
  </w:footnote>
  <w:footnote w:id="12">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w:t>
      </w:r>
    </w:p>
  </w:footnote>
  <w:footnote w:id="13">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w:t>
      </w:r>
    </w:p>
  </w:footnote>
  <w:footnote w:id="14">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w:t>
      </w:r>
    </w:p>
  </w:footnote>
  <w:footnote w:id="15">
    <w:p w:rsidR="009F7CF7" w:rsidRDefault="00C6167C">
      <w:pPr>
        <w:pBdr>
          <w:top w:val="nil"/>
          <w:left w:val="nil"/>
          <w:bottom w:val="nil"/>
          <w:right w:val="nil"/>
          <w:between w:val="nil"/>
        </w:pBdr>
        <w:spacing w:after="0" w:line="240" w:lineRule="auto"/>
        <w:rPr>
          <w:color w:val="000000"/>
          <w:sz w:val="20"/>
          <w:szCs w:val="20"/>
        </w:rPr>
      </w:pPr>
      <w:bookmarkStart w:id="3" w:name="_30j0zll" w:colFirst="0" w:colLast="0"/>
      <w:bookmarkEnd w:id="3"/>
      <w:r>
        <w:rPr>
          <w:vertAlign w:val="superscript"/>
        </w:rPr>
        <w:footnoteRef/>
      </w:r>
      <w:r>
        <w:rPr>
          <w:color w:val="000000"/>
          <w:sz w:val="20"/>
          <w:szCs w:val="20"/>
        </w:rPr>
        <w:t xml:space="preserve"> </w:t>
      </w:r>
      <w:r>
        <w:rPr>
          <w:i/>
          <w:color w:val="000000"/>
          <w:sz w:val="20"/>
          <w:szCs w:val="20"/>
        </w:rPr>
        <w:t>Tswanification of the curriculum</w:t>
      </w:r>
      <w:r>
        <w:rPr>
          <w:color w:val="000000"/>
          <w:sz w:val="20"/>
          <w:szCs w:val="20"/>
        </w:rPr>
        <w:t xml:space="preserve">. K12 academics,  </w:t>
      </w:r>
      <w:hyperlink r:id="rId8">
        <w:r>
          <w:rPr>
            <w:color w:val="0563C1"/>
            <w:sz w:val="20"/>
            <w:szCs w:val="20"/>
            <w:u w:val="single"/>
          </w:rPr>
          <w:t>https://www.k12academics.com/Education%20Worldwide/Education%20in%20Botswana/tswanification-curriculum</w:t>
        </w:r>
      </w:hyperlink>
      <w:r>
        <w:rPr>
          <w:color w:val="000000"/>
          <w:sz w:val="20"/>
          <w:szCs w:val="20"/>
        </w:rPr>
        <w:t>,   [Hereinafter Tswanification of the curriculum].</w:t>
      </w:r>
    </w:p>
  </w:footnote>
  <w:footnote w:id="16">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Wagner, Rachelle. </w:t>
      </w:r>
      <w:r>
        <w:rPr>
          <w:i/>
          <w:color w:val="000000"/>
          <w:sz w:val="20"/>
          <w:szCs w:val="20"/>
        </w:rPr>
        <w:t>An Endless Desert Walk: Perspectives of Education from the San in Botswana</w:t>
      </w:r>
      <w:r>
        <w:rPr>
          <w:color w:val="000000"/>
          <w:sz w:val="20"/>
          <w:szCs w:val="20"/>
        </w:rPr>
        <w:t xml:space="preserve">. University of Pennsylvania, 1 January 2006, </w:t>
      </w:r>
      <w:hyperlink r:id="rId9">
        <w:r>
          <w:rPr>
            <w:color w:val="0563C1"/>
            <w:sz w:val="20"/>
            <w:szCs w:val="20"/>
            <w:u w:val="single"/>
          </w:rPr>
          <w:t>https://repository.upenn.edu/cgi/viewcontent.cgi?article=1051&amp;context=gse_pubs</w:t>
        </w:r>
      </w:hyperlink>
      <w:r>
        <w:rPr>
          <w:color w:val="000000"/>
          <w:sz w:val="20"/>
          <w:szCs w:val="20"/>
        </w:rPr>
        <w:t>,  [Hereinafter Desert Walk].</w:t>
      </w:r>
    </w:p>
  </w:footnote>
  <w:footnote w:id="17">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w:t>
      </w:r>
    </w:p>
  </w:footnote>
  <w:footnote w:id="18">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Tswanification of the curriculum.</w:t>
      </w:r>
    </w:p>
  </w:footnote>
  <w:footnote w:id="19">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Desert Walk.</w:t>
      </w:r>
    </w:p>
  </w:footnote>
  <w:footnote w:id="20">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Nkhoma, Wongani. </w:t>
      </w:r>
      <w:r>
        <w:rPr>
          <w:i/>
          <w:color w:val="000000"/>
          <w:sz w:val="20"/>
          <w:szCs w:val="20"/>
        </w:rPr>
        <w:t>Rethinking Indigenous Education and Schooling for San Children</w:t>
      </w:r>
      <w:r>
        <w:rPr>
          <w:color w:val="000000"/>
          <w:sz w:val="20"/>
          <w:szCs w:val="20"/>
        </w:rPr>
        <w:t xml:space="preserve">. Open Society Initiative for Southern Africa, 20 June 2012, </w:t>
      </w:r>
      <w:hyperlink r:id="rId10">
        <w:r>
          <w:rPr>
            <w:color w:val="0563C1"/>
            <w:sz w:val="20"/>
            <w:szCs w:val="20"/>
            <w:u w:val="single"/>
          </w:rPr>
          <w:t>http://www.osisa.org/indigenous-peoples/blog/rethinking-indigenous-education.html</w:t>
        </w:r>
      </w:hyperlink>
      <w:r>
        <w:rPr>
          <w:color w:val="000000"/>
          <w:sz w:val="20"/>
          <w:szCs w:val="20"/>
        </w:rPr>
        <w:t xml:space="preserve">. </w:t>
      </w:r>
    </w:p>
  </w:footnote>
  <w:footnote w:id="21">
    <w:p w:rsidR="009F7CF7" w:rsidRDefault="00C6167C">
      <w:pPr>
        <w:pBdr>
          <w:top w:val="nil"/>
          <w:left w:val="nil"/>
          <w:bottom w:val="nil"/>
          <w:right w:val="nil"/>
          <w:between w:val="nil"/>
        </w:pBdr>
        <w:spacing w:after="0" w:line="240" w:lineRule="auto"/>
        <w:rPr>
          <w:i/>
          <w:color w:val="000000"/>
          <w:sz w:val="20"/>
          <w:szCs w:val="20"/>
        </w:rPr>
      </w:pPr>
      <w:r>
        <w:rPr>
          <w:vertAlign w:val="superscript"/>
        </w:rPr>
        <w:footnoteRef/>
      </w:r>
      <w:r>
        <w:rPr>
          <w:color w:val="000000"/>
          <w:sz w:val="20"/>
          <w:szCs w:val="20"/>
        </w:rPr>
        <w:t xml:space="preserve">  Kgomotso, Mabusa et al. </w:t>
      </w:r>
      <w:r>
        <w:rPr>
          <w:i/>
          <w:color w:val="000000"/>
          <w:sz w:val="20"/>
          <w:szCs w:val="20"/>
        </w:rPr>
        <w:t>Perceptions of Teachers on the Use of Corporal Punishment in Schools: A</w:t>
      </w:r>
    </w:p>
    <w:p w:rsidR="009F7CF7" w:rsidRDefault="00C6167C">
      <w:pPr>
        <w:pBdr>
          <w:top w:val="nil"/>
          <w:left w:val="nil"/>
          <w:bottom w:val="nil"/>
          <w:right w:val="nil"/>
          <w:between w:val="nil"/>
        </w:pBdr>
        <w:spacing w:after="0" w:line="240" w:lineRule="auto"/>
        <w:rPr>
          <w:color w:val="000000"/>
          <w:sz w:val="20"/>
          <w:szCs w:val="20"/>
        </w:rPr>
      </w:pPr>
      <w:r>
        <w:rPr>
          <w:i/>
          <w:color w:val="000000"/>
          <w:sz w:val="20"/>
          <w:szCs w:val="20"/>
        </w:rPr>
        <w:t>Case of Kang Secondary Schools</w:t>
      </w:r>
      <w:r>
        <w:rPr>
          <w:color w:val="000000"/>
          <w:sz w:val="20"/>
          <w:szCs w:val="20"/>
        </w:rPr>
        <w:t xml:space="preserve">. International Science Congress Association, 13 July 2015., </w:t>
      </w:r>
      <w:hyperlink r:id="rId11">
        <w:r>
          <w:rPr>
            <w:color w:val="0563C1"/>
            <w:sz w:val="20"/>
            <w:szCs w:val="20"/>
            <w:u w:val="single"/>
          </w:rPr>
          <w:t>http://www.isca.in/EDU_SCI/Archive/v3/i6/1.ISCA-RJEduS-2015-010.pdf</w:t>
        </w:r>
      </w:hyperlink>
      <w:r>
        <w:rPr>
          <w:color w:val="000000"/>
          <w:sz w:val="20"/>
          <w:szCs w:val="20"/>
        </w:rPr>
        <w:t xml:space="preserve">. </w:t>
      </w:r>
    </w:p>
  </w:footnote>
  <w:footnote w:id="22">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Ibid.</w:t>
      </w:r>
    </w:p>
  </w:footnote>
  <w:footnote w:id="23">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Tswanification of the curriculum.</w:t>
      </w:r>
    </w:p>
  </w:footnote>
  <w:footnote w:id="24">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Desert Walk.</w:t>
      </w:r>
    </w:p>
  </w:footnote>
  <w:footnote w:id="25">
    <w:p w:rsidR="009F7CF7" w:rsidRDefault="00C6167C">
      <w:pPr>
        <w:spacing w:after="0" w:line="240" w:lineRule="auto"/>
        <w:rPr>
          <w:sz w:val="20"/>
          <w:szCs w:val="20"/>
        </w:rPr>
      </w:pPr>
      <w:r>
        <w:rPr>
          <w:vertAlign w:val="superscript"/>
        </w:rPr>
        <w:footnoteRef/>
      </w:r>
      <w:r>
        <w:rPr>
          <w:sz w:val="20"/>
          <w:szCs w:val="20"/>
        </w:rPr>
        <w:t xml:space="preserve"> Arid Environmental Consultancy (Pty) Ltd. 2008. Resettlement policy framework. s.l. ; s.n.. http://documents.worldbank.org/curated/en/139381468005715146/Resettlement-policy-framework </w:t>
      </w:r>
    </w:p>
  </w:footnote>
  <w:footnote w:id="26">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United Nations, Committee on the Rights of the Child, Concluding Observations: Botswana, CRC/C/15/Add.242 (3 November 2004), available at </w:t>
      </w:r>
      <w:hyperlink r:id="rId12">
        <w:r>
          <w:rPr>
            <w:color w:val="0563C1"/>
            <w:sz w:val="20"/>
            <w:szCs w:val="20"/>
            <w:u w:val="single"/>
          </w:rPr>
          <w:t>https://tbinternet.ohchr.org/_layouts/treatybodyexternal/Download.aspx?symbolno=CRC%2fC%2f15%2fAdd.242&amp;Lang=en</w:t>
        </w:r>
      </w:hyperlink>
      <w:r>
        <w:rPr>
          <w:color w:val="000000"/>
          <w:sz w:val="20"/>
          <w:szCs w:val="20"/>
        </w:rPr>
        <w:t xml:space="preserve">. </w:t>
      </w:r>
    </w:p>
  </w:footnote>
  <w:footnote w:id="27">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Botswana State Report. </w:t>
      </w:r>
    </w:p>
  </w:footnote>
  <w:footnote w:id="28">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General comment No. 13 (2011) - The right of the child to freedom from all forms of violence, CRC/C/GC/13 (18 April 2011) available at </w:t>
      </w:r>
      <w:hyperlink r:id="rId13">
        <w:r>
          <w:rPr>
            <w:color w:val="0563C1"/>
            <w:sz w:val="20"/>
            <w:szCs w:val="20"/>
            <w:u w:val="single"/>
          </w:rPr>
          <w:t>https://tbinternet.ohchr.org/_layouts/treatybodyexternal/Download.aspx?symbolno=CRC%2fC%2fGC%2f13&amp;Lang=en</w:t>
        </w:r>
      </w:hyperlink>
      <w:r>
        <w:rPr>
          <w:color w:val="000000"/>
          <w:sz w:val="20"/>
          <w:szCs w:val="20"/>
        </w:rPr>
        <w:t xml:space="preserve">. </w:t>
      </w:r>
    </w:p>
  </w:footnote>
  <w:footnote w:id="29">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General Comments No. 11 (2009) Indigenous children and their rights under the Convention, CRC/C/GC/11 (12 February 2009), available at </w:t>
      </w:r>
      <w:hyperlink r:id="rId14">
        <w:r>
          <w:rPr>
            <w:color w:val="0563C1"/>
            <w:sz w:val="20"/>
            <w:szCs w:val="20"/>
            <w:u w:val="single"/>
          </w:rPr>
          <w:t>https://tbinternet.ohchr.org/_layouts/treatybodyexternal/Download.aspx?symbolno=CRC%2fC%2fGC%2f11&amp;Lang=en</w:t>
        </w:r>
      </w:hyperlink>
      <w:r>
        <w:rPr>
          <w:color w:val="000000"/>
          <w:sz w:val="20"/>
          <w:szCs w:val="20"/>
        </w:rPr>
        <w:t xml:space="preserve">. </w:t>
      </w:r>
    </w:p>
  </w:footnote>
  <w:footnote w:id="30">
    <w:p w:rsidR="009F7CF7" w:rsidRDefault="00C6167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United Nations, Human Rights Council, </w:t>
      </w:r>
      <w:r>
        <w:rPr>
          <w:i/>
          <w:color w:val="000000"/>
          <w:sz w:val="20"/>
          <w:szCs w:val="20"/>
        </w:rPr>
        <w:t>Draft Report of the Working Group on the Universal Periodic Review: Botswana</w:t>
      </w:r>
      <w:r>
        <w:rPr>
          <w:color w:val="000000"/>
          <w:sz w:val="20"/>
          <w:szCs w:val="20"/>
        </w:rPr>
        <w:t xml:space="preserve">, A/HRC/WG.6/29/L.5 (17 January 2018), available at </w:t>
      </w:r>
      <w:hyperlink r:id="rId15">
        <w:r>
          <w:rPr>
            <w:color w:val="0563C1"/>
            <w:sz w:val="20"/>
            <w:szCs w:val="20"/>
            <w:u w:val="single"/>
          </w:rPr>
          <w:t>https://www.upr-info.org/sites/default/files/document/botswana/session_29_-_janvier_2018/a_hrc_wg.6_29_l.5.pdf</w:t>
        </w:r>
      </w:hyperlink>
      <w:r>
        <w:rPr>
          <w:color w:val="00000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2151C"/>
    <w:multiLevelType w:val="multilevel"/>
    <w:tmpl w:val="14BCEE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BFE6B55"/>
    <w:multiLevelType w:val="multilevel"/>
    <w:tmpl w:val="DB640D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07D5880"/>
    <w:multiLevelType w:val="multilevel"/>
    <w:tmpl w:val="FD7C3796"/>
    <w:lvl w:ilvl="0">
      <w:start w:val="1"/>
      <w:numFmt w:val="upperRoman"/>
      <w:lvlText w:val="%1."/>
      <w:lvlJc w:val="right"/>
      <w:pPr>
        <w:ind w:left="720" w:hanging="360"/>
      </w:pPr>
      <w:rPr>
        <w:b/>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4E62094"/>
    <w:multiLevelType w:val="multilevel"/>
    <w:tmpl w:val="0B1EDA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FB87B44"/>
    <w:multiLevelType w:val="multilevel"/>
    <w:tmpl w:val="429CE7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CF7"/>
    <w:rsid w:val="0001191E"/>
    <w:rsid w:val="000D3991"/>
    <w:rsid w:val="002C7FB2"/>
    <w:rsid w:val="009F7CF7"/>
    <w:rsid w:val="00C6167C"/>
    <w:rsid w:val="00DC0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2122E3-6A66-4916-BC03-7B45BC7B3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s.or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culturalsurvival.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k12academics.com/Education%20Worldwide/Education%20in%20Botswana/tswanification-curriculum" TargetMode="External"/><Relationship Id="rId13" Type="http://schemas.openxmlformats.org/officeDocument/2006/relationships/hyperlink" Target="https://tbinternet.ohchr.org/_layouts/treatybodyexternal/Download.aspx?symbolno=CRC%2fC%2fGC%2f13&amp;Lang=en" TargetMode="External"/><Relationship Id="rId3" Type="http://schemas.openxmlformats.org/officeDocument/2006/relationships/hyperlink" Target="https://tbinternet.ohchr.org/_layouts/treatybodyexternal/Download.aspx?symbolno=CRC%2fC%2fBWA%2f2-3&amp;Lang=en" TargetMode="External"/><Relationship Id="rId7" Type="http://schemas.openxmlformats.org/officeDocument/2006/relationships/hyperlink" Target="https://www.un.org/development/desa/indigenouspeoples/wp-content/uploads/sites/19/2017/12/State-of-Worlds-Indigenous-Peoples_III_WEB2018.pdf" TargetMode="External"/><Relationship Id="rId12" Type="http://schemas.openxmlformats.org/officeDocument/2006/relationships/hyperlink" Target="https://tbinternet.ohchr.org/_layouts/treatybodyexternal/Download.aspx?symbolno=CRC%2fC%2f15%2fAdd.242&amp;Lang=en" TargetMode="External"/><Relationship Id="rId2" Type="http://schemas.openxmlformats.org/officeDocument/2006/relationships/hyperlink" Target="https://www.iwgia.org/en/botswana" TargetMode="External"/><Relationship Id="rId1" Type="http://schemas.openxmlformats.org/officeDocument/2006/relationships/hyperlink" Target="https://www.britannica.com/topic/Nama-people" TargetMode="External"/><Relationship Id="rId6" Type="http://schemas.openxmlformats.org/officeDocument/2006/relationships/hyperlink" Target="http://www.sundaystandard.info/saleshando-says-botswana%E2%80%99s-education-system-marginalises-poor" TargetMode="External"/><Relationship Id="rId11" Type="http://schemas.openxmlformats.org/officeDocument/2006/relationships/hyperlink" Target="http://www.isca.in/EDU_SCI/Archive/v3/i6/1.ISCA-RJEduS-2015-010.pdf" TargetMode="External"/><Relationship Id="rId5" Type="http://schemas.openxmlformats.org/officeDocument/2006/relationships/hyperlink" Target="https://www.k12academics.com/Education%20Worldwide/education-botswana" TargetMode="External"/><Relationship Id="rId15" Type="http://schemas.openxmlformats.org/officeDocument/2006/relationships/hyperlink" Target="https://www.upr-info.org/sites/default/files/document/botswana/session_29_-_janvier_2018/a_hrc_wg.6_29_l.5.pdf" TargetMode="External"/><Relationship Id="rId10" Type="http://schemas.openxmlformats.org/officeDocument/2006/relationships/hyperlink" Target="http://www.osisa.org/indigenous-peoples/blog/rethinking-indigenous-education.html" TargetMode="External"/><Relationship Id="rId4" Type="http://schemas.openxmlformats.org/officeDocument/2006/relationships/hyperlink" Target="https://tbinternet.ohchr.org/_layouts/TreatyBodyExternal/Countries.aspx" TargetMode="External"/><Relationship Id="rId9" Type="http://schemas.openxmlformats.org/officeDocument/2006/relationships/hyperlink" Target="https://repository.upenn.edu/cgi/viewcontent.cgi?article=1051&amp;context=gse_pubs" TargetMode="External"/><Relationship Id="rId14" Type="http://schemas.openxmlformats.org/officeDocument/2006/relationships/hyperlink" Target="https://tbinternet.ohchr.org/_layouts/treatybodyexternal/Download.aspx?symbolno=CRC%2fC%2fGC%2f1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754FD0-F70A-46EC-A7E4-0728FFC183FC}"/>
</file>

<file path=customXml/itemProps2.xml><?xml version="1.0" encoding="utf-8"?>
<ds:datastoreItem xmlns:ds="http://schemas.openxmlformats.org/officeDocument/2006/customXml" ds:itemID="{C6B54187-2221-4F1D-8293-5C322ACC1C72}"/>
</file>

<file path=customXml/itemProps3.xml><?xml version="1.0" encoding="utf-8"?>
<ds:datastoreItem xmlns:ds="http://schemas.openxmlformats.org/officeDocument/2006/customXml" ds:itemID="{D55A63FB-4E75-40C0-9B5C-83D4E65A8FF5}"/>
</file>

<file path=docProps/app.xml><?xml version="1.0" encoding="utf-8"?>
<Properties xmlns="http://schemas.openxmlformats.org/officeDocument/2006/extended-properties" xmlns:vt="http://schemas.openxmlformats.org/officeDocument/2006/docPropsVTypes">
  <Template>Normal.dotm</Template>
  <TotalTime>1</TotalTime>
  <Pages>11</Pages>
  <Words>3183</Words>
  <Characters>18149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BOIT James</cp:lastModifiedBy>
  <cp:revision>2</cp:revision>
  <dcterms:created xsi:type="dcterms:W3CDTF">2019-04-10T15:07:00Z</dcterms:created>
  <dcterms:modified xsi:type="dcterms:W3CDTF">2019-04-10T15:07:00Z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