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42" w:rightFromText="142" w:vertAnchor="page" w:horzAnchor="page" w:tblpX="1134" w:tblpY="284"/>
        <w:tblOverlap w:val="never"/>
        <w:tblW w:w="9639" w:type="dxa"/>
        <w:tblLayout w:type="fixed"/>
        <w:tblLook w:val="01E0" w:firstRow="1" w:lastRow="1" w:firstColumn="1" w:lastColumn="1" w:noHBand="0" w:noVBand="0"/>
      </w:tblPr>
      <w:tblGrid>
        <w:gridCol w:w="1259"/>
        <w:gridCol w:w="2236"/>
        <w:gridCol w:w="3214"/>
        <w:gridCol w:w="2930"/>
      </w:tblGrid>
      <w:tr w:rsidR="00963CBA" w14:paraId="3757FFEB" w14:textId="77777777" w:rsidTr="00B06FC0">
        <w:trPr>
          <w:trHeight w:val="851"/>
        </w:trPr>
        <w:tc>
          <w:tcPr>
            <w:tcW w:w="1259" w:type="dxa"/>
            <w:tcBorders>
              <w:top w:val="nil"/>
              <w:left w:val="nil"/>
              <w:bottom w:val="single" w:sz="4" w:space="0" w:color="auto"/>
              <w:right w:val="nil"/>
            </w:tcBorders>
          </w:tcPr>
          <w:p w14:paraId="765B1081" w14:textId="33CE3055" w:rsidR="006D2D59" w:rsidRDefault="006D2D59" w:rsidP="00DC1162">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1E951376" w14:textId="315F86CF" w:rsidR="00446DE4" w:rsidRPr="00963CBA" w:rsidRDefault="00446DE4" w:rsidP="00DC1162">
            <w:pPr>
              <w:spacing w:after="80" w:line="340" w:lineRule="exact"/>
              <w:rPr>
                <w:sz w:val="28"/>
                <w:szCs w:val="28"/>
              </w:rPr>
            </w:pPr>
          </w:p>
        </w:tc>
        <w:tc>
          <w:tcPr>
            <w:tcW w:w="6144" w:type="dxa"/>
            <w:gridSpan w:val="2"/>
            <w:tcBorders>
              <w:top w:val="nil"/>
              <w:left w:val="nil"/>
              <w:bottom w:val="single" w:sz="4" w:space="0" w:color="auto"/>
              <w:right w:val="nil"/>
            </w:tcBorders>
            <w:vAlign w:val="bottom"/>
          </w:tcPr>
          <w:p w14:paraId="58184D3D" w14:textId="77777777" w:rsidR="00446DE4" w:rsidRPr="00E53566" w:rsidRDefault="002B66F2" w:rsidP="002B66F2">
            <w:pPr>
              <w:jc w:val="right"/>
            </w:pPr>
            <w:r w:rsidRPr="002B66F2">
              <w:rPr>
                <w:sz w:val="40"/>
              </w:rPr>
              <w:t>HRI</w:t>
            </w:r>
            <w:r>
              <w:t>/MC/2018/CRP.1</w:t>
            </w:r>
          </w:p>
        </w:tc>
      </w:tr>
      <w:tr w:rsidR="003107FA" w14:paraId="6DA9D241" w14:textId="77777777" w:rsidTr="00B06FC0">
        <w:trPr>
          <w:trHeight w:val="2835"/>
        </w:trPr>
        <w:tc>
          <w:tcPr>
            <w:tcW w:w="1259" w:type="dxa"/>
            <w:tcBorders>
              <w:top w:val="single" w:sz="4" w:space="0" w:color="auto"/>
              <w:left w:val="nil"/>
              <w:bottom w:val="single" w:sz="12" w:space="0" w:color="auto"/>
              <w:right w:val="nil"/>
            </w:tcBorders>
          </w:tcPr>
          <w:p w14:paraId="46019D48" w14:textId="2A80FC65" w:rsidR="003107FA" w:rsidRDefault="003107FA" w:rsidP="00DC1162">
            <w:pPr>
              <w:spacing w:before="120"/>
              <w:jc w:val="center"/>
            </w:pPr>
          </w:p>
        </w:tc>
        <w:tc>
          <w:tcPr>
            <w:tcW w:w="5450" w:type="dxa"/>
            <w:gridSpan w:val="2"/>
            <w:tcBorders>
              <w:top w:val="single" w:sz="4" w:space="0" w:color="auto"/>
              <w:left w:val="nil"/>
              <w:bottom w:val="single" w:sz="12" w:space="0" w:color="auto"/>
              <w:right w:val="nil"/>
            </w:tcBorders>
          </w:tcPr>
          <w:p w14:paraId="46FBB4DD" w14:textId="44DE982E" w:rsidR="003107FA" w:rsidRPr="001C2E97" w:rsidRDefault="003107FA" w:rsidP="00DC1162">
            <w:pPr>
              <w:spacing w:before="120" w:line="380" w:lineRule="exact"/>
              <w:rPr>
                <w:rFonts w:ascii="Times New Roman Bold" w:hAnsi="Times New Roman Bold"/>
                <w:b/>
                <w:sz w:val="34"/>
                <w:szCs w:val="40"/>
              </w:rPr>
            </w:pPr>
          </w:p>
        </w:tc>
        <w:tc>
          <w:tcPr>
            <w:tcW w:w="2930" w:type="dxa"/>
            <w:tcBorders>
              <w:top w:val="single" w:sz="4" w:space="0" w:color="auto"/>
              <w:left w:val="nil"/>
              <w:bottom w:val="single" w:sz="12" w:space="0" w:color="auto"/>
              <w:right w:val="nil"/>
            </w:tcBorders>
          </w:tcPr>
          <w:p w14:paraId="415656BB" w14:textId="3A549814" w:rsidR="003107FA" w:rsidRDefault="002B66F2" w:rsidP="002B66F2">
            <w:pPr>
              <w:spacing w:before="240" w:line="240" w:lineRule="exact"/>
            </w:pPr>
            <w:r>
              <w:t xml:space="preserve">Distr.: </w:t>
            </w:r>
            <w:r w:rsidR="00472645">
              <w:t>General</w:t>
            </w:r>
          </w:p>
          <w:p w14:paraId="284A129C" w14:textId="337DAD75" w:rsidR="002B66F2" w:rsidRDefault="004F36D5" w:rsidP="002B66F2">
            <w:pPr>
              <w:spacing w:line="240" w:lineRule="exact"/>
            </w:pPr>
            <w:r>
              <w:t>2</w:t>
            </w:r>
            <w:r w:rsidR="0032155C">
              <w:t>1</w:t>
            </w:r>
            <w:r w:rsidR="002B66F2">
              <w:t xml:space="preserve"> March 2018</w:t>
            </w:r>
          </w:p>
          <w:p w14:paraId="3CB8B9DF" w14:textId="77777777" w:rsidR="002B66F2" w:rsidRDefault="002B66F2" w:rsidP="002B66F2">
            <w:pPr>
              <w:spacing w:line="240" w:lineRule="exact"/>
            </w:pPr>
          </w:p>
          <w:p w14:paraId="15BF79A1" w14:textId="77743016" w:rsidR="002B66F2" w:rsidRDefault="002B66F2" w:rsidP="002B66F2">
            <w:pPr>
              <w:spacing w:line="240" w:lineRule="exact"/>
            </w:pPr>
            <w:r>
              <w:t>English</w:t>
            </w:r>
            <w:r w:rsidR="004F36D5">
              <w:t xml:space="preserve"> Only</w:t>
            </w:r>
          </w:p>
        </w:tc>
      </w:tr>
    </w:tbl>
    <w:p w14:paraId="26F3ED5E" w14:textId="77777777" w:rsidR="00C2256D" w:rsidRPr="00270B8B" w:rsidRDefault="00C2256D" w:rsidP="00C2256D">
      <w:pPr>
        <w:spacing w:before="120"/>
        <w:rPr>
          <w:b/>
          <w:sz w:val="24"/>
          <w:szCs w:val="24"/>
        </w:rPr>
      </w:pPr>
      <w:r w:rsidRPr="00270B8B">
        <w:rPr>
          <w:b/>
          <w:sz w:val="24"/>
          <w:szCs w:val="24"/>
        </w:rPr>
        <w:t>Thirtieth meeting of Chairs</w:t>
      </w:r>
      <w:r w:rsidRPr="00270B8B">
        <w:rPr>
          <w:b/>
          <w:sz w:val="24"/>
          <w:szCs w:val="24"/>
        </w:rPr>
        <w:br/>
        <w:t>of the human rights treaty bodies</w:t>
      </w:r>
    </w:p>
    <w:p w14:paraId="76E5FC65" w14:textId="77777777" w:rsidR="00C2256D" w:rsidRPr="009B402A" w:rsidRDefault="00C2256D" w:rsidP="00C2256D">
      <w:pPr>
        <w:rPr>
          <w:szCs w:val="24"/>
        </w:rPr>
      </w:pPr>
      <w:r w:rsidRPr="009B402A">
        <w:rPr>
          <w:szCs w:val="24"/>
        </w:rPr>
        <w:t>New York, 2</w:t>
      </w:r>
      <w:r>
        <w:rPr>
          <w:szCs w:val="24"/>
        </w:rPr>
        <w:t>9 May</w:t>
      </w:r>
      <w:r w:rsidRPr="009B402A">
        <w:rPr>
          <w:szCs w:val="24"/>
        </w:rPr>
        <w:t>-</w:t>
      </w:r>
      <w:r>
        <w:rPr>
          <w:szCs w:val="24"/>
        </w:rPr>
        <w:t>1</w:t>
      </w:r>
      <w:r w:rsidRPr="009B402A">
        <w:rPr>
          <w:szCs w:val="24"/>
        </w:rPr>
        <w:t xml:space="preserve"> June 201</w:t>
      </w:r>
      <w:r>
        <w:rPr>
          <w:szCs w:val="24"/>
        </w:rPr>
        <w:t>8</w:t>
      </w:r>
    </w:p>
    <w:p w14:paraId="7010B94E" w14:textId="6609D596" w:rsidR="00B06FC0" w:rsidRPr="00B23D65" w:rsidRDefault="00B06FC0" w:rsidP="00B06FC0">
      <w:pPr>
        <w:rPr>
          <w:bCs/>
        </w:rPr>
      </w:pPr>
      <w:r w:rsidRPr="00B23D65">
        <w:rPr>
          <w:bCs/>
        </w:rPr>
        <w:t>Item</w:t>
      </w:r>
      <w:r>
        <w:rPr>
          <w:bCs/>
        </w:rPr>
        <w:t xml:space="preserve"> </w:t>
      </w:r>
      <w:r w:rsidR="00C01FF0">
        <w:rPr>
          <w:bCs/>
        </w:rPr>
        <w:t>3</w:t>
      </w:r>
      <w:r w:rsidRPr="00B23D65">
        <w:rPr>
          <w:bCs/>
        </w:rPr>
        <w:t xml:space="preserve"> of the provisional agenda</w:t>
      </w:r>
    </w:p>
    <w:p w14:paraId="4CA1E709" w14:textId="77777777" w:rsidR="00B06FC0" w:rsidRDefault="00B06FC0" w:rsidP="00B06FC0">
      <w:pPr>
        <w:rPr>
          <w:b/>
        </w:rPr>
      </w:pPr>
      <w:r>
        <w:rPr>
          <w:b/>
        </w:rPr>
        <w:t xml:space="preserve">Follow-up to General Assembly resolution 68/268 </w:t>
      </w:r>
    </w:p>
    <w:p w14:paraId="7A292E4A" w14:textId="77777777" w:rsidR="00B06FC0" w:rsidRDefault="00B06FC0" w:rsidP="00B06FC0">
      <w:pPr>
        <w:rPr>
          <w:b/>
        </w:rPr>
      </w:pPr>
      <w:proofErr w:type="gramStart"/>
      <w:r>
        <w:rPr>
          <w:b/>
        </w:rPr>
        <w:t>on</w:t>
      </w:r>
      <w:proofErr w:type="gramEnd"/>
      <w:r>
        <w:rPr>
          <w:b/>
        </w:rPr>
        <w:t xml:space="preserve"> strengthening and enhancing the effective </w:t>
      </w:r>
    </w:p>
    <w:p w14:paraId="18E1CDE9" w14:textId="77777777" w:rsidR="00C2256D" w:rsidRDefault="00B06FC0" w:rsidP="00B06FC0">
      <w:pPr>
        <w:rPr>
          <w:b/>
        </w:rPr>
      </w:pPr>
      <w:proofErr w:type="gramStart"/>
      <w:r>
        <w:rPr>
          <w:b/>
        </w:rPr>
        <w:t>functioning</w:t>
      </w:r>
      <w:proofErr w:type="gramEnd"/>
      <w:r>
        <w:rPr>
          <w:b/>
        </w:rPr>
        <w:t xml:space="preserve"> of the human rights treaty body system </w:t>
      </w:r>
    </w:p>
    <w:p w14:paraId="29A53565" w14:textId="52506EA5" w:rsidR="00B06FC0" w:rsidRDefault="00B06FC0" w:rsidP="00B06FC0">
      <w:pPr>
        <w:pStyle w:val="H1G"/>
        <w:spacing w:before="320"/>
        <w:rPr>
          <w:lang w:val="en-GB"/>
        </w:rPr>
      </w:pPr>
      <w:r>
        <w:rPr>
          <w:sz w:val="28"/>
          <w:lang w:val="en-GB"/>
        </w:rPr>
        <w:tab/>
      </w:r>
      <w:r>
        <w:rPr>
          <w:sz w:val="28"/>
          <w:lang w:val="en-GB"/>
        </w:rPr>
        <w:tab/>
        <w:t xml:space="preserve">Workshop on the inquiries procedure </w:t>
      </w:r>
    </w:p>
    <w:p w14:paraId="41FE1DB0" w14:textId="77777777" w:rsidR="00B06FC0" w:rsidRDefault="00B06FC0" w:rsidP="00B06FC0">
      <w:pPr>
        <w:pStyle w:val="H1G"/>
        <w:spacing w:before="320"/>
        <w:rPr>
          <w:lang w:val="en-GB"/>
        </w:rPr>
      </w:pPr>
      <w:r>
        <w:rPr>
          <w:lang w:val="en-GB"/>
        </w:rPr>
        <w:tab/>
      </w:r>
      <w:r>
        <w:rPr>
          <w:lang w:val="en-GB"/>
        </w:rPr>
        <w:tab/>
      </w:r>
      <w:r w:rsidRPr="00B23D65">
        <w:rPr>
          <w:lang w:val="en-GB"/>
        </w:rPr>
        <w:t>Note by the Secretariat</w:t>
      </w:r>
      <w:r>
        <w:rPr>
          <w:lang w:val="en-GB"/>
        </w:rPr>
        <w:t xml:space="preserve"> </w:t>
      </w:r>
    </w:p>
    <w:tbl>
      <w:tblPr>
        <w:tblStyle w:val="TableGrid"/>
        <w:tblW w:w="0" w:type="auto"/>
        <w:jc w:val="center"/>
        <w:tblBorders>
          <w:insideH w:val="none" w:sz="0" w:space="0" w:color="auto"/>
        </w:tblBorders>
        <w:tblLook w:val="05E0" w:firstRow="1" w:lastRow="1" w:firstColumn="1" w:lastColumn="1" w:noHBand="0" w:noVBand="1"/>
      </w:tblPr>
      <w:tblGrid>
        <w:gridCol w:w="9629"/>
      </w:tblGrid>
      <w:tr w:rsidR="00033F29" w14:paraId="5772791F" w14:textId="77777777" w:rsidTr="00C6263E">
        <w:trPr>
          <w:jc w:val="center"/>
        </w:trPr>
        <w:tc>
          <w:tcPr>
            <w:tcW w:w="9637" w:type="dxa"/>
            <w:shd w:val="clear" w:color="auto" w:fill="auto"/>
          </w:tcPr>
          <w:p w14:paraId="4CC5B30B" w14:textId="77777777" w:rsidR="00033F29" w:rsidRPr="00C6263E" w:rsidRDefault="00033F29" w:rsidP="00C6263E">
            <w:pPr>
              <w:spacing w:before="240" w:after="120"/>
              <w:ind w:left="255"/>
              <w:rPr>
                <w:i/>
                <w:sz w:val="24"/>
              </w:rPr>
            </w:pPr>
            <w:r w:rsidRPr="00C6263E">
              <w:rPr>
                <w:i/>
                <w:sz w:val="24"/>
              </w:rPr>
              <w:t>Summary</w:t>
            </w:r>
          </w:p>
        </w:tc>
      </w:tr>
      <w:tr w:rsidR="00033F29" w14:paraId="7FA0B6E7" w14:textId="77777777" w:rsidTr="00C6263E">
        <w:trPr>
          <w:jc w:val="center"/>
        </w:trPr>
        <w:tc>
          <w:tcPr>
            <w:tcW w:w="9637" w:type="dxa"/>
            <w:shd w:val="clear" w:color="auto" w:fill="auto"/>
          </w:tcPr>
          <w:p w14:paraId="5D9D8914" w14:textId="77777777" w:rsidR="00033F29" w:rsidRPr="00033F29" w:rsidRDefault="00033F29" w:rsidP="00C6263E">
            <w:pPr>
              <w:pStyle w:val="SingleTxtG"/>
              <w:rPr>
                <w:lang w:val="en-GB"/>
              </w:rPr>
            </w:pPr>
            <w:r w:rsidRPr="00033F29">
              <w:rPr>
                <w:lang w:val="en-GB"/>
              </w:rPr>
              <w:t>As a means of addressing the manner in which treaty body inquiry procedures are conducted and to discuss methods for harmonizing practices among the different Treaty Bodies, pursuant to General Assembly resolution 68/268, a two day workshop was convened by the Treaty Bodies Branch of OHCHR, in cooperation with the Geneva Academy of International Humanitarian Law and Human Rights on 4 and 5 October 2016. The present note by the secretariat provides an overview of key issues discussed during the event.</w:t>
            </w:r>
          </w:p>
        </w:tc>
      </w:tr>
      <w:tr w:rsidR="00033F29" w14:paraId="31DA88F5" w14:textId="77777777" w:rsidTr="00C6263E">
        <w:trPr>
          <w:jc w:val="center"/>
        </w:trPr>
        <w:tc>
          <w:tcPr>
            <w:tcW w:w="9637" w:type="dxa"/>
            <w:shd w:val="clear" w:color="auto" w:fill="auto"/>
          </w:tcPr>
          <w:p w14:paraId="5395B8AC" w14:textId="77777777" w:rsidR="00033F29" w:rsidRDefault="00033F29" w:rsidP="00C6263E"/>
        </w:tc>
      </w:tr>
    </w:tbl>
    <w:p w14:paraId="27C4FD1E" w14:textId="77777777" w:rsidR="00033F29" w:rsidRPr="00033F29" w:rsidRDefault="00033F29" w:rsidP="00033F29"/>
    <w:p w14:paraId="69920A4D" w14:textId="15CD2B8A" w:rsidR="00B06FC0" w:rsidRDefault="00B06FC0" w:rsidP="009B6661">
      <w:pPr>
        <w:rPr>
          <w:b/>
          <w:bCs/>
          <w:sz w:val="28"/>
          <w:szCs w:val="28"/>
        </w:rPr>
      </w:pPr>
    </w:p>
    <w:p w14:paraId="7B0C0387" w14:textId="77777777" w:rsidR="009B6661" w:rsidRDefault="009B6661" w:rsidP="009B6661">
      <w:pPr>
        <w:rPr>
          <w:b/>
          <w:bCs/>
          <w:sz w:val="28"/>
          <w:szCs w:val="28"/>
        </w:rPr>
      </w:pPr>
    </w:p>
    <w:p w14:paraId="72B18ECC" w14:textId="77777777" w:rsidR="003C29A5" w:rsidRDefault="003C29A5" w:rsidP="009B6661">
      <w:pPr>
        <w:rPr>
          <w:b/>
          <w:bCs/>
          <w:sz w:val="28"/>
          <w:szCs w:val="28"/>
        </w:rPr>
      </w:pPr>
    </w:p>
    <w:p w14:paraId="16F04D4E" w14:textId="77777777" w:rsidR="009B6661" w:rsidRDefault="009B6661" w:rsidP="009B6661">
      <w:pPr>
        <w:rPr>
          <w:b/>
          <w:bCs/>
          <w:sz w:val="28"/>
          <w:szCs w:val="28"/>
        </w:rPr>
      </w:pPr>
    </w:p>
    <w:p w14:paraId="1BD2552C" w14:textId="77777777" w:rsidR="009B6661" w:rsidRDefault="009B6661" w:rsidP="009B6661">
      <w:pPr>
        <w:rPr>
          <w:b/>
          <w:bCs/>
          <w:sz w:val="28"/>
          <w:szCs w:val="28"/>
        </w:rPr>
      </w:pPr>
    </w:p>
    <w:p w14:paraId="6F1A366C" w14:textId="77777777" w:rsidR="009B6661" w:rsidRDefault="009B6661" w:rsidP="009B6661">
      <w:pPr>
        <w:rPr>
          <w:b/>
          <w:bCs/>
          <w:sz w:val="28"/>
          <w:szCs w:val="28"/>
        </w:rPr>
      </w:pPr>
    </w:p>
    <w:p w14:paraId="5BA6CB56" w14:textId="77777777" w:rsidR="009B6661" w:rsidRDefault="009B6661" w:rsidP="009B6661">
      <w:pPr>
        <w:rPr>
          <w:b/>
          <w:bCs/>
          <w:sz w:val="28"/>
          <w:szCs w:val="28"/>
        </w:rPr>
      </w:pPr>
    </w:p>
    <w:p w14:paraId="28D3970F" w14:textId="77777777" w:rsidR="009B6661" w:rsidRDefault="009B6661" w:rsidP="009B6661">
      <w:pPr>
        <w:rPr>
          <w:b/>
          <w:bCs/>
          <w:sz w:val="28"/>
          <w:szCs w:val="28"/>
        </w:rPr>
      </w:pPr>
    </w:p>
    <w:p w14:paraId="5856D4BE" w14:textId="77777777" w:rsidR="009B6661" w:rsidRDefault="009B6661" w:rsidP="009B6661">
      <w:pPr>
        <w:rPr>
          <w:b/>
          <w:bCs/>
          <w:sz w:val="28"/>
          <w:szCs w:val="28"/>
        </w:rPr>
      </w:pPr>
    </w:p>
    <w:p w14:paraId="162C6301" w14:textId="77777777" w:rsidR="009B6661" w:rsidRDefault="009B6661" w:rsidP="009B6661">
      <w:pPr>
        <w:rPr>
          <w:b/>
          <w:bCs/>
          <w:sz w:val="28"/>
          <w:szCs w:val="28"/>
        </w:rPr>
      </w:pPr>
    </w:p>
    <w:p w14:paraId="3FDED902" w14:textId="77777777" w:rsidR="009B6661" w:rsidRDefault="009B6661" w:rsidP="009B6661">
      <w:pPr>
        <w:rPr>
          <w:b/>
          <w:bCs/>
          <w:sz w:val="28"/>
          <w:szCs w:val="28"/>
        </w:rPr>
      </w:pPr>
    </w:p>
    <w:p w14:paraId="6337EBAE" w14:textId="77777777" w:rsidR="009B6661" w:rsidRDefault="009B6661" w:rsidP="009B6661">
      <w:pPr>
        <w:rPr>
          <w:b/>
          <w:bCs/>
          <w:sz w:val="28"/>
          <w:szCs w:val="28"/>
        </w:rPr>
      </w:pPr>
    </w:p>
    <w:p w14:paraId="735956C3" w14:textId="77777777" w:rsidR="009B6661" w:rsidRDefault="009B6661" w:rsidP="009B6661">
      <w:pPr>
        <w:rPr>
          <w:b/>
          <w:bCs/>
          <w:sz w:val="28"/>
          <w:szCs w:val="28"/>
        </w:rPr>
      </w:pPr>
    </w:p>
    <w:p w14:paraId="45626DE7" w14:textId="77777777" w:rsidR="009B6661" w:rsidRDefault="009B6661" w:rsidP="009B6661">
      <w:pPr>
        <w:rPr>
          <w:b/>
          <w:bCs/>
          <w:sz w:val="28"/>
          <w:szCs w:val="28"/>
        </w:rPr>
      </w:pPr>
    </w:p>
    <w:p w14:paraId="22A22E6D" w14:textId="77777777" w:rsidR="00B06FC0" w:rsidRPr="00C01FF0" w:rsidRDefault="00B06FC0" w:rsidP="00033F29">
      <w:pPr>
        <w:pStyle w:val="HChG"/>
        <w:rPr>
          <w:lang w:val="en-GB"/>
        </w:rPr>
      </w:pPr>
      <w:r w:rsidRPr="00C01FF0">
        <w:rPr>
          <w:lang w:val="en-GB"/>
        </w:rPr>
        <w:lastRenderedPageBreak/>
        <w:tab/>
        <w:t>I.</w:t>
      </w:r>
      <w:r w:rsidRPr="00C01FF0">
        <w:rPr>
          <w:lang w:val="en-GB"/>
        </w:rPr>
        <w:tab/>
        <w:t>Introduction</w:t>
      </w:r>
    </w:p>
    <w:p w14:paraId="42DBC824" w14:textId="11AF86EE" w:rsidR="00B06FC0" w:rsidRPr="00C01FF0" w:rsidRDefault="00033F29" w:rsidP="00033F29">
      <w:pPr>
        <w:pStyle w:val="SingleTxtG"/>
        <w:rPr>
          <w:rFonts w:eastAsiaTheme="minorEastAsia"/>
          <w:lang w:val="en-GB" w:eastAsia="ja-JP"/>
        </w:rPr>
      </w:pPr>
      <w:r w:rsidRPr="00C01FF0">
        <w:rPr>
          <w:rFonts w:eastAsiaTheme="minorEastAsia"/>
          <w:lang w:val="en-GB" w:eastAsia="ja-JP"/>
        </w:rPr>
        <w:t>1.</w:t>
      </w:r>
      <w:r w:rsidRPr="00C01FF0">
        <w:rPr>
          <w:rFonts w:eastAsiaTheme="minorEastAsia"/>
          <w:lang w:val="en-GB" w:eastAsia="ja-JP"/>
        </w:rPr>
        <w:tab/>
      </w:r>
      <w:r w:rsidR="00B06FC0" w:rsidRPr="00C01FF0">
        <w:rPr>
          <w:rFonts w:eastAsiaTheme="minorEastAsia"/>
          <w:lang w:val="en-GB" w:eastAsia="ja-JP"/>
        </w:rPr>
        <w:t>The General Assembly, in its resolution 68/268 on strengthening and enhancing the effective functioning of the human rights treaty body system “encourages the human rights treaty bodies to continue to enhance their efforts towards achieving greater efficiency, transparency, effectiveness and harmonization through their working methods, within their respective mandates, and in this regard encourages the treaty bodies to continue to review good practices regarding the application of rules of procedure and working methods in their ongoing efforts towards strengthening and enhancing respective treaties”</w:t>
      </w:r>
      <w:r w:rsidR="00B06FC0" w:rsidRPr="004F36D5">
        <w:rPr>
          <w:rStyle w:val="FootnoteReference"/>
          <w:rFonts w:eastAsiaTheme="minorEastAsia"/>
        </w:rPr>
        <w:footnoteReference w:id="2"/>
      </w:r>
      <w:r w:rsidR="0032155C" w:rsidRPr="00033F29">
        <w:rPr>
          <w:rFonts w:eastAsiaTheme="minorEastAsia"/>
          <w:lang w:val="en-GB" w:eastAsia="ja-JP"/>
        </w:rPr>
        <w:t>.</w:t>
      </w:r>
    </w:p>
    <w:p w14:paraId="0499DDEE" w14:textId="77777777" w:rsidR="00B06FC0" w:rsidRPr="00033F29" w:rsidRDefault="00033F29" w:rsidP="00033F29">
      <w:pPr>
        <w:pStyle w:val="SingleTxtG"/>
        <w:rPr>
          <w:rFonts w:eastAsiaTheme="minorEastAsia"/>
          <w:lang w:val="en-GB" w:eastAsia="ja-JP"/>
        </w:rPr>
      </w:pPr>
      <w:r w:rsidRPr="00033F29">
        <w:rPr>
          <w:rFonts w:eastAsiaTheme="minorEastAsia"/>
          <w:lang w:val="en-GB" w:eastAsia="ja-JP"/>
        </w:rPr>
        <w:t>2.</w:t>
      </w:r>
      <w:r w:rsidRPr="00033F29">
        <w:rPr>
          <w:rFonts w:eastAsiaTheme="minorEastAsia"/>
          <w:lang w:val="en-GB" w:eastAsia="ja-JP"/>
        </w:rPr>
        <w:tab/>
      </w:r>
      <w:r w:rsidR="00B06FC0" w:rsidRPr="00033F29">
        <w:rPr>
          <w:rFonts w:eastAsiaTheme="minorEastAsia"/>
          <w:lang w:val="en-GB" w:eastAsia="ja-JP"/>
        </w:rPr>
        <w:t>Upon receipt of reliable information on serious, grave or systematic violations by a State party of rights set forth in the Conventions they monitor, the Committee against Torture (article 20 CAT), the Committee on the Elimination of Discrimination against Women (article 8 of the Optional Protocol to CEDAW), the Committee on the Rights of Persons with Disabilities (article 6 Optional Protocol to CRPD), the Committee on Enforced Disappearances (article 33 of CEPPD), the Committee on Economic, Social and Cultural Rights (article 11 of the Optional Protocol to ICESCR) and the Committee on the Rights of the Child (article 13 of the Optional Protocol (on a communications procedure) to CRC) may initiate confidential inquiries.</w:t>
      </w:r>
    </w:p>
    <w:p w14:paraId="1DE3A690" w14:textId="6052436A" w:rsidR="00B06FC0" w:rsidRPr="00C01FF0" w:rsidRDefault="00033F29" w:rsidP="00033F29">
      <w:pPr>
        <w:pStyle w:val="SingleTxtG"/>
        <w:rPr>
          <w:rFonts w:eastAsiaTheme="minorEastAsia"/>
          <w:lang w:val="en-GB" w:eastAsia="ja-JP"/>
        </w:rPr>
      </w:pPr>
      <w:r w:rsidRPr="00033F29">
        <w:rPr>
          <w:rFonts w:eastAsiaTheme="minorEastAsia"/>
          <w:lang w:val="en-GB" w:eastAsia="ja-JP"/>
        </w:rPr>
        <w:t>3.</w:t>
      </w:r>
      <w:r w:rsidRPr="00033F29">
        <w:rPr>
          <w:rFonts w:eastAsiaTheme="minorEastAsia"/>
          <w:lang w:val="en-GB" w:eastAsia="ja-JP"/>
        </w:rPr>
        <w:tab/>
      </w:r>
      <w:r w:rsidR="00B06FC0" w:rsidRPr="00033F29">
        <w:rPr>
          <w:rFonts w:eastAsiaTheme="minorEastAsia"/>
          <w:lang w:val="en-GB" w:eastAsia="ja-JP"/>
        </w:rPr>
        <w:t xml:space="preserve">As a means of </w:t>
      </w:r>
      <w:r w:rsidR="00B06FC0" w:rsidRPr="00033F29">
        <w:rPr>
          <w:rFonts w:eastAsia="Calibri"/>
          <w:bCs/>
          <w:lang w:val="en-GB" w:eastAsia="ja-JP"/>
        </w:rPr>
        <w:t xml:space="preserve">addressing the manner in which inquiry procedures are conducted and to discuss methods for </w:t>
      </w:r>
      <w:r w:rsidR="00B06FC0" w:rsidRPr="00033F29">
        <w:rPr>
          <w:rFonts w:eastAsia="Calibri"/>
          <w:iCs/>
          <w:lang w:val="en-GB" w:eastAsia="ja-JP"/>
        </w:rPr>
        <w:t xml:space="preserve">harmonizing practices among the different Treaty Bodies, pursuant to General Assembly resolution 68/268, </w:t>
      </w:r>
      <w:r w:rsidR="00B06FC0" w:rsidRPr="00033F29">
        <w:rPr>
          <w:lang w:val="en-GB" w:eastAsia="ja-JP"/>
        </w:rPr>
        <w:t xml:space="preserve">a two day workshop was convened by the Treaty Bodies Branch of OHCHR, in cooperation with the Geneva Academy of International Humanitarian Law and Human Rights </w:t>
      </w:r>
      <w:r w:rsidR="00B06FC0" w:rsidRPr="00033F29">
        <w:rPr>
          <w:rFonts w:eastAsia="Calibri"/>
          <w:bCs/>
          <w:lang w:val="en-GB" w:eastAsia="ja-JP"/>
        </w:rPr>
        <w:t xml:space="preserve">on 4 and 5 October 2016.  </w:t>
      </w:r>
      <w:r w:rsidR="00B06FC0" w:rsidRPr="00C01FF0">
        <w:rPr>
          <w:lang w:val="en-GB" w:eastAsia="ja-JP"/>
        </w:rPr>
        <w:t xml:space="preserve">The closed meeting brought together two members </w:t>
      </w:r>
      <w:r w:rsidR="00B06FC0" w:rsidRPr="00C01FF0">
        <w:rPr>
          <w:rFonts w:eastAsia="Calibri"/>
          <w:bCs/>
          <w:lang w:val="en-GB" w:eastAsia="ja-JP"/>
        </w:rPr>
        <w:t>from each of the six Treaty Bodies that have an inquiry procedure</w:t>
      </w:r>
      <w:r w:rsidR="0032155C">
        <w:rPr>
          <w:rFonts w:eastAsia="Calibri"/>
          <w:bCs/>
          <w:lang w:val="en-GB" w:eastAsia="ja-JP"/>
        </w:rPr>
        <w:t>,</w:t>
      </w:r>
      <w:r w:rsidR="00B06FC0" w:rsidRPr="007124C5">
        <w:rPr>
          <w:rFonts w:eastAsia="Calibri"/>
          <w:bCs/>
          <w:vertAlign w:val="superscript"/>
          <w:lang w:eastAsia="ja-JP"/>
        </w:rPr>
        <w:footnoteReference w:id="3"/>
      </w:r>
      <w:r w:rsidR="0032155C">
        <w:rPr>
          <w:rFonts w:eastAsia="Calibri"/>
          <w:bCs/>
          <w:lang w:val="en-GB" w:eastAsia="ja-JP"/>
        </w:rPr>
        <w:t xml:space="preserve"> </w:t>
      </w:r>
      <w:r w:rsidR="00B06FC0" w:rsidRPr="00C01FF0">
        <w:rPr>
          <w:rFonts w:eastAsia="Calibri"/>
          <w:bCs/>
          <w:lang w:val="en-GB" w:eastAsia="ja-JP"/>
        </w:rPr>
        <w:t>along</w:t>
      </w:r>
      <w:r w:rsidR="00B06FC0" w:rsidRPr="00C01FF0">
        <w:rPr>
          <w:lang w:val="en-GB" w:eastAsia="ja-JP"/>
        </w:rPr>
        <w:t xml:space="preserve"> with relevant OHCHR staff members and a representative from the Geneva Academy.  </w:t>
      </w:r>
    </w:p>
    <w:p w14:paraId="4179B782" w14:textId="77777777" w:rsidR="00B06FC0" w:rsidRPr="00C01FF0" w:rsidRDefault="00033F29" w:rsidP="00033F29">
      <w:pPr>
        <w:pStyle w:val="SingleTxtG"/>
        <w:rPr>
          <w:rFonts w:eastAsiaTheme="minorEastAsia"/>
          <w:lang w:val="en-GB" w:eastAsia="ja-JP"/>
        </w:rPr>
      </w:pPr>
      <w:r w:rsidRPr="00033F29">
        <w:rPr>
          <w:rFonts w:eastAsiaTheme="minorEastAsia"/>
          <w:lang w:val="en-GB" w:eastAsia="ja-JP"/>
        </w:rPr>
        <w:t>4.</w:t>
      </w:r>
      <w:r w:rsidRPr="00033F29">
        <w:rPr>
          <w:rFonts w:eastAsiaTheme="minorEastAsia"/>
          <w:lang w:val="en-GB" w:eastAsia="ja-JP"/>
        </w:rPr>
        <w:tab/>
      </w:r>
      <w:r w:rsidR="00B06FC0" w:rsidRPr="00033F29">
        <w:rPr>
          <w:rFonts w:eastAsia="Calibri"/>
          <w:bCs/>
          <w:lang w:val="en-GB" w:eastAsia="ja-JP"/>
        </w:rPr>
        <w:t xml:space="preserve">A task force was established within the Treaty Bodies Branch to explore this critical area and discussion papers were prepared in advance of the workshop as a means of informing the dialogue.  </w:t>
      </w:r>
      <w:r w:rsidR="00B06FC0" w:rsidRPr="00C01FF0">
        <w:rPr>
          <w:rFonts w:eastAsia="Calibri"/>
          <w:bCs/>
          <w:lang w:val="en-GB" w:eastAsia="ja-JP"/>
        </w:rPr>
        <w:t xml:space="preserve">The </w:t>
      </w:r>
      <w:r w:rsidR="00B06FC0" w:rsidRPr="00C01FF0">
        <w:rPr>
          <w:lang w:val="en-GB" w:eastAsia="ja-JP"/>
        </w:rPr>
        <w:t xml:space="preserve">discussion papers focused on a number of key areas relating to inquiry procedures, including: determination of thresholds in relation to grave or systematic violations of human rights; confidentiality; witness and victim protection; engagement with stakeholders; inquiry visits; reporting procedures, and follow up.  </w:t>
      </w:r>
    </w:p>
    <w:p w14:paraId="7581BDDB" w14:textId="77777777" w:rsidR="00B06FC0" w:rsidRPr="00C01FF0" w:rsidRDefault="00033F29" w:rsidP="00033F29">
      <w:pPr>
        <w:pStyle w:val="SingleTxtG"/>
        <w:rPr>
          <w:rFonts w:eastAsiaTheme="minorEastAsia"/>
          <w:lang w:val="en-GB" w:eastAsia="ja-JP"/>
        </w:rPr>
      </w:pPr>
      <w:r w:rsidRPr="00033F29">
        <w:rPr>
          <w:rFonts w:eastAsiaTheme="minorEastAsia"/>
          <w:lang w:val="en-GB" w:eastAsia="ja-JP"/>
        </w:rPr>
        <w:t>5.</w:t>
      </w:r>
      <w:r w:rsidRPr="00033F29">
        <w:rPr>
          <w:rFonts w:eastAsiaTheme="minorEastAsia"/>
          <w:lang w:val="en-GB" w:eastAsia="ja-JP"/>
        </w:rPr>
        <w:tab/>
      </w:r>
      <w:r w:rsidR="00B06FC0" w:rsidRPr="00033F29">
        <w:rPr>
          <w:lang w:val="en-GB" w:eastAsia="ja-JP"/>
        </w:rPr>
        <w:t xml:space="preserve">The meeting was </w:t>
      </w:r>
      <w:r w:rsidR="00B06FC0" w:rsidRPr="00033F29">
        <w:rPr>
          <w:rFonts w:eastAsia="Calibri"/>
          <w:bCs/>
          <w:lang w:val="en-GB" w:eastAsia="ja-JP"/>
        </w:rPr>
        <w:t xml:space="preserve">Committee member driven with emphasis placed </w:t>
      </w:r>
      <w:r w:rsidR="00B06FC0" w:rsidRPr="00033F29">
        <w:rPr>
          <w:lang w:val="en-GB" w:eastAsia="ja-JP"/>
        </w:rPr>
        <w:t xml:space="preserve">on encouraging free and constructive discussion. </w:t>
      </w:r>
      <w:r w:rsidR="00B06FC0" w:rsidRPr="00C01FF0">
        <w:rPr>
          <w:lang w:val="en-GB" w:eastAsia="ja-JP"/>
        </w:rPr>
        <w:t xml:space="preserve">The meeting format consisted of focal points from each committee presenting their allocated discussion paper and opening the floor for questions and general deliberation. Discussions were held under the Chatham House Rule. The overall meeting was moderated by the Chief of the Groups in Focus Section. A number of concrete recommendations were made to </w:t>
      </w:r>
      <w:r w:rsidR="00B06FC0" w:rsidRPr="00C01FF0">
        <w:rPr>
          <w:rFonts w:eastAsia="Calibri"/>
          <w:iCs/>
          <w:lang w:val="en-GB" w:eastAsia="ja-JP"/>
        </w:rPr>
        <w:t xml:space="preserve">harmonize practices related to </w:t>
      </w:r>
      <w:r w:rsidR="00B06FC0" w:rsidRPr="00C01FF0">
        <w:rPr>
          <w:rFonts w:eastAsia="Calibri"/>
          <w:bCs/>
          <w:lang w:val="en-GB" w:eastAsia="ja-JP"/>
        </w:rPr>
        <w:t xml:space="preserve">inquiry procedures </w:t>
      </w:r>
      <w:r w:rsidR="00B06FC0" w:rsidRPr="00C01FF0">
        <w:rPr>
          <w:rFonts w:eastAsia="Calibri"/>
          <w:iCs/>
          <w:lang w:val="en-GB" w:eastAsia="ja-JP"/>
        </w:rPr>
        <w:t xml:space="preserve">among the different Treaty Bodies; they are outlined at the end of this paper for endorsement by the treaty body chairpersons. </w:t>
      </w:r>
    </w:p>
    <w:p w14:paraId="0D5D6D47" w14:textId="77777777" w:rsidR="00B06FC0" w:rsidRPr="00266B59" w:rsidRDefault="00B06FC0" w:rsidP="00033F29">
      <w:pPr>
        <w:pStyle w:val="HChG"/>
        <w:rPr>
          <w:b w:val="0"/>
          <w:sz w:val="20"/>
          <w:lang w:val="en-GB"/>
        </w:rPr>
      </w:pPr>
      <w:r w:rsidRPr="006D3C93">
        <w:rPr>
          <w:lang w:val="en-GB"/>
        </w:rPr>
        <w:tab/>
      </w:r>
      <w:r>
        <w:rPr>
          <w:lang w:val="en-GB"/>
        </w:rPr>
        <w:t>I</w:t>
      </w:r>
      <w:r w:rsidRPr="006D3C93">
        <w:rPr>
          <w:lang w:val="en-GB"/>
        </w:rPr>
        <w:t>I.</w:t>
      </w:r>
      <w:r w:rsidRPr="006D3C93">
        <w:rPr>
          <w:lang w:val="en-GB"/>
        </w:rPr>
        <w:tab/>
      </w:r>
      <w:r>
        <w:rPr>
          <w:lang w:val="en-GB"/>
        </w:rPr>
        <w:t xml:space="preserve">Summary of key issues discussed </w:t>
      </w:r>
    </w:p>
    <w:p w14:paraId="5435F3DD" w14:textId="7ECFB0C8" w:rsidR="00B06FC0" w:rsidRPr="00033F29" w:rsidRDefault="00B06FC0" w:rsidP="00033F29">
      <w:pPr>
        <w:pStyle w:val="H1G"/>
        <w:rPr>
          <w:lang w:val="en-GB"/>
        </w:rPr>
      </w:pPr>
      <w:r w:rsidRPr="00C01FF0">
        <w:rPr>
          <w:lang w:val="en-GB"/>
        </w:rPr>
        <w:tab/>
      </w:r>
      <w:r w:rsidR="00990545">
        <w:rPr>
          <w:lang w:val="en-GB"/>
        </w:rPr>
        <w:t>A.</w:t>
      </w:r>
      <w:r w:rsidR="00990545">
        <w:rPr>
          <w:lang w:val="en-GB"/>
        </w:rPr>
        <w:tab/>
      </w:r>
      <w:r w:rsidRPr="00033F29">
        <w:rPr>
          <w:lang w:val="en-GB"/>
        </w:rPr>
        <w:t>General observations</w:t>
      </w:r>
    </w:p>
    <w:p w14:paraId="34D95288" w14:textId="05136FC8" w:rsidR="00B06FC0" w:rsidRPr="00C01FF0" w:rsidRDefault="00033F29" w:rsidP="00033F29">
      <w:pPr>
        <w:pStyle w:val="SingleTxtG"/>
        <w:rPr>
          <w:rFonts w:eastAsiaTheme="minorEastAsia"/>
          <w:lang w:val="en-GB" w:eastAsia="ja-JP"/>
        </w:rPr>
      </w:pPr>
      <w:r w:rsidRPr="00C01FF0">
        <w:rPr>
          <w:rFonts w:eastAsiaTheme="minorEastAsia"/>
          <w:lang w:val="en-GB" w:eastAsia="ja-JP"/>
        </w:rPr>
        <w:t>6.</w:t>
      </w:r>
      <w:r w:rsidRPr="00C01FF0">
        <w:rPr>
          <w:rFonts w:eastAsiaTheme="minorEastAsia"/>
          <w:lang w:val="en-GB" w:eastAsia="ja-JP"/>
        </w:rPr>
        <w:tab/>
      </w:r>
      <w:r w:rsidR="00B06FC0" w:rsidRPr="00C01FF0">
        <w:rPr>
          <w:rFonts w:eastAsiaTheme="minorEastAsia"/>
          <w:lang w:val="en-GB" w:eastAsia="ja-JP"/>
        </w:rPr>
        <w:t>Pursuant to General Assembly Resolution 68/268 addressing the manner in which inquiry procedures are conducted early on can enhance the opportunity for a harmonized approach to their conduct.  This will hence make engagement with them clearer</w:t>
      </w:r>
      <w:r w:rsidR="00F733DA" w:rsidRPr="00C01FF0">
        <w:rPr>
          <w:rFonts w:eastAsiaTheme="minorEastAsia"/>
          <w:lang w:val="en-GB" w:eastAsia="ja-JP"/>
        </w:rPr>
        <w:t xml:space="preserve">; </w:t>
      </w:r>
      <w:r w:rsidR="00B06FC0" w:rsidRPr="00C01FF0">
        <w:rPr>
          <w:rFonts w:eastAsiaTheme="minorEastAsia"/>
          <w:lang w:val="en-GB" w:eastAsia="ja-JP"/>
        </w:rPr>
        <w:t xml:space="preserve">reassure States that may be considering ratifying the relevant </w:t>
      </w:r>
      <w:r w:rsidR="00E42D18" w:rsidRPr="00C01FF0">
        <w:rPr>
          <w:rFonts w:eastAsiaTheme="minorEastAsia"/>
          <w:lang w:val="en-GB" w:eastAsia="ja-JP"/>
        </w:rPr>
        <w:t>instruments;</w:t>
      </w:r>
      <w:r w:rsidR="00B06FC0" w:rsidRPr="00C01FF0">
        <w:rPr>
          <w:rFonts w:eastAsiaTheme="minorEastAsia"/>
          <w:lang w:val="en-GB" w:eastAsia="ja-JP"/>
        </w:rPr>
        <w:t xml:space="preserve"> and prevent those who already have from opting-out from the articles regarding the respective inquiry procedures.</w:t>
      </w:r>
    </w:p>
    <w:p w14:paraId="103FFECE" w14:textId="77777777" w:rsidR="00B06FC0" w:rsidRPr="00C01FF0" w:rsidRDefault="00033F29" w:rsidP="00033F29">
      <w:pPr>
        <w:pStyle w:val="SingleTxtG"/>
        <w:rPr>
          <w:rFonts w:eastAsiaTheme="minorEastAsia"/>
          <w:lang w:val="en-GB" w:eastAsia="ja-JP"/>
        </w:rPr>
      </w:pPr>
      <w:r w:rsidRPr="00C01FF0">
        <w:rPr>
          <w:rFonts w:eastAsiaTheme="minorEastAsia"/>
          <w:lang w:val="en-GB" w:eastAsia="ja-JP"/>
        </w:rPr>
        <w:t>7.</w:t>
      </w:r>
      <w:r w:rsidRPr="00C01FF0">
        <w:rPr>
          <w:rFonts w:eastAsiaTheme="minorEastAsia"/>
          <w:lang w:val="en-GB" w:eastAsia="ja-JP"/>
        </w:rPr>
        <w:tab/>
      </w:r>
      <w:r w:rsidR="00B06FC0" w:rsidRPr="00C01FF0">
        <w:rPr>
          <w:rFonts w:eastAsiaTheme="minorEastAsia"/>
          <w:lang w:val="en-GB" w:eastAsia="ja-JP"/>
        </w:rPr>
        <w:t xml:space="preserve">While the intended outcomes are essentially the same, currently there are differences, at times considerable, in the approach adopted by the treaty bodies in relation to the inquiry </w:t>
      </w:r>
      <w:r w:rsidR="00B06FC0" w:rsidRPr="00C01FF0">
        <w:rPr>
          <w:rFonts w:eastAsiaTheme="minorEastAsia"/>
          <w:lang w:val="en-GB" w:eastAsia="ja-JP"/>
        </w:rPr>
        <w:lastRenderedPageBreak/>
        <w:t>procedure.  States parties and other stakeholders consider the element of predictability and transparency essential, while for the victims it is critical that the procedure be a mechanism to provide an effective remedy.  These mechanisms are in place to address alleged violations of human rights, and at the same time they are by their very nature preventative by revealing potential violations or addressing systemic issues which could lead to violations.</w:t>
      </w:r>
    </w:p>
    <w:p w14:paraId="021EDEAF" w14:textId="77777777" w:rsidR="00B06FC0" w:rsidRPr="00033F29" w:rsidRDefault="00033F29" w:rsidP="00033F29">
      <w:pPr>
        <w:pStyle w:val="H1G"/>
        <w:rPr>
          <w:rFonts w:eastAsiaTheme="minorHAnsi"/>
          <w:lang w:val="en-GB"/>
        </w:rPr>
      </w:pPr>
      <w:r w:rsidRPr="00C01FF0">
        <w:rPr>
          <w:rFonts w:eastAsiaTheme="minorHAnsi"/>
          <w:lang w:val="en-GB"/>
        </w:rPr>
        <w:tab/>
      </w:r>
      <w:r w:rsidRPr="00033F29">
        <w:rPr>
          <w:rFonts w:eastAsiaTheme="minorHAnsi"/>
          <w:lang w:val="en-GB"/>
        </w:rPr>
        <w:t>B.</w:t>
      </w:r>
      <w:r w:rsidRPr="00033F29">
        <w:rPr>
          <w:rFonts w:eastAsiaTheme="minorHAnsi"/>
          <w:lang w:val="en-GB"/>
        </w:rPr>
        <w:tab/>
      </w:r>
      <w:r w:rsidR="00B06FC0" w:rsidRPr="00033F29">
        <w:rPr>
          <w:rFonts w:eastAsiaTheme="minorHAnsi"/>
          <w:lang w:val="en-GB"/>
        </w:rPr>
        <w:t>Methodology for engagement of key stakeholders</w:t>
      </w:r>
    </w:p>
    <w:p w14:paraId="75519BBD" w14:textId="190D885B" w:rsidR="00B06FC0" w:rsidRPr="00C01FF0" w:rsidRDefault="00033F29" w:rsidP="00033F29">
      <w:pPr>
        <w:pStyle w:val="SingleTxtG"/>
        <w:rPr>
          <w:rFonts w:eastAsiaTheme="minorEastAsia"/>
          <w:lang w:val="en-GB" w:eastAsia="ja-JP"/>
        </w:rPr>
      </w:pPr>
      <w:r w:rsidRPr="00C01FF0">
        <w:rPr>
          <w:rFonts w:eastAsiaTheme="minorEastAsia"/>
          <w:lang w:val="en-GB" w:eastAsia="ja-JP"/>
        </w:rPr>
        <w:t>8.</w:t>
      </w:r>
      <w:r w:rsidRPr="00C01FF0">
        <w:rPr>
          <w:rFonts w:eastAsiaTheme="minorEastAsia"/>
          <w:lang w:val="en-GB" w:eastAsia="ja-JP"/>
        </w:rPr>
        <w:tab/>
      </w:r>
      <w:r w:rsidR="00B06FC0" w:rsidRPr="00C01FF0">
        <w:rPr>
          <w:rFonts w:eastAsiaTheme="minorEastAsia"/>
          <w:lang w:val="en-GB" w:eastAsia="ja-JP"/>
        </w:rPr>
        <w:t>Effective</w:t>
      </w:r>
      <w:r w:rsidR="00B06FC0" w:rsidRPr="00C01FF0">
        <w:rPr>
          <w:rFonts w:eastAsia="Calibri"/>
          <w:bCs/>
          <w:lang w:val="en-GB" w:eastAsia="ja-JP"/>
        </w:rPr>
        <w:t xml:space="preserve"> engagement </w:t>
      </w:r>
      <w:r w:rsidR="00B06FC0" w:rsidRPr="00C01FF0">
        <w:rPr>
          <w:rFonts w:eastAsiaTheme="minorEastAsia"/>
          <w:lang w:val="en-GB" w:eastAsia="ja-JP"/>
        </w:rPr>
        <w:t xml:space="preserve">with stakeholders at the different levels of an inquiry procedure </w:t>
      </w:r>
      <w:r w:rsidR="00F733DA" w:rsidRPr="00C01FF0">
        <w:rPr>
          <w:rFonts w:eastAsiaTheme="minorEastAsia"/>
          <w:lang w:val="en-GB" w:eastAsia="ja-JP"/>
        </w:rPr>
        <w:t xml:space="preserve">is essential, </w:t>
      </w:r>
      <w:r w:rsidR="00B06FC0" w:rsidRPr="00C01FF0">
        <w:rPr>
          <w:rFonts w:eastAsiaTheme="minorEastAsia"/>
          <w:lang w:val="en-GB" w:eastAsia="ja-JP"/>
        </w:rPr>
        <w:t xml:space="preserve">including </w:t>
      </w:r>
      <w:r w:rsidR="00F733DA" w:rsidRPr="00C01FF0">
        <w:rPr>
          <w:rFonts w:eastAsiaTheme="minorEastAsia"/>
          <w:lang w:val="en-GB" w:eastAsia="ja-JP"/>
        </w:rPr>
        <w:t xml:space="preserve">with </w:t>
      </w:r>
      <w:r w:rsidR="00B06FC0" w:rsidRPr="00C01FF0">
        <w:rPr>
          <w:rFonts w:eastAsiaTheme="minorEastAsia"/>
          <w:lang w:val="en-GB" w:eastAsia="ja-JP"/>
        </w:rPr>
        <w:t>the author and/or source of information, civil society organizations, the State party concerned, United Nations agencies and bodies, National Human Rights Institutions</w:t>
      </w:r>
      <w:r w:rsidR="00F733DA" w:rsidRPr="00C01FF0">
        <w:rPr>
          <w:rFonts w:eastAsiaTheme="minorEastAsia"/>
          <w:lang w:val="en-GB" w:eastAsia="ja-JP"/>
        </w:rPr>
        <w:t>,</w:t>
      </w:r>
      <w:r w:rsidR="00B06FC0" w:rsidRPr="00C01FF0">
        <w:rPr>
          <w:rFonts w:eastAsiaTheme="minorEastAsia"/>
          <w:lang w:val="en-GB" w:eastAsia="ja-JP"/>
        </w:rPr>
        <w:t xml:space="preserve"> and/or national monitoring bodies.  At present neither the Treaty Bodies’ rules of procedure, nor their Standard Operating Procedures contain any regulation in relation to discontinuing a case with the decision essentially left to the discretion of individual Committees. Engagement with non-State entities is an issue that warrants further consideration particularly given the current global challenges in this regard.</w:t>
      </w:r>
      <w:r w:rsidR="00B06FC0" w:rsidRPr="00C01FF0">
        <w:rPr>
          <w:rFonts w:asciiTheme="minorHAnsi" w:eastAsiaTheme="minorEastAsia" w:hAnsiTheme="minorHAnsi" w:cstheme="minorBidi"/>
          <w:lang w:val="en-GB" w:eastAsia="ja-JP"/>
        </w:rPr>
        <w:t xml:space="preserve"> </w:t>
      </w:r>
    </w:p>
    <w:p w14:paraId="56D09C65" w14:textId="77777777" w:rsidR="00B06FC0" w:rsidRPr="00C01FF0" w:rsidRDefault="00033F29" w:rsidP="00033F29">
      <w:pPr>
        <w:pStyle w:val="SingleTxtG"/>
        <w:rPr>
          <w:rFonts w:eastAsiaTheme="minorEastAsia"/>
          <w:lang w:val="en-GB" w:eastAsia="ja-JP"/>
        </w:rPr>
      </w:pPr>
      <w:r w:rsidRPr="00033F29">
        <w:rPr>
          <w:rFonts w:eastAsiaTheme="minorEastAsia"/>
          <w:lang w:val="en-GB" w:eastAsia="ja-JP"/>
        </w:rPr>
        <w:t>9.</w:t>
      </w:r>
      <w:r w:rsidRPr="00033F29">
        <w:rPr>
          <w:rFonts w:eastAsiaTheme="minorEastAsia"/>
          <w:lang w:val="en-GB" w:eastAsia="ja-JP"/>
        </w:rPr>
        <w:tab/>
      </w:r>
      <w:r w:rsidR="00B06FC0" w:rsidRPr="00033F29">
        <w:rPr>
          <w:rFonts w:eastAsiaTheme="minorEastAsia"/>
          <w:lang w:val="en-GB" w:eastAsia="ja-JP"/>
        </w:rPr>
        <w:t>Currently</w:t>
      </w:r>
      <w:r w:rsidR="00B06FC0" w:rsidRPr="00033F29" w:rsidDel="00B33C81">
        <w:rPr>
          <w:rFonts w:eastAsiaTheme="minorEastAsia"/>
          <w:lang w:val="en-GB" w:eastAsia="ja-JP"/>
        </w:rPr>
        <w:t xml:space="preserve"> T</w:t>
      </w:r>
      <w:r w:rsidR="00B06FC0" w:rsidRPr="00033F29">
        <w:rPr>
          <w:rFonts w:eastAsiaTheme="minorEastAsia"/>
          <w:lang w:val="en-GB" w:eastAsia="ja-JP"/>
        </w:rPr>
        <w:t xml:space="preserve">reaty </w:t>
      </w:r>
      <w:r w:rsidR="00B06FC0" w:rsidRPr="00033F29" w:rsidDel="00B33C81">
        <w:rPr>
          <w:rFonts w:eastAsiaTheme="minorEastAsia"/>
          <w:lang w:val="en-GB" w:eastAsia="ja-JP"/>
        </w:rPr>
        <w:t>B</w:t>
      </w:r>
      <w:r w:rsidR="00B06FC0" w:rsidRPr="00033F29">
        <w:rPr>
          <w:rFonts w:eastAsiaTheme="minorEastAsia"/>
          <w:lang w:val="en-GB" w:eastAsia="ja-JP"/>
        </w:rPr>
        <w:t>odie</w:t>
      </w:r>
      <w:r w:rsidR="00B06FC0" w:rsidRPr="00033F29" w:rsidDel="00B33C81">
        <w:rPr>
          <w:rFonts w:eastAsiaTheme="minorEastAsia"/>
          <w:lang w:val="en-GB" w:eastAsia="ja-JP"/>
        </w:rPr>
        <w:t xml:space="preserve">s </w:t>
      </w:r>
      <w:r w:rsidR="00B06FC0" w:rsidRPr="00033F29">
        <w:rPr>
          <w:rFonts w:eastAsiaTheme="minorEastAsia"/>
          <w:lang w:val="en-GB" w:eastAsia="ja-JP"/>
        </w:rPr>
        <w:t xml:space="preserve">do </w:t>
      </w:r>
      <w:r w:rsidR="00B06FC0" w:rsidRPr="00033F29" w:rsidDel="00B33C81">
        <w:rPr>
          <w:rFonts w:eastAsiaTheme="minorEastAsia"/>
          <w:lang w:val="en-GB" w:eastAsia="ja-JP"/>
        </w:rPr>
        <w:t xml:space="preserve">not automatically </w:t>
      </w:r>
      <w:r w:rsidR="00B06FC0" w:rsidRPr="00033F29">
        <w:rPr>
          <w:rFonts w:eastAsiaTheme="minorEastAsia"/>
          <w:lang w:val="en-GB" w:eastAsia="ja-JP"/>
        </w:rPr>
        <w:t>advise sources of</w:t>
      </w:r>
      <w:r w:rsidR="00B06FC0" w:rsidRPr="00033F29" w:rsidDel="00B33C81">
        <w:rPr>
          <w:rFonts w:eastAsiaTheme="minorEastAsia"/>
          <w:lang w:val="en-GB" w:eastAsia="ja-JP"/>
        </w:rPr>
        <w:t xml:space="preserve"> </w:t>
      </w:r>
      <w:r w:rsidR="00B06FC0" w:rsidRPr="00033F29">
        <w:rPr>
          <w:rFonts w:eastAsiaTheme="minorEastAsia"/>
          <w:lang w:val="en-GB" w:eastAsia="ja-JP"/>
        </w:rPr>
        <w:t xml:space="preserve">any </w:t>
      </w:r>
      <w:r w:rsidR="00B06FC0" w:rsidRPr="00033F29" w:rsidDel="00B33C81">
        <w:rPr>
          <w:rFonts w:eastAsiaTheme="minorEastAsia"/>
          <w:lang w:val="en-GB" w:eastAsia="ja-JP"/>
        </w:rPr>
        <w:t>implication</w:t>
      </w:r>
      <w:r w:rsidR="00B06FC0" w:rsidRPr="00033F29">
        <w:rPr>
          <w:rFonts w:eastAsiaTheme="minorEastAsia"/>
          <w:lang w:val="en-GB" w:eastAsia="ja-JP"/>
        </w:rPr>
        <w:t xml:space="preserve">s a breach of confidentiality might have on the overall inquiry procedure. </w:t>
      </w:r>
      <w:r w:rsidR="00B06FC0" w:rsidRPr="00C01FF0">
        <w:rPr>
          <w:rFonts w:eastAsiaTheme="minorEastAsia"/>
          <w:lang w:val="en-GB" w:eastAsia="ja-JP"/>
        </w:rPr>
        <w:t>The m</w:t>
      </w:r>
      <w:r w:rsidR="00B06FC0" w:rsidRPr="00C01FF0">
        <w:rPr>
          <w:rFonts w:eastAsia="Calibri"/>
          <w:bCs/>
          <w:lang w:val="en-GB" w:eastAsia="ja-JP"/>
        </w:rPr>
        <w:t xml:space="preserve">odalities for updating sources at each stage of the inquiry may </w:t>
      </w:r>
      <w:r w:rsidR="00B06FC0" w:rsidRPr="00C01FF0">
        <w:rPr>
          <w:rFonts w:eastAsiaTheme="minorEastAsia"/>
          <w:lang w:val="en-GB" w:eastAsia="ja-JP"/>
        </w:rPr>
        <w:t>not always be feasible in view of the relatively limited resources that are provided in order to conduct an inquiry.</w:t>
      </w:r>
    </w:p>
    <w:p w14:paraId="1C0CAD7A" w14:textId="77777777" w:rsidR="00B06FC0" w:rsidRPr="00C01FF0" w:rsidRDefault="00033F29" w:rsidP="00033F29">
      <w:pPr>
        <w:pStyle w:val="SingleTxtG"/>
        <w:rPr>
          <w:rFonts w:eastAsiaTheme="minorEastAsia"/>
          <w:lang w:val="en-GB" w:eastAsia="ja-JP"/>
        </w:rPr>
      </w:pPr>
      <w:r w:rsidRPr="00033F29">
        <w:rPr>
          <w:rFonts w:eastAsiaTheme="minorEastAsia"/>
          <w:lang w:val="en-GB" w:eastAsia="ja-JP"/>
        </w:rPr>
        <w:t>10.</w:t>
      </w:r>
      <w:r w:rsidRPr="00033F29">
        <w:rPr>
          <w:rFonts w:eastAsiaTheme="minorEastAsia"/>
          <w:lang w:val="en-GB" w:eastAsia="ja-JP"/>
        </w:rPr>
        <w:tab/>
      </w:r>
      <w:r w:rsidR="00B06FC0" w:rsidRPr="00033F29">
        <w:rPr>
          <w:rFonts w:eastAsia="Calibri"/>
          <w:bCs/>
          <w:lang w:val="en-GB" w:eastAsia="ja-JP"/>
        </w:rPr>
        <w:t xml:space="preserve">Encouraging constructive dialogue with States is essential within the inquiry procedure </w:t>
      </w:r>
      <w:r w:rsidR="00B06FC0" w:rsidRPr="0043345C">
        <w:rPr>
          <w:rFonts w:eastAsia="Calibri"/>
          <w:bCs/>
          <w:lang w:val="en-GB" w:eastAsia="ja-JP"/>
        </w:rPr>
        <w:t>and while the identity of sources should be revealed as a means of ensuring transparency,</w:t>
      </w:r>
      <w:r w:rsidR="00B06FC0" w:rsidRPr="00033F29">
        <w:rPr>
          <w:rFonts w:eastAsia="Calibri"/>
          <w:bCs/>
          <w:lang w:val="en-GB" w:eastAsia="ja-JP"/>
        </w:rPr>
        <w:t xml:space="preserve"> under no circumstances should sources be revealed where there was a risk of reprisal subject to the “do no harm principle”.  </w:t>
      </w:r>
      <w:r w:rsidR="00B06FC0" w:rsidRPr="00C01FF0">
        <w:rPr>
          <w:rFonts w:eastAsia="Calibri"/>
          <w:bCs/>
          <w:lang w:val="en-GB" w:eastAsia="ja-JP"/>
        </w:rPr>
        <w:t>Participants to the workshop noted that the procedures for engaging with sources need to be harmonized among all Committees in this regard.</w:t>
      </w:r>
    </w:p>
    <w:p w14:paraId="2D67F28B" w14:textId="77777777" w:rsidR="00B06FC0" w:rsidRPr="00C01FF0" w:rsidRDefault="00033F29" w:rsidP="00033F29">
      <w:pPr>
        <w:pStyle w:val="SingleTxtG"/>
        <w:rPr>
          <w:rFonts w:eastAsiaTheme="minorEastAsia"/>
          <w:lang w:val="en-GB" w:eastAsia="ja-JP"/>
        </w:rPr>
      </w:pPr>
      <w:r w:rsidRPr="00033F29">
        <w:rPr>
          <w:rFonts w:eastAsiaTheme="minorEastAsia"/>
          <w:lang w:val="en-GB" w:eastAsia="ja-JP"/>
        </w:rPr>
        <w:t>11.</w:t>
      </w:r>
      <w:r w:rsidRPr="00033F29">
        <w:rPr>
          <w:rFonts w:eastAsiaTheme="minorEastAsia"/>
          <w:lang w:val="en-GB" w:eastAsia="ja-JP"/>
        </w:rPr>
        <w:tab/>
      </w:r>
      <w:r w:rsidR="00B06FC0" w:rsidRPr="00033F29">
        <w:rPr>
          <w:rFonts w:eastAsiaTheme="minorEastAsia"/>
          <w:lang w:val="en-GB" w:eastAsia="ja-JP"/>
        </w:rPr>
        <w:t xml:space="preserve">Engagement of treaty bodies with National Human Rights Institutions allows treaty bodies to collect additional information in order to assess the reliability of information concerning serious violations of human rights as well as to provide support in the preparation of visits. </w:t>
      </w:r>
      <w:r w:rsidR="00B06FC0" w:rsidRPr="00C01FF0">
        <w:rPr>
          <w:rFonts w:eastAsiaTheme="minorEastAsia"/>
          <w:lang w:val="en-GB" w:eastAsia="ja-JP"/>
        </w:rPr>
        <w:t>Elements necessary to engage with National Human Rights Institutions may include their accreditation status by the Global Alliance of National Human Rights Institutions Sub-Committee on Accreditation, including the independence of individual NHRIs,</w:t>
      </w:r>
      <w:r w:rsidR="00B06FC0" w:rsidRPr="00C01FF0">
        <w:rPr>
          <w:rFonts w:asciiTheme="minorHAnsi" w:eastAsiaTheme="minorEastAsia" w:hAnsiTheme="minorHAnsi" w:cstheme="minorBidi"/>
          <w:lang w:val="en-GB" w:eastAsia="ja-JP"/>
        </w:rPr>
        <w:t xml:space="preserve"> </w:t>
      </w:r>
      <w:r w:rsidR="00B06FC0" w:rsidRPr="00C01FF0">
        <w:rPr>
          <w:rFonts w:eastAsiaTheme="minorEastAsia"/>
          <w:lang w:val="en-GB" w:eastAsia="ja-JP"/>
        </w:rPr>
        <w:t xml:space="preserve">with decisions taken on a case by case basis. </w:t>
      </w:r>
    </w:p>
    <w:p w14:paraId="07D09471" w14:textId="77777777" w:rsidR="00B06FC0" w:rsidRPr="00033F29" w:rsidRDefault="00033F29" w:rsidP="00033F29">
      <w:pPr>
        <w:pStyle w:val="H1G"/>
        <w:rPr>
          <w:rFonts w:eastAsiaTheme="minorEastAsia"/>
          <w:lang w:val="en-GB" w:eastAsia="ja-JP"/>
        </w:rPr>
      </w:pPr>
      <w:r w:rsidRPr="00C01FF0">
        <w:rPr>
          <w:rFonts w:eastAsiaTheme="minorEastAsia"/>
          <w:lang w:val="en-GB" w:eastAsia="ja-JP"/>
        </w:rPr>
        <w:tab/>
      </w:r>
      <w:r w:rsidR="00B06FC0" w:rsidRPr="00033F29">
        <w:rPr>
          <w:rFonts w:eastAsiaTheme="minorEastAsia"/>
          <w:lang w:val="en-GB" w:eastAsia="ja-JP"/>
        </w:rPr>
        <w:t>C.</w:t>
      </w:r>
      <w:r w:rsidRPr="00033F29">
        <w:rPr>
          <w:rFonts w:eastAsiaTheme="minorEastAsia"/>
          <w:lang w:val="en-GB" w:eastAsia="ja-JP"/>
        </w:rPr>
        <w:tab/>
      </w:r>
      <w:r w:rsidR="00B06FC0" w:rsidRPr="00033F29">
        <w:rPr>
          <w:rFonts w:eastAsiaTheme="minorEastAsia"/>
          <w:lang w:val="en-GB" w:eastAsia="ja-JP"/>
        </w:rPr>
        <w:t>Confidentiality of the inquiry proceedings</w:t>
      </w:r>
    </w:p>
    <w:p w14:paraId="67DB73A3" w14:textId="77777777" w:rsidR="00B06FC0" w:rsidRPr="00C01FF0" w:rsidRDefault="00033F29" w:rsidP="00033F29">
      <w:pPr>
        <w:pStyle w:val="SingleTxtG"/>
        <w:rPr>
          <w:rFonts w:eastAsiaTheme="minorEastAsia"/>
          <w:lang w:val="en-GB" w:eastAsia="ja-JP"/>
        </w:rPr>
      </w:pPr>
      <w:r w:rsidRPr="00033F29">
        <w:rPr>
          <w:rFonts w:eastAsiaTheme="minorEastAsia"/>
          <w:lang w:val="en-GB" w:eastAsia="ja-JP"/>
        </w:rPr>
        <w:t>12.</w:t>
      </w:r>
      <w:r w:rsidRPr="00033F29">
        <w:rPr>
          <w:rFonts w:eastAsiaTheme="minorEastAsia"/>
          <w:lang w:val="en-GB" w:eastAsia="ja-JP"/>
        </w:rPr>
        <w:tab/>
      </w:r>
      <w:r w:rsidR="00B06FC0" w:rsidRPr="00033F29">
        <w:rPr>
          <w:rFonts w:eastAsiaTheme="minorEastAsia"/>
          <w:lang w:val="en-GB" w:eastAsia="ja-JP"/>
        </w:rPr>
        <w:t>At present</w:t>
      </w:r>
      <w:r w:rsidR="00F733DA">
        <w:rPr>
          <w:rFonts w:eastAsiaTheme="minorEastAsia"/>
          <w:lang w:val="en-GB" w:eastAsia="ja-JP"/>
        </w:rPr>
        <w:t>,</w:t>
      </w:r>
      <w:r w:rsidR="00B06FC0" w:rsidRPr="00033F29">
        <w:rPr>
          <w:rFonts w:eastAsiaTheme="minorEastAsia"/>
          <w:lang w:val="en-GB" w:eastAsia="ja-JP"/>
        </w:rPr>
        <w:t xml:space="preserve"> certain challenges exist within the treaty body system in relation to confidentiality</w:t>
      </w:r>
      <w:r w:rsidR="00B06FC0" w:rsidRPr="00033F29">
        <w:rPr>
          <w:rFonts w:asciiTheme="minorHAnsi" w:eastAsiaTheme="minorEastAsia" w:hAnsiTheme="minorHAnsi" w:cstheme="minorBidi"/>
          <w:sz w:val="24"/>
          <w:szCs w:val="24"/>
          <w:lang w:val="en-GB" w:eastAsia="ja-JP"/>
        </w:rPr>
        <w:t xml:space="preserve"> </w:t>
      </w:r>
      <w:r w:rsidR="00B06FC0" w:rsidRPr="00033F29">
        <w:rPr>
          <w:rFonts w:eastAsiaTheme="minorEastAsia"/>
          <w:lang w:val="en-GB" w:eastAsia="ja-JP"/>
        </w:rPr>
        <w:t xml:space="preserve">in the course of an inquiry procedure.  </w:t>
      </w:r>
      <w:r w:rsidR="00B06FC0" w:rsidRPr="00C01FF0">
        <w:rPr>
          <w:rFonts w:eastAsiaTheme="minorEastAsia"/>
          <w:lang w:val="en-GB" w:eastAsia="ja-JP"/>
        </w:rPr>
        <w:t xml:space="preserve">One such aspect is the risk of duplication of work within OHCHR (e.g. cases involving Special Procedure mandate holders undertaking visits to countries where treaty body inquiries will take place). While information may be shared among Committee members involved in a similar procedure, or working on the same country situation, as well as with relevant staff, details of a proposed or existing inquiry should never be shared outside of the system. </w:t>
      </w:r>
    </w:p>
    <w:p w14:paraId="68F02415" w14:textId="77777777" w:rsidR="00B06FC0" w:rsidRPr="00C01FF0" w:rsidRDefault="00033F29" w:rsidP="00033F29">
      <w:pPr>
        <w:pStyle w:val="SingleTxtG"/>
        <w:rPr>
          <w:rFonts w:eastAsiaTheme="minorEastAsia"/>
          <w:lang w:val="en-GB" w:eastAsia="ja-JP"/>
        </w:rPr>
      </w:pPr>
      <w:r w:rsidRPr="00033F29">
        <w:rPr>
          <w:rFonts w:eastAsiaTheme="minorEastAsia"/>
          <w:lang w:val="en-GB" w:eastAsia="ja-JP"/>
        </w:rPr>
        <w:t>13.</w:t>
      </w:r>
      <w:r w:rsidRPr="00033F29">
        <w:rPr>
          <w:rFonts w:eastAsiaTheme="minorEastAsia"/>
          <w:lang w:val="en-GB" w:eastAsia="ja-JP"/>
        </w:rPr>
        <w:tab/>
      </w:r>
      <w:r w:rsidR="00B06FC0" w:rsidRPr="00033F29">
        <w:rPr>
          <w:rFonts w:eastAsiaTheme="minorEastAsia"/>
          <w:lang w:val="en-GB" w:eastAsia="ja-JP"/>
        </w:rPr>
        <w:t xml:space="preserve">Effective interaction with the author of an inquiry is paramount, with standard good practice indicating that prior to using any source information, be it for an individual communication, a report, or an inquiry procedure, the consent of the author should be obtained. </w:t>
      </w:r>
      <w:r w:rsidR="00B06FC0" w:rsidRPr="00C01FF0">
        <w:rPr>
          <w:rFonts w:eastAsiaTheme="minorEastAsia"/>
          <w:lang w:val="en-GB" w:eastAsia="ja-JP"/>
        </w:rPr>
        <w:t>In cases involving numerous victims it would be sufficient to receive generic information on the victims concerned in order to take the necessary steps to initiate an inquiry and implement remedial measures. The “Do no harm” principle should always be applied to prevent reprisals and guidelines should be provided in relation to the disclosure of names and also for publications, as well as the extent of information that can be revealed, if any, after an inquiry has taken place.</w:t>
      </w:r>
    </w:p>
    <w:p w14:paraId="5FA51ABC" w14:textId="77777777" w:rsidR="00B06FC0" w:rsidRPr="00033F29" w:rsidRDefault="00033F29" w:rsidP="00033F29">
      <w:pPr>
        <w:pStyle w:val="H1G"/>
        <w:rPr>
          <w:rFonts w:eastAsiaTheme="minorEastAsia"/>
          <w:lang w:val="en-GB" w:eastAsia="ja-JP"/>
        </w:rPr>
      </w:pPr>
      <w:r w:rsidRPr="00C01FF0">
        <w:rPr>
          <w:rFonts w:eastAsiaTheme="minorEastAsia"/>
          <w:lang w:val="en-GB" w:eastAsia="ja-JP"/>
        </w:rPr>
        <w:lastRenderedPageBreak/>
        <w:tab/>
      </w:r>
      <w:r w:rsidRPr="00033F29">
        <w:rPr>
          <w:rFonts w:eastAsiaTheme="minorEastAsia"/>
          <w:lang w:val="en-GB" w:eastAsia="ja-JP"/>
        </w:rPr>
        <w:t>D.</w:t>
      </w:r>
      <w:r w:rsidRPr="00033F29">
        <w:rPr>
          <w:rFonts w:eastAsiaTheme="minorEastAsia"/>
          <w:lang w:val="en-GB" w:eastAsia="ja-JP"/>
        </w:rPr>
        <w:tab/>
      </w:r>
      <w:r w:rsidR="00B06FC0" w:rsidRPr="00033F29">
        <w:rPr>
          <w:rFonts w:eastAsiaTheme="minorEastAsia"/>
          <w:lang w:val="en-GB" w:eastAsia="ja-JP"/>
        </w:rPr>
        <w:t xml:space="preserve">Defining parameters for engagement: Establishing thresholds </w:t>
      </w:r>
    </w:p>
    <w:p w14:paraId="5BFF87B8" w14:textId="4B58684D" w:rsidR="00B06FC0" w:rsidRPr="00C01FF0" w:rsidRDefault="00033F29" w:rsidP="00033F29">
      <w:pPr>
        <w:pStyle w:val="SingleTxtG"/>
        <w:rPr>
          <w:rFonts w:eastAsiaTheme="minorEastAsia"/>
          <w:lang w:val="en-GB" w:eastAsia="ja-JP"/>
        </w:rPr>
      </w:pPr>
      <w:r w:rsidRPr="00C01FF0">
        <w:rPr>
          <w:rFonts w:eastAsiaTheme="minorEastAsia"/>
          <w:lang w:val="en-GB" w:eastAsia="ja-JP"/>
        </w:rPr>
        <w:t>14.</w:t>
      </w:r>
      <w:r w:rsidRPr="00C01FF0">
        <w:rPr>
          <w:rFonts w:eastAsiaTheme="minorEastAsia"/>
          <w:lang w:val="en-GB" w:eastAsia="ja-JP"/>
        </w:rPr>
        <w:tab/>
      </w:r>
      <w:r w:rsidR="00B06FC0" w:rsidRPr="00C01FF0">
        <w:rPr>
          <w:rFonts w:eastAsiaTheme="minorEastAsia"/>
          <w:lang w:val="en-GB" w:eastAsia="ja-JP"/>
        </w:rPr>
        <w:t>The inquiry procedure mandates treaty bodies to cooperate with States in the conduct of their investigations into violations that meet a certain threshold.  At present the threshold criteria applied by each Committee in terms of what constitutes ‘grave or systematic violations’ when assessing whether to launch an inquiry is not systematic.</w:t>
      </w:r>
      <w:r w:rsidR="00B06FC0" w:rsidRPr="00C01FF0">
        <w:rPr>
          <w:rFonts w:asciiTheme="minorHAnsi" w:eastAsiaTheme="minorEastAsia" w:hAnsiTheme="minorHAnsi" w:cstheme="minorBidi"/>
          <w:sz w:val="24"/>
          <w:szCs w:val="24"/>
          <w:lang w:val="en-GB" w:eastAsia="ja-JP"/>
        </w:rPr>
        <w:t xml:space="preserve"> </w:t>
      </w:r>
      <w:r w:rsidR="00B06FC0" w:rsidRPr="00C01FF0">
        <w:rPr>
          <w:rFonts w:eastAsiaTheme="minorEastAsia"/>
          <w:lang w:val="en-GB" w:eastAsia="ja-JP"/>
        </w:rPr>
        <w:t>In general</w:t>
      </w:r>
      <w:r w:rsidR="00131105" w:rsidRPr="00C01FF0">
        <w:rPr>
          <w:rFonts w:eastAsiaTheme="minorEastAsia"/>
          <w:lang w:val="en-GB" w:eastAsia="ja-JP"/>
        </w:rPr>
        <w:t>,</w:t>
      </w:r>
      <w:r w:rsidR="00B06FC0" w:rsidRPr="00C01FF0">
        <w:rPr>
          <w:rFonts w:eastAsiaTheme="minorEastAsia"/>
          <w:lang w:val="en-GB" w:eastAsia="ja-JP"/>
        </w:rPr>
        <w:t xml:space="preserve"> there is a lack of harmonization in the definition of human rights violations, inter alia, illustrated by the usage of gross in some contexts and grave in others. Variations also exist in relation to whether both intent and omission are necessary in order to establish a violation.  </w:t>
      </w:r>
    </w:p>
    <w:p w14:paraId="75068D7C" w14:textId="77777777" w:rsidR="00B06FC0" w:rsidRPr="00C01FF0" w:rsidRDefault="00033F29" w:rsidP="00033F29">
      <w:pPr>
        <w:pStyle w:val="SingleTxtG"/>
        <w:rPr>
          <w:rFonts w:eastAsiaTheme="minorEastAsia"/>
          <w:lang w:val="en-GB" w:eastAsia="ja-JP"/>
        </w:rPr>
      </w:pPr>
      <w:r w:rsidRPr="00033F29">
        <w:rPr>
          <w:rFonts w:eastAsiaTheme="minorEastAsia"/>
          <w:lang w:val="en-GB" w:eastAsia="ja-JP"/>
        </w:rPr>
        <w:t>15.</w:t>
      </w:r>
      <w:r w:rsidRPr="00033F29">
        <w:rPr>
          <w:rFonts w:eastAsiaTheme="minorEastAsia"/>
          <w:lang w:val="en-GB" w:eastAsia="ja-JP"/>
        </w:rPr>
        <w:tab/>
      </w:r>
      <w:r w:rsidR="00B06FC0" w:rsidRPr="00033F29">
        <w:rPr>
          <w:rFonts w:eastAsiaTheme="minorEastAsia"/>
          <w:lang w:val="en-GB" w:eastAsia="ja-JP"/>
        </w:rPr>
        <w:t xml:space="preserve">In principle, all treaty bodies apply similar criteria when establishing whether an omission has occurred.  </w:t>
      </w:r>
      <w:r w:rsidR="00B06FC0" w:rsidRPr="00C01FF0">
        <w:rPr>
          <w:rFonts w:eastAsiaTheme="minorEastAsia"/>
          <w:lang w:val="en-GB" w:eastAsia="ja-JP"/>
        </w:rPr>
        <w:t xml:space="preserve">An omission may be considered unintentional if a State party is unaware of a particular situation and has no realistic options at its disposal to address the situation. Whereas an intentional omission may occur if the State party is aware of a violation taking place, and has the necessary tools available to address the problem, but chooses not to act or to prioritize other issues. </w:t>
      </w:r>
    </w:p>
    <w:p w14:paraId="176EC09D" w14:textId="77777777" w:rsidR="00B06FC0" w:rsidRPr="00C01FF0" w:rsidRDefault="00033F29" w:rsidP="00033F29">
      <w:pPr>
        <w:pStyle w:val="SingleTxtG"/>
        <w:rPr>
          <w:rFonts w:eastAsiaTheme="minorEastAsia"/>
          <w:lang w:val="en-GB" w:eastAsia="ja-JP"/>
        </w:rPr>
      </w:pPr>
      <w:r w:rsidRPr="00033F29">
        <w:rPr>
          <w:rFonts w:eastAsiaTheme="minorEastAsia"/>
          <w:lang w:val="en-GB" w:eastAsia="ja-JP"/>
        </w:rPr>
        <w:t>16.</w:t>
      </w:r>
      <w:r w:rsidRPr="00033F29">
        <w:rPr>
          <w:rFonts w:eastAsiaTheme="minorEastAsia"/>
          <w:lang w:val="en-GB" w:eastAsia="ja-JP"/>
        </w:rPr>
        <w:tab/>
      </w:r>
      <w:r w:rsidR="00B06FC0" w:rsidRPr="00033F29">
        <w:rPr>
          <w:rFonts w:eastAsiaTheme="minorEastAsia"/>
          <w:lang w:val="en-GB" w:eastAsia="ja-JP"/>
        </w:rPr>
        <w:t xml:space="preserve">A lack of clarity exists surrounding the modalities that should apply when other mechanisms are engaged in an issue which is being considered by a treaty body for an inquiry. </w:t>
      </w:r>
      <w:r w:rsidR="00B06FC0" w:rsidRPr="00C01FF0">
        <w:rPr>
          <w:rFonts w:eastAsiaTheme="minorEastAsia"/>
          <w:lang w:val="en-GB" w:eastAsia="ja-JP"/>
        </w:rPr>
        <w:t xml:space="preserve">Clear guidance is necessary in this regards and improved communication between the different mechanisms should be encouraged to avoid duplication.  </w:t>
      </w:r>
    </w:p>
    <w:p w14:paraId="0EE0168A" w14:textId="77777777" w:rsidR="00B06FC0" w:rsidRPr="00033F29" w:rsidRDefault="00033F29" w:rsidP="00033F29">
      <w:pPr>
        <w:pStyle w:val="H1G"/>
        <w:rPr>
          <w:rFonts w:eastAsiaTheme="minorEastAsia"/>
          <w:lang w:val="en-GB" w:eastAsia="ja-JP"/>
        </w:rPr>
      </w:pPr>
      <w:r w:rsidRPr="00C01FF0">
        <w:rPr>
          <w:rFonts w:eastAsiaTheme="minorEastAsia"/>
          <w:lang w:val="en-GB" w:eastAsia="ja-JP"/>
        </w:rPr>
        <w:tab/>
      </w:r>
      <w:r w:rsidR="00B06FC0" w:rsidRPr="00033F29">
        <w:rPr>
          <w:rFonts w:eastAsiaTheme="minorEastAsia"/>
          <w:lang w:val="en-GB" w:eastAsia="ja-JP"/>
        </w:rPr>
        <w:t>E.</w:t>
      </w:r>
      <w:r>
        <w:rPr>
          <w:rFonts w:eastAsiaTheme="minorEastAsia"/>
          <w:lang w:val="en-GB" w:eastAsia="ja-JP"/>
        </w:rPr>
        <w:tab/>
      </w:r>
      <w:r w:rsidR="00B06FC0" w:rsidRPr="00033F29">
        <w:rPr>
          <w:rFonts w:eastAsiaTheme="minorEastAsia"/>
          <w:lang w:val="en-GB" w:eastAsia="ja-JP"/>
        </w:rPr>
        <w:t>Protection of victims, witnesses and other cooperating persons during treaty body country inquiry</w:t>
      </w:r>
    </w:p>
    <w:p w14:paraId="45CD54E5" w14:textId="77777777" w:rsidR="00B06FC0" w:rsidRPr="00C01FF0" w:rsidRDefault="00033F29" w:rsidP="00033F29">
      <w:pPr>
        <w:pStyle w:val="SingleTxtG"/>
        <w:rPr>
          <w:rFonts w:eastAsiaTheme="minorEastAsia"/>
          <w:lang w:val="en-GB" w:eastAsia="ja-JP"/>
        </w:rPr>
      </w:pPr>
      <w:r w:rsidRPr="00C01FF0">
        <w:rPr>
          <w:rFonts w:eastAsiaTheme="minorEastAsia"/>
          <w:lang w:val="en-GB" w:eastAsia="ja-JP"/>
        </w:rPr>
        <w:t>17.</w:t>
      </w:r>
      <w:r w:rsidRPr="00C01FF0">
        <w:rPr>
          <w:rFonts w:eastAsiaTheme="minorEastAsia"/>
          <w:lang w:val="en-GB" w:eastAsia="ja-JP"/>
        </w:rPr>
        <w:tab/>
      </w:r>
      <w:r w:rsidR="00B06FC0" w:rsidRPr="00C01FF0">
        <w:rPr>
          <w:rFonts w:eastAsiaTheme="minorEastAsia"/>
          <w:lang w:val="en-GB" w:eastAsia="ja-JP"/>
        </w:rPr>
        <w:t xml:space="preserve">The protection of victims, witnesses and other persons cooperating with the treaty bodies is integral to all phases of the country inquiry procedure, from collecting information to interviewing victims and witnesses through to reporting and advocacy. Effective participation of victims, witnesses and other cooperating persons is essential for a successful inquiry. While the State party concerned has the primary responsibility for the protection of cooperating persons, treaty body members and OHCHR staff have an obligation to ensure that the safety and well-being of victims, witnesses and other cooperating persons are not endangered. </w:t>
      </w:r>
    </w:p>
    <w:p w14:paraId="713EA7D6" w14:textId="1AE4CB5D" w:rsidR="00B06FC0" w:rsidRPr="00C01FF0" w:rsidRDefault="00033F29" w:rsidP="00033F29">
      <w:pPr>
        <w:pStyle w:val="SingleTxtG"/>
        <w:rPr>
          <w:rFonts w:eastAsiaTheme="minorEastAsia"/>
          <w:lang w:val="en-GB" w:eastAsia="ja-JP"/>
        </w:rPr>
      </w:pPr>
      <w:r w:rsidRPr="00033F29">
        <w:rPr>
          <w:rFonts w:eastAsiaTheme="minorEastAsia"/>
          <w:lang w:val="en-GB" w:eastAsia="ja-JP"/>
        </w:rPr>
        <w:t>18.</w:t>
      </w:r>
      <w:r w:rsidRPr="00033F29">
        <w:rPr>
          <w:rFonts w:eastAsiaTheme="minorEastAsia"/>
          <w:lang w:val="en-GB" w:eastAsia="ja-JP"/>
        </w:rPr>
        <w:tab/>
      </w:r>
      <w:r w:rsidR="00B06FC0" w:rsidRPr="00033F29">
        <w:rPr>
          <w:rFonts w:eastAsiaTheme="minorEastAsia"/>
          <w:lang w:val="en-GB" w:eastAsia="ja-JP"/>
        </w:rPr>
        <w:t xml:space="preserve">Where there is a risk, it must be carefully assessed and weighed against the expected benefits of the activity in question. </w:t>
      </w:r>
      <w:r w:rsidR="00B06FC0" w:rsidRPr="00C01FF0">
        <w:rPr>
          <w:rFonts w:eastAsiaTheme="minorEastAsia"/>
          <w:lang w:val="en-GB" w:eastAsia="ja-JP"/>
        </w:rPr>
        <w:t xml:space="preserve">One of the General Principles underlying the San José Guidelines is the need to respect the do no harm principle.  Developing a more victim-oriented approach and a system of witness protection which is independent from the State party in order to increase the efficiency of protection is essential and must be incorporated into the work of all treaty bodies. The appointment in 2016 by the Secretary-General of Assistant Secretary-General for Human Rights, Andrew Gilmore, as </w:t>
      </w:r>
      <w:r w:rsidR="00131105" w:rsidRPr="00C01FF0">
        <w:rPr>
          <w:rFonts w:eastAsiaTheme="minorEastAsia"/>
          <w:lang w:val="en-GB" w:eastAsia="ja-JP"/>
        </w:rPr>
        <w:t>senior official leading the efforts</w:t>
      </w:r>
      <w:r w:rsidR="00B06FC0" w:rsidRPr="00C01FF0">
        <w:rPr>
          <w:rFonts w:eastAsiaTheme="minorEastAsia"/>
          <w:lang w:val="en-GB" w:eastAsia="ja-JP"/>
        </w:rPr>
        <w:t xml:space="preserve"> </w:t>
      </w:r>
      <w:r w:rsidR="00106A40" w:rsidRPr="00C01FF0">
        <w:rPr>
          <w:rFonts w:eastAsiaTheme="minorEastAsia"/>
          <w:lang w:val="en-GB" w:eastAsia="ja-JP"/>
        </w:rPr>
        <w:t>within the U</w:t>
      </w:r>
      <w:r w:rsidR="00167CF6" w:rsidRPr="00C01FF0">
        <w:rPr>
          <w:rFonts w:eastAsiaTheme="minorEastAsia"/>
          <w:lang w:val="en-GB" w:eastAsia="ja-JP"/>
        </w:rPr>
        <w:t>N</w:t>
      </w:r>
      <w:r w:rsidR="00106A40" w:rsidRPr="00C01FF0">
        <w:rPr>
          <w:rFonts w:eastAsiaTheme="minorEastAsia"/>
          <w:lang w:val="en-GB" w:eastAsia="ja-JP"/>
        </w:rPr>
        <w:t xml:space="preserve"> system to address</w:t>
      </w:r>
      <w:r w:rsidR="00A00F3F" w:rsidRPr="00C01FF0">
        <w:rPr>
          <w:rFonts w:eastAsiaTheme="minorEastAsia"/>
          <w:lang w:val="en-GB" w:eastAsia="ja-JP"/>
        </w:rPr>
        <w:t xml:space="preserve"> </w:t>
      </w:r>
      <w:r w:rsidR="00106A40" w:rsidRPr="00C01FF0">
        <w:rPr>
          <w:rFonts w:eastAsiaTheme="minorEastAsia"/>
          <w:lang w:val="en-GB" w:eastAsia="ja-JP"/>
        </w:rPr>
        <w:t>acts of intimidation and</w:t>
      </w:r>
      <w:r w:rsidR="00B06FC0" w:rsidRPr="00C01FF0">
        <w:rPr>
          <w:rFonts w:eastAsiaTheme="minorEastAsia"/>
          <w:lang w:val="en-GB" w:eastAsia="ja-JP"/>
        </w:rPr>
        <w:t xml:space="preserve"> reprisals is a welcome step in this regard. </w:t>
      </w:r>
    </w:p>
    <w:p w14:paraId="0BB9A3FF" w14:textId="565A5F30" w:rsidR="00B06FC0" w:rsidRPr="00C01FF0" w:rsidRDefault="00033F29" w:rsidP="00033F29">
      <w:pPr>
        <w:pStyle w:val="SingleTxtG"/>
        <w:rPr>
          <w:rFonts w:eastAsiaTheme="minorEastAsia"/>
          <w:lang w:val="en-GB" w:eastAsia="ja-JP"/>
        </w:rPr>
      </w:pPr>
      <w:r w:rsidRPr="00033F29">
        <w:rPr>
          <w:rFonts w:eastAsiaTheme="minorEastAsia"/>
          <w:lang w:val="en-GB" w:eastAsia="ja-JP"/>
        </w:rPr>
        <w:t>19.</w:t>
      </w:r>
      <w:r w:rsidRPr="00033F29">
        <w:rPr>
          <w:rFonts w:eastAsiaTheme="minorEastAsia"/>
          <w:lang w:val="en-GB" w:eastAsia="ja-JP"/>
        </w:rPr>
        <w:tab/>
      </w:r>
      <w:r w:rsidR="00B06FC0" w:rsidRPr="00033F29">
        <w:rPr>
          <w:rFonts w:eastAsiaTheme="minorEastAsia"/>
          <w:lang w:val="en-GB" w:eastAsia="ja-JP"/>
        </w:rPr>
        <w:t xml:space="preserve">Prevention is central for the protection of victims, witnesses and other persons cooperating with the country inquiry team. </w:t>
      </w:r>
      <w:r w:rsidR="00B06FC0" w:rsidRPr="00C01FF0">
        <w:rPr>
          <w:rFonts w:eastAsiaTheme="minorEastAsia"/>
          <w:lang w:val="en-GB" w:eastAsia="ja-JP"/>
        </w:rPr>
        <w:t>Reducing the potential threats and risks of harm for the individuals prior, during and after the country visit is key to better protecting a cooperating person at risk.  In this respect, where appropriate</w:t>
      </w:r>
      <w:r w:rsidR="00131105" w:rsidRPr="00C01FF0">
        <w:rPr>
          <w:rFonts w:eastAsiaTheme="minorEastAsia"/>
          <w:lang w:val="en-GB" w:eastAsia="ja-JP"/>
        </w:rPr>
        <w:t>,</w:t>
      </w:r>
      <w:r w:rsidR="00B06FC0" w:rsidRPr="00C01FF0">
        <w:rPr>
          <w:rFonts w:eastAsiaTheme="minorEastAsia"/>
          <w:lang w:val="en-GB" w:eastAsia="ja-JP"/>
        </w:rPr>
        <w:t xml:space="preserve"> a comprehensive analysis and assessment of the security conditions should be undertaken considering the security of the mission/country inquiry, its staff, the persons cooperating with it, activities and other information. In consultation with the person at risk appropriate options and measures for their protection should be defined. In some cases</w:t>
      </w:r>
      <w:r w:rsidR="00131105" w:rsidRPr="00C01FF0">
        <w:rPr>
          <w:rFonts w:eastAsiaTheme="minorEastAsia"/>
          <w:lang w:val="en-GB" w:eastAsia="ja-JP"/>
        </w:rPr>
        <w:t>,</w:t>
      </w:r>
      <w:r w:rsidR="00B06FC0" w:rsidRPr="00C01FF0">
        <w:rPr>
          <w:rFonts w:eastAsiaTheme="minorEastAsia"/>
          <w:lang w:val="en-GB" w:eastAsia="ja-JP"/>
        </w:rPr>
        <w:t xml:space="preserve"> it may only be appropriate to interview witnesses and/or victims without the knowledge of the State party.  In such cases, following the conclusion of the visit</w:t>
      </w:r>
      <w:r w:rsidR="00131105" w:rsidRPr="00C01FF0">
        <w:rPr>
          <w:rFonts w:eastAsiaTheme="minorEastAsia"/>
          <w:lang w:val="en-GB" w:eastAsia="ja-JP"/>
        </w:rPr>
        <w:t>,</w:t>
      </w:r>
      <w:r w:rsidR="00B06FC0" w:rsidRPr="00C01FF0">
        <w:rPr>
          <w:rFonts w:eastAsiaTheme="minorEastAsia"/>
          <w:lang w:val="en-GB" w:eastAsia="ja-JP"/>
        </w:rPr>
        <w:t xml:space="preserve"> a contact link with the interviewees should be maintained to </w:t>
      </w:r>
      <w:proofErr w:type="spellStart"/>
      <w:r w:rsidR="00B06FC0" w:rsidRPr="00C01FF0">
        <w:rPr>
          <w:rFonts w:eastAsiaTheme="minorEastAsia"/>
          <w:lang w:val="en-GB" w:eastAsia="ja-JP"/>
        </w:rPr>
        <w:t>avoidany</w:t>
      </w:r>
      <w:proofErr w:type="spellEnd"/>
      <w:r w:rsidR="00B06FC0" w:rsidRPr="00C01FF0">
        <w:rPr>
          <w:rFonts w:eastAsiaTheme="minorEastAsia"/>
          <w:lang w:val="en-GB" w:eastAsia="ja-JP"/>
        </w:rPr>
        <w:t xml:space="preserve"> form of reprisals.</w:t>
      </w:r>
    </w:p>
    <w:p w14:paraId="6BD52CCD" w14:textId="77777777" w:rsidR="00B06FC0" w:rsidRPr="00033F29" w:rsidRDefault="00033F29" w:rsidP="00033F29">
      <w:pPr>
        <w:pStyle w:val="H1G"/>
        <w:rPr>
          <w:rFonts w:eastAsiaTheme="minorEastAsia"/>
          <w:lang w:val="en-GB" w:eastAsia="ja-JP"/>
        </w:rPr>
      </w:pPr>
      <w:r w:rsidRPr="00C01FF0">
        <w:rPr>
          <w:rFonts w:eastAsiaTheme="minorEastAsia"/>
          <w:lang w:val="en-GB" w:eastAsia="ja-JP"/>
        </w:rPr>
        <w:tab/>
      </w:r>
      <w:r w:rsidRPr="00033F29">
        <w:rPr>
          <w:rFonts w:eastAsiaTheme="minorEastAsia"/>
          <w:lang w:val="en-GB" w:eastAsia="ja-JP"/>
        </w:rPr>
        <w:t>F.</w:t>
      </w:r>
      <w:r w:rsidRPr="00033F29">
        <w:rPr>
          <w:rFonts w:eastAsiaTheme="minorEastAsia"/>
          <w:lang w:val="en-GB" w:eastAsia="ja-JP"/>
        </w:rPr>
        <w:tab/>
      </w:r>
      <w:r w:rsidR="00B06FC0" w:rsidRPr="00033F29">
        <w:rPr>
          <w:rFonts w:eastAsiaTheme="minorEastAsia"/>
          <w:lang w:val="en-GB" w:eastAsia="ja-JP"/>
        </w:rPr>
        <w:t>Visit planning</w:t>
      </w:r>
    </w:p>
    <w:p w14:paraId="6C249308" w14:textId="77777777" w:rsidR="00B06FC0" w:rsidRPr="00C01FF0" w:rsidRDefault="00033F29" w:rsidP="00033F29">
      <w:pPr>
        <w:pStyle w:val="SingleTxtG"/>
        <w:rPr>
          <w:rFonts w:eastAsiaTheme="minorEastAsia"/>
          <w:lang w:val="en-GB" w:eastAsia="ja-JP"/>
        </w:rPr>
      </w:pPr>
      <w:r w:rsidRPr="00C01FF0">
        <w:rPr>
          <w:rFonts w:eastAsiaTheme="minorEastAsia"/>
          <w:lang w:val="en-GB" w:eastAsia="ja-JP"/>
        </w:rPr>
        <w:t>20.</w:t>
      </w:r>
      <w:r w:rsidRPr="00C01FF0">
        <w:rPr>
          <w:rFonts w:eastAsiaTheme="minorEastAsia"/>
          <w:lang w:val="en-GB" w:eastAsia="ja-JP"/>
        </w:rPr>
        <w:tab/>
      </w:r>
      <w:r w:rsidR="00B06FC0" w:rsidRPr="00C01FF0">
        <w:rPr>
          <w:rFonts w:eastAsiaTheme="minorEastAsia"/>
          <w:lang w:val="en-GB" w:eastAsia="ja-JP"/>
        </w:rPr>
        <w:t xml:space="preserve">While the methodology for conducting inquiry visits varies between treaty bodies, there is consensus that the planning of a visit requires significant substantive analysis along </w:t>
      </w:r>
      <w:r w:rsidR="00B06FC0" w:rsidRPr="00C01FF0">
        <w:rPr>
          <w:rFonts w:eastAsiaTheme="minorEastAsia"/>
          <w:lang w:val="en-GB" w:eastAsia="ja-JP"/>
        </w:rPr>
        <w:lastRenderedPageBreak/>
        <w:t xml:space="preserve">with a solid understanding of the country’s cultural context.  Planning for any unforeseen changes to the schedule is also essential, as is forging a good working relationship with the Permanent Mission of the State party prior to and following the visit.  </w:t>
      </w:r>
    </w:p>
    <w:p w14:paraId="52297CBC" w14:textId="5D7FBBFE" w:rsidR="00B06FC0" w:rsidRPr="00C01FF0" w:rsidRDefault="00033F29" w:rsidP="00033F29">
      <w:pPr>
        <w:pStyle w:val="SingleTxtG"/>
        <w:rPr>
          <w:rFonts w:eastAsiaTheme="minorEastAsia"/>
          <w:lang w:val="en-GB" w:eastAsia="ja-JP"/>
        </w:rPr>
      </w:pPr>
      <w:r w:rsidRPr="00033F29">
        <w:rPr>
          <w:rFonts w:eastAsiaTheme="minorEastAsia"/>
          <w:lang w:val="en-GB" w:eastAsia="ja-JP"/>
        </w:rPr>
        <w:t>21.</w:t>
      </w:r>
      <w:r w:rsidRPr="00033F29">
        <w:rPr>
          <w:rFonts w:eastAsiaTheme="minorEastAsia"/>
          <w:lang w:val="en-GB" w:eastAsia="ja-JP"/>
        </w:rPr>
        <w:tab/>
      </w:r>
      <w:r w:rsidR="00B06FC0" w:rsidRPr="00033F29">
        <w:rPr>
          <w:rFonts w:eastAsiaTheme="minorEastAsia"/>
          <w:lang w:val="en-GB" w:eastAsia="ja-JP"/>
        </w:rPr>
        <w:t xml:space="preserve">Efficient time management during inquiry visits along with agreement among the committee delegation as to how confidential briefings should be conducted, and the process for questioning victims and witnesses is of paramount importance.  </w:t>
      </w:r>
      <w:r w:rsidR="00B06FC0" w:rsidRPr="00C01FF0">
        <w:rPr>
          <w:rFonts w:eastAsiaTheme="minorEastAsia"/>
          <w:lang w:val="en-GB" w:eastAsia="ja-JP"/>
        </w:rPr>
        <w:t xml:space="preserve">The sharing of good practice and lessons learned by the different treaty bodies during inquiry visits in relation to engagement with all relevant stakeholders and the benefits of using questionnaires or conducting group interviews would be an important step in harmonizing procedures in this regard. </w:t>
      </w:r>
    </w:p>
    <w:p w14:paraId="1CA3289E" w14:textId="77777777" w:rsidR="00B06FC0" w:rsidRPr="00033F29" w:rsidRDefault="00033F29" w:rsidP="00033F29">
      <w:pPr>
        <w:pStyle w:val="H1G"/>
        <w:rPr>
          <w:rFonts w:eastAsiaTheme="minorEastAsia"/>
          <w:lang w:val="en-GB" w:eastAsia="ja-JP"/>
        </w:rPr>
      </w:pPr>
      <w:r w:rsidRPr="00C01FF0">
        <w:rPr>
          <w:rFonts w:eastAsiaTheme="minorEastAsia"/>
          <w:lang w:val="en-GB" w:eastAsia="ja-JP"/>
        </w:rPr>
        <w:tab/>
      </w:r>
      <w:r w:rsidRPr="00033F29">
        <w:rPr>
          <w:rFonts w:eastAsiaTheme="minorEastAsia"/>
          <w:lang w:val="en-GB" w:eastAsia="ja-JP"/>
        </w:rPr>
        <w:t>G.</w:t>
      </w:r>
      <w:r w:rsidRPr="00033F29">
        <w:rPr>
          <w:rFonts w:eastAsiaTheme="minorEastAsia"/>
          <w:lang w:val="en-GB" w:eastAsia="ja-JP"/>
        </w:rPr>
        <w:tab/>
      </w:r>
      <w:r w:rsidR="00B06FC0" w:rsidRPr="00033F29">
        <w:rPr>
          <w:rFonts w:eastAsiaTheme="minorEastAsia"/>
          <w:lang w:val="en-GB" w:eastAsia="ja-JP"/>
        </w:rPr>
        <w:t>Reporting and Recommendations</w:t>
      </w:r>
    </w:p>
    <w:p w14:paraId="3A59F397" w14:textId="77777777" w:rsidR="00B06FC0" w:rsidRPr="00C01FF0" w:rsidRDefault="00033F29" w:rsidP="00033F29">
      <w:pPr>
        <w:pStyle w:val="SingleTxtG"/>
        <w:rPr>
          <w:rFonts w:eastAsiaTheme="minorEastAsia"/>
          <w:lang w:val="en-GB" w:eastAsia="ja-JP"/>
        </w:rPr>
      </w:pPr>
      <w:r w:rsidRPr="00C01FF0">
        <w:rPr>
          <w:rFonts w:eastAsiaTheme="minorEastAsia"/>
          <w:lang w:val="en-GB" w:eastAsia="ja-JP"/>
        </w:rPr>
        <w:t>22.</w:t>
      </w:r>
      <w:r w:rsidRPr="00C01FF0">
        <w:rPr>
          <w:rFonts w:eastAsiaTheme="minorEastAsia"/>
          <w:lang w:val="en-GB" w:eastAsia="ja-JP"/>
        </w:rPr>
        <w:tab/>
      </w:r>
      <w:r w:rsidR="00B06FC0" w:rsidRPr="00C01FF0">
        <w:rPr>
          <w:rFonts w:eastAsiaTheme="minorEastAsia"/>
          <w:lang w:val="en-GB" w:eastAsia="ja-JP"/>
        </w:rPr>
        <w:t xml:space="preserve">The general practice among the different treaty bodies in relation to inquiry reports is to ensure that they are drafted as soon as possible after the conclusion of a country visit, and not later than six months. Designated members, together with the assisting Human Rights Officers, are usually responsible for preparing the report, which may not exceed 10,700 words, in order to be processed and translated into other official UN languages.  Consideration of the report should take place during the Committee session following this deadline.  </w:t>
      </w:r>
    </w:p>
    <w:p w14:paraId="27E2B88E" w14:textId="77777777" w:rsidR="00B06FC0" w:rsidRPr="00C01FF0" w:rsidRDefault="00033F29" w:rsidP="00033F29">
      <w:pPr>
        <w:pStyle w:val="SingleTxtG"/>
        <w:rPr>
          <w:rFonts w:eastAsiaTheme="minorEastAsia"/>
          <w:lang w:val="en-GB" w:eastAsia="ja-JP"/>
        </w:rPr>
      </w:pPr>
      <w:r w:rsidRPr="00033F29">
        <w:rPr>
          <w:rFonts w:eastAsiaTheme="minorEastAsia"/>
          <w:lang w:val="en-GB" w:eastAsia="ja-JP"/>
        </w:rPr>
        <w:t>23.</w:t>
      </w:r>
      <w:r w:rsidRPr="00033F29">
        <w:rPr>
          <w:rFonts w:eastAsiaTheme="minorEastAsia"/>
          <w:lang w:val="en-GB" w:eastAsia="ja-JP"/>
        </w:rPr>
        <w:tab/>
      </w:r>
      <w:r w:rsidR="00B06FC0" w:rsidRPr="00033F29">
        <w:rPr>
          <w:rFonts w:eastAsiaTheme="minorEastAsia"/>
          <w:lang w:val="en-GB" w:eastAsia="ja-JP"/>
        </w:rPr>
        <w:t xml:space="preserve">The content of reports may vary depending on the nature of the inquiry.  </w:t>
      </w:r>
      <w:r w:rsidR="00B06FC0" w:rsidRPr="00C01FF0">
        <w:rPr>
          <w:rFonts w:eastAsiaTheme="minorEastAsia"/>
          <w:lang w:val="en-GB" w:eastAsia="ja-JP"/>
        </w:rPr>
        <w:t>However, in general, reports are structured around three main areas: an explanation of the development of the procedure, including issues related to cooperation with the State party; the findings of the visit; and the conclusions and recommendations.  In some cases, it may be beneficial to include short excerpts of testimonies in the report, annexing their full (non-translated) transcripts at the end along with relevant legislation, if the word limit of 10.700 permits.</w:t>
      </w:r>
      <w:r w:rsidR="00B06FC0" w:rsidRPr="00C01FF0">
        <w:rPr>
          <w:rFonts w:asciiTheme="minorHAnsi" w:eastAsiaTheme="minorEastAsia" w:hAnsiTheme="minorHAnsi" w:cstheme="minorBidi"/>
          <w:sz w:val="24"/>
          <w:szCs w:val="24"/>
          <w:lang w:val="en-GB" w:eastAsia="ja-JP"/>
        </w:rPr>
        <w:t xml:space="preserve"> </w:t>
      </w:r>
      <w:r w:rsidR="00B06FC0" w:rsidRPr="00C01FF0">
        <w:rPr>
          <w:rFonts w:eastAsiaTheme="minorEastAsia"/>
          <w:lang w:val="en-GB" w:eastAsia="ja-JP"/>
        </w:rPr>
        <w:t>Recommendations should be developed in such a way so as to facilitate implementation by States parties.</w:t>
      </w:r>
    </w:p>
    <w:p w14:paraId="3FCEEB1D" w14:textId="5BDABEF6" w:rsidR="00B06FC0" w:rsidRPr="00C01FF0" w:rsidRDefault="00033F29" w:rsidP="00033F29">
      <w:pPr>
        <w:pStyle w:val="SingleTxtG"/>
        <w:rPr>
          <w:rFonts w:eastAsiaTheme="minorEastAsia"/>
          <w:lang w:val="en-GB" w:eastAsia="ja-JP"/>
        </w:rPr>
      </w:pPr>
      <w:r w:rsidRPr="00033F29">
        <w:rPr>
          <w:rFonts w:eastAsiaTheme="minorEastAsia"/>
          <w:lang w:val="en-GB" w:eastAsia="ja-JP"/>
        </w:rPr>
        <w:t>24.</w:t>
      </w:r>
      <w:r w:rsidRPr="00033F29">
        <w:rPr>
          <w:rFonts w:eastAsiaTheme="minorEastAsia"/>
          <w:lang w:val="en-GB" w:eastAsia="ja-JP"/>
        </w:rPr>
        <w:tab/>
      </w:r>
      <w:r w:rsidR="00B06FC0" w:rsidRPr="00033F29">
        <w:rPr>
          <w:rFonts w:eastAsiaTheme="minorEastAsia"/>
          <w:lang w:val="en-GB" w:eastAsia="ja-JP"/>
        </w:rPr>
        <w:t xml:space="preserve">All relevant treaty provisions or rules of procedure indicate that after adoption the report shall be transmitted to the State party concerned. </w:t>
      </w:r>
      <w:r w:rsidR="00B06FC0" w:rsidRPr="00C01FF0">
        <w:rPr>
          <w:rFonts w:eastAsiaTheme="minorEastAsia"/>
          <w:lang w:val="en-GB" w:eastAsia="ja-JP"/>
        </w:rPr>
        <w:t>Depending on the urgency of a particular situation within the State party</w:t>
      </w:r>
      <w:r w:rsidR="00131105" w:rsidRPr="00C01FF0">
        <w:rPr>
          <w:rFonts w:eastAsiaTheme="minorEastAsia"/>
          <w:lang w:val="en-GB" w:eastAsia="ja-JP"/>
        </w:rPr>
        <w:t>,</w:t>
      </w:r>
      <w:r w:rsidR="00B06FC0" w:rsidRPr="00C01FF0">
        <w:rPr>
          <w:rFonts w:eastAsiaTheme="minorEastAsia"/>
          <w:lang w:val="en-GB" w:eastAsia="ja-JP"/>
        </w:rPr>
        <w:t xml:space="preserve"> recommendations may be grouped accordingly with corresponding deadlines. Particularly urgent matters may be raised directly with the relevant Ministry. In certain situations, preliminary recommendations may also be made at the end of the mission to be implemented by the State party within a certain timeframe. </w:t>
      </w:r>
    </w:p>
    <w:p w14:paraId="001E94FA" w14:textId="77777777" w:rsidR="00B06FC0" w:rsidRPr="00033F29" w:rsidRDefault="00033F29" w:rsidP="00033F29">
      <w:pPr>
        <w:pStyle w:val="SingleTxtG"/>
        <w:rPr>
          <w:rFonts w:eastAsiaTheme="minorEastAsia"/>
          <w:lang w:val="en-GB" w:eastAsia="ja-JP"/>
        </w:rPr>
      </w:pPr>
      <w:r w:rsidRPr="00033F29">
        <w:rPr>
          <w:rFonts w:eastAsiaTheme="minorEastAsia"/>
          <w:lang w:val="en-GB" w:eastAsia="ja-JP"/>
        </w:rPr>
        <w:t>25.</w:t>
      </w:r>
      <w:r w:rsidRPr="00033F29">
        <w:rPr>
          <w:rFonts w:eastAsiaTheme="minorEastAsia"/>
          <w:lang w:val="en-GB" w:eastAsia="ja-JP"/>
        </w:rPr>
        <w:tab/>
      </w:r>
      <w:r w:rsidR="00B06FC0" w:rsidRPr="00033F29">
        <w:rPr>
          <w:rFonts w:eastAsiaTheme="minorEastAsia"/>
          <w:lang w:val="en-GB" w:eastAsia="ja-JP"/>
        </w:rPr>
        <w:t xml:space="preserve">Adoption of the report in plenary usually takes place within six months after the deadline for receiving the responses from the State party or after conclusion of information gathering in case there has been no State visit. </w:t>
      </w:r>
    </w:p>
    <w:p w14:paraId="3045DB57" w14:textId="77777777" w:rsidR="00B06FC0" w:rsidRPr="00C01FF0" w:rsidRDefault="00033F29" w:rsidP="00033F29">
      <w:pPr>
        <w:pStyle w:val="SingleTxtG"/>
        <w:rPr>
          <w:rFonts w:eastAsiaTheme="minorEastAsia"/>
          <w:lang w:val="en-GB" w:eastAsia="ja-JP"/>
        </w:rPr>
      </w:pPr>
      <w:r w:rsidRPr="00033F29">
        <w:rPr>
          <w:rFonts w:eastAsiaTheme="minorEastAsia"/>
          <w:lang w:val="en-GB" w:eastAsia="ja-JP"/>
        </w:rPr>
        <w:t>26.</w:t>
      </w:r>
      <w:r w:rsidRPr="00033F29">
        <w:rPr>
          <w:rFonts w:eastAsiaTheme="minorEastAsia"/>
          <w:lang w:val="en-GB" w:eastAsia="ja-JP"/>
        </w:rPr>
        <w:tab/>
      </w:r>
      <w:r w:rsidR="00B06FC0" w:rsidRPr="00033F29">
        <w:rPr>
          <w:rFonts w:eastAsiaTheme="minorEastAsia"/>
          <w:lang w:val="en-GB" w:eastAsia="ja-JP"/>
        </w:rPr>
        <w:t xml:space="preserve">Some treaties include provisions regarding the publication of the results of the inquiry. </w:t>
      </w:r>
      <w:r w:rsidR="00B06FC0" w:rsidRPr="00C01FF0">
        <w:rPr>
          <w:rFonts w:eastAsiaTheme="minorEastAsia"/>
          <w:lang w:val="en-GB" w:eastAsia="ja-JP"/>
        </w:rPr>
        <w:t>Thus, article 20(5) of CAT, 11(7) of OPCESCR and 13 of the OPIC indicate that after the proceedings have been completed the Committee may, after consultation with the State concerned, decide to include a summary account of the results of the proceedings in its annual report (biannual for CRC), to the General Assembly.  The publication of reports, or at least their summaries, is important for enabling the establishment of jurisprudence, informing the public, and reducing the risk of reprisals. It is also an essential tool for informing the alleged victims of the outcome of an inquiry visit.</w:t>
      </w:r>
    </w:p>
    <w:p w14:paraId="02FC6C02" w14:textId="77777777" w:rsidR="00B06FC0" w:rsidRPr="00033F29" w:rsidRDefault="00033F29" w:rsidP="00033F29">
      <w:pPr>
        <w:pStyle w:val="H1G"/>
        <w:rPr>
          <w:rFonts w:eastAsiaTheme="minorHAnsi"/>
          <w:lang w:val="en-GB"/>
        </w:rPr>
      </w:pPr>
      <w:r w:rsidRPr="00C01FF0">
        <w:rPr>
          <w:rFonts w:eastAsiaTheme="minorHAnsi"/>
          <w:lang w:val="en-GB"/>
        </w:rPr>
        <w:tab/>
      </w:r>
      <w:r w:rsidR="00B06FC0" w:rsidRPr="00033F29">
        <w:rPr>
          <w:rFonts w:eastAsiaTheme="minorHAnsi"/>
          <w:lang w:val="en-GB"/>
        </w:rPr>
        <w:t>H.</w:t>
      </w:r>
      <w:r w:rsidRPr="00033F29">
        <w:rPr>
          <w:rFonts w:eastAsiaTheme="minorHAnsi"/>
          <w:lang w:val="en-GB"/>
        </w:rPr>
        <w:tab/>
      </w:r>
      <w:r w:rsidR="00B06FC0" w:rsidRPr="00033F29">
        <w:rPr>
          <w:rFonts w:eastAsiaTheme="minorHAnsi"/>
          <w:lang w:val="en-GB"/>
        </w:rPr>
        <w:t>Follow up</w:t>
      </w:r>
    </w:p>
    <w:p w14:paraId="28C82A99" w14:textId="77777777" w:rsidR="00B06FC0" w:rsidRPr="00C01FF0" w:rsidRDefault="00033F29" w:rsidP="00033F29">
      <w:pPr>
        <w:pStyle w:val="SingleTxtG"/>
        <w:rPr>
          <w:rFonts w:eastAsiaTheme="minorEastAsia"/>
          <w:lang w:val="en-GB" w:eastAsia="ja-JP"/>
        </w:rPr>
      </w:pPr>
      <w:r w:rsidRPr="00C01FF0">
        <w:rPr>
          <w:rFonts w:eastAsiaTheme="minorEastAsia"/>
          <w:lang w:val="en-GB" w:eastAsia="ja-JP"/>
        </w:rPr>
        <w:t>27.</w:t>
      </w:r>
      <w:r w:rsidRPr="00C01FF0">
        <w:rPr>
          <w:rFonts w:eastAsiaTheme="minorEastAsia"/>
          <w:lang w:val="en-GB" w:eastAsia="ja-JP"/>
        </w:rPr>
        <w:tab/>
      </w:r>
      <w:r w:rsidR="00B06FC0" w:rsidRPr="00C01FF0">
        <w:rPr>
          <w:rFonts w:eastAsiaTheme="minorEastAsia"/>
          <w:lang w:val="en-GB" w:eastAsia="ja-JP"/>
        </w:rPr>
        <w:t xml:space="preserve">Out of the six Committees which have inquiry proceedings only the Committee on the Elimination of Discrimination against Women, the Committee on the Rights of the Child and the Committee on the Rights of Persons with Disabilities have expressly included in their Rules of Procedure guidelines related to follow-up activities. While not specifically referred to as follow-up activities, and included under a specific heading, the Committee against Torture in its Rules of Procedure, provides for follow-up (Rule 89.2). Only the Committee against Torture and Committee on the Elimination of Discrimination against Women have so far developed practices regarding follow-up activities.   </w:t>
      </w:r>
    </w:p>
    <w:p w14:paraId="2216E6F5" w14:textId="77777777" w:rsidR="00B06FC0" w:rsidRPr="00C01FF0" w:rsidRDefault="00033F29" w:rsidP="00033F29">
      <w:pPr>
        <w:pStyle w:val="SingleTxtG"/>
        <w:rPr>
          <w:rFonts w:eastAsiaTheme="minorEastAsia"/>
          <w:lang w:val="en-GB" w:eastAsia="ja-JP"/>
        </w:rPr>
      </w:pPr>
      <w:r w:rsidRPr="00C01FF0">
        <w:rPr>
          <w:rFonts w:eastAsiaTheme="minorEastAsia"/>
          <w:lang w:val="en-GB" w:eastAsia="ja-JP"/>
        </w:rPr>
        <w:lastRenderedPageBreak/>
        <w:t>28.</w:t>
      </w:r>
      <w:r w:rsidRPr="00C01FF0">
        <w:rPr>
          <w:rFonts w:eastAsiaTheme="minorEastAsia"/>
          <w:lang w:val="en-GB" w:eastAsia="ja-JP"/>
        </w:rPr>
        <w:tab/>
      </w:r>
      <w:r w:rsidR="00B06FC0" w:rsidRPr="00C01FF0">
        <w:rPr>
          <w:rFonts w:eastAsiaTheme="minorEastAsia"/>
          <w:lang w:val="en-GB" w:eastAsia="ja-JP"/>
        </w:rPr>
        <w:t xml:space="preserve">There is a general consensus among the different treaty bodies that more could be done to strengthen the follow up procedure. In this context, and recognizing the importance of ensuring effective engagement with the source of information, seminars and conferences could be organized between treaty body experts and other human rights mechanisms to discuss the outcome of the inquiry report (provided it is public), along with side events during the Human Rights Council and other similar mechanisms. While they may be considered politically sensitive and financially unviable, follow up visits are perhaps considered as one of the most effective means of assessing whether recommendations are being implemented, and of ensuring that victims and witnesses are protected against reprisals. </w:t>
      </w:r>
    </w:p>
    <w:p w14:paraId="63A71866" w14:textId="6402A6D0" w:rsidR="00B06FC0" w:rsidRPr="00033F29" w:rsidRDefault="00033F29" w:rsidP="00033F29">
      <w:pPr>
        <w:pStyle w:val="SingleTxtG"/>
        <w:rPr>
          <w:rFonts w:eastAsiaTheme="minorEastAsia"/>
          <w:lang w:val="en-GB" w:eastAsia="ja-JP"/>
        </w:rPr>
      </w:pPr>
      <w:r w:rsidRPr="00033F29">
        <w:rPr>
          <w:rFonts w:eastAsiaTheme="minorEastAsia"/>
          <w:lang w:val="en-GB" w:eastAsia="ja-JP"/>
        </w:rPr>
        <w:t>29.</w:t>
      </w:r>
      <w:r w:rsidRPr="00033F29">
        <w:rPr>
          <w:rFonts w:eastAsiaTheme="minorEastAsia"/>
          <w:lang w:val="en-GB" w:eastAsia="ja-JP"/>
        </w:rPr>
        <w:tab/>
      </w:r>
      <w:r w:rsidR="00B06FC0" w:rsidRPr="00033F29">
        <w:rPr>
          <w:rFonts w:eastAsiaTheme="minorEastAsia"/>
          <w:lang w:val="en-GB" w:eastAsia="ja-JP"/>
        </w:rPr>
        <w:t xml:space="preserve">Integrating the follow up procedure into regular reporting by States parties to treaty bodies may be another way of reviewing the implementation of recommendations made during an inquiry visit. </w:t>
      </w:r>
      <w:r w:rsidR="00B06FC0" w:rsidRPr="00C01FF0">
        <w:rPr>
          <w:rFonts w:eastAsiaTheme="minorEastAsia"/>
          <w:lang w:val="en-GB" w:eastAsia="ja-JP"/>
        </w:rPr>
        <w:t xml:space="preserve">However for some Committees, such as the Committee on the Rights of the Child, which receives periodic reports from States parties every five to ten years, the timeframe would be too long. An alternative may be to follow the procedure adopted by the Committee on the Elimination of Discrimination against Women, which has established a working group on inquiries, supported by the members who have been designated to conduct the inquiry, and are responsible for conducting follow-up activities and for reporting back to the Committee.  Similarly the Committee against Torture appointed in its thirty-first session (November 2003) a rapporteur on follow-up to recommendations of its inquiry reports. </w:t>
      </w:r>
      <w:r w:rsidR="00B06FC0" w:rsidRPr="00033F29">
        <w:rPr>
          <w:rFonts w:eastAsiaTheme="minorEastAsia"/>
          <w:lang w:val="en-GB" w:eastAsia="ja-JP"/>
        </w:rPr>
        <w:t>Cooperation with other relevant mechanisms, including Special Procedures mandate</w:t>
      </w:r>
      <w:r w:rsidR="00131105">
        <w:rPr>
          <w:rFonts w:eastAsiaTheme="minorEastAsia"/>
          <w:lang w:val="en-GB" w:eastAsia="ja-JP"/>
        </w:rPr>
        <w:t>-holders</w:t>
      </w:r>
      <w:r w:rsidR="00B06FC0" w:rsidRPr="00033F29">
        <w:rPr>
          <w:rFonts w:eastAsiaTheme="minorEastAsia"/>
          <w:lang w:val="en-GB" w:eastAsia="ja-JP"/>
        </w:rPr>
        <w:t>, as well as the various UN agencies, National Human Rights Institutions and civil society stakeholders should also be encourage</w:t>
      </w:r>
    </w:p>
    <w:p w14:paraId="1C5FE144" w14:textId="77777777" w:rsidR="00B06FC0" w:rsidRPr="00033F29" w:rsidRDefault="00033F29" w:rsidP="00033F29">
      <w:pPr>
        <w:pStyle w:val="HChG"/>
        <w:rPr>
          <w:rFonts w:eastAsiaTheme="minorEastAsia"/>
          <w:lang w:val="en-GB" w:eastAsia="ja-JP"/>
        </w:rPr>
      </w:pPr>
      <w:r w:rsidRPr="00033F29">
        <w:rPr>
          <w:lang w:val="en-GB"/>
        </w:rPr>
        <w:tab/>
        <w:t>III.</w:t>
      </w:r>
      <w:r w:rsidRPr="00033F29">
        <w:rPr>
          <w:lang w:val="en-GB"/>
        </w:rPr>
        <w:tab/>
      </w:r>
      <w:r w:rsidR="00B06FC0" w:rsidRPr="00033F29">
        <w:rPr>
          <w:lang w:val="en-GB"/>
        </w:rPr>
        <w:t>Suggested elements for endorsement by the treaty body chairpersons</w:t>
      </w:r>
    </w:p>
    <w:p w14:paraId="2551A9DF" w14:textId="77777777" w:rsidR="00B06FC0" w:rsidRPr="00033F29" w:rsidRDefault="00033F29" w:rsidP="00033F29">
      <w:pPr>
        <w:pStyle w:val="SingleTxtG"/>
        <w:rPr>
          <w:rFonts w:eastAsiaTheme="minorEastAsia"/>
          <w:b/>
          <w:lang w:val="en-US" w:eastAsia="ja-JP"/>
        </w:rPr>
      </w:pPr>
      <w:r w:rsidRPr="00EE3BD7">
        <w:rPr>
          <w:rFonts w:eastAsiaTheme="minorEastAsia"/>
          <w:lang w:val="en-US" w:eastAsia="ja-JP"/>
        </w:rPr>
        <w:t>30.</w:t>
      </w:r>
      <w:r w:rsidRPr="00EE3BD7">
        <w:rPr>
          <w:rFonts w:eastAsiaTheme="minorEastAsia"/>
          <w:lang w:val="en-US" w:eastAsia="ja-JP"/>
        </w:rPr>
        <w:tab/>
      </w:r>
      <w:r w:rsidR="00B06FC0" w:rsidRPr="00033F29">
        <w:rPr>
          <w:b/>
          <w:lang w:val="en-GB"/>
        </w:rPr>
        <w:t>On the basis of existing practices and with a view to ensuring coherence across the treaty bodies and standardizing working methods, the following was noted as key by workshop participants a large part of it being operational issues to be undertaken by the Secretariat:</w:t>
      </w:r>
    </w:p>
    <w:p w14:paraId="48EEA461" w14:textId="32EC2FCB" w:rsidR="00B06FC0" w:rsidRPr="00033F29" w:rsidRDefault="00B06FC0" w:rsidP="00033F29">
      <w:pPr>
        <w:pStyle w:val="SingleTxtG"/>
        <w:ind w:firstLine="567"/>
        <w:rPr>
          <w:b/>
          <w:bCs/>
          <w:lang w:val="en-GB"/>
        </w:rPr>
      </w:pPr>
      <w:r w:rsidRPr="00033F29">
        <w:rPr>
          <w:b/>
          <w:bCs/>
          <w:lang w:val="en-GB"/>
        </w:rPr>
        <w:t>(a)</w:t>
      </w:r>
      <w:r w:rsidRPr="00033F29">
        <w:rPr>
          <w:b/>
          <w:lang w:val="en-GB"/>
        </w:rPr>
        <w:tab/>
      </w:r>
      <w:r w:rsidRPr="00033F29">
        <w:rPr>
          <w:b/>
          <w:bCs/>
          <w:lang w:val="en-GB"/>
        </w:rPr>
        <w:t xml:space="preserve">The designation of a focal point </w:t>
      </w:r>
      <w:r w:rsidR="00972A4E">
        <w:rPr>
          <w:b/>
          <w:bCs/>
          <w:lang w:val="en-GB"/>
        </w:rPr>
        <w:t>within the Human Rights Treaties Branch</w:t>
      </w:r>
      <w:r w:rsidR="00131105">
        <w:rPr>
          <w:b/>
          <w:bCs/>
          <w:lang w:val="en-GB"/>
        </w:rPr>
        <w:t xml:space="preserve"> </w:t>
      </w:r>
      <w:r w:rsidRPr="00033F29">
        <w:rPr>
          <w:b/>
          <w:bCs/>
          <w:lang w:val="en-GB"/>
        </w:rPr>
        <w:t>to facilitate/coordinate follow up on inquiry recommendations;</w:t>
      </w:r>
    </w:p>
    <w:p w14:paraId="06250B50" w14:textId="77777777" w:rsidR="00B06FC0" w:rsidRPr="00033F29" w:rsidRDefault="00B06FC0" w:rsidP="00033F29">
      <w:pPr>
        <w:pStyle w:val="SingleTxtG"/>
        <w:ind w:firstLine="567"/>
        <w:rPr>
          <w:b/>
          <w:bCs/>
          <w:lang w:val="en-GB"/>
        </w:rPr>
      </w:pPr>
      <w:r w:rsidRPr="00033F29">
        <w:rPr>
          <w:b/>
          <w:lang w:val="en-GB"/>
        </w:rPr>
        <w:t>(b)</w:t>
      </w:r>
      <w:r w:rsidRPr="00033F29">
        <w:rPr>
          <w:b/>
          <w:bCs/>
          <w:lang w:val="en-GB"/>
        </w:rPr>
        <w:tab/>
        <w:t>The organisation of workshops and side events to encourage States parties to follow-up on inquiry recommendations;</w:t>
      </w:r>
    </w:p>
    <w:p w14:paraId="562FA905" w14:textId="54C67126" w:rsidR="00B06FC0" w:rsidRPr="00033F29" w:rsidRDefault="00B06FC0" w:rsidP="00033F29">
      <w:pPr>
        <w:pStyle w:val="SingleTxtG"/>
        <w:ind w:firstLine="567"/>
        <w:rPr>
          <w:b/>
          <w:bCs/>
          <w:lang w:val="en-GB"/>
        </w:rPr>
      </w:pPr>
      <w:r w:rsidRPr="00033F29">
        <w:rPr>
          <w:b/>
          <w:lang w:val="en-GB"/>
        </w:rPr>
        <w:t>(c)</w:t>
      </w:r>
      <w:r w:rsidRPr="00033F29">
        <w:rPr>
          <w:b/>
          <w:bCs/>
          <w:lang w:val="en-GB"/>
        </w:rPr>
        <w:tab/>
        <w:t xml:space="preserve">Increased collaboration with relevant partners, such as UNCT, NHRIs, ICRC, regional human rights mechanisms and relevant representatives of civil society, with regards to the </w:t>
      </w:r>
      <w:r w:rsidR="00131105">
        <w:rPr>
          <w:b/>
          <w:bCs/>
          <w:lang w:val="en-GB"/>
        </w:rPr>
        <w:t>follow up to inquiries</w:t>
      </w:r>
      <w:r w:rsidRPr="00033F29">
        <w:rPr>
          <w:b/>
          <w:bCs/>
          <w:lang w:val="en-GB"/>
        </w:rPr>
        <w:t>;</w:t>
      </w:r>
    </w:p>
    <w:p w14:paraId="7D73FE0D" w14:textId="77777777" w:rsidR="00B06FC0" w:rsidRPr="00033F29" w:rsidRDefault="00B06FC0" w:rsidP="00033F29">
      <w:pPr>
        <w:pStyle w:val="SingleTxtG"/>
        <w:ind w:firstLine="567"/>
        <w:rPr>
          <w:b/>
          <w:bCs/>
          <w:lang w:val="en-GB"/>
        </w:rPr>
      </w:pPr>
      <w:r w:rsidRPr="00033F29">
        <w:rPr>
          <w:b/>
          <w:lang w:val="en-GB"/>
        </w:rPr>
        <w:t>(d)</w:t>
      </w:r>
      <w:r w:rsidRPr="00033F29">
        <w:rPr>
          <w:b/>
          <w:bCs/>
          <w:lang w:val="en-GB"/>
        </w:rPr>
        <w:tab/>
        <w:t xml:space="preserve">Development of templates for communication with main actors; </w:t>
      </w:r>
    </w:p>
    <w:p w14:paraId="65E645BC" w14:textId="77777777" w:rsidR="00B06FC0" w:rsidRPr="00033F29" w:rsidRDefault="00B06FC0" w:rsidP="00033F29">
      <w:pPr>
        <w:pStyle w:val="SingleTxtG"/>
        <w:ind w:firstLine="567"/>
        <w:rPr>
          <w:b/>
          <w:bCs/>
          <w:lang w:val="en-GB"/>
        </w:rPr>
      </w:pPr>
      <w:r w:rsidRPr="00033F29">
        <w:rPr>
          <w:b/>
          <w:lang w:val="en-GB"/>
        </w:rPr>
        <w:t>(</w:t>
      </w:r>
      <w:proofErr w:type="gramStart"/>
      <w:r w:rsidRPr="00033F29">
        <w:rPr>
          <w:b/>
          <w:lang w:val="en-GB"/>
        </w:rPr>
        <w:t>e</w:t>
      </w:r>
      <w:proofErr w:type="gramEnd"/>
      <w:r w:rsidRPr="00033F29">
        <w:rPr>
          <w:b/>
          <w:lang w:val="en-GB"/>
        </w:rPr>
        <w:t>)</w:t>
      </w:r>
      <w:r w:rsidRPr="00033F29">
        <w:rPr>
          <w:b/>
          <w:bCs/>
          <w:lang w:val="en-GB"/>
        </w:rPr>
        <w:tab/>
        <w:t>Development of a protocol on reprisals based on existing documents, including the CAT guidelines;</w:t>
      </w:r>
    </w:p>
    <w:p w14:paraId="4E0E37CE" w14:textId="77777777" w:rsidR="00B06FC0" w:rsidRPr="00033F29" w:rsidRDefault="00B06FC0" w:rsidP="00033F29">
      <w:pPr>
        <w:pStyle w:val="SingleTxtG"/>
        <w:ind w:firstLine="567"/>
        <w:rPr>
          <w:b/>
          <w:bCs/>
          <w:lang w:val="en-GB"/>
        </w:rPr>
      </w:pPr>
      <w:r w:rsidRPr="00033F29">
        <w:rPr>
          <w:b/>
          <w:lang w:val="en-GB"/>
        </w:rPr>
        <w:t>(f)</w:t>
      </w:r>
      <w:r w:rsidRPr="00033F29">
        <w:rPr>
          <w:b/>
          <w:bCs/>
          <w:lang w:val="en-GB"/>
        </w:rPr>
        <w:tab/>
        <w:t>A Repository of existing material relevant to the inquiry procedure available on the Extranet;</w:t>
      </w:r>
    </w:p>
    <w:p w14:paraId="127FB301" w14:textId="77777777" w:rsidR="00B06FC0" w:rsidRPr="00033F29" w:rsidRDefault="00B06FC0" w:rsidP="00033F29">
      <w:pPr>
        <w:pStyle w:val="SingleTxtG"/>
        <w:ind w:firstLine="567"/>
        <w:rPr>
          <w:b/>
          <w:bCs/>
          <w:lang w:val="en-GB"/>
        </w:rPr>
      </w:pPr>
      <w:r w:rsidRPr="00033F29">
        <w:rPr>
          <w:b/>
          <w:bCs/>
          <w:lang w:val="en-GB"/>
        </w:rPr>
        <w:t>(g</w:t>
      </w:r>
      <w:r w:rsidR="00033F29">
        <w:rPr>
          <w:b/>
          <w:bCs/>
          <w:lang w:val="en-GB"/>
        </w:rPr>
        <w:t>)</w:t>
      </w:r>
      <w:r w:rsidR="00033F29">
        <w:rPr>
          <w:b/>
          <w:bCs/>
          <w:lang w:val="en-GB"/>
        </w:rPr>
        <w:tab/>
      </w:r>
      <w:r w:rsidRPr="00033F29">
        <w:rPr>
          <w:b/>
          <w:bCs/>
          <w:lang w:val="en-GB"/>
        </w:rPr>
        <w:t xml:space="preserve">The development of guidelines as a means of harmonising the criteria applied by treaty bodies when establishing thresholds for inquiries; </w:t>
      </w:r>
    </w:p>
    <w:p w14:paraId="4802E6AF" w14:textId="77777777" w:rsidR="00B06FC0" w:rsidRPr="00033F29" w:rsidRDefault="00B06FC0" w:rsidP="00033F29">
      <w:pPr>
        <w:pStyle w:val="SingleTxtG"/>
        <w:ind w:firstLine="567"/>
        <w:rPr>
          <w:b/>
          <w:bCs/>
          <w:lang w:val="en-GB"/>
        </w:rPr>
      </w:pPr>
      <w:r w:rsidRPr="00033F29">
        <w:rPr>
          <w:b/>
          <w:bCs/>
          <w:lang w:val="en-GB"/>
        </w:rPr>
        <w:t>(h</w:t>
      </w:r>
      <w:r w:rsidR="00033F29">
        <w:rPr>
          <w:b/>
          <w:bCs/>
          <w:lang w:val="en-GB"/>
        </w:rPr>
        <w:t>)</w:t>
      </w:r>
      <w:r w:rsidR="00033F29">
        <w:rPr>
          <w:b/>
          <w:bCs/>
          <w:lang w:val="en-GB"/>
        </w:rPr>
        <w:tab/>
      </w:r>
      <w:r w:rsidRPr="00033F29">
        <w:rPr>
          <w:b/>
          <w:bCs/>
          <w:lang w:val="en-GB"/>
        </w:rPr>
        <w:t>The possibility of developing Inter-Committee meetings around thematic issues, and supported by individual States parties;</w:t>
      </w:r>
    </w:p>
    <w:p w14:paraId="32589FB1" w14:textId="77777777" w:rsidR="00B06FC0" w:rsidRPr="00033F29" w:rsidRDefault="00B06FC0" w:rsidP="00033F29">
      <w:pPr>
        <w:pStyle w:val="SingleTxtG"/>
        <w:ind w:firstLine="567"/>
        <w:rPr>
          <w:b/>
          <w:bCs/>
          <w:lang w:val="en-GB"/>
        </w:rPr>
      </w:pPr>
      <w:r w:rsidRPr="00033F29">
        <w:rPr>
          <w:b/>
          <w:bCs/>
          <w:lang w:val="en-GB"/>
        </w:rPr>
        <w:t>(</w:t>
      </w:r>
      <w:proofErr w:type="spellStart"/>
      <w:r w:rsidRPr="00033F29">
        <w:rPr>
          <w:b/>
          <w:bCs/>
          <w:lang w:val="en-GB"/>
        </w:rPr>
        <w:t>i</w:t>
      </w:r>
      <w:proofErr w:type="spellEnd"/>
      <w:r w:rsidR="00033F29">
        <w:rPr>
          <w:b/>
          <w:bCs/>
          <w:lang w:val="en-GB"/>
        </w:rPr>
        <w:t>)</w:t>
      </w:r>
      <w:r w:rsidR="00033F29">
        <w:rPr>
          <w:b/>
          <w:bCs/>
          <w:lang w:val="en-GB"/>
        </w:rPr>
        <w:tab/>
      </w:r>
      <w:r w:rsidRPr="00033F29">
        <w:rPr>
          <w:b/>
          <w:bCs/>
          <w:lang w:val="en-GB"/>
        </w:rPr>
        <w:t xml:space="preserve">The establishment of the group that participated in the workshop (or Committee focal points on inquiries) as a contact group on inquiries; and </w:t>
      </w:r>
    </w:p>
    <w:p w14:paraId="0CF31428" w14:textId="77777777" w:rsidR="00B06FC0" w:rsidRPr="00033F29" w:rsidRDefault="00B06FC0" w:rsidP="00033F29">
      <w:pPr>
        <w:pStyle w:val="SingleTxtG"/>
        <w:ind w:firstLine="567"/>
        <w:rPr>
          <w:b/>
          <w:lang w:val="en-GB"/>
        </w:rPr>
      </w:pPr>
      <w:r w:rsidRPr="00033F29">
        <w:rPr>
          <w:b/>
          <w:lang w:val="en-GB"/>
        </w:rPr>
        <w:t>(j</w:t>
      </w:r>
      <w:r w:rsidR="00033F29" w:rsidRPr="00033F29">
        <w:rPr>
          <w:b/>
          <w:lang w:val="en-GB"/>
        </w:rPr>
        <w:t>)</w:t>
      </w:r>
      <w:r w:rsidR="00033F29" w:rsidRPr="00033F29">
        <w:rPr>
          <w:b/>
          <w:lang w:val="en-GB"/>
        </w:rPr>
        <w:tab/>
      </w:r>
      <w:r w:rsidRPr="00033F29">
        <w:rPr>
          <w:b/>
          <w:lang w:val="en-GB"/>
        </w:rPr>
        <w:t>The development of guidelines on how Committees should engage with non-State entities particularly given the current global challenges in this regard.</w:t>
      </w:r>
    </w:p>
    <w:p w14:paraId="6459079D" w14:textId="77777777" w:rsidR="00271279" w:rsidRPr="00033F29" w:rsidRDefault="00033F29" w:rsidP="00033F29">
      <w:pPr>
        <w:spacing w:before="240"/>
        <w:ind w:left="1134" w:right="1134"/>
        <w:jc w:val="center"/>
        <w:rPr>
          <w:rFonts w:eastAsiaTheme="minorHAnsi"/>
          <w:u w:val="single"/>
          <w:lang w:val="en-US"/>
        </w:rPr>
      </w:pPr>
      <w:r>
        <w:rPr>
          <w:rFonts w:eastAsiaTheme="minorHAnsi"/>
          <w:u w:val="single"/>
          <w:lang w:val="en-US"/>
        </w:rPr>
        <w:tab/>
      </w:r>
      <w:r>
        <w:rPr>
          <w:rFonts w:eastAsiaTheme="minorHAnsi"/>
          <w:u w:val="single"/>
          <w:lang w:val="en-US"/>
        </w:rPr>
        <w:tab/>
      </w:r>
      <w:r>
        <w:rPr>
          <w:rFonts w:eastAsiaTheme="minorHAnsi"/>
          <w:u w:val="single"/>
          <w:lang w:val="en-US"/>
        </w:rPr>
        <w:tab/>
      </w:r>
      <w:r>
        <w:rPr>
          <w:rFonts w:eastAsiaTheme="minorHAnsi"/>
          <w:u w:val="single"/>
          <w:lang w:val="en-US"/>
        </w:rPr>
        <w:tab/>
      </w:r>
    </w:p>
    <w:sectPr w:rsidR="00271279" w:rsidRPr="00033F29" w:rsidSect="00990545">
      <w:headerReference w:type="even" r:id="rId7"/>
      <w:headerReference w:type="default" r:id="rId8"/>
      <w:footerReference w:type="even" r:id="rId9"/>
      <w:footerReference w:type="default" r:id="rId10"/>
      <w:endnotePr>
        <w:numFmt w:val="decimal"/>
      </w:endnotePr>
      <w:pgSz w:w="11907" w:h="16840" w:code="9"/>
      <w:pgMar w:top="1417" w:right="1134" w:bottom="993"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CCE994" w14:textId="77777777" w:rsidR="002B66F2" w:rsidRDefault="002B66F2"/>
  </w:endnote>
  <w:endnote w:type="continuationSeparator" w:id="0">
    <w:p w14:paraId="60E90FCB" w14:textId="77777777" w:rsidR="002B66F2" w:rsidRDefault="002B66F2"/>
  </w:endnote>
  <w:endnote w:type="continuationNotice" w:id="1">
    <w:p w14:paraId="4356488C" w14:textId="77777777" w:rsidR="002B66F2" w:rsidRDefault="002B66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B0143" w14:textId="1A90D1C2" w:rsidR="002B66F2" w:rsidRPr="002B66F2" w:rsidRDefault="002B66F2" w:rsidP="002B66F2">
    <w:pPr>
      <w:pStyle w:val="Footer"/>
      <w:tabs>
        <w:tab w:val="right" w:pos="9638"/>
      </w:tabs>
      <w:rPr>
        <w:sz w:val="18"/>
      </w:rPr>
    </w:pPr>
    <w:r w:rsidRPr="002B66F2">
      <w:rPr>
        <w:b/>
        <w:sz w:val="18"/>
      </w:rPr>
      <w:fldChar w:fldCharType="begin"/>
    </w:r>
    <w:r w:rsidRPr="002B66F2">
      <w:rPr>
        <w:b/>
        <w:sz w:val="18"/>
      </w:rPr>
      <w:instrText xml:space="preserve"> PAGE  \* MERGEFORMAT </w:instrText>
    </w:r>
    <w:r w:rsidRPr="002B66F2">
      <w:rPr>
        <w:b/>
        <w:sz w:val="18"/>
      </w:rPr>
      <w:fldChar w:fldCharType="separate"/>
    </w:r>
    <w:r w:rsidR="00244DF0">
      <w:rPr>
        <w:b/>
        <w:noProof/>
        <w:sz w:val="18"/>
      </w:rPr>
      <w:t>6</w:t>
    </w:r>
    <w:r w:rsidRPr="002B66F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25BD15" w14:textId="64298EF4" w:rsidR="002B66F2" w:rsidRPr="002B66F2" w:rsidRDefault="002B66F2" w:rsidP="002B66F2">
    <w:pPr>
      <w:pStyle w:val="Footer"/>
      <w:tabs>
        <w:tab w:val="right" w:pos="9638"/>
      </w:tabs>
      <w:rPr>
        <w:b/>
        <w:sz w:val="18"/>
      </w:rPr>
    </w:pPr>
    <w:r>
      <w:tab/>
    </w:r>
    <w:r w:rsidRPr="002B66F2">
      <w:rPr>
        <w:b/>
        <w:sz w:val="18"/>
      </w:rPr>
      <w:fldChar w:fldCharType="begin"/>
    </w:r>
    <w:r w:rsidRPr="002B66F2">
      <w:rPr>
        <w:b/>
        <w:sz w:val="18"/>
      </w:rPr>
      <w:instrText xml:space="preserve"> PAGE  \* MERGEFORMAT </w:instrText>
    </w:r>
    <w:r w:rsidRPr="002B66F2">
      <w:rPr>
        <w:b/>
        <w:sz w:val="18"/>
      </w:rPr>
      <w:fldChar w:fldCharType="separate"/>
    </w:r>
    <w:r w:rsidR="00244DF0">
      <w:rPr>
        <w:b/>
        <w:noProof/>
        <w:sz w:val="18"/>
      </w:rPr>
      <w:t>5</w:t>
    </w:r>
    <w:r w:rsidRPr="002B66F2">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7B12BE" w14:textId="77777777" w:rsidR="002B66F2" w:rsidRPr="000B175B" w:rsidRDefault="002B66F2" w:rsidP="000B175B">
      <w:pPr>
        <w:tabs>
          <w:tab w:val="right" w:pos="2155"/>
        </w:tabs>
        <w:spacing w:after="80"/>
        <w:ind w:left="680"/>
        <w:rPr>
          <w:u w:val="single"/>
        </w:rPr>
      </w:pPr>
      <w:r>
        <w:rPr>
          <w:u w:val="single"/>
        </w:rPr>
        <w:tab/>
      </w:r>
    </w:p>
  </w:footnote>
  <w:footnote w:type="continuationSeparator" w:id="0">
    <w:p w14:paraId="3B881E2C" w14:textId="77777777" w:rsidR="002B66F2" w:rsidRPr="00FC68B7" w:rsidRDefault="002B66F2" w:rsidP="00FC68B7">
      <w:pPr>
        <w:tabs>
          <w:tab w:val="left" w:pos="2155"/>
        </w:tabs>
        <w:spacing w:after="80"/>
        <w:ind w:left="680"/>
        <w:rPr>
          <w:u w:val="single"/>
        </w:rPr>
      </w:pPr>
      <w:r>
        <w:rPr>
          <w:u w:val="single"/>
        </w:rPr>
        <w:tab/>
      </w:r>
    </w:p>
  </w:footnote>
  <w:footnote w:type="continuationNotice" w:id="1">
    <w:p w14:paraId="71F6CC19" w14:textId="77777777" w:rsidR="002B66F2" w:rsidRDefault="002B66F2"/>
  </w:footnote>
  <w:footnote w:id="2">
    <w:p w14:paraId="67953F84" w14:textId="15D80499" w:rsidR="00B06FC0" w:rsidRPr="007124C5" w:rsidRDefault="00F733DA" w:rsidP="00B06FC0">
      <w:pPr>
        <w:pStyle w:val="FootnoteText"/>
        <w:rPr>
          <w:lang w:val="en-GB"/>
        </w:rPr>
      </w:pPr>
      <w:r>
        <w:rPr>
          <w:lang w:val="en-GB"/>
        </w:rPr>
        <w:tab/>
      </w:r>
      <w:r w:rsidR="00B06FC0">
        <w:rPr>
          <w:rStyle w:val="FootnoteReference"/>
        </w:rPr>
        <w:footnoteRef/>
      </w:r>
      <w:r w:rsidR="00B06FC0" w:rsidRPr="007124C5">
        <w:rPr>
          <w:lang w:val="en-GB"/>
        </w:rPr>
        <w:t xml:space="preserve"> </w:t>
      </w:r>
      <w:r w:rsidR="004F36D5">
        <w:rPr>
          <w:lang w:val="en-GB"/>
        </w:rPr>
        <w:tab/>
      </w:r>
      <w:r w:rsidR="00B06FC0" w:rsidRPr="007124C5">
        <w:rPr>
          <w:lang w:val="en-GB"/>
        </w:rPr>
        <w:t>A/HRC/68/268, para.9</w:t>
      </w:r>
      <w:r w:rsidR="0032155C">
        <w:rPr>
          <w:lang w:val="en-GB"/>
        </w:rPr>
        <w:t>.</w:t>
      </w:r>
    </w:p>
  </w:footnote>
  <w:footnote w:id="3">
    <w:p w14:paraId="63B2907B" w14:textId="0ECF56F8" w:rsidR="00B06FC0" w:rsidRPr="0032155C" w:rsidRDefault="00F733DA" w:rsidP="00B06FC0">
      <w:pPr>
        <w:pStyle w:val="FootnoteText"/>
        <w:rPr>
          <w:lang w:val="en-GB"/>
        </w:rPr>
      </w:pPr>
      <w:r>
        <w:rPr>
          <w:lang w:val="en-GB"/>
        </w:rPr>
        <w:tab/>
      </w:r>
      <w:r w:rsidR="00B06FC0">
        <w:rPr>
          <w:rStyle w:val="FootnoteReference"/>
        </w:rPr>
        <w:footnoteRef/>
      </w:r>
      <w:r w:rsidR="00B06FC0" w:rsidRPr="007124C5">
        <w:rPr>
          <w:lang w:val="en-GB"/>
        </w:rPr>
        <w:t xml:space="preserve"> </w:t>
      </w:r>
      <w:r w:rsidR="004F36D5">
        <w:rPr>
          <w:lang w:val="en-GB"/>
        </w:rPr>
        <w:tab/>
      </w:r>
      <w:r w:rsidR="00B06FC0" w:rsidRPr="0032155C">
        <w:rPr>
          <w:lang w:val="en-GB"/>
        </w:rPr>
        <w:t>Committee on the Elimination of Discrimination against Women; Committee on the Rights of the Child; Committee on the Rights of Persons with Disabilities; Committee against Torture; Committee on Enforced Disappearances and Committee on Economic, Social and Cultural Rights.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F7401" w14:textId="77777777" w:rsidR="002B66F2" w:rsidRPr="002B66F2" w:rsidRDefault="00231157">
    <w:pPr>
      <w:pStyle w:val="Header"/>
    </w:pPr>
    <w:fldSimple w:instr=" TITLE  \* MERGEFORMAT ">
      <w:r w:rsidR="00A619CC">
        <w:t>HRI/MC/2018/CRP.1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927BBE" w14:textId="77777777" w:rsidR="002B66F2" w:rsidRPr="002B66F2" w:rsidRDefault="00231157" w:rsidP="002B66F2">
    <w:pPr>
      <w:pStyle w:val="Header"/>
      <w:jc w:val="right"/>
    </w:pPr>
    <w:fldSimple w:instr=" TITLE  \* MERGEFORMAT ">
      <w:r w:rsidR="00A619CC">
        <w:t>HRI/MC/2018/CRP.1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19B1C82"/>
    <w:multiLevelType w:val="hybridMultilevel"/>
    <w:tmpl w:val="B9FEC7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2"/>
  </w:num>
  <w:num w:numId="13">
    <w:abstractNumId w:val="10"/>
  </w:num>
  <w:num w:numId="14">
    <w:abstractNumId w:val="15"/>
  </w:num>
  <w:num w:numId="15">
    <w:abstractNumId w:val="13"/>
  </w:num>
  <w:num w:numId="16">
    <w:abstractNumId w:val="11"/>
  </w:num>
  <w:num w:numId="17">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0"/>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6F2"/>
    <w:rsid w:val="000024AD"/>
    <w:rsid w:val="0001678D"/>
    <w:rsid w:val="00033F29"/>
    <w:rsid w:val="00050F6B"/>
    <w:rsid w:val="00072C8C"/>
    <w:rsid w:val="00091419"/>
    <w:rsid w:val="000931C0"/>
    <w:rsid w:val="000968C6"/>
    <w:rsid w:val="000B175B"/>
    <w:rsid w:val="000B3A0F"/>
    <w:rsid w:val="000C11CF"/>
    <w:rsid w:val="000E0415"/>
    <w:rsid w:val="00106A40"/>
    <w:rsid w:val="001149D5"/>
    <w:rsid w:val="00131105"/>
    <w:rsid w:val="00132D22"/>
    <w:rsid w:val="0014195E"/>
    <w:rsid w:val="00167CF6"/>
    <w:rsid w:val="00172EF0"/>
    <w:rsid w:val="00177B85"/>
    <w:rsid w:val="001B4B04"/>
    <w:rsid w:val="001C2E97"/>
    <w:rsid w:val="001C6663"/>
    <w:rsid w:val="001C7895"/>
    <w:rsid w:val="001D26DF"/>
    <w:rsid w:val="001D2FDC"/>
    <w:rsid w:val="001E3807"/>
    <w:rsid w:val="00211E0B"/>
    <w:rsid w:val="00211E88"/>
    <w:rsid w:val="00231157"/>
    <w:rsid w:val="00237785"/>
    <w:rsid w:val="00241466"/>
    <w:rsid w:val="00244DF0"/>
    <w:rsid w:val="00270B8B"/>
    <w:rsid w:val="00271279"/>
    <w:rsid w:val="002A77AC"/>
    <w:rsid w:val="002B66F2"/>
    <w:rsid w:val="002C30E4"/>
    <w:rsid w:val="002E79E9"/>
    <w:rsid w:val="002F57AD"/>
    <w:rsid w:val="0030187D"/>
    <w:rsid w:val="00306BCA"/>
    <w:rsid w:val="003107FA"/>
    <w:rsid w:val="0032155C"/>
    <w:rsid w:val="003229D8"/>
    <w:rsid w:val="00385B53"/>
    <w:rsid w:val="0039277A"/>
    <w:rsid w:val="003972E0"/>
    <w:rsid w:val="003C29A5"/>
    <w:rsid w:val="003C2CC4"/>
    <w:rsid w:val="003D4B23"/>
    <w:rsid w:val="004143EA"/>
    <w:rsid w:val="004325CB"/>
    <w:rsid w:val="0043345C"/>
    <w:rsid w:val="00446DE4"/>
    <w:rsid w:val="00472645"/>
    <w:rsid w:val="00473FF8"/>
    <w:rsid w:val="00486F4C"/>
    <w:rsid w:val="004C3CA3"/>
    <w:rsid w:val="004F36D5"/>
    <w:rsid w:val="005420F2"/>
    <w:rsid w:val="005467AD"/>
    <w:rsid w:val="00564534"/>
    <w:rsid w:val="00565E60"/>
    <w:rsid w:val="005A0DB2"/>
    <w:rsid w:val="005B3274"/>
    <w:rsid w:val="005B3DB3"/>
    <w:rsid w:val="005B669D"/>
    <w:rsid w:val="00611FC4"/>
    <w:rsid w:val="006176FB"/>
    <w:rsid w:val="00640B26"/>
    <w:rsid w:val="00670903"/>
    <w:rsid w:val="00697431"/>
    <w:rsid w:val="006A7392"/>
    <w:rsid w:val="006C0D34"/>
    <w:rsid w:val="006D2D59"/>
    <w:rsid w:val="006E564B"/>
    <w:rsid w:val="0072632A"/>
    <w:rsid w:val="00770AD3"/>
    <w:rsid w:val="007970F7"/>
    <w:rsid w:val="007B6BA5"/>
    <w:rsid w:val="007C3390"/>
    <w:rsid w:val="007C4F4B"/>
    <w:rsid w:val="007F6611"/>
    <w:rsid w:val="008175E9"/>
    <w:rsid w:val="008242D7"/>
    <w:rsid w:val="00871FD5"/>
    <w:rsid w:val="008979B1"/>
    <w:rsid w:val="008A6B25"/>
    <w:rsid w:val="008A6C4F"/>
    <w:rsid w:val="008E0E46"/>
    <w:rsid w:val="00947927"/>
    <w:rsid w:val="00963CBA"/>
    <w:rsid w:val="009647B5"/>
    <w:rsid w:val="00972A4E"/>
    <w:rsid w:val="00990545"/>
    <w:rsid w:val="00991261"/>
    <w:rsid w:val="009B641A"/>
    <w:rsid w:val="009B6661"/>
    <w:rsid w:val="009F027E"/>
    <w:rsid w:val="009F1F9A"/>
    <w:rsid w:val="00A00F3F"/>
    <w:rsid w:val="00A1427D"/>
    <w:rsid w:val="00A14D35"/>
    <w:rsid w:val="00A16544"/>
    <w:rsid w:val="00A16993"/>
    <w:rsid w:val="00A36509"/>
    <w:rsid w:val="00A619CC"/>
    <w:rsid w:val="00A72F22"/>
    <w:rsid w:val="00A748A6"/>
    <w:rsid w:val="00A81FC9"/>
    <w:rsid w:val="00A879A4"/>
    <w:rsid w:val="00B06FC0"/>
    <w:rsid w:val="00B24F86"/>
    <w:rsid w:val="00B30179"/>
    <w:rsid w:val="00B3317B"/>
    <w:rsid w:val="00B80EF5"/>
    <w:rsid w:val="00B81E12"/>
    <w:rsid w:val="00B93068"/>
    <w:rsid w:val="00BC1264"/>
    <w:rsid w:val="00BC74E9"/>
    <w:rsid w:val="00BE4751"/>
    <w:rsid w:val="00BE618E"/>
    <w:rsid w:val="00C01FF0"/>
    <w:rsid w:val="00C2256D"/>
    <w:rsid w:val="00C463DD"/>
    <w:rsid w:val="00C522FB"/>
    <w:rsid w:val="00C63658"/>
    <w:rsid w:val="00C745C3"/>
    <w:rsid w:val="00C7679C"/>
    <w:rsid w:val="00CE4A8F"/>
    <w:rsid w:val="00D2031B"/>
    <w:rsid w:val="00D21580"/>
    <w:rsid w:val="00D25FE2"/>
    <w:rsid w:val="00D43252"/>
    <w:rsid w:val="00D75627"/>
    <w:rsid w:val="00D978C6"/>
    <w:rsid w:val="00DA67AD"/>
    <w:rsid w:val="00DC1162"/>
    <w:rsid w:val="00E130AB"/>
    <w:rsid w:val="00E15A5C"/>
    <w:rsid w:val="00E42D18"/>
    <w:rsid w:val="00E53566"/>
    <w:rsid w:val="00E5644E"/>
    <w:rsid w:val="00E67A17"/>
    <w:rsid w:val="00E7260F"/>
    <w:rsid w:val="00E96630"/>
    <w:rsid w:val="00EB7B2F"/>
    <w:rsid w:val="00EC57E1"/>
    <w:rsid w:val="00ED7A2A"/>
    <w:rsid w:val="00EF1D7F"/>
    <w:rsid w:val="00F11814"/>
    <w:rsid w:val="00F40E75"/>
    <w:rsid w:val="00F733DA"/>
    <w:rsid w:val="00FB09A9"/>
    <w:rsid w:val="00FC68B7"/>
    <w:rsid w:val="00FD0DF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3A3A4B32"/>
  <w15:docId w15:val="{DEC3C063-F3FA-4AE4-9ABE-D2EDF430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F86"/>
    <w:pPr>
      <w:suppressAutoHyphens/>
      <w:spacing w:line="240" w:lineRule="atLeast"/>
    </w:pPr>
    <w:rPr>
      <w:lang w:val="en-GB"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semiHidden/>
    <w:qFormat/>
    <w:rsid w:val="00271279"/>
    <w:pPr>
      <w:outlineLvl w:val="1"/>
    </w:pPr>
    <w:rPr>
      <w:lang w:val="fr-CH"/>
    </w:rPr>
  </w:style>
  <w:style w:type="paragraph" w:styleId="Heading3">
    <w:name w:val="heading 3"/>
    <w:basedOn w:val="Normal"/>
    <w:next w:val="Normal"/>
    <w:semiHidden/>
    <w:qFormat/>
    <w:rsid w:val="00271279"/>
    <w:pPr>
      <w:outlineLvl w:val="2"/>
    </w:pPr>
    <w:rPr>
      <w:lang w:val="fr-CH"/>
    </w:rPr>
  </w:style>
  <w:style w:type="paragraph" w:styleId="Heading4">
    <w:name w:val="heading 4"/>
    <w:basedOn w:val="Normal"/>
    <w:next w:val="Normal"/>
    <w:semiHidden/>
    <w:qFormat/>
    <w:rsid w:val="00271279"/>
    <w:pPr>
      <w:outlineLvl w:val="3"/>
    </w:pPr>
    <w:rPr>
      <w:lang w:val="fr-CH"/>
    </w:rPr>
  </w:style>
  <w:style w:type="paragraph" w:styleId="Heading5">
    <w:name w:val="heading 5"/>
    <w:basedOn w:val="Normal"/>
    <w:next w:val="Normal"/>
    <w:semiHidden/>
    <w:qFormat/>
    <w:rsid w:val="00271279"/>
    <w:pPr>
      <w:outlineLvl w:val="4"/>
    </w:pPr>
    <w:rPr>
      <w:lang w:val="fr-CH"/>
    </w:rPr>
  </w:style>
  <w:style w:type="paragraph" w:styleId="Heading6">
    <w:name w:val="heading 6"/>
    <w:basedOn w:val="Normal"/>
    <w:next w:val="Normal"/>
    <w:semiHidden/>
    <w:qFormat/>
    <w:rsid w:val="00271279"/>
    <w:pPr>
      <w:outlineLvl w:val="5"/>
    </w:pPr>
    <w:rPr>
      <w:lang w:val="fr-CH"/>
    </w:rPr>
  </w:style>
  <w:style w:type="paragraph" w:styleId="Heading7">
    <w:name w:val="heading 7"/>
    <w:basedOn w:val="Normal"/>
    <w:next w:val="Normal"/>
    <w:semiHidden/>
    <w:qFormat/>
    <w:rsid w:val="00271279"/>
    <w:pPr>
      <w:outlineLvl w:val="6"/>
    </w:pPr>
    <w:rPr>
      <w:lang w:val="fr-CH"/>
    </w:rPr>
  </w:style>
  <w:style w:type="paragraph" w:styleId="Heading8">
    <w:name w:val="heading 8"/>
    <w:basedOn w:val="Normal"/>
    <w:next w:val="Normal"/>
    <w:semiHidden/>
    <w:qFormat/>
    <w:rsid w:val="00271279"/>
    <w:pPr>
      <w:outlineLvl w:val="7"/>
    </w:pPr>
    <w:rPr>
      <w:lang w:val="fr-CH"/>
    </w:rPr>
  </w:style>
  <w:style w:type="paragraph" w:styleId="Heading9">
    <w:name w:val="heading 9"/>
    <w:basedOn w:val="Normal"/>
    <w:next w:val="Normal"/>
    <w:semiHidden/>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qFormat/>
    <w:rsid w:val="00271279"/>
    <w:pPr>
      <w:keepNext/>
      <w:keepLines/>
      <w:tabs>
        <w:tab w:val="right" w:pos="851"/>
      </w:tabs>
      <w:spacing w:before="360" w:after="240" w:line="300" w:lineRule="exact"/>
      <w:ind w:left="1134" w:right="1134" w:hanging="1134"/>
    </w:pPr>
    <w:rPr>
      <w:b/>
      <w:sz w:val="28"/>
      <w:lang w:val="fr-CH"/>
    </w:rPr>
  </w:style>
  <w:style w:type="paragraph" w:styleId="BalloonText">
    <w:name w:val="Balloon Text"/>
    <w:basedOn w:val="Normal"/>
    <w:link w:val="BalloonTextChar"/>
    <w:semiHidden/>
    <w:rsid w:val="00B24F86"/>
    <w:pPr>
      <w:spacing w:line="240" w:lineRule="auto"/>
    </w:pPr>
    <w:rPr>
      <w:rFonts w:ascii="Tahoma" w:hAnsi="Tahoma" w:cs="Tahoma"/>
      <w:sz w:val="16"/>
      <w:szCs w:val="16"/>
    </w:rPr>
  </w:style>
  <w:style w:type="paragraph" w:customStyle="1" w:styleId="SingleTxtG">
    <w:name w:val="_ Single Txt_G"/>
    <w:basedOn w:val="Normal"/>
    <w:qFormat/>
    <w:rsid w:val="00271279"/>
    <w:pPr>
      <w:spacing w:after="120"/>
      <w:ind w:left="1134" w:right="1134"/>
      <w:jc w:val="both"/>
    </w:pPr>
    <w:rPr>
      <w:lang w:val="fr-CH"/>
    </w:rPr>
  </w:style>
  <w:style w:type="character" w:styleId="PageNumber">
    <w:name w:val="page number"/>
    <w:aliases w:val="7_G"/>
    <w:basedOn w:val="DefaultParagraphFont"/>
    <w:qFormat/>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basedOn w:val="FootnoteReference"/>
    <w:qFormat/>
    <w:rsid w:val="00271279"/>
    <w:rPr>
      <w:rFonts w:ascii="Times New Roman" w:hAnsi="Times New Roman"/>
      <w:sz w:val="18"/>
      <w:vertAlign w:val="superscript"/>
      <w:lang w:val="fr-CH"/>
    </w:rPr>
  </w:style>
  <w:style w:type="character" w:styleId="FootnoteReference">
    <w:name w:val="footnote reference"/>
    <w:aliases w:val="4_G"/>
    <w:basedOn w:val="DefaultParagraphFont"/>
    <w:qFormat/>
    <w:rsid w:val="00271279"/>
    <w:rPr>
      <w:rFonts w:ascii="Times New Roman" w:hAnsi="Times New Roman"/>
      <w:sz w:val="18"/>
      <w:vertAlign w:val="superscript"/>
      <w:lang w:val="fr-CH"/>
    </w:rPr>
  </w:style>
  <w:style w:type="paragraph" w:styleId="FootnoteText">
    <w:name w:val="footnote text"/>
    <w:aliases w:val="5_G"/>
    <w:basedOn w:val="Normal"/>
    <w:link w:val="FootnoteTextChar"/>
    <w:qFormat/>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qFormat/>
    <w:rsid w:val="00271279"/>
    <w:pPr>
      <w:numPr>
        <w:numId w:val="14"/>
      </w:numPr>
      <w:spacing w:after="120"/>
      <w:ind w:right="1134"/>
      <w:jc w:val="both"/>
    </w:pPr>
    <w:rPr>
      <w:lang w:val="fr-CH"/>
    </w:rPr>
  </w:style>
  <w:style w:type="paragraph" w:styleId="EndnoteText">
    <w:name w:val="endnote text"/>
    <w:aliases w:val="2_G"/>
    <w:basedOn w:val="FootnoteText"/>
    <w:qFormat/>
    <w:rsid w:val="00271279"/>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semiHidden/>
    <w:rPr>
      <w:sz w:val="14"/>
    </w:rPr>
  </w:style>
  <w:style w:type="paragraph" w:customStyle="1" w:styleId="Bullet2G">
    <w:name w:val="_Bullet 2_G"/>
    <w:basedOn w:val="Normal"/>
    <w:qFormat/>
    <w:rsid w:val="00271279"/>
    <w:pPr>
      <w:numPr>
        <w:numId w:val="15"/>
      </w:numPr>
      <w:spacing w:after="120"/>
      <w:ind w:right="1134"/>
      <w:jc w:val="both"/>
    </w:pPr>
    <w:rPr>
      <w:lang w:val="fr-CH"/>
    </w:rPr>
  </w:style>
  <w:style w:type="paragraph" w:customStyle="1" w:styleId="H1G">
    <w:name w:val="_ H_1_G"/>
    <w:basedOn w:val="Normal"/>
    <w:next w:val="Normal"/>
    <w:link w:val="H1GChar"/>
    <w:qFormat/>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qFormat/>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qFormat/>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qFormat/>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semiHidden/>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7127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qFormat/>
    <w:rsid w:val="00271279"/>
    <w:pPr>
      <w:spacing w:line="240" w:lineRule="auto"/>
    </w:pPr>
    <w:rPr>
      <w:sz w:val="16"/>
      <w:lang w:val="fr-CH"/>
    </w:rPr>
  </w:style>
  <w:style w:type="paragraph" w:styleId="Header">
    <w:name w:val="header"/>
    <w:aliases w:val="6_G"/>
    <w:basedOn w:val="Normal"/>
    <w:next w:val="Normal"/>
    <w:qFormat/>
    <w:rsid w:val="00271279"/>
    <w:pPr>
      <w:pBdr>
        <w:bottom w:val="single" w:sz="4" w:space="4" w:color="auto"/>
      </w:pBdr>
      <w:spacing w:line="240" w:lineRule="auto"/>
    </w:pPr>
    <w:rPr>
      <w:b/>
      <w:sz w:val="18"/>
      <w:lang w:val="fr-CH"/>
    </w:rPr>
  </w:style>
  <w:style w:type="character" w:customStyle="1" w:styleId="BalloonTextChar">
    <w:name w:val="Balloon Text Char"/>
    <w:basedOn w:val="DefaultParagraphFont"/>
    <w:link w:val="BalloonText"/>
    <w:semiHidden/>
    <w:rsid w:val="00B24F86"/>
    <w:rPr>
      <w:rFonts w:ascii="Tahoma" w:hAnsi="Tahoma" w:cs="Tahoma"/>
      <w:sz w:val="16"/>
      <w:szCs w:val="16"/>
      <w:lang w:val="en-GB" w:eastAsia="en-US"/>
    </w:rPr>
  </w:style>
  <w:style w:type="paragraph" w:customStyle="1" w:styleId="ParNoG">
    <w:name w:val="_ParNo_G"/>
    <w:basedOn w:val="SingleTxtG"/>
    <w:qFormat/>
    <w:rsid w:val="0001678D"/>
    <w:pPr>
      <w:numPr>
        <w:numId w:val="16"/>
      </w:numPr>
      <w:suppressAutoHyphens w:val="0"/>
      <w:spacing w:line="240" w:lineRule="auto"/>
    </w:pPr>
  </w:style>
  <w:style w:type="character" w:customStyle="1" w:styleId="H1GChar">
    <w:name w:val="_ H_1_G Char"/>
    <w:link w:val="H1G"/>
    <w:rsid w:val="00B06FC0"/>
    <w:rPr>
      <w:b/>
      <w:sz w:val="24"/>
      <w:lang w:val="fr-CH" w:eastAsia="en-US"/>
    </w:rPr>
  </w:style>
  <w:style w:type="character" w:customStyle="1" w:styleId="FootnoteTextChar">
    <w:name w:val="Footnote Text Char"/>
    <w:aliases w:val="5_G Char"/>
    <w:link w:val="FootnoteText"/>
    <w:rsid w:val="00B06FC0"/>
    <w:rPr>
      <w:sz w:val="18"/>
      <w:lang w:val="fr-CH" w:eastAsia="en-US"/>
    </w:rPr>
  </w:style>
  <w:style w:type="paragraph" w:styleId="CommentSubject">
    <w:name w:val="annotation subject"/>
    <w:basedOn w:val="CommentText"/>
    <w:next w:val="CommentText"/>
    <w:link w:val="CommentSubjectChar"/>
    <w:semiHidden/>
    <w:unhideWhenUsed/>
    <w:rsid w:val="00F733DA"/>
    <w:pPr>
      <w:spacing w:line="240" w:lineRule="auto"/>
    </w:pPr>
    <w:rPr>
      <w:b/>
      <w:bCs/>
    </w:rPr>
  </w:style>
  <w:style w:type="character" w:customStyle="1" w:styleId="CommentTextChar">
    <w:name w:val="Comment Text Char"/>
    <w:basedOn w:val="DefaultParagraphFont"/>
    <w:link w:val="CommentText"/>
    <w:semiHidden/>
    <w:rsid w:val="00F733DA"/>
    <w:rPr>
      <w:lang w:val="en-GB" w:eastAsia="en-US"/>
    </w:rPr>
  </w:style>
  <w:style w:type="character" w:customStyle="1" w:styleId="CommentSubjectChar">
    <w:name w:val="Comment Subject Char"/>
    <w:basedOn w:val="CommentTextChar"/>
    <w:link w:val="CommentSubject"/>
    <w:semiHidden/>
    <w:rsid w:val="00F733DA"/>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HRI\HRI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4576857f1734d3cabb588982c25994d3">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3EF14A-CB8C-4546-9443-F36D33590B11}"/>
</file>

<file path=customXml/itemProps2.xml><?xml version="1.0" encoding="utf-8"?>
<ds:datastoreItem xmlns:ds="http://schemas.openxmlformats.org/officeDocument/2006/customXml" ds:itemID="{833A42A9-A277-4C56-AA5C-2C67890C1CCE}"/>
</file>

<file path=customXml/itemProps3.xml><?xml version="1.0" encoding="utf-8"?>
<ds:datastoreItem xmlns:ds="http://schemas.openxmlformats.org/officeDocument/2006/customXml" ds:itemID="{593C6485-3E19-4A41-9084-E9468CA86F54}"/>
</file>

<file path=docProps/app.xml><?xml version="1.0" encoding="utf-8"?>
<Properties xmlns="http://schemas.openxmlformats.org/officeDocument/2006/extended-properties" xmlns:vt="http://schemas.openxmlformats.org/officeDocument/2006/docPropsVTypes">
  <Template>HRI_E.dotm</Template>
  <TotalTime>19</TotalTime>
  <Pages>6</Pages>
  <Words>3124</Words>
  <Characters>17421</Characters>
  <Application>Microsoft Office Word</Application>
  <DocSecurity>0</DocSecurity>
  <Lines>294</Lines>
  <Paragraphs>65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HRI/MC/2018/CRP.1</vt:lpstr>
      <vt:lpstr>United Nations</vt:lpstr>
    </vt:vector>
  </TitlesOfParts>
  <Company>CSD</Company>
  <LinksUpToDate>false</LinksUpToDate>
  <CharactersWithSpaces>20554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HRI/MC/2018/CRP.1</dc:title>
  <dc:creator>Thodiyil Sindu</dc:creator>
  <cp:lastModifiedBy>Hélène Orrü</cp:lastModifiedBy>
  <cp:revision>20</cp:revision>
  <cp:lastPrinted>2018-03-21T08:52:00Z</cp:lastPrinted>
  <dcterms:created xsi:type="dcterms:W3CDTF">2018-03-20T15:34:00Z</dcterms:created>
  <dcterms:modified xsi:type="dcterms:W3CDTF">2018-03-21T13:35:00Z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