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15120" w14:textId="5C6E7E61" w:rsidR="00AD3167" w:rsidRDefault="00AD3167" w:rsidP="00AD3167">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Annex No. 1</w:t>
      </w:r>
    </w:p>
    <w:p w14:paraId="00C22BF2" w14:textId="77777777" w:rsidR="00AD3167" w:rsidRDefault="00AD3167" w:rsidP="00AD3167">
      <w:pPr>
        <w:autoSpaceDE w:val="0"/>
        <w:autoSpaceDN w:val="0"/>
        <w:adjustRightInd w:val="0"/>
        <w:spacing w:after="0" w:line="240" w:lineRule="auto"/>
        <w:jc w:val="both"/>
        <w:rPr>
          <w:rFonts w:ascii="Times New Roman" w:eastAsia="Aptos" w:hAnsi="Times New Roman" w:cs="Times New Roman"/>
          <w:kern w:val="0"/>
          <w:lang w:val="pl-PL"/>
          <w14:ligatures w14:val="none"/>
        </w:rPr>
      </w:pPr>
    </w:p>
    <w:p w14:paraId="6527EC71"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Police</w:t>
      </w:r>
    </w:p>
    <w:p w14:paraId="47A6A9E7"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On 1 September 2023, the Gender Equality Plan for the Police for 2023–2026 entered into force. The strategic objective of the Plan is to strengthen the organisational culture by shaping an inclusive, equal, and diverse service and working environment free from discrimination and prejudice and based on mutual respect and dignity. To achieve this, 6 operational objectives were defined: </w:t>
      </w:r>
    </w:p>
    <w:p w14:paraId="5FD0F09D"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1.</w:t>
      </w:r>
      <w:r>
        <w:rPr>
          <w:rFonts w:ascii="Times New Roman" w:hAnsi="Times New Roman"/>
        </w:rPr>
        <w:tab/>
        <w:t xml:space="preserve">Raising knowledge and awareness regarding equality and non-discrimination and strengthening positive attitudes towards diversity and gender equality. </w:t>
      </w:r>
    </w:p>
    <w:p w14:paraId="6DAB8DE0"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2.</w:t>
      </w:r>
      <w:r>
        <w:rPr>
          <w:rFonts w:ascii="Times New Roman" w:hAnsi="Times New Roman"/>
        </w:rPr>
        <w:tab/>
        <w:t>Ensuring gender balance in management staff, decision-making bodies, organisational structures, and initiatives.</w:t>
      </w:r>
    </w:p>
    <w:p w14:paraId="696EB838"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3.</w:t>
      </w:r>
      <w:r>
        <w:rPr>
          <w:rFonts w:ascii="Times New Roman" w:hAnsi="Times New Roman"/>
        </w:rPr>
        <w:tab/>
        <w:t>Implementing solutions for work-life balance.</w:t>
      </w:r>
    </w:p>
    <w:p w14:paraId="579E2145"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4.</w:t>
      </w:r>
      <w:r>
        <w:rPr>
          <w:rFonts w:ascii="Times New Roman" w:hAnsi="Times New Roman"/>
        </w:rPr>
        <w:tab/>
        <w:t>Ensuring a gender perspective in professional development and promotion paths.</w:t>
      </w:r>
    </w:p>
    <w:p w14:paraId="686F479B"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5.</w:t>
      </w:r>
      <w:r>
        <w:rPr>
          <w:rFonts w:ascii="Times New Roman" w:hAnsi="Times New Roman"/>
        </w:rPr>
        <w:tab/>
        <w:t xml:space="preserve">Incorporating a gender perspective into training projects and content. </w:t>
      </w:r>
    </w:p>
    <w:p w14:paraId="101AE299"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6.</w:t>
      </w:r>
      <w:r>
        <w:rPr>
          <w:rFonts w:ascii="Times New Roman" w:hAnsi="Times New Roman"/>
        </w:rPr>
        <w:tab/>
        <w:t xml:space="preserve">Strengthening actions to protect against gender-based violence, including sexual harassment. </w:t>
      </w:r>
    </w:p>
    <w:p w14:paraId="7273C086"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Under the individual objectives, activities implemented include, </w:t>
      </w:r>
      <w:r>
        <w:rPr>
          <w:rFonts w:ascii="Times New Roman" w:hAnsi="Times New Roman"/>
          <w:i/>
          <w:iCs/>
        </w:rPr>
        <w:t>inter alia</w:t>
      </w:r>
      <w:r>
        <w:rPr>
          <w:rFonts w:ascii="Times New Roman" w:hAnsi="Times New Roman"/>
        </w:rPr>
        <w:t>, data collection on the representation of women and men in management and organisational structures within the Police, as well as training activities. It is planned to conduct a diagnosis of the pay system, including an examination of the existence of potential differences in the remuneration of women and men (the so-called gender pay gap). A dedicated website, Gender Equality in the Police (https://policja.pl/rpp), is available.</w:t>
      </w:r>
    </w:p>
    <w:p w14:paraId="5DADD6AE"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As part of organising resources for the implementation of the activities indicated in the Plan, a Plenipotentiary of the Commander-in-Chief of the Police for the implementation of the Gender Equality Plan for the Police for 2023–2026 was appointed, as were coordinators for the implementation of the Plan in lower-level police units, responsible, </w:t>
      </w:r>
      <w:r>
        <w:rPr>
          <w:rFonts w:ascii="Times New Roman" w:hAnsi="Times New Roman"/>
          <w:i/>
          <w:iCs/>
        </w:rPr>
        <w:t>inter alia</w:t>
      </w:r>
      <w:r>
        <w:rPr>
          <w:rFonts w:ascii="Times New Roman" w:hAnsi="Times New Roman"/>
        </w:rPr>
        <w:t xml:space="preserve">, for fulfilling the role of regional focal points and consultation points regarding gender equality. </w:t>
      </w:r>
    </w:p>
    <w:p w14:paraId="7111B0BE" w14:textId="77777777" w:rsidR="006B7554" w:rsidRPr="006B7554" w:rsidRDefault="006B7554" w:rsidP="006B7554">
      <w:pPr>
        <w:autoSpaceDE w:val="0"/>
        <w:autoSpaceDN w:val="0"/>
        <w:adjustRightInd w:val="0"/>
        <w:spacing w:after="0" w:line="240" w:lineRule="auto"/>
        <w:jc w:val="both"/>
        <w:rPr>
          <w:rFonts w:ascii="Times New Roman" w:eastAsia="Aptos" w:hAnsi="Times New Roman" w:cs="Times New Roman"/>
          <w:kern w:val="0"/>
          <w:lang w:val="pl-PL"/>
          <w14:ligatures w14:val="none"/>
        </w:rPr>
      </w:pPr>
    </w:p>
    <w:p w14:paraId="4017F648" w14:textId="4EB65991" w:rsidR="006B7554" w:rsidRDefault="006B7554" w:rsidP="006B7554">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Border Guard</w:t>
      </w:r>
    </w:p>
    <w:p w14:paraId="341C8502" w14:textId="29411038" w:rsidR="00AD3167" w:rsidRPr="0095617C" w:rsidRDefault="00AD3167" w:rsidP="00AD3167">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In 2024, the Commander-in-Chief of the Border Guard approved the document Gender Equality Plan in the Border Guard for 2024–2028. The document constitutes an analysis of functioning legal regulations, internal procedures, and the employment structure. It identifies obstacles to the implementation of the principles of equal treatment and presents proposals for solutions enabling the balanced development of all representatives of the Border Guard, both women and men, with respect for their diversity and distinct needs. It is worth highlighting that the level of employment of women in the Border Guard has been steadily rising for several years – as of 30 June 2025, it amounted to 33% among officers and 62% among civilian employees (the level of employment of women in the Border Guard in total – 38%).</w:t>
      </w:r>
    </w:p>
    <w:p w14:paraId="45276A01" w14:textId="77777777" w:rsidR="00AD3167" w:rsidRPr="008F53DA" w:rsidRDefault="00AD3167" w:rsidP="00AD3167">
      <w:pPr>
        <w:rPr>
          <w:rFonts w:ascii="Times New Roman" w:hAnsi="Times New Roman" w:cs="Times New Roman"/>
          <w:lang w:val="pl-PL"/>
        </w:rPr>
      </w:pPr>
    </w:p>
    <w:p w14:paraId="6F91DA33" w14:textId="15F33299" w:rsidR="00976619" w:rsidRDefault="00976619">
      <w:pPr>
        <w:rPr>
          <w:lang w:val="pl-PL"/>
        </w:rPr>
      </w:pPr>
      <w:r>
        <w:rPr>
          <w:lang w:val="pl-PL"/>
        </w:rPr>
        <w:br w:type="page"/>
      </w:r>
    </w:p>
    <w:p w14:paraId="46AF2CD2" w14:textId="77777777" w:rsidR="009B0B28" w:rsidRDefault="009B0B28" w:rsidP="009B0B28">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Appendix 2</w:t>
      </w:r>
    </w:p>
    <w:p w14:paraId="495745A9" w14:textId="77777777" w:rsidR="009B0B28" w:rsidRDefault="009B0B28" w:rsidP="009B0B28">
      <w:pPr>
        <w:spacing w:after="0" w:line="240" w:lineRule="auto"/>
        <w:jc w:val="both"/>
        <w:rPr>
          <w:rFonts w:ascii="Times New Roman" w:eastAsia="Times New Roman" w:hAnsi="Times New Roman" w:cs="Times New Roman"/>
          <w:kern w:val="0"/>
          <w14:ligatures w14:val="none"/>
        </w:rPr>
      </w:pPr>
    </w:p>
    <w:p w14:paraId="34184846" w14:textId="77777777" w:rsidR="009B0B28" w:rsidRDefault="009B0B28" w:rsidP="009B0B28">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Statistics for hate crime in Poland, covering crime motivated by racism, xenophobia, anti-Semitism, Islamophobia or homophobia, have varied over the past few years. A total of 997 preparatory proceedings were initiated in 2021, and the detection rate was around 59%. Next year, in 2022, the number of proceedings initiated grew to 1,180, of which 402 ended with a bill of indictment, which proves extensive work carried out by law enforcement authorities to prevent this type of crime. A small falling trend was noticed in 2023, with 893 initiated proceedings, and the detection rate of 62%. Of this, 386 ended with a bill of indictment or a motion for sentencing, and final and binding convictions were pronounced in 296 cases. There was a small growth last year, 2024, when 906 proceedings were initiated with a detection rate of 58%. During the first months of 2025 the actions were intensified: 650 hate crime proceedings were initiated from January to July, with the detection rate of 55%. All these data are used for preparation of annual trend analyses, which are the basis for implementation of new solutions, such as amendments to the Criminal Code and implementation of mechanisms for better monitoring of hate speech in the social media.</w:t>
      </w:r>
    </w:p>
    <w:p w14:paraId="2DE8C584" w14:textId="0D1DB88B" w:rsidR="009B0B28" w:rsidRDefault="009B0B28">
      <w:r>
        <w:br w:type="page"/>
      </w:r>
    </w:p>
    <w:p w14:paraId="7CAD685F"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Annex No. 3</w:t>
      </w:r>
    </w:p>
    <w:p w14:paraId="2389F821"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 </w:t>
      </w:r>
    </w:p>
    <w:p w14:paraId="7F00C7F3"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Police actions undertaken to prevent discrimination:</w:t>
      </w:r>
    </w:p>
    <w:p w14:paraId="5C03BDCC" w14:textId="77777777" w:rsidR="00F55B5F" w:rsidRPr="00F66BB7" w:rsidRDefault="00F55B5F" w:rsidP="00F55B5F">
      <w:pPr>
        <w:numPr>
          <w:ilvl w:val="0"/>
          <w:numId w:val="1"/>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In accordance with the Guidelines of the Public Prosecutor General of 5 March 2025 regarding the conduct of proceedings concerning bias-motivated crimes, these proceedings are subject to special supervision by the public prosecutor’s office. In view of the above, every Police unit transmits the gathered evidentiary material to the public prosecutor’s office for the purpose of a legal-criminal assessment and notifies the public prosecutor’s office of the incident in each instance. </w:t>
      </w:r>
    </w:p>
    <w:p w14:paraId="16951327" w14:textId="77777777" w:rsidR="00F55B5F" w:rsidRPr="00F66BB7" w:rsidRDefault="00F55B5F" w:rsidP="00F55B5F">
      <w:pPr>
        <w:numPr>
          <w:ilvl w:val="0"/>
          <w:numId w:val="1"/>
        </w:numPr>
        <w:spacing w:after="0" w:line="240" w:lineRule="auto"/>
        <w:jc w:val="both"/>
        <w:rPr>
          <w:rFonts w:ascii="Times New Roman" w:eastAsia="Times New Roman" w:hAnsi="Times New Roman" w:cs="Times New Roman"/>
          <w:kern w:val="0"/>
          <w14:ligatures w14:val="none"/>
        </w:rPr>
      </w:pPr>
      <w:r>
        <w:rPr>
          <w:rFonts w:ascii="Times New Roman" w:hAnsi="Times New Roman"/>
        </w:rPr>
        <w:t>A National Coordinator for Combating Bias-Motivated Crimes has been appointed at the National Police Headquarters (KGP), whose task is to monitor the occurrence of phenomena related to hate crimes on the territory of the country. Furthermore, the preparatory proceedings in question are supervised in individual Police garrisons by provincial/metropolitan coordinators for bias-motivated crimes.</w:t>
      </w:r>
    </w:p>
    <w:p w14:paraId="700C830D" w14:textId="77777777" w:rsidR="00F55B5F" w:rsidRPr="00F66BB7" w:rsidRDefault="00F55B5F" w:rsidP="00F55B5F">
      <w:pPr>
        <w:numPr>
          <w:ilvl w:val="0"/>
          <w:numId w:val="1"/>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Within the Police, the Central Bureau for Combating Cybercrime has been established, dealing with the identification and combating of crimes committed using an IT system, telecommunications systems or telecommunications networks, as well as the prevention of these crimes, and the detection and prosecution of perpetrators of these crimes, including hate crimes. The task of the Central Bureau for Combating Cybercrime is to support, to the necessary extent, organisational units of the Police in identifying, preventing, and combating crimes, and in monitoring the network, including </w:t>
      </w:r>
      <w:proofErr w:type="gramStart"/>
      <w:r>
        <w:rPr>
          <w:rFonts w:ascii="Times New Roman" w:hAnsi="Times New Roman"/>
        </w:rPr>
        <w:t>with regard to</w:t>
      </w:r>
      <w:proofErr w:type="gramEnd"/>
      <w:r>
        <w:rPr>
          <w:rFonts w:ascii="Times New Roman" w:hAnsi="Times New Roman"/>
        </w:rPr>
        <w:t xml:space="preserve"> hate crimes.  </w:t>
      </w:r>
    </w:p>
    <w:p w14:paraId="2B0C794B"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Dissemination and educational activities:</w:t>
      </w:r>
    </w:p>
    <w:p w14:paraId="1895F78F" w14:textId="77777777" w:rsidR="00F55B5F" w:rsidRPr="00F66BB7" w:rsidRDefault="00F55B5F" w:rsidP="00F55B5F">
      <w:pPr>
        <w:numPr>
          <w:ilvl w:val="0"/>
          <w:numId w:val="2"/>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Officers of the Central Bureau for Combating Cybercrime participate in prevention programmes in the scope of counteracting hate speech and hate crimes. They take part in projects intended to create tools facilitating the combating of the crime in question by officers, and they conduct training in the scope of obtaining evidentiary material necessary to identify the perpetrators of acts. </w:t>
      </w:r>
    </w:p>
    <w:p w14:paraId="4C46DD19" w14:textId="77777777" w:rsidR="00F55B5F" w:rsidRPr="00F66BB7" w:rsidRDefault="00F55B5F" w:rsidP="00F55B5F">
      <w:pPr>
        <w:numPr>
          <w:ilvl w:val="0"/>
          <w:numId w:val="2"/>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The National Coordinator for Combating Bias-Motivated Crimes is also obliged to organise training initiatives, the aim of which is to raise the knowledge of officers of the criminal investigation service in the area related to detecting, prosecuting, and counteracting hate crime. </w:t>
      </w:r>
    </w:p>
    <w:p w14:paraId="559CF21B" w14:textId="77777777" w:rsidR="00F55B5F" w:rsidRPr="00F66BB7" w:rsidRDefault="00F55B5F" w:rsidP="00F55B5F">
      <w:pPr>
        <w:numPr>
          <w:ilvl w:val="0"/>
          <w:numId w:val="2"/>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Within the framework of local professional development, Police Plenipotentiaries for Human Rights Protection conduct numerous anti-discrimination workshops, workshops on intercultural communication, and professional ethics addressed to police officers and civilian employees of the Police, the aim of which is, </w:t>
      </w:r>
      <w:r>
        <w:rPr>
          <w:rFonts w:ascii="Times New Roman" w:hAnsi="Times New Roman"/>
          <w:i/>
          <w:iCs/>
        </w:rPr>
        <w:t>inter alia</w:t>
      </w:r>
      <w:r>
        <w:rPr>
          <w:rFonts w:ascii="Times New Roman" w:hAnsi="Times New Roman"/>
        </w:rPr>
        <w:t xml:space="preserve">, to raise awareness and knowledge </w:t>
      </w:r>
      <w:proofErr w:type="gramStart"/>
      <w:r>
        <w:rPr>
          <w:rFonts w:ascii="Times New Roman" w:hAnsi="Times New Roman"/>
        </w:rPr>
        <w:t>in the area of</w:t>
      </w:r>
      <w:proofErr w:type="gramEnd"/>
      <w:r>
        <w:rPr>
          <w:rFonts w:ascii="Times New Roman" w:hAnsi="Times New Roman"/>
        </w:rPr>
        <w:t xml:space="preserve"> stereotypes, prejudices, and discrimination. These workshops are of a permanent nature and are implemented systematically. </w:t>
      </w:r>
    </w:p>
    <w:p w14:paraId="0100D07A" w14:textId="77777777" w:rsidR="00F55B5F" w:rsidRPr="00F66BB7" w:rsidRDefault="00F55B5F" w:rsidP="00F55B5F">
      <w:pPr>
        <w:numPr>
          <w:ilvl w:val="0"/>
          <w:numId w:val="2"/>
        </w:numPr>
        <w:spacing w:after="0" w:line="240" w:lineRule="auto"/>
        <w:jc w:val="both"/>
        <w:rPr>
          <w:rFonts w:ascii="Times New Roman" w:eastAsia="Times New Roman" w:hAnsi="Times New Roman" w:cs="Times New Roman"/>
          <w:i/>
          <w:iCs/>
          <w:kern w:val="0"/>
          <w14:ligatures w14:val="none"/>
        </w:rPr>
      </w:pPr>
      <w:r>
        <w:rPr>
          <w:rFonts w:ascii="Times New Roman" w:hAnsi="Times New Roman"/>
        </w:rPr>
        <w:t xml:space="preserve">At the Police Training Centre in </w:t>
      </w:r>
      <w:proofErr w:type="spellStart"/>
      <w:r>
        <w:rPr>
          <w:rFonts w:ascii="Times New Roman" w:hAnsi="Times New Roman"/>
        </w:rPr>
        <w:t>Legionowo</w:t>
      </w:r>
      <w:proofErr w:type="spellEnd"/>
      <w:r>
        <w:rPr>
          <w:rFonts w:ascii="Times New Roman" w:hAnsi="Times New Roman"/>
        </w:rPr>
        <w:t>, a specialist course is conducted on Preventing and Combating Hate Crimes. The course prepares officers to conduct local professional development training on this subject. As part of the course, participants are introduced to the characteristics of hate crimes and their legal classification, and they also learn to identify indicators of prejudice or symbols that may suggest a hate-motivated offence.</w:t>
      </w:r>
    </w:p>
    <w:p w14:paraId="174A838F" w14:textId="77777777" w:rsidR="00F55B5F" w:rsidRPr="00F66BB7" w:rsidRDefault="00F55B5F" w:rsidP="00F55B5F">
      <w:pPr>
        <w:numPr>
          <w:ilvl w:val="0"/>
          <w:numId w:val="2"/>
        </w:numPr>
        <w:spacing w:after="0" w:line="240" w:lineRule="auto"/>
        <w:jc w:val="both"/>
        <w:rPr>
          <w:rFonts w:ascii="Times New Roman" w:eastAsia="Times New Roman" w:hAnsi="Times New Roman" w:cs="Times New Roman"/>
          <w:kern w:val="0"/>
          <w14:ligatures w14:val="none"/>
        </w:rPr>
      </w:pPr>
      <w:r>
        <w:rPr>
          <w:rFonts w:ascii="Times New Roman" w:hAnsi="Times New Roman"/>
        </w:rPr>
        <w:t>The Police operate a subsequent Police Action Plan for 2022–2025 concerning counteracting hate speech, incitement to hatred on grounds of national, ethnic, racial, or religious differences or on the grounds of non-belief, as well as the propagation of fascism and other totalitarian systems.</w:t>
      </w:r>
      <w:r>
        <w:rPr>
          <w:rFonts w:ascii="Times New Roman" w:hAnsi="Times New Roman"/>
          <w:i/>
        </w:rPr>
        <w:t xml:space="preserve"> </w:t>
      </w:r>
      <w:r>
        <w:rPr>
          <w:rFonts w:ascii="Times New Roman" w:hAnsi="Times New Roman"/>
        </w:rPr>
        <w:t xml:space="preserve">One of the objectives of this document is to limit the scale of hate speech (including online and media-based hate), reduce negative and hostile attitudes, and thereby prevent hate-motivated crime. In accordance with the Plan, coordinators responsible for organising and implementing preventive initiatives in this area have been appointed in each Provincial Police Headquarters (KWP) and the Metropolitan Police Headquarters (KSP). They meet at training seminars organised by the Prevention Bureau of the National Police Headquarters and are responsible for preventive activities in their respective garrisons. </w:t>
      </w:r>
    </w:p>
    <w:p w14:paraId="20A5B103" w14:textId="77777777" w:rsidR="00F55B5F" w:rsidRPr="00F66BB7" w:rsidRDefault="00F55B5F" w:rsidP="00F55B5F">
      <w:pPr>
        <w:spacing w:after="0" w:line="240" w:lineRule="auto"/>
        <w:ind w:left="720"/>
        <w:jc w:val="both"/>
        <w:rPr>
          <w:rFonts w:ascii="Times New Roman" w:eastAsia="Times New Roman" w:hAnsi="Times New Roman" w:cs="Times New Roman"/>
          <w:kern w:val="0"/>
          <w14:ligatures w14:val="none"/>
        </w:rPr>
      </w:pPr>
      <w:r>
        <w:rPr>
          <w:rFonts w:ascii="Times New Roman" w:hAnsi="Times New Roman"/>
        </w:rPr>
        <w:t>In the area of preventing hate speech and hate crimes, police officers implemented the following number of preventive and informational activities:</w:t>
      </w:r>
    </w:p>
    <w:p w14:paraId="0F847794"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2019 – 231, </w:t>
      </w:r>
    </w:p>
    <w:p w14:paraId="67EC1C6D"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2020 – 197, </w:t>
      </w:r>
    </w:p>
    <w:p w14:paraId="680B77DF"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2021 – 768, </w:t>
      </w:r>
    </w:p>
    <w:p w14:paraId="1B028852"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2022 – 737 activities, 19,602 meetings, 5,402,232 participants/recipients</w:t>
      </w:r>
      <w:r w:rsidRPr="00F66BB7">
        <w:rPr>
          <w:rFonts w:ascii="Times New Roman" w:eastAsia="Times New Roman" w:hAnsi="Times New Roman" w:cs="Times New Roman"/>
          <w:kern w:val="0"/>
          <w:vertAlign w:val="superscript"/>
          <w:lang w:val="pl-PL" w:eastAsia="pl-PL"/>
        </w:rPr>
        <w:footnoteReference w:id="1"/>
      </w:r>
      <w:r>
        <w:rPr>
          <w:rFonts w:ascii="Times New Roman" w:hAnsi="Times New Roman"/>
        </w:rPr>
        <w:t>,</w:t>
      </w:r>
    </w:p>
    <w:p w14:paraId="4B347141"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2023 – 538 activities, 18,055 meetings, 496,154 participants/recipients</w:t>
      </w:r>
    </w:p>
    <w:p w14:paraId="35E99EAF" w14:textId="77777777" w:rsidR="00F55B5F" w:rsidRPr="00F66BB7" w:rsidRDefault="00F55B5F" w:rsidP="00F55B5F">
      <w:pPr>
        <w:numPr>
          <w:ilvl w:val="0"/>
          <w:numId w:val="3"/>
        </w:numPr>
        <w:spacing w:after="0" w:line="240" w:lineRule="auto"/>
        <w:jc w:val="both"/>
        <w:rPr>
          <w:rFonts w:ascii="Times New Roman" w:eastAsia="Times New Roman" w:hAnsi="Times New Roman" w:cs="Times New Roman"/>
          <w:kern w:val="0"/>
          <w14:ligatures w14:val="none"/>
        </w:rPr>
      </w:pPr>
      <w:r>
        <w:rPr>
          <w:rFonts w:ascii="Times New Roman" w:hAnsi="Times New Roman"/>
        </w:rPr>
        <w:t>2024 – 504 activities, 19,927 meetings, 433,503 participants/recipients</w:t>
      </w:r>
    </w:p>
    <w:p w14:paraId="5E7971C5" w14:textId="77777777" w:rsidR="00F55B5F" w:rsidRPr="00F66BB7" w:rsidRDefault="00F55B5F" w:rsidP="00F55B5F">
      <w:pPr>
        <w:spacing w:after="0" w:line="240" w:lineRule="auto"/>
        <w:ind w:left="720"/>
        <w:jc w:val="both"/>
        <w:rPr>
          <w:rFonts w:ascii="Times New Roman" w:eastAsia="Times New Roman" w:hAnsi="Times New Roman" w:cs="Times New Roman"/>
          <w:kern w:val="0"/>
          <w14:ligatures w14:val="none"/>
        </w:rPr>
      </w:pPr>
      <w:r>
        <w:rPr>
          <w:rFonts w:ascii="Times New Roman" w:hAnsi="Times New Roman"/>
        </w:rPr>
        <w:t>(Statistical data of the National Police Headquarters regarding hate crime are presented in Annex No. 3(a))</w:t>
      </w:r>
    </w:p>
    <w:p w14:paraId="740E765E" w14:textId="77777777" w:rsidR="00F55B5F" w:rsidRPr="00F66BB7" w:rsidRDefault="00F55B5F" w:rsidP="00F55B5F">
      <w:pPr>
        <w:spacing w:after="0" w:line="240" w:lineRule="auto"/>
        <w:jc w:val="both"/>
        <w:rPr>
          <w:rFonts w:ascii="Times New Roman" w:eastAsia="Times New Roman" w:hAnsi="Times New Roman" w:cs="Times New Roman"/>
          <w:kern w:val="0"/>
          <w:lang w:val="pl-PL" w:eastAsia="pl-PL"/>
          <w14:ligatures w14:val="none"/>
        </w:rPr>
      </w:pPr>
    </w:p>
    <w:p w14:paraId="69DFF240"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Information on measures taken to address attacks and acts of violence against lesbian, gay, bisexual, transgender, and intersex persons</w:t>
      </w:r>
    </w:p>
    <w:p w14:paraId="4F5D7610"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As part of local professional development training, Police Plenipotentiaries for Human Rights Protection discuss issues related to discrimination, including discrimination against LGBT+ persons.</w:t>
      </w:r>
    </w:p>
    <w:p w14:paraId="4F872478" w14:textId="77777777" w:rsidR="00F55B5F" w:rsidRPr="00F66BB7" w:rsidRDefault="00F55B5F" w:rsidP="00F55B5F">
      <w:pPr>
        <w:spacing w:after="0" w:line="240" w:lineRule="auto"/>
        <w:jc w:val="both"/>
        <w:rPr>
          <w:rFonts w:ascii="Times New Roman" w:eastAsia="Times New Roman" w:hAnsi="Times New Roman" w:cs="Times New Roman"/>
          <w:kern w:val="0"/>
          <w14:ligatures w14:val="none"/>
        </w:rPr>
      </w:pPr>
      <w:r>
        <w:rPr>
          <w:rFonts w:ascii="Times New Roman" w:hAnsi="Times New Roman"/>
        </w:rPr>
        <w:t xml:space="preserve">In September 2025, a training course for social prevention officers devoted to issues concerning LGBTQ+ minority persons was held. Representatives of the Association in </w:t>
      </w:r>
      <w:proofErr w:type="spellStart"/>
      <w:r>
        <w:rPr>
          <w:rFonts w:ascii="Times New Roman" w:hAnsi="Times New Roman"/>
        </w:rPr>
        <w:t>favor</w:t>
      </w:r>
      <w:proofErr w:type="spellEnd"/>
      <w:r>
        <w:rPr>
          <w:rFonts w:ascii="Times New Roman" w:hAnsi="Times New Roman"/>
        </w:rPr>
        <w:t xml:space="preserve"> of people from the LGBT community “</w:t>
      </w:r>
      <w:proofErr w:type="spellStart"/>
      <w:r>
        <w:rPr>
          <w:rFonts w:ascii="Times New Roman" w:hAnsi="Times New Roman"/>
        </w:rPr>
        <w:t>Tolerado</w:t>
      </w:r>
      <w:proofErr w:type="spellEnd"/>
      <w:r>
        <w:rPr>
          <w:rFonts w:ascii="Times New Roman" w:hAnsi="Times New Roman"/>
        </w:rPr>
        <w:t>” participated as experts during the seminar, delivering a training session entitled “My pronouns are…”.</w:t>
      </w:r>
      <w:r>
        <w:rPr>
          <w:rFonts w:ascii="Times New Roman" w:hAnsi="Times New Roman"/>
          <w:i/>
        </w:rPr>
        <w:t xml:space="preserve"> </w:t>
      </w:r>
      <w:r>
        <w:rPr>
          <w:rFonts w:ascii="Times New Roman" w:hAnsi="Times New Roman"/>
        </w:rPr>
        <w:t xml:space="preserve">Topics related to transgender and non-binary identities were also addressed. The Prevention Bureau of the National Police Headquarters undertook to disseminate the content presented during the training for official use among officers of district, precinct, and municipal Police headquarters. </w:t>
      </w:r>
    </w:p>
    <w:p w14:paraId="0E8EF593" w14:textId="77777777" w:rsidR="00F55B5F" w:rsidRPr="00F66BB7" w:rsidRDefault="00F55B5F" w:rsidP="00F55B5F">
      <w:pPr>
        <w:rPr>
          <w:lang w:val="pl-PL"/>
        </w:rPr>
      </w:pPr>
    </w:p>
    <w:p w14:paraId="483D7746" w14:textId="4264EE18" w:rsidR="00F55B5F" w:rsidRDefault="00F55B5F">
      <w:pPr>
        <w:rPr>
          <w:lang w:val="pl-PL"/>
        </w:rPr>
      </w:pPr>
      <w:r>
        <w:rPr>
          <w:lang w:val="pl-PL"/>
        </w:rPr>
        <w:br w:type="page"/>
      </w:r>
    </w:p>
    <w:p w14:paraId="4BD1A86D" w14:textId="77777777" w:rsidR="002B447B" w:rsidRDefault="002B447B" w:rsidP="002B447B">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Annex No. 4</w:t>
      </w:r>
    </w:p>
    <w:p w14:paraId="45372D8C" w14:textId="77777777" w:rsidR="002B447B" w:rsidRDefault="002B447B" w:rsidP="002B447B">
      <w:pPr>
        <w:autoSpaceDE w:val="0"/>
        <w:autoSpaceDN w:val="0"/>
        <w:adjustRightInd w:val="0"/>
        <w:spacing w:after="0" w:line="240" w:lineRule="auto"/>
        <w:jc w:val="both"/>
        <w:rPr>
          <w:rFonts w:ascii="Times New Roman" w:eastAsia="Aptos" w:hAnsi="Times New Roman" w:cs="Times New Roman"/>
          <w:kern w:val="0"/>
          <w:lang w:val="pl-PL"/>
          <w14:ligatures w14:val="none"/>
        </w:rPr>
      </w:pPr>
    </w:p>
    <w:p w14:paraId="70DB266D" w14:textId="77777777" w:rsidR="002B447B" w:rsidRPr="003F4DFA" w:rsidRDefault="002B447B" w:rsidP="002B447B">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Transparency measures include, </w:t>
      </w:r>
      <w:r>
        <w:rPr>
          <w:rFonts w:ascii="Times New Roman" w:hAnsi="Times New Roman"/>
          <w:i/>
          <w:iCs/>
        </w:rPr>
        <w:t>inter alia</w:t>
      </w:r>
      <w:r>
        <w:rPr>
          <w:rFonts w:ascii="Times New Roman" w:hAnsi="Times New Roman"/>
        </w:rPr>
        <w:t>:</w:t>
      </w:r>
    </w:p>
    <w:p w14:paraId="225E2A3F"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ensuring that workers have easy access to the criteria for determining workers’ pay, pay levels, and pay progression. These criteria must be objective and gender-neutral (Article 6(1) of the Directive</w:t>
      </w:r>
      <w:proofErr w:type="gramStart"/>
      <w:r>
        <w:rPr>
          <w:rFonts w:ascii="Times New Roman" w:hAnsi="Times New Roman"/>
        </w:rPr>
        <w:t>);</w:t>
      </w:r>
      <w:proofErr w:type="gramEnd"/>
    </w:p>
    <w:p w14:paraId="1187761A"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right of workers to request information from their employer regarding their individual pay level and, additionally, the average pay levels, broken down by sex, for categories of workers performing the same work or work of equal value (Article 7 of the Directive</w:t>
      </w:r>
      <w:proofErr w:type="gramStart"/>
      <w:r>
        <w:rPr>
          <w:rFonts w:ascii="Times New Roman" w:hAnsi="Times New Roman"/>
        </w:rPr>
        <w:t>);</w:t>
      </w:r>
      <w:proofErr w:type="gramEnd"/>
    </w:p>
    <w:p w14:paraId="14CA744D" w14:textId="77777777" w:rsidR="002B447B" w:rsidRPr="00236408"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the obligation for employers with at least 100 employees to provide the following information about their organisation: the gender pay gap, the gender pay gap in the form of supplementary or variable components, the median gender pay gap, the median gender pay gap in the form of supplementary or variable components, the percentage of female and male employees receiving supplementary or variable components, percentage of female and male employees in each pay quartile, gender pay gap among employees broken down by employee category, by regular basic hourly or monthly pay and by supplementary or variable components. The frequency of reporting depends on the size of the employer (annually or every three years). However, this information always relates only to the previous calendar year. All information is provided to the monitoring body. All of these, </w:t>
      </w:r>
      <w:proofErr w:type="gramStart"/>
      <w:r>
        <w:rPr>
          <w:rFonts w:ascii="Times New Roman" w:hAnsi="Times New Roman"/>
        </w:rPr>
        <w:t>with the exception of</w:t>
      </w:r>
      <w:proofErr w:type="gramEnd"/>
      <w:r>
        <w:rPr>
          <w:rFonts w:ascii="Times New Roman" w:hAnsi="Times New Roman"/>
        </w:rPr>
        <w:t xml:space="preserve"> the gender pay gap by category of workers, are published by the monitoring body and may be published by the employer, e.g., on a website. Conversely, the gender pay gap by category of workers is not made public. Employers provide this information to all their workers and workers’ representatives (proactively, without waiting for a request), and upon request also to the labour inspectorate and the equality body (Article 9(9)). Workers, workers’ representatives, the labour inspectorate, and the equality body have the right to ask the employer for additional clarifications and details regarding any data provided, including clarifications concerning any gender pay differences. The employer must provide a substantiated response to such enquiries within a reasonable </w:t>
      </w:r>
      <w:proofErr w:type="gramStart"/>
      <w:r>
        <w:rPr>
          <w:rFonts w:ascii="Times New Roman" w:hAnsi="Times New Roman"/>
        </w:rPr>
        <w:t>period of time</w:t>
      </w:r>
      <w:proofErr w:type="gramEnd"/>
      <w:r>
        <w:rPr>
          <w:rFonts w:ascii="Times New Roman" w:hAnsi="Times New Roman"/>
        </w:rPr>
        <w:t>.</w:t>
      </w:r>
      <w:r>
        <w:rPr>
          <w:rFonts w:ascii="Times New Roman" w:hAnsi="Times New Roman"/>
          <w:highlight w:val="yellow"/>
        </w:rPr>
        <w:t xml:space="preserve"> In cases where gender pay differences are not justified by objective, gender-neutral criteria,</w:t>
      </w:r>
      <w:r>
        <w:rPr>
          <w:rFonts w:ascii="Times New Roman" w:hAnsi="Times New Roman"/>
        </w:rPr>
        <w:t xml:space="preserve"> the employer is obliged </w:t>
      </w:r>
      <w:r>
        <w:rPr>
          <w:rFonts w:ascii="Times New Roman" w:hAnsi="Times New Roman"/>
          <w:highlight w:val="yellow"/>
        </w:rPr>
        <w:t xml:space="preserve">to remedy them within a reasonable </w:t>
      </w:r>
      <w:proofErr w:type="gramStart"/>
      <w:r>
        <w:rPr>
          <w:rFonts w:ascii="Times New Roman" w:hAnsi="Times New Roman"/>
          <w:highlight w:val="yellow"/>
        </w:rPr>
        <w:t>period of time</w:t>
      </w:r>
      <w:proofErr w:type="gramEnd"/>
      <w:r>
        <w:rPr>
          <w:rFonts w:ascii="Times New Roman" w:hAnsi="Times New Roman"/>
          <w:highlight w:val="yellow"/>
        </w:rPr>
        <w:t xml:space="preserve"> </w:t>
      </w:r>
      <w:r>
        <w:rPr>
          <w:rFonts w:ascii="Times New Roman" w:hAnsi="Times New Roman"/>
        </w:rPr>
        <w:t>in close cooperation with workers’ representatives, the labour inspectorate, or the equality body (Article 9(10)).</w:t>
      </w:r>
    </w:p>
    <w:p w14:paraId="35DC71EF"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The reporting obligation may, if the cumulative conditions of Article 10(1) of the Directive are met, entail an obligation to conduct a joint pay assessment. This assessment is carried out by the employer jointly with workers’ representatives. It consists of a review and verification of pay structures. All categories of workers are analysed. It also includes the identification of measures to address unjustified differences. Joint pay assessments should lead, within a reasonable </w:t>
      </w:r>
      <w:proofErr w:type="gramStart"/>
      <w:r>
        <w:rPr>
          <w:rFonts w:ascii="Times New Roman" w:hAnsi="Times New Roman"/>
        </w:rPr>
        <w:t>period of time</w:t>
      </w:r>
      <w:proofErr w:type="gramEnd"/>
      <w:r>
        <w:rPr>
          <w:rFonts w:ascii="Times New Roman" w:hAnsi="Times New Roman"/>
        </w:rPr>
        <w:t>, to the elimination of gender-based pay discrimination through the adoption of remedial measures.</w:t>
      </w:r>
    </w:p>
    <w:p w14:paraId="650BADFF" w14:textId="77777777" w:rsidR="002B447B" w:rsidRPr="003F4DFA" w:rsidRDefault="002B447B" w:rsidP="002B447B">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Article 4(4) of the Directive stipulates </w:t>
      </w:r>
      <w:proofErr w:type="gramStart"/>
      <w:r>
        <w:rPr>
          <w:rFonts w:ascii="Times New Roman" w:hAnsi="Times New Roman"/>
        </w:rPr>
        <w:t>that  pay</w:t>
      </w:r>
      <w:proofErr w:type="gramEnd"/>
      <w:r>
        <w:rPr>
          <w:rFonts w:ascii="Times New Roman" w:hAnsi="Times New Roman"/>
        </w:rPr>
        <w:t xml:space="preserve"> structures shall be such as to enable the assessment of whether workers are in a comparable situation </w:t>
      </w:r>
      <w:proofErr w:type="gramStart"/>
      <w:r>
        <w:rPr>
          <w:rFonts w:ascii="Times New Roman" w:hAnsi="Times New Roman"/>
        </w:rPr>
        <w:t>in regard to</w:t>
      </w:r>
      <w:proofErr w:type="gramEnd"/>
      <w:r>
        <w:rPr>
          <w:rFonts w:ascii="Times New Roman" w:hAnsi="Times New Roman"/>
        </w:rPr>
        <w:t xml:space="preserve"> the value of work </w:t>
      </w:r>
      <w:proofErr w:type="gramStart"/>
      <w:r>
        <w:rPr>
          <w:rFonts w:ascii="Times New Roman" w:hAnsi="Times New Roman"/>
        </w:rPr>
        <w:t>on the basis of</w:t>
      </w:r>
      <w:proofErr w:type="gramEnd"/>
      <w:r>
        <w:rPr>
          <w:rFonts w:ascii="Times New Roman" w:hAnsi="Times New Roman"/>
        </w:rPr>
        <w:t xml:space="preserve"> objective, gender-neutral criteria agreed with workers’ representatives where such representatives exist. Those criteria shall not be based directly or indirectly on workers’ sex. They shall include skills, effort, responsibility and working conditions, and, if appropriate, any other factors which are relevant to the specific job or position.  They shall be applied in an objective gender-neutral manner, excluding any direct or indirect discrimination based on sex. </w:t>
      </w:r>
      <w:proofErr w:type="gramStart"/>
      <w:r>
        <w:rPr>
          <w:rFonts w:ascii="Times New Roman" w:hAnsi="Times New Roman"/>
        </w:rPr>
        <w:t>In particular, relevant</w:t>
      </w:r>
      <w:proofErr w:type="gramEnd"/>
      <w:r>
        <w:rPr>
          <w:rFonts w:ascii="Times New Roman" w:hAnsi="Times New Roman"/>
        </w:rPr>
        <w:t xml:space="preserve"> soft skills shall not be undervalued.</w:t>
      </w:r>
    </w:p>
    <w:p w14:paraId="0C1EF71E" w14:textId="77777777" w:rsidR="002B447B" w:rsidRPr="003F4DFA" w:rsidRDefault="002B447B" w:rsidP="002B447B">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Chapter III of the Directive, entitled Remedies and enforcement, regulates, </w:t>
      </w:r>
      <w:r>
        <w:rPr>
          <w:rFonts w:ascii="Times New Roman" w:hAnsi="Times New Roman"/>
          <w:i/>
          <w:iCs/>
        </w:rPr>
        <w:t>inter alia</w:t>
      </w:r>
      <w:r>
        <w:rPr>
          <w:rFonts w:ascii="Times New Roman" w:hAnsi="Times New Roman"/>
        </w:rPr>
        <w:t>, such issues as:</w:t>
      </w:r>
    </w:p>
    <w:p w14:paraId="1AFAE775"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right of national courts or competent authorities to issue, at the request of the claimant and at the expense of the defendant, an order to stop the infringement and an order to take measures to ensure that the rights or obligations relating to the principle of equal pay are applied (Article 17(1)</w:t>
      </w:r>
      <w:proofErr w:type="gramStart"/>
      <w:r>
        <w:rPr>
          <w:rFonts w:ascii="Times New Roman" w:hAnsi="Times New Roman"/>
        </w:rPr>
        <w:t>);</w:t>
      </w:r>
      <w:proofErr w:type="gramEnd"/>
    </w:p>
    <w:p w14:paraId="268E37C4"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strengthened principle of the shift of the burden of proof in administrative or judicial proceedings concerning alleged direct or indirect discrimination regarding pay, where the employer has failed to comply with the pay transparency obligations referred to in Articles 5, 6, 7, 9, and 10. In such a situation, it is for the employer to prove that there has been no such discrimination. The claimant is not required to establish facts from which it may be presumed that there has been direct or indirect discrimination. The strengthened principle of the shift of the burden of proof does not apply where the employer proves that the infringement of the obligations laid down in Articles 5, 6, 7, 9, and 10 was manifestly unintentional and of a marginal character (Article 18(2)</w:t>
      </w:r>
      <w:proofErr w:type="gramStart"/>
      <w:r>
        <w:rPr>
          <w:rFonts w:ascii="Times New Roman" w:hAnsi="Times New Roman"/>
        </w:rPr>
        <w:t>);</w:t>
      </w:r>
      <w:proofErr w:type="gramEnd"/>
    </w:p>
    <w:p w14:paraId="38FE1FE3"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proof of the performance of the same work or work of equal value, including the so-called single source theory (Article 19</w:t>
      </w:r>
      <w:proofErr w:type="gramStart"/>
      <w:r>
        <w:rPr>
          <w:rFonts w:ascii="Times New Roman" w:hAnsi="Times New Roman"/>
        </w:rPr>
        <w:t>);</w:t>
      </w:r>
      <w:proofErr w:type="gramEnd"/>
    </w:p>
    <w:p w14:paraId="081A1E76" w14:textId="77777777" w:rsidR="002B447B" w:rsidRPr="003F4DFA" w:rsidRDefault="002B447B" w:rsidP="002B447B">
      <w:pPr>
        <w:numPr>
          <w:ilvl w:val="0"/>
          <w:numId w:val="4"/>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penalties in the event of infringements of rights and obligations relating to the principle of equal pay (Article 23).</w:t>
      </w:r>
    </w:p>
    <w:p w14:paraId="6D0F43EB" w14:textId="77777777" w:rsidR="002B447B" w:rsidRDefault="002B447B" w:rsidP="002B447B">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Furthermore, Article 26 of the Directive stipulates that Chapter III of the Directive applies to proceedings concerning any rights or obligations relating to the principle of equal pay set out in Article 4 of Directive 2006/54/EC (i.e., Directive 2006/54/EC of the European Parliament and of the Council of 5 July 2006 on the implementation of the principle of equal opportunities and equal treatment of men and women in matters of employment and occupation). This means that the entire Chapter III applies not only to rights and obligations directly related to pay transparency measures but also to any other rights and obligations related to the principle of equal pay.</w:t>
      </w:r>
    </w:p>
    <w:p w14:paraId="350EDC1F" w14:textId="24E4E588" w:rsidR="002B447B" w:rsidRDefault="002B447B">
      <w:r>
        <w:br w:type="page"/>
      </w:r>
    </w:p>
    <w:p w14:paraId="450F0E0A" w14:textId="77777777" w:rsidR="009D3169" w:rsidRDefault="009D3169" w:rsidP="009D3169">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Appendix 5</w:t>
      </w:r>
    </w:p>
    <w:p w14:paraId="6D9A7850" w14:textId="77777777" w:rsidR="009D3169" w:rsidRDefault="009D3169" w:rsidP="009D3169">
      <w:pPr>
        <w:autoSpaceDE w:val="0"/>
        <w:autoSpaceDN w:val="0"/>
        <w:adjustRightInd w:val="0"/>
        <w:spacing w:after="0" w:line="240" w:lineRule="auto"/>
        <w:jc w:val="both"/>
        <w:rPr>
          <w:rFonts w:ascii="Times New Roman" w:eastAsia="Aptos" w:hAnsi="Times New Roman" w:cs="Times New Roman"/>
          <w:kern w:val="0"/>
          <w14:ligatures w14:val="none"/>
        </w:rPr>
      </w:pPr>
    </w:p>
    <w:p w14:paraId="5A06775E" w14:textId="77777777" w:rsidR="009D3169" w:rsidRPr="00A603A6" w:rsidRDefault="009D3169" w:rsidP="009D3169">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Remote work is the work that is performed entirely or partially at the place specified by the employee and each time agreed with the employer, also at the employee’s home, </w:t>
      </w:r>
      <w:proofErr w:type="gramStart"/>
      <w:r>
        <w:rPr>
          <w:rFonts w:ascii="Times New Roman" w:eastAsia="Aptos" w:hAnsi="Times New Roman" w:cs="Times New Roman"/>
          <w:kern w:val="0"/>
          <w14:ligatures w14:val="none"/>
        </w:rPr>
        <w:t>in particular using</w:t>
      </w:r>
      <w:proofErr w:type="gramEnd"/>
      <w:r>
        <w:rPr>
          <w:rFonts w:ascii="Times New Roman" w:eastAsia="Aptos" w:hAnsi="Times New Roman" w:cs="Times New Roman"/>
          <w:kern w:val="0"/>
          <w14:ligatures w14:val="none"/>
        </w:rPr>
        <w:t xml:space="preserve"> means of direct remote communications (Article 67</w:t>
      </w:r>
      <w:r>
        <w:rPr>
          <w:rFonts w:ascii="Times New Roman" w:eastAsia="Aptos" w:hAnsi="Times New Roman" w:cs="Times New Roman"/>
          <w:kern w:val="0"/>
          <w:vertAlign w:val="superscript"/>
          <w14:ligatures w14:val="none"/>
        </w:rPr>
        <w:t>18</w:t>
      </w:r>
      <w:r>
        <w:rPr>
          <w:rFonts w:ascii="Times New Roman" w:eastAsia="Aptos" w:hAnsi="Times New Roman" w:cs="Times New Roman"/>
          <w:kern w:val="0"/>
          <w14:ligatures w14:val="none"/>
        </w:rPr>
        <w:t xml:space="preserve"> of the Labour Code). The parties to the contract of employment may agree on the remote work of the employee upon execution of the contract of employment or </w:t>
      </w:r>
      <w:proofErr w:type="gramStart"/>
      <w:r>
        <w:rPr>
          <w:rFonts w:ascii="Times New Roman" w:eastAsia="Aptos" w:hAnsi="Times New Roman" w:cs="Times New Roman"/>
          <w:kern w:val="0"/>
          <w14:ligatures w14:val="none"/>
        </w:rPr>
        <w:t>during the course of</w:t>
      </w:r>
      <w:proofErr w:type="gramEnd"/>
      <w:r>
        <w:rPr>
          <w:rFonts w:ascii="Times New Roman" w:eastAsia="Aptos" w:hAnsi="Times New Roman" w:cs="Times New Roman"/>
          <w:kern w:val="0"/>
          <w14:ligatures w14:val="none"/>
        </w:rPr>
        <w:t xml:space="preserve"> employment. When remote work is agreed upon </w:t>
      </w:r>
      <w:proofErr w:type="gramStart"/>
      <w:r>
        <w:rPr>
          <w:rFonts w:ascii="Times New Roman" w:eastAsia="Aptos" w:hAnsi="Times New Roman" w:cs="Times New Roman"/>
          <w:kern w:val="0"/>
          <w14:ligatures w14:val="none"/>
        </w:rPr>
        <w:t>during the course of</w:t>
      </w:r>
      <w:proofErr w:type="gramEnd"/>
      <w:r>
        <w:rPr>
          <w:rFonts w:ascii="Times New Roman" w:eastAsia="Aptos" w:hAnsi="Times New Roman" w:cs="Times New Roman"/>
          <w:kern w:val="0"/>
          <w14:ligatures w14:val="none"/>
        </w:rPr>
        <w:t xml:space="preserve"> employment, it may occur upon the employer’s initiative or at the request of the employee submitted in writing or in the electronic form. As a rule, the employer is obliged to admit the request for remote work filed by:</w:t>
      </w:r>
    </w:p>
    <w:p w14:paraId="451E36FA" w14:textId="77777777" w:rsidR="009D3169" w:rsidRPr="00A603A6" w:rsidRDefault="009D3169" w:rsidP="009D3169">
      <w:pPr>
        <w:numPr>
          <w:ilvl w:val="0"/>
          <w:numId w:val="5"/>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an employee who is a parent of a child for which a certificate referred to in Article 4(3) of the Act z 4 November 2016 on Pro-Life Support for Pregnant Women and Families has been issued,</w:t>
      </w:r>
    </w:p>
    <w:p w14:paraId="332FE8E4" w14:textId="77777777" w:rsidR="009D3169" w:rsidRPr="00A603A6" w:rsidRDefault="009D3169" w:rsidP="009D3169">
      <w:pPr>
        <w:numPr>
          <w:ilvl w:val="0"/>
          <w:numId w:val="5"/>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an employee who is a parent of:</w:t>
      </w:r>
    </w:p>
    <w:p w14:paraId="50064506" w14:textId="77777777" w:rsidR="009D3169" w:rsidRPr="00A603A6" w:rsidRDefault="009D3169" w:rsidP="009D3169">
      <w:pPr>
        <w:numPr>
          <w:ilvl w:val="0"/>
          <w:numId w:val="6"/>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 child for whom a disability certificate or a certificate of moderate or considerable degree of disability as specified in the regulations on occupational and social rehabilitation and employment of the disabled has been issued and</w:t>
      </w:r>
    </w:p>
    <w:p w14:paraId="1B92DAFD" w14:textId="77777777" w:rsidR="009D3169" w:rsidRPr="00A603A6" w:rsidRDefault="009D3169" w:rsidP="009D3169">
      <w:pPr>
        <w:numPr>
          <w:ilvl w:val="0"/>
          <w:numId w:val="6"/>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 child for whom an opinion has been issued on the need to provide child development at an early stage, a certificate of the need for special education or a certificate of the need for revalidation and educational classes referred to in the Act z 14 December 2016 on the Education Law,</w:t>
      </w:r>
    </w:p>
    <w:p w14:paraId="6BE7CD49" w14:textId="77777777" w:rsidR="009D3169" w:rsidRPr="00A603A6" w:rsidRDefault="009D3169" w:rsidP="009D3169">
      <w:pPr>
        <w:numPr>
          <w:ilvl w:val="0"/>
          <w:numId w:val="5"/>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 pregnant employee,</w:t>
      </w:r>
    </w:p>
    <w:p w14:paraId="36BB5E42" w14:textId="77777777" w:rsidR="009D3169" w:rsidRPr="00A603A6" w:rsidRDefault="009D3169" w:rsidP="009D3169">
      <w:pPr>
        <w:numPr>
          <w:ilvl w:val="0"/>
          <w:numId w:val="5"/>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an employee who raises a child under the age of 4,</w:t>
      </w:r>
    </w:p>
    <w:p w14:paraId="4D1BE3D1" w14:textId="77777777" w:rsidR="009D3169" w:rsidRPr="00A603A6" w:rsidRDefault="009D3169" w:rsidP="009D3169">
      <w:pPr>
        <w:numPr>
          <w:ilvl w:val="0"/>
          <w:numId w:val="5"/>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an employee who cares for another member of the closest family or another person residing in the common household who holds a disability certificate or a certificate of considerable degree of disability.</w:t>
      </w:r>
    </w:p>
    <w:p w14:paraId="41FF9A99" w14:textId="77777777" w:rsidR="009D3169" w:rsidRPr="00A603A6" w:rsidRDefault="009D3169" w:rsidP="009D3169">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An employer may refuse remote work for such an employee only if remote work cannot be performed due to the type or organisation of the work. The employer must notify the employee of the reason for refusal in writing or in the electronic form within 7 business days of the day on which the employee filed their request.</w:t>
      </w:r>
    </w:p>
    <w:p w14:paraId="05DAB8FA" w14:textId="77777777" w:rsidR="009D3169" w:rsidRPr="00A603A6" w:rsidRDefault="009D3169" w:rsidP="009D3169">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 addition, Article 67</w:t>
      </w:r>
      <w:r>
        <w:rPr>
          <w:rFonts w:ascii="Times New Roman" w:eastAsia="Aptos" w:hAnsi="Times New Roman" w:cs="Times New Roman"/>
          <w:kern w:val="0"/>
          <w:vertAlign w:val="superscript"/>
          <w14:ligatures w14:val="none"/>
        </w:rPr>
        <w:t>33</w:t>
      </w:r>
      <w:r>
        <w:rPr>
          <w:rFonts w:ascii="Times New Roman" w:eastAsia="Aptos" w:hAnsi="Times New Roman" w:cs="Times New Roman"/>
          <w:kern w:val="0"/>
          <w14:ligatures w14:val="none"/>
        </w:rPr>
        <w:t xml:space="preserve"> of the Labour Code provides for occasional remote work, which can be performed on an occasional basis up to 24 days in a calendar year, at the employee’s request filed in writing or in the electronic form. The request for occasional remote work may be filed by an employee who already performs remote work on a partial basis, as well as an employee who performs work in the establishment in the traditional way. The employer is not obliged to approve such a request.</w:t>
      </w:r>
    </w:p>
    <w:p w14:paraId="32F6F6AF" w14:textId="77777777" w:rsidR="009D3169" w:rsidRDefault="009D3169" w:rsidP="009D3169"/>
    <w:p w14:paraId="7C466845" w14:textId="0D7601AD" w:rsidR="00EB24D1" w:rsidRDefault="00EB24D1">
      <w:r>
        <w:br w:type="page"/>
      </w:r>
    </w:p>
    <w:p w14:paraId="22BE10E8" w14:textId="77777777" w:rsidR="00EB24D1"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bookmarkStart w:id="0" w:name="_Hlk213861124"/>
      <w:r>
        <w:rPr>
          <w:rFonts w:ascii="Times New Roman" w:eastAsia="Aptos" w:hAnsi="Times New Roman" w:cs="Times New Roman"/>
          <w:kern w:val="0"/>
          <w14:ligatures w14:val="none"/>
        </w:rPr>
        <w:t>Appendix 6</w:t>
      </w:r>
    </w:p>
    <w:p w14:paraId="709B492E" w14:textId="77777777" w:rsidR="00EB24D1"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p>
    <w:p w14:paraId="105363B3" w14:textId="77777777" w:rsidR="00EB24D1" w:rsidRPr="00E37356"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Implementation of Directive (EU) 2019/1158 of the European Parliament and of the Council of 20 June 2019 on work-life balance for parents and carers and repealing Council Directive 2010/18/EU (the so-called work-life-balance Directive) to the national legal order resulted in the introduction of </w:t>
      </w:r>
      <w:proofErr w:type="gramStart"/>
      <w:r>
        <w:rPr>
          <w:rFonts w:ascii="Times New Roman" w:eastAsia="Aptos" w:hAnsi="Times New Roman" w:cs="Times New Roman"/>
          <w:kern w:val="0"/>
          <w14:ligatures w14:val="none"/>
        </w:rPr>
        <w:t>a number of</w:t>
      </w:r>
      <w:proofErr w:type="gramEnd"/>
      <w:r>
        <w:rPr>
          <w:rFonts w:ascii="Times New Roman" w:eastAsia="Aptos" w:hAnsi="Times New Roman" w:cs="Times New Roman"/>
          <w:kern w:val="0"/>
          <w14:ligatures w14:val="none"/>
        </w:rPr>
        <w:t xml:space="preserve"> major changes</w:t>
      </w:r>
      <w:bookmarkEnd w:id="0"/>
      <w:r>
        <w:rPr>
          <w:rFonts w:ascii="Times New Roman" w:eastAsia="Aptos" w:hAnsi="Times New Roman" w:cs="Times New Roman"/>
          <w:kern w:val="0"/>
          <w14:ligatures w14:val="none"/>
        </w:rPr>
        <w:t>, such as:</w:t>
      </w:r>
    </w:p>
    <w:p w14:paraId="6A247269" w14:textId="77777777" w:rsidR="00EB24D1" w:rsidRPr="00E37356"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w:t>
      </w:r>
      <w:r>
        <w:rPr>
          <w:rFonts w:ascii="Times New Roman" w:eastAsia="Aptos" w:hAnsi="Times New Roman" w:cs="Times New Roman"/>
          <w:kern w:val="0"/>
          <w14:ligatures w14:val="none"/>
        </w:rPr>
        <w:tab/>
      </w:r>
      <w:proofErr w:type="gramStart"/>
      <w:r>
        <w:rPr>
          <w:rFonts w:ascii="Times New Roman" w:eastAsia="Aptos" w:hAnsi="Times New Roman" w:cs="Times New Roman"/>
          <w:kern w:val="0"/>
          <w14:ligatures w14:val="none"/>
        </w:rPr>
        <w:t>with regard to</w:t>
      </w:r>
      <w:proofErr w:type="gramEnd"/>
      <w:r>
        <w:rPr>
          <w:rFonts w:ascii="Times New Roman" w:eastAsia="Aptos" w:hAnsi="Times New Roman" w:cs="Times New Roman"/>
          <w:kern w:val="0"/>
          <w14:ligatures w14:val="none"/>
        </w:rPr>
        <w:t xml:space="preserve"> parental leave:</w:t>
      </w:r>
    </w:p>
    <w:p w14:paraId="134622AE" w14:textId="77777777" w:rsidR="00EB24D1" w:rsidRPr="00E37356"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w:t>
      </w:r>
      <w:r>
        <w:rPr>
          <w:rFonts w:ascii="Times New Roman" w:eastAsia="Aptos" w:hAnsi="Times New Roman" w:cs="Times New Roman"/>
          <w:kern w:val="0"/>
          <w14:ligatures w14:val="none"/>
        </w:rPr>
        <w:tab/>
        <w:t>introduction of the right to parental leave for male and female employees. After the changes, the combined duration of leave for both parents is as follows:</w:t>
      </w:r>
    </w:p>
    <w:p w14:paraId="04AD1C58" w14:textId="77777777" w:rsidR="00EB24D1" w:rsidRPr="00E37356" w:rsidRDefault="00EB24D1" w:rsidP="00EB24D1">
      <w:pPr>
        <w:numPr>
          <w:ilvl w:val="0"/>
          <w:numId w:val="7"/>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up to 41 weeks (if one child during one delivery is born) or</w:t>
      </w:r>
    </w:p>
    <w:p w14:paraId="0025191D" w14:textId="77777777" w:rsidR="00EB24D1" w:rsidRPr="00E37356" w:rsidRDefault="00EB24D1" w:rsidP="00EB24D1">
      <w:pPr>
        <w:numPr>
          <w:ilvl w:val="0"/>
          <w:numId w:val="7"/>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up to 43 weeks (if two or more children during one delivery are born),</w:t>
      </w:r>
    </w:p>
    <w:p w14:paraId="2A412968"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introduction of the non-transferable period of parental leave of up to 9 weeks for each of the parents,</w:t>
      </w:r>
    </w:p>
    <w:p w14:paraId="20DE3348"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making the right to parental leave independent of the employment (insurance) status of the mother on the date of delivery,</w:t>
      </w:r>
    </w:p>
    <w:p w14:paraId="07621160"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abolishing the need for direct use of parental leave after maternity leave,</w:t>
      </w:r>
    </w:p>
    <w:p w14:paraId="58413689"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increasing the maternity benefit for the entire duration of parental leave to 70% of benefit base,</w:t>
      </w:r>
    </w:p>
    <w:p w14:paraId="58D61B7B" w14:textId="77777777" w:rsidR="00EB24D1" w:rsidRPr="00E37356" w:rsidRDefault="00EB24D1" w:rsidP="00EB24D1">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as regards other solutions conducive to work-life balance:</w:t>
      </w:r>
    </w:p>
    <w:p w14:paraId="28E9253C"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introducing carers’ leave of 5 days in a calendar year to provide personal care or support to a relative (son, daughter, mother, father or spouse) or a person dwelling in the same household who needs care or support for serious medical reasons, without retaining the right to remuneration for the duration of that leave,</w:t>
      </w:r>
    </w:p>
    <w:p w14:paraId="134649B0"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introducing leave due to reasons of force majeure, of 2 days or 16 in a calendar year, in case of urgent family matters resulting from an illness or accident if immediate presence of the employee is necessary, subject to retaining the right to half the remuneration for the duration of the leave (calculated as remuneration for holiday leave),</w:t>
      </w:r>
    </w:p>
    <w:p w14:paraId="0A85A514"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allowing a more flexible work organisation to increase the employee’s ability to adapt their work organisation to individual needs. Flexible work organisation includes remote work, flexible working time arrangements (flexible working hours, individual working schedule, weekend working time arrangements, shortened working week arrangements and interrupted working time arrangements) and part-time work. The option of using flexible working arrangements is available to parents caring for a child up to 8 years of age and to carers, i.e. employees providing care or support to a relative or person dwelling in the same household with the employee who requires care or support due to serious medical reasons. Refusal to grant a request for flexible working arrangements requires the employer to provide grounds for that in writing,</w:t>
      </w:r>
    </w:p>
    <w:p w14:paraId="441AB653"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shortening the period in which an employee being a father raising a child can take paternity leave from 24 to 12 months from the date of the child’s birth (the Directive links this right to the birth of the child); the period for taking paternity leave by an employee who has adopted a child at the statutory age will be shortened in a similar manner,</w:t>
      </w:r>
    </w:p>
    <w:p w14:paraId="4FD1619F"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extending the age of a child from 4 to 8 years until reaching of which the employer may instruct the employee, with the employee’s consent only, to work overtime and at night, employ the employee in the interrupted working time arrangements and delegate the employee to work outside their permanent place of work,</w:t>
      </w:r>
    </w:p>
    <w:p w14:paraId="2E9AF7F0" w14:textId="77777777" w:rsidR="00EB24D1" w:rsidRPr="00E37356" w:rsidRDefault="00EB24D1" w:rsidP="00EB24D1">
      <w:pPr>
        <w:numPr>
          <w:ilvl w:val="0"/>
          <w:numId w:val="8"/>
        </w:num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introducing a ban on all preparations for dismissal of employees and on giving notice and terminating employment relationship during pregnancy and maternity leave, as well as from the date the employee applies for: maternity leave or part thereof, leave on maternity leave conditions or part thereof, paternity leave or part thereof, parental leave or part thereof – until such leave or carers’ leave ends and the use of such leave, as well as due to the application for flexible working arrangements; furthermore, in light of the governing legal status, the employer allows the employee to return to work in their current position after the end of maternity leave, leave on maternity leave conditions, parental leave, paternity leave and carers’ leave and if this is not possible, then in a position equivalent to the one held by the employee before the start of leave, under conditions no less favourable than those that would have applied if the employee had not taken leave.</w:t>
      </w:r>
    </w:p>
    <w:p w14:paraId="0A26909A" w14:textId="77777777" w:rsidR="00EB24D1" w:rsidRPr="00B22787" w:rsidRDefault="00EB24D1" w:rsidP="00EB24D1"/>
    <w:p w14:paraId="032AF9CE" w14:textId="4B95301C" w:rsidR="00EB24D1" w:rsidRDefault="00EB24D1">
      <w:r>
        <w:br w:type="page"/>
      </w:r>
    </w:p>
    <w:p w14:paraId="2DFA43F6" w14:textId="77777777" w:rsidR="00CB701A"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Annex No. 7</w:t>
      </w:r>
    </w:p>
    <w:p w14:paraId="750E03DD" w14:textId="77777777" w:rsidR="00CB701A" w:rsidRDefault="00CB701A" w:rsidP="00CB701A">
      <w:pPr>
        <w:autoSpaceDE w:val="0"/>
        <w:autoSpaceDN w:val="0"/>
        <w:adjustRightInd w:val="0"/>
        <w:spacing w:after="0" w:line="240" w:lineRule="auto"/>
        <w:jc w:val="both"/>
        <w:rPr>
          <w:rFonts w:ascii="Times New Roman" w:eastAsia="Aptos" w:hAnsi="Times New Roman" w:cs="Times New Roman"/>
          <w:kern w:val="0"/>
          <w:lang w:val="pl-PL"/>
          <w14:ligatures w14:val="none"/>
        </w:rPr>
      </w:pPr>
    </w:p>
    <w:p w14:paraId="35B72AC6"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provisions of Directive (EU) 2022/2381 of the European Parliament and of the Council of 23 November 2022 on improving the gender balance among directors of listed companies and related measures (OJ EU L 315 of 7.12.2022) refer to the under-represented sex in the bodies of public (listed) companies. A state of under-representation of a sex arises when its representatives occupy no more than 49% of the total number of positions in the company’s bodies.</w:t>
      </w:r>
    </w:p>
    <w:p w14:paraId="4EF0C093"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Statistics indicate that women are most frequently the persons belonging to the under-represented sex.</w:t>
      </w:r>
    </w:p>
    <w:p w14:paraId="0518AEA8"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version of the draft submitted for consideration by the Standing Committee of the Council of Ministers provides for the following regulations:</w:t>
      </w:r>
    </w:p>
    <w:p w14:paraId="1EF1220C"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b/>
          <w:bCs/>
          <w:kern w:val="0"/>
          <w14:ligatures w14:val="none"/>
        </w:rPr>
      </w:pPr>
      <w:r>
        <w:rPr>
          <w:rFonts w:ascii="Times New Roman" w:hAnsi="Times New Roman"/>
          <w:b/>
        </w:rPr>
        <w:t>1. Personal scope – addressees of the new regulations</w:t>
      </w:r>
    </w:p>
    <w:p w14:paraId="23B3F6FC"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The regulation in question will cover exclusively listed companies having their registered office in Poland whose shares are admitted to trading on a regulated market in at least one of the EU Member States (whether in Poland or another EU country). Companies holding the status of a micro, small, or medium-sized entrepreneur within the meaning of the Act – Law on Entrepreneurs will be exempt from compliance with the new obligations; that is, companies employing fewer than 250 employees and whose annual turnover or annual balance sheet total does not exceed the equivalent of EUR 50 million or EUR 43 million, respectively. It is estimated that, in Poland, fewer than half of the companies currently listed on the Stock Exchange will be subject to the new requirements.</w:t>
      </w:r>
    </w:p>
    <w:p w14:paraId="4A16E61B"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b/>
          <w:bCs/>
          <w:kern w:val="0"/>
          <w14:ligatures w14:val="none"/>
        </w:rPr>
      </w:pPr>
      <w:r>
        <w:rPr>
          <w:rFonts w:ascii="Times New Roman" w:hAnsi="Times New Roman"/>
          <w:b/>
        </w:rPr>
        <w:t>2. New obligations for listed companies</w:t>
      </w:r>
    </w:p>
    <w:p w14:paraId="6B867B5D"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1) The General Meeting will be required to adopt, by resolution, a gender balance policy for the company’s governing bodies (i.e., the Management Board and Supervisory Board, or the Board of Directors). This policy will be binding on the persons and bodies responsible for the recruitment process within the company.</w:t>
      </w:r>
    </w:p>
    <w:p w14:paraId="21378BA8"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2) Listed companies will be required to ensure that the number of positions in their governing bodies held by persons belonging to the under-represented sex is not lower than the number closest to 33% of all positions in those bodies, and that members of the under-represented sex are represented in each governing body.</w:t>
      </w:r>
    </w:p>
    <w:p w14:paraId="6AF58305"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 xml:space="preserve">3) A requirement is envisaged to grant priority to a candidate belonging to the under-represented sex where candidates possess equivalent qualifications. An exception to this rule – i.e., to the adopted selection criteria – may occur only in exceptional cases, where other diversity-related considerations specified in legal provisions, based on non-discriminatory criteria, tip the balance in favour of the other candidate. The draft further provides that, at the request of a rejected candidate whose application was considered in the recruitment process, the company must present to the candidate, in writing or electronically, </w:t>
      </w:r>
      <w:r>
        <w:rPr>
          <w:rFonts w:ascii="Times New Roman" w:hAnsi="Times New Roman"/>
          <w:i/>
          <w:iCs/>
        </w:rPr>
        <w:t>inter alia</w:t>
      </w:r>
      <w:r>
        <w:rPr>
          <w:rFonts w:ascii="Times New Roman" w:hAnsi="Times New Roman"/>
        </w:rPr>
        <w:t>, the qualification criteria applied and the objective comparative assessment of the candidates according to those criteria.</w:t>
      </w:r>
    </w:p>
    <w:p w14:paraId="67B05299"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4) The Management Board will be obligated to prepare an annual report on the participation of representatives of each sex in the company’s governing bodies, to make it publicly available on the company’s website, and to submit it by 30 June each year to the Minister for Equality, who will maintain a public register of listed companies that meet the requirements in this regard.</w:t>
      </w:r>
    </w:p>
    <w:p w14:paraId="725D941E"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b/>
          <w:bCs/>
          <w:kern w:val="0"/>
          <w14:ligatures w14:val="none"/>
        </w:rPr>
      </w:pPr>
      <w:r>
        <w:rPr>
          <w:rFonts w:ascii="Times New Roman" w:hAnsi="Times New Roman"/>
          <w:b/>
        </w:rPr>
        <w:t>3. Sanctions for non-compliance</w:t>
      </w:r>
    </w:p>
    <w:p w14:paraId="0B082941"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1) If companies fail to perform or improperly perform the obligations described above, the Polish Financial Supervision Authority (KNF) will be empowered to impose a monetary penalty of up to PLN 500,000. The specific penalty amount would be determined individually in sanctioning proceedings, proportionate to the gravity of the breach.</w:t>
      </w:r>
    </w:p>
    <w:p w14:paraId="53235AE2"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hAnsi="Times New Roman"/>
        </w:rPr>
        <w:t>2) A rejected candidate for a position in a governing body who belongs to the under-represented sex will be entitled to claim compensation from the company if the recruitment rules described above were violated. The amount of compensation may not be lower than the statutory minimum wage. Such a candidate will also benefit from eased evidentiary requirements in any claim brought against the company; that is, the candidate will only need to substantiate the fact of having qualifications equivalent to those of the selected candidate. In the event of these circumstances being substantiated, the company would, in turn, be obliged to prove that it did not commit such a violation.</w:t>
      </w:r>
    </w:p>
    <w:p w14:paraId="0E6279C1" w14:textId="77777777" w:rsidR="00CB701A" w:rsidRPr="002B63CF" w:rsidRDefault="00CB701A" w:rsidP="00CB701A">
      <w:pPr>
        <w:autoSpaceDE w:val="0"/>
        <w:autoSpaceDN w:val="0"/>
        <w:adjustRightInd w:val="0"/>
        <w:spacing w:after="0" w:line="240" w:lineRule="auto"/>
        <w:jc w:val="both"/>
        <w:rPr>
          <w:rFonts w:ascii="Times New Roman" w:eastAsia="Aptos" w:hAnsi="Times New Roman" w:cs="Times New Roman"/>
          <w:kern w:val="0"/>
          <w:lang w:val="pl-PL"/>
          <w14:ligatures w14:val="none"/>
        </w:rPr>
      </w:pPr>
    </w:p>
    <w:p w14:paraId="72E598EF" w14:textId="71197D1A" w:rsidR="00393BEA" w:rsidRDefault="00393BEA">
      <w:pPr>
        <w:rPr>
          <w:lang w:val="pl-PL"/>
        </w:rPr>
      </w:pPr>
      <w:r>
        <w:rPr>
          <w:lang w:val="pl-PL"/>
        </w:rPr>
        <w:br w:type="page"/>
      </w:r>
    </w:p>
    <w:p w14:paraId="79E1438E" w14:textId="77777777" w:rsidR="00CB701A" w:rsidRPr="00425A7B" w:rsidRDefault="00CB701A" w:rsidP="00CB701A">
      <w:pPr>
        <w:rPr>
          <w:lang w:val="pl-PL"/>
        </w:rPr>
      </w:pPr>
    </w:p>
    <w:p w14:paraId="65741362" w14:textId="77777777" w:rsidR="00393BEA" w:rsidRDefault="00393BEA" w:rsidP="00393BEA">
      <w:pPr>
        <w:rPr>
          <w:rFonts w:ascii="Times New Roman" w:hAnsi="Times New Roman" w:cs="Times New Roman"/>
        </w:rPr>
      </w:pPr>
      <w:r>
        <w:rPr>
          <w:rFonts w:ascii="Times New Roman" w:eastAsia="Aptos" w:hAnsi="Times New Roman" w:cs="Times New Roman"/>
          <w:kern w:val="0"/>
          <w14:ligatures w14:val="none"/>
        </w:rPr>
        <w:t>Appendix 8</w:t>
      </w:r>
    </w:p>
    <w:p w14:paraId="31187EC1"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Detailed information on </w:t>
      </w:r>
      <w:proofErr w:type="gramStart"/>
      <w:r>
        <w:rPr>
          <w:rFonts w:ascii="Times New Roman" w:eastAsia="Aptos" w:hAnsi="Times New Roman" w:cs="Times New Roman"/>
          <w:kern w:val="0"/>
          <w14:ligatures w14:val="none"/>
        </w:rPr>
        <w:t>pay</w:t>
      </w:r>
      <w:proofErr w:type="gramEnd"/>
      <w:r>
        <w:rPr>
          <w:rFonts w:ascii="Times New Roman" w:eastAsia="Aptos" w:hAnsi="Times New Roman" w:cs="Times New Roman"/>
          <w:kern w:val="0"/>
          <w14:ligatures w14:val="none"/>
        </w:rPr>
        <w:t xml:space="preserve"> of men and women in the civil service:</w:t>
      </w:r>
    </w:p>
    <w:p w14:paraId="13C37806"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Some of elements of pay, other than basic pay, differ by length of service (the so-called seniority allowance), official rank (for civil servants), periodically increased number of tasks or their intensity (task-related allowance), nature of tasks (allowances in certain specialized types of offices) or function performed (functional allowance for persons holding higher positions in the civil service).</w:t>
      </w:r>
    </w:p>
    <w:p w14:paraId="4CE043B6"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At the same time, the “Standards of Human Resources Management in the Civil Service” as defined by the Head of the Civil Service complement the statutory provisions. The Standards require that the director general of the office determine the basic pay of a civil servant, taking into account in particular such objective factors as the result of job appraisal; work assessment, including in particular the level of competencies and work results; conditions in the labour market and only those competences of the employee that are related to their tasks or which may be otherwise useful for the work of the office. Thus, these are the factors that are independent of the employee’s gender. The Standards also provide recommendations that are intended to ensure the objectivity of the process of awarding discretionary allowances, such as awards for special achievements in professional work and task-related allowances.</w:t>
      </w:r>
    </w:p>
    <w:p w14:paraId="52928C89"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Since 2007, it has been necessary to describe and evaluate positions in the civil service. These tools were improved by subsequent ordinances of the Prime Minister in 2011 and 2015. Evaluation is a process intended to provide an objective assessment and the value of importance of a given position for the office. It helps to create a hierarchy of positions in the office, define the internal relationships between positions and create the basis for establishing a fair pay structure (based on the responsibility and scope of duties). Descriptions and evaluations of positions are the tools for human resource management that contribute to making rational and objective personnel and payroll decisions because both the position description and its evaluation refer only to the position and not to the person holding it at a given moment. Therefore, equal treatment of men and women in terms of pay is ensured at the level of provisions of the law. The changes currently being proposed regarding the transparency of pay provide for the use of an evaluation mechanism. The method currently used in civil service meets the requirements of the directive. The Head of the Civil Service works with the Ministry of Family, Labour and Social Policy in this respect to ensure that the final method developed for the implementation of the directive can also be directly applied in the civil service.</w:t>
      </w:r>
    </w:p>
    <w:p w14:paraId="5B26416E"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Pursuant to Article 25(4)(2) of the Act on the Civil Service, the directors general and heads of offices perform activities based on the labour law </w:t>
      </w:r>
      <w:proofErr w:type="gramStart"/>
      <w:r>
        <w:rPr>
          <w:rFonts w:ascii="Times New Roman" w:eastAsia="Aptos" w:hAnsi="Times New Roman" w:cs="Times New Roman"/>
          <w:kern w:val="0"/>
          <w14:ligatures w14:val="none"/>
        </w:rPr>
        <w:t>with regard to</w:t>
      </w:r>
      <w:proofErr w:type="gramEnd"/>
      <w:r>
        <w:rPr>
          <w:rFonts w:ascii="Times New Roman" w:eastAsia="Aptos" w:hAnsi="Times New Roman" w:cs="Times New Roman"/>
          <w:kern w:val="0"/>
          <w14:ligatures w14:val="none"/>
        </w:rPr>
        <w:t xml:space="preserve"> persons employed in the office and implement the HR policy in the office. Therefore, directors general and heads of offices are responsible for equal treatment of employees in terms of pay, </w:t>
      </w:r>
      <w:proofErr w:type="gramStart"/>
      <w:r>
        <w:rPr>
          <w:rFonts w:ascii="Times New Roman" w:eastAsia="Aptos" w:hAnsi="Times New Roman" w:cs="Times New Roman"/>
          <w:kern w:val="0"/>
          <w14:ligatures w14:val="none"/>
        </w:rPr>
        <w:t>taking into account</w:t>
      </w:r>
      <w:proofErr w:type="gramEnd"/>
      <w:r>
        <w:rPr>
          <w:rFonts w:ascii="Times New Roman" w:eastAsia="Aptos" w:hAnsi="Times New Roman" w:cs="Times New Roman"/>
          <w:kern w:val="0"/>
          <w14:ligatures w14:val="none"/>
        </w:rPr>
        <w:t xml:space="preserve"> all applicable laws in this respect.</w:t>
      </w:r>
    </w:p>
    <w:p w14:paraId="65A8F4BF"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The Head of the Civil Service is aware of the importance of equal treatment of men and women in employment. Therefore, the Head of the Civil Service collects and analyses data on pay in civil service, also broken down by gender. This is primarily done as part of annual reports submitted to the Head of the Civil Service by directors general and heads of offices, which describe the implementation of tasks arising out of the Act on the Civil Service. The reporting covers more than 1,700 offices, which employ approximately 120,000 civil servants. From 2016 to 2024, as part of the </w:t>
      </w:r>
      <w:proofErr w:type="gramStart"/>
      <w:r>
        <w:rPr>
          <w:rFonts w:ascii="Times New Roman" w:eastAsia="Aptos" w:hAnsi="Times New Roman" w:cs="Times New Roman"/>
          <w:kern w:val="0"/>
          <w14:ligatures w14:val="none"/>
        </w:rPr>
        <w:t>aforementioned reporting</w:t>
      </w:r>
      <w:proofErr w:type="gramEnd"/>
      <w:r>
        <w:rPr>
          <w:rFonts w:ascii="Times New Roman" w:eastAsia="Aptos" w:hAnsi="Times New Roman" w:cs="Times New Roman"/>
          <w:kern w:val="0"/>
          <w14:ligatures w14:val="none"/>
        </w:rPr>
        <w:t xml:space="preserve"> process, data on pay was collected nine times, also broken down by gender.</w:t>
      </w:r>
    </w:p>
    <w:p w14:paraId="1DC230C9"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Analysis of such data shows that since 2016, there have been minor, positive trends in the pay of men and women in the civil service. From 2016 to 2024, the growth rate of women pay was higher than that of men. During this period, women’s basic pay increased by 125% and men’s basic pay increased by 115%. Total women’s pay (i.e. </w:t>
      </w:r>
      <w:proofErr w:type="gramStart"/>
      <w:r>
        <w:rPr>
          <w:rFonts w:ascii="Times New Roman" w:eastAsia="Aptos" w:hAnsi="Times New Roman" w:cs="Times New Roman"/>
          <w:kern w:val="0"/>
          <w14:ligatures w14:val="none"/>
        </w:rPr>
        <w:t>taking into account</w:t>
      </w:r>
      <w:proofErr w:type="gramEnd"/>
      <w:r>
        <w:rPr>
          <w:rFonts w:ascii="Times New Roman" w:eastAsia="Aptos" w:hAnsi="Times New Roman" w:cs="Times New Roman"/>
          <w:kern w:val="0"/>
          <w14:ligatures w14:val="none"/>
        </w:rPr>
        <w:t xml:space="preserve"> all remuneration elements) increased by 120%, while total men’s pay increased by 108%.</w:t>
      </w:r>
    </w:p>
    <w:p w14:paraId="3DD649FD"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This translated positively on the relation of men’s and women’s pay. In 2016, the average basic pay of women was 88% of men’s pay, while in 2024 it was 92% of men’s pay. In relation to total pay, it was 85% in 2016 and 90% in 2024 respectively.</w:t>
      </w:r>
    </w:p>
    <w:p w14:paraId="60E146E0" w14:textId="77777777" w:rsidR="00393BEA" w:rsidRPr="00597223" w:rsidRDefault="00393BEA" w:rsidP="00393BEA">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This means that there has been a diminishing pay gap between men and women. For basic pay, this difference decreased by 4 percentage points (this difference was 12% in 2016 and in 8% in 2024), and as for total pay this difference decreased by 5 percentage points (this difference was 15% in 2016 and 10% in 2024).</w:t>
      </w:r>
    </w:p>
    <w:p w14:paraId="3D68E2A8" w14:textId="77777777" w:rsidR="00393BEA" w:rsidRPr="001141E1" w:rsidRDefault="00393BEA" w:rsidP="00393BEA"/>
    <w:p w14:paraId="35637305" w14:textId="51E99B31" w:rsidR="00393BEA" w:rsidRDefault="00393BEA">
      <w:r>
        <w:br w:type="page"/>
      </w:r>
    </w:p>
    <w:p w14:paraId="60DD0082" w14:textId="77777777" w:rsidR="001B4592" w:rsidRDefault="001B4592" w:rsidP="001B4592">
      <w:pPr>
        <w:rPr>
          <w:rFonts w:ascii="Times New Roman" w:hAnsi="Times New Roman" w:cs="Times New Roman"/>
        </w:rPr>
      </w:pPr>
      <w:r>
        <w:rPr>
          <w:rFonts w:ascii="Times New Roman" w:hAnsi="Times New Roman" w:cs="Times New Roman"/>
        </w:rPr>
        <w:t>Appendix 9</w:t>
      </w:r>
    </w:p>
    <w:p w14:paraId="19696674" w14:textId="77777777" w:rsidR="001B4592" w:rsidRDefault="001B4592" w:rsidP="001B4592">
      <w:pPr>
        <w:rPr>
          <w:rFonts w:ascii="Times New Roman" w:hAnsi="Times New Roman" w:cs="Times New Roman"/>
        </w:rPr>
      </w:pPr>
      <w:r>
        <w:rPr>
          <w:rFonts w:ascii="Times New Roman" w:hAnsi="Times New Roman" w:cs="Times New Roman"/>
        </w:rPr>
        <w:t>Statistical data: tables with data on recruitment to civil service</w:t>
      </w:r>
    </w:p>
    <w:p w14:paraId="7B8C20D7" w14:textId="77777777" w:rsidR="001B4592" w:rsidRDefault="001B4592" w:rsidP="001B4592">
      <w:pPr>
        <w:rPr>
          <w:rFonts w:ascii="Times New Roman" w:hAnsi="Times New Roman" w:cs="Times New Roman"/>
        </w:rPr>
      </w:pPr>
      <w:r>
        <w:rPr>
          <w:rFonts w:ascii="Times New Roman" w:hAnsi="Times New Roman" w:cs="Times New Roman"/>
          <w:noProof/>
        </w:rPr>
        <w:drawing>
          <wp:inline distT="0" distB="0" distL="0" distR="0" wp14:anchorId="05DCDC0E" wp14:editId="04F2A60F">
            <wp:extent cx="5760720" cy="3215005"/>
            <wp:effectExtent l="0" t="0" r="0" b="4445"/>
            <wp:docPr id="17244616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15005"/>
                    </a:xfrm>
                    <a:prstGeom prst="rect">
                      <a:avLst/>
                    </a:prstGeom>
                    <a:noFill/>
                    <a:ln>
                      <a:noFill/>
                    </a:ln>
                  </pic:spPr>
                </pic:pic>
              </a:graphicData>
            </a:graphic>
          </wp:inline>
        </w:drawing>
      </w:r>
    </w:p>
    <w:p w14:paraId="49D4DADB" w14:textId="77777777" w:rsidR="001B4592" w:rsidRDefault="001B4592" w:rsidP="001B4592">
      <w:pPr>
        <w:rPr>
          <w:rFonts w:ascii="Times New Roman" w:hAnsi="Times New Roman" w:cs="Times New Roman"/>
        </w:rPr>
      </w:pPr>
      <w:r>
        <w:rPr>
          <w:rFonts w:ascii="Times New Roman" w:hAnsi="Times New Roman" w:cs="Times New Roman"/>
          <w:noProof/>
        </w:rPr>
        <w:drawing>
          <wp:inline distT="0" distB="0" distL="0" distR="0" wp14:anchorId="6BD93DED" wp14:editId="08299AF2">
            <wp:extent cx="5760720" cy="3221355"/>
            <wp:effectExtent l="0" t="0" r="0" b="0"/>
            <wp:docPr id="72733944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21355"/>
                    </a:xfrm>
                    <a:prstGeom prst="rect">
                      <a:avLst/>
                    </a:prstGeom>
                    <a:noFill/>
                    <a:ln>
                      <a:noFill/>
                    </a:ln>
                  </pic:spPr>
                </pic:pic>
              </a:graphicData>
            </a:graphic>
          </wp:inline>
        </w:drawing>
      </w:r>
    </w:p>
    <w:p w14:paraId="09F38357" w14:textId="0A98FB53" w:rsidR="001B4592" w:rsidRDefault="001B4592">
      <w:r>
        <w:br w:type="page"/>
      </w:r>
    </w:p>
    <w:p w14:paraId="12F8E95E" w14:textId="77777777" w:rsidR="00E7324F" w:rsidRDefault="00E7324F" w:rsidP="00E7324F">
      <w:pPr>
        <w:autoSpaceDE w:val="0"/>
        <w:autoSpaceDN w:val="0"/>
        <w:adjustRightInd w:val="0"/>
        <w:spacing w:after="0" w:line="240" w:lineRule="auto"/>
        <w:jc w:val="both"/>
        <w:rPr>
          <w:rFonts w:ascii="Times New Roman" w:eastAsia="Aptos" w:hAnsi="Times New Roman" w:cs="Times New Roman"/>
          <w14:ligatures w14:val="none"/>
        </w:rPr>
      </w:pPr>
      <w:bookmarkStart w:id="1" w:name="_Hlk213861607"/>
      <w:r>
        <w:rPr>
          <w:rFonts w:ascii="Times New Roman" w:eastAsia="Aptos" w:hAnsi="Times New Roman" w:cs="Times New Roman"/>
          <w14:ligatures w14:val="none"/>
        </w:rPr>
        <w:t>Appendix 10</w:t>
      </w:r>
    </w:p>
    <w:p w14:paraId="721D8121" w14:textId="77777777" w:rsidR="00E7324F" w:rsidRDefault="00E7324F" w:rsidP="00E7324F">
      <w:pPr>
        <w:autoSpaceDE w:val="0"/>
        <w:autoSpaceDN w:val="0"/>
        <w:adjustRightInd w:val="0"/>
        <w:spacing w:after="0" w:line="240" w:lineRule="auto"/>
        <w:jc w:val="both"/>
        <w:rPr>
          <w:rFonts w:ascii="Times New Roman" w:eastAsia="Aptos" w:hAnsi="Times New Roman" w:cs="Times New Roman"/>
          <w14:ligatures w14:val="none"/>
        </w:rPr>
      </w:pPr>
    </w:p>
    <w:p w14:paraId="70EFC1DA" w14:textId="77777777" w:rsidR="00E7324F" w:rsidRPr="001E60DF" w:rsidRDefault="00E7324F" w:rsidP="00E7324F">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Figures relating to gender parity and representation of women in the judiciary, including at managerial positions as </w:t>
      </w:r>
      <w:proofErr w:type="gramStart"/>
      <w:r>
        <w:rPr>
          <w:rFonts w:ascii="Times New Roman" w:eastAsia="Aptos" w:hAnsi="Times New Roman" w:cs="Times New Roman"/>
          <w14:ligatures w14:val="none"/>
        </w:rPr>
        <w:t>at</w:t>
      </w:r>
      <w:proofErr w:type="gramEnd"/>
      <w:r>
        <w:rPr>
          <w:rFonts w:ascii="Times New Roman" w:eastAsia="Aptos" w:hAnsi="Times New Roman" w:cs="Times New Roman"/>
          <w14:ligatures w14:val="none"/>
        </w:rPr>
        <w:t xml:space="preserve"> 24 July 2025: </w:t>
      </w:r>
    </w:p>
    <w:bookmarkEnd w:id="1"/>
    <w:p w14:paraId="38ECB391" w14:textId="77777777" w:rsidR="00E7324F" w:rsidRPr="001E60DF" w:rsidRDefault="00E7324F" w:rsidP="00E7324F">
      <w:pPr>
        <w:autoSpaceDE w:val="0"/>
        <w:autoSpaceDN w:val="0"/>
        <w:adjustRightInd w:val="0"/>
        <w:spacing w:after="0" w:line="240" w:lineRule="auto"/>
        <w:jc w:val="both"/>
        <w:rPr>
          <w:rFonts w:ascii="Times New Roman" w:eastAsia="Aptos" w:hAnsi="Times New Roman" w:cs="Times New Roman"/>
          <w14:ligatures w14:val="none"/>
        </w:rPr>
      </w:pPr>
    </w:p>
    <w:p w14:paraId="6BB1A6C0"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Court Directors:</w:t>
      </w:r>
    </w:p>
    <w:p w14:paraId="1957153B"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Women: 162: 62%</w:t>
      </w:r>
    </w:p>
    <w:p w14:paraId="3CD6271D"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Men: 100: 38%</w:t>
      </w:r>
    </w:p>
    <w:p w14:paraId="7EA76397"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p>
    <w:p w14:paraId="76A492CF"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Judges:</w:t>
      </w:r>
    </w:p>
    <w:p w14:paraId="22A11240"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Women: 5742: 62%</w:t>
      </w:r>
    </w:p>
    <w:p w14:paraId="1845EF41"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Men: 3475: 38%</w:t>
      </w:r>
    </w:p>
    <w:p w14:paraId="4DF84776"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p>
    <w:p w14:paraId="48DA5235"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Court Presidents:</w:t>
      </w:r>
    </w:p>
    <w:p w14:paraId="7A909B02"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Women: 203: 54%</w:t>
      </w:r>
    </w:p>
    <w:p w14:paraId="1897A12D"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Men: 174: 46%</w:t>
      </w:r>
    </w:p>
    <w:p w14:paraId="0C0F0229"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p>
    <w:p w14:paraId="36D284F6"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Court Vice-Presidents:</w:t>
      </w:r>
    </w:p>
    <w:p w14:paraId="45438F55"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Women: 225: 59%</w:t>
      </w:r>
    </w:p>
    <w:p w14:paraId="4BDE9209"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Men: 154: 41%</w:t>
      </w:r>
    </w:p>
    <w:p w14:paraId="34953B29"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p>
    <w:p w14:paraId="5C0B7034"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Division Presiding Judge:</w:t>
      </w:r>
    </w:p>
    <w:p w14:paraId="3DDC72B4"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Women: 945: 59%</w:t>
      </w:r>
    </w:p>
    <w:p w14:paraId="4D2927E0" w14:textId="77777777" w:rsidR="00E7324F" w:rsidRPr="001E60DF" w:rsidRDefault="00E7324F" w:rsidP="00E7324F">
      <w:pPr>
        <w:autoSpaceDE w:val="0"/>
        <w:autoSpaceDN w:val="0"/>
        <w:adjustRightInd w:val="0"/>
        <w:spacing w:after="0" w:line="240" w:lineRule="auto"/>
        <w:rPr>
          <w:rFonts w:ascii="Times New Roman" w:eastAsia="Aptos" w:hAnsi="Times New Roman" w:cs="Times New Roman"/>
          <w:kern w:val="0"/>
          <w14:ligatures w14:val="none"/>
        </w:rPr>
      </w:pPr>
      <w:r>
        <w:rPr>
          <w:rFonts w:ascii="Times New Roman" w:eastAsia="Aptos" w:hAnsi="Times New Roman" w:cs="Times New Roman"/>
          <w:kern w:val="0"/>
          <w14:ligatures w14:val="none"/>
        </w:rPr>
        <w:t>Men: 652: 41%</w:t>
      </w:r>
    </w:p>
    <w:p w14:paraId="29EE5FAB" w14:textId="0D8DD5FF" w:rsidR="00E7324F" w:rsidRDefault="00E7324F">
      <w:r>
        <w:br w:type="page"/>
      </w:r>
    </w:p>
    <w:p w14:paraId="1009510B" w14:textId="77777777" w:rsidR="004709F6" w:rsidRDefault="004709F6" w:rsidP="004709F6">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Appendix 11</w:t>
      </w:r>
    </w:p>
    <w:p w14:paraId="5076BE3B" w14:textId="77777777" w:rsidR="004709F6" w:rsidRDefault="004709F6" w:rsidP="004709F6">
      <w:pPr>
        <w:autoSpaceDE w:val="0"/>
        <w:autoSpaceDN w:val="0"/>
        <w:adjustRightInd w:val="0"/>
        <w:spacing w:after="0" w:line="240" w:lineRule="auto"/>
        <w:jc w:val="both"/>
        <w:rPr>
          <w:rFonts w:ascii="Times New Roman" w:eastAsia="Aptos" w:hAnsi="Times New Roman" w:cs="Times New Roman"/>
          <w:kern w:val="0"/>
          <w14:ligatures w14:val="none"/>
        </w:rPr>
      </w:pPr>
    </w:p>
    <w:p w14:paraId="766CAFDA" w14:textId="77777777" w:rsidR="004709F6" w:rsidRPr="0095617C" w:rsidRDefault="004709F6" w:rsidP="004709F6">
      <w:pPr>
        <w:autoSpaceDE w:val="0"/>
        <w:autoSpaceDN w:val="0"/>
        <w:adjustRightInd w:val="0"/>
        <w:spacing w:after="0" w:line="240" w:lineRule="auto"/>
        <w:jc w:val="both"/>
        <w:rPr>
          <w:rFonts w:ascii="Times New Roman" w:eastAsia="Aptos" w:hAnsi="Times New Roman" w:cs="Times New Roman"/>
          <w:kern w:val="0"/>
          <w14:ligatures w14:val="none"/>
        </w:rPr>
      </w:pPr>
      <w:r>
        <w:rPr>
          <w:rFonts w:ascii="Times New Roman" w:eastAsia="Aptos" w:hAnsi="Times New Roman" w:cs="Times New Roman"/>
          <w:kern w:val="0"/>
          <w14:ligatures w14:val="none"/>
        </w:rPr>
        <w:t xml:space="preserve">In 2024 the General Commander of the Border Guard approved “Gender equality plan for the Border Guard for 2024-2028”. The document analyses the existing laws, internal procedures and the employment structure. It identifies obstacles in the implementation of rules of equal treatment and puts forward proposed solutions that facilitate sustainable development for all Border Guard representatives, both women and men, with respect for their diversity and differing needs. It is worth stressing that the number of women employed in the Border Guard has been steadily growing for years: as </w:t>
      </w:r>
      <w:proofErr w:type="gramStart"/>
      <w:r>
        <w:rPr>
          <w:rFonts w:ascii="Times New Roman" w:eastAsia="Aptos" w:hAnsi="Times New Roman" w:cs="Times New Roman"/>
          <w:kern w:val="0"/>
          <w14:ligatures w14:val="none"/>
        </w:rPr>
        <w:t>at</w:t>
      </w:r>
      <w:proofErr w:type="gramEnd"/>
      <w:r>
        <w:rPr>
          <w:rFonts w:ascii="Times New Roman" w:eastAsia="Aptos" w:hAnsi="Times New Roman" w:cs="Times New Roman"/>
          <w:kern w:val="0"/>
          <w14:ligatures w14:val="none"/>
        </w:rPr>
        <w:t xml:space="preserve"> 30 June 2025 women accounted for 33% of officers and 62% of civil employees (women accounted for 38% of the entire Border Guard personnel).</w:t>
      </w:r>
    </w:p>
    <w:p w14:paraId="42A336E8" w14:textId="77777777" w:rsidR="004709F6" w:rsidRPr="008F53DA" w:rsidRDefault="004709F6" w:rsidP="004709F6">
      <w:pPr>
        <w:rPr>
          <w:rFonts w:ascii="Times New Roman" w:hAnsi="Times New Roman" w:cs="Times New Roman"/>
        </w:rPr>
      </w:pPr>
    </w:p>
    <w:p w14:paraId="15575575" w14:textId="5BF2FEA7" w:rsidR="008E5FA2" w:rsidRDefault="008E5FA2">
      <w:r>
        <w:br w:type="page"/>
      </w:r>
    </w:p>
    <w:p w14:paraId="353AA3CE" w14:textId="77777777" w:rsidR="008E5FA2"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Appendix 12</w:t>
      </w:r>
    </w:p>
    <w:p w14:paraId="25AAF85E" w14:textId="77777777" w:rsidR="008E5FA2" w:rsidRDefault="008E5FA2" w:rsidP="008E5FA2">
      <w:pPr>
        <w:spacing w:after="0" w:line="240" w:lineRule="auto"/>
        <w:jc w:val="both"/>
        <w:rPr>
          <w:rFonts w:ascii="Times New Roman" w:eastAsia="Times New Roman" w:hAnsi="Times New Roman" w:cs="Times New Roman"/>
          <w:kern w:val="0"/>
          <w14:ligatures w14:val="none"/>
        </w:rPr>
      </w:pPr>
    </w:p>
    <w:p w14:paraId="2B070285"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following implementing acts contribute to improving the standard of participation of wronged parties in court proceedings:</w:t>
      </w:r>
    </w:p>
    <w:p w14:paraId="46F87006"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bookmarkStart w:id="2" w:name="_Hlk203250072"/>
      <w:r>
        <w:rPr>
          <w:rFonts w:ascii="Times New Roman" w:eastAsia="Times New Roman" w:hAnsi="Times New Roman" w:cs="Times New Roman"/>
          <w:kern w:val="0"/>
          <w14:ligatures w14:val="none"/>
        </w:rPr>
        <w:t>1.           Regulation of the Minister of Justice of 29 July 2024 on the method of ensuring child representation by a child representative (Journal of Laws of 2024, item 1159)</w:t>
      </w:r>
    </w:p>
    <w:p w14:paraId="43EE6980"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2" w:history="1">
        <w:r>
          <w:rPr>
            <w:rFonts w:ascii="Times New Roman" w:eastAsia="Times New Roman" w:hAnsi="Times New Roman" w:cs="Times New Roman"/>
            <w:color w:val="0000FF"/>
            <w:kern w:val="0"/>
            <w:u w:val="single"/>
            <w14:ligatures w14:val="none"/>
          </w:rPr>
          <w:t>https://isap.sejm.gov.pl/isap.nsf/DocDetails.xsp?id=WDU20240001159</w:t>
        </w:r>
      </w:hyperlink>
      <w:r>
        <w:rPr>
          <w:rFonts w:ascii="Times New Roman" w:eastAsia="Times New Roman" w:hAnsi="Times New Roman" w:cs="Times New Roman"/>
          <w:kern w:val="0"/>
          <w14:ligatures w14:val="none"/>
        </w:rPr>
        <w:t xml:space="preserve"> </w:t>
      </w:r>
    </w:p>
    <w:p w14:paraId="2C522CBE"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           Regulation of the Minister of Justice of 21 October 2024 on the method of preparing and conducting the hearing of a child and the conditions to be met by premises intended for conducting such hearings (Journal of Laws of 2024, item 1579)</w:t>
      </w:r>
    </w:p>
    <w:p w14:paraId="678B354F"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3" w:history="1">
        <w:r>
          <w:rPr>
            <w:rFonts w:ascii="Times New Roman" w:eastAsia="Times New Roman" w:hAnsi="Times New Roman" w:cs="Times New Roman"/>
            <w:color w:val="0000FF"/>
            <w:kern w:val="0"/>
            <w:u w:val="single"/>
            <w14:ligatures w14:val="none"/>
          </w:rPr>
          <w:t>https://isap.sejm.gov.pl/isap.nsf/DocDetails.xsp?id=WDU20240001579</w:t>
        </w:r>
      </w:hyperlink>
    </w:p>
    <w:p w14:paraId="6289120E"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           Regulation of the Minister of Justice of 7 November 2024 on the specification of templates for written instructions on the rights and obligations of the suspect, wronged party and witness (Journal of Laws of 2024, item 1658)</w:t>
      </w:r>
    </w:p>
    <w:p w14:paraId="3F8694AD"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4" w:history="1">
        <w:r>
          <w:rPr>
            <w:rFonts w:ascii="Times New Roman" w:eastAsia="Times New Roman" w:hAnsi="Times New Roman" w:cs="Times New Roman"/>
            <w:color w:val="0000FF"/>
            <w:kern w:val="0"/>
            <w:u w:val="single"/>
            <w14:ligatures w14:val="none"/>
          </w:rPr>
          <w:t>https://isap.sejm.gov.pl/isap.nsf/DocDetails.xsp?id=WDU20240001658</w:t>
        </w:r>
      </w:hyperlink>
    </w:p>
    <w:p w14:paraId="290298C6"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           Regulation of the Minister of Justice of 7 November 2024 on the specification of templates for written explanations for the suspect, wronged party and witness regarding the scope of their rights and obligations and the manner and conditions of hearings and questioning (Journal of Laws of 2024, item 1659)</w:t>
      </w:r>
    </w:p>
    <w:p w14:paraId="63ABBB4B"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5" w:history="1">
        <w:r>
          <w:rPr>
            <w:rFonts w:ascii="Times New Roman" w:eastAsia="Times New Roman" w:hAnsi="Times New Roman" w:cs="Times New Roman"/>
            <w:color w:val="0000FF"/>
            <w:kern w:val="0"/>
            <w:u w:val="single"/>
            <w14:ligatures w14:val="none"/>
          </w:rPr>
          <w:t>https://isap.sejm.gov.pl/isap.nsf/DocDetails.xsp?id=WDU20240001659</w:t>
        </w:r>
      </w:hyperlink>
    </w:p>
    <w:p w14:paraId="4E3D2481"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           Regulation of the Minister of Justice of 22 September 2024 on the method of preparing and conducting questioning in accordance with Articles 185a-185c and 185e of the Code of Criminal Procedure and the conditions to be met by rooms intended for conducting such questioning (Journal of Laws of 2024, item 1477)</w:t>
      </w:r>
    </w:p>
    <w:p w14:paraId="1AAE5729"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6" w:history="1">
        <w:r>
          <w:rPr>
            <w:rFonts w:ascii="Times New Roman" w:eastAsia="Times New Roman" w:hAnsi="Times New Roman" w:cs="Times New Roman"/>
            <w:color w:val="0000FF"/>
            <w:kern w:val="0"/>
            <w:u w:val="single"/>
            <w14:ligatures w14:val="none"/>
          </w:rPr>
          <w:t>https://isap.sejm.gov.pl/isap.nsf/DocDetails.xsp?id=WDU20240001477</w:t>
        </w:r>
      </w:hyperlink>
      <w:r>
        <w:rPr>
          <w:rFonts w:ascii="Times New Roman" w:eastAsia="Times New Roman" w:hAnsi="Times New Roman" w:cs="Times New Roman"/>
          <w:kern w:val="0"/>
          <w14:ligatures w14:val="none"/>
        </w:rPr>
        <w:t xml:space="preserve">  </w:t>
      </w:r>
    </w:p>
    <w:p w14:paraId="2D5281C2"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           Regulation of the Minister of Justice of 31 October 2024 on specifying templates for information on the course, method and conditions of questioning a suspect and hearing a witness under 18 years of age (Journal of Laws of 2024, item 1645)</w:t>
      </w:r>
    </w:p>
    <w:p w14:paraId="5148BC5A"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7" w:history="1">
        <w:r>
          <w:rPr>
            <w:rFonts w:ascii="Times New Roman" w:eastAsia="Times New Roman" w:hAnsi="Times New Roman" w:cs="Times New Roman"/>
            <w:color w:val="0000FF"/>
            <w:kern w:val="0"/>
            <w:u w:val="single"/>
            <w14:ligatures w14:val="none"/>
          </w:rPr>
          <w:t>https://isap.sejm.gov.pl/isap.nsf/DocDetails.xsp?id=WDU20240001645</w:t>
        </w:r>
      </w:hyperlink>
      <w:r>
        <w:rPr>
          <w:rFonts w:ascii="Times New Roman" w:eastAsia="Times New Roman" w:hAnsi="Times New Roman" w:cs="Times New Roman"/>
          <w:kern w:val="0"/>
          <w14:ligatures w14:val="none"/>
        </w:rPr>
        <w:t xml:space="preserve"> </w:t>
      </w:r>
    </w:p>
    <w:p w14:paraId="6E6EB078"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7. Regulation of the Minister of Justice of 13 January 2025 on the specification of templates for information about the course, method and conditions of questioning for persons questioned in the procedure specified in Articles 185a and 185c of the Code of Criminal Procedure and Article 185e of the Code of Criminal Procedure (Journal of Laws of 2025, item 59) </w:t>
      </w:r>
    </w:p>
    <w:p w14:paraId="2774DB63"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8" w:history="1">
        <w:r>
          <w:rPr>
            <w:rFonts w:ascii="Times New Roman" w:eastAsia="Times New Roman" w:hAnsi="Times New Roman" w:cs="Times New Roman"/>
            <w:color w:val="0000FF"/>
            <w:kern w:val="0"/>
            <w:u w:val="single"/>
            <w14:ligatures w14:val="none"/>
          </w:rPr>
          <w:t>https://isap.sejm.gov.pl/isap.nsf/DocDetails.xsp?id=WDU20250000059</w:t>
        </w:r>
      </w:hyperlink>
      <w:r>
        <w:rPr>
          <w:rFonts w:ascii="Times New Roman" w:eastAsia="Times New Roman" w:hAnsi="Times New Roman" w:cs="Times New Roman"/>
          <w:kern w:val="0"/>
          <w14:ligatures w14:val="none"/>
        </w:rPr>
        <w:t xml:space="preserve">  </w:t>
      </w:r>
    </w:p>
    <w:p w14:paraId="49113F1A"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 Regulation of the Minister of Justice of 2 February 2025 on the specification of the template for the individual assessment questionnaire for the wronged party and the witness (Journal of Laws of 2025, item 161)</w:t>
      </w:r>
    </w:p>
    <w:p w14:paraId="35AEB5FE"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hyperlink r:id="rId19" w:history="1">
        <w:r>
          <w:rPr>
            <w:rFonts w:ascii="Times New Roman" w:eastAsia="Times New Roman" w:hAnsi="Times New Roman" w:cs="Times New Roman"/>
            <w:color w:val="0000FF"/>
            <w:kern w:val="0"/>
            <w:u w:val="single"/>
            <w14:ligatures w14:val="none"/>
          </w:rPr>
          <w:t>https://isap.sejm.gov.pl/isap.nsf/DocDetails.xsp?id=WDU20250000161</w:t>
        </w:r>
      </w:hyperlink>
      <w:r>
        <w:rPr>
          <w:rFonts w:ascii="Times New Roman" w:eastAsia="Times New Roman" w:hAnsi="Times New Roman" w:cs="Times New Roman"/>
          <w:kern w:val="0"/>
          <w14:ligatures w14:val="none"/>
        </w:rPr>
        <w:t xml:space="preserve">     </w:t>
      </w:r>
    </w:p>
    <w:p w14:paraId="0A889A2F"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bookmarkStart w:id="3" w:name="_Hlk203298083"/>
      <w:r>
        <w:rPr>
          <w:rFonts w:ascii="Times New Roman" w:eastAsia="Times New Roman" w:hAnsi="Times New Roman" w:cs="Times New Roman"/>
          <w:kern w:val="0"/>
          <w14:ligatures w14:val="none"/>
        </w:rPr>
        <w:t xml:space="preserve">The draft regulations were prepared in close cooperation with the Institute of Justice. Expert works preceding such preparations were carried out from November 2023 to March 2024, and involved expert psychologist and sex therapist, experts in the field of augmentative and alternative communication, representatives of the UNICEF Refugee Response Office in Poland, and non-governmental organisations. </w:t>
      </w:r>
    </w:p>
    <w:p w14:paraId="358FA670" w14:textId="77777777" w:rsidR="008E5FA2" w:rsidRPr="00987350" w:rsidRDefault="008E5FA2" w:rsidP="008E5FA2">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Representatives of the Polish Association for People with Intellectual Disability were involved in the works on the Regulations mentioned in </w:t>
      </w:r>
      <w:proofErr w:type="spellStart"/>
      <w:r>
        <w:rPr>
          <w:rFonts w:ascii="Times New Roman" w:eastAsia="Times New Roman" w:hAnsi="Times New Roman" w:cs="Times New Roman"/>
          <w:kern w:val="0"/>
          <w14:ligatures w14:val="none"/>
        </w:rPr>
        <w:t>subpara</w:t>
      </w:r>
      <w:proofErr w:type="spellEnd"/>
      <w:r>
        <w:rPr>
          <w:rFonts w:ascii="Times New Roman" w:eastAsia="Times New Roman" w:hAnsi="Times New Roman" w:cs="Times New Roman"/>
          <w:kern w:val="0"/>
          <w14:ligatures w14:val="none"/>
        </w:rPr>
        <w:t>. 4 and 7.</w:t>
      </w:r>
    </w:p>
    <w:p w14:paraId="62F0D45A" w14:textId="77777777" w:rsidR="008E5FA2" w:rsidRPr="00A11BB5" w:rsidRDefault="008E5FA2" w:rsidP="008E5FA2">
      <w:pPr>
        <w:spacing w:after="0" w:line="240" w:lineRule="auto"/>
        <w:jc w:val="both"/>
      </w:pPr>
      <w:r>
        <w:rPr>
          <w:rFonts w:ascii="Times New Roman" w:eastAsia="Times New Roman" w:hAnsi="Times New Roman" w:cs="Times New Roman"/>
          <w:kern w:val="0"/>
          <w14:ligatures w14:val="none"/>
        </w:rPr>
        <w:t xml:space="preserve">Regulations on the hearing and questioning are supplemented by the following publications: AAC VADEMECUM – communicating with persons with complex communication needs; Boards which support conversation during questioning of a witness using AAC; Materials for children and people with speech comprehension difficulties, with AAC symbols that prepare them for a meeting with the judiciary. </w:t>
      </w:r>
      <w:hyperlink r:id="rId20" w:history="1">
        <w:r>
          <w:rPr>
            <w:rFonts w:ascii="Times New Roman" w:eastAsia="Times New Roman" w:hAnsi="Times New Roman" w:cs="Times New Roman"/>
            <w:color w:val="0000FF"/>
            <w:kern w:val="0"/>
            <w:u w:val="single"/>
            <w14:ligatures w14:val="none"/>
          </w:rPr>
          <w:t>https://www.gov.pl/web/sprawiedliwosc/warto-wiedziec</w:t>
        </w:r>
      </w:hyperlink>
      <w:bookmarkEnd w:id="2"/>
      <w:bookmarkEnd w:id="3"/>
    </w:p>
    <w:p w14:paraId="5E498A33" w14:textId="77777777" w:rsidR="00B7440F" w:rsidRPr="00A11BB5" w:rsidRDefault="00B7440F" w:rsidP="00B7440F">
      <w:pPr>
        <w:spacing w:after="0" w:line="240" w:lineRule="auto"/>
        <w:jc w:val="both"/>
        <w:rPr>
          <w:rFonts w:ascii="Times New Roman" w:hAnsi="Times New Roman" w:cs="Times New Roman"/>
        </w:rPr>
      </w:pPr>
      <w:r>
        <w:rPr>
          <w:rFonts w:ascii="Times New Roman" w:hAnsi="Times New Roman" w:cs="Times New Roman"/>
        </w:rPr>
        <w:t>Appendix 13</w:t>
      </w:r>
    </w:p>
    <w:p w14:paraId="4647A709" w14:textId="77777777" w:rsidR="00B7440F" w:rsidRPr="00A11BB5" w:rsidRDefault="00B7440F" w:rsidP="00B7440F">
      <w:pPr>
        <w:spacing w:after="0" w:line="240" w:lineRule="auto"/>
        <w:jc w:val="both"/>
        <w:rPr>
          <w:rFonts w:ascii="Times New Roman" w:hAnsi="Times New Roman" w:cs="Times New Roman"/>
        </w:rPr>
      </w:pPr>
    </w:p>
    <w:p w14:paraId="45DFDC4F"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Women who were victims of domestic violence may seek help provided in the Networks of Support for Victims of Crime. This help is financed from the Victims’ Support and Post-Penitentiary Assistance Fund of the Justice Fund. Places where help can be sought and opening hours are available at:</w:t>
      </w:r>
    </w:p>
    <w:p w14:paraId="3813ACF3"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hyperlink r:id="rId21" w:history="1">
        <w:r>
          <w:rPr>
            <w:rFonts w:ascii="Times New Roman" w:eastAsia="Times New Roman" w:hAnsi="Times New Roman" w:cs="Times New Roman"/>
            <w:color w:val="0000FF"/>
            <w:kern w:val="0"/>
            <w:u w:val="single"/>
            <w14:ligatures w14:val="none"/>
          </w:rPr>
          <w:t>https://www.funduszsprawiedliwosci.gov.pl/pl/znajdz-osrodek-pomocy/</w:t>
        </w:r>
      </w:hyperlink>
    </w:p>
    <w:p w14:paraId="65DEAF7B"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p>
    <w:p w14:paraId="2AFEED48"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Victims of domestic violence may seek the following help:</w:t>
      </w:r>
    </w:p>
    <w:p w14:paraId="10E1B6B4"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 organisation and financing of legal services, including alternative conflict resolution </w:t>
      </w:r>
      <w:proofErr w:type="gramStart"/>
      <w:r>
        <w:rPr>
          <w:rFonts w:ascii="Times New Roman" w:eastAsia="Times New Roman" w:hAnsi="Times New Roman" w:cs="Times New Roman"/>
          <w:kern w:val="0"/>
          <w14:ligatures w14:val="none"/>
        </w:rPr>
        <w:t>methods;</w:t>
      </w:r>
      <w:proofErr w:type="gramEnd"/>
    </w:p>
    <w:p w14:paraId="3E2ADF2C"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2) organisation and financing of interpreter’s assistance to provide legal services to an eligible person if such a person has insufficient command of the Polish language, until the preparatory proceedings are </w:t>
      </w:r>
      <w:proofErr w:type="gramStart"/>
      <w:r>
        <w:rPr>
          <w:rFonts w:ascii="Times New Roman" w:eastAsia="Times New Roman" w:hAnsi="Times New Roman" w:cs="Times New Roman"/>
          <w:kern w:val="0"/>
          <w14:ligatures w14:val="none"/>
        </w:rPr>
        <w:t>initiated;</w:t>
      </w:r>
      <w:proofErr w:type="gramEnd"/>
    </w:p>
    <w:p w14:paraId="0DC07547"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 organisation and financing of assistance provided by a sign language interpreter or a guide-interpreter to provide legal </w:t>
      </w:r>
      <w:proofErr w:type="gramStart"/>
      <w:r>
        <w:rPr>
          <w:rFonts w:ascii="Times New Roman" w:eastAsia="Times New Roman" w:hAnsi="Times New Roman" w:cs="Times New Roman"/>
          <w:kern w:val="0"/>
          <w14:ligatures w14:val="none"/>
        </w:rPr>
        <w:t>services;</w:t>
      </w:r>
      <w:proofErr w:type="gramEnd"/>
    </w:p>
    <w:p w14:paraId="2B5FD38D"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4) covering the costs of psychotherapy, psychiatric or psychological </w:t>
      </w:r>
      <w:proofErr w:type="gramStart"/>
      <w:r>
        <w:rPr>
          <w:rFonts w:ascii="Times New Roman" w:eastAsia="Times New Roman" w:hAnsi="Times New Roman" w:cs="Times New Roman"/>
          <w:kern w:val="0"/>
          <w14:ligatures w14:val="none"/>
        </w:rPr>
        <w:t>help;</w:t>
      </w:r>
      <w:proofErr w:type="gramEnd"/>
    </w:p>
    <w:p w14:paraId="164388E3"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5) organisation and financing of assistance provided by a person of first </w:t>
      </w:r>
      <w:proofErr w:type="gramStart"/>
      <w:r>
        <w:rPr>
          <w:rFonts w:ascii="Times New Roman" w:eastAsia="Times New Roman" w:hAnsi="Times New Roman" w:cs="Times New Roman"/>
          <w:kern w:val="0"/>
          <w14:ligatures w14:val="none"/>
        </w:rPr>
        <w:t>contact;</w:t>
      </w:r>
      <w:proofErr w:type="gramEnd"/>
    </w:p>
    <w:p w14:paraId="37E73CF0"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6) covering the costs of health benefits and medicines to the extent the medicine is not reimbursed or in the part in which it is not reimbursed, medical devices including dressings, orthopaedic devices and auxiliary aids, to the extent necessary in the treatment process for the injury resulting from an offence or consequences </w:t>
      </w:r>
      <w:proofErr w:type="gramStart"/>
      <w:r>
        <w:rPr>
          <w:rFonts w:ascii="Times New Roman" w:eastAsia="Times New Roman" w:hAnsi="Times New Roman" w:cs="Times New Roman"/>
          <w:kern w:val="0"/>
          <w14:ligatures w14:val="none"/>
        </w:rPr>
        <w:t>thereof;</w:t>
      </w:r>
      <w:proofErr w:type="gramEnd"/>
    </w:p>
    <w:p w14:paraId="3D19A02D"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7) covering the costs of public school and nursery school education, also as part of tutoring, accordingly to the age and educational needs of eligible </w:t>
      </w:r>
      <w:proofErr w:type="gramStart"/>
      <w:r>
        <w:rPr>
          <w:rFonts w:ascii="Times New Roman" w:eastAsia="Times New Roman" w:hAnsi="Times New Roman" w:cs="Times New Roman"/>
          <w:kern w:val="0"/>
          <w14:ligatures w14:val="none"/>
        </w:rPr>
        <w:t>persons;</w:t>
      </w:r>
      <w:proofErr w:type="gramEnd"/>
    </w:p>
    <w:p w14:paraId="1B22A1C9"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 covering the costs of caring for children in crèches and children clubs run by municipalities under the Act of 4 February 2011 on Caring for Children Aged 3 or Under (Journal of Laws of 2024 item 338, 743 and 858</w:t>
      </w:r>
      <w:proofErr w:type="gramStart"/>
      <w:r>
        <w:rPr>
          <w:rFonts w:ascii="Times New Roman" w:eastAsia="Times New Roman" w:hAnsi="Times New Roman" w:cs="Times New Roman"/>
          <w:kern w:val="0"/>
          <w14:ligatures w14:val="none"/>
        </w:rPr>
        <w:t>);</w:t>
      </w:r>
      <w:proofErr w:type="gramEnd"/>
    </w:p>
    <w:p w14:paraId="1AA561C8"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9) organisation and financing of training and courses to improve professional qualifications and covering the costs of examination that confirm professional </w:t>
      </w:r>
      <w:proofErr w:type="gramStart"/>
      <w:r>
        <w:rPr>
          <w:rFonts w:ascii="Times New Roman" w:eastAsia="Times New Roman" w:hAnsi="Times New Roman" w:cs="Times New Roman"/>
          <w:kern w:val="0"/>
          <w14:ligatures w14:val="none"/>
        </w:rPr>
        <w:t>qualifications;</w:t>
      </w:r>
      <w:proofErr w:type="gramEnd"/>
    </w:p>
    <w:p w14:paraId="55A4ED41"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10) covering the costs of temporary accommodation of shelter </w:t>
      </w:r>
      <w:proofErr w:type="gramStart"/>
      <w:r>
        <w:rPr>
          <w:rFonts w:ascii="Times New Roman" w:eastAsia="Times New Roman" w:hAnsi="Times New Roman" w:cs="Times New Roman"/>
          <w:kern w:val="0"/>
          <w14:ligatures w14:val="none"/>
        </w:rPr>
        <w:t>provided;</w:t>
      </w:r>
      <w:proofErr w:type="gramEnd"/>
    </w:p>
    <w:p w14:paraId="332EA7E9"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11) financing of regular surcharges to current rent and bills for heating, electricity, gas, water, fuel, removal of liquid and solid waste from a flat or detached house to which the eligible person holds a legal title, proportionately to the number of persons residing in the flat or house on a regular </w:t>
      </w:r>
      <w:proofErr w:type="gramStart"/>
      <w:r>
        <w:rPr>
          <w:rFonts w:ascii="Times New Roman" w:eastAsia="Times New Roman" w:hAnsi="Times New Roman" w:cs="Times New Roman"/>
          <w:kern w:val="0"/>
          <w14:ligatures w14:val="none"/>
        </w:rPr>
        <w:t>basis;</w:t>
      </w:r>
      <w:proofErr w:type="gramEnd"/>
    </w:p>
    <w:p w14:paraId="1FEC728F"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12) conversion of a residential unit or detached house to the needs of the victim of crime if the victim is physically impaired </w:t>
      </w:r>
      <w:proofErr w:type="gramStart"/>
      <w:r>
        <w:rPr>
          <w:rFonts w:ascii="Times New Roman" w:eastAsia="Times New Roman" w:hAnsi="Times New Roman" w:cs="Times New Roman"/>
          <w:kern w:val="0"/>
          <w14:ligatures w14:val="none"/>
        </w:rPr>
        <w:t>as a result of</w:t>
      </w:r>
      <w:proofErr w:type="gramEnd"/>
      <w:r>
        <w:rPr>
          <w:rFonts w:ascii="Times New Roman" w:eastAsia="Times New Roman" w:hAnsi="Times New Roman" w:cs="Times New Roman"/>
          <w:kern w:val="0"/>
          <w14:ligatures w14:val="none"/>
        </w:rPr>
        <w:t xml:space="preserve"> the </w:t>
      </w:r>
      <w:proofErr w:type="gramStart"/>
      <w:r>
        <w:rPr>
          <w:rFonts w:ascii="Times New Roman" w:eastAsia="Times New Roman" w:hAnsi="Times New Roman" w:cs="Times New Roman"/>
          <w:kern w:val="0"/>
          <w14:ligatures w14:val="none"/>
        </w:rPr>
        <w:t>offence;</w:t>
      </w:r>
      <w:proofErr w:type="gramEnd"/>
    </w:p>
    <w:p w14:paraId="4CF3946A"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13) financing of travel by means of public communication or payment for the costs of transport related to obtaining of benefits and dealing with matters referred to in </w:t>
      </w:r>
      <w:proofErr w:type="spellStart"/>
      <w:r>
        <w:rPr>
          <w:rFonts w:ascii="Times New Roman" w:eastAsia="Times New Roman" w:hAnsi="Times New Roman" w:cs="Times New Roman"/>
          <w:kern w:val="0"/>
          <w14:ligatures w14:val="none"/>
        </w:rPr>
        <w:t>subpara</w:t>
      </w:r>
      <w:proofErr w:type="spellEnd"/>
      <w:r>
        <w:rPr>
          <w:rFonts w:ascii="Times New Roman" w:eastAsia="Times New Roman" w:hAnsi="Times New Roman" w:cs="Times New Roman"/>
          <w:kern w:val="0"/>
          <w14:ligatures w14:val="none"/>
        </w:rPr>
        <w:t xml:space="preserve">. </w:t>
      </w:r>
      <w:proofErr w:type="gramStart"/>
      <w:r>
        <w:rPr>
          <w:rFonts w:ascii="Times New Roman" w:eastAsia="Times New Roman" w:hAnsi="Times New Roman" w:cs="Times New Roman"/>
          <w:kern w:val="0"/>
          <w14:ligatures w14:val="none"/>
        </w:rPr>
        <w:t>1-10;</w:t>
      </w:r>
      <w:proofErr w:type="gramEnd"/>
    </w:p>
    <w:p w14:paraId="379196C0"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14) covering the costs of food or food </w:t>
      </w:r>
      <w:proofErr w:type="gramStart"/>
      <w:r>
        <w:rPr>
          <w:rFonts w:ascii="Times New Roman" w:eastAsia="Times New Roman" w:hAnsi="Times New Roman" w:cs="Times New Roman"/>
          <w:kern w:val="0"/>
          <w14:ligatures w14:val="none"/>
        </w:rPr>
        <w:t>vouchers;</w:t>
      </w:r>
      <w:proofErr w:type="gramEnd"/>
    </w:p>
    <w:p w14:paraId="67512155"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15) covering the costs of purchase of clothes, underwear, footwear, cleaning agents and personal hygiene </w:t>
      </w:r>
      <w:proofErr w:type="gramStart"/>
      <w:r>
        <w:rPr>
          <w:rFonts w:ascii="Times New Roman" w:eastAsia="Times New Roman" w:hAnsi="Times New Roman" w:cs="Times New Roman"/>
          <w:kern w:val="0"/>
          <w14:ligatures w14:val="none"/>
        </w:rPr>
        <w:t>products;</w:t>
      </w:r>
      <w:proofErr w:type="gramEnd"/>
    </w:p>
    <w:p w14:paraId="2E78B510"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16) financing the costs of organised travel of an eligible </w:t>
      </w:r>
      <w:proofErr w:type="gramStart"/>
      <w:r>
        <w:rPr>
          <w:rFonts w:ascii="Times New Roman" w:eastAsia="Times New Roman" w:hAnsi="Times New Roman" w:cs="Times New Roman"/>
          <w:kern w:val="0"/>
          <w14:ligatures w14:val="none"/>
        </w:rPr>
        <w:t>minor;</w:t>
      </w:r>
      <w:proofErr w:type="gramEnd"/>
    </w:p>
    <w:p w14:paraId="67C6F1F7"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17) financing the costs of travel:</w:t>
      </w:r>
    </w:p>
    <w:p w14:paraId="563D71B0"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 of the eligible person with a minor under their care,</w:t>
      </w:r>
    </w:p>
    <w:p w14:paraId="0E3F486E"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 of the eligible minor with the person taking care of the minor</w:t>
      </w:r>
    </w:p>
    <w:p w14:paraId="2CCA4F1F"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during which help referred to in </w:t>
      </w:r>
      <w:proofErr w:type="spellStart"/>
      <w:r>
        <w:rPr>
          <w:rFonts w:ascii="Times New Roman" w:eastAsia="Times New Roman" w:hAnsi="Times New Roman" w:cs="Times New Roman"/>
          <w:kern w:val="0"/>
          <w14:ligatures w14:val="none"/>
        </w:rPr>
        <w:t>subpara</w:t>
      </w:r>
      <w:proofErr w:type="spellEnd"/>
      <w:r>
        <w:rPr>
          <w:rFonts w:ascii="Times New Roman" w:eastAsia="Times New Roman" w:hAnsi="Times New Roman" w:cs="Times New Roman"/>
          <w:kern w:val="0"/>
          <w14:ligatures w14:val="none"/>
        </w:rPr>
        <w:t xml:space="preserve">. 4 will be </w:t>
      </w:r>
      <w:proofErr w:type="gramStart"/>
      <w:r>
        <w:rPr>
          <w:rFonts w:ascii="Times New Roman" w:eastAsia="Times New Roman" w:hAnsi="Times New Roman" w:cs="Times New Roman"/>
          <w:kern w:val="0"/>
          <w14:ligatures w14:val="none"/>
        </w:rPr>
        <w:t>granted;</w:t>
      </w:r>
      <w:proofErr w:type="gramEnd"/>
    </w:p>
    <w:p w14:paraId="684A23B6"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18) financing of construction works referred to in the Act of 7 July 1994 on the Building Law (Journal of Laws of 2024 item 725, 834 and 1222), including preparations for performance of the construction works, in particular the costs of preparing design documentation, preparation of the land to be developed, expert opinions, certificates, valuation surveys, geological works necessary to perform the goals arising out of the Act;</w:t>
      </w:r>
    </w:p>
    <w:p w14:paraId="7F48F9F2"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19) purchasing devices and </w:t>
      </w:r>
      <w:proofErr w:type="gramStart"/>
      <w:r>
        <w:rPr>
          <w:rFonts w:ascii="Times New Roman" w:eastAsia="Times New Roman" w:hAnsi="Times New Roman" w:cs="Times New Roman"/>
          <w:kern w:val="0"/>
          <w14:ligatures w14:val="none"/>
        </w:rPr>
        <w:t>equipment;</w:t>
      </w:r>
      <w:proofErr w:type="gramEnd"/>
    </w:p>
    <w:p w14:paraId="2DA9AA48" w14:textId="77777777" w:rsidR="00B7440F" w:rsidRPr="00FA3697" w:rsidRDefault="00B7440F" w:rsidP="00B7440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20) purchasing intangible assets. </w:t>
      </w:r>
    </w:p>
    <w:p w14:paraId="60F65F40" w14:textId="77777777" w:rsidR="00B7440F" w:rsidRPr="00FA3697" w:rsidRDefault="00B7440F" w:rsidP="00B7440F">
      <w:pPr>
        <w:spacing w:after="0" w:line="240" w:lineRule="auto"/>
        <w:jc w:val="both"/>
        <w:rPr>
          <w:rFonts w:ascii="Times New Roman" w:eastAsia="Aptos" w:hAnsi="Times New Roman" w:cs="Times New Roman"/>
          <w14:ligatures w14:val="none"/>
        </w:rPr>
      </w:pPr>
    </w:p>
    <w:p w14:paraId="66B104F2" w14:textId="77777777" w:rsidR="00B7440F" w:rsidRPr="00987350" w:rsidRDefault="00B7440F" w:rsidP="00B7440F">
      <w:pPr>
        <w:spacing w:after="0" w:line="240" w:lineRule="auto"/>
        <w:jc w:val="both"/>
        <w:rPr>
          <w:rFonts w:ascii="Times New Roman" w:eastAsia="Times New Roman" w:hAnsi="Times New Roman" w:cs="Times New Roman"/>
          <w:kern w:val="0"/>
          <w14:ligatures w14:val="none"/>
        </w:rPr>
      </w:pPr>
    </w:p>
    <w:p w14:paraId="3017AAEE" w14:textId="77777777" w:rsidR="00B7440F" w:rsidRPr="005B05DC" w:rsidRDefault="00B7440F" w:rsidP="00B7440F"/>
    <w:p w14:paraId="1420466E" w14:textId="1839E32D" w:rsidR="00B7440F" w:rsidRDefault="00B7440F">
      <w:r>
        <w:br w:type="page"/>
      </w:r>
    </w:p>
    <w:p w14:paraId="27123F9E" w14:textId="77777777" w:rsidR="002F55CF"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Annex No. 14</w:t>
      </w:r>
    </w:p>
    <w:p w14:paraId="021F5A22" w14:textId="77777777" w:rsidR="002F55CF" w:rsidRDefault="002F55CF" w:rsidP="002F55CF">
      <w:pPr>
        <w:spacing w:after="0" w:line="240" w:lineRule="auto"/>
        <w:jc w:val="both"/>
        <w:rPr>
          <w:rFonts w:ascii="Times New Roman" w:eastAsia="Aptos" w:hAnsi="Times New Roman" w:cs="Times New Roman"/>
          <w:lang w:val="pl-PL"/>
          <w14:ligatures w14:val="none"/>
        </w:rPr>
      </w:pPr>
    </w:p>
    <w:p w14:paraId="07D173A4" w14:textId="77777777" w:rsidR="002F55CF"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A detained person has the right to information and to receive written instructions regarding the rights of a detainee. These are implemented on the basis of the obligations arising from § 1(1), (3) and (4) of the Regulations on the stay of persons in facilities for persons detained or brought in for the purpose of sobering up, constituting Annex No. 1 to the Regulation on facilities intended for persons detained or brought in for the purpose of sobering up (...). (Journal of Laws 2023, item 1391)</w:t>
      </w:r>
    </w:p>
    <w:p w14:paraId="094E1148"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Under § 1(1) of this Annex, a person admitted to the facility must be immediately informed of:</w:t>
      </w:r>
    </w:p>
    <w:p w14:paraId="12F9B232"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1.</w:t>
      </w:r>
      <w:r>
        <w:rPr>
          <w:rFonts w:ascii="Times New Roman" w:hAnsi="Times New Roman"/>
        </w:rPr>
        <w:tab/>
        <w:t xml:space="preserve">the rights and obligations applicable to them, by being familiarised with these Rules. The person admitted to the facility confirms their familiarisation with the Rules of Stay by signing the Acknowledgement Card concerning the rules of stay in facilities for persons detained or brought in for the purpose of sobering </w:t>
      </w:r>
      <w:proofErr w:type="gramStart"/>
      <w:r>
        <w:rPr>
          <w:rFonts w:ascii="Times New Roman" w:hAnsi="Times New Roman"/>
        </w:rPr>
        <w:t>up;</w:t>
      </w:r>
      <w:proofErr w:type="gramEnd"/>
    </w:p>
    <w:p w14:paraId="1035D17B"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2.</w:t>
      </w:r>
      <w:r>
        <w:rPr>
          <w:rFonts w:ascii="Times New Roman" w:hAnsi="Times New Roman"/>
        </w:rPr>
        <w:tab/>
        <w:t>the presence of monitoring equipment in the room, including devices used to observe and record images, where such devices have been installed.</w:t>
      </w:r>
    </w:p>
    <w:p w14:paraId="7BB219CC"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However, pursuant to § 1(3) of the Rules (...), if contact with the person admitted to the facility is difficult due to a disturbance of consciousness, the activities referred to in section 1 must be performed once the cause justifying the waiver of this obligation has ceased.</w:t>
      </w:r>
    </w:p>
    <w:p w14:paraId="7A949733"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Furthermore, under § 1(4) of the Rules (...), if – due to impaired contact resulting from a disturbance of consciousness – the detained person was not acquainted with the entitlements arising from the Code of Criminal Procedure or other statutes, this activity must be carried out once the cause for waiving the obligation has ceased. The detained person confirms having been informed of the entitlements arising from detention by signing the detention protocol.</w:t>
      </w:r>
    </w:p>
    <w:p w14:paraId="3179758A"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Additionally, pursuant to § 1(2) of the Rules (...), a person admitted to the facility who does not speak the Polish language must be provided with the opportunity to communicate on matters concerning their stay in the facility through an interpreter. Moreover, under § 16(2) of the Regulation on facilities (...), a copy of the Rules and a list of institutions responsible for safeguarding human rights must be placed in the room for persons detained or brought in for the purpose of sobering up, in such a way as to prevent their destruction or their possible use to harm human health. Copies of these regulations, available in Facilities for Detained Persons, have also been translated into foreign languages and are available on the Police website.</w:t>
      </w:r>
    </w:p>
    <w:p w14:paraId="1B9F0C45" w14:textId="77777777" w:rsidR="002F55CF" w:rsidRPr="002D5005" w:rsidRDefault="002F55CF" w:rsidP="002F55CF">
      <w:pPr>
        <w:spacing w:after="0" w:line="240" w:lineRule="auto"/>
        <w:jc w:val="both"/>
        <w:rPr>
          <w:rFonts w:ascii="Times New Roman" w:eastAsia="Aptos" w:hAnsi="Times New Roman" w:cs="Times New Roman"/>
          <w14:ligatures w14:val="none"/>
        </w:rPr>
      </w:pPr>
      <w:r>
        <w:rPr>
          <w:rFonts w:ascii="Times New Roman" w:hAnsi="Times New Roman"/>
        </w:rPr>
        <w:t>In the case of minors placed in an Emergency Youth Centre (</w:t>
      </w:r>
      <w:proofErr w:type="spellStart"/>
      <w:r>
        <w:rPr>
          <w:rFonts w:ascii="Times New Roman" w:hAnsi="Times New Roman"/>
        </w:rPr>
        <w:t>policyjna</w:t>
      </w:r>
      <w:proofErr w:type="spellEnd"/>
      <w:r>
        <w:rPr>
          <w:rFonts w:ascii="Times New Roman" w:hAnsi="Times New Roman"/>
        </w:rPr>
        <w:t xml:space="preserve"> izba </w:t>
      </w:r>
      <w:proofErr w:type="spellStart"/>
      <w:r>
        <w:rPr>
          <w:rFonts w:ascii="Times New Roman" w:hAnsi="Times New Roman"/>
        </w:rPr>
        <w:t>dziecka</w:t>
      </w:r>
      <w:proofErr w:type="spellEnd"/>
      <w:r>
        <w:rPr>
          <w:rFonts w:ascii="Times New Roman" w:hAnsi="Times New Roman"/>
        </w:rPr>
        <w:t>), the above matters are regulated analogously in the same Regulation.</w:t>
      </w:r>
    </w:p>
    <w:p w14:paraId="7FCD043E" w14:textId="41C5BE53" w:rsidR="002F55CF" w:rsidRDefault="002F55CF">
      <w:r>
        <w:br w:type="page"/>
      </w:r>
    </w:p>
    <w:p w14:paraId="262B6D17" w14:textId="77777777" w:rsidR="00A474FB"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15</w:t>
      </w:r>
    </w:p>
    <w:p w14:paraId="6B04C1AD" w14:textId="77777777" w:rsidR="00A474FB" w:rsidRDefault="00A474FB" w:rsidP="00A474FB">
      <w:pPr>
        <w:spacing w:after="0" w:line="240" w:lineRule="auto"/>
        <w:jc w:val="both"/>
        <w:rPr>
          <w:rFonts w:ascii="Times New Roman" w:eastAsia="Aptos" w:hAnsi="Times New Roman" w:cs="Times New Roman"/>
          <w14:ligatures w14:val="none"/>
        </w:rPr>
      </w:pPr>
    </w:p>
    <w:p w14:paraId="3086FE23"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Provisions of the Act of 6 June 1997 on the Executive Criminal Code, hereinafter “Executive Criminal Code” are the normative source of rights and freedoms with respect to execution of judgments in criminal proceedings, proceedings involving fiscal offence and petty offences, and proceedings involving petty offence and disciplinary penalties and coercive measures resulting in imprisonment. They arise from the specific regulations that define rules for the enforcement of sentences and measures enforced pursuant to Article 1 § 1 of the Executive Criminal Code. </w:t>
      </w:r>
    </w:p>
    <w:p w14:paraId="45D05AF5"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rights of persons deprived of liberty to contact their defence counsels or attorney is enshrined in Article 102(7) of the Executive Criminal Code. Upon admission to a penitentiary facility, pursuant to Article 211 § 2 of the Executive Criminal Code, a person detained on remand has the right, as soon as they are placed in pre-trial detention, to notify their next of kin or another person, association, organisation or institution, as well as their </w:t>
      </w:r>
      <w:proofErr w:type="spellStart"/>
      <w:r>
        <w:rPr>
          <w:rFonts w:ascii="Times New Roman" w:eastAsia="Aptos" w:hAnsi="Times New Roman" w:cs="Times New Roman"/>
          <w14:ligatures w14:val="none"/>
        </w:rPr>
        <w:t>defense</w:t>
      </w:r>
      <w:proofErr w:type="spellEnd"/>
      <w:r>
        <w:rPr>
          <w:rFonts w:ascii="Times New Roman" w:eastAsia="Aptos" w:hAnsi="Times New Roman" w:cs="Times New Roman"/>
          <w14:ligatures w14:val="none"/>
        </w:rPr>
        <w:t xml:space="preserve"> attorney, of their location. A foreigner detained on remand also has the right to notify the competent consular office, and in the absence of such an office – the competent diplomatic mission (if the person detained on remand is a stateless person – with the representative of the country in which they have their place of permanent residence). It should also be noted that persons detained on remand, pursuant to Article 215§ 1 of the Executive Criminal Code, are guaranteed the right to communicate with a defence counsel, an attorney who is an attorney-at-law or legal counsel, and a representative who is not an attorney-at-law or legal counsel who has been approved by the President of the Chamber of the European Court of Human Rights to represent the person detained on remand before the ECHR, in the absence of other persons and by correspondence. If the authority at whose disposal the person detained on remand remains reserves the right to be present during the visit or the right for an authorised person to be present during the visit, the visit shall take place in the manner indicated by that authority. It should also be noted that if the person detained on remand is a citizen of a foreign country, they have the right to communicate with the relevant consular office or diplomatic mission, and if the person detained on remand is a stateless person – with the representative of the country in which they have their place of permanent residence, pursuant to Article 215§ 1 of the Executive Criminal Code. </w:t>
      </w:r>
    </w:p>
    <w:p w14:paraId="653E4577"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Another important aspect is the provision of the Code that a person detained on remand must be allowed to become prepared for their defence – Article 215§ 2 of the Executive Criminal Code.</w:t>
      </w:r>
    </w:p>
    <w:p w14:paraId="20FBC59E"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 accordance with Article 217c of the Executive Criminal Code, as a rule persons detained on remand may contact their defence counsel by telephone. The consent of the authority at whose disposal that person remains is required, however, refusal to grant such consent can only be justified by an actual concern that the conversation is used to commit a crime or to unlawfully obstruct criminal proceedings. In Article 217c§ 1a of the amended Executive Criminal Code, the legislator specified the minimum standard of access to telephone conversations between convicted and persons detained on remand and their defence counsels. In accordance with provisions of the Directive, a person detained on remand may use a payphone at least once a week, on dates determined in the internal rules in effect at the remand prison, to contact a defence counsel, an attorney who is an attorney-at-law or legal counsel, and a representative who is not an attorney-at-law or legal counsel who has been approved by the President of the Chamber of the European Court of Human Rights to represent the person detained on remand before ECHR, subject to Article 217c§ 2 and 3 of the Executive Criminal Code. Where particularly reasonable, if the set deadlines for procedural actions indicate the need to immediately use a payphone, the director of the remand prison grants consent to establish contact outside the dates and times set in the internal rules in effect at the remand prison. </w:t>
      </w:r>
    </w:p>
    <w:p w14:paraId="75D8FAA3"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Pursuant to Article 217c§ 1c of the Executive Criminal Code, where particularly reasonable, especially when direct contact is impossible or particularly difficult, or when the need to establish contact results from an urgent life situation, a person detained on remand may use, on the dates and times established in the internal rules in effect at the remand prison, a payphone to contact a person other than the one mentioned in Article 217c§ 1a. Each time the call requires the consent of the authority at whose disposal the person detained on remand remains, issued in the form of an order referred to in Article 217c§ 2 or 3 of the Executive Criminal Code, unless the authority at whose disposal the person detained on remand remains orders otherwise; in such a case, the order is valid until the authority at whose disposal the person detained on remand remains changes; the authority at whose disposal the person detained on remand remains issues an order refusing consent to the person detained on remand to use a payphone or withdraws such a consent unless there is a particularly justified case referred to in the first sentence or in the case referred to in Article 217c§ 2 of the Executive Criminal Code.</w:t>
      </w:r>
    </w:p>
    <w:p w14:paraId="201440EB"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In the legal state in effect since 1 October 2023, correspondence between a person detained on remand and a defence counsel who is an attorney-at-law or a legal counsel is sent directly to the recipient only if the indicated person is a defence counsel appointed or designated in the case in which pre-trial detention was ordered, in accordance with Article 1(84) of the Act of 5 August 2022 Amending the Act on the Executive Criminal Code and Certain Other Acts (Journal of Laws of 2022, item 1855). The remaining correspondence with the indicated persons is sent to the authority at whose disposal the person detained on remand remains, unless the authority orders otherwise (Article 217b§ 1 of the Executive Criminal Code). Correspondence of a person detained on remand is seized, censored or supervised by the authority at whose disposal the person detained on remand remains, unless that authority orders otherwise (Article 217a§ 1 of the Executive Criminal Code).</w:t>
      </w:r>
    </w:p>
    <w:p w14:paraId="440B3B08"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rules of establishing contact between persons deprived of liberty and their family members are governed in national laws, </w:t>
      </w:r>
      <w:proofErr w:type="gramStart"/>
      <w:r>
        <w:rPr>
          <w:rFonts w:ascii="Times New Roman" w:eastAsia="Aptos" w:hAnsi="Times New Roman" w:cs="Times New Roman"/>
          <w14:ligatures w14:val="none"/>
        </w:rPr>
        <w:t>in particular in</w:t>
      </w:r>
      <w:proofErr w:type="gramEnd"/>
      <w:r>
        <w:rPr>
          <w:rFonts w:ascii="Times New Roman" w:eastAsia="Aptos" w:hAnsi="Times New Roman" w:cs="Times New Roman"/>
          <w14:ligatures w14:val="none"/>
        </w:rPr>
        <w:t xml:space="preserve"> the solutions contained in the Executive Criminal Code. These regulations include, among others, Articles 91, 91a, 92, 102, 105, 105a, 138, 139, 141a of the Executive Criminal Code.</w:t>
      </w:r>
    </w:p>
    <w:p w14:paraId="7DE47C91" w14:textId="77777777" w:rsidR="00A474FB" w:rsidRPr="00EC7A70" w:rsidRDefault="00A474FB" w:rsidP="00A474FB">
      <w:pPr>
        <w:spacing w:after="0" w:line="240" w:lineRule="auto"/>
        <w:jc w:val="both"/>
        <w:rPr>
          <w:rFonts w:ascii="Times New Roman" w:eastAsia="Aptos" w:hAnsi="Times New Roman" w:cs="Times New Roman"/>
          <w14:ligatures w14:val="none"/>
        </w:rPr>
      </w:pPr>
      <w:proofErr w:type="gramStart"/>
      <w:r>
        <w:rPr>
          <w:rFonts w:ascii="Times New Roman" w:eastAsia="Aptos" w:hAnsi="Times New Roman" w:cs="Times New Roman"/>
          <w14:ligatures w14:val="none"/>
        </w:rPr>
        <w:t>In order to</w:t>
      </w:r>
      <w:proofErr w:type="gramEnd"/>
      <w:r>
        <w:rPr>
          <w:rFonts w:ascii="Times New Roman" w:eastAsia="Aptos" w:hAnsi="Times New Roman" w:cs="Times New Roman"/>
          <w14:ligatures w14:val="none"/>
        </w:rPr>
        <w:t xml:space="preserve"> facilitate social re-adaptation and especially to prevent reoffences, the legislator stated that convicts and their families should be provided with the necessary assistance. Maintaining relations with family and the outside world is listed in Article 67§ 3 of the Executive Criminal Code as one of the ways of exerting influence on the convicted person </w:t>
      </w:r>
      <w:proofErr w:type="gramStart"/>
      <w:r>
        <w:rPr>
          <w:rFonts w:ascii="Times New Roman" w:eastAsia="Aptos" w:hAnsi="Times New Roman" w:cs="Times New Roman"/>
          <w14:ligatures w14:val="none"/>
        </w:rPr>
        <w:t>in order to</w:t>
      </w:r>
      <w:proofErr w:type="gramEnd"/>
      <w:r>
        <w:rPr>
          <w:rFonts w:ascii="Times New Roman" w:eastAsia="Aptos" w:hAnsi="Times New Roman" w:cs="Times New Roman"/>
          <w14:ligatures w14:val="none"/>
        </w:rPr>
        <w:t xml:space="preserve"> achieve the objectives of the sentence of imprisonment. At the same time, Article 102(2) of the Executive Criminal Code stipulates that maintaining ties with family and other close persons is the rights of a convict. In this respect, telephone contact, guaranteed by Article 105§ 1 of the Executive Criminal Code, remains a special form of support for the convicted person in maintaining relations with their family and closest persons. </w:t>
      </w:r>
    </w:p>
    <w:p w14:paraId="418BBEA3"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Article 105§ 1 of the Executive Criminal Code clarifies that a convict should be allowed to maintain relations mainly with their family and other close persons through visits, correspondence, telephone calls, parcels and money transfers, and where reasonable, with the consent of the prison warden, by other means of communication. It should be stressed that Polish law guarantees the possibility of both direct and indirect contact to the persons deprived of their liberty. Direct contacts include visits from the </w:t>
      </w:r>
      <w:proofErr w:type="gramStart"/>
      <w:r>
        <w:rPr>
          <w:rFonts w:ascii="Times New Roman" w:eastAsia="Aptos" w:hAnsi="Times New Roman" w:cs="Times New Roman"/>
          <w14:ligatures w14:val="none"/>
        </w:rPr>
        <w:t>closes</w:t>
      </w:r>
      <w:proofErr w:type="gramEnd"/>
      <w:r>
        <w:rPr>
          <w:rFonts w:ascii="Times New Roman" w:eastAsia="Aptos" w:hAnsi="Times New Roman" w:cs="Times New Roman"/>
          <w14:ligatures w14:val="none"/>
        </w:rPr>
        <w:t xml:space="preserve"> persons to the penitentiary facility, as well as the temporary leave of the convict from the penitentiary facility under various conditions. Indirect contacts include correspondence, parcel delivery, telephone contact, and online contact, e.g. via an instant messenger.</w:t>
      </w:r>
    </w:p>
    <w:p w14:paraId="291D45B6"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Pursuant to the Act of 5 August 2022 Amending the Act on the Executive Criminal Code and Certain Other Acts (Journal of Laws of 2022, item 1855), a convict has the right to use a payphone at least once a week at their own expense or at the expense of the called party in the manner and on dates established in the internal rules in effect in the prison. The amendment introduced the minimum standard for the number of calls that are guaranteed. It should be mentioned that the essence of the introduced regulation is to guarantee the inmate a minimum frequency of telephone contact, and not to limit its maximum number. </w:t>
      </w:r>
    </w:p>
    <w:p w14:paraId="6308306E"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solutions currently in effect provide that convicts serving a sentence of imprisonment in semi-open prisons (the basic type provided for by the legislator in Article 88§ 1 and §2 of the Executive Criminal Code) and open prisons are guaranteed the right to use payphones </w:t>
      </w:r>
      <w:proofErr w:type="gramStart"/>
      <w:r>
        <w:rPr>
          <w:rFonts w:ascii="Times New Roman" w:eastAsia="Aptos" w:hAnsi="Times New Roman" w:cs="Times New Roman"/>
          <w14:ligatures w14:val="none"/>
        </w:rPr>
        <w:t>on a daily basis</w:t>
      </w:r>
      <w:proofErr w:type="gramEnd"/>
      <w:r>
        <w:rPr>
          <w:rFonts w:ascii="Times New Roman" w:eastAsia="Aptos" w:hAnsi="Times New Roman" w:cs="Times New Roman"/>
          <w14:ligatures w14:val="none"/>
        </w:rPr>
        <w:t xml:space="preserve">. Following the changes introduced in December 2023 at the request of the management of the Ministry of Justice, convicts serving sentences of imprisonment in closed prisons have the right to make calls at least twice a week, which correlates with the technical and staffing capabilities of penitentiary facilities. Considering the </w:t>
      </w:r>
      <w:proofErr w:type="gramStart"/>
      <w:r>
        <w:rPr>
          <w:rFonts w:ascii="Times New Roman" w:eastAsia="Aptos" w:hAnsi="Times New Roman" w:cs="Times New Roman"/>
          <w14:ligatures w14:val="none"/>
        </w:rPr>
        <w:t>particular re-adaptation</w:t>
      </w:r>
      <w:proofErr w:type="gramEnd"/>
      <w:r>
        <w:rPr>
          <w:rFonts w:ascii="Times New Roman" w:eastAsia="Aptos" w:hAnsi="Times New Roman" w:cs="Times New Roman"/>
          <w14:ligatures w14:val="none"/>
        </w:rPr>
        <w:t xml:space="preserve"> value, the catalogue of rewards was extended to include another type of reward in the form of an extra permission to use a payphone at the own cost of the inmate or at the cost of the called party, which may be granted to convicts who display good behaviour while serving their sentences. Such a reward may also be granted to the convict </w:t>
      </w:r>
      <w:proofErr w:type="gramStart"/>
      <w:r>
        <w:rPr>
          <w:rFonts w:ascii="Times New Roman" w:eastAsia="Aptos" w:hAnsi="Times New Roman" w:cs="Times New Roman"/>
          <w14:ligatures w14:val="none"/>
        </w:rPr>
        <w:t>in order to</w:t>
      </w:r>
      <w:proofErr w:type="gramEnd"/>
      <w:r>
        <w:rPr>
          <w:rFonts w:ascii="Times New Roman" w:eastAsia="Aptos" w:hAnsi="Times New Roman" w:cs="Times New Roman"/>
          <w14:ligatures w14:val="none"/>
        </w:rPr>
        <w:t xml:space="preserve"> encourage them to improve their behaviour and, where particularly reasonable given the family or personal circumstances of the convict, may be used as a relief.</w:t>
      </w:r>
    </w:p>
    <w:p w14:paraId="4C36D995"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In addition, it should be stressed that Article 105b§ 1a of the Executive Criminal Code also provides that where particularly reasonable especially when direct contact is impossible or particularly difficult, or when the need to establish contact results from an urgent life situation, the prison warden may grant consent to use a payphone to contact family and other close persons outside the dates and times established in the internal rules in effect in the prison.</w:t>
      </w:r>
    </w:p>
    <w:p w14:paraId="6F45F900"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prison health service fulfils the statutory obligation imposed on the Prison Service to provide health care to persons deprived of their liberty in accordance with the rules specified in Article 115 of the Executive Criminal Code. Persons deprived of liberty have guaranteed access to free health services, medicinal products, and medical devices. There </w:t>
      </w:r>
      <w:proofErr w:type="gramStart"/>
      <w:r>
        <w:rPr>
          <w:rFonts w:ascii="Times New Roman" w:eastAsia="Aptos" w:hAnsi="Times New Roman" w:cs="Times New Roman"/>
          <w14:ligatures w14:val="none"/>
        </w:rPr>
        <w:t>are</w:t>
      </w:r>
      <w:proofErr w:type="gramEnd"/>
      <w:r>
        <w:rPr>
          <w:rFonts w:ascii="Times New Roman" w:eastAsia="Aptos" w:hAnsi="Times New Roman" w:cs="Times New Roman"/>
          <w14:ligatures w14:val="none"/>
        </w:rPr>
        <w:t xml:space="preserve"> treatment facilities for persons deprived of liberty in every penitentiary facility. These include outpatient clinics with infirmaries and prison hospitals. Prison medical facilities co-operate with non-prison facilities in situations where immediate provision of services is necessary in the events of a threat to life or health, the need to carry out specialist examination, treatment or rehabilitation, and during leaves or temporary permission to leave the prison.</w:t>
      </w:r>
    </w:p>
    <w:p w14:paraId="6A6E66F7"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Pursuant to §4.1 of the Regulation of the Minister of Justice of 14 June 2012 on the provision of health services by medical entities for persons deprived of liberty (Journal of Laws of 2024, item 1168), a person deprived of liberty undergoes preliminary examinations, namely subjective (medical history) and objective (physical) examinations immediately upon admission to a prison, but no later than within 3 working days from the date of admission. </w:t>
      </w:r>
    </w:p>
    <w:p w14:paraId="2870F636" w14:textId="77777777" w:rsidR="00A474FB" w:rsidRPr="00EC7A70" w:rsidRDefault="00A474FB" w:rsidP="00A474FB">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Patient rights as defined in the Act of 6 November 2008 on Patient Rights and the Patient Ombudsman (Journal of Laws of 2024, item 581) are respected in prison medical facilities, </w:t>
      </w:r>
      <w:proofErr w:type="gramStart"/>
      <w:r>
        <w:rPr>
          <w:rFonts w:ascii="Times New Roman" w:eastAsia="Aptos" w:hAnsi="Times New Roman" w:cs="Times New Roman"/>
          <w14:ligatures w14:val="none"/>
        </w:rPr>
        <w:t>taking into account</w:t>
      </w:r>
      <w:proofErr w:type="gramEnd"/>
      <w:r>
        <w:rPr>
          <w:rFonts w:ascii="Times New Roman" w:eastAsia="Aptos" w:hAnsi="Times New Roman" w:cs="Times New Roman"/>
          <w14:ligatures w14:val="none"/>
        </w:rPr>
        <w:t xml:space="preserve"> the limitations resulting from the provisions of the Executive Criminal Code.</w:t>
      </w:r>
    </w:p>
    <w:p w14:paraId="10A23F5A" w14:textId="77777777" w:rsidR="00A474FB" w:rsidRPr="00EC7A70" w:rsidRDefault="00A474FB" w:rsidP="00A474FB">
      <w:pPr>
        <w:spacing w:after="0" w:line="240" w:lineRule="auto"/>
        <w:jc w:val="both"/>
        <w:rPr>
          <w:rFonts w:ascii="Times New Roman" w:eastAsia="Aptos" w:hAnsi="Times New Roman" w:cs="Times New Roman"/>
          <w14:ligatures w14:val="none"/>
        </w:rPr>
      </w:pPr>
    </w:p>
    <w:p w14:paraId="3B6508FB" w14:textId="77777777" w:rsidR="00A474FB" w:rsidRPr="00EC7A70" w:rsidRDefault="00A474FB" w:rsidP="00A474FB">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situation of transgender persons in Polish penitentiary institutions and the issues related to respecting the human rights of transgender persons in prisons and remand prisons are viewed as an important issue for the Prison Service. It remains closely linked to the principle of individualisation, which is one of the fundamental principles followed in serving a sentence of imprisonment. As a result, an interdisciplinary team was established within the Central Board of the Prison Service to </w:t>
      </w:r>
      <w:proofErr w:type="spellStart"/>
      <w:r>
        <w:rPr>
          <w:rFonts w:ascii="Times New Roman" w:eastAsia="Times New Roman" w:hAnsi="Times New Roman" w:cs="Times New Roman"/>
          <w:kern w:val="0"/>
          <w14:ligatures w14:val="none"/>
        </w:rPr>
        <w:t>analyze</w:t>
      </w:r>
      <w:proofErr w:type="spellEnd"/>
      <w:r>
        <w:rPr>
          <w:rFonts w:ascii="Times New Roman" w:eastAsia="Times New Roman" w:hAnsi="Times New Roman" w:cs="Times New Roman"/>
          <w:kern w:val="0"/>
          <w14:ligatures w14:val="none"/>
        </w:rPr>
        <w:t xml:space="preserve"> the situation of transgender persons in penitentiary facilities and </w:t>
      </w:r>
      <w:proofErr w:type="gramStart"/>
      <w:r>
        <w:rPr>
          <w:rFonts w:ascii="Times New Roman" w:eastAsia="Times New Roman" w:hAnsi="Times New Roman" w:cs="Times New Roman"/>
          <w:kern w:val="0"/>
          <w14:ligatures w14:val="none"/>
        </w:rPr>
        <w:t>in order to</w:t>
      </w:r>
      <w:proofErr w:type="gramEnd"/>
      <w:r>
        <w:rPr>
          <w:rFonts w:ascii="Times New Roman" w:eastAsia="Times New Roman" w:hAnsi="Times New Roman" w:cs="Times New Roman"/>
          <w:kern w:val="0"/>
          <w14:ligatures w14:val="none"/>
        </w:rPr>
        <w:t xml:space="preserve"> develop standards of conduct in respect of such persons.</w:t>
      </w:r>
    </w:p>
    <w:p w14:paraId="2E16623F" w14:textId="77777777" w:rsidR="00A474FB" w:rsidRPr="003B2239" w:rsidRDefault="00A474FB" w:rsidP="00A474FB"/>
    <w:p w14:paraId="5A234E0B" w14:textId="7358D51D" w:rsidR="00A474FB" w:rsidRDefault="00A474FB">
      <w:r>
        <w:br w:type="page"/>
      </w:r>
    </w:p>
    <w:p w14:paraId="21A894BC" w14:textId="77777777" w:rsidR="00730A3F" w:rsidRPr="008507C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16</w:t>
      </w:r>
    </w:p>
    <w:p w14:paraId="5B5EA951" w14:textId="77777777" w:rsidR="00730A3F" w:rsidRDefault="00730A3F" w:rsidP="00730A3F">
      <w:pPr>
        <w:spacing w:after="0" w:line="240" w:lineRule="auto"/>
        <w:jc w:val="both"/>
        <w:rPr>
          <w:rFonts w:ascii="Times New Roman" w:eastAsia="Aptos" w:hAnsi="Times New Roman" w:cs="Times New Roman"/>
          <w:b/>
          <w:bCs/>
          <w:highlight w:val="yellow"/>
          <w14:ligatures w14:val="none"/>
        </w:rPr>
      </w:pPr>
    </w:p>
    <w:p w14:paraId="59926B08" w14:textId="77777777" w:rsidR="00730A3F" w:rsidRPr="008507C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b/>
          <w:bCs/>
          <w14:ligatures w14:val="none"/>
        </w:rPr>
        <w:t>Vulnerable persons applying for international protection.</w:t>
      </w:r>
    </w:p>
    <w:p w14:paraId="6120ED3E"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If the application for international protection concerns a person who may be a vulnerable person, in particular a minor, a disabled person, an elderly person, a pregnant woman, a single parent, a victim of human trafficking, a bedridden person, a person with mental disorders, a person subjected to torture, a victim of psychological, physical or sexual violence, or a person seeking such a protection due to gender, sexual orientation or gender identity, the Head of the Office evaluates whether such a person is a vulnerable person in the procedure for granting international protection or in the field of welfare. When reviewing an application for international protection in the territory of the Republic of Poland submitted by a foreigner, it is examined whether, based on the information available, the foreigner is a victim of human trafficking (i.e. whether the foreigner was the subject of perpetrator’s conduct as specified in the definition of human trafficking – Article 115 § 22 of the Criminal Code and whether means or methods were used to exploit the person). </w:t>
      </w:r>
    </w:p>
    <w:p w14:paraId="473A4D79" w14:textId="77777777" w:rsidR="00730A3F" w:rsidRPr="00B830B3" w:rsidRDefault="00730A3F" w:rsidP="00730A3F">
      <w:pPr>
        <w:spacing w:after="0" w:line="240" w:lineRule="auto"/>
        <w:jc w:val="both"/>
        <w:rPr>
          <w:rFonts w:ascii="Times New Roman" w:eastAsia="Aptos" w:hAnsi="Times New Roman" w:cs="Times New Roman"/>
          <w14:ligatures w14:val="none"/>
        </w:rPr>
      </w:pPr>
    </w:p>
    <w:p w14:paraId="22BAEEA7"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 foreigner may be initially identified as a potential victim of human trafficking:</w:t>
      </w:r>
    </w:p>
    <w:p w14:paraId="78625262"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by third parties, such as:</w:t>
      </w:r>
    </w:p>
    <w:p w14:paraId="6EFF7202" w14:textId="77777777" w:rsidR="00730A3F" w:rsidRPr="00B830B3" w:rsidRDefault="00730A3F" w:rsidP="00730A3F">
      <w:pPr>
        <w:numPr>
          <w:ilvl w:val="0"/>
          <w:numId w:val="9"/>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by Border Guard officers accepting the application – information in the documentation provided by the Border Guard together with the </w:t>
      </w:r>
      <w:proofErr w:type="gramStart"/>
      <w:r>
        <w:rPr>
          <w:rFonts w:ascii="Times New Roman" w:eastAsia="Aptos" w:hAnsi="Times New Roman" w:cs="Times New Roman"/>
          <w14:ligatures w14:val="none"/>
        </w:rPr>
        <w:t>application;</w:t>
      </w:r>
      <w:proofErr w:type="gramEnd"/>
    </w:p>
    <w:p w14:paraId="58C5B308" w14:textId="77777777" w:rsidR="00730A3F" w:rsidRPr="00B830B3" w:rsidRDefault="00730A3F" w:rsidP="00730A3F">
      <w:pPr>
        <w:numPr>
          <w:ilvl w:val="0"/>
          <w:numId w:val="9"/>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by organisations which professionally provide support to victims of human trafficking (e.g. organisations which operate the National Consulting and Intervention Centre for Victims of Trafficking, KCIK) or organisations working on behalf of foreigners applying for international protection – information provided during the ongoing refugee procedure. </w:t>
      </w:r>
    </w:p>
    <w:p w14:paraId="337220EF"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within the Office (by employees reviewing the application), e.g.</w:t>
      </w:r>
    </w:p>
    <w:p w14:paraId="3C66414C" w14:textId="77777777" w:rsidR="00730A3F" w:rsidRPr="00B830B3" w:rsidRDefault="00730A3F" w:rsidP="00730A3F">
      <w:pPr>
        <w:numPr>
          <w:ilvl w:val="0"/>
          <w:numId w:val="9"/>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based on the information in the application and/or other documents gathered as part of the ongoing procedure for granting international protection. </w:t>
      </w:r>
    </w:p>
    <w:p w14:paraId="39E3DD99" w14:textId="77777777" w:rsidR="00730A3F" w:rsidRPr="00B830B3" w:rsidRDefault="00730A3F" w:rsidP="00730A3F">
      <w:pPr>
        <w:numPr>
          <w:ilvl w:val="0"/>
          <w:numId w:val="9"/>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during hearing of a foreigner.</w:t>
      </w:r>
    </w:p>
    <w:p w14:paraId="75B8FA04" w14:textId="77777777" w:rsidR="00730A3F" w:rsidRPr="00B830B3" w:rsidRDefault="00730A3F" w:rsidP="00730A3F">
      <w:pPr>
        <w:spacing w:after="0" w:line="240" w:lineRule="auto"/>
        <w:jc w:val="both"/>
        <w:rPr>
          <w:rFonts w:ascii="Times New Roman" w:eastAsia="Aptos" w:hAnsi="Times New Roman" w:cs="Times New Roman"/>
          <w14:ligatures w14:val="none"/>
        </w:rPr>
      </w:pPr>
    </w:p>
    <w:p w14:paraId="545C5793"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In the case of a foreigner who is a vulnerable person, activities in the procedure on granting international protection are carried out under conditions that ensure the foreigner’s freedom of expression, within a period of time adapted to the mental and physical condition of the foreigner, at the foreigner’s place of stay if justified by the state of their health; if necessary, with the participation of a psychologist, doctor or interpreter.</w:t>
      </w:r>
    </w:p>
    <w:p w14:paraId="7598806F"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At the request of a foreigner who is a vulnerable person, where required due to foreigner’s needs, the activities are performed by a person of the same sex;</w:t>
      </w:r>
      <w:r>
        <w:rPr>
          <w:rFonts w:ascii="Times New Roman" w:eastAsia="Aptos" w:hAnsi="Times New Roman" w:cs="Times New Roman"/>
          <w14:ligatures w14:val="none"/>
        </w:rPr>
        <w:br/>
        <w:t>with the possible participation of a psychologist, doctor or interpreter of the gender indicated by the foreigner.</w:t>
      </w:r>
    </w:p>
    <w:p w14:paraId="768420F3"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If a foreigner is officially identified as a victim of human trafficking by the Border Guard and covered by the Programme for Support and Protection of a Victim of Human Trafficking, information about Programme coverage will be forwarded by the institution supervising the Programme, i.e. the Teams for Counteracting Trafficking in Human Beings at the Ministry of Interior and Administration, to the Office for Foreigners. </w:t>
      </w:r>
    </w:p>
    <w:p w14:paraId="45F10995" w14:textId="77777777" w:rsidR="00730A3F" w:rsidRPr="00B830B3" w:rsidRDefault="00730A3F" w:rsidP="00730A3F">
      <w:pPr>
        <w:spacing w:after="0" w:line="240" w:lineRule="auto"/>
        <w:jc w:val="both"/>
        <w:rPr>
          <w:rFonts w:ascii="Times New Roman" w:eastAsia="Aptos" w:hAnsi="Times New Roman" w:cs="Times New Roman"/>
          <w14:ligatures w14:val="none"/>
        </w:rPr>
      </w:pPr>
    </w:p>
    <w:p w14:paraId="4B0963FB"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already mentioned, the Head of the Office evaluates whether a person is a vulnerable person in the procedure for granting international protection, but also in the field of welfare. A person is considered to be a vulnerable person in the field of welfare if there may be a need for accommodation in a facility adapted to the needs of the disabled, which provides a single room and/or is intended exclusively for women or women with children; placement in a care and treatment facility, a nursing and care facility or a hospice; placement in foster care that is appropriate to the mental and physical situation of such people; adjustment of the diet to the state of health.</w:t>
      </w:r>
    </w:p>
    <w:p w14:paraId="424D7FA2" w14:textId="77777777" w:rsidR="00730A3F" w:rsidRPr="00B830B3" w:rsidRDefault="00730A3F" w:rsidP="00730A3F">
      <w:pPr>
        <w:spacing w:after="0" w:line="240" w:lineRule="auto"/>
        <w:jc w:val="both"/>
        <w:rPr>
          <w:rFonts w:ascii="Times New Roman" w:eastAsia="Aptos" w:hAnsi="Times New Roman" w:cs="Times New Roman"/>
          <w14:ligatures w14:val="none"/>
        </w:rPr>
      </w:pPr>
    </w:p>
    <w:p w14:paraId="32262F76"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Identification of vulnerable persons includes:</w:t>
      </w:r>
    </w:p>
    <w:p w14:paraId="7DF791E3" w14:textId="77777777" w:rsidR="00730A3F" w:rsidRPr="00B830B3" w:rsidRDefault="00730A3F" w:rsidP="00730A3F">
      <w:pPr>
        <w:numPr>
          <w:ilvl w:val="0"/>
          <w:numId w:val="10"/>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consultations with a doctor as part of the Epidemiological </w:t>
      </w:r>
      <w:proofErr w:type="gramStart"/>
      <w:r>
        <w:rPr>
          <w:rFonts w:ascii="Times New Roman" w:eastAsia="Aptos" w:hAnsi="Times New Roman" w:cs="Times New Roman"/>
          <w14:ligatures w14:val="none"/>
        </w:rPr>
        <w:t>Filter;</w:t>
      </w:r>
      <w:proofErr w:type="gramEnd"/>
    </w:p>
    <w:p w14:paraId="1DA4B15F" w14:textId="77777777" w:rsidR="00730A3F" w:rsidRPr="00B830B3" w:rsidRDefault="00730A3F" w:rsidP="00730A3F">
      <w:pPr>
        <w:numPr>
          <w:ilvl w:val="0"/>
          <w:numId w:val="10"/>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consultation with a doctor or psychologist if circumstances justifying identification arise while using medical </w:t>
      </w:r>
      <w:proofErr w:type="gramStart"/>
      <w:r>
        <w:rPr>
          <w:rFonts w:ascii="Times New Roman" w:eastAsia="Aptos" w:hAnsi="Times New Roman" w:cs="Times New Roman"/>
          <w14:ligatures w14:val="none"/>
        </w:rPr>
        <w:t>care;</w:t>
      </w:r>
      <w:proofErr w:type="gramEnd"/>
    </w:p>
    <w:p w14:paraId="52353F62" w14:textId="77777777" w:rsidR="00730A3F" w:rsidRPr="00B830B3" w:rsidRDefault="00730A3F" w:rsidP="00730A3F">
      <w:pPr>
        <w:numPr>
          <w:ilvl w:val="0"/>
          <w:numId w:val="10"/>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consultations with a psychologist, at the request of an employee of the Department of Refugee Procedure (the body responsible for carrying out the procedure) if during the procedure for granting protection in the territory of the Republic of Poland circumstances justifying identification </w:t>
      </w:r>
      <w:proofErr w:type="gramStart"/>
      <w:r>
        <w:rPr>
          <w:rFonts w:ascii="Times New Roman" w:eastAsia="Aptos" w:hAnsi="Times New Roman" w:cs="Times New Roman"/>
          <w14:ligatures w14:val="none"/>
        </w:rPr>
        <w:t>arise;</w:t>
      </w:r>
      <w:proofErr w:type="gramEnd"/>
    </w:p>
    <w:p w14:paraId="5FCD8371" w14:textId="77777777" w:rsidR="00730A3F" w:rsidRPr="00B830B3" w:rsidRDefault="00730A3F" w:rsidP="00730A3F">
      <w:pPr>
        <w:numPr>
          <w:ilvl w:val="0"/>
          <w:numId w:val="10"/>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notes from employees of the Welfare Department working in </w:t>
      </w:r>
      <w:proofErr w:type="spellStart"/>
      <w:r>
        <w:rPr>
          <w:rFonts w:ascii="Times New Roman" w:eastAsia="Aptos" w:hAnsi="Times New Roman" w:cs="Times New Roman"/>
          <w14:ligatures w14:val="none"/>
        </w:rPr>
        <w:t>centers</w:t>
      </w:r>
      <w:proofErr w:type="spellEnd"/>
      <w:r>
        <w:rPr>
          <w:rFonts w:ascii="Times New Roman" w:eastAsia="Aptos" w:hAnsi="Times New Roman" w:cs="Times New Roman"/>
          <w14:ligatures w14:val="none"/>
        </w:rPr>
        <w:t xml:space="preserve"> for foreigners from conversations and observations of center residents.</w:t>
      </w:r>
    </w:p>
    <w:p w14:paraId="6A387504" w14:textId="77777777" w:rsidR="00730A3F" w:rsidRPr="00B830B3" w:rsidRDefault="00730A3F" w:rsidP="00730A3F">
      <w:pPr>
        <w:spacing w:after="0" w:line="240" w:lineRule="auto"/>
        <w:jc w:val="both"/>
        <w:rPr>
          <w:rFonts w:ascii="Times New Roman" w:eastAsia="Aptos" w:hAnsi="Times New Roman" w:cs="Times New Roman"/>
          <w14:ligatures w14:val="none"/>
        </w:rPr>
      </w:pPr>
    </w:p>
    <w:p w14:paraId="12EE1B08"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 addition, at each stage of welfare provided in </w:t>
      </w:r>
      <w:proofErr w:type="spellStart"/>
      <w:r>
        <w:rPr>
          <w:rFonts w:ascii="Times New Roman" w:eastAsia="Aptos" w:hAnsi="Times New Roman" w:cs="Times New Roman"/>
          <w14:ligatures w14:val="none"/>
        </w:rPr>
        <w:t>centers</w:t>
      </w:r>
      <w:proofErr w:type="spellEnd"/>
      <w:r>
        <w:rPr>
          <w:rFonts w:ascii="Times New Roman" w:eastAsia="Aptos" w:hAnsi="Times New Roman" w:cs="Times New Roman"/>
          <w14:ligatures w14:val="none"/>
        </w:rPr>
        <w:t xml:space="preserve"> for foreigners, if the employees of the center for foreigners learn from a psychologist, doctor or nurse that the foreigner is a vulnerable person, an arrangement is made with the medical staff as to the extent, in relation to welfare, of special treatment provided to a vulnerable person. The certificate of identification of a vulnerable person issued by a doctor during the Epidemiological Filter examination is immediately (within 2 days of its drawing) forwarded to the reception desk employee, who forwards it to the body responsible for carrying out the procedure and enters it into the IT system which can be accessed by authorized personnel. A hardcopy of the certificate is placed in the foreigner’s file. Further stages of welfare are identified in a similar way.</w:t>
      </w:r>
    </w:p>
    <w:p w14:paraId="538FD00E" w14:textId="77777777" w:rsidR="00730A3F" w:rsidRPr="00B830B3" w:rsidRDefault="00730A3F" w:rsidP="00730A3F">
      <w:pPr>
        <w:spacing w:after="0" w:line="240" w:lineRule="auto"/>
        <w:jc w:val="both"/>
        <w:rPr>
          <w:rFonts w:ascii="Times New Roman" w:eastAsia="Aptos" w:hAnsi="Times New Roman" w:cs="Times New Roman"/>
          <w:b/>
          <w:bCs/>
          <w14:ligatures w14:val="none"/>
        </w:rPr>
      </w:pPr>
    </w:p>
    <w:p w14:paraId="4F2D943C" w14:textId="77777777" w:rsidR="00730A3F" w:rsidRPr="00B830B3" w:rsidRDefault="00730A3F" w:rsidP="00730A3F">
      <w:pPr>
        <w:spacing w:after="0" w:line="240" w:lineRule="auto"/>
        <w:jc w:val="both"/>
        <w:rPr>
          <w:rFonts w:ascii="Times New Roman" w:eastAsia="Aptos" w:hAnsi="Times New Roman" w:cs="Times New Roman"/>
          <w:b/>
          <w:bCs/>
          <w14:ligatures w14:val="none"/>
        </w:rPr>
      </w:pPr>
      <w:r>
        <w:rPr>
          <w:rFonts w:ascii="Times New Roman" w:eastAsia="Aptos" w:hAnsi="Times New Roman" w:cs="Times New Roman"/>
          <w:b/>
          <w:bCs/>
          <w14:ligatures w14:val="none"/>
        </w:rPr>
        <w:t>Unaccompanied minors</w:t>
      </w:r>
    </w:p>
    <w:p w14:paraId="229C91E6"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Border Guard is responsible for the identification of unaccompanied minor foreigners at the first stage of the application and screening procedure. </w:t>
      </w:r>
    </w:p>
    <w:p w14:paraId="6B95DEB2"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Unaccompanied minor foreigners receive support in accordance with applicable laws:</w:t>
      </w:r>
    </w:p>
    <w:p w14:paraId="6F8D5111"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a minor declaring their willingness to apply for protection in the territory of the Republic of Poland is taken by the Border Guard to an intervention </w:t>
      </w:r>
      <w:proofErr w:type="gramStart"/>
      <w:r>
        <w:rPr>
          <w:rFonts w:ascii="Times New Roman" w:eastAsia="Aptos" w:hAnsi="Times New Roman" w:cs="Times New Roman"/>
          <w14:ligatures w14:val="none"/>
        </w:rPr>
        <w:t>facility;</w:t>
      </w:r>
      <w:proofErr w:type="gramEnd"/>
    </w:p>
    <w:p w14:paraId="1B6BE380"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Border Guard applies to the court for appointment of a guardian and placement of the minor in foster </w:t>
      </w:r>
      <w:proofErr w:type="gramStart"/>
      <w:r>
        <w:rPr>
          <w:rFonts w:ascii="Times New Roman" w:eastAsia="Aptos" w:hAnsi="Times New Roman" w:cs="Times New Roman"/>
          <w14:ligatures w14:val="none"/>
        </w:rPr>
        <w:t>care;</w:t>
      </w:r>
      <w:proofErr w:type="gramEnd"/>
    </w:p>
    <w:p w14:paraId="150375C0"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minor remains in the intervention facility until the court issues a decision to place them in foster </w:t>
      </w:r>
      <w:proofErr w:type="gramStart"/>
      <w:r>
        <w:rPr>
          <w:rFonts w:ascii="Times New Roman" w:eastAsia="Aptos" w:hAnsi="Times New Roman" w:cs="Times New Roman"/>
          <w14:ligatures w14:val="none"/>
        </w:rPr>
        <w:t>care;</w:t>
      </w:r>
      <w:proofErr w:type="gramEnd"/>
    </w:p>
    <w:p w14:paraId="40C90ED5"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when the decision is issued, the minor should be transferred to a residential care home. </w:t>
      </w:r>
    </w:p>
    <w:p w14:paraId="7C4AD12D" w14:textId="77777777" w:rsidR="00730A3F" w:rsidRPr="00B830B3" w:rsidRDefault="00730A3F" w:rsidP="00730A3F">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The rules of financing the costs of stay of minors in institutional foster care:</w:t>
      </w:r>
    </w:p>
    <w:p w14:paraId="5D479658"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Head of the Office for Foreigners pays for the costs of the minor’s stay in an intervention facility from the date on which the application for protection in the territory of the Republic of Poland is </w:t>
      </w:r>
      <w:proofErr w:type="gramStart"/>
      <w:r>
        <w:rPr>
          <w:rFonts w:ascii="Times New Roman" w:eastAsia="Aptos" w:hAnsi="Times New Roman" w:cs="Times New Roman"/>
          <w14:ligatures w14:val="none"/>
        </w:rPr>
        <w:t>submitted;</w:t>
      </w:r>
      <w:proofErr w:type="gramEnd"/>
    </w:p>
    <w:p w14:paraId="1E5F967F" w14:textId="77777777" w:rsidR="00730A3F" w:rsidRPr="00B830B3" w:rsidRDefault="00730A3F" w:rsidP="00730A3F">
      <w:pPr>
        <w:numPr>
          <w:ilvl w:val="0"/>
          <w:numId w:val="11"/>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The Head of the Office covers the costs of medical care throughout the entire period of the procedure for granting protection in the territory of the Republic of Poland.</w:t>
      </w:r>
    </w:p>
    <w:p w14:paraId="541D4886" w14:textId="77777777" w:rsidR="00730A3F" w:rsidRPr="003A6365" w:rsidRDefault="00730A3F" w:rsidP="00730A3F"/>
    <w:p w14:paraId="31F4A9A1" w14:textId="289EBE4C" w:rsidR="00730A3F" w:rsidRDefault="00730A3F">
      <w:r>
        <w:br w:type="page"/>
      </w:r>
    </w:p>
    <w:p w14:paraId="04BB024E" w14:textId="77777777" w:rsidR="00FA7F23"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17</w:t>
      </w:r>
    </w:p>
    <w:p w14:paraId="15542828" w14:textId="77777777" w:rsidR="00FA7F23" w:rsidRDefault="00FA7F23" w:rsidP="00FA7F23">
      <w:pPr>
        <w:spacing w:after="0" w:line="240" w:lineRule="auto"/>
        <w:jc w:val="both"/>
        <w:rPr>
          <w:rFonts w:ascii="Times New Roman" w:eastAsia="Aptos" w:hAnsi="Times New Roman" w:cs="Times New Roman"/>
          <w14:ligatures w14:val="none"/>
        </w:rPr>
      </w:pPr>
    </w:p>
    <w:p w14:paraId="58953463"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regards statistics on human trafficking charges, the number of identified victims, the number of investigations and criminal proceedings and all convictions, along with all remedial measures, including damages, awarded to the victims, the following information on the scope of assistance granted to the victims of human trafficking is provided within the Networks of Support for Victims of Crime:</w:t>
      </w:r>
    </w:p>
    <w:p w14:paraId="6F079A18"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in 2023 assistance was granted to 25 persons (7 men, 18 women)</w:t>
      </w:r>
    </w:p>
    <w:p w14:paraId="11AF8CA6"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in 2024 assistance was granted to 25 persons (6 men, 19 women)</w:t>
      </w:r>
    </w:p>
    <w:p w14:paraId="16B36E96"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in H1 2025 assistance was granted to 12 persons (4 men, 8 women)</w:t>
      </w:r>
    </w:p>
    <w:p w14:paraId="7CA61F65"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 total of 62 persons were granted assistance from 2023 to June 2025.</w:t>
      </w:r>
    </w:p>
    <w:p w14:paraId="0C0F5AA8"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Number of women: 45</w:t>
      </w:r>
    </w:p>
    <w:p w14:paraId="4415A756"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Number of men: 17</w:t>
      </w:r>
    </w:p>
    <w:p w14:paraId="0DC172F3"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Under the age of 18: 5 persons</w:t>
      </w:r>
    </w:p>
    <w:p w14:paraId="51638C8C" w14:textId="77777777" w:rsidR="00FA7F23" w:rsidRPr="00220D4B"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Aged 18-65: 49 persons</w:t>
      </w:r>
    </w:p>
    <w:p w14:paraId="7313C081" w14:textId="77777777" w:rsidR="00FA7F23" w:rsidRDefault="00FA7F23" w:rsidP="00FA7F23">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Over the age of 65: 8 persons</w:t>
      </w:r>
    </w:p>
    <w:p w14:paraId="57CD1969" w14:textId="77777777" w:rsidR="00FA7F23" w:rsidRPr="00CC7F3E" w:rsidRDefault="00FA7F23" w:rsidP="00FA7F23"/>
    <w:p w14:paraId="6CF71F7B" w14:textId="15750FFB" w:rsidR="007E511F" w:rsidRDefault="007E511F">
      <w:r>
        <w:br w:type="page"/>
      </w:r>
    </w:p>
    <w:p w14:paraId="6D037CA3" w14:textId="77777777" w:rsidR="007E511F"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Annex No. 18</w:t>
      </w:r>
    </w:p>
    <w:p w14:paraId="39D174FF" w14:textId="77777777" w:rsidR="007E511F" w:rsidRDefault="007E511F" w:rsidP="007E511F">
      <w:pPr>
        <w:spacing w:after="0" w:line="240" w:lineRule="auto"/>
        <w:jc w:val="both"/>
        <w:rPr>
          <w:rFonts w:ascii="Times New Roman" w:eastAsia="Aptos" w:hAnsi="Times New Roman" w:cs="Times New Roman"/>
          <w:lang w:val="pl-PL"/>
          <w14:ligatures w14:val="none"/>
        </w:rPr>
      </w:pPr>
    </w:p>
    <w:p w14:paraId="3382372D"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Regarding the elimination of slavery and human trafficking, please be informed that current data (for the year 2025) will be collected at the beginning of 2026. Presented below are data based on SDA monitoring regarding proceedings concerning acts under Article 189a of the Criminal Code, as of 24 September 2025:</w:t>
      </w:r>
    </w:p>
    <w:p w14:paraId="258B7957"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number of proceedings initiated in 2025 – </w:t>
      </w:r>
      <w:proofErr w:type="gramStart"/>
      <w:r>
        <w:rPr>
          <w:rFonts w:ascii="Times New Roman" w:hAnsi="Times New Roman"/>
        </w:rPr>
        <w:t>19;</w:t>
      </w:r>
      <w:proofErr w:type="gramEnd"/>
    </w:p>
    <w:p w14:paraId="72BAB6B9"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number of proceedings pending – </w:t>
      </w:r>
      <w:proofErr w:type="gramStart"/>
      <w:r>
        <w:rPr>
          <w:rFonts w:ascii="Times New Roman" w:hAnsi="Times New Roman"/>
        </w:rPr>
        <w:t>37;</w:t>
      </w:r>
      <w:proofErr w:type="gramEnd"/>
    </w:p>
    <w:p w14:paraId="0000D949"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number of suspects presented with charges in 2025 – 11 (25 charges in 5 proceedings</w:t>
      </w:r>
      <w:proofErr w:type="gramStart"/>
      <w:r>
        <w:rPr>
          <w:rFonts w:ascii="Times New Roman" w:hAnsi="Times New Roman"/>
        </w:rPr>
        <w:t>);</w:t>
      </w:r>
      <w:proofErr w:type="gramEnd"/>
    </w:p>
    <w:p w14:paraId="3B9C8595"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number of identified victims – </w:t>
      </w:r>
      <w:proofErr w:type="gramStart"/>
      <w:r>
        <w:rPr>
          <w:rFonts w:ascii="Times New Roman" w:hAnsi="Times New Roman"/>
        </w:rPr>
        <w:t>35;</w:t>
      </w:r>
      <w:proofErr w:type="gramEnd"/>
    </w:p>
    <w:p w14:paraId="7EBD8A94"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number of bills of indictment – </w:t>
      </w:r>
      <w:proofErr w:type="gramStart"/>
      <w:r>
        <w:rPr>
          <w:rFonts w:ascii="Times New Roman" w:hAnsi="Times New Roman"/>
        </w:rPr>
        <w:t>11;</w:t>
      </w:r>
      <w:proofErr w:type="gramEnd"/>
    </w:p>
    <w:p w14:paraId="487A5B82"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number of accused persons in 2025 – </w:t>
      </w:r>
      <w:proofErr w:type="gramStart"/>
      <w:r>
        <w:rPr>
          <w:rFonts w:ascii="Times New Roman" w:hAnsi="Times New Roman"/>
        </w:rPr>
        <w:t>15;</w:t>
      </w:r>
      <w:proofErr w:type="gramEnd"/>
    </w:p>
    <w:p w14:paraId="19155AED"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xml:space="preserve">– decisions to refuse the initiation of proceedings issued – </w:t>
      </w:r>
      <w:proofErr w:type="gramStart"/>
      <w:r>
        <w:rPr>
          <w:rFonts w:ascii="Times New Roman" w:hAnsi="Times New Roman"/>
        </w:rPr>
        <w:t>20;</w:t>
      </w:r>
      <w:proofErr w:type="gramEnd"/>
    </w:p>
    <w:p w14:paraId="634E01A0" w14:textId="77777777" w:rsidR="007E511F" w:rsidRPr="0061720B" w:rsidRDefault="007E511F" w:rsidP="007E511F">
      <w:pPr>
        <w:spacing w:after="0" w:line="240" w:lineRule="auto"/>
        <w:jc w:val="both"/>
        <w:rPr>
          <w:rFonts w:ascii="Times New Roman" w:eastAsia="Aptos" w:hAnsi="Times New Roman" w:cs="Times New Roman"/>
          <w14:ligatures w14:val="none"/>
        </w:rPr>
      </w:pPr>
      <w:r>
        <w:rPr>
          <w:rFonts w:ascii="Times New Roman" w:hAnsi="Times New Roman"/>
        </w:rPr>
        <w:t>– decisions to discontinue proceedings issued – 19.</w:t>
      </w:r>
    </w:p>
    <w:p w14:paraId="46F2D5DE" w14:textId="1680DF5F" w:rsidR="007E511F" w:rsidRDefault="007E511F">
      <w:r>
        <w:br w:type="page"/>
      </w:r>
    </w:p>
    <w:p w14:paraId="6ADF9821" w14:textId="77777777" w:rsidR="00C91E47"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19</w:t>
      </w:r>
    </w:p>
    <w:p w14:paraId="1EDC233A" w14:textId="77777777" w:rsidR="00C91E47" w:rsidRDefault="00C91E47" w:rsidP="00C91E47">
      <w:pPr>
        <w:spacing w:after="0" w:line="240" w:lineRule="auto"/>
        <w:jc w:val="both"/>
        <w:rPr>
          <w:rFonts w:ascii="Times New Roman" w:eastAsia="Aptos" w:hAnsi="Times New Roman" w:cs="Times New Roman"/>
          <w14:ligatures w14:val="none"/>
        </w:rPr>
      </w:pPr>
    </w:p>
    <w:p w14:paraId="7E4017A5"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In the context of administrative detention of foreigners, and in particular the recent comments of the Committee to the 7th Report (</w:t>
      </w:r>
      <w:proofErr w:type="spellStart"/>
      <w:r>
        <w:rPr>
          <w:rFonts w:ascii="Times New Roman" w:eastAsia="Aptos" w:hAnsi="Times New Roman" w:cs="Times New Roman"/>
          <w14:ligatures w14:val="none"/>
        </w:rPr>
        <w:t>subpara</w:t>
      </w:r>
      <w:proofErr w:type="spellEnd"/>
      <w:r>
        <w:rPr>
          <w:rFonts w:ascii="Times New Roman" w:eastAsia="Aptos" w:hAnsi="Times New Roman" w:cs="Times New Roman"/>
          <w14:ligatures w14:val="none"/>
        </w:rPr>
        <w:t xml:space="preserve">. 32), efforts made by Poland over the recent years should be highlighted. Key changes in the management and operation of guarded facilities have been implemented. Greater focus has been paid to application of measures that would be alternative to detention, as demonstrated by the provided statistical data. </w:t>
      </w:r>
      <w:proofErr w:type="gramStart"/>
      <w:r>
        <w:rPr>
          <w:rFonts w:ascii="Times New Roman" w:eastAsia="Aptos" w:hAnsi="Times New Roman" w:cs="Times New Roman"/>
          <w14:ligatures w14:val="none"/>
        </w:rPr>
        <w:t>A number of</w:t>
      </w:r>
      <w:proofErr w:type="gramEnd"/>
      <w:r>
        <w:rPr>
          <w:rFonts w:ascii="Times New Roman" w:eastAsia="Aptos" w:hAnsi="Times New Roman" w:cs="Times New Roman"/>
          <w14:ligatures w14:val="none"/>
        </w:rPr>
        <w:t xml:space="preserve"> initiatives has been undertaken to guarantee safety of a minor foreigners remaining in immigration removal centres.</w:t>
      </w:r>
    </w:p>
    <w:p w14:paraId="7BD82241"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It should be stressed that Poland enforces a statutory ban on placing unaccompanied minors covered by the refugee procedure in immigration removal centres. Persons falling into that category are placed in educational care facilities only. </w:t>
      </w:r>
    </w:p>
    <w:p w14:paraId="2DA707A2"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a rule, unaccompanied minors in the return procedure are also placed in educational care facilities. In exceptional situation only, as confirmed by statistical data, when a case involves a minor over the age of 15, the court may decide to place them in an immigration removal centre. In doing so, the court is obliged to consider the welfare of the minor, their mental and physical state and circumstances of detention.</w:t>
      </w:r>
    </w:p>
    <w:p w14:paraId="7BDC9A9B"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regard the number of minor foreigners remaining in immigration removal centres, it should be mentioned that the scale of this has been recently reduced. Only one centre is dedicated for families with children and single women (</w:t>
      </w:r>
      <w:proofErr w:type="spellStart"/>
      <w:r>
        <w:rPr>
          <w:rFonts w:ascii="Times New Roman" w:eastAsia="Aptos" w:hAnsi="Times New Roman" w:cs="Times New Roman"/>
          <w14:ligatures w14:val="none"/>
        </w:rPr>
        <w:t>Lesznowola</w:t>
      </w:r>
      <w:proofErr w:type="spellEnd"/>
      <w:r>
        <w:rPr>
          <w:rFonts w:ascii="Times New Roman" w:eastAsia="Aptos" w:hAnsi="Times New Roman" w:cs="Times New Roman"/>
          <w14:ligatures w14:val="none"/>
        </w:rPr>
        <w:t xml:space="preserve">). </w:t>
      </w:r>
    </w:p>
    <w:p w14:paraId="59241475"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From 2017 to 2018 minors accounted for approx. 20% of all foreigners placed in immigration removal centres. From 2019 to 2022 this scale was reduced to approx. 10-14%, reached a very low level of 5% in the subsequent years (2023), falling to 3% (2024). The per cent share of unaccompanied minors has been negligible for years. Until 2022 they accounted for approx. 2% of all detained foreigners and only approx. 1% in 2023-2024. </w:t>
      </w:r>
    </w:p>
    <w:p w14:paraId="5831B8ED"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regards the use of measures alternative to detention, it should be mentioned that a gradual growth of such measures has been noticeable in Poland (after the pandemic). When analysing data in this regard, the geopolitical and epidemiological situation of the past years should be considered (2020 and 2021 was marked by a drop in the use of alternative measures to 38%, then to 19%, as a result of reduced scale of migration and cross-border movements, as well as restrictions and lockdown imposed, and finally the migration crisis triggered by the Belorussian regime). Since 2022 the per cent share of use of alternative measures has been growing (34% in 2022, 52% in 2023, 66% in 2024).</w:t>
      </w:r>
    </w:p>
    <w:p w14:paraId="06902F92"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As regards the average stay of minors in the immigration removal centre (unaccompanied and accompanied), this period shortened until 2021 (99 days in 2018, 88 days in 2019, 70 days in 2020, 58 days in 2021), to reach 120 days in 2022, and then shortened again (42 days in 2023, 59 days in 2024, while for unaccompanied minors this was 24 days). </w:t>
      </w:r>
    </w:p>
    <w:p w14:paraId="647DB4DA"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This contributed to development of new solutions. Since 2023 the Head of the Office for Foreigners has regularly opened regional branches of the Office, near immigration removal centres. The new branches allowed to considerably shorten the procedures involving detained foreigners.</w:t>
      </w:r>
    </w:p>
    <w:p w14:paraId="458FED9B"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It is also worth mentioning the construction projects, including </w:t>
      </w:r>
      <w:proofErr w:type="gramStart"/>
      <w:r>
        <w:rPr>
          <w:rFonts w:ascii="Times New Roman" w:eastAsia="Aptos" w:hAnsi="Times New Roman" w:cs="Times New Roman"/>
          <w14:ligatures w14:val="none"/>
        </w:rPr>
        <w:t>in particular the</w:t>
      </w:r>
      <w:proofErr w:type="gramEnd"/>
      <w:r>
        <w:rPr>
          <w:rFonts w:ascii="Times New Roman" w:eastAsia="Aptos" w:hAnsi="Times New Roman" w:cs="Times New Roman"/>
          <w14:ligatures w14:val="none"/>
        </w:rPr>
        <w:t xml:space="preserve"> newly built immigration removal centre opened in </w:t>
      </w:r>
      <w:proofErr w:type="spellStart"/>
      <w:r>
        <w:rPr>
          <w:rFonts w:ascii="Times New Roman" w:eastAsia="Aptos" w:hAnsi="Times New Roman" w:cs="Times New Roman"/>
          <w14:ligatures w14:val="none"/>
        </w:rPr>
        <w:t>Lesznowola</w:t>
      </w:r>
      <w:proofErr w:type="spellEnd"/>
      <w:r>
        <w:rPr>
          <w:rFonts w:ascii="Times New Roman" w:eastAsia="Aptos" w:hAnsi="Times New Roman" w:cs="Times New Roman"/>
          <w14:ligatures w14:val="none"/>
        </w:rPr>
        <w:t xml:space="preserve"> in September 2023, intended for families, single women and unaccompanied minors. The new building meets all the requirements of the national law and ensures complete safety of the persons placed in the centre. It is a </w:t>
      </w:r>
      <w:proofErr w:type="gramStart"/>
      <w:r>
        <w:rPr>
          <w:rFonts w:ascii="Times New Roman" w:eastAsia="Aptos" w:hAnsi="Times New Roman" w:cs="Times New Roman"/>
          <w14:ligatures w14:val="none"/>
        </w:rPr>
        <w:t>four storey</w:t>
      </w:r>
      <w:proofErr w:type="gramEnd"/>
      <w:r>
        <w:rPr>
          <w:rFonts w:ascii="Times New Roman" w:eastAsia="Aptos" w:hAnsi="Times New Roman" w:cs="Times New Roman"/>
          <w14:ligatures w14:val="none"/>
        </w:rPr>
        <w:t xml:space="preserve"> building with rooms with toilets, for several persons each, designed for families with children. Depending on identified needs, technical solutions allow conversion of standard rooms to the needs of large families (modular structure). The building houses classrooms and nursery school rooms for the youngest children, offers a spacious canteen with meal disposing point, as well as modern hygiene facilities (with shower blocks, showers, bathtubs and baby changing tables), and welfare rooms to prepare/heat meals. The centre also houses computer rooms with Internet access, community rooms, a library, and </w:t>
      </w:r>
      <w:proofErr w:type="gramStart"/>
      <w:r>
        <w:rPr>
          <w:rFonts w:ascii="Times New Roman" w:eastAsia="Aptos" w:hAnsi="Times New Roman" w:cs="Times New Roman"/>
          <w14:ligatures w14:val="none"/>
        </w:rPr>
        <w:t>a number of</w:t>
      </w:r>
      <w:proofErr w:type="gramEnd"/>
      <w:r>
        <w:rPr>
          <w:rFonts w:ascii="Times New Roman" w:eastAsia="Aptos" w:hAnsi="Times New Roman" w:cs="Times New Roman"/>
          <w14:ligatures w14:val="none"/>
        </w:rPr>
        <w:t xml:space="preserve"> rooms which support operation of an immigration removal centre and provide support to the foreigners and personnel in the centre. The building also offers two prayer rooms (an ecumenical room for Muslims and an ecumenical room for Christians). The ground floor offers medical services to foreigners, with doctor’s offices and an additional separate room to provide psychological support only. The building also houses a gym and a fitness room. The area around the building has been developed to meet the needs of the foreigners. Foreigners can use a recreation yard (with spaces for adults and children) with equipment for active outdoor leisure. </w:t>
      </w:r>
    </w:p>
    <w:p w14:paraId="3D9B280E"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following new procedures are in effect in immigration removal centres: </w:t>
      </w:r>
    </w:p>
    <w:p w14:paraId="045C6546"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“Children protection in immigration removal centres</w:t>
      </w:r>
      <w:proofErr w:type="gramStart"/>
      <w:r>
        <w:rPr>
          <w:rFonts w:ascii="Times New Roman" w:eastAsia="Aptos" w:hAnsi="Times New Roman" w:cs="Times New Roman"/>
          <w14:ligatures w14:val="none"/>
        </w:rPr>
        <w:t>”;</w:t>
      </w:r>
      <w:proofErr w:type="gramEnd"/>
    </w:p>
    <w:p w14:paraId="67A5ED24"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“Border Guard and vulnerable persons</w:t>
      </w:r>
      <w:proofErr w:type="gramStart"/>
      <w:r>
        <w:rPr>
          <w:rFonts w:ascii="Times New Roman" w:eastAsia="Aptos" w:hAnsi="Times New Roman" w:cs="Times New Roman"/>
          <w14:ligatures w14:val="none"/>
        </w:rPr>
        <w:t>”;</w:t>
      </w:r>
      <w:proofErr w:type="gramEnd"/>
    </w:p>
    <w:p w14:paraId="63877F8D"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“Best interest of a child at the place of detention” questionnaire.</w:t>
      </w:r>
    </w:p>
    <w:p w14:paraId="60353FA1" w14:textId="77777777" w:rsidR="00C91E47" w:rsidRPr="004C7F3B" w:rsidRDefault="00C91E47" w:rsidP="00C91E47">
      <w:pPr>
        <w:spacing w:after="0" w:line="240" w:lineRule="auto"/>
        <w:jc w:val="both"/>
        <w:rPr>
          <w:rFonts w:ascii="Times New Roman" w:eastAsia="Aptos" w:hAnsi="Times New Roman" w:cs="Times New Roman"/>
          <w14:ligatures w14:val="none"/>
        </w:rPr>
      </w:pPr>
    </w:p>
    <w:p w14:paraId="75D6E38B" w14:textId="77777777" w:rsidR="00C91E47" w:rsidRPr="004C7F3B" w:rsidRDefault="00C91E47" w:rsidP="00C91E47">
      <w:pPr>
        <w:spacing w:after="0" w:line="240" w:lineRule="auto"/>
        <w:jc w:val="both"/>
        <w:rPr>
          <w:rFonts w:ascii="Times New Roman" w:eastAsia="Aptos" w:hAnsi="Times New Roman" w:cs="Times New Roman"/>
          <w:b/>
          <w:bCs/>
          <w14:ligatures w14:val="none"/>
        </w:rPr>
      </w:pPr>
      <w:r>
        <w:rPr>
          <w:rFonts w:ascii="Times New Roman" w:eastAsia="Aptos" w:hAnsi="Times New Roman" w:cs="Times New Roman"/>
          <w:b/>
          <w:bCs/>
          <w14:ligatures w14:val="none"/>
        </w:rPr>
        <w:t xml:space="preserve">Implementation of alternatives to detention, in particular </w:t>
      </w:r>
      <w:proofErr w:type="gramStart"/>
      <w:r>
        <w:rPr>
          <w:rFonts w:ascii="Times New Roman" w:eastAsia="Aptos" w:hAnsi="Times New Roman" w:cs="Times New Roman"/>
          <w:b/>
          <w:bCs/>
          <w14:ligatures w14:val="none"/>
        </w:rPr>
        <w:t>with regard to</w:t>
      </w:r>
      <w:proofErr w:type="gramEnd"/>
      <w:r>
        <w:rPr>
          <w:rFonts w:ascii="Times New Roman" w:eastAsia="Aptos" w:hAnsi="Times New Roman" w:cs="Times New Roman"/>
          <w:b/>
          <w:bCs/>
          <w14:ligatures w14:val="none"/>
        </w:rPr>
        <w:t xml:space="preserve"> vulnerable persons, including children, in accordance with Article 317 of the Act on Foreigners and Article 88 of the Act on Granting International Protection</w:t>
      </w:r>
    </w:p>
    <w:p w14:paraId="4FE44674" w14:textId="77777777" w:rsidR="00C91E47" w:rsidRPr="004C7F3B" w:rsidRDefault="00C91E47" w:rsidP="00C91E47">
      <w:pPr>
        <w:spacing w:after="0" w:line="240" w:lineRule="auto"/>
        <w:jc w:val="both"/>
        <w:rPr>
          <w:rFonts w:ascii="Times New Roman" w:eastAsia="Aptos" w:hAnsi="Times New Roman" w:cs="Times New Roman"/>
          <w:b/>
          <w:bCs/>
          <w:u w:val="single"/>
          <w14:ligatures w14:val="none"/>
        </w:rPr>
      </w:pPr>
      <w:r>
        <w:rPr>
          <w:rFonts w:ascii="Times New Roman" w:eastAsia="Aptos" w:hAnsi="Times New Roman" w:cs="Times New Roman"/>
          <w14:ligatures w14:val="none"/>
        </w:rPr>
        <w:t xml:space="preserve">Under the Polish legal order, a foreigner may be ordered to remain in a specific place of stay or a specific town in circumstances defined in the Act, and the foreigner may be obliged to report at set intervals to the authority specified in the decision (an alternative to detention). </w:t>
      </w:r>
    </w:p>
    <w:p w14:paraId="036FACD5" w14:textId="77777777" w:rsidR="00C91E47" w:rsidRPr="004C7F3B" w:rsidRDefault="00C91E47" w:rsidP="00C91E47">
      <w:pPr>
        <w:spacing w:after="0" w:line="240" w:lineRule="auto"/>
        <w:jc w:val="both"/>
        <w:rPr>
          <w:rFonts w:ascii="Times New Roman" w:eastAsia="Aptos" w:hAnsi="Times New Roman" w:cs="Times New Roman"/>
          <w:b/>
          <w:bCs/>
          <w:u w:val="single"/>
          <w14:ligatures w14:val="none"/>
        </w:rPr>
      </w:pPr>
    </w:p>
    <w:p w14:paraId="6E460EF0"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b/>
          <w:bCs/>
          <w14:ligatures w14:val="none"/>
        </w:rPr>
        <w:t>As regards conditions of foreigner detention</w:t>
      </w:r>
      <w:r>
        <w:rPr>
          <w:rFonts w:ascii="Times New Roman" w:eastAsia="Aptos" w:hAnsi="Times New Roman" w:cs="Times New Roman"/>
          <w14:ligatures w14:val="none"/>
        </w:rPr>
        <w:t xml:space="preserve"> it should be clarified that there are six immigration removal centres within the structures of the Border Guard. The centres are profiled b </w:t>
      </w:r>
      <w:proofErr w:type="spellStart"/>
      <w:r>
        <w:rPr>
          <w:rFonts w:ascii="Times New Roman" w:eastAsia="Aptos" w:hAnsi="Times New Roman" w:cs="Times New Roman"/>
          <w14:ligatures w14:val="none"/>
        </w:rPr>
        <w:t>ythe</w:t>
      </w:r>
      <w:proofErr w:type="spellEnd"/>
      <w:r>
        <w:rPr>
          <w:rFonts w:ascii="Times New Roman" w:eastAsia="Aptos" w:hAnsi="Times New Roman" w:cs="Times New Roman"/>
          <w14:ligatures w14:val="none"/>
        </w:rPr>
        <w:t xml:space="preserve"> category of persons detained, to centres for men and centres for families with children and single </w:t>
      </w:r>
      <w:proofErr w:type="gramStart"/>
      <w:r>
        <w:rPr>
          <w:rFonts w:ascii="Times New Roman" w:eastAsia="Aptos" w:hAnsi="Times New Roman" w:cs="Times New Roman"/>
          <w14:ligatures w14:val="none"/>
        </w:rPr>
        <w:t>women, and</w:t>
      </w:r>
      <w:proofErr w:type="gramEnd"/>
      <w:r>
        <w:rPr>
          <w:rFonts w:ascii="Times New Roman" w:eastAsia="Aptos" w:hAnsi="Times New Roman" w:cs="Times New Roman"/>
          <w14:ligatures w14:val="none"/>
        </w:rPr>
        <w:t xml:space="preserve"> are equipped for the given category based on such profiles. The profiles may change depending on the reception needs of the Border Guard.</w:t>
      </w:r>
    </w:p>
    <w:p w14:paraId="10B809CC"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issue of overcrowding of centres resulted from the initial sudden and unexpected migration crisis triggered by Belarus, when an additional centre in </w:t>
      </w:r>
      <w:proofErr w:type="spellStart"/>
      <w:r>
        <w:rPr>
          <w:rFonts w:ascii="Times New Roman" w:eastAsia="Aptos" w:hAnsi="Times New Roman" w:cs="Times New Roman"/>
          <w14:ligatures w14:val="none"/>
        </w:rPr>
        <w:t>Wędrzyn</w:t>
      </w:r>
      <w:proofErr w:type="spellEnd"/>
      <w:r>
        <w:rPr>
          <w:rFonts w:ascii="Times New Roman" w:eastAsia="Aptos" w:hAnsi="Times New Roman" w:cs="Times New Roman"/>
          <w14:ligatures w14:val="none"/>
        </w:rPr>
        <w:t xml:space="preserve"> was opened, made available to the Border Guard by the military from August 2021 to August 2022. The centre was a lower standard facility, however, the prevailing conditions still met minimum standards in this regard. This solution was </w:t>
      </w:r>
      <w:proofErr w:type="gramStart"/>
      <w:r>
        <w:rPr>
          <w:rFonts w:ascii="Times New Roman" w:eastAsia="Aptos" w:hAnsi="Times New Roman" w:cs="Times New Roman"/>
          <w14:ligatures w14:val="none"/>
        </w:rPr>
        <w:t>definitely better</w:t>
      </w:r>
      <w:proofErr w:type="gramEnd"/>
      <w:r>
        <w:rPr>
          <w:rFonts w:ascii="Times New Roman" w:eastAsia="Aptos" w:hAnsi="Times New Roman" w:cs="Times New Roman"/>
          <w14:ligatures w14:val="none"/>
        </w:rPr>
        <w:t xml:space="preserve"> than provision of detention accommodation in prisons, which is permitted under EU law, including Directive 2008/115/EC. The </w:t>
      </w:r>
      <w:proofErr w:type="spellStart"/>
      <w:r>
        <w:rPr>
          <w:rFonts w:ascii="Times New Roman" w:eastAsia="Aptos" w:hAnsi="Times New Roman" w:cs="Times New Roman"/>
          <w14:ligatures w14:val="none"/>
        </w:rPr>
        <w:t>Wędrzyn</w:t>
      </w:r>
      <w:proofErr w:type="spellEnd"/>
      <w:r>
        <w:rPr>
          <w:rFonts w:ascii="Times New Roman" w:eastAsia="Aptos" w:hAnsi="Times New Roman" w:cs="Times New Roman"/>
          <w14:ligatures w14:val="none"/>
        </w:rPr>
        <w:t xml:space="preserve"> centre operated for a year.</w:t>
      </w:r>
    </w:p>
    <w:p w14:paraId="7F5C8D47"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b/>
          <w:bCs/>
          <w14:ligatures w14:val="none"/>
        </w:rPr>
        <w:t>It is also worth mentioning the construction projects</w:t>
      </w:r>
      <w:r>
        <w:rPr>
          <w:rFonts w:ascii="Times New Roman" w:eastAsia="Aptos" w:hAnsi="Times New Roman" w:cs="Times New Roman"/>
          <w14:ligatures w14:val="none"/>
        </w:rPr>
        <w:t xml:space="preserve">, including </w:t>
      </w:r>
      <w:proofErr w:type="gramStart"/>
      <w:r>
        <w:rPr>
          <w:rFonts w:ascii="Times New Roman" w:eastAsia="Aptos" w:hAnsi="Times New Roman" w:cs="Times New Roman"/>
          <w14:ligatures w14:val="none"/>
        </w:rPr>
        <w:t>in particular the</w:t>
      </w:r>
      <w:proofErr w:type="gramEnd"/>
      <w:r>
        <w:rPr>
          <w:rFonts w:ascii="Times New Roman" w:eastAsia="Aptos" w:hAnsi="Times New Roman" w:cs="Times New Roman"/>
          <w14:ligatures w14:val="none"/>
        </w:rPr>
        <w:t xml:space="preserve"> newly built immigration removal centre opened in </w:t>
      </w:r>
      <w:proofErr w:type="spellStart"/>
      <w:r>
        <w:rPr>
          <w:rFonts w:ascii="Times New Roman" w:eastAsia="Aptos" w:hAnsi="Times New Roman" w:cs="Times New Roman"/>
          <w14:ligatures w14:val="none"/>
        </w:rPr>
        <w:t>Lesznowola</w:t>
      </w:r>
      <w:proofErr w:type="spellEnd"/>
      <w:r>
        <w:rPr>
          <w:rFonts w:ascii="Times New Roman" w:eastAsia="Aptos" w:hAnsi="Times New Roman" w:cs="Times New Roman"/>
          <w14:ligatures w14:val="none"/>
        </w:rPr>
        <w:t xml:space="preserve"> in September 2023, especially intended for families. The new building meets all the requirements and ensures complete safety of the persons placed in the centre. It is a </w:t>
      </w:r>
      <w:proofErr w:type="gramStart"/>
      <w:r>
        <w:rPr>
          <w:rFonts w:ascii="Times New Roman" w:eastAsia="Aptos" w:hAnsi="Times New Roman" w:cs="Times New Roman"/>
          <w14:ligatures w14:val="none"/>
        </w:rPr>
        <w:t>four storey</w:t>
      </w:r>
      <w:proofErr w:type="gramEnd"/>
      <w:r>
        <w:rPr>
          <w:rFonts w:ascii="Times New Roman" w:eastAsia="Aptos" w:hAnsi="Times New Roman" w:cs="Times New Roman"/>
          <w14:ligatures w14:val="none"/>
        </w:rPr>
        <w:t xml:space="preserve"> building with rooms with toilets, for several persons each, designed for families with children. The rooms may be converted to accommodate to the needs of large families (modular structure). The building houses classrooms and nursery school rooms for the youngest children, a spacious canteen with meal disposing point, as well as modern hygiene facilities and welfare rooms. The centre also houses computer rooms with Internet access, community rooms, and a library. The building also offers two prayer rooms. There are doctor’s offices and a psychologist office in the building. The building also houses a gym and a fitness room. </w:t>
      </w:r>
    </w:p>
    <w:p w14:paraId="1CA4E983"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b/>
          <w:bCs/>
          <w14:ligatures w14:val="none"/>
        </w:rPr>
        <w:t>As regards medical care,</w:t>
      </w:r>
      <w:r>
        <w:rPr>
          <w:rFonts w:ascii="Times New Roman" w:eastAsia="Aptos" w:hAnsi="Times New Roman" w:cs="Times New Roman"/>
          <w14:ligatures w14:val="none"/>
        </w:rPr>
        <w:t xml:space="preserve"> upon admission to an immigration removal each foreigner centre immediately undergoes medical examination.  During their stay, a foreigner may use benefit from medical care and stay in a hospital if necessary. Foreigners have access to specialised care, including mental help, and therapists.  </w:t>
      </w:r>
    </w:p>
    <w:p w14:paraId="7D9EFEDC"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b/>
          <w:bCs/>
          <w14:ligatures w14:val="none"/>
        </w:rPr>
        <w:t>As regards procedures for vulnerable persons,</w:t>
      </w:r>
      <w:r>
        <w:rPr>
          <w:rFonts w:ascii="Times New Roman" w:eastAsia="Aptos" w:hAnsi="Times New Roman" w:cs="Times New Roman"/>
          <w14:ligatures w14:val="none"/>
        </w:rPr>
        <w:t xml:space="preserve"> it is worth stressing that such procedures were implemented back in 2015, </w:t>
      </w:r>
      <w:proofErr w:type="gramStart"/>
      <w:r>
        <w:rPr>
          <w:rFonts w:ascii="Times New Roman" w:eastAsia="Aptos" w:hAnsi="Times New Roman" w:cs="Times New Roman"/>
          <w14:ligatures w14:val="none"/>
        </w:rPr>
        <w:t>in particular the</w:t>
      </w:r>
      <w:proofErr w:type="gramEnd"/>
      <w:r>
        <w:rPr>
          <w:rFonts w:ascii="Times New Roman" w:eastAsia="Aptos" w:hAnsi="Times New Roman" w:cs="Times New Roman"/>
          <w14:ligatures w14:val="none"/>
        </w:rPr>
        <w:t xml:space="preserve"> “Rules for the Border Guard on dealing with foreigners who are vulnerable persons”, which also apply to minors and unaccompanied minors. This algorithm establishes clear rules for the provision of help, the persons who need it and the stages at which help is provided, including psychological and psychiatric help. It also specifies signals which, upon their verification, should result in release of a foreigner from the immigration removal centre. Based on this document, the so-called ‘return workers’ and ‘case workers’ have been appointed in all immigration removal centres responsible for maintaining the best possible relations with a </w:t>
      </w:r>
      <w:proofErr w:type="gramStart"/>
      <w:r>
        <w:rPr>
          <w:rFonts w:ascii="Times New Roman" w:eastAsia="Aptos" w:hAnsi="Times New Roman" w:cs="Times New Roman"/>
          <w14:ligatures w14:val="none"/>
        </w:rPr>
        <w:t>foreigners</w:t>
      </w:r>
      <w:proofErr w:type="gramEnd"/>
      <w:r>
        <w:rPr>
          <w:rFonts w:ascii="Times New Roman" w:eastAsia="Aptos" w:hAnsi="Times New Roman" w:cs="Times New Roman"/>
          <w14:ligatures w14:val="none"/>
        </w:rPr>
        <w:t xml:space="preserve">, both to provide the foreigner with the latest information about their procedures, as well as to monitor the behaviour and moods of the foreigner. The rules were updated in 2019. </w:t>
      </w:r>
    </w:p>
    <w:p w14:paraId="57A42792"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 </w:t>
      </w:r>
      <w:proofErr w:type="gramStart"/>
      <w:r>
        <w:rPr>
          <w:rFonts w:ascii="Times New Roman" w:eastAsia="Aptos" w:hAnsi="Times New Roman" w:cs="Times New Roman"/>
          <w14:ligatures w14:val="none"/>
        </w:rPr>
        <w:t>addition</w:t>
      </w:r>
      <w:proofErr w:type="gramEnd"/>
      <w:r>
        <w:rPr>
          <w:rFonts w:ascii="Times New Roman" w:eastAsia="Aptos" w:hAnsi="Times New Roman" w:cs="Times New Roman"/>
          <w14:ligatures w14:val="none"/>
        </w:rPr>
        <w:t xml:space="preserve"> in 2018 the “Protect children in immigration removal centres” policy, designed to prevent child abuse at places of detention, was developed and implemented. Procedures of interventions in the event of child abuse including abuse by other family members (domestic violence) or by peers were developed and implemented. As a result, employees of immigration removal centres were trained in identifying cases of child abuse, sexual abuse and responding to such cases of abuse.</w:t>
      </w:r>
    </w:p>
    <w:p w14:paraId="4F8EEA60" w14:textId="77777777" w:rsidR="00C91E47" w:rsidRPr="004C7F3B" w:rsidRDefault="00C91E47" w:rsidP="00C91E47">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The “Child best interest at the place of detention” questionnaire was implemented in June 2024. The key part of that questionnaire is hearing a minor based on the statement freely made by the child.</w:t>
      </w:r>
    </w:p>
    <w:p w14:paraId="38C232A7" w14:textId="77777777" w:rsidR="00C91E47" w:rsidRPr="004C7F3B" w:rsidRDefault="00C91E47" w:rsidP="00C91E47">
      <w:pPr>
        <w:spacing w:after="0" w:line="240" w:lineRule="auto"/>
        <w:jc w:val="both"/>
        <w:rPr>
          <w:rFonts w:ascii="Times New Roman" w:eastAsia="Aptos" w:hAnsi="Times New Roman" w:cs="Times New Roman"/>
          <w14:ligatures w14:val="none"/>
        </w:rPr>
      </w:pPr>
    </w:p>
    <w:p w14:paraId="0D1DF8FA" w14:textId="77777777" w:rsidR="00C91E47" w:rsidRPr="004C7F3B" w:rsidRDefault="00C91E47" w:rsidP="00C91E47">
      <w:pPr>
        <w:tabs>
          <w:tab w:val="left" w:pos="360"/>
        </w:tabs>
        <w:spacing w:after="0" w:line="240" w:lineRule="auto"/>
        <w:jc w:val="both"/>
        <w:rPr>
          <w:rFonts w:ascii="Times New Roman" w:eastAsia="Times New Roman" w:hAnsi="Times New Roman" w:cs="Times New Roman"/>
          <w:b/>
          <w:bCs/>
          <w:kern w:val="0"/>
          <w14:ligatures w14:val="none"/>
        </w:rPr>
      </w:pPr>
    </w:p>
    <w:p w14:paraId="51E54D29" w14:textId="77777777" w:rsidR="00C91E47" w:rsidRPr="004C7F3B" w:rsidRDefault="00C91E47" w:rsidP="00C91E47"/>
    <w:p w14:paraId="64CDFC87" w14:textId="427AEA8A" w:rsidR="00AF592C" w:rsidRDefault="00AF592C">
      <w:r>
        <w:br w:type="page"/>
      </w:r>
    </w:p>
    <w:p w14:paraId="27BC18B8" w14:textId="77777777" w:rsidR="00AF592C" w:rsidRDefault="00AF592C" w:rsidP="00AF592C">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20</w:t>
      </w:r>
    </w:p>
    <w:p w14:paraId="760D1E89" w14:textId="77777777" w:rsidR="00AF592C" w:rsidRDefault="00AF592C" w:rsidP="00AF592C">
      <w:pPr>
        <w:autoSpaceDE w:val="0"/>
        <w:autoSpaceDN w:val="0"/>
        <w:adjustRightInd w:val="0"/>
        <w:spacing w:after="0" w:line="240" w:lineRule="auto"/>
        <w:jc w:val="both"/>
        <w:rPr>
          <w:rFonts w:ascii="Times New Roman" w:eastAsia="Aptos" w:hAnsi="Times New Roman" w:cs="Times New Roman"/>
          <w14:ligatures w14:val="none"/>
        </w:rPr>
      </w:pPr>
    </w:p>
    <w:p w14:paraId="705969D9" w14:textId="77777777" w:rsidR="00AF592C" w:rsidRPr="009D62D6" w:rsidRDefault="00AF592C" w:rsidP="00AF592C">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Act on the Constitutional Tribunal (print 254) and the Act on Provisions Implementing the Act on the Constitutional Tribunal (print 253) as prepared by a group of MPs and adopted by the Sejm on 24 July 2024 include a comprehensive political regulation on the Constitutional Tribunal. Compared to the current legal status, the Acts introduce the following key solutions: </w:t>
      </w:r>
    </w:p>
    <w:p w14:paraId="313EA23E"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Constitutional Tribunal will be obliged to investigate, ex officio, the procedure for issuing a challenged normative act for compliance with the Constitution (adoption procedure). This will be particularly important </w:t>
      </w:r>
      <w:proofErr w:type="gramStart"/>
      <w:r>
        <w:rPr>
          <w:rFonts w:ascii="Times New Roman" w:eastAsia="Aptos" w:hAnsi="Times New Roman" w:cs="Times New Roman"/>
          <w14:ligatures w14:val="none"/>
        </w:rPr>
        <w:t>with regard to</w:t>
      </w:r>
      <w:proofErr w:type="gramEnd"/>
      <w:r>
        <w:rPr>
          <w:rFonts w:ascii="Times New Roman" w:eastAsia="Aptos" w:hAnsi="Times New Roman" w:cs="Times New Roman"/>
          <w14:ligatures w14:val="none"/>
        </w:rPr>
        <w:t xml:space="preserve"> codes and acts which amend the codes where the rules of the Sejm provide for a special procedure, including the minimum time limits that </w:t>
      </w:r>
      <w:proofErr w:type="gramStart"/>
      <w:r>
        <w:rPr>
          <w:rFonts w:ascii="Times New Roman" w:eastAsia="Aptos" w:hAnsi="Times New Roman" w:cs="Times New Roman"/>
          <w14:ligatures w14:val="none"/>
        </w:rPr>
        <w:t>have to</w:t>
      </w:r>
      <w:proofErr w:type="gramEnd"/>
      <w:r>
        <w:rPr>
          <w:rFonts w:ascii="Times New Roman" w:eastAsia="Aptos" w:hAnsi="Times New Roman" w:cs="Times New Roman"/>
          <w14:ligatures w14:val="none"/>
        </w:rPr>
        <w:t xml:space="preserve"> be </w:t>
      </w:r>
      <w:proofErr w:type="gramStart"/>
      <w:r>
        <w:rPr>
          <w:rFonts w:ascii="Times New Roman" w:eastAsia="Aptos" w:hAnsi="Times New Roman" w:cs="Times New Roman"/>
          <w14:ligatures w14:val="none"/>
        </w:rPr>
        <w:t>observed;</w:t>
      </w:r>
      <w:proofErr w:type="gramEnd"/>
    </w:p>
    <w:p w14:paraId="4AE2FA77"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obligating the Constitutional Tribunal to ask a question referred for a preliminary ruling to the EU Court of Justice in the event mentioned in Article 267 of the Treaty on the Functioning of the European Union (doubts as to the interpretation of provisions of the EU law</w:t>
      </w:r>
      <w:proofErr w:type="gramStart"/>
      <w:r>
        <w:rPr>
          <w:rFonts w:ascii="Times New Roman" w:eastAsia="Aptos" w:hAnsi="Times New Roman" w:cs="Times New Roman"/>
          <w14:ligatures w14:val="none"/>
        </w:rPr>
        <w:t>);</w:t>
      </w:r>
      <w:proofErr w:type="gramEnd"/>
    </w:p>
    <w:p w14:paraId="00AF8E30"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 person aged 40 to 70 who has exceptional legal knowledge may be elected to the position of judge of the Tribunal. A person who held the mandate of a Member of Parliament, Senator, Member of the European Parliament or was a member of the Council of Ministers may be a candidate for the position of a judge of the Tribunal if since the expiry of the mandate or termination of the function of a member of the Council of Ministers at least four years have passed;</w:t>
      </w:r>
    </w:p>
    <w:p w14:paraId="69EE6A94"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introduction of the principle that all cases pending before the Constitutional Tribunal should be reviewed in an open </w:t>
      </w:r>
      <w:proofErr w:type="gramStart"/>
      <w:r>
        <w:rPr>
          <w:rFonts w:ascii="Times New Roman" w:eastAsia="Aptos" w:hAnsi="Times New Roman" w:cs="Times New Roman"/>
          <w14:ligatures w14:val="none"/>
        </w:rPr>
        <w:t>hearing;</w:t>
      </w:r>
      <w:proofErr w:type="gramEnd"/>
    </w:p>
    <w:p w14:paraId="7A7B90DF"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introducing the obligation to convene the General Assembly of Judges of the Constitutional Tribunal at least once a </w:t>
      </w:r>
      <w:proofErr w:type="gramStart"/>
      <w:r>
        <w:rPr>
          <w:rFonts w:ascii="Times New Roman" w:eastAsia="Aptos" w:hAnsi="Times New Roman" w:cs="Times New Roman"/>
          <w14:ligatures w14:val="none"/>
        </w:rPr>
        <w:t>month;</w:t>
      </w:r>
      <w:proofErr w:type="gramEnd"/>
    </w:p>
    <w:p w14:paraId="7171AFE6"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clarifying the rules for electing the president: a 3-year term of office </w:t>
      </w:r>
      <w:proofErr w:type="gramStart"/>
      <w:r>
        <w:rPr>
          <w:rFonts w:ascii="Times New Roman" w:eastAsia="Aptos" w:hAnsi="Times New Roman" w:cs="Times New Roman"/>
          <w14:ligatures w14:val="none"/>
        </w:rPr>
        <w:t>introduced;</w:t>
      </w:r>
      <w:proofErr w:type="gramEnd"/>
    </w:p>
    <w:p w14:paraId="3175F22F"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introducing the principle of appointing judges of the Constitutional Tribunal by a 3/5 majority vote in the presence of at least half of the statutory number of </w:t>
      </w:r>
      <w:proofErr w:type="gramStart"/>
      <w:r>
        <w:rPr>
          <w:rFonts w:ascii="Times New Roman" w:eastAsia="Aptos" w:hAnsi="Times New Roman" w:cs="Times New Roman"/>
          <w14:ligatures w14:val="none"/>
        </w:rPr>
        <w:t>MPs;</w:t>
      </w:r>
      <w:proofErr w:type="gramEnd"/>
    </w:p>
    <w:p w14:paraId="14D8B0A5"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expanding the group of entities authorized to nominate candidates for judges of the Constitutional Tribunal (e.g. the General Assembly of Judges of the Supreme Court and the Supreme Administrative Court, the National Chamber of Legal Advisers, the Polish Bar Council</w:t>
      </w:r>
      <w:proofErr w:type="gramStart"/>
      <w:r>
        <w:rPr>
          <w:rFonts w:ascii="Times New Roman" w:eastAsia="Aptos" w:hAnsi="Times New Roman" w:cs="Times New Roman"/>
          <w14:ligatures w14:val="none"/>
        </w:rPr>
        <w:t>);</w:t>
      </w:r>
      <w:proofErr w:type="gramEnd"/>
      <w:r>
        <w:rPr>
          <w:rFonts w:ascii="Times New Roman" w:eastAsia="Aptos" w:hAnsi="Times New Roman" w:cs="Times New Roman"/>
          <w14:ligatures w14:val="none"/>
        </w:rPr>
        <w:t xml:space="preserve"> </w:t>
      </w:r>
    </w:p>
    <w:p w14:paraId="57FD6CED" w14:textId="77777777" w:rsidR="00AF592C" w:rsidRPr="009D62D6" w:rsidRDefault="00AF592C" w:rsidP="00AF592C">
      <w:pPr>
        <w:numPr>
          <w:ilvl w:val="0"/>
          <w:numId w:val="12"/>
        </w:num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introducing the obligation to accept the oath from a judge of the Constitutional Tribunal elected by the Sejm within a specified period. </w:t>
      </w:r>
    </w:p>
    <w:p w14:paraId="3048A8C6" w14:textId="77777777" w:rsidR="00AF592C" w:rsidRPr="009D62D6" w:rsidRDefault="00AF592C" w:rsidP="00AF592C">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Act on Provisions Implementing the Act on the Constitutional Tribunal includes a basic provision on the invalidity of judgments issued by improperly composed panels of the Constitutional Tribunal (Article 9, paragraphs 1 and 2), while at the same time paragraph 4 reads that court judgments and final administrative decisions that are legally binding at the time of entry into force of the Act, issued in individual cases, based on the legal status established by the judgment issued by an improperly composed panel of the Constitutional Tribunal, remain in force. This is a provision that aims to protect citizens in their individual cases where the citizens often obtained </w:t>
      </w:r>
      <w:proofErr w:type="gramStart"/>
      <w:r>
        <w:rPr>
          <w:rFonts w:ascii="Times New Roman" w:eastAsia="Aptos" w:hAnsi="Times New Roman" w:cs="Times New Roman"/>
          <w14:ligatures w14:val="none"/>
        </w:rPr>
        <w:t>some kind of a</w:t>
      </w:r>
      <w:proofErr w:type="gramEnd"/>
      <w:r>
        <w:rPr>
          <w:rFonts w:ascii="Times New Roman" w:eastAsia="Aptos" w:hAnsi="Times New Roman" w:cs="Times New Roman"/>
          <w14:ligatures w14:val="none"/>
        </w:rPr>
        <w:t xml:space="preserve"> benefit (especially if the decision was made </w:t>
      </w:r>
      <w:proofErr w:type="gramStart"/>
      <w:r>
        <w:rPr>
          <w:rFonts w:ascii="Times New Roman" w:eastAsia="Aptos" w:hAnsi="Times New Roman" w:cs="Times New Roman"/>
          <w14:ligatures w14:val="none"/>
        </w:rPr>
        <w:t>as a result of</w:t>
      </w:r>
      <w:proofErr w:type="gramEnd"/>
      <w:r>
        <w:rPr>
          <w:rFonts w:ascii="Times New Roman" w:eastAsia="Aptos" w:hAnsi="Times New Roman" w:cs="Times New Roman"/>
          <w14:ligatures w14:val="none"/>
        </w:rPr>
        <w:t xml:space="preserve"> filing a constitutional complaint). </w:t>
      </w:r>
    </w:p>
    <w:p w14:paraId="6E7F8440" w14:textId="77777777" w:rsidR="00AF592C" w:rsidRPr="009D62D6" w:rsidRDefault="00AF592C" w:rsidP="00AF592C">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The new Act on the Constitutional Tribunal and the implementing provisions were adopted by the Sejm, together with the Senate’s amendments, in mid-September 2024. </w:t>
      </w:r>
    </w:p>
    <w:p w14:paraId="2D0180AA" w14:textId="77777777" w:rsidR="00AF592C" w:rsidRPr="009D62D6" w:rsidRDefault="00AF592C" w:rsidP="00AF592C">
      <w:pPr>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In the beginning of </w:t>
      </w:r>
      <w:proofErr w:type="gramStart"/>
      <w:r>
        <w:rPr>
          <w:rFonts w:ascii="Times New Roman" w:eastAsia="Aptos" w:hAnsi="Times New Roman" w:cs="Times New Roman"/>
          <w14:ligatures w14:val="none"/>
        </w:rPr>
        <w:t>October 2024</w:t>
      </w:r>
      <w:proofErr w:type="gramEnd"/>
      <w:r>
        <w:rPr>
          <w:rFonts w:ascii="Times New Roman" w:eastAsia="Aptos" w:hAnsi="Times New Roman" w:cs="Times New Roman"/>
          <w14:ligatures w14:val="none"/>
        </w:rPr>
        <w:t xml:space="preserve"> the President of the Republic of Poland referred these Acts to the authority incapable of fulfilling constitutional tasks of the Constitutional Tribunal, mentioning that he referred the said Acts to the Constitutional Tribunal “as part of the preventive inspection”. </w:t>
      </w:r>
    </w:p>
    <w:p w14:paraId="2DB1C583" w14:textId="77777777" w:rsidR="00AF592C" w:rsidRDefault="00AF592C" w:rsidP="00AF592C"/>
    <w:p w14:paraId="0D2FF5C6" w14:textId="77777777" w:rsidR="00E97DC4"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Appendix 21</w:t>
      </w:r>
    </w:p>
    <w:p w14:paraId="03F46A73" w14:textId="77777777" w:rsidR="00E97DC4"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p>
    <w:p w14:paraId="52A4761F"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Rules of Procedure of Common Courts have been considerably amended (cf. Regulation of the Minister of Justice of 6 February 2024 amending the Regulation on the Rules of Procedure of Common Courts, Journal of Laws item 149). The amendment prohibited review of motions to challenge a judge due to the method of judge appointment by judges appointed using the same procedure. Application of this solution prevents the judges appointed by the National Council of the Judiciary established pursuant to the Act of 8 December 2017, namely by the National Council of the Judiciary which raises concerns as to its independence, from participating in reviewing such motions.</w:t>
      </w:r>
    </w:p>
    <w:p w14:paraId="0A5473E2"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It should also be noted that such solutions were found incompatible with the Constitution in judgment of 16 May 2024, file No U 1/24, of the Constitutional Tribunal, whose capacity to perform the tasks of that authority should be challenged for reasons mentioned in the resolution of the Sejm of the Republic of Poland of 6 March 2024 on removal of consequences of the constitutional crisis in 2015-2023 in the context of activities of the Constitutional Tribunal (M.P. item 198).</w:t>
      </w:r>
    </w:p>
    <w:p w14:paraId="64EE58CD"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p>
    <w:p w14:paraId="26D1970D"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As part of the works intended to restore the rule of law, the Act of 6 March 2025 amending the Act on the System of Common Courts and the Act on the System of Military Courts (Journal of Laws item 526) was developed. The Act amended the rules for judicial secondments, in particular by introducing more explicit criteria for secondments, the obligation of the Minister of Justice to justify recalling from a secondment, introducing transparency in the proceedings concerning secondments of judges by making public the motives for each secondment and recalling from a secondment, as well as redefining the rules for granting salary allowances on account of secondment. Tighter regulations on judicial delegation increase the guarantee of a fair and public hearing of the case without undue delay by a competent, independent, impartial and independent court. The Act also serves to implement the judgment of the Court of Justice of the European Union of 16 November 2021 in Joined Cases C</w:t>
      </w:r>
      <w:r>
        <w:rPr>
          <w:rFonts w:ascii="Times New Roman" w:eastAsia="Aptos" w:hAnsi="Times New Roman" w:cs="Times New Roman"/>
          <w14:ligatures w14:val="none"/>
        </w:rPr>
        <w:noBreakHyphen/>
        <w:t>748/19 to C</w:t>
      </w:r>
      <w:r>
        <w:rPr>
          <w:rFonts w:ascii="Times New Roman" w:eastAsia="Aptos" w:hAnsi="Times New Roman" w:cs="Times New Roman"/>
          <w14:ligatures w14:val="none"/>
        </w:rPr>
        <w:noBreakHyphen/>
        <w:t>754/19. At the same time, it should be noted that regardless of the legislative changes underway, the effect of abandoning the instrumental treatment of judicial secondments, for example, as an element of gratification for judges involved in activities related to exerting political influence on the judiciary, has been achieved by changing the Minister’s practice in this regard.</w:t>
      </w:r>
    </w:p>
    <w:p w14:paraId="519C9AC0"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p>
    <w:p w14:paraId="7FE98718"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Legislative work on the bill amending the Act on the System of Common Courts and Certain Other Acts (UD 206) is underway. The bill assumes amending acts of law which govern the work of courts, judges and prosecutor in the area which had been regulated in particular by the Act of 20 December 2019 amending the Act on the System of Common Courts, Act on the Supreme Court, and Certain Other Acts (Journal of Laws of 2020 item 190, as amended), i.e. the so-called ‘muzzle’ regulations which, among others, introduced the prohibition to investigate the validity of a judge’s appointment, established a disciplinary offence in this regard, and introduced obligations relating to the submission of declarations of membership in social organisations. By abolishing such provisions, the bill aims to restore basic order in the widely understood justice system, to the extent it relates to judicial independence and the disciplinary liability of judges. In addition, this Act contains provisions aimed at increasing the level of self-governance of courts and democratising the work of their bodies, as well as introduces an amendment on the organisation of disciplinary courts and the institution of disciplinary spokespersons. </w:t>
      </w:r>
      <w:proofErr w:type="gramStart"/>
      <w:r>
        <w:rPr>
          <w:rFonts w:ascii="Times New Roman" w:eastAsia="Aptos" w:hAnsi="Times New Roman" w:cs="Times New Roman"/>
          <w14:ligatures w14:val="none"/>
        </w:rPr>
        <w:t>A number of</w:t>
      </w:r>
      <w:proofErr w:type="gramEnd"/>
      <w:r>
        <w:rPr>
          <w:rFonts w:ascii="Times New Roman" w:eastAsia="Aptos" w:hAnsi="Times New Roman" w:cs="Times New Roman"/>
          <w14:ligatures w14:val="none"/>
        </w:rPr>
        <w:t xml:space="preserve"> comments have been submitted to the bill </w:t>
      </w:r>
      <w:proofErr w:type="gramStart"/>
      <w:r>
        <w:rPr>
          <w:rFonts w:ascii="Times New Roman" w:eastAsia="Aptos" w:hAnsi="Times New Roman" w:cs="Times New Roman"/>
          <w14:ligatures w14:val="none"/>
        </w:rPr>
        <w:t>in the course of</w:t>
      </w:r>
      <w:proofErr w:type="gramEnd"/>
      <w:r>
        <w:rPr>
          <w:rFonts w:ascii="Times New Roman" w:eastAsia="Aptos" w:hAnsi="Times New Roman" w:cs="Times New Roman"/>
          <w14:ligatures w14:val="none"/>
        </w:rPr>
        <w:t xml:space="preserve"> arrangements, public consultations and expression of opinions, which are currently being </w:t>
      </w:r>
      <w:proofErr w:type="spellStart"/>
      <w:r>
        <w:rPr>
          <w:rFonts w:ascii="Times New Roman" w:eastAsia="Aptos" w:hAnsi="Times New Roman" w:cs="Times New Roman"/>
          <w14:ligatures w14:val="none"/>
        </w:rPr>
        <w:t>analyzed</w:t>
      </w:r>
      <w:proofErr w:type="spellEnd"/>
      <w:r>
        <w:rPr>
          <w:rFonts w:ascii="Times New Roman" w:eastAsia="Aptos" w:hAnsi="Times New Roman" w:cs="Times New Roman"/>
          <w14:ligatures w14:val="none"/>
        </w:rPr>
        <w:t xml:space="preserve"> in detail by the Ministry of Justice.</w:t>
      </w:r>
    </w:p>
    <w:p w14:paraId="3CF0B1A2"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p>
    <w:p w14:paraId="78DB6EE3"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Changes in the broadly understood system of justice also include the separation of the functions of the Minister of Justice and the Prosecutor General. This change is provided for in the bill on the Law on the Public Prosecutor’s Office and Certain Other Acts. On 15 July 2024, the said bill was included in the list of legislative and programmatic works of the Council of Ministers (UD95). On 5 December 2024, the bill was adopted by the Standing Committee of the Council of Ministers and referred for consideration to the Legal Committee, which has already concluded its deliberations.</w:t>
      </w:r>
    </w:p>
    <w:p w14:paraId="1539EEE8"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xml:space="preserve">Given the fact that the bill is currently in the final stage of review by the Legal Committee, it is expected to be considered at a meeting of the Council of Ministers </w:t>
      </w:r>
      <w:proofErr w:type="gramStart"/>
      <w:r>
        <w:rPr>
          <w:rFonts w:ascii="Times New Roman" w:eastAsia="Aptos" w:hAnsi="Times New Roman" w:cs="Times New Roman"/>
          <w14:ligatures w14:val="none"/>
        </w:rPr>
        <w:t>in the near future</w:t>
      </w:r>
      <w:proofErr w:type="gramEnd"/>
      <w:r>
        <w:rPr>
          <w:rFonts w:ascii="Times New Roman" w:eastAsia="Aptos" w:hAnsi="Times New Roman" w:cs="Times New Roman"/>
          <w14:ligatures w14:val="none"/>
        </w:rPr>
        <w:t>.</w:t>
      </w:r>
    </w:p>
    <w:p w14:paraId="6A8EF83F"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The main goals of the bill are to:</w:t>
      </w:r>
    </w:p>
    <w:p w14:paraId="09D66B0C"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separate the offices of the Minister of Justice and the Prosecutor General, which will result in separating the entire prosecutor’s office from the government administration,</w:t>
      </w:r>
    </w:p>
    <w:p w14:paraId="01D55CE4"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 establish the main body of the prosecutor’s office – the Prosecutor General, whose method of election and position in the system (election by the Sejm and Senate exclusively from among prosecutors with extensive professional experience, in a transparent procedure involving a wide range of entities entitled to nominate a candidate and public hearings of candidates, no connection with the function of the Minister of Justice, guarantees of independence) will ensure that the person managing the work of the prosecutor’s office who is the superior of all prosecutors will no longer be exposed to the risk of political influence.</w:t>
      </w:r>
    </w:p>
    <w:p w14:paraId="71594CC6"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At the same time, it should be stressed that the purpose of the bill is to limit the scope of the changes introduced to those necessary to urgently separate the functions of the Minister of Justice and the Prosecutor General, to elect the Prosecutor General to perform this function in the new political position, and to ensure that the prosecutor’s office works independent of any political influence.</w:t>
      </w:r>
    </w:p>
    <w:p w14:paraId="09E33FBF"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r>
        <w:rPr>
          <w:rFonts w:ascii="Times New Roman" w:eastAsia="Aptos" w:hAnsi="Times New Roman" w:cs="Times New Roman"/>
          <w14:ligatures w14:val="none"/>
        </w:rPr>
        <w:t>More far-reaching changes intended at reforming the prosecutor’s office will be considered as part of the works on a new, comprehensive regulation on the system and organisation of the prosecutor’s office, which is to be prepared by the Codification Commission of the System of the Judiciary and Prosecution. This task will also be carried out in cooperation with the new Prosecutor General, once elected.</w:t>
      </w:r>
    </w:p>
    <w:p w14:paraId="6E113782"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14:ligatures w14:val="none"/>
        </w:rPr>
      </w:pPr>
    </w:p>
    <w:p w14:paraId="258B6E1D" w14:textId="77777777" w:rsidR="00E97DC4" w:rsidRPr="000D1CBC" w:rsidRDefault="00E97DC4" w:rsidP="00E97DC4">
      <w:pPr>
        <w:autoSpaceDE w:val="0"/>
        <w:autoSpaceDN w:val="0"/>
        <w:adjustRightInd w:val="0"/>
        <w:spacing w:after="0" w:line="240" w:lineRule="auto"/>
        <w:jc w:val="both"/>
        <w:rPr>
          <w:rFonts w:ascii="Times New Roman" w:eastAsia="Aptos" w:hAnsi="Times New Roman" w:cs="Times New Roman"/>
          <w:highlight w:val="yellow"/>
          <w14:ligatures w14:val="none"/>
        </w:rPr>
      </w:pPr>
      <w:r>
        <w:rPr>
          <w:rFonts w:ascii="Times New Roman" w:eastAsia="Aptos" w:hAnsi="Times New Roman" w:cs="Times New Roman"/>
          <w14:ligatures w14:val="none"/>
        </w:rPr>
        <w:t>As regards restoring the constitutional order in the judiciary, including primarily the issue of judges appointed with the participation of the National Council of the Judiciary established pursuant to Article 9a of the Act of 12 May 2011 on the National Council of the Judiciary (so-called “neo-judges”), a number of solutions have been included in the bill on restoring the right to an independent and impartial court established on the basis of law by regulating the effects of resolutions adopted by the National Council of the Judiciary from 2018 to 2025. This bill is not yet the subject of official legislative work, since it has not been entered into the List of Legislative Works of the Council of Ministers. Still, in connection with the submission of its main assumptions for review by the Venice Commission, it was made available on 24 April 2025 in the Public Information Bulletin of the Ministry of Justice at https://www.gov.pl/web/sprawiedliwosc/projekt-ustawy-oprzywroceniuladukonstytucyjnego-w-sadownictwie (currently, the second version of the bill of 13 May 2025 is available at this address). The bill is at the conceptual stage.</w:t>
      </w:r>
    </w:p>
    <w:p w14:paraId="710C19FC" w14:textId="77777777" w:rsidR="00E97DC4" w:rsidRPr="000D1CBC" w:rsidRDefault="00E97DC4" w:rsidP="00E97DC4">
      <w:pPr>
        <w:spacing w:after="0" w:line="240" w:lineRule="auto"/>
        <w:jc w:val="both"/>
        <w:rPr>
          <w:rFonts w:ascii="Times New Roman" w:eastAsia="Aptos" w:hAnsi="Times New Roman" w:cs="Times New Roman"/>
          <w14:ligatures w14:val="none"/>
        </w:rPr>
      </w:pPr>
    </w:p>
    <w:p w14:paraId="784DD560" w14:textId="77777777" w:rsidR="00E97DC4" w:rsidRDefault="00E97DC4" w:rsidP="00E97DC4"/>
    <w:p w14:paraId="5CFFB564" w14:textId="77777777" w:rsidR="00E97DC4" w:rsidRDefault="00E97DC4" w:rsidP="00E97DC4"/>
    <w:p w14:paraId="0C87C55A" w14:textId="77777777" w:rsidR="00AF592C" w:rsidRPr="00837033" w:rsidRDefault="00AF592C" w:rsidP="00AF592C"/>
    <w:p w14:paraId="6905FA8E" w14:textId="77777777" w:rsidR="00A4043E" w:rsidRPr="00393BEA" w:rsidRDefault="00A4043E"/>
    <w:sectPr w:rsidR="00A4043E" w:rsidRPr="00393B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0E4A" w14:textId="77777777" w:rsidR="00E51DC4" w:rsidRDefault="00E51DC4" w:rsidP="00E51DC4">
      <w:pPr>
        <w:spacing w:after="0" w:line="240" w:lineRule="auto"/>
      </w:pPr>
      <w:r>
        <w:separator/>
      </w:r>
    </w:p>
  </w:endnote>
  <w:endnote w:type="continuationSeparator" w:id="0">
    <w:p w14:paraId="79B4CDBD" w14:textId="77777777" w:rsidR="00E51DC4" w:rsidRDefault="00E51DC4" w:rsidP="00E51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2695E" w14:textId="77777777" w:rsidR="00E51DC4" w:rsidRDefault="00E51DC4" w:rsidP="00E51DC4">
      <w:pPr>
        <w:spacing w:after="0" w:line="240" w:lineRule="auto"/>
      </w:pPr>
      <w:r>
        <w:separator/>
      </w:r>
    </w:p>
  </w:footnote>
  <w:footnote w:type="continuationSeparator" w:id="0">
    <w:p w14:paraId="1BBB9708" w14:textId="77777777" w:rsidR="00E51DC4" w:rsidRDefault="00E51DC4" w:rsidP="00E51DC4">
      <w:pPr>
        <w:spacing w:after="0" w:line="240" w:lineRule="auto"/>
      </w:pPr>
      <w:r>
        <w:continuationSeparator/>
      </w:r>
    </w:p>
  </w:footnote>
  <w:footnote w:id="1">
    <w:p w14:paraId="1D6FC40C" w14:textId="77777777" w:rsidR="00F55B5F" w:rsidRPr="00F66BB7" w:rsidRDefault="00F55B5F" w:rsidP="00F55B5F">
      <w:pPr>
        <w:pStyle w:val="FootnoteText"/>
        <w:rPr>
          <w:rFonts w:ascii="Calibri" w:hAnsi="Calibri" w:cs="Calibri"/>
          <w:sz w:val="18"/>
          <w:szCs w:val="18"/>
        </w:rPr>
      </w:pPr>
      <w:r>
        <w:rPr>
          <w:rStyle w:val="FootnoteReference"/>
          <w:rFonts w:ascii="Calibri" w:hAnsi="Calibri" w:cs="Calibri"/>
        </w:rPr>
        <w:footnoteRef/>
      </w:r>
      <w:r>
        <w:rPr>
          <w:rFonts w:ascii="Calibri" w:hAnsi="Calibri"/>
        </w:rPr>
        <w:t xml:space="preserve"> Data on the number of meetings and participants/recipients have been collected since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4D24326"/>
    <w:lvl w:ilvl="0">
      <w:numFmt w:val="bullet"/>
      <w:lvlText w:val="*"/>
      <w:lvlJc w:val="left"/>
    </w:lvl>
  </w:abstractNum>
  <w:abstractNum w:abstractNumId="1" w15:restartNumberingAfterBreak="0">
    <w:nsid w:val="130143BF"/>
    <w:multiLevelType w:val="hybridMultilevel"/>
    <w:tmpl w:val="948C2F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36659B7"/>
    <w:multiLevelType w:val="hybridMultilevel"/>
    <w:tmpl w:val="2F240344"/>
    <w:lvl w:ilvl="0" w:tplc="D898F8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6791A80"/>
    <w:multiLevelType w:val="hybridMultilevel"/>
    <w:tmpl w:val="C096D358"/>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3342373E"/>
    <w:multiLevelType w:val="hybridMultilevel"/>
    <w:tmpl w:val="F50EC3A6"/>
    <w:lvl w:ilvl="0" w:tplc="CCB6160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5B2D0DFE"/>
    <w:multiLevelType w:val="hybridMultilevel"/>
    <w:tmpl w:val="7FEE401E"/>
    <w:lvl w:ilvl="0" w:tplc="D34241B8">
      <w:start w:val="1"/>
      <w:numFmt w:val="lowerLetter"/>
      <w:lvlText w:val="%1)"/>
      <w:lvlJc w:val="left"/>
      <w:pPr>
        <w:ind w:left="1080" w:hanging="360"/>
      </w:pPr>
      <w:rPr>
        <w:rFonts w:ascii="Calibri Light" w:hAnsi="Calibri Light" w:cs="Calibri Light"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67863B7D"/>
    <w:multiLevelType w:val="hybridMultilevel"/>
    <w:tmpl w:val="FA9831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74CD27E5"/>
    <w:multiLevelType w:val="hybridMultilevel"/>
    <w:tmpl w:val="2DE4D9F4"/>
    <w:lvl w:ilvl="0" w:tplc="5ADAB278">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34084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518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5522468">
    <w:abstractNumId w:val="4"/>
  </w:num>
  <w:num w:numId="4" w16cid:durableId="1488280756">
    <w:abstractNumId w:val="0"/>
    <w:lvlOverride w:ilvl="0">
      <w:lvl w:ilvl="0">
        <w:start w:val="65535"/>
        <w:numFmt w:val="bullet"/>
        <w:lvlText w:val="-"/>
        <w:legacy w:legacy="1" w:legacySpace="0" w:legacyIndent="355"/>
        <w:lvlJc w:val="left"/>
        <w:rPr>
          <w:rFonts w:ascii="Calibri" w:hAnsi="Calibri" w:cs="Calibri" w:hint="default"/>
        </w:rPr>
      </w:lvl>
    </w:lvlOverride>
  </w:num>
  <w:num w:numId="5" w16cid:durableId="483857565">
    <w:abstractNumId w:val="0"/>
    <w:lvlOverride w:ilvl="0">
      <w:lvl w:ilvl="0">
        <w:start w:val="65535"/>
        <w:numFmt w:val="bullet"/>
        <w:lvlText w:val="-"/>
        <w:legacy w:legacy="1" w:legacySpace="0" w:legacyIndent="365"/>
        <w:lvlJc w:val="left"/>
        <w:rPr>
          <w:rFonts w:ascii="Calibri" w:hAnsi="Calibri" w:cs="Calibri" w:hint="default"/>
        </w:rPr>
      </w:lvl>
    </w:lvlOverride>
  </w:num>
  <w:num w:numId="6" w16cid:durableId="2057897291">
    <w:abstractNumId w:val="0"/>
    <w:lvlOverride w:ilvl="0">
      <w:lvl w:ilvl="0">
        <w:start w:val="65535"/>
        <w:numFmt w:val="bullet"/>
        <w:lvlText w:val="-"/>
        <w:legacy w:legacy="1" w:legacySpace="0" w:legacyIndent="346"/>
        <w:lvlJc w:val="left"/>
        <w:rPr>
          <w:rFonts w:ascii="Calibri" w:hAnsi="Calibri" w:cs="Calibri" w:hint="default"/>
        </w:rPr>
      </w:lvl>
    </w:lvlOverride>
  </w:num>
  <w:num w:numId="7" w16cid:durableId="900677962">
    <w:abstractNumId w:val="0"/>
    <w:lvlOverride w:ilvl="0">
      <w:lvl w:ilvl="0">
        <w:start w:val="65535"/>
        <w:numFmt w:val="bullet"/>
        <w:lvlText w:val="&gt;"/>
        <w:legacy w:legacy="1" w:legacySpace="0" w:legacyIndent="701"/>
        <w:lvlJc w:val="left"/>
        <w:rPr>
          <w:rFonts w:ascii="Calibri" w:hAnsi="Calibri" w:cs="Calibri" w:hint="default"/>
        </w:rPr>
      </w:lvl>
    </w:lvlOverride>
  </w:num>
  <w:num w:numId="8" w16cid:durableId="1817986657">
    <w:abstractNumId w:val="0"/>
    <w:lvlOverride w:ilvl="0">
      <w:lvl w:ilvl="0">
        <w:start w:val="65535"/>
        <w:numFmt w:val="bullet"/>
        <w:lvlText w:val="-"/>
        <w:legacy w:legacy="1" w:legacySpace="0" w:legacyIndent="341"/>
        <w:lvlJc w:val="left"/>
        <w:rPr>
          <w:rFonts w:ascii="Calibri" w:hAnsi="Calibri" w:cs="Calibri" w:hint="default"/>
        </w:rPr>
      </w:lvl>
    </w:lvlOverride>
  </w:num>
  <w:num w:numId="9" w16cid:durableId="7123128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10410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9980113">
    <w:abstractNumId w:val="3"/>
    <w:lvlOverride w:ilvl="0">
      <w:startOverride w:val="1"/>
    </w:lvlOverride>
    <w:lvlOverride w:ilvl="1"/>
    <w:lvlOverride w:ilvl="2"/>
    <w:lvlOverride w:ilvl="3"/>
    <w:lvlOverride w:ilvl="4"/>
    <w:lvlOverride w:ilvl="5"/>
    <w:lvlOverride w:ilvl="6"/>
    <w:lvlOverride w:ilvl="7"/>
    <w:lvlOverride w:ilvl="8"/>
  </w:num>
  <w:num w:numId="12" w16cid:durableId="961151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AD3167"/>
    <w:rsid w:val="0004171D"/>
    <w:rsid w:val="001B4592"/>
    <w:rsid w:val="002B447B"/>
    <w:rsid w:val="002F55CF"/>
    <w:rsid w:val="003048F7"/>
    <w:rsid w:val="00361F63"/>
    <w:rsid w:val="00393BEA"/>
    <w:rsid w:val="004709F6"/>
    <w:rsid w:val="004B47D3"/>
    <w:rsid w:val="0055701E"/>
    <w:rsid w:val="00674D0F"/>
    <w:rsid w:val="006B7554"/>
    <w:rsid w:val="00730A3F"/>
    <w:rsid w:val="007E511F"/>
    <w:rsid w:val="008E5FA2"/>
    <w:rsid w:val="00976619"/>
    <w:rsid w:val="009B0B28"/>
    <w:rsid w:val="009D3169"/>
    <w:rsid w:val="00A4043E"/>
    <w:rsid w:val="00A474FB"/>
    <w:rsid w:val="00AD3167"/>
    <w:rsid w:val="00AF592C"/>
    <w:rsid w:val="00B2491A"/>
    <w:rsid w:val="00B7440F"/>
    <w:rsid w:val="00B7454F"/>
    <w:rsid w:val="00BA58A2"/>
    <w:rsid w:val="00BC0EA5"/>
    <w:rsid w:val="00C91E47"/>
    <w:rsid w:val="00CB701A"/>
    <w:rsid w:val="00E51DC4"/>
    <w:rsid w:val="00E7324F"/>
    <w:rsid w:val="00E97DC4"/>
    <w:rsid w:val="00EB24D1"/>
    <w:rsid w:val="00EE242B"/>
    <w:rsid w:val="00EF5459"/>
    <w:rsid w:val="00F55B5F"/>
    <w:rsid w:val="00FA7F23"/>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94B838"/>
  <w15:chartTrackingRefBased/>
  <w15:docId w15:val="{F8FF5465-6BC1-4EE5-87D6-ED33FD2F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167"/>
  </w:style>
  <w:style w:type="paragraph" w:styleId="Heading1">
    <w:name w:val="heading 1"/>
    <w:basedOn w:val="Normal"/>
    <w:next w:val="Normal"/>
    <w:link w:val="Heading1Char"/>
    <w:uiPriority w:val="9"/>
    <w:qFormat/>
    <w:rsid w:val="00AD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16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AD316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D316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D316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D316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D316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D316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D316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D316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D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16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D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16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D3167"/>
    <w:pPr>
      <w:spacing w:before="160"/>
      <w:jc w:val="center"/>
    </w:pPr>
    <w:rPr>
      <w:i/>
      <w:iCs/>
      <w:color w:val="404040" w:themeColor="text1" w:themeTint="BF"/>
    </w:rPr>
  </w:style>
  <w:style w:type="character" w:customStyle="1" w:styleId="QuoteChar">
    <w:name w:val="Quote Char"/>
    <w:basedOn w:val="DefaultParagraphFont"/>
    <w:link w:val="Quote"/>
    <w:uiPriority w:val="29"/>
    <w:rsid w:val="00AD3167"/>
    <w:rPr>
      <w:i/>
      <w:iCs/>
      <w:color w:val="404040" w:themeColor="text1" w:themeTint="BF"/>
      <w:lang w:val="en-GB"/>
    </w:rPr>
  </w:style>
  <w:style w:type="paragraph" w:styleId="ListParagraph">
    <w:name w:val="List Paragraph"/>
    <w:basedOn w:val="Normal"/>
    <w:uiPriority w:val="34"/>
    <w:qFormat/>
    <w:rsid w:val="00AD3167"/>
    <w:pPr>
      <w:ind w:left="720"/>
      <w:contextualSpacing/>
    </w:pPr>
  </w:style>
  <w:style w:type="character" w:styleId="IntenseEmphasis">
    <w:name w:val="Intense Emphasis"/>
    <w:basedOn w:val="DefaultParagraphFont"/>
    <w:uiPriority w:val="21"/>
    <w:qFormat/>
    <w:rsid w:val="00AD3167"/>
    <w:rPr>
      <w:i/>
      <w:iCs/>
      <w:color w:val="0F4761" w:themeColor="accent1" w:themeShade="BF"/>
    </w:rPr>
  </w:style>
  <w:style w:type="paragraph" w:styleId="IntenseQuote">
    <w:name w:val="Intense Quote"/>
    <w:basedOn w:val="Normal"/>
    <w:next w:val="Normal"/>
    <w:link w:val="IntenseQuoteChar"/>
    <w:uiPriority w:val="30"/>
    <w:qFormat/>
    <w:rsid w:val="00AD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167"/>
    <w:rPr>
      <w:i/>
      <w:iCs/>
      <w:color w:val="0F4761" w:themeColor="accent1" w:themeShade="BF"/>
      <w:lang w:val="en-GB"/>
    </w:rPr>
  </w:style>
  <w:style w:type="character" w:styleId="IntenseReference">
    <w:name w:val="Intense Reference"/>
    <w:basedOn w:val="DefaultParagraphFont"/>
    <w:uiPriority w:val="32"/>
    <w:qFormat/>
    <w:rsid w:val="00AD3167"/>
    <w:rPr>
      <w:b/>
      <w:bCs/>
      <w:smallCaps/>
      <w:color w:val="0F4761" w:themeColor="accent1" w:themeShade="BF"/>
      <w:spacing w:val="5"/>
    </w:rPr>
  </w:style>
  <w:style w:type="paragraph" w:styleId="Header">
    <w:name w:val="header"/>
    <w:basedOn w:val="Normal"/>
    <w:link w:val="HeaderChar"/>
    <w:uiPriority w:val="99"/>
    <w:unhideWhenUsed/>
    <w:rsid w:val="00E51D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51DC4"/>
  </w:style>
  <w:style w:type="paragraph" w:styleId="Footer">
    <w:name w:val="footer"/>
    <w:basedOn w:val="Normal"/>
    <w:link w:val="FooterChar"/>
    <w:uiPriority w:val="99"/>
    <w:unhideWhenUsed/>
    <w:rsid w:val="00E51DC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51DC4"/>
  </w:style>
  <w:style w:type="paragraph" w:styleId="FootnoteText">
    <w:name w:val="footnote text"/>
    <w:basedOn w:val="Normal"/>
    <w:link w:val="FootnoteTextChar"/>
    <w:uiPriority w:val="99"/>
    <w:semiHidden/>
    <w:unhideWhenUsed/>
    <w:rsid w:val="00F55B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5B5F"/>
    <w:rPr>
      <w:sz w:val="20"/>
      <w:szCs w:val="20"/>
    </w:rPr>
  </w:style>
  <w:style w:type="character" w:styleId="FootnoteReference">
    <w:name w:val="footnote reference"/>
    <w:aliases w:val="Odwołanie przypisu,Footnote Refernece,BVI fnr,Footnote symbol,SUPERS,(Footnote Reference),Footnote,Voetnootverwijzing,Times 10 Point,Exposant 3 Point,Footnote reference number,note TESI,EN Footnote Reference,FZ,callo,4_G"/>
    <w:uiPriority w:val="99"/>
    <w:qFormat/>
    <w:rsid w:val="00F55B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sap.sejm.gov.pl/isap.nsf/DocDetails.xsp?id=WDU20240001579" TargetMode="External"/><Relationship Id="rId18" Type="http://schemas.openxmlformats.org/officeDocument/2006/relationships/hyperlink" Target="https://isap.sejm.gov.pl/isap.nsf/DocDetails.xsp?id=WDU20250000059" TargetMode="External"/><Relationship Id="rId3" Type="http://schemas.openxmlformats.org/officeDocument/2006/relationships/customXml" Target="../customXml/item3.xml"/><Relationship Id="rId21" Type="http://schemas.openxmlformats.org/officeDocument/2006/relationships/hyperlink" Target="https://www.funduszsprawiedliwosci.gov.pl/pl/znajdz-osrodek-pomocy/" TargetMode="External"/><Relationship Id="rId7" Type="http://schemas.openxmlformats.org/officeDocument/2006/relationships/webSettings" Target="webSettings.xml"/><Relationship Id="rId12" Type="http://schemas.openxmlformats.org/officeDocument/2006/relationships/hyperlink" Target="https://isap.sejm.gov.pl/isap.nsf/DocDetails.xsp?id=WDU20240001159" TargetMode="External"/><Relationship Id="rId17" Type="http://schemas.openxmlformats.org/officeDocument/2006/relationships/hyperlink" Target="https://isap.sejm.gov.pl/isap.nsf/DocDetails.xsp?id=WDU20240001645" TargetMode="External"/><Relationship Id="rId2" Type="http://schemas.openxmlformats.org/officeDocument/2006/relationships/customXml" Target="../customXml/item2.xml"/><Relationship Id="rId16" Type="http://schemas.openxmlformats.org/officeDocument/2006/relationships/hyperlink" Target="https://isap.sejm.gov.pl/isap.nsf/DocDetails.xsp?id=WDU20240001477" TargetMode="External"/><Relationship Id="rId20" Type="http://schemas.openxmlformats.org/officeDocument/2006/relationships/hyperlink" Target="https://www.gov.pl/web/sprawiedliwosc/warto-wiedzie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isap.sejm.gov.pl/isap.nsf/DocDetails.xsp?id=WDU20240001659" TargetMode="Externa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isap.sejm.gov.pl/isap.nsf/DocDetails.xsp?id=WDU2025000016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sap.sejm.gov.pl/isap.nsf/DocDetails.xsp?id=WDU20240001658"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2026-01-26T09:16:31+00:00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D3C925-AC00-4CF7-86DF-7883E91823B0}">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A6A991AE-F51D-4BAA-812E-D6CA079407B6}">
  <ds:schemaRefs>
    <ds:schemaRef ds:uri="http://schemas.microsoft.com/sharepoint/v3/contenttype/forms"/>
  </ds:schemaRefs>
</ds:datastoreItem>
</file>

<file path=customXml/itemProps3.xml><?xml version="1.0" encoding="utf-8"?>
<ds:datastoreItem xmlns:ds="http://schemas.openxmlformats.org/officeDocument/2006/customXml" ds:itemID="{30523742-9819-4333-9933-C0C3E5C32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12775</Words>
  <Characters>72821</Characters>
  <Application>Microsoft Office Word</Application>
  <DocSecurity>0</DocSecurity>
  <Lines>606</Lines>
  <Paragraphs>170</Paragraphs>
  <ScaleCrop>false</ScaleCrop>
  <Company/>
  <LinksUpToDate>false</LinksUpToDate>
  <CharactersWithSpaces>85426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Balmaceda</dc:creator>
  <cp:keywords/>
  <dc:description/>
  <cp:lastModifiedBy>Cherry Balmaceda</cp:lastModifiedBy>
  <cp:revision>2</cp:revision>
  <dcterms:created xsi:type="dcterms:W3CDTF">2026-01-26T11:54:00Z</dcterms:created>
  <dcterms:modified xsi:type="dcterms:W3CDTF">2026-01-26T11:54:00Z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