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3421A" w14:textId="77777777" w:rsidR="00BF7050" w:rsidRDefault="00BF7050">
      <w:pPr>
        <w:pStyle w:val="Body"/>
        <w:rPr>
          <w:b/>
          <w:bCs/>
        </w:rPr>
      </w:pPr>
    </w:p>
    <w:p w14:paraId="545BC4AC" w14:textId="77777777" w:rsidR="00BF7050" w:rsidRDefault="00BF7050">
      <w:pPr>
        <w:pStyle w:val="Body"/>
        <w:rPr>
          <w:b/>
          <w:bCs/>
        </w:rPr>
      </w:pPr>
    </w:p>
    <w:p w14:paraId="5F94E388" w14:textId="77777777" w:rsidR="00BF7050" w:rsidRDefault="00C255AF">
      <w:pPr>
        <w:pStyle w:val="Body"/>
        <w:rPr>
          <w:b/>
          <w:bCs/>
          <w:sz w:val="48"/>
          <w:szCs w:val="48"/>
        </w:rPr>
      </w:pPr>
      <w:r>
        <w:rPr>
          <w:b/>
          <w:bCs/>
          <w:sz w:val="48"/>
          <w:szCs w:val="48"/>
          <w:lang w:val="en-US"/>
        </w:rPr>
        <w:t>Fem-R’s submission on Finland to the UN Committee on the Elimination of Discrimination against Women</w:t>
      </w:r>
    </w:p>
    <w:p w14:paraId="6DE9CB92" w14:textId="77777777" w:rsidR="00BF7050" w:rsidRDefault="00BF7050">
      <w:pPr>
        <w:pStyle w:val="Body"/>
        <w:rPr>
          <w:b/>
          <w:bCs/>
          <w:sz w:val="48"/>
          <w:szCs w:val="48"/>
          <w:lang w:val="en-US"/>
        </w:rPr>
      </w:pPr>
    </w:p>
    <w:p w14:paraId="3D3380D9" w14:textId="77777777" w:rsidR="00BF7050" w:rsidRDefault="00C255AF">
      <w:pPr>
        <w:pStyle w:val="Body"/>
        <w:rPr>
          <w:b/>
          <w:bCs/>
          <w:i/>
          <w:iCs/>
          <w:sz w:val="48"/>
          <w:szCs w:val="48"/>
        </w:rPr>
      </w:pPr>
      <w:r>
        <w:rPr>
          <w:b/>
          <w:bCs/>
          <w:i/>
          <w:iCs/>
          <w:sz w:val="48"/>
          <w:szCs w:val="48"/>
          <w:lang w:val="en-US"/>
        </w:rPr>
        <w:t>83</w:t>
      </w:r>
      <w:r>
        <w:rPr>
          <w:b/>
          <w:bCs/>
          <w:i/>
          <w:iCs/>
          <w:sz w:val="48"/>
          <w:szCs w:val="48"/>
          <w:vertAlign w:val="superscript"/>
          <w:lang w:val="en-US"/>
        </w:rPr>
        <w:t>rd</w:t>
      </w:r>
      <w:r>
        <w:rPr>
          <w:b/>
          <w:bCs/>
          <w:i/>
          <w:iCs/>
          <w:sz w:val="48"/>
          <w:szCs w:val="48"/>
          <w:lang w:val="en-US"/>
        </w:rPr>
        <w:t xml:space="preserve"> Session, October 10-28, 2022</w:t>
      </w:r>
    </w:p>
    <w:p w14:paraId="7BE2D261" w14:textId="77777777" w:rsidR="00BF7050" w:rsidRDefault="00BF7050">
      <w:pPr>
        <w:pStyle w:val="Body"/>
        <w:rPr>
          <w:b/>
          <w:bCs/>
          <w:i/>
          <w:iCs/>
          <w:sz w:val="48"/>
          <w:szCs w:val="48"/>
          <w:lang w:val="en-US"/>
        </w:rPr>
      </w:pPr>
    </w:p>
    <w:p w14:paraId="47ADD35E" w14:textId="77777777" w:rsidR="00BF7050" w:rsidRDefault="00BF7050">
      <w:pPr>
        <w:pStyle w:val="Body"/>
        <w:rPr>
          <w:b/>
          <w:bCs/>
          <w:i/>
          <w:iCs/>
          <w:lang w:val="en-US"/>
        </w:rPr>
      </w:pPr>
    </w:p>
    <w:p w14:paraId="72928800" w14:textId="77777777" w:rsidR="00BF7050" w:rsidRDefault="00BF7050">
      <w:pPr>
        <w:pStyle w:val="Body"/>
        <w:rPr>
          <w:sz w:val="26"/>
          <w:szCs w:val="26"/>
        </w:rPr>
      </w:pPr>
    </w:p>
    <w:p w14:paraId="7A785372" w14:textId="77777777" w:rsidR="00BF7050" w:rsidRDefault="00BF7050">
      <w:pPr>
        <w:pStyle w:val="Body"/>
        <w:rPr>
          <w:sz w:val="26"/>
          <w:szCs w:val="26"/>
        </w:rPr>
      </w:pPr>
    </w:p>
    <w:p w14:paraId="75262888" w14:textId="77777777" w:rsidR="00BF7050" w:rsidRDefault="00BF7050">
      <w:pPr>
        <w:pStyle w:val="Body"/>
        <w:rPr>
          <w:sz w:val="26"/>
          <w:szCs w:val="26"/>
        </w:rPr>
      </w:pPr>
    </w:p>
    <w:p w14:paraId="53EDEDCE" w14:textId="77777777" w:rsidR="00BF7050" w:rsidRDefault="00BF7050">
      <w:pPr>
        <w:pStyle w:val="Body"/>
        <w:rPr>
          <w:sz w:val="26"/>
          <w:szCs w:val="26"/>
        </w:rPr>
      </w:pPr>
    </w:p>
    <w:p w14:paraId="69C8D02D" w14:textId="77777777" w:rsidR="00BF7050" w:rsidRDefault="00BF7050">
      <w:pPr>
        <w:pStyle w:val="Body"/>
        <w:rPr>
          <w:sz w:val="26"/>
          <w:szCs w:val="26"/>
        </w:rPr>
      </w:pPr>
    </w:p>
    <w:p w14:paraId="57E72E1B" w14:textId="77777777" w:rsidR="00BF7050" w:rsidRDefault="00BF7050">
      <w:pPr>
        <w:pStyle w:val="Body"/>
        <w:rPr>
          <w:sz w:val="26"/>
          <w:szCs w:val="26"/>
        </w:rPr>
      </w:pPr>
    </w:p>
    <w:p w14:paraId="5AE0A0E4" w14:textId="77777777" w:rsidR="00BF7050" w:rsidRDefault="00BF7050">
      <w:pPr>
        <w:pStyle w:val="Body"/>
        <w:rPr>
          <w:sz w:val="26"/>
          <w:szCs w:val="26"/>
        </w:rPr>
      </w:pPr>
    </w:p>
    <w:p w14:paraId="768937EC" w14:textId="77777777" w:rsidR="00BF7050" w:rsidRDefault="00C255AF">
      <w:pPr>
        <w:pStyle w:val="Body"/>
        <w:rPr>
          <w:sz w:val="32"/>
          <w:szCs w:val="32"/>
        </w:rPr>
      </w:pPr>
      <w:r>
        <w:rPr>
          <w:sz w:val="32"/>
          <w:szCs w:val="32"/>
          <w:lang w:val="en-US"/>
        </w:rPr>
        <w:t xml:space="preserve">Fem-R is a feminist and anti-racist civil society </w:t>
      </w:r>
      <w:proofErr w:type="spellStart"/>
      <w:r>
        <w:rPr>
          <w:sz w:val="32"/>
          <w:szCs w:val="32"/>
          <w:lang w:val="en-US"/>
        </w:rPr>
        <w:t>organisation</w:t>
      </w:r>
      <w:proofErr w:type="spellEnd"/>
      <w:r>
        <w:rPr>
          <w:sz w:val="32"/>
          <w:szCs w:val="32"/>
          <w:lang w:val="en-US"/>
        </w:rPr>
        <w:t xml:space="preserve"> that aims to </w:t>
      </w:r>
      <w:r>
        <w:rPr>
          <w:sz w:val="32"/>
          <w:szCs w:val="32"/>
        </w:rPr>
        <w:t>amplify</w:t>
      </w:r>
      <w:r>
        <w:rPr>
          <w:sz w:val="32"/>
          <w:szCs w:val="32"/>
          <w:lang w:val="en-US"/>
        </w:rPr>
        <w:t xml:space="preserve"> the voices of </w:t>
      </w:r>
      <w:proofErr w:type="spellStart"/>
      <w:r>
        <w:rPr>
          <w:sz w:val="32"/>
          <w:szCs w:val="32"/>
          <w:lang w:val="en-US"/>
        </w:rPr>
        <w:t>raciali</w:t>
      </w:r>
      <w:r>
        <w:rPr>
          <w:sz w:val="32"/>
          <w:szCs w:val="32"/>
          <w:lang w:val="en-US"/>
        </w:rPr>
        <w:t>s</w:t>
      </w:r>
      <w:r>
        <w:rPr>
          <w:sz w:val="32"/>
          <w:szCs w:val="32"/>
          <w:lang w:val="en-US"/>
        </w:rPr>
        <w:t>ed</w:t>
      </w:r>
      <w:proofErr w:type="spellEnd"/>
      <w:r>
        <w:rPr>
          <w:sz w:val="32"/>
          <w:szCs w:val="32"/>
          <w:lang w:val="en-US"/>
        </w:rPr>
        <w:t xml:space="preserve"> people in Finnish society and build </w:t>
      </w:r>
      <w:r>
        <w:rPr>
          <w:sz w:val="32"/>
          <w:szCs w:val="32"/>
        </w:rPr>
        <w:t xml:space="preserve">an </w:t>
      </w:r>
      <w:r>
        <w:rPr>
          <w:sz w:val="32"/>
          <w:szCs w:val="32"/>
          <w:lang w:val="en-US"/>
        </w:rPr>
        <w:t xml:space="preserve">equal and safer Finland for </w:t>
      </w:r>
      <w:r>
        <w:rPr>
          <w:sz w:val="32"/>
          <w:szCs w:val="32"/>
        </w:rPr>
        <w:t>everyone</w:t>
      </w:r>
      <w:r>
        <w:rPr>
          <w:sz w:val="32"/>
          <w:szCs w:val="32"/>
          <w:lang w:val="en-US"/>
        </w:rPr>
        <w:t xml:space="preserve">. Fem-R provides a platform for </w:t>
      </w:r>
      <w:proofErr w:type="spellStart"/>
      <w:r>
        <w:rPr>
          <w:sz w:val="32"/>
          <w:szCs w:val="32"/>
          <w:lang w:val="en-US"/>
        </w:rPr>
        <w:t>racialised</w:t>
      </w:r>
      <w:proofErr w:type="spellEnd"/>
      <w:r>
        <w:rPr>
          <w:sz w:val="32"/>
          <w:szCs w:val="32"/>
          <w:lang w:val="en-US"/>
        </w:rPr>
        <w:t xml:space="preserve"> people to interact, participate, advocate and network in Finland. The </w:t>
      </w:r>
      <w:proofErr w:type="spellStart"/>
      <w:r>
        <w:rPr>
          <w:sz w:val="32"/>
          <w:szCs w:val="32"/>
          <w:lang w:val="en-US"/>
        </w:rPr>
        <w:t>organisation</w:t>
      </w:r>
      <w:proofErr w:type="spellEnd"/>
      <w:r>
        <w:rPr>
          <w:sz w:val="32"/>
          <w:szCs w:val="32"/>
          <w:lang w:val="en-US"/>
        </w:rPr>
        <w:t xml:space="preserve"> is run by </w:t>
      </w:r>
      <w:proofErr w:type="spellStart"/>
      <w:r>
        <w:rPr>
          <w:sz w:val="32"/>
          <w:szCs w:val="32"/>
          <w:lang w:val="en-US"/>
        </w:rPr>
        <w:t>raciali</w:t>
      </w:r>
      <w:r>
        <w:rPr>
          <w:sz w:val="32"/>
          <w:szCs w:val="32"/>
          <w:lang w:val="en-US"/>
        </w:rPr>
        <w:t>s</w:t>
      </w:r>
      <w:proofErr w:type="spellEnd"/>
      <w:r>
        <w:rPr>
          <w:sz w:val="32"/>
          <w:szCs w:val="32"/>
        </w:rPr>
        <w:t>ed people</w:t>
      </w:r>
      <w:r>
        <w:rPr>
          <w:sz w:val="32"/>
          <w:szCs w:val="32"/>
          <w:lang w:val="en-US"/>
        </w:rPr>
        <w:t xml:space="preserve"> f</w:t>
      </w:r>
      <w:r>
        <w:rPr>
          <w:sz w:val="32"/>
          <w:szCs w:val="32"/>
          <w:lang w:val="en-US"/>
        </w:rPr>
        <w:t xml:space="preserve">or </w:t>
      </w:r>
      <w:proofErr w:type="spellStart"/>
      <w:r>
        <w:rPr>
          <w:sz w:val="32"/>
          <w:szCs w:val="32"/>
          <w:lang w:val="en-US"/>
        </w:rPr>
        <w:t>raciali</w:t>
      </w:r>
      <w:r>
        <w:rPr>
          <w:sz w:val="32"/>
          <w:szCs w:val="32"/>
          <w:lang w:val="en-US"/>
        </w:rPr>
        <w:t>s</w:t>
      </w:r>
      <w:r>
        <w:rPr>
          <w:sz w:val="32"/>
          <w:szCs w:val="32"/>
          <w:lang w:val="en-US"/>
        </w:rPr>
        <w:t>ed</w:t>
      </w:r>
      <w:proofErr w:type="spellEnd"/>
      <w:r>
        <w:rPr>
          <w:sz w:val="32"/>
          <w:szCs w:val="32"/>
          <w:lang w:val="en-US"/>
        </w:rPr>
        <w:t xml:space="preserve"> </w:t>
      </w:r>
      <w:proofErr w:type="spellStart"/>
      <w:r>
        <w:rPr>
          <w:sz w:val="32"/>
          <w:szCs w:val="32"/>
          <w:lang w:val="en-US"/>
        </w:rPr>
        <w:t>peopl</w:t>
      </w:r>
      <w:proofErr w:type="spellEnd"/>
      <w:r>
        <w:rPr>
          <w:sz w:val="32"/>
          <w:szCs w:val="32"/>
        </w:rPr>
        <w:t xml:space="preserve">e. </w:t>
      </w:r>
      <w:proofErr w:type="gramStart"/>
      <w:r>
        <w:rPr>
          <w:sz w:val="32"/>
          <w:szCs w:val="32"/>
        </w:rPr>
        <w:t>A</w:t>
      </w:r>
      <w:proofErr w:type="spellStart"/>
      <w:r>
        <w:rPr>
          <w:sz w:val="32"/>
          <w:szCs w:val="32"/>
          <w:lang w:val="en-US"/>
        </w:rPr>
        <w:t>ll</w:t>
      </w:r>
      <w:proofErr w:type="spellEnd"/>
      <w:r>
        <w:rPr>
          <w:sz w:val="32"/>
          <w:szCs w:val="32"/>
          <w:lang w:val="en-US"/>
        </w:rPr>
        <w:t xml:space="preserve"> of</w:t>
      </w:r>
      <w:proofErr w:type="gramEnd"/>
      <w:r>
        <w:rPr>
          <w:sz w:val="32"/>
          <w:szCs w:val="32"/>
          <w:lang w:val="en-US"/>
        </w:rPr>
        <w:t xml:space="preserve"> its activities and actions are based on</w:t>
      </w:r>
      <w:r>
        <w:rPr>
          <w:sz w:val="32"/>
          <w:szCs w:val="32"/>
        </w:rPr>
        <w:t xml:space="preserve"> </w:t>
      </w:r>
      <w:r>
        <w:rPr>
          <w:sz w:val="32"/>
          <w:szCs w:val="32"/>
          <w:lang w:val="en-US"/>
        </w:rPr>
        <w:t>intersectional feminism</w:t>
      </w:r>
      <w:r>
        <w:rPr>
          <w:sz w:val="32"/>
          <w:szCs w:val="32"/>
        </w:rPr>
        <w:t xml:space="preserve">, </w:t>
      </w:r>
      <w:r w:rsidRPr="00C255AF">
        <w:rPr>
          <w:sz w:val="32"/>
          <w:szCs w:val="32"/>
        </w:rPr>
        <w:t>anti-racism</w:t>
      </w:r>
      <w:r>
        <w:rPr>
          <w:sz w:val="32"/>
          <w:szCs w:val="32"/>
        </w:rPr>
        <w:t>, and</w:t>
      </w:r>
      <w:r>
        <w:rPr>
          <w:sz w:val="32"/>
          <w:szCs w:val="32"/>
        </w:rPr>
        <w:t xml:space="preserve"> the safe space </w:t>
      </w:r>
      <w:r>
        <w:rPr>
          <w:sz w:val="32"/>
          <w:szCs w:val="32"/>
          <w:lang w:val="en-US"/>
        </w:rPr>
        <w:t xml:space="preserve">principles. Fem-R adds a feminist and anti-racist viewpoint to the Finnish </w:t>
      </w:r>
      <w:r>
        <w:rPr>
          <w:sz w:val="32"/>
          <w:szCs w:val="32"/>
        </w:rPr>
        <w:t xml:space="preserve">public </w:t>
      </w:r>
      <w:r>
        <w:rPr>
          <w:sz w:val="32"/>
          <w:szCs w:val="32"/>
          <w:lang w:val="en-US"/>
        </w:rPr>
        <w:t xml:space="preserve">discourse where </w:t>
      </w:r>
      <w:proofErr w:type="spellStart"/>
      <w:r>
        <w:rPr>
          <w:sz w:val="32"/>
          <w:szCs w:val="32"/>
          <w:lang w:val="en-US"/>
        </w:rPr>
        <w:t>racialised</w:t>
      </w:r>
      <w:proofErr w:type="spellEnd"/>
      <w:r>
        <w:rPr>
          <w:sz w:val="32"/>
          <w:szCs w:val="32"/>
          <w:lang w:val="en-US"/>
        </w:rPr>
        <w:t xml:space="preserve"> people are often treated as subjects rather than as agents.</w:t>
      </w:r>
    </w:p>
    <w:p w14:paraId="0933448F" w14:textId="77777777" w:rsidR="00BF7050" w:rsidRDefault="00BF7050">
      <w:pPr>
        <w:pStyle w:val="Body"/>
      </w:pPr>
    </w:p>
    <w:p w14:paraId="0ED9E41D" w14:textId="77777777" w:rsidR="00BF7050" w:rsidRDefault="00BF7050">
      <w:pPr>
        <w:pStyle w:val="Body"/>
        <w:rPr>
          <w:b/>
          <w:bCs/>
          <w:i/>
          <w:iCs/>
        </w:rPr>
      </w:pPr>
    </w:p>
    <w:p w14:paraId="5810EEEC" w14:textId="77777777" w:rsidR="00BF7050" w:rsidRDefault="00BF7050">
      <w:pPr>
        <w:pStyle w:val="Body"/>
        <w:rPr>
          <w:b/>
          <w:bCs/>
          <w:i/>
          <w:iCs/>
        </w:rPr>
      </w:pPr>
    </w:p>
    <w:p w14:paraId="1CAAAB07" w14:textId="77777777" w:rsidR="00BF7050" w:rsidRDefault="00BF7050">
      <w:pPr>
        <w:pStyle w:val="Body"/>
        <w:rPr>
          <w:b/>
          <w:bCs/>
          <w:i/>
          <w:iCs/>
        </w:rPr>
      </w:pPr>
    </w:p>
    <w:p w14:paraId="5A6FF678" w14:textId="77777777" w:rsidR="00BF7050" w:rsidRDefault="00C255AF">
      <w:pPr>
        <w:pStyle w:val="Body"/>
      </w:pPr>
      <w:r>
        <w:rPr>
          <w:rFonts w:ascii="Arial Unicode MS" w:hAnsi="Arial Unicode MS"/>
          <w:lang w:val="en-US"/>
        </w:rPr>
        <w:br w:type="page"/>
      </w:r>
    </w:p>
    <w:p w14:paraId="144F4C03" w14:textId="77777777" w:rsidR="00BF7050" w:rsidRDefault="00C255AF">
      <w:pPr>
        <w:pStyle w:val="Body"/>
      </w:pPr>
      <w:r>
        <w:rPr>
          <w:sz w:val="26"/>
          <w:szCs w:val="26"/>
        </w:rPr>
        <w:lastRenderedPageBreak/>
        <w:tab/>
      </w:r>
    </w:p>
    <w:p w14:paraId="4123D094" w14:textId="77777777" w:rsidR="00BF7050" w:rsidRDefault="00C255AF">
      <w:pPr>
        <w:pStyle w:val="Body"/>
        <w:spacing w:line="276" w:lineRule="auto"/>
      </w:pPr>
      <w:r>
        <w:rPr>
          <w:lang w:val="en-US"/>
        </w:rPr>
        <w:t>Fem-R submits the below concerns for the in its 83</w:t>
      </w:r>
      <w:r>
        <w:rPr>
          <w:vertAlign w:val="superscript"/>
          <w:lang w:val="en-US"/>
        </w:rPr>
        <w:t>rd</w:t>
      </w:r>
      <w:r>
        <w:rPr>
          <w:lang w:val="en-US"/>
        </w:rPr>
        <w:t xml:space="preserve"> session of the Committee o</w:t>
      </w:r>
      <w:r>
        <w:rPr>
          <w:lang w:val="en-US"/>
        </w:rPr>
        <w:t xml:space="preserve">n the Elimination of Discrimination against Women concerning the eight periodic </w:t>
      </w:r>
      <w:proofErr w:type="gramStart"/>
      <w:r>
        <w:rPr>
          <w:lang w:val="en-US"/>
        </w:rPr>
        <w:t>report</w:t>
      </w:r>
      <w:proofErr w:type="gramEnd"/>
      <w:r>
        <w:rPr>
          <w:lang w:val="en-US"/>
        </w:rPr>
        <w:t xml:space="preserve"> on Finland. Fem-R considers intersectional issues of race, </w:t>
      </w:r>
      <w:proofErr w:type="gramStart"/>
      <w:r>
        <w:rPr>
          <w:lang w:val="en-US"/>
        </w:rPr>
        <w:t>ethnicity</w:t>
      </w:r>
      <w:proofErr w:type="gramEnd"/>
      <w:r>
        <w:rPr>
          <w:lang w:val="en-US"/>
        </w:rPr>
        <w:t xml:space="preserve"> and gender in monitoring whether Finland follows the Convention on the Elimination of All Forms of D</w:t>
      </w:r>
      <w:r>
        <w:rPr>
          <w:lang w:val="en-US"/>
        </w:rPr>
        <w:t>iscrimination against Women. Fem-R focuses on</w:t>
      </w:r>
      <w:r>
        <w:t xml:space="preserve"> issues related to </w:t>
      </w:r>
      <w:r>
        <w:rPr>
          <w:lang w:val="en-US"/>
        </w:rPr>
        <w:t>hate speech (Article 2 and Article 7), discrimination in</w:t>
      </w:r>
      <w:r>
        <w:t xml:space="preserve"> employment</w:t>
      </w:r>
      <w:r>
        <w:rPr>
          <w:lang w:val="en-US"/>
        </w:rPr>
        <w:t xml:space="preserve"> (Article 2 and Article 11) and discrimination</w:t>
      </w:r>
      <w:r>
        <w:t>’</w:t>
      </w:r>
      <w:r>
        <w:rPr>
          <w:lang w:val="en-US"/>
        </w:rPr>
        <w:t>s effects on health and wellbeing (Article 2). Fem-R reiterates statistics and</w:t>
      </w:r>
      <w:r>
        <w:rPr>
          <w:lang w:val="en-US"/>
        </w:rPr>
        <w:t xml:space="preserve"> points from our pre-sessional working group submission as they remain relevant to expanding on the issues faced by </w:t>
      </w:r>
      <w:proofErr w:type="spellStart"/>
      <w:r>
        <w:rPr>
          <w:lang w:val="en-US"/>
        </w:rPr>
        <w:t>racialised</w:t>
      </w:r>
      <w:proofErr w:type="spellEnd"/>
      <w:r>
        <w:rPr>
          <w:lang w:val="en-US"/>
        </w:rPr>
        <w:t xml:space="preserve"> women in Finland. Fem-R notes that the situation of </w:t>
      </w:r>
      <w:proofErr w:type="spellStart"/>
      <w:r>
        <w:rPr>
          <w:lang w:val="en-US"/>
        </w:rPr>
        <w:t>racialised</w:t>
      </w:r>
      <w:proofErr w:type="spellEnd"/>
      <w:r>
        <w:rPr>
          <w:lang w:val="en-US"/>
        </w:rPr>
        <w:t xml:space="preserve"> women in Finland remains understudied in relation to the COVID-19 </w:t>
      </w:r>
      <w:r>
        <w:rPr>
          <w:lang w:val="en-US"/>
        </w:rPr>
        <w:t>pandemic.</w:t>
      </w:r>
    </w:p>
    <w:p w14:paraId="16058E2B" w14:textId="77777777" w:rsidR="00BF7050" w:rsidRDefault="00BF7050">
      <w:pPr>
        <w:pStyle w:val="Body"/>
        <w:rPr>
          <w:lang w:val="en-US"/>
        </w:rPr>
      </w:pPr>
    </w:p>
    <w:p w14:paraId="6E2BB746" w14:textId="77777777" w:rsidR="00BF7050" w:rsidRDefault="00BF7050">
      <w:pPr>
        <w:pStyle w:val="Body"/>
      </w:pPr>
    </w:p>
    <w:p w14:paraId="1E22E65A" w14:textId="77777777" w:rsidR="00BF7050" w:rsidRDefault="00C255AF">
      <w:pPr>
        <w:pStyle w:val="Body"/>
        <w:rPr>
          <w:b/>
          <w:bCs/>
          <w:sz w:val="28"/>
          <w:szCs w:val="28"/>
        </w:rPr>
      </w:pPr>
      <w:r>
        <w:rPr>
          <w:b/>
          <w:bCs/>
          <w:sz w:val="28"/>
          <w:szCs w:val="28"/>
          <w:lang w:val="en-US"/>
        </w:rPr>
        <w:t>DISCRMINATION</w:t>
      </w:r>
    </w:p>
    <w:p w14:paraId="3BEBD028" w14:textId="77777777" w:rsidR="00BF7050" w:rsidRDefault="00BF7050">
      <w:pPr>
        <w:pStyle w:val="Body"/>
        <w:rPr>
          <w:lang w:val="en-US"/>
        </w:rPr>
      </w:pPr>
    </w:p>
    <w:p w14:paraId="609D509E" w14:textId="77777777" w:rsidR="00BF7050" w:rsidRDefault="00C255AF">
      <w:pPr>
        <w:pStyle w:val="Body"/>
        <w:rPr>
          <w:i/>
          <w:iCs/>
        </w:rPr>
      </w:pPr>
      <w:r>
        <w:rPr>
          <w:i/>
          <w:iCs/>
          <w:lang w:val="en-US"/>
        </w:rPr>
        <w:t>EFFECTS OF DISCRIMINATION ON WOMEN FROM ETHNIC OR IMMIGRANT BACKGROUNDS (ARTICLE 2)</w:t>
      </w:r>
    </w:p>
    <w:p w14:paraId="0E2A9F2F" w14:textId="77777777" w:rsidR="00BF7050" w:rsidRDefault="00BF7050">
      <w:pPr>
        <w:pStyle w:val="Body"/>
        <w:rPr>
          <w:lang w:val="en-US"/>
        </w:rPr>
      </w:pPr>
    </w:p>
    <w:p w14:paraId="14298320" w14:textId="77777777" w:rsidR="00BF7050" w:rsidRDefault="00C255AF">
      <w:pPr>
        <w:pStyle w:val="Body"/>
        <w:spacing w:line="276" w:lineRule="auto"/>
      </w:pPr>
      <w:r>
        <w:rPr>
          <w:lang w:val="en-US"/>
        </w:rPr>
        <w:t xml:space="preserve">According to a national study by the Finnish Institute for Health and Welfare, 37 % of women from foreign backgrounds experienced </w:t>
      </w:r>
      <w:r>
        <w:rPr>
          <w:lang w:val="en-US"/>
        </w:rPr>
        <w:t>discrimination.</w:t>
      </w:r>
      <w:r>
        <w:rPr>
          <w:vertAlign w:val="superscript"/>
          <w:lang w:val="en-US"/>
        </w:rPr>
        <w:footnoteReference w:id="2"/>
      </w:r>
      <w:r>
        <w:rPr>
          <w:lang w:val="en-US"/>
        </w:rPr>
        <w:t xml:space="preserve"> Especially those from African backgrounds regularly face</w:t>
      </w:r>
      <w:r>
        <w:rPr>
          <w:lang w:val="en-US"/>
        </w:rPr>
        <w:t xml:space="preserve"> discrimination: 47 % of female respondents of African descent experienced discrimination, including harassment, on a weekly basis.</w:t>
      </w:r>
      <w:r>
        <w:rPr>
          <w:vertAlign w:val="superscript"/>
          <w:lang w:val="en-US"/>
        </w:rPr>
        <w:footnoteReference w:id="3"/>
      </w:r>
      <w:r>
        <w:rPr>
          <w:lang w:val="en-US"/>
        </w:rPr>
        <w:t xml:space="preserve">  </w:t>
      </w:r>
    </w:p>
    <w:p w14:paraId="17982D2E" w14:textId="77777777" w:rsidR="00BF7050" w:rsidRDefault="00BF7050">
      <w:pPr>
        <w:pStyle w:val="Body"/>
        <w:spacing w:line="276" w:lineRule="auto"/>
        <w:rPr>
          <w:lang w:val="en-US"/>
        </w:rPr>
      </w:pPr>
    </w:p>
    <w:p w14:paraId="440A0D49" w14:textId="77777777" w:rsidR="00BF7050" w:rsidRDefault="00C255AF">
      <w:pPr>
        <w:pStyle w:val="Body"/>
        <w:spacing w:line="276" w:lineRule="auto"/>
      </w:pPr>
      <w:r>
        <w:rPr>
          <w:lang w:val="en-US"/>
        </w:rPr>
        <w:t>The “Being Black in Europe” report by the EU’s Agency for Fundamental Rights found Finland to be the most racist countr</w:t>
      </w:r>
      <w:r>
        <w:rPr>
          <w:lang w:val="en-US"/>
        </w:rPr>
        <w:t>y in Europe in terms of harassment, with 63 % of respondents having experienced racist harassment, or over twice the European average of 30 %.</w:t>
      </w:r>
      <w:r>
        <w:rPr>
          <w:vertAlign w:val="superscript"/>
          <w:lang w:val="en-US"/>
        </w:rPr>
        <w:footnoteReference w:id="4"/>
      </w:r>
      <w:r>
        <w:rPr>
          <w:lang w:val="en-US"/>
        </w:rPr>
        <w:t xml:space="preserve"> Finland has the second highest rates of perceived discrimination (45 %), and women more than men also experienc</w:t>
      </w:r>
      <w:r>
        <w:rPr>
          <w:lang w:val="en-US"/>
        </w:rPr>
        <w:t>ed more discrimination based on their ethnic or immigrant background (45 %).</w:t>
      </w:r>
      <w:r>
        <w:rPr>
          <w:vertAlign w:val="superscript"/>
          <w:lang w:val="en-US"/>
        </w:rPr>
        <w:footnoteReference w:id="5"/>
      </w:r>
      <w:r>
        <w:rPr>
          <w:lang w:val="en-US"/>
        </w:rPr>
        <w:t xml:space="preserve"> </w:t>
      </w:r>
    </w:p>
    <w:p w14:paraId="50AC7F9D" w14:textId="77777777" w:rsidR="00BF7050" w:rsidRDefault="00BF7050">
      <w:pPr>
        <w:pStyle w:val="Body"/>
        <w:spacing w:line="276" w:lineRule="auto"/>
        <w:rPr>
          <w:lang w:val="en-US"/>
        </w:rPr>
      </w:pPr>
    </w:p>
    <w:p w14:paraId="04A87890" w14:textId="77777777" w:rsidR="00BF7050" w:rsidRDefault="00C255AF">
      <w:pPr>
        <w:pStyle w:val="Body"/>
        <w:spacing w:line="276" w:lineRule="auto"/>
        <w:rPr>
          <w:lang w:val="en-US"/>
        </w:rPr>
      </w:pPr>
      <w:r>
        <w:rPr>
          <w:lang w:val="en-US"/>
        </w:rPr>
        <w:t xml:space="preserve">At the everyday level, discrimination’s effects on </w:t>
      </w:r>
      <w:proofErr w:type="spellStart"/>
      <w:r>
        <w:rPr>
          <w:lang w:val="en-US"/>
        </w:rPr>
        <w:t>racialised</w:t>
      </w:r>
      <w:proofErr w:type="spellEnd"/>
      <w:r>
        <w:rPr>
          <w:lang w:val="en-US"/>
        </w:rPr>
        <w:t xml:space="preserve"> women’s health and welfare are clear</w:t>
      </w:r>
      <w:r>
        <w:t>. </w:t>
      </w:r>
      <w:r>
        <w:rPr>
          <w:lang w:val="en-US"/>
        </w:rPr>
        <w:t>According to the THL study, discrimination has particularly deleterious eff</w:t>
      </w:r>
      <w:r>
        <w:rPr>
          <w:lang w:val="en-US"/>
        </w:rPr>
        <w:t>ects on women from Middle Eastern and North African backgrounds who were particularly likely to experience their quality of life as worse than other populations. Notably, nearly a third of them experienced significant psychic stress in comparison to the av</w:t>
      </w:r>
      <w:r>
        <w:rPr>
          <w:lang w:val="en-US"/>
        </w:rPr>
        <w:t xml:space="preserve">erage of 17 % of all </w:t>
      </w:r>
      <w:r>
        <w:rPr>
          <w:lang w:val="en-US"/>
        </w:rPr>
        <w:lastRenderedPageBreak/>
        <w:t>people from ethnic and minority backgrounds. Women from MENA backgrounds also experienced more depression than the average. Discrimination has detrimental effects on the basic sense of security as MENA women especially felt like were m</w:t>
      </w:r>
      <w:r>
        <w:rPr>
          <w:lang w:val="en-US"/>
        </w:rPr>
        <w:t>ore likely not to receive help from those around them.</w:t>
      </w:r>
      <w:r>
        <w:rPr>
          <w:vertAlign w:val="superscript"/>
          <w:lang w:val="en-US"/>
        </w:rPr>
        <w:footnoteReference w:id="6"/>
      </w:r>
      <w:r>
        <w:rPr>
          <w:lang w:val="en-US"/>
        </w:rPr>
        <w:t xml:space="preserve"> </w:t>
      </w:r>
    </w:p>
    <w:p w14:paraId="4E25ED93" w14:textId="77777777" w:rsidR="00BF7050" w:rsidRDefault="00BF7050">
      <w:pPr>
        <w:pStyle w:val="Body"/>
        <w:spacing w:line="276" w:lineRule="auto"/>
        <w:rPr>
          <w:lang w:val="en-US"/>
        </w:rPr>
      </w:pPr>
    </w:p>
    <w:p w14:paraId="20180243" w14:textId="77777777" w:rsidR="00BF7050" w:rsidRDefault="00C255AF">
      <w:pPr>
        <w:pStyle w:val="Body"/>
        <w:spacing w:line="276" w:lineRule="auto"/>
        <w:rPr>
          <w:lang w:val="en-US"/>
        </w:rPr>
      </w:pPr>
      <w:r>
        <w:rPr>
          <w:lang w:val="en-US"/>
        </w:rPr>
        <w:t>Finland’s response to the Committee’s List of Issues regarding health does not sufficiently take into consideration mental health. The government cites upcoming reforms to health services but ackno</w:t>
      </w:r>
      <w:r>
        <w:rPr>
          <w:lang w:val="en-US"/>
        </w:rPr>
        <w:t>wledges that</w:t>
      </w:r>
      <w:r>
        <w:t xml:space="preserve"> </w:t>
      </w:r>
      <w:r>
        <w:rPr>
          <w:lang w:val="en-US"/>
        </w:rPr>
        <w:t>the process of reforming access to mental health services has only just begun. Because of how access to</w:t>
      </w:r>
      <w:r>
        <w:rPr>
          <w:lang w:val="en-US"/>
        </w:rPr>
        <w:t xml:space="preserve"> state services is currently structured, unemployment due to racial discrimination (discussed below) is likely to also have effects on menta</w:t>
      </w:r>
      <w:r>
        <w:rPr>
          <w:lang w:val="en-US"/>
        </w:rPr>
        <w:t xml:space="preserve">l health services’ accessibility especially for </w:t>
      </w:r>
      <w:proofErr w:type="spellStart"/>
      <w:r>
        <w:rPr>
          <w:lang w:val="en-US"/>
        </w:rPr>
        <w:t>racialised</w:t>
      </w:r>
      <w:proofErr w:type="spellEnd"/>
      <w:r>
        <w:rPr>
          <w:lang w:val="en-US"/>
        </w:rPr>
        <w:t xml:space="preserve"> women. Since r</w:t>
      </w:r>
      <w:r>
        <w:rPr>
          <w:lang w:val="en-US"/>
        </w:rPr>
        <w:t>eceiving partial compensation for therapy sessions by a licensed therapist is reserved for students or the employed, the</w:t>
      </w:r>
      <w:r>
        <w:rPr>
          <w:lang w:val="en-US"/>
        </w:rPr>
        <w:t xml:space="preserve"> lack of employment or a study place can lead to denying women </w:t>
      </w:r>
      <w:r>
        <w:rPr>
          <w:lang w:val="en-US"/>
        </w:rPr>
        <w:t>access to state-funded therapy.</w:t>
      </w:r>
      <w:r>
        <w:rPr>
          <w:vertAlign w:val="superscript"/>
          <w:lang w:val="en-US"/>
        </w:rPr>
        <w:footnoteReference w:id="7"/>
      </w:r>
      <w:r>
        <w:rPr>
          <w:lang w:val="en-US"/>
        </w:rPr>
        <w:t xml:space="preserve"> Structural discrimination in funding mental health services for the individual is therefore likely to further compound the racism’s negative effects on mental health for </w:t>
      </w:r>
      <w:proofErr w:type="spellStart"/>
      <w:r>
        <w:rPr>
          <w:lang w:val="en-US"/>
        </w:rPr>
        <w:t>racialised</w:t>
      </w:r>
      <w:proofErr w:type="spellEnd"/>
      <w:r>
        <w:rPr>
          <w:lang w:val="en-US"/>
        </w:rPr>
        <w:t xml:space="preserve"> women. </w:t>
      </w:r>
    </w:p>
    <w:p w14:paraId="541B805B" w14:textId="77777777" w:rsidR="00BF7050" w:rsidRDefault="00BF7050">
      <w:pPr>
        <w:pStyle w:val="Body"/>
        <w:spacing w:line="276" w:lineRule="auto"/>
      </w:pPr>
    </w:p>
    <w:p w14:paraId="3E180FDB" w14:textId="77777777" w:rsidR="00BF7050" w:rsidRDefault="00C255AF">
      <w:pPr>
        <w:pStyle w:val="Body"/>
        <w:spacing w:line="288" w:lineRule="auto"/>
        <w:rPr>
          <w:lang w:val="en-US"/>
        </w:rPr>
      </w:pPr>
      <w:r>
        <w:rPr>
          <w:lang w:val="en-US"/>
        </w:rPr>
        <w:t>Regarding the COVID-19 pandemic,</w:t>
      </w:r>
      <w:r>
        <w:rPr>
          <w:lang w:val="en-US"/>
        </w:rPr>
        <w:t xml:space="preserve"> the official studies produced by the state-associated Finnish Institute of Health and Welfare refer only briefly to the discrimination and hardship faced by </w:t>
      </w:r>
      <w:proofErr w:type="spellStart"/>
      <w:r>
        <w:rPr>
          <w:lang w:val="en-US"/>
        </w:rPr>
        <w:t>racialised</w:t>
      </w:r>
      <w:proofErr w:type="spellEnd"/>
      <w:r>
        <w:rPr>
          <w:lang w:val="en-US"/>
        </w:rPr>
        <w:t xml:space="preserve"> women. The studies note that state actors are obliged to advance equality but do not en</w:t>
      </w:r>
      <w:r>
        <w:rPr>
          <w:lang w:val="en-US"/>
        </w:rPr>
        <w:t xml:space="preserve">courage or outline concrete measures in assisting </w:t>
      </w:r>
      <w:proofErr w:type="spellStart"/>
      <w:r>
        <w:rPr>
          <w:lang w:val="en-US"/>
        </w:rPr>
        <w:t>racialised</w:t>
      </w:r>
      <w:proofErr w:type="spellEnd"/>
      <w:r>
        <w:rPr>
          <w:lang w:val="en-US"/>
        </w:rPr>
        <w:t xml:space="preserve"> women overcome the pandemic’s effects.</w:t>
      </w:r>
      <w:r>
        <w:rPr>
          <w:vertAlign w:val="superscript"/>
          <w:lang w:val="en-US"/>
        </w:rPr>
        <w:footnoteReference w:id="8"/>
      </w:r>
      <w:r>
        <w:rPr>
          <w:lang w:val="en-US"/>
        </w:rPr>
        <w:t xml:space="preserve"> Other policy briefs acknowledge the </w:t>
      </w:r>
      <w:proofErr w:type="gramStart"/>
      <w:r>
        <w:rPr>
          <w:lang w:val="en-US"/>
        </w:rPr>
        <w:t>particular vulnerability</w:t>
      </w:r>
      <w:proofErr w:type="gramEnd"/>
      <w:r>
        <w:rPr>
          <w:lang w:val="en-US"/>
        </w:rPr>
        <w:t xml:space="preserve"> of women belonging to minorities but also do not suggest measures for implementing safeguards</w:t>
      </w:r>
      <w:r>
        <w:rPr>
          <w:lang w:val="en-US"/>
        </w:rPr>
        <w:t>.</w:t>
      </w:r>
      <w:r>
        <w:rPr>
          <w:vertAlign w:val="superscript"/>
          <w:lang w:val="en-US"/>
        </w:rPr>
        <w:footnoteReference w:id="9"/>
      </w:r>
      <w:r>
        <w:rPr>
          <w:lang w:val="en-US"/>
        </w:rPr>
        <w:t xml:space="preserve"> It is therefore unlikely that these issues would be genuinely taken into consideration in recovery-related policy efforts. </w:t>
      </w:r>
    </w:p>
    <w:p w14:paraId="3C251482" w14:textId="77777777" w:rsidR="00BF7050" w:rsidRDefault="00BF7050">
      <w:pPr>
        <w:pStyle w:val="Body"/>
        <w:spacing w:line="288" w:lineRule="auto"/>
        <w:rPr>
          <w:lang w:val="en-US"/>
        </w:rPr>
      </w:pPr>
    </w:p>
    <w:p w14:paraId="759091CB" w14:textId="77777777" w:rsidR="00BF7050" w:rsidRDefault="00C255AF">
      <w:pPr>
        <w:pStyle w:val="Body"/>
        <w:spacing w:line="288" w:lineRule="auto"/>
        <w:rPr>
          <w:lang w:val="en-US"/>
        </w:rPr>
      </w:pPr>
      <w:r>
        <w:rPr>
          <w:lang w:val="en-US"/>
        </w:rPr>
        <w:t>Assistance is necessary since, due to the COVID-19 pandemic, the welfare of immigrant women was found to have worsened especial</w:t>
      </w:r>
      <w:r>
        <w:rPr>
          <w:lang w:val="en-US"/>
        </w:rPr>
        <w:t>ly in terms of their mental health. Immigrant women were lonelier compared to Finnish nationals and their functionality in an employment context worsened.</w:t>
      </w:r>
      <w:r>
        <w:rPr>
          <w:vertAlign w:val="superscript"/>
          <w:lang w:val="en-US"/>
        </w:rPr>
        <w:footnoteReference w:id="10"/>
      </w:r>
      <w:r>
        <w:rPr>
          <w:lang w:val="en-US"/>
        </w:rPr>
        <w:t xml:space="preserve"> </w:t>
      </w:r>
    </w:p>
    <w:p w14:paraId="46361F64" w14:textId="77777777" w:rsidR="00BF7050" w:rsidRDefault="00BF7050">
      <w:pPr>
        <w:pStyle w:val="Body"/>
        <w:spacing w:line="288" w:lineRule="auto"/>
        <w:rPr>
          <w:lang w:val="en-US"/>
        </w:rPr>
      </w:pPr>
    </w:p>
    <w:p w14:paraId="255F28E7" w14:textId="77777777" w:rsidR="00BF7050" w:rsidRDefault="00BF7050">
      <w:pPr>
        <w:pStyle w:val="Body"/>
        <w:rPr>
          <w:lang w:val="en-US"/>
        </w:rPr>
      </w:pPr>
    </w:p>
    <w:p w14:paraId="4EB0FD22" w14:textId="77777777" w:rsidR="00BF7050" w:rsidRDefault="00C255AF">
      <w:pPr>
        <w:pStyle w:val="Body"/>
        <w:rPr>
          <w:i/>
          <w:iCs/>
        </w:rPr>
      </w:pPr>
      <w:r>
        <w:rPr>
          <w:i/>
          <w:iCs/>
          <w:lang w:val="en-US"/>
        </w:rPr>
        <w:t xml:space="preserve">DISCRIMINATION’S EFFECTS ON PARTICIPATION IN THE WORKFORCE FOR WOMEN FROM IMMIGRANT BACKGROUNDS </w:t>
      </w:r>
      <w:r>
        <w:rPr>
          <w:i/>
          <w:iCs/>
          <w:lang w:val="en-US"/>
        </w:rPr>
        <w:t>(ARTICLE 11)</w:t>
      </w:r>
    </w:p>
    <w:p w14:paraId="76EBEBAC" w14:textId="77777777" w:rsidR="00BF7050" w:rsidRDefault="00C255AF">
      <w:pPr>
        <w:pStyle w:val="NormalWeb"/>
        <w:spacing w:line="276" w:lineRule="auto"/>
      </w:pPr>
      <w:r>
        <w:t xml:space="preserve">In line with the Convention’s Article 11, Finland comprehensively forbids discrimination in the workforce “because of race, national or ethnic origin, nationality, </w:t>
      </w:r>
      <w:proofErr w:type="spellStart"/>
      <w:r>
        <w:t>colour</w:t>
      </w:r>
      <w:proofErr w:type="spellEnd"/>
      <w:r>
        <w:t>, language, sex, age, family status, sexual preference, inheritance, disa</w:t>
      </w:r>
      <w:r>
        <w:t>bility or state of health.”</w:t>
      </w:r>
      <w:r>
        <w:rPr>
          <w:vertAlign w:val="superscript"/>
        </w:rPr>
        <w:footnoteReference w:id="11"/>
      </w:r>
      <w:r>
        <w:t xml:space="preserve"> According to Article 11, Finland should “</w:t>
      </w:r>
      <w:r>
        <w:t>take all appropriate measures to eliminate discrimination against women in the field of employment.”</w:t>
      </w:r>
      <w:r>
        <w:rPr>
          <w:rStyle w:val="FootnoteReference"/>
        </w:rPr>
        <w:footnoteReference w:id="12"/>
      </w:r>
      <w:r>
        <w:t xml:space="preserve"> Yet Article 11 is poorly enforced</w:t>
      </w:r>
      <w:r>
        <w:t xml:space="preserve"> in the Finnish legal framework with material effects on the employment outcomes of women from immigrant backgrounds.</w:t>
      </w:r>
    </w:p>
    <w:p w14:paraId="53BD1C05" w14:textId="77777777" w:rsidR="00BF7050" w:rsidRDefault="00BF7050">
      <w:pPr>
        <w:pStyle w:val="Body"/>
        <w:spacing w:line="276" w:lineRule="auto"/>
      </w:pPr>
    </w:p>
    <w:p w14:paraId="18E8D372" w14:textId="77777777" w:rsidR="00BF7050" w:rsidRDefault="00C255AF">
      <w:pPr>
        <w:pStyle w:val="Body"/>
        <w:spacing w:line="276" w:lineRule="auto"/>
        <w:rPr>
          <w:lang w:val="en-US"/>
        </w:rPr>
      </w:pPr>
      <w:r>
        <w:rPr>
          <w:lang w:val="en-US"/>
        </w:rPr>
        <w:t xml:space="preserve">Women from immigrant backgrounds suffer from clear discrimination in professional life. </w:t>
      </w:r>
      <w:r>
        <w:rPr>
          <w:lang w:val="en-US"/>
        </w:rPr>
        <w:t>Unemployment in the population of women from immigrant backgrounds correlates with race-based discrimination, making evident unemployment’s connection</w:t>
      </w:r>
      <w:r>
        <w:t xml:space="preserve"> </w:t>
      </w:r>
      <w:r>
        <w:rPr>
          <w:lang w:val="en-US"/>
        </w:rPr>
        <w:t>to</w:t>
      </w:r>
      <w:r>
        <w:t xml:space="preserve"> </w:t>
      </w:r>
      <w:r>
        <w:rPr>
          <w:lang w:val="en-US"/>
        </w:rPr>
        <w:t>racism.</w:t>
      </w:r>
      <w:r>
        <w:rPr>
          <w:lang w:val="en-US"/>
        </w:rPr>
        <w:t xml:space="preserve"> Statistically, unemployment is more common among women from immigrant backgrounds compared to </w:t>
      </w:r>
      <w:r>
        <w:rPr>
          <w:lang w:val="en-US"/>
        </w:rPr>
        <w:t xml:space="preserve">women who are Finnish nationals despite equivalent education levels; only 40 % were employed compared to 64 % of Finnish nationals. </w:t>
      </w:r>
      <w:r>
        <w:rPr>
          <w:lang w:val="en-US"/>
        </w:rPr>
        <w:t>Yet 43 % had completed a post-secondary degree,</w:t>
      </w:r>
      <w:r>
        <w:rPr>
          <w:vertAlign w:val="superscript"/>
          <w:lang w:val="en-US"/>
        </w:rPr>
        <w:footnoteReference w:id="13"/>
      </w:r>
      <w:r>
        <w:rPr>
          <w:lang w:val="en-US"/>
        </w:rPr>
        <w:t xml:space="preserve"> which is only 7 % less than compared to women of Finnish nationality (who </w:t>
      </w:r>
      <w:r>
        <w:rPr>
          <w:lang w:val="en-US"/>
        </w:rPr>
        <w:t>are considered some of the most educated in the world).</w:t>
      </w:r>
      <w:r>
        <w:rPr>
          <w:vertAlign w:val="superscript"/>
          <w:lang w:val="en-US"/>
        </w:rPr>
        <w:footnoteReference w:id="14"/>
      </w:r>
      <w:r>
        <w:rPr>
          <w:lang w:val="en-US"/>
        </w:rPr>
        <w:t xml:space="preserve"> Unemployment was also more common among women from immigrant backgrounds compared to men (29 % compared to 20 %). Over half of women from the Middle East and Northern Africa could have been in the w</w:t>
      </w:r>
      <w:r>
        <w:rPr>
          <w:lang w:val="en-US"/>
        </w:rPr>
        <w:t>orkforce but were unemployed.</w:t>
      </w:r>
      <w:r>
        <w:rPr>
          <w:rStyle w:val="FootnoteReference"/>
        </w:rPr>
        <w:footnoteReference w:id="15"/>
      </w:r>
      <w:r>
        <w:rPr>
          <w:lang w:val="en-US"/>
        </w:rPr>
        <w:t xml:space="preserve"> </w:t>
      </w:r>
    </w:p>
    <w:p w14:paraId="370477E8" w14:textId="77777777" w:rsidR="00BF7050" w:rsidRDefault="00BF7050">
      <w:pPr>
        <w:pStyle w:val="Body"/>
        <w:spacing w:line="276" w:lineRule="auto"/>
        <w:rPr>
          <w:lang w:val="en-US"/>
        </w:rPr>
      </w:pPr>
    </w:p>
    <w:p w14:paraId="4178E1AA" w14:textId="77777777" w:rsidR="00BF7050" w:rsidRDefault="00C255AF">
      <w:pPr>
        <w:pStyle w:val="Body"/>
        <w:spacing w:line="276" w:lineRule="auto"/>
        <w:rPr>
          <w:lang w:val="en-US"/>
        </w:rPr>
      </w:pPr>
      <w:r>
        <w:rPr>
          <w:lang w:val="en-US"/>
        </w:rPr>
        <w:t>These issues are likely to have been exacerbated by the COVID-19 pandemic as women generally experienced the effects of the pandemic more negatively than men in relation to employment; this was especially the case for work</w:t>
      </w:r>
      <w:r>
        <w:rPr>
          <w:lang w:val="en-US"/>
        </w:rPr>
        <w:t xml:space="preserve"> performed in person, such as service or care work, which disproportionately employs especially </w:t>
      </w:r>
      <w:proofErr w:type="spellStart"/>
      <w:r>
        <w:rPr>
          <w:lang w:val="en-US"/>
        </w:rPr>
        <w:t>racialised</w:t>
      </w:r>
      <w:proofErr w:type="spellEnd"/>
      <w:r>
        <w:rPr>
          <w:lang w:val="en-US"/>
        </w:rPr>
        <w:t xml:space="preserve"> women.</w:t>
      </w:r>
      <w:r>
        <w:rPr>
          <w:vertAlign w:val="superscript"/>
          <w:lang w:val="en-US"/>
        </w:rPr>
        <w:footnoteReference w:id="16"/>
      </w:r>
      <w:r>
        <w:rPr>
          <w:lang w:val="en-US"/>
        </w:rPr>
        <w:t xml:space="preserve"> </w:t>
      </w:r>
      <w:proofErr w:type="spellStart"/>
      <w:r>
        <w:rPr>
          <w:lang w:val="en-US"/>
        </w:rPr>
        <w:t>Racialised</w:t>
      </w:r>
      <w:proofErr w:type="spellEnd"/>
      <w:r>
        <w:rPr>
          <w:lang w:val="en-US"/>
        </w:rPr>
        <w:t xml:space="preserve"> women are generally less likely to occupy positions where remote work is possible.</w:t>
      </w:r>
      <w:r>
        <w:rPr>
          <w:vertAlign w:val="superscript"/>
          <w:lang w:val="en-US"/>
        </w:rPr>
        <w:footnoteReference w:id="17"/>
      </w:r>
    </w:p>
    <w:p w14:paraId="5575FD30" w14:textId="77777777" w:rsidR="00BF7050" w:rsidRDefault="00BF7050">
      <w:pPr>
        <w:pStyle w:val="Body"/>
        <w:spacing w:line="276" w:lineRule="auto"/>
      </w:pPr>
    </w:p>
    <w:p w14:paraId="2A7F10C0" w14:textId="77777777" w:rsidR="00BF7050" w:rsidRDefault="00C255AF">
      <w:pPr>
        <w:pStyle w:val="Body"/>
        <w:spacing w:line="276" w:lineRule="auto"/>
      </w:pPr>
      <w:r>
        <w:t>Beyond discrimination in employment, r</w:t>
      </w:r>
      <w:proofErr w:type="spellStart"/>
      <w:r>
        <w:rPr>
          <w:lang w:val="en-US"/>
        </w:rPr>
        <w:t>acial</w:t>
      </w:r>
      <w:proofErr w:type="spellEnd"/>
      <w:r>
        <w:rPr>
          <w:lang w:val="en-US"/>
        </w:rPr>
        <w:t xml:space="preserve"> discrimination is also prominent across educational institutions: 67 % of respondents had experienced race-based discrimination at school.</w:t>
      </w:r>
      <w:r>
        <w:rPr>
          <w:vertAlign w:val="superscript"/>
          <w:lang w:val="en-US"/>
        </w:rPr>
        <w:footnoteReference w:id="18"/>
      </w:r>
      <w:r>
        <w:rPr>
          <w:lang w:val="en-US"/>
        </w:rPr>
        <w:t xml:space="preserve"> This has implications for further professional choices for girls from immigrant </w:t>
      </w:r>
      <w:proofErr w:type="gramStart"/>
      <w:r>
        <w:rPr>
          <w:lang w:val="en-US"/>
        </w:rPr>
        <w:t>backgrounds in particular</w:t>
      </w:r>
      <w:proofErr w:type="gramEnd"/>
      <w:r>
        <w:rPr>
          <w:lang w:val="en-US"/>
        </w:rPr>
        <w:t>. Girls f</w:t>
      </w:r>
      <w:r>
        <w:rPr>
          <w:lang w:val="en-US"/>
        </w:rPr>
        <w:t xml:space="preserve">rom immigrant backgrounds are often encouraged to go into service professions like nursing in violation of the demand for </w:t>
      </w:r>
      <w:r>
        <w:rPr>
          <w:lang w:val="de-DE"/>
        </w:rPr>
        <w:t>“</w:t>
      </w:r>
      <w:r>
        <w:rPr>
          <w:lang w:val="en-US"/>
        </w:rPr>
        <w:t>free choice of profession and employment.”</w:t>
      </w:r>
      <w:r>
        <w:rPr>
          <w:vertAlign w:val="superscript"/>
          <w:lang w:val="en-US"/>
        </w:rPr>
        <w:footnoteReference w:id="19"/>
      </w:r>
    </w:p>
    <w:p w14:paraId="67B26852" w14:textId="77777777" w:rsidR="00BF7050" w:rsidRDefault="00BF7050">
      <w:pPr>
        <w:pStyle w:val="Body"/>
        <w:spacing w:line="276" w:lineRule="auto"/>
        <w:rPr>
          <w:lang w:val="en-US"/>
        </w:rPr>
      </w:pPr>
    </w:p>
    <w:p w14:paraId="4258F212" w14:textId="77777777" w:rsidR="00BF7050" w:rsidRDefault="00C255AF">
      <w:pPr>
        <w:pStyle w:val="Body"/>
        <w:spacing w:line="276" w:lineRule="auto"/>
      </w:pPr>
      <w:r>
        <w:rPr>
          <w:lang w:val="en-US"/>
        </w:rPr>
        <w:t>A change in the Non-Discrimination Act (also suggested by ECRI) would allow the Nationa</w:t>
      </w:r>
      <w:r>
        <w:rPr>
          <w:lang w:val="en-US"/>
        </w:rPr>
        <w:t>l Non-Discrimination and Equality Tribunal—an independent judicial body appointed by the government—to “deal with complaints of discrimination on all prohibited grounds and not solely on the grounds of gender and gender identity.”</w:t>
      </w:r>
      <w:r>
        <w:rPr>
          <w:vertAlign w:val="superscript"/>
          <w:lang w:val="en-US"/>
        </w:rPr>
        <w:footnoteReference w:id="20"/>
      </w:r>
      <w:r>
        <w:rPr>
          <w:lang w:val="en-US"/>
        </w:rPr>
        <w:t xml:space="preserve"> The Finnish government </w:t>
      </w:r>
      <w:r>
        <w:rPr>
          <w:lang w:val="en-US"/>
        </w:rPr>
        <w:t>solicited feedback from NGOs and other entities on the suggested change in May 2022; it received widespread support from NGOs.</w:t>
      </w:r>
      <w:r>
        <w:rPr>
          <w:vertAlign w:val="superscript"/>
          <w:lang w:val="en-US"/>
        </w:rPr>
        <w:footnoteReference w:id="21"/>
      </w:r>
      <w:r>
        <w:rPr>
          <w:lang w:val="en-US"/>
        </w:rPr>
        <w:t xml:space="preserve"> Yet the change is not guaranteed to address intersectional discrimination faced by </w:t>
      </w:r>
      <w:proofErr w:type="spellStart"/>
      <w:r>
        <w:rPr>
          <w:lang w:val="en-US"/>
        </w:rPr>
        <w:t>racialised</w:t>
      </w:r>
      <w:proofErr w:type="spellEnd"/>
      <w:r>
        <w:rPr>
          <w:lang w:val="en-US"/>
        </w:rPr>
        <w:t xml:space="preserve"> women. This is especially the cas</w:t>
      </w:r>
      <w:r>
        <w:rPr>
          <w:lang w:val="en-US"/>
        </w:rPr>
        <w:t>e if Tribunal members are not trained in addressing intersectional discrimination. As Fem-R pointed out in its statement, even at the European level, there are few legal examples for how to address intersectional discrimination in individual cases, which r</w:t>
      </w:r>
      <w:r>
        <w:rPr>
          <w:lang w:val="en-US"/>
        </w:rPr>
        <w:t xml:space="preserve">isks leaving the issue unaddressed in implementation. </w:t>
      </w:r>
    </w:p>
    <w:p w14:paraId="694B8609" w14:textId="77777777" w:rsidR="00BF7050" w:rsidRDefault="00BF7050">
      <w:pPr>
        <w:pStyle w:val="Body"/>
        <w:spacing w:line="276" w:lineRule="auto"/>
        <w:rPr>
          <w:lang w:val="en-US"/>
        </w:rPr>
      </w:pPr>
    </w:p>
    <w:p w14:paraId="1161FDE2" w14:textId="77777777" w:rsidR="00BF7050" w:rsidRDefault="00BF7050">
      <w:pPr>
        <w:pStyle w:val="Body"/>
        <w:spacing w:line="276" w:lineRule="auto"/>
        <w:rPr>
          <w:lang w:val="en-US"/>
        </w:rPr>
      </w:pPr>
    </w:p>
    <w:p w14:paraId="77558F2E" w14:textId="77777777" w:rsidR="00BF7050" w:rsidRDefault="00C255AF">
      <w:pPr>
        <w:pStyle w:val="Body"/>
        <w:spacing w:line="276" w:lineRule="auto"/>
        <w:rPr>
          <w:b/>
          <w:bCs/>
          <w:sz w:val="28"/>
          <w:szCs w:val="28"/>
        </w:rPr>
      </w:pPr>
      <w:r>
        <w:rPr>
          <w:b/>
          <w:bCs/>
          <w:sz w:val="28"/>
          <w:szCs w:val="28"/>
          <w:lang w:val="en-US"/>
        </w:rPr>
        <w:t>HATE SPEECH</w:t>
      </w:r>
    </w:p>
    <w:p w14:paraId="2862CDE0" w14:textId="77777777" w:rsidR="00BF7050" w:rsidRDefault="00BF7050">
      <w:pPr>
        <w:pStyle w:val="Body"/>
        <w:spacing w:line="276" w:lineRule="auto"/>
        <w:rPr>
          <w:lang w:val="en-US"/>
        </w:rPr>
      </w:pPr>
    </w:p>
    <w:p w14:paraId="7180CF15" w14:textId="77777777" w:rsidR="00BF7050" w:rsidRDefault="00C255AF">
      <w:pPr>
        <w:pStyle w:val="Body"/>
        <w:spacing w:line="276" w:lineRule="auto"/>
        <w:rPr>
          <w:i/>
          <w:iCs/>
        </w:rPr>
      </w:pPr>
      <w:r>
        <w:rPr>
          <w:i/>
          <w:iCs/>
          <w:lang w:val="en-US"/>
        </w:rPr>
        <w:t>HATE SPEECH AGAINST WOMEN FROM FINNISH AND IMMIGRANT BACKGROUNDS (ARTICLE 7)</w:t>
      </w:r>
    </w:p>
    <w:p w14:paraId="7595481F" w14:textId="77777777" w:rsidR="00BF7050" w:rsidRDefault="00BF7050">
      <w:pPr>
        <w:pStyle w:val="Body"/>
        <w:spacing w:line="276" w:lineRule="auto"/>
        <w:rPr>
          <w:lang w:val="en-US"/>
        </w:rPr>
      </w:pPr>
    </w:p>
    <w:p w14:paraId="7AFCB1E3" w14:textId="77777777" w:rsidR="00BF7050" w:rsidRDefault="00C255AF">
      <w:pPr>
        <w:pStyle w:val="Body"/>
        <w:spacing w:line="276" w:lineRule="auto"/>
        <w:rPr>
          <w:lang w:val="en-US"/>
        </w:rPr>
      </w:pPr>
      <w:r>
        <w:rPr>
          <w:lang w:val="en-US"/>
        </w:rPr>
        <w:t xml:space="preserve">Hate speech is on the rise in Finland. </w:t>
      </w:r>
      <w:r>
        <w:rPr>
          <w:lang w:val="en-US"/>
        </w:rPr>
        <w:t>According to several recent studies, hate speech is also</w:t>
      </w:r>
      <w:r>
        <w:rPr>
          <w:lang w:val="en-US"/>
        </w:rPr>
        <w:t xml:space="preserve"> </w:t>
      </w:r>
      <w:proofErr w:type="gramStart"/>
      <w:r>
        <w:rPr>
          <w:lang w:val="en-US"/>
        </w:rPr>
        <w:t>most commonly directed</w:t>
      </w:r>
      <w:proofErr w:type="gramEnd"/>
      <w:r>
        <w:rPr>
          <w:lang w:val="en-US"/>
        </w:rPr>
        <w:t xml:space="preserve"> at women with the intent to limit their participation in the public sphere. 17 % of women faced hate speech compared to 9 % of men, and more women than men witnessed hate speech online.</w:t>
      </w:r>
      <w:r>
        <w:rPr>
          <w:vertAlign w:val="superscript"/>
          <w:lang w:val="en-US"/>
        </w:rPr>
        <w:footnoteReference w:id="22"/>
      </w:r>
      <w:r>
        <w:rPr>
          <w:lang w:val="en-US"/>
        </w:rPr>
        <w:t xml:space="preserve"> In this light, Finland should adhere to Arti</w:t>
      </w:r>
      <w:r>
        <w:rPr>
          <w:lang w:val="en-US"/>
        </w:rPr>
        <w:t xml:space="preserve">cle 7 and “take appropriate measures to eliminate discrimination against women in the political and public life of the country.” </w:t>
      </w:r>
    </w:p>
    <w:p w14:paraId="4B414F92" w14:textId="77777777" w:rsidR="00BF7050" w:rsidRDefault="00BF7050">
      <w:pPr>
        <w:pStyle w:val="Body"/>
        <w:spacing w:line="276" w:lineRule="auto"/>
        <w:rPr>
          <w:lang w:val="en-US"/>
        </w:rPr>
      </w:pPr>
    </w:p>
    <w:p w14:paraId="2396627E" w14:textId="77777777" w:rsidR="00BF7050" w:rsidRDefault="00C255AF">
      <w:pPr>
        <w:pStyle w:val="Body"/>
        <w:spacing w:line="276" w:lineRule="auto"/>
      </w:pPr>
      <w:r>
        <w:rPr>
          <w:lang w:val="en-US"/>
        </w:rPr>
        <w:t xml:space="preserve">Hate speech as an issue concerns young women of </w:t>
      </w:r>
      <w:proofErr w:type="spellStart"/>
      <w:proofErr w:type="gramStart"/>
      <w:r>
        <w:rPr>
          <w:lang w:val="en-US"/>
        </w:rPr>
        <w:t>colour</w:t>
      </w:r>
      <w:proofErr w:type="spellEnd"/>
      <w:r>
        <w:rPr>
          <w:lang w:val="en-US"/>
        </w:rPr>
        <w:t xml:space="preserve"> in particular, since</w:t>
      </w:r>
      <w:proofErr w:type="gramEnd"/>
      <w:r>
        <w:rPr>
          <w:lang w:val="en-US"/>
        </w:rPr>
        <w:t>, according to a THL study, most hate speech is di</w:t>
      </w:r>
      <w:r>
        <w:rPr>
          <w:lang w:val="en-US"/>
        </w:rPr>
        <w:t>rected at women—especially young women and women from minority backgrounds.</w:t>
      </w:r>
      <w:r>
        <w:t> </w:t>
      </w:r>
      <w:r>
        <w:rPr>
          <w:lang w:val="en-US"/>
        </w:rPr>
        <w:t>Hate speech attacks against them are typically misogynistic or racialized in nature,</w:t>
      </w:r>
      <w:r>
        <w:rPr>
          <w:vertAlign w:val="superscript"/>
          <w:lang w:val="en-US"/>
        </w:rPr>
        <w:footnoteReference w:id="23"/>
      </w:r>
      <w:r>
        <w:rPr>
          <w:lang w:val="en-US"/>
        </w:rPr>
        <w:t xml:space="preserve"> and they commonly result in feelings of insecurity (61 %) and worsened mental wellbeing (52 %</w:t>
      </w:r>
      <w:r>
        <w:rPr>
          <w:lang w:val="en-US"/>
        </w:rPr>
        <w:t>).</w:t>
      </w:r>
      <w:r>
        <w:rPr>
          <w:vertAlign w:val="superscript"/>
          <w:lang w:val="en-US"/>
        </w:rPr>
        <w:footnoteReference w:id="24"/>
      </w:r>
      <w:r>
        <w:rPr>
          <w:lang w:val="en-US"/>
        </w:rPr>
        <w:t xml:space="preserve"> Hate speech instances have risen especially during COVID-19.</w:t>
      </w:r>
      <w:r>
        <w:rPr>
          <w:vertAlign w:val="superscript"/>
          <w:lang w:val="en-US"/>
        </w:rPr>
        <w:footnoteReference w:id="25"/>
      </w:r>
    </w:p>
    <w:p w14:paraId="5B4D3611" w14:textId="77777777" w:rsidR="00BF7050" w:rsidRDefault="00BF7050">
      <w:pPr>
        <w:pStyle w:val="Body"/>
        <w:spacing w:line="276" w:lineRule="auto"/>
      </w:pPr>
    </w:p>
    <w:p w14:paraId="3C201027" w14:textId="77777777" w:rsidR="00BF7050" w:rsidRDefault="00C255AF">
      <w:pPr>
        <w:pStyle w:val="Body"/>
        <w:spacing w:line="276" w:lineRule="auto"/>
        <w:rPr>
          <w:u w:val="single"/>
        </w:rPr>
      </w:pPr>
      <w:r>
        <w:rPr>
          <w:lang w:val="en-US"/>
        </w:rPr>
        <w:t>Hate speech is also intended to disrupt public debate and undermine democracy as it relates to political participation. H</w:t>
      </w:r>
      <w:r>
        <w:rPr>
          <w:lang w:val="en-US"/>
        </w:rPr>
        <w:t>ate speech against</w:t>
      </w:r>
      <w:r>
        <w:rPr>
          <w:lang w:val="en-US"/>
        </w:rPr>
        <w:t xml:space="preserve"> female politicians is prevalent, potentially limiting their ability and desire to run for office or participate in public debate. </w:t>
      </w:r>
      <w:r>
        <w:rPr>
          <w:lang w:val="en-US"/>
        </w:rPr>
        <w:t>According to a 2019 report, 42 % of female municipal policymakers had faced hate speech compared to 28 % of men. 28 % of muni</w:t>
      </w:r>
      <w:r>
        <w:rPr>
          <w:lang w:val="en-US"/>
        </w:rPr>
        <w:t>cipal policymakers said that their desire to participate in public debate had been diminished by hate speech attacks. Additionally, almost half of Member of Parliament had been targets of hate speech, with the result that some said that they had considered</w:t>
      </w:r>
      <w:r>
        <w:rPr>
          <w:lang w:val="en-US"/>
        </w:rPr>
        <w:t xml:space="preserve"> dropping out of politics.</w:t>
      </w:r>
      <w:r>
        <w:rPr>
          <w:vertAlign w:val="superscript"/>
          <w:lang w:val="en-US"/>
        </w:rPr>
        <w:footnoteReference w:id="26"/>
      </w:r>
      <w:r>
        <w:rPr>
          <w:lang w:val="en-US"/>
        </w:rPr>
        <w:t xml:space="preserve"> Most recently, NATO’s </w:t>
      </w:r>
      <w:proofErr w:type="spellStart"/>
      <w:r>
        <w:rPr>
          <w:lang w:val="en-US"/>
        </w:rPr>
        <w:t>Stratcom</w:t>
      </w:r>
      <w:proofErr w:type="spellEnd"/>
      <w:r>
        <w:rPr>
          <w:lang w:val="en-US"/>
        </w:rPr>
        <w:t xml:space="preserve"> found in 2021 that the female-led Finnish government, elected in 2019, is subject to constant, targeted hate speech on social media.</w:t>
      </w:r>
      <w:r>
        <w:rPr>
          <w:vertAlign w:val="superscript"/>
          <w:lang w:val="en-US"/>
        </w:rPr>
        <w:footnoteReference w:id="27"/>
      </w:r>
    </w:p>
    <w:p w14:paraId="35188A2D" w14:textId="77777777" w:rsidR="00BF7050" w:rsidRDefault="00BF7050">
      <w:pPr>
        <w:pStyle w:val="Body"/>
        <w:spacing w:line="276" w:lineRule="auto"/>
        <w:rPr>
          <w:lang w:val="en-US"/>
        </w:rPr>
      </w:pPr>
    </w:p>
    <w:p w14:paraId="0979AA4E" w14:textId="77777777" w:rsidR="00BF7050" w:rsidRDefault="00C255AF">
      <w:pPr>
        <w:pStyle w:val="Body"/>
        <w:spacing w:line="276" w:lineRule="auto"/>
        <w:rPr>
          <w:lang w:val="en-US"/>
        </w:rPr>
      </w:pPr>
      <w:r>
        <w:rPr>
          <w:lang w:val="en-US"/>
        </w:rPr>
        <w:t>Finland’s legislative response to hate speech is fragmented.</w:t>
      </w:r>
      <w:r>
        <w:rPr>
          <w:lang w:val="en-US"/>
        </w:rPr>
        <w:t xml:space="preserve"> Race, </w:t>
      </w:r>
      <w:proofErr w:type="gramStart"/>
      <w:r>
        <w:rPr>
          <w:lang w:val="en-US"/>
        </w:rPr>
        <w:t>ethnicity</w:t>
      </w:r>
      <w:proofErr w:type="gramEnd"/>
      <w:r>
        <w:rPr>
          <w:lang w:val="en-US"/>
        </w:rPr>
        <w:t xml:space="preserve"> and equivalent qualities can currently only be considered as aggravating factors.</w:t>
      </w:r>
      <w:r>
        <w:rPr>
          <w:vertAlign w:val="superscript"/>
          <w:lang w:val="en-US"/>
        </w:rPr>
        <w:footnoteReference w:id="28"/>
      </w:r>
      <w:r>
        <w:rPr>
          <w:lang w:val="en-US"/>
        </w:rPr>
        <w:t xml:space="preserve"> We consider the “ethnic agitation” statute</w:t>
      </w:r>
      <w:r>
        <w:rPr>
          <w:vertAlign w:val="superscript"/>
          <w:lang w:val="en-US"/>
        </w:rPr>
        <w:footnoteReference w:id="29"/>
      </w:r>
      <w:r>
        <w:rPr>
          <w:lang w:val="en-US"/>
        </w:rPr>
        <w:t xml:space="preserve"> to be insufficient as it does not take into consideration the gendered aspects of hate speech directed at mino</w:t>
      </w:r>
      <w:r>
        <w:rPr>
          <w:lang w:val="en-US"/>
        </w:rPr>
        <w:t xml:space="preserve">rities. It </w:t>
      </w:r>
      <w:proofErr w:type="gramStart"/>
      <w:r>
        <w:rPr>
          <w:lang w:val="en-US"/>
        </w:rPr>
        <w:t>has been also been</w:t>
      </w:r>
      <w:proofErr w:type="gramEnd"/>
      <w:r>
        <w:rPr>
          <w:lang w:val="en-US"/>
        </w:rPr>
        <w:t xml:space="preserve"> ineffective as only 29 cases were brought to prosecution under this offence in 2019.</w:t>
      </w:r>
      <w:r>
        <w:rPr>
          <w:vertAlign w:val="superscript"/>
          <w:lang w:val="en-US"/>
        </w:rPr>
        <w:footnoteReference w:id="30"/>
      </w:r>
      <w:r>
        <w:rPr>
          <w:lang w:val="en-US"/>
        </w:rPr>
        <w:t xml:space="preserve"> Hate speech could be prosecuted as a “crime against humanity,”</w:t>
      </w:r>
      <w:r>
        <w:rPr>
          <w:vertAlign w:val="superscript"/>
          <w:lang w:val="en-US"/>
        </w:rPr>
        <w:footnoteReference w:id="31"/>
      </w:r>
      <w:r>
        <w:rPr>
          <w:lang w:val="en-US"/>
        </w:rPr>
        <w:t xml:space="preserve"> but only when it is “part of broad or systemic assault on civilian populat</w:t>
      </w:r>
      <w:r>
        <w:rPr>
          <w:lang w:val="en-US"/>
        </w:rPr>
        <w:t xml:space="preserve">ion,” which sets too high a standard for individual instances of hate speech. </w:t>
      </w:r>
    </w:p>
    <w:p w14:paraId="1B873087" w14:textId="77777777" w:rsidR="00BF7050" w:rsidRDefault="00BF7050">
      <w:pPr>
        <w:pStyle w:val="Body"/>
        <w:spacing w:line="276" w:lineRule="auto"/>
        <w:rPr>
          <w:lang w:val="en-US"/>
        </w:rPr>
      </w:pPr>
    </w:p>
    <w:p w14:paraId="2C5D7BBE" w14:textId="77777777" w:rsidR="00BF7050" w:rsidRDefault="00C255AF">
      <w:pPr>
        <w:pStyle w:val="Body"/>
        <w:spacing w:line="276" w:lineRule="auto"/>
      </w:pPr>
      <w:r>
        <w:rPr>
          <w:lang w:val="en-US"/>
        </w:rPr>
        <w:t>In other words, h</w:t>
      </w:r>
      <w:r>
        <w:rPr>
          <w:lang w:val="en-US"/>
        </w:rPr>
        <w:t xml:space="preserve">ate speech specifically has not been </w:t>
      </w:r>
      <w:proofErr w:type="spellStart"/>
      <w:r>
        <w:rPr>
          <w:lang w:val="en-US"/>
        </w:rPr>
        <w:t>criminalised</w:t>
      </w:r>
      <w:proofErr w:type="spellEnd"/>
      <w:r>
        <w:rPr>
          <w:lang w:val="en-US"/>
        </w:rPr>
        <w:t xml:space="preserve"> and there are no ongoing efforts to do so. A memo, commissioned to complement government’s anti-racist “An Eq</w:t>
      </w:r>
      <w:r>
        <w:rPr>
          <w:lang w:val="en-US"/>
        </w:rPr>
        <w:t>ual Finland” action plan, published in October 2021,</w:t>
      </w:r>
      <w:r>
        <w:rPr>
          <w:vertAlign w:val="superscript"/>
          <w:lang w:val="en-US"/>
        </w:rPr>
        <w:footnoteReference w:id="32"/>
      </w:r>
      <w:r>
        <w:rPr>
          <w:lang w:val="en-US"/>
        </w:rPr>
        <w:t xml:space="preserve"> found the current legislative framework to be sufficient.</w:t>
      </w:r>
      <w:r>
        <w:rPr>
          <w:vertAlign w:val="superscript"/>
          <w:lang w:val="en-US"/>
        </w:rPr>
        <w:footnoteReference w:id="33"/>
      </w:r>
    </w:p>
    <w:p w14:paraId="1960F38E" w14:textId="77777777" w:rsidR="00BF7050" w:rsidRDefault="00BF7050">
      <w:pPr>
        <w:pStyle w:val="Body"/>
        <w:spacing w:line="276" w:lineRule="auto"/>
        <w:rPr>
          <w:lang w:val="en-US"/>
        </w:rPr>
      </w:pPr>
    </w:p>
    <w:p w14:paraId="376C45A9" w14:textId="77777777" w:rsidR="00BF7050" w:rsidRDefault="00C255AF">
      <w:pPr>
        <w:pStyle w:val="Body"/>
        <w:spacing w:line="276" w:lineRule="auto"/>
      </w:pPr>
      <w:r>
        <w:rPr>
          <w:lang w:val="en-US"/>
        </w:rPr>
        <w:t>Additionally, while hate speech incidents have increased, police funding earmarked for investigating hate speech incidents has decreased.</w:t>
      </w:r>
      <w:r>
        <w:rPr>
          <w:vertAlign w:val="superscript"/>
          <w:lang w:val="en-US"/>
        </w:rPr>
        <w:footnoteReference w:id="34"/>
      </w:r>
      <w:r>
        <w:rPr>
          <w:lang w:val="en-US"/>
        </w:rPr>
        <w:t xml:space="preserve"> </w:t>
      </w:r>
      <w:r>
        <w:rPr>
          <w:lang w:val="en-US"/>
        </w:rPr>
        <w:t xml:space="preserve">In February 2021, the European Commission opened an infringement procedure against Finland for failing to transpose EU law </w:t>
      </w:r>
      <w:proofErr w:type="spellStart"/>
      <w:r>
        <w:rPr>
          <w:lang w:val="en-US"/>
        </w:rPr>
        <w:t>criminalising</w:t>
      </w:r>
      <w:proofErr w:type="spellEnd"/>
      <w:r>
        <w:rPr>
          <w:lang w:val="en-US"/>
        </w:rPr>
        <w:t xml:space="preserve"> hate speech and hate crimes. The Commission urged Finland to update its legislation to properly </w:t>
      </w:r>
      <w:proofErr w:type="spellStart"/>
      <w:r>
        <w:rPr>
          <w:lang w:val="en-US"/>
        </w:rPr>
        <w:t>criminalise</w:t>
      </w:r>
      <w:proofErr w:type="spellEnd"/>
      <w:r>
        <w:rPr>
          <w:lang w:val="en-US"/>
        </w:rPr>
        <w:t xml:space="preserve"> hate speech</w:t>
      </w:r>
      <w:r>
        <w:rPr>
          <w:lang w:val="en-US"/>
        </w:rPr>
        <w:t xml:space="preserve"> against an individual based on, among other things, race, ethnicity, </w:t>
      </w:r>
      <w:proofErr w:type="gramStart"/>
      <w:r>
        <w:rPr>
          <w:lang w:val="en-US"/>
        </w:rPr>
        <w:t>nationality</w:t>
      </w:r>
      <w:proofErr w:type="gramEnd"/>
      <w:r>
        <w:rPr>
          <w:lang w:val="en-US"/>
        </w:rPr>
        <w:t xml:space="preserve"> or religion.</w:t>
      </w:r>
      <w:r>
        <w:rPr>
          <w:vertAlign w:val="superscript"/>
          <w:lang w:val="en-US"/>
        </w:rPr>
        <w:footnoteReference w:id="35"/>
      </w:r>
      <w:r>
        <w:rPr>
          <w:lang w:val="en-US"/>
        </w:rPr>
        <w:t xml:space="preserve"> These measures would aid </w:t>
      </w:r>
      <w:proofErr w:type="spellStart"/>
      <w:r>
        <w:rPr>
          <w:lang w:val="en-US"/>
        </w:rPr>
        <w:t>racialised</w:t>
      </w:r>
      <w:proofErr w:type="spellEnd"/>
      <w:r>
        <w:rPr>
          <w:lang w:val="en-US"/>
        </w:rPr>
        <w:t xml:space="preserve"> women in particular. </w:t>
      </w:r>
    </w:p>
    <w:p w14:paraId="4FB92B47" w14:textId="77777777" w:rsidR="00BF7050" w:rsidRDefault="00BF7050">
      <w:pPr>
        <w:pStyle w:val="Body"/>
        <w:spacing w:line="276" w:lineRule="auto"/>
        <w:rPr>
          <w:lang w:val="en-US"/>
        </w:rPr>
      </w:pPr>
    </w:p>
    <w:p w14:paraId="0DBE1631" w14:textId="77777777" w:rsidR="00BF7050" w:rsidRDefault="00C255AF">
      <w:pPr>
        <w:pStyle w:val="Body"/>
        <w:spacing w:line="276" w:lineRule="auto"/>
      </w:pPr>
      <w:r>
        <w:rPr>
          <w:lang w:val="en-US"/>
        </w:rPr>
        <w:t xml:space="preserve">The European Commission against Racism and Intolerance (ECRI) has recommended that Finland set up a </w:t>
      </w:r>
      <w:r>
        <w:rPr>
          <w:lang w:val="en-US"/>
        </w:rPr>
        <w:t>comprehensive data collection system and an inter-institutional working group to develop a comprehensive strategy to tackle hate speech. It also recommends that police thoroughly investigate all cases of hate crime</w:t>
      </w:r>
      <w:r>
        <w:t>.</w:t>
      </w:r>
      <w:r>
        <w:rPr>
          <w:vertAlign w:val="superscript"/>
        </w:rPr>
        <w:footnoteReference w:id="36"/>
      </w:r>
      <w:r>
        <w:t xml:space="preserve"> </w:t>
      </w:r>
      <w:r>
        <w:rPr>
          <w:lang w:val="en-US"/>
        </w:rPr>
        <w:t xml:space="preserve">Both of these </w:t>
      </w:r>
      <w:r>
        <w:t>recommendations</w:t>
      </w:r>
      <w:r>
        <w:rPr>
          <w:lang w:val="en-US"/>
        </w:rPr>
        <w:t xml:space="preserve"> are yet to be </w:t>
      </w:r>
      <w:r>
        <w:t>implemented</w:t>
      </w:r>
      <w:r>
        <w:rPr>
          <w:lang w:val="en-US"/>
        </w:rPr>
        <w:t>.</w:t>
      </w:r>
    </w:p>
    <w:sectPr w:rsidR="00BF7050">
      <w:headerReference w:type="default" r:id="rId6"/>
      <w:footerReference w:type="default" r:id="rId7"/>
      <w:pgSz w:w="11900" w:h="16840"/>
      <w:pgMar w:top="85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30DCA" w14:textId="77777777" w:rsidR="00000000" w:rsidRDefault="00C255AF">
      <w:r>
        <w:separator/>
      </w:r>
    </w:p>
  </w:endnote>
  <w:endnote w:type="continuationSeparator" w:id="0">
    <w:p w14:paraId="7EA79E76" w14:textId="77777777" w:rsidR="00000000" w:rsidRDefault="00C25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Droid Sans">
    <w:altName w:val="Segoe UI"/>
    <w:charset w:val="00"/>
    <w:family w:val="roman"/>
    <w:pitch w:val="default"/>
  </w:font>
  <w:font w:name="Droid Serif">
    <w:altName w:val="Cambria"/>
    <w:charset w:val="00"/>
    <w:family w:val="roman"/>
    <w:pitch w:val="default"/>
  </w:font>
  <w:font w:name="PT Serif">
    <w:charset w:val="00"/>
    <w:family w:val="roman"/>
    <w:pitch w:val="variable"/>
    <w:sig w:usb0="A00002EF" w:usb1="5000204B" w:usb2="00000000" w:usb3="00000000" w:csb0="00000097"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7A3DC" w14:textId="77777777" w:rsidR="00BF7050" w:rsidRDefault="00BF7050">
    <w:pPr>
      <w:pStyle w:val="Body"/>
      <w:jc w:val="center"/>
      <w:rPr>
        <w:rFonts w:ascii="Droid Serif" w:eastAsia="Droid Serif" w:hAnsi="Droid Serif" w:cs="Droid Serif"/>
      </w:rPr>
    </w:pPr>
  </w:p>
  <w:p w14:paraId="6B55F8B9" w14:textId="77777777" w:rsidR="00BF7050" w:rsidRDefault="00C255AF">
    <w:pPr>
      <w:pStyle w:val="Body"/>
      <w:jc w:val="center"/>
    </w:pPr>
    <w:r>
      <w:rPr>
        <w:rFonts w:ascii="PT Serif" w:hAnsi="PT Serif"/>
        <w:b/>
        <w:bCs/>
        <w:lang w:val="fr-FR"/>
      </w:rPr>
      <w:t>Fem-R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60FA5" w14:textId="77777777" w:rsidR="00BF7050" w:rsidRDefault="00C255AF">
      <w:r>
        <w:separator/>
      </w:r>
    </w:p>
  </w:footnote>
  <w:footnote w:type="continuationSeparator" w:id="0">
    <w:p w14:paraId="37256954" w14:textId="77777777" w:rsidR="00BF7050" w:rsidRDefault="00C255AF">
      <w:r>
        <w:continuationSeparator/>
      </w:r>
    </w:p>
  </w:footnote>
  <w:footnote w:type="continuationNotice" w:id="1">
    <w:p w14:paraId="792AB4C4" w14:textId="77777777" w:rsidR="00BF7050" w:rsidRDefault="00BF7050"/>
  </w:footnote>
  <w:footnote w:id="2">
    <w:p w14:paraId="5C7F578D"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rPr>
        <w:t xml:space="preserve"> Kuusio et al., </w:t>
      </w:r>
      <w:r>
        <w:rPr>
          <w:rFonts w:ascii="Times New Roman" w:hAnsi="Times New Roman"/>
          <w:i/>
          <w:iCs/>
          <w:sz w:val="22"/>
          <w:szCs w:val="22"/>
        </w:rPr>
        <w:t>Ulkomaalaistaustaisten terveys ja hyvinvointi Suomessa: FinMonik-tutkimus 2018-2019</w:t>
      </w:r>
      <w:r>
        <w:rPr>
          <w:rFonts w:ascii="Times New Roman" w:hAnsi="Times New Roman"/>
          <w:sz w:val="22"/>
          <w:szCs w:val="22"/>
          <w:lang w:val="en-US"/>
        </w:rPr>
        <w:t xml:space="preserve">, available in Finnish at https://www.julkari.fi/bitstream/handle/10024/139210/URN_ISBN_978-952-343-034-1.pdf?sequence=1&amp;isAllowed=y </w:t>
      </w:r>
    </w:p>
  </w:footnote>
  <w:footnote w:id="3">
    <w:p w14:paraId="1C4EB23D"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Ibid. Harassment is defined as name calling, negative gestures and being excluded from groups. The study considered thes</w:t>
      </w:r>
      <w:r>
        <w:rPr>
          <w:rFonts w:ascii="Times New Roman" w:hAnsi="Times New Roman"/>
          <w:sz w:val="22"/>
          <w:szCs w:val="22"/>
          <w:lang w:val="en-US"/>
        </w:rPr>
        <w:t xml:space="preserve">e results for those of African descents to be particularly worrisome because of their frequency compared to other groups.  </w:t>
      </w:r>
    </w:p>
  </w:footnote>
  <w:footnote w:id="4">
    <w:p w14:paraId="121884DC"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European Union Agency for Fundamental Rights: </w:t>
      </w:r>
      <w:r>
        <w:rPr>
          <w:rFonts w:ascii="Times New Roman" w:hAnsi="Times New Roman"/>
          <w:sz w:val="22"/>
          <w:szCs w:val="22"/>
          <w:lang w:val="en-US"/>
        </w:rPr>
        <w:t>”</w:t>
      </w:r>
      <w:r>
        <w:rPr>
          <w:rFonts w:ascii="Times New Roman" w:hAnsi="Times New Roman"/>
          <w:sz w:val="22"/>
          <w:szCs w:val="22"/>
          <w:lang w:val="en-US"/>
        </w:rPr>
        <w:t>Being Black in Europe. Second European Union Minorities and Discrimination Survey,</w:t>
      </w:r>
      <w:r>
        <w:rPr>
          <w:rFonts w:ascii="Times New Roman" w:hAnsi="Times New Roman"/>
          <w:sz w:val="22"/>
          <w:szCs w:val="22"/>
          <w:lang w:val="en-US"/>
        </w:rPr>
        <w:t xml:space="preserve">” </w:t>
      </w:r>
      <w:r>
        <w:rPr>
          <w:rFonts w:ascii="Times New Roman" w:hAnsi="Times New Roman"/>
          <w:sz w:val="22"/>
          <w:szCs w:val="22"/>
          <w:lang w:val="en-US"/>
        </w:rPr>
        <w:t>available at https://fra.europa.eu/sites/default/files/fra_uploads/fra-2019-being-black-in-the-eu-summary_en.pdf, p. 2</w:t>
      </w:r>
    </w:p>
  </w:footnote>
  <w:footnote w:id="5">
    <w:p w14:paraId="51ADB653"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da-DK"/>
        </w:rPr>
        <w:t xml:space="preserve"> Ibid. </w:t>
      </w:r>
    </w:p>
  </w:footnote>
  <w:footnote w:id="6">
    <w:p w14:paraId="10387628"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rPr>
        <w:t xml:space="preserve"> Kuusio et al.: </w:t>
      </w:r>
      <w:r>
        <w:rPr>
          <w:rFonts w:ascii="Times New Roman" w:hAnsi="Times New Roman"/>
          <w:i/>
          <w:iCs/>
          <w:sz w:val="22"/>
          <w:szCs w:val="22"/>
        </w:rPr>
        <w:t>Ulkomaalaistaustaisten terveys ja hyvinvointi Suomessa: FinMonik-tutkimus 2018-2019</w:t>
      </w:r>
      <w:r>
        <w:rPr>
          <w:rFonts w:ascii="Times New Roman" w:hAnsi="Times New Roman"/>
          <w:sz w:val="22"/>
          <w:szCs w:val="22"/>
        </w:rPr>
        <w:t xml:space="preserve">. </w:t>
      </w:r>
    </w:p>
  </w:footnote>
  <w:footnote w:id="7">
    <w:p w14:paraId="61199480"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Kela: </w:t>
      </w:r>
      <w:r>
        <w:rPr>
          <w:rFonts w:ascii="Times New Roman" w:hAnsi="Times New Roman"/>
          <w:sz w:val="22"/>
          <w:szCs w:val="22"/>
        </w:rPr>
        <w:t>“</w:t>
      </w:r>
      <w:r>
        <w:rPr>
          <w:rFonts w:ascii="Times New Roman" w:hAnsi="Times New Roman"/>
          <w:sz w:val="22"/>
          <w:szCs w:val="22"/>
        </w:rPr>
        <w:t>Kuntoutuspsyko</w:t>
      </w:r>
      <w:r>
        <w:rPr>
          <w:rFonts w:ascii="Times New Roman" w:hAnsi="Times New Roman"/>
          <w:sz w:val="22"/>
          <w:szCs w:val="22"/>
        </w:rPr>
        <w:t>terapia,</w:t>
      </w:r>
      <w:r>
        <w:rPr>
          <w:rFonts w:ascii="Times New Roman" w:hAnsi="Times New Roman"/>
          <w:sz w:val="22"/>
          <w:szCs w:val="22"/>
        </w:rPr>
        <w:t xml:space="preserve">” </w:t>
      </w:r>
      <w:r>
        <w:rPr>
          <w:rFonts w:ascii="Times New Roman" w:hAnsi="Times New Roman"/>
          <w:sz w:val="22"/>
          <w:szCs w:val="22"/>
        </w:rPr>
        <w:t xml:space="preserve">2022, available in Finnish at </w:t>
      </w:r>
      <w:r>
        <w:rPr>
          <w:rFonts w:ascii="Times New Roman" w:hAnsi="Times New Roman"/>
          <w:sz w:val="22"/>
          <w:szCs w:val="22"/>
          <w:lang w:val="en-US"/>
        </w:rPr>
        <w:t>https://www.kela.fi/documents/10192/3239760/Kuntoutuspsykoterapia.pdf</w:t>
      </w:r>
      <w:r>
        <w:rPr>
          <w:rFonts w:ascii="Times New Roman" w:hAnsi="Times New Roman"/>
          <w:sz w:val="22"/>
          <w:szCs w:val="22"/>
        </w:rPr>
        <w:t xml:space="preserve">, p. 5. </w:t>
      </w:r>
    </w:p>
  </w:footnote>
  <w:footnote w:id="8">
    <w:p w14:paraId="2D62E6A4"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Kestil</w:t>
      </w:r>
      <w:r>
        <w:rPr>
          <w:rFonts w:ascii="Times New Roman" w:hAnsi="Times New Roman"/>
          <w:sz w:val="22"/>
          <w:szCs w:val="22"/>
        </w:rPr>
        <w:t>ä</w:t>
      </w:r>
      <w:r>
        <w:rPr>
          <w:rFonts w:ascii="Times New Roman" w:hAnsi="Times New Roman"/>
          <w:sz w:val="22"/>
          <w:szCs w:val="22"/>
        </w:rPr>
        <w:t xml:space="preserve">, Laura et. al.: </w:t>
      </w:r>
      <w:r>
        <w:rPr>
          <w:rFonts w:ascii="Times New Roman" w:hAnsi="Times New Roman"/>
          <w:i/>
          <w:iCs/>
          <w:sz w:val="22"/>
          <w:szCs w:val="22"/>
        </w:rPr>
        <w:t>Covid-19-epidemian vaikutukset hyvinvointiin, palveluj</w:t>
      </w:r>
      <w:r>
        <w:rPr>
          <w:rFonts w:ascii="Times New Roman" w:hAnsi="Times New Roman"/>
          <w:i/>
          <w:iCs/>
          <w:sz w:val="22"/>
          <w:szCs w:val="22"/>
        </w:rPr>
        <w:t>ä</w:t>
      </w:r>
      <w:r>
        <w:rPr>
          <w:rFonts w:ascii="Times New Roman" w:hAnsi="Times New Roman"/>
          <w:i/>
          <w:iCs/>
          <w:sz w:val="22"/>
          <w:szCs w:val="22"/>
        </w:rPr>
        <w:t>rjestelm</w:t>
      </w:r>
      <w:r>
        <w:rPr>
          <w:rFonts w:ascii="Times New Roman" w:hAnsi="Times New Roman"/>
          <w:i/>
          <w:iCs/>
          <w:sz w:val="22"/>
          <w:szCs w:val="22"/>
        </w:rPr>
        <w:t>ää</w:t>
      </w:r>
      <w:r>
        <w:rPr>
          <w:rFonts w:ascii="Times New Roman" w:hAnsi="Times New Roman"/>
          <w:i/>
          <w:iCs/>
          <w:sz w:val="22"/>
          <w:szCs w:val="22"/>
        </w:rPr>
        <w:t>n ja kansantalouteen: Asiantuntija-arvio, kev</w:t>
      </w:r>
      <w:r>
        <w:rPr>
          <w:rFonts w:ascii="Times New Roman" w:hAnsi="Times New Roman"/>
          <w:i/>
          <w:iCs/>
          <w:sz w:val="22"/>
          <w:szCs w:val="22"/>
        </w:rPr>
        <w:t>ä</w:t>
      </w:r>
      <w:r>
        <w:rPr>
          <w:rFonts w:ascii="Times New Roman" w:hAnsi="Times New Roman"/>
          <w:i/>
          <w:iCs/>
          <w:sz w:val="22"/>
          <w:szCs w:val="22"/>
        </w:rPr>
        <w:t>t</w:t>
      </w:r>
      <w:r>
        <w:rPr>
          <w:rFonts w:ascii="Times New Roman" w:hAnsi="Times New Roman"/>
          <w:i/>
          <w:iCs/>
          <w:sz w:val="22"/>
          <w:szCs w:val="22"/>
        </w:rPr>
        <w:t xml:space="preserve"> 2022</w:t>
      </w:r>
      <w:r>
        <w:rPr>
          <w:rFonts w:ascii="Times New Roman" w:hAnsi="Times New Roman"/>
          <w:sz w:val="22"/>
          <w:szCs w:val="22"/>
        </w:rPr>
        <w:t xml:space="preserve">, 2022, available in Finnish at </w:t>
      </w:r>
      <w:r>
        <w:rPr>
          <w:rFonts w:ascii="Times New Roman" w:hAnsi="Times New Roman"/>
          <w:sz w:val="22"/>
          <w:szCs w:val="22"/>
          <w:lang w:val="en-US"/>
        </w:rPr>
        <w:t>https://www.julkari.fi/handle/10024/144268</w:t>
      </w:r>
      <w:r>
        <w:rPr>
          <w:rFonts w:ascii="Times New Roman" w:hAnsi="Times New Roman"/>
          <w:sz w:val="22"/>
          <w:szCs w:val="22"/>
        </w:rPr>
        <w:t>, p. 218.</w:t>
      </w:r>
    </w:p>
  </w:footnote>
  <w:footnote w:id="9">
    <w:p w14:paraId="4636E9E2"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The Finnish Ministry of Justice: </w:t>
      </w:r>
      <w:r>
        <w:rPr>
          <w:rFonts w:ascii="Times New Roman" w:hAnsi="Times New Roman"/>
          <w:sz w:val="22"/>
          <w:szCs w:val="22"/>
        </w:rPr>
        <w:t>“</w:t>
      </w:r>
      <w:r>
        <w:rPr>
          <w:rFonts w:ascii="Times New Roman" w:hAnsi="Times New Roman"/>
          <w:sz w:val="22"/>
          <w:szCs w:val="22"/>
        </w:rPr>
        <w:t>Koronapandemian vaikutukset yhdenvertaisuuden toteutumiseen,</w:t>
      </w:r>
      <w:r>
        <w:rPr>
          <w:rFonts w:ascii="Times New Roman" w:hAnsi="Times New Roman"/>
          <w:sz w:val="22"/>
          <w:szCs w:val="22"/>
        </w:rPr>
        <w:t xml:space="preserve">” </w:t>
      </w:r>
      <w:r>
        <w:rPr>
          <w:rFonts w:ascii="Times New Roman" w:hAnsi="Times New Roman"/>
          <w:sz w:val="22"/>
          <w:szCs w:val="22"/>
        </w:rPr>
        <w:t xml:space="preserve">2021, available in Finnish at </w:t>
      </w:r>
      <w:r>
        <w:rPr>
          <w:rFonts w:ascii="Times New Roman" w:hAnsi="Times New Roman"/>
          <w:sz w:val="22"/>
          <w:szCs w:val="22"/>
          <w:lang w:val="en-US"/>
        </w:rPr>
        <w:t>https://yhdenvertaisuus.fi/documents/52</w:t>
      </w:r>
      <w:r>
        <w:rPr>
          <w:rFonts w:ascii="Times New Roman" w:hAnsi="Times New Roman"/>
          <w:sz w:val="22"/>
          <w:szCs w:val="22"/>
          <w:lang w:val="en-US"/>
        </w:rPr>
        <w:t>32670/5376058/OM_policy_brief_6_121121.pdf/293db0cc-5deb-50f2-0037-125fa71e7f6a/OM_policy_brief_6_121121.pdf?version=1.0&amp;t=1640091766800</w:t>
      </w:r>
      <w:r>
        <w:rPr>
          <w:rFonts w:ascii="Times New Roman" w:hAnsi="Times New Roman"/>
          <w:sz w:val="22"/>
          <w:szCs w:val="22"/>
        </w:rPr>
        <w:t xml:space="preserve">. </w:t>
      </w:r>
    </w:p>
  </w:footnote>
  <w:footnote w:id="10">
    <w:p w14:paraId="43B767CE"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Mesi</w:t>
      </w:r>
      <w:r>
        <w:rPr>
          <w:rFonts w:ascii="Times New Roman" w:hAnsi="Times New Roman"/>
          <w:sz w:val="22"/>
          <w:szCs w:val="22"/>
        </w:rPr>
        <w:t>ä</w:t>
      </w:r>
      <w:r>
        <w:rPr>
          <w:rFonts w:ascii="Times New Roman" w:hAnsi="Times New Roman"/>
          <w:sz w:val="22"/>
          <w:szCs w:val="22"/>
        </w:rPr>
        <w:t xml:space="preserve">islehto, Merita et al.: </w:t>
      </w:r>
      <w:r>
        <w:rPr>
          <w:rFonts w:ascii="Times New Roman" w:hAnsi="Times New Roman"/>
          <w:i/>
          <w:iCs/>
          <w:sz w:val="22"/>
          <w:szCs w:val="22"/>
        </w:rPr>
        <w:t>Koronakriisin vaikutukset sukupuolten tasa-arvoon Suomessa</w:t>
      </w:r>
      <w:r>
        <w:rPr>
          <w:rFonts w:ascii="Times New Roman" w:hAnsi="Times New Roman"/>
          <w:sz w:val="22"/>
          <w:szCs w:val="22"/>
        </w:rPr>
        <w:t>, 2022, available in Finnish</w:t>
      </w:r>
      <w:r>
        <w:rPr>
          <w:rFonts w:ascii="Times New Roman" w:hAnsi="Times New Roman"/>
          <w:sz w:val="22"/>
          <w:szCs w:val="22"/>
        </w:rPr>
        <w:t xml:space="preserve"> at </w:t>
      </w:r>
      <w:r>
        <w:rPr>
          <w:rFonts w:ascii="Times New Roman" w:hAnsi="Times New Roman"/>
          <w:sz w:val="22"/>
          <w:szCs w:val="22"/>
          <w:lang w:val="en-US"/>
        </w:rPr>
        <w:t>https://julkaisut.valtioneuvosto.fi/handle/10024/164176</w:t>
      </w:r>
      <w:r>
        <w:rPr>
          <w:rFonts w:ascii="Times New Roman" w:hAnsi="Times New Roman"/>
          <w:sz w:val="22"/>
          <w:szCs w:val="22"/>
        </w:rPr>
        <w:t>, p. 130-131.</w:t>
      </w:r>
    </w:p>
  </w:footnote>
  <w:footnote w:id="11">
    <w:p w14:paraId="6E162878" w14:textId="77777777" w:rsidR="00BF7050" w:rsidRDefault="00C255AF">
      <w:pPr>
        <w:pStyle w:val="FootnoteText"/>
      </w:pPr>
      <w:r>
        <w:rPr>
          <w:rFonts w:ascii="Times New Roman" w:eastAsia="Times New Roman" w:hAnsi="Times New Roman" w:cs="Times New Roman"/>
          <w:sz w:val="22"/>
          <w:szCs w:val="22"/>
          <w:vertAlign w:val="superscript"/>
        </w:rPr>
        <w:footnoteRef/>
      </w:r>
      <w:r>
        <w:rPr>
          <w:rFonts w:ascii="Times New Roman" w:hAnsi="Times New Roman"/>
          <w:sz w:val="22"/>
          <w:szCs w:val="22"/>
          <w:lang w:val="en-US"/>
        </w:rPr>
        <w:t xml:space="preserve"> Criminal Code, Chapter 47, section 3 (</w:t>
      </w:r>
      <w:r>
        <w:rPr>
          <w:rFonts w:ascii="Times New Roman" w:hAnsi="Times New Roman"/>
          <w:sz w:val="22"/>
          <w:szCs w:val="22"/>
          <w:lang w:val="en-US"/>
        </w:rPr>
        <w:t>“</w:t>
      </w:r>
      <w:r>
        <w:rPr>
          <w:rFonts w:ascii="Times New Roman" w:hAnsi="Times New Roman"/>
          <w:sz w:val="22"/>
          <w:szCs w:val="22"/>
          <w:lang w:val="en-US"/>
        </w:rPr>
        <w:t>Work Discrimination</w:t>
      </w:r>
      <w:r>
        <w:rPr>
          <w:rFonts w:ascii="Times New Roman" w:hAnsi="Times New Roman"/>
          <w:sz w:val="22"/>
          <w:szCs w:val="22"/>
          <w:lang w:val="en-US"/>
        </w:rPr>
        <w:t>”</w:t>
      </w:r>
      <w:r>
        <w:rPr>
          <w:rFonts w:ascii="Times New Roman" w:hAnsi="Times New Roman"/>
          <w:sz w:val="22"/>
          <w:szCs w:val="22"/>
          <w:lang w:val="en-US"/>
        </w:rPr>
        <w:t xml:space="preserve">), available in English translation at </w:t>
      </w:r>
      <w:r>
        <w:rPr>
          <w:rFonts w:ascii="Times New Roman" w:hAnsi="Times New Roman"/>
          <w:sz w:val="22"/>
          <w:szCs w:val="22"/>
          <w:lang w:val="en-US"/>
        </w:rPr>
        <w:t>https://www.finlex.fi/fi/laki/kaannokset/1889/en18890039.pdf</w:t>
      </w:r>
    </w:p>
  </w:footnote>
  <w:footnote w:id="12">
    <w:p w14:paraId="631B6D3E"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w:t>
      </w:r>
      <w:r>
        <w:rPr>
          <w:rFonts w:ascii="Times New Roman" w:hAnsi="Times New Roman"/>
          <w:sz w:val="22"/>
          <w:szCs w:val="22"/>
          <w:lang w:val="en-US"/>
        </w:rPr>
        <w:t>Ibid.</w:t>
      </w:r>
    </w:p>
  </w:footnote>
  <w:footnote w:id="13">
    <w:p w14:paraId="2E3AC1DC" w14:textId="77777777" w:rsidR="00BF7050" w:rsidRDefault="00C255AF">
      <w:pPr>
        <w:pStyle w:val="Body"/>
        <w:ind w:left="360"/>
      </w:pPr>
      <w:r>
        <w:rPr>
          <w:sz w:val="22"/>
          <w:szCs w:val="22"/>
          <w:vertAlign w:val="superscript"/>
          <w:lang w:val="en-US"/>
        </w:rPr>
        <w:footnoteRef/>
      </w:r>
      <w:r>
        <w:rPr>
          <w:sz w:val="22"/>
          <w:szCs w:val="22"/>
        </w:rPr>
        <w:t xml:space="preserve"> Kazi, Villiina &amp; Alitolppa-Niitamo, Anne &amp; Kaihovaara, Antti (toim.): </w:t>
      </w:r>
      <w:r>
        <w:rPr>
          <w:i/>
          <w:iCs/>
          <w:sz w:val="22"/>
          <w:szCs w:val="22"/>
        </w:rPr>
        <w:t>Kotoutumisen kokonaiskatsaus 2019: Tutkimusartikkeleita kotoutumisesta</w:t>
      </w:r>
      <w:r>
        <w:rPr>
          <w:sz w:val="22"/>
          <w:szCs w:val="22"/>
          <w:lang w:val="en-US"/>
        </w:rPr>
        <w:t>, available in Finnish at https://julkaisut.v</w:t>
      </w:r>
      <w:r>
        <w:rPr>
          <w:sz w:val="22"/>
          <w:szCs w:val="22"/>
          <w:lang w:val="en-US"/>
        </w:rPr>
        <w:t>altioneuvosto.fi/bitstream/handle/10024/162005/TEM_oppaat_10_2019_Tutkimusartikkeleita_kotoutumisesta_20012020.pdf?sequence=1&amp;isAllowed=y</w:t>
      </w:r>
    </w:p>
  </w:footnote>
  <w:footnote w:id="14">
    <w:p w14:paraId="1F2BE2B3" w14:textId="77777777" w:rsidR="00BF7050" w:rsidRDefault="00C255AF">
      <w:pPr>
        <w:pStyle w:val="Body"/>
        <w:ind w:left="360"/>
      </w:pPr>
      <w:r>
        <w:rPr>
          <w:sz w:val="22"/>
          <w:szCs w:val="22"/>
          <w:vertAlign w:val="superscript"/>
          <w:lang w:val="en-US"/>
        </w:rPr>
        <w:footnoteRef/>
      </w:r>
      <w:r>
        <w:rPr>
          <w:sz w:val="22"/>
          <w:szCs w:val="22"/>
          <w:lang w:val="en-US"/>
        </w:rPr>
        <w:t xml:space="preserve"> OECD Directorate for Employment, Labour and Social Affairs: “CO3.1 Educational attainment by gender,” 2019, availabl</w:t>
      </w:r>
      <w:r>
        <w:rPr>
          <w:sz w:val="22"/>
          <w:szCs w:val="22"/>
          <w:lang w:val="en-US"/>
        </w:rPr>
        <w:t xml:space="preserve">e at https://www.oecd.org/els/family/CO3_1_Educational_attainment_by_gender.pdf. 50.7% of Finnish women hold a post-secondary degree. </w:t>
      </w:r>
    </w:p>
  </w:footnote>
  <w:footnote w:id="15">
    <w:p w14:paraId="71A4B555" w14:textId="77777777" w:rsidR="00BF7050" w:rsidRDefault="00C255AF">
      <w:pPr>
        <w:pStyle w:val="FootnoteText"/>
      </w:pPr>
      <w:r>
        <w:rPr>
          <w:rFonts w:ascii="Times New Roman" w:eastAsia="Times New Roman" w:hAnsi="Times New Roman" w:cs="Times New Roman"/>
          <w:sz w:val="22"/>
          <w:szCs w:val="22"/>
          <w:vertAlign w:val="superscript"/>
        </w:rPr>
        <w:footnoteRef/>
      </w:r>
      <w:r>
        <w:rPr>
          <w:rFonts w:ascii="Times New Roman" w:hAnsi="Times New Roman"/>
          <w:sz w:val="22"/>
          <w:szCs w:val="22"/>
        </w:rPr>
        <w:t xml:space="preserve">  Kuusio et al., </w:t>
      </w:r>
      <w:r>
        <w:rPr>
          <w:rFonts w:ascii="Times New Roman" w:hAnsi="Times New Roman"/>
          <w:i/>
          <w:iCs/>
          <w:sz w:val="22"/>
          <w:szCs w:val="22"/>
        </w:rPr>
        <w:t>Ulkomaalaistaustaisten terveys ja hyvinvointi Suomessa: FinMonik-tutkimus 2018-2019</w:t>
      </w:r>
      <w:r>
        <w:rPr>
          <w:rFonts w:ascii="Times New Roman" w:hAnsi="Times New Roman"/>
          <w:sz w:val="22"/>
          <w:szCs w:val="22"/>
          <w:lang w:val="en-US"/>
        </w:rPr>
        <w:t>, available in Finni</w:t>
      </w:r>
      <w:r>
        <w:rPr>
          <w:rFonts w:ascii="Times New Roman" w:hAnsi="Times New Roman"/>
          <w:sz w:val="22"/>
          <w:szCs w:val="22"/>
          <w:lang w:val="en-US"/>
        </w:rPr>
        <w:t>sh at https://www.julkari.fi/bitstream/handle/10024/139210/URN_ISBN_978-952-343-034-1.pdf?sequence=1&amp;isAllowed=y</w:t>
      </w:r>
    </w:p>
  </w:footnote>
  <w:footnote w:id="16">
    <w:p w14:paraId="56CD6295"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Kestil</w:t>
      </w:r>
      <w:r>
        <w:rPr>
          <w:rFonts w:ascii="Times New Roman" w:hAnsi="Times New Roman"/>
          <w:sz w:val="22"/>
          <w:szCs w:val="22"/>
        </w:rPr>
        <w:t>ä</w:t>
      </w:r>
      <w:r>
        <w:rPr>
          <w:rFonts w:ascii="Times New Roman" w:hAnsi="Times New Roman"/>
          <w:sz w:val="22"/>
          <w:szCs w:val="22"/>
        </w:rPr>
        <w:t xml:space="preserve">, Laura et. al.: </w:t>
      </w:r>
      <w:r>
        <w:rPr>
          <w:rFonts w:ascii="Times New Roman" w:hAnsi="Times New Roman"/>
          <w:i/>
          <w:iCs/>
          <w:sz w:val="22"/>
          <w:szCs w:val="22"/>
        </w:rPr>
        <w:t xml:space="preserve">Covid-19-epidemian vaikutukset hyvinvointiin, </w:t>
      </w:r>
      <w:r>
        <w:rPr>
          <w:rFonts w:ascii="Times New Roman" w:hAnsi="Times New Roman"/>
          <w:sz w:val="22"/>
          <w:szCs w:val="22"/>
        </w:rPr>
        <w:t>p. 198.</w:t>
      </w:r>
    </w:p>
  </w:footnote>
  <w:footnote w:id="17">
    <w:p w14:paraId="204BCCC4"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w:t>
      </w:r>
      <w:r>
        <w:rPr>
          <w:rFonts w:ascii="Times New Roman" w:hAnsi="Times New Roman"/>
          <w:i/>
          <w:iCs/>
          <w:sz w:val="22"/>
          <w:szCs w:val="22"/>
        </w:rPr>
        <w:t>Inter alia</w:t>
      </w:r>
      <w:r>
        <w:rPr>
          <w:rFonts w:ascii="Times New Roman" w:hAnsi="Times New Roman"/>
          <w:sz w:val="22"/>
          <w:szCs w:val="22"/>
        </w:rPr>
        <w:t xml:space="preserve">: OECD: </w:t>
      </w:r>
      <w:r>
        <w:rPr>
          <w:rFonts w:ascii="Times New Roman" w:hAnsi="Times New Roman"/>
          <w:sz w:val="22"/>
          <w:szCs w:val="22"/>
        </w:rPr>
        <w:t>“</w:t>
      </w:r>
      <w:r>
        <w:rPr>
          <w:rFonts w:ascii="Times New Roman" w:hAnsi="Times New Roman"/>
          <w:sz w:val="22"/>
          <w:szCs w:val="22"/>
        </w:rPr>
        <w:t>The unequal impact of COVID-19: A spotligh</w:t>
      </w:r>
      <w:r>
        <w:rPr>
          <w:rFonts w:ascii="Times New Roman" w:hAnsi="Times New Roman"/>
          <w:sz w:val="22"/>
          <w:szCs w:val="22"/>
        </w:rPr>
        <w:t>t on frontline workers, migrants and racial/ethnic minorities,</w:t>
      </w:r>
      <w:r>
        <w:rPr>
          <w:rFonts w:ascii="Times New Roman" w:hAnsi="Times New Roman"/>
          <w:sz w:val="22"/>
          <w:szCs w:val="22"/>
        </w:rPr>
        <w:t xml:space="preserve">” </w:t>
      </w:r>
      <w:r>
        <w:rPr>
          <w:rFonts w:ascii="Times New Roman" w:hAnsi="Times New Roman"/>
          <w:sz w:val="22"/>
          <w:szCs w:val="22"/>
        </w:rPr>
        <w:t xml:space="preserve">2022, available at </w:t>
      </w:r>
      <w:r>
        <w:rPr>
          <w:rFonts w:ascii="Times New Roman" w:hAnsi="Times New Roman"/>
          <w:sz w:val="22"/>
          <w:szCs w:val="22"/>
          <w:lang w:val="en-US"/>
        </w:rPr>
        <w:t>https://www.oecd.org/coronavirus/policy-responses/the-unequal-impact-of-covid-19-a-spotlight-on-frontline-workers-migrants-and-racial-ethnic-minorities-f36e931e/</w:t>
      </w:r>
      <w:r>
        <w:rPr>
          <w:rFonts w:ascii="Times New Roman" w:hAnsi="Times New Roman"/>
          <w:sz w:val="22"/>
          <w:szCs w:val="22"/>
        </w:rPr>
        <w:t>.</w:t>
      </w:r>
    </w:p>
  </w:footnote>
  <w:footnote w:id="18">
    <w:p w14:paraId="16FB3E7E"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rPr>
        <w:t xml:space="preserve"> Non-Discrimination Ombudsman: Selvitys afrikkalaistaustaisten kokemasta syrjinn</w:t>
      </w:r>
      <w:r>
        <w:rPr>
          <w:rFonts w:ascii="Times New Roman" w:hAnsi="Times New Roman"/>
          <w:sz w:val="22"/>
          <w:szCs w:val="22"/>
        </w:rPr>
        <w:t>ä</w:t>
      </w:r>
      <w:r>
        <w:rPr>
          <w:rFonts w:ascii="Times New Roman" w:hAnsi="Times New Roman"/>
          <w:sz w:val="22"/>
          <w:szCs w:val="22"/>
        </w:rPr>
        <w:t>st</w:t>
      </w:r>
      <w:r>
        <w:rPr>
          <w:rFonts w:ascii="Times New Roman" w:hAnsi="Times New Roman"/>
          <w:sz w:val="22"/>
          <w:szCs w:val="22"/>
        </w:rPr>
        <w:t>ä</w:t>
      </w:r>
      <w:r>
        <w:rPr>
          <w:rFonts w:ascii="Times New Roman" w:hAnsi="Times New Roman"/>
          <w:sz w:val="22"/>
          <w:szCs w:val="22"/>
        </w:rPr>
        <w:t>, available in Finnish at https://syrjinta.fi/documents/25249352/0/Selvitys+afrikkalaistaustaisten+henkil%C3%B6iden+kokemasta+syrjinn%C3%A4st%C3%A4+%28PDF%2C+2204+kt%29.pdf</w:t>
      </w:r>
      <w:r>
        <w:rPr>
          <w:rFonts w:ascii="Times New Roman" w:hAnsi="Times New Roman"/>
          <w:sz w:val="22"/>
          <w:szCs w:val="22"/>
        </w:rPr>
        <w:t>/26f9e7b9-1dca-a3b6-4022-467340922da0/Selvitys+afrikkalaistaustaisten+henkil%C3%B6iden+kokemasta+syrjinn%C3%A4st%C3%A4+%28PDF%2C+2204+kt%29.pdf?t=1612266834768. Last modified in November 2020.</w:t>
      </w:r>
    </w:p>
  </w:footnote>
  <w:footnote w:id="19">
    <w:p w14:paraId="3F991F98"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rPr>
        <w:t xml:space="preserve"> Kurki, Tuuli: </w:t>
      </w:r>
      <w:r>
        <w:rPr>
          <w:rFonts w:ascii="Times New Roman" w:hAnsi="Times New Roman"/>
          <w:sz w:val="22"/>
          <w:szCs w:val="22"/>
          <w:lang w:val="de-DE"/>
        </w:rPr>
        <w:t>“</w:t>
      </w:r>
      <w:r>
        <w:rPr>
          <w:rFonts w:ascii="Times New Roman" w:hAnsi="Times New Roman"/>
          <w:sz w:val="22"/>
          <w:szCs w:val="22"/>
        </w:rPr>
        <w:t>Sukupuolittuneita ja rodullistettuja koulutusr</w:t>
      </w:r>
      <w:r>
        <w:rPr>
          <w:rFonts w:ascii="Times New Roman" w:hAnsi="Times New Roman"/>
          <w:sz w:val="22"/>
          <w:szCs w:val="22"/>
        </w:rPr>
        <w:t>eittej</w:t>
      </w:r>
      <w:r>
        <w:rPr>
          <w:rFonts w:ascii="Times New Roman" w:hAnsi="Times New Roman"/>
          <w:sz w:val="22"/>
          <w:szCs w:val="22"/>
        </w:rPr>
        <w:t>ä</w:t>
      </w:r>
      <w:r>
        <w:rPr>
          <w:rFonts w:ascii="Times New Roman" w:hAnsi="Times New Roman"/>
          <w:sz w:val="22"/>
          <w:szCs w:val="22"/>
        </w:rPr>
        <w:t>: Maahanmuttajataustaiset tyt</w:t>
      </w:r>
      <w:r>
        <w:rPr>
          <w:rFonts w:ascii="Times New Roman" w:hAnsi="Times New Roman"/>
          <w:sz w:val="22"/>
          <w:szCs w:val="22"/>
          <w:lang w:val="sv-SE"/>
        </w:rPr>
        <w:t>ö</w:t>
      </w:r>
      <w:r>
        <w:rPr>
          <w:rFonts w:ascii="Times New Roman" w:hAnsi="Times New Roman"/>
          <w:sz w:val="22"/>
          <w:szCs w:val="22"/>
        </w:rPr>
        <w:t>t siirtym</w:t>
      </w:r>
      <w:r>
        <w:rPr>
          <w:rFonts w:ascii="Times New Roman" w:hAnsi="Times New Roman"/>
          <w:sz w:val="22"/>
          <w:szCs w:val="22"/>
        </w:rPr>
        <w:t>ä</w:t>
      </w:r>
      <w:r>
        <w:rPr>
          <w:rFonts w:ascii="Times New Roman" w:hAnsi="Times New Roman"/>
          <w:sz w:val="22"/>
          <w:szCs w:val="22"/>
        </w:rPr>
        <w:t>ss</w:t>
      </w:r>
      <w:r>
        <w:rPr>
          <w:rFonts w:ascii="Times New Roman" w:hAnsi="Times New Roman"/>
          <w:sz w:val="22"/>
          <w:szCs w:val="22"/>
        </w:rPr>
        <w:t xml:space="preserve">ä </w:t>
      </w:r>
      <w:r>
        <w:rPr>
          <w:rFonts w:ascii="Times New Roman" w:hAnsi="Times New Roman"/>
          <w:sz w:val="22"/>
          <w:szCs w:val="22"/>
        </w:rPr>
        <w:t>toiseen asteen koulutuksiin,</w:t>
      </w:r>
      <w:r>
        <w:rPr>
          <w:rFonts w:ascii="Times New Roman" w:hAnsi="Times New Roman"/>
          <w:sz w:val="22"/>
          <w:szCs w:val="22"/>
        </w:rPr>
        <w:t xml:space="preserve">” </w:t>
      </w:r>
      <w:r>
        <w:rPr>
          <w:rFonts w:ascii="Times New Roman" w:hAnsi="Times New Roman"/>
          <w:sz w:val="22"/>
          <w:szCs w:val="22"/>
          <w:lang w:val="en-US"/>
        </w:rPr>
        <w:t xml:space="preserve">available in Finnish at https://core.ac.uk/download/pdf/39981371.pdf. Kurki refers to girls from immigrant backgrounds receiving this kind of counseling as a form of accepted </w:t>
      </w:r>
      <w:r>
        <w:rPr>
          <w:rFonts w:ascii="Times New Roman" w:hAnsi="Times New Roman"/>
          <w:sz w:val="22"/>
          <w:szCs w:val="22"/>
          <w:lang w:val="en-US"/>
        </w:rPr>
        <w:t>racism.</w:t>
      </w:r>
    </w:p>
  </w:footnote>
  <w:footnote w:id="20">
    <w:p w14:paraId="705DF06B"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ECRI Report on Finland (fifth monitoring cycle), published 10 September 2019, available at https://rm.coe.int/fifth-report-on-finland/1680972fa7.</w:t>
      </w:r>
    </w:p>
  </w:footnote>
  <w:footnote w:id="21">
    <w:p w14:paraId="5EDD2FC8"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Lausuntopalvelu: </w:t>
      </w:r>
      <w:r>
        <w:rPr>
          <w:rFonts w:ascii="Times New Roman" w:hAnsi="Times New Roman"/>
          <w:sz w:val="22"/>
          <w:szCs w:val="22"/>
        </w:rPr>
        <w:t>“</w:t>
      </w:r>
      <w:r>
        <w:rPr>
          <w:rFonts w:ascii="Times New Roman" w:hAnsi="Times New Roman"/>
          <w:sz w:val="22"/>
          <w:szCs w:val="22"/>
        </w:rPr>
        <w:t>Lausuntopyynn</w:t>
      </w:r>
      <w:r>
        <w:rPr>
          <w:rFonts w:ascii="Times New Roman" w:hAnsi="Times New Roman"/>
          <w:sz w:val="22"/>
          <w:szCs w:val="22"/>
        </w:rPr>
        <w:t>ö</w:t>
      </w:r>
      <w:r>
        <w:rPr>
          <w:rFonts w:ascii="Times New Roman" w:hAnsi="Times New Roman"/>
          <w:sz w:val="22"/>
          <w:szCs w:val="22"/>
        </w:rPr>
        <w:t>t mietinn</w:t>
      </w:r>
      <w:r>
        <w:rPr>
          <w:rFonts w:ascii="Times New Roman" w:hAnsi="Times New Roman"/>
          <w:sz w:val="22"/>
          <w:szCs w:val="22"/>
        </w:rPr>
        <w:t>ö</w:t>
      </w:r>
      <w:r>
        <w:rPr>
          <w:rFonts w:ascii="Times New Roman" w:hAnsi="Times New Roman"/>
          <w:sz w:val="22"/>
          <w:szCs w:val="22"/>
        </w:rPr>
        <w:t>ist</w:t>
      </w:r>
      <w:r>
        <w:rPr>
          <w:rFonts w:ascii="Times New Roman" w:hAnsi="Times New Roman"/>
          <w:sz w:val="22"/>
          <w:szCs w:val="22"/>
        </w:rPr>
        <w:t xml:space="preserve">ä </w:t>
      </w:r>
      <w:r>
        <w:rPr>
          <w:rFonts w:ascii="Times New Roman" w:hAnsi="Times New Roman"/>
          <w:sz w:val="22"/>
          <w:szCs w:val="22"/>
        </w:rPr>
        <w:t>koskien yhdenvertaisuuslain osittaisuudistusta,</w:t>
      </w:r>
      <w:r>
        <w:rPr>
          <w:rFonts w:ascii="Times New Roman" w:hAnsi="Times New Roman"/>
          <w:sz w:val="22"/>
          <w:szCs w:val="22"/>
        </w:rPr>
        <w:t xml:space="preserve">” </w:t>
      </w:r>
      <w:r>
        <w:rPr>
          <w:rFonts w:ascii="Times New Roman" w:hAnsi="Times New Roman"/>
          <w:sz w:val="22"/>
          <w:szCs w:val="22"/>
        </w:rPr>
        <w:t>av</w:t>
      </w:r>
      <w:r>
        <w:rPr>
          <w:rFonts w:ascii="Times New Roman" w:hAnsi="Times New Roman"/>
          <w:sz w:val="22"/>
          <w:szCs w:val="22"/>
        </w:rPr>
        <w:t xml:space="preserve">ailable in Finnish at </w:t>
      </w:r>
      <w:r>
        <w:rPr>
          <w:rFonts w:ascii="Times New Roman" w:hAnsi="Times New Roman"/>
          <w:sz w:val="22"/>
          <w:szCs w:val="22"/>
          <w:lang w:val="en-US"/>
        </w:rPr>
        <w:t>https://www.lausuntopalvelu.fi/FI/Proposal/Participation?proposalId=d1ca8eb4-cece-4a3e-aaa9-e10124d93e1f</w:t>
      </w:r>
      <w:r>
        <w:rPr>
          <w:rFonts w:ascii="Times New Roman" w:hAnsi="Times New Roman"/>
          <w:sz w:val="22"/>
          <w:szCs w:val="22"/>
        </w:rPr>
        <w:t>.</w:t>
      </w:r>
    </w:p>
  </w:footnote>
  <w:footnote w:id="22">
    <w:p w14:paraId="667EEFAF"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w:t>
      </w:r>
      <w:r>
        <w:rPr>
          <w:rFonts w:ascii="Times New Roman" w:hAnsi="Times New Roman"/>
          <w:i/>
          <w:iCs/>
          <w:sz w:val="22"/>
          <w:szCs w:val="22"/>
          <w:lang w:val="en-US"/>
        </w:rPr>
        <w:t>Inter alia</w:t>
      </w:r>
      <w:r>
        <w:rPr>
          <w:rFonts w:ascii="Times New Roman" w:hAnsi="Times New Roman"/>
          <w:sz w:val="22"/>
          <w:szCs w:val="22"/>
          <w:lang w:val="en-US"/>
        </w:rPr>
        <w:t>: M</w:t>
      </w:r>
      <w:r>
        <w:rPr>
          <w:rFonts w:ascii="Times New Roman" w:hAnsi="Times New Roman"/>
          <w:sz w:val="22"/>
          <w:szCs w:val="22"/>
          <w:lang w:val="en-US"/>
        </w:rPr>
        <w:t>ä</w:t>
      </w:r>
      <w:r>
        <w:rPr>
          <w:rFonts w:ascii="Times New Roman" w:hAnsi="Times New Roman"/>
          <w:sz w:val="22"/>
          <w:szCs w:val="22"/>
          <w:lang w:val="en-US"/>
        </w:rPr>
        <w:t xml:space="preserve">kinen, Kari et al.: </w:t>
      </w:r>
      <w:r>
        <w:rPr>
          <w:rFonts w:ascii="Times New Roman" w:hAnsi="Times New Roman"/>
          <w:i/>
          <w:iCs/>
          <w:sz w:val="22"/>
          <w:szCs w:val="22"/>
          <w:lang w:val="en-US"/>
        </w:rPr>
        <w:t xml:space="preserve">Sanat ovat tekoja: Vihapuheen ja nettikiusaamisen vastaisten toimien </w:t>
      </w:r>
      <w:r>
        <w:rPr>
          <w:rFonts w:ascii="Times New Roman" w:hAnsi="Times New Roman"/>
          <w:i/>
          <w:iCs/>
          <w:sz w:val="22"/>
          <w:szCs w:val="22"/>
          <w:lang w:val="en-US"/>
        </w:rPr>
        <w:t>tehostaminen</w:t>
      </w:r>
      <w:r>
        <w:rPr>
          <w:rFonts w:ascii="Times New Roman" w:hAnsi="Times New Roman"/>
          <w:sz w:val="22"/>
          <w:szCs w:val="22"/>
          <w:lang w:val="en-US"/>
        </w:rPr>
        <w:t>, 2019, available in Finnish at  https://julkaisut.valtioneuvosto.fi/handle/10024/161613. The report was produced by a working group convened in 2018 by the Ministries of Justice, the Interior and Education and Culture, which included 13 recomm</w:t>
      </w:r>
      <w:r>
        <w:rPr>
          <w:rFonts w:ascii="Times New Roman" w:hAnsi="Times New Roman"/>
          <w:sz w:val="22"/>
          <w:szCs w:val="22"/>
          <w:lang w:val="en-US"/>
        </w:rPr>
        <w:t>endations to be implemented as part of a wider action plan.</w:t>
      </w:r>
    </w:p>
  </w:footnote>
  <w:footnote w:id="23">
    <w:p w14:paraId="2EBDF939" w14:textId="77777777" w:rsidR="00BF7050" w:rsidRDefault="00C255AF">
      <w:pPr>
        <w:pStyle w:val="Body"/>
        <w:ind w:left="360"/>
      </w:pPr>
      <w:r>
        <w:rPr>
          <w:sz w:val="22"/>
          <w:szCs w:val="22"/>
          <w:vertAlign w:val="superscript"/>
          <w:lang w:val="en-US"/>
        </w:rPr>
        <w:footnoteRef/>
      </w:r>
      <w:r>
        <w:rPr>
          <w:sz w:val="22"/>
          <w:szCs w:val="22"/>
        </w:rPr>
        <w:t xml:space="preserve"> Terä</w:t>
      </w:r>
      <w:r>
        <w:rPr>
          <w:sz w:val="22"/>
          <w:szCs w:val="22"/>
          <w:lang w:val="en-US"/>
        </w:rPr>
        <w:t>saho, Mia and Johanna N</w:t>
      </w:r>
      <w:r>
        <w:rPr>
          <w:sz w:val="22"/>
          <w:szCs w:val="22"/>
        </w:rPr>
        <w:t xml:space="preserve">ärvi (ed.): </w:t>
      </w:r>
      <w:r>
        <w:rPr>
          <w:i/>
          <w:iCs/>
          <w:sz w:val="22"/>
          <w:szCs w:val="22"/>
          <w:shd w:val="clear" w:color="auto" w:fill="FFFFFF"/>
        </w:rPr>
        <w:t>Näk</w:t>
      </w:r>
      <w:r>
        <w:rPr>
          <w:i/>
          <w:iCs/>
          <w:sz w:val="22"/>
          <w:szCs w:val="22"/>
          <w:shd w:val="clear" w:color="auto" w:fill="FFFFFF"/>
          <w:lang w:val="sv-SE"/>
        </w:rPr>
        <w:t>ö</w:t>
      </w:r>
      <w:r>
        <w:rPr>
          <w:i/>
          <w:iCs/>
          <w:sz w:val="22"/>
          <w:szCs w:val="22"/>
          <w:shd w:val="clear" w:color="auto" w:fill="FFFFFF"/>
        </w:rPr>
        <w:t>kulmia sukupuolten tasa-arvoon: analyyseja tasa arvobarometrista</w:t>
      </w:r>
      <w:r>
        <w:rPr>
          <w:sz w:val="22"/>
          <w:szCs w:val="22"/>
          <w:shd w:val="clear" w:color="auto" w:fill="FFFFFF"/>
          <w:lang w:val="en-US"/>
        </w:rPr>
        <w:t xml:space="preserve"> 2017, available in Finnish at https://www.julkari.fi/bitstream/handle/10024/137765/URN</w:t>
      </w:r>
      <w:r>
        <w:rPr>
          <w:sz w:val="22"/>
          <w:szCs w:val="22"/>
          <w:shd w:val="clear" w:color="auto" w:fill="FFFFFF"/>
          <w:lang w:val="en-US"/>
        </w:rPr>
        <w:t xml:space="preserve">_ISBN_978-952-343-314-4.pdf?sequence=1&amp;isAllowed=y.  </w:t>
      </w:r>
      <w:r>
        <w:rPr>
          <w:sz w:val="22"/>
          <w:szCs w:val="22"/>
          <w:shd w:val="clear" w:color="auto" w:fill="FFFFFF"/>
        </w:rPr>
        <w:t> </w:t>
      </w:r>
    </w:p>
  </w:footnote>
  <w:footnote w:id="24">
    <w:p w14:paraId="490EC1B8"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The Ministry of Justice, Finland: </w:t>
      </w:r>
      <w:r>
        <w:rPr>
          <w:rFonts w:ascii="Times New Roman" w:hAnsi="Times New Roman"/>
          <w:i/>
          <w:iCs/>
          <w:sz w:val="22"/>
          <w:szCs w:val="22"/>
          <w:lang w:val="en-US"/>
        </w:rPr>
        <w:t>”</w:t>
      </w:r>
      <w:r>
        <w:rPr>
          <w:rFonts w:ascii="Times New Roman" w:hAnsi="Times New Roman"/>
          <w:i/>
          <w:iCs/>
          <w:sz w:val="22"/>
          <w:szCs w:val="22"/>
          <w:lang w:val="en-US"/>
        </w:rPr>
        <w:t>Usein joutuu miettim</w:t>
      </w:r>
      <w:r>
        <w:rPr>
          <w:rFonts w:ascii="Times New Roman" w:hAnsi="Times New Roman"/>
          <w:i/>
          <w:iCs/>
          <w:sz w:val="22"/>
          <w:szCs w:val="22"/>
          <w:lang w:val="en-US"/>
        </w:rPr>
        <w:t>ää</w:t>
      </w:r>
      <w:r>
        <w:rPr>
          <w:rFonts w:ascii="Times New Roman" w:hAnsi="Times New Roman"/>
          <w:i/>
          <w:iCs/>
          <w:sz w:val="22"/>
          <w:szCs w:val="22"/>
          <w:lang w:val="en-US"/>
        </w:rPr>
        <w:t>n, miten pit</w:t>
      </w:r>
      <w:r>
        <w:rPr>
          <w:rFonts w:ascii="Times New Roman" w:hAnsi="Times New Roman"/>
          <w:i/>
          <w:iCs/>
          <w:sz w:val="22"/>
          <w:szCs w:val="22"/>
          <w:lang w:val="en-US"/>
        </w:rPr>
        <w:t>ä</w:t>
      </w:r>
      <w:r>
        <w:rPr>
          <w:rFonts w:ascii="Times New Roman" w:hAnsi="Times New Roman"/>
          <w:i/>
          <w:iCs/>
          <w:sz w:val="22"/>
          <w:szCs w:val="22"/>
          <w:lang w:val="en-US"/>
        </w:rPr>
        <w:t>isi olla ja minne olla menem</w:t>
      </w:r>
      <w:r>
        <w:rPr>
          <w:rFonts w:ascii="Times New Roman" w:hAnsi="Times New Roman"/>
          <w:i/>
          <w:iCs/>
          <w:sz w:val="22"/>
          <w:szCs w:val="22"/>
          <w:lang w:val="en-US"/>
        </w:rPr>
        <w:t>ä</w:t>
      </w:r>
      <w:r>
        <w:rPr>
          <w:rFonts w:ascii="Times New Roman" w:hAnsi="Times New Roman"/>
          <w:i/>
          <w:iCs/>
          <w:sz w:val="22"/>
          <w:szCs w:val="22"/>
          <w:lang w:val="en-US"/>
        </w:rPr>
        <w:t>tt</w:t>
      </w:r>
      <w:r>
        <w:rPr>
          <w:rFonts w:ascii="Times New Roman" w:hAnsi="Times New Roman"/>
          <w:i/>
          <w:iCs/>
          <w:sz w:val="22"/>
          <w:szCs w:val="22"/>
          <w:lang w:val="en-US"/>
        </w:rPr>
        <w:t>ä”</w:t>
      </w:r>
      <w:r>
        <w:rPr>
          <w:rFonts w:ascii="Times New Roman" w:hAnsi="Times New Roman"/>
          <w:i/>
          <w:iCs/>
          <w:sz w:val="22"/>
          <w:szCs w:val="22"/>
          <w:lang w:val="en-US"/>
        </w:rPr>
        <w:t>: Selvitys vihapuheesta ja h</w:t>
      </w:r>
      <w:r>
        <w:rPr>
          <w:rFonts w:ascii="Times New Roman" w:hAnsi="Times New Roman"/>
          <w:i/>
          <w:iCs/>
          <w:sz w:val="22"/>
          <w:szCs w:val="22"/>
          <w:lang w:val="en-US"/>
        </w:rPr>
        <w:t>ä</w:t>
      </w:r>
      <w:r>
        <w:rPr>
          <w:rFonts w:ascii="Times New Roman" w:hAnsi="Times New Roman"/>
          <w:i/>
          <w:iCs/>
          <w:sz w:val="22"/>
          <w:szCs w:val="22"/>
          <w:lang w:val="en-US"/>
        </w:rPr>
        <w:t>irinn</w:t>
      </w:r>
      <w:r>
        <w:rPr>
          <w:rFonts w:ascii="Times New Roman" w:hAnsi="Times New Roman"/>
          <w:i/>
          <w:iCs/>
          <w:sz w:val="22"/>
          <w:szCs w:val="22"/>
          <w:lang w:val="en-US"/>
        </w:rPr>
        <w:t>ä</w:t>
      </w:r>
      <w:r>
        <w:rPr>
          <w:rFonts w:ascii="Times New Roman" w:hAnsi="Times New Roman"/>
          <w:i/>
          <w:iCs/>
          <w:sz w:val="22"/>
          <w:szCs w:val="22"/>
          <w:lang w:val="en-US"/>
        </w:rPr>
        <w:t>st</w:t>
      </w:r>
      <w:r>
        <w:rPr>
          <w:rFonts w:ascii="Times New Roman" w:hAnsi="Times New Roman"/>
          <w:i/>
          <w:iCs/>
          <w:sz w:val="22"/>
          <w:szCs w:val="22"/>
          <w:lang w:val="en-US"/>
        </w:rPr>
        <w:t xml:space="preserve">ä </w:t>
      </w:r>
      <w:r>
        <w:rPr>
          <w:rFonts w:ascii="Times New Roman" w:hAnsi="Times New Roman"/>
          <w:i/>
          <w:iCs/>
          <w:sz w:val="22"/>
          <w:szCs w:val="22"/>
          <w:lang w:val="en-US"/>
        </w:rPr>
        <w:t>ja niiden vaikutuksista eri v</w:t>
      </w:r>
      <w:r>
        <w:rPr>
          <w:rFonts w:ascii="Times New Roman" w:hAnsi="Times New Roman"/>
          <w:i/>
          <w:iCs/>
          <w:sz w:val="22"/>
          <w:szCs w:val="22"/>
          <w:lang w:val="en-US"/>
        </w:rPr>
        <w:t>ä</w:t>
      </w:r>
      <w:r>
        <w:rPr>
          <w:rFonts w:ascii="Times New Roman" w:hAnsi="Times New Roman"/>
          <w:i/>
          <w:iCs/>
          <w:sz w:val="22"/>
          <w:szCs w:val="22"/>
          <w:lang w:val="en-US"/>
        </w:rPr>
        <w:t>hemmist</w:t>
      </w:r>
      <w:r>
        <w:rPr>
          <w:rFonts w:ascii="Times New Roman" w:hAnsi="Times New Roman"/>
          <w:i/>
          <w:iCs/>
          <w:sz w:val="22"/>
          <w:szCs w:val="22"/>
          <w:lang w:val="en-US"/>
        </w:rPr>
        <w:t>ö</w:t>
      </w:r>
      <w:r>
        <w:rPr>
          <w:rFonts w:ascii="Times New Roman" w:hAnsi="Times New Roman"/>
          <w:i/>
          <w:iCs/>
          <w:sz w:val="22"/>
          <w:szCs w:val="22"/>
          <w:lang w:val="en-US"/>
        </w:rPr>
        <w:t>ryhmiin</w:t>
      </w:r>
      <w:r>
        <w:rPr>
          <w:rFonts w:ascii="Times New Roman" w:hAnsi="Times New Roman"/>
          <w:sz w:val="22"/>
          <w:szCs w:val="22"/>
          <w:lang w:val="en-US"/>
        </w:rPr>
        <w:t xml:space="preserve">, </w:t>
      </w:r>
      <w:r>
        <w:rPr>
          <w:rFonts w:ascii="Times New Roman" w:hAnsi="Times New Roman"/>
          <w:sz w:val="22"/>
          <w:szCs w:val="22"/>
          <w:lang w:val="en-US"/>
        </w:rPr>
        <w:t>available in Finnish at: https://julkaisut.valtioneuvosto.fi/bitstream/handle/10024/76633/omso_7_2016_vipu-raportti_158_s.pdf?sequence=1&amp;isAllowed=y. The study include qualitative responses, in which, for example, women who experienced hate speech based on</w:t>
      </w:r>
      <w:r>
        <w:rPr>
          <w:rFonts w:ascii="Times New Roman" w:hAnsi="Times New Roman"/>
          <w:sz w:val="22"/>
          <w:szCs w:val="22"/>
          <w:lang w:val="en-US"/>
        </w:rPr>
        <w:t xml:space="preserve"> religion described avoiding wearing a hijab in public. The study did not specifically focus on analyzing differences in hate speech faced by gender.</w:t>
      </w:r>
    </w:p>
  </w:footnote>
  <w:footnote w:id="25">
    <w:p w14:paraId="562A8AA8"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Saresma, Tuija et al</w:t>
      </w:r>
      <w:r>
        <w:rPr>
          <w:rFonts w:ascii="Times New Roman" w:hAnsi="Times New Roman"/>
          <w:sz w:val="22"/>
          <w:szCs w:val="22"/>
          <w:lang w:val="en-US"/>
        </w:rPr>
        <w:t>.</w:t>
      </w:r>
      <w:r>
        <w:rPr>
          <w:rFonts w:ascii="Times New Roman" w:hAnsi="Times New Roman"/>
          <w:sz w:val="22"/>
          <w:szCs w:val="22"/>
        </w:rPr>
        <w:t xml:space="preserve">: </w:t>
      </w:r>
      <w:r>
        <w:rPr>
          <w:rFonts w:ascii="Times New Roman" w:hAnsi="Times New Roman"/>
          <w:i/>
          <w:iCs/>
          <w:sz w:val="22"/>
          <w:szCs w:val="22"/>
        </w:rPr>
        <w:t>Verkkoviha: Vihapuheen tuottajien ja levitt</w:t>
      </w:r>
      <w:r>
        <w:rPr>
          <w:rFonts w:ascii="Times New Roman" w:hAnsi="Times New Roman"/>
          <w:i/>
          <w:iCs/>
          <w:sz w:val="22"/>
          <w:szCs w:val="22"/>
        </w:rPr>
        <w:t>ä</w:t>
      </w:r>
      <w:r>
        <w:rPr>
          <w:rFonts w:ascii="Times New Roman" w:hAnsi="Times New Roman"/>
          <w:i/>
          <w:iCs/>
          <w:sz w:val="22"/>
          <w:szCs w:val="22"/>
        </w:rPr>
        <w:t>jien verkostot, toimintamuodot ja mot</w:t>
      </w:r>
      <w:r>
        <w:rPr>
          <w:rFonts w:ascii="Times New Roman" w:hAnsi="Times New Roman"/>
          <w:i/>
          <w:iCs/>
          <w:sz w:val="22"/>
          <w:szCs w:val="22"/>
        </w:rPr>
        <w:t>iivit</w:t>
      </w:r>
      <w:r>
        <w:rPr>
          <w:rFonts w:ascii="Times New Roman" w:hAnsi="Times New Roman"/>
          <w:sz w:val="22"/>
          <w:szCs w:val="22"/>
        </w:rPr>
        <w:t xml:space="preserve">, 2022, available in Finnish at </w:t>
      </w:r>
      <w:r>
        <w:rPr>
          <w:rFonts w:ascii="Times New Roman" w:hAnsi="Times New Roman"/>
          <w:sz w:val="22"/>
          <w:szCs w:val="22"/>
          <w:lang w:val="en-US"/>
        </w:rPr>
        <w:t>https://julkaisut.valtioneuvosto.fi/bitstream/handle/10024/164244/VNTEAS_2022_48.pdf?sequence=1&amp;isAllowed=y</w:t>
      </w:r>
      <w:r>
        <w:rPr>
          <w:rFonts w:ascii="Times New Roman" w:hAnsi="Times New Roman"/>
          <w:sz w:val="22"/>
          <w:szCs w:val="22"/>
        </w:rPr>
        <w:t>, p. 65-66.</w:t>
      </w:r>
    </w:p>
  </w:footnote>
  <w:footnote w:id="26">
    <w:p w14:paraId="39162E91"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Knuutila, Aleksi et al.: </w:t>
      </w:r>
      <w:r>
        <w:rPr>
          <w:rFonts w:ascii="Times New Roman" w:hAnsi="Times New Roman"/>
          <w:i/>
          <w:iCs/>
          <w:sz w:val="22"/>
          <w:szCs w:val="22"/>
          <w:lang w:val="en-US"/>
        </w:rPr>
        <w:t>Viha vallassa: Vihapuheen vaikutukset yhteiskunnalliseen p</w:t>
      </w:r>
      <w:r>
        <w:rPr>
          <w:rFonts w:ascii="Times New Roman" w:hAnsi="Times New Roman"/>
          <w:i/>
          <w:iCs/>
          <w:sz w:val="22"/>
          <w:szCs w:val="22"/>
          <w:lang w:val="en-US"/>
        </w:rPr>
        <w:t>ää</w:t>
      </w:r>
      <w:r>
        <w:rPr>
          <w:rFonts w:ascii="Times New Roman" w:hAnsi="Times New Roman"/>
          <w:i/>
          <w:iCs/>
          <w:sz w:val="22"/>
          <w:szCs w:val="22"/>
          <w:lang w:val="en-US"/>
        </w:rPr>
        <w:t>t</w:t>
      </w:r>
      <w:r>
        <w:rPr>
          <w:rFonts w:ascii="Times New Roman" w:hAnsi="Times New Roman"/>
          <w:i/>
          <w:iCs/>
          <w:sz w:val="22"/>
          <w:szCs w:val="22"/>
          <w:lang w:val="en-US"/>
        </w:rPr>
        <w:t>ö</w:t>
      </w:r>
      <w:r>
        <w:rPr>
          <w:rFonts w:ascii="Times New Roman" w:hAnsi="Times New Roman"/>
          <w:i/>
          <w:iCs/>
          <w:sz w:val="22"/>
          <w:szCs w:val="22"/>
          <w:lang w:val="en-US"/>
        </w:rPr>
        <w:t>ksentekoon</w:t>
      </w:r>
      <w:r>
        <w:rPr>
          <w:rFonts w:ascii="Times New Roman" w:hAnsi="Times New Roman"/>
          <w:sz w:val="22"/>
          <w:szCs w:val="22"/>
          <w:lang w:val="en-US"/>
        </w:rPr>
        <w:t>,</w:t>
      </w:r>
      <w:r>
        <w:rPr>
          <w:rFonts w:ascii="Times New Roman" w:hAnsi="Times New Roman"/>
          <w:sz w:val="22"/>
          <w:szCs w:val="22"/>
          <w:lang w:val="en-US"/>
        </w:rPr>
        <w:t xml:space="preserve"> available in Finnish at https://julkaisut.valtioneuvosto.fi/bitstream/handle/10024/161812/57_19_Viha%20vallassa_Vihapuheen%20vaikutukset%20_Netti%20.pdf?sequence=8&amp;isAllowed=y. The study was mostly based material collected from Twitter and on a survey ret</w:t>
      </w:r>
      <w:r>
        <w:rPr>
          <w:rFonts w:ascii="Times New Roman" w:hAnsi="Times New Roman"/>
          <w:sz w:val="22"/>
          <w:szCs w:val="22"/>
          <w:lang w:val="en-US"/>
        </w:rPr>
        <w:t xml:space="preserve">urned by 1393 respondents who were either politicians or their staff. </w:t>
      </w:r>
    </w:p>
  </w:footnote>
  <w:footnote w:id="27">
    <w:p w14:paraId="23053ADB" w14:textId="77777777" w:rsidR="00BF7050" w:rsidRDefault="00C255AF">
      <w:pPr>
        <w:pStyle w:val="Heading"/>
        <w:shd w:val="clear" w:color="auto" w:fill="FFFFFF"/>
        <w:spacing w:before="0" w:after="240" w:line="240" w:lineRule="auto"/>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NATO Strategic Communications Centre of Excellence: </w:t>
      </w:r>
      <w:r>
        <w:rPr>
          <w:rFonts w:ascii="Times New Roman" w:hAnsi="Times New Roman"/>
          <w:sz w:val="22"/>
          <w:szCs w:val="22"/>
          <w:lang w:val="en-US"/>
        </w:rPr>
        <w:t>“</w:t>
      </w:r>
      <w:r>
        <w:rPr>
          <w:rFonts w:ascii="Times New Roman" w:hAnsi="Times New Roman"/>
          <w:sz w:val="22"/>
          <w:szCs w:val="22"/>
          <w:lang w:val="en-US"/>
        </w:rPr>
        <w:t>Abuse of power: coordinated online harassment of Finnish government ministers,</w:t>
      </w:r>
      <w:r>
        <w:rPr>
          <w:rFonts w:ascii="Times New Roman" w:hAnsi="Times New Roman"/>
          <w:sz w:val="22"/>
          <w:szCs w:val="22"/>
          <w:lang w:val="en-US"/>
        </w:rPr>
        <w:t>”</w:t>
      </w:r>
      <w:r>
        <w:rPr>
          <w:rFonts w:ascii="Times New Roman" w:hAnsi="Times New Roman"/>
          <w:sz w:val="22"/>
          <w:szCs w:val="22"/>
          <w:lang w:val="en-US"/>
        </w:rPr>
        <w:t xml:space="preserve"> available at https://stratcomcoe.org/pdfjs/?file=/cuploads/pfiles/abuse_of_power_online_harassment_of_fin_ministers_16-03-2021.pdf?zoom=page-fit. Major political parties have also described the issue to the media in terms of individual cases, in which the</w:t>
      </w:r>
      <w:r>
        <w:rPr>
          <w:rFonts w:ascii="Times New Roman" w:hAnsi="Times New Roman"/>
          <w:sz w:val="22"/>
          <w:szCs w:val="22"/>
          <w:lang w:val="en-US"/>
        </w:rPr>
        <w:t xml:space="preserve"> targeted candidates have been either women or representatives of minorities or those defending minority rights, such as in this YLE article available in Finnish (</w:t>
      </w:r>
      <w:r>
        <w:rPr>
          <w:rFonts w:ascii="Times New Roman" w:hAnsi="Times New Roman"/>
          <w:sz w:val="22"/>
          <w:szCs w:val="22"/>
          <w:lang w:val="en-US"/>
        </w:rPr>
        <w:t>“</w:t>
      </w:r>
      <w:r>
        <w:rPr>
          <w:rFonts w:ascii="Times New Roman" w:hAnsi="Times New Roman"/>
          <w:color w:val="110F24"/>
          <w:sz w:val="22"/>
          <w:szCs w:val="22"/>
          <w:u w:color="110F24"/>
          <w:lang w:val="en-US"/>
        </w:rPr>
        <w:t>Ehdokkaita j</w:t>
      </w:r>
      <w:r>
        <w:rPr>
          <w:rFonts w:ascii="Times New Roman" w:hAnsi="Times New Roman"/>
          <w:color w:val="110F24"/>
          <w:sz w:val="22"/>
          <w:szCs w:val="22"/>
          <w:u w:color="110F24"/>
          <w:lang w:val="en-US"/>
        </w:rPr>
        <w:t>ä</w:t>
      </w:r>
      <w:r>
        <w:rPr>
          <w:rFonts w:ascii="Times New Roman" w:hAnsi="Times New Roman"/>
          <w:color w:val="110F24"/>
          <w:sz w:val="22"/>
          <w:szCs w:val="22"/>
          <w:u w:color="110F24"/>
          <w:lang w:val="en-US"/>
        </w:rPr>
        <w:t>tt</w:t>
      </w:r>
      <w:r>
        <w:rPr>
          <w:rFonts w:ascii="Times New Roman" w:hAnsi="Times New Roman"/>
          <w:color w:val="110F24"/>
          <w:sz w:val="22"/>
          <w:szCs w:val="22"/>
          <w:u w:color="110F24"/>
          <w:lang w:val="en-US"/>
        </w:rPr>
        <w:t>ä</w:t>
      </w:r>
      <w:r>
        <w:rPr>
          <w:rFonts w:ascii="Times New Roman" w:hAnsi="Times New Roman"/>
          <w:color w:val="110F24"/>
          <w:sz w:val="22"/>
          <w:szCs w:val="22"/>
          <w:u w:color="110F24"/>
          <w:lang w:val="en-US"/>
        </w:rPr>
        <w:t>ytynyt pois kuntavaaleista verkon k</w:t>
      </w:r>
      <w:r>
        <w:rPr>
          <w:rFonts w:ascii="Times New Roman" w:hAnsi="Times New Roman"/>
          <w:color w:val="110F24"/>
          <w:sz w:val="22"/>
          <w:szCs w:val="22"/>
          <w:u w:color="110F24"/>
          <w:lang w:val="en-US"/>
        </w:rPr>
        <w:t>ä</w:t>
      </w:r>
      <w:r>
        <w:rPr>
          <w:rFonts w:ascii="Times New Roman" w:hAnsi="Times New Roman"/>
          <w:color w:val="110F24"/>
          <w:sz w:val="22"/>
          <w:szCs w:val="22"/>
          <w:u w:color="110F24"/>
          <w:lang w:val="en-US"/>
        </w:rPr>
        <w:t>rjekk</w:t>
      </w:r>
      <w:r>
        <w:rPr>
          <w:rFonts w:ascii="Times New Roman" w:hAnsi="Times New Roman"/>
          <w:color w:val="110F24"/>
          <w:sz w:val="22"/>
          <w:szCs w:val="22"/>
          <w:u w:color="110F24"/>
          <w:lang w:val="en-US"/>
        </w:rPr>
        <w:t>ää</w:t>
      </w:r>
      <w:r>
        <w:rPr>
          <w:rFonts w:ascii="Times New Roman" w:hAnsi="Times New Roman"/>
          <w:color w:val="110F24"/>
          <w:sz w:val="22"/>
          <w:szCs w:val="22"/>
          <w:u w:color="110F24"/>
          <w:lang w:val="en-US"/>
        </w:rPr>
        <w:t>n keskustelun ja vihapuheen takia</w:t>
      </w:r>
      <w:r>
        <w:rPr>
          <w:rFonts w:ascii="Times New Roman" w:hAnsi="Times New Roman"/>
          <w:color w:val="110F24"/>
          <w:sz w:val="22"/>
          <w:szCs w:val="22"/>
          <w:u w:color="110F24"/>
          <w:lang w:val="en-US"/>
        </w:rPr>
        <w:t>”</w:t>
      </w:r>
      <w:r>
        <w:rPr>
          <w:rFonts w:ascii="Times New Roman" w:hAnsi="Times New Roman"/>
          <w:color w:val="110F24"/>
          <w:sz w:val="22"/>
          <w:szCs w:val="22"/>
          <w:u w:color="110F24"/>
          <w:lang w:val="en-US"/>
        </w:rPr>
        <w:t>)</w:t>
      </w:r>
      <w:r>
        <w:rPr>
          <w:rFonts w:ascii="Times New Roman" w:hAnsi="Times New Roman"/>
          <w:sz w:val="22"/>
          <w:szCs w:val="22"/>
          <w:lang w:val="en-US"/>
        </w:rPr>
        <w:t>: https://yle.fi/uutiset/3-11933632.</w:t>
      </w:r>
    </w:p>
  </w:footnote>
  <w:footnote w:id="28">
    <w:p w14:paraId="1AAFB6A8"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Criminal Code, Chapter 6, section 5 (</w:t>
      </w:r>
      <w:r>
        <w:rPr>
          <w:rFonts w:ascii="Times New Roman" w:hAnsi="Times New Roman"/>
          <w:sz w:val="22"/>
          <w:szCs w:val="22"/>
          <w:lang w:val="en-US"/>
        </w:rPr>
        <w:t>”</w:t>
      </w:r>
      <w:r>
        <w:rPr>
          <w:rFonts w:ascii="Times New Roman" w:hAnsi="Times New Roman"/>
          <w:sz w:val="22"/>
          <w:szCs w:val="22"/>
          <w:lang w:val="en-US"/>
        </w:rPr>
        <w:t>Grounds for increasing the punishment</w:t>
      </w:r>
      <w:r>
        <w:rPr>
          <w:rFonts w:ascii="Times New Roman" w:hAnsi="Times New Roman"/>
          <w:sz w:val="22"/>
          <w:szCs w:val="22"/>
          <w:lang w:val="en-US"/>
        </w:rPr>
        <w:t>”</w:t>
      </w:r>
      <w:r>
        <w:rPr>
          <w:rFonts w:ascii="Times New Roman" w:hAnsi="Times New Roman"/>
          <w:sz w:val="22"/>
          <w:szCs w:val="22"/>
          <w:lang w:val="en-US"/>
        </w:rPr>
        <w:t>), available in English translation at https://www.finlex.fi/fi/laki/kaannokset/1889/en18890039.pdf.</w:t>
      </w:r>
    </w:p>
  </w:footnote>
  <w:footnote w:id="29">
    <w:p w14:paraId="61FF0F5D"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Criminal Code, Chapter 11, section 1</w:t>
      </w:r>
      <w:r>
        <w:rPr>
          <w:rFonts w:ascii="Times New Roman" w:hAnsi="Times New Roman"/>
          <w:sz w:val="22"/>
          <w:szCs w:val="22"/>
          <w:lang w:val="en-US"/>
        </w:rPr>
        <w:t>0 (</w:t>
      </w:r>
      <w:r>
        <w:rPr>
          <w:rFonts w:ascii="Times New Roman" w:hAnsi="Times New Roman"/>
          <w:sz w:val="22"/>
          <w:szCs w:val="22"/>
          <w:lang w:val="en-US"/>
        </w:rPr>
        <w:t>”</w:t>
      </w:r>
      <w:r>
        <w:rPr>
          <w:rFonts w:ascii="Times New Roman" w:hAnsi="Times New Roman"/>
          <w:sz w:val="22"/>
          <w:szCs w:val="22"/>
          <w:lang w:val="en-US"/>
        </w:rPr>
        <w:t>Ethnic agitation</w:t>
      </w:r>
      <w:r>
        <w:rPr>
          <w:rFonts w:ascii="Times New Roman" w:hAnsi="Times New Roman"/>
          <w:sz w:val="22"/>
          <w:szCs w:val="22"/>
          <w:lang w:val="en-US"/>
        </w:rPr>
        <w:t>”</w:t>
      </w:r>
      <w:r>
        <w:rPr>
          <w:rFonts w:ascii="Times New Roman" w:hAnsi="Times New Roman"/>
          <w:sz w:val="22"/>
          <w:szCs w:val="22"/>
          <w:lang w:val="en-US"/>
        </w:rPr>
        <w:t>), available in English translation at https://www.finlex.fi/fi/laki/kaannokset/1889/en18890039.pdf</w:t>
      </w:r>
    </w:p>
  </w:footnote>
  <w:footnote w:id="30">
    <w:p w14:paraId="10FD55CE"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Non-Discrimination Ombudsman: </w:t>
      </w:r>
      <w:r>
        <w:rPr>
          <w:rFonts w:ascii="Times New Roman" w:hAnsi="Times New Roman"/>
          <w:sz w:val="22"/>
          <w:szCs w:val="22"/>
          <w:lang w:val="en-US"/>
        </w:rPr>
        <w:t>“</w:t>
      </w:r>
      <w:r>
        <w:rPr>
          <w:rFonts w:ascii="Times New Roman" w:hAnsi="Times New Roman"/>
          <w:sz w:val="22"/>
          <w:szCs w:val="22"/>
        </w:rPr>
        <w:t>Viharikosten m</w:t>
      </w:r>
      <w:r>
        <w:rPr>
          <w:rFonts w:ascii="Times New Roman" w:hAnsi="Times New Roman"/>
          <w:sz w:val="22"/>
          <w:szCs w:val="22"/>
        </w:rPr>
        <w:t>ää</w:t>
      </w:r>
      <w:r>
        <w:rPr>
          <w:rFonts w:ascii="Times New Roman" w:hAnsi="Times New Roman"/>
          <w:sz w:val="22"/>
          <w:szCs w:val="22"/>
        </w:rPr>
        <w:t>r</w:t>
      </w:r>
      <w:r>
        <w:rPr>
          <w:rFonts w:ascii="Times New Roman" w:hAnsi="Times New Roman"/>
          <w:sz w:val="22"/>
          <w:szCs w:val="22"/>
        </w:rPr>
        <w:t>ä</w:t>
      </w:r>
      <w:r>
        <w:rPr>
          <w:rFonts w:ascii="Times New Roman" w:hAnsi="Times New Roman"/>
          <w:sz w:val="22"/>
          <w:szCs w:val="22"/>
        </w:rPr>
        <w:t>n kehittyminen Suomessa,</w:t>
      </w:r>
      <w:r>
        <w:rPr>
          <w:rFonts w:ascii="Times New Roman" w:hAnsi="Times New Roman"/>
          <w:sz w:val="22"/>
          <w:szCs w:val="22"/>
          <w:lang w:val="en-US"/>
        </w:rPr>
        <w:t>”</w:t>
      </w:r>
      <w:r>
        <w:rPr>
          <w:rFonts w:ascii="Times New Roman" w:hAnsi="Times New Roman"/>
          <w:sz w:val="22"/>
          <w:szCs w:val="22"/>
        </w:rPr>
        <w:t xml:space="preserve"> available in Finnish at https://yhdenvertaisuus.fi/viharik</w:t>
      </w:r>
      <w:r>
        <w:rPr>
          <w:rFonts w:ascii="Times New Roman" w:hAnsi="Times New Roman"/>
          <w:sz w:val="22"/>
          <w:szCs w:val="22"/>
        </w:rPr>
        <w:t xml:space="preserve">ostilastoja. </w:t>
      </w:r>
    </w:p>
  </w:footnote>
  <w:footnote w:id="31">
    <w:p w14:paraId="61D16C57"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lang w:val="en-US"/>
        </w:rPr>
        <w:t xml:space="preserve"> Criminal Code, Chapter 11, section 3 (</w:t>
      </w:r>
      <w:r>
        <w:rPr>
          <w:rFonts w:ascii="Times New Roman" w:hAnsi="Times New Roman"/>
          <w:sz w:val="22"/>
          <w:szCs w:val="22"/>
          <w:lang w:val="en-US"/>
        </w:rPr>
        <w:t>”</w:t>
      </w:r>
      <w:r>
        <w:rPr>
          <w:rFonts w:ascii="Times New Roman" w:hAnsi="Times New Roman"/>
          <w:sz w:val="22"/>
          <w:szCs w:val="22"/>
          <w:lang w:val="en-US"/>
        </w:rPr>
        <w:t>Crimes against humanity</w:t>
      </w:r>
      <w:r>
        <w:rPr>
          <w:rFonts w:ascii="Times New Roman" w:hAnsi="Times New Roman"/>
          <w:sz w:val="22"/>
          <w:szCs w:val="22"/>
          <w:lang w:val="en-US"/>
        </w:rPr>
        <w:t>”</w:t>
      </w:r>
      <w:r>
        <w:rPr>
          <w:rFonts w:ascii="Times New Roman" w:hAnsi="Times New Roman"/>
          <w:sz w:val="22"/>
          <w:szCs w:val="22"/>
          <w:lang w:val="en-US"/>
        </w:rPr>
        <w:t xml:space="preserve">), available in English translation at https://www.finlex.fi/fi/laki/kaannokset/1889/en18890039.pdf. </w:t>
      </w:r>
    </w:p>
  </w:footnote>
  <w:footnote w:id="32">
    <w:p w14:paraId="3A3641C3"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The Finnish Ministry of Justice: </w:t>
      </w:r>
      <w:r>
        <w:rPr>
          <w:rFonts w:ascii="Times New Roman" w:hAnsi="Times New Roman"/>
          <w:i/>
          <w:iCs/>
          <w:sz w:val="22"/>
          <w:szCs w:val="22"/>
        </w:rPr>
        <w:t xml:space="preserve">An Equal Finland: Government </w:t>
      </w:r>
      <w:r>
        <w:rPr>
          <w:rFonts w:ascii="Times New Roman" w:hAnsi="Times New Roman"/>
          <w:i/>
          <w:iCs/>
          <w:sz w:val="22"/>
          <w:szCs w:val="22"/>
        </w:rPr>
        <w:t>Action Plan for Combating Racism and Promoting Good Relations between Population Groups</w:t>
      </w:r>
      <w:r>
        <w:rPr>
          <w:rFonts w:ascii="Times New Roman" w:hAnsi="Times New Roman"/>
          <w:sz w:val="22"/>
          <w:szCs w:val="22"/>
        </w:rPr>
        <w:t xml:space="preserve">, 2022, available at </w:t>
      </w:r>
      <w:r>
        <w:rPr>
          <w:rFonts w:ascii="Times New Roman" w:hAnsi="Times New Roman"/>
          <w:sz w:val="22"/>
          <w:szCs w:val="22"/>
          <w:lang w:val="en-US"/>
        </w:rPr>
        <w:t>https://julkaisut.valtioneuvosto.fi/bitstream/handle/10024/163737/OM_2022_2_ML.pdf?sequence=1&amp;isAllowed=y</w:t>
      </w:r>
    </w:p>
  </w:footnote>
  <w:footnote w:id="33">
    <w:p w14:paraId="4E85AEDB" w14:textId="77777777" w:rsidR="00BF7050" w:rsidRDefault="00C255AF">
      <w:pPr>
        <w:pStyle w:val="FootnoteText"/>
      </w:pPr>
      <w:r>
        <w:rPr>
          <w:rStyle w:val="FootnoteReference"/>
          <w:rFonts w:ascii="Times New Roman" w:eastAsia="Times New Roman" w:hAnsi="Times New Roman" w:cs="Times New Roman"/>
          <w:sz w:val="22"/>
          <w:szCs w:val="22"/>
        </w:rPr>
        <w:footnoteRef/>
      </w:r>
      <w:r>
        <w:rPr>
          <w:rFonts w:ascii="Times New Roman" w:hAnsi="Times New Roman"/>
          <w:sz w:val="22"/>
          <w:szCs w:val="22"/>
        </w:rPr>
        <w:t xml:space="preserve"> The Finnish Ministry of Justice: </w:t>
      </w:r>
      <w:r>
        <w:rPr>
          <w:rFonts w:ascii="Times New Roman" w:hAnsi="Times New Roman"/>
          <w:sz w:val="22"/>
          <w:szCs w:val="22"/>
        </w:rPr>
        <w:t>“</w:t>
      </w:r>
      <w:r>
        <w:rPr>
          <w:rFonts w:ascii="Times New Roman" w:hAnsi="Times New Roman"/>
          <w:sz w:val="22"/>
          <w:szCs w:val="22"/>
        </w:rPr>
        <w:t>Arviom</w:t>
      </w:r>
      <w:r>
        <w:rPr>
          <w:rFonts w:ascii="Times New Roman" w:hAnsi="Times New Roman"/>
          <w:sz w:val="22"/>
          <w:szCs w:val="22"/>
        </w:rPr>
        <w:t>uistio j</w:t>
      </w:r>
      <w:r>
        <w:rPr>
          <w:rFonts w:ascii="Times New Roman" w:hAnsi="Times New Roman"/>
          <w:sz w:val="22"/>
          <w:szCs w:val="22"/>
        </w:rPr>
        <w:t>ä</w:t>
      </w:r>
      <w:r>
        <w:rPr>
          <w:rFonts w:ascii="Times New Roman" w:hAnsi="Times New Roman"/>
          <w:sz w:val="22"/>
          <w:szCs w:val="22"/>
        </w:rPr>
        <w:t>rjest</w:t>
      </w:r>
      <w:r>
        <w:rPr>
          <w:rFonts w:ascii="Times New Roman" w:hAnsi="Times New Roman"/>
          <w:sz w:val="22"/>
          <w:szCs w:val="22"/>
        </w:rPr>
        <w:t>ä</w:t>
      </w:r>
      <w:r>
        <w:rPr>
          <w:rFonts w:ascii="Times New Roman" w:hAnsi="Times New Roman"/>
          <w:sz w:val="22"/>
          <w:szCs w:val="22"/>
        </w:rPr>
        <w:t>ytyneest</w:t>
      </w:r>
      <w:r>
        <w:rPr>
          <w:rFonts w:ascii="Times New Roman" w:hAnsi="Times New Roman"/>
          <w:sz w:val="22"/>
          <w:szCs w:val="22"/>
        </w:rPr>
        <w:t xml:space="preserve">ä </w:t>
      </w:r>
      <w:r>
        <w:rPr>
          <w:rFonts w:ascii="Times New Roman" w:hAnsi="Times New Roman"/>
          <w:sz w:val="22"/>
          <w:szCs w:val="22"/>
        </w:rPr>
        <w:t>rasismia koskevista rikoslain s</w:t>
      </w:r>
      <w:r>
        <w:rPr>
          <w:rFonts w:ascii="Times New Roman" w:hAnsi="Times New Roman"/>
          <w:sz w:val="22"/>
          <w:szCs w:val="22"/>
        </w:rPr>
        <w:t>ää</w:t>
      </w:r>
      <w:r>
        <w:rPr>
          <w:rFonts w:ascii="Times New Roman" w:hAnsi="Times New Roman"/>
          <w:sz w:val="22"/>
          <w:szCs w:val="22"/>
        </w:rPr>
        <w:t>nn</w:t>
      </w:r>
      <w:r>
        <w:rPr>
          <w:rFonts w:ascii="Times New Roman" w:hAnsi="Times New Roman"/>
          <w:sz w:val="22"/>
          <w:szCs w:val="22"/>
        </w:rPr>
        <w:t>ö</w:t>
      </w:r>
      <w:r>
        <w:rPr>
          <w:rFonts w:ascii="Times New Roman" w:hAnsi="Times New Roman"/>
          <w:sz w:val="22"/>
          <w:szCs w:val="22"/>
        </w:rPr>
        <w:t>ksist</w:t>
      </w:r>
      <w:r>
        <w:rPr>
          <w:rFonts w:ascii="Times New Roman" w:hAnsi="Times New Roman"/>
          <w:sz w:val="22"/>
          <w:szCs w:val="22"/>
        </w:rPr>
        <w:t>ä</w:t>
      </w:r>
      <w:r>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rPr>
        <w:t xml:space="preserve">2020, available in Finnish at </w:t>
      </w:r>
      <w:r>
        <w:rPr>
          <w:rFonts w:ascii="Times New Roman" w:hAnsi="Times New Roman"/>
          <w:sz w:val="22"/>
          <w:szCs w:val="22"/>
          <w:lang w:val="en-US"/>
        </w:rPr>
        <w:t>https://oikeusministerio.fi/en/project?tunnus=OM028:00/2019</w:t>
      </w:r>
      <w:r>
        <w:rPr>
          <w:rFonts w:ascii="Times New Roman" w:hAnsi="Times New Roman"/>
          <w:sz w:val="22"/>
          <w:szCs w:val="22"/>
        </w:rPr>
        <w:t xml:space="preserve"> </w:t>
      </w:r>
    </w:p>
  </w:footnote>
  <w:footnote w:id="34">
    <w:p w14:paraId="7991D94D" w14:textId="77777777" w:rsidR="00BF7050" w:rsidRDefault="00C255AF">
      <w:pPr>
        <w:pStyle w:val="FootnoteText"/>
      </w:pPr>
      <w:r>
        <w:rPr>
          <w:rFonts w:ascii="Times New Roman" w:eastAsia="Times New Roman" w:hAnsi="Times New Roman" w:cs="Times New Roman"/>
          <w:sz w:val="22"/>
          <w:szCs w:val="22"/>
          <w:vertAlign w:val="superscript"/>
          <w:lang w:val="en-US"/>
        </w:rPr>
        <w:footnoteRef/>
      </w:r>
      <w:r>
        <w:rPr>
          <w:rFonts w:ascii="Times New Roman" w:hAnsi="Times New Roman"/>
          <w:sz w:val="22"/>
          <w:szCs w:val="22"/>
        </w:rPr>
        <w:t xml:space="preserve"> YLE: </w:t>
      </w:r>
      <w:r>
        <w:rPr>
          <w:rFonts w:ascii="Times New Roman" w:hAnsi="Times New Roman"/>
          <w:sz w:val="22"/>
          <w:szCs w:val="22"/>
        </w:rPr>
        <w:t>”</w:t>
      </w:r>
      <w:r>
        <w:rPr>
          <w:rFonts w:ascii="Times New Roman" w:hAnsi="Times New Roman"/>
          <w:sz w:val="22"/>
          <w:szCs w:val="22"/>
        </w:rPr>
        <w:t>Poliisi: Vihapuhetta tutkivia poliiseja on enint</w:t>
      </w:r>
      <w:r>
        <w:rPr>
          <w:rFonts w:ascii="Times New Roman" w:hAnsi="Times New Roman"/>
          <w:sz w:val="22"/>
          <w:szCs w:val="22"/>
        </w:rPr>
        <w:t>ää</w:t>
      </w:r>
      <w:r>
        <w:rPr>
          <w:rFonts w:ascii="Times New Roman" w:hAnsi="Times New Roman"/>
          <w:sz w:val="22"/>
          <w:szCs w:val="22"/>
        </w:rPr>
        <w:t>n kymmenen,</w:t>
      </w:r>
      <w:r>
        <w:rPr>
          <w:rFonts w:ascii="Times New Roman" w:hAnsi="Times New Roman"/>
          <w:sz w:val="22"/>
          <w:szCs w:val="22"/>
        </w:rPr>
        <w:t xml:space="preserve">” </w:t>
      </w:r>
      <w:r>
        <w:rPr>
          <w:rFonts w:ascii="Times New Roman" w:hAnsi="Times New Roman"/>
          <w:sz w:val="22"/>
          <w:szCs w:val="22"/>
        </w:rPr>
        <w:t xml:space="preserve">2019. </w:t>
      </w:r>
      <w:r>
        <w:rPr>
          <w:rFonts w:ascii="Times New Roman" w:hAnsi="Times New Roman"/>
          <w:sz w:val="22"/>
          <w:szCs w:val="22"/>
          <w:lang w:val="en-US"/>
        </w:rPr>
        <w:t>According to the N</w:t>
      </w:r>
      <w:r>
        <w:rPr>
          <w:rFonts w:ascii="Times New Roman" w:hAnsi="Times New Roman"/>
          <w:sz w:val="22"/>
          <w:szCs w:val="22"/>
          <w:lang w:val="en-US"/>
        </w:rPr>
        <w:t>ational Police Board of Finland</w:t>
      </w:r>
      <w:r>
        <w:rPr>
          <w:rFonts w:ascii="Times New Roman" w:hAnsi="Times New Roman"/>
          <w:sz w:val="22"/>
          <w:szCs w:val="22"/>
          <w:lang w:val="en-US"/>
        </w:rPr>
        <w:t>’</w:t>
      </w:r>
      <w:r>
        <w:rPr>
          <w:rFonts w:ascii="Times New Roman" w:hAnsi="Times New Roman"/>
          <w:sz w:val="22"/>
          <w:szCs w:val="22"/>
          <w:lang w:val="en-US"/>
        </w:rPr>
        <w:t>s assessments upon the request of the Ministry of the Interior, the police spends only the full-time contribution of 10 police officers on hate speech incidents. Increased funding allowed for hiring 25 new police officers to</w:t>
      </w:r>
      <w:r>
        <w:rPr>
          <w:rFonts w:ascii="Times New Roman" w:hAnsi="Times New Roman"/>
          <w:sz w:val="22"/>
          <w:szCs w:val="22"/>
          <w:lang w:val="en-US"/>
        </w:rPr>
        <w:t xml:space="preserve"> work specifically on hate speech incidents, but the earmarked funding has not been renewed. </w:t>
      </w:r>
    </w:p>
  </w:footnote>
  <w:footnote w:id="35">
    <w:p w14:paraId="6B4A65B1" w14:textId="77777777" w:rsidR="00BF7050" w:rsidRDefault="00C255AF">
      <w:pPr>
        <w:pStyle w:val="Body"/>
        <w:ind w:left="360"/>
      </w:pPr>
      <w:r>
        <w:rPr>
          <w:sz w:val="22"/>
          <w:szCs w:val="22"/>
          <w:vertAlign w:val="superscript"/>
          <w:lang w:val="en-US"/>
        </w:rPr>
        <w:footnoteRef/>
      </w:r>
      <w:r>
        <w:rPr>
          <w:sz w:val="22"/>
          <w:szCs w:val="22"/>
          <w:lang w:val="en-US"/>
        </w:rPr>
        <w:t xml:space="preserve"> The European Commission: “February infringement package: key decisions,” 2021, available at https://ec.europa.eu/commission/presscorner/detail/en/inf_21_441. Ac</w:t>
      </w:r>
      <w:r>
        <w:rPr>
          <w:sz w:val="22"/>
          <w:szCs w:val="22"/>
          <w:lang w:val="en-US"/>
        </w:rPr>
        <w:t xml:space="preserve">cording to the Commission, Finland has failed to criminalize </w:t>
      </w:r>
      <w:r>
        <w:rPr>
          <w:sz w:val="22"/>
          <w:szCs w:val="22"/>
          <w:lang w:val="en-US"/>
        </w:rPr>
        <w:t>hate speech ”when addressed to individual members of a group defined by reference to race, colour, religion, descent or national or ethnic origin.” Another violation includes</w:t>
      </w:r>
      <w:r>
        <w:rPr>
          <w:sz w:val="22"/>
          <w:szCs w:val="22"/>
          <w:lang w:val="nl-NL"/>
        </w:rPr>
        <w:t xml:space="preserve"> Finland</w:t>
      </w:r>
      <w:r>
        <w:rPr>
          <w:sz w:val="22"/>
          <w:szCs w:val="22"/>
          <w:lang w:val="en-US"/>
        </w:rPr>
        <w:t>’</w:t>
      </w:r>
      <w:r>
        <w:rPr>
          <w:sz w:val="22"/>
          <w:szCs w:val="22"/>
          <w:lang w:val="en-US"/>
        </w:rPr>
        <w:t xml:space="preserve">s failure ”to ensure that the criminal offences concerning racism and xenophobia can be investigated and prosecuted without a report or an accusation made by the victim.” The European Commission’s Directorate-General for Justice and Consumers announced on </w:t>
      </w:r>
      <w:r>
        <w:rPr>
          <w:sz w:val="22"/>
          <w:szCs w:val="22"/>
          <w:lang w:val="en-US"/>
        </w:rPr>
        <w:t>in April 2021 its intention to extend the definition of hate speech and hate crimes to all incidents based race, ethnicity, gender or sexuality (announcement available at https://ec.europa.eu/info/law/better-regulation/have-your-say/initiatives/12872-Hate-</w:t>
      </w:r>
      <w:r>
        <w:rPr>
          <w:sz w:val="22"/>
          <w:szCs w:val="22"/>
          <w:lang w:val="en-US"/>
        </w:rPr>
        <w:t xml:space="preserve">speech-&amp;-hate-crime-inclusion-on-list-of-EU-crimes_en). </w:t>
      </w:r>
    </w:p>
  </w:footnote>
  <w:footnote w:id="36">
    <w:p w14:paraId="202C27EC" w14:textId="77777777" w:rsidR="00BF7050" w:rsidRDefault="00C255AF">
      <w:pPr>
        <w:pStyle w:val="Body"/>
        <w:ind w:left="360"/>
      </w:pPr>
      <w:r>
        <w:rPr>
          <w:sz w:val="22"/>
          <w:szCs w:val="22"/>
          <w:vertAlign w:val="superscript"/>
        </w:rPr>
        <w:footnoteRef/>
      </w:r>
      <w:r>
        <w:rPr>
          <w:sz w:val="22"/>
          <w:szCs w:val="22"/>
          <w:lang w:val="en-US"/>
        </w:rPr>
        <w:t xml:space="preserve">  ECRI: “ECRI Report on Finland (fifth monitoring cycle),” 10 September 2019, available at https://rm.coe.int/fifth-report-on-finland/1680972fa7. The report takes into account developments up until </w:t>
      </w:r>
      <w:r>
        <w:rPr>
          <w:sz w:val="22"/>
          <w:szCs w:val="22"/>
          <w:lang w:val="en-US"/>
        </w:rPr>
        <w:t>April 2019. According to ECRI, “the lack of systematic data collection undermines any evaluation of the effectiveness of the relevant provisions and the possibility of obtaining a clear picture of the extent of hate crime and hate speech.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C8CFA" w14:textId="77777777" w:rsidR="00BF7050" w:rsidRDefault="00BF7050">
    <w:pPr>
      <w:pStyle w:val="Body"/>
      <w:jc w:val="right"/>
    </w:pPr>
  </w:p>
  <w:p w14:paraId="63090565" w14:textId="77777777" w:rsidR="00BF7050" w:rsidRDefault="00C255AF">
    <w:pPr>
      <w:pStyle w:val="Body"/>
      <w:ind w:left="7920" w:firstLine="720"/>
      <w:jc w:val="both"/>
    </w:pPr>
    <w:r>
      <w:rPr>
        <w:rFonts w:ascii="Droid Sans" w:eastAsia="Droid Sans" w:hAnsi="Droid Sans" w:cs="Droid Sans"/>
        <w:noProof/>
      </w:rPr>
      <w:drawing>
        <wp:inline distT="0" distB="0" distL="0" distR="0" wp14:anchorId="40A1B404" wp14:editId="1683E1EF">
          <wp:extent cx="898685" cy="56673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898685" cy="566738"/>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050"/>
    <w:rsid w:val="00BF7050"/>
    <w:rsid w:val="00C25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58D7"/>
  <w15:docId w15:val="{6B10CA3D-86E5-40E0-A869-C38F97A37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cs="Arial Unicode MS"/>
      <w:color w:val="000000"/>
      <w:sz w:val="24"/>
      <w:szCs w:val="24"/>
      <w:u w:color="000000"/>
    </w:rPr>
  </w:style>
  <w:style w:type="paragraph" w:styleId="FootnoteText">
    <w:name w:val="footnote text"/>
    <w:pPr>
      <w:ind w:left="720" w:hanging="360"/>
    </w:pPr>
    <w:rPr>
      <w:rFonts w:ascii="Arial" w:eastAsia="Arial" w:hAnsi="Arial" w:cs="Arial"/>
      <w:color w:val="000000"/>
      <w:u w:color="000000"/>
    </w:rPr>
  </w:style>
  <w:style w:type="character" w:styleId="FootnoteReference">
    <w:name w:val="footnote reference"/>
    <w:rPr>
      <w:vertAlign w:val="superscript"/>
    </w:rPr>
  </w:style>
  <w:style w:type="paragraph" w:styleId="NormalWeb">
    <w:name w:val="Normal (Web)"/>
    <w:pPr>
      <w:spacing w:before="100" w:after="100"/>
    </w:pPr>
    <w:rPr>
      <w:rFonts w:cs="Arial Unicode MS"/>
      <w:color w:val="000000"/>
      <w:sz w:val="24"/>
      <w:szCs w:val="24"/>
      <w:u w:color="000000"/>
      <w:lang w:val="en-US"/>
    </w:rPr>
  </w:style>
  <w:style w:type="paragraph" w:customStyle="1" w:styleId="Heading">
    <w:name w:val="Heading"/>
    <w:next w:val="Body"/>
    <w:pPr>
      <w:keepNext/>
      <w:keepLines/>
      <w:spacing w:before="400" w:after="120" w:line="276" w:lineRule="auto"/>
      <w:ind w:left="720" w:hanging="360"/>
      <w:outlineLvl w:val="0"/>
    </w:pPr>
    <w:rPr>
      <w:rFonts w:ascii="Arial" w:eastAsia="Arial" w:hAnsi="Arial" w:cs="Arial"/>
      <w:color w:val="000000"/>
      <w:sz w:val="40"/>
      <w:szCs w:val="4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E6756A-2178-4C79-87AA-3118C966973D}"/>
</file>

<file path=customXml/itemProps2.xml><?xml version="1.0" encoding="utf-8"?>
<ds:datastoreItem xmlns:ds="http://schemas.openxmlformats.org/officeDocument/2006/customXml" ds:itemID="{97EA06EE-A86C-4E89-9752-2C475E4E1931}"/>
</file>

<file path=customXml/itemProps3.xml><?xml version="1.0" encoding="utf-8"?>
<ds:datastoreItem xmlns:ds="http://schemas.openxmlformats.org/officeDocument/2006/customXml" ds:itemID="{A783ACCA-92E2-4A10-8C52-77EEC4C2290B}"/>
</file>

<file path=docProps/app.xml><?xml version="1.0" encoding="utf-8"?>
<Properties xmlns="http://schemas.openxmlformats.org/officeDocument/2006/extended-properties" xmlns:vt="http://schemas.openxmlformats.org/officeDocument/2006/docPropsVTypes">
  <Template>Normal.dotm</Template>
  <TotalTime>1</TotalTime>
  <Pages>8</Pages>
  <Words>1831</Words>
  <Characters>10442</Characters>
  <Application>Microsoft Office Word</Application>
  <DocSecurity>4</DocSecurity>
  <Lines>87</Lines>
  <Paragraphs>24</Paragraphs>
  <ScaleCrop>false</ScaleCrop>
  <Company>OHCHR</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SEERATHUN Jamila</dc:creator>
  <cp:lastModifiedBy>SEERATHUN Jamila</cp:lastModifiedBy>
  <cp:revision>2</cp:revision>
  <dcterms:created xsi:type="dcterms:W3CDTF">2022-09-15T15:40:00Z</dcterms:created>
  <dcterms:modified xsi:type="dcterms:W3CDTF">2022-09-15T15:40:00Z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