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8094F6" w14:textId="77777777" w:rsidR="00EC3BAF" w:rsidRDefault="00EC3BAF" w:rsidP="00353A53">
      <w:pPr>
        <w:jc w:val="center"/>
        <w:rPr>
          <w:b/>
          <w:bCs/>
          <w:sz w:val="28"/>
          <w:szCs w:val="28"/>
        </w:rPr>
      </w:pPr>
      <w:bookmarkStart w:id="0" w:name="_GoBack"/>
      <w:bookmarkEnd w:id="0"/>
    </w:p>
    <w:p w14:paraId="3DEF3B19" w14:textId="77777777" w:rsidR="0000003F" w:rsidRDefault="0000003F" w:rsidP="00353A53">
      <w:pPr>
        <w:jc w:val="center"/>
        <w:rPr>
          <w:b/>
          <w:bCs/>
          <w:sz w:val="28"/>
          <w:szCs w:val="28"/>
        </w:rPr>
      </w:pPr>
    </w:p>
    <w:p w14:paraId="0FFA4AD9" w14:textId="77777777" w:rsidR="00C73F5E" w:rsidRDefault="00C73F5E" w:rsidP="00353A53">
      <w:pPr>
        <w:jc w:val="center"/>
        <w:rPr>
          <w:b/>
          <w:bCs/>
          <w:sz w:val="28"/>
          <w:szCs w:val="28"/>
        </w:rPr>
      </w:pPr>
    </w:p>
    <w:p w14:paraId="3E7A1227" w14:textId="77777777" w:rsidR="00C73F5E" w:rsidRDefault="00C73F5E" w:rsidP="00353A53">
      <w:pPr>
        <w:jc w:val="center"/>
        <w:rPr>
          <w:b/>
          <w:bCs/>
          <w:sz w:val="28"/>
          <w:szCs w:val="28"/>
        </w:rPr>
      </w:pPr>
    </w:p>
    <w:p w14:paraId="3DDF931C" w14:textId="1016319D" w:rsidR="00353A53" w:rsidRDefault="00353A53" w:rsidP="00353A53">
      <w:pPr>
        <w:jc w:val="center"/>
        <w:rPr>
          <w:b/>
          <w:bCs/>
          <w:sz w:val="28"/>
          <w:szCs w:val="28"/>
        </w:rPr>
      </w:pPr>
      <w:r>
        <w:rPr>
          <w:b/>
          <w:bCs/>
          <w:sz w:val="28"/>
          <w:szCs w:val="28"/>
        </w:rPr>
        <w:t>Informe Paralelo</w:t>
      </w:r>
    </w:p>
    <w:p w14:paraId="123E876D" w14:textId="03DE2503" w:rsidR="00FC5371" w:rsidRDefault="00FC5371" w:rsidP="00353A53">
      <w:pPr>
        <w:jc w:val="center"/>
        <w:rPr>
          <w:b/>
          <w:bCs/>
          <w:sz w:val="28"/>
          <w:szCs w:val="28"/>
        </w:rPr>
      </w:pPr>
    </w:p>
    <w:p w14:paraId="423A45DF" w14:textId="77777777" w:rsidR="00FC5371" w:rsidRDefault="00FC5371" w:rsidP="00353A53">
      <w:pPr>
        <w:jc w:val="center"/>
        <w:rPr>
          <w:b/>
          <w:bCs/>
          <w:sz w:val="28"/>
          <w:szCs w:val="28"/>
        </w:rPr>
      </w:pPr>
    </w:p>
    <w:p w14:paraId="283A9C4B" w14:textId="77777777" w:rsidR="0000003F" w:rsidRDefault="0000003F" w:rsidP="00353A53">
      <w:pPr>
        <w:jc w:val="center"/>
        <w:rPr>
          <w:b/>
          <w:bCs/>
          <w:sz w:val="28"/>
          <w:szCs w:val="28"/>
        </w:rPr>
      </w:pPr>
    </w:p>
    <w:p w14:paraId="251FD01A" w14:textId="64835E25" w:rsidR="009E067F" w:rsidRDefault="00353A53" w:rsidP="00B5200B">
      <w:pPr>
        <w:jc w:val="center"/>
        <w:rPr>
          <w:sz w:val="28"/>
          <w:szCs w:val="28"/>
        </w:rPr>
      </w:pPr>
      <w:r>
        <w:rPr>
          <w:sz w:val="28"/>
          <w:szCs w:val="28"/>
        </w:rPr>
        <w:t>Presentado por:</w:t>
      </w:r>
    </w:p>
    <w:p w14:paraId="1EBF9759" w14:textId="371DE602" w:rsidR="0070476D" w:rsidRDefault="0070476D" w:rsidP="00B5200B">
      <w:pPr>
        <w:jc w:val="center"/>
        <w:rPr>
          <w:sz w:val="28"/>
          <w:szCs w:val="28"/>
        </w:rPr>
      </w:pPr>
    </w:p>
    <w:p w14:paraId="085A6E86" w14:textId="4AB49FBD" w:rsidR="0070476D" w:rsidRPr="005B113E" w:rsidRDefault="006323E3" w:rsidP="0070476D">
      <w:pPr>
        <w:jc w:val="center"/>
        <w:rPr>
          <w:b/>
          <w:bCs/>
          <w:sz w:val="28"/>
          <w:szCs w:val="28"/>
        </w:rPr>
      </w:pPr>
      <w:r>
        <w:rPr>
          <w:b/>
          <w:bCs/>
          <w:sz w:val="28"/>
          <w:szCs w:val="28"/>
        </w:rPr>
        <w:t xml:space="preserve">El </w:t>
      </w:r>
      <w:r w:rsidR="0070476D" w:rsidRPr="005B113E">
        <w:rPr>
          <w:b/>
          <w:bCs/>
          <w:sz w:val="28"/>
          <w:szCs w:val="28"/>
        </w:rPr>
        <w:t>Movimiento Nacional Ambientalista Frente a la Minería Industrial (MONAFMI)</w:t>
      </w:r>
    </w:p>
    <w:p w14:paraId="110DA8CE" w14:textId="104EBDDC" w:rsidR="0070476D" w:rsidRPr="005B113E" w:rsidRDefault="0070476D" w:rsidP="00B5200B">
      <w:pPr>
        <w:jc w:val="center"/>
        <w:rPr>
          <w:sz w:val="28"/>
          <w:szCs w:val="28"/>
        </w:rPr>
      </w:pPr>
    </w:p>
    <w:p w14:paraId="750C6CC0" w14:textId="77777777" w:rsidR="00353A53" w:rsidRPr="005B113E" w:rsidRDefault="00353A53" w:rsidP="00B5200B">
      <w:pPr>
        <w:jc w:val="center"/>
        <w:rPr>
          <w:b/>
          <w:bCs/>
          <w:sz w:val="28"/>
          <w:szCs w:val="28"/>
        </w:rPr>
      </w:pPr>
      <w:r w:rsidRPr="005B113E">
        <w:rPr>
          <w:b/>
          <w:bCs/>
          <w:sz w:val="28"/>
          <w:szCs w:val="28"/>
        </w:rPr>
        <w:t>El Centro Alexander von Humboldt</w:t>
      </w:r>
    </w:p>
    <w:p w14:paraId="78B4EE3E" w14:textId="77777777" w:rsidR="00EC3BAF" w:rsidRPr="005B113E" w:rsidRDefault="00EC3BAF" w:rsidP="009E067F">
      <w:pPr>
        <w:jc w:val="center"/>
        <w:rPr>
          <w:sz w:val="28"/>
          <w:szCs w:val="28"/>
        </w:rPr>
      </w:pPr>
    </w:p>
    <w:p w14:paraId="5024C153" w14:textId="77777777" w:rsidR="00353A53" w:rsidRPr="005B113E" w:rsidRDefault="00353A53" w:rsidP="00B5200B">
      <w:pPr>
        <w:jc w:val="center"/>
        <w:rPr>
          <w:sz w:val="28"/>
          <w:szCs w:val="28"/>
        </w:rPr>
      </w:pPr>
      <w:r w:rsidRPr="005B113E">
        <w:rPr>
          <w:sz w:val="28"/>
          <w:szCs w:val="28"/>
        </w:rPr>
        <w:t>y</w:t>
      </w:r>
    </w:p>
    <w:p w14:paraId="2D197049" w14:textId="77777777" w:rsidR="00EC3BAF" w:rsidRPr="005B113E" w:rsidRDefault="00EC3BAF" w:rsidP="00353A53">
      <w:pPr>
        <w:jc w:val="center"/>
        <w:rPr>
          <w:b/>
          <w:bCs/>
          <w:sz w:val="28"/>
          <w:szCs w:val="28"/>
        </w:rPr>
      </w:pPr>
    </w:p>
    <w:p w14:paraId="43F55FE9" w14:textId="14633F2D" w:rsidR="00353A53" w:rsidRPr="005B113E" w:rsidRDefault="005B113E" w:rsidP="00353A53">
      <w:pPr>
        <w:jc w:val="center"/>
        <w:rPr>
          <w:b/>
          <w:bCs/>
          <w:sz w:val="28"/>
          <w:szCs w:val="28"/>
          <w:lang w:val="en-US"/>
        </w:rPr>
      </w:pPr>
      <w:r w:rsidRPr="005B113E">
        <w:rPr>
          <w:b/>
          <w:bCs/>
          <w:sz w:val="28"/>
          <w:szCs w:val="28"/>
          <w:lang w:val="en-US"/>
        </w:rPr>
        <w:t>The Center for International Environmental Law</w:t>
      </w:r>
      <w:r w:rsidR="00353A53" w:rsidRPr="005B113E">
        <w:rPr>
          <w:b/>
          <w:bCs/>
          <w:sz w:val="28"/>
          <w:szCs w:val="28"/>
          <w:lang w:val="en-US"/>
        </w:rPr>
        <w:t xml:space="preserve"> (CIEL)</w:t>
      </w:r>
    </w:p>
    <w:p w14:paraId="376D3ABF" w14:textId="77777777" w:rsidR="00353A53" w:rsidRPr="005B113E" w:rsidRDefault="00353A53" w:rsidP="00353A53">
      <w:pPr>
        <w:jc w:val="center"/>
        <w:rPr>
          <w:sz w:val="28"/>
          <w:szCs w:val="28"/>
          <w:lang w:val="en-US"/>
        </w:rPr>
      </w:pPr>
    </w:p>
    <w:p w14:paraId="747387B4" w14:textId="15F5613F" w:rsidR="00353A53" w:rsidRDefault="00353A53" w:rsidP="00353A53">
      <w:pPr>
        <w:jc w:val="center"/>
        <w:rPr>
          <w:sz w:val="28"/>
          <w:szCs w:val="28"/>
          <w:lang w:val="en-US"/>
        </w:rPr>
      </w:pPr>
    </w:p>
    <w:p w14:paraId="01A06783" w14:textId="77777777" w:rsidR="0000003F" w:rsidRPr="005B113E" w:rsidRDefault="0000003F" w:rsidP="00353A53">
      <w:pPr>
        <w:jc w:val="center"/>
        <w:rPr>
          <w:sz w:val="28"/>
          <w:szCs w:val="28"/>
          <w:lang w:val="en-US"/>
        </w:rPr>
      </w:pPr>
    </w:p>
    <w:p w14:paraId="0F29E7D3" w14:textId="77777777" w:rsidR="00EC3BAF" w:rsidRPr="005B113E" w:rsidRDefault="00EC3BAF" w:rsidP="00353A53">
      <w:pPr>
        <w:jc w:val="center"/>
        <w:rPr>
          <w:sz w:val="28"/>
          <w:szCs w:val="28"/>
          <w:lang w:val="en-US"/>
        </w:rPr>
      </w:pPr>
    </w:p>
    <w:p w14:paraId="55AF3EA0" w14:textId="77777777" w:rsidR="00353A53" w:rsidRDefault="00353A53" w:rsidP="00353A53">
      <w:pPr>
        <w:jc w:val="center"/>
        <w:rPr>
          <w:sz w:val="28"/>
          <w:szCs w:val="28"/>
        </w:rPr>
      </w:pPr>
      <w:r>
        <w:rPr>
          <w:sz w:val="28"/>
          <w:szCs w:val="28"/>
        </w:rPr>
        <w:t>al</w:t>
      </w:r>
    </w:p>
    <w:p w14:paraId="3F026A13" w14:textId="77777777" w:rsidR="00353A53" w:rsidRDefault="00353A53" w:rsidP="00353A53">
      <w:pPr>
        <w:jc w:val="center"/>
        <w:rPr>
          <w:sz w:val="28"/>
          <w:szCs w:val="28"/>
        </w:rPr>
      </w:pPr>
    </w:p>
    <w:p w14:paraId="5AAC2E99" w14:textId="77777777" w:rsidR="00353A53" w:rsidRPr="009C1A2A" w:rsidRDefault="00353A53" w:rsidP="00353A53">
      <w:pPr>
        <w:jc w:val="center"/>
        <w:rPr>
          <w:b/>
          <w:bCs/>
          <w:sz w:val="28"/>
          <w:szCs w:val="28"/>
        </w:rPr>
      </w:pPr>
      <w:r w:rsidRPr="009C1A2A">
        <w:rPr>
          <w:b/>
          <w:bCs/>
          <w:sz w:val="28"/>
          <w:szCs w:val="28"/>
        </w:rPr>
        <w:t>Comité de Derechos Económicos, Sociales y Culturales</w:t>
      </w:r>
    </w:p>
    <w:p w14:paraId="1A84794D" w14:textId="77777777" w:rsidR="00353A53" w:rsidRDefault="00353A53" w:rsidP="00353A53">
      <w:pPr>
        <w:jc w:val="center"/>
        <w:rPr>
          <w:sz w:val="28"/>
          <w:szCs w:val="28"/>
        </w:rPr>
      </w:pPr>
    </w:p>
    <w:p w14:paraId="672E5104" w14:textId="01AFC239" w:rsidR="00353A53" w:rsidRDefault="00353A53" w:rsidP="00353A53">
      <w:pPr>
        <w:jc w:val="center"/>
        <w:rPr>
          <w:sz w:val="28"/>
          <w:szCs w:val="28"/>
        </w:rPr>
      </w:pPr>
    </w:p>
    <w:p w14:paraId="4EBAC221" w14:textId="77777777" w:rsidR="0000003F" w:rsidRDefault="0000003F" w:rsidP="00353A53">
      <w:pPr>
        <w:jc w:val="center"/>
        <w:rPr>
          <w:sz w:val="28"/>
          <w:szCs w:val="28"/>
        </w:rPr>
      </w:pPr>
    </w:p>
    <w:p w14:paraId="76E702AE" w14:textId="77777777" w:rsidR="00EC3BAF" w:rsidRDefault="00EC3BAF" w:rsidP="00353A53">
      <w:pPr>
        <w:jc w:val="center"/>
        <w:rPr>
          <w:sz w:val="28"/>
          <w:szCs w:val="28"/>
        </w:rPr>
      </w:pPr>
    </w:p>
    <w:p w14:paraId="175ED38F" w14:textId="77777777" w:rsidR="00353A53" w:rsidRDefault="00353A53" w:rsidP="00353A53">
      <w:pPr>
        <w:jc w:val="center"/>
        <w:rPr>
          <w:sz w:val="28"/>
          <w:szCs w:val="28"/>
        </w:rPr>
      </w:pPr>
      <w:r>
        <w:rPr>
          <w:sz w:val="28"/>
          <w:szCs w:val="28"/>
        </w:rPr>
        <w:t>con motivo de</w:t>
      </w:r>
    </w:p>
    <w:p w14:paraId="2BE6E2A7" w14:textId="77777777" w:rsidR="00353A53" w:rsidRDefault="00353A53" w:rsidP="00353A53">
      <w:pPr>
        <w:jc w:val="center"/>
        <w:rPr>
          <w:sz w:val="28"/>
          <w:szCs w:val="28"/>
        </w:rPr>
      </w:pPr>
      <w:r>
        <w:rPr>
          <w:sz w:val="28"/>
          <w:szCs w:val="28"/>
        </w:rPr>
        <w:t xml:space="preserve"> </w:t>
      </w:r>
    </w:p>
    <w:p w14:paraId="5391E201" w14:textId="77777777" w:rsidR="00353A53" w:rsidRPr="009C1A2A" w:rsidRDefault="009D32D3" w:rsidP="00353A53">
      <w:pPr>
        <w:jc w:val="center"/>
        <w:rPr>
          <w:b/>
          <w:bCs/>
          <w:sz w:val="28"/>
          <w:szCs w:val="28"/>
        </w:rPr>
      </w:pPr>
      <w:r>
        <w:rPr>
          <w:b/>
          <w:bCs/>
          <w:sz w:val="28"/>
          <w:szCs w:val="28"/>
        </w:rPr>
        <w:t>El Examen del Quinto Informe Periódico</w:t>
      </w:r>
      <w:r w:rsidR="00353A53" w:rsidRPr="009C1A2A">
        <w:rPr>
          <w:b/>
          <w:bCs/>
          <w:sz w:val="28"/>
          <w:szCs w:val="28"/>
        </w:rPr>
        <w:t xml:space="preserve"> de Nicaragua</w:t>
      </w:r>
    </w:p>
    <w:p w14:paraId="1E982931" w14:textId="77777777" w:rsidR="00353A53" w:rsidRDefault="00353A53" w:rsidP="00353A53">
      <w:pPr>
        <w:jc w:val="center"/>
        <w:rPr>
          <w:sz w:val="28"/>
          <w:szCs w:val="28"/>
        </w:rPr>
      </w:pPr>
      <w:r>
        <w:rPr>
          <w:sz w:val="28"/>
          <w:szCs w:val="28"/>
        </w:rPr>
        <w:t xml:space="preserve">durante </w:t>
      </w:r>
      <w:r w:rsidR="009E067F">
        <w:rPr>
          <w:sz w:val="28"/>
          <w:szCs w:val="28"/>
        </w:rPr>
        <w:t>la sexagésima octava sesión del Comité</w:t>
      </w:r>
    </w:p>
    <w:p w14:paraId="4E70F4B2" w14:textId="77777777" w:rsidR="00353A53" w:rsidRDefault="00353A53" w:rsidP="00353A53">
      <w:pPr>
        <w:jc w:val="center"/>
        <w:rPr>
          <w:sz w:val="28"/>
          <w:szCs w:val="28"/>
        </w:rPr>
      </w:pPr>
      <w:r>
        <w:rPr>
          <w:sz w:val="28"/>
          <w:szCs w:val="28"/>
        </w:rPr>
        <w:t>28 de septiembre – 16 de octubre de 2020</w:t>
      </w:r>
    </w:p>
    <w:p w14:paraId="5E683DD5" w14:textId="6DB65713" w:rsidR="00353A53" w:rsidRDefault="00353A53" w:rsidP="00353A53">
      <w:pPr>
        <w:jc w:val="center"/>
        <w:rPr>
          <w:sz w:val="28"/>
          <w:szCs w:val="28"/>
        </w:rPr>
      </w:pPr>
    </w:p>
    <w:p w14:paraId="07376AE4" w14:textId="740C7162" w:rsidR="0000003F" w:rsidRDefault="0000003F" w:rsidP="00353A53">
      <w:pPr>
        <w:jc w:val="center"/>
        <w:rPr>
          <w:sz w:val="28"/>
          <w:szCs w:val="28"/>
        </w:rPr>
      </w:pPr>
    </w:p>
    <w:p w14:paraId="1C66C486" w14:textId="77777777" w:rsidR="0000003F" w:rsidRDefault="0000003F" w:rsidP="00353A53">
      <w:pPr>
        <w:jc w:val="center"/>
        <w:rPr>
          <w:sz w:val="28"/>
          <w:szCs w:val="28"/>
        </w:rPr>
      </w:pPr>
    </w:p>
    <w:p w14:paraId="6019072B" w14:textId="77777777" w:rsidR="00353A53" w:rsidRDefault="00353A53" w:rsidP="00353A53">
      <w:pPr>
        <w:jc w:val="center"/>
        <w:rPr>
          <w:sz w:val="28"/>
          <w:szCs w:val="28"/>
        </w:rPr>
      </w:pPr>
    </w:p>
    <w:p w14:paraId="3B34E0F3" w14:textId="77777777" w:rsidR="00353A53" w:rsidRDefault="00353A53" w:rsidP="009C1A2A">
      <w:pPr>
        <w:jc w:val="center"/>
        <w:rPr>
          <w:b/>
          <w:bCs/>
          <w:sz w:val="28"/>
          <w:szCs w:val="28"/>
        </w:rPr>
      </w:pPr>
      <w:r>
        <w:rPr>
          <w:sz w:val="28"/>
          <w:szCs w:val="28"/>
        </w:rPr>
        <w:t xml:space="preserve">Presentado el </w:t>
      </w:r>
      <w:r w:rsidRPr="006323E3">
        <w:rPr>
          <w:sz w:val="28"/>
          <w:szCs w:val="28"/>
        </w:rPr>
        <w:t>21</w:t>
      </w:r>
      <w:r>
        <w:rPr>
          <w:sz w:val="28"/>
          <w:szCs w:val="28"/>
        </w:rPr>
        <w:t xml:space="preserve"> de agosto de 2020</w:t>
      </w:r>
      <w:r>
        <w:rPr>
          <w:b/>
          <w:bCs/>
          <w:sz w:val="28"/>
          <w:szCs w:val="28"/>
        </w:rPr>
        <w:br w:type="page"/>
      </w:r>
    </w:p>
    <w:p w14:paraId="76A6AC6E" w14:textId="77777777" w:rsidR="009442AA" w:rsidRDefault="009442AA" w:rsidP="009C1A2A">
      <w:pPr>
        <w:jc w:val="center"/>
        <w:rPr>
          <w:b/>
          <w:bCs/>
          <w:sz w:val="28"/>
          <w:szCs w:val="28"/>
        </w:rPr>
      </w:pPr>
      <w:r w:rsidRPr="009C1A2A">
        <w:rPr>
          <w:b/>
          <w:bCs/>
          <w:sz w:val="28"/>
          <w:szCs w:val="28"/>
          <w:u w:val="single"/>
        </w:rPr>
        <w:lastRenderedPageBreak/>
        <w:t>Introducción</w:t>
      </w:r>
    </w:p>
    <w:p w14:paraId="5EBF785E" w14:textId="77777777" w:rsidR="00080C55" w:rsidRPr="00FD5A6A" w:rsidRDefault="00080C55" w:rsidP="00080C55">
      <w:pPr>
        <w:jc w:val="both"/>
      </w:pPr>
    </w:p>
    <w:p w14:paraId="727986A3" w14:textId="040A01DE" w:rsidR="008427C1" w:rsidRDefault="00AC0F64" w:rsidP="00CE0263">
      <w:pPr>
        <w:spacing w:after="160" w:line="252" w:lineRule="auto"/>
        <w:contextualSpacing/>
        <w:jc w:val="both"/>
      </w:pPr>
      <w:r>
        <w:t>D</w:t>
      </w:r>
      <w:r w:rsidR="00406110">
        <w:t xml:space="preserve">urante los últimos años, las </w:t>
      </w:r>
      <w:r w:rsidR="00406110" w:rsidRPr="00AC377C">
        <w:t xml:space="preserve">actividades extractivas </w:t>
      </w:r>
      <w:r w:rsidR="00406110">
        <w:t>han contribuido a severas vulneraciones de los derechos humanos</w:t>
      </w:r>
      <w:r w:rsidR="00406110" w:rsidRPr="00406110">
        <w:t xml:space="preserve"> </w:t>
      </w:r>
      <w:r w:rsidR="00406110">
        <w:t>de las y los nicaragüenses, incluidos los derechos económicos, sociales y culturales</w:t>
      </w:r>
      <w:r w:rsidR="001343E9">
        <w:t>, como se describ</w:t>
      </w:r>
      <w:r>
        <w:t>ir</w:t>
      </w:r>
      <w:r>
        <w:rPr>
          <w:lang w:val="es-MX"/>
        </w:rPr>
        <w:t>á</w:t>
      </w:r>
      <w:r w:rsidR="001343E9">
        <w:t xml:space="preserve"> a continuación</w:t>
      </w:r>
      <w:r w:rsidR="00406110" w:rsidRPr="00AC377C">
        <w:t>.</w:t>
      </w:r>
      <w:r w:rsidR="00406110">
        <w:t xml:space="preserve"> Subrayamos que el apoyo jurídico, político y financiero </w:t>
      </w:r>
      <w:r w:rsidR="00907AA2">
        <w:t xml:space="preserve">a las empresas involucradas en dichas actividades </w:t>
      </w:r>
      <w:r w:rsidR="00406110">
        <w:t xml:space="preserve">ha contribuido de manera </w:t>
      </w:r>
      <w:r w:rsidR="001343E9">
        <w:t>concreta</w:t>
      </w:r>
      <w:r w:rsidR="00406110">
        <w:t xml:space="preserve"> a </w:t>
      </w:r>
      <w:r w:rsidR="00907AA2">
        <w:t>estas</w:t>
      </w:r>
      <w:r w:rsidR="00406110">
        <w:t xml:space="preserve"> vulnerac</w:t>
      </w:r>
      <w:r w:rsidR="00907AA2">
        <w:t>io</w:t>
      </w:r>
      <w:r w:rsidR="00406110">
        <w:t>n</w:t>
      </w:r>
      <w:r w:rsidR="00907AA2">
        <w:t>es</w:t>
      </w:r>
      <w:r w:rsidR="00406110">
        <w:t xml:space="preserve">. </w:t>
      </w:r>
      <w:r w:rsidR="008427C1">
        <w:t xml:space="preserve">Dado este contexto, </w:t>
      </w:r>
      <w:r>
        <w:t xml:space="preserve">hemos trabajado para que </w:t>
      </w:r>
      <w:r w:rsidR="008427C1" w:rsidRPr="00AC377C">
        <w:t xml:space="preserve">se cumplan las medidas de suspensión de los proyectos y el retiro de las empresas de </w:t>
      </w:r>
      <w:r w:rsidR="001343E9">
        <w:t>Nicaragua</w:t>
      </w:r>
      <w:r w:rsidR="008427C1" w:rsidRPr="00AC377C">
        <w:t xml:space="preserve">, cuando corresponda, y que se adopten medidas suficientes de reparación integral y mitigación de los daños causados. </w:t>
      </w:r>
    </w:p>
    <w:p w14:paraId="3B2F08E9" w14:textId="77777777" w:rsidR="008427C1" w:rsidRPr="000F1718" w:rsidRDefault="008427C1" w:rsidP="00CE0263">
      <w:pPr>
        <w:spacing w:after="160" w:line="252" w:lineRule="auto"/>
        <w:contextualSpacing/>
        <w:jc w:val="both"/>
        <w:rPr>
          <w:sz w:val="10"/>
          <w:szCs w:val="10"/>
        </w:rPr>
      </w:pPr>
    </w:p>
    <w:p w14:paraId="1675A97D" w14:textId="49EA81F9" w:rsidR="00406110" w:rsidRPr="00AC377C" w:rsidRDefault="00AC0F64" w:rsidP="00CE0263">
      <w:pPr>
        <w:spacing w:after="160" w:line="252" w:lineRule="auto"/>
        <w:contextualSpacing/>
        <w:jc w:val="both"/>
      </w:pPr>
      <w:r>
        <w:t>En este momento</w:t>
      </w:r>
      <w:r w:rsidR="00406110">
        <w:t xml:space="preserve"> expresamos nuestra profunda preocupación acerca de la situación de </w:t>
      </w:r>
      <w:r w:rsidR="00406110" w:rsidRPr="00AC377C">
        <w:t>las familias nicaragüenses en mayor condición de vulnerabilidad, particularmente, las que han sido afectad</w:t>
      </w:r>
      <w:r w:rsidR="00FD5A6A">
        <w:t>a</w:t>
      </w:r>
      <w:r w:rsidR="00406110" w:rsidRPr="00AC377C">
        <w:t xml:space="preserve">s por la ola de violencia que se vive en el país y </w:t>
      </w:r>
      <w:r>
        <w:t>las cuales</w:t>
      </w:r>
      <w:r w:rsidR="00406110" w:rsidRPr="00AC377C">
        <w:t xml:space="preserve"> se enfrentan al desarrollo de proyectos mineros. </w:t>
      </w:r>
    </w:p>
    <w:p w14:paraId="3AF3E7E4" w14:textId="77777777" w:rsidR="00406110" w:rsidRPr="00AC0F64" w:rsidRDefault="00406110" w:rsidP="00CE0263">
      <w:pPr>
        <w:spacing w:line="252" w:lineRule="auto"/>
        <w:jc w:val="both"/>
        <w:rPr>
          <w:sz w:val="10"/>
          <w:szCs w:val="10"/>
        </w:rPr>
      </w:pPr>
    </w:p>
    <w:p w14:paraId="3A13FA9B" w14:textId="77777777" w:rsidR="00AC0F64" w:rsidRDefault="00080C55" w:rsidP="00CE0263">
      <w:pPr>
        <w:spacing w:line="252" w:lineRule="auto"/>
        <w:jc w:val="both"/>
      </w:pPr>
      <w:r>
        <w:t xml:space="preserve">Por </w:t>
      </w:r>
      <w:r w:rsidR="001343E9">
        <w:t>las razones delineadas arriba</w:t>
      </w:r>
      <w:r>
        <w:t xml:space="preserve">, dirigimos este </w:t>
      </w:r>
      <w:r w:rsidR="001343E9">
        <w:t>informe</w:t>
      </w:r>
      <w:r>
        <w:t xml:space="preserve"> paralelo al Comité de Derechos Económicos, Sociales y Culturales con el motivo de </w:t>
      </w:r>
      <w:r w:rsidR="002A77E1">
        <w:t>proporcionar</w:t>
      </w:r>
      <w:r>
        <w:t xml:space="preserve"> información </w:t>
      </w:r>
      <w:r w:rsidR="002A77E1">
        <w:t>relevante a</w:t>
      </w:r>
      <w:r>
        <w:t xml:space="preserve"> dos cuestiones </w:t>
      </w:r>
      <w:r w:rsidR="002A77E1">
        <w:t xml:space="preserve">específicas </w:t>
      </w:r>
      <w:r>
        <w:t xml:space="preserve">que fueron incluidas en la Lista de Cuestiones </w:t>
      </w:r>
      <w:r w:rsidR="002A77E1">
        <w:t>de este Comité, con la expectativa de que serían</w:t>
      </w:r>
      <w:r>
        <w:t xml:space="preserve"> </w:t>
      </w:r>
      <w:r w:rsidR="002A77E1">
        <w:t>abordadas</w:t>
      </w:r>
      <w:r>
        <w:t xml:space="preserve"> durante el examen del quinto informe periódico de Nicaragua. </w:t>
      </w:r>
    </w:p>
    <w:p w14:paraId="2B81F1EA" w14:textId="77777777" w:rsidR="00AC0F64" w:rsidRPr="00FD5A6A" w:rsidRDefault="00AC0F64" w:rsidP="00CE0263">
      <w:pPr>
        <w:spacing w:line="252" w:lineRule="auto"/>
        <w:jc w:val="both"/>
        <w:rPr>
          <w:sz w:val="10"/>
          <w:szCs w:val="10"/>
        </w:rPr>
      </w:pPr>
    </w:p>
    <w:p w14:paraId="332A5D2C" w14:textId="4A9BA92F" w:rsidR="00AC0F64" w:rsidRDefault="002A77E1" w:rsidP="00CE0263">
      <w:pPr>
        <w:spacing w:line="252" w:lineRule="auto"/>
        <w:jc w:val="both"/>
      </w:pPr>
      <w:r w:rsidRPr="00AC0F64">
        <w:rPr>
          <w:b/>
          <w:bCs/>
        </w:rPr>
        <w:t>Primero, describiremos</w:t>
      </w:r>
      <w:r w:rsidR="00080C55" w:rsidRPr="00AC0F64">
        <w:rPr>
          <w:b/>
          <w:bCs/>
        </w:rPr>
        <w:t xml:space="preserve"> la situación de </w:t>
      </w:r>
      <w:r w:rsidRPr="00AC0F64">
        <w:rPr>
          <w:b/>
          <w:bCs/>
        </w:rPr>
        <w:t xml:space="preserve">las y los </w:t>
      </w:r>
      <w:r w:rsidR="00080C55" w:rsidRPr="00AC0F64">
        <w:rPr>
          <w:b/>
          <w:bCs/>
        </w:rPr>
        <w:t>defensores</w:t>
      </w:r>
      <w:r w:rsidRPr="00AC0F64">
        <w:rPr>
          <w:b/>
          <w:bCs/>
        </w:rPr>
        <w:t xml:space="preserve"> de los derechos económicos, sociales</w:t>
      </w:r>
      <w:r w:rsidR="003766ED">
        <w:rPr>
          <w:b/>
          <w:bCs/>
        </w:rPr>
        <w:t>,</w:t>
      </w:r>
      <w:r w:rsidRPr="00AC0F64">
        <w:rPr>
          <w:b/>
          <w:bCs/>
        </w:rPr>
        <w:t xml:space="preserve"> culturales </w:t>
      </w:r>
      <w:r w:rsidR="003766ED">
        <w:rPr>
          <w:b/>
          <w:bCs/>
        </w:rPr>
        <w:t xml:space="preserve">y ambientales </w:t>
      </w:r>
      <w:r w:rsidRPr="00AC0F64">
        <w:rPr>
          <w:b/>
          <w:bCs/>
        </w:rPr>
        <w:t>en Nicaragua</w:t>
      </w:r>
      <w:r>
        <w:t xml:space="preserve">, destacando las violaciones provocadas por el </w:t>
      </w:r>
      <w:r w:rsidR="00F35568">
        <w:t>p</w:t>
      </w:r>
      <w:r>
        <w:t>royecto</w:t>
      </w:r>
      <w:r w:rsidR="00F35568">
        <w:t xml:space="preserve"> minero </w:t>
      </w:r>
      <w:r w:rsidR="00F35568" w:rsidRPr="00F35568">
        <w:t>“</w:t>
      </w:r>
      <w:r w:rsidR="00F35568">
        <w:t>Mina</w:t>
      </w:r>
      <w:r>
        <w:t xml:space="preserve"> La India</w:t>
      </w:r>
      <w:r w:rsidR="00F35568">
        <w:t>”</w:t>
      </w:r>
      <w:r>
        <w:t xml:space="preserve"> y detallando las distintas formas de represalias que ha enfrentado el defensor Olman Salazar, junto con su familia, como un ejemplo paradigmático de la experiencia de muchos defensores en Nicaragua. </w:t>
      </w:r>
    </w:p>
    <w:p w14:paraId="7B453F8A" w14:textId="77777777" w:rsidR="00AC0F64" w:rsidRPr="00FD5A6A" w:rsidRDefault="00AC0F64" w:rsidP="00CE0263">
      <w:pPr>
        <w:spacing w:line="252" w:lineRule="auto"/>
        <w:jc w:val="both"/>
        <w:rPr>
          <w:sz w:val="10"/>
          <w:szCs w:val="10"/>
        </w:rPr>
      </w:pPr>
    </w:p>
    <w:p w14:paraId="2AA39A2E" w14:textId="77777777" w:rsidR="00DF7D0F" w:rsidRDefault="002A77E1" w:rsidP="00CE0263">
      <w:pPr>
        <w:spacing w:line="252" w:lineRule="auto"/>
        <w:jc w:val="both"/>
      </w:pPr>
      <w:r w:rsidRPr="00AC0F64">
        <w:rPr>
          <w:b/>
          <w:bCs/>
        </w:rPr>
        <w:t xml:space="preserve">Segundo, abordaremos el tema de </w:t>
      </w:r>
      <w:r w:rsidR="00C1066B">
        <w:rPr>
          <w:b/>
          <w:bCs/>
        </w:rPr>
        <w:t xml:space="preserve">los impactos negativos que han tenido los proyectos de extracción en el medio ambiente y </w:t>
      </w:r>
      <w:r w:rsidR="00080C55" w:rsidRPr="00AC0F64">
        <w:rPr>
          <w:b/>
          <w:bCs/>
        </w:rPr>
        <w:t>los derechos humanos</w:t>
      </w:r>
      <w:r w:rsidR="00C1066B">
        <w:rPr>
          <w:b/>
          <w:bCs/>
        </w:rPr>
        <w:t>, incluido el derecho al agua</w:t>
      </w:r>
      <w:r w:rsidR="00C1066B" w:rsidRPr="00AC0F64">
        <w:t>,</w:t>
      </w:r>
      <w:r w:rsidR="00080C55">
        <w:t xml:space="preserve"> </w:t>
      </w:r>
      <w:r w:rsidR="00C1066B">
        <w:t xml:space="preserve">detallando cómo el Estado Nicaragüense se ha negado a tomar </w:t>
      </w:r>
      <w:r w:rsidR="0003307E">
        <w:t>medidas adecuadas para prevenir estos efectos destructivos</w:t>
      </w:r>
      <w:r w:rsidR="00080C55">
        <w:t>.</w:t>
      </w:r>
      <w:r>
        <w:t xml:space="preserve"> </w:t>
      </w:r>
    </w:p>
    <w:p w14:paraId="615E92BA" w14:textId="77777777" w:rsidR="00DF7D0F" w:rsidRPr="00FD5A6A" w:rsidRDefault="00DF7D0F" w:rsidP="00CE0263">
      <w:pPr>
        <w:spacing w:line="252" w:lineRule="auto"/>
        <w:jc w:val="both"/>
        <w:rPr>
          <w:sz w:val="10"/>
          <w:szCs w:val="10"/>
        </w:rPr>
      </w:pPr>
    </w:p>
    <w:p w14:paraId="042FD65F" w14:textId="77777777" w:rsidR="00080C55" w:rsidRPr="00AC0F64" w:rsidRDefault="00080C55" w:rsidP="00CE0263">
      <w:pPr>
        <w:spacing w:line="252" w:lineRule="auto"/>
        <w:jc w:val="both"/>
      </w:pPr>
      <w:r>
        <w:t xml:space="preserve">Trataremos cada tema </w:t>
      </w:r>
      <w:r w:rsidR="00406110">
        <w:t xml:space="preserve">a continuación </w:t>
      </w:r>
      <w:r>
        <w:t xml:space="preserve">en </w:t>
      </w:r>
      <w:r w:rsidR="00E91907">
        <w:t>una</w:t>
      </w:r>
      <w:r>
        <w:t xml:space="preserve"> secci</w:t>
      </w:r>
      <w:r w:rsidR="00E91907">
        <w:t>ón independiente</w:t>
      </w:r>
      <w:r>
        <w:t>, destacando nuestras recomendaciones</w:t>
      </w:r>
      <w:r w:rsidR="00E91907">
        <w:t xml:space="preserve"> </w:t>
      </w:r>
      <w:r>
        <w:t xml:space="preserve">al final de </w:t>
      </w:r>
      <w:r w:rsidR="00DF7D0F">
        <w:t>cada</w:t>
      </w:r>
      <w:r>
        <w:t xml:space="preserve"> sección.</w:t>
      </w:r>
    </w:p>
    <w:p w14:paraId="368725A7" w14:textId="77777777" w:rsidR="00080C55" w:rsidRPr="00CE0263" w:rsidRDefault="00080C55" w:rsidP="00CE0263">
      <w:pPr>
        <w:spacing w:line="252" w:lineRule="auto"/>
        <w:rPr>
          <w:b/>
          <w:bCs/>
          <w:sz w:val="20"/>
          <w:szCs w:val="20"/>
        </w:rPr>
      </w:pPr>
    </w:p>
    <w:p w14:paraId="79BC57F3" w14:textId="14B48ED5" w:rsidR="00AC0F64" w:rsidRDefault="00AC0F64" w:rsidP="00CE0263">
      <w:pPr>
        <w:spacing w:line="252" w:lineRule="auto"/>
        <w:jc w:val="center"/>
        <w:rPr>
          <w:b/>
          <w:bCs/>
          <w:u w:val="single"/>
        </w:rPr>
      </w:pPr>
      <w:r w:rsidRPr="00FD5A6A">
        <w:rPr>
          <w:b/>
          <w:bCs/>
          <w:u w:val="single"/>
        </w:rPr>
        <w:t xml:space="preserve">Contexto </w:t>
      </w:r>
      <w:r w:rsidR="000F1718" w:rsidRPr="00FD5A6A">
        <w:rPr>
          <w:b/>
          <w:bCs/>
          <w:u w:val="single"/>
        </w:rPr>
        <w:t>Actividades Extractivas en Nicaragua</w:t>
      </w:r>
    </w:p>
    <w:p w14:paraId="10BAC85D" w14:textId="77777777" w:rsidR="00FD5A6A" w:rsidRPr="00FD5A6A" w:rsidRDefault="00FD5A6A" w:rsidP="00CE0263">
      <w:pPr>
        <w:spacing w:line="252" w:lineRule="auto"/>
        <w:rPr>
          <w:b/>
          <w:bCs/>
          <w:sz w:val="10"/>
          <w:szCs w:val="10"/>
          <w:u w:val="single"/>
        </w:rPr>
      </w:pPr>
    </w:p>
    <w:p w14:paraId="4986EEC7" w14:textId="04B23148" w:rsidR="00AC0F64" w:rsidRDefault="00AC0F64" w:rsidP="00CE0263">
      <w:pPr>
        <w:spacing w:line="252" w:lineRule="auto"/>
        <w:jc w:val="both"/>
      </w:pPr>
      <w:r>
        <w:t xml:space="preserve">Las organizaciones firmantes expresamos nuestra profunda preocupación con respecto al proyecto minero </w:t>
      </w:r>
      <w:r w:rsidR="00F35568">
        <w:t xml:space="preserve">“Mina </w:t>
      </w:r>
      <w:r>
        <w:t>La India</w:t>
      </w:r>
      <w:r w:rsidR="00F35568">
        <w:t>”</w:t>
      </w:r>
      <w:r>
        <w:t xml:space="preserve">, impulsado por la compañía inglesa Condor Gold PLC y sus subsidiarias nicaragüenses, Cóndor S.A. y La India Gold S.A.  Durante los últimos 15 años, Condor Gold se ha enfocado en la exploración de oro en Nicaragua, promocionando </w:t>
      </w:r>
      <w:r w:rsidR="00FD5A6A">
        <w:t>Mina</w:t>
      </w:r>
      <w:r>
        <w:t xml:space="preserve"> La India como el punto de partida para un distrito minero mucho más extenso.</w:t>
      </w:r>
    </w:p>
    <w:p w14:paraId="5883188A" w14:textId="77777777" w:rsidR="00AC0F64" w:rsidRPr="007E727E" w:rsidRDefault="00AC0F64" w:rsidP="00CE0263">
      <w:pPr>
        <w:spacing w:line="252" w:lineRule="auto"/>
        <w:jc w:val="both"/>
        <w:rPr>
          <w:sz w:val="10"/>
          <w:szCs w:val="10"/>
        </w:rPr>
      </w:pPr>
    </w:p>
    <w:p w14:paraId="38515494" w14:textId="5D629AD3" w:rsidR="00AC0F64" w:rsidRDefault="00AC0F64" w:rsidP="00CE0263">
      <w:pPr>
        <w:spacing w:line="252" w:lineRule="auto"/>
        <w:jc w:val="both"/>
      </w:pPr>
      <w:r>
        <w:t>Entre los impactos más preocupantes de</w:t>
      </w:r>
      <w:r w:rsidR="00FD5A6A">
        <w:t xml:space="preserve"> Mina</w:t>
      </w:r>
      <w:r>
        <w:t xml:space="preserve"> La India se encuentran los daños ambientales que ocasionaría, incluyendo impactos en la biodiversidad y los ecosistemas del área. Además, de construirse, </w:t>
      </w:r>
      <w:r w:rsidR="00FD5A6A">
        <w:t>Mina</w:t>
      </w:r>
      <w:r>
        <w:t xml:space="preserve"> La India generaría múltiples vulneraciones de derechos humanos, incluso el derecho al agua, debido a que se prevé que el proyecto causaría el agotamiento de las fuentes de agua subterránea, reduciendo drásticamente el acceso al agua para la comunidad de Santa Cruz de la India. Asimismo, expresamos nuestra profunda preocupación respecto de la falta de consulta e información sobre </w:t>
      </w:r>
      <w:r w:rsidR="00F35568">
        <w:t>Mina La India</w:t>
      </w:r>
      <w:r>
        <w:t>, así como el riesgo de desplazamiento involuntario de las comunidades afectadas. Finalmente, subrayamos que los miembros del Movimiento Comunal Santa Cruz de la India han sufrido represión, amenazas y represalias por parte de las fuerzas policiales y fuerzas de seguridad privada, por expresarse en contra de los impactos sociales y ambientales que ha traído consigo este proyecto minero, como se describe con más detalles a continuación.</w:t>
      </w:r>
    </w:p>
    <w:p w14:paraId="3DCE1275" w14:textId="0D76DECD" w:rsidR="009442AA" w:rsidRPr="000F1718" w:rsidRDefault="009442AA" w:rsidP="000F1718">
      <w:pPr>
        <w:jc w:val="center"/>
        <w:rPr>
          <w:b/>
          <w:bCs/>
          <w:sz w:val="28"/>
          <w:szCs w:val="28"/>
        </w:rPr>
      </w:pPr>
      <w:r w:rsidRPr="000F1718">
        <w:rPr>
          <w:b/>
          <w:bCs/>
          <w:sz w:val="28"/>
          <w:szCs w:val="28"/>
          <w:u w:val="single"/>
        </w:rPr>
        <w:lastRenderedPageBreak/>
        <w:t>Tema 1: Información relevante a la 4ª cuestión</w:t>
      </w:r>
    </w:p>
    <w:p w14:paraId="0F64020A" w14:textId="77777777" w:rsidR="009442AA" w:rsidRPr="000F1718" w:rsidRDefault="009442AA" w:rsidP="000F1718">
      <w:pPr>
        <w:ind w:left="708"/>
        <w:rPr>
          <w:b/>
          <w:bCs/>
        </w:rPr>
      </w:pPr>
    </w:p>
    <w:p w14:paraId="7779F26C" w14:textId="47C82395" w:rsidR="00E55BAC" w:rsidRDefault="00E55BAC" w:rsidP="009442AA">
      <w:pPr>
        <w:ind w:left="708" w:right="693"/>
        <w:jc w:val="both"/>
        <w:rPr>
          <w:b/>
          <w:bCs/>
          <w:i/>
          <w:iCs/>
        </w:rPr>
      </w:pPr>
      <w:r w:rsidRPr="000F1718">
        <w:rPr>
          <w:b/>
          <w:bCs/>
          <w:i/>
          <w:iCs/>
        </w:rPr>
        <w:t>¿Qué medidas han sido adoptadas para proteger a los defensores de derechos económicos, sociales y culturales de todo acto de represalia, incluyendo actos de violencia, hostigamiento, amenazas y atentados contra su vida e integridad personal?</w:t>
      </w:r>
    </w:p>
    <w:p w14:paraId="6409ED82" w14:textId="77777777" w:rsidR="00FD5A6A" w:rsidRPr="004A6172" w:rsidRDefault="00FD5A6A" w:rsidP="009442AA">
      <w:pPr>
        <w:ind w:left="708" w:right="693"/>
        <w:jc w:val="both"/>
        <w:rPr>
          <w:b/>
          <w:bCs/>
          <w:i/>
          <w:iCs/>
        </w:rPr>
      </w:pPr>
    </w:p>
    <w:p w14:paraId="0CFD72D9" w14:textId="77777777" w:rsidR="00192905" w:rsidRDefault="00062D2F" w:rsidP="00AB549C">
      <w:pPr>
        <w:jc w:val="both"/>
      </w:pPr>
      <w:r w:rsidRPr="00BB3558">
        <w:rPr>
          <w:rFonts w:cstheme="minorHAnsi"/>
        </w:rPr>
        <w:t xml:space="preserve">Durante </w:t>
      </w:r>
      <w:r>
        <w:rPr>
          <w:rFonts w:cstheme="minorHAnsi"/>
        </w:rPr>
        <w:t xml:space="preserve">el año </w:t>
      </w:r>
      <w:r w:rsidRPr="00BB3558">
        <w:rPr>
          <w:rFonts w:cstheme="minorHAnsi"/>
        </w:rPr>
        <w:t>2020</w:t>
      </w:r>
      <w:r>
        <w:rPr>
          <w:rFonts w:cstheme="minorHAnsi"/>
        </w:rPr>
        <w:t>,</w:t>
      </w:r>
      <w:r w:rsidRPr="00BB3558">
        <w:rPr>
          <w:rFonts w:cstheme="minorHAnsi"/>
        </w:rPr>
        <w:t xml:space="preserve"> Nicaragua continua en medio de una crisis sociopolítica con una disminución considerable de la protesta ciudadana, por la alta criminalización a cualquier intento de organización y protesta </w:t>
      </w:r>
      <w:r w:rsidR="00192905" w:rsidRPr="00BB3558">
        <w:rPr>
          <w:rFonts w:cstheme="minorHAnsi"/>
        </w:rPr>
        <w:t>pública</w:t>
      </w:r>
      <w:r w:rsidR="00192905">
        <w:rPr>
          <w:rFonts w:cstheme="minorHAnsi"/>
        </w:rPr>
        <w:t xml:space="preserve">, </w:t>
      </w:r>
      <w:r w:rsidR="00192905" w:rsidRPr="003179A1">
        <w:t>anulando</w:t>
      </w:r>
      <w:r w:rsidRPr="003179A1">
        <w:t xml:space="preserve"> en su totalidad, cualquier posibilidad de manifestación de descontento social frente a las políticas del estado</w:t>
      </w:r>
      <w:r>
        <w:t xml:space="preserve">. </w:t>
      </w:r>
    </w:p>
    <w:p w14:paraId="722BAAD9" w14:textId="77777777" w:rsidR="00192905" w:rsidRPr="00192905" w:rsidRDefault="00192905" w:rsidP="00AB549C">
      <w:pPr>
        <w:jc w:val="both"/>
        <w:rPr>
          <w:rFonts w:cstheme="minorHAnsi"/>
          <w:sz w:val="10"/>
          <w:szCs w:val="10"/>
        </w:rPr>
      </w:pPr>
    </w:p>
    <w:p w14:paraId="104633A2" w14:textId="3B77809A" w:rsidR="00192905" w:rsidRDefault="00192905" w:rsidP="00192905">
      <w:pPr>
        <w:jc w:val="both"/>
        <w:rPr>
          <w:lang w:val="es-CO"/>
        </w:rPr>
      </w:pPr>
      <w:r w:rsidRPr="006D36C2">
        <w:rPr>
          <w:lang w:val="es-CO"/>
        </w:rPr>
        <w:t>El Estado de Nicaragua ha intensificado la criminalización y la militarización de las zonas en proceso de exploración y explotación minera</w:t>
      </w:r>
      <w:r>
        <w:rPr>
          <w:lang w:val="es-CO"/>
        </w:rPr>
        <w:t>. Entre las diversas zonas en donde ha habido un incremento de la represión, destaca La India, en el municipio de Santa Rosa del Peñón</w:t>
      </w:r>
      <w:r w:rsidR="007C5658">
        <w:rPr>
          <w:lang w:val="es-CO"/>
        </w:rPr>
        <w:t xml:space="preserve"> </w:t>
      </w:r>
      <w:r>
        <w:rPr>
          <w:lang w:val="es-CO"/>
        </w:rPr>
        <w:t>departamento de León, en donde opera la empresa de origen británico Cóndor Gold S.A</w:t>
      </w:r>
      <w:r w:rsidRPr="00BC71EC">
        <w:rPr>
          <w:lang w:val="es-CO"/>
        </w:rPr>
        <w:t xml:space="preserve">. en </w:t>
      </w:r>
      <w:r w:rsidR="00226BC0">
        <w:rPr>
          <w:lang w:val="es-CO"/>
        </w:rPr>
        <w:t>uno de los</w:t>
      </w:r>
      <w:r w:rsidRPr="00BC71EC">
        <w:rPr>
          <w:lang w:val="es-CO"/>
        </w:rPr>
        <w:t xml:space="preserve"> proyecto</w:t>
      </w:r>
      <w:r w:rsidR="00226BC0">
        <w:rPr>
          <w:lang w:val="es-CO"/>
        </w:rPr>
        <w:t>s</w:t>
      </w:r>
      <w:r w:rsidRPr="00BC71EC">
        <w:rPr>
          <w:lang w:val="es-CO"/>
        </w:rPr>
        <w:t xml:space="preserve"> de proyección de extracción de oro más grande</w:t>
      </w:r>
      <w:r w:rsidR="00226BC0">
        <w:rPr>
          <w:lang w:val="es-CO"/>
        </w:rPr>
        <w:t>s</w:t>
      </w:r>
      <w:r w:rsidRPr="00BC71EC">
        <w:rPr>
          <w:lang w:val="es-CO"/>
        </w:rPr>
        <w:t xml:space="preserve"> de toda Nicaragua. </w:t>
      </w:r>
      <w:r w:rsidRPr="00BC71EC">
        <w:rPr>
          <w:rFonts w:eastAsia="Arial"/>
          <w:lang w:val="es-CO"/>
        </w:rPr>
        <w:t>Dicha</w:t>
      </w:r>
      <w:r w:rsidRPr="006D36C2">
        <w:rPr>
          <w:rFonts w:eastAsia="Arial"/>
          <w:lang w:val="es-CO"/>
        </w:rPr>
        <w:t xml:space="preserve"> empresa ha alentado la militarización de la comunidad de La India con policías, agentes de seguridad privada y agentes encubiertos, con el único fin de llevar a cabo </w:t>
      </w:r>
      <w:r>
        <w:rPr>
          <w:rFonts w:eastAsia="Arial"/>
          <w:lang w:val="es-CO"/>
        </w:rPr>
        <w:t xml:space="preserve">acciones en el marco de los procesos de exploración minera, ejemplo de ello ha sido el desarrollo de </w:t>
      </w:r>
      <w:r w:rsidRPr="006D36C2">
        <w:rPr>
          <w:rFonts w:eastAsia="Arial"/>
          <w:lang w:val="es-CO"/>
        </w:rPr>
        <w:t>una Audiencia Pública del Proyecto Explotación Minera “Mina La India”, el día viernes 13 de julio de 2018</w:t>
      </w:r>
      <w:r>
        <w:rPr>
          <w:rStyle w:val="FootnoteReference"/>
          <w:rFonts w:eastAsia="Arial"/>
          <w:lang w:val="es-CO"/>
        </w:rPr>
        <w:footnoteReference w:id="1"/>
      </w:r>
      <w:r w:rsidRPr="006D36C2">
        <w:rPr>
          <w:rFonts w:eastAsia="Arial"/>
          <w:lang w:val="es-CO"/>
        </w:rPr>
        <w:t>. Dicho actuar desconoció el llamado que realizó el Consejo Superior de la Empresa Privada (COSEP)</w:t>
      </w:r>
      <w:r>
        <w:rPr>
          <w:rStyle w:val="FootnoteReference"/>
          <w:lang w:val="es-CO"/>
        </w:rPr>
        <w:footnoteReference w:id="2"/>
      </w:r>
      <w:r w:rsidRPr="006D36C2">
        <w:rPr>
          <w:rFonts w:eastAsia="Arial"/>
          <w:lang w:val="es-CO"/>
        </w:rPr>
        <w:t xml:space="preserve"> a un Paro Nacional, al cual Cóndor Gold están adheridos, a través de la Cámara Minera de Nicaragua.</w:t>
      </w:r>
      <w:r>
        <w:rPr>
          <w:rFonts w:eastAsia="Arial"/>
          <w:lang w:val="es-CO"/>
        </w:rPr>
        <w:t xml:space="preserve"> </w:t>
      </w:r>
      <w:r w:rsidRPr="00C12D46">
        <w:t xml:space="preserve">El gobierno y las empresas mineras están beneficiándose </w:t>
      </w:r>
      <w:r>
        <w:t xml:space="preserve">del </w:t>
      </w:r>
      <w:bookmarkStart w:id="1" w:name="_Hlk48208325"/>
      <w:r>
        <w:t>contexto de Crisis Sociopolítica y Pandemia</w:t>
      </w:r>
      <w:bookmarkEnd w:id="1"/>
      <w:r>
        <w:t xml:space="preserve">, </w:t>
      </w:r>
      <w:r w:rsidRPr="00C12D46">
        <w:t>la cual ha implicado el avance de las operaciones y expansión de proyectos ya existentes</w:t>
      </w:r>
      <w:r w:rsidRPr="006D36C2">
        <w:rPr>
          <w:lang w:val="es-CO"/>
        </w:rPr>
        <w:t>.</w:t>
      </w:r>
    </w:p>
    <w:p w14:paraId="7037776F" w14:textId="77777777" w:rsidR="00192905" w:rsidRPr="00192905" w:rsidRDefault="00192905" w:rsidP="00AB549C">
      <w:pPr>
        <w:jc w:val="both"/>
        <w:rPr>
          <w:sz w:val="10"/>
          <w:szCs w:val="10"/>
        </w:rPr>
      </w:pPr>
    </w:p>
    <w:p w14:paraId="1AEDD643" w14:textId="5A7CA9DE" w:rsidR="00192905" w:rsidRDefault="00192905" w:rsidP="00AB549C">
      <w:pPr>
        <w:jc w:val="both"/>
      </w:pPr>
      <w:r w:rsidRPr="00192905">
        <w:t xml:space="preserve">La represión estatal en las zonas rurales no se ha detenido ni siquiera ante la presencia de agencias internacionales en el país. A modo de ejemplo, del 18 al 25 de noviembre de 2018, aproximadamente 50 antimotines de la Policía Nacional hostigaron y amenazaron </w:t>
      </w:r>
      <w:r w:rsidR="00F66EAC" w:rsidRPr="00192905">
        <w:t xml:space="preserve">con armas de alto calibre </w:t>
      </w:r>
      <w:r w:rsidRPr="00192905">
        <w:t xml:space="preserve">a líderes y lideresas del Movimiento Comunal Santa Cruz de la India, quienes en el marco de </w:t>
      </w:r>
      <w:r w:rsidR="00D8664D">
        <w:t xml:space="preserve">una </w:t>
      </w:r>
      <w:r w:rsidRPr="00192905">
        <w:t>queja</w:t>
      </w:r>
      <w:r w:rsidR="00D8664D">
        <w:rPr>
          <w:rStyle w:val="FootnoteReference"/>
        </w:rPr>
        <w:footnoteReference w:id="3"/>
      </w:r>
      <w:r w:rsidRPr="00192905">
        <w:t xml:space="preserve"> interpuesta ante </w:t>
      </w:r>
      <w:r w:rsidR="00A01623">
        <w:t xml:space="preserve">la Oficina del </w:t>
      </w:r>
      <w:r w:rsidRPr="00192905">
        <w:t>Compliance Advisor Ombudsman (CAO)</w:t>
      </w:r>
      <w:r w:rsidR="00994435">
        <w:t>, el</w:t>
      </w:r>
      <w:r w:rsidRPr="00192905">
        <w:t xml:space="preserve"> mecanismo </w:t>
      </w:r>
      <w:r w:rsidR="00A01623" w:rsidRPr="00192905">
        <w:t xml:space="preserve">independiente </w:t>
      </w:r>
      <w:r w:rsidRPr="00192905">
        <w:t xml:space="preserve">de </w:t>
      </w:r>
      <w:r w:rsidR="00A01623">
        <w:t>rendición de cuentas</w:t>
      </w:r>
      <w:r w:rsidR="00A01623" w:rsidRPr="00192905">
        <w:t xml:space="preserve"> </w:t>
      </w:r>
      <w:r w:rsidRPr="00192905">
        <w:t>para proyectos financiados por el International Finance Corporation (IFC) del Grupo Banco Mundial</w:t>
      </w:r>
      <w:r w:rsidR="00F66EAC">
        <w:t>, se encontraban en un proceso de consulta con el equipo consultor de la CAO</w:t>
      </w:r>
      <w:r w:rsidR="00A01623">
        <w:t>.</w:t>
      </w:r>
      <w:r w:rsidR="00D8664D">
        <w:rPr>
          <w:rStyle w:val="FootnoteReference"/>
        </w:rPr>
        <w:footnoteReference w:id="4"/>
      </w:r>
    </w:p>
    <w:p w14:paraId="31418269" w14:textId="77777777" w:rsidR="00192905" w:rsidRPr="00192905" w:rsidRDefault="00192905" w:rsidP="00AB549C">
      <w:pPr>
        <w:jc w:val="both"/>
        <w:rPr>
          <w:sz w:val="10"/>
          <w:szCs w:val="10"/>
        </w:rPr>
      </w:pPr>
    </w:p>
    <w:p w14:paraId="3934C738" w14:textId="102DFE7D" w:rsidR="00AB549C" w:rsidRPr="00F66EAC" w:rsidRDefault="00F66EAC" w:rsidP="00AB549C">
      <w:pPr>
        <w:jc w:val="both"/>
      </w:pPr>
      <w:r w:rsidRPr="00A030D2">
        <w:t>En la actualidad</w:t>
      </w:r>
      <w:r w:rsidR="0018094B">
        <w:t>,</w:t>
      </w:r>
      <w:r w:rsidRPr="00A030D2">
        <w:t xml:space="preserve"> el liderazgo del MONAFMI se encuentra </w:t>
      </w:r>
      <w:r w:rsidR="00A01623">
        <w:t xml:space="preserve">en </w:t>
      </w:r>
      <w:r w:rsidRPr="00A030D2">
        <w:t>una situación de</w:t>
      </w:r>
      <w:r>
        <w:t xml:space="preserve"> doble</w:t>
      </w:r>
      <w:r w:rsidRPr="00A030D2">
        <w:t xml:space="preserve"> riesgo de criminalización,</w:t>
      </w:r>
      <w:r w:rsidRPr="008E6B72">
        <w:t xml:space="preserve"> </w:t>
      </w:r>
      <w:r>
        <w:t xml:space="preserve">por lo que los </w:t>
      </w:r>
      <w:r w:rsidRPr="00A030D2">
        <w:t>casos de asedio, represión y violencia contra los defensores de la tierra que se oponen al desarrollo de proyectos mineros en los territorios aumentaron</w:t>
      </w:r>
      <w:r>
        <w:t>, tal es el caso de</w:t>
      </w:r>
      <w:r w:rsidR="00AB549C">
        <w:rPr>
          <w:lang w:val="es-CO"/>
        </w:rPr>
        <w:t xml:space="preserve"> Olman Onel Salazar Umanzor </w:t>
      </w:r>
      <w:r>
        <w:rPr>
          <w:lang w:val="es-CO"/>
        </w:rPr>
        <w:t xml:space="preserve">quien </w:t>
      </w:r>
      <w:r w:rsidR="00AB549C">
        <w:rPr>
          <w:lang w:val="es-CO"/>
        </w:rPr>
        <w:t>ha sido objeto de innumerables actos de persecución, hostigamientos, amenazas y agresiones, a raíz de su labor de defensor del medio ambiente e integrante de movimientos de defensa del territorio en ámbito nacional y en la comunidad de La India. En los dos últimos años, tales actos han escalado a punto de dirigirse no solo a Olman Salazar, sino a integrantes de su familia, quienes tuvieron que desplazarse de La India, con posterioridad a un operativo policial y el riesgo inminente de que sean objeto de algún atentado a su vida e integridad.</w:t>
      </w:r>
    </w:p>
    <w:p w14:paraId="2A1E1156" w14:textId="77777777" w:rsidR="00DF7D0F" w:rsidRDefault="00DF7D0F" w:rsidP="007C5658">
      <w:pPr>
        <w:jc w:val="both"/>
        <w:rPr>
          <w:b/>
          <w:bCs/>
          <w:u w:val="single"/>
        </w:rPr>
      </w:pPr>
    </w:p>
    <w:p w14:paraId="1A451DA7" w14:textId="77777777" w:rsidR="00F35568" w:rsidRDefault="00F35568" w:rsidP="007C5658">
      <w:pPr>
        <w:jc w:val="both"/>
        <w:rPr>
          <w:b/>
          <w:bCs/>
          <w:u w:val="single"/>
        </w:rPr>
      </w:pPr>
    </w:p>
    <w:p w14:paraId="5E8BDD31" w14:textId="2ADA7848" w:rsidR="007C5658" w:rsidRPr="000F1718" w:rsidRDefault="00EC3BAF" w:rsidP="007C5658">
      <w:pPr>
        <w:jc w:val="both"/>
        <w:rPr>
          <w:b/>
          <w:bCs/>
          <w:u w:val="single"/>
        </w:rPr>
      </w:pPr>
      <w:r w:rsidRPr="000F1718">
        <w:rPr>
          <w:b/>
          <w:bCs/>
          <w:u w:val="single"/>
        </w:rPr>
        <w:lastRenderedPageBreak/>
        <w:t>Amenazas y hostigamientos ocurridos a lo largo de 2019</w:t>
      </w:r>
      <w:r w:rsidR="00A01623" w:rsidRPr="000F1718">
        <w:rPr>
          <w:b/>
          <w:bCs/>
          <w:u w:val="single"/>
        </w:rPr>
        <w:t xml:space="preserve">: Experiencia </w:t>
      </w:r>
      <w:r w:rsidR="00994435">
        <w:rPr>
          <w:b/>
          <w:bCs/>
          <w:u w:val="single"/>
        </w:rPr>
        <w:t xml:space="preserve">y testimonio </w:t>
      </w:r>
      <w:r w:rsidR="00A01623" w:rsidRPr="000F1718">
        <w:rPr>
          <w:b/>
          <w:bCs/>
          <w:u w:val="single"/>
        </w:rPr>
        <w:t>de Olman Salazar</w:t>
      </w:r>
    </w:p>
    <w:p w14:paraId="36B18F8C" w14:textId="77777777" w:rsidR="007C5658" w:rsidRPr="007C5658" w:rsidRDefault="007C5658" w:rsidP="007C5658">
      <w:pPr>
        <w:jc w:val="both"/>
        <w:rPr>
          <w:b/>
          <w:bCs/>
          <w:sz w:val="10"/>
          <w:szCs w:val="10"/>
        </w:rPr>
      </w:pPr>
    </w:p>
    <w:p w14:paraId="54DCB32B" w14:textId="0C846286" w:rsidR="007C5658" w:rsidRPr="000F1718" w:rsidRDefault="007C5658" w:rsidP="007C5658">
      <w:pPr>
        <w:jc w:val="both"/>
        <w:rPr>
          <w:i/>
          <w:iCs/>
        </w:rPr>
      </w:pPr>
      <w:r w:rsidRPr="000F1718">
        <w:rPr>
          <w:i/>
          <w:iCs/>
        </w:rPr>
        <w:t>El jueves 12 de diciembre 2019, en Managua, mi organización convoco a una conferencia de prensa, en la que informé al pueblo de Nicaragua sobre el retiro de la inversión del IFC en la empresa Condor Gold. S. A</w:t>
      </w:r>
      <w:r w:rsidR="0016461F">
        <w:rPr>
          <w:i/>
          <w:iCs/>
        </w:rPr>
        <w:t>.</w:t>
      </w:r>
      <w:r w:rsidRPr="000F1718">
        <w:rPr>
          <w:i/>
          <w:iCs/>
        </w:rPr>
        <w:t>,</w:t>
      </w:r>
      <w:r w:rsidRPr="000F1718">
        <w:rPr>
          <w:rStyle w:val="FootnoteReference"/>
          <w:i/>
          <w:iCs/>
        </w:rPr>
        <w:footnoteReference w:id="5"/>
      </w:r>
      <w:r w:rsidRPr="000F1718">
        <w:rPr>
          <w:i/>
          <w:iCs/>
        </w:rPr>
        <w:t xml:space="preserve"> por las gestiones que habíamos realizado ante este organismo financiero y porque el mismo reconocía que su patrocinado había incumplido los estándares y políticas del grupo Banco Mundial, asumiendo el riesgo por las repercusiones que la información generaría decidimos hacerlo. Esto conllevó a que dos días después, nuevamente la Policía del Municipio de Santa Rosa del Peñón y el Jicaral, asedió mi casa en horas de la tarde y que se apostaran en varias calles del pueblo. Los pobladores adujeron que la policía manifestaba que me iba a detener por la divulgación de la información.</w:t>
      </w:r>
    </w:p>
    <w:p w14:paraId="31D25323" w14:textId="77777777" w:rsidR="007C5658" w:rsidRPr="000F1718" w:rsidRDefault="007C5658" w:rsidP="007C5658">
      <w:pPr>
        <w:jc w:val="both"/>
        <w:rPr>
          <w:i/>
          <w:iCs/>
          <w:sz w:val="10"/>
          <w:szCs w:val="10"/>
        </w:rPr>
      </w:pPr>
    </w:p>
    <w:p w14:paraId="6CCC295F" w14:textId="77777777" w:rsidR="007C5658" w:rsidRPr="000F1718" w:rsidRDefault="007C5658" w:rsidP="007C5658">
      <w:pPr>
        <w:jc w:val="both"/>
        <w:rPr>
          <w:i/>
          <w:iCs/>
        </w:rPr>
      </w:pPr>
      <w:r w:rsidRPr="000F1718">
        <w:rPr>
          <w:b/>
          <w:i/>
          <w:iCs/>
        </w:rPr>
        <w:t>El 18 de diciembre</w:t>
      </w:r>
      <w:r w:rsidRPr="000F1718">
        <w:rPr>
          <w:i/>
          <w:iCs/>
        </w:rPr>
        <w:t>, exactamente a las 12:26 pm</w:t>
      </w:r>
      <w:r w:rsidRPr="000F1718">
        <w:rPr>
          <w:rStyle w:val="FootnoteReference"/>
          <w:i/>
          <w:iCs/>
        </w:rPr>
        <w:footnoteReference w:id="6"/>
      </w:r>
      <w:r w:rsidRPr="000F1718">
        <w:rPr>
          <w:i/>
          <w:iCs/>
        </w:rPr>
        <w:t xml:space="preserve">, cuando estaba en mi casa de habitación redactando unos testimonios de escrituras públicas, </w:t>
      </w:r>
      <w:r w:rsidRPr="000F1718">
        <w:rPr>
          <w:b/>
          <w:i/>
          <w:iCs/>
        </w:rPr>
        <w:t>mi hermano Julio Cesar Salazar Umanzor, llegó de manera imprevista y con alteraciones nerviosa notorias, me dijo en vos silenciosa no salgas porque ahí frente a tu casa están muchos policías. Cuando el sale a la puerta principal, el jefe de la departamental de la Policía Nacional de León, Comisionado Mayor Fidel Domínguez</w:t>
      </w:r>
      <w:r w:rsidRPr="000F1718">
        <w:rPr>
          <w:rStyle w:val="FootnoteReference"/>
          <w:b/>
          <w:i/>
          <w:iCs/>
        </w:rPr>
        <w:footnoteReference w:id="7"/>
      </w:r>
      <w:r w:rsidRPr="000F1718">
        <w:rPr>
          <w:b/>
          <w:i/>
          <w:iCs/>
        </w:rPr>
        <w:t>, le dijo “andamos buscando a Olman”</w:t>
      </w:r>
      <w:r w:rsidRPr="000F1718">
        <w:rPr>
          <w:i/>
          <w:iCs/>
        </w:rPr>
        <w:t>. Mi esposa Maryuri Isabel Vega Laguna, quien iba detrás de mi hermano, le preguntó por qué me buscaban y el comisionado mayor le dijo que llegaban a detenerme porque yo era un golpista y terrorista y que era mejor que me entregara porque de lo contrario iban a allanar mi casa. Mis hermanas Dina Margarita Salazar Umanzor y Lesli Carolina Salazar Umanzor, llegaron asustadas, pidiéndome que de inmediato saliera de mi casa para resguardarme. Ellas, junto a mi hermano y mi esposa, se pusieron en la puerta principal, bloquearon la visibilidad del comisionado y yo pude escapar corriendo por la puerta posterior de mi casa.</w:t>
      </w:r>
    </w:p>
    <w:p w14:paraId="6F5C2289" w14:textId="77777777" w:rsidR="007C5658" w:rsidRPr="000F1718" w:rsidRDefault="007C5658" w:rsidP="007C5658">
      <w:pPr>
        <w:jc w:val="both"/>
        <w:rPr>
          <w:i/>
          <w:iCs/>
          <w:sz w:val="10"/>
          <w:szCs w:val="10"/>
        </w:rPr>
      </w:pPr>
    </w:p>
    <w:p w14:paraId="3CA5D9E1" w14:textId="77777777" w:rsidR="007C5658" w:rsidRPr="000F1718" w:rsidRDefault="007C5658" w:rsidP="007C5658">
      <w:pPr>
        <w:jc w:val="both"/>
        <w:rPr>
          <w:i/>
          <w:iCs/>
        </w:rPr>
      </w:pPr>
      <w:r w:rsidRPr="000F1718">
        <w:rPr>
          <w:i/>
          <w:iCs/>
        </w:rPr>
        <w:t xml:space="preserve">Unos veinte minutos después, creí que estos ya se habían ido y me dispuse a regresar a la casa preocupados por la integridad de mi familia y las de mis padres que habitan contiguo a mi casa de habitación. </w:t>
      </w:r>
      <w:r w:rsidRPr="000F1718">
        <w:rPr>
          <w:b/>
          <w:i/>
          <w:iCs/>
        </w:rPr>
        <w:t>Pero la policía fuertemente armada con fusiles Ak47 y bombas de mano ya estaban en el interior de mi casa. Uno de ellos cuidando la puerta posterior por donde yo había salido, al percatarme decidí arrastrarme unos cuarenta metros para no ser detectado y así nuevamente logré escapar hacia el interior del bosque</w:t>
      </w:r>
      <w:r w:rsidRPr="000F1718">
        <w:rPr>
          <w:i/>
          <w:iCs/>
        </w:rPr>
        <w:t>. Cuando regresé, a eso de las cuatro de la tarde, ya la policía se había retirado, toda mi familia estaba nerviosa, mi madre llorando, implorando que de inmediato de fuera de la casa porque teme que me vallan a quitar la vida o apresar.</w:t>
      </w:r>
      <w:r w:rsidRPr="000F1718">
        <w:rPr>
          <w:rStyle w:val="FootnoteReference"/>
          <w:i/>
          <w:iCs/>
        </w:rPr>
        <w:footnoteReference w:id="8"/>
      </w:r>
    </w:p>
    <w:p w14:paraId="41A46D2C" w14:textId="77777777" w:rsidR="007C5658" w:rsidRPr="000F1718" w:rsidRDefault="007C5658" w:rsidP="007C5658">
      <w:pPr>
        <w:jc w:val="both"/>
        <w:rPr>
          <w:i/>
          <w:iCs/>
          <w:sz w:val="10"/>
          <w:szCs w:val="10"/>
        </w:rPr>
      </w:pPr>
    </w:p>
    <w:p w14:paraId="5BFD020E" w14:textId="77777777" w:rsidR="007C5658" w:rsidRPr="000F1718" w:rsidRDefault="007C5658" w:rsidP="007C5658">
      <w:pPr>
        <w:jc w:val="both"/>
        <w:rPr>
          <w:i/>
          <w:iCs/>
        </w:rPr>
      </w:pPr>
      <w:r w:rsidRPr="000F1718">
        <w:rPr>
          <w:b/>
          <w:i/>
          <w:iCs/>
        </w:rPr>
        <w:t>Mi hermano fue esposado inhumanamente por los policías. Pidió que no socaran mucho las esposas en sus brazos, porque estaba infligiendo dolor físico. La policía le dijo que no podía hablar. Uno de ellos le dio un puñetazo en el lado izquierdo del rostro. En ese lapso de tiempo de unos cuarenta minutos que la policía estuvo en el interior de mi casa, el comisionado Domínguez agarró del antebrazo a mi menor hija Ingrid Salazar, la presionó fuerte y la obligó que se callara y se sentara, ya que ella no quería obedecerles</w:t>
      </w:r>
      <w:r w:rsidRPr="000F1718">
        <w:rPr>
          <w:i/>
          <w:iCs/>
        </w:rPr>
        <w:t xml:space="preserve">. </w:t>
      </w:r>
      <w:r w:rsidRPr="000F1718">
        <w:rPr>
          <w:b/>
          <w:i/>
          <w:iCs/>
        </w:rPr>
        <w:t>El comisionado Domínguez le dijo que me dijera que si yo no tenía consideración de ella y toda mi familia que mucho menos ellos la iban a tener con ellos porque no eran su familia</w:t>
      </w:r>
      <w:r w:rsidRPr="000F1718">
        <w:rPr>
          <w:i/>
          <w:iCs/>
        </w:rPr>
        <w:t xml:space="preserve">. </w:t>
      </w:r>
    </w:p>
    <w:p w14:paraId="1444C175" w14:textId="77777777" w:rsidR="007C5658" w:rsidRPr="000F1718" w:rsidRDefault="007C5658" w:rsidP="007C5658">
      <w:pPr>
        <w:jc w:val="both"/>
        <w:rPr>
          <w:i/>
          <w:iCs/>
          <w:sz w:val="10"/>
          <w:szCs w:val="10"/>
        </w:rPr>
      </w:pPr>
    </w:p>
    <w:p w14:paraId="2CBE6E56" w14:textId="77777777" w:rsidR="007C5658" w:rsidRPr="000F1718" w:rsidRDefault="007C5658" w:rsidP="007C5658">
      <w:pPr>
        <w:jc w:val="both"/>
        <w:rPr>
          <w:i/>
          <w:iCs/>
        </w:rPr>
      </w:pPr>
      <w:r w:rsidRPr="000F1718">
        <w:rPr>
          <w:i/>
          <w:iCs/>
        </w:rPr>
        <w:t xml:space="preserve">El comisionado a cargo de la operación registró mi cuarto, solicitó a mi esposa Maryuri Vega Laguna que entregara las armas que yo poseía, pero ella le dijo que nuestra arma únicamente era Dios. Pidió mis documentos personales, pasaporte, cedula, licencia, pero no lo encontró, cuando registraba mi habitación en ese tiempo le </w:t>
      </w:r>
      <w:r w:rsidRPr="000F1718">
        <w:rPr>
          <w:i/>
          <w:iCs/>
        </w:rPr>
        <w:lastRenderedPageBreak/>
        <w:t xml:space="preserve">decía a mi esposa que yo era un mal hijo de la patria y que me iba hacer pagar, porque yo era tranquista, golpista, y que trataba de desestabilizar el desarrollo del país, además que el proyecto minero de Mina la India Condor Gold. S.A lo iban a desarrollar porque el presidente de la republica Daniel Ortega lo quería y que no iba a permitir que nadie se opusiera. </w:t>
      </w:r>
    </w:p>
    <w:p w14:paraId="209BA200" w14:textId="77777777" w:rsidR="007C5658" w:rsidRPr="000F1718" w:rsidRDefault="007C5658" w:rsidP="007C5658">
      <w:pPr>
        <w:jc w:val="both"/>
        <w:rPr>
          <w:i/>
          <w:iCs/>
          <w:sz w:val="10"/>
          <w:szCs w:val="10"/>
        </w:rPr>
      </w:pPr>
    </w:p>
    <w:p w14:paraId="0DA29BCA" w14:textId="77777777" w:rsidR="007C5658" w:rsidRPr="000F1718" w:rsidRDefault="007C5658" w:rsidP="007C5658">
      <w:pPr>
        <w:jc w:val="both"/>
        <w:rPr>
          <w:b/>
          <w:i/>
          <w:iCs/>
        </w:rPr>
      </w:pPr>
      <w:r w:rsidRPr="000F1718">
        <w:rPr>
          <w:b/>
          <w:i/>
          <w:iCs/>
        </w:rPr>
        <w:t>Durante la requisa, los policías se llevaron un Banner del MONAFMI, afiches del movimiento, del cuarto de mi hijo Maykel Salazar de una retratara sacó mi fotografía, pero cuando revisó mi computadora, vio la información de mi organización, videos de las marchas que hemos realizado, documentos a fin a la lucha y también a la lucha que estamos llevando en Nicaragua para la democratización de la cual también soy parte. Le dijo a mi esposa que la computadora, dos memorias USB y un teléfono celular se las iba a llevar como evidencia de que efectivamente yo era un golpista y terrorista, además se me llevó mi maletín donde estaba mi sello de Abogado y Notario Público y libretas personales.</w:t>
      </w:r>
    </w:p>
    <w:p w14:paraId="323F5A4B" w14:textId="77777777" w:rsidR="007C5658" w:rsidRPr="000F1718" w:rsidRDefault="007C5658" w:rsidP="007C5658">
      <w:pPr>
        <w:jc w:val="both"/>
        <w:rPr>
          <w:i/>
          <w:iCs/>
          <w:sz w:val="10"/>
          <w:szCs w:val="10"/>
        </w:rPr>
      </w:pPr>
    </w:p>
    <w:p w14:paraId="4377B4C8" w14:textId="77777777" w:rsidR="007C5658" w:rsidRPr="000F1718" w:rsidRDefault="007C5658" w:rsidP="007C5658">
      <w:pPr>
        <w:jc w:val="both"/>
        <w:rPr>
          <w:i/>
          <w:iCs/>
        </w:rPr>
      </w:pPr>
      <w:r w:rsidRPr="000F1718">
        <w:rPr>
          <w:i/>
          <w:iCs/>
        </w:rPr>
        <w:t xml:space="preserve">En las memorias USB tengo tres protocolos digitales de tres años anteriores y mi sello de profesión. Temo que sea utilizado para sellar en mi nombre documentos mal intencionados que me impliquen en la comisión de algún delito y que la Corte Suprema de Justicia me suspenda de mi profesión. Me preocupa y tengo el profundo temor de que en cualquier momento la policía o cualquier aficionado del partido de gobierno atente contra la libertad y la vida de mis hijos, mi esposa, hermanos y padres. A todos ellos los registraron de manera individual, también sus documentos de identificación, uno de ellos señalo el retrato de mi hijo Maykel Salazar Vega que estaba en la pared de la sala y le dijo al comisionado Domínguez ese es el hijo de él, ósea de mí y procedieron a tomarle fotos con sus teléfonos celulares. </w:t>
      </w:r>
    </w:p>
    <w:p w14:paraId="625F25B6" w14:textId="77777777" w:rsidR="007C5658" w:rsidRPr="000F1718" w:rsidRDefault="007C5658" w:rsidP="007C5658">
      <w:pPr>
        <w:jc w:val="both"/>
        <w:rPr>
          <w:i/>
          <w:iCs/>
          <w:sz w:val="10"/>
          <w:szCs w:val="10"/>
        </w:rPr>
      </w:pPr>
    </w:p>
    <w:p w14:paraId="773694C6" w14:textId="77777777" w:rsidR="007C5658" w:rsidRPr="000F1718" w:rsidRDefault="007C5658" w:rsidP="007C5658">
      <w:pPr>
        <w:jc w:val="both"/>
        <w:rPr>
          <w:b/>
          <w:i/>
          <w:iCs/>
        </w:rPr>
      </w:pPr>
      <w:r w:rsidRPr="000F1718">
        <w:rPr>
          <w:i/>
          <w:iCs/>
        </w:rPr>
        <w:t xml:space="preserve">Para proteger nuestras vidas, decidimos dejar nuestra casa. </w:t>
      </w:r>
      <w:r w:rsidRPr="000F1718">
        <w:rPr>
          <w:b/>
          <w:i/>
          <w:iCs/>
        </w:rPr>
        <w:t xml:space="preserve">Hoy, mi familia y yo nos resguardamos a cientos de kilómetros de nuestro domicilio, tenemos temor que nos vayan a encontrar y más cuando la información que tengo en mi teléfono celular, memorias y computadoras existe información de las actividades de nuestro movimiento y el trabajo que venimos haciendo desde la fundación de </w:t>
      </w:r>
      <w:bookmarkStart w:id="2" w:name="_Hlk27745978"/>
      <w:r w:rsidRPr="000F1718">
        <w:rPr>
          <w:b/>
          <w:i/>
          <w:iCs/>
        </w:rPr>
        <w:t>la Unidad Nacional Azul y Blanco (UNAB</w:t>
      </w:r>
      <w:bookmarkEnd w:id="2"/>
      <w:r w:rsidRPr="000F1718">
        <w:rPr>
          <w:b/>
          <w:i/>
          <w:iCs/>
        </w:rPr>
        <w:t>) de la cual soy parte y que el gobierno considera como terrorismo, el asedio no desiste, la policía nacional ha llegado en tres ocasiones frente a la casa de habitación, el día 31 de Diciembre del 2019 a eso de las 11:40 minutos de la noche, el día dos de Enero del 2020 en horas de la tarde y el día 11 de Enero nuevamente.</w:t>
      </w:r>
    </w:p>
    <w:p w14:paraId="03F67216" w14:textId="77777777" w:rsidR="007C5658" w:rsidRPr="000F1718" w:rsidRDefault="007C5658" w:rsidP="007C5658">
      <w:pPr>
        <w:jc w:val="both"/>
        <w:rPr>
          <w:i/>
          <w:iCs/>
          <w:sz w:val="10"/>
          <w:szCs w:val="10"/>
        </w:rPr>
      </w:pPr>
    </w:p>
    <w:p w14:paraId="208356BD" w14:textId="77777777" w:rsidR="007C5658" w:rsidRPr="000F1718" w:rsidRDefault="007C5658" w:rsidP="007C5658">
      <w:pPr>
        <w:jc w:val="both"/>
        <w:rPr>
          <w:i/>
          <w:iCs/>
        </w:rPr>
      </w:pPr>
      <w:r w:rsidRPr="000F1718">
        <w:rPr>
          <w:i/>
          <w:iCs/>
        </w:rPr>
        <w:t xml:space="preserve">Cabe destacar que el comisionado Fidel Domínguez se ha caracterizado por ser el jefe policial Junto al comisionado Ramon Avellán de reprimir salvajemente a los opositores. Domínguez, en la ciudad de León, a la familia de apellido Reyes, los amarró, torturó y obligó a repetir con él en videos que prometieran que nunca </w:t>
      </w:r>
      <w:r w:rsidR="006928A6" w:rsidRPr="000F1718">
        <w:rPr>
          <w:i/>
          <w:iCs/>
        </w:rPr>
        <w:t>más</w:t>
      </w:r>
      <w:r w:rsidRPr="000F1718">
        <w:rPr>
          <w:i/>
          <w:iCs/>
        </w:rPr>
        <w:t xml:space="preserve"> iban andar denunciando al gobierno y a sus militantes. Esta crueldad se divulgó en los medios de comunicación local. </w:t>
      </w:r>
    </w:p>
    <w:p w14:paraId="69A35298" w14:textId="77777777" w:rsidR="00EC3BAF" w:rsidRPr="000F1718" w:rsidRDefault="00EC3BAF" w:rsidP="007C5658">
      <w:pPr>
        <w:jc w:val="both"/>
        <w:rPr>
          <w:b/>
          <w:i/>
          <w:iCs/>
          <w:sz w:val="10"/>
          <w:szCs w:val="10"/>
        </w:rPr>
      </w:pPr>
    </w:p>
    <w:p w14:paraId="39A48B6D" w14:textId="77777777" w:rsidR="007C5658" w:rsidRPr="000F1718" w:rsidRDefault="007C5658" w:rsidP="007C5658">
      <w:pPr>
        <w:jc w:val="both"/>
        <w:rPr>
          <w:i/>
          <w:iCs/>
        </w:rPr>
      </w:pPr>
      <w:r w:rsidRPr="000F1718">
        <w:rPr>
          <w:b/>
          <w:i/>
          <w:iCs/>
        </w:rPr>
        <w:t>En conclusión</w:t>
      </w:r>
      <w:r w:rsidRPr="000F1718">
        <w:rPr>
          <w:rStyle w:val="FootnoteReference"/>
          <w:b/>
          <w:i/>
          <w:iCs/>
        </w:rPr>
        <w:footnoteReference w:id="9"/>
      </w:r>
      <w:r w:rsidRPr="000F1718">
        <w:rPr>
          <w:b/>
          <w:i/>
          <w:iCs/>
        </w:rPr>
        <w:t>, como defensor de derechos humanos en mi comunidad y ahora en diferentes partes del territorio nacional, como secretario nacional MONAFMI y miembro de la Unidad Nacional Azul y Blanco (UNAB) mi familia y yo nos sentimos en grave riesgo</w:t>
      </w:r>
      <w:r w:rsidRPr="000F1718">
        <w:rPr>
          <w:i/>
          <w:iCs/>
        </w:rPr>
        <w:t xml:space="preserve">, ya sea de sufrir un atentado o de una prisión arbitraria. Es de todos conocidos como está actuando el gobierno en contra de sus detractores y más con los líderes y yo soy uno de ellos. </w:t>
      </w:r>
    </w:p>
    <w:p w14:paraId="7885B840" w14:textId="77777777" w:rsidR="00A13269" w:rsidRDefault="00A13269" w:rsidP="007C5658">
      <w:pPr>
        <w:jc w:val="both"/>
      </w:pPr>
    </w:p>
    <w:p w14:paraId="3CFA5F6B" w14:textId="77777777" w:rsidR="00EC3BAF" w:rsidRDefault="00EC3BAF" w:rsidP="007C5658">
      <w:pPr>
        <w:jc w:val="both"/>
        <w:rPr>
          <w:b/>
          <w:bCs/>
          <w:sz w:val="28"/>
          <w:szCs w:val="28"/>
        </w:rPr>
      </w:pPr>
    </w:p>
    <w:p w14:paraId="06F40ABB" w14:textId="77777777" w:rsidR="004A6172" w:rsidRDefault="004A6172" w:rsidP="007C5658">
      <w:pPr>
        <w:jc w:val="both"/>
        <w:rPr>
          <w:b/>
          <w:bCs/>
          <w:sz w:val="28"/>
          <w:szCs w:val="28"/>
        </w:rPr>
      </w:pPr>
    </w:p>
    <w:p w14:paraId="6C2B6290" w14:textId="0E950BD8" w:rsidR="00A13269" w:rsidRDefault="00A13269" w:rsidP="007C5658">
      <w:pPr>
        <w:jc w:val="both"/>
        <w:rPr>
          <w:b/>
          <w:bCs/>
          <w:sz w:val="28"/>
          <w:szCs w:val="28"/>
        </w:rPr>
      </w:pPr>
      <w:r>
        <w:rPr>
          <w:b/>
          <w:bCs/>
          <w:sz w:val="28"/>
          <w:szCs w:val="28"/>
        </w:rPr>
        <w:lastRenderedPageBreak/>
        <w:t>Conclusiones:</w:t>
      </w:r>
    </w:p>
    <w:p w14:paraId="57710E38" w14:textId="77777777" w:rsidR="00A13269" w:rsidRPr="000F1718" w:rsidRDefault="00A13269" w:rsidP="007C5658">
      <w:pPr>
        <w:jc w:val="both"/>
        <w:rPr>
          <w:b/>
          <w:bCs/>
        </w:rPr>
      </w:pPr>
    </w:p>
    <w:p w14:paraId="273B675E" w14:textId="77777777" w:rsidR="00A13269" w:rsidRDefault="00A13269" w:rsidP="00A13269">
      <w:pPr>
        <w:jc w:val="both"/>
      </w:pPr>
      <w:r>
        <w:t xml:space="preserve">Sobre la base de lo previamente descrito, concluimos que:  </w:t>
      </w:r>
    </w:p>
    <w:p w14:paraId="2CF93FA4" w14:textId="77777777" w:rsidR="00A13269" w:rsidRPr="003D47A5" w:rsidRDefault="00A13269" w:rsidP="00A13269">
      <w:pPr>
        <w:jc w:val="both"/>
        <w:rPr>
          <w:sz w:val="10"/>
          <w:szCs w:val="10"/>
        </w:rPr>
      </w:pPr>
    </w:p>
    <w:p w14:paraId="710B3CC9" w14:textId="77777777" w:rsidR="00A13269" w:rsidRDefault="00A13269" w:rsidP="00A13269">
      <w:pPr>
        <w:pStyle w:val="ListParagraph"/>
        <w:numPr>
          <w:ilvl w:val="0"/>
          <w:numId w:val="20"/>
        </w:numPr>
        <w:jc w:val="both"/>
      </w:pPr>
      <w:r>
        <w:t>La expansión de proyectos extractivos en Nicaragua ha generado graves conflictos sociales, sobre todo debido a la falta de transparencia y acceso a información sobre los procesos de concesión, y la continua represión a las defensoras y defensores de derechos humanos que se oponen a los mismos.</w:t>
      </w:r>
    </w:p>
    <w:p w14:paraId="5727CC6D" w14:textId="77777777" w:rsidR="00A13269" w:rsidRPr="003D47A5" w:rsidRDefault="00A13269" w:rsidP="00A13269">
      <w:pPr>
        <w:jc w:val="both"/>
        <w:rPr>
          <w:sz w:val="10"/>
          <w:szCs w:val="10"/>
        </w:rPr>
      </w:pPr>
    </w:p>
    <w:p w14:paraId="2CDA5089" w14:textId="77777777" w:rsidR="00A13269" w:rsidRDefault="00A13269" w:rsidP="00A13269">
      <w:pPr>
        <w:pStyle w:val="ListParagraph"/>
        <w:numPr>
          <w:ilvl w:val="0"/>
          <w:numId w:val="20"/>
        </w:numPr>
        <w:jc w:val="both"/>
      </w:pPr>
      <w:r>
        <w:t>Las autoridades nicaragüenses han criminalizado la protesta social, privilegiando el uso de la fuerza, debilitando los procesos de consulta, el diálogo y la negociación con las comunidades afectadas por los proyectos extractivos.</w:t>
      </w:r>
    </w:p>
    <w:p w14:paraId="4E505091" w14:textId="77777777" w:rsidR="00A13269" w:rsidRDefault="00A13269" w:rsidP="007C5658">
      <w:pPr>
        <w:jc w:val="both"/>
        <w:rPr>
          <w:b/>
          <w:bCs/>
          <w:sz w:val="28"/>
          <w:szCs w:val="28"/>
        </w:rPr>
      </w:pPr>
    </w:p>
    <w:p w14:paraId="19B22FF6" w14:textId="77777777" w:rsidR="004A6172" w:rsidRDefault="004A6172" w:rsidP="007C5658">
      <w:pPr>
        <w:jc w:val="both"/>
        <w:rPr>
          <w:b/>
          <w:bCs/>
          <w:sz w:val="28"/>
          <w:szCs w:val="28"/>
        </w:rPr>
      </w:pPr>
    </w:p>
    <w:p w14:paraId="7A2F9860" w14:textId="5B4C5052" w:rsidR="00453BE2" w:rsidRPr="000F1718" w:rsidRDefault="00453BE2" w:rsidP="007C5658">
      <w:pPr>
        <w:jc w:val="both"/>
        <w:rPr>
          <w:sz w:val="28"/>
          <w:szCs w:val="28"/>
        </w:rPr>
      </w:pPr>
      <w:r w:rsidRPr="000F1718">
        <w:rPr>
          <w:b/>
          <w:bCs/>
          <w:sz w:val="28"/>
          <w:szCs w:val="28"/>
        </w:rPr>
        <w:t>Recomendaciones relativas a la 4ª cuestión:</w:t>
      </w:r>
    </w:p>
    <w:p w14:paraId="0EF58294" w14:textId="77777777" w:rsidR="00453BE2" w:rsidRDefault="00453BE2" w:rsidP="007C5658">
      <w:pPr>
        <w:jc w:val="both"/>
      </w:pPr>
    </w:p>
    <w:p w14:paraId="7B9F2A39" w14:textId="77777777" w:rsidR="00A13269" w:rsidRDefault="00453BE2" w:rsidP="007C5658">
      <w:pPr>
        <w:jc w:val="both"/>
      </w:pPr>
      <w:r>
        <w:t>Con sustento en lo expuesto, instamos al Comité a</w:t>
      </w:r>
      <w:r w:rsidR="00A13269">
        <w:t>:</w:t>
      </w:r>
      <w:r>
        <w:t xml:space="preserve"> </w:t>
      </w:r>
    </w:p>
    <w:p w14:paraId="2423D155" w14:textId="77777777" w:rsidR="00A13269" w:rsidRDefault="00A13269" w:rsidP="007C5658">
      <w:pPr>
        <w:jc w:val="both"/>
      </w:pPr>
    </w:p>
    <w:p w14:paraId="0D2270D7" w14:textId="714BBB28" w:rsidR="00453BE2" w:rsidRDefault="00A13269" w:rsidP="00A13269">
      <w:pPr>
        <w:pStyle w:val="ListParagraph"/>
        <w:numPr>
          <w:ilvl w:val="0"/>
          <w:numId w:val="24"/>
        </w:numPr>
        <w:jc w:val="both"/>
        <w:rPr>
          <w:b/>
          <w:bCs/>
        </w:rPr>
      </w:pPr>
      <w:r w:rsidRPr="000F1718">
        <w:rPr>
          <w:b/>
          <w:bCs/>
        </w:rPr>
        <w:t>E</w:t>
      </w:r>
      <w:r w:rsidR="00453BE2" w:rsidRPr="000F1718">
        <w:rPr>
          <w:b/>
          <w:bCs/>
        </w:rPr>
        <w:t>xpresar su</w:t>
      </w:r>
      <w:r w:rsidR="00A802BA">
        <w:rPr>
          <w:b/>
          <w:bCs/>
        </w:rPr>
        <w:t xml:space="preserve"> </w:t>
      </w:r>
      <w:r w:rsidR="00453BE2" w:rsidRPr="000F1718">
        <w:rPr>
          <w:b/>
          <w:bCs/>
        </w:rPr>
        <w:t xml:space="preserve">preocupación </w:t>
      </w:r>
      <w:r w:rsidR="00A802BA">
        <w:rPr>
          <w:b/>
          <w:bCs/>
        </w:rPr>
        <w:t>frente a los actos de violencia, amenazas</w:t>
      </w:r>
      <w:r w:rsidR="007C783B">
        <w:rPr>
          <w:b/>
          <w:bCs/>
        </w:rPr>
        <w:t>, criminalización</w:t>
      </w:r>
      <w:r w:rsidR="00A802BA">
        <w:rPr>
          <w:b/>
          <w:bCs/>
        </w:rPr>
        <w:t xml:space="preserve"> y otras formas de represalias que han enfrentado las y los defensores de los derechos económicos, sociales, culturales y ambientales durante los últimos años en Nicaragua, notando que se ha establecido una tendencia a la confrontación violenta, el uso de la fuerza y la criminalización de quienes se expresan en contra de </w:t>
      </w:r>
      <w:r w:rsidR="00FE4EFA">
        <w:rPr>
          <w:b/>
          <w:bCs/>
        </w:rPr>
        <w:t xml:space="preserve">los </w:t>
      </w:r>
      <w:r w:rsidR="007C783B">
        <w:rPr>
          <w:b/>
          <w:bCs/>
        </w:rPr>
        <w:t xml:space="preserve">impactos sociales y ambientales de los </w:t>
      </w:r>
      <w:r w:rsidR="00FE4EFA">
        <w:rPr>
          <w:b/>
          <w:bCs/>
        </w:rPr>
        <w:t xml:space="preserve">proyectos </w:t>
      </w:r>
      <w:r w:rsidR="00EC6763">
        <w:rPr>
          <w:b/>
          <w:bCs/>
        </w:rPr>
        <w:t>extractivos</w:t>
      </w:r>
      <w:r w:rsidR="00A802BA" w:rsidRPr="00B73978">
        <w:rPr>
          <w:b/>
          <w:bCs/>
        </w:rPr>
        <w:t xml:space="preserve"> en particular</w:t>
      </w:r>
      <w:r w:rsidR="00B73978" w:rsidRPr="00B73978">
        <w:rPr>
          <w:b/>
          <w:bCs/>
        </w:rPr>
        <w:t xml:space="preserve">, incluso en </w:t>
      </w:r>
      <w:r w:rsidR="00B73978" w:rsidRPr="000F1718">
        <w:rPr>
          <w:b/>
          <w:bCs/>
          <w:lang w:val="es-CO"/>
        </w:rPr>
        <w:t>las zonas en proceso de exploración y explotación minera como Santa Cruz de la India</w:t>
      </w:r>
      <w:r w:rsidR="00A802BA" w:rsidRPr="00B73978">
        <w:rPr>
          <w:b/>
          <w:bCs/>
        </w:rPr>
        <w:t>.</w:t>
      </w:r>
    </w:p>
    <w:p w14:paraId="7D4F9C1A" w14:textId="77777777" w:rsidR="00406110" w:rsidRPr="000F1718" w:rsidRDefault="00406110" w:rsidP="000F1718">
      <w:pPr>
        <w:pStyle w:val="ListParagraph"/>
        <w:ind w:left="720"/>
        <w:jc w:val="both"/>
        <w:rPr>
          <w:b/>
          <w:bCs/>
        </w:rPr>
      </w:pPr>
    </w:p>
    <w:p w14:paraId="1111999F" w14:textId="24A71E4A" w:rsidR="008427C1" w:rsidRPr="00BE752D" w:rsidRDefault="00A13269" w:rsidP="001B2D92">
      <w:pPr>
        <w:pStyle w:val="ListParagraph"/>
        <w:numPr>
          <w:ilvl w:val="0"/>
          <w:numId w:val="24"/>
        </w:numPr>
        <w:jc w:val="both"/>
        <w:rPr>
          <w:sz w:val="28"/>
          <w:szCs w:val="28"/>
        </w:rPr>
      </w:pPr>
      <w:r w:rsidRPr="004A6172">
        <w:rPr>
          <w:b/>
          <w:bCs/>
        </w:rPr>
        <w:t>Recomendar al Estado Nicaragüense qu</w:t>
      </w:r>
      <w:r w:rsidR="00A802BA" w:rsidRPr="004A6172">
        <w:rPr>
          <w:b/>
          <w:bCs/>
        </w:rPr>
        <w:t>e</w:t>
      </w:r>
      <w:r w:rsidR="005A3E12" w:rsidRPr="004A6172">
        <w:rPr>
          <w:b/>
          <w:bCs/>
        </w:rPr>
        <w:t>:</w:t>
      </w:r>
      <w:r w:rsidR="00BE752D" w:rsidRPr="004A6172">
        <w:rPr>
          <w:b/>
          <w:bCs/>
        </w:rPr>
        <w:t xml:space="preserve"> </w:t>
      </w:r>
      <w:r w:rsidR="005A3E12" w:rsidRPr="004A6172">
        <w:rPr>
          <w:b/>
          <w:bCs/>
        </w:rPr>
        <w:t>A</w:t>
      </w:r>
      <w:r w:rsidR="00A802BA" w:rsidRPr="004A6172">
        <w:rPr>
          <w:b/>
          <w:bCs/>
        </w:rPr>
        <w:t>dopte una política integral de protección de las y los defensores de derechos humanos y ambientales</w:t>
      </w:r>
      <w:r w:rsidR="00EC6763">
        <w:rPr>
          <w:b/>
          <w:bCs/>
        </w:rPr>
        <w:t>,</w:t>
      </w:r>
      <w:r w:rsidR="00A802BA" w:rsidRPr="004A6172">
        <w:rPr>
          <w:b/>
          <w:bCs/>
        </w:rPr>
        <w:t xml:space="preserve"> que combata la impunidad en dichos casos mediante la investigación de las amenazas, actos de acoso, intimidación y violencia, y que sancione </w:t>
      </w:r>
      <w:r w:rsidR="00FE4EFA" w:rsidRPr="004A6172">
        <w:rPr>
          <w:b/>
          <w:bCs/>
        </w:rPr>
        <w:t xml:space="preserve">a los autores de dichos actos; que </w:t>
      </w:r>
      <w:r w:rsidRPr="004A6172">
        <w:rPr>
          <w:b/>
          <w:bCs/>
        </w:rPr>
        <w:t xml:space="preserve">se abstenga de intimidar, hostigar y criminalizar a los defensores </w:t>
      </w:r>
      <w:r w:rsidR="00FE4EFA" w:rsidRPr="004A6172">
        <w:rPr>
          <w:b/>
          <w:bCs/>
        </w:rPr>
        <w:t xml:space="preserve">de derechos humanos y </w:t>
      </w:r>
      <w:r w:rsidRPr="004A6172">
        <w:rPr>
          <w:b/>
          <w:bCs/>
        </w:rPr>
        <w:t xml:space="preserve">ambientales; y </w:t>
      </w:r>
      <w:r w:rsidRPr="001B2D92">
        <w:rPr>
          <w:b/>
          <w:bCs/>
        </w:rPr>
        <w:t>que genere un marco normativo nacional sobre la protección de defensores ambientales que incorpore los estándares</w:t>
      </w:r>
      <w:r w:rsidR="00373BAD" w:rsidRPr="001B2D92">
        <w:rPr>
          <w:b/>
          <w:bCs/>
        </w:rPr>
        <w:t xml:space="preserve"> de</w:t>
      </w:r>
      <w:r w:rsidR="00E35351">
        <w:rPr>
          <w:b/>
          <w:bCs/>
        </w:rPr>
        <w:t>l</w:t>
      </w:r>
      <w:r w:rsidR="00373BAD" w:rsidRPr="001B2D92">
        <w:rPr>
          <w:b/>
          <w:bCs/>
        </w:rPr>
        <w:t xml:space="preserve"> derecho internacional, </w:t>
      </w:r>
      <w:r w:rsidR="00E35351">
        <w:rPr>
          <w:b/>
          <w:bCs/>
        </w:rPr>
        <w:t>d</w:t>
      </w:r>
      <w:r w:rsidR="00373BAD" w:rsidRPr="001B2D92">
        <w:rPr>
          <w:b/>
          <w:bCs/>
        </w:rPr>
        <w:t>el sistema</w:t>
      </w:r>
      <w:r w:rsidRPr="001B2D92">
        <w:rPr>
          <w:b/>
          <w:bCs/>
        </w:rPr>
        <w:t xml:space="preserve"> interamericano</w:t>
      </w:r>
      <w:r w:rsidR="00373BAD" w:rsidRPr="001B2D92">
        <w:rPr>
          <w:b/>
          <w:bCs/>
        </w:rPr>
        <w:t xml:space="preserve"> de derechos humanos</w:t>
      </w:r>
      <w:r w:rsidRPr="001B2D92">
        <w:rPr>
          <w:b/>
          <w:bCs/>
        </w:rPr>
        <w:t xml:space="preserve"> y </w:t>
      </w:r>
      <w:r w:rsidR="00373BAD" w:rsidRPr="001B2D92">
        <w:rPr>
          <w:b/>
          <w:bCs/>
        </w:rPr>
        <w:t>d</w:t>
      </w:r>
      <w:r w:rsidRPr="001B2D92">
        <w:rPr>
          <w:b/>
          <w:bCs/>
        </w:rPr>
        <w:t xml:space="preserve">el </w:t>
      </w:r>
      <w:r w:rsidR="00BB36D8" w:rsidRPr="001B2D92">
        <w:rPr>
          <w:b/>
          <w:bCs/>
        </w:rPr>
        <w:t>A</w:t>
      </w:r>
      <w:r w:rsidRPr="001B2D92">
        <w:rPr>
          <w:b/>
          <w:bCs/>
        </w:rPr>
        <w:t xml:space="preserve">cuerdo </w:t>
      </w:r>
      <w:r w:rsidR="00BB36D8" w:rsidRPr="001B2D92">
        <w:rPr>
          <w:b/>
          <w:bCs/>
        </w:rPr>
        <w:t>R</w:t>
      </w:r>
      <w:r w:rsidRPr="001B2D92">
        <w:rPr>
          <w:b/>
          <w:bCs/>
        </w:rPr>
        <w:t xml:space="preserve">egional </w:t>
      </w:r>
      <w:r w:rsidR="00373BAD" w:rsidRPr="001B2D92">
        <w:rPr>
          <w:b/>
          <w:bCs/>
        </w:rPr>
        <w:t xml:space="preserve">sobre </w:t>
      </w:r>
      <w:r w:rsidR="009E25C6" w:rsidRPr="001B2D92">
        <w:rPr>
          <w:b/>
          <w:bCs/>
        </w:rPr>
        <w:t>el</w:t>
      </w:r>
      <w:r w:rsidRPr="001B2D92">
        <w:rPr>
          <w:b/>
          <w:bCs/>
        </w:rPr>
        <w:t xml:space="preserve"> </w:t>
      </w:r>
      <w:r w:rsidR="00BB36D8" w:rsidRPr="001B2D92">
        <w:rPr>
          <w:b/>
          <w:bCs/>
        </w:rPr>
        <w:t>A</w:t>
      </w:r>
      <w:r w:rsidRPr="001B2D92">
        <w:rPr>
          <w:b/>
          <w:bCs/>
        </w:rPr>
        <w:t xml:space="preserve">cceso a la </w:t>
      </w:r>
      <w:r w:rsidR="00BB36D8" w:rsidRPr="001B2D92">
        <w:rPr>
          <w:b/>
          <w:bCs/>
        </w:rPr>
        <w:t>I</w:t>
      </w:r>
      <w:r w:rsidRPr="001B2D92">
        <w:rPr>
          <w:b/>
          <w:bCs/>
        </w:rPr>
        <w:t xml:space="preserve">nformación, </w:t>
      </w:r>
      <w:r w:rsidR="00BB36D8" w:rsidRPr="001B2D92">
        <w:rPr>
          <w:b/>
          <w:bCs/>
        </w:rPr>
        <w:t>la P</w:t>
      </w:r>
      <w:r w:rsidRPr="001B2D92">
        <w:rPr>
          <w:b/>
          <w:bCs/>
        </w:rPr>
        <w:t xml:space="preserve">articipación </w:t>
      </w:r>
      <w:r w:rsidR="00BB36D8" w:rsidRPr="001B2D92">
        <w:rPr>
          <w:b/>
          <w:bCs/>
        </w:rPr>
        <w:t>P</w:t>
      </w:r>
      <w:r w:rsidR="009E25C6" w:rsidRPr="001B2D92">
        <w:rPr>
          <w:b/>
          <w:bCs/>
        </w:rPr>
        <w:t>ública</w:t>
      </w:r>
      <w:r w:rsidRPr="001B2D92">
        <w:rPr>
          <w:b/>
          <w:bCs/>
        </w:rPr>
        <w:t xml:space="preserve"> y </w:t>
      </w:r>
      <w:r w:rsidR="00BB36D8" w:rsidRPr="001B2D92">
        <w:rPr>
          <w:b/>
          <w:bCs/>
        </w:rPr>
        <w:t>el Acceso a la J</w:t>
      </w:r>
      <w:r w:rsidRPr="001B2D92">
        <w:rPr>
          <w:b/>
          <w:bCs/>
        </w:rPr>
        <w:t xml:space="preserve">usticia </w:t>
      </w:r>
      <w:r w:rsidR="00BB36D8" w:rsidRPr="001B2D92">
        <w:rPr>
          <w:b/>
          <w:bCs/>
        </w:rPr>
        <w:t xml:space="preserve"> en Asuntos Ambientales en América Latina y el Caribe</w:t>
      </w:r>
      <w:r w:rsidRPr="001B2D92">
        <w:rPr>
          <w:b/>
          <w:bCs/>
        </w:rPr>
        <w:t>.</w:t>
      </w:r>
    </w:p>
    <w:p w14:paraId="6B3F2B5F" w14:textId="77777777" w:rsidR="008427C1" w:rsidRPr="000F1718" w:rsidRDefault="008427C1" w:rsidP="008427C1">
      <w:pPr>
        <w:rPr>
          <w:b/>
          <w:bCs/>
        </w:rPr>
      </w:pPr>
    </w:p>
    <w:p w14:paraId="716FC7B5" w14:textId="77777777" w:rsidR="008427C1" w:rsidRPr="000F1718" w:rsidRDefault="008427C1" w:rsidP="008427C1">
      <w:pPr>
        <w:rPr>
          <w:b/>
          <w:bCs/>
        </w:rPr>
      </w:pPr>
    </w:p>
    <w:p w14:paraId="684D4FAE" w14:textId="77777777" w:rsidR="00DF7D0F" w:rsidRDefault="00DF7D0F">
      <w:pPr>
        <w:rPr>
          <w:b/>
          <w:bCs/>
          <w:sz w:val="28"/>
          <w:szCs w:val="28"/>
          <w:u w:val="single"/>
        </w:rPr>
      </w:pPr>
      <w:r>
        <w:rPr>
          <w:b/>
          <w:bCs/>
          <w:sz w:val="28"/>
          <w:szCs w:val="28"/>
          <w:u w:val="single"/>
        </w:rPr>
        <w:br w:type="page"/>
      </w:r>
    </w:p>
    <w:p w14:paraId="78F6B9D2" w14:textId="77777777" w:rsidR="0075760F" w:rsidRPr="00B5200B" w:rsidRDefault="0075760F" w:rsidP="000F1718">
      <w:pPr>
        <w:jc w:val="center"/>
        <w:rPr>
          <w:b/>
          <w:bCs/>
          <w:sz w:val="28"/>
          <w:szCs w:val="28"/>
        </w:rPr>
      </w:pPr>
      <w:r w:rsidRPr="000F1718">
        <w:rPr>
          <w:b/>
          <w:bCs/>
          <w:sz w:val="28"/>
          <w:szCs w:val="28"/>
          <w:u w:val="single"/>
        </w:rPr>
        <w:t>Tema 2: Información relevante a la 24ª cuestión, relativa a Art. 11 del Pacto</w:t>
      </w:r>
    </w:p>
    <w:p w14:paraId="55510959" w14:textId="77777777" w:rsidR="00E55BAC" w:rsidRPr="000F1718" w:rsidRDefault="00E55BAC" w:rsidP="000F1718"/>
    <w:p w14:paraId="20E06F07" w14:textId="77777777" w:rsidR="00E55BAC" w:rsidRPr="000F1718" w:rsidRDefault="00E55BAC" w:rsidP="000F1718">
      <w:pPr>
        <w:ind w:left="708" w:right="693"/>
        <w:jc w:val="both"/>
        <w:rPr>
          <w:b/>
          <w:bCs/>
          <w:i/>
          <w:iCs/>
        </w:rPr>
      </w:pPr>
      <w:r w:rsidRPr="000F1718">
        <w:rPr>
          <w:b/>
          <w:bCs/>
          <w:i/>
          <w:iCs/>
        </w:rPr>
        <w:t>Sírvanse proporcionar información sobre las medidas concretas que ha adoptado el Estado parte para contrarrestar los efectos negativos en el medio ambiente y en el derecho al agua ocasionados por el desarrollo de proyectos de explotación de recursos naturales.</w:t>
      </w:r>
    </w:p>
    <w:p w14:paraId="51D81D63" w14:textId="77777777" w:rsidR="00F65444" w:rsidRPr="000F1718" w:rsidRDefault="00F65444" w:rsidP="00E55BAC">
      <w:pPr>
        <w:jc w:val="both"/>
      </w:pPr>
    </w:p>
    <w:p w14:paraId="6AEC34D5" w14:textId="281543DB" w:rsidR="00756F02" w:rsidRPr="006928A6" w:rsidRDefault="00756F02" w:rsidP="00756F02">
      <w:pPr>
        <w:spacing w:after="120" w:line="259" w:lineRule="auto"/>
        <w:jc w:val="both"/>
      </w:pPr>
      <w:r w:rsidRPr="006928A6">
        <w:t>El “Programa de Desarrollo Minero del Plan Nacional de Desarrollo Humano” cita a la minería como una de las actividades económicas que más impacto tiene en la economía del país, omitiendo, sin embargo, los efectos negativos que tiene para el medio ambiente y las personas. Es así como, bajo el argumento de los beneficios de la minería, para el año 2017 el cuarenta y nueve punto ochenta y cuatro por ciento (49.84%) del territorio nacional se encontraba disponible para la explotación minera a cielo abierto, de los cuales el veinticinco por ciento (25%) se encuentran directamente en áreas naturales protegidas y sus zonas de amortiguamiento</w:t>
      </w:r>
      <w:r w:rsidR="006129CC">
        <w:t>.</w:t>
      </w:r>
      <w:r w:rsidRPr="006928A6">
        <w:t xml:space="preserve"> Lo anterior viola la legislación ambiental, la cual expresa claramente que actividades como la minería metálica, por sus altos impactos ambientales, no pueden desarrollarse en zonas de fragilidad ambiental.</w:t>
      </w:r>
    </w:p>
    <w:p w14:paraId="02B3AF5E" w14:textId="0A1D8001" w:rsidR="00756F02" w:rsidRPr="006928A6" w:rsidRDefault="00756F02" w:rsidP="00756F02">
      <w:pPr>
        <w:spacing w:after="120" w:line="259" w:lineRule="auto"/>
        <w:jc w:val="both"/>
      </w:pPr>
      <w:r w:rsidRPr="006928A6">
        <w:t>La Ley Especial sobre Exploración y Explotación de Minas señala explícitamente en su artículo 17, párrafo segundo, que la protección de los recursos naturales es objeto de seguridad nacional, así como de la más elevada responsabilidad y prioridad del Estado. Es por ello que se establece que para cada área protegida habrá una zona de amortiguamiento colindante o circundante, obligación que no viene siendo respetada en Nicaragua.</w:t>
      </w:r>
    </w:p>
    <w:p w14:paraId="425B507C" w14:textId="77777777" w:rsidR="00756F02" w:rsidRPr="006928A6" w:rsidRDefault="00756F02" w:rsidP="00756F02">
      <w:pPr>
        <w:spacing w:after="120" w:line="259" w:lineRule="auto"/>
        <w:jc w:val="both"/>
      </w:pPr>
      <w:r w:rsidRPr="006928A6">
        <w:t xml:space="preserve">El 2017 </w:t>
      </w:r>
      <w:r w:rsidR="006928A6" w:rsidRPr="006928A6">
        <w:t>fue</w:t>
      </w:r>
      <w:r w:rsidRPr="006928A6">
        <w:t xml:space="preserve"> un año crítico en términos del debilitamiento de nuestros estándares ambientales, principalmente por dos acontecimientos importantes. Primeramente, el 26 de junio de 2017 fue aprobada la Ley 953, Ley Creadora de la Empresa Nicaragüense de Minas (ENIMINAS). Esta empresa se encuentra bajo la rectoría sectorial del Ministerio de Energía y Minas, y tiene la facultad de fiscalizar el sector minero y licitar concesiones en dicho ámbito. Cabe mencionar que hasta la fecha la Ley 953 no ha sido reglamentada.</w:t>
      </w:r>
    </w:p>
    <w:p w14:paraId="442B8CC0" w14:textId="77777777" w:rsidR="00756F02" w:rsidRPr="006928A6" w:rsidRDefault="00756F02" w:rsidP="00756F02">
      <w:pPr>
        <w:spacing w:after="120" w:line="259" w:lineRule="auto"/>
        <w:jc w:val="both"/>
      </w:pPr>
      <w:r w:rsidRPr="006928A6">
        <w:t xml:space="preserve">En segundo lugar, subrayamos la derogación en dos ocasiones del Decreto 76-2006, Sistema de Evaluación Ambiental. La primera vez fue derogada el 28 de agosto 2017, a través del Decreto 15-2017, Actualización del Sistema de Evaluación Ambiental de Permisos y Autorizaciones para el Uso Sostenible de los Recursos Naturales. Dicho Decreto contaba únicamente con once artículos, dentro de los cuales se establecía el objeto, ámbito de aplicación, las facultades que se le otorgaban al </w:t>
      </w:r>
      <w:r w:rsidR="00F66EAC" w:rsidRPr="006928A6">
        <w:t>ministro</w:t>
      </w:r>
      <w:r w:rsidRPr="006928A6">
        <w:t xml:space="preserve"> del Ambiente y los Recursos Naturales, de la desconcentración y centralización, la creación de Comisiones Interinstitucionales para la Evaluación Ambiental, las actividades, obras y proyectos de emergencia nacional. Es decir que por medio de este Decreto no se trataba solo de un debilitamiento del Sistema de Evaluación Ambiental, sino que eliminó todas las categorías para la Evaluación Ambiental y que podía suponer la derogación de más de once normas administrativas nacionales y que se iban a reformas algunas de las leyes nacionales. </w:t>
      </w:r>
    </w:p>
    <w:p w14:paraId="55C37B37" w14:textId="77777777" w:rsidR="00756F02" w:rsidRPr="006928A6" w:rsidRDefault="00756F02" w:rsidP="00756F02">
      <w:pPr>
        <w:spacing w:after="120" w:line="259" w:lineRule="auto"/>
        <w:jc w:val="both"/>
      </w:pPr>
      <w:r w:rsidRPr="006928A6">
        <w:t xml:space="preserve">Tres meses después, el 29 de noviembre de 2017 se publicó en La Gaceta Nro. 228 el Decreto 20-2017, Sistema de Evaluación Ambiental de Permisos y Autorizaciones para el Uso Sostenible de los Recursos Naturales. Este último vino a derogar por segunda ocasión el Sistema de Evaluación Ambiental. Los tres puntos más importantes que trajo consigo la entrada en vigencia del nuevo Decreto 20-2017 son: </w:t>
      </w:r>
    </w:p>
    <w:p w14:paraId="475AC22C" w14:textId="77777777" w:rsidR="00756F02" w:rsidRPr="006928A6" w:rsidRDefault="00756F02" w:rsidP="00756F02">
      <w:pPr>
        <w:pStyle w:val="ListParagraph"/>
        <w:numPr>
          <w:ilvl w:val="0"/>
          <w:numId w:val="18"/>
        </w:numPr>
        <w:spacing w:after="120" w:line="259" w:lineRule="auto"/>
        <w:contextualSpacing/>
        <w:jc w:val="both"/>
      </w:pPr>
      <w:r w:rsidRPr="006928A6">
        <w:t>Creación de dos nuevas Categorías (IV y V) y la subdivisión de la Categoría III (IIIA y IIIB), lo cual trajo consigo que algunos proyectos fueran bajados de categoría y otros se eliminaron por completo.</w:t>
      </w:r>
    </w:p>
    <w:p w14:paraId="7FD7FFFA" w14:textId="77777777" w:rsidR="00756F02" w:rsidRPr="006928A6" w:rsidRDefault="00756F02" w:rsidP="00756F02">
      <w:pPr>
        <w:pStyle w:val="ListParagraph"/>
        <w:numPr>
          <w:ilvl w:val="0"/>
          <w:numId w:val="18"/>
        </w:numPr>
        <w:spacing w:after="120" w:line="259" w:lineRule="auto"/>
        <w:contextualSpacing/>
        <w:jc w:val="both"/>
      </w:pPr>
      <w:r w:rsidRPr="006928A6">
        <w:t>La Consulta Pública no es tomada con la fuerza jurídica que debería tener y es exigida solo para los proyectos de Categoría II, obviándose el proceso de consulta para todos aquellos proyectos que están enmarcados dentro de la Categoría I, siendo estos clasificados como Proyectos Especiales porque pueden causar Alto Impacto Ambiental.</w:t>
      </w:r>
    </w:p>
    <w:p w14:paraId="1C840C8A" w14:textId="77777777" w:rsidR="00756F02" w:rsidRPr="006928A6" w:rsidRDefault="00756F02" w:rsidP="00756F02">
      <w:pPr>
        <w:pStyle w:val="ListParagraph"/>
        <w:numPr>
          <w:ilvl w:val="0"/>
          <w:numId w:val="18"/>
        </w:numPr>
        <w:spacing w:after="120" w:line="259" w:lineRule="auto"/>
        <w:contextualSpacing/>
        <w:jc w:val="both"/>
      </w:pPr>
      <w:r w:rsidRPr="006928A6">
        <w:t>La derogación explícita de diez resoluciones administrativas, quedando abierta la posibilidad de derogación de todas aquellas disposiciones que se le opusieran al mencionado Decreto.</w:t>
      </w:r>
    </w:p>
    <w:p w14:paraId="10E1C135" w14:textId="77777777" w:rsidR="00756F02" w:rsidRPr="006928A6" w:rsidRDefault="00756F02" w:rsidP="00756F02">
      <w:pPr>
        <w:pStyle w:val="Heading1"/>
        <w:numPr>
          <w:ilvl w:val="0"/>
          <w:numId w:val="0"/>
        </w:numPr>
        <w:rPr>
          <w:rFonts w:eastAsia="Times New Roman"/>
          <w:b w:val="0"/>
          <w:i w:val="0"/>
          <w:color w:val="auto"/>
          <w:szCs w:val="24"/>
          <w:lang w:val="es-ES"/>
        </w:rPr>
      </w:pPr>
      <w:r w:rsidRPr="006928A6">
        <w:rPr>
          <w:rFonts w:eastAsia="Times New Roman"/>
          <w:b w:val="0"/>
          <w:i w:val="0"/>
          <w:color w:val="auto"/>
          <w:szCs w:val="24"/>
          <w:lang w:val="es-ES"/>
        </w:rPr>
        <w:t>Todo lo anteriormente mencionado ha venido a debilitar el marco legal para el sector minero. Estos cambios han intensificado la criminalización y la militarización de las zonas en vías de exploración minera, tal como se explica a continuación</w:t>
      </w:r>
      <w:r w:rsidR="00E72BD4" w:rsidRPr="006928A6">
        <w:rPr>
          <w:rFonts w:eastAsia="Times New Roman"/>
          <w:b w:val="0"/>
          <w:i w:val="0"/>
          <w:color w:val="auto"/>
          <w:szCs w:val="24"/>
          <w:lang w:val="es-ES"/>
        </w:rPr>
        <w:t xml:space="preserve"> en la comarca de</w:t>
      </w:r>
      <w:r w:rsidRPr="006928A6">
        <w:rPr>
          <w:rFonts w:eastAsia="Times New Roman"/>
          <w:b w:val="0"/>
          <w:i w:val="0"/>
          <w:color w:val="auto"/>
          <w:szCs w:val="24"/>
          <w:lang w:val="es-ES"/>
        </w:rPr>
        <w:t xml:space="preserve"> </w:t>
      </w:r>
      <w:r w:rsidR="00E72BD4" w:rsidRPr="006928A6">
        <w:rPr>
          <w:rFonts w:eastAsia="Times New Roman"/>
          <w:b w:val="0"/>
          <w:i w:val="0"/>
          <w:color w:val="auto"/>
          <w:szCs w:val="24"/>
          <w:lang w:val="es-ES"/>
        </w:rPr>
        <w:t xml:space="preserve">La India, en el municipio de Santa Rosa del Peñón, departamento de León, Nicaragua. </w:t>
      </w:r>
    </w:p>
    <w:p w14:paraId="3FBDD523" w14:textId="70920C1C" w:rsidR="00990AC8" w:rsidRDefault="00990AC8" w:rsidP="00990AC8">
      <w:pPr>
        <w:jc w:val="both"/>
      </w:pPr>
      <w:r w:rsidRPr="006928A6">
        <w:t xml:space="preserve">Desde hace cinco años, la empresa minera Cóndor Gold ha realizado labores de exploración en la zona de </w:t>
      </w:r>
      <w:r w:rsidR="00F35568">
        <w:t>M</w:t>
      </w:r>
      <w:r w:rsidRPr="006928A6">
        <w:t>ina La India, generando múltiples impactos al medio ambiente y a las comunidades, más específicamente la empresa minera pretende desalojar a todo el casco urbano de Mina la India el cual tiene una historia de más de cien años de tradición y trabajo en la pequeña minería artesanal y con más de cinco mil habitantes, con lo que además se dejaría sin fuente de empleo a los habitantes de esta comunidad.</w:t>
      </w:r>
    </w:p>
    <w:p w14:paraId="70A6731B" w14:textId="77777777" w:rsidR="00EB77C2" w:rsidRPr="00EB77C2" w:rsidRDefault="00EB77C2" w:rsidP="00990AC8">
      <w:pPr>
        <w:jc w:val="both"/>
        <w:rPr>
          <w:sz w:val="10"/>
          <w:szCs w:val="10"/>
        </w:rPr>
      </w:pPr>
    </w:p>
    <w:p w14:paraId="3C9AD961" w14:textId="77777777" w:rsidR="00EB77C2" w:rsidRDefault="00EB77C2" w:rsidP="00EB77C2">
      <w:pPr>
        <w:jc w:val="both"/>
      </w:pPr>
      <w:r>
        <w:t>Hasta el momento no existen estudios técnicos independientes que reflejen los impactos ambientales provocados por la explotación minera a cielo abierto, sin embargo, las características biofísicas de la zona la hacen propensa a padecer los siguientes impactos potenciales de llegarse a realizar la explotación minera a cielo abierto y su posible expansión al futuro:</w:t>
      </w:r>
    </w:p>
    <w:p w14:paraId="1B9240C6" w14:textId="77777777" w:rsidR="00EB77C2" w:rsidRPr="00EB77C2" w:rsidRDefault="00EB77C2" w:rsidP="00EB77C2">
      <w:pPr>
        <w:jc w:val="both"/>
        <w:rPr>
          <w:rFonts w:ascii="Segoe UI Symbol" w:hAnsi="Segoe UI Symbol" w:cs="Segoe UI Symbol"/>
          <w:sz w:val="10"/>
          <w:szCs w:val="10"/>
        </w:rPr>
      </w:pPr>
    </w:p>
    <w:p w14:paraId="360FFCC9" w14:textId="5CAE4B14" w:rsidR="004A6172" w:rsidRDefault="00EB77C2" w:rsidP="004A6172">
      <w:pPr>
        <w:pStyle w:val="ListParagraph"/>
        <w:numPr>
          <w:ilvl w:val="0"/>
          <w:numId w:val="19"/>
        </w:numPr>
        <w:jc w:val="both"/>
      </w:pPr>
      <w:r>
        <w:t xml:space="preserve">La comunidad de Mina la India se encuentra actualmente asentada en la formación geológica conocida como “Matagalpa”, dicha formación geológica, sumado con el relieve de la zona y los regímenes de precipitación los cuales rondan los 1,200 mm anuales hace que los accesos a zonas de recargas de agua para abastecimiento sean escasos; de acuerdo con los resultados del análisis de “zonas potenciales de recarga hídrica” (CATIE, 2005), el 80% de la zona se cataloga con potencial bajo para la recarga hídrica, lo que compromete el abastecimiento del acuífero subterráneo y la recarga de los pozos que aún están funcionando en la zona, esta condición biofísica puede agravarse de darse una explotación minera a cielo abierto ya que al darse el proceso de remoción completa de la capa fértil del suelo imposibilitaría aún más la captación natural de agua por parte del sistema hidrológico natural, comprometiendo así la disponibilidad de agua para la </w:t>
      </w:r>
      <w:r w:rsidR="002A2C79">
        <w:t xml:space="preserve">población </w:t>
      </w:r>
      <w:r>
        <w:t xml:space="preserve">en </w:t>
      </w:r>
      <w:r w:rsidR="004A6172">
        <w:t>términos</w:t>
      </w:r>
      <w:r>
        <w:t xml:space="preserve"> de calidad y cantidad. </w:t>
      </w:r>
    </w:p>
    <w:p w14:paraId="648FD21C" w14:textId="77777777" w:rsidR="004A6172" w:rsidRPr="004A6172" w:rsidRDefault="004A6172" w:rsidP="004A6172">
      <w:pPr>
        <w:pStyle w:val="ListParagraph"/>
        <w:ind w:left="720"/>
        <w:jc w:val="both"/>
        <w:rPr>
          <w:sz w:val="10"/>
          <w:szCs w:val="10"/>
        </w:rPr>
      </w:pPr>
    </w:p>
    <w:p w14:paraId="42E84B83" w14:textId="7DF18889" w:rsidR="00EB77C2" w:rsidRDefault="00EB77C2" w:rsidP="004A6172">
      <w:pPr>
        <w:pStyle w:val="ListParagraph"/>
        <w:numPr>
          <w:ilvl w:val="0"/>
          <w:numId w:val="19"/>
        </w:numPr>
        <w:jc w:val="both"/>
      </w:pPr>
      <w:r>
        <w:t xml:space="preserve">Así mismo la perforación de pozos de muestreo de mineral en la fase de exploración ha provocado que otras zonas de la comunidad se queden sin agua, ya que se ha ocasionado la profundización de las aguas subterráneas, esto se debe principalmente a que la zona está compuesta por un tipo de roca muy porosa conocida como Riolitica-andesitica y toba volcánica, este tipo de rocas al tener una consistencia mucho más débil y con abundantes micro-poros tienen mucha menor capacidad para encapsular las venas de agua subterráneas. Por lo que al darse estas perforaciones para extracción de material la estructura estratigráfica interna de la roca se debilita a tal punto que se generan filtraciones en el subsuelo lo que desencadena en la profundización de las aguas hacia capas más internas del perfil de suelos; es por tal motivo que el tajo a cielo abierto y su expansión anticipada comprometerían seriamente la capacidad de recarga del acuífero y la disponibilidad de agua para la comunidad además de provocar un serio desequilibrio en el régimen hidrológico de la </w:t>
      </w:r>
      <w:r w:rsidR="00127628">
        <w:t>región</w:t>
      </w:r>
      <w:r>
        <w:t>.</w:t>
      </w:r>
    </w:p>
    <w:p w14:paraId="44D6E0AB" w14:textId="77777777" w:rsidR="00EB77C2" w:rsidRPr="000F1718" w:rsidRDefault="00EB77C2" w:rsidP="00EB77C2">
      <w:pPr>
        <w:pStyle w:val="ListParagraph"/>
        <w:ind w:left="720"/>
        <w:jc w:val="both"/>
        <w:rPr>
          <w:sz w:val="10"/>
          <w:szCs w:val="10"/>
        </w:rPr>
      </w:pPr>
    </w:p>
    <w:p w14:paraId="0275D41F" w14:textId="7ABC7741" w:rsidR="00EB77C2" w:rsidRDefault="00EB77C2" w:rsidP="00EB77C2">
      <w:pPr>
        <w:pStyle w:val="ListParagraph"/>
        <w:numPr>
          <w:ilvl w:val="0"/>
          <w:numId w:val="19"/>
        </w:numPr>
        <w:jc w:val="both"/>
      </w:pPr>
      <w:r>
        <w:t xml:space="preserve">La comunidad se encuentra asentada en una zona con un alto riesgo sísmico y de susceptibilidad a deslizamiento, de acuerdo con el Mapa Nacional de “susceptibilidad a </w:t>
      </w:r>
      <w:r w:rsidR="009922BF">
        <w:t>d</w:t>
      </w:r>
      <w:r>
        <w:t>eslizamientos a nivel nacional” casi el 90% de la zona se encuentra catalogada como peligro alto y muy alto a deslizamientos, por lo que los procesos de voladuras para la fragmentación de la roca podrían provocar deslizamientos de tierra afectando así a la comunidad y a los mismos trabajadores en la zona.</w:t>
      </w:r>
    </w:p>
    <w:p w14:paraId="7D574E1F" w14:textId="77777777" w:rsidR="00EB77C2" w:rsidRPr="00EB77C2" w:rsidRDefault="00EB77C2" w:rsidP="00EB77C2">
      <w:pPr>
        <w:pStyle w:val="ListParagraph"/>
        <w:ind w:left="720"/>
        <w:jc w:val="both"/>
        <w:rPr>
          <w:sz w:val="10"/>
          <w:szCs w:val="10"/>
        </w:rPr>
      </w:pPr>
    </w:p>
    <w:p w14:paraId="195D098E" w14:textId="72D9B5AD" w:rsidR="00EB77C2" w:rsidRPr="00EB77C2" w:rsidRDefault="00EB77C2" w:rsidP="00EB77C2">
      <w:pPr>
        <w:pStyle w:val="ListParagraph"/>
        <w:numPr>
          <w:ilvl w:val="0"/>
          <w:numId w:val="19"/>
        </w:numPr>
        <w:jc w:val="both"/>
      </w:pPr>
      <w:r w:rsidRPr="00EB77C2">
        <w:rPr>
          <w:lang w:val="es-NI"/>
        </w:rPr>
        <w:t xml:space="preserve">La explotación a cielo abierto generaría altos impactos ambientales en las especies de fauna silvestre de la zona y a los ecosistemas cercanos, </w:t>
      </w:r>
      <w:r w:rsidR="009179DB">
        <w:rPr>
          <w:lang w:val="es-NI"/>
        </w:rPr>
        <w:t>específicamente el</w:t>
      </w:r>
      <w:r w:rsidRPr="00EB77C2">
        <w:rPr>
          <w:lang w:val="es-NI"/>
        </w:rPr>
        <w:t xml:space="preserve"> bosque tropical seco, </w:t>
      </w:r>
      <w:r w:rsidR="009179DB">
        <w:rPr>
          <w:lang w:val="es-NI"/>
        </w:rPr>
        <w:t xml:space="preserve">siendo que </w:t>
      </w:r>
      <w:r w:rsidRPr="00EB77C2">
        <w:rPr>
          <w:lang w:val="es-NI"/>
        </w:rPr>
        <w:t>dicho ecosistema es uno de los más amenazados a nivel nacional; con la explotación minera la conectividad biológica entre hábitats de este ecosistema se vería seriamente afectada, además al remover la cobertura vegetal se interrumpe el flujo de especies entre hábitats, principalmente de aves y mamíferos pequeños los cuales dependen de los hábitats para encontrar alimento y agua, comprometiendo así la conservación los ecosistemas en la zona y a las especies que dependen de estos ecosistemas.</w:t>
      </w:r>
    </w:p>
    <w:p w14:paraId="21445498" w14:textId="77777777" w:rsidR="00EB77C2" w:rsidRPr="00EB77C2" w:rsidRDefault="00EB77C2" w:rsidP="00EB77C2">
      <w:pPr>
        <w:pStyle w:val="ListParagraph"/>
        <w:rPr>
          <w:sz w:val="10"/>
          <w:szCs w:val="10"/>
          <w:lang w:val="es-NI"/>
        </w:rPr>
      </w:pPr>
    </w:p>
    <w:p w14:paraId="556E140C" w14:textId="4FDCACC2" w:rsidR="00EB77C2" w:rsidRPr="00EB77C2" w:rsidRDefault="00EB77C2" w:rsidP="00EB77C2">
      <w:pPr>
        <w:pStyle w:val="ListParagraph"/>
        <w:numPr>
          <w:ilvl w:val="0"/>
          <w:numId w:val="19"/>
        </w:numPr>
        <w:jc w:val="both"/>
      </w:pPr>
      <w:r w:rsidRPr="00EB77C2">
        <w:rPr>
          <w:lang w:val="es-NI"/>
        </w:rPr>
        <w:t>Además de considerar los impactos actuales y futuros de la primera mina a tajo abierto que pretende construir Cóndor Gold, en ningún momento se ha considerado los impactos acumulados que podría generar el desarrollo de un distrito minero que podría abarcar hasta 313 km</w:t>
      </w:r>
      <w:r w:rsidRPr="009922BF">
        <w:rPr>
          <w:vertAlign w:val="superscript"/>
          <w:lang w:val="es-NI"/>
        </w:rPr>
        <w:t>2</w:t>
      </w:r>
      <w:r w:rsidRPr="00EB77C2">
        <w:rPr>
          <w:lang w:val="es-NI"/>
        </w:rPr>
        <w:t xml:space="preserve"> y ser de 13 a 17 veces más grande en términos de producción de oro, lo cual pudiera agravar y multiplicar todos los impactos ambientales mencionados.</w:t>
      </w:r>
    </w:p>
    <w:p w14:paraId="7B03FF7A" w14:textId="77777777" w:rsidR="006928A6" w:rsidRPr="00C51510" w:rsidRDefault="006928A6" w:rsidP="006928A6">
      <w:pPr>
        <w:jc w:val="both"/>
        <w:rPr>
          <w:sz w:val="10"/>
          <w:szCs w:val="10"/>
        </w:rPr>
      </w:pPr>
    </w:p>
    <w:p w14:paraId="60F98F03" w14:textId="3D22F501" w:rsidR="00A13269" w:rsidRDefault="006928A6" w:rsidP="00B5200B">
      <w:pPr>
        <w:jc w:val="both"/>
      </w:pPr>
      <w:r w:rsidRPr="006928A6">
        <w:t>Recientemente la empresa de origen británico Cóndor Gold S.A. dio a conocer</w:t>
      </w:r>
      <w:r w:rsidR="00C51510" w:rsidRPr="00C51510">
        <w:rPr>
          <w:rStyle w:val="FootnoteReference"/>
          <w:sz w:val="20"/>
          <w:szCs w:val="20"/>
        </w:rPr>
        <w:footnoteReference w:id="10"/>
      </w:r>
      <w:r w:rsidR="00C51510" w:rsidRPr="00C51510">
        <w:rPr>
          <w:sz w:val="20"/>
          <w:szCs w:val="20"/>
        </w:rPr>
        <w:t xml:space="preserve"> </w:t>
      </w:r>
      <w:r w:rsidRPr="006928A6">
        <w:t xml:space="preserve">haber comprado el 85% de la tierra en el área permitida del sitio de la mina La India y a su alrededor, acercándose así a completar una de las condiciones principales del Permiso Ambiental y reduciendo significativamente los </w:t>
      </w:r>
      <w:r w:rsidR="00127628">
        <w:t>“</w:t>
      </w:r>
      <w:r w:rsidRPr="006928A6">
        <w:t>riesgos</w:t>
      </w:r>
      <w:r w:rsidR="00127628">
        <w:t>”</w:t>
      </w:r>
      <w:r w:rsidRPr="006928A6">
        <w:t xml:space="preserve"> </w:t>
      </w:r>
      <w:r w:rsidR="00127628">
        <w:t>para el</w:t>
      </w:r>
      <w:r w:rsidR="00127628" w:rsidRPr="006928A6">
        <w:t xml:space="preserve"> </w:t>
      </w:r>
      <w:r w:rsidRPr="006928A6">
        <w:t>Proyecto. No obstante, estas compras han sido bajo un ambiente de asedio, amenaza y violencia hacia los dueños de parcelas, acompañadas por grupos afines al gobierno que ejercer violencia en la comunidad. La Compañía ha comprado 64 parcelas de tierra por un total de 659 hectáreas en el sitio permitido para la mina La India y a su alrededor, de las cuales 479 hectáreas han sido compradas este año.</w:t>
      </w:r>
      <w:r w:rsidR="00D8664D">
        <w:rPr>
          <w:rStyle w:val="FootnoteReference"/>
        </w:rPr>
        <w:footnoteReference w:id="11"/>
      </w:r>
    </w:p>
    <w:p w14:paraId="60F05FEC" w14:textId="77777777" w:rsidR="00A13269" w:rsidRDefault="00A13269" w:rsidP="00A13269">
      <w:pPr>
        <w:jc w:val="both"/>
        <w:rPr>
          <w:b/>
          <w:bCs/>
          <w:sz w:val="28"/>
          <w:szCs w:val="28"/>
        </w:rPr>
      </w:pPr>
    </w:p>
    <w:p w14:paraId="6A5553C9" w14:textId="77777777" w:rsidR="001B2D92" w:rsidRDefault="001B2D92" w:rsidP="00A13269">
      <w:pPr>
        <w:jc w:val="both"/>
        <w:rPr>
          <w:b/>
          <w:bCs/>
          <w:sz w:val="28"/>
          <w:szCs w:val="28"/>
        </w:rPr>
      </w:pPr>
    </w:p>
    <w:p w14:paraId="009CC7EA" w14:textId="44C8E711" w:rsidR="00A13269" w:rsidRDefault="00A13269" w:rsidP="00A13269">
      <w:pPr>
        <w:jc w:val="both"/>
        <w:rPr>
          <w:b/>
          <w:bCs/>
          <w:sz w:val="28"/>
          <w:szCs w:val="28"/>
        </w:rPr>
      </w:pPr>
      <w:r>
        <w:rPr>
          <w:b/>
          <w:bCs/>
          <w:sz w:val="28"/>
          <w:szCs w:val="28"/>
        </w:rPr>
        <w:t>Conclusiones:</w:t>
      </w:r>
    </w:p>
    <w:p w14:paraId="19AE140F" w14:textId="77777777" w:rsidR="00A13269" w:rsidRPr="000F1718" w:rsidRDefault="00A13269" w:rsidP="00A13269">
      <w:pPr>
        <w:jc w:val="both"/>
        <w:rPr>
          <w:b/>
          <w:bCs/>
        </w:rPr>
      </w:pPr>
    </w:p>
    <w:p w14:paraId="464431D5" w14:textId="77777777" w:rsidR="00A13269" w:rsidRDefault="00A13269" w:rsidP="00A13269">
      <w:pPr>
        <w:jc w:val="both"/>
      </w:pPr>
      <w:r>
        <w:t xml:space="preserve">Sobre la base de lo previamente descrito, concluimos que:  </w:t>
      </w:r>
    </w:p>
    <w:p w14:paraId="41388811" w14:textId="77777777" w:rsidR="00A13269" w:rsidRDefault="00A13269" w:rsidP="00A13269">
      <w:pPr>
        <w:pStyle w:val="ListParagraph"/>
        <w:ind w:left="720"/>
        <w:jc w:val="both"/>
        <w:rPr>
          <w:lang w:val="es-NI"/>
        </w:rPr>
      </w:pPr>
    </w:p>
    <w:p w14:paraId="30C8C181" w14:textId="77777777" w:rsidR="00A13269" w:rsidRPr="003D47A5" w:rsidRDefault="00A13269" w:rsidP="00A13269">
      <w:pPr>
        <w:pStyle w:val="ListParagraph"/>
        <w:numPr>
          <w:ilvl w:val="0"/>
          <w:numId w:val="20"/>
        </w:numPr>
        <w:jc w:val="both"/>
        <w:rPr>
          <w:lang w:val="es-NI"/>
        </w:rPr>
      </w:pPr>
      <w:r w:rsidRPr="003D47A5">
        <w:rPr>
          <w:lang w:val="es-NI"/>
        </w:rPr>
        <w:t>La valoración del costo</w:t>
      </w:r>
      <w:r w:rsidR="00062FA7">
        <w:rPr>
          <w:lang w:val="es-NI"/>
        </w:rPr>
        <w:t xml:space="preserve"> </w:t>
      </w:r>
      <w:r w:rsidRPr="003D47A5">
        <w:rPr>
          <w:lang w:val="es-NI"/>
        </w:rPr>
        <w:t>/ beneficio de la actividad minera, sus indicios, no parecen ser tan favorables para seguir arriesgando la vida de las personas, los recursos fundamentales como el suelo, el agua, el bosque.</w:t>
      </w:r>
    </w:p>
    <w:p w14:paraId="20B436BA" w14:textId="77777777" w:rsidR="00A13269" w:rsidRPr="003D47A5" w:rsidRDefault="00A13269" w:rsidP="00A13269">
      <w:pPr>
        <w:jc w:val="both"/>
        <w:rPr>
          <w:sz w:val="10"/>
          <w:szCs w:val="10"/>
        </w:rPr>
      </w:pPr>
    </w:p>
    <w:p w14:paraId="3CA42E46" w14:textId="77777777" w:rsidR="00A13269" w:rsidRPr="003D47A5" w:rsidRDefault="00A13269" w:rsidP="00A13269">
      <w:pPr>
        <w:jc w:val="both"/>
        <w:rPr>
          <w:sz w:val="10"/>
          <w:szCs w:val="10"/>
        </w:rPr>
      </w:pPr>
    </w:p>
    <w:p w14:paraId="01900FD2" w14:textId="77777777" w:rsidR="00A13269" w:rsidRPr="000F1718" w:rsidRDefault="00A13269" w:rsidP="000F1718">
      <w:pPr>
        <w:pStyle w:val="ListParagraph"/>
        <w:numPr>
          <w:ilvl w:val="0"/>
          <w:numId w:val="20"/>
        </w:numPr>
        <w:jc w:val="both"/>
      </w:pPr>
      <w:r>
        <w:t>La modificación de la legislación minera es una clara señal del debilitamiento de los estándares ambientales y sociales, los cuales solo favorecen el control del estado hacia los recursos naturales, cortando así la libertad de expresión.</w:t>
      </w:r>
    </w:p>
    <w:p w14:paraId="0EBB9D58" w14:textId="77777777" w:rsidR="00F65444" w:rsidRDefault="00F65444" w:rsidP="00A13269">
      <w:pPr>
        <w:jc w:val="both"/>
        <w:rPr>
          <w:b/>
          <w:bCs/>
          <w:sz w:val="28"/>
          <w:szCs w:val="28"/>
        </w:rPr>
      </w:pPr>
    </w:p>
    <w:p w14:paraId="45CA6AF8" w14:textId="77777777" w:rsidR="001B2D92" w:rsidRDefault="001B2D92" w:rsidP="00A13269">
      <w:pPr>
        <w:jc w:val="both"/>
        <w:rPr>
          <w:b/>
          <w:bCs/>
          <w:sz w:val="28"/>
          <w:szCs w:val="28"/>
        </w:rPr>
      </w:pPr>
    </w:p>
    <w:p w14:paraId="3B532F9E" w14:textId="77777777" w:rsidR="001B2D92" w:rsidRDefault="001B2D92" w:rsidP="00A13269">
      <w:pPr>
        <w:jc w:val="both"/>
        <w:rPr>
          <w:b/>
          <w:bCs/>
          <w:sz w:val="28"/>
          <w:szCs w:val="28"/>
        </w:rPr>
      </w:pPr>
    </w:p>
    <w:p w14:paraId="4E8FF955" w14:textId="0176882F" w:rsidR="00A13269" w:rsidRPr="00FF0742" w:rsidRDefault="00A13269" w:rsidP="00A13269">
      <w:pPr>
        <w:jc w:val="both"/>
        <w:rPr>
          <w:sz w:val="28"/>
          <w:szCs w:val="28"/>
        </w:rPr>
      </w:pPr>
      <w:r w:rsidRPr="00FF0742">
        <w:rPr>
          <w:b/>
          <w:bCs/>
          <w:sz w:val="28"/>
          <w:szCs w:val="28"/>
        </w:rPr>
        <w:t xml:space="preserve">Recomendaciones relativas a la </w:t>
      </w:r>
      <w:r>
        <w:rPr>
          <w:b/>
          <w:bCs/>
          <w:sz w:val="28"/>
          <w:szCs w:val="28"/>
        </w:rPr>
        <w:t>2</w:t>
      </w:r>
      <w:r w:rsidRPr="00FF0742">
        <w:rPr>
          <w:b/>
          <w:bCs/>
          <w:sz w:val="28"/>
          <w:szCs w:val="28"/>
        </w:rPr>
        <w:t>4ª cuestión:</w:t>
      </w:r>
    </w:p>
    <w:p w14:paraId="045D1859" w14:textId="77777777" w:rsidR="00A13269" w:rsidRDefault="00A13269" w:rsidP="00A13269">
      <w:pPr>
        <w:jc w:val="both"/>
      </w:pPr>
    </w:p>
    <w:p w14:paraId="027BBDB1" w14:textId="77777777" w:rsidR="00A13269" w:rsidRDefault="00A13269" w:rsidP="00A13269">
      <w:pPr>
        <w:jc w:val="both"/>
      </w:pPr>
      <w:r>
        <w:t xml:space="preserve">Por todo lo expuesto, instamos al Comité a: </w:t>
      </w:r>
    </w:p>
    <w:p w14:paraId="6028DAFB" w14:textId="77777777" w:rsidR="00A13269" w:rsidRDefault="00A13269" w:rsidP="00A13269">
      <w:pPr>
        <w:jc w:val="both"/>
      </w:pPr>
    </w:p>
    <w:p w14:paraId="1A65CB6B" w14:textId="1186DD27" w:rsidR="00A13269" w:rsidRDefault="00A13269" w:rsidP="00A13269">
      <w:pPr>
        <w:pStyle w:val="ListParagraph"/>
        <w:numPr>
          <w:ilvl w:val="0"/>
          <w:numId w:val="25"/>
        </w:numPr>
        <w:jc w:val="both"/>
        <w:rPr>
          <w:b/>
          <w:bCs/>
        </w:rPr>
      </w:pPr>
      <w:r w:rsidRPr="000F1718">
        <w:rPr>
          <w:b/>
          <w:bCs/>
        </w:rPr>
        <w:t xml:space="preserve">Expresar su preocupación </w:t>
      </w:r>
      <w:r w:rsidR="00F65444">
        <w:rPr>
          <w:b/>
          <w:bCs/>
        </w:rPr>
        <w:t xml:space="preserve">por los </w:t>
      </w:r>
      <w:r w:rsidR="00062FA7">
        <w:rPr>
          <w:b/>
          <w:bCs/>
        </w:rPr>
        <w:t xml:space="preserve">impactos negativos que han tenido los </w:t>
      </w:r>
      <w:r w:rsidR="00F65444">
        <w:rPr>
          <w:b/>
          <w:bCs/>
        </w:rPr>
        <w:t xml:space="preserve">proyectos </w:t>
      </w:r>
      <w:r w:rsidR="00062FA7">
        <w:rPr>
          <w:b/>
          <w:bCs/>
        </w:rPr>
        <w:t xml:space="preserve">mineros y otras actividades extractivas </w:t>
      </w:r>
      <w:r w:rsidR="00A95127">
        <w:rPr>
          <w:b/>
          <w:bCs/>
        </w:rPr>
        <w:t xml:space="preserve">en Nicaragua </w:t>
      </w:r>
      <w:r w:rsidR="00062FA7">
        <w:rPr>
          <w:b/>
          <w:bCs/>
        </w:rPr>
        <w:t>durante los últimos años</w:t>
      </w:r>
      <w:r w:rsidR="00F65444">
        <w:rPr>
          <w:b/>
          <w:bCs/>
        </w:rPr>
        <w:t xml:space="preserve">, </w:t>
      </w:r>
      <w:r w:rsidR="00062FA7">
        <w:rPr>
          <w:b/>
          <w:bCs/>
        </w:rPr>
        <w:t xml:space="preserve">incluyendo una referencia explícita </w:t>
      </w:r>
      <w:r w:rsidR="0068550C">
        <w:rPr>
          <w:b/>
          <w:bCs/>
        </w:rPr>
        <w:t>a Mina</w:t>
      </w:r>
      <w:r w:rsidR="00062FA7">
        <w:rPr>
          <w:b/>
          <w:bCs/>
        </w:rPr>
        <w:t xml:space="preserve"> </w:t>
      </w:r>
      <w:r w:rsidR="00F65444">
        <w:rPr>
          <w:b/>
          <w:bCs/>
        </w:rPr>
        <w:t xml:space="preserve">La India, </w:t>
      </w:r>
      <w:r w:rsidR="00062FA7">
        <w:rPr>
          <w:b/>
          <w:bCs/>
        </w:rPr>
        <w:t>en vista de que este proyecto</w:t>
      </w:r>
      <w:r w:rsidR="00D8664D">
        <w:rPr>
          <w:b/>
          <w:bCs/>
        </w:rPr>
        <w:t xml:space="preserve"> es un ejemplo paradigmático de este fenómeno en Nicaragua, </w:t>
      </w:r>
      <w:r w:rsidR="00A95127">
        <w:rPr>
          <w:b/>
          <w:bCs/>
        </w:rPr>
        <w:t xml:space="preserve">ya que </w:t>
      </w:r>
      <w:r w:rsidR="00A95127" w:rsidRPr="00A95127">
        <w:rPr>
          <w:b/>
          <w:bCs/>
        </w:rPr>
        <w:t xml:space="preserve">representa </w:t>
      </w:r>
      <w:r w:rsidR="005F2150">
        <w:rPr>
          <w:b/>
          <w:bCs/>
          <w:lang w:val="es-CO"/>
        </w:rPr>
        <w:t>uno de los</w:t>
      </w:r>
      <w:r w:rsidR="00A95127" w:rsidRPr="000F1718">
        <w:rPr>
          <w:b/>
          <w:bCs/>
          <w:lang w:val="es-CO"/>
        </w:rPr>
        <w:t xml:space="preserve"> proyecto</w:t>
      </w:r>
      <w:r w:rsidR="005F2150">
        <w:rPr>
          <w:b/>
          <w:bCs/>
          <w:lang w:val="es-CO"/>
        </w:rPr>
        <w:t>s</w:t>
      </w:r>
      <w:r w:rsidR="00A95127" w:rsidRPr="000F1718">
        <w:rPr>
          <w:b/>
          <w:bCs/>
          <w:lang w:val="es-CO"/>
        </w:rPr>
        <w:t xml:space="preserve"> de proyección de extracción de oro más grande</w:t>
      </w:r>
      <w:r w:rsidR="005F2150">
        <w:rPr>
          <w:b/>
          <w:bCs/>
          <w:lang w:val="es-CO"/>
        </w:rPr>
        <w:t>s</w:t>
      </w:r>
      <w:r w:rsidR="00A95127" w:rsidRPr="000F1718">
        <w:rPr>
          <w:b/>
          <w:bCs/>
          <w:lang w:val="es-CO"/>
        </w:rPr>
        <w:t xml:space="preserve"> de toda Nicaragua</w:t>
      </w:r>
      <w:r w:rsidR="00A95127">
        <w:rPr>
          <w:b/>
          <w:bCs/>
        </w:rPr>
        <w:t>, con</w:t>
      </w:r>
      <w:r w:rsidR="00D8664D">
        <w:rPr>
          <w:b/>
          <w:bCs/>
        </w:rPr>
        <w:t xml:space="preserve"> impactos severos en los derechos </w:t>
      </w:r>
      <w:r w:rsidR="00A95127">
        <w:rPr>
          <w:b/>
          <w:bCs/>
        </w:rPr>
        <w:t xml:space="preserve">de las personas afectadas, incluidos los derechos </w:t>
      </w:r>
      <w:r w:rsidR="00D8664D">
        <w:rPr>
          <w:b/>
          <w:bCs/>
        </w:rPr>
        <w:t>a vivir en un ambiente sano y al agua</w:t>
      </w:r>
      <w:r w:rsidR="00A95127">
        <w:rPr>
          <w:b/>
          <w:bCs/>
        </w:rPr>
        <w:t>.</w:t>
      </w:r>
      <w:r w:rsidR="00D8664D">
        <w:rPr>
          <w:b/>
          <w:bCs/>
        </w:rPr>
        <w:t xml:space="preserve"> </w:t>
      </w:r>
      <w:r w:rsidR="00062FA7">
        <w:rPr>
          <w:b/>
          <w:bCs/>
        </w:rPr>
        <w:t xml:space="preserve"> </w:t>
      </w:r>
      <w:r w:rsidR="00F65444">
        <w:rPr>
          <w:b/>
          <w:bCs/>
        </w:rPr>
        <w:t xml:space="preserve"> </w:t>
      </w:r>
    </w:p>
    <w:p w14:paraId="4E39987E" w14:textId="77777777" w:rsidR="00A13269" w:rsidRPr="00B5200B" w:rsidRDefault="00A13269" w:rsidP="000F1718">
      <w:pPr>
        <w:pStyle w:val="ListParagraph"/>
        <w:ind w:left="720"/>
        <w:jc w:val="both"/>
        <w:rPr>
          <w:b/>
          <w:bCs/>
        </w:rPr>
      </w:pPr>
    </w:p>
    <w:p w14:paraId="066D0239" w14:textId="63A6A98F" w:rsidR="00A13269" w:rsidRPr="00BE752D" w:rsidRDefault="00A13269" w:rsidP="00BE752D">
      <w:pPr>
        <w:pStyle w:val="ListParagraph"/>
        <w:numPr>
          <w:ilvl w:val="0"/>
          <w:numId w:val="25"/>
        </w:numPr>
        <w:jc w:val="both"/>
        <w:rPr>
          <w:b/>
          <w:bCs/>
        </w:rPr>
      </w:pPr>
      <w:r w:rsidRPr="000F1718">
        <w:rPr>
          <w:b/>
          <w:bCs/>
        </w:rPr>
        <w:t>Recomendar al Estado Nicaragüense</w:t>
      </w:r>
      <w:r w:rsidR="00A95127" w:rsidRPr="00A95127">
        <w:rPr>
          <w:b/>
          <w:bCs/>
        </w:rPr>
        <w:t xml:space="preserve"> que</w:t>
      </w:r>
      <w:r w:rsidR="005A3E12">
        <w:rPr>
          <w:b/>
          <w:bCs/>
        </w:rPr>
        <w:t>:</w:t>
      </w:r>
      <w:r w:rsidR="00BE752D">
        <w:rPr>
          <w:b/>
          <w:bCs/>
        </w:rPr>
        <w:t xml:space="preserve"> </w:t>
      </w:r>
      <w:r w:rsidR="005A3E12" w:rsidRPr="00BE752D">
        <w:rPr>
          <w:b/>
          <w:bCs/>
        </w:rPr>
        <w:t>R</w:t>
      </w:r>
      <w:r w:rsidR="00F65444" w:rsidRPr="00BE752D">
        <w:rPr>
          <w:b/>
          <w:bCs/>
        </w:rPr>
        <w:t>econsider</w:t>
      </w:r>
      <w:r w:rsidR="00A95127" w:rsidRPr="00BE752D">
        <w:rPr>
          <w:b/>
          <w:bCs/>
        </w:rPr>
        <w:t>e</w:t>
      </w:r>
      <w:r w:rsidR="00F65444" w:rsidRPr="00BE752D">
        <w:rPr>
          <w:b/>
          <w:bCs/>
        </w:rPr>
        <w:t xml:space="preserve"> </w:t>
      </w:r>
      <w:r w:rsidR="00B73978" w:rsidRPr="00BE752D">
        <w:rPr>
          <w:b/>
          <w:bCs/>
        </w:rPr>
        <w:t xml:space="preserve">las actividades extractivas, tales como la </w:t>
      </w:r>
      <w:r w:rsidR="00B73978" w:rsidRPr="00BE752D">
        <w:rPr>
          <w:b/>
          <w:bCs/>
          <w:lang w:val="es-CO"/>
        </w:rPr>
        <w:t>exploración y explotación minera en Santa Cruz de la India, dados los impactos negativos de dichas actividades en los derechos humanos</w:t>
      </w:r>
      <w:r w:rsidR="005A3E12" w:rsidRPr="00BE752D">
        <w:rPr>
          <w:b/>
          <w:bCs/>
          <w:lang w:val="es-CO"/>
        </w:rPr>
        <w:t xml:space="preserve"> incluyendo el derecho al agua</w:t>
      </w:r>
      <w:r w:rsidR="00B73978" w:rsidRPr="00BE752D">
        <w:rPr>
          <w:b/>
          <w:bCs/>
          <w:lang w:val="es-CO"/>
        </w:rPr>
        <w:t xml:space="preserve"> de las comunidades afectadas</w:t>
      </w:r>
      <w:r w:rsidR="00127628" w:rsidRPr="00BE752D">
        <w:rPr>
          <w:b/>
          <w:bCs/>
          <w:lang w:val="es-CO"/>
        </w:rPr>
        <w:t xml:space="preserve"> y de </w:t>
      </w:r>
      <w:r w:rsidR="00656445" w:rsidRPr="00BE752D">
        <w:rPr>
          <w:b/>
          <w:bCs/>
          <w:lang w:val="es-CO"/>
        </w:rPr>
        <w:t>la población</w:t>
      </w:r>
      <w:r w:rsidR="00127628" w:rsidRPr="00BE752D">
        <w:rPr>
          <w:b/>
          <w:bCs/>
          <w:lang w:val="es-CO"/>
        </w:rPr>
        <w:t xml:space="preserve"> de Nicaragua</w:t>
      </w:r>
      <w:r w:rsidR="00A95127" w:rsidRPr="00BE752D">
        <w:rPr>
          <w:b/>
          <w:bCs/>
        </w:rPr>
        <w:t>;</w:t>
      </w:r>
      <w:r w:rsidR="00F65444" w:rsidRPr="00BE752D">
        <w:rPr>
          <w:b/>
          <w:bCs/>
        </w:rPr>
        <w:t xml:space="preserve"> </w:t>
      </w:r>
      <w:r w:rsidRPr="00BE752D">
        <w:rPr>
          <w:b/>
          <w:bCs/>
        </w:rPr>
        <w:t>que cumpla el marco legal sobre el derecho de acceso a la información, participación y consulta, en particular frente a decisiones estatales relacionadas con la gestión de recursos naturales; y que genere mecanismos de transparencia y participación en los procesos de concesión, evaluación, fiscalización y monitoreo ambiental.</w:t>
      </w:r>
    </w:p>
    <w:p w14:paraId="1EFB0B38" w14:textId="77777777" w:rsidR="005A3E12" w:rsidRDefault="005A3E12"/>
    <w:p w14:paraId="1FEA13E6" w14:textId="77777777" w:rsidR="005A3E12" w:rsidRDefault="005A3E12"/>
    <w:p w14:paraId="720A2D00" w14:textId="77777777" w:rsidR="005A3E12" w:rsidRDefault="005A3E12"/>
    <w:p w14:paraId="0B6D6006" w14:textId="77777777" w:rsidR="005A3E12" w:rsidRDefault="005A3E12"/>
    <w:p w14:paraId="62D09952" w14:textId="3B5B2200" w:rsidR="001B2D92" w:rsidRPr="001B2D92" w:rsidRDefault="001B2D92" w:rsidP="001B2D92">
      <w:pPr>
        <w:jc w:val="both"/>
      </w:pPr>
      <w:r>
        <w:t>A</w:t>
      </w:r>
      <w:r w:rsidRPr="001B2D92">
        <w:t xml:space="preserve">provechamos la ocasión para expresarles </w:t>
      </w:r>
      <w:r>
        <w:t xml:space="preserve">a los miembros del Comité </w:t>
      </w:r>
      <w:r w:rsidR="006536B1">
        <w:t>nuestras más grandes</w:t>
      </w:r>
      <w:r w:rsidRPr="001B2D92">
        <w:t xml:space="preserve"> muestras de consideración y estima, agradeciendo de antemano su atención a este informe paralelo</w:t>
      </w:r>
      <w:r>
        <w:t>, y en particular a las recomendaciones relativas a la 4ª cuestión (ver la página 5, arriba) y las recomendaciones relativas a la 24ª cuestión (presentadas en la presente página).</w:t>
      </w:r>
    </w:p>
    <w:p w14:paraId="7E0985F1" w14:textId="77777777" w:rsidR="005A3E12" w:rsidRDefault="005A3E12"/>
    <w:p w14:paraId="5D532E27" w14:textId="77777777" w:rsidR="0068550C" w:rsidRPr="001B2D92" w:rsidRDefault="0068550C" w:rsidP="00BE752D"/>
    <w:p w14:paraId="35ECDC0A" w14:textId="77777777" w:rsidR="0068550C" w:rsidRPr="001B2D92" w:rsidRDefault="0068550C" w:rsidP="00BE752D"/>
    <w:p w14:paraId="75C8FCE0" w14:textId="5DF4A345" w:rsidR="00AA13B5" w:rsidRPr="001B2D92" w:rsidRDefault="0068550C" w:rsidP="00BE752D">
      <w:pPr>
        <w:rPr>
          <w:highlight w:val="yellow"/>
        </w:rPr>
      </w:pPr>
      <w:r w:rsidRPr="001B2D92">
        <w:t xml:space="preserve"> </w:t>
      </w:r>
      <w:r w:rsidR="00AA13B5" w:rsidRPr="001B2D92">
        <w:br w:type="page"/>
      </w:r>
    </w:p>
    <w:p w14:paraId="3A9A054D" w14:textId="77777777" w:rsidR="005A3E12" w:rsidRPr="001B2D92" w:rsidRDefault="005A3E12"/>
    <w:p w14:paraId="41CA326A" w14:textId="77777777" w:rsidR="003D47A5" w:rsidRPr="00B466FA" w:rsidRDefault="00F65444" w:rsidP="000F1718">
      <w:pPr>
        <w:jc w:val="center"/>
        <w:rPr>
          <w:b/>
          <w:bCs/>
          <w:sz w:val="28"/>
          <w:szCs w:val="28"/>
          <w:lang w:val="es-NI"/>
        </w:rPr>
      </w:pPr>
      <w:r w:rsidRPr="00B466FA">
        <w:rPr>
          <w:b/>
          <w:bCs/>
          <w:sz w:val="28"/>
          <w:szCs w:val="28"/>
          <w:lang w:val="es-NI"/>
        </w:rPr>
        <w:t xml:space="preserve">Anexo:  </w:t>
      </w:r>
      <w:r w:rsidR="00AA13B5" w:rsidRPr="00B466FA">
        <w:rPr>
          <w:b/>
          <w:bCs/>
          <w:sz w:val="28"/>
          <w:szCs w:val="28"/>
          <w:lang w:val="es-NI"/>
        </w:rPr>
        <w:t>Las organizaciones firmantes</w:t>
      </w:r>
    </w:p>
    <w:p w14:paraId="7648BD2C" w14:textId="77777777" w:rsidR="00AA13B5" w:rsidRDefault="00AA13B5" w:rsidP="003D47A5">
      <w:pPr>
        <w:jc w:val="both"/>
      </w:pPr>
    </w:p>
    <w:p w14:paraId="5F8E30B3" w14:textId="77777777" w:rsidR="00AA13B5" w:rsidRPr="001B2D92" w:rsidRDefault="00AA13B5" w:rsidP="003D47A5">
      <w:pPr>
        <w:jc w:val="both"/>
        <w:rPr>
          <w:b/>
          <w:bCs/>
          <w:u w:val="single"/>
        </w:rPr>
      </w:pPr>
      <w:r w:rsidRPr="001B2D92">
        <w:rPr>
          <w:b/>
          <w:bCs/>
          <w:u w:val="single"/>
        </w:rPr>
        <w:t>Presentado por:</w:t>
      </w:r>
    </w:p>
    <w:p w14:paraId="6CEF3CA2" w14:textId="77777777" w:rsidR="00AA13B5" w:rsidRDefault="00AA13B5" w:rsidP="003D47A5">
      <w:pPr>
        <w:jc w:val="both"/>
      </w:pPr>
    </w:p>
    <w:p w14:paraId="6D3E2E06" w14:textId="67AEEA17" w:rsidR="005B113E" w:rsidRDefault="00E1530E" w:rsidP="00AA13B5">
      <w:pPr>
        <w:jc w:val="both"/>
        <w:rPr>
          <w:b/>
          <w:bCs/>
        </w:rPr>
      </w:pPr>
      <w:r w:rsidRPr="005B113E">
        <w:rPr>
          <w:b/>
          <w:bCs/>
        </w:rPr>
        <w:t>El Movimiento Nacional Ambientalista Frente a la Minería Industrial (MONAFMI)</w:t>
      </w:r>
    </w:p>
    <w:p w14:paraId="16ABFD71" w14:textId="77777777" w:rsidR="005B113E" w:rsidRDefault="005B113E" w:rsidP="005B113E">
      <w:pPr>
        <w:jc w:val="both"/>
      </w:pPr>
      <w:r>
        <w:t>Santa Cruz de La India, Nicaragua</w:t>
      </w:r>
    </w:p>
    <w:p w14:paraId="6ECAD1A6" w14:textId="0AF62DAB" w:rsidR="00EF2602" w:rsidRPr="000F1718" w:rsidRDefault="002756B9" w:rsidP="006323E3">
      <w:pPr>
        <w:jc w:val="both"/>
        <w:rPr>
          <w:i/>
          <w:iCs/>
        </w:rPr>
      </w:pPr>
      <w:r w:rsidRPr="006323E3">
        <w:rPr>
          <w:i/>
          <w:iCs/>
        </w:rPr>
        <w:t xml:space="preserve">MONAFMI es una </w:t>
      </w:r>
      <w:r w:rsidR="00E1530E" w:rsidRPr="006323E3">
        <w:rPr>
          <w:i/>
          <w:iCs/>
        </w:rPr>
        <w:t>plataforma nacional en la que convergen organizaciones locales de 7 municipios de Nicaragua, siendo miembro fundado</w:t>
      </w:r>
      <w:r w:rsidR="00575F14" w:rsidRPr="006323E3">
        <w:rPr>
          <w:i/>
          <w:iCs/>
        </w:rPr>
        <w:t>r</w:t>
      </w:r>
      <w:r w:rsidR="00E1530E" w:rsidRPr="006323E3">
        <w:rPr>
          <w:i/>
          <w:iCs/>
        </w:rPr>
        <w:t xml:space="preserve"> </w:t>
      </w:r>
      <w:r w:rsidR="00AA13B5" w:rsidRPr="006323E3">
        <w:rPr>
          <w:i/>
          <w:iCs/>
        </w:rPr>
        <w:t>El Movimiento Comunal Santa Cruz de La India</w:t>
      </w:r>
      <w:r w:rsidR="00F35568">
        <w:rPr>
          <w:i/>
          <w:iCs/>
        </w:rPr>
        <w:t>. C</w:t>
      </w:r>
      <w:r w:rsidR="006323E3">
        <w:rPr>
          <w:i/>
          <w:iCs/>
        </w:rPr>
        <w:t xml:space="preserve">abe </w:t>
      </w:r>
      <w:r w:rsidR="00F35568">
        <w:rPr>
          <w:i/>
          <w:iCs/>
        </w:rPr>
        <w:t>señalar</w:t>
      </w:r>
      <w:r w:rsidR="006323E3">
        <w:rPr>
          <w:i/>
          <w:iCs/>
        </w:rPr>
        <w:t xml:space="preserve"> que, a</w:t>
      </w:r>
      <w:r w:rsidR="00617A2D" w:rsidRPr="005B113E">
        <w:rPr>
          <w:i/>
          <w:iCs/>
        </w:rPr>
        <w:t xml:space="preserve"> partir del año 2016,</w:t>
      </w:r>
      <w:r w:rsidR="007C783B" w:rsidRPr="005B113E">
        <w:rPr>
          <w:i/>
          <w:iCs/>
        </w:rPr>
        <w:t xml:space="preserve"> la comunidad afectada por </w:t>
      </w:r>
      <w:r w:rsidR="00F35568">
        <w:rPr>
          <w:i/>
          <w:iCs/>
        </w:rPr>
        <w:t>Mina</w:t>
      </w:r>
      <w:r w:rsidR="007C783B" w:rsidRPr="005B113E">
        <w:rPr>
          <w:i/>
          <w:iCs/>
        </w:rPr>
        <w:t xml:space="preserve"> La India </w:t>
      </w:r>
      <w:r w:rsidR="00617A2D" w:rsidRPr="005B113E">
        <w:rPr>
          <w:i/>
          <w:iCs/>
        </w:rPr>
        <w:t xml:space="preserve">formó el Movimiento Comunal Santa Cruz de la India con la finalidad de organizarse y </w:t>
      </w:r>
      <w:r w:rsidR="007C783B" w:rsidRPr="005B113E">
        <w:rPr>
          <w:i/>
          <w:iCs/>
        </w:rPr>
        <w:t>hacerle frente a Condor Gold</w:t>
      </w:r>
      <w:r w:rsidR="00617A2D" w:rsidRPr="005B113E">
        <w:rPr>
          <w:i/>
          <w:iCs/>
        </w:rPr>
        <w:t xml:space="preserve">, esto después de haber recibido </w:t>
      </w:r>
      <w:r w:rsidR="007C783B" w:rsidRPr="005B113E">
        <w:rPr>
          <w:i/>
          <w:iCs/>
        </w:rPr>
        <w:t>amenazas de desalojo por parte de la empresa</w:t>
      </w:r>
      <w:r w:rsidR="00617A2D" w:rsidRPr="005B113E">
        <w:rPr>
          <w:i/>
          <w:iCs/>
        </w:rPr>
        <w:t xml:space="preserve">. El Movimiento </w:t>
      </w:r>
      <w:r w:rsidR="00F35568">
        <w:rPr>
          <w:i/>
          <w:iCs/>
        </w:rPr>
        <w:t xml:space="preserve">Comunal Santa Cruz de La India </w:t>
      </w:r>
      <w:r w:rsidR="00617A2D" w:rsidRPr="005B113E">
        <w:rPr>
          <w:i/>
          <w:iCs/>
        </w:rPr>
        <w:t>busca</w:t>
      </w:r>
      <w:r w:rsidR="007C783B" w:rsidRPr="005B113E">
        <w:rPr>
          <w:i/>
          <w:iCs/>
        </w:rPr>
        <w:t xml:space="preserve"> defender los derechos económicos, sociales y ambientales de esta comunidad frente a las actividades de la empresa en el área.</w:t>
      </w:r>
    </w:p>
    <w:p w14:paraId="75D9BA2C" w14:textId="77777777" w:rsidR="00AA13B5" w:rsidRPr="00AA13B5" w:rsidRDefault="00AA13B5" w:rsidP="00AA13B5">
      <w:pPr>
        <w:jc w:val="both"/>
        <w:rPr>
          <w:b/>
          <w:bCs/>
        </w:rPr>
      </w:pPr>
    </w:p>
    <w:p w14:paraId="3CC82757" w14:textId="77777777" w:rsidR="00AA13B5" w:rsidRPr="00AA13B5" w:rsidRDefault="00AA13B5" w:rsidP="00AA13B5">
      <w:pPr>
        <w:jc w:val="both"/>
        <w:rPr>
          <w:b/>
          <w:bCs/>
        </w:rPr>
      </w:pPr>
      <w:r w:rsidRPr="00AA13B5">
        <w:rPr>
          <w:b/>
          <w:bCs/>
        </w:rPr>
        <w:t>El Centro Alexander von Humboldt</w:t>
      </w:r>
    </w:p>
    <w:p w14:paraId="659A0A19" w14:textId="77777777" w:rsidR="00EF2602" w:rsidRPr="000F1718" w:rsidRDefault="00EF2602" w:rsidP="00B5200B">
      <w:pPr>
        <w:jc w:val="both"/>
        <w:rPr>
          <w:lang w:val="es-MX"/>
        </w:rPr>
      </w:pPr>
      <w:r>
        <w:t>Managua, Nicaragua</w:t>
      </w:r>
    </w:p>
    <w:p w14:paraId="61824496" w14:textId="4BD8D348" w:rsidR="00AA13B5" w:rsidRPr="000F1718" w:rsidRDefault="00453BE2" w:rsidP="00AA13B5">
      <w:pPr>
        <w:jc w:val="both"/>
        <w:rPr>
          <w:i/>
          <w:iCs/>
        </w:rPr>
      </w:pPr>
      <w:r>
        <w:rPr>
          <w:i/>
          <w:iCs/>
        </w:rPr>
        <w:t>Centro Humboldt es</w:t>
      </w:r>
      <w:r w:rsidRPr="000F1718">
        <w:rPr>
          <w:i/>
          <w:iCs/>
        </w:rPr>
        <w:t xml:space="preserve"> una organización nicaragüense sin fines de lucro, dedicada a promover el desarrollo territorial mediante la gestión sostenible del Medio Ambiente y los recursos naturales</w:t>
      </w:r>
      <w:r>
        <w:rPr>
          <w:i/>
          <w:iCs/>
        </w:rPr>
        <w:t xml:space="preserve">. </w:t>
      </w:r>
      <w:r w:rsidR="00573C07">
        <w:rPr>
          <w:i/>
          <w:iCs/>
        </w:rPr>
        <w:t xml:space="preserve">El Centro acompaña al Movimiento Comunal Santa Cruz de La India en acciones de </w:t>
      </w:r>
      <w:r w:rsidR="001331A2" w:rsidRPr="005B113E">
        <w:rPr>
          <w:i/>
          <w:iCs/>
        </w:rPr>
        <w:t xml:space="preserve">defensoría </w:t>
      </w:r>
      <w:r w:rsidR="00350F18">
        <w:rPr>
          <w:i/>
          <w:iCs/>
        </w:rPr>
        <w:t>s</w:t>
      </w:r>
      <w:r w:rsidR="001331A2" w:rsidRPr="005B113E">
        <w:rPr>
          <w:i/>
          <w:iCs/>
        </w:rPr>
        <w:t>ocio</w:t>
      </w:r>
      <w:r w:rsidR="00575F14" w:rsidRPr="005B113E">
        <w:rPr>
          <w:i/>
          <w:iCs/>
        </w:rPr>
        <w:t>ambiental</w:t>
      </w:r>
      <w:r w:rsidR="00575F14">
        <w:rPr>
          <w:i/>
          <w:iCs/>
        </w:rPr>
        <w:t>.</w:t>
      </w:r>
      <w:r w:rsidR="00573C07">
        <w:rPr>
          <w:i/>
          <w:iCs/>
        </w:rPr>
        <w:t xml:space="preserve"> Para información adicional acerca del Centro Humboldt, su misión y sus actividades, </w:t>
      </w:r>
      <w:r w:rsidR="00573C07" w:rsidRPr="002756B9">
        <w:rPr>
          <w:i/>
          <w:iCs/>
        </w:rPr>
        <w:t>ver:</w:t>
      </w:r>
      <w:r w:rsidR="00573C07" w:rsidRPr="002756B9">
        <w:t xml:space="preserve"> https://humboldt.org.ni/</w:t>
      </w:r>
      <w:r w:rsidR="00573C07">
        <w:rPr>
          <w:i/>
          <w:iCs/>
        </w:rPr>
        <w:t>.</w:t>
      </w:r>
    </w:p>
    <w:p w14:paraId="5D8E10B9" w14:textId="77777777" w:rsidR="00AA13B5" w:rsidRPr="00AA13B5" w:rsidRDefault="00AA13B5" w:rsidP="00AA13B5">
      <w:pPr>
        <w:jc w:val="both"/>
        <w:rPr>
          <w:b/>
          <w:bCs/>
        </w:rPr>
      </w:pPr>
    </w:p>
    <w:p w14:paraId="2E246811" w14:textId="05F2E602" w:rsidR="00AA13B5" w:rsidRPr="002756B9" w:rsidRDefault="002756B9" w:rsidP="00AA13B5">
      <w:pPr>
        <w:jc w:val="both"/>
        <w:rPr>
          <w:b/>
          <w:bCs/>
          <w:lang w:val="en-US"/>
        </w:rPr>
      </w:pPr>
      <w:r w:rsidRPr="002756B9">
        <w:rPr>
          <w:b/>
          <w:bCs/>
          <w:lang w:val="en-US"/>
        </w:rPr>
        <w:t>The Center for International Environmental Law</w:t>
      </w:r>
      <w:r w:rsidR="00AA13B5" w:rsidRPr="002756B9">
        <w:rPr>
          <w:b/>
          <w:bCs/>
          <w:lang w:val="en-US"/>
        </w:rPr>
        <w:t xml:space="preserve"> (CIEL)</w:t>
      </w:r>
    </w:p>
    <w:p w14:paraId="45B92C5E" w14:textId="77777777" w:rsidR="00EF2602" w:rsidRDefault="00EF2602" w:rsidP="00AA13B5">
      <w:pPr>
        <w:jc w:val="both"/>
      </w:pPr>
      <w:r>
        <w:t>Washington, D.C.</w:t>
      </w:r>
    </w:p>
    <w:p w14:paraId="6BE7E3F8" w14:textId="77777777" w:rsidR="00EF2602" w:rsidRPr="000F1718" w:rsidRDefault="00EF2602" w:rsidP="00AA13B5">
      <w:pPr>
        <w:jc w:val="both"/>
      </w:pPr>
      <w:r>
        <w:t>Estados Unidos de América</w:t>
      </w:r>
    </w:p>
    <w:p w14:paraId="3A21886C" w14:textId="582E54E2" w:rsidR="00AA13B5" w:rsidRDefault="00EF2602" w:rsidP="00AA13B5">
      <w:pPr>
        <w:jc w:val="both"/>
      </w:pPr>
      <w:r>
        <w:rPr>
          <w:i/>
          <w:iCs/>
        </w:rPr>
        <w:t xml:space="preserve">Desde 1989, </w:t>
      </w:r>
      <w:r w:rsidR="00770D08">
        <w:rPr>
          <w:i/>
          <w:iCs/>
        </w:rPr>
        <w:t>el Centro para el Derecho Ambiental Internacional (CIEL)</w:t>
      </w:r>
      <w:r>
        <w:rPr>
          <w:i/>
          <w:iCs/>
        </w:rPr>
        <w:t xml:space="preserve"> ha empleado la fuerza del derecho para la protección del ambiente y la promoción de los derechos humanos. </w:t>
      </w:r>
      <w:r w:rsidR="00AA13B5">
        <w:rPr>
          <w:i/>
          <w:iCs/>
        </w:rPr>
        <w:t>CIEL acompaña al Movimiento Comunal Santa Cruz de La India en acciones de incidencia y rendición de cuentas</w:t>
      </w:r>
      <w:r w:rsidR="00350F18">
        <w:rPr>
          <w:i/>
          <w:iCs/>
        </w:rPr>
        <w:t>,</w:t>
      </w:r>
      <w:r w:rsidR="00AA13B5">
        <w:rPr>
          <w:i/>
          <w:iCs/>
        </w:rPr>
        <w:t xml:space="preserve"> resaltando las violaciones de derechos humanos que ha ocasionado el proyecto Mina La India en Nicaragua. Para información adicional acerca de CIEL, su misión y sus actividades, ver: </w:t>
      </w:r>
      <w:r w:rsidR="00573C07" w:rsidRPr="000F1718">
        <w:t>www.ciel.org</w:t>
      </w:r>
      <w:r w:rsidR="00AA13B5">
        <w:rPr>
          <w:i/>
          <w:iCs/>
        </w:rPr>
        <w:t>.</w:t>
      </w:r>
    </w:p>
    <w:p w14:paraId="1EB6D9B8" w14:textId="77777777" w:rsidR="00AA13B5" w:rsidRPr="00770D08" w:rsidRDefault="00AA13B5" w:rsidP="00AA13B5">
      <w:pPr>
        <w:jc w:val="both"/>
        <w:rPr>
          <w:sz w:val="32"/>
          <w:szCs w:val="32"/>
        </w:rPr>
      </w:pPr>
    </w:p>
    <w:p w14:paraId="67CB28A8" w14:textId="77777777" w:rsidR="00AA13B5" w:rsidRDefault="00AA13B5" w:rsidP="00AA13B5">
      <w:pPr>
        <w:jc w:val="both"/>
      </w:pPr>
      <w:r>
        <w:t>Para más información, comunicarse con:</w:t>
      </w:r>
    </w:p>
    <w:p w14:paraId="77E39370" w14:textId="77777777" w:rsidR="00AA13B5" w:rsidRDefault="00AA13B5" w:rsidP="00AA13B5">
      <w:pPr>
        <w:jc w:val="both"/>
      </w:pPr>
    </w:p>
    <w:p w14:paraId="709C2ACB" w14:textId="77777777" w:rsidR="00AA13B5" w:rsidRDefault="00AA13B5" w:rsidP="00AA13B5">
      <w:pPr>
        <w:jc w:val="both"/>
      </w:pPr>
      <w:r>
        <w:rPr>
          <w:b/>
          <w:bCs/>
        </w:rPr>
        <w:t>Olman Onel Salazar Umanzor</w:t>
      </w:r>
    </w:p>
    <w:p w14:paraId="3222985F" w14:textId="77777777" w:rsidR="00AA13B5" w:rsidRDefault="00EF2602" w:rsidP="00AA13B5">
      <w:pPr>
        <w:jc w:val="both"/>
      </w:pPr>
      <w:r>
        <w:t xml:space="preserve">Coordinador, </w:t>
      </w:r>
      <w:r w:rsidR="00AA13B5">
        <w:t>Movimiento Comunal Santa Cruz de La India</w:t>
      </w:r>
    </w:p>
    <w:p w14:paraId="743C3A44" w14:textId="77777777" w:rsidR="00AA13B5" w:rsidRPr="000F1718" w:rsidRDefault="00AA13B5" w:rsidP="00AA13B5">
      <w:pPr>
        <w:jc w:val="both"/>
        <w:rPr>
          <w:lang w:val="es-MX"/>
        </w:rPr>
      </w:pPr>
      <w:r w:rsidRPr="000F1718">
        <w:rPr>
          <w:lang w:val="es-MX"/>
        </w:rPr>
        <w:t>uolmanonel@yahoo.com | +505 8939 2001</w:t>
      </w:r>
    </w:p>
    <w:p w14:paraId="45944707" w14:textId="77777777" w:rsidR="00AA13B5" w:rsidRPr="000F1718" w:rsidRDefault="00AA13B5" w:rsidP="00AA13B5">
      <w:pPr>
        <w:jc w:val="both"/>
        <w:rPr>
          <w:lang w:val="es-MX"/>
        </w:rPr>
      </w:pPr>
    </w:p>
    <w:p w14:paraId="6475A8FD" w14:textId="77777777" w:rsidR="00AA13B5" w:rsidRPr="000F1718" w:rsidRDefault="00AA13B5" w:rsidP="00AA13B5">
      <w:pPr>
        <w:jc w:val="both"/>
        <w:rPr>
          <w:lang w:val="es-MX"/>
        </w:rPr>
      </w:pPr>
      <w:r w:rsidRPr="000F1718">
        <w:rPr>
          <w:b/>
          <w:bCs/>
          <w:lang w:val="es-MX"/>
        </w:rPr>
        <w:t>Heizel Torrez</w:t>
      </w:r>
    </w:p>
    <w:p w14:paraId="10E0DCC3" w14:textId="77777777" w:rsidR="00AA13B5" w:rsidRPr="000F1718" w:rsidRDefault="00EF2602" w:rsidP="00AA13B5">
      <w:pPr>
        <w:jc w:val="both"/>
      </w:pPr>
      <w:r w:rsidRPr="000F1718">
        <w:t xml:space="preserve">Oficial de Minería, </w:t>
      </w:r>
      <w:r w:rsidR="00AA13B5" w:rsidRPr="000F1718">
        <w:t>Centro Alexander von Humboldt</w:t>
      </w:r>
    </w:p>
    <w:p w14:paraId="1D81D911" w14:textId="478B1A42" w:rsidR="00AA13B5" w:rsidRPr="000F1718" w:rsidRDefault="00AA13B5" w:rsidP="00B466FA">
      <w:pPr>
        <w:tabs>
          <w:tab w:val="center" w:pos="5386"/>
        </w:tabs>
        <w:jc w:val="both"/>
      </w:pPr>
      <w:r w:rsidRPr="000F1718">
        <w:t xml:space="preserve">heizel.torrez@humboldt.org.ni | +505 </w:t>
      </w:r>
      <w:r w:rsidR="00B466FA">
        <w:t>8387</w:t>
      </w:r>
      <w:r w:rsidR="00521427">
        <w:t xml:space="preserve"> </w:t>
      </w:r>
      <w:r w:rsidR="00B466FA">
        <w:t>6023</w:t>
      </w:r>
    </w:p>
    <w:p w14:paraId="19712BCF" w14:textId="77777777" w:rsidR="00AA13B5" w:rsidRPr="000F1718" w:rsidRDefault="00AA13B5" w:rsidP="00AA13B5">
      <w:pPr>
        <w:jc w:val="both"/>
      </w:pPr>
    </w:p>
    <w:p w14:paraId="25AA5461" w14:textId="77777777" w:rsidR="00AA13B5" w:rsidRPr="000F1718" w:rsidRDefault="00AA13B5" w:rsidP="00AA13B5">
      <w:pPr>
        <w:jc w:val="both"/>
        <w:rPr>
          <w:lang w:val="es-MX"/>
        </w:rPr>
      </w:pPr>
      <w:r w:rsidRPr="000F1718">
        <w:rPr>
          <w:b/>
          <w:bCs/>
          <w:lang w:val="es-MX"/>
        </w:rPr>
        <w:t>Carla García Zendejas</w:t>
      </w:r>
    </w:p>
    <w:p w14:paraId="1273DF37" w14:textId="77777777" w:rsidR="00AA13B5" w:rsidRDefault="00EF2602" w:rsidP="00AA13B5">
      <w:pPr>
        <w:jc w:val="both"/>
      </w:pPr>
      <w:r>
        <w:t xml:space="preserve">Abogada, </w:t>
      </w:r>
      <w:r w:rsidR="00AA13B5" w:rsidRPr="000F1718">
        <w:t>Centro para el Derecho Ambiental Internacional</w:t>
      </w:r>
    </w:p>
    <w:p w14:paraId="0246E985" w14:textId="5C1B81FE" w:rsidR="00AA13B5" w:rsidRDefault="00AA13B5" w:rsidP="00AA13B5">
      <w:pPr>
        <w:jc w:val="both"/>
        <w:rPr>
          <w:lang w:val="en-US"/>
        </w:rPr>
      </w:pPr>
      <w:r>
        <w:t>cgarcia</w:t>
      </w:r>
      <w:r>
        <w:rPr>
          <w:lang w:val="en-US"/>
        </w:rPr>
        <w:t xml:space="preserve">@ciel.org | </w:t>
      </w:r>
      <w:r w:rsidRPr="00AA13B5">
        <w:rPr>
          <w:lang w:val="en-US"/>
        </w:rPr>
        <w:t>+1 202 374</w:t>
      </w:r>
      <w:r w:rsidR="00521427">
        <w:rPr>
          <w:lang w:val="en-US"/>
        </w:rPr>
        <w:t xml:space="preserve"> </w:t>
      </w:r>
      <w:r w:rsidRPr="00AA13B5">
        <w:rPr>
          <w:lang w:val="en-US"/>
        </w:rPr>
        <w:t>2550</w:t>
      </w:r>
    </w:p>
    <w:p w14:paraId="51BB0BA1" w14:textId="0B289D54" w:rsidR="00376055" w:rsidRPr="00F714C9" w:rsidRDefault="00376055" w:rsidP="00F714C9">
      <w:pPr>
        <w:rPr>
          <w:lang w:val="en-US"/>
        </w:rPr>
      </w:pPr>
    </w:p>
    <w:sectPr w:rsidR="00376055" w:rsidRPr="00F714C9" w:rsidSect="0000003F">
      <w:headerReference w:type="default" r:id="rId8"/>
      <w:footerReference w:type="even" r:id="rId9"/>
      <w:footerReference w:type="default" r:id="rId10"/>
      <w:pgSz w:w="12240" w:h="15840" w:code="1"/>
      <w:pgMar w:top="709" w:right="758" w:bottom="993" w:left="709"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B61D21" w14:textId="77777777" w:rsidR="00FE7B7A" w:rsidRDefault="00FE7B7A" w:rsidP="00A44DEE">
      <w:r>
        <w:separator/>
      </w:r>
    </w:p>
  </w:endnote>
  <w:endnote w:type="continuationSeparator" w:id="0">
    <w:p w14:paraId="1C6A00D3" w14:textId="77777777" w:rsidR="00FE7B7A" w:rsidRDefault="00FE7B7A" w:rsidP="00A44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ato">
    <w:altName w:val="Calibri"/>
    <w:charset w:val="00"/>
    <w:family w:val="swiss"/>
    <w:pitch w:val="variable"/>
    <w:sig w:usb0="A00000AF" w:usb1="50006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3646224"/>
      <w:docPartObj>
        <w:docPartGallery w:val="Page Numbers (Bottom of Page)"/>
        <w:docPartUnique/>
      </w:docPartObj>
    </w:sdtPr>
    <w:sdtEndPr>
      <w:rPr>
        <w:rStyle w:val="PageNumber"/>
      </w:rPr>
    </w:sdtEndPr>
    <w:sdtContent>
      <w:p w14:paraId="1C88849E" w14:textId="0B097E63" w:rsidR="0000003F" w:rsidRDefault="0000003F" w:rsidP="00B704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03A05A" w14:textId="77777777" w:rsidR="0000003F" w:rsidRDefault="0000003F" w:rsidP="000000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995B2" w14:textId="77777777" w:rsidR="0000003F" w:rsidRDefault="0000003F" w:rsidP="00B70485">
    <w:pPr>
      <w:pStyle w:val="Footer"/>
      <w:framePr w:wrap="none" w:vAnchor="text" w:hAnchor="margin" w:xAlign="right" w:y="1"/>
      <w:rPr>
        <w:rStyle w:val="PageNumber"/>
        <w:sz w:val="16"/>
        <w:szCs w:val="16"/>
      </w:rPr>
    </w:pPr>
  </w:p>
  <w:p w14:paraId="3E5A3656" w14:textId="77777777" w:rsidR="0000003F" w:rsidRDefault="0000003F" w:rsidP="00B70485">
    <w:pPr>
      <w:pStyle w:val="Footer"/>
      <w:framePr w:wrap="none" w:vAnchor="text" w:hAnchor="margin" w:xAlign="right" w:y="1"/>
      <w:rPr>
        <w:rStyle w:val="PageNumber"/>
        <w:sz w:val="16"/>
        <w:szCs w:val="16"/>
      </w:rPr>
    </w:pPr>
  </w:p>
  <w:p w14:paraId="35F00A96" w14:textId="77777777" w:rsidR="0000003F" w:rsidRDefault="0000003F" w:rsidP="00B70485">
    <w:pPr>
      <w:pStyle w:val="Footer"/>
      <w:framePr w:wrap="none" w:vAnchor="text" w:hAnchor="margin" w:xAlign="right" w:y="1"/>
      <w:rPr>
        <w:rStyle w:val="PageNumber"/>
        <w:sz w:val="16"/>
        <w:szCs w:val="16"/>
      </w:rPr>
    </w:pPr>
  </w:p>
  <w:sdt>
    <w:sdtPr>
      <w:rPr>
        <w:rStyle w:val="PageNumber"/>
        <w:sz w:val="16"/>
        <w:szCs w:val="16"/>
      </w:rPr>
      <w:id w:val="642006868"/>
      <w:docPartObj>
        <w:docPartGallery w:val="Page Numbers (Bottom of Page)"/>
        <w:docPartUnique/>
      </w:docPartObj>
    </w:sdtPr>
    <w:sdtEndPr>
      <w:rPr>
        <w:rStyle w:val="PageNumber"/>
        <w:rFonts w:ascii="Calibri" w:hAnsi="Calibri" w:cs="Calibri"/>
        <w:color w:val="595959" w:themeColor="text1" w:themeTint="A6"/>
      </w:rPr>
    </w:sdtEndPr>
    <w:sdtContent>
      <w:p w14:paraId="29E39216" w14:textId="6392D40F" w:rsidR="0000003F" w:rsidRPr="0000003F" w:rsidRDefault="0000003F" w:rsidP="0000003F">
        <w:pPr>
          <w:pStyle w:val="Footer"/>
          <w:framePr w:wrap="none" w:vAnchor="text" w:hAnchor="margin" w:xAlign="right" w:y="1"/>
          <w:jc w:val="right"/>
          <w:rPr>
            <w:rStyle w:val="PageNumber"/>
            <w:rFonts w:ascii="Cambria" w:hAnsi="Cambria" w:cs="Calibri"/>
            <w:color w:val="595959" w:themeColor="text1" w:themeTint="A6"/>
            <w:sz w:val="16"/>
            <w:szCs w:val="16"/>
          </w:rPr>
        </w:pPr>
        <w:r w:rsidRPr="00A02D0A">
          <w:rPr>
            <w:rStyle w:val="PageNumber"/>
            <w:rFonts w:ascii="Calibri" w:hAnsi="Calibri" w:cs="Calibri"/>
            <w:color w:val="595959" w:themeColor="text1" w:themeTint="A6"/>
            <w:sz w:val="16"/>
            <w:szCs w:val="16"/>
          </w:rPr>
          <w:fldChar w:fldCharType="begin"/>
        </w:r>
        <w:r w:rsidRPr="00A02D0A">
          <w:rPr>
            <w:rStyle w:val="PageNumber"/>
            <w:rFonts w:ascii="Calibri" w:hAnsi="Calibri" w:cs="Calibri"/>
            <w:color w:val="595959" w:themeColor="text1" w:themeTint="A6"/>
            <w:sz w:val="16"/>
            <w:szCs w:val="16"/>
          </w:rPr>
          <w:instrText xml:space="preserve"> PAGE </w:instrText>
        </w:r>
        <w:r w:rsidRPr="00A02D0A">
          <w:rPr>
            <w:rStyle w:val="PageNumber"/>
            <w:rFonts w:ascii="Calibri" w:hAnsi="Calibri" w:cs="Calibri"/>
            <w:color w:val="595959" w:themeColor="text1" w:themeTint="A6"/>
            <w:sz w:val="16"/>
            <w:szCs w:val="16"/>
          </w:rPr>
          <w:fldChar w:fldCharType="separate"/>
        </w:r>
        <w:r w:rsidR="0065741C">
          <w:rPr>
            <w:rStyle w:val="PageNumber"/>
            <w:rFonts w:ascii="Calibri" w:hAnsi="Calibri" w:cs="Calibri"/>
            <w:noProof/>
            <w:color w:val="595959" w:themeColor="text1" w:themeTint="A6"/>
            <w:sz w:val="16"/>
            <w:szCs w:val="16"/>
          </w:rPr>
          <w:t>1</w:t>
        </w:r>
        <w:r w:rsidRPr="00A02D0A">
          <w:rPr>
            <w:rStyle w:val="PageNumber"/>
            <w:rFonts w:ascii="Calibri" w:hAnsi="Calibri" w:cs="Calibri"/>
            <w:color w:val="595959" w:themeColor="text1" w:themeTint="A6"/>
            <w:sz w:val="16"/>
            <w:szCs w:val="16"/>
          </w:rPr>
          <w:fldChar w:fldCharType="end"/>
        </w:r>
      </w:p>
    </w:sdtContent>
  </w:sdt>
  <w:p w14:paraId="3CA450B4" w14:textId="77777777" w:rsidR="00B5200B" w:rsidRPr="0000003F" w:rsidRDefault="00B5200B" w:rsidP="0000003F">
    <w:pPr>
      <w:pStyle w:val="Footer"/>
      <w:ind w:right="360"/>
      <w:rPr>
        <w:sz w:val="16"/>
        <w:szCs w:val="16"/>
      </w:rPr>
    </w:pPr>
    <w:r w:rsidRPr="0000003F">
      <w:rPr>
        <w:noProof/>
        <w:sz w:val="16"/>
        <w:szCs w:val="16"/>
        <w:lang w:val="en-GB" w:eastAsia="en-GB"/>
      </w:rPr>
      <w:drawing>
        <wp:anchor distT="0" distB="0" distL="114300" distR="114300" simplePos="0" relativeHeight="251659264" behindDoc="0" locked="0" layoutInCell="1" allowOverlap="1" wp14:anchorId="67DD86A4" wp14:editId="38831DF7">
          <wp:simplePos x="0" y="0"/>
          <wp:positionH relativeFrom="column">
            <wp:posOffset>-170180</wp:posOffset>
          </wp:positionH>
          <wp:positionV relativeFrom="paragraph">
            <wp:posOffset>-27305</wp:posOffset>
          </wp:positionV>
          <wp:extent cx="7174230" cy="349250"/>
          <wp:effectExtent l="0" t="0" r="0" b="0"/>
          <wp:wrapThrough wrapText="bothSides">
            <wp:wrapPolygon edited="0">
              <wp:start x="0" y="0"/>
              <wp:lineTo x="0" y="9425"/>
              <wp:lineTo x="4302" y="20029"/>
              <wp:lineTo x="17379" y="20029"/>
              <wp:lineTo x="21566" y="3535"/>
              <wp:lineTo x="21566" y="0"/>
              <wp:lineTo x="0" y="0"/>
            </wp:wrapPolygon>
          </wp:wrapThrough>
          <wp:docPr id="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4230" cy="349250"/>
                  </a:xfrm>
                  <a:prstGeom prst="rect">
                    <a:avLst/>
                  </a:prstGeom>
                  <a:noFill/>
                </pic:spPr>
              </pic:pic>
            </a:graphicData>
          </a:graphic>
          <wp14:sizeRelH relativeFrom="page">
            <wp14:pctWidth>0</wp14:pctWidth>
          </wp14:sizeRelH>
          <wp14:sizeRelV relativeFrom="page">
            <wp14:pctHeight>0</wp14:pctHeight>
          </wp14:sizeRelV>
        </wp:anchor>
      </w:drawing>
    </w:r>
    <w:r w:rsidRPr="0000003F">
      <w:rPr>
        <w:noProof/>
        <w:sz w:val="16"/>
        <w:szCs w:val="16"/>
        <w:lang w:val="en-GB" w:eastAsia="en-GB"/>
      </w:rPr>
      <mc:AlternateContent>
        <mc:Choice Requires="wps">
          <w:drawing>
            <wp:anchor distT="0" distB="0" distL="114935" distR="114935" simplePos="0" relativeHeight="251658240" behindDoc="1" locked="0" layoutInCell="1" allowOverlap="1" wp14:anchorId="19216526" wp14:editId="3132232B">
              <wp:simplePos x="0" y="0"/>
              <wp:positionH relativeFrom="column">
                <wp:posOffset>581660</wp:posOffset>
              </wp:positionH>
              <wp:positionV relativeFrom="paragraph">
                <wp:posOffset>9370060</wp:posOffset>
              </wp:positionV>
              <wp:extent cx="6581775" cy="457200"/>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4572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0EF703"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9216526" id="_x0000_t202" coordsize="21600,21600" o:spt="202" path="m,l,21600r21600,l21600,xe">
              <v:stroke joinstyle="miter"/>
              <v:path gradientshapeok="t" o:connecttype="rect"/>
            </v:shapetype>
            <v:shape id="Text Box 12" o:spid="_x0000_s1026" type="#_x0000_t202" style="position:absolute;margin-left:45.8pt;margin-top:737.8pt;width:518.25pt;height:36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" stroked="f">
              <v:fill opacity="0"/>
              <v:textbox inset="0,0,0,0">
                <w:txbxContent>
                  <w:p w14:paraId="5D0EF703"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v:textbox>
            </v:shape>
          </w:pict>
        </mc:Fallback>
      </mc:AlternateContent>
    </w:r>
    <w:r w:rsidRPr="0000003F">
      <w:rPr>
        <w:noProof/>
        <w:sz w:val="16"/>
        <w:szCs w:val="16"/>
        <w:lang w:val="en-GB" w:eastAsia="en-GB"/>
      </w:rPr>
      <mc:AlternateContent>
        <mc:Choice Requires="wps">
          <w:drawing>
            <wp:anchor distT="0" distB="0" distL="114935" distR="114935" simplePos="0" relativeHeight="251657216" behindDoc="1" locked="0" layoutInCell="1" allowOverlap="1" wp14:anchorId="6B7C0395" wp14:editId="0FA2589A">
              <wp:simplePos x="0" y="0"/>
              <wp:positionH relativeFrom="column">
                <wp:posOffset>581660</wp:posOffset>
              </wp:positionH>
              <wp:positionV relativeFrom="paragraph">
                <wp:posOffset>9370060</wp:posOffset>
              </wp:positionV>
              <wp:extent cx="6581775" cy="457200"/>
              <wp:effectExtent l="0" t="0" r="0" b="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4572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E34A8D"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7C0395" id="_x0000_s1027" type="#_x0000_t202" style="position:absolute;margin-left:45.8pt;margin-top:737.8pt;width:518.25pt;height:36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" stroked="f">
              <v:fill opacity="0"/>
              <v:textbox inset="0,0,0,0">
                <w:txbxContent>
                  <w:p w14:paraId="50E34A8D"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v:textbox>
            </v:shape>
          </w:pict>
        </mc:Fallback>
      </mc:AlternateContent>
    </w:r>
    <w:r w:rsidRPr="0000003F">
      <w:rPr>
        <w:noProof/>
        <w:sz w:val="16"/>
        <w:szCs w:val="16"/>
        <w:lang w:val="en-GB" w:eastAsia="en-GB"/>
      </w:rPr>
      <mc:AlternateContent>
        <mc:Choice Requires="wps">
          <w:drawing>
            <wp:anchor distT="0" distB="0" distL="114935" distR="114935" simplePos="0" relativeHeight="251656192" behindDoc="1" locked="0" layoutInCell="1" allowOverlap="1" wp14:anchorId="622DCDF5" wp14:editId="12430AD2">
              <wp:simplePos x="0" y="0"/>
              <wp:positionH relativeFrom="column">
                <wp:posOffset>581660</wp:posOffset>
              </wp:positionH>
              <wp:positionV relativeFrom="paragraph">
                <wp:posOffset>9370060</wp:posOffset>
              </wp:positionV>
              <wp:extent cx="6581775" cy="457200"/>
              <wp:effectExtent l="0" t="0" r="0" b="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4572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2D9010"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2DCDF5" id="_x0000_s1028" type="#_x0000_t202" style="position:absolute;margin-left:45.8pt;margin-top:737.8pt;width:518.25pt;height:36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" stroked="f">
              <v:fill opacity="0"/>
              <v:textbox inset="0,0,0,0">
                <w:txbxContent>
                  <w:p w14:paraId="092D9010"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v:textbox>
            </v:shape>
          </w:pict>
        </mc:Fallback>
      </mc:AlternateContent>
    </w:r>
    <w:r w:rsidRPr="0000003F">
      <w:rPr>
        <w:noProof/>
        <w:sz w:val="16"/>
        <w:szCs w:val="16"/>
        <w:lang w:val="en-GB" w:eastAsia="en-GB"/>
      </w:rPr>
      <mc:AlternateContent>
        <mc:Choice Requires="wps">
          <w:drawing>
            <wp:anchor distT="0" distB="0" distL="114935" distR="114935" simplePos="0" relativeHeight="251655168" behindDoc="1" locked="0" layoutInCell="1" allowOverlap="1" wp14:anchorId="3102D376" wp14:editId="5477200C">
              <wp:simplePos x="0" y="0"/>
              <wp:positionH relativeFrom="column">
                <wp:posOffset>581660</wp:posOffset>
              </wp:positionH>
              <wp:positionV relativeFrom="paragraph">
                <wp:posOffset>9370060</wp:posOffset>
              </wp:positionV>
              <wp:extent cx="6581775" cy="457200"/>
              <wp:effectExtent l="0" t="0" r="0" b="0"/>
              <wp:wrapNone/>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4572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5CD6A9"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02D376" id="_x0000_s1029" type="#_x0000_t202" style="position:absolute;margin-left:45.8pt;margin-top:737.8pt;width:518.25pt;height:36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" stroked="f">
              <v:fill opacity="0"/>
              <v:textbox inset="0,0,0,0">
                <w:txbxContent>
                  <w:p w14:paraId="775CD6A9" w14:textId="77777777" w:rsidR="00B5200B" w:rsidRPr="00D51BF5" w:rsidRDefault="00B5200B" w:rsidP="00D51BF5">
                    <w:pPr>
                      <w:jc w:val="center"/>
                      <w:rPr>
                        <w:rFonts w:ascii="Lato" w:hAnsi="Lato" w:cs="Arial"/>
                        <w:color w:val="595959"/>
                        <w:sz w:val="16"/>
                        <w:szCs w:val="16"/>
                      </w:rPr>
                    </w:pPr>
                    <w:r w:rsidRPr="00D51BF5">
                      <w:rPr>
                        <w:rFonts w:ascii="Lato" w:hAnsi="Lato" w:cs="Arial"/>
                        <w:color w:val="595959"/>
                        <w:sz w:val="16"/>
                        <w:szCs w:val="16"/>
                      </w:rPr>
                      <w:t>•Centro Alexander von Humboldt • Busto José Martí 5 cuadras al este. Bº Largaespada, Managua                                                                                                               •Tel: (505) 2248-7149, 2248-7150, 2248-7151 Fax: (505) 2248-7152 • www.humboldt.org.ni</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64F9B" w14:textId="77777777" w:rsidR="00FE7B7A" w:rsidRDefault="00FE7B7A" w:rsidP="00A44DEE">
      <w:r>
        <w:separator/>
      </w:r>
    </w:p>
  </w:footnote>
  <w:footnote w:type="continuationSeparator" w:id="0">
    <w:p w14:paraId="154045AF" w14:textId="77777777" w:rsidR="00FE7B7A" w:rsidRDefault="00FE7B7A" w:rsidP="00A44DEE">
      <w:r>
        <w:continuationSeparator/>
      </w:r>
    </w:p>
  </w:footnote>
  <w:footnote w:id="1">
    <w:p w14:paraId="79153F74" w14:textId="77777777" w:rsidR="00B5200B" w:rsidRPr="004A6172" w:rsidRDefault="00B5200B" w:rsidP="00192905">
      <w:pPr>
        <w:pStyle w:val="FootnoteText"/>
        <w:rPr>
          <w:sz w:val="18"/>
          <w:szCs w:val="18"/>
          <w:lang w:val="es-NI"/>
        </w:rPr>
      </w:pPr>
      <w:r w:rsidRPr="004A6172">
        <w:rPr>
          <w:rStyle w:val="FootnoteReference"/>
          <w:sz w:val="18"/>
          <w:szCs w:val="18"/>
        </w:rPr>
        <w:footnoteRef/>
      </w:r>
      <w:r w:rsidRPr="004A6172">
        <w:rPr>
          <w:sz w:val="18"/>
          <w:szCs w:val="18"/>
          <w:lang w:val="es-NI"/>
        </w:rPr>
        <w:t xml:space="preserve"> </w:t>
      </w:r>
      <w:hyperlink r:id="rId1" w:history="1">
        <w:r w:rsidRPr="004A6172">
          <w:rPr>
            <w:rStyle w:val="Hyperlink"/>
            <w:sz w:val="18"/>
            <w:szCs w:val="18"/>
            <w:lang w:val="es-NI"/>
          </w:rPr>
          <w:t>https://twitter.com/centrohumboldtn/status/1017779457443139584</w:t>
        </w:r>
      </w:hyperlink>
    </w:p>
  </w:footnote>
  <w:footnote w:id="2">
    <w:p w14:paraId="3F302FD7" w14:textId="77777777" w:rsidR="00B5200B" w:rsidRPr="004A6172" w:rsidRDefault="00B5200B" w:rsidP="00192905">
      <w:pPr>
        <w:pStyle w:val="FootnoteText"/>
        <w:rPr>
          <w:sz w:val="18"/>
          <w:szCs w:val="18"/>
          <w:lang w:val="es-NI"/>
        </w:rPr>
      </w:pPr>
      <w:r w:rsidRPr="004A6172">
        <w:rPr>
          <w:rStyle w:val="FootnoteReference"/>
          <w:sz w:val="18"/>
          <w:szCs w:val="18"/>
        </w:rPr>
        <w:footnoteRef/>
      </w:r>
      <w:r w:rsidRPr="004A6172">
        <w:rPr>
          <w:sz w:val="18"/>
          <w:szCs w:val="18"/>
          <w:lang w:val="es-NI"/>
        </w:rPr>
        <w:t xml:space="preserve"> </w:t>
      </w:r>
      <w:hyperlink r:id="rId2" w:history="1">
        <w:r w:rsidRPr="004A6172">
          <w:rPr>
            <w:rStyle w:val="Hyperlink"/>
            <w:sz w:val="18"/>
            <w:szCs w:val="18"/>
            <w:lang w:val="es-NI"/>
          </w:rPr>
          <w:t>https://humboldt.org.ni/mina-la-india-invalida-proceso-de-consulta-publica-de-minera/</w:t>
        </w:r>
      </w:hyperlink>
    </w:p>
  </w:footnote>
  <w:footnote w:id="3">
    <w:p w14:paraId="36A817C2" w14:textId="6987EA8E" w:rsidR="00D8664D" w:rsidRPr="004A6172" w:rsidRDefault="00D8664D">
      <w:pPr>
        <w:pStyle w:val="FootnoteText"/>
        <w:rPr>
          <w:sz w:val="18"/>
          <w:szCs w:val="18"/>
        </w:rPr>
      </w:pPr>
      <w:r w:rsidRPr="004A6172">
        <w:rPr>
          <w:rStyle w:val="FootnoteReference"/>
          <w:sz w:val="18"/>
          <w:szCs w:val="18"/>
        </w:rPr>
        <w:footnoteRef/>
      </w:r>
      <w:r w:rsidRPr="004A6172">
        <w:rPr>
          <w:sz w:val="18"/>
          <w:szCs w:val="18"/>
        </w:rPr>
        <w:t xml:space="preserve"> </w:t>
      </w:r>
      <w:hyperlink r:id="rId3" w:history="1">
        <w:r w:rsidR="006536B1" w:rsidRPr="00567057">
          <w:rPr>
            <w:rStyle w:val="Hyperlink"/>
            <w:sz w:val="18"/>
            <w:szCs w:val="18"/>
          </w:rPr>
          <w:t>http://www.cao-ombudsman.org/cases/document-links/documents/Nicaragua-Condorgold01-Complaint.pdf</w:t>
        </w:r>
      </w:hyperlink>
      <w:r w:rsidR="006536B1">
        <w:rPr>
          <w:sz w:val="18"/>
          <w:szCs w:val="18"/>
        </w:rPr>
        <w:t xml:space="preserve"> </w:t>
      </w:r>
    </w:p>
  </w:footnote>
  <w:footnote w:id="4">
    <w:p w14:paraId="69A44058" w14:textId="3D57F086" w:rsidR="00D8664D" w:rsidRPr="00B466FA" w:rsidRDefault="00D8664D">
      <w:pPr>
        <w:pStyle w:val="FootnoteText"/>
        <w:rPr>
          <w:sz w:val="18"/>
          <w:szCs w:val="18"/>
        </w:rPr>
      </w:pPr>
      <w:r w:rsidRPr="004A6172">
        <w:rPr>
          <w:rStyle w:val="FootnoteReference"/>
          <w:sz w:val="18"/>
          <w:szCs w:val="18"/>
        </w:rPr>
        <w:footnoteRef/>
      </w:r>
      <w:r w:rsidRPr="004A6172">
        <w:rPr>
          <w:sz w:val="18"/>
          <w:szCs w:val="18"/>
        </w:rPr>
        <w:t xml:space="preserve"> </w:t>
      </w:r>
      <w:hyperlink r:id="rId4" w:history="1">
        <w:r w:rsidR="006536B1" w:rsidRPr="00567057">
          <w:rPr>
            <w:rStyle w:val="Hyperlink"/>
            <w:sz w:val="18"/>
            <w:szCs w:val="18"/>
          </w:rPr>
          <w:t>https://www.ciel.org/news/riot-police-descend-local-activists-under-siege-nicaragua-mining-project/</w:t>
        </w:r>
      </w:hyperlink>
      <w:r w:rsidR="006536B1">
        <w:rPr>
          <w:sz w:val="18"/>
          <w:szCs w:val="18"/>
        </w:rPr>
        <w:t xml:space="preserve"> </w:t>
      </w:r>
    </w:p>
  </w:footnote>
  <w:footnote w:id="5">
    <w:p w14:paraId="5D456C20" w14:textId="77777777" w:rsidR="00B5200B" w:rsidRPr="004A6172" w:rsidRDefault="00B5200B" w:rsidP="007C5658">
      <w:pPr>
        <w:pStyle w:val="FootnoteText"/>
        <w:rPr>
          <w:sz w:val="18"/>
          <w:szCs w:val="18"/>
          <w:lang w:val="es-NI"/>
        </w:rPr>
      </w:pPr>
      <w:r w:rsidRPr="0068550C">
        <w:rPr>
          <w:rStyle w:val="FootnoteReference"/>
          <w:sz w:val="18"/>
          <w:szCs w:val="18"/>
        </w:rPr>
        <w:footnoteRef/>
      </w:r>
      <w:r w:rsidRPr="004A6172">
        <w:rPr>
          <w:sz w:val="18"/>
          <w:szCs w:val="18"/>
          <w:lang w:val="es-NI"/>
        </w:rPr>
        <w:t xml:space="preserve"> </w:t>
      </w:r>
      <w:hyperlink r:id="rId5" w:history="1">
        <w:r w:rsidRPr="004A6172">
          <w:rPr>
            <w:rStyle w:val="Hyperlink"/>
            <w:sz w:val="18"/>
            <w:szCs w:val="18"/>
            <w:lang w:val="es-NI"/>
          </w:rPr>
          <w:t>https://www.laprensa.com.ni/2020/01/02/nacionales/2622025-corporacion-financiera-internacional-ifc-retira-inversion-de-proyecto-minero</w:t>
        </w:r>
      </w:hyperlink>
    </w:p>
  </w:footnote>
  <w:footnote w:id="6">
    <w:p w14:paraId="4B51E0A4" w14:textId="77777777" w:rsidR="00B5200B" w:rsidRPr="004A6172" w:rsidRDefault="00B5200B" w:rsidP="007C5658">
      <w:pPr>
        <w:pStyle w:val="FootnoteText"/>
        <w:rPr>
          <w:sz w:val="18"/>
          <w:szCs w:val="18"/>
          <w:lang w:val="es-NI"/>
        </w:rPr>
      </w:pPr>
      <w:r w:rsidRPr="004A6172">
        <w:rPr>
          <w:rStyle w:val="FootnoteReference"/>
          <w:sz w:val="18"/>
          <w:szCs w:val="18"/>
        </w:rPr>
        <w:footnoteRef/>
      </w:r>
      <w:r w:rsidRPr="004A6172">
        <w:rPr>
          <w:sz w:val="18"/>
          <w:szCs w:val="18"/>
          <w:lang w:val="es-NI"/>
        </w:rPr>
        <w:t xml:space="preserve"> </w:t>
      </w:r>
      <w:hyperlink r:id="rId6" w:history="1">
        <w:r w:rsidRPr="004A6172">
          <w:rPr>
            <w:rStyle w:val="Hyperlink"/>
            <w:sz w:val="18"/>
            <w:szCs w:val="18"/>
            <w:lang w:val="es-NI"/>
          </w:rPr>
          <w:t>https://ondalocal.com.ni/noticias/810-policia-nicaragua-allana-casa-defensor-ambiental/</w:t>
        </w:r>
      </w:hyperlink>
      <w:r w:rsidRPr="004A6172">
        <w:rPr>
          <w:sz w:val="18"/>
          <w:szCs w:val="18"/>
          <w:lang w:val="es-NI"/>
        </w:rPr>
        <w:t xml:space="preserve"> </w:t>
      </w:r>
    </w:p>
  </w:footnote>
  <w:footnote w:id="7">
    <w:p w14:paraId="1F23C554" w14:textId="77777777" w:rsidR="00B5200B" w:rsidRPr="004A6172" w:rsidRDefault="00B5200B" w:rsidP="007C5658">
      <w:pPr>
        <w:pStyle w:val="FootnoteText"/>
        <w:rPr>
          <w:sz w:val="18"/>
          <w:szCs w:val="18"/>
          <w:lang w:val="es-NI"/>
        </w:rPr>
      </w:pPr>
      <w:r w:rsidRPr="004A6172">
        <w:rPr>
          <w:rStyle w:val="FootnoteReference"/>
          <w:sz w:val="18"/>
          <w:szCs w:val="18"/>
        </w:rPr>
        <w:footnoteRef/>
      </w:r>
      <w:r w:rsidRPr="004A6172">
        <w:rPr>
          <w:sz w:val="18"/>
          <w:szCs w:val="18"/>
          <w:lang w:val="es-NI"/>
        </w:rPr>
        <w:t xml:space="preserve"> </w:t>
      </w:r>
      <w:hyperlink r:id="rId7" w:history="1">
        <w:r w:rsidRPr="004A6172">
          <w:rPr>
            <w:rStyle w:val="Hyperlink"/>
            <w:sz w:val="18"/>
            <w:szCs w:val="18"/>
            <w:lang w:val="es-NI"/>
          </w:rPr>
          <w:t>https://100noticias.com.ni/nacionales/97301-nicaragua-fidel-dominguez-leon-hallanamientos-ileg/?fbclid=IwAR09b6DFJmlarOIvEcBSCHv2r1mE8HisJGIKdVZpb8eCJI60Wx7mZIRvxus</w:t>
        </w:r>
      </w:hyperlink>
    </w:p>
  </w:footnote>
  <w:footnote w:id="8">
    <w:p w14:paraId="3A55E183" w14:textId="77777777" w:rsidR="00B5200B" w:rsidRPr="004A6172" w:rsidRDefault="00B5200B" w:rsidP="007C5658">
      <w:pPr>
        <w:pStyle w:val="FootnoteText"/>
        <w:rPr>
          <w:sz w:val="18"/>
          <w:szCs w:val="18"/>
          <w:lang w:val="es-NI"/>
        </w:rPr>
      </w:pPr>
      <w:r w:rsidRPr="004A6172">
        <w:rPr>
          <w:rStyle w:val="FootnoteReference"/>
          <w:sz w:val="18"/>
          <w:szCs w:val="18"/>
        </w:rPr>
        <w:footnoteRef/>
      </w:r>
      <w:r w:rsidRPr="004A6172">
        <w:rPr>
          <w:sz w:val="18"/>
          <w:szCs w:val="18"/>
          <w:lang w:val="es-NI"/>
        </w:rPr>
        <w:t xml:space="preserve"> </w:t>
      </w:r>
      <w:hyperlink r:id="rId8" w:history="1">
        <w:r w:rsidRPr="004A6172">
          <w:rPr>
            <w:rStyle w:val="Hyperlink"/>
            <w:sz w:val="18"/>
            <w:szCs w:val="18"/>
            <w:lang w:val="es-NI"/>
          </w:rPr>
          <w:t>http://acafremin.org/es/noticias-regionales/nicaragua/430-acafremin-denuncia-los-atropellos-al-defensor-olman-salazar-y-a-su-familia-por-el-estado-orteguista</w:t>
        </w:r>
      </w:hyperlink>
    </w:p>
  </w:footnote>
  <w:footnote w:id="9">
    <w:p w14:paraId="0BB928B3" w14:textId="77777777" w:rsidR="00B5200B" w:rsidRPr="004A6172" w:rsidRDefault="00B5200B" w:rsidP="007C5658">
      <w:pPr>
        <w:pStyle w:val="FootnoteText"/>
        <w:rPr>
          <w:sz w:val="18"/>
          <w:szCs w:val="18"/>
          <w:lang w:val="es-NI"/>
        </w:rPr>
      </w:pPr>
      <w:r w:rsidRPr="004A6172">
        <w:rPr>
          <w:rStyle w:val="FootnoteReference"/>
          <w:sz w:val="18"/>
          <w:szCs w:val="18"/>
        </w:rPr>
        <w:footnoteRef/>
      </w:r>
      <w:r w:rsidRPr="004A6172">
        <w:rPr>
          <w:sz w:val="18"/>
          <w:szCs w:val="18"/>
          <w:lang w:val="es-NI"/>
        </w:rPr>
        <w:t xml:space="preserve"> </w:t>
      </w:r>
      <w:hyperlink r:id="rId9" w:history="1">
        <w:r w:rsidRPr="004A6172">
          <w:rPr>
            <w:rStyle w:val="Hyperlink"/>
            <w:sz w:val="18"/>
            <w:szCs w:val="18"/>
            <w:lang w:val="es-NI"/>
          </w:rPr>
          <w:t>https://www.ocmal.org/declaracion-publica/</w:t>
        </w:r>
      </w:hyperlink>
    </w:p>
  </w:footnote>
  <w:footnote w:id="10">
    <w:p w14:paraId="595B00CA" w14:textId="77777777" w:rsidR="00B5200B" w:rsidRPr="0068550C" w:rsidRDefault="00B5200B">
      <w:pPr>
        <w:pStyle w:val="FootnoteText"/>
        <w:rPr>
          <w:sz w:val="18"/>
          <w:szCs w:val="18"/>
          <w:lang w:val="es-NI"/>
        </w:rPr>
      </w:pPr>
      <w:r w:rsidRPr="0068550C">
        <w:rPr>
          <w:rStyle w:val="FootnoteReference"/>
          <w:sz w:val="18"/>
          <w:szCs w:val="18"/>
        </w:rPr>
        <w:footnoteRef/>
      </w:r>
      <w:r w:rsidRPr="0068550C">
        <w:rPr>
          <w:sz w:val="18"/>
          <w:szCs w:val="18"/>
          <w:lang w:val="es-NI"/>
        </w:rPr>
        <w:t xml:space="preserve">  </w:t>
      </w:r>
      <w:hyperlink r:id="rId10" w:history="1">
        <w:r w:rsidRPr="0068550C">
          <w:rPr>
            <w:rStyle w:val="Hyperlink"/>
            <w:sz w:val="18"/>
            <w:szCs w:val="18"/>
            <w:lang w:val="es-NI"/>
          </w:rPr>
          <w:t>https://www.mineria-pa.com/noticias/nicaragua-condor-gold-obtiene-ampliacion-para-cumplir-requisitos-del-proyecto-la-india/</w:t>
        </w:r>
      </w:hyperlink>
    </w:p>
  </w:footnote>
  <w:footnote w:id="11">
    <w:p w14:paraId="133A3434" w14:textId="77777777" w:rsidR="00D8664D" w:rsidRPr="0068550C" w:rsidRDefault="00D8664D" w:rsidP="00D8664D">
      <w:pPr>
        <w:pStyle w:val="FootnoteText"/>
        <w:rPr>
          <w:sz w:val="18"/>
          <w:szCs w:val="18"/>
        </w:rPr>
      </w:pPr>
      <w:r w:rsidRPr="0068550C">
        <w:rPr>
          <w:rStyle w:val="FootnoteReference"/>
          <w:sz w:val="18"/>
          <w:szCs w:val="18"/>
        </w:rPr>
        <w:footnoteRef/>
      </w:r>
      <w:r w:rsidRPr="0068550C">
        <w:rPr>
          <w:sz w:val="18"/>
          <w:szCs w:val="18"/>
        </w:rPr>
        <w:t xml:space="preserve"> https://www.benzinga.com/pressreleases/20/08/ac17065569/condor-significantly-de-risks-la-india-project-purchases-85-of-the-land-within-the-permitted-mine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0D53F" w14:textId="77777777" w:rsidR="00B5200B" w:rsidRPr="00A44DEE" w:rsidRDefault="00B5200B" w:rsidP="00A44DEE">
    <w:pPr>
      <w:pStyle w:val="Header"/>
    </w:pPr>
    <w:r>
      <w:rPr>
        <w:noProof/>
        <w:lang w:val="en-GB" w:eastAsia="en-GB"/>
      </w:rPr>
      <w:drawing>
        <wp:anchor distT="0" distB="0" distL="114300" distR="114300" simplePos="0" relativeHeight="251660288" behindDoc="0" locked="0" layoutInCell="1" allowOverlap="1" wp14:anchorId="07E62DEF" wp14:editId="247CEEAF">
          <wp:simplePos x="0" y="0"/>
          <wp:positionH relativeFrom="column">
            <wp:posOffset>67310</wp:posOffset>
          </wp:positionH>
          <wp:positionV relativeFrom="paragraph">
            <wp:posOffset>-69850</wp:posOffset>
          </wp:positionV>
          <wp:extent cx="6759575" cy="635635"/>
          <wp:effectExtent l="0" t="0" r="0" b="0"/>
          <wp:wrapThrough wrapText="bothSides">
            <wp:wrapPolygon edited="0">
              <wp:start x="609" y="0"/>
              <wp:lineTo x="0" y="5826"/>
              <wp:lineTo x="0" y="20715"/>
              <wp:lineTo x="21549" y="20715"/>
              <wp:lineTo x="21549" y="5179"/>
              <wp:lineTo x="20332" y="5179"/>
              <wp:lineTo x="1217" y="0"/>
              <wp:lineTo x="609" y="0"/>
            </wp:wrapPolygon>
          </wp:wrapThrough>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9575" cy="6356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5FA15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B5426F"/>
    <w:multiLevelType w:val="hybridMultilevel"/>
    <w:tmpl w:val="CD98F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B34651"/>
    <w:multiLevelType w:val="hybridMultilevel"/>
    <w:tmpl w:val="A88CA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951F4C"/>
    <w:multiLevelType w:val="hybridMultilevel"/>
    <w:tmpl w:val="CCF4401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814293A"/>
    <w:multiLevelType w:val="hybridMultilevel"/>
    <w:tmpl w:val="C31A53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E24FF0"/>
    <w:multiLevelType w:val="hybridMultilevel"/>
    <w:tmpl w:val="62B2CA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8329A1"/>
    <w:multiLevelType w:val="hybridMultilevel"/>
    <w:tmpl w:val="13063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8F2DE5"/>
    <w:multiLevelType w:val="hybridMultilevel"/>
    <w:tmpl w:val="C464A86C"/>
    <w:lvl w:ilvl="0" w:tplc="F8CC6B3E">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264B3B"/>
    <w:multiLevelType w:val="hybridMultilevel"/>
    <w:tmpl w:val="C71C28CC"/>
    <w:lvl w:ilvl="0" w:tplc="F8CC6B3E">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362D1A"/>
    <w:multiLevelType w:val="hybridMultilevel"/>
    <w:tmpl w:val="C082ED0A"/>
    <w:lvl w:ilvl="0" w:tplc="4AA063EE">
      <w:start w:val="1"/>
      <w:numFmt w:val="decimal"/>
      <w:lvlText w:val="%1."/>
      <w:lvlJc w:val="left"/>
      <w:pPr>
        <w:ind w:left="720" w:hanging="360"/>
      </w:pPr>
      <w:rPr>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4D2253"/>
    <w:multiLevelType w:val="hybridMultilevel"/>
    <w:tmpl w:val="DA1E7054"/>
    <w:lvl w:ilvl="0" w:tplc="3ED009B6">
      <w:start w:val="8"/>
      <w:numFmt w:val="bullet"/>
      <w:lvlText w:val="-"/>
      <w:lvlJc w:val="left"/>
      <w:pPr>
        <w:ind w:left="420" w:hanging="360"/>
      </w:pPr>
      <w:rPr>
        <w:rFonts w:ascii="Arial" w:eastAsia="Times New Roman" w:hAnsi="Arial" w:cs="Arial" w:hint="default"/>
      </w:rPr>
    </w:lvl>
    <w:lvl w:ilvl="1" w:tplc="4C0A0003" w:tentative="1">
      <w:start w:val="1"/>
      <w:numFmt w:val="bullet"/>
      <w:lvlText w:val="o"/>
      <w:lvlJc w:val="left"/>
      <w:pPr>
        <w:ind w:left="1140" w:hanging="360"/>
      </w:pPr>
      <w:rPr>
        <w:rFonts w:ascii="Courier New" w:hAnsi="Courier New" w:cs="Courier New" w:hint="default"/>
      </w:rPr>
    </w:lvl>
    <w:lvl w:ilvl="2" w:tplc="4C0A0005" w:tentative="1">
      <w:start w:val="1"/>
      <w:numFmt w:val="bullet"/>
      <w:lvlText w:val=""/>
      <w:lvlJc w:val="left"/>
      <w:pPr>
        <w:ind w:left="1860" w:hanging="360"/>
      </w:pPr>
      <w:rPr>
        <w:rFonts w:ascii="Wingdings" w:hAnsi="Wingdings" w:hint="default"/>
      </w:rPr>
    </w:lvl>
    <w:lvl w:ilvl="3" w:tplc="4C0A0001" w:tentative="1">
      <w:start w:val="1"/>
      <w:numFmt w:val="bullet"/>
      <w:lvlText w:val=""/>
      <w:lvlJc w:val="left"/>
      <w:pPr>
        <w:ind w:left="2580" w:hanging="360"/>
      </w:pPr>
      <w:rPr>
        <w:rFonts w:ascii="Symbol" w:hAnsi="Symbol" w:hint="default"/>
      </w:rPr>
    </w:lvl>
    <w:lvl w:ilvl="4" w:tplc="4C0A0003" w:tentative="1">
      <w:start w:val="1"/>
      <w:numFmt w:val="bullet"/>
      <w:lvlText w:val="o"/>
      <w:lvlJc w:val="left"/>
      <w:pPr>
        <w:ind w:left="3300" w:hanging="360"/>
      </w:pPr>
      <w:rPr>
        <w:rFonts w:ascii="Courier New" w:hAnsi="Courier New" w:cs="Courier New" w:hint="default"/>
      </w:rPr>
    </w:lvl>
    <w:lvl w:ilvl="5" w:tplc="4C0A0005" w:tentative="1">
      <w:start w:val="1"/>
      <w:numFmt w:val="bullet"/>
      <w:lvlText w:val=""/>
      <w:lvlJc w:val="left"/>
      <w:pPr>
        <w:ind w:left="4020" w:hanging="360"/>
      </w:pPr>
      <w:rPr>
        <w:rFonts w:ascii="Wingdings" w:hAnsi="Wingdings" w:hint="default"/>
      </w:rPr>
    </w:lvl>
    <w:lvl w:ilvl="6" w:tplc="4C0A0001" w:tentative="1">
      <w:start w:val="1"/>
      <w:numFmt w:val="bullet"/>
      <w:lvlText w:val=""/>
      <w:lvlJc w:val="left"/>
      <w:pPr>
        <w:ind w:left="4740" w:hanging="360"/>
      </w:pPr>
      <w:rPr>
        <w:rFonts w:ascii="Symbol" w:hAnsi="Symbol" w:hint="default"/>
      </w:rPr>
    </w:lvl>
    <w:lvl w:ilvl="7" w:tplc="4C0A0003" w:tentative="1">
      <w:start w:val="1"/>
      <w:numFmt w:val="bullet"/>
      <w:lvlText w:val="o"/>
      <w:lvlJc w:val="left"/>
      <w:pPr>
        <w:ind w:left="5460" w:hanging="360"/>
      </w:pPr>
      <w:rPr>
        <w:rFonts w:ascii="Courier New" w:hAnsi="Courier New" w:cs="Courier New" w:hint="default"/>
      </w:rPr>
    </w:lvl>
    <w:lvl w:ilvl="8" w:tplc="4C0A0005" w:tentative="1">
      <w:start w:val="1"/>
      <w:numFmt w:val="bullet"/>
      <w:lvlText w:val=""/>
      <w:lvlJc w:val="left"/>
      <w:pPr>
        <w:ind w:left="6180" w:hanging="360"/>
      </w:pPr>
      <w:rPr>
        <w:rFonts w:ascii="Wingdings" w:hAnsi="Wingdings" w:hint="default"/>
      </w:rPr>
    </w:lvl>
  </w:abstractNum>
  <w:abstractNum w:abstractNumId="11" w15:restartNumberingAfterBreak="0">
    <w:nsid w:val="28340DB6"/>
    <w:multiLevelType w:val="hybridMultilevel"/>
    <w:tmpl w:val="4224DAC8"/>
    <w:lvl w:ilvl="0" w:tplc="44A4B0FC">
      <w:start w:val="1"/>
      <w:numFmt w:val="bullet"/>
      <w:lvlText w:val="→"/>
      <w:lvlJc w:val="left"/>
      <w:pPr>
        <w:ind w:left="360" w:hanging="360"/>
      </w:pPr>
      <w:rPr>
        <w:rFonts w:ascii="Courier New" w:hAnsi="Courier New" w:hint="default"/>
      </w:rPr>
    </w:lvl>
    <w:lvl w:ilvl="1" w:tplc="4C0A0003" w:tentative="1">
      <w:start w:val="1"/>
      <w:numFmt w:val="bullet"/>
      <w:lvlText w:val="o"/>
      <w:lvlJc w:val="left"/>
      <w:pPr>
        <w:ind w:left="1080" w:hanging="360"/>
      </w:pPr>
      <w:rPr>
        <w:rFonts w:ascii="Courier New" w:hAnsi="Courier New" w:cs="Courier New" w:hint="default"/>
      </w:rPr>
    </w:lvl>
    <w:lvl w:ilvl="2" w:tplc="4C0A0005" w:tentative="1">
      <w:start w:val="1"/>
      <w:numFmt w:val="bullet"/>
      <w:lvlText w:val=""/>
      <w:lvlJc w:val="left"/>
      <w:pPr>
        <w:ind w:left="1800" w:hanging="360"/>
      </w:pPr>
      <w:rPr>
        <w:rFonts w:ascii="Wingdings" w:hAnsi="Wingdings" w:hint="default"/>
      </w:rPr>
    </w:lvl>
    <w:lvl w:ilvl="3" w:tplc="4C0A0001" w:tentative="1">
      <w:start w:val="1"/>
      <w:numFmt w:val="bullet"/>
      <w:lvlText w:val=""/>
      <w:lvlJc w:val="left"/>
      <w:pPr>
        <w:ind w:left="2520" w:hanging="360"/>
      </w:pPr>
      <w:rPr>
        <w:rFonts w:ascii="Symbol" w:hAnsi="Symbol" w:hint="default"/>
      </w:rPr>
    </w:lvl>
    <w:lvl w:ilvl="4" w:tplc="4C0A0003" w:tentative="1">
      <w:start w:val="1"/>
      <w:numFmt w:val="bullet"/>
      <w:lvlText w:val="o"/>
      <w:lvlJc w:val="left"/>
      <w:pPr>
        <w:ind w:left="3240" w:hanging="360"/>
      </w:pPr>
      <w:rPr>
        <w:rFonts w:ascii="Courier New" w:hAnsi="Courier New" w:cs="Courier New" w:hint="default"/>
      </w:rPr>
    </w:lvl>
    <w:lvl w:ilvl="5" w:tplc="4C0A0005" w:tentative="1">
      <w:start w:val="1"/>
      <w:numFmt w:val="bullet"/>
      <w:lvlText w:val=""/>
      <w:lvlJc w:val="left"/>
      <w:pPr>
        <w:ind w:left="3960" w:hanging="360"/>
      </w:pPr>
      <w:rPr>
        <w:rFonts w:ascii="Wingdings" w:hAnsi="Wingdings" w:hint="default"/>
      </w:rPr>
    </w:lvl>
    <w:lvl w:ilvl="6" w:tplc="4C0A0001" w:tentative="1">
      <w:start w:val="1"/>
      <w:numFmt w:val="bullet"/>
      <w:lvlText w:val=""/>
      <w:lvlJc w:val="left"/>
      <w:pPr>
        <w:ind w:left="4680" w:hanging="360"/>
      </w:pPr>
      <w:rPr>
        <w:rFonts w:ascii="Symbol" w:hAnsi="Symbol" w:hint="default"/>
      </w:rPr>
    </w:lvl>
    <w:lvl w:ilvl="7" w:tplc="4C0A0003" w:tentative="1">
      <w:start w:val="1"/>
      <w:numFmt w:val="bullet"/>
      <w:lvlText w:val="o"/>
      <w:lvlJc w:val="left"/>
      <w:pPr>
        <w:ind w:left="5400" w:hanging="360"/>
      </w:pPr>
      <w:rPr>
        <w:rFonts w:ascii="Courier New" w:hAnsi="Courier New" w:cs="Courier New" w:hint="default"/>
      </w:rPr>
    </w:lvl>
    <w:lvl w:ilvl="8" w:tplc="4C0A0005" w:tentative="1">
      <w:start w:val="1"/>
      <w:numFmt w:val="bullet"/>
      <w:lvlText w:val=""/>
      <w:lvlJc w:val="left"/>
      <w:pPr>
        <w:ind w:left="6120" w:hanging="360"/>
      </w:pPr>
      <w:rPr>
        <w:rFonts w:ascii="Wingdings" w:hAnsi="Wingdings" w:hint="default"/>
      </w:rPr>
    </w:lvl>
  </w:abstractNum>
  <w:abstractNum w:abstractNumId="12" w15:restartNumberingAfterBreak="0">
    <w:nsid w:val="2D7B7E28"/>
    <w:multiLevelType w:val="hybridMultilevel"/>
    <w:tmpl w:val="5CBE6EB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3A15A5"/>
    <w:multiLevelType w:val="hybridMultilevel"/>
    <w:tmpl w:val="248EA050"/>
    <w:lvl w:ilvl="0" w:tplc="3ED009B6">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D51C37"/>
    <w:multiLevelType w:val="hybridMultilevel"/>
    <w:tmpl w:val="5912834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2245BE4"/>
    <w:multiLevelType w:val="hybridMultilevel"/>
    <w:tmpl w:val="819EF336"/>
    <w:lvl w:ilvl="0" w:tplc="F8CC6B3E">
      <w:start w:val="8"/>
      <w:numFmt w:val="bullet"/>
      <w:lvlText w:val="-"/>
      <w:lvlJc w:val="left"/>
      <w:pPr>
        <w:ind w:left="420" w:hanging="360"/>
      </w:pPr>
      <w:rPr>
        <w:rFonts w:ascii="Arial" w:eastAsia="Times New Roman" w:hAnsi="Arial" w:cs="Arial" w:hint="default"/>
      </w:rPr>
    </w:lvl>
    <w:lvl w:ilvl="1" w:tplc="4C0A0003" w:tentative="1">
      <w:start w:val="1"/>
      <w:numFmt w:val="bullet"/>
      <w:lvlText w:val="o"/>
      <w:lvlJc w:val="left"/>
      <w:pPr>
        <w:ind w:left="1140" w:hanging="360"/>
      </w:pPr>
      <w:rPr>
        <w:rFonts w:ascii="Courier New" w:hAnsi="Courier New" w:cs="Courier New" w:hint="default"/>
      </w:rPr>
    </w:lvl>
    <w:lvl w:ilvl="2" w:tplc="4C0A0005" w:tentative="1">
      <w:start w:val="1"/>
      <w:numFmt w:val="bullet"/>
      <w:lvlText w:val=""/>
      <w:lvlJc w:val="left"/>
      <w:pPr>
        <w:ind w:left="1860" w:hanging="360"/>
      </w:pPr>
      <w:rPr>
        <w:rFonts w:ascii="Wingdings" w:hAnsi="Wingdings" w:hint="default"/>
      </w:rPr>
    </w:lvl>
    <w:lvl w:ilvl="3" w:tplc="4C0A0001" w:tentative="1">
      <w:start w:val="1"/>
      <w:numFmt w:val="bullet"/>
      <w:lvlText w:val=""/>
      <w:lvlJc w:val="left"/>
      <w:pPr>
        <w:ind w:left="2580" w:hanging="360"/>
      </w:pPr>
      <w:rPr>
        <w:rFonts w:ascii="Symbol" w:hAnsi="Symbol" w:hint="default"/>
      </w:rPr>
    </w:lvl>
    <w:lvl w:ilvl="4" w:tplc="4C0A0003" w:tentative="1">
      <w:start w:val="1"/>
      <w:numFmt w:val="bullet"/>
      <w:lvlText w:val="o"/>
      <w:lvlJc w:val="left"/>
      <w:pPr>
        <w:ind w:left="3300" w:hanging="360"/>
      </w:pPr>
      <w:rPr>
        <w:rFonts w:ascii="Courier New" w:hAnsi="Courier New" w:cs="Courier New" w:hint="default"/>
      </w:rPr>
    </w:lvl>
    <w:lvl w:ilvl="5" w:tplc="4C0A0005" w:tentative="1">
      <w:start w:val="1"/>
      <w:numFmt w:val="bullet"/>
      <w:lvlText w:val=""/>
      <w:lvlJc w:val="left"/>
      <w:pPr>
        <w:ind w:left="4020" w:hanging="360"/>
      </w:pPr>
      <w:rPr>
        <w:rFonts w:ascii="Wingdings" w:hAnsi="Wingdings" w:hint="default"/>
      </w:rPr>
    </w:lvl>
    <w:lvl w:ilvl="6" w:tplc="4C0A0001" w:tentative="1">
      <w:start w:val="1"/>
      <w:numFmt w:val="bullet"/>
      <w:lvlText w:val=""/>
      <w:lvlJc w:val="left"/>
      <w:pPr>
        <w:ind w:left="4740" w:hanging="360"/>
      </w:pPr>
      <w:rPr>
        <w:rFonts w:ascii="Symbol" w:hAnsi="Symbol" w:hint="default"/>
      </w:rPr>
    </w:lvl>
    <w:lvl w:ilvl="7" w:tplc="4C0A0003" w:tentative="1">
      <w:start w:val="1"/>
      <w:numFmt w:val="bullet"/>
      <w:lvlText w:val="o"/>
      <w:lvlJc w:val="left"/>
      <w:pPr>
        <w:ind w:left="5460" w:hanging="360"/>
      </w:pPr>
      <w:rPr>
        <w:rFonts w:ascii="Courier New" w:hAnsi="Courier New" w:cs="Courier New" w:hint="default"/>
      </w:rPr>
    </w:lvl>
    <w:lvl w:ilvl="8" w:tplc="4C0A0005" w:tentative="1">
      <w:start w:val="1"/>
      <w:numFmt w:val="bullet"/>
      <w:lvlText w:val=""/>
      <w:lvlJc w:val="left"/>
      <w:pPr>
        <w:ind w:left="6180" w:hanging="360"/>
      </w:pPr>
      <w:rPr>
        <w:rFonts w:ascii="Wingdings" w:hAnsi="Wingdings" w:hint="default"/>
      </w:rPr>
    </w:lvl>
  </w:abstractNum>
  <w:abstractNum w:abstractNumId="16" w15:restartNumberingAfterBreak="0">
    <w:nsid w:val="39CE65D0"/>
    <w:multiLevelType w:val="hybridMultilevel"/>
    <w:tmpl w:val="3EAEF4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033C5F"/>
    <w:multiLevelType w:val="hybridMultilevel"/>
    <w:tmpl w:val="B45CA680"/>
    <w:lvl w:ilvl="0" w:tplc="7A4AD1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180CAD"/>
    <w:multiLevelType w:val="hybridMultilevel"/>
    <w:tmpl w:val="C2BAE01E"/>
    <w:lvl w:ilvl="0" w:tplc="567EAF26">
      <w:start w:val="1"/>
      <w:numFmt w:val="lowerLetter"/>
      <w:lvlText w:val="%1)"/>
      <w:lvlJc w:val="left"/>
      <w:pPr>
        <w:ind w:left="405"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9" w15:restartNumberingAfterBreak="0">
    <w:nsid w:val="4B9F5B57"/>
    <w:multiLevelType w:val="hybridMultilevel"/>
    <w:tmpl w:val="A2C8760C"/>
    <w:lvl w:ilvl="0" w:tplc="318C4EEC">
      <w:start w:val="1"/>
      <w:numFmt w:val="upperRoman"/>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FA0A64"/>
    <w:multiLevelType w:val="multilevel"/>
    <w:tmpl w:val="2F6006A0"/>
    <w:lvl w:ilvl="0">
      <w:start w:val="1"/>
      <w:numFmt w:val="upperRoman"/>
      <w:pStyle w:val="Heading1"/>
      <w:lvlText w:val="%1."/>
      <w:lvlJc w:val="left"/>
      <w:pPr>
        <w:ind w:left="1080" w:hanging="720"/>
      </w:pPr>
      <w:rPr>
        <w:rFonts w:hint="default"/>
      </w:rPr>
    </w:lvl>
    <w:lvl w:ilvl="1">
      <w:start w:val="1"/>
      <w:numFmt w:val="decimal"/>
      <w:pStyle w:val="Subtitle"/>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60963450"/>
    <w:multiLevelType w:val="hybridMultilevel"/>
    <w:tmpl w:val="39802CD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49A2E46"/>
    <w:multiLevelType w:val="hybridMultilevel"/>
    <w:tmpl w:val="F9586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1953AD"/>
    <w:multiLevelType w:val="hybridMultilevel"/>
    <w:tmpl w:val="19A8A98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7A210A6D"/>
    <w:multiLevelType w:val="hybridMultilevel"/>
    <w:tmpl w:val="6D4C9B4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BD44292"/>
    <w:multiLevelType w:val="hybridMultilevel"/>
    <w:tmpl w:val="1BC47A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A445A3"/>
    <w:multiLevelType w:val="hybridMultilevel"/>
    <w:tmpl w:val="7C621C2E"/>
    <w:lvl w:ilvl="0" w:tplc="F8CC6B3E">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356CD8"/>
    <w:multiLevelType w:val="hybridMultilevel"/>
    <w:tmpl w:val="D02CB502"/>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1"/>
  </w:num>
  <w:num w:numId="3">
    <w:abstractNumId w:val="12"/>
  </w:num>
  <w:num w:numId="4">
    <w:abstractNumId w:val="5"/>
  </w:num>
  <w:num w:numId="5">
    <w:abstractNumId w:val="3"/>
  </w:num>
  <w:num w:numId="6">
    <w:abstractNumId w:val="10"/>
  </w:num>
  <w:num w:numId="7">
    <w:abstractNumId w:val="15"/>
  </w:num>
  <w:num w:numId="8">
    <w:abstractNumId w:val="0"/>
  </w:num>
  <w:num w:numId="9">
    <w:abstractNumId w:val="24"/>
  </w:num>
  <w:num w:numId="10">
    <w:abstractNumId w:val="23"/>
  </w:num>
  <w:num w:numId="11">
    <w:abstractNumId w:val="18"/>
  </w:num>
  <w:num w:numId="12">
    <w:abstractNumId w:val="4"/>
  </w:num>
  <w:num w:numId="13">
    <w:abstractNumId w:val="25"/>
  </w:num>
  <w:num w:numId="14">
    <w:abstractNumId w:val="16"/>
  </w:num>
  <w:num w:numId="15">
    <w:abstractNumId w:val="19"/>
  </w:num>
  <w:num w:numId="16">
    <w:abstractNumId w:val="7"/>
  </w:num>
  <w:num w:numId="17">
    <w:abstractNumId w:val="20"/>
  </w:num>
  <w:num w:numId="18">
    <w:abstractNumId w:val="14"/>
  </w:num>
  <w:num w:numId="19">
    <w:abstractNumId w:val="13"/>
  </w:num>
  <w:num w:numId="20">
    <w:abstractNumId w:val="26"/>
  </w:num>
  <w:num w:numId="21">
    <w:abstractNumId w:val="8"/>
  </w:num>
  <w:num w:numId="22">
    <w:abstractNumId w:val="11"/>
  </w:num>
  <w:num w:numId="23">
    <w:abstractNumId w:val="22"/>
  </w:num>
  <w:num w:numId="24">
    <w:abstractNumId w:val="9"/>
  </w:num>
  <w:num w:numId="25">
    <w:abstractNumId w:val="6"/>
  </w:num>
  <w:num w:numId="26">
    <w:abstractNumId w:val="17"/>
  </w:num>
  <w:num w:numId="27">
    <w:abstractNumId w:val="2"/>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045"/>
    <w:rsid w:val="0000003F"/>
    <w:rsid w:val="0000207F"/>
    <w:rsid w:val="0000218E"/>
    <w:rsid w:val="00004F9E"/>
    <w:rsid w:val="00027AE9"/>
    <w:rsid w:val="0003307E"/>
    <w:rsid w:val="00044BEF"/>
    <w:rsid w:val="000459FB"/>
    <w:rsid w:val="00051BBD"/>
    <w:rsid w:val="00062D2F"/>
    <w:rsid w:val="00062FA7"/>
    <w:rsid w:val="00073045"/>
    <w:rsid w:val="00080C55"/>
    <w:rsid w:val="00090649"/>
    <w:rsid w:val="00092CEE"/>
    <w:rsid w:val="00094349"/>
    <w:rsid w:val="000B3134"/>
    <w:rsid w:val="000B4FD5"/>
    <w:rsid w:val="000C01E8"/>
    <w:rsid w:val="000C2706"/>
    <w:rsid w:val="000C32D4"/>
    <w:rsid w:val="000D46D7"/>
    <w:rsid w:val="000D5899"/>
    <w:rsid w:val="000E2D32"/>
    <w:rsid w:val="000E3E36"/>
    <w:rsid w:val="000F1718"/>
    <w:rsid w:val="000F2BEF"/>
    <w:rsid w:val="0011460C"/>
    <w:rsid w:val="001209F7"/>
    <w:rsid w:val="00124525"/>
    <w:rsid w:val="00127628"/>
    <w:rsid w:val="00130407"/>
    <w:rsid w:val="00132E70"/>
    <w:rsid w:val="001331A2"/>
    <w:rsid w:val="001343E9"/>
    <w:rsid w:val="00136E65"/>
    <w:rsid w:val="00145CE8"/>
    <w:rsid w:val="001537F5"/>
    <w:rsid w:val="0016461F"/>
    <w:rsid w:val="00165803"/>
    <w:rsid w:val="0018094B"/>
    <w:rsid w:val="00192905"/>
    <w:rsid w:val="0019369E"/>
    <w:rsid w:val="001B291B"/>
    <w:rsid w:val="001B2AC8"/>
    <w:rsid w:val="001B2D92"/>
    <w:rsid w:val="001B5ED9"/>
    <w:rsid w:val="001C5AEB"/>
    <w:rsid w:val="001D066A"/>
    <w:rsid w:val="001D0C0E"/>
    <w:rsid w:val="001D5B26"/>
    <w:rsid w:val="001E15F2"/>
    <w:rsid w:val="001F2F19"/>
    <w:rsid w:val="0020315E"/>
    <w:rsid w:val="00204BE1"/>
    <w:rsid w:val="00211EF0"/>
    <w:rsid w:val="00217129"/>
    <w:rsid w:val="00226BC0"/>
    <w:rsid w:val="0024424D"/>
    <w:rsid w:val="00245D83"/>
    <w:rsid w:val="002756B9"/>
    <w:rsid w:val="00285ED6"/>
    <w:rsid w:val="002875DF"/>
    <w:rsid w:val="00293BA9"/>
    <w:rsid w:val="002952F9"/>
    <w:rsid w:val="002A2C79"/>
    <w:rsid w:val="002A4B71"/>
    <w:rsid w:val="002A5553"/>
    <w:rsid w:val="002A77E1"/>
    <w:rsid w:val="002C03AA"/>
    <w:rsid w:val="002C7CE2"/>
    <w:rsid w:val="002D038A"/>
    <w:rsid w:val="002E0752"/>
    <w:rsid w:val="002F61D9"/>
    <w:rsid w:val="00304B69"/>
    <w:rsid w:val="00305DD7"/>
    <w:rsid w:val="003179A1"/>
    <w:rsid w:val="003208C6"/>
    <w:rsid w:val="003223D0"/>
    <w:rsid w:val="00324419"/>
    <w:rsid w:val="00350F18"/>
    <w:rsid w:val="00353A53"/>
    <w:rsid w:val="00353C8B"/>
    <w:rsid w:val="003641B8"/>
    <w:rsid w:val="00373BAD"/>
    <w:rsid w:val="00376055"/>
    <w:rsid w:val="003766ED"/>
    <w:rsid w:val="003825C3"/>
    <w:rsid w:val="003A48AF"/>
    <w:rsid w:val="003B16B6"/>
    <w:rsid w:val="003C53C5"/>
    <w:rsid w:val="003D47A5"/>
    <w:rsid w:val="003D70D2"/>
    <w:rsid w:val="00404ACB"/>
    <w:rsid w:val="00406110"/>
    <w:rsid w:val="00407B51"/>
    <w:rsid w:val="004328F3"/>
    <w:rsid w:val="00435B22"/>
    <w:rsid w:val="00453BE2"/>
    <w:rsid w:val="00461AFF"/>
    <w:rsid w:val="00474C7C"/>
    <w:rsid w:val="004763F9"/>
    <w:rsid w:val="004771EF"/>
    <w:rsid w:val="00482CAD"/>
    <w:rsid w:val="004834F1"/>
    <w:rsid w:val="004A1147"/>
    <w:rsid w:val="004A6172"/>
    <w:rsid w:val="004C3109"/>
    <w:rsid w:val="004C6E3E"/>
    <w:rsid w:val="004C70CA"/>
    <w:rsid w:val="004D506F"/>
    <w:rsid w:val="004E3A23"/>
    <w:rsid w:val="004F72A2"/>
    <w:rsid w:val="00513815"/>
    <w:rsid w:val="00521427"/>
    <w:rsid w:val="00521DA0"/>
    <w:rsid w:val="0054073C"/>
    <w:rsid w:val="00543FF3"/>
    <w:rsid w:val="005544F4"/>
    <w:rsid w:val="00561CFC"/>
    <w:rsid w:val="0056217C"/>
    <w:rsid w:val="0056626B"/>
    <w:rsid w:val="0056631D"/>
    <w:rsid w:val="00570E2A"/>
    <w:rsid w:val="00573C07"/>
    <w:rsid w:val="00575F14"/>
    <w:rsid w:val="00581B71"/>
    <w:rsid w:val="00581F6C"/>
    <w:rsid w:val="005866F9"/>
    <w:rsid w:val="00591885"/>
    <w:rsid w:val="005969AC"/>
    <w:rsid w:val="005A2469"/>
    <w:rsid w:val="005A3E12"/>
    <w:rsid w:val="005B113E"/>
    <w:rsid w:val="005C338A"/>
    <w:rsid w:val="005D416A"/>
    <w:rsid w:val="005D632C"/>
    <w:rsid w:val="005F0554"/>
    <w:rsid w:val="005F2150"/>
    <w:rsid w:val="006129CC"/>
    <w:rsid w:val="00617A2D"/>
    <w:rsid w:val="00626F32"/>
    <w:rsid w:val="00630383"/>
    <w:rsid w:val="006323E3"/>
    <w:rsid w:val="00651AC8"/>
    <w:rsid w:val="00652BB7"/>
    <w:rsid w:val="006536B1"/>
    <w:rsid w:val="00656445"/>
    <w:rsid w:val="0065741C"/>
    <w:rsid w:val="00662EF3"/>
    <w:rsid w:val="00663894"/>
    <w:rsid w:val="00666E6E"/>
    <w:rsid w:val="00670CA9"/>
    <w:rsid w:val="0068550C"/>
    <w:rsid w:val="00686E5C"/>
    <w:rsid w:val="0069283A"/>
    <w:rsid w:val="006928A6"/>
    <w:rsid w:val="006A2954"/>
    <w:rsid w:val="006A3A98"/>
    <w:rsid w:val="006A5473"/>
    <w:rsid w:val="006B0EFD"/>
    <w:rsid w:val="006C708E"/>
    <w:rsid w:val="006D00F4"/>
    <w:rsid w:val="006D1E5C"/>
    <w:rsid w:val="006D58EE"/>
    <w:rsid w:val="006F2BC3"/>
    <w:rsid w:val="00703124"/>
    <w:rsid w:val="0070476D"/>
    <w:rsid w:val="007218F3"/>
    <w:rsid w:val="00726110"/>
    <w:rsid w:val="0072760B"/>
    <w:rsid w:val="00736FD9"/>
    <w:rsid w:val="007430EA"/>
    <w:rsid w:val="0075139F"/>
    <w:rsid w:val="00753B0D"/>
    <w:rsid w:val="00756F02"/>
    <w:rsid w:val="0075760F"/>
    <w:rsid w:val="00770D08"/>
    <w:rsid w:val="0077160A"/>
    <w:rsid w:val="00792E1A"/>
    <w:rsid w:val="007B0D5A"/>
    <w:rsid w:val="007C5658"/>
    <w:rsid w:val="007C783B"/>
    <w:rsid w:val="007D4EDF"/>
    <w:rsid w:val="007E7975"/>
    <w:rsid w:val="007F6DB2"/>
    <w:rsid w:val="0080043D"/>
    <w:rsid w:val="008020F1"/>
    <w:rsid w:val="00814F66"/>
    <w:rsid w:val="00817585"/>
    <w:rsid w:val="008179EC"/>
    <w:rsid w:val="00822033"/>
    <w:rsid w:val="008222A0"/>
    <w:rsid w:val="0083436F"/>
    <w:rsid w:val="008357A6"/>
    <w:rsid w:val="00835C46"/>
    <w:rsid w:val="008371AD"/>
    <w:rsid w:val="008427C1"/>
    <w:rsid w:val="008462A8"/>
    <w:rsid w:val="008566E1"/>
    <w:rsid w:val="008A04CF"/>
    <w:rsid w:val="008A2ACA"/>
    <w:rsid w:val="008B622D"/>
    <w:rsid w:val="008C398E"/>
    <w:rsid w:val="008D19F2"/>
    <w:rsid w:val="008E13BE"/>
    <w:rsid w:val="008E6B72"/>
    <w:rsid w:val="008F6478"/>
    <w:rsid w:val="00900D34"/>
    <w:rsid w:val="00907AA2"/>
    <w:rsid w:val="009179DB"/>
    <w:rsid w:val="00922F57"/>
    <w:rsid w:val="009442AA"/>
    <w:rsid w:val="00950E08"/>
    <w:rsid w:val="0096481C"/>
    <w:rsid w:val="009655DB"/>
    <w:rsid w:val="009710A1"/>
    <w:rsid w:val="00971CA4"/>
    <w:rsid w:val="00983780"/>
    <w:rsid w:val="00990AC8"/>
    <w:rsid w:val="009911C7"/>
    <w:rsid w:val="009922BF"/>
    <w:rsid w:val="00993C05"/>
    <w:rsid w:val="00994435"/>
    <w:rsid w:val="009A7DA5"/>
    <w:rsid w:val="009B5F22"/>
    <w:rsid w:val="009C1A2A"/>
    <w:rsid w:val="009D32D3"/>
    <w:rsid w:val="009E067F"/>
    <w:rsid w:val="009E25C6"/>
    <w:rsid w:val="009E777D"/>
    <w:rsid w:val="00A01623"/>
    <w:rsid w:val="00A02D0A"/>
    <w:rsid w:val="00A030D2"/>
    <w:rsid w:val="00A043D1"/>
    <w:rsid w:val="00A13269"/>
    <w:rsid w:val="00A351FE"/>
    <w:rsid w:val="00A35367"/>
    <w:rsid w:val="00A44DEE"/>
    <w:rsid w:val="00A513E6"/>
    <w:rsid w:val="00A533C3"/>
    <w:rsid w:val="00A6260F"/>
    <w:rsid w:val="00A802BA"/>
    <w:rsid w:val="00A83402"/>
    <w:rsid w:val="00A860F8"/>
    <w:rsid w:val="00A92BA3"/>
    <w:rsid w:val="00A93943"/>
    <w:rsid w:val="00A94AEE"/>
    <w:rsid w:val="00A95127"/>
    <w:rsid w:val="00AA13B5"/>
    <w:rsid w:val="00AA7442"/>
    <w:rsid w:val="00AB549C"/>
    <w:rsid w:val="00AB5AB5"/>
    <w:rsid w:val="00AC0F64"/>
    <w:rsid w:val="00AC22A6"/>
    <w:rsid w:val="00AC377C"/>
    <w:rsid w:val="00AD3711"/>
    <w:rsid w:val="00AF79BC"/>
    <w:rsid w:val="00B02C84"/>
    <w:rsid w:val="00B466FA"/>
    <w:rsid w:val="00B50FF2"/>
    <w:rsid w:val="00B5200B"/>
    <w:rsid w:val="00B52D27"/>
    <w:rsid w:val="00B626EF"/>
    <w:rsid w:val="00B717FB"/>
    <w:rsid w:val="00B73978"/>
    <w:rsid w:val="00BB1376"/>
    <w:rsid w:val="00BB36D8"/>
    <w:rsid w:val="00BC149E"/>
    <w:rsid w:val="00BE752D"/>
    <w:rsid w:val="00BF388C"/>
    <w:rsid w:val="00BF661A"/>
    <w:rsid w:val="00C1066B"/>
    <w:rsid w:val="00C11396"/>
    <w:rsid w:val="00C1166C"/>
    <w:rsid w:val="00C1240A"/>
    <w:rsid w:val="00C12D46"/>
    <w:rsid w:val="00C37C33"/>
    <w:rsid w:val="00C41ABE"/>
    <w:rsid w:val="00C46B38"/>
    <w:rsid w:val="00C51510"/>
    <w:rsid w:val="00C7227B"/>
    <w:rsid w:val="00C72482"/>
    <w:rsid w:val="00C73F5E"/>
    <w:rsid w:val="00C764D9"/>
    <w:rsid w:val="00C7780D"/>
    <w:rsid w:val="00C8114E"/>
    <w:rsid w:val="00C81311"/>
    <w:rsid w:val="00C9049B"/>
    <w:rsid w:val="00C925BF"/>
    <w:rsid w:val="00CB5682"/>
    <w:rsid w:val="00CE0263"/>
    <w:rsid w:val="00CE3E78"/>
    <w:rsid w:val="00D0500A"/>
    <w:rsid w:val="00D248A7"/>
    <w:rsid w:val="00D51502"/>
    <w:rsid w:val="00D51BF5"/>
    <w:rsid w:val="00D70B6D"/>
    <w:rsid w:val="00D7626F"/>
    <w:rsid w:val="00D77236"/>
    <w:rsid w:val="00D8664D"/>
    <w:rsid w:val="00D919BF"/>
    <w:rsid w:val="00D95928"/>
    <w:rsid w:val="00D976CD"/>
    <w:rsid w:val="00DA23D7"/>
    <w:rsid w:val="00DA24C5"/>
    <w:rsid w:val="00DA77E0"/>
    <w:rsid w:val="00DB716C"/>
    <w:rsid w:val="00DC4132"/>
    <w:rsid w:val="00DD24C6"/>
    <w:rsid w:val="00DD3932"/>
    <w:rsid w:val="00DD53CF"/>
    <w:rsid w:val="00DD7D5D"/>
    <w:rsid w:val="00DE6F6B"/>
    <w:rsid w:val="00DF49EB"/>
    <w:rsid w:val="00DF7D0F"/>
    <w:rsid w:val="00E026E0"/>
    <w:rsid w:val="00E1530E"/>
    <w:rsid w:val="00E269AA"/>
    <w:rsid w:val="00E35351"/>
    <w:rsid w:val="00E43619"/>
    <w:rsid w:val="00E50CD0"/>
    <w:rsid w:val="00E54934"/>
    <w:rsid w:val="00E55BAC"/>
    <w:rsid w:val="00E570B3"/>
    <w:rsid w:val="00E63AC8"/>
    <w:rsid w:val="00E65B26"/>
    <w:rsid w:val="00E72BD4"/>
    <w:rsid w:val="00E863DF"/>
    <w:rsid w:val="00E91907"/>
    <w:rsid w:val="00E957B9"/>
    <w:rsid w:val="00EA26BF"/>
    <w:rsid w:val="00EB32A8"/>
    <w:rsid w:val="00EB77C2"/>
    <w:rsid w:val="00EC1209"/>
    <w:rsid w:val="00EC305D"/>
    <w:rsid w:val="00EC3BAF"/>
    <w:rsid w:val="00EC58A2"/>
    <w:rsid w:val="00EC6763"/>
    <w:rsid w:val="00EE1F40"/>
    <w:rsid w:val="00EF2602"/>
    <w:rsid w:val="00EF27B3"/>
    <w:rsid w:val="00F07E1E"/>
    <w:rsid w:val="00F16642"/>
    <w:rsid w:val="00F205C2"/>
    <w:rsid w:val="00F239CB"/>
    <w:rsid w:val="00F24B2B"/>
    <w:rsid w:val="00F257E1"/>
    <w:rsid w:val="00F347A3"/>
    <w:rsid w:val="00F35568"/>
    <w:rsid w:val="00F36203"/>
    <w:rsid w:val="00F36AC7"/>
    <w:rsid w:val="00F44468"/>
    <w:rsid w:val="00F535D5"/>
    <w:rsid w:val="00F65444"/>
    <w:rsid w:val="00F66EAC"/>
    <w:rsid w:val="00F714C9"/>
    <w:rsid w:val="00F838EF"/>
    <w:rsid w:val="00F858B3"/>
    <w:rsid w:val="00FB07FE"/>
    <w:rsid w:val="00FC3B00"/>
    <w:rsid w:val="00FC47A6"/>
    <w:rsid w:val="00FC5371"/>
    <w:rsid w:val="00FC53D8"/>
    <w:rsid w:val="00FD5A6A"/>
    <w:rsid w:val="00FD7582"/>
    <w:rsid w:val="00FE4EFA"/>
    <w:rsid w:val="00FE7B7A"/>
    <w:rsid w:val="00FF3B35"/>
  </w:rsids>
  <m:mathPr>
    <m:mathFont m:val="Cambria Math"/>
    <m:brkBin m:val="before"/>
    <m:brkBinSub m:val="--"/>
    <m:smallFrac m:val="0"/>
    <m:dispDef/>
    <m:lMargin m:val="0"/>
    <m:rMargin m:val="0"/>
    <m:defJc m:val="centerGroup"/>
    <m:wrapIndent m:val="1440"/>
    <m:intLim m:val="subSup"/>
    <m:naryLim m:val="undOvr"/>
  </m:mathPr>
  <w:themeFontLang w:val="es-ES_trad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3DE619"/>
  <w15:docId w15:val="{33090613-AEA3-B041-81FA-FCEEF6CD9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_tradnl"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72"/>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47A3"/>
    <w:rPr>
      <w:sz w:val="24"/>
      <w:szCs w:val="24"/>
      <w:lang w:val="es-ES" w:eastAsia="es-ES"/>
    </w:rPr>
  </w:style>
  <w:style w:type="paragraph" w:styleId="Heading1">
    <w:name w:val="heading 1"/>
    <w:basedOn w:val="Normal"/>
    <w:next w:val="Normal"/>
    <w:link w:val="Heading1Char"/>
    <w:qFormat/>
    <w:rsid w:val="00756F02"/>
    <w:pPr>
      <w:keepNext/>
      <w:keepLines/>
      <w:numPr>
        <w:numId w:val="17"/>
      </w:numPr>
      <w:spacing w:after="120" w:line="259" w:lineRule="auto"/>
      <w:jc w:val="both"/>
      <w:outlineLvl w:val="0"/>
    </w:pPr>
    <w:rPr>
      <w:rFonts w:eastAsiaTheme="majorEastAsia"/>
      <w:b/>
      <w:i/>
      <w:color w:val="365F91" w:themeColor="accent1" w:themeShade="BF"/>
      <w:szCs w:val="32"/>
      <w:lang w:val="es-NI"/>
    </w:rPr>
  </w:style>
  <w:style w:type="paragraph" w:styleId="Heading6">
    <w:name w:val="heading 6"/>
    <w:basedOn w:val="Normal"/>
    <w:next w:val="Normal"/>
    <w:link w:val="Heading6Char"/>
    <w:semiHidden/>
    <w:unhideWhenUsed/>
    <w:qFormat/>
    <w:rsid w:val="00453BE2"/>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Acronym">
    <w:name w:val="HTML Acronym"/>
    <w:rsid w:val="00F347A3"/>
    <w:rPr>
      <w:lang w:val="es-ES" w:bidi="ar-SA"/>
    </w:rPr>
  </w:style>
  <w:style w:type="paragraph" w:styleId="Header">
    <w:name w:val="header"/>
    <w:basedOn w:val="Normal"/>
    <w:link w:val="HeaderChar"/>
    <w:rsid w:val="00A44DEE"/>
    <w:pPr>
      <w:tabs>
        <w:tab w:val="center" w:pos="4252"/>
        <w:tab w:val="right" w:pos="8504"/>
      </w:tabs>
    </w:pPr>
    <w:rPr>
      <w:lang w:val="x-none" w:eastAsia="x-none"/>
    </w:rPr>
  </w:style>
  <w:style w:type="character" w:customStyle="1" w:styleId="HeaderChar">
    <w:name w:val="Header Char"/>
    <w:link w:val="Header"/>
    <w:rsid w:val="00A44DEE"/>
    <w:rPr>
      <w:sz w:val="24"/>
      <w:szCs w:val="24"/>
    </w:rPr>
  </w:style>
  <w:style w:type="paragraph" w:styleId="Footer">
    <w:name w:val="footer"/>
    <w:basedOn w:val="Normal"/>
    <w:link w:val="FooterChar"/>
    <w:rsid w:val="00A44DEE"/>
    <w:pPr>
      <w:tabs>
        <w:tab w:val="center" w:pos="4252"/>
        <w:tab w:val="right" w:pos="8504"/>
      </w:tabs>
    </w:pPr>
    <w:rPr>
      <w:lang w:val="x-none" w:eastAsia="x-none"/>
    </w:rPr>
  </w:style>
  <w:style w:type="character" w:customStyle="1" w:styleId="FooterChar">
    <w:name w:val="Footer Char"/>
    <w:link w:val="Footer"/>
    <w:rsid w:val="00A44DEE"/>
    <w:rPr>
      <w:sz w:val="24"/>
      <w:szCs w:val="24"/>
    </w:rPr>
  </w:style>
  <w:style w:type="character" w:customStyle="1" w:styleId="Rtulodeencabezadodemensaje">
    <w:name w:val="Rótulo de encabezado de mensaje"/>
    <w:rsid w:val="00FB07FE"/>
    <w:rPr>
      <w:rFonts w:ascii="Arial Black" w:hAnsi="Arial Black"/>
      <w:spacing w:val="-10"/>
      <w:sz w:val="18"/>
    </w:rPr>
  </w:style>
  <w:style w:type="character" w:styleId="Emphasis">
    <w:name w:val="Emphasis"/>
    <w:qFormat/>
    <w:rsid w:val="00A351FE"/>
    <w:rPr>
      <w:i/>
      <w:iCs/>
    </w:rPr>
  </w:style>
  <w:style w:type="table" w:styleId="ColorfulList-Accent1">
    <w:name w:val="Colorful List Accent 1"/>
    <w:basedOn w:val="TableNormal"/>
    <w:uiPriority w:val="72"/>
    <w:rsid w:val="00A351FE"/>
    <w:rPr>
      <w:rFonts w:ascii="Calibri" w:eastAsia="Calibri" w:hAnsi="Calibri"/>
      <w:color w:val="000000"/>
      <w:sz w:val="22"/>
      <w:szCs w:val="22"/>
      <w:lang w:val="es-NI"/>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BodyText2">
    <w:name w:val="Body Text 2"/>
    <w:basedOn w:val="Normal"/>
    <w:link w:val="BodyText2Char"/>
    <w:rsid w:val="00165803"/>
    <w:pPr>
      <w:jc w:val="both"/>
    </w:pPr>
  </w:style>
  <w:style w:type="character" w:customStyle="1" w:styleId="BodyText2Char">
    <w:name w:val="Body Text 2 Char"/>
    <w:link w:val="BodyText2"/>
    <w:rsid w:val="00165803"/>
    <w:rPr>
      <w:sz w:val="24"/>
      <w:szCs w:val="24"/>
      <w:lang w:val="es-ES" w:eastAsia="es-ES"/>
    </w:rPr>
  </w:style>
  <w:style w:type="paragraph" w:styleId="BodyText3">
    <w:name w:val="Body Text 3"/>
    <w:basedOn w:val="Normal"/>
    <w:link w:val="BodyText3Char"/>
    <w:rsid w:val="00165803"/>
    <w:pPr>
      <w:jc w:val="center"/>
    </w:pPr>
    <w:rPr>
      <w:sz w:val="20"/>
      <w:szCs w:val="20"/>
    </w:rPr>
  </w:style>
  <w:style w:type="character" w:customStyle="1" w:styleId="BodyText3Char">
    <w:name w:val="Body Text 3 Char"/>
    <w:link w:val="BodyText3"/>
    <w:rsid w:val="00165803"/>
    <w:rPr>
      <w:lang w:val="es-ES" w:eastAsia="es-ES"/>
    </w:rPr>
  </w:style>
  <w:style w:type="table" w:styleId="MediumGrid1-Accent6">
    <w:name w:val="Medium Grid 1 Accent 6"/>
    <w:basedOn w:val="TableNormal"/>
    <w:uiPriority w:val="31"/>
    <w:qFormat/>
    <w:rsid w:val="00165803"/>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ColorfulList-Accent5">
    <w:name w:val="Colorful List Accent 5"/>
    <w:basedOn w:val="TableNormal"/>
    <w:uiPriority w:val="67"/>
    <w:rsid w:val="00165803"/>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ghtGrid-Accent1">
    <w:name w:val="Light Grid Accent 1"/>
    <w:basedOn w:val="TableNormal"/>
    <w:uiPriority w:val="67"/>
    <w:rsid w:val="00165803"/>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ListParagraph">
    <w:name w:val="List Paragraph"/>
    <w:basedOn w:val="Normal"/>
    <w:uiPriority w:val="34"/>
    <w:qFormat/>
    <w:rsid w:val="008F6478"/>
    <w:pPr>
      <w:ind w:left="708"/>
    </w:pPr>
  </w:style>
  <w:style w:type="paragraph" w:customStyle="1" w:styleId="Textonotapie1">
    <w:name w:val="Texto nota pie1"/>
    <w:basedOn w:val="Normal"/>
    <w:next w:val="FootnoteText"/>
    <w:link w:val="TextonotapieCar"/>
    <w:uiPriority w:val="99"/>
    <w:semiHidden/>
    <w:unhideWhenUsed/>
    <w:rsid w:val="00BF388C"/>
    <w:rPr>
      <w:sz w:val="20"/>
      <w:szCs w:val="20"/>
      <w:lang w:val="es-ES_tradnl" w:eastAsia="en-US"/>
    </w:rPr>
  </w:style>
  <w:style w:type="character" w:customStyle="1" w:styleId="TextonotapieCar">
    <w:name w:val="Texto nota pie Car"/>
    <w:link w:val="Textonotapie1"/>
    <w:uiPriority w:val="99"/>
    <w:semiHidden/>
    <w:rsid w:val="00BF388C"/>
    <w:rPr>
      <w:sz w:val="20"/>
      <w:szCs w:val="20"/>
    </w:rPr>
  </w:style>
  <w:style w:type="character" w:styleId="FootnoteReference">
    <w:name w:val="footnote reference"/>
    <w:uiPriority w:val="99"/>
    <w:semiHidden/>
    <w:unhideWhenUsed/>
    <w:rsid w:val="00BF388C"/>
    <w:rPr>
      <w:vertAlign w:val="superscript"/>
    </w:rPr>
  </w:style>
  <w:style w:type="character" w:styleId="Hyperlink">
    <w:name w:val="Hyperlink"/>
    <w:uiPriority w:val="99"/>
    <w:unhideWhenUsed/>
    <w:rsid w:val="00BF388C"/>
    <w:rPr>
      <w:color w:val="0000FF"/>
      <w:u w:val="single"/>
    </w:rPr>
  </w:style>
  <w:style w:type="paragraph" w:styleId="FootnoteText">
    <w:name w:val="footnote text"/>
    <w:basedOn w:val="Normal"/>
    <w:link w:val="FootnoteTextChar"/>
    <w:uiPriority w:val="99"/>
    <w:semiHidden/>
    <w:unhideWhenUsed/>
    <w:rsid w:val="00BF388C"/>
    <w:rPr>
      <w:sz w:val="20"/>
      <w:szCs w:val="20"/>
    </w:rPr>
  </w:style>
  <w:style w:type="character" w:customStyle="1" w:styleId="FootnoteTextChar">
    <w:name w:val="Footnote Text Char"/>
    <w:basedOn w:val="DefaultParagraphFont"/>
    <w:link w:val="FootnoteText"/>
    <w:semiHidden/>
    <w:rsid w:val="00BF388C"/>
    <w:rPr>
      <w:lang w:val="es-ES" w:eastAsia="es-ES"/>
    </w:rPr>
  </w:style>
  <w:style w:type="paragraph" w:styleId="BalloonText">
    <w:name w:val="Balloon Text"/>
    <w:basedOn w:val="Normal"/>
    <w:link w:val="BalloonTextChar"/>
    <w:semiHidden/>
    <w:unhideWhenUsed/>
    <w:rsid w:val="00A030D2"/>
    <w:rPr>
      <w:rFonts w:ascii="Segoe UI" w:hAnsi="Segoe UI" w:cs="Segoe UI"/>
      <w:sz w:val="18"/>
      <w:szCs w:val="18"/>
    </w:rPr>
  </w:style>
  <w:style w:type="character" w:customStyle="1" w:styleId="BalloonTextChar">
    <w:name w:val="Balloon Text Char"/>
    <w:basedOn w:val="DefaultParagraphFont"/>
    <w:link w:val="BalloonText"/>
    <w:semiHidden/>
    <w:rsid w:val="00A030D2"/>
    <w:rPr>
      <w:rFonts w:ascii="Segoe UI" w:hAnsi="Segoe UI" w:cs="Segoe UI"/>
      <w:sz w:val="18"/>
      <w:szCs w:val="18"/>
      <w:lang w:val="es-ES" w:eastAsia="es-ES"/>
    </w:rPr>
  </w:style>
  <w:style w:type="paragraph" w:styleId="NormalWeb">
    <w:name w:val="Normal (Web)"/>
    <w:basedOn w:val="Normal"/>
    <w:uiPriority w:val="99"/>
    <w:semiHidden/>
    <w:unhideWhenUsed/>
    <w:rsid w:val="00D976CD"/>
    <w:pPr>
      <w:spacing w:before="100" w:beforeAutospacing="1" w:after="100" w:afterAutospacing="1"/>
    </w:pPr>
    <w:rPr>
      <w:lang w:val="en-US" w:eastAsia="en-US"/>
    </w:rPr>
  </w:style>
  <w:style w:type="character" w:customStyle="1" w:styleId="UnresolvedMention1">
    <w:name w:val="Unresolved Mention1"/>
    <w:basedOn w:val="DefaultParagraphFont"/>
    <w:uiPriority w:val="99"/>
    <w:semiHidden/>
    <w:unhideWhenUsed/>
    <w:rsid w:val="00305DD7"/>
    <w:rPr>
      <w:color w:val="605E5C"/>
      <w:shd w:val="clear" w:color="auto" w:fill="E1DFDD"/>
    </w:rPr>
  </w:style>
  <w:style w:type="paragraph" w:customStyle="1" w:styleId="HChG">
    <w:name w:val="_ H _Ch_G"/>
    <w:basedOn w:val="Normal"/>
    <w:next w:val="Normal"/>
    <w:link w:val="HChGChar"/>
    <w:qFormat/>
    <w:rsid w:val="00E55BAC"/>
    <w:pPr>
      <w:keepNext/>
      <w:keepLines/>
      <w:tabs>
        <w:tab w:val="right" w:pos="851"/>
      </w:tabs>
      <w:suppressAutoHyphens/>
      <w:spacing w:before="360" w:after="240" w:line="300" w:lineRule="exact"/>
      <w:ind w:left="1134" w:right="1134" w:hanging="1134"/>
    </w:pPr>
    <w:rPr>
      <w:rFonts w:eastAsia="SimSun"/>
      <w:b/>
      <w:sz w:val="28"/>
      <w:szCs w:val="20"/>
    </w:rPr>
  </w:style>
  <w:style w:type="character" w:customStyle="1" w:styleId="HChGChar">
    <w:name w:val="_ H _Ch_G Char"/>
    <w:link w:val="HChG"/>
    <w:rsid w:val="00E55BAC"/>
    <w:rPr>
      <w:rFonts w:eastAsia="SimSun"/>
      <w:b/>
      <w:sz w:val="28"/>
      <w:lang w:val="es-ES" w:eastAsia="es-ES"/>
    </w:rPr>
  </w:style>
  <w:style w:type="character" w:styleId="FollowedHyperlink">
    <w:name w:val="FollowedHyperlink"/>
    <w:basedOn w:val="DefaultParagraphFont"/>
    <w:semiHidden/>
    <w:unhideWhenUsed/>
    <w:rsid w:val="00AB549C"/>
    <w:rPr>
      <w:color w:val="800080" w:themeColor="followedHyperlink"/>
      <w:u w:val="single"/>
    </w:rPr>
  </w:style>
  <w:style w:type="character" w:customStyle="1" w:styleId="Heading1Char">
    <w:name w:val="Heading 1 Char"/>
    <w:basedOn w:val="DefaultParagraphFont"/>
    <w:link w:val="Heading1"/>
    <w:rsid w:val="00756F02"/>
    <w:rPr>
      <w:rFonts w:eastAsiaTheme="majorEastAsia"/>
      <w:b/>
      <w:i/>
      <w:color w:val="365F91" w:themeColor="accent1" w:themeShade="BF"/>
      <w:sz w:val="24"/>
      <w:szCs w:val="32"/>
      <w:lang w:val="es-NI" w:eastAsia="es-ES"/>
    </w:rPr>
  </w:style>
  <w:style w:type="paragraph" w:styleId="Subtitle">
    <w:name w:val="Subtitle"/>
    <w:basedOn w:val="Normal"/>
    <w:next w:val="Normal"/>
    <w:link w:val="SubtitleChar"/>
    <w:qFormat/>
    <w:rsid w:val="00756F02"/>
    <w:pPr>
      <w:numPr>
        <w:ilvl w:val="1"/>
        <w:numId w:val="17"/>
      </w:numPr>
      <w:spacing w:after="160" w:line="259" w:lineRule="auto"/>
      <w:jc w:val="both"/>
    </w:pPr>
    <w:rPr>
      <w:rFonts w:asciiTheme="minorHAnsi" w:eastAsiaTheme="minorEastAsia" w:hAnsiTheme="minorHAnsi" w:cstheme="minorBidi"/>
      <w:b/>
      <w:color w:val="5A5A5A" w:themeColor="text1" w:themeTint="A5"/>
      <w:spacing w:val="15"/>
      <w:szCs w:val="22"/>
      <w:lang w:val="es-NI"/>
    </w:rPr>
  </w:style>
  <w:style w:type="character" w:customStyle="1" w:styleId="SubtitleChar">
    <w:name w:val="Subtitle Char"/>
    <w:basedOn w:val="DefaultParagraphFont"/>
    <w:link w:val="Subtitle"/>
    <w:rsid w:val="00756F02"/>
    <w:rPr>
      <w:rFonts w:asciiTheme="minorHAnsi" w:eastAsiaTheme="minorEastAsia" w:hAnsiTheme="minorHAnsi" w:cstheme="minorBidi"/>
      <w:b/>
      <w:color w:val="5A5A5A" w:themeColor="text1" w:themeTint="A5"/>
      <w:spacing w:val="15"/>
      <w:sz w:val="24"/>
      <w:szCs w:val="22"/>
      <w:lang w:val="es-NI" w:eastAsia="es-ES"/>
    </w:rPr>
  </w:style>
  <w:style w:type="character" w:customStyle="1" w:styleId="Heading6Char">
    <w:name w:val="Heading 6 Char"/>
    <w:basedOn w:val="DefaultParagraphFont"/>
    <w:link w:val="Heading6"/>
    <w:semiHidden/>
    <w:rsid w:val="00453BE2"/>
    <w:rPr>
      <w:rFonts w:asciiTheme="majorHAnsi" w:eastAsiaTheme="majorEastAsia" w:hAnsiTheme="majorHAnsi" w:cstheme="majorBidi"/>
      <w:color w:val="243F60" w:themeColor="accent1" w:themeShade="7F"/>
      <w:sz w:val="24"/>
      <w:szCs w:val="24"/>
      <w:lang w:val="es-ES" w:eastAsia="es-ES"/>
    </w:rPr>
  </w:style>
  <w:style w:type="character" w:styleId="CommentReference">
    <w:name w:val="annotation reference"/>
    <w:basedOn w:val="DefaultParagraphFont"/>
    <w:semiHidden/>
    <w:unhideWhenUsed/>
    <w:rsid w:val="00B5200B"/>
    <w:rPr>
      <w:sz w:val="16"/>
      <w:szCs w:val="16"/>
    </w:rPr>
  </w:style>
  <w:style w:type="paragraph" w:styleId="CommentText">
    <w:name w:val="annotation text"/>
    <w:basedOn w:val="Normal"/>
    <w:link w:val="CommentTextChar"/>
    <w:semiHidden/>
    <w:unhideWhenUsed/>
    <w:rsid w:val="00B5200B"/>
    <w:rPr>
      <w:sz w:val="20"/>
      <w:szCs w:val="20"/>
    </w:rPr>
  </w:style>
  <w:style w:type="character" w:customStyle="1" w:styleId="CommentTextChar">
    <w:name w:val="Comment Text Char"/>
    <w:basedOn w:val="DefaultParagraphFont"/>
    <w:link w:val="CommentText"/>
    <w:semiHidden/>
    <w:rsid w:val="00B5200B"/>
    <w:rPr>
      <w:lang w:val="es-ES" w:eastAsia="es-ES"/>
    </w:rPr>
  </w:style>
  <w:style w:type="paragraph" w:styleId="CommentSubject">
    <w:name w:val="annotation subject"/>
    <w:basedOn w:val="CommentText"/>
    <w:next w:val="CommentText"/>
    <w:link w:val="CommentSubjectChar"/>
    <w:semiHidden/>
    <w:unhideWhenUsed/>
    <w:rsid w:val="00B5200B"/>
    <w:rPr>
      <w:b/>
      <w:bCs/>
    </w:rPr>
  </w:style>
  <w:style w:type="character" w:customStyle="1" w:styleId="CommentSubjectChar">
    <w:name w:val="Comment Subject Char"/>
    <w:basedOn w:val="CommentTextChar"/>
    <w:link w:val="CommentSubject"/>
    <w:semiHidden/>
    <w:rsid w:val="00B5200B"/>
    <w:rPr>
      <w:b/>
      <w:bCs/>
      <w:lang w:val="es-ES" w:eastAsia="es-ES"/>
    </w:rPr>
  </w:style>
  <w:style w:type="paragraph" w:styleId="Revision">
    <w:name w:val="Revision"/>
    <w:hidden/>
    <w:uiPriority w:val="71"/>
    <w:semiHidden/>
    <w:rsid w:val="00B5200B"/>
    <w:rPr>
      <w:sz w:val="24"/>
      <w:szCs w:val="24"/>
      <w:lang w:val="es-ES" w:eastAsia="es-ES"/>
    </w:rPr>
  </w:style>
  <w:style w:type="character" w:customStyle="1" w:styleId="UnresolvedMention">
    <w:name w:val="Unresolved Mention"/>
    <w:basedOn w:val="DefaultParagraphFont"/>
    <w:uiPriority w:val="99"/>
    <w:semiHidden/>
    <w:unhideWhenUsed/>
    <w:rsid w:val="006536B1"/>
    <w:rPr>
      <w:color w:val="605E5C"/>
      <w:shd w:val="clear" w:color="auto" w:fill="E1DFDD"/>
    </w:rPr>
  </w:style>
  <w:style w:type="paragraph" w:customStyle="1" w:styleId="Body">
    <w:name w:val="Body"/>
    <w:rsid w:val="00376055"/>
    <w:pPr>
      <w:pBdr>
        <w:top w:val="nil"/>
        <w:left w:val="nil"/>
        <w:bottom w:val="nil"/>
        <w:right w:val="nil"/>
        <w:between w:val="nil"/>
        <w:bar w:val="nil"/>
      </w:pBdr>
    </w:pPr>
    <w:rPr>
      <w:rFonts w:ascii="Calibri" w:eastAsia="Calibri" w:hAnsi="Calibri" w:cs="Calibri"/>
      <w:color w:val="000000"/>
      <w:sz w:val="24"/>
      <w:szCs w:val="24"/>
      <w:u w:color="000000"/>
      <w:bdr w:val="nil"/>
      <w:lang w:val="en-US"/>
    </w:rPr>
  </w:style>
  <w:style w:type="character" w:styleId="PageNumber">
    <w:name w:val="page number"/>
    <w:basedOn w:val="DefaultParagraphFont"/>
    <w:semiHidden/>
    <w:unhideWhenUsed/>
    <w:rsid w:val="00000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6777">
      <w:bodyDiv w:val="1"/>
      <w:marLeft w:val="0"/>
      <w:marRight w:val="0"/>
      <w:marTop w:val="0"/>
      <w:marBottom w:val="0"/>
      <w:divBdr>
        <w:top w:val="none" w:sz="0" w:space="0" w:color="auto"/>
        <w:left w:val="none" w:sz="0" w:space="0" w:color="auto"/>
        <w:bottom w:val="none" w:sz="0" w:space="0" w:color="auto"/>
        <w:right w:val="none" w:sz="0" w:space="0" w:color="auto"/>
      </w:divBdr>
    </w:div>
    <w:div w:id="362436412">
      <w:bodyDiv w:val="1"/>
      <w:marLeft w:val="0"/>
      <w:marRight w:val="0"/>
      <w:marTop w:val="0"/>
      <w:marBottom w:val="0"/>
      <w:divBdr>
        <w:top w:val="none" w:sz="0" w:space="0" w:color="auto"/>
        <w:left w:val="none" w:sz="0" w:space="0" w:color="auto"/>
        <w:bottom w:val="none" w:sz="0" w:space="0" w:color="auto"/>
        <w:right w:val="none" w:sz="0" w:space="0" w:color="auto"/>
      </w:divBdr>
    </w:div>
    <w:div w:id="529077018">
      <w:bodyDiv w:val="1"/>
      <w:marLeft w:val="0"/>
      <w:marRight w:val="0"/>
      <w:marTop w:val="0"/>
      <w:marBottom w:val="0"/>
      <w:divBdr>
        <w:top w:val="none" w:sz="0" w:space="0" w:color="auto"/>
        <w:left w:val="none" w:sz="0" w:space="0" w:color="auto"/>
        <w:bottom w:val="none" w:sz="0" w:space="0" w:color="auto"/>
        <w:right w:val="none" w:sz="0" w:space="0" w:color="auto"/>
      </w:divBdr>
    </w:div>
    <w:div w:id="777914417">
      <w:bodyDiv w:val="1"/>
      <w:marLeft w:val="0"/>
      <w:marRight w:val="0"/>
      <w:marTop w:val="0"/>
      <w:marBottom w:val="0"/>
      <w:divBdr>
        <w:top w:val="none" w:sz="0" w:space="0" w:color="auto"/>
        <w:left w:val="none" w:sz="0" w:space="0" w:color="auto"/>
        <w:bottom w:val="none" w:sz="0" w:space="0" w:color="auto"/>
        <w:right w:val="none" w:sz="0" w:space="0" w:color="auto"/>
      </w:divBdr>
    </w:div>
    <w:div w:id="789544806">
      <w:bodyDiv w:val="1"/>
      <w:marLeft w:val="0"/>
      <w:marRight w:val="0"/>
      <w:marTop w:val="0"/>
      <w:marBottom w:val="0"/>
      <w:divBdr>
        <w:top w:val="none" w:sz="0" w:space="0" w:color="auto"/>
        <w:left w:val="none" w:sz="0" w:space="0" w:color="auto"/>
        <w:bottom w:val="none" w:sz="0" w:space="0" w:color="auto"/>
        <w:right w:val="none" w:sz="0" w:space="0" w:color="auto"/>
      </w:divBdr>
    </w:div>
    <w:div w:id="907032388">
      <w:bodyDiv w:val="1"/>
      <w:marLeft w:val="0"/>
      <w:marRight w:val="0"/>
      <w:marTop w:val="0"/>
      <w:marBottom w:val="0"/>
      <w:divBdr>
        <w:top w:val="none" w:sz="0" w:space="0" w:color="auto"/>
        <w:left w:val="none" w:sz="0" w:space="0" w:color="auto"/>
        <w:bottom w:val="none" w:sz="0" w:space="0" w:color="auto"/>
        <w:right w:val="none" w:sz="0" w:space="0" w:color="auto"/>
      </w:divBdr>
    </w:div>
    <w:div w:id="1433554127">
      <w:bodyDiv w:val="1"/>
      <w:marLeft w:val="0"/>
      <w:marRight w:val="0"/>
      <w:marTop w:val="0"/>
      <w:marBottom w:val="0"/>
      <w:divBdr>
        <w:top w:val="none" w:sz="0" w:space="0" w:color="auto"/>
        <w:left w:val="none" w:sz="0" w:space="0" w:color="auto"/>
        <w:bottom w:val="none" w:sz="0" w:space="0" w:color="auto"/>
        <w:right w:val="none" w:sz="0" w:space="0" w:color="auto"/>
      </w:divBdr>
    </w:div>
    <w:div w:id="2047482154">
      <w:bodyDiv w:val="1"/>
      <w:marLeft w:val="0"/>
      <w:marRight w:val="0"/>
      <w:marTop w:val="0"/>
      <w:marBottom w:val="0"/>
      <w:divBdr>
        <w:top w:val="none" w:sz="0" w:space="0" w:color="auto"/>
        <w:left w:val="none" w:sz="0" w:space="0" w:color="auto"/>
        <w:bottom w:val="none" w:sz="0" w:space="0" w:color="auto"/>
        <w:right w:val="none" w:sz="0" w:space="0" w:color="auto"/>
      </w:divBdr>
    </w:div>
    <w:div w:id="2085445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footnotes.xml.rels><?xml version="1.0" encoding="UTF-8" standalone="yes"?>
<Relationships xmlns="http://schemas.openxmlformats.org/package/2006/relationships"><Relationship Id="rId8" Type="http://schemas.openxmlformats.org/officeDocument/2006/relationships/hyperlink" Target="http://acafremin.org/es/noticias-regionales/nicaragua/430-acafremin-denuncia-los-atropellos-al-defensor-olman-salazar-y-a-su-familia-por-el-estado-orteguista" TargetMode="External"/><Relationship Id="rId3" Type="http://schemas.openxmlformats.org/officeDocument/2006/relationships/hyperlink" Target="http://www.cao-ombudsman.org/cases/document-links/documents/Nicaragua-Condorgold01-Complaint.pdf" TargetMode="External"/><Relationship Id="rId7" Type="http://schemas.openxmlformats.org/officeDocument/2006/relationships/hyperlink" Target="https://100noticias.com.ni/nacionales/97301-nicaragua-fidel-dominguez-leon-hallanamientos-ileg/?fbclid=IwAR09b6DFJmlarOIvEcBSCHv2r1mE8HisJGIKdVZpb8eCJI60Wx7mZIRvxus" TargetMode="External"/><Relationship Id="rId2" Type="http://schemas.openxmlformats.org/officeDocument/2006/relationships/hyperlink" Target="https://humboldt.org.ni/mina-la-india-invalida-proceso-de-consulta-publica-de-minera/" TargetMode="External"/><Relationship Id="rId1" Type="http://schemas.openxmlformats.org/officeDocument/2006/relationships/hyperlink" Target="https://twitter.com/centrohumboldtn/status/1017779457443139584" TargetMode="External"/><Relationship Id="rId6" Type="http://schemas.openxmlformats.org/officeDocument/2006/relationships/hyperlink" Target="https://ondalocal.com.ni/noticias/810-policia-nicaragua-allana-casa-defensor-ambiental/" TargetMode="External"/><Relationship Id="rId5" Type="http://schemas.openxmlformats.org/officeDocument/2006/relationships/hyperlink" Target="https://www.laprensa.com.ni/2020/01/02/nacionales/2622025-corporacion-financiera-internacional-ifc-retira-inversion-de-proyecto-minero" TargetMode="External"/><Relationship Id="rId10" Type="http://schemas.openxmlformats.org/officeDocument/2006/relationships/hyperlink" Target="https://www.mineria-pa.com/noticias/nicaragua-condor-gold-obtiene-ampliacion-para-cumplir-requisitos-del-proyecto-la-india/" TargetMode="External"/><Relationship Id="rId4" Type="http://schemas.openxmlformats.org/officeDocument/2006/relationships/hyperlink" Target="https://www.ciel.org/news/riot-police-descend-local-activists-under-siege-nicaragua-mining-project/" TargetMode="External"/><Relationship Id="rId9" Type="http://schemas.openxmlformats.org/officeDocument/2006/relationships/hyperlink" Target="https://www.ocmal.org/declaracion-public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7B31C6-BA65-4AAA-835F-0E2B57D2FA09}">
  <ds:schemaRefs>
    <ds:schemaRef ds:uri="http://schemas.openxmlformats.org/officeDocument/2006/bibliography"/>
  </ds:schemaRefs>
</ds:datastoreItem>
</file>

<file path=customXml/itemProps2.xml><?xml version="1.0" encoding="utf-8"?>
<ds:datastoreItem xmlns:ds="http://schemas.openxmlformats.org/officeDocument/2006/customXml" ds:itemID="{0D83D95A-D72D-453B-B616-DA6567EE59BE}"/>
</file>

<file path=customXml/itemProps3.xml><?xml version="1.0" encoding="utf-8"?>
<ds:datastoreItem xmlns:ds="http://schemas.openxmlformats.org/officeDocument/2006/customXml" ds:itemID="{5063BEAF-6238-4386-8F70-962638A74EDB}"/>
</file>

<file path=customXml/itemProps4.xml><?xml version="1.0" encoding="utf-8"?>
<ds:datastoreItem xmlns:ds="http://schemas.openxmlformats.org/officeDocument/2006/customXml" ds:itemID="{FC38E1C2-A327-4CE3-81A8-0FC8E8F0025E}"/>
</file>

<file path=docProps/app.xml><?xml version="1.0" encoding="utf-8"?>
<Properties xmlns="http://schemas.openxmlformats.org/officeDocument/2006/extended-properties" xmlns:vt="http://schemas.openxmlformats.org/officeDocument/2006/docPropsVTypes">
  <Template>Normal.dotm</Template>
  <TotalTime>0</TotalTime>
  <Pages>11</Pages>
  <Words>5018</Words>
  <Characters>26267</Characters>
  <Application>Microsoft Office Word</Application>
  <DocSecurity>0</DocSecurity>
  <Lines>218</Lines>
  <Paragraphs>62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ACTA</vt:lpstr>
      <vt:lpstr>ACTA</vt:lpstr>
    </vt:vector>
  </TitlesOfParts>
  <Company>Centro Humboldt</Company>
  <LinksUpToDate>false</LinksUpToDate>
  <CharactersWithSpaces>31223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dc:title>
  <dc:creator>José Rodríguez</dc:creator>
  <cp:lastModifiedBy>Tolaïni Sabine</cp:lastModifiedBy>
  <cp:revision>2</cp:revision>
  <cp:lastPrinted>2020-08-21T16:04:00Z</cp:lastPrinted>
  <dcterms:created xsi:type="dcterms:W3CDTF">2020-09-07T15:22:00Z</dcterms:created>
  <dcterms:modified xsi:type="dcterms:W3CDTF">2020-09-07T15:22:00Z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