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bookmarkStart w:id="1" w:name="_Toc496802437" w:displacedByCustomXml="next"/>
    <w:bookmarkStart w:id="2" w:name="_Toc496802328" w:displacedByCustomXml="next"/>
    <w:sdt>
      <w:sdtPr>
        <w:rPr>
          <w:rFonts w:eastAsiaTheme="majorEastAsia" w:cstheme="majorBidi"/>
          <w:b/>
          <w:bCs/>
          <w:color w:val="B0050D"/>
          <w:sz w:val="28"/>
          <w:szCs w:val="28"/>
          <w:lang w:val="en-GB" w:eastAsia="de-CH"/>
        </w:rPr>
        <w:id w:val="1365328086"/>
        <w:docPartObj>
          <w:docPartGallery w:val="Cover Pages"/>
          <w:docPartUnique/>
        </w:docPartObj>
      </w:sdtPr>
      <w:sdtEndPr>
        <w:rPr>
          <w:i/>
          <w:iCs/>
          <w:noProof/>
          <w:color w:val="auto"/>
          <w:sz w:val="24"/>
          <w:szCs w:val="20"/>
        </w:rPr>
      </w:sdtEndPr>
      <w:sdtContent>
        <w:p w14:paraId="3417933B" w14:textId="77777777" w:rsidR="00CC6722" w:rsidRPr="0001096E" w:rsidRDefault="00CC6722" w:rsidP="00453053">
          <w:pPr>
            <w:pStyle w:val="BodyText"/>
            <w:tabs>
              <w:tab w:val="right" w:pos="9072"/>
            </w:tabs>
            <w:rPr>
              <w:lang w:val="en-GB"/>
            </w:rPr>
          </w:pPr>
          <w:r w:rsidRPr="0001096E">
            <w:rPr>
              <w:noProof/>
              <w:lang w:val="en-GB" w:eastAsia="en-GB"/>
            </w:rPr>
            <w:drawing>
              <wp:inline distT="0" distB="0" distL="0" distR="0" wp14:anchorId="4CCF9128" wp14:editId="52008465">
                <wp:extent cx="1571844" cy="971686"/>
                <wp:effectExtent l="0" t="0" r="0" b="0"/>
                <wp:docPr id="3" name="Grafik 3" descr="Inclusion Handicap&#10;Mühlemattstrasse 14a&#10;3007 Bern&#10;info@inclusion-handicap.ch&#10;www.inclusion-handicpa.ch&#10;" title="Adresskopf von Inclusion Handi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eschäftsstelle Bern.png"/>
                        <pic:cNvPicPr/>
                      </pic:nvPicPr>
                      <pic:blipFill>
                        <a:blip r:embed="rId9">
                          <a:extLst>
                            <a:ext uri="{28A0092B-C50C-407E-A947-70E740481C1C}">
                              <a14:useLocalDpi xmlns:a14="http://schemas.microsoft.com/office/drawing/2010/main" val="0"/>
                            </a:ext>
                          </a:extLst>
                        </a:blip>
                        <a:stretch>
                          <a:fillRect/>
                        </a:stretch>
                      </pic:blipFill>
                      <pic:spPr>
                        <a:xfrm>
                          <a:off x="0" y="0"/>
                          <a:ext cx="1571844" cy="971686"/>
                        </a:xfrm>
                        <a:prstGeom prst="rect">
                          <a:avLst/>
                        </a:prstGeom>
                      </pic:spPr>
                    </pic:pic>
                  </a:graphicData>
                </a:graphic>
              </wp:inline>
            </w:drawing>
          </w:r>
          <w:r w:rsidR="008C2ED6" w:rsidRPr="0001096E">
            <w:rPr>
              <w:noProof/>
              <w:lang w:val="en-GB" w:eastAsia="en-GB"/>
            </w:rPr>
            <w:drawing>
              <wp:anchor distT="0" distB="0" distL="114300" distR="114300" simplePos="0" relativeHeight="251658240" behindDoc="1" locked="0" layoutInCell="1" allowOverlap="1" wp14:anchorId="78E400DD" wp14:editId="5E0206E2">
                <wp:simplePos x="2486025" y="1076325"/>
                <wp:positionH relativeFrom="margin">
                  <wp:align>right</wp:align>
                </wp:positionH>
                <wp:positionV relativeFrom="margin">
                  <wp:align>top</wp:align>
                </wp:positionV>
                <wp:extent cx="1814195" cy="1738630"/>
                <wp:effectExtent l="0" t="0" r="0" b="0"/>
                <wp:wrapNone/>
                <wp:docPr id="5" name="Grafik 5" descr="Logo von Inclusion Handicap. Dachverband der Behindertenorganisationen Schw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Deutsch.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4195" cy="1738630"/>
                        </a:xfrm>
                        <a:prstGeom prst="rect">
                          <a:avLst/>
                        </a:prstGeom>
                      </pic:spPr>
                    </pic:pic>
                  </a:graphicData>
                </a:graphic>
              </wp:anchor>
            </w:drawing>
          </w:r>
        </w:p>
        <w:p w14:paraId="0778041F" w14:textId="067313DC" w:rsidR="00CC6722" w:rsidRPr="003979FB" w:rsidRDefault="008E260B" w:rsidP="003979FB">
          <w:pPr>
            <w:pStyle w:val="Standard1"/>
            <w:pBdr>
              <w:bottom w:val="single" w:sz="4" w:space="1" w:color="auto"/>
            </w:pBdr>
            <w:spacing w:before="3000" w:line="240" w:lineRule="atLeast"/>
            <w:jc w:val="center"/>
            <w:rPr>
              <w:rStyle w:val="IntenseEmphasis"/>
              <w:sz w:val="48"/>
              <w:szCs w:val="48"/>
            </w:rPr>
          </w:pPr>
          <w:bookmarkStart w:id="3" w:name="_Toc95470754"/>
          <w:r w:rsidRPr="003979FB">
            <w:rPr>
              <w:rStyle w:val="IntenseEmphasis"/>
              <w:sz w:val="48"/>
              <w:szCs w:val="48"/>
            </w:rPr>
            <w:t>Update</w:t>
          </w:r>
          <w:r w:rsidR="0001096E" w:rsidRPr="003979FB">
            <w:rPr>
              <w:rStyle w:val="IntenseEmphasis"/>
              <w:sz w:val="48"/>
              <w:szCs w:val="48"/>
            </w:rPr>
            <w:t>d</w:t>
          </w:r>
          <w:r w:rsidRPr="003979FB">
            <w:rPr>
              <w:rStyle w:val="IntenseEmphasis"/>
              <w:sz w:val="48"/>
              <w:szCs w:val="48"/>
            </w:rPr>
            <w:t xml:space="preserve"> Shadow Report</w:t>
          </w:r>
          <w:bookmarkEnd w:id="3"/>
        </w:p>
        <w:p w14:paraId="278130D8" w14:textId="78455668" w:rsidR="0001096E" w:rsidRPr="0001096E" w:rsidRDefault="0001096E" w:rsidP="0001096E">
          <w:pPr>
            <w:pStyle w:val="Untertitel2"/>
            <w:rPr>
              <w:lang w:val="en-GB"/>
            </w:rPr>
          </w:pPr>
          <w:r w:rsidRPr="0001096E">
            <w:rPr>
              <w:lang w:val="en-GB"/>
            </w:rPr>
            <w:t>Civil Society Report on the Occasion of the Initial State Report Procedure for Switzerland before the UN Committee on the Rights of Persons with Disabilities</w:t>
          </w:r>
        </w:p>
        <w:sdt>
          <w:sdtPr>
            <w:rPr>
              <w:lang w:val="en-GB"/>
            </w:rPr>
            <w:alias w:val="axesPDF - Artefakt"/>
            <w:tag w:val="axesPDF:FigureArtifact"/>
            <w:id w:val="-576823571"/>
            <w:placeholder>
              <w:docPart w:val="119103E0E4F6404DADED79868E0D5E23"/>
            </w:placeholder>
          </w:sdtPr>
          <w:sdtEndPr/>
          <w:sdtContent>
            <w:p w14:paraId="7748053E" w14:textId="77777777" w:rsidR="00CC6722" w:rsidRPr="0001096E" w:rsidRDefault="00CC6722" w:rsidP="00126BDC">
              <w:pPr>
                <w:spacing w:before="2160"/>
                <w:jc w:val="center"/>
                <w:rPr>
                  <w:lang w:val="en-GB"/>
                </w:rPr>
              </w:pPr>
              <w:r w:rsidRPr="0001096E">
                <w:rPr>
                  <w:noProof/>
                  <w:lang w:val="en-GB" w:eastAsia="en-GB"/>
                </w:rPr>
                <w:drawing>
                  <wp:inline distT="0" distB="0" distL="0" distR="0" wp14:anchorId="0ECEFBD3" wp14:editId="359F7A76">
                    <wp:extent cx="1022400" cy="1072800"/>
                    <wp:effectExtent l="0" t="0" r="635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Quadrat_gross.png"/>
                            <pic:cNvPicPr/>
                          </pic:nvPicPr>
                          <pic:blipFill>
                            <a:blip r:embed="rId11">
                              <a:extLst>
                                <a:ext uri="{28A0092B-C50C-407E-A947-70E740481C1C}">
                                  <a14:useLocalDpi xmlns:a14="http://schemas.microsoft.com/office/drawing/2010/main" val="0"/>
                                </a:ext>
                              </a:extLst>
                            </a:blip>
                            <a:stretch>
                              <a:fillRect/>
                            </a:stretch>
                          </pic:blipFill>
                          <pic:spPr>
                            <a:xfrm>
                              <a:off x="0" y="0"/>
                              <a:ext cx="1022400" cy="1072800"/>
                            </a:xfrm>
                            <a:prstGeom prst="rect">
                              <a:avLst/>
                            </a:prstGeom>
                          </pic:spPr>
                        </pic:pic>
                      </a:graphicData>
                    </a:graphic>
                  </wp:inline>
                </w:drawing>
              </w:r>
            </w:p>
          </w:sdtContent>
        </w:sdt>
        <w:p w14:paraId="20FE1E6D" w14:textId="2CA8470E" w:rsidR="00C25235" w:rsidRPr="0001096E" w:rsidRDefault="00102996" w:rsidP="008E260B">
          <w:pPr>
            <w:pStyle w:val="Date"/>
            <w:rPr>
              <w:lang w:val="en-GB"/>
            </w:rPr>
          </w:pPr>
          <w:r w:rsidRPr="0001096E">
            <w:rPr>
              <w:lang w:val="en-GB"/>
            </w:rPr>
            <w:t xml:space="preserve">Bern, </w:t>
          </w:r>
          <w:r w:rsidR="007343F2">
            <w:rPr>
              <w:lang w:val="en-GB"/>
            </w:rPr>
            <w:t>13</w:t>
          </w:r>
          <w:r w:rsidR="007343F2" w:rsidRPr="007343F2">
            <w:rPr>
              <w:vertAlign w:val="superscript"/>
              <w:lang w:val="en-GB"/>
            </w:rPr>
            <w:t>th</w:t>
          </w:r>
          <w:r w:rsidR="007343F2">
            <w:rPr>
              <w:lang w:val="en-GB"/>
            </w:rPr>
            <w:t xml:space="preserve"> </w:t>
          </w:r>
          <w:r w:rsidR="007343F2" w:rsidRPr="007343F2">
            <w:rPr>
              <w:lang w:val="en-GB"/>
            </w:rPr>
            <w:t>of</w:t>
          </w:r>
          <w:r w:rsidRPr="007343F2">
            <w:rPr>
              <w:lang w:val="en-GB"/>
            </w:rPr>
            <w:t xml:space="preserve"> </w:t>
          </w:r>
          <w:r w:rsidR="007343F2" w:rsidRPr="007343F2">
            <w:rPr>
              <w:lang w:val="en-GB"/>
            </w:rPr>
            <w:t>F</w:t>
          </w:r>
          <w:r w:rsidRPr="007343F2">
            <w:rPr>
              <w:lang w:val="en-GB"/>
            </w:rPr>
            <w:t>ebruar</w:t>
          </w:r>
          <w:r w:rsidR="009A37D8" w:rsidRPr="007343F2">
            <w:rPr>
              <w:lang w:val="en-GB"/>
            </w:rPr>
            <w:t>y</w:t>
          </w:r>
          <w:r w:rsidRPr="007343F2">
            <w:rPr>
              <w:lang w:val="en-GB"/>
            </w:rPr>
            <w:t xml:space="preserve"> 2022</w:t>
          </w:r>
        </w:p>
        <w:p w14:paraId="4FE1FBA9" w14:textId="77777777" w:rsidR="00585414" w:rsidRPr="0001096E" w:rsidRDefault="00C25235" w:rsidP="00102996">
          <w:pPr>
            <w:pStyle w:val="Heading3"/>
            <w:numPr>
              <w:ilvl w:val="0"/>
              <w:numId w:val="0"/>
            </w:numPr>
            <w:rPr>
              <w:noProof/>
              <w:lang w:val="en-GB"/>
            </w:rPr>
          </w:pPr>
          <w:r w:rsidRPr="0001096E">
            <w:rPr>
              <w:noProof/>
              <w:lang w:val="en-GB"/>
            </w:rPr>
            <w:br w:type="page"/>
          </w:r>
        </w:p>
        <w:bookmarkEnd w:id="1" w:displacedByCustomXml="next"/>
        <w:bookmarkEnd w:id="2" w:displacedByCustomXml="next"/>
      </w:sdtContent>
    </w:sdt>
    <w:p w14:paraId="2B8067D9" w14:textId="088EA9D8" w:rsidR="00585414" w:rsidRPr="0001096E" w:rsidRDefault="001F59DA" w:rsidP="00102996">
      <w:pPr>
        <w:pStyle w:val="Heading2"/>
        <w:numPr>
          <w:ilvl w:val="0"/>
          <w:numId w:val="0"/>
        </w:numPr>
        <w:ind w:left="340" w:hanging="340"/>
        <w:rPr>
          <w:noProof/>
          <w:lang w:val="en-GB"/>
        </w:rPr>
      </w:pPr>
      <w:bookmarkStart w:id="4" w:name="_Toc95668169"/>
      <w:r w:rsidRPr="0001096E">
        <w:rPr>
          <w:noProof/>
          <w:lang w:val="en-GB"/>
        </w:rPr>
        <w:lastRenderedPageBreak/>
        <w:t>Table of Contents</w:t>
      </w:r>
      <w:bookmarkEnd w:id="4"/>
    </w:p>
    <w:bookmarkStart w:id="5" w:name="_Toc95470756" w:displacedByCustomXml="next"/>
    <w:bookmarkStart w:id="6" w:name="_Toc94709288" w:displacedByCustomXml="next"/>
    <w:bookmarkStart w:id="7" w:name="_Toc94689648" w:displacedByCustomXml="next"/>
    <w:sdt>
      <w:sdtPr>
        <w:rPr>
          <w:b w:val="0"/>
          <w:noProof w:val="0"/>
          <w:lang w:val="en-GB"/>
        </w:rPr>
        <w:id w:val="-352574653"/>
        <w:docPartObj>
          <w:docPartGallery w:val="Table of Contents"/>
          <w:docPartUnique/>
        </w:docPartObj>
      </w:sdtPr>
      <w:sdtEndPr>
        <w:rPr>
          <w:bCs/>
          <w:sz w:val="20"/>
          <w:szCs w:val="20"/>
        </w:rPr>
      </w:sdtEndPr>
      <w:sdtContent>
        <w:bookmarkEnd w:id="7" w:displacedByCustomXml="prev"/>
        <w:bookmarkEnd w:id="6" w:displacedByCustomXml="prev"/>
        <w:bookmarkEnd w:id="5" w:displacedByCustomXml="prev"/>
        <w:p w14:paraId="22DEC421" w14:textId="6444DCA4" w:rsidR="003979FB" w:rsidRDefault="00924B3D">
          <w:pPr>
            <w:pStyle w:val="TOC2"/>
            <w:rPr>
              <w:rFonts w:asciiTheme="minorHAnsi" w:eastAsiaTheme="minorEastAsia" w:hAnsiTheme="minorHAnsi" w:cstheme="minorBidi"/>
              <w:b w:val="0"/>
              <w:sz w:val="22"/>
              <w:lang w:val="de-CH" w:eastAsia="de-CH"/>
            </w:rPr>
          </w:pPr>
          <w:r w:rsidRPr="0001096E">
            <w:rPr>
              <w:sz w:val="20"/>
              <w:szCs w:val="20"/>
              <w:lang w:val="en-GB"/>
            </w:rPr>
            <w:fldChar w:fldCharType="begin"/>
          </w:r>
          <w:r w:rsidRPr="0001096E">
            <w:rPr>
              <w:sz w:val="20"/>
              <w:szCs w:val="20"/>
              <w:lang w:val="en-GB"/>
            </w:rPr>
            <w:instrText xml:space="preserve"> TOC \o "1-3" \h \z \u </w:instrText>
          </w:r>
          <w:r w:rsidRPr="0001096E">
            <w:rPr>
              <w:sz w:val="20"/>
              <w:szCs w:val="20"/>
              <w:lang w:val="en-GB"/>
            </w:rPr>
            <w:fldChar w:fldCharType="separate"/>
          </w:r>
          <w:hyperlink w:anchor="_Toc95668169" w:history="1">
            <w:r w:rsidR="003979FB" w:rsidRPr="00615054">
              <w:rPr>
                <w:rStyle w:val="Hyperlink"/>
                <w:lang w:val="en-GB"/>
              </w:rPr>
              <w:t>Table of Contents</w:t>
            </w:r>
            <w:r w:rsidR="003979FB">
              <w:rPr>
                <w:webHidden/>
              </w:rPr>
              <w:tab/>
            </w:r>
            <w:r w:rsidR="003979FB">
              <w:rPr>
                <w:webHidden/>
              </w:rPr>
              <w:fldChar w:fldCharType="begin"/>
            </w:r>
            <w:r w:rsidR="003979FB">
              <w:rPr>
                <w:webHidden/>
              </w:rPr>
              <w:instrText xml:space="preserve"> PAGEREF _Toc95668169 \h </w:instrText>
            </w:r>
            <w:r w:rsidR="003979FB">
              <w:rPr>
                <w:webHidden/>
              </w:rPr>
            </w:r>
            <w:r w:rsidR="003979FB">
              <w:rPr>
                <w:webHidden/>
              </w:rPr>
              <w:fldChar w:fldCharType="separate"/>
            </w:r>
            <w:r w:rsidR="000B10DD">
              <w:rPr>
                <w:webHidden/>
              </w:rPr>
              <w:t>1</w:t>
            </w:r>
            <w:r w:rsidR="003979FB">
              <w:rPr>
                <w:webHidden/>
              </w:rPr>
              <w:fldChar w:fldCharType="end"/>
            </w:r>
          </w:hyperlink>
        </w:p>
        <w:p w14:paraId="5716FABB" w14:textId="3D822B76" w:rsidR="003979FB" w:rsidRDefault="00C71D65">
          <w:pPr>
            <w:pStyle w:val="TOC2"/>
            <w:rPr>
              <w:rFonts w:asciiTheme="minorHAnsi" w:eastAsiaTheme="minorEastAsia" w:hAnsiTheme="minorHAnsi" w:cstheme="minorBidi"/>
              <w:b w:val="0"/>
              <w:sz w:val="22"/>
              <w:lang w:val="de-CH" w:eastAsia="de-CH"/>
            </w:rPr>
          </w:pPr>
          <w:hyperlink w:anchor="_Toc95668170" w:history="1">
            <w:r w:rsidR="003979FB" w:rsidRPr="00615054">
              <w:rPr>
                <w:rStyle w:val="Hyperlink"/>
                <w:lang w:val="en-GB"/>
              </w:rPr>
              <w:t>1. Introduction</w:t>
            </w:r>
            <w:r w:rsidR="003979FB">
              <w:rPr>
                <w:webHidden/>
              </w:rPr>
              <w:tab/>
            </w:r>
            <w:r w:rsidR="003979FB">
              <w:rPr>
                <w:webHidden/>
              </w:rPr>
              <w:fldChar w:fldCharType="begin"/>
            </w:r>
            <w:r w:rsidR="003979FB">
              <w:rPr>
                <w:webHidden/>
              </w:rPr>
              <w:instrText xml:space="preserve"> PAGEREF _Toc95668170 \h </w:instrText>
            </w:r>
            <w:r w:rsidR="003979FB">
              <w:rPr>
                <w:webHidden/>
              </w:rPr>
            </w:r>
            <w:r w:rsidR="003979FB">
              <w:rPr>
                <w:webHidden/>
              </w:rPr>
              <w:fldChar w:fldCharType="separate"/>
            </w:r>
            <w:r w:rsidR="000B10DD">
              <w:rPr>
                <w:webHidden/>
              </w:rPr>
              <w:t>3</w:t>
            </w:r>
            <w:r w:rsidR="003979FB">
              <w:rPr>
                <w:webHidden/>
              </w:rPr>
              <w:fldChar w:fldCharType="end"/>
            </w:r>
          </w:hyperlink>
        </w:p>
        <w:p w14:paraId="279DC27C" w14:textId="777BFB42" w:rsidR="003979FB" w:rsidRDefault="00C71D65">
          <w:pPr>
            <w:pStyle w:val="TOC2"/>
            <w:rPr>
              <w:rFonts w:asciiTheme="minorHAnsi" w:eastAsiaTheme="minorEastAsia" w:hAnsiTheme="minorHAnsi" w:cstheme="minorBidi"/>
              <w:b w:val="0"/>
              <w:sz w:val="22"/>
              <w:lang w:val="de-CH" w:eastAsia="de-CH"/>
            </w:rPr>
          </w:pPr>
          <w:hyperlink w:anchor="_Toc95668171" w:history="1">
            <w:r w:rsidR="003979FB" w:rsidRPr="00615054">
              <w:rPr>
                <w:rStyle w:val="Hyperlink"/>
                <w:lang w:val="en-GB"/>
              </w:rPr>
              <w:t>2. General assessment</w:t>
            </w:r>
            <w:r w:rsidR="003979FB">
              <w:rPr>
                <w:webHidden/>
              </w:rPr>
              <w:tab/>
            </w:r>
            <w:r w:rsidR="003979FB">
              <w:rPr>
                <w:webHidden/>
              </w:rPr>
              <w:fldChar w:fldCharType="begin"/>
            </w:r>
            <w:r w:rsidR="003979FB">
              <w:rPr>
                <w:webHidden/>
              </w:rPr>
              <w:instrText xml:space="preserve"> PAGEREF _Toc95668171 \h </w:instrText>
            </w:r>
            <w:r w:rsidR="003979FB">
              <w:rPr>
                <w:webHidden/>
              </w:rPr>
            </w:r>
            <w:r w:rsidR="003979FB">
              <w:rPr>
                <w:webHidden/>
              </w:rPr>
              <w:fldChar w:fldCharType="separate"/>
            </w:r>
            <w:r w:rsidR="000B10DD">
              <w:rPr>
                <w:webHidden/>
              </w:rPr>
              <w:t>4</w:t>
            </w:r>
            <w:r w:rsidR="003979FB">
              <w:rPr>
                <w:webHidden/>
              </w:rPr>
              <w:fldChar w:fldCharType="end"/>
            </w:r>
          </w:hyperlink>
        </w:p>
        <w:p w14:paraId="6A3ACDC2" w14:textId="76033C1B" w:rsidR="003979FB" w:rsidRDefault="00C71D65">
          <w:pPr>
            <w:pStyle w:val="TOC2"/>
            <w:rPr>
              <w:rFonts w:asciiTheme="minorHAnsi" w:eastAsiaTheme="minorEastAsia" w:hAnsiTheme="minorHAnsi" w:cstheme="minorBidi"/>
              <w:b w:val="0"/>
              <w:sz w:val="22"/>
              <w:lang w:val="de-CH" w:eastAsia="de-CH"/>
            </w:rPr>
          </w:pPr>
          <w:hyperlink w:anchor="_Toc95668172" w:history="1">
            <w:r w:rsidR="003979FB" w:rsidRPr="00615054">
              <w:rPr>
                <w:rStyle w:val="Hyperlink"/>
                <w:lang w:val="en-GB"/>
              </w:rPr>
              <w:t>3. General provisions of the Convention: Articles 1-4 CRPD</w:t>
            </w:r>
            <w:r w:rsidR="003979FB">
              <w:rPr>
                <w:webHidden/>
              </w:rPr>
              <w:tab/>
            </w:r>
            <w:r w:rsidR="003979FB">
              <w:rPr>
                <w:webHidden/>
              </w:rPr>
              <w:fldChar w:fldCharType="begin"/>
            </w:r>
            <w:r w:rsidR="003979FB">
              <w:rPr>
                <w:webHidden/>
              </w:rPr>
              <w:instrText xml:space="preserve"> PAGEREF _Toc95668172 \h </w:instrText>
            </w:r>
            <w:r w:rsidR="003979FB">
              <w:rPr>
                <w:webHidden/>
              </w:rPr>
            </w:r>
            <w:r w:rsidR="003979FB">
              <w:rPr>
                <w:webHidden/>
              </w:rPr>
              <w:fldChar w:fldCharType="separate"/>
            </w:r>
            <w:r w:rsidR="000B10DD">
              <w:rPr>
                <w:webHidden/>
              </w:rPr>
              <w:t>6</w:t>
            </w:r>
            <w:r w:rsidR="003979FB">
              <w:rPr>
                <w:webHidden/>
              </w:rPr>
              <w:fldChar w:fldCharType="end"/>
            </w:r>
          </w:hyperlink>
        </w:p>
        <w:p w14:paraId="6CF48CF3" w14:textId="48D6D1A9" w:rsidR="003979FB" w:rsidRDefault="00C71D65">
          <w:pPr>
            <w:pStyle w:val="TOC2"/>
            <w:rPr>
              <w:rFonts w:asciiTheme="minorHAnsi" w:eastAsiaTheme="minorEastAsia" w:hAnsiTheme="minorHAnsi" w:cstheme="minorBidi"/>
              <w:b w:val="0"/>
              <w:sz w:val="22"/>
              <w:lang w:val="de-CH" w:eastAsia="de-CH"/>
            </w:rPr>
          </w:pPr>
          <w:hyperlink w:anchor="_Toc95668173" w:history="1">
            <w:r w:rsidR="003979FB" w:rsidRPr="00615054">
              <w:rPr>
                <w:rStyle w:val="Hyperlink"/>
                <w:lang w:val="en-GB"/>
              </w:rPr>
              <w:t>4. Specific rights</w:t>
            </w:r>
            <w:r w:rsidR="003979FB">
              <w:rPr>
                <w:webHidden/>
              </w:rPr>
              <w:tab/>
            </w:r>
            <w:r w:rsidR="003979FB">
              <w:rPr>
                <w:webHidden/>
              </w:rPr>
              <w:fldChar w:fldCharType="begin"/>
            </w:r>
            <w:r w:rsidR="003979FB">
              <w:rPr>
                <w:webHidden/>
              </w:rPr>
              <w:instrText xml:space="preserve"> PAGEREF _Toc95668173 \h </w:instrText>
            </w:r>
            <w:r w:rsidR="003979FB">
              <w:rPr>
                <w:webHidden/>
              </w:rPr>
            </w:r>
            <w:r w:rsidR="003979FB">
              <w:rPr>
                <w:webHidden/>
              </w:rPr>
              <w:fldChar w:fldCharType="separate"/>
            </w:r>
            <w:r w:rsidR="000B10DD">
              <w:rPr>
                <w:webHidden/>
              </w:rPr>
              <w:t>10</w:t>
            </w:r>
            <w:r w:rsidR="003979FB">
              <w:rPr>
                <w:webHidden/>
              </w:rPr>
              <w:fldChar w:fldCharType="end"/>
            </w:r>
          </w:hyperlink>
        </w:p>
        <w:p w14:paraId="7CD041AE" w14:textId="5AA4C0F3" w:rsidR="003979FB" w:rsidRDefault="00C71D65">
          <w:pPr>
            <w:pStyle w:val="TOC3"/>
            <w:rPr>
              <w:rFonts w:asciiTheme="minorHAnsi" w:eastAsiaTheme="minorEastAsia" w:hAnsiTheme="minorHAnsi" w:cstheme="minorBidi"/>
              <w:noProof/>
              <w:sz w:val="22"/>
              <w:lang w:val="de-CH" w:eastAsia="de-CH"/>
            </w:rPr>
          </w:pPr>
          <w:hyperlink w:anchor="_Toc95668174" w:history="1">
            <w:r w:rsidR="003979FB" w:rsidRPr="00615054">
              <w:rPr>
                <w:rStyle w:val="Hyperlink"/>
                <w:noProof/>
                <w:lang w:val="en-GB"/>
              </w:rPr>
              <w:t>Article 5 – Equality and non-discrimination</w:t>
            </w:r>
            <w:r w:rsidR="003979FB">
              <w:rPr>
                <w:noProof/>
                <w:webHidden/>
              </w:rPr>
              <w:tab/>
            </w:r>
            <w:r w:rsidR="003979FB">
              <w:rPr>
                <w:noProof/>
                <w:webHidden/>
              </w:rPr>
              <w:fldChar w:fldCharType="begin"/>
            </w:r>
            <w:r w:rsidR="003979FB">
              <w:rPr>
                <w:noProof/>
                <w:webHidden/>
              </w:rPr>
              <w:instrText xml:space="preserve"> PAGEREF _Toc95668174 \h </w:instrText>
            </w:r>
            <w:r w:rsidR="003979FB">
              <w:rPr>
                <w:noProof/>
                <w:webHidden/>
              </w:rPr>
            </w:r>
            <w:r w:rsidR="003979FB">
              <w:rPr>
                <w:noProof/>
                <w:webHidden/>
              </w:rPr>
              <w:fldChar w:fldCharType="separate"/>
            </w:r>
            <w:r w:rsidR="000B10DD">
              <w:rPr>
                <w:noProof/>
                <w:webHidden/>
              </w:rPr>
              <w:t>10</w:t>
            </w:r>
            <w:r w:rsidR="003979FB">
              <w:rPr>
                <w:noProof/>
                <w:webHidden/>
              </w:rPr>
              <w:fldChar w:fldCharType="end"/>
            </w:r>
          </w:hyperlink>
        </w:p>
        <w:p w14:paraId="5C74B6B5" w14:textId="5C659F53" w:rsidR="003979FB" w:rsidRDefault="00C71D65">
          <w:pPr>
            <w:pStyle w:val="TOC3"/>
            <w:rPr>
              <w:rFonts w:asciiTheme="minorHAnsi" w:eastAsiaTheme="minorEastAsia" w:hAnsiTheme="minorHAnsi" w:cstheme="minorBidi"/>
              <w:noProof/>
              <w:sz w:val="22"/>
              <w:lang w:val="de-CH" w:eastAsia="de-CH"/>
            </w:rPr>
          </w:pPr>
          <w:hyperlink w:anchor="_Toc95668175" w:history="1">
            <w:r w:rsidR="003979FB" w:rsidRPr="00615054">
              <w:rPr>
                <w:rStyle w:val="Hyperlink"/>
                <w:noProof/>
                <w:lang w:val="en-GB"/>
              </w:rPr>
              <w:t>Article 6 – Women with disabilities</w:t>
            </w:r>
            <w:r w:rsidR="003979FB">
              <w:rPr>
                <w:noProof/>
                <w:webHidden/>
              </w:rPr>
              <w:tab/>
            </w:r>
            <w:r w:rsidR="003979FB">
              <w:rPr>
                <w:noProof/>
                <w:webHidden/>
              </w:rPr>
              <w:fldChar w:fldCharType="begin"/>
            </w:r>
            <w:r w:rsidR="003979FB">
              <w:rPr>
                <w:noProof/>
                <w:webHidden/>
              </w:rPr>
              <w:instrText xml:space="preserve"> PAGEREF _Toc95668175 \h </w:instrText>
            </w:r>
            <w:r w:rsidR="003979FB">
              <w:rPr>
                <w:noProof/>
                <w:webHidden/>
              </w:rPr>
            </w:r>
            <w:r w:rsidR="003979FB">
              <w:rPr>
                <w:noProof/>
                <w:webHidden/>
              </w:rPr>
              <w:fldChar w:fldCharType="separate"/>
            </w:r>
            <w:r w:rsidR="000B10DD">
              <w:rPr>
                <w:noProof/>
                <w:webHidden/>
              </w:rPr>
              <w:t>12</w:t>
            </w:r>
            <w:r w:rsidR="003979FB">
              <w:rPr>
                <w:noProof/>
                <w:webHidden/>
              </w:rPr>
              <w:fldChar w:fldCharType="end"/>
            </w:r>
          </w:hyperlink>
        </w:p>
        <w:p w14:paraId="04921965" w14:textId="67B5BA52" w:rsidR="003979FB" w:rsidRDefault="00C71D65">
          <w:pPr>
            <w:pStyle w:val="TOC3"/>
            <w:rPr>
              <w:rFonts w:asciiTheme="minorHAnsi" w:eastAsiaTheme="minorEastAsia" w:hAnsiTheme="minorHAnsi" w:cstheme="minorBidi"/>
              <w:noProof/>
              <w:sz w:val="22"/>
              <w:lang w:val="de-CH" w:eastAsia="de-CH"/>
            </w:rPr>
          </w:pPr>
          <w:hyperlink w:anchor="_Toc95668176" w:history="1">
            <w:r w:rsidR="003979FB" w:rsidRPr="00615054">
              <w:rPr>
                <w:rStyle w:val="Hyperlink"/>
                <w:noProof/>
                <w:lang w:val="en-GB"/>
              </w:rPr>
              <w:t>Article 7 – Children with disabilities</w:t>
            </w:r>
            <w:r w:rsidR="003979FB">
              <w:rPr>
                <w:noProof/>
                <w:webHidden/>
              </w:rPr>
              <w:tab/>
            </w:r>
            <w:r w:rsidR="003979FB">
              <w:rPr>
                <w:noProof/>
                <w:webHidden/>
              </w:rPr>
              <w:fldChar w:fldCharType="begin"/>
            </w:r>
            <w:r w:rsidR="003979FB">
              <w:rPr>
                <w:noProof/>
                <w:webHidden/>
              </w:rPr>
              <w:instrText xml:space="preserve"> PAGEREF _Toc95668176 \h </w:instrText>
            </w:r>
            <w:r w:rsidR="003979FB">
              <w:rPr>
                <w:noProof/>
                <w:webHidden/>
              </w:rPr>
            </w:r>
            <w:r w:rsidR="003979FB">
              <w:rPr>
                <w:noProof/>
                <w:webHidden/>
              </w:rPr>
              <w:fldChar w:fldCharType="separate"/>
            </w:r>
            <w:r w:rsidR="000B10DD">
              <w:rPr>
                <w:noProof/>
                <w:webHidden/>
              </w:rPr>
              <w:t>13</w:t>
            </w:r>
            <w:r w:rsidR="003979FB">
              <w:rPr>
                <w:noProof/>
                <w:webHidden/>
              </w:rPr>
              <w:fldChar w:fldCharType="end"/>
            </w:r>
          </w:hyperlink>
        </w:p>
        <w:p w14:paraId="73E4F0C9" w14:textId="121CB23E" w:rsidR="003979FB" w:rsidRDefault="00C71D65">
          <w:pPr>
            <w:pStyle w:val="TOC3"/>
            <w:rPr>
              <w:rFonts w:asciiTheme="minorHAnsi" w:eastAsiaTheme="minorEastAsia" w:hAnsiTheme="minorHAnsi" w:cstheme="minorBidi"/>
              <w:noProof/>
              <w:sz w:val="22"/>
              <w:lang w:val="de-CH" w:eastAsia="de-CH"/>
            </w:rPr>
          </w:pPr>
          <w:hyperlink w:anchor="_Toc95668177" w:history="1">
            <w:r w:rsidR="003979FB" w:rsidRPr="00615054">
              <w:rPr>
                <w:rStyle w:val="Hyperlink"/>
                <w:noProof/>
                <w:lang w:val="en-GB"/>
              </w:rPr>
              <w:t>Article 8 – Awareness-raising</w:t>
            </w:r>
            <w:r w:rsidR="003979FB">
              <w:rPr>
                <w:noProof/>
                <w:webHidden/>
              </w:rPr>
              <w:tab/>
            </w:r>
            <w:r w:rsidR="003979FB">
              <w:rPr>
                <w:noProof/>
                <w:webHidden/>
              </w:rPr>
              <w:fldChar w:fldCharType="begin"/>
            </w:r>
            <w:r w:rsidR="003979FB">
              <w:rPr>
                <w:noProof/>
                <w:webHidden/>
              </w:rPr>
              <w:instrText xml:space="preserve"> PAGEREF _Toc95668177 \h </w:instrText>
            </w:r>
            <w:r w:rsidR="003979FB">
              <w:rPr>
                <w:noProof/>
                <w:webHidden/>
              </w:rPr>
            </w:r>
            <w:r w:rsidR="003979FB">
              <w:rPr>
                <w:noProof/>
                <w:webHidden/>
              </w:rPr>
              <w:fldChar w:fldCharType="separate"/>
            </w:r>
            <w:r w:rsidR="000B10DD">
              <w:rPr>
                <w:noProof/>
                <w:webHidden/>
              </w:rPr>
              <w:t>14</w:t>
            </w:r>
            <w:r w:rsidR="003979FB">
              <w:rPr>
                <w:noProof/>
                <w:webHidden/>
              </w:rPr>
              <w:fldChar w:fldCharType="end"/>
            </w:r>
          </w:hyperlink>
        </w:p>
        <w:p w14:paraId="30F63898" w14:textId="6C0BD588" w:rsidR="003979FB" w:rsidRDefault="00C71D65">
          <w:pPr>
            <w:pStyle w:val="TOC3"/>
            <w:rPr>
              <w:rFonts w:asciiTheme="minorHAnsi" w:eastAsiaTheme="minorEastAsia" w:hAnsiTheme="minorHAnsi" w:cstheme="minorBidi"/>
              <w:noProof/>
              <w:sz w:val="22"/>
              <w:lang w:val="de-CH" w:eastAsia="de-CH"/>
            </w:rPr>
          </w:pPr>
          <w:hyperlink w:anchor="_Toc95668178" w:history="1">
            <w:r w:rsidR="003979FB" w:rsidRPr="00615054">
              <w:rPr>
                <w:rStyle w:val="Hyperlink"/>
                <w:noProof/>
                <w:lang w:val="en-GB"/>
              </w:rPr>
              <w:t>Article 9 – Accessibility</w:t>
            </w:r>
            <w:r w:rsidR="003979FB">
              <w:rPr>
                <w:noProof/>
                <w:webHidden/>
              </w:rPr>
              <w:tab/>
            </w:r>
            <w:r w:rsidR="003979FB">
              <w:rPr>
                <w:noProof/>
                <w:webHidden/>
              </w:rPr>
              <w:fldChar w:fldCharType="begin"/>
            </w:r>
            <w:r w:rsidR="003979FB">
              <w:rPr>
                <w:noProof/>
                <w:webHidden/>
              </w:rPr>
              <w:instrText xml:space="preserve"> PAGEREF _Toc95668178 \h </w:instrText>
            </w:r>
            <w:r w:rsidR="003979FB">
              <w:rPr>
                <w:noProof/>
                <w:webHidden/>
              </w:rPr>
            </w:r>
            <w:r w:rsidR="003979FB">
              <w:rPr>
                <w:noProof/>
                <w:webHidden/>
              </w:rPr>
              <w:fldChar w:fldCharType="separate"/>
            </w:r>
            <w:r w:rsidR="000B10DD">
              <w:rPr>
                <w:noProof/>
                <w:webHidden/>
              </w:rPr>
              <w:t>15</w:t>
            </w:r>
            <w:r w:rsidR="003979FB">
              <w:rPr>
                <w:noProof/>
                <w:webHidden/>
              </w:rPr>
              <w:fldChar w:fldCharType="end"/>
            </w:r>
          </w:hyperlink>
        </w:p>
        <w:p w14:paraId="70E5F682" w14:textId="64A649E7" w:rsidR="003979FB" w:rsidRDefault="00C71D65">
          <w:pPr>
            <w:pStyle w:val="TOC3"/>
            <w:rPr>
              <w:rFonts w:asciiTheme="minorHAnsi" w:eastAsiaTheme="minorEastAsia" w:hAnsiTheme="minorHAnsi" w:cstheme="minorBidi"/>
              <w:noProof/>
              <w:sz w:val="22"/>
              <w:lang w:val="de-CH" w:eastAsia="de-CH"/>
            </w:rPr>
          </w:pPr>
          <w:hyperlink w:anchor="_Toc95668179" w:history="1">
            <w:r w:rsidR="003979FB" w:rsidRPr="00615054">
              <w:rPr>
                <w:rStyle w:val="Hyperlink"/>
                <w:noProof/>
                <w:lang w:val="en-GB"/>
              </w:rPr>
              <w:t>Article 10 – Right to life</w:t>
            </w:r>
            <w:r w:rsidR="003979FB">
              <w:rPr>
                <w:noProof/>
                <w:webHidden/>
              </w:rPr>
              <w:tab/>
            </w:r>
            <w:r w:rsidR="003979FB">
              <w:rPr>
                <w:noProof/>
                <w:webHidden/>
              </w:rPr>
              <w:fldChar w:fldCharType="begin"/>
            </w:r>
            <w:r w:rsidR="003979FB">
              <w:rPr>
                <w:noProof/>
                <w:webHidden/>
              </w:rPr>
              <w:instrText xml:space="preserve"> PAGEREF _Toc95668179 \h </w:instrText>
            </w:r>
            <w:r w:rsidR="003979FB">
              <w:rPr>
                <w:noProof/>
                <w:webHidden/>
              </w:rPr>
            </w:r>
            <w:r w:rsidR="003979FB">
              <w:rPr>
                <w:noProof/>
                <w:webHidden/>
              </w:rPr>
              <w:fldChar w:fldCharType="separate"/>
            </w:r>
            <w:r w:rsidR="000B10DD">
              <w:rPr>
                <w:noProof/>
                <w:webHidden/>
              </w:rPr>
              <w:t>18</w:t>
            </w:r>
            <w:r w:rsidR="003979FB">
              <w:rPr>
                <w:noProof/>
                <w:webHidden/>
              </w:rPr>
              <w:fldChar w:fldCharType="end"/>
            </w:r>
          </w:hyperlink>
        </w:p>
        <w:p w14:paraId="412ECA85" w14:textId="4C54E44E" w:rsidR="003979FB" w:rsidRDefault="00C71D65">
          <w:pPr>
            <w:pStyle w:val="TOC3"/>
            <w:rPr>
              <w:rFonts w:asciiTheme="minorHAnsi" w:eastAsiaTheme="minorEastAsia" w:hAnsiTheme="minorHAnsi" w:cstheme="minorBidi"/>
              <w:noProof/>
              <w:sz w:val="22"/>
              <w:lang w:val="de-CH" w:eastAsia="de-CH"/>
            </w:rPr>
          </w:pPr>
          <w:hyperlink w:anchor="_Toc95668180" w:history="1">
            <w:r w:rsidR="003979FB" w:rsidRPr="00615054">
              <w:rPr>
                <w:rStyle w:val="Hyperlink"/>
                <w:noProof/>
                <w:lang w:val="en-GB"/>
              </w:rPr>
              <w:t>Article 11 – Situations of risk and humanitarian emergencies</w:t>
            </w:r>
            <w:r w:rsidR="003979FB">
              <w:rPr>
                <w:noProof/>
                <w:webHidden/>
              </w:rPr>
              <w:tab/>
            </w:r>
            <w:r w:rsidR="003979FB">
              <w:rPr>
                <w:noProof/>
                <w:webHidden/>
              </w:rPr>
              <w:fldChar w:fldCharType="begin"/>
            </w:r>
            <w:r w:rsidR="003979FB">
              <w:rPr>
                <w:noProof/>
                <w:webHidden/>
              </w:rPr>
              <w:instrText xml:space="preserve"> PAGEREF _Toc95668180 \h </w:instrText>
            </w:r>
            <w:r w:rsidR="003979FB">
              <w:rPr>
                <w:noProof/>
                <w:webHidden/>
              </w:rPr>
            </w:r>
            <w:r w:rsidR="003979FB">
              <w:rPr>
                <w:noProof/>
                <w:webHidden/>
              </w:rPr>
              <w:fldChar w:fldCharType="separate"/>
            </w:r>
            <w:r w:rsidR="000B10DD">
              <w:rPr>
                <w:noProof/>
                <w:webHidden/>
              </w:rPr>
              <w:t>19</w:t>
            </w:r>
            <w:r w:rsidR="003979FB">
              <w:rPr>
                <w:noProof/>
                <w:webHidden/>
              </w:rPr>
              <w:fldChar w:fldCharType="end"/>
            </w:r>
          </w:hyperlink>
        </w:p>
        <w:p w14:paraId="3B1C1C5F" w14:textId="51BEF020" w:rsidR="003979FB" w:rsidRDefault="00C71D65">
          <w:pPr>
            <w:pStyle w:val="TOC3"/>
            <w:rPr>
              <w:rFonts w:asciiTheme="minorHAnsi" w:eastAsiaTheme="minorEastAsia" w:hAnsiTheme="minorHAnsi" w:cstheme="minorBidi"/>
              <w:noProof/>
              <w:sz w:val="22"/>
              <w:lang w:val="de-CH" w:eastAsia="de-CH"/>
            </w:rPr>
          </w:pPr>
          <w:hyperlink w:anchor="_Toc95668181" w:history="1">
            <w:r w:rsidR="003979FB" w:rsidRPr="00615054">
              <w:rPr>
                <w:rStyle w:val="Hyperlink"/>
                <w:noProof/>
                <w:lang w:val="en-GB"/>
              </w:rPr>
              <w:t>Article 12 – Equal recognition before the law</w:t>
            </w:r>
            <w:r w:rsidR="003979FB">
              <w:rPr>
                <w:noProof/>
                <w:webHidden/>
              </w:rPr>
              <w:tab/>
            </w:r>
            <w:r w:rsidR="003979FB">
              <w:rPr>
                <w:noProof/>
                <w:webHidden/>
              </w:rPr>
              <w:fldChar w:fldCharType="begin"/>
            </w:r>
            <w:r w:rsidR="003979FB">
              <w:rPr>
                <w:noProof/>
                <w:webHidden/>
              </w:rPr>
              <w:instrText xml:space="preserve"> PAGEREF _Toc95668181 \h </w:instrText>
            </w:r>
            <w:r w:rsidR="003979FB">
              <w:rPr>
                <w:noProof/>
                <w:webHidden/>
              </w:rPr>
            </w:r>
            <w:r w:rsidR="003979FB">
              <w:rPr>
                <w:noProof/>
                <w:webHidden/>
              </w:rPr>
              <w:fldChar w:fldCharType="separate"/>
            </w:r>
            <w:r w:rsidR="000B10DD">
              <w:rPr>
                <w:noProof/>
                <w:webHidden/>
              </w:rPr>
              <w:t>23</w:t>
            </w:r>
            <w:r w:rsidR="003979FB">
              <w:rPr>
                <w:noProof/>
                <w:webHidden/>
              </w:rPr>
              <w:fldChar w:fldCharType="end"/>
            </w:r>
          </w:hyperlink>
        </w:p>
        <w:p w14:paraId="40792A00" w14:textId="4816E5C3" w:rsidR="003979FB" w:rsidRDefault="00C71D65">
          <w:pPr>
            <w:pStyle w:val="TOC3"/>
            <w:rPr>
              <w:rFonts w:asciiTheme="minorHAnsi" w:eastAsiaTheme="minorEastAsia" w:hAnsiTheme="minorHAnsi" w:cstheme="minorBidi"/>
              <w:noProof/>
              <w:sz w:val="22"/>
              <w:lang w:val="de-CH" w:eastAsia="de-CH"/>
            </w:rPr>
          </w:pPr>
          <w:hyperlink w:anchor="_Toc95668182" w:history="1">
            <w:r w:rsidR="003979FB" w:rsidRPr="00615054">
              <w:rPr>
                <w:rStyle w:val="Hyperlink"/>
                <w:noProof/>
                <w:lang w:val="en-GB"/>
              </w:rPr>
              <w:t>Article 13 – Access to justice</w:t>
            </w:r>
            <w:r w:rsidR="003979FB">
              <w:rPr>
                <w:noProof/>
                <w:webHidden/>
              </w:rPr>
              <w:tab/>
            </w:r>
            <w:r w:rsidR="003979FB">
              <w:rPr>
                <w:noProof/>
                <w:webHidden/>
              </w:rPr>
              <w:fldChar w:fldCharType="begin"/>
            </w:r>
            <w:r w:rsidR="003979FB">
              <w:rPr>
                <w:noProof/>
                <w:webHidden/>
              </w:rPr>
              <w:instrText xml:space="preserve"> PAGEREF _Toc95668182 \h </w:instrText>
            </w:r>
            <w:r w:rsidR="003979FB">
              <w:rPr>
                <w:noProof/>
                <w:webHidden/>
              </w:rPr>
            </w:r>
            <w:r w:rsidR="003979FB">
              <w:rPr>
                <w:noProof/>
                <w:webHidden/>
              </w:rPr>
              <w:fldChar w:fldCharType="separate"/>
            </w:r>
            <w:r w:rsidR="000B10DD">
              <w:rPr>
                <w:noProof/>
                <w:webHidden/>
              </w:rPr>
              <w:t>25</w:t>
            </w:r>
            <w:r w:rsidR="003979FB">
              <w:rPr>
                <w:noProof/>
                <w:webHidden/>
              </w:rPr>
              <w:fldChar w:fldCharType="end"/>
            </w:r>
          </w:hyperlink>
        </w:p>
        <w:p w14:paraId="034D1267" w14:textId="12041475" w:rsidR="003979FB" w:rsidRDefault="00C71D65">
          <w:pPr>
            <w:pStyle w:val="TOC3"/>
            <w:rPr>
              <w:rFonts w:asciiTheme="minorHAnsi" w:eastAsiaTheme="minorEastAsia" w:hAnsiTheme="minorHAnsi" w:cstheme="minorBidi"/>
              <w:noProof/>
              <w:sz w:val="22"/>
              <w:lang w:val="de-CH" w:eastAsia="de-CH"/>
            </w:rPr>
          </w:pPr>
          <w:hyperlink w:anchor="_Toc95668183" w:history="1">
            <w:r w:rsidR="003979FB" w:rsidRPr="00615054">
              <w:rPr>
                <w:rStyle w:val="Hyperlink"/>
                <w:noProof/>
                <w:lang w:val="en-GB"/>
              </w:rPr>
              <w:t>Article 14 – Liberty and security of the person</w:t>
            </w:r>
            <w:r w:rsidR="003979FB">
              <w:rPr>
                <w:noProof/>
                <w:webHidden/>
              </w:rPr>
              <w:tab/>
            </w:r>
            <w:r w:rsidR="003979FB">
              <w:rPr>
                <w:noProof/>
                <w:webHidden/>
              </w:rPr>
              <w:fldChar w:fldCharType="begin"/>
            </w:r>
            <w:r w:rsidR="003979FB">
              <w:rPr>
                <w:noProof/>
                <w:webHidden/>
              </w:rPr>
              <w:instrText xml:space="preserve"> PAGEREF _Toc95668183 \h </w:instrText>
            </w:r>
            <w:r w:rsidR="003979FB">
              <w:rPr>
                <w:noProof/>
                <w:webHidden/>
              </w:rPr>
            </w:r>
            <w:r w:rsidR="003979FB">
              <w:rPr>
                <w:noProof/>
                <w:webHidden/>
              </w:rPr>
              <w:fldChar w:fldCharType="separate"/>
            </w:r>
            <w:r w:rsidR="000B10DD">
              <w:rPr>
                <w:noProof/>
                <w:webHidden/>
              </w:rPr>
              <w:t>27</w:t>
            </w:r>
            <w:r w:rsidR="003979FB">
              <w:rPr>
                <w:noProof/>
                <w:webHidden/>
              </w:rPr>
              <w:fldChar w:fldCharType="end"/>
            </w:r>
          </w:hyperlink>
        </w:p>
        <w:p w14:paraId="3EC7A913" w14:textId="0831F77A" w:rsidR="003979FB" w:rsidRDefault="00C71D65">
          <w:pPr>
            <w:pStyle w:val="TOC3"/>
            <w:rPr>
              <w:rFonts w:asciiTheme="minorHAnsi" w:eastAsiaTheme="minorEastAsia" w:hAnsiTheme="minorHAnsi" w:cstheme="minorBidi"/>
              <w:noProof/>
              <w:sz w:val="22"/>
              <w:lang w:val="de-CH" w:eastAsia="de-CH"/>
            </w:rPr>
          </w:pPr>
          <w:hyperlink w:anchor="_Toc95668184" w:history="1">
            <w:r w:rsidR="003979FB" w:rsidRPr="00615054">
              <w:rPr>
                <w:rStyle w:val="Hyperlink"/>
                <w:noProof/>
                <w:lang w:val="en-GB"/>
              </w:rPr>
              <w:t>Article 15 – Freedom from torture or cruel, inhuman or degrading treatment or punishment</w:t>
            </w:r>
            <w:r w:rsidR="003979FB">
              <w:rPr>
                <w:noProof/>
                <w:webHidden/>
              </w:rPr>
              <w:tab/>
            </w:r>
            <w:r w:rsidR="003979FB">
              <w:rPr>
                <w:noProof/>
                <w:webHidden/>
              </w:rPr>
              <w:fldChar w:fldCharType="begin"/>
            </w:r>
            <w:r w:rsidR="003979FB">
              <w:rPr>
                <w:noProof/>
                <w:webHidden/>
              </w:rPr>
              <w:instrText xml:space="preserve"> PAGEREF _Toc95668184 \h </w:instrText>
            </w:r>
            <w:r w:rsidR="003979FB">
              <w:rPr>
                <w:noProof/>
                <w:webHidden/>
              </w:rPr>
            </w:r>
            <w:r w:rsidR="003979FB">
              <w:rPr>
                <w:noProof/>
                <w:webHidden/>
              </w:rPr>
              <w:fldChar w:fldCharType="separate"/>
            </w:r>
            <w:r w:rsidR="000B10DD">
              <w:rPr>
                <w:noProof/>
                <w:webHidden/>
              </w:rPr>
              <w:t>28</w:t>
            </w:r>
            <w:r w:rsidR="003979FB">
              <w:rPr>
                <w:noProof/>
                <w:webHidden/>
              </w:rPr>
              <w:fldChar w:fldCharType="end"/>
            </w:r>
          </w:hyperlink>
        </w:p>
        <w:p w14:paraId="0CAE0577" w14:textId="2AB1BCDE" w:rsidR="003979FB" w:rsidRDefault="00C71D65">
          <w:pPr>
            <w:pStyle w:val="TOC3"/>
            <w:rPr>
              <w:rFonts w:asciiTheme="minorHAnsi" w:eastAsiaTheme="minorEastAsia" w:hAnsiTheme="minorHAnsi" w:cstheme="minorBidi"/>
              <w:noProof/>
              <w:sz w:val="22"/>
              <w:lang w:val="de-CH" w:eastAsia="de-CH"/>
            </w:rPr>
          </w:pPr>
          <w:hyperlink w:anchor="_Toc95668185" w:history="1">
            <w:r w:rsidR="003979FB" w:rsidRPr="00615054">
              <w:rPr>
                <w:rStyle w:val="Hyperlink"/>
                <w:noProof/>
                <w:lang w:val="en-GB"/>
              </w:rPr>
              <w:t>Article 16 – Freedom from exploitation, violence and abuse</w:t>
            </w:r>
            <w:r w:rsidR="003979FB">
              <w:rPr>
                <w:noProof/>
                <w:webHidden/>
              </w:rPr>
              <w:tab/>
            </w:r>
            <w:r w:rsidR="003979FB">
              <w:rPr>
                <w:noProof/>
                <w:webHidden/>
              </w:rPr>
              <w:fldChar w:fldCharType="begin"/>
            </w:r>
            <w:r w:rsidR="003979FB">
              <w:rPr>
                <w:noProof/>
                <w:webHidden/>
              </w:rPr>
              <w:instrText xml:space="preserve"> PAGEREF _Toc95668185 \h </w:instrText>
            </w:r>
            <w:r w:rsidR="003979FB">
              <w:rPr>
                <w:noProof/>
                <w:webHidden/>
              </w:rPr>
            </w:r>
            <w:r w:rsidR="003979FB">
              <w:rPr>
                <w:noProof/>
                <w:webHidden/>
              </w:rPr>
              <w:fldChar w:fldCharType="separate"/>
            </w:r>
            <w:r w:rsidR="000B10DD">
              <w:rPr>
                <w:noProof/>
                <w:webHidden/>
              </w:rPr>
              <w:t>31</w:t>
            </w:r>
            <w:r w:rsidR="003979FB">
              <w:rPr>
                <w:noProof/>
                <w:webHidden/>
              </w:rPr>
              <w:fldChar w:fldCharType="end"/>
            </w:r>
          </w:hyperlink>
        </w:p>
        <w:p w14:paraId="0B145C42" w14:textId="5423154A" w:rsidR="003979FB" w:rsidRDefault="00C71D65">
          <w:pPr>
            <w:pStyle w:val="TOC3"/>
            <w:rPr>
              <w:rFonts w:asciiTheme="minorHAnsi" w:eastAsiaTheme="minorEastAsia" w:hAnsiTheme="minorHAnsi" w:cstheme="minorBidi"/>
              <w:noProof/>
              <w:sz w:val="22"/>
              <w:lang w:val="de-CH" w:eastAsia="de-CH"/>
            </w:rPr>
          </w:pPr>
          <w:hyperlink w:anchor="_Toc95668186" w:history="1">
            <w:r w:rsidR="003979FB" w:rsidRPr="00615054">
              <w:rPr>
                <w:rStyle w:val="Hyperlink"/>
                <w:noProof/>
                <w:lang w:val="en-GB"/>
              </w:rPr>
              <w:t>Article 17 – Protecting the integrity of the person</w:t>
            </w:r>
            <w:r w:rsidR="003979FB">
              <w:rPr>
                <w:noProof/>
                <w:webHidden/>
              </w:rPr>
              <w:tab/>
            </w:r>
            <w:r w:rsidR="003979FB">
              <w:rPr>
                <w:noProof/>
                <w:webHidden/>
              </w:rPr>
              <w:fldChar w:fldCharType="begin"/>
            </w:r>
            <w:r w:rsidR="003979FB">
              <w:rPr>
                <w:noProof/>
                <w:webHidden/>
              </w:rPr>
              <w:instrText xml:space="preserve"> PAGEREF _Toc95668186 \h </w:instrText>
            </w:r>
            <w:r w:rsidR="003979FB">
              <w:rPr>
                <w:noProof/>
                <w:webHidden/>
              </w:rPr>
            </w:r>
            <w:r w:rsidR="003979FB">
              <w:rPr>
                <w:noProof/>
                <w:webHidden/>
              </w:rPr>
              <w:fldChar w:fldCharType="separate"/>
            </w:r>
            <w:r w:rsidR="000B10DD">
              <w:rPr>
                <w:noProof/>
                <w:webHidden/>
              </w:rPr>
              <w:t>34</w:t>
            </w:r>
            <w:r w:rsidR="003979FB">
              <w:rPr>
                <w:noProof/>
                <w:webHidden/>
              </w:rPr>
              <w:fldChar w:fldCharType="end"/>
            </w:r>
          </w:hyperlink>
        </w:p>
        <w:p w14:paraId="27240208" w14:textId="2261AE0D" w:rsidR="003979FB" w:rsidRDefault="00C71D65">
          <w:pPr>
            <w:pStyle w:val="TOC3"/>
            <w:rPr>
              <w:rFonts w:asciiTheme="minorHAnsi" w:eastAsiaTheme="minorEastAsia" w:hAnsiTheme="minorHAnsi" w:cstheme="minorBidi"/>
              <w:noProof/>
              <w:sz w:val="22"/>
              <w:lang w:val="de-CH" w:eastAsia="de-CH"/>
            </w:rPr>
          </w:pPr>
          <w:hyperlink w:anchor="_Toc95668187" w:history="1">
            <w:r w:rsidR="003979FB" w:rsidRPr="00615054">
              <w:rPr>
                <w:rStyle w:val="Hyperlink"/>
                <w:noProof/>
                <w:lang w:val="en-GB"/>
              </w:rPr>
              <w:t>Article 19 – Living independently and being included in the community</w:t>
            </w:r>
            <w:r w:rsidR="003979FB">
              <w:rPr>
                <w:noProof/>
                <w:webHidden/>
              </w:rPr>
              <w:tab/>
            </w:r>
            <w:r w:rsidR="003979FB">
              <w:rPr>
                <w:noProof/>
                <w:webHidden/>
              </w:rPr>
              <w:fldChar w:fldCharType="begin"/>
            </w:r>
            <w:r w:rsidR="003979FB">
              <w:rPr>
                <w:noProof/>
                <w:webHidden/>
              </w:rPr>
              <w:instrText xml:space="preserve"> PAGEREF _Toc95668187 \h </w:instrText>
            </w:r>
            <w:r w:rsidR="003979FB">
              <w:rPr>
                <w:noProof/>
                <w:webHidden/>
              </w:rPr>
            </w:r>
            <w:r w:rsidR="003979FB">
              <w:rPr>
                <w:noProof/>
                <w:webHidden/>
              </w:rPr>
              <w:fldChar w:fldCharType="separate"/>
            </w:r>
            <w:r w:rsidR="000B10DD">
              <w:rPr>
                <w:noProof/>
                <w:webHidden/>
              </w:rPr>
              <w:t>35</w:t>
            </w:r>
            <w:r w:rsidR="003979FB">
              <w:rPr>
                <w:noProof/>
                <w:webHidden/>
              </w:rPr>
              <w:fldChar w:fldCharType="end"/>
            </w:r>
          </w:hyperlink>
        </w:p>
        <w:p w14:paraId="2B6EAD45" w14:textId="0EEF6BA1" w:rsidR="003979FB" w:rsidRDefault="00C71D65">
          <w:pPr>
            <w:pStyle w:val="TOC3"/>
            <w:rPr>
              <w:rFonts w:asciiTheme="minorHAnsi" w:eastAsiaTheme="minorEastAsia" w:hAnsiTheme="minorHAnsi" w:cstheme="minorBidi"/>
              <w:noProof/>
              <w:sz w:val="22"/>
              <w:lang w:val="de-CH" w:eastAsia="de-CH"/>
            </w:rPr>
          </w:pPr>
          <w:hyperlink w:anchor="_Toc95668188" w:history="1">
            <w:r w:rsidR="003979FB" w:rsidRPr="00615054">
              <w:rPr>
                <w:rStyle w:val="Hyperlink"/>
                <w:noProof/>
                <w:lang w:val="en-GB"/>
              </w:rPr>
              <w:t>Article 21 – Freedom of expression and opinion, and access to information</w:t>
            </w:r>
            <w:r w:rsidR="003979FB">
              <w:rPr>
                <w:noProof/>
                <w:webHidden/>
              </w:rPr>
              <w:tab/>
            </w:r>
            <w:r w:rsidR="003979FB">
              <w:rPr>
                <w:noProof/>
                <w:webHidden/>
              </w:rPr>
              <w:fldChar w:fldCharType="begin"/>
            </w:r>
            <w:r w:rsidR="003979FB">
              <w:rPr>
                <w:noProof/>
                <w:webHidden/>
              </w:rPr>
              <w:instrText xml:space="preserve"> PAGEREF _Toc95668188 \h </w:instrText>
            </w:r>
            <w:r w:rsidR="003979FB">
              <w:rPr>
                <w:noProof/>
                <w:webHidden/>
              </w:rPr>
            </w:r>
            <w:r w:rsidR="003979FB">
              <w:rPr>
                <w:noProof/>
                <w:webHidden/>
              </w:rPr>
              <w:fldChar w:fldCharType="separate"/>
            </w:r>
            <w:r w:rsidR="000B10DD">
              <w:rPr>
                <w:noProof/>
                <w:webHidden/>
              </w:rPr>
              <w:t>40</w:t>
            </w:r>
            <w:r w:rsidR="003979FB">
              <w:rPr>
                <w:noProof/>
                <w:webHidden/>
              </w:rPr>
              <w:fldChar w:fldCharType="end"/>
            </w:r>
          </w:hyperlink>
        </w:p>
        <w:p w14:paraId="4FFA0B07" w14:textId="3DE4962A" w:rsidR="003979FB" w:rsidRDefault="00C71D65">
          <w:pPr>
            <w:pStyle w:val="TOC3"/>
            <w:rPr>
              <w:rFonts w:asciiTheme="minorHAnsi" w:eastAsiaTheme="minorEastAsia" w:hAnsiTheme="minorHAnsi" w:cstheme="minorBidi"/>
              <w:noProof/>
              <w:sz w:val="22"/>
              <w:lang w:val="de-CH" w:eastAsia="de-CH"/>
            </w:rPr>
          </w:pPr>
          <w:hyperlink w:anchor="_Toc95668189" w:history="1">
            <w:r w:rsidR="003979FB" w:rsidRPr="00615054">
              <w:rPr>
                <w:rStyle w:val="Hyperlink"/>
                <w:noProof/>
                <w:lang w:val="en-GB"/>
              </w:rPr>
              <w:t>Article 22 – Respect for privacy</w:t>
            </w:r>
            <w:r w:rsidR="003979FB">
              <w:rPr>
                <w:noProof/>
                <w:webHidden/>
              </w:rPr>
              <w:tab/>
            </w:r>
            <w:r w:rsidR="003979FB">
              <w:rPr>
                <w:noProof/>
                <w:webHidden/>
              </w:rPr>
              <w:fldChar w:fldCharType="begin"/>
            </w:r>
            <w:r w:rsidR="003979FB">
              <w:rPr>
                <w:noProof/>
                <w:webHidden/>
              </w:rPr>
              <w:instrText xml:space="preserve"> PAGEREF _Toc95668189 \h </w:instrText>
            </w:r>
            <w:r w:rsidR="003979FB">
              <w:rPr>
                <w:noProof/>
                <w:webHidden/>
              </w:rPr>
            </w:r>
            <w:r w:rsidR="003979FB">
              <w:rPr>
                <w:noProof/>
                <w:webHidden/>
              </w:rPr>
              <w:fldChar w:fldCharType="separate"/>
            </w:r>
            <w:r w:rsidR="000B10DD">
              <w:rPr>
                <w:noProof/>
                <w:webHidden/>
              </w:rPr>
              <w:t>41</w:t>
            </w:r>
            <w:r w:rsidR="003979FB">
              <w:rPr>
                <w:noProof/>
                <w:webHidden/>
              </w:rPr>
              <w:fldChar w:fldCharType="end"/>
            </w:r>
          </w:hyperlink>
        </w:p>
        <w:p w14:paraId="4685F903" w14:textId="0D1F8EBE" w:rsidR="003979FB" w:rsidRDefault="00C71D65">
          <w:pPr>
            <w:pStyle w:val="TOC3"/>
            <w:rPr>
              <w:rFonts w:asciiTheme="minorHAnsi" w:eastAsiaTheme="minorEastAsia" w:hAnsiTheme="minorHAnsi" w:cstheme="minorBidi"/>
              <w:noProof/>
              <w:sz w:val="22"/>
              <w:lang w:val="de-CH" w:eastAsia="de-CH"/>
            </w:rPr>
          </w:pPr>
          <w:hyperlink w:anchor="_Toc95668190" w:history="1">
            <w:r w:rsidR="003979FB" w:rsidRPr="00615054">
              <w:rPr>
                <w:rStyle w:val="Hyperlink"/>
                <w:noProof/>
                <w:lang w:val="en-GB"/>
              </w:rPr>
              <w:t>Article 23 – Respect for home and the family</w:t>
            </w:r>
            <w:r w:rsidR="003979FB">
              <w:rPr>
                <w:noProof/>
                <w:webHidden/>
              </w:rPr>
              <w:tab/>
            </w:r>
            <w:r w:rsidR="003979FB">
              <w:rPr>
                <w:noProof/>
                <w:webHidden/>
              </w:rPr>
              <w:fldChar w:fldCharType="begin"/>
            </w:r>
            <w:r w:rsidR="003979FB">
              <w:rPr>
                <w:noProof/>
                <w:webHidden/>
              </w:rPr>
              <w:instrText xml:space="preserve"> PAGEREF _Toc95668190 \h </w:instrText>
            </w:r>
            <w:r w:rsidR="003979FB">
              <w:rPr>
                <w:noProof/>
                <w:webHidden/>
              </w:rPr>
            </w:r>
            <w:r w:rsidR="003979FB">
              <w:rPr>
                <w:noProof/>
                <w:webHidden/>
              </w:rPr>
              <w:fldChar w:fldCharType="separate"/>
            </w:r>
            <w:r w:rsidR="000B10DD">
              <w:rPr>
                <w:noProof/>
                <w:webHidden/>
              </w:rPr>
              <w:t>41</w:t>
            </w:r>
            <w:r w:rsidR="003979FB">
              <w:rPr>
                <w:noProof/>
                <w:webHidden/>
              </w:rPr>
              <w:fldChar w:fldCharType="end"/>
            </w:r>
          </w:hyperlink>
        </w:p>
        <w:p w14:paraId="1CAED064" w14:textId="20030824" w:rsidR="003979FB" w:rsidRDefault="00C71D65">
          <w:pPr>
            <w:pStyle w:val="TOC3"/>
            <w:rPr>
              <w:rFonts w:asciiTheme="minorHAnsi" w:eastAsiaTheme="minorEastAsia" w:hAnsiTheme="minorHAnsi" w:cstheme="minorBidi"/>
              <w:noProof/>
              <w:sz w:val="22"/>
              <w:lang w:val="de-CH" w:eastAsia="de-CH"/>
            </w:rPr>
          </w:pPr>
          <w:hyperlink w:anchor="_Toc95668191" w:history="1">
            <w:r w:rsidR="003979FB" w:rsidRPr="00615054">
              <w:rPr>
                <w:rStyle w:val="Hyperlink"/>
                <w:noProof/>
                <w:lang w:val="en-GB"/>
              </w:rPr>
              <w:t>Article 24 – Education</w:t>
            </w:r>
            <w:r w:rsidR="003979FB">
              <w:rPr>
                <w:noProof/>
                <w:webHidden/>
              </w:rPr>
              <w:tab/>
            </w:r>
            <w:r w:rsidR="003979FB">
              <w:rPr>
                <w:noProof/>
                <w:webHidden/>
              </w:rPr>
              <w:fldChar w:fldCharType="begin"/>
            </w:r>
            <w:r w:rsidR="003979FB">
              <w:rPr>
                <w:noProof/>
                <w:webHidden/>
              </w:rPr>
              <w:instrText xml:space="preserve"> PAGEREF _Toc95668191 \h </w:instrText>
            </w:r>
            <w:r w:rsidR="003979FB">
              <w:rPr>
                <w:noProof/>
                <w:webHidden/>
              </w:rPr>
            </w:r>
            <w:r w:rsidR="003979FB">
              <w:rPr>
                <w:noProof/>
                <w:webHidden/>
              </w:rPr>
              <w:fldChar w:fldCharType="separate"/>
            </w:r>
            <w:r w:rsidR="000B10DD">
              <w:rPr>
                <w:noProof/>
                <w:webHidden/>
              </w:rPr>
              <w:t>43</w:t>
            </w:r>
            <w:r w:rsidR="003979FB">
              <w:rPr>
                <w:noProof/>
                <w:webHidden/>
              </w:rPr>
              <w:fldChar w:fldCharType="end"/>
            </w:r>
          </w:hyperlink>
        </w:p>
        <w:p w14:paraId="797D602B" w14:textId="7AF23233" w:rsidR="003979FB" w:rsidRDefault="00C71D65">
          <w:pPr>
            <w:pStyle w:val="TOC3"/>
            <w:rPr>
              <w:rFonts w:asciiTheme="minorHAnsi" w:eastAsiaTheme="minorEastAsia" w:hAnsiTheme="minorHAnsi" w:cstheme="minorBidi"/>
              <w:noProof/>
              <w:sz w:val="22"/>
              <w:lang w:val="de-CH" w:eastAsia="de-CH"/>
            </w:rPr>
          </w:pPr>
          <w:hyperlink w:anchor="_Toc95668192" w:history="1">
            <w:r w:rsidR="003979FB" w:rsidRPr="00615054">
              <w:rPr>
                <w:rStyle w:val="Hyperlink"/>
                <w:noProof/>
                <w:lang w:val="en-GB"/>
              </w:rPr>
              <w:t>Article 25 – Health</w:t>
            </w:r>
            <w:r w:rsidR="003979FB">
              <w:rPr>
                <w:noProof/>
                <w:webHidden/>
              </w:rPr>
              <w:tab/>
            </w:r>
            <w:r w:rsidR="003979FB">
              <w:rPr>
                <w:noProof/>
                <w:webHidden/>
              </w:rPr>
              <w:fldChar w:fldCharType="begin"/>
            </w:r>
            <w:r w:rsidR="003979FB">
              <w:rPr>
                <w:noProof/>
                <w:webHidden/>
              </w:rPr>
              <w:instrText xml:space="preserve"> PAGEREF _Toc95668192 \h </w:instrText>
            </w:r>
            <w:r w:rsidR="003979FB">
              <w:rPr>
                <w:noProof/>
                <w:webHidden/>
              </w:rPr>
            </w:r>
            <w:r w:rsidR="003979FB">
              <w:rPr>
                <w:noProof/>
                <w:webHidden/>
              </w:rPr>
              <w:fldChar w:fldCharType="separate"/>
            </w:r>
            <w:r w:rsidR="000B10DD">
              <w:rPr>
                <w:noProof/>
                <w:webHidden/>
              </w:rPr>
              <w:t>48</w:t>
            </w:r>
            <w:r w:rsidR="003979FB">
              <w:rPr>
                <w:noProof/>
                <w:webHidden/>
              </w:rPr>
              <w:fldChar w:fldCharType="end"/>
            </w:r>
          </w:hyperlink>
        </w:p>
        <w:p w14:paraId="59DF5BA3" w14:textId="2478CBB0" w:rsidR="003979FB" w:rsidRDefault="00C71D65">
          <w:pPr>
            <w:pStyle w:val="TOC3"/>
            <w:rPr>
              <w:rFonts w:asciiTheme="minorHAnsi" w:eastAsiaTheme="minorEastAsia" w:hAnsiTheme="minorHAnsi" w:cstheme="minorBidi"/>
              <w:noProof/>
              <w:sz w:val="22"/>
              <w:lang w:val="de-CH" w:eastAsia="de-CH"/>
            </w:rPr>
          </w:pPr>
          <w:hyperlink w:anchor="_Toc95668193" w:history="1">
            <w:r w:rsidR="003979FB" w:rsidRPr="00615054">
              <w:rPr>
                <w:rStyle w:val="Hyperlink"/>
                <w:noProof/>
                <w:lang w:val="en-GB"/>
              </w:rPr>
              <w:t>Article 27 – Work and employment</w:t>
            </w:r>
            <w:r w:rsidR="003979FB">
              <w:rPr>
                <w:noProof/>
                <w:webHidden/>
              </w:rPr>
              <w:tab/>
            </w:r>
            <w:r w:rsidR="003979FB">
              <w:rPr>
                <w:noProof/>
                <w:webHidden/>
              </w:rPr>
              <w:fldChar w:fldCharType="begin"/>
            </w:r>
            <w:r w:rsidR="003979FB">
              <w:rPr>
                <w:noProof/>
                <w:webHidden/>
              </w:rPr>
              <w:instrText xml:space="preserve"> PAGEREF _Toc95668193 \h </w:instrText>
            </w:r>
            <w:r w:rsidR="003979FB">
              <w:rPr>
                <w:noProof/>
                <w:webHidden/>
              </w:rPr>
            </w:r>
            <w:r w:rsidR="003979FB">
              <w:rPr>
                <w:noProof/>
                <w:webHidden/>
              </w:rPr>
              <w:fldChar w:fldCharType="separate"/>
            </w:r>
            <w:r w:rsidR="000B10DD">
              <w:rPr>
                <w:noProof/>
                <w:webHidden/>
              </w:rPr>
              <w:t>51</w:t>
            </w:r>
            <w:r w:rsidR="003979FB">
              <w:rPr>
                <w:noProof/>
                <w:webHidden/>
              </w:rPr>
              <w:fldChar w:fldCharType="end"/>
            </w:r>
          </w:hyperlink>
        </w:p>
        <w:p w14:paraId="68CB6C88" w14:textId="0B5E181B" w:rsidR="003979FB" w:rsidRDefault="00C71D65">
          <w:pPr>
            <w:pStyle w:val="TOC3"/>
            <w:rPr>
              <w:rFonts w:asciiTheme="minorHAnsi" w:eastAsiaTheme="minorEastAsia" w:hAnsiTheme="minorHAnsi" w:cstheme="minorBidi"/>
              <w:noProof/>
              <w:sz w:val="22"/>
              <w:lang w:val="de-CH" w:eastAsia="de-CH"/>
            </w:rPr>
          </w:pPr>
          <w:hyperlink w:anchor="_Toc95668194" w:history="1">
            <w:r w:rsidR="003979FB" w:rsidRPr="00615054">
              <w:rPr>
                <w:rStyle w:val="Hyperlink"/>
                <w:noProof/>
                <w:lang w:val="en-GB"/>
              </w:rPr>
              <w:t>Article 28 – Adequate standard of living and social protection</w:t>
            </w:r>
            <w:r w:rsidR="003979FB">
              <w:rPr>
                <w:noProof/>
                <w:webHidden/>
              </w:rPr>
              <w:tab/>
            </w:r>
            <w:r w:rsidR="003979FB">
              <w:rPr>
                <w:noProof/>
                <w:webHidden/>
              </w:rPr>
              <w:fldChar w:fldCharType="begin"/>
            </w:r>
            <w:r w:rsidR="003979FB">
              <w:rPr>
                <w:noProof/>
                <w:webHidden/>
              </w:rPr>
              <w:instrText xml:space="preserve"> PAGEREF _Toc95668194 \h </w:instrText>
            </w:r>
            <w:r w:rsidR="003979FB">
              <w:rPr>
                <w:noProof/>
                <w:webHidden/>
              </w:rPr>
            </w:r>
            <w:r w:rsidR="003979FB">
              <w:rPr>
                <w:noProof/>
                <w:webHidden/>
              </w:rPr>
              <w:fldChar w:fldCharType="separate"/>
            </w:r>
            <w:r w:rsidR="000B10DD">
              <w:rPr>
                <w:noProof/>
                <w:webHidden/>
              </w:rPr>
              <w:t>56</w:t>
            </w:r>
            <w:r w:rsidR="003979FB">
              <w:rPr>
                <w:noProof/>
                <w:webHidden/>
              </w:rPr>
              <w:fldChar w:fldCharType="end"/>
            </w:r>
          </w:hyperlink>
        </w:p>
        <w:p w14:paraId="5F0F81F5" w14:textId="38C6E134" w:rsidR="003979FB" w:rsidRDefault="00C71D65">
          <w:pPr>
            <w:pStyle w:val="TOC3"/>
            <w:rPr>
              <w:rFonts w:asciiTheme="minorHAnsi" w:eastAsiaTheme="minorEastAsia" w:hAnsiTheme="minorHAnsi" w:cstheme="minorBidi"/>
              <w:noProof/>
              <w:sz w:val="22"/>
              <w:lang w:val="de-CH" w:eastAsia="de-CH"/>
            </w:rPr>
          </w:pPr>
          <w:hyperlink w:anchor="_Toc95668195" w:history="1">
            <w:r w:rsidR="003979FB" w:rsidRPr="00615054">
              <w:rPr>
                <w:rStyle w:val="Hyperlink"/>
                <w:noProof/>
                <w:lang w:val="en-GB"/>
              </w:rPr>
              <w:t>Article 29 – Participation in political and public life</w:t>
            </w:r>
            <w:r w:rsidR="003979FB">
              <w:rPr>
                <w:noProof/>
                <w:webHidden/>
              </w:rPr>
              <w:tab/>
            </w:r>
            <w:r w:rsidR="003979FB">
              <w:rPr>
                <w:noProof/>
                <w:webHidden/>
              </w:rPr>
              <w:fldChar w:fldCharType="begin"/>
            </w:r>
            <w:r w:rsidR="003979FB">
              <w:rPr>
                <w:noProof/>
                <w:webHidden/>
              </w:rPr>
              <w:instrText xml:space="preserve"> PAGEREF _Toc95668195 \h </w:instrText>
            </w:r>
            <w:r w:rsidR="003979FB">
              <w:rPr>
                <w:noProof/>
                <w:webHidden/>
              </w:rPr>
            </w:r>
            <w:r w:rsidR="003979FB">
              <w:rPr>
                <w:noProof/>
                <w:webHidden/>
              </w:rPr>
              <w:fldChar w:fldCharType="separate"/>
            </w:r>
            <w:r w:rsidR="000B10DD">
              <w:rPr>
                <w:noProof/>
                <w:webHidden/>
              </w:rPr>
              <w:t>58</w:t>
            </w:r>
            <w:r w:rsidR="003979FB">
              <w:rPr>
                <w:noProof/>
                <w:webHidden/>
              </w:rPr>
              <w:fldChar w:fldCharType="end"/>
            </w:r>
          </w:hyperlink>
        </w:p>
        <w:p w14:paraId="70F98B10" w14:textId="4558E1BD" w:rsidR="003979FB" w:rsidRDefault="00C71D65">
          <w:pPr>
            <w:pStyle w:val="TOC3"/>
            <w:rPr>
              <w:rFonts w:asciiTheme="minorHAnsi" w:eastAsiaTheme="minorEastAsia" w:hAnsiTheme="minorHAnsi" w:cstheme="minorBidi"/>
              <w:noProof/>
              <w:sz w:val="22"/>
              <w:lang w:val="de-CH" w:eastAsia="de-CH"/>
            </w:rPr>
          </w:pPr>
          <w:hyperlink w:anchor="_Toc95668196" w:history="1">
            <w:r w:rsidR="003979FB" w:rsidRPr="00615054">
              <w:rPr>
                <w:rStyle w:val="Hyperlink"/>
                <w:noProof/>
                <w:lang w:val="en-GB"/>
              </w:rPr>
              <w:t>Article 30 – Participation in cultural life, recreation, leisure and sport</w:t>
            </w:r>
            <w:r w:rsidR="003979FB">
              <w:rPr>
                <w:noProof/>
                <w:webHidden/>
              </w:rPr>
              <w:tab/>
            </w:r>
            <w:r w:rsidR="003979FB">
              <w:rPr>
                <w:noProof/>
                <w:webHidden/>
              </w:rPr>
              <w:fldChar w:fldCharType="begin"/>
            </w:r>
            <w:r w:rsidR="003979FB">
              <w:rPr>
                <w:noProof/>
                <w:webHidden/>
              </w:rPr>
              <w:instrText xml:space="preserve"> PAGEREF _Toc95668196 \h </w:instrText>
            </w:r>
            <w:r w:rsidR="003979FB">
              <w:rPr>
                <w:noProof/>
                <w:webHidden/>
              </w:rPr>
            </w:r>
            <w:r w:rsidR="003979FB">
              <w:rPr>
                <w:noProof/>
                <w:webHidden/>
              </w:rPr>
              <w:fldChar w:fldCharType="separate"/>
            </w:r>
            <w:r w:rsidR="000B10DD">
              <w:rPr>
                <w:noProof/>
                <w:webHidden/>
              </w:rPr>
              <w:t>60</w:t>
            </w:r>
            <w:r w:rsidR="003979FB">
              <w:rPr>
                <w:noProof/>
                <w:webHidden/>
              </w:rPr>
              <w:fldChar w:fldCharType="end"/>
            </w:r>
          </w:hyperlink>
        </w:p>
        <w:p w14:paraId="3058D6B4" w14:textId="0842E57E" w:rsidR="003979FB" w:rsidRDefault="00C71D65">
          <w:pPr>
            <w:pStyle w:val="TOC2"/>
            <w:rPr>
              <w:rFonts w:asciiTheme="minorHAnsi" w:eastAsiaTheme="minorEastAsia" w:hAnsiTheme="minorHAnsi" w:cstheme="minorBidi"/>
              <w:b w:val="0"/>
              <w:sz w:val="22"/>
              <w:lang w:val="de-CH" w:eastAsia="de-CH"/>
            </w:rPr>
          </w:pPr>
          <w:hyperlink w:anchor="_Toc95668197" w:history="1">
            <w:r w:rsidR="003979FB" w:rsidRPr="00615054">
              <w:rPr>
                <w:rStyle w:val="Hyperlink"/>
                <w:lang w:val="en-GB"/>
              </w:rPr>
              <w:t>5. Special duties</w:t>
            </w:r>
            <w:r w:rsidR="003979FB">
              <w:rPr>
                <w:webHidden/>
              </w:rPr>
              <w:tab/>
            </w:r>
            <w:r w:rsidR="003979FB">
              <w:rPr>
                <w:webHidden/>
              </w:rPr>
              <w:fldChar w:fldCharType="begin"/>
            </w:r>
            <w:r w:rsidR="003979FB">
              <w:rPr>
                <w:webHidden/>
              </w:rPr>
              <w:instrText xml:space="preserve"> PAGEREF _Toc95668197 \h </w:instrText>
            </w:r>
            <w:r w:rsidR="003979FB">
              <w:rPr>
                <w:webHidden/>
              </w:rPr>
            </w:r>
            <w:r w:rsidR="003979FB">
              <w:rPr>
                <w:webHidden/>
              </w:rPr>
              <w:fldChar w:fldCharType="separate"/>
            </w:r>
            <w:r w:rsidR="000B10DD">
              <w:rPr>
                <w:webHidden/>
              </w:rPr>
              <w:t>60</w:t>
            </w:r>
            <w:r w:rsidR="003979FB">
              <w:rPr>
                <w:webHidden/>
              </w:rPr>
              <w:fldChar w:fldCharType="end"/>
            </w:r>
          </w:hyperlink>
        </w:p>
        <w:p w14:paraId="5B3194D3" w14:textId="5E616CA6" w:rsidR="003979FB" w:rsidRDefault="00C71D65">
          <w:pPr>
            <w:pStyle w:val="TOC3"/>
            <w:rPr>
              <w:rFonts w:asciiTheme="minorHAnsi" w:eastAsiaTheme="minorEastAsia" w:hAnsiTheme="minorHAnsi" w:cstheme="minorBidi"/>
              <w:noProof/>
              <w:sz w:val="22"/>
              <w:lang w:val="de-CH" w:eastAsia="de-CH"/>
            </w:rPr>
          </w:pPr>
          <w:hyperlink w:anchor="_Toc95668198" w:history="1">
            <w:r w:rsidR="003979FB" w:rsidRPr="00615054">
              <w:rPr>
                <w:rStyle w:val="Hyperlink"/>
                <w:noProof/>
                <w:lang w:val="en-GB"/>
              </w:rPr>
              <w:t>Article 31 – Statistics and data collection</w:t>
            </w:r>
            <w:r w:rsidR="003979FB">
              <w:rPr>
                <w:noProof/>
                <w:webHidden/>
              </w:rPr>
              <w:tab/>
            </w:r>
            <w:r w:rsidR="003979FB">
              <w:rPr>
                <w:noProof/>
                <w:webHidden/>
              </w:rPr>
              <w:fldChar w:fldCharType="begin"/>
            </w:r>
            <w:r w:rsidR="003979FB">
              <w:rPr>
                <w:noProof/>
                <w:webHidden/>
              </w:rPr>
              <w:instrText xml:space="preserve"> PAGEREF _Toc95668198 \h </w:instrText>
            </w:r>
            <w:r w:rsidR="003979FB">
              <w:rPr>
                <w:noProof/>
                <w:webHidden/>
              </w:rPr>
            </w:r>
            <w:r w:rsidR="003979FB">
              <w:rPr>
                <w:noProof/>
                <w:webHidden/>
              </w:rPr>
              <w:fldChar w:fldCharType="separate"/>
            </w:r>
            <w:r w:rsidR="000B10DD">
              <w:rPr>
                <w:noProof/>
                <w:webHidden/>
              </w:rPr>
              <w:t>60</w:t>
            </w:r>
            <w:r w:rsidR="003979FB">
              <w:rPr>
                <w:noProof/>
                <w:webHidden/>
              </w:rPr>
              <w:fldChar w:fldCharType="end"/>
            </w:r>
          </w:hyperlink>
        </w:p>
        <w:p w14:paraId="18274FE7" w14:textId="2CD078C9" w:rsidR="003979FB" w:rsidRDefault="00C71D65">
          <w:pPr>
            <w:pStyle w:val="TOC3"/>
            <w:rPr>
              <w:rFonts w:asciiTheme="minorHAnsi" w:eastAsiaTheme="minorEastAsia" w:hAnsiTheme="minorHAnsi" w:cstheme="minorBidi"/>
              <w:noProof/>
              <w:sz w:val="22"/>
              <w:lang w:val="de-CH" w:eastAsia="de-CH"/>
            </w:rPr>
          </w:pPr>
          <w:hyperlink w:anchor="_Toc95668199" w:history="1">
            <w:r w:rsidR="003979FB" w:rsidRPr="00615054">
              <w:rPr>
                <w:rStyle w:val="Hyperlink"/>
                <w:noProof/>
                <w:lang w:val="en-GB"/>
              </w:rPr>
              <w:t>Article 33 – National implementation and monitoring</w:t>
            </w:r>
            <w:r w:rsidR="003979FB">
              <w:rPr>
                <w:noProof/>
                <w:webHidden/>
              </w:rPr>
              <w:tab/>
            </w:r>
            <w:r w:rsidR="003979FB">
              <w:rPr>
                <w:noProof/>
                <w:webHidden/>
              </w:rPr>
              <w:fldChar w:fldCharType="begin"/>
            </w:r>
            <w:r w:rsidR="003979FB">
              <w:rPr>
                <w:noProof/>
                <w:webHidden/>
              </w:rPr>
              <w:instrText xml:space="preserve"> PAGEREF _Toc95668199 \h </w:instrText>
            </w:r>
            <w:r w:rsidR="003979FB">
              <w:rPr>
                <w:noProof/>
                <w:webHidden/>
              </w:rPr>
            </w:r>
            <w:r w:rsidR="003979FB">
              <w:rPr>
                <w:noProof/>
                <w:webHidden/>
              </w:rPr>
              <w:fldChar w:fldCharType="separate"/>
            </w:r>
            <w:r w:rsidR="000B10DD">
              <w:rPr>
                <w:noProof/>
                <w:webHidden/>
              </w:rPr>
              <w:t>62</w:t>
            </w:r>
            <w:r w:rsidR="003979FB">
              <w:rPr>
                <w:noProof/>
                <w:webHidden/>
              </w:rPr>
              <w:fldChar w:fldCharType="end"/>
            </w:r>
          </w:hyperlink>
        </w:p>
        <w:p w14:paraId="3730FDF3" w14:textId="7B3095F8" w:rsidR="003979FB" w:rsidRDefault="00C71D65">
          <w:pPr>
            <w:pStyle w:val="TOC2"/>
            <w:rPr>
              <w:rFonts w:asciiTheme="minorHAnsi" w:eastAsiaTheme="minorEastAsia" w:hAnsiTheme="minorHAnsi" w:cstheme="minorBidi"/>
              <w:b w:val="0"/>
              <w:sz w:val="22"/>
              <w:lang w:val="de-CH" w:eastAsia="de-CH"/>
            </w:rPr>
          </w:pPr>
          <w:hyperlink w:anchor="_Toc95668200" w:history="1">
            <w:r w:rsidR="003979FB" w:rsidRPr="00615054">
              <w:rPr>
                <w:rStyle w:val="Hyperlink"/>
                <w:lang w:val="en-GB"/>
              </w:rPr>
              <w:t>List of Abbreviations</w:t>
            </w:r>
            <w:r w:rsidR="003979FB">
              <w:rPr>
                <w:webHidden/>
              </w:rPr>
              <w:tab/>
            </w:r>
            <w:r w:rsidR="003979FB">
              <w:rPr>
                <w:webHidden/>
              </w:rPr>
              <w:fldChar w:fldCharType="begin"/>
            </w:r>
            <w:r w:rsidR="003979FB">
              <w:rPr>
                <w:webHidden/>
              </w:rPr>
              <w:instrText xml:space="preserve"> PAGEREF _Toc95668200 \h </w:instrText>
            </w:r>
            <w:r w:rsidR="003979FB">
              <w:rPr>
                <w:webHidden/>
              </w:rPr>
            </w:r>
            <w:r w:rsidR="003979FB">
              <w:rPr>
                <w:webHidden/>
              </w:rPr>
              <w:fldChar w:fldCharType="separate"/>
            </w:r>
            <w:r w:rsidR="000B10DD">
              <w:rPr>
                <w:webHidden/>
              </w:rPr>
              <w:t>65</w:t>
            </w:r>
            <w:r w:rsidR="003979FB">
              <w:rPr>
                <w:webHidden/>
              </w:rPr>
              <w:fldChar w:fldCharType="end"/>
            </w:r>
          </w:hyperlink>
        </w:p>
        <w:p w14:paraId="566A37D9" w14:textId="7794CF39" w:rsidR="00924B3D" w:rsidRPr="0001096E" w:rsidRDefault="00924B3D" w:rsidP="009A37D8">
          <w:pPr>
            <w:rPr>
              <w:sz w:val="20"/>
              <w:szCs w:val="20"/>
              <w:lang w:val="en-GB"/>
            </w:rPr>
          </w:pPr>
          <w:r w:rsidRPr="0001096E">
            <w:rPr>
              <w:b/>
              <w:bCs/>
              <w:sz w:val="20"/>
              <w:szCs w:val="20"/>
              <w:lang w:val="en-GB"/>
            </w:rPr>
            <w:fldChar w:fldCharType="end"/>
          </w:r>
        </w:p>
      </w:sdtContent>
    </w:sdt>
    <w:p w14:paraId="43ED71CC" w14:textId="57343931" w:rsidR="00102996" w:rsidRDefault="00102996">
      <w:pPr>
        <w:jc w:val="left"/>
        <w:rPr>
          <w:lang w:val="en-GB" w:eastAsia="de-CH"/>
        </w:rPr>
      </w:pPr>
      <w:r w:rsidRPr="0001096E">
        <w:rPr>
          <w:lang w:val="en-GB" w:eastAsia="de-CH"/>
        </w:rPr>
        <w:br w:type="page"/>
      </w:r>
    </w:p>
    <w:p w14:paraId="1C36F964" w14:textId="77777777" w:rsidR="00CC1E4C" w:rsidRDefault="00CC1E4C" w:rsidP="001F20AA">
      <w:pPr>
        <w:jc w:val="left"/>
        <w:rPr>
          <w:b/>
          <w:sz w:val="22"/>
          <w:lang w:val="en-GB" w:eastAsia="de-CH"/>
        </w:rPr>
      </w:pPr>
    </w:p>
    <w:p w14:paraId="1BC5FE91" w14:textId="77777777" w:rsidR="00CC1E4C" w:rsidRDefault="00CC1E4C" w:rsidP="001F20AA">
      <w:pPr>
        <w:jc w:val="left"/>
        <w:rPr>
          <w:b/>
          <w:sz w:val="22"/>
          <w:lang w:val="en-GB" w:eastAsia="de-CH"/>
        </w:rPr>
      </w:pPr>
    </w:p>
    <w:p w14:paraId="2BF6DD1E" w14:textId="77777777" w:rsidR="00CC1E4C" w:rsidRDefault="00CC1E4C" w:rsidP="001F20AA">
      <w:pPr>
        <w:jc w:val="left"/>
        <w:rPr>
          <w:b/>
          <w:sz w:val="22"/>
          <w:lang w:val="en-GB" w:eastAsia="de-CH"/>
        </w:rPr>
      </w:pPr>
    </w:p>
    <w:p w14:paraId="0D5320E8" w14:textId="77777777" w:rsidR="00CC1E4C" w:rsidRDefault="00CC1E4C" w:rsidP="001F20AA">
      <w:pPr>
        <w:jc w:val="left"/>
        <w:rPr>
          <w:b/>
          <w:sz w:val="22"/>
          <w:lang w:val="en-GB" w:eastAsia="de-CH"/>
        </w:rPr>
      </w:pPr>
    </w:p>
    <w:p w14:paraId="4BE870E9" w14:textId="77777777" w:rsidR="00CC1E4C" w:rsidRDefault="00CC1E4C" w:rsidP="001F20AA">
      <w:pPr>
        <w:jc w:val="left"/>
        <w:rPr>
          <w:b/>
          <w:sz w:val="22"/>
          <w:lang w:val="en-GB" w:eastAsia="de-CH"/>
        </w:rPr>
      </w:pPr>
    </w:p>
    <w:p w14:paraId="49F14750" w14:textId="77777777" w:rsidR="00CC1E4C" w:rsidRDefault="00CC1E4C" w:rsidP="001F20AA">
      <w:pPr>
        <w:jc w:val="left"/>
        <w:rPr>
          <w:b/>
          <w:sz w:val="22"/>
          <w:lang w:val="en-GB" w:eastAsia="de-CH"/>
        </w:rPr>
      </w:pPr>
    </w:p>
    <w:p w14:paraId="0199EC82" w14:textId="77777777" w:rsidR="00CC1E4C" w:rsidRDefault="00CC1E4C" w:rsidP="001F20AA">
      <w:pPr>
        <w:jc w:val="left"/>
        <w:rPr>
          <w:b/>
          <w:sz w:val="22"/>
          <w:lang w:val="en-GB" w:eastAsia="de-CH"/>
        </w:rPr>
      </w:pPr>
    </w:p>
    <w:p w14:paraId="174743F1" w14:textId="77777777" w:rsidR="00CC1E4C" w:rsidRDefault="00CC1E4C" w:rsidP="001F20AA">
      <w:pPr>
        <w:jc w:val="left"/>
        <w:rPr>
          <w:b/>
          <w:sz w:val="22"/>
          <w:lang w:val="en-GB" w:eastAsia="de-CH"/>
        </w:rPr>
      </w:pPr>
    </w:p>
    <w:p w14:paraId="47C4DDBF" w14:textId="77777777" w:rsidR="00CC1E4C" w:rsidRDefault="00CC1E4C" w:rsidP="001F20AA">
      <w:pPr>
        <w:jc w:val="left"/>
        <w:rPr>
          <w:b/>
          <w:sz w:val="22"/>
          <w:lang w:val="en-GB" w:eastAsia="de-CH"/>
        </w:rPr>
      </w:pPr>
    </w:p>
    <w:p w14:paraId="1F5E537E" w14:textId="77777777" w:rsidR="00CC1E4C" w:rsidRDefault="00CC1E4C" w:rsidP="001F20AA">
      <w:pPr>
        <w:jc w:val="left"/>
        <w:rPr>
          <w:b/>
          <w:sz w:val="22"/>
          <w:lang w:val="en-GB" w:eastAsia="de-CH"/>
        </w:rPr>
      </w:pPr>
    </w:p>
    <w:p w14:paraId="1340361E" w14:textId="77777777" w:rsidR="00CC1E4C" w:rsidRDefault="00CC1E4C" w:rsidP="001F20AA">
      <w:pPr>
        <w:jc w:val="left"/>
        <w:rPr>
          <w:b/>
          <w:sz w:val="22"/>
          <w:lang w:val="en-GB" w:eastAsia="de-CH"/>
        </w:rPr>
      </w:pPr>
    </w:p>
    <w:p w14:paraId="0BFAA42C" w14:textId="77777777" w:rsidR="00CC1E4C" w:rsidRDefault="00CC1E4C" w:rsidP="001F20AA">
      <w:pPr>
        <w:jc w:val="left"/>
        <w:rPr>
          <w:b/>
          <w:sz w:val="22"/>
          <w:lang w:val="en-GB" w:eastAsia="de-CH"/>
        </w:rPr>
      </w:pPr>
    </w:p>
    <w:p w14:paraId="5D84BAEC" w14:textId="7A5D192E" w:rsidR="00CC1E4C" w:rsidRDefault="00CC1E4C" w:rsidP="001F20AA">
      <w:pPr>
        <w:jc w:val="left"/>
        <w:rPr>
          <w:b/>
          <w:sz w:val="22"/>
          <w:lang w:val="en-GB" w:eastAsia="de-CH"/>
        </w:rPr>
      </w:pPr>
    </w:p>
    <w:p w14:paraId="609BE7EE" w14:textId="54C2A048" w:rsidR="00CC1E4C" w:rsidRDefault="00CC1E4C" w:rsidP="001F20AA">
      <w:pPr>
        <w:jc w:val="left"/>
        <w:rPr>
          <w:b/>
          <w:sz w:val="22"/>
          <w:lang w:val="en-GB" w:eastAsia="de-CH"/>
        </w:rPr>
      </w:pPr>
    </w:p>
    <w:p w14:paraId="498BD3BB" w14:textId="2366500D" w:rsidR="00CC1E4C" w:rsidRDefault="00CC1E4C" w:rsidP="001F20AA">
      <w:pPr>
        <w:jc w:val="left"/>
        <w:rPr>
          <w:b/>
          <w:sz w:val="22"/>
          <w:lang w:val="en-GB" w:eastAsia="de-CH"/>
        </w:rPr>
      </w:pPr>
    </w:p>
    <w:p w14:paraId="2719C3C3" w14:textId="67D2C3D4" w:rsidR="00CC1E4C" w:rsidRDefault="00CC1E4C" w:rsidP="001F20AA">
      <w:pPr>
        <w:jc w:val="left"/>
        <w:rPr>
          <w:b/>
          <w:sz w:val="22"/>
          <w:lang w:val="en-GB" w:eastAsia="de-CH"/>
        </w:rPr>
      </w:pPr>
    </w:p>
    <w:p w14:paraId="1BAF8990" w14:textId="2D9DBD50" w:rsidR="00CC1E4C" w:rsidRDefault="00CC1E4C" w:rsidP="001F20AA">
      <w:pPr>
        <w:jc w:val="left"/>
        <w:rPr>
          <w:b/>
          <w:sz w:val="22"/>
          <w:lang w:val="en-GB" w:eastAsia="de-CH"/>
        </w:rPr>
      </w:pPr>
    </w:p>
    <w:p w14:paraId="17747F28" w14:textId="41EB1AAD" w:rsidR="00CC1E4C" w:rsidRDefault="00CC1E4C" w:rsidP="001F20AA">
      <w:pPr>
        <w:jc w:val="left"/>
        <w:rPr>
          <w:b/>
          <w:sz w:val="22"/>
          <w:lang w:val="en-GB" w:eastAsia="de-CH"/>
        </w:rPr>
      </w:pPr>
    </w:p>
    <w:p w14:paraId="736B3F81" w14:textId="7DB608FC" w:rsidR="00CC1E4C" w:rsidRDefault="00CC1E4C" w:rsidP="001F20AA">
      <w:pPr>
        <w:jc w:val="left"/>
        <w:rPr>
          <w:b/>
          <w:sz w:val="22"/>
          <w:lang w:val="en-GB" w:eastAsia="de-CH"/>
        </w:rPr>
      </w:pPr>
    </w:p>
    <w:p w14:paraId="4B839AE4" w14:textId="0F95289F" w:rsidR="00CC1E4C" w:rsidRDefault="00CC1E4C" w:rsidP="001F20AA">
      <w:pPr>
        <w:jc w:val="left"/>
        <w:rPr>
          <w:b/>
          <w:sz w:val="22"/>
          <w:lang w:val="en-GB" w:eastAsia="de-CH"/>
        </w:rPr>
      </w:pPr>
    </w:p>
    <w:p w14:paraId="46BFF947" w14:textId="37474484" w:rsidR="00CC1E4C" w:rsidRDefault="00CC1E4C" w:rsidP="001F20AA">
      <w:pPr>
        <w:jc w:val="left"/>
        <w:rPr>
          <w:b/>
          <w:sz w:val="22"/>
          <w:lang w:val="en-GB" w:eastAsia="de-CH"/>
        </w:rPr>
      </w:pPr>
    </w:p>
    <w:p w14:paraId="7DF3758C" w14:textId="77777777" w:rsidR="00CC1E4C" w:rsidRDefault="00CC1E4C" w:rsidP="001F20AA">
      <w:pPr>
        <w:jc w:val="left"/>
        <w:rPr>
          <w:b/>
          <w:sz w:val="22"/>
          <w:lang w:val="en-GB" w:eastAsia="de-CH"/>
        </w:rPr>
      </w:pPr>
    </w:p>
    <w:p w14:paraId="68FA5D0E" w14:textId="3B5C430A" w:rsidR="001F20AA" w:rsidRPr="00AC7C71" w:rsidRDefault="001F20AA" w:rsidP="001F20AA">
      <w:pPr>
        <w:jc w:val="left"/>
        <w:rPr>
          <w:b/>
          <w:sz w:val="22"/>
          <w:lang w:val="en-GB" w:eastAsia="de-CH"/>
        </w:rPr>
      </w:pPr>
      <w:r w:rsidRPr="00AC7C71">
        <w:rPr>
          <w:b/>
          <w:sz w:val="22"/>
          <w:lang w:val="en-GB" w:eastAsia="de-CH"/>
        </w:rPr>
        <w:t>UPDATED SHADOW REPORT</w:t>
      </w:r>
    </w:p>
    <w:p w14:paraId="05B6414F" w14:textId="264966D2" w:rsidR="001F20AA" w:rsidRPr="00AC7C71" w:rsidRDefault="001F20AA" w:rsidP="001F20AA">
      <w:pPr>
        <w:jc w:val="left"/>
        <w:rPr>
          <w:noProof/>
          <w:sz w:val="22"/>
          <w:lang w:val="en-GB"/>
        </w:rPr>
      </w:pPr>
      <w:r w:rsidRPr="00AC7C71">
        <w:rPr>
          <w:noProof/>
          <w:sz w:val="22"/>
          <w:lang w:val="en-GB"/>
        </w:rPr>
        <w:lastRenderedPageBreak/>
        <w:t>Civil Society Report on the Occasion of the Initial State Report Procedure for Switzerland before the UN Committee on the Rights of Persons with Disabilities</w:t>
      </w:r>
    </w:p>
    <w:p w14:paraId="5B9F36EC" w14:textId="165389C2" w:rsidR="001F20AA" w:rsidRPr="00AC7C71" w:rsidRDefault="001F20AA">
      <w:pPr>
        <w:jc w:val="left"/>
        <w:rPr>
          <w:noProof/>
          <w:sz w:val="22"/>
          <w:lang w:val="en-GB"/>
        </w:rPr>
      </w:pPr>
      <w:r w:rsidRPr="00AC7C71">
        <w:rPr>
          <w:noProof/>
          <w:sz w:val="22"/>
          <w:lang w:val="en-GB"/>
        </w:rPr>
        <w:t xml:space="preserve">Berne, </w:t>
      </w:r>
      <w:r w:rsidR="00364B02" w:rsidRPr="00AC7C71">
        <w:rPr>
          <w:noProof/>
          <w:sz w:val="22"/>
          <w:lang w:val="en-GB"/>
        </w:rPr>
        <w:t xml:space="preserve">February </w:t>
      </w:r>
      <w:r w:rsidRPr="00AC7C71">
        <w:rPr>
          <w:noProof/>
          <w:sz w:val="22"/>
          <w:lang w:val="en-GB"/>
        </w:rPr>
        <w:t>2022</w:t>
      </w:r>
    </w:p>
    <w:p w14:paraId="12267A1C" w14:textId="77777777" w:rsidR="001F20AA" w:rsidRPr="00AC7C71" w:rsidRDefault="001F20AA">
      <w:pPr>
        <w:jc w:val="left"/>
        <w:rPr>
          <w:noProof/>
          <w:lang w:val="en-GB"/>
        </w:rPr>
      </w:pPr>
    </w:p>
    <w:p w14:paraId="59324BA1" w14:textId="77777777" w:rsidR="001F20AA" w:rsidRPr="00AC7C71" w:rsidRDefault="001F20AA">
      <w:pPr>
        <w:jc w:val="left"/>
        <w:rPr>
          <w:b/>
          <w:sz w:val="22"/>
          <w:lang w:val="en-GB" w:eastAsia="de-CH"/>
        </w:rPr>
      </w:pPr>
    </w:p>
    <w:p w14:paraId="0982F2A2" w14:textId="60F2AF0C" w:rsidR="007343F2" w:rsidRPr="00AC7C71" w:rsidRDefault="007343F2">
      <w:pPr>
        <w:jc w:val="left"/>
        <w:rPr>
          <w:b/>
          <w:sz w:val="22"/>
          <w:lang w:val="en-GB" w:eastAsia="de-CH"/>
        </w:rPr>
      </w:pPr>
      <w:r w:rsidRPr="00AC7C71">
        <w:rPr>
          <w:b/>
          <w:sz w:val="22"/>
          <w:lang w:val="en-GB" w:eastAsia="de-CH"/>
        </w:rPr>
        <w:t xml:space="preserve">Authors </w:t>
      </w:r>
    </w:p>
    <w:p w14:paraId="5D952E9A" w14:textId="77777777" w:rsidR="00AC7C71" w:rsidRDefault="007343F2">
      <w:pPr>
        <w:jc w:val="left"/>
        <w:rPr>
          <w:sz w:val="22"/>
          <w:lang w:val="en-GB" w:eastAsia="de-CH"/>
        </w:rPr>
      </w:pPr>
      <w:r w:rsidRPr="00AC7C71">
        <w:rPr>
          <w:sz w:val="22"/>
          <w:lang w:val="en-GB" w:eastAsia="de-CH"/>
        </w:rPr>
        <w:t xml:space="preserve">Caroline Hess-Klein, </w:t>
      </w:r>
      <w:r w:rsidR="0032578A" w:rsidRPr="00AC7C71">
        <w:rPr>
          <w:sz w:val="22"/>
          <w:lang w:val="en-GB" w:eastAsia="de-CH"/>
        </w:rPr>
        <w:t>PhD</w:t>
      </w:r>
      <w:r w:rsidRPr="00AC7C71">
        <w:rPr>
          <w:sz w:val="22"/>
          <w:lang w:val="en-GB" w:eastAsia="de-CH"/>
        </w:rPr>
        <w:t>, Inclusion Handicap</w:t>
      </w:r>
    </w:p>
    <w:p w14:paraId="443E590D" w14:textId="6466FA17" w:rsidR="007343F2" w:rsidRPr="00AC7C71" w:rsidRDefault="007343F2">
      <w:pPr>
        <w:jc w:val="left"/>
        <w:rPr>
          <w:sz w:val="22"/>
          <w:lang w:val="en-GB" w:eastAsia="de-CH"/>
        </w:rPr>
      </w:pPr>
      <w:r w:rsidRPr="00AC7C71">
        <w:rPr>
          <w:sz w:val="22"/>
          <w:lang w:val="en-GB" w:eastAsia="de-CH"/>
        </w:rPr>
        <w:t>Eliane Scheibler, MLaw</w:t>
      </w:r>
      <w:r w:rsidR="001F20AA" w:rsidRPr="00AC7C71">
        <w:rPr>
          <w:sz w:val="22"/>
          <w:lang w:val="en-GB" w:eastAsia="de-CH"/>
        </w:rPr>
        <w:t>, Inclusion Handicap</w:t>
      </w:r>
    </w:p>
    <w:p w14:paraId="3671E24D" w14:textId="7C5E355F" w:rsidR="00AC7C71" w:rsidRDefault="00AC7C71">
      <w:pPr>
        <w:jc w:val="left"/>
        <w:rPr>
          <w:b/>
          <w:sz w:val="22"/>
          <w:lang w:val="en-GB" w:eastAsia="de-CH"/>
        </w:rPr>
      </w:pPr>
    </w:p>
    <w:p w14:paraId="6866F736" w14:textId="21B4F6EF" w:rsidR="001F20AA" w:rsidRPr="00AC7C71" w:rsidRDefault="009F1243">
      <w:pPr>
        <w:jc w:val="left"/>
        <w:rPr>
          <w:b/>
          <w:sz w:val="22"/>
          <w:lang w:val="en-GB" w:eastAsia="de-CH"/>
        </w:rPr>
      </w:pPr>
      <w:r w:rsidRPr="00AC7C71">
        <w:rPr>
          <w:b/>
          <w:sz w:val="22"/>
          <w:lang w:val="en-GB" w:eastAsia="de-CH"/>
        </w:rPr>
        <w:t>Formatting/Accesibility</w:t>
      </w:r>
    </w:p>
    <w:p w14:paraId="6CEAF810" w14:textId="321ADFCC" w:rsidR="009F1243" w:rsidRPr="00AC7C71" w:rsidRDefault="009F1243">
      <w:pPr>
        <w:jc w:val="left"/>
        <w:rPr>
          <w:sz w:val="22"/>
          <w:lang w:val="en-GB" w:eastAsia="de-CH"/>
        </w:rPr>
      </w:pPr>
      <w:r w:rsidRPr="00AC7C71">
        <w:rPr>
          <w:sz w:val="22"/>
          <w:lang w:val="en-GB" w:eastAsia="de-CH"/>
        </w:rPr>
        <w:t xml:space="preserve">Martina Hermann, </w:t>
      </w:r>
      <w:r w:rsidR="007C5489">
        <w:rPr>
          <w:sz w:val="22"/>
          <w:lang w:val="en-GB" w:eastAsia="de-CH"/>
        </w:rPr>
        <w:t xml:space="preserve">MA Sociocultural Studies, </w:t>
      </w:r>
      <w:r w:rsidRPr="00AC7C71">
        <w:rPr>
          <w:sz w:val="22"/>
          <w:lang w:val="en-GB" w:eastAsia="de-CH"/>
        </w:rPr>
        <w:t>Inclusion Handicap</w:t>
      </w:r>
    </w:p>
    <w:p w14:paraId="7643F092" w14:textId="77777777" w:rsidR="00AC7C71" w:rsidRDefault="00AC7C71">
      <w:pPr>
        <w:jc w:val="left"/>
        <w:rPr>
          <w:b/>
          <w:sz w:val="22"/>
          <w:lang w:val="en-GB" w:eastAsia="de-CH"/>
        </w:rPr>
      </w:pPr>
    </w:p>
    <w:p w14:paraId="27C81D8C" w14:textId="44511949" w:rsidR="005568B0" w:rsidRPr="00AC7C71" w:rsidRDefault="005568B0">
      <w:pPr>
        <w:jc w:val="left"/>
        <w:rPr>
          <w:b/>
          <w:sz w:val="22"/>
          <w:lang w:val="en-GB" w:eastAsia="de-CH"/>
        </w:rPr>
      </w:pPr>
      <w:r w:rsidRPr="00AC7C71">
        <w:rPr>
          <w:b/>
          <w:sz w:val="22"/>
          <w:lang w:val="en-GB" w:eastAsia="de-CH"/>
        </w:rPr>
        <w:t>English Translation</w:t>
      </w:r>
    </w:p>
    <w:p w14:paraId="2A010761" w14:textId="54752BA1" w:rsidR="005568B0" w:rsidRPr="00AC7C71" w:rsidRDefault="005568B0">
      <w:pPr>
        <w:jc w:val="left"/>
        <w:rPr>
          <w:sz w:val="22"/>
          <w:lang w:val="en-GB" w:eastAsia="de-CH"/>
        </w:rPr>
      </w:pPr>
      <w:r w:rsidRPr="00AC7C71">
        <w:rPr>
          <w:sz w:val="22"/>
          <w:lang w:val="en-GB" w:eastAsia="de-CH"/>
        </w:rPr>
        <w:t>Lawtank, Berne</w:t>
      </w:r>
    </w:p>
    <w:p w14:paraId="07BFE99B" w14:textId="01863CE2" w:rsidR="007343F2" w:rsidRDefault="007343F2">
      <w:pPr>
        <w:jc w:val="left"/>
        <w:rPr>
          <w:lang w:val="en-GB" w:eastAsia="de-CH"/>
        </w:rPr>
      </w:pPr>
      <w:r>
        <w:rPr>
          <w:lang w:val="en-GB" w:eastAsia="de-CH"/>
        </w:rPr>
        <w:br w:type="page"/>
      </w:r>
    </w:p>
    <w:p w14:paraId="07338384" w14:textId="0C439791" w:rsidR="00102996" w:rsidRPr="0001096E" w:rsidRDefault="008E260B" w:rsidP="003640E6">
      <w:pPr>
        <w:pStyle w:val="Heading2"/>
        <w:rPr>
          <w:lang w:val="en-GB"/>
        </w:rPr>
      </w:pPr>
      <w:bookmarkStart w:id="8" w:name="_Toc95668170"/>
      <w:r w:rsidRPr="0001096E">
        <w:rPr>
          <w:lang w:val="en-GB"/>
        </w:rPr>
        <w:lastRenderedPageBreak/>
        <w:t>Introduction</w:t>
      </w:r>
      <w:bookmarkEnd w:id="8"/>
    </w:p>
    <w:p w14:paraId="4A10977A" w14:textId="77777777" w:rsidR="0001096E" w:rsidRPr="0001096E" w:rsidRDefault="0001096E" w:rsidP="005D3D06">
      <w:pPr>
        <w:pStyle w:val="BodyText"/>
        <w:rPr>
          <w:noProof/>
          <w:lang w:val="en-GB"/>
        </w:rPr>
      </w:pPr>
      <w:r w:rsidRPr="0001096E">
        <w:rPr>
          <w:b/>
          <w:noProof/>
          <w:lang w:val="en-GB"/>
        </w:rPr>
        <w:t>Inclusion Handicap (IH)</w:t>
      </w:r>
      <w:r w:rsidRPr="0001096E">
        <w:rPr>
          <w:noProof/>
          <w:lang w:val="en-GB"/>
        </w:rPr>
        <w:t>, the umbrella organisation of the Swiss organisations of PWD, hereby intends to assist the UN Committee on the Rights of Persons with Disabilities in preparing its “Concluding Observations” for submission to Switzerland as part of the initial reporting process. In doing so, it makes reference, in particular, to Switzerland’s Initial State Report (ISR), to the List of Issues (LoI) submitted to Switzerland and to Switzerland’s replies thereto.</w:t>
      </w:r>
    </w:p>
    <w:p w14:paraId="798FFBF5" w14:textId="77777777" w:rsidR="0001096E" w:rsidRPr="0001096E" w:rsidRDefault="0001096E" w:rsidP="005D3D06">
      <w:pPr>
        <w:pStyle w:val="BodyText"/>
        <w:rPr>
          <w:lang w:val="en-GB"/>
        </w:rPr>
      </w:pPr>
      <w:r w:rsidRPr="0001096E">
        <w:rPr>
          <w:lang w:val="en-GB"/>
        </w:rPr>
        <w:t xml:space="preserve">IH is committed to the approximately </w:t>
      </w:r>
      <w:r w:rsidRPr="0001096E">
        <w:rPr>
          <w:b/>
          <w:lang w:val="en-GB"/>
        </w:rPr>
        <w:t>1.8 million women, men and children with disabilities living in Switzerland</w:t>
      </w:r>
      <w:r w:rsidRPr="0001096E">
        <w:rPr>
          <w:lang w:val="en-GB"/>
        </w:rPr>
        <w:t xml:space="preserve">. It works towards achieving an inclusive society that guarantees full and independent participation in social life for these people. The following 22 organisations are members of Inclusion Handicap: </w:t>
      </w:r>
    </w:p>
    <w:p w14:paraId="23C1E1A3" w14:textId="77777777" w:rsidR="0001096E" w:rsidRPr="00104AEE" w:rsidRDefault="0001096E"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de-CH"/>
        </w:rPr>
      </w:pPr>
      <w:r w:rsidRPr="00104AEE">
        <w:rPr>
          <w:lang w:val="de-CH"/>
        </w:rPr>
        <w:t xml:space="preserve">ASPr-SVG (Schweizerische Vereinigung der Gelähmten </w:t>
      </w:r>
      <w:r w:rsidRPr="0001096E">
        <w:rPr>
          <w:lang w:val="en-GB"/>
        </w:rPr>
        <w:t>ι</w:t>
      </w:r>
      <w:r w:rsidRPr="00104AEE">
        <w:rPr>
          <w:lang w:val="de-CH"/>
        </w:rPr>
        <w:t xml:space="preserve"> Polio.ch) [Swiss Association of Paralysed Persons]</w:t>
      </w:r>
    </w:p>
    <w:p w14:paraId="5FF9F8F6" w14:textId="1C02FF9F" w:rsidR="0001096E" w:rsidRPr="00104AE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fr-FR"/>
        </w:rPr>
      </w:pPr>
      <w:hyperlink r:id="rId12" w:tgtFrame="_blank" w:history="1">
        <w:r w:rsidR="0001096E" w:rsidRPr="00104AEE">
          <w:rPr>
            <w:lang w:val="fr-FR"/>
          </w:rPr>
          <w:t xml:space="preserve">Asrimm (Association Suisse Romande Intervenant contre les Maladies neuro-Musculaires) ) [Swiss Association against Neuro-Muscular Diseases] </w:t>
        </w:r>
      </w:hyperlink>
    </w:p>
    <w:p w14:paraId="13D0F1E7" w14:textId="3A15303B"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13" w:tgtFrame="_blank" w:history="1">
        <w:r w:rsidR="0001096E" w:rsidRPr="0001096E">
          <w:rPr>
            <w:lang w:val="en-GB"/>
          </w:rPr>
          <w:t>autismusschweiz [Autism Switzerland]</w:t>
        </w:r>
      </w:hyperlink>
    </w:p>
    <w:p w14:paraId="51DCDA0C" w14:textId="77777777" w:rsidR="0001096E" w:rsidRPr="00104AEE" w:rsidRDefault="0001096E"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de-CH"/>
        </w:rPr>
      </w:pPr>
      <w:r w:rsidRPr="00104AEE">
        <w:rPr>
          <w:lang w:val="de-CH"/>
        </w:rPr>
        <w:t>Cystische Fibrose Schweiz [Cystic Fibrosis Switzerland]</w:t>
      </w:r>
    </w:p>
    <w:p w14:paraId="20A5E1DE" w14:textId="59E82D7C"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14" w:tgtFrame="_blank" w:history="1">
        <w:r w:rsidR="0001096E" w:rsidRPr="0001096E">
          <w:rPr>
            <w:lang w:val="en-GB"/>
          </w:rPr>
          <w:t>FRAGILE Suisse (For people with a brain injury and their relatives)</w:t>
        </w:r>
      </w:hyperlink>
      <w:r w:rsidR="0001096E" w:rsidRPr="0001096E">
        <w:rPr>
          <w:lang w:val="en-GB"/>
        </w:rPr>
        <w:t xml:space="preserve"> </w:t>
      </w:r>
    </w:p>
    <w:p w14:paraId="16D6BD85" w14:textId="3B25D706" w:rsidR="0001096E" w:rsidRPr="00104AE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de-CH"/>
        </w:rPr>
      </w:pPr>
      <w:hyperlink r:id="rId15" w:tgtFrame="_blank" w:history="1">
        <w:r w:rsidR="0001096E" w:rsidRPr="00104AEE">
          <w:rPr>
            <w:lang w:val="de-CH"/>
          </w:rPr>
          <w:t>GELIKO (Schweizerische Gesundheitsligen-Konferenz) [Swiss</w:t>
        </w:r>
      </w:hyperlink>
      <w:r w:rsidR="0001096E" w:rsidRPr="00104AEE">
        <w:rPr>
          <w:lang w:val="de-CH"/>
        </w:rPr>
        <w:t xml:space="preserve"> National Conference of Health Leagues]</w:t>
      </w:r>
    </w:p>
    <w:p w14:paraId="47314FD0" w14:textId="35B6C704" w:rsidR="0001096E" w:rsidRPr="00BD6E82"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it-IT"/>
        </w:rPr>
      </w:pPr>
      <w:hyperlink r:id="rId16" w:tgtFrame="_blank" w:history="1">
        <w:r w:rsidR="0001096E" w:rsidRPr="00BD6E82">
          <w:rPr>
            <w:lang w:val="it-IT"/>
          </w:rPr>
          <w:t>inclusione andicap ticino [Ticino handicap inclusion]</w:t>
        </w:r>
      </w:hyperlink>
    </w:p>
    <w:p w14:paraId="49CFB6C1" w14:textId="3FFDA305"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17" w:tgtFrame="_blank" w:history="1">
        <w:r w:rsidR="0001096E" w:rsidRPr="0001096E">
          <w:rPr>
            <w:lang w:val="en-GB"/>
          </w:rPr>
          <w:t>insieme</w:t>
        </w:r>
      </w:hyperlink>
      <w:r w:rsidR="0001096E" w:rsidRPr="0001096E">
        <w:rPr>
          <w:lang w:val="en-GB"/>
        </w:rPr>
        <w:t xml:space="preserve"> Schweiz</w:t>
      </w:r>
    </w:p>
    <w:p w14:paraId="40A2DBEF" w14:textId="0063C3FF"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18" w:tgtFrame="_blank" w:history="1">
        <w:r w:rsidR="0001096E" w:rsidRPr="0001096E">
          <w:rPr>
            <w:lang w:val="en-GB"/>
          </w:rPr>
          <w:t xml:space="preserve">PluSport </w:t>
        </w:r>
      </w:hyperlink>
    </w:p>
    <w:p w14:paraId="42DC4727" w14:textId="0E62C490"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19" w:tgtFrame="_blank" w:history="1">
        <w:r w:rsidR="0001096E" w:rsidRPr="0001096E">
          <w:rPr>
            <w:lang w:val="en-GB"/>
          </w:rPr>
          <w:t xml:space="preserve">pro audito </w:t>
        </w:r>
      </w:hyperlink>
      <w:r w:rsidR="0001096E" w:rsidRPr="0001096E">
        <w:rPr>
          <w:lang w:val="en-GB"/>
        </w:rPr>
        <w:t>schweiz</w:t>
      </w:r>
    </w:p>
    <w:p w14:paraId="17A26927" w14:textId="7E1B8142"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20" w:tgtFrame="_blank" w:history="1">
        <w:r w:rsidR="0001096E" w:rsidRPr="0001096E">
          <w:rPr>
            <w:lang w:val="en-GB"/>
          </w:rPr>
          <w:t>Procap</w:t>
        </w:r>
      </w:hyperlink>
    </w:p>
    <w:p w14:paraId="4CA8C9AB" w14:textId="003AAAFC"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21" w:tgtFrame="_blank" w:history="1">
        <w:r w:rsidR="0001096E" w:rsidRPr="0001096E">
          <w:rPr>
            <w:lang w:val="en-GB"/>
          </w:rPr>
          <w:t>Pro Infirmis</w:t>
        </w:r>
      </w:hyperlink>
    </w:p>
    <w:p w14:paraId="024D906C" w14:textId="65BE41B6"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22" w:tgtFrame="_blank" w:history="1">
        <w:r w:rsidR="0001096E" w:rsidRPr="0001096E">
          <w:rPr>
            <w:lang w:val="en-GB"/>
          </w:rPr>
          <w:t>Pro Mente Sana</w:t>
        </w:r>
      </w:hyperlink>
    </w:p>
    <w:p w14:paraId="74AA36E7" w14:textId="4EEBDDDA"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23" w:tgtFrame="_blank" w:history="1">
        <w:r w:rsidR="0001096E" w:rsidRPr="0001096E">
          <w:rPr>
            <w:lang w:val="en-GB"/>
          </w:rPr>
          <w:t>Schweizerische Multiple Sklerose Gesellschaft [Swiss Society for Multiple Sclerosis]</w:t>
        </w:r>
      </w:hyperlink>
    </w:p>
    <w:p w14:paraId="41093A8D" w14:textId="77777777" w:rsidR="0001096E" w:rsidRPr="0001096E" w:rsidRDefault="0001096E"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r w:rsidRPr="0001096E">
        <w:rPr>
          <w:lang w:val="en-GB"/>
        </w:rPr>
        <w:t>Schweizerische Stiftung für das cerebral gelähmte Kind [Swiss Foundation for Children with Cerebral Palsy]</w:t>
      </w:r>
    </w:p>
    <w:p w14:paraId="1A17FCBB" w14:textId="49AACA4A"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24" w:tgtFrame="_blank" w:history="1">
        <w:r w:rsidR="0001096E" w:rsidRPr="0001096E">
          <w:rPr>
            <w:lang w:val="en-GB"/>
          </w:rPr>
          <w:t xml:space="preserve">Schweizerischer Blinden- und Sehbehindertenverband SBV [Swiss Association for the Blind and Partially Sighted] </w:t>
        </w:r>
      </w:hyperlink>
    </w:p>
    <w:p w14:paraId="25474CAE" w14:textId="381F4769"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25" w:tgtFrame="_blank" w:history="1">
        <w:r w:rsidR="0001096E" w:rsidRPr="0001096E">
          <w:rPr>
            <w:lang w:val="en-GB"/>
          </w:rPr>
          <w:t>Schweizerischer Gehörlosenbund SGB [Swiss Federation for the Hearing Impaired]</w:t>
        </w:r>
      </w:hyperlink>
    </w:p>
    <w:p w14:paraId="3B557246" w14:textId="23034869"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26" w:tgtFrame="_blank" w:history="1">
        <w:r w:rsidR="0001096E" w:rsidRPr="0001096E">
          <w:rPr>
            <w:lang w:val="en-GB"/>
          </w:rPr>
          <w:t>Swiss National Association of and for the B</w:t>
        </w:r>
      </w:hyperlink>
      <w:r w:rsidR="0001096E" w:rsidRPr="0001096E">
        <w:rPr>
          <w:lang w:val="en-GB"/>
        </w:rPr>
        <w:t>lind</w:t>
      </w:r>
    </w:p>
    <w:p w14:paraId="580DB0B5" w14:textId="4FFD9FA3" w:rsidR="0001096E" w:rsidRPr="00104AE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de-CH"/>
        </w:rPr>
      </w:pPr>
      <w:hyperlink r:id="rId27" w:tgtFrame="_blank" w:history="1">
        <w:r w:rsidR="0001096E" w:rsidRPr="00104AEE">
          <w:rPr>
            <w:lang w:val="de-CH"/>
          </w:rPr>
          <w:t>Schweizer Paraplegiker-Vereinigung SPV [Swiss Paraplegics Association]</w:t>
        </w:r>
      </w:hyperlink>
    </w:p>
    <w:p w14:paraId="20410252" w14:textId="77777777" w:rsidR="0001096E" w:rsidRPr="0001096E" w:rsidRDefault="0001096E"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r w:rsidRPr="0001096E">
        <w:rPr>
          <w:lang w:val="en-GB"/>
        </w:rPr>
        <w:t>Sonos – Schweizerischer Hörbehindertenverband [Swiss Association for the Hearing Impaired]</w:t>
      </w:r>
    </w:p>
    <w:p w14:paraId="7902D336" w14:textId="4FE21298" w:rsidR="0001096E" w:rsidRPr="0001096E" w:rsidRDefault="00C71D65" w:rsidP="0001096E">
      <w:pPr>
        <w:pStyle w:val="ListParagraph"/>
        <w:numPr>
          <w:ilvl w:val="0"/>
          <w:numId w:val="24"/>
        </w:numPr>
        <w:shd w:val="clear" w:color="auto" w:fill="FFFFFF" w:themeFill="background1"/>
        <w:suppressAutoHyphens/>
        <w:spacing w:before="60" w:after="0" w:line="260" w:lineRule="exact"/>
        <w:ind w:left="357" w:hanging="357"/>
        <w:contextualSpacing w:val="0"/>
        <w:jc w:val="left"/>
        <w:rPr>
          <w:lang w:val="en-GB"/>
        </w:rPr>
      </w:pPr>
      <w:hyperlink r:id="rId28" w:tgtFrame="_blank" w:history="1">
        <w:r w:rsidR="0001096E" w:rsidRPr="0001096E">
          <w:rPr>
            <w:lang w:val="en-GB"/>
          </w:rPr>
          <w:t>Verband Dyslexie Schweiz [Association Dyslexia Switzerland]</w:t>
        </w:r>
      </w:hyperlink>
      <w:r w:rsidR="0001096E" w:rsidRPr="0001096E">
        <w:rPr>
          <w:lang w:val="en-GB"/>
        </w:rPr>
        <w:t xml:space="preserve"> Dyslexie suisse romande</w:t>
      </w:r>
    </w:p>
    <w:p w14:paraId="7C6DAD22" w14:textId="2EF03E04" w:rsidR="0001096E" w:rsidRPr="00104AEE" w:rsidRDefault="00C71D65" w:rsidP="0001096E">
      <w:pPr>
        <w:pStyle w:val="ListParagraph"/>
        <w:numPr>
          <w:ilvl w:val="0"/>
          <w:numId w:val="24"/>
        </w:numPr>
        <w:shd w:val="clear" w:color="auto" w:fill="FFFFFF" w:themeFill="background1"/>
        <w:suppressAutoHyphens/>
        <w:spacing w:before="60" w:line="260" w:lineRule="exact"/>
        <w:ind w:left="357" w:hanging="357"/>
        <w:contextualSpacing w:val="0"/>
        <w:jc w:val="left"/>
        <w:rPr>
          <w:lang w:val="de-CH"/>
        </w:rPr>
      </w:pPr>
      <w:hyperlink r:id="rId29" w:tgtFrame="_blank" w:history="1">
        <w:r w:rsidR="0001096E" w:rsidRPr="00104AEE">
          <w:rPr>
            <w:lang w:val="de-CH"/>
          </w:rPr>
          <w:t>Vereinigung Cerebral Schweiz [Association Cerebral Switzerland]</w:t>
        </w:r>
      </w:hyperlink>
    </w:p>
    <w:p w14:paraId="1697EE8F" w14:textId="77777777" w:rsidR="0001096E" w:rsidRPr="0001096E" w:rsidRDefault="0001096E" w:rsidP="0001096E">
      <w:pPr>
        <w:rPr>
          <w:spacing w:val="-6"/>
          <w:lang w:val="en-GB"/>
        </w:rPr>
      </w:pPr>
      <w:r w:rsidRPr="0001096E">
        <w:rPr>
          <w:spacing w:val="-6"/>
          <w:lang w:val="en-GB"/>
        </w:rPr>
        <w:t xml:space="preserve">The following organisations also participated in the preparation of this submission: </w:t>
      </w:r>
    </w:p>
    <w:p w14:paraId="5DA7AB81" w14:textId="77777777" w:rsidR="0001096E" w:rsidRPr="0001096E" w:rsidRDefault="0001096E" w:rsidP="0001096E">
      <w:pPr>
        <w:pStyle w:val="ListParagraph"/>
        <w:numPr>
          <w:ilvl w:val="0"/>
          <w:numId w:val="25"/>
        </w:numPr>
        <w:shd w:val="clear" w:color="auto" w:fill="FFFFFF" w:themeFill="background1"/>
        <w:suppressAutoHyphens/>
        <w:spacing w:before="60" w:after="0" w:line="260" w:lineRule="exact"/>
        <w:ind w:left="357" w:hanging="357"/>
        <w:contextualSpacing w:val="0"/>
        <w:rPr>
          <w:lang w:val="en-GB"/>
        </w:rPr>
      </w:pPr>
      <w:r w:rsidRPr="0001096E">
        <w:rPr>
          <w:lang w:val="en-GB"/>
        </w:rPr>
        <w:t>AGILE.CH (The Organisation of PWD)</w:t>
      </w:r>
    </w:p>
    <w:p w14:paraId="046B5F9D" w14:textId="77777777" w:rsidR="0001096E" w:rsidRPr="0001096E" w:rsidRDefault="0001096E" w:rsidP="0001096E">
      <w:pPr>
        <w:pStyle w:val="ListParagraph"/>
        <w:numPr>
          <w:ilvl w:val="0"/>
          <w:numId w:val="25"/>
        </w:numPr>
        <w:shd w:val="clear" w:color="auto" w:fill="FFFFFF" w:themeFill="background1"/>
        <w:suppressAutoHyphens/>
        <w:spacing w:before="60" w:after="0" w:line="260" w:lineRule="exact"/>
        <w:ind w:left="357" w:hanging="357"/>
        <w:contextualSpacing w:val="0"/>
        <w:rPr>
          <w:lang w:val="en-GB"/>
        </w:rPr>
      </w:pPr>
      <w:r w:rsidRPr="0001096E">
        <w:rPr>
          <w:lang w:val="en-GB"/>
        </w:rPr>
        <w:t>avanti donne (Representation of Interests Women and Girls with Disabilities)</w:t>
      </w:r>
    </w:p>
    <w:p w14:paraId="263FC528" w14:textId="77777777" w:rsidR="0001096E" w:rsidRPr="0001096E" w:rsidRDefault="0001096E" w:rsidP="0001096E">
      <w:pPr>
        <w:pStyle w:val="ListParagraph"/>
        <w:numPr>
          <w:ilvl w:val="0"/>
          <w:numId w:val="25"/>
        </w:numPr>
        <w:shd w:val="clear" w:color="auto" w:fill="FFFFFF" w:themeFill="background1"/>
        <w:suppressAutoHyphens/>
        <w:spacing w:before="60" w:after="0" w:line="260" w:lineRule="exact"/>
        <w:ind w:left="357" w:hanging="357"/>
        <w:contextualSpacing w:val="0"/>
        <w:rPr>
          <w:lang w:val="en-GB"/>
        </w:rPr>
      </w:pPr>
      <w:r w:rsidRPr="0001096E">
        <w:rPr>
          <w:lang w:val="en-GB"/>
        </w:rPr>
        <w:t>Behindertenforum (Umbrella Association of the Cantonal Organisations of PWD of Basel-Stadt and Basel-Landschaft)</w:t>
      </w:r>
    </w:p>
    <w:p w14:paraId="777B4F11" w14:textId="14BC4649" w:rsidR="0001096E" w:rsidRPr="0001096E" w:rsidRDefault="0001096E" w:rsidP="0001096E">
      <w:pPr>
        <w:pStyle w:val="ListParagraph"/>
        <w:numPr>
          <w:ilvl w:val="0"/>
          <w:numId w:val="25"/>
        </w:numPr>
        <w:shd w:val="clear" w:color="auto" w:fill="FFFFFF" w:themeFill="background1"/>
        <w:suppressAutoHyphens/>
        <w:spacing w:before="60" w:after="0" w:line="260" w:lineRule="exact"/>
        <w:ind w:left="357" w:hanging="357"/>
        <w:contextualSpacing w:val="0"/>
        <w:rPr>
          <w:lang w:val="en-GB"/>
        </w:rPr>
      </w:pPr>
      <w:r w:rsidRPr="0001096E">
        <w:rPr>
          <w:lang w:val="en-GB"/>
        </w:rPr>
        <w:t>INSOS (</w:t>
      </w:r>
      <w:r w:rsidR="009F6640">
        <w:rPr>
          <w:lang w:val="en-GB"/>
        </w:rPr>
        <w:t>Sectoral</w:t>
      </w:r>
      <w:r w:rsidRPr="0001096E">
        <w:rPr>
          <w:lang w:val="en-GB"/>
        </w:rPr>
        <w:t xml:space="preserve"> Association of Providers of Services for PWD)</w:t>
      </w:r>
    </w:p>
    <w:p w14:paraId="50954094" w14:textId="77777777" w:rsidR="0001096E" w:rsidRPr="0001096E" w:rsidRDefault="0001096E" w:rsidP="0001096E">
      <w:pPr>
        <w:pStyle w:val="ListParagraph"/>
        <w:numPr>
          <w:ilvl w:val="0"/>
          <w:numId w:val="25"/>
        </w:numPr>
        <w:shd w:val="clear" w:color="auto" w:fill="FFFFFF" w:themeFill="background1"/>
        <w:suppressAutoHyphens/>
        <w:spacing w:before="60" w:after="0" w:line="260" w:lineRule="exact"/>
        <w:ind w:left="357" w:hanging="357"/>
        <w:contextualSpacing w:val="0"/>
        <w:rPr>
          <w:lang w:val="en-GB"/>
        </w:rPr>
      </w:pPr>
      <w:r w:rsidRPr="0001096E">
        <w:rPr>
          <w:lang w:val="en-GB"/>
        </w:rPr>
        <w:t>Integras (Professional Association for Social and Special Education)</w:t>
      </w:r>
    </w:p>
    <w:p w14:paraId="08DB3BEB" w14:textId="3226E965" w:rsidR="0001096E" w:rsidRPr="0001096E" w:rsidRDefault="0001096E" w:rsidP="0001096E">
      <w:pPr>
        <w:pStyle w:val="ListParagraph"/>
        <w:numPr>
          <w:ilvl w:val="0"/>
          <w:numId w:val="25"/>
        </w:numPr>
        <w:shd w:val="clear" w:color="auto" w:fill="FFFFFF" w:themeFill="background1"/>
        <w:suppressAutoHyphens/>
        <w:spacing w:before="60" w:after="0" w:line="260" w:lineRule="exact"/>
        <w:ind w:left="357" w:hanging="357"/>
        <w:contextualSpacing w:val="0"/>
        <w:rPr>
          <w:lang w:val="en-GB"/>
        </w:rPr>
      </w:pPr>
      <w:r w:rsidRPr="0001096E">
        <w:rPr>
          <w:lang w:val="en-GB"/>
        </w:rPr>
        <w:t>Mensch zuerst (Association of People with Learning Difficulties)</w:t>
      </w:r>
    </w:p>
    <w:p w14:paraId="19D49612" w14:textId="47EED785" w:rsidR="0001096E" w:rsidRPr="0001096E" w:rsidRDefault="0001096E" w:rsidP="0001096E">
      <w:pPr>
        <w:pStyle w:val="ListParagraph"/>
        <w:numPr>
          <w:ilvl w:val="0"/>
          <w:numId w:val="25"/>
        </w:numPr>
        <w:shd w:val="clear" w:color="auto" w:fill="FFFFFF" w:themeFill="background1"/>
        <w:suppressAutoHyphens/>
        <w:spacing w:before="60" w:after="0" w:line="260" w:lineRule="exact"/>
        <w:ind w:left="357" w:hanging="357"/>
        <w:contextualSpacing w:val="0"/>
        <w:rPr>
          <w:lang w:val="en-GB"/>
        </w:rPr>
      </w:pPr>
      <w:r w:rsidRPr="0001096E">
        <w:rPr>
          <w:lang w:val="en-GB"/>
        </w:rPr>
        <w:lastRenderedPageBreak/>
        <w:t>SSHID (Swiss Society for Health in Intellectual Disability)</w:t>
      </w:r>
    </w:p>
    <w:p w14:paraId="3EE34887" w14:textId="77777777" w:rsidR="008E260B" w:rsidRPr="0001096E" w:rsidRDefault="008E260B" w:rsidP="008E260B">
      <w:pPr>
        <w:pStyle w:val="Heading2"/>
        <w:rPr>
          <w:lang w:val="en-GB"/>
        </w:rPr>
      </w:pPr>
      <w:bookmarkStart w:id="9" w:name="_Toc89024636"/>
      <w:bookmarkStart w:id="10" w:name="_Toc95297056"/>
      <w:bookmarkStart w:id="11" w:name="_Ref95667838"/>
      <w:bookmarkStart w:id="12" w:name="_Toc95668171"/>
      <w:r w:rsidRPr="0001096E">
        <w:rPr>
          <w:lang w:val="en-GB"/>
        </w:rPr>
        <w:t>General assessment</w:t>
      </w:r>
      <w:bookmarkEnd w:id="9"/>
      <w:bookmarkEnd w:id="10"/>
      <w:bookmarkEnd w:id="11"/>
      <w:bookmarkEnd w:id="12"/>
      <w:r w:rsidRPr="0001096E">
        <w:rPr>
          <w:lang w:val="en-GB"/>
        </w:rPr>
        <w:t xml:space="preserve"> </w:t>
      </w:r>
    </w:p>
    <w:p w14:paraId="55E306FD" w14:textId="77777777" w:rsidR="0001096E" w:rsidRPr="00A86F53" w:rsidRDefault="0001096E" w:rsidP="005D3D06">
      <w:pPr>
        <w:pStyle w:val="BodyText"/>
        <w:rPr>
          <w:lang w:val="en-GB"/>
        </w:rPr>
      </w:pPr>
      <w:r w:rsidRPr="00A86F53">
        <w:rPr>
          <w:lang w:val="en-GB"/>
        </w:rPr>
        <w:t xml:space="preserve">In the course of the ratification </w:t>
      </w:r>
      <w:r w:rsidRPr="00104AEE">
        <w:rPr>
          <w:lang w:val="en-US"/>
        </w:rPr>
        <w:t>procedure</w:t>
      </w:r>
      <w:r w:rsidRPr="00A86F53">
        <w:rPr>
          <w:lang w:val="en-GB"/>
        </w:rPr>
        <w:t>, the Federal Council took the view that Switzerland already largely complied with the requirements of the Convention</w:t>
      </w:r>
      <w:bookmarkStart w:id="13" w:name="_Ref477517273"/>
      <w:r w:rsidRPr="00A86F53">
        <w:rPr>
          <w:lang w:val="en-GB"/>
        </w:rPr>
        <w:t>.</w:t>
      </w:r>
      <w:bookmarkStart w:id="14" w:name="_Ref95642652"/>
      <w:bookmarkEnd w:id="13"/>
      <w:r w:rsidRPr="00A86F53">
        <w:rPr>
          <w:vertAlign w:val="superscript"/>
          <w:lang w:val="en-GB"/>
        </w:rPr>
        <w:footnoteReference w:id="1"/>
      </w:r>
      <w:bookmarkEnd w:id="14"/>
      <w:r w:rsidRPr="00A86F53">
        <w:rPr>
          <w:lang w:val="en-GB"/>
        </w:rPr>
        <w:t xml:space="preserve"> In asserting this, it </w:t>
      </w:r>
      <w:r w:rsidRPr="00A86F53">
        <w:rPr>
          <w:b/>
          <w:lang w:val="en-GB"/>
        </w:rPr>
        <w:t>considerably underestimated the far-reaching and comprehensive obligations under the CRPD as well as the resulting challenges for Switzerland</w:t>
      </w:r>
      <w:r w:rsidRPr="00A86F53">
        <w:rPr>
          <w:lang w:val="en-GB"/>
        </w:rPr>
        <w:t xml:space="preserve">. </w:t>
      </w:r>
    </w:p>
    <w:p w14:paraId="778BE399" w14:textId="462880D0" w:rsidR="0094135C" w:rsidRPr="0001096E" w:rsidRDefault="0001096E" w:rsidP="005D3D06">
      <w:pPr>
        <w:pStyle w:val="BodyText"/>
        <w:rPr>
          <w:lang w:val="en-GB"/>
        </w:rPr>
      </w:pPr>
      <w:r w:rsidRPr="00A86F53">
        <w:rPr>
          <w:lang w:val="en-GB"/>
        </w:rPr>
        <w:t xml:space="preserve">With its Federal Constitution, along with its laws on social insurance as well as equality for PWD, Switzerland has a legal foundation in place which enables it to comply with the CRPD requirements to some extent, Yet </w:t>
      </w:r>
      <w:r w:rsidRPr="00A86F53">
        <w:rPr>
          <w:b/>
          <w:lang w:val="en-GB"/>
        </w:rPr>
        <w:t>almost eight years after the ratification of the CRPD,</w:t>
      </w:r>
      <w:r w:rsidRPr="00A86F53">
        <w:rPr>
          <w:lang w:val="en-GB"/>
        </w:rPr>
        <w:t xml:space="preserve"> the principles enshrined in Articles 1-4 CRPD have not been rigorously adopted and implemented either at the federal or at the cantonal and municipal level. Practical experience at federal, cantonal and municipal level indicates that there are some </w:t>
      </w:r>
      <w:r w:rsidRPr="00A86F53">
        <w:rPr>
          <w:b/>
          <w:bCs/>
          <w:lang w:val="en-GB"/>
        </w:rPr>
        <w:t>serious shortcomings, both within the law and in its implementation</w:t>
      </w:r>
      <w:bookmarkStart w:id="15" w:name="_Ref477517014"/>
      <w:r w:rsidRPr="003979FB">
        <w:rPr>
          <w:lang w:val="en-GB"/>
        </w:rPr>
        <w:t>.</w:t>
      </w:r>
      <w:bookmarkStart w:id="16" w:name="_Ref95639500"/>
      <w:r w:rsidRPr="00A86F53">
        <w:rPr>
          <w:rStyle w:val="FootnoteReference"/>
          <w:lang w:val="en-GB"/>
        </w:rPr>
        <w:footnoteReference w:id="2"/>
      </w:r>
      <w:bookmarkEnd w:id="15"/>
      <w:bookmarkEnd w:id="16"/>
      <w:r w:rsidRPr="00A86F53">
        <w:rPr>
          <w:lang w:val="en-GB"/>
        </w:rPr>
        <w:t xml:space="preserve"> This is not sufficiently reflected in Switzerland’s Initial State Report (ISR) and its replies to the LoI; in contrast to the account provided in its introduction, the ISR does not provide "a </w:t>
      </w:r>
      <w:r w:rsidRPr="00A86F53">
        <w:rPr>
          <w:lang w:val="en-GB"/>
        </w:rPr>
        <w:lastRenderedPageBreak/>
        <w:t>picture of the actual situation concerning the protection of the rights of disabled people that goes beyond a description of the legal system and the law"</w:t>
      </w:r>
      <w:r>
        <w:rPr>
          <w:lang w:val="en-GB"/>
        </w:rPr>
        <w:t xml:space="preserve"> (ISR, para 2)</w:t>
      </w:r>
      <w:r w:rsidRPr="00A86F53">
        <w:rPr>
          <w:lang w:val="en-GB"/>
        </w:rPr>
        <w:t xml:space="preserve">. </w:t>
      </w:r>
    </w:p>
    <w:p w14:paraId="0D907C88" w14:textId="60BE172C" w:rsidR="003640E6" w:rsidRPr="0001096E" w:rsidRDefault="003640E6" w:rsidP="005D3D06">
      <w:pPr>
        <w:pStyle w:val="BodyText"/>
        <w:rPr>
          <w:lang w:val="en-GB"/>
        </w:rPr>
      </w:pPr>
      <w:r w:rsidRPr="0001096E">
        <w:rPr>
          <w:lang w:val="en-GB"/>
        </w:rPr>
        <w:br w:type="page"/>
      </w:r>
    </w:p>
    <w:p w14:paraId="7B0627B2" w14:textId="77777777" w:rsidR="00AA0F94" w:rsidRPr="0001096E" w:rsidRDefault="00FE29BD" w:rsidP="00AA0F94">
      <w:pPr>
        <w:spacing w:before="240" w:after="240" w:line="420" w:lineRule="exact"/>
        <w:jc w:val="center"/>
        <w:rPr>
          <w:rFonts w:eastAsia="Cambria" w:cs="Times New Roman"/>
          <w:b/>
          <w:sz w:val="36"/>
          <w:szCs w:val="36"/>
          <w:lang w:val="en-GB"/>
        </w:rPr>
      </w:pPr>
      <w:r w:rsidRPr="0001096E">
        <w:rPr>
          <w:rFonts w:cs="Times New Roman"/>
          <w:noProof/>
          <w:lang w:val="en-GB" w:eastAsia="en-GB"/>
        </w:rPr>
        <w:lastRenderedPageBreak/>
        <mc:AlternateContent>
          <mc:Choice Requires="wps">
            <w:drawing>
              <wp:anchor distT="0" distB="0" distL="114300" distR="114300" simplePos="0" relativeHeight="251660288" behindDoc="0" locked="0" layoutInCell="1" allowOverlap="1" wp14:anchorId="4229CC2C" wp14:editId="004FA5FB">
                <wp:simplePos x="0" y="0"/>
                <wp:positionH relativeFrom="column">
                  <wp:posOffset>1113008</wp:posOffset>
                </wp:positionH>
                <wp:positionV relativeFrom="paragraph">
                  <wp:posOffset>398585</wp:posOffset>
                </wp:positionV>
                <wp:extent cx="3974124" cy="1676400"/>
                <wp:effectExtent l="0" t="0" r="26670" b="19050"/>
                <wp:wrapNone/>
                <wp:docPr id="4" name="Abgerundetes Rechteck 4" descr="Orange box with the following content:&#10;Implementation - Articles 4 and 33 CRPD&#10;&#10;Lack of a comprehensive and coherent strategy for implementing the CRPD, taking into account the federal structures of Switzerland. Lack of inclusion of PWD. No independent CRPD monitoring &#10;(p. 7 ff., as well as 33)&#10;" title="Box with first of 8 most important shortcomings"/>
                <wp:cNvGraphicFramePr/>
                <a:graphic xmlns:a="http://schemas.openxmlformats.org/drawingml/2006/main">
                  <a:graphicData uri="http://schemas.microsoft.com/office/word/2010/wordprocessingShape">
                    <wps:wsp>
                      <wps:cNvSpPr/>
                      <wps:spPr>
                        <a:xfrm>
                          <a:off x="0" y="0"/>
                          <a:ext cx="3974124" cy="1676400"/>
                        </a:xfrm>
                        <a:prstGeom prst="roundRect">
                          <a:avLst/>
                        </a:prstGeom>
                        <a:solidFill>
                          <a:srgbClr val="FFCC00"/>
                        </a:solidFill>
                        <a:ln>
                          <a:solidFill>
                            <a:srgbClr val="FFCC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0ECE82"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Implementation – Articles 4 and 33 CRPD</w:t>
                            </w:r>
                          </w:p>
                          <w:p w14:paraId="250546DF" w14:textId="305823A3" w:rsidR="00D739C9" w:rsidRPr="00AD3D7A" w:rsidRDefault="00D739C9" w:rsidP="005D3D06">
                            <w:pPr>
                              <w:spacing w:after="0"/>
                              <w:rPr>
                                <w:color w:val="000000" w:themeColor="text1"/>
                              </w:rPr>
                            </w:pPr>
                            <w:r w:rsidRPr="005C7271">
                              <w:rPr>
                                <w:rFonts w:cs="Times New Roman"/>
                                <w:color w:val="000000" w:themeColor="text1"/>
                                <w:lang w:val="en-US"/>
                              </w:rPr>
                              <w:t xml:space="preserve">Lack of a comprehensive and coherent </w:t>
                            </w:r>
                            <w:r w:rsidRPr="005C7271">
                              <w:rPr>
                                <w:rFonts w:cs="Times New Roman"/>
                                <w:b/>
                                <w:color w:val="000000" w:themeColor="text1"/>
                                <w:lang w:val="en-US"/>
                              </w:rPr>
                              <w:t>strategy</w:t>
                            </w:r>
                            <w:r w:rsidRPr="005C7271">
                              <w:rPr>
                                <w:rFonts w:cs="Times New Roman"/>
                                <w:color w:val="000000" w:themeColor="text1"/>
                                <w:lang w:val="en-US"/>
                              </w:rPr>
                              <w:t xml:space="preserve"> for implementing the CRPD, taking into account the federal structures of Switzerland. Lack </w:t>
                            </w:r>
                            <w:r w:rsidRPr="005C7271">
                              <w:rPr>
                                <w:rFonts w:cs="Times New Roman"/>
                                <w:b/>
                                <w:color w:val="000000" w:themeColor="text1"/>
                                <w:lang w:val="en-US"/>
                              </w:rPr>
                              <w:t xml:space="preserve">of </w:t>
                            </w:r>
                            <w:r>
                              <w:rPr>
                                <w:rFonts w:cs="Times New Roman"/>
                                <w:b/>
                                <w:color w:val="000000" w:themeColor="text1"/>
                                <w:lang w:val="en-US"/>
                              </w:rPr>
                              <w:t>involvement</w:t>
                            </w:r>
                            <w:r w:rsidRPr="005C7271">
                              <w:rPr>
                                <w:rFonts w:cs="Times New Roman"/>
                                <w:color w:val="000000" w:themeColor="text1"/>
                                <w:lang w:val="en-US"/>
                              </w:rPr>
                              <w:t xml:space="preserve"> of PWD. No independent </w:t>
                            </w:r>
                            <w:r w:rsidRPr="005C7271">
                              <w:rPr>
                                <w:rFonts w:cs="Times New Roman"/>
                                <w:b/>
                                <w:bCs/>
                                <w:color w:val="000000" w:themeColor="text1"/>
                                <w:lang w:val="en-US"/>
                              </w:rPr>
                              <w:t>CR</w:t>
                            </w:r>
                            <w:r w:rsidRPr="005C7271">
                              <w:rPr>
                                <w:rFonts w:cs="Times New Roman"/>
                                <w:b/>
                                <w:color w:val="000000" w:themeColor="text1"/>
                                <w:lang w:val="en-US"/>
                              </w:rPr>
                              <w:t>PD monitoring</w:t>
                            </w:r>
                            <w:r w:rsidRPr="005C7271">
                              <w:rPr>
                                <w:rFonts w:cs="Times New Roman"/>
                                <w:color w:val="000000" w:themeColor="text1"/>
                                <w:lang w:val="en-US"/>
                              </w:rPr>
                              <w:t xml:space="preserve"> (p. </w:t>
                            </w:r>
                            <w:r>
                              <w:rPr>
                                <w:rFonts w:cs="Times New Roman"/>
                                <w:color w:val="000000" w:themeColor="text1"/>
                              </w:rPr>
                              <w:fldChar w:fldCharType="begin"/>
                            </w:r>
                            <w:r w:rsidRPr="005C7271">
                              <w:rPr>
                                <w:rFonts w:cs="Times New Roman"/>
                                <w:color w:val="000000" w:themeColor="text1"/>
                                <w:lang w:val="en-US"/>
                              </w:rPr>
                              <w:instrText xml:space="preserve"> PAGEREF _Ref89611725 </w:instrText>
                            </w:r>
                            <w:r>
                              <w:rPr>
                                <w:rFonts w:cs="Times New Roman"/>
                                <w:color w:val="000000" w:themeColor="text1"/>
                                <w:highlight w:val="red"/>
                              </w:rPr>
                              <w:fldChar w:fldCharType="separate"/>
                            </w:r>
                            <w:r w:rsidR="003979FB">
                              <w:rPr>
                                <w:rFonts w:cs="Times New Roman"/>
                                <w:noProof/>
                                <w:color w:val="000000" w:themeColor="text1"/>
                                <w:lang w:val="en-US"/>
                              </w:rPr>
                              <w:t>6</w:t>
                            </w:r>
                            <w:r>
                              <w:rPr>
                                <w:rFonts w:cs="Times New Roman"/>
                                <w:color w:val="000000" w:themeColor="text1"/>
                                <w:highlight w:val="red"/>
                              </w:rPr>
                              <w:fldChar w:fldCharType="end"/>
                            </w:r>
                            <w:r>
                              <w:rPr>
                                <w:rFonts w:cs="Times New Roman"/>
                                <w:color w:val="000000" w:themeColor="text1"/>
                              </w:rPr>
                              <w:t xml:space="preserve"> ff., as well as </w:t>
                            </w:r>
                            <w:r>
                              <w:rPr>
                                <w:rFonts w:cs="Times New Roman"/>
                                <w:color w:val="000000" w:themeColor="text1"/>
                              </w:rPr>
                              <w:fldChar w:fldCharType="begin"/>
                            </w:r>
                            <w:r>
                              <w:rPr>
                                <w:rFonts w:cs="Times New Roman"/>
                                <w:color w:val="000000" w:themeColor="text1"/>
                              </w:rPr>
                              <w:instrText xml:space="preserve"> PAGEREF _Ref91163998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65</w:t>
                            </w:r>
                            <w:r>
                              <w:rPr>
                                <w:rFonts w:cs="Times New Roman"/>
                                <w:color w:val="000000" w:themeColor="text1"/>
                              </w:rPr>
                              <w:fldChar w:fldCharType="end"/>
                            </w:r>
                            <w:r>
                              <w:rPr>
                                <w:rFonts w:cs="Times New Roman"/>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4229CC2C" id="Abgerundetes Rechteck 4" o:spid="_x0000_s1026" alt="Titel: Box with first of 8 most important shortcomings - Beschreibung: Orange box with the following content:&#10;Implementation - Articles 4 and 33 CRPD&#10;&#10;Lack of a comprehensive and coherent strategy for implementing the CRPD, taking into account the federal structures of Switzerland. Lack of inclusion of PWD. No independent CRPD monitoring &#10;(p. 7 ff., as well as 33)&#10;" style="position:absolute;left:0;text-align:left;margin-left:87.65pt;margin-top:31.4pt;width:312.9pt;height: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" fillcolor="#fc0" strokecolor="#fc0" strokeweight="1pt">
                <v:stroke joinstyle="miter"/>
                <v:textbox>
                  <w:txbxContent>
                    <w:p w14:paraId="070ECE82"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Implementation – Articles 4 and 33 CRPD</w:t>
                      </w:r>
                    </w:p>
                    <w:p w14:paraId="250546DF" w14:textId="305823A3" w:rsidR="00D739C9" w:rsidRPr="00AD3D7A" w:rsidRDefault="00D739C9" w:rsidP="005D3D06">
                      <w:pPr>
                        <w:spacing w:after="0"/>
                        <w:rPr>
                          <w:color w:val="000000" w:themeColor="text1"/>
                        </w:rPr>
                      </w:pPr>
                      <w:r w:rsidRPr="005C7271">
                        <w:rPr>
                          <w:rFonts w:cs="Times New Roman"/>
                          <w:color w:val="000000" w:themeColor="text1"/>
                          <w:lang w:val="en-US"/>
                        </w:rPr>
                        <w:t xml:space="preserve">Lack of a comprehensive and coherent </w:t>
                      </w:r>
                      <w:r w:rsidRPr="005C7271">
                        <w:rPr>
                          <w:rFonts w:cs="Times New Roman"/>
                          <w:b/>
                          <w:color w:val="000000" w:themeColor="text1"/>
                          <w:lang w:val="en-US"/>
                        </w:rPr>
                        <w:t>strategy</w:t>
                      </w:r>
                      <w:r w:rsidRPr="005C7271">
                        <w:rPr>
                          <w:rFonts w:cs="Times New Roman"/>
                          <w:color w:val="000000" w:themeColor="text1"/>
                          <w:lang w:val="en-US"/>
                        </w:rPr>
                        <w:t xml:space="preserve"> for implementing the CRPD, taking into account the federal structures of Switzerland. Lack </w:t>
                      </w:r>
                      <w:r w:rsidRPr="005C7271">
                        <w:rPr>
                          <w:rFonts w:cs="Times New Roman"/>
                          <w:b/>
                          <w:color w:val="000000" w:themeColor="text1"/>
                          <w:lang w:val="en-US"/>
                        </w:rPr>
                        <w:t xml:space="preserve">of </w:t>
                      </w:r>
                      <w:r>
                        <w:rPr>
                          <w:rFonts w:cs="Times New Roman"/>
                          <w:b/>
                          <w:color w:val="000000" w:themeColor="text1"/>
                          <w:lang w:val="en-US"/>
                        </w:rPr>
                        <w:t>involvement</w:t>
                      </w:r>
                      <w:r w:rsidRPr="005C7271">
                        <w:rPr>
                          <w:rFonts w:cs="Times New Roman"/>
                          <w:color w:val="000000" w:themeColor="text1"/>
                          <w:lang w:val="en-US"/>
                        </w:rPr>
                        <w:t xml:space="preserve"> of PWD. No independent </w:t>
                      </w:r>
                      <w:r w:rsidRPr="005C7271">
                        <w:rPr>
                          <w:rFonts w:cs="Times New Roman"/>
                          <w:b/>
                          <w:bCs/>
                          <w:color w:val="000000" w:themeColor="text1"/>
                          <w:lang w:val="en-US"/>
                        </w:rPr>
                        <w:t>CR</w:t>
                      </w:r>
                      <w:r w:rsidRPr="005C7271">
                        <w:rPr>
                          <w:rFonts w:cs="Times New Roman"/>
                          <w:b/>
                          <w:color w:val="000000" w:themeColor="text1"/>
                          <w:lang w:val="en-US"/>
                        </w:rPr>
                        <w:t>PD monitoring</w:t>
                      </w:r>
                      <w:r w:rsidRPr="005C7271">
                        <w:rPr>
                          <w:rFonts w:cs="Times New Roman"/>
                          <w:color w:val="000000" w:themeColor="text1"/>
                          <w:lang w:val="en-US"/>
                        </w:rPr>
                        <w:t xml:space="preserve"> (p. </w:t>
                      </w:r>
                      <w:r>
                        <w:rPr>
                          <w:rFonts w:cs="Times New Roman"/>
                          <w:color w:val="000000" w:themeColor="text1"/>
                        </w:rPr>
                        <w:fldChar w:fldCharType="begin"/>
                      </w:r>
                      <w:r w:rsidRPr="005C7271">
                        <w:rPr>
                          <w:rFonts w:cs="Times New Roman"/>
                          <w:color w:val="000000" w:themeColor="text1"/>
                          <w:lang w:val="en-US"/>
                        </w:rPr>
                        <w:instrText xml:space="preserve"> PAGEREF _Ref89611725 </w:instrText>
                      </w:r>
                      <w:r>
                        <w:rPr>
                          <w:rFonts w:cs="Times New Roman"/>
                          <w:color w:val="000000" w:themeColor="text1"/>
                          <w:highlight w:val="red"/>
                        </w:rPr>
                        <w:fldChar w:fldCharType="separate"/>
                      </w:r>
                      <w:r w:rsidR="003979FB">
                        <w:rPr>
                          <w:rFonts w:cs="Times New Roman"/>
                          <w:noProof/>
                          <w:color w:val="000000" w:themeColor="text1"/>
                          <w:lang w:val="en-US"/>
                        </w:rPr>
                        <w:t>6</w:t>
                      </w:r>
                      <w:r>
                        <w:rPr>
                          <w:rFonts w:cs="Times New Roman"/>
                          <w:color w:val="000000" w:themeColor="text1"/>
                          <w:highlight w:val="red"/>
                        </w:rPr>
                        <w:fldChar w:fldCharType="end"/>
                      </w:r>
                      <w:r>
                        <w:rPr>
                          <w:rFonts w:cs="Times New Roman"/>
                          <w:color w:val="000000" w:themeColor="text1"/>
                        </w:rPr>
                        <w:t xml:space="preserve"> ff., as well as </w:t>
                      </w:r>
                      <w:r>
                        <w:rPr>
                          <w:rFonts w:cs="Times New Roman"/>
                          <w:color w:val="000000" w:themeColor="text1"/>
                        </w:rPr>
                        <w:fldChar w:fldCharType="begin"/>
                      </w:r>
                      <w:r>
                        <w:rPr>
                          <w:rFonts w:cs="Times New Roman"/>
                          <w:color w:val="000000" w:themeColor="text1"/>
                        </w:rPr>
                        <w:instrText xml:space="preserve"> PAGEREF _Ref91163998 \h </w:instrText>
                      </w:r>
                      <w:r>
                        <w:rPr>
                          <w:rFonts w:cs="Times New Roman"/>
                          <w:color w:val="000000" w:themeColor="text1"/>
                        </w:rPr>
                      </w:r>
                      <w:r>
                        <w:rPr>
                          <w:rFonts w:cs="Times New Roman"/>
                          <w:color w:val="000000" w:themeColor="text1"/>
                        </w:rPr>
                        <w:fldChar w:fldCharType="separate"/>
                      </w:r>
                      <w:r>
                        <w:rPr>
                          <w:rFonts w:cs="Times New Roman"/>
                          <w:noProof/>
                          <w:color w:val="000000" w:themeColor="text1"/>
                        </w:rPr>
                        <w:t>65</w:t>
                      </w:r>
                      <w:r>
                        <w:rPr>
                          <w:rFonts w:cs="Times New Roman"/>
                          <w:color w:val="000000" w:themeColor="text1"/>
                        </w:rPr>
                        <w:fldChar w:fldCharType="end"/>
                      </w:r>
                      <w:r>
                        <w:rPr>
                          <w:rFonts w:cs="Times New Roman"/>
                          <w:color w:val="000000" w:themeColor="text1"/>
                        </w:rPr>
                        <w:t>)</w:t>
                      </w:r>
                    </w:p>
                  </w:txbxContent>
                </v:textbox>
              </v:roundrect>
            </w:pict>
          </mc:Fallback>
        </mc:AlternateContent>
      </w:r>
      <w:r w:rsidR="00D05EAA" w:rsidRPr="0001096E">
        <w:rPr>
          <w:rFonts w:eastAsia="Cambria" w:cs="Times New Roman"/>
          <w:b/>
          <w:sz w:val="36"/>
          <w:szCs w:val="36"/>
          <w:lang w:val="en-GB"/>
        </w:rPr>
        <w:t>The most important shortcomings in a nutshell</w:t>
      </w:r>
    </w:p>
    <w:p w14:paraId="362DE401" w14:textId="21CC0626" w:rsidR="00AA0F94" w:rsidRPr="0001096E" w:rsidRDefault="005D3D06">
      <w:pPr>
        <w:jc w:val="left"/>
        <w:rPr>
          <w:lang w:val="en-GB" w:eastAsia="de-CH"/>
        </w:rPr>
      </w:pPr>
      <w:r w:rsidRPr="0001096E">
        <w:rPr>
          <w:noProof/>
          <w:lang w:val="en-GB" w:eastAsia="en-GB"/>
        </w:rPr>
        <mc:AlternateContent>
          <mc:Choice Requires="wps">
            <w:drawing>
              <wp:anchor distT="0" distB="0" distL="114300" distR="114300" simplePos="0" relativeHeight="251667456" behindDoc="0" locked="0" layoutInCell="1" allowOverlap="1" wp14:anchorId="4DF2AB8F" wp14:editId="254E602C">
                <wp:simplePos x="0" y="0"/>
                <wp:positionH relativeFrom="margin">
                  <wp:posOffset>858033</wp:posOffset>
                </wp:positionH>
                <wp:positionV relativeFrom="paragraph">
                  <wp:posOffset>6978162</wp:posOffset>
                </wp:positionV>
                <wp:extent cx="3851030" cy="1295400"/>
                <wp:effectExtent l="0" t="0" r="16510" b="19050"/>
                <wp:wrapNone/>
                <wp:docPr id="10" name="Abgerundetes Rechteck 10" descr="Blue box with the following content: &#10;&#10;Protection against discrimination Ar-ticle 5 CRPD&#10;Insufficient protection of PWD from discrimina-tion by private individuals. (p. 9 f.)&#10;&#10;" title="Box with eight of 8 most important shortcomings"/>
                <wp:cNvGraphicFramePr/>
                <a:graphic xmlns:a="http://schemas.openxmlformats.org/drawingml/2006/main">
                  <a:graphicData uri="http://schemas.microsoft.com/office/word/2010/wordprocessingShape">
                    <wps:wsp>
                      <wps:cNvSpPr/>
                      <wps:spPr>
                        <a:xfrm>
                          <a:off x="0" y="0"/>
                          <a:ext cx="3851030" cy="1295400"/>
                        </a:xfrm>
                        <a:prstGeom prst="roundRect">
                          <a:avLst/>
                        </a:prstGeom>
                        <a:solidFill>
                          <a:srgbClr val="CCECFF"/>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DD2F42" w14:textId="77777777" w:rsidR="00D739C9"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 xml:space="preserve">Protection against discrimination </w:t>
                            </w:r>
                            <w:r>
                              <w:rPr>
                                <w:rFonts w:cs="Times New Roman"/>
                                <w:b/>
                                <w:color w:val="000000" w:themeColor="text1"/>
                                <w:sz w:val="28"/>
                                <w:szCs w:val="28"/>
                                <w:lang w:val="en-US"/>
                              </w:rPr>
                              <w:t xml:space="preserve">– </w:t>
                            </w:r>
                          </w:p>
                          <w:p w14:paraId="589C761E" w14:textId="0555FD25"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Article 5 CRPD</w:t>
                            </w:r>
                          </w:p>
                          <w:p w14:paraId="237CC256" w14:textId="5B7B97F0" w:rsidR="00D739C9" w:rsidRPr="00F1374A" w:rsidRDefault="00D739C9" w:rsidP="005D3D06">
                            <w:pPr>
                              <w:rPr>
                                <w:color w:val="000000" w:themeColor="text1"/>
                                <w:lang w:val="en-US"/>
                              </w:rPr>
                            </w:pPr>
                            <w:r w:rsidRPr="005C7271">
                              <w:rPr>
                                <w:rFonts w:cs="Times New Roman"/>
                                <w:color w:val="000000" w:themeColor="text1"/>
                                <w:lang w:val="en-US"/>
                              </w:rPr>
                              <w:t xml:space="preserve">Insufficient protection of PWD from </w:t>
                            </w:r>
                            <w:r w:rsidRPr="005C7271">
                              <w:rPr>
                                <w:rFonts w:cs="Times New Roman"/>
                                <w:b/>
                                <w:color w:val="000000" w:themeColor="text1"/>
                                <w:lang w:val="en-US"/>
                              </w:rPr>
                              <w:t xml:space="preserve">discrimination by private </w:t>
                            </w:r>
                            <w:r>
                              <w:rPr>
                                <w:rFonts w:cs="Times New Roman"/>
                                <w:b/>
                                <w:color w:val="000000" w:themeColor="text1"/>
                                <w:lang w:val="en-US"/>
                              </w:rPr>
                              <w:t>entities</w:t>
                            </w:r>
                            <w:r w:rsidRPr="005C7271">
                              <w:rPr>
                                <w:rFonts w:cs="Times New Roman"/>
                                <w:color w:val="000000" w:themeColor="text1"/>
                                <w:lang w:val="en-US"/>
                              </w:rPr>
                              <w:t xml:space="preserve">. </w:t>
                            </w:r>
                            <w:r w:rsidRPr="00F1374A">
                              <w:rPr>
                                <w:rFonts w:cs="Times New Roman"/>
                                <w:color w:val="000000" w:themeColor="text1"/>
                                <w:lang w:val="en-US"/>
                              </w:rPr>
                              <w:t xml:space="preserve">(p. </w:t>
                            </w:r>
                            <w:r w:rsidRPr="00FD7D21">
                              <w:rPr>
                                <w:rFonts w:cs="Times New Roman"/>
                                <w:color w:val="000000" w:themeColor="text1"/>
                              </w:rPr>
                              <w:fldChar w:fldCharType="begin"/>
                            </w:r>
                            <w:r w:rsidRPr="00F1374A">
                              <w:rPr>
                                <w:rFonts w:cs="Times New Roman"/>
                                <w:color w:val="000000" w:themeColor="text1"/>
                                <w:lang w:val="en-US"/>
                              </w:rPr>
                              <w:instrText xml:space="preserve"> PAGEREF _Ref15829389 </w:instrText>
                            </w:r>
                            <w:r w:rsidRPr="00FD7D21">
                              <w:rPr>
                                <w:rFonts w:cs="Times New Roman"/>
                                <w:color w:val="000000" w:themeColor="text1"/>
                              </w:rPr>
                              <w:fldChar w:fldCharType="separate"/>
                            </w:r>
                            <w:r w:rsidR="003979FB">
                              <w:rPr>
                                <w:rFonts w:cs="Times New Roman"/>
                                <w:noProof/>
                                <w:color w:val="000000" w:themeColor="text1"/>
                                <w:lang w:val="en-US"/>
                              </w:rPr>
                              <w:t>10</w:t>
                            </w:r>
                            <w:r w:rsidRPr="00FD7D21">
                              <w:rPr>
                                <w:rFonts w:cs="Times New Roman"/>
                                <w:color w:val="000000" w:themeColor="text1"/>
                              </w:rPr>
                              <w:fldChar w:fldCharType="end"/>
                            </w:r>
                            <w:r w:rsidRPr="00F1374A">
                              <w:rPr>
                                <w:rFonts w:cs="Times New Roman"/>
                                <w:color w:val="000000" w:themeColor="text1"/>
                                <w:lang w:val="en-US"/>
                              </w:rPr>
                              <w:t xml:space="preserve"> 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4DF2AB8F" id="Abgerundetes Rechteck 10" o:spid="_x0000_s1027" alt="Titel: Box with eight of 8 most important shortcomings - Beschreibung: Blue box with the following content: &#10;&#10;Protection against discrimination Ar-ticle 5 CRPD&#10;Insufficient protection of PWD from discrimina-tion by private individuals. (p. 9 f.)&#10;&#10;" style="position:absolute;margin-left:67.55pt;margin-top:549.45pt;width:303.25pt;height:10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" fillcolor="#ccecff" strokecolor="#bdd6ee [1300]" strokeweight="1pt">
                <v:stroke joinstyle="miter"/>
                <v:textbox>
                  <w:txbxContent>
                    <w:p w14:paraId="4EDD2F42" w14:textId="77777777" w:rsidR="00D739C9"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 xml:space="preserve">Protection against discrimination </w:t>
                      </w:r>
                      <w:r>
                        <w:rPr>
                          <w:rFonts w:cs="Times New Roman"/>
                          <w:b/>
                          <w:color w:val="000000" w:themeColor="text1"/>
                          <w:sz w:val="28"/>
                          <w:szCs w:val="28"/>
                          <w:lang w:val="en-US"/>
                        </w:rPr>
                        <w:t xml:space="preserve">– </w:t>
                      </w:r>
                    </w:p>
                    <w:p w14:paraId="589C761E" w14:textId="0555FD25"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Article 5 CRPD</w:t>
                      </w:r>
                    </w:p>
                    <w:p w14:paraId="237CC256" w14:textId="5B7B97F0" w:rsidR="00D739C9" w:rsidRPr="00F1374A" w:rsidRDefault="00D739C9" w:rsidP="005D3D06">
                      <w:pPr>
                        <w:rPr>
                          <w:color w:val="000000" w:themeColor="text1"/>
                          <w:lang w:val="en-US"/>
                        </w:rPr>
                      </w:pPr>
                      <w:r w:rsidRPr="005C7271">
                        <w:rPr>
                          <w:rFonts w:cs="Times New Roman"/>
                          <w:color w:val="000000" w:themeColor="text1"/>
                          <w:lang w:val="en-US"/>
                        </w:rPr>
                        <w:t xml:space="preserve">Insufficient protection of PWD from </w:t>
                      </w:r>
                      <w:r w:rsidRPr="005C7271">
                        <w:rPr>
                          <w:rFonts w:cs="Times New Roman"/>
                          <w:b/>
                          <w:color w:val="000000" w:themeColor="text1"/>
                          <w:lang w:val="en-US"/>
                        </w:rPr>
                        <w:t xml:space="preserve">discrimination by private </w:t>
                      </w:r>
                      <w:r>
                        <w:rPr>
                          <w:rFonts w:cs="Times New Roman"/>
                          <w:b/>
                          <w:color w:val="000000" w:themeColor="text1"/>
                          <w:lang w:val="en-US"/>
                        </w:rPr>
                        <w:t>entities</w:t>
                      </w:r>
                      <w:r w:rsidRPr="005C7271">
                        <w:rPr>
                          <w:rFonts w:cs="Times New Roman"/>
                          <w:color w:val="000000" w:themeColor="text1"/>
                          <w:lang w:val="en-US"/>
                        </w:rPr>
                        <w:t xml:space="preserve">. </w:t>
                      </w:r>
                      <w:r w:rsidRPr="00F1374A">
                        <w:rPr>
                          <w:rFonts w:cs="Times New Roman"/>
                          <w:color w:val="000000" w:themeColor="text1"/>
                          <w:lang w:val="en-US"/>
                        </w:rPr>
                        <w:t xml:space="preserve">(p. </w:t>
                      </w:r>
                      <w:r w:rsidRPr="00FD7D21">
                        <w:rPr>
                          <w:rFonts w:cs="Times New Roman"/>
                          <w:color w:val="000000" w:themeColor="text1"/>
                        </w:rPr>
                        <w:fldChar w:fldCharType="begin"/>
                      </w:r>
                      <w:r w:rsidRPr="00F1374A">
                        <w:rPr>
                          <w:rFonts w:cs="Times New Roman"/>
                          <w:color w:val="000000" w:themeColor="text1"/>
                          <w:lang w:val="en-US"/>
                        </w:rPr>
                        <w:instrText xml:space="preserve"> PAGEREF _Ref15829389 </w:instrText>
                      </w:r>
                      <w:r w:rsidRPr="00FD7D21">
                        <w:rPr>
                          <w:rFonts w:cs="Times New Roman"/>
                          <w:color w:val="000000" w:themeColor="text1"/>
                        </w:rPr>
                        <w:fldChar w:fldCharType="separate"/>
                      </w:r>
                      <w:r w:rsidR="003979FB">
                        <w:rPr>
                          <w:rFonts w:cs="Times New Roman"/>
                          <w:noProof/>
                          <w:color w:val="000000" w:themeColor="text1"/>
                          <w:lang w:val="en-US"/>
                        </w:rPr>
                        <w:t>10</w:t>
                      </w:r>
                      <w:r w:rsidRPr="00FD7D21">
                        <w:rPr>
                          <w:rFonts w:cs="Times New Roman"/>
                          <w:color w:val="000000" w:themeColor="text1"/>
                        </w:rPr>
                        <w:fldChar w:fldCharType="end"/>
                      </w:r>
                      <w:r w:rsidRPr="00F1374A">
                        <w:rPr>
                          <w:rFonts w:cs="Times New Roman"/>
                          <w:color w:val="000000" w:themeColor="text1"/>
                          <w:lang w:val="en-US"/>
                        </w:rPr>
                        <w:t xml:space="preserve"> f.)</w:t>
                      </w:r>
                    </w:p>
                  </w:txbxContent>
                </v:textbox>
                <w10:wrap anchorx="margin"/>
              </v:roundrect>
            </w:pict>
          </mc:Fallback>
        </mc:AlternateContent>
      </w:r>
      <w:r w:rsidRPr="0001096E">
        <w:rPr>
          <w:noProof/>
          <w:lang w:val="en-GB" w:eastAsia="en-GB"/>
        </w:rPr>
        <mc:AlternateContent>
          <mc:Choice Requires="wps">
            <w:drawing>
              <wp:anchor distT="0" distB="0" distL="114300" distR="114300" simplePos="0" relativeHeight="251662336" behindDoc="0" locked="0" layoutInCell="1" allowOverlap="1" wp14:anchorId="53D7A733" wp14:editId="396ADEF9">
                <wp:simplePos x="0" y="0"/>
                <wp:positionH relativeFrom="margin">
                  <wp:posOffset>2759612</wp:posOffset>
                </wp:positionH>
                <wp:positionV relativeFrom="paragraph">
                  <wp:posOffset>3593123</wp:posOffset>
                </wp:positionV>
                <wp:extent cx="3807802" cy="1310005"/>
                <wp:effectExtent l="0" t="0" r="21590" b="23495"/>
                <wp:wrapNone/>
                <wp:docPr id="7" name="Abgerundetes Rechteck 7" descr="Lila box with the following content:&#10;&#10;Work and employment – Article 27 CRPD&#10;No inclusive labour market; No protection against discrimination in the private sector workplace. (p. 55 ff.)&#10;&#10;&#10;" title="Box with fifth of 8 most important shortcomings"/>
                <wp:cNvGraphicFramePr/>
                <a:graphic xmlns:a="http://schemas.openxmlformats.org/drawingml/2006/main">
                  <a:graphicData uri="http://schemas.microsoft.com/office/word/2010/wordprocessingShape">
                    <wps:wsp>
                      <wps:cNvSpPr/>
                      <wps:spPr>
                        <a:xfrm>
                          <a:off x="0" y="0"/>
                          <a:ext cx="3807802" cy="1310005"/>
                        </a:xfrm>
                        <a:prstGeom prst="roundRect">
                          <a:avLst/>
                        </a:prstGeom>
                        <a:solidFill>
                          <a:srgbClr val="CC99FF"/>
                        </a:solidFill>
                        <a:ln>
                          <a:solidFill>
                            <a:srgbClr val="CC99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93E86D"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Work and employment – Article 27 CRPD</w:t>
                            </w:r>
                          </w:p>
                          <w:p w14:paraId="280C37B5" w14:textId="4989AA5F" w:rsidR="00D739C9" w:rsidRPr="000C0621" w:rsidRDefault="00D739C9" w:rsidP="005D3D06">
                            <w:pPr>
                              <w:rPr>
                                <w:rFonts w:cs="Times New Roman"/>
                                <w:color w:val="000000" w:themeColor="text1"/>
                              </w:rPr>
                            </w:pPr>
                            <w:r w:rsidRPr="005C7271">
                              <w:rPr>
                                <w:rFonts w:cs="Times New Roman"/>
                                <w:color w:val="000000" w:themeColor="text1"/>
                                <w:lang w:val="en-US"/>
                              </w:rPr>
                              <w:t xml:space="preserve">No </w:t>
                            </w:r>
                            <w:r w:rsidRPr="005C7271">
                              <w:rPr>
                                <w:rFonts w:cs="Times New Roman"/>
                                <w:b/>
                                <w:color w:val="000000" w:themeColor="text1"/>
                                <w:lang w:val="en-US"/>
                              </w:rPr>
                              <w:t>inclusive labour market</w:t>
                            </w:r>
                            <w:r w:rsidRPr="005C7271">
                              <w:rPr>
                                <w:rFonts w:cs="Times New Roman"/>
                                <w:color w:val="000000" w:themeColor="text1"/>
                                <w:lang w:val="en-US"/>
                              </w:rPr>
                              <w:t xml:space="preserve">; No </w:t>
                            </w:r>
                            <w:r w:rsidRPr="005C7271">
                              <w:rPr>
                                <w:rFonts w:cs="Times New Roman"/>
                                <w:b/>
                                <w:color w:val="000000" w:themeColor="text1"/>
                                <w:lang w:val="en-US"/>
                              </w:rPr>
                              <w:t>protection against discrimination</w:t>
                            </w:r>
                            <w:r w:rsidRPr="005C7271">
                              <w:rPr>
                                <w:rFonts w:cs="Times New Roman"/>
                                <w:color w:val="000000" w:themeColor="text1"/>
                                <w:lang w:val="en-US"/>
                              </w:rPr>
                              <w:t xml:space="preserve"> i</w:t>
                            </w:r>
                            <w:r>
                              <w:rPr>
                                <w:rFonts w:cs="Times New Roman"/>
                                <w:color w:val="000000" w:themeColor="text1"/>
                                <w:lang w:val="en-US"/>
                              </w:rPr>
                              <w:t xml:space="preserve">n the private sector workplace. </w:t>
                            </w:r>
                            <w:r>
                              <w:rPr>
                                <w:rFonts w:cs="Times New Roman"/>
                                <w:color w:val="000000" w:themeColor="text1"/>
                              </w:rPr>
                              <w:t>(p. 55 ff.</w:t>
                            </w:r>
                            <w:r w:rsidRPr="00FF4C21">
                              <w:rPr>
                                <w:rFonts w:cs="Times New Roman"/>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53D7A733" id="Abgerundetes Rechteck 7" o:spid="_x0000_s1028" alt="Titel: Box with fifth of 8 most important shortcomings - Beschreibung: Lila box with the following content:&#10;&#10;Work and employment – Article 27 CRPD&#10;No inclusive labour market; No protection against discrimination in the private sector workplace. (p. 55 ff.)&#10;&#10;&#10;" style="position:absolute;margin-left:217.3pt;margin-top:282.9pt;width:299.85pt;height:103.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" fillcolor="#c9f" strokecolor="#c9f" strokeweight="1pt">
                <v:stroke joinstyle="miter"/>
                <v:textbox>
                  <w:txbxContent>
                    <w:p w14:paraId="0993E86D"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Work and employment – Article 27 CRPD</w:t>
                      </w:r>
                    </w:p>
                    <w:p w14:paraId="280C37B5" w14:textId="4989AA5F" w:rsidR="00D739C9" w:rsidRPr="000C0621" w:rsidRDefault="00D739C9" w:rsidP="005D3D06">
                      <w:pPr>
                        <w:rPr>
                          <w:rFonts w:cs="Times New Roman"/>
                          <w:color w:val="000000" w:themeColor="text1"/>
                        </w:rPr>
                      </w:pPr>
                      <w:r w:rsidRPr="005C7271">
                        <w:rPr>
                          <w:rFonts w:cs="Times New Roman"/>
                          <w:color w:val="000000" w:themeColor="text1"/>
                          <w:lang w:val="en-US"/>
                        </w:rPr>
                        <w:t xml:space="preserve">No </w:t>
                      </w:r>
                      <w:r w:rsidRPr="005C7271">
                        <w:rPr>
                          <w:rFonts w:cs="Times New Roman"/>
                          <w:b/>
                          <w:color w:val="000000" w:themeColor="text1"/>
                          <w:lang w:val="en-US"/>
                        </w:rPr>
                        <w:t>inclusive labour market</w:t>
                      </w:r>
                      <w:r w:rsidRPr="005C7271">
                        <w:rPr>
                          <w:rFonts w:cs="Times New Roman"/>
                          <w:color w:val="000000" w:themeColor="text1"/>
                          <w:lang w:val="en-US"/>
                        </w:rPr>
                        <w:t xml:space="preserve">; No </w:t>
                      </w:r>
                      <w:r w:rsidRPr="005C7271">
                        <w:rPr>
                          <w:rFonts w:cs="Times New Roman"/>
                          <w:b/>
                          <w:color w:val="000000" w:themeColor="text1"/>
                          <w:lang w:val="en-US"/>
                        </w:rPr>
                        <w:t>protection against discrimination</w:t>
                      </w:r>
                      <w:r w:rsidRPr="005C7271">
                        <w:rPr>
                          <w:rFonts w:cs="Times New Roman"/>
                          <w:color w:val="000000" w:themeColor="text1"/>
                          <w:lang w:val="en-US"/>
                        </w:rPr>
                        <w:t xml:space="preserve"> i</w:t>
                      </w:r>
                      <w:r>
                        <w:rPr>
                          <w:rFonts w:cs="Times New Roman"/>
                          <w:color w:val="000000" w:themeColor="text1"/>
                          <w:lang w:val="en-US"/>
                        </w:rPr>
                        <w:t xml:space="preserve">n the private sector workplace. </w:t>
                      </w:r>
                      <w:r>
                        <w:rPr>
                          <w:rFonts w:cs="Times New Roman"/>
                          <w:color w:val="000000" w:themeColor="text1"/>
                        </w:rPr>
                        <w:t>(p. 55 ff.</w:t>
                      </w:r>
                      <w:r w:rsidRPr="00FF4C21">
                        <w:rPr>
                          <w:rFonts w:cs="Times New Roman"/>
                          <w:color w:val="000000" w:themeColor="text1"/>
                        </w:rPr>
                        <w:t>)</w:t>
                      </w:r>
                    </w:p>
                  </w:txbxContent>
                </v:textbox>
                <w10:wrap anchorx="margin"/>
              </v:roundrect>
            </w:pict>
          </mc:Fallback>
        </mc:AlternateContent>
      </w:r>
      <w:r w:rsidR="0094135C" w:rsidRPr="0001096E">
        <w:rPr>
          <w:noProof/>
          <w:lang w:val="en-GB" w:eastAsia="en-GB"/>
        </w:rPr>
        <mc:AlternateContent>
          <mc:Choice Requires="wps">
            <w:drawing>
              <wp:anchor distT="0" distB="0" distL="114300" distR="114300" simplePos="0" relativeHeight="251668480" behindDoc="0" locked="0" layoutInCell="1" allowOverlap="1" wp14:anchorId="7CBC92E4" wp14:editId="05D30A01">
                <wp:simplePos x="0" y="0"/>
                <wp:positionH relativeFrom="page">
                  <wp:posOffset>3833446</wp:posOffset>
                </wp:positionH>
                <wp:positionV relativeFrom="paragraph">
                  <wp:posOffset>5008685</wp:posOffset>
                </wp:positionV>
                <wp:extent cx="3552092" cy="1873250"/>
                <wp:effectExtent l="0" t="0" r="10795" b="12700"/>
                <wp:wrapNone/>
                <wp:docPr id="1" name="Abgerundetes Rechteck 1" descr="Dark yellow box with the following content: &#10;&#10;Access to justice – Article 13 CRPD&#10;Administrative and judicial proceed-ings are often inaccessible; discrimina-tion against people &quot;lacking capacity of judgement&quot;; significant financial risks associated with litigation; lack of oppor-tunity to lodge a complaint with the CRPD Committee (optional protocol). (p. 23 ff.)" title="Box with seventh of 8 most important shortcomings"/>
                <wp:cNvGraphicFramePr/>
                <a:graphic xmlns:a="http://schemas.openxmlformats.org/drawingml/2006/main">
                  <a:graphicData uri="http://schemas.microsoft.com/office/word/2010/wordprocessingShape">
                    <wps:wsp>
                      <wps:cNvSpPr/>
                      <wps:spPr>
                        <a:xfrm>
                          <a:off x="0" y="0"/>
                          <a:ext cx="3552092" cy="1873250"/>
                        </a:xfrm>
                        <a:prstGeom prst="roundRect">
                          <a:avLst/>
                        </a:prstGeom>
                        <a:solidFill>
                          <a:srgbClr val="CCFF33">
                            <a:alpha val="69804"/>
                          </a:srgbClr>
                        </a:solidFill>
                        <a:ln>
                          <a:solidFill>
                            <a:srgbClr val="CCFF3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36523F"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Access to justice – Article 13 CRPD</w:t>
                            </w:r>
                          </w:p>
                          <w:p w14:paraId="34FE33F9" w14:textId="2B23B75A" w:rsidR="00D739C9" w:rsidRPr="00AF697E" w:rsidRDefault="00D739C9" w:rsidP="005D3D06">
                            <w:pPr>
                              <w:rPr>
                                <w:rFonts w:cs="Times New Roman"/>
                                <w:color w:val="000000" w:themeColor="text1"/>
                                <w:lang w:val="en-US"/>
                              </w:rPr>
                            </w:pPr>
                            <w:r w:rsidRPr="005C7271">
                              <w:rPr>
                                <w:rFonts w:cs="Times New Roman"/>
                                <w:b/>
                                <w:color w:val="000000" w:themeColor="text1"/>
                                <w:lang w:val="en-US"/>
                              </w:rPr>
                              <w:t>Administrative and judicial proceedings</w:t>
                            </w:r>
                            <w:r w:rsidRPr="005C7271">
                              <w:rPr>
                                <w:rFonts w:cs="Times New Roman"/>
                                <w:color w:val="000000" w:themeColor="text1"/>
                                <w:lang w:val="en-US"/>
                              </w:rPr>
                              <w:t xml:space="preserve"> are often inaccessible; </w:t>
                            </w:r>
                            <w:r w:rsidRPr="005C7271">
                              <w:rPr>
                                <w:rFonts w:cs="Times New Roman"/>
                                <w:b/>
                                <w:color w:val="000000" w:themeColor="text1"/>
                                <w:lang w:val="en-US"/>
                              </w:rPr>
                              <w:t>discrimination</w:t>
                            </w:r>
                            <w:r w:rsidRPr="005C7271">
                              <w:rPr>
                                <w:rFonts w:cs="Times New Roman"/>
                                <w:color w:val="000000" w:themeColor="text1"/>
                                <w:lang w:val="en-US"/>
                              </w:rPr>
                              <w:t xml:space="preserve"> against</w:t>
                            </w:r>
                            <w:r w:rsidR="00AF697E">
                              <w:rPr>
                                <w:rFonts w:cs="Times New Roman"/>
                                <w:color w:val="000000" w:themeColor="text1"/>
                                <w:lang w:val="en-US"/>
                              </w:rPr>
                              <w:t xml:space="preserve"> persons</w:t>
                            </w:r>
                            <w:r w:rsidRPr="005C7271">
                              <w:rPr>
                                <w:rFonts w:cs="Times New Roman"/>
                                <w:color w:val="000000" w:themeColor="text1"/>
                                <w:lang w:val="en-US"/>
                              </w:rPr>
                              <w:t xml:space="preserve"> </w:t>
                            </w:r>
                            <w:r w:rsidR="00AF697E">
                              <w:rPr>
                                <w:rFonts w:cs="Times New Roman"/>
                                <w:color w:val="000000" w:themeColor="text1"/>
                                <w:lang w:val="en-US"/>
                              </w:rPr>
                              <w:t>“</w:t>
                            </w:r>
                            <w:r w:rsidRPr="005C7271">
                              <w:rPr>
                                <w:rFonts w:cs="Times New Roman"/>
                                <w:color w:val="000000" w:themeColor="text1"/>
                                <w:lang w:val="en-US"/>
                              </w:rPr>
                              <w:t>lacking capacity of judgement</w:t>
                            </w:r>
                            <w:r w:rsidR="00AF697E">
                              <w:rPr>
                                <w:rFonts w:cs="Times New Roman"/>
                                <w:color w:val="000000" w:themeColor="text1"/>
                                <w:lang w:val="en-US"/>
                              </w:rPr>
                              <w:t>”</w:t>
                            </w:r>
                            <w:r w:rsidRPr="005C7271">
                              <w:rPr>
                                <w:rFonts w:cs="Times New Roman"/>
                                <w:color w:val="000000" w:themeColor="text1"/>
                                <w:lang w:val="en-US"/>
                              </w:rPr>
                              <w:t xml:space="preserve">; significant </w:t>
                            </w:r>
                            <w:r w:rsidRPr="005C7271">
                              <w:rPr>
                                <w:rFonts w:cs="Times New Roman"/>
                                <w:b/>
                                <w:color w:val="000000" w:themeColor="text1"/>
                                <w:lang w:val="en-US"/>
                              </w:rPr>
                              <w:t>financial risks</w:t>
                            </w:r>
                            <w:r w:rsidRPr="005C7271">
                              <w:rPr>
                                <w:rFonts w:cs="Times New Roman"/>
                                <w:color w:val="000000" w:themeColor="text1"/>
                                <w:lang w:val="en-US"/>
                              </w:rPr>
                              <w:t xml:space="preserve"> associated with litigation; lack of opportunity to lodge a complaint with the CRPD Committee (optional protocol). </w:t>
                            </w:r>
                            <w:r w:rsidRPr="00AF697E">
                              <w:rPr>
                                <w:rFonts w:cs="Times New Roman"/>
                                <w:color w:val="000000" w:themeColor="text1"/>
                                <w:lang w:val="en-US"/>
                              </w:rPr>
                              <w:t xml:space="preserve">(p. </w:t>
                            </w:r>
                            <w:r>
                              <w:rPr>
                                <w:rFonts w:cs="Times New Roman"/>
                                <w:color w:val="000000" w:themeColor="text1"/>
                              </w:rPr>
                              <w:fldChar w:fldCharType="begin"/>
                            </w:r>
                            <w:r w:rsidRPr="00AF697E">
                              <w:rPr>
                                <w:rFonts w:cs="Times New Roman"/>
                                <w:color w:val="000000" w:themeColor="text1"/>
                                <w:lang w:val="en-US"/>
                              </w:rPr>
                              <w:instrText xml:space="preserve"> PAGEREF _Ref91239977 \h </w:instrText>
                            </w:r>
                            <w:r>
                              <w:rPr>
                                <w:rFonts w:cs="Times New Roman"/>
                                <w:color w:val="000000" w:themeColor="text1"/>
                              </w:rPr>
                            </w:r>
                            <w:r>
                              <w:rPr>
                                <w:rFonts w:cs="Times New Roman"/>
                                <w:color w:val="000000" w:themeColor="text1"/>
                                <w:highlight w:val="red"/>
                              </w:rPr>
                              <w:fldChar w:fldCharType="separate"/>
                            </w:r>
                            <w:r w:rsidR="003979FB">
                              <w:rPr>
                                <w:rFonts w:cs="Times New Roman"/>
                                <w:noProof/>
                                <w:color w:val="000000" w:themeColor="text1"/>
                                <w:lang w:val="en-US"/>
                              </w:rPr>
                              <w:t>25</w:t>
                            </w:r>
                            <w:r>
                              <w:rPr>
                                <w:rFonts w:cs="Times New Roman"/>
                                <w:color w:val="000000" w:themeColor="text1"/>
                                <w:highlight w:val="red"/>
                              </w:rPr>
                              <w:fldChar w:fldCharType="end"/>
                            </w:r>
                            <w:r w:rsidRPr="00AF697E">
                              <w:rPr>
                                <w:rFonts w:cs="Times New Roman"/>
                                <w:color w:val="000000" w:themeColor="text1"/>
                                <w:lang w:val="en-US"/>
                              </w:rPr>
                              <w:t xml:space="preserve"> ff.)</w:t>
                            </w:r>
                          </w:p>
                          <w:p w14:paraId="5E6228FC" w14:textId="2F370E8F" w:rsidR="00D739C9" w:rsidRPr="00AF697E" w:rsidRDefault="00D739C9" w:rsidP="00AA0F94">
                            <w:pPr>
                              <w:jc w:val="center"/>
                              <w:rPr>
                                <w:rFonts w:cs="Times New Roman"/>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7CBC92E4" id="Abgerundetes Rechteck 1" o:spid="_x0000_s1029" alt="Titel: Box with seventh of 8 most important shortcomings - Beschreibung: Dark yellow box with the following content: &#10;&#10;Access to justice – Article 13 CRPD&#10;Administrative and judicial proceed-ings are often inaccessible; discrimina-tion against people &quot;lacking capacity of judgement&quot;; significant financial risks associated with litigation; lack of oppor-tunity to lodge a complaint with the CRPD Committee (optional protocol). (p. 23 ff.)" style="position:absolute;margin-left:301.85pt;margin-top:394.4pt;width:279.7pt;height:14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" fillcolor="#cf3" strokecolor="#cf3" strokeweight="1pt">
                <v:fill opacity="45746f"/>
                <v:stroke joinstyle="miter"/>
                <v:textbox>
                  <w:txbxContent>
                    <w:p w14:paraId="6E36523F"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Access to justice – Article 13 CRPD</w:t>
                      </w:r>
                    </w:p>
                    <w:p w14:paraId="34FE33F9" w14:textId="2B23B75A" w:rsidR="00D739C9" w:rsidRPr="00AF697E" w:rsidRDefault="00D739C9" w:rsidP="005D3D06">
                      <w:pPr>
                        <w:rPr>
                          <w:rFonts w:cs="Times New Roman"/>
                          <w:color w:val="000000" w:themeColor="text1"/>
                          <w:lang w:val="en-US"/>
                        </w:rPr>
                      </w:pPr>
                      <w:r w:rsidRPr="005C7271">
                        <w:rPr>
                          <w:rFonts w:cs="Times New Roman"/>
                          <w:b/>
                          <w:color w:val="000000" w:themeColor="text1"/>
                          <w:lang w:val="en-US"/>
                        </w:rPr>
                        <w:t>Administrative and judicial proceedings</w:t>
                      </w:r>
                      <w:r w:rsidRPr="005C7271">
                        <w:rPr>
                          <w:rFonts w:cs="Times New Roman"/>
                          <w:color w:val="000000" w:themeColor="text1"/>
                          <w:lang w:val="en-US"/>
                        </w:rPr>
                        <w:t xml:space="preserve"> are often inaccessible; </w:t>
                      </w:r>
                      <w:r w:rsidRPr="005C7271">
                        <w:rPr>
                          <w:rFonts w:cs="Times New Roman"/>
                          <w:b/>
                          <w:color w:val="000000" w:themeColor="text1"/>
                          <w:lang w:val="en-US"/>
                        </w:rPr>
                        <w:t>discrimination</w:t>
                      </w:r>
                      <w:r w:rsidRPr="005C7271">
                        <w:rPr>
                          <w:rFonts w:cs="Times New Roman"/>
                          <w:color w:val="000000" w:themeColor="text1"/>
                          <w:lang w:val="en-US"/>
                        </w:rPr>
                        <w:t xml:space="preserve"> against</w:t>
                      </w:r>
                      <w:r w:rsidR="00AF697E">
                        <w:rPr>
                          <w:rFonts w:cs="Times New Roman"/>
                          <w:color w:val="000000" w:themeColor="text1"/>
                          <w:lang w:val="en-US"/>
                        </w:rPr>
                        <w:t xml:space="preserve"> persons</w:t>
                      </w:r>
                      <w:r w:rsidRPr="005C7271">
                        <w:rPr>
                          <w:rFonts w:cs="Times New Roman"/>
                          <w:color w:val="000000" w:themeColor="text1"/>
                          <w:lang w:val="en-US"/>
                        </w:rPr>
                        <w:t xml:space="preserve"> </w:t>
                      </w:r>
                      <w:r w:rsidR="00AF697E">
                        <w:rPr>
                          <w:rFonts w:cs="Times New Roman"/>
                          <w:color w:val="000000" w:themeColor="text1"/>
                          <w:lang w:val="en-US"/>
                        </w:rPr>
                        <w:t>“</w:t>
                      </w:r>
                      <w:r w:rsidRPr="005C7271">
                        <w:rPr>
                          <w:rFonts w:cs="Times New Roman"/>
                          <w:color w:val="000000" w:themeColor="text1"/>
                          <w:lang w:val="en-US"/>
                        </w:rPr>
                        <w:t>lacking capacity of judgement</w:t>
                      </w:r>
                      <w:r w:rsidR="00AF697E">
                        <w:rPr>
                          <w:rFonts w:cs="Times New Roman"/>
                          <w:color w:val="000000" w:themeColor="text1"/>
                          <w:lang w:val="en-US"/>
                        </w:rPr>
                        <w:t>”</w:t>
                      </w:r>
                      <w:r w:rsidRPr="005C7271">
                        <w:rPr>
                          <w:rFonts w:cs="Times New Roman"/>
                          <w:color w:val="000000" w:themeColor="text1"/>
                          <w:lang w:val="en-US"/>
                        </w:rPr>
                        <w:t xml:space="preserve">; significant </w:t>
                      </w:r>
                      <w:r w:rsidRPr="005C7271">
                        <w:rPr>
                          <w:rFonts w:cs="Times New Roman"/>
                          <w:b/>
                          <w:color w:val="000000" w:themeColor="text1"/>
                          <w:lang w:val="en-US"/>
                        </w:rPr>
                        <w:t>financial risks</w:t>
                      </w:r>
                      <w:r w:rsidRPr="005C7271">
                        <w:rPr>
                          <w:rFonts w:cs="Times New Roman"/>
                          <w:color w:val="000000" w:themeColor="text1"/>
                          <w:lang w:val="en-US"/>
                        </w:rPr>
                        <w:t xml:space="preserve"> associated with litigation; lack of opportunity to lodge a complaint with the CRPD Committee (optional protocol). </w:t>
                      </w:r>
                      <w:r w:rsidRPr="00AF697E">
                        <w:rPr>
                          <w:rFonts w:cs="Times New Roman"/>
                          <w:color w:val="000000" w:themeColor="text1"/>
                          <w:lang w:val="en-US"/>
                        </w:rPr>
                        <w:t xml:space="preserve">(p. </w:t>
                      </w:r>
                      <w:r>
                        <w:rPr>
                          <w:rFonts w:cs="Times New Roman"/>
                          <w:color w:val="000000" w:themeColor="text1"/>
                        </w:rPr>
                        <w:fldChar w:fldCharType="begin"/>
                      </w:r>
                      <w:r w:rsidRPr="00AF697E">
                        <w:rPr>
                          <w:rFonts w:cs="Times New Roman"/>
                          <w:color w:val="000000" w:themeColor="text1"/>
                          <w:lang w:val="en-US"/>
                        </w:rPr>
                        <w:instrText xml:space="preserve"> PAGEREF _Ref91239977 \h </w:instrText>
                      </w:r>
                      <w:r>
                        <w:rPr>
                          <w:rFonts w:cs="Times New Roman"/>
                          <w:color w:val="000000" w:themeColor="text1"/>
                        </w:rPr>
                      </w:r>
                      <w:r>
                        <w:rPr>
                          <w:rFonts w:cs="Times New Roman"/>
                          <w:color w:val="000000" w:themeColor="text1"/>
                          <w:highlight w:val="red"/>
                        </w:rPr>
                        <w:fldChar w:fldCharType="separate"/>
                      </w:r>
                      <w:r w:rsidR="003979FB">
                        <w:rPr>
                          <w:rFonts w:cs="Times New Roman"/>
                          <w:noProof/>
                          <w:color w:val="000000" w:themeColor="text1"/>
                          <w:lang w:val="en-US"/>
                        </w:rPr>
                        <w:t>25</w:t>
                      </w:r>
                      <w:r>
                        <w:rPr>
                          <w:rFonts w:cs="Times New Roman"/>
                          <w:color w:val="000000" w:themeColor="text1"/>
                          <w:highlight w:val="red"/>
                        </w:rPr>
                        <w:fldChar w:fldCharType="end"/>
                      </w:r>
                      <w:r w:rsidRPr="00AF697E">
                        <w:rPr>
                          <w:rFonts w:cs="Times New Roman"/>
                          <w:color w:val="000000" w:themeColor="text1"/>
                          <w:lang w:val="en-US"/>
                        </w:rPr>
                        <w:t xml:space="preserve"> ff.)</w:t>
                      </w:r>
                    </w:p>
                    <w:p w14:paraId="5E6228FC" w14:textId="2F370E8F" w:rsidR="00D739C9" w:rsidRPr="00AF697E" w:rsidRDefault="00D739C9" w:rsidP="00AA0F94">
                      <w:pPr>
                        <w:jc w:val="center"/>
                        <w:rPr>
                          <w:rFonts w:cs="Times New Roman"/>
                          <w:color w:val="000000" w:themeColor="text1"/>
                          <w:lang w:val="en-US"/>
                        </w:rPr>
                      </w:pPr>
                    </w:p>
                  </w:txbxContent>
                </v:textbox>
                <w10:wrap anchorx="page"/>
              </v:roundrect>
            </w:pict>
          </mc:Fallback>
        </mc:AlternateContent>
      </w:r>
      <w:r w:rsidR="0094135C" w:rsidRPr="0001096E">
        <w:rPr>
          <w:noProof/>
          <w:lang w:val="en-GB" w:eastAsia="en-GB"/>
        </w:rPr>
        <mc:AlternateContent>
          <mc:Choice Requires="wps">
            <w:drawing>
              <wp:anchor distT="0" distB="0" distL="114300" distR="114300" simplePos="0" relativeHeight="251666432" behindDoc="0" locked="0" layoutInCell="1" allowOverlap="1" wp14:anchorId="43F65AE2" wp14:editId="263BAE91">
                <wp:simplePos x="0" y="0"/>
                <wp:positionH relativeFrom="margin">
                  <wp:posOffset>-548738</wp:posOffset>
                </wp:positionH>
                <wp:positionV relativeFrom="paragraph">
                  <wp:posOffset>5122985</wp:posOffset>
                </wp:positionV>
                <wp:extent cx="3308350" cy="1406769"/>
                <wp:effectExtent l="0" t="0" r="25400" b="22225"/>
                <wp:wrapNone/>
                <wp:docPr id="12" name="Abgerundetes Rechteck 12" descr="Mint box with the following content: &#10;&#10;Political rights – Article 29 CRPD&#10;No political rights for persons with psychosocial or intellectual disabilities who are under a general deputyship or represented by an agent. (p. 22 ff.)" title="Box with sixth of 8 most important shortcomings"/>
                <wp:cNvGraphicFramePr/>
                <a:graphic xmlns:a="http://schemas.openxmlformats.org/drawingml/2006/main">
                  <a:graphicData uri="http://schemas.microsoft.com/office/word/2010/wordprocessingShape">
                    <wps:wsp>
                      <wps:cNvSpPr/>
                      <wps:spPr>
                        <a:xfrm>
                          <a:off x="0" y="0"/>
                          <a:ext cx="3308350" cy="1406769"/>
                        </a:xfrm>
                        <a:prstGeom prst="roundRect">
                          <a:avLst/>
                        </a:prstGeom>
                        <a:solidFill>
                          <a:srgbClr val="99FFCC"/>
                        </a:solidFill>
                        <a:ln>
                          <a:solidFill>
                            <a:srgbClr val="00FF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D539B0"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Political rights – Article 29 CRPD</w:t>
                            </w:r>
                          </w:p>
                          <w:p w14:paraId="47942BCA" w14:textId="4B64473E" w:rsidR="00D739C9" w:rsidRPr="00AD3D7A" w:rsidRDefault="00D739C9" w:rsidP="005D3D06">
                            <w:pPr>
                              <w:rPr>
                                <w:color w:val="000000" w:themeColor="text1"/>
                              </w:rPr>
                            </w:pPr>
                            <w:r w:rsidRPr="005C7271">
                              <w:rPr>
                                <w:rFonts w:cs="Times New Roman"/>
                                <w:color w:val="000000" w:themeColor="text1"/>
                                <w:lang w:val="en-US"/>
                              </w:rPr>
                              <w:t xml:space="preserve">No </w:t>
                            </w:r>
                            <w:r w:rsidRPr="005C7271">
                              <w:rPr>
                                <w:rFonts w:cs="Times New Roman"/>
                                <w:b/>
                                <w:color w:val="000000" w:themeColor="text1"/>
                                <w:lang w:val="en-US"/>
                              </w:rPr>
                              <w:t>political rights for persons with psychosocial or intellectual disabilities</w:t>
                            </w:r>
                            <w:r w:rsidRPr="005C7271">
                              <w:rPr>
                                <w:rFonts w:cs="Times New Roman"/>
                                <w:color w:val="000000" w:themeColor="text1"/>
                                <w:lang w:val="en-US"/>
                              </w:rPr>
                              <w:t xml:space="preserve"> who are under a general deputyship or represented by an agent. </w:t>
                            </w:r>
                            <w:r>
                              <w:rPr>
                                <w:rFonts w:cs="Times New Roman"/>
                                <w:color w:val="000000" w:themeColor="text1"/>
                              </w:rPr>
                              <w:t xml:space="preserve">(p. </w:t>
                            </w:r>
                            <w:r>
                              <w:rPr>
                                <w:rFonts w:cs="Times New Roman"/>
                                <w:color w:val="000000" w:themeColor="text1"/>
                              </w:rPr>
                              <w:fldChar w:fldCharType="begin"/>
                            </w:r>
                            <w:r>
                              <w:rPr>
                                <w:rFonts w:cs="Times New Roman"/>
                                <w:color w:val="000000" w:themeColor="text1"/>
                              </w:rPr>
                              <w:instrText xml:space="preserve"> PAGEREF _Ref95646174 \h </w:instrText>
                            </w:r>
                            <w:r>
                              <w:rPr>
                                <w:rFonts w:cs="Times New Roman"/>
                                <w:color w:val="000000" w:themeColor="text1"/>
                              </w:rPr>
                            </w:r>
                            <w:r>
                              <w:rPr>
                                <w:rFonts w:cs="Times New Roman"/>
                                <w:color w:val="000000" w:themeColor="text1"/>
                              </w:rPr>
                              <w:fldChar w:fldCharType="separate"/>
                            </w:r>
                            <w:r w:rsidR="003979FB">
                              <w:rPr>
                                <w:rFonts w:cs="Times New Roman"/>
                                <w:noProof/>
                                <w:color w:val="000000" w:themeColor="text1"/>
                              </w:rPr>
                              <w:t>58</w:t>
                            </w:r>
                            <w:r>
                              <w:rPr>
                                <w:rFonts w:cs="Times New Roman"/>
                                <w:color w:val="000000" w:themeColor="text1"/>
                              </w:rPr>
                              <w:fldChar w:fldCharType="end"/>
                            </w:r>
                            <w:r>
                              <w:rPr>
                                <w:rFonts w:cs="Times New Roman"/>
                                <w:color w:val="000000" w:themeColor="text1"/>
                              </w:rPr>
                              <w:t xml:space="preserve"> 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43F65AE2" id="Abgerundetes Rechteck 12" o:spid="_x0000_s1030" alt="Titel: Box with sixth of 8 most important shortcomings - Beschreibung: Mint box with the following content: &#10;&#10;Political rights – Article 29 CRPD&#10;No political rights for persons with psychosocial or intellectual disabilities who are under a general deputyship or represented by an agent. (p. 22 ff.)" style="position:absolute;margin-left:-43.2pt;margin-top:403.4pt;width:260.5pt;height:110.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" fillcolor="#9fc" strokecolor="#0f9" strokeweight="1pt">
                <v:stroke joinstyle="miter"/>
                <v:textbox>
                  <w:txbxContent>
                    <w:p w14:paraId="0FD539B0"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Political rights – Article 29 CRPD</w:t>
                      </w:r>
                    </w:p>
                    <w:p w14:paraId="47942BCA" w14:textId="4B64473E" w:rsidR="00D739C9" w:rsidRPr="00AD3D7A" w:rsidRDefault="00D739C9" w:rsidP="005D3D06">
                      <w:pPr>
                        <w:rPr>
                          <w:color w:val="000000" w:themeColor="text1"/>
                        </w:rPr>
                      </w:pPr>
                      <w:r w:rsidRPr="005C7271">
                        <w:rPr>
                          <w:rFonts w:cs="Times New Roman"/>
                          <w:color w:val="000000" w:themeColor="text1"/>
                          <w:lang w:val="en-US"/>
                        </w:rPr>
                        <w:t xml:space="preserve">No </w:t>
                      </w:r>
                      <w:r w:rsidRPr="005C7271">
                        <w:rPr>
                          <w:rFonts w:cs="Times New Roman"/>
                          <w:b/>
                          <w:color w:val="000000" w:themeColor="text1"/>
                          <w:lang w:val="en-US"/>
                        </w:rPr>
                        <w:t>political rights for persons with psychosocial or intellectual disabilities</w:t>
                      </w:r>
                      <w:r w:rsidRPr="005C7271">
                        <w:rPr>
                          <w:rFonts w:cs="Times New Roman"/>
                          <w:color w:val="000000" w:themeColor="text1"/>
                          <w:lang w:val="en-US"/>
                        </w:rPr>
                        <w:t xml:space="preserve"> who are under a general deputyship or represented by an agent. </w:t>
                      </w:r>
                      <w:r>
                        <w:rPr>
                          <w:rFonts w:cs="Times New Roman"/>
                          <w:color w:val="000000" w:themeColor="text1"/>
                        </w:rPr>
                        <w:t xml:space="preserve">(p. </w:t>
                      </w:r>
                      <w:r>
                        <w:rPr>
                          <w:rFonts w:cs="Times New Roman"/>
                          <w:color w:val="000000" w:themeColor="text1"/>
                        </w:rPr>
                        <w:fldChar w:fldCharType="begin"/>
                      </w:r>
                      <w:r>
                        <w:rPr>
                          <w:rFonts w:cs="Times New Roman"/>
                          <w:color w:val="000000" w:themeColor="text1"/>
                        </w:rPr>
                        <w:instrText xml:space="preserve"> PAGEREF _Ref95646174 \h </w:instrText>
                      </w:r>
                      <w:r>
                        <w:rPr>
                          <w:rFonts w:cs="Times New Roman"/>
                          <w:color w:val="000000" w:themeColor="text1"/>
                        </w:rPr>
                      </w:r>
                      <w:r>
                        <w:rPr>
                          <w:rFonts w:cs="Times New Roman"/>
                          <w:color w:val="000000" w:themeColor="text1"/>
                        </w:rPr>
                        <w:fldChar w:fldCharType="separate"/>
                      </w:r>
                      <w:r w:rsidR="003979FB">
                        <w:rPr>
                          <w:rFonts w:cs="Times New Roman"/>
                          <w:noProof/>
                          <w:color w:val="000000" w:themeColor="text1"/>
                        </w:rPr>
                        <w:t>58</w:t>
                      </w:r>
                      <w:r>
                        <w:rPr>
                          <w:rFonts w:cs="Times New Roman"/>
                          <w:color w:val="000000" w:themeColor="text1"/>
                        </w:rPr>
                        <w:fldChar w:fldCharType="end"/>
                      </w:r>
                      <w:r>
                        <w:rPr>
                          <w:rFonts w:cs="Times New Roman"/>
                          <w:color w:val="000000" w:themeColor="text1"/>
                        </w:rPr>
                        <w:t xml:space="preserve"> ff.)</w:t>
                      </w:r>
                    </w:p>
                  </w:txbxContent>
                </v:textbox>
                <w10:wrap anchorx="margin"/>
              </v:roundrect>
            </w:pict>
          </mc:Fallback>
        </mc:AlternateContent>
      </w:r>
      <w:r w:rsidR="0094135C" w:rsidRPr="0001096E">
        <w:rPr>
          <w:noProof/>
          <w:lang w:val="en-GB" w:eastAsia="en-GB"/>
        </w:rPr>
        <mc:AlternateContent>
          <mc:Choice Requires="wps">
            <w:drawing>
              <wp:anchor distT="0" distB="0" distL="114300" distR="114300" simplePos="0" relativeHeight="251664384" behindDoc="0" locked="0" layoutInCell="1" allowOverlap="1" wp14:anchorId="39EBD5F5" wp14:editId="1C2FCE0B">
                <wp:simplePos x="0" y="0"/>
                <wp:positionH relativeFrom="page">
                  <wp:posOffset>3833446</wp:posOffset>
                </wp:positionH>
                <wp:positionV relativeFrom="paragraph">
                  <wp:posOffset>1746738</wp:posOffset>
                </wp:positionV>
                <wp:extent cx="3381473" cy="1743075"/>
                <wp:effectExtent l="0" t="0" r="28575" b="28575"/>
                <wp:wrapNone/>
                <wp:docPr id="9" name="Abgerundetes Rechteck 9" descr="Green box with the following content:&#10;&#10;Independence – Article 19 CRPD&#10;No life in the community with equal choices for many PWD requiring support, including restrictions on choice of resi-dence and form of residence. (p. 32 ff.)" title="Box with third of 8 most important shortcomings"/>
                <wp:cNvGraphicFramePr/>
                <a:graphic xmlns:a="http://schemas.openxmlformats.org/drawingml/2006/main">
                  <a:graphicData uri="http://schemas.microsoft.com/office/word/2010/wordprocessingShape">
                    <wps:wsp>
                      <wps:cNvSpPr/>
                      <wps:spPr>
                        <a:xfrm>
                          <a:off x="0" y="0"/>
                          <a:ext cx="3381473" cy="1743075"/>
                        </a:xfrm>
                        <a:prstGeom prst="roundRect">
                          <a:avLst/>
                        </a:prstGeom>
                        <a:solidFill>
                          <a:schemeClr val="accent6">
                            <a:lumMod val="20000"/>
                            <a:lumOff val="80000"/>
                          </a:schemeClr>
                        </a:solidFill>
                        <a:ln>
                          <a:solidFill>
                            <a:schemeClr val="accent6">
                              <a:lumMod val="40000"/>
                              <a:lumOff val="60000"/>
                            </a:schemeClr>
                          </a:solidFill>
                        </a:ln>
                      </wps:spPr>
                      <wps:style>
                        <a:lnRef idx="2">
                          <a:schemeClr val="accent6"/>
                        </a:lnRef>
                        <a:fillRef idx="1">
                          <a:schemeClr val="lt1"/>
                        </a:fillRef>
                        <a:effectRef idx="0">
                          <a:schemeClr val="accent6"/>
                        </a:effectRef>
                        <a:fontRef idx="minor">
                          <a:schemeClr val="dk1"/>
                        </a:fontRef>
                      </wps:style>
                      <wps:txbx>
                        <w:txbxContent>
                          <w:p w14:paraId="3816A6A5" w14:textId="77777777" w:rsidR="00D739C9" w:rsidRPr="005C7271" w:rsidRDefault="00D739C9" w:rsidP="0094135C">
                            <w:pPr>
                              <w:jc w:val="center"/>
                              <w:rPr>
                                <w:rFonts w:cs="Times New Roman"/>
                                <w:b/>
                                <w:sz w:val="28"/>
                                <w:szCs w:val="28"/>
                                <w:lang w:val="en-US"/>
                              </w:rPr>
                            </w:pPr>
                            <w:r w:rsidRPr="005C7271">
                              <w:rPr>
                                <w:rFonts w:cs="Times New Roman"/>
                                <w:b/>
                                <w:sz w:val="28"/>
                                <w:szCs w:val="28"/>
                                <w:lang w:val="en-US"/>
                              </w:rPr>
                              <w:t>Independence – Article 19 CRPD</w:t>
                            </w:r>
                          </w:p>
                          <w:p w14:paraId="5B02D061" w14:textId="2D8717C2" w:rsidR="00D739C9" w:rsidRDefault="00D739C9" w:rsidP="005D3D06">
                            <w:r w:rsidRPr="005C7271">
                              <w:rPr>
                                <w:rFonts w:cs="Times New Roman"/>
                                <w:lang w:val="en-US"/>
                              </w:rPr>
                              <w:t xml:space="preserve">No life in the community with </w:t>
                            </w:r>
                            <w:r w:rsidRPr="005C7271">
                              <w:rPr>
                                <w:rFonts w:cs="Times New Roman"/>
                                <w:b/>
                                <w:lang w:val="en-US"/>
                              </w:rPr>
                              <w:t>equal choices</w:t>
                            </w:r>
                            <w:r w:rsidRPr="005C7271">
                              <w:rPr>
                                <w:rFonts w:cs="Times New Roman"/>
                                <w:lang w:val="en-US"/>
                              </w:rPr>
                              <w:t xml:space="preserve"> for many PWD requiring support, including restrictions on </w:t>
                            </w:r>
                            <w:r w:rsidRPr="005C7271">
                              <w:rPr>
                                <w:rFonts w:cs="Times New Roman"/>
                                <w:b/>
                                <w:lang w:val="en-US"/>
                              </w:rPr>
                              <w:t xml:space="preserve">choice of residence </w:t>
                            </w:r>
                            <w:r w:rsidRPr="005C7271">
                              <w:rPr>
                                <w:rFonts w:cs="Times New Roman"/>
                                <w:lang w:val="en-US"/>
                              </w:rPr>
                              <w:t xml:space="preserve">and </w:t>
                            </w:r>
                            <w:r w:rsidRPr="005C7271">
                              <w:rPr>
                                <w:rFonts w:cs="Times New Roman"/>
                                <w:b/>
                                <w:lang w:val="en-US"/>
                              </w:rPr>
                              <w:t>form of residence</w:t>
                            </w:r>
                            <w:r w:rsidRPr="005C7271">
                              <w:rPr>
                                <w:rFonts w:cs="Times New Roman"/>
                                <w:lang w:val="en-US"/>
                              </w:rPr>
                              <w:t xml:space="preserve">. </w:t>
                            </w:r>
                            <w:r>
                              <w:rPr>
                                <w:rFonts w:cs="Times New Roman"/>
                              </w:rPr>
                              <w:t xml:space="preserve">(p. </w:t>
                            </w:r>
                            <w:r>
                              <w:rPr>
                                <w:rFonts w:cs="Times New Roman"/>
                              </w:rPr>
                              <w:fldChar w:fldCharType="begin"/>
                            </w:r>
                            <w:r>
                              <w:rPr>
                                <w:rFonts w:cs="Times New Roman"/>
                              </w:rPr>
                              <w:instrText xml:space="preserve"> PAGEREF _Ref479169284 \h </w:instrText>
                            </w:r>
                            <w:r>
                              <w:rPr>
                                <w:rFonts w:cs="Times New Roman"/>
                              </w:rPr>
                            </w:r>
                            <w:r>
                              <w:rPr>
                                <w:rFonts w:cs="Times New Roman"/>
                                <w:highlight w:val="red"/>
                              </w:rPr>
                              <w:fldChar w:fldCharType="separate"/>
                            </w:r>
                            <w:r w:rsidR="003979FB">
                              <w:rPr>
                                <w:rFonts w:cs="Times New Roman"/>
                                <w:noProof/>
                              </w:rPr>
                              <w:t>35</w:t>
                            </w:r>
                            <w:r>
                              <w:rPr>
                                <w:rFonts w:cs="Times New Roman"/>
                                <w:highlight w:val="red"/>
                              </w:rPr>
                              <w:fldChar w:fldCharType="end"/>
                            </w:r>
                            <w:r>
                              <w:rPr>
                                <w:rFonts w:cs="Times New Roman"/>
                              </w:rPr>
                              <w:t xml:space="preserve"> 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39EBD5F5" id="Abgerundetes Rechteck 9" o:spid="_x0000_s1031" alt="Titel: Box with third of 8 most important shortcomings - Beschreibung: Green box with the following content:&#10;&#10;Independence – Article 19 CRPD&#10;No life in the community with equal choices for many PWD requiring support, including restrictions on choice of resi-dence and form of residence. (p. 32 ff.)" style="position:absolute;margin-left:301.85pt;margin-top:137.55pt;width:266.25pt;height:137.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" fillcolor="#e2efd9 [665]" strokecolor="#c5e0b3 [1305]" strokeweight="1pt">
                <v:stroke joinstyle="miter"/>
                <v:textbox>
                  <w:txbxContent>
                    <w:p w14:paraId="3816A6A5" w14:textId="77777777" w:rsidR="00D739C9" w:rsidRPr="005C7271" w:rsidRDefault="00D739C9" w:rsidP="0094135C">
                      <w:pPr>
                        <w:jc w:val="center"/>
                        <w:rPr>
                          <w:rFonts w:cs="Times New Roman"/>
                          <w:b/>
                          <w:sz w:val="28"/>
                          <w:szCs w:val="28"/>
                          <w:lang w:val="en-US"/>
                        </w:rPr>
                      </w:pPr>
                      <w:r w:rsidRPr="005C7271">
                        <w:rPr>
                          <w:rFonts w:cs="Times New Roman"/>
                          <w:b/>
                          <w:sz w:val="28"/>
                          <w:szCs w:val="28"/>
                          <w:lang w:val="en-US"/>
                        </w:rPr>
                        <w:t>Independence – Article 19 CRPD</w:t>
                      </w:r>
                    </w:p>
                    <w:p w14:paraId="5B02D061" w14:textId="2D8717C2" w:rsidR="00D739C9" w:rsidRDefault="00D739C9" w:rsidP="005D3D06">
                      <w:r w:rsidRPr="005C7271">
                        <w:rPr>
                          <w:rFonts w:cs="Times New Roman"/>
                          <w:lang w:val="en-US"/>
                        </w:rPr>
                        <w:t xml:space="preserve">No life in the community with </w:t>
                      </w:r>
                      <w:r w:rsidRPr="005C7271">
                        <w:rPr>
                          <w:rFonts w:cs="Times New Roman"/>
                          <w:b/>
                          <w:lang w:val="en-US"/>
                        </w:rPr>
                        <w:t>equal choices</w:t>
                      </w:r>
                      <w:r w:rsidRPr="005C7271">
                        <w:rPr>
                          <w:rFonts w:cs="Times New Roman"/>
                          <w:lang w:val="en-US"/>
                        </w:rPr>
                        <w:t xml:space="preserve"> for many PWD requiring support, including restrictions on </w:t>
                      </w:r>
                      <w:r w:rsidRPr="005C7271">
                        <w:rPr>
                          <w:rFonts w:cs="Times New Roman"/>
                          <w:b/>
                          <w:lang w:val="en-US"/>
                        </w:rPr>
                        <w:t xml:space="preserve">choice of residence </w:t>
                      </w:r>
                      <w:r w:rsidRPr="005C7271">
                        <w:rPr>
                          <w:rFonts w:cs="Times New Roman"/>
                          <w:lang w:val="en-US"/>
                        </w:rPr>
                        <w:t xml:space="preserve">and </w:t>
                      </w:r>
                      <w:r w:rsidRPr="005C7271">
                        <w:rPr>
                          <w:rFonts w:cs="Times New Roman"/>
                          <w:b/>
                          <w:lang w:val="en-US"/>
                        </w:rPr>
                        <w:t>form of residence</w:t>
                      </w:r>
                      <w:r w:rsidRPr="005C7271">
                        <w:rPr>
                          <w:rFonts w:cs="Times New Roman"/>
                          <w:lang w:val="en-US"/>
                        </w:rPr>
                        <w:t xml:space="preserve">. </w:t>
                      </w:r>
                      <w:r>
                        <w:rPr>
                          <w:rFonts w:cs="Times New Roman"/>
                        </w:rPr>
                        <w:t xml:space="preserve">(p. </w:t>
                      </w:r>
                      <w:r>
                        <w:rPr>
                          <w:rFonts w:cs="Times New Roman"/>
                        </w:rPr>
                        <w:fldChar w:fldCharType="begin"/>
                      </w:r>
                      <w:r>
                        <w:rPr>
                          <w:rFonts w:cs="Times New Roman"/>
                        </w:rPr>
                        <w:instrText xml:space="preserve"> PAGEREF _Ref479169284 \h </w:instrText>
                      </w:r>
                      <w:r>
                        <w:rPr>
                          <w:rFonts w:cs="Times New Roman"/>
                        </w:rPr>
                      </w:r>
                      <w:r>
                        <w:rPr>
                          <w:rFonts w:cs="Times New Roman"/>
                          <w:highlight w:val="red"/>
                        </w:rPr>
                        <w:fldChar w:fldCharType="separate"/>
                      </w:r>
                      <w:r w:rsidR="003979FB">
                        <w:rPr>
                          <w:rFonts w:cs="Times New Roman"/>
                          <w:noProof/>
                        </w:rPr>
                        <w:t>35</w:t>
                      </w:r>
                      <w:r>
                        <w:rPr>
                          <w:rFonts w:cs="Times New Roman"/>
                          <w:highlight w:val="red"/>
                        </w:rPr>
                        <w:fldChar w:fldCharType="end"/>
                      </w:r>
                      <w:r>
                        <w:rPr>
                          <w:rFonts w:cs="Times New Roman"/>
                        </w:rPr>
                        <w:t xml:space="preserve"> ff.)</w:t>
                      </w:r>
                    </w:p>
                  </w:txbxContent>
                </v:textbox>
                <w10:wrap anchorx="page"/>
              </v:roundrect>
            </w:pict>
          </mc:Fallback>
        </mc:AlternateContent>
      </w:r>
      <w:r w:rsidR="00AA0F94" w:rsidRPr="0001096E">
        <w:rPr>
          <w:noProof/>
          <w:lang w:val="en-GB" w:eastAsia="en-GB"/>
        </w:rPr>
        <mc:AlternateContent>
          <mc:Choice Requires="wps">
            <w:drawing>
              <wp:anchor distT="0" distB="0" distL="114300" distR="114300" simplePos="0" relativeHeight="251663360" behindDoc="0" locked="0" layoutInCell="1" allowOverlap="1" wp14:anchorId="1EBB79E2" wp14:editId="294734A5">
                <wp:simplePos x="0" y="0"/>
                <wp:positionH relativeFrom="margin">
                  <wp:posOffset>-553085</wp:posOffset>
                </wp:positionH>
                <wp:positionV relativeFrom="paragraph">
                  <wp:posOffset>3714750</wp:posOffset>
                </wp:positionV>
                <wp:extent cx="3136900" cy="1124585"/>
                <wp:effectExtent l="0" t="0" r="25400" b="18415"/>
                <wp:wrapNone/>
                <wp:docPr id="8" name="Abgerundetes Rechteck 8" descr="Yellow box with the following content:&#10;&#10;Education – Article 24 CRPD&#10;No inclusive education system, e.g., no inclusive vocational training system. (p. 44 ff.)&#10;" title="Box with fourth of 8 most important shortcomings"/>
                <wp:cNvGraphicFramePr/>
                <a:graphic xmlns:a="http://schemas.openxmlformats.org/drawingml/2006/main">
                  <a:graphicData uri="http://schemas.microsoft.com/office/word/2010/wordprocessingShape">
                    <wps:wsp>
                      <wps:cNvSpPr/>
                      <wps:spPr>
                        <a:xfrm>
                          <a:off x="0" y="0"/>
                          <a:ext cx="3136900" cy="1124585"/>
                        </a:xfrm>
                        <a:prstGeom prst="roundRect">
                          <a:avLst/>
                        </a:prstGeom>
                        <a:solidFill>
                          <a:srgbClr val="FFFFCC"/>
                        </a:solidFill>
                        <a:ln>
                          <a:solidFill>
                            <a:srgbClr val="FFFF6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AD8541"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Education – Article 24 CRPD</w:t>
                            </w:r>
                          </w:p>
                          <w:p w14:paraId="2DDDDF2A" w14:textId="40B7C09A" w:rsidR="00D739C9" w:rsidRPr="00AD3D7A" w:rsidRDefault="00D739C9" w:rsidP="005D3D06">
                            <w:pPr>
                              <w:rPr>
                                <w:rFonts w:cs="Times New Roman"/>
                                <w:b/>
                                <w:color w:val="000000" w:themeColor="text1"/>
                              </w:rPr>
                            </w:pPr>
                            <w:r w:rsidRPr="005C7271">
                              <w:rPr>
                                <w:rFonts w:cs="Times New Roman"/>
                                <w:color w:val="000000" w:themeColor="text1"/>
                                <w:lang w:val="en-US"/>
                              </w:rPr>
                              <w:t xml:space="preserve">No </w:t>
                            </w:r>
                            <w:r w:rsidRPr="005C7271">
                              <w:rPr>
                                <w:rFonts w:cs="Times New Roman"/>
                                <w:b/>
                                <w:color w:val="000000" w:themeColor="text1"/>
                                <w:lang w:val="en-US"/>
                              </w:rPr>
                              <w:t>inclusive education system</w:t>
                            </w:r>
                            <w:r w:rsidRPr="005C7271">
                              <w:rPr>
                                <w:rFonts w:cs="Times New Roman"/>
                                <w:color w:val="000000" w:themeColor="text1"/>
                                <w:lang w:val="en-US"/>
                              </w:rPr>
                              <w:t xml:space="preserve">, e.g., no </w:t>
                            </w:r>
                            <w:r w:rsidRPr="005C7271">
                              <w:rPr>
                                <w:rFonts w:cs="Times New Roman"/>
                                <w:b/>
                                <w:color w:val="000000" w:themeColor="text1"/>
                                <w:lang w:val="en-US"/>
                              </w:rPr>
                              <w:t>inclusive vocational training system</w:t>
                            </w:r>
                            <w:r w:rsidRPr="005C7271">
                              <w:rPr>
                                <w:rFonts w:cs="Times New Roman"/>
                                <w:color w:val="000000" w:themeColor="text1"/>
                                <w:lang w:val="en-US"/>
                              </w:rPr>
                              <w:t xml:space="preserve">. </w:t>
                            </w:r>
                            <w:r>
                              <w:rPr>
                                <w:rFonts w:cs="Times New Roman"/>
                                <w:color w:val="000000" w:themeColor="text1"/>
                              </w:rPr>
                              <w:t xml:space="preserve">(p. </w:t>
                            </w:r>
                            <w:r>
                              <w:rPr>
                                <w:rFonts w:cs="Times New Roman"/>
                                <w:color w:val="000000" w:themeColor="text1"/>
                              </w:rPr>
                              <w:fldChar w:fldCharType="begin"/>
                            </w:r>
                            <w:r>
                              <w:rPr>
                                <w:rFonts w:cs="Times New Roman"/>
                                <w:color w:val="000000" w:themeColor="text1"/>
                              </w:rPr>
                              <w:instrText xml:space="preserve"> PAGEREF _Ref91239956 \h </w:instrText>
                            </w:r>
                            <w:r>
                              <w:rPr>
                                <w:rFonts w:cs="Times New Roman"/>
                                <w:color w:val="000000" w:themeColor="text1"/>
                              </w:rPr>
                            </w:r>
                            <w:r>
                              <w:rPr>
                                <w:rFonts w:cs="Times New Roman"/>
                                <w:color w:val="000000" w:themeColor="text1"/>
                                <w:highlight w:val="red"/>
                              </w:rPr>
                              <w:fldChar w:fldCharType="separate"/>
                            </w:r>
                            <w:r w:rsidR="003979FB">
                              <w:rPr>
                                <w:rFonts w:cs="Times New Roman"/>
                                <w:noProof/>
                                <w:color w:val="000000" w:themeColor="text1"/>
                              </w:rPr>
                              <w:t>43</w:t>
                            </w:r>
                            <w:r>
                              <w:rPr>
                                <w:rFonts w:cs="Times New Roman"/>
                                <w:color w:val="000000" w:themeColor="text1"/>
                                <w:highlight w:val="red"/>
                              </w:rPr>
                              <w:fldChar w:fldCharType="end"/>
                            </w:r>
                            <w:r>
                              <w:rPr>
                                <w:rFonts w:cs="Times New Roman"/>
                                <w:color w:val="000000" w:themeColor="text1"/>
                              </w:rPr>
                              <w:t xml:space="preserve"> ff.)</w:t>
                            </w:r>
                          </w:p>
                          <w:p w14:paraId="79778BF7" w14:textId="77777777" w:rsidR="00D739C9" w:rsidRDefault="00D739C9" w:rsidP="00AA0F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1EBB79E2" id="Abgerundetes Rechteck 8" o:spid="_x0000_s1032" alt="Titel: Box with fourth of 8 most important shortcomings - Beschreibung: Yellow box with the following content:&#10;&#10;Education – Article 24 CRPD&#10;No inclusive education system, e.g., no inclusive vocational training system. (p. 44 ff.)&#10;" style="position:absolute;margin-left:-43.55pt;margin-top:292.5pt;width:247pt;height:88.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" fillcolor="#ffc" strokecolor="#ff6" strokeweight="1pt">
                <v:stroke joinstyle="miter"/>
                <v:textbox>
                  <w:txbxContent>
                    <w:p w14:paraId="3AAD8541"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Education – Article 24 CRPD</w:t>
                      </w:r>
                    </w:p>
                    <w:p w14:paraId="2DDDDF2A" w14:textId="40B7C09A" w:rsidR="00D739C9" w:rsidRPr="00AD3D7A" w:rsidRDefault="00D739C9" w:rsidP="005D3D06">
                      <w:pPr>
                        <w:rPr>
                          <w:rFonts w:cs="Times New Roman"/>
                          <w:b/>
                          <w:color w:val="000000" w:themeColor="text1"/>
                        </w:rPr>
                      </w:pPr>
                      <w:r w:rsidRPr="005C7271">
                        <w:rPr>
                          <w:rFonts w:cs="Times New Roman"/>
                          <w:color w:val="000000" w:themeColor="text1"/>
                          <w:lang w:val="en-US"/>
                        </w:rPr>
                        <w:t xml:space="preserve">No </w:t>
                      </w:r>
                      <w:r w:rsidRPr="005C7271">
                        <w:rPr>
                          <w:rFonts w:cs="Times New Roman"/>
                          <w:b/>
                          <w:color w:val="000000" w:themeColor="text1"/>
                          <w:lang w:val="en-US"/>
                        </w:rPr>
                        <w:t>inclusive education system</w:t>
                      </w:r>
                      <w:r w:rsidRPr="005C7271">
                        <w:rPr>
                          <w:rFonts w:cs="Times New Roman"/>
                          <w:color w:val="000000" w:themeColor="text1"/>
                          <w:lang w:val="en-US"/>
                        </w:rPr>
                        <w:t xml:space="preserve">, e.g., no </w:t>
                      </w:r>
                      <w:r w:rsidRPr="005C7271">
                        <w:rPr>
                          <w:rFonts w:cs="Times New Roman"/>
                          <w:b/>
                          <w:color w:val="000000" w:themeColor="text1"/>
                          <w:lang w:val="en-US"/>
                        </w:rPr>
                        <w:t>inclusive vocational training system</w:t>
                      </w:r>
                      <w:r w:rsidRPr="005C7271">
                        <w:rPr>
                          <w:rFonts w:cs="Times New Roman"/>
                          <w:color w:val="000000" w:themeColor="text1"/>
                          <w:lang w:val="en-US"/>
                        </w:rPr>
                        <w:t xml:space="preserve">. </w:t>
                      </w:r>
                      <w:r>
                        <w:rPr>
                          <w:rFonts w:cs="Times New Roman"/>
                          <w:color w:val="000000" w:themeColor="text1"/>
                        </w:rPr>
                        <w:t xml:space="preserve">(p. </w:t>
                      </w:r>
                      <w:r>
                        <w:rPr>
                          <w:rFonts w:cs="Times New Roman"/>
                          <w:color w:val="000000" w:themeColor="text1"/>
                        </w:rPr>
                        <w:fldChar w:fldCharType="begin"/>
                      </w:r>
                      <w:r>
                        <w:rPr>
                          <w:rFonts w:cs="Times New Roman"/>
                          <w:color w:val="000000" w:themeColor="text1"/>
                        </w:rPr>
                        <w:instrText xml:space="preserve"> PAGEREF _Ref91239956 \h </w:instrText>
                      </w:r>
                      <w:r>
                        <w:rPr>
                          <w:rFonts w:cs="Times New Roman"/>
                          <w:color w:val="000000" w:themeColor="text1"/>
                        </w:rPr>
                      </w:r>
                      <w:r>
                        <w:rPr>
                          <w:rFonts w:cs="Times New Roman"/>
                          <w:color w:val="000000" w:themeColor="text1"/>
                          <w:highlight w:val="red"/>
                        </w:rPr>
                        <w:fldChar w:fldCharType="separate"/>
                      </w:r>
                      <w:r w:rsidR="003979FB">
                        <w:rPr>
                          <w:rFonts w:cs="Times New Roman"/>
                          <w:noProof/>
                          <w:color w:val="000000" w:themeColor="text1"/>
                        </w:rPr>
                        <w:t>43</w:t>
                      </w:r>
                      <w:r>
                        <w:rPr>
                          <w:rFonts w:cs="Times New Roman"/>
                          <w:color w:val="000000" w:themeColor="text1"/>
                          <w:highlight w:val="red"/>
                        </w:rPr>
                        <w:fldChar w:fldCharType="end"/>
                      </w:r>
                      <w:r>
                        <w:rPr>
                          <w:rFonts w:cs="Times New Roman"/>
                          <w:color w:val="000000" w:themeColor="text1"/>
                        </w:rPr>
                        <w:t xml:space="preserve"> ff.)</w:t>
                      </w:r>
                    </w:p>
                    <w:p w14:paraId="79778BF7" w14:textId="77777777" w:rsidR="00D739C9" w:rsidRDefault="00D739C9" w:rsidP="00AA0F94">
                      <w:pPr>
                        <w:jc w:val="center"/>
                      </w:pPr>
                    </w:p>
                  </w:txbxContent>
                </v:textbox>
                <w10:wrap anchorx="margin"/>
              </v:roundrect>
            </w:pict>
          </mc:Fallback>
        </mc:AlternateContent>
      </w:r>
      <w:r w:rsidR="00AA0F94" w:rsidRPr="0001096E">
        <w:rPr>
          <w:noProof/>
          <w:lang w:val="en-GB" w:eastAsia="en-GB"/>
        </w:rPr>
        <mc:AlternateContent>
          <mc:Choice Requires="wps">
            <w:drawing>
              <wp:anchor distT="0" distB="0" distL="114300" distR="114300" simplePos="0" relativeHeight="251665408" behindDoc="0" locked="0" layoutInCell="1" allowOverlap="1" wp14:anchorId="586CE37A" wp14:editId="2421C087">
                <wp:simplePos x="0" y="0"/>
                <wp:positionH relativeFrom="margin">
                  <wp:posOffset>-695325</wp:posOffset>
                </wp:positionH>
                <wp:positionV relativeFrom="paragraph">
                  <wp:posOffset>1748790</wp:posOffset>
                </wp:positionV>
                <wp:extent cx="3371850" cy="1662430"/>
                <wp:effectExtent l="0" t="0" r="19050" b="13970"/>
                <wp:wrapNone/>
                <wp:docPr id="11" name="Abgerundetes Rechteck 11" descr="Rose box with the following content:&#10;&#10;Equal recognition before the law – Article 12 CRPD&#10;System of decision-making by representa-tion is still in place; no plans to amend cur-rent federal legislation in the light of the CRPD. (p. 13 ff.)" title="Box with second of 8 most important shortcomings"/>
                <wp:cNvGraphicFramePr/>
                <a:graphic xmlns:a="http://schemas.openxmlformats.org/drawingml/2006/main">
                  <a:graphicData uri="http://schemas.microsoft.com/office/word/2010/wordprocessingShape">
                    <wps:wsp>
                      <wps:cNvSpPr/>
                      <wps:spPr>
                        <a:xfrm>
                          <a:off x="0" y="0"/>
                          <a:ext cx="3371850" cy="1662430"/>
                        </a:xfrm>
                        <a:prstGeom prst="roundRect">
                          <a:avLst/>
                        </a:prstGeom>
                        <a:solidFill>
                          <a:schemeClr val="accent2">
                            <a:lumMod val="20000"/>
                            <a:lumOff val="80000"/>
                          </a:schemeClr>
                        </a:solidFill>
                        <a:ln>
                          <a:solidFill>
                            <a:schemeClr val="accent2">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14:paraId="545FB0AC"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Equal recognition before the law – Article 12 CRPD</w:t>
                            </w:r>
                          </w:p>
                          <w:p w14:paraId="338774E7" w14:textId="75508E3E" w:rsidR="00D739C9" w:rsidRDefault="00D739C9" w:rsidP="005D3D06">
                            <w:r w:rsidRPr="005C7271">
                              <w:rPr>
                                <w:rFonts w:cs="Times New Roman"/>
                                <w:color w:val="000000" w:themeColor="text1"/>
                                <w:lang w:val="en-US"/>
                              </w:rPr>
                              <w:t xml:space="preserve">System of </w:t>
                            </w:r>
                            <w:r w:rsidRPr="005C7271">
                              <w:rPr>
                                <w:rFonts w:cs="Times New Roman"/>
                                <w:b/>
                                <w:color w:val="000000" w:themeColor="text1"/>
                                <w:lang w:val="en-US"/>
                              </w:rPr>
                              <w:t>decision-making by representation</w:t>
                            </w:r>
                            <w:r w:rsidRPr="005C7271">
                              <w:rPr>
                                <w:rFonts w:cs="Times New Roman"/>
                                <w:color w:val="000000" w:themeColor="text1"/>
                                <w:lang w:val="en-US"/>
                              </w:rPr>
                              <w:t xml:space="preserve"> is still in place; no plans to amend current federal legislation in the light of the CRPD</w:t>
                            </w:r>
                            <w:r w:rsidRPr="005C7271">
                              <w:rPr>
                                <w:rFonts w:cs="Times New Roman"/>
                                <w:lang w:val="en-US"/>
                              </w:rPr>
                              <w:t xml:space="preserve">. </w:t>
                            </w:r>
                            <w:r>
                              <w:rPr>
                                <w:rFonts w:cs="Times New Roman"/>
                              </w:rPr>
                              <w:t xml:space="preserve">(p. </w:t>
                            </w:r>
                            <w:r>
                              <w:rPr>
                                <w:rFonts w:cs="Times New Roman"/>
                              </w:rPr>
                              <w:fldChar w:fldCharType="begin"/>
                            </w:r>
                            <w:r>
                              <w:rPr>
                                <w:rFonts w:cs="Times New Roman"/>
                              </w:rPr>
                              <w:instrText xml:space="preserve"> PAGEREF _Ref95646141 \h </w:instrText>
                            </w:r>
                            <w:r>
                              <w:rPr>
                                <w:rFonts w:cs="Times New Roman"/>
                              </w:rPr>
                            </w:r>
                            <w:r>
                              <w:rPr>
                                <w:rFonts w:cs="Times New Roman"/>
                              </w:rPr>
                              <w:fldChar w:fldCharType="separate"/>
                            </w:r>
                            <w:r w:rsidR="003979FB">
                              <w:rPr>
                                <w:rFonts w:cs="Times New Roman"/>
                                <w:noProof/>
                              </w:rPr>
                              <w:t>23</w:t>
                            </w:r>
                            <w:r>
                              <w:rPr>
                                <w:rFonts w:cs="Times New Roman"/>
                              </w:rPr>
                              <w:fldChar w:fldCharType="end"/>
                            </w:r>
                            <w:r>
                              <w:rPr>
                                <w:rFonts w:cs="Times New Roman"/>
                              </w:rPr>
                              <w:t xml:space="preserve"> 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oundrect w14:anchorId="586CE37A" id="Abgerundetes Rechteck 11" o:spid="_x0000_s1033" alt="Titel: Box with second of 8 most important shortcomings - Beschreibung: Rose box with the following content:&#10;&#10;Equal recognition before the law – Article 12 CRPD&#10;System of decision-making by representa-tion is still in place; no plans to amend cur-rent federal legislation in the light of the CRPD. (p. 13 ff.)" style="position:absolute;margin-left:-54.75pt;margin-top:137.7pt;width:265.5pt;height:130.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" fillcolor="#fbe4d5 [661]" strokecolor="#f7caac [1301]" strokeweight="1pt">
                <v:stroke joinstyle="miter"/>
                <v:textbox>
                  <w:txbxContent>
                    <w:p w14:paraId="545FB0AC" w14:textId="77777777" w:rsidR="00D739C9" w:rsidRPr="005C7271" w:rsidRDefault="00D739C9" w:rsidP="0094135C">
                      <w:pPr>
                        <w:jc w:val="center"/>
                        <w:rPr>
                          <w:rFonts w:cs="Times New Roman"/>
                          <w:b/>
                          <w:color w:val="000000" w:themeColor="text1"/>
                          <w:sz w:val="28"/>
                          <w:szCs w:val="28"/>
                          <w:lang w:val="en-US"/>
                        </w:rPr>
                      </w:pPr>
                      <w:r w:rsidRPr="005C7271">
                        <w:rPr>
                          <w:rFonts w:cs="Times New Roman"/>
                          <w:b/>
                          <w:color w:val="000000" w:themeColor="text1"/>
                          <w:sz w:val="28"/>
                          <w:szCs w:val="28"/>
                          <w:lang w:val="en-US"/>
                        </w:rPr>
                        <w:t>Equal recognition before the law – Article 12 CRPD</w:t>
                      </w:r>
                    </w:p>
                    <w:p w14:paraId="338774E7" w14:textId="75508E3E" w:rsidR="00D739C9" w:rsidRDefault="00D739C9" w:rsidP="005D3D06">
                      <w:r w:rsidRPr="005C7271">
                        <w:rPr>
                          <w:rFonts w:cs="Times New Roman"/>
                          <w:color w:val="000000" w:themeColor="text1"/>
                          <w:lang w:val="en-US"/>
                        </w:rPr>
                        <w:t xml:space="preserve">System of </w:t>
                      </w:r>
                      <w:r w:rsidRPr="005C7271">
                        <w:rPr>
                          <w:rFonts w:cs="Times New Roman"/>
                          <w:b/>
                          <w:color w:val="000000" w:themeColor="text1"/>
                          <w:lang w:val="en-US"/>
                        </w:rPr>
                        <w:t>decision-making by representation</w:t>
                      </w:r>
                      <w:r w:rsidRPr="005C7271">
                        <w:rPr>
                          <w:rFonts w:cs="Times New Roman"/>
                          <w:color w:val="000000" w:themeColor="text1"/>
                          <w:lang w:val="en-US"/>
                        </w:rPr>
                        <w:t xml:space="preserve"> is still in place; no plans to amend current federal legislation in the light of the CRPD</w:t>
                      </w:r>
                      <w:r w:rsidRPr="005C7271">
                        <w:rPr>
                          <w:rFonts w:cs="Times New Roman"/>
                          <w:lang w:val="en-US"/>
                        </w:rPr>
                        <w:t xml:space="preserve">. </w:t>
                      </w:r>
                      <w:r>
                        <w:rPr>
                          <w:rFonts w:cs="Times New Roman"/>
                        </w:rPr>
                        <w:t xml:space="preserve">(p. </w:t>
                      </w:r>
                      <w:r>
                        <w:rPr>
                          <w:rFonts w:cs="Times New Roman"/>
                        </w:rPr>
                        <w:fldChar w:fldCharType="begin"/>
                      </w:r>
                      <w:r>
                        <w:rPr>
                          <w:rFonts w:cs="Times New Roman"/>
                        </w:rPr>
                        <w:instrText xml:space="preserve"> PAGEREF _Ref95646141 \h </w:instrText>
                      </w:r>
                      <w:r>
                        <w:rPr>
                          <w:rFonts w:cs="Times New Roman"/>
                        </w:rPr>
                      </w:r>
                      <w:r>
                        <w:rPr>
                          <w:rFonts w:cs="Times New Roman"/>
                        </w:rPr>
                        <w:fldChar w:fldCharType="separate"/>
                      </w:r>
                      <w:r w:rsidR="003979FB">
                        <w:rPr>
                          <w:rFonts w:cs="Times New Roman"/>
                          <w:noProof/>
                        </w:rPr>
                        <w:t>23</w:t>
                      </w:r>
                      <w:r>
                        <w:rPr>
                          <w:rFonts w:cs="Times New Roman"/>
                        </w:rPr>
                        <w:fldChar w:fldCharType="end"/>
                      </w:r>
                      <w:r>
                        <w:rPr>
                          <w:rFonts w:cs="Times New Roman"/>
                        </w:rPr>
                        <w:t xml:space="preserve"> ff.)</w:t>
                      </w:r>
                    </w:p>
                  </w:txbxContent>
                </v:textbox>
                <w10:wrap anchorx="margin"/>
              </v:roundrect>
            </w:pict>
          </mc:Fallback>
        </mc:AlternateContent>
      </w:r>
      <w:r w:rsidR="00AA0F94" w:rsidRPr="0001096E">
        <w:rPr>
          <w:lang w:val="en-GB" w:eastAsia="de-CH"/>
        </w:rPr>
        <w:br w:type="page"/>
      </w:r>
    </w:p>
    <w:p w14:paraId="1990DC72" w14:textId="77777777" w:rsidR="00BA7E32" w:rsidRPr="0001096E" w:rsidRDefault="00BA7E32" w:rsidP="00BA7E32">
      <w:pPr>
        <w:pStyle w:val="Heading2"/>
        <w:rPr>
          <w:lang w:val="en-GB"/>
        </w:rPr>
      </w:pPr>
      <w:bookmarkStart w:id="17" w:name="_Toc89024637"/>
      <w:bookmarkStart w:id="18" w:name="_Ref89611725"/>
      <w:bookmarkStart w:id="19" w:name="_Toc95297057"/>
      <w:bookmarkStart w:id="20" w:name="_Ref95642726"/>
      <w:bookmarkStart w:id="21" w:name="_Ref95643794"/>
      <w:bookmarkStart w:id="22" w:name="_Ref95643816"/>
      <w:bookmarkStart w:id="23" w:name="_Ref95644700"/>
      <w:bookmarkStart w:id="24" w:name="_Toc95668172"/>
      <w:r w:rsidRPr="0001096E">
        <w:rPr>
          <w:lang w:val="en-GB"/>
        </w:rPr>
        <w:lastRenderedPageBreak/>
        <w:t>General provisions of the Convention: Articles 1-4 CRPD</w:t>
      </w:r>
      <w:bookmarkEnd w:id="17"/>
      <w:bookmarkEnd w:id="18"/>
      <w:bookmarkEnd w:id="19"/>
      <w:bookmarkEnd w:id="20"/>
      <w:bookmarkEnd w:id="21"/>
      <w:bookmarkEnd w:id="22"/>
      <w:bookmarkEnd w:id="23"/>
      <w:bookmarkEnd w:id="24"/>
    </w:p>
    <w:p w14:paraId="6565D256" w14:textId="43736E78" w:rsidR="00AA0F94" w:rsidRPr="0001096E" w:rsidRDefault="00BA7E32" w:rsidP="00AA0F94">
      <w:pPr>
        <w:pStyle w:val="Subtitle"/>
        <w:rPr>
          <w:lang w:val="en-GB"/>
        </w:rPr>
      </w:pPr>
      <w:r w:rsidRPr="0001096E">
        <w:rPr>
          <w:lang w:val="en-GB"/>
        </w:rPr>
        <w:t>Lack of strategy</w:t>
      </w:r>
    </w:p>
    <w:p w14:paraId="72801634" w14:textId="77777777" w:rsidR="005D3D06" w:rsidRPr="00A86F53" w:rsidRDefault="005D3D06" w:rsidP="005D3D06">
      <w:pPr>
        <w:pStyle w:val="BodyText"/>
        <w:rPr>
          <w:lang w:val="en-GB"/>
        </w:rPr>
      </w:pPr>
      <w:r w:rsidRPr="00A86F53">
        <w:rPr>
          <w:lang w:val="en-GB"/>
        </w:rPr>
        <w:t>On 9 May 2018, the Federal Council approved a report on "Disability Policy".</w:t>
      </w:r>
      <w:bookmarkStart w:id="25" w:name="_Ref15242908"/>
      <w:r w:rsidRPr="00A86F53">
        <w:rPr>
          <w:rStyle w:val="FootnoteReference"/>
          <w:lang w:val="en-GB"/>
        </w:rPr>
        <w:footnoteReference w:id="3"/>
      </w:r>
      <w:bookmarkEnd w:id="25"/>
      <w:r w:rsidRPr="00A86F53">
        <w:rPr>
          <w:lang w:val="en-GB"/>
        </w:rPr>
        <w:t xml:space="preserve"> As part of the priorities </w:t>
      </w:r>
      <w:r w:rsidRPr="00A86F53">
        <w:rPr>
          <w:b/>
          <w:lang w:val="en-GB"/>
        </w:rPr>
        <w:t>for the 2018-2021 period,</w:t>
      </w:r>
      <w:r w:rsidRPr="00A86F53">
        <w:rPr>
          <w:lang w:val="en-GB"/>
        </w:rPr>
        <w:t xml:space="preserve"> this focused</w:t>
      </w:r>
      <w:r w:rsidRPr="00A86F53">
        <w:rPr>
          <w:vertAlign w:val="superscript"/>
          <w:lang w:val="en-GB"/>
        </w:rPr>
        <w:footnoteReference w:id="4"/>
      </w:r>
      <w:r w:rsidRPr="00A86F53">
        <w:rPr>
          <w:lang w:val="en-GB"/>
        </w:rPr>
        <w:t xml:space="preserve"> on:</w:t>
      </w:r>
    </w:p>
    <w:p w14:paraId="36E0BB9B" w14:textId="77777777" w:rsidR="005D3D06" w:rsidRPr="005D3D06" w:rsidRDefault="005D3D06" w:rsidP="005D3D06">
      <w:pPr>
        <w:pStyle w:val="ListParagraph"/>
        <w:numPr>
          <w:ilvl w:val="0"/>
          <w:numId w:val="26"/>
        </w:numPr>
        <w:shd w:val="clear" w:color="auto" w:fill="FFFFFF" w:themeFill="background1"/>
        <w:suppressAutoHyphens/>
        <w:spacing w:before="60" w:after="60" w:line="280" w:lineRule="exact"/>
        <w:contextualSpacing w:val="0"/>
        <w:rPr>
          <w:lang w:val="en-GB"/>
        </w:rPr>
      </w:pPr>
      <w:r w:rsidRPr="005D3D06">
        <w:rPr>
          <w:lang w:val="en-GB"/>
        </w:rPr>
        <w:t>the promotion of coordination at federal level and cooperation between the Confederation and the cantons;</w:t>
      </w:r>
    </w:p>
    <w:p w14:paraId="668A06BE" w14:textId="6FFE1C31" w:rsidR="005D3D06" w:rsidRPr="005D3D06" w:rsidRDefault="005D3D06" w:rsidP="005D3D06">
      <w:pPr>
        <w:pStyle w:val="ListParagraph"/>
        <w:numPr>
          <w:ilvl w:val="0"/>
          <w:numId w:val="26"/>
        </w:numPr>
        <w:shd w:val="clear" w:color="auto" w:fill="FFFFFF" w:themeFill="background1"/>
        <w:suppressAutoHyphens/>
        <w:spacing w:before="60" w:after="60" w:line="280" w:lineRule="exact"/>
        <w:contextualSpacing w:val="0"/>
        <w:rPr>
          <w:lang w:val="en-GB"/>
        </w:rPr>
      </w:pPr>
      <w:r w:rsidRPr="005D3D06">
        <w:rPr>
          <w:lang w:val="en-GB"/>
        </w:rPr>
        <w:t xml:space="preserve">the </w:t>
      </w:r>
      <w:r w:rsidR="009D0B96">
        <w:rPr>
          <w:lang w:val="en-GB"/>
        </w:rPr>
        <w:t>“</w:t>
      </w:r>
      <w:r w:rsidRPr="005D3D06">
        <w:rPr>
          <w:lang w:val="en-GB"/>
        </w:rPr>
        <w:t>provision of impetus</w:t>
      </w:r>
      <w:r w:rsidR="009D0B96">
        <w:rPr>
          <w:lang w:val="en-GB"/>
        </w:rPr>
        <w:t>”</w:t>
      </w:r>
      <w:r w:rsidRPr="005D3D06">
        <w:rPr>
          <w:lang w:val="en-GB"/>
        </w:rPr>
        <w:t xml:space="preserve"> in three priority areas (the programme "Equality and Work"); the programme "Living Independently"; “Accessibility and Digitalisation”); </w:t>
      </w:r>
    </w:p>
    <w:p w14:paraId="58319445" w14:textId="77777777" w:rsidR="005D3D06" w:rsidRPr="005D3D06" w:rsidRDefault="005D3D06" w:rsidP="005D3D06">
      <w:pPr>
        <w:pStyle w:val="ListParagraph"/>
        <w:numPr>
          <w:ilvl w:val="0"/>
          <w:numId w:val="26"/>
        </w:numPr>
        <w:shd w:val="clear" w:color="auto" w:fill="FFFFFF" w:themeFill="background1"/>
        <w:suppressAutoHyphens/>
        <w:spacing w:before="60" w:after="60" w:line="280" w:lineRule="exact"/>
        <w:contextualSpacing w:val="0"/>
        <w:rPr>
          <w:lang w:val="en-GB"/>
        </w:rPr>
      </w:pPr>
      <w:r w:rsidRPr="005D3D06">
        <w:rPr>
          <w:lang w:val="en-GB"/>
        </w:rPr>
        <w:t xml:space="preserve">the preparation of an inventory and a monitoring system. </w:t>
      </w:r>
    </w:p>
    <w:p w14:paraId="0111EE77" w14:textId="77777777" w:rsidR="005D3D06" w:rsidRPr="00A86F53" w:rsidRDefault="005D3D06" w:rsidP="005D3D06">
      <w:pPr>
        <w:rPr>
          <w:rFonts w:eastAsia="Cambria"/>
          <w:lang w:val="en-GB"/>
        </w:rPr>
      </w:pPr>
      <w:r w:rsidRPr="00A86F53">
        <w:rPr>
          <w:rFonts w:eastAsia="Cambria"/>
          <w:lang w:val="en-GB"/>
        </w:rPr>
        <w:t xml:space="preserve">At </w:t>
      </w:r>
      <w:r w:rsidRPr="00A86F53">
        <w:rPr>
          <w:rFonts w:eastAsia="Cambria"/>
          <w:b/>
          <w:lang w:val="en-GB"/>
        </w:rPr>
        <w:t>institutional level</w:t>
      </w:r>
      <w:r w:rsidRPr="00A86F53">
        <w:rPr>
          <w:rFonts w:eastAsia="Cambria"/>
          <w:lang w:val="en-GB"/>
        </w:rPr>
        <w:t xml:space="preserve">, </w:t>
      </w:r>
      <w:r w:rsidRPr="00A86F53">
        <w:rPr>
          <w:rFonts w:eastAsia="Cambria"/>
          <w:b/>
          <w:lang w:val="en-GB"/>
        </w:rPr>
        <w:t>new bodies</w:t>
      </w:r>
      <w:r w:rsidRPr="00A86F53">
        <w:rPr>
          <w:rFonts w:eastAsia="Cambria"/>
          <w:lang w:val="en-GB"/>
        </w:rPr>
        <w:t xml:space="preserve"> have been created in order to ensure coordination at federal level and between the Confederation and the cantons.</w:t>
      </w:r>
      <w:r w:rsidRPr="00A86F53">
        <w:rPr>
          <w:rStyle w:val="FootnoteReference"/>
          <w:lang w:val="en-GB"/>
        </w:rPr>
        <w:footnoteReference w:id="5"/>
      </w:r>
      <w:r w:rsidRPr="00A86F53">
        <w:rPr>
          <w:rFonts w:eastAsia="Cambria"/>
          <w:lang w:val="en-GB"/>
        </w:rPr>
        <w:t xml:space="preserve"> </w:t>
      </w:r>
    </w:p>
    <w:p w14:paraId="27F60514" w14:textId="2A50C640" w:rsidR="005D3D06" w:rsidRPr="00A86F53" w:rsidRDefault="005D3D06" w:rsidP="005D3D06">
      <w:pPr>
        <w:pStyle w:val="BodyText"/>
        <w:rPr>
          <w:rFonts w:eastAsia="Cambria"/>
          <w:lang w:val="en-GB"/>
        </w:rPr>
      </w:pPr>
      <w:r w:rsidRPr="00A86F53">
        <w:rPr>
          <w:lang w:val="en-GB"/>
        </w:rPr>
        <w:t xml:space="preserve">At the cantonal level, several cantons have initiated the implementation of the CRPD by means of the legislative procedure. In the </w:t>
      </w:r>
      <w:r w:rsidR="00365785">
        <w:rPr>
          <w:b/>
          <w:bCs/>
          <w:lang w:val="en-GB"/>
        </w:rPr>
        <w:t>C</w:t>
      </w:r>
      <w:r w:rsidRPr="00A86F53">
        <w:rPr>
          <w:b/>
          <w:bCs/>
          <w:lang w:val="en-GB"/>
        </w:rPr>
        <w:t>anton of Basel-Stadt</w:t>
      </w:r>
      <w:r w:rsidRPr="00A86F53">
        <w:rPr>
          <w:lang w:val="en-GB"/>
        </w:rPr>
        <w:t xml:space="preserve">, a Disability Rights Act which had been adopted unanimously by </w:t>
      </w:r>
      <w:r w:rsidRPr="00104AEE">
        <w:rPr>
          <w:lang w:val="en-US"/>
        </w:rPr>
        <w:t>the</w:t>
      </w:r>
      <w:r w:rsidRPr="00A86F53">
        <w:rPr>
          <w:lang w:val="en-GB"/>
        </w:rPr>
        <w:t xml:space="preserve"> Cantonal Parliament in autumn 2019 came into force on 1</w:t>
      </w:r>
      <w:r>
        <w:rPr>
          <w:lang w:val="en-GB"/>
        </w:rPr>
        <w:t>.1.</w:t>
      </w:r>
      <w:r w:rsidRPr="00A86F53">
        <w:rPr>
          <w:lang w:val="en-GB"/>
        </w:rPr>
        <w:t>2021.</w:t>
      </w:r>
      <w:bookmarkStart w:id="26" w:name="_Ref95643117"/>
      <w:r w:rsidRPr="00A86F53">
        <w:rPr>
          <w:vertAlign w:val="superscript"/>
          <w:lang w:val="en-GB"/>
        </w:rPr>
        <w:footnoteReference w:id="6"/>
      </w:r>
      <w:bookmarkEnd w:id="26"/>
      <w:r w:rsidRPr="00A86F53">
        <w:rPr>
          <w:lang w:val="en-GB"/>
        </w:rPr>
        <w:t xml:space="preserve"> In the spring of 2021, the parliament of the </w:t>
      </w:r>
      <w:r w:rsidR="00365785">
        <w:rPr>
          <w:b/>
          <w:lang w:val="en-GB"/>
        </w:rPr>
        <w:t>C</w:t>
      </w:r>
      <w:r w:rsidRPr="00A86F53">
        <w:rPr>
          <w:b/>
          <w:lang w:val="en-GB"/>
        </w:rPr>
        <w:t>anton</w:t>
      </w:r>
      <w:r w:rsidRPr="00A86F53">
        <w:rPr>
          <w:lang w:val="en-GB"/>
        </w:rPr>
        <w:t xml:space="preserve"> </w:t>
      </w:r>
      <w:r w:rsidRPr="00A86F53">
        <w:rPr>
          <w:b/>
          <w:lang w:val="en-GB"/>
        </w:rPr>
        <w:t>of Valais</w:t>
      </w:r>
      <w:r w:rsidRPr="00A86F53">
        <w:rPr>
          <w:lang w:val="en-GB"/>
        </w:rPr>
        <w:t xml:space="preserve"> also unanimously passed a corresponding act which came into force on 1.1.2022.</w:t>
      </w:r>
      <w:bookmarkStart w:id="27" w:name="_Ref95643132"/>
      <w:r w:rsidRPr="00A86F53">
        <w:rPr>
          <w:vertAlign w:val="superscript"/>
          <w:lang w:val="en-GB"/>
        </w:rPr>
        <w:footnoteReference w:id="7"/>
      </w:r>
      <w:bookmarkEnd w:id="27"/>
      <w:r w:rsidRPr="00A86F53">
        <w:rPr>
          <w:lang w:val="en-GB"/>
        </w:rPr>
        <w:t xml:space="preserve"> These two acts are the first to grant </w:t>
      </w:r>
      <w:r w:rsidRPr="00A86F53">
        <w:rPr>
          <w:lang w:val="en-GB"/>
        </w:rPr>
        <w:lastRenderedPageBreak/>
        <w:t>entitlements to PWD and their organisations at the cantonal level.</w:t>
      </w:r>
      <w:r w:rsidRPr="00A86F53">
        <w:rPr>
          <w:rStyle w:val="FootnoteReference"/>
          <w:lang w:val="en-GB"/>
        </w:rPr>
        <w:footnoteReference w:id="8"/>
      </w:r>
      <w:r w:rsidRPr="00A86F53">
        <w:rPr>
          <w:lang w:val="en-GB"/>
        </w:rPr>
        <w:t xml:space="preserve"> </w:t>
      </w:r>
      <w:r w:rsidR="001D7D8C">
        <w:rPr>
          <w:lang w:val="en-GB"/>
        </w:rPr>
        <w:t xml:space="preserve">In the </w:t>
      </w:r>
      <w:r w:rsidR="00365785" w:rsidRPr="00365785">
        <w:rPr>
          <w:b/>
          <w:lang w:val="en-GB"/>
        </w:rPr>
        <w:t>C</w:t>
      </w:r>
      <w:r w:rsidR="001D7D8C" w:rsidRPr="00365785">
        <w:rPr>
          <w:b/>
          <w:lang w:val="en-GB"/>
        </w:rPr>
        <w:t>anton of Neuchâtel</w:t>
      </w:r>
      <w:r w:rsidR="001D7D8C">
        <w:rPr>
          <w:lang w:val="en-GB"/>
        </w:rPr>
        <w:t>, the Parliament enacted an Inclusion Act in November 2021</w:t>
      </w:r>
      <w:r w:rsidR="001D7D8C" w:rsidRPr="00A86F53">
        <w:rPr>
          <w:lang w:val="en-GB"/>
        </w:rPr>
        <w:t>.</w:t>
      </w:r>
      <w:bookmarkStart w:id="28" w:name="_Ref95644751"/>
      <w:r w:rsidR="001D7D8C" w:rsidRPr="00A86F53">
        <w:rPr>
          <w:vertAlign w:val="superscript"/>
          <w:lang w:val="en-GB"/>
        </w:rPr>
        <w:footnoteReference w:id="9"/>
      </w:r>
      <w:bookmarkEnd w:id="28"/>
      <w:r w:rsidR="001D7D8C" w:rsidRPr="00A86F53">
        <w:rPr>
          <w:lang w:val="en-GB"/>
        </w:rPr>
        <w:t xml:space="preserve"> </w:t>
      </w:r>
      <w:r w:rsidRPr="00A86F53">
        <w:rPr>
          <w:lang w:val="en-GB"/>
        </w:rPr>
        <w:t xml:space="preserve">The </w:t>
      </w:r>
      <w:r w:rsidR="00365785">
        <w:rPr>
          <w:b/>
          <w:lang w:val="en-GB"/>
        </w:rPr>
        <w:t>C</w:t>
      </w:r>
      <w:r w:rsidRPr="00A86F53">
        <w:rPr>
          <w:b/>
          <w:lang w:val="en-GB"/>
        </w:rPr>
        <w:t>anton of Basel-Land</w:t>
      </w:r>
      <w:r w:rsidR="00365785">
        <w:rPr>
          <w:b/>
          <w:lang w:val="en-GB"/>
        </w:rPr>
        <w:t>schaft</w:t>
      </w:r>
      <w:r w:rsidRPr="00A86F53">
        <w:rPr>
          <w:lang w:val="en-GB"/>
        </w:rPr>
        <w:t xml:space="preserve"> is currently preparing a bill on the rights of the disabled for submission to Parliament.</w:t>
      </w:r>
      <w:r w:rsidRPr="00A86F53">
        <w:rPr>
          <w:vertAlign w:val="superscript"/>
          <w:lang w:val="en-GB"/>
        </w:rPr>
        <w:footnoteReference w:id="10"/>
      </w:r>
      <w:r w:rsidRPr="00A86F53">
        <w:rPr>
          <w:lang w:val="en-GB"/>
        </w:rPr>
        <w:t xml:space="preserve"> In the </w:t>
      </w:r>
      <w:r w:rsidR="00365785">
        <w:rPr>
          <w:b/>
          <w:bCs/>
          <w:lang w:val="en-GB"/>
        </w:rPr>
        <w:t>C</w:t>
      </w:r>
      <w:r w:rsidRPr="00A86F53">
        <w:rPr>
          <w:b/>
          <w:lang w:val="en-GB"/>
        </w:rPr>
        <w:t>anton of Geneva,</w:t>
      </w:r>
      <w:r w:rsidRPr="00A86F53">
        <w:rPr>
          <w:lang w:val="en-GB"/>
        </w:rPr>
        <w:t xml:space="preserve"> the foundations for a comprehensive and inclusive disability policy are being developed, including a law on the rights of PWD. Parliamentary procedural requests have been adopted in the </w:t>
      </w:r>
      <w:r w:rsidR="00365785">
        <w:rPr>
          <w:b/>
          <w:bCs/>
          <w:lang w:val="en-GB"/>
        </w:rPr>
        <w:t>C</w:t>
      </w:r>
      <w:r w:rsidRPr="00A86F53">
        <w:rPr>
          <w:b/>
          <w:lang w:val="en-GB"/>
        </w:rPr>
        <w:t>antons</w:t>
      </w:r>
      <w:r w:rsidRPr="00A86F53">
        <w:rPr>
          <w:lang w:val="en-GB"/>
        </w:rPr>
        <w:t xml:space="preserve"> of </w:t>
      </w:r>
      <w:r w:rsidRPr="00A86F53">
        <w:rPr>
          <w:b/>
          <w:lang w:val="en-GB"/>
        </w:rPr>
        <w:t>Vaud</w:t>
      </w:r>
      <w:r w:rsidRPr="00A86F53">
        <w:rPr>
          <w:vertAlign w:val="superscript"/>
          <w:lang w:val="en-GB"/>
        </w:rPr>
        <w:footnoteReference w:id="11"/>
      </w:r>
      <w:r w:rsidRPr="00A86F53">
        <w:rPr>
          <w:lang w:val="en-GB"/>
        </w:rPr>
        <w:t xml:space="preserve"> and </w:t>
      </w:r>
      <w:r w:rsidRPr="00A86F53">
        <w:rPr>
          <w:b/>
          <w:lang w:val="en-GB"/>
        </w:rPr>
        <w:t>Jura</w:t>
      </w:r>
      <w:r w:rsidRPr="00A86F53">
        <w:rPr>
          <w:b/>
          <w:vertAlign w:val="superscript"/>
          <w:lang w:val="en-GB"/>
        </w:rPr>
        <w:footnoteReference w:id="12"/>
      </w:r>
      <w:r w:rsidRPr="00A86F53">
        <w:rPr>
          <w:b/>
          <w:lang w:val="en-GB"/>
        </w:rPr>
        <w:t xml:space="preserve"> calling</w:t>
      </w:r>
      <w:r w:rsidRPr="00A86F53">
        <w:rPr>
          <w:lang w:val="en-GB"/>
        </w:rPr>
        <w:t xml:space="preserve"> for the creation of a cantonal law on the rights of PWD. </w:t>
      </w:r>
      <w:r w:rsidRPr="00A86F53">
        <w:rPr>
          <w:rFonts w:eastAsia="Cambria"/>
          <w:lang w:val="en-GB"/>
        </w:rPr>
        <w:t xml:space="preserve">The </w:t>
      </w:r>
      <w:r w:rsidR="00365785">
        <w:rPr>
          <w:rFonts w:eastAsia="Cambria"/>
          <w:b/>
          <w:lang w:val="en-GB"/>
        </w:rPr>
        <w:t>C</w:t>
      </w:r>
      <w:r w:rsidRPr="00A86F53">
        <w:rPr>
          <w:rFonts w:eastAsia="Cambria"/>
          <w:b/>
          <w:lang w:val="en-GB"/>
        </w:rPr>
        <w:t>anton of Zurich</w:t>
      </w:r>
      <w:r w:rsidRPr="00A86F53">
        <w:rPr>
          <w:rFonts w:eastAsia="Cambria"/>
          <w:lang w:val="en-GB"/>
        </w:rPr>
        <w:t xml:space="preserve"> has analysed its legislation in the light of the CRPD</w:t>
      </w:r>
      <w:r w:rsidRPr="00A86F53">
        <w:rPr>
          <w:rFonts w:eastAsia="Cambria"/>
          <w:vertAlign w:val="superscript"/>
          <w:lang w:val="en-GB"/>
        </w:rPr>
        <w:footnoteReference w:id="13"/>
      </w:r>
      <w:r w:rsidRPr="00A86F53">
        <w:rPr>
          <w:rFonts w:eastAsia="Cambria"/>
          <w:lang w:val="en-GB"/>
        </w:rPr>
        <w:t xml:space="preserve"> and created a new coordination body. It will draw up an action plan for implementing the Convention.</w:t>
      </w:r>
      <w:bookmarkStart w:id="29" w:name="_Ref16151403"/>
      <w:r w:rsidRPr="00A86F53">
        <w:rPr>
          <w:rStyle w:val="FootnoteReference"/>
          <w:lang w:val="en-GB"/>
        </w:rPr>
        <w:footnoteReference w:id="14"/>
      </w:r>
      <w:bookmarkEnd w:id="29"/>
      <w:r w:rsidRPr="00A86F53">
        <w:rPr>
          <w:lang w:val="en-GB"/>
        </w:rPr>
        <w:t xml:space="preserve"> The Cantonal Parliament of Z</w:t>
      </w:r>
      <w:r>
        <w:rPr>
          <w:lang w:val="en-GB"/>
        </w:rPr>
        <w:t>urich is currently working on a</w:t>
      </w:r>
      <w:r w:rsidRPr="00A86F53">
        <w:rPr>
          <w:lang w:val="en-GB"/>
        </w:rPr>
        <w:t xml:space="preserve"> “Self-determination Act”, which is to enable PWD who require support to decide on their own where they want to live for the first time from 2024.</w:t>
      </w:r>
      <w:r w:rsidRPr="00A86F53">
        <w:rPr>
          <w:vertAlign w:val="superscript"/>
          <w:lang w:val="en-GB"/>
        </w:rPr>
        <w:footnoteReference w:id="15"/>
      </w:r>
      <w:r w:rsidRPr="00A86F53">
        <w:rPr>
          <w:lang w:val="en-GB"/>
        </w:rPr>
        <w:t xml:space="preserve"> The </w:t>
      </w:r>
      <w:r w:rsidR="00365785">
        <w:rPr>
          <w:b/>
          <w:lang w:val="en-GB"/>
        </w:rPr>
        <w:t>C</w:t>
      </w:r>
      <w:r w:rsidRPr="00651569">
        <w:rPr>
          <w:b/>
          <w:lang w:val="en-GB"/>
        </w:rPr>
        <w:t>anton of Glarus</w:t>
      </w:r>
      <w:r w:rsidRPr="00A86F53">
        <w:rPr>
          <w:lang w:val="en-GB"/>
        </w:rPr>
        <w:t xml:space="preserve"> announced on 1.10.</w:t>
      </w:r>
      <w:r w:rsidRPr="00104AEE">
        <w:rPr>
          <w:lang w:val="en-US"/>
        </w:rPr>
        <w:t>2021</w:t>
      </w:r>
      <w:r w:rsidRPr="00A86F53">
        <w:rPr>
          <w:lang w:val="en-GB"/>
        </w:rPr>
        <w:t xml:space="preserve"> that it intended to enact an Act on the Integration of Disabled Persons in order to align its policy with the UN CRPD</w:t>
      </w:r>
      <w:r w:rsidRPr="00651569">
        <w:rPr>
          <w:rStyle w:val="FootnoteReference"/>
          <w:lang w:val="en-GB"/>
        </w:rPr>
        <w:footnoteReference w:id="16"/>
      </w:r>
      <w:r w:rsidRPr="00A86F53">
        <w:rPr>
          <w:lang w:val="en-GB"/>
        </w:rPr>
        <w:t xml:space="preserve">. </w:t>
      </w:r>
      <w:r w:rsidRPr="00B93050">
        <w:rPr>
          <w:lang w:val="en-GB"/>
        </w:rPr>
        <w:t xml:space="preserve">On January </w:t>
      </w:r>
      <w:r w:rsidRPr="00B93050">
        <w:rPr>
          <w:lang w:val="en-GB"/>
        </w:rPr>
        <w:lastRenderedPageBreak/>
        <w:t xml:space="preserve">2022, the </w:t>
      </w:r>
      <w:r w:rsidR="00365785" w:rsidRPr="00B93050">
        <w:rPr>
          <w:lang w:val="en-GB"/>
        </w:rPr>
        <w:t>C</w:t>
      </w:r>
      <w:r w:rsidRPr="00B93050">
        <w:rPr>
          <w:lang w:val="en-GB"/>
        </w:rPr>
        <w:t>anton of St</w:t>
      </w:r>
      <w:r w:rsidR="00365785" w:rsidRPr="00B93050">
        <w:rPr>
          <w:lang w:val="en-GB"/>
        </w:rPr>
        <w:t xml:space="preserve">. </w:t>
      </w:r>
      <w:r w:rsidRPr="00B93050">
        <w:rPr>
          <w:lang w:val="en-GB"/>
        </w:rPr>
        <w:t>Gallen announced that it intented to modify its legislation on PWD, with the goal of reinforcing their their autonomy.</w:t>
      </w:r>
      <w:r w:rsidRPr="00B93050">
        <w:rPr>
          <w:rStyle w:val="FootnoteReference"/>
          <w:lang w:val="en-GB"/>
        </w:rPr>
        <w:footnoteReference w:id="17"/>
      </w:r>
      <w:r w:rsidRPr="00B93050">
        <w:rPr>
          <w:lang w:val="en-GB"/>
        </w:rPr>
        <w:t xml:space="preserve"> In addition, several cantons are seeking to adapt their special legislation.</w:t>
      </w:r>
      <w:r w:rsidRPr="00B93050">
        <w:rPr>
          <w:vertAlign w:val="superscript"/>
          <w:lang w:val="en-GB"/>
        </w:rPr>
        <w:footnoteReference w:id="18"/>
      </w:r>
    </w:p>
    <w:p w14:paraId="242D8C70" w14:textId="77777777" w:rsidR="005D3D06" w:rsidRPr="00A86F53" w:rsidRDefault="005D3D06" w:rsidP="005D3D06">
      <w:pPr>
        <w:pStyle w:val="BodyText"/>
        <w:rPr>
          <w:lang w:val="en-GB"/>
        </w:rPr>
      </w:pPr>
      <w:r w:rsidRPr="00A86F53">
        <w:rPr>
          <w:lang w:val="en-GB"/>
        </w:rPr>
        <w:t>Despite these quite positive developments at federal and - still very sporadically - cantonal level, Switzerland continues to lack any comprehensive policy whatsoever on PWD,</w:t>
      </w:r>
      <w:r w:rsidRPr="00A86F53">
        <w:rPr>
          <w:vertAlign w:val="superscript"/>
          <w:lang w:val="en-GB"/>
        </w:rPr>
        <w:footnoteReference w:id="19"/>
      </w:r>
      <w:r w:rsidRPr="00A86F53">
        <w:rPr>
          <w:lang w:val="en-GB"/>
        </w:rPr>
        <w:t xml:space="preserve"> let alone a comprehensive</w:t>
      </w:r>
      <w:r w:rsidRPr="00A86F53">
        <w:rPr>
          <w:b/>
          <w:lang w:val="en-GB"/>
        </w:rPr>
        <w:t xml:space="preserve">, coherent strategy for implementing the CRPD </w:t>
      </w:r>
      <w:r w:rsidRPr="00A86F53">
        <w:rPr>
          <w:lang w:val="en-GB"/>
        </w:rPr>
        <w:t xml:space="preserve">which: </w:t>
      </w:r>
    </w:p>
    <w:p w14:paraId="02715E33" w14:textId="77777777" w:rsidR="005D3D06" w:rsidRPr="00A86F53" w:rsidRDefault="005D3D06" w:rsidP="005D3D06">
      <w:pPr>
        <w:pStyle w:val="Aufzhlung"/>
        <w:numPr>
          <w:ilvl w:val="0"/>
          <w:numId w:val="8"/>
        </w:numPr>
        <w:ind w:left="357" w:hanging="357"/>
      </w:pPr>
      <w:r w:rsidRPr="00A86F53">
        <w:t xml:space="preserve">ensures compliance with CRPD obligations throughout the federal system and gives effect to the Convention in the form of a </w:t>
      </w:r>
      <w:r w:rsidRPr="00A86F53">
        <w:rPr>
          <w:b/>
        </w:rPr>
        <w:t>concrete action plan</w:t>
      </w:r>
      <w:r w:rsidRPr="00A86F53">
        <w:t xml:space="preserve"> with clear and demonstrable targets at all levels of society</w:t>
      </w:r>
      <w:r>
        <w:t>;</w:t>
      </w:r>
      <w:r w:rsidRPr="00A86F53">
        <w:t xml:space="preserve"> </w:t>
      </w:r>
    </w:p>
    <w:p w14:paraId="52377A85" w14:textId="77777777" w:rsidR="005D3D06" w:rsidRPr="00A86F53" w:rsidRDefault="005D3D06" w:rsidP="005D3D06">
      <w:pPr>
        <w:pStyle w:val="Aufzhlung"/>
        <w:numPr>
          <w:ilvl w:val="0"/>
          <w:numId w:val="8"/>
        </w:numPr>
        <w:ind w:left="357" w:hanging="357"/>
        <w:rPr>
          <w:rFonts w:ascii="Calibri" w:hAnsi="Calibri"/>
        </w:rPr>
      </w:pPr>
      <w:r w:rsidRPr="00A86F53">
        <w:rPr>
          <w:b/>
          <w:bCs/>
        </w:rPr>
        <w:t>reviews existing laws and policies</w:t>
      </w:r>
      <w:r w:rsidRPr="00A86F53">
        <w:t xml:space="preserve"> that have an impact on the lives of PWD in all areas and, where required, corrects or supplements them or improves coordination between them; </w:t>
      </w:r>
    </w:p>
    <w:p w14:paraId="3564140D" w14:textId="77777777" w:rsidR="005D3D06" w:rsidRPr="00A86F53" w:rsidRDefault="005D3D06" w:rsidP="005D3D06">
      <w:pPr>
        <w:pStyle w:val="Aufzhlung"/>
        <w:numPr>
          <w:ilvl w:val="0"/>
          <w:numId w:val="8"/>
        </w:numPr>
        <w:ind w:left="357" w:hanging="357"/>
        <w:rPr>
          <w:rFonts w:ascii="Calibri" w:hAnsi="Calibri"/>
        </w:rPr>
      </w:pPr>
      <w:r w:rsidRPr="00A86F53">
        <w:t xml:space="preserve">puts in place </w:t>
      </w:r>
      <w:r w:rsidRPr="00A86F53">
        <w:rPr>
          <w:b/>
          <w:bCs/>
        </w:rPr>
        <w:t>mechanisms to enable it to be implemented rigorously</w:t>
      </w:r>
      <w:r w:rsidRPr="00A86F53">
        <w:t xml:space="preserve"> at all levels of society, as well as to ensure regular independent reviews (see Article 33). </w:t>
      </w:r>
    </w:p>
    <w:p w14:paraId="5B6213B5" w14:textId="6D771BB1" w:rsidR="005D3D06" w:rsidRPr="00A86F53" w:rsidRDefault="005D3D06" w:rsidP="005D3D06">
      <w:pPr>
        <w:rPr>
          <w:rFonts w:eastAsia="Cambria" w:cs="Times New Roman"/>
          <w:lang w:val="en-GB"/>
        </w:rPr>
      </w:pPr>
      <w:r w:rsidRPr="00A86F53">
        <w:rPr>
          <w:rFonts w:eastAsia="Cambria" w:cs="Times New Roman"/>
          <w:lang w:val="en-GB"/>
        </w:rPr>
        <w:t xml:space="preserve">For more than half a century, Switzerland’s </w:t>
      </w:r>
      <w:r w:rsidR="000C6BE6">
        <w:rPr>
          <w:rFonts w:eastAsia="Cambria" w:cs="Times New Roman"/>
          <w:lang w:val="en-GB"/>
        </w:rPr>
        <w:t>“</w:t>
      </w:r>
      <w:r w:rsidRPr="00A86F53">
        <w:rPr>
          <w:rFonts w:eastAsia="Cambria" w:cs="Times New Roman"/>
          <w:lang w:val="en-GB"/>
        </w:rPr>
        <w:t>policy on PWD</w:t>
      </w:r>
      <w:r w:rsidR="000C6BE6">
        <w:rPr>
          <w:rFonts w:eastAsia="Cambria" w:cs="Times New Roman"/>
          <w:lang w:val="en-GB"/>
        </w:rPr>
        <w:t>”</w:t>
      </w:r>
      <w:r w:rsidRPr="00A86F53">
        <w:rPr>
          <w:rFonts w:eastAsia="Cambria" w:cs="Times New Roman"/>
          <w:lang w:val="en-GB"/>
        </w:rPr>
        <w:t xml:space="preserve"> has been strongly influenced by the federal social insurance schemes,</w:t>
      </w:r>
      <w:r w:rsidRPr="00A86F53">
        <w:rPr>
          <w:rStyle w:val="FootnoteReference"/>
          <w:lang w:val="en-GB"/>
        </w:rPr>
        <w:footnoteReference w:id="20"/>
      </w:r>
      <w:r w:rsidRPr="00A86F53">
        <w:rPr>
          <w:rStyle w:val="FootnoteReference"/>
          <w:lang w:val="en-GB"/>
        </w:rPr>
        <w:t xml:space="preserve"> </w:t>
      </w:r>
      <w:r w:rsidRPr="00A86F53">
        <w:rPr>
          <w:rFonts w:eastAsia="Cambria" w:cs="Times New Roman"/>
          <w:lang w:val="en-GB"/>
        </w:rPr>
        <w:t xml:space="preserve">particularly “invalidity insurance”, with its largely </w:t>
      </w:r>
      <w:r w:rsidRPr="00A86F53">
        <w:rPr>
          <w:rFonts w:eastAsia="Cambria" w:cs="Times New Roman"/>
          <w:b/>
          <w:lang w:val="en-GB"/>
        </w:rPr>
        <w:t>medical understanding of disability that focuses on deficits</w:t>
      </w:r>
      <w:r w:rsidRPr="00A86F53">
        <w:rPr>
          <w:rFonts w:eastAsia="Cambria" w:cs="Times New Roman"/>
          <w:lang w:val="en-GB"/>
        </w:rPr>
        <w:t xml:space="preserve">. As a result, disability as an issue is addressed on both a substantive and an institutional level primarily through social policy and benefits. The </w:t>
      </w:r>
      <w:r w:rsidRPr="00A86F53">
        <w:rPr>
          <w:rFonts w:eastAsia="Cambria" w:cs="Times New Roman"/>
          <w:lang w:val="en-GB"/>
        </w:rPr>
        <w:lastRenderedPageBreak/>
        <w:t xml:space="preserve">concept of </w:t>
      </w:r>
      <w:r w:rsidRPr="00A86F53">
        <w:rPr>
          <w:rFonts w:eastAsia="Cambria" w:cs="Times New Roman"/>
          <w:b/>
          <w:lang w:val="en-GB"/>
        </w:rPr>
        <w:t xml:space="preserve">inclusion has not been systematically embraced and implemented at federal, cantonal or municipal level, or indeed by organisations </w:t>
      </w:r>
      <w:r>
        <w:rPr>
          <w:rFonts w:eastAsia="Cambria" w:cs="Times New Roman"/>
          <w:b/>
          <w:lang w:val="en-GB"/>
        </w:rPr>
        <w:t xml:space="preserve">of PWD </w:t>
      </w:r>
      <w:r w:rsidRPr="00A86F53">
        <w:rPr>
          <w:rFonts w:eastAsia="Cambria" w:cs="Times New Roman"/>
          <w:b/>
          <w:lang w:val="en-GB"/>
        </w:rPr>
        <w:t>and institutions for PWD</w:t>
      </w:r>
      <w:r w:rsidRPr="00A86F53">
        <w:rPr>
          <w:rFonts w:eastAsia="Cambria" w:cs="Times New Roman"/>
          <w:lang w:val="en-GB"/>
        </w:rPr>
        <w:t>.</w:t>
      </w:r>
    </w:p>
    <w:p w14:paraId="5C9AF08D" w14:textId="3580935C" w:rsidR="005D3D06" w:rsidRPr="00A86F53" w:rsidRDefault="005D3D06" w:rsidP="005D3D06">
      <w:pPr>
        <w:pStyle w:val="BodyText"/>
        <w:rPr>
          <w:lang w:val="en-GB"/>
        </w:rPr>
      </w:pPr>
      <w:r w:rsidRPr="00A86F53">
        <w:rPr>
          <w:lang w:val="en-GB"/>
        </w:rPr>
        <w:t xml:space="preserve">One consequence of this is that Switzerland has not consistently complied with its obligations under </w:t>
      </w:r>
      <w:r w:rsidRPr="00A86F53">
        <w:rPr>
          <w:b/>
          <w:lang w:val="en-GB"/>
        </w:rPr>
        <w:t xml:space="preserve">Article 4(1)(a)–(c) </w:t>
      </w:r>
      <w:r w:rsidRPr="00A86F53">
        <w:rPr>
          <w:b/>
          <w:bCs/>
          <w:lang w:val="en-GB"/>
        </w:rPr>
        <w:t>CRPD</w:t>
      </w:r>
      <w:r w:rsidRPr="00A86F53">
        <w:rPr>
          <w:lang w:val="en-GB"/>
        </w:rPr>
        <w:t>. The constitutional mandate pursuant to Article 8(4) of the Federal Constitution, which has already obligated the Confederation, cantons and municipalities since 2000 to enact the necessary legislation, is too narrow (</w:t>
      </w:r>
      <w:r w:rsidR="000C6BE6">
        <w:rPr>
          <w:lang w:val="en-GB"/>
        </w:rPr>
        <w:t>“</w:t>
      </w:r>
      <w:r w:rsidRPr="00A86F53">
        <w:rPr>
          <w:lang w:val="en-GB"/>
        </w:rPr>
        <w:t>elimination of the disadvantages of PWD</w:t>
      </w:r>
      <w:r w:rsidR="000C6BE6">
        <w:rPr>
          <w:lang w:val="en-GB"/>
        </w:rPr>
        <w:t>”</w:t>
      </w:r>
      <w:r w:rsidRPr="00A86F53">
        <w:rPr>
          <w:lang w:val="en-GB"/>
        </w:rPr>
        <w:t xml:space="preserve"> and not </w:t>
      </w:r>
      <w:r w:rsidR="000C6BE6">
        <w:rPr>
          <w:lang w:val="en-GB"/>
        </w:rPr>
        <w:t>“</w:t>
      </w:r>
      <w:r w:rsidRPr="00A86F53">
        <w:rPr>
          <w:lang w:val="en-GB"/>
        </w:rPr>
        <w:t>equality of PWD</w:t>
      </w:r>
      <w:r w:rsidR="000C6BE6">
        <w:rPr>
          <w:lang w:val="en-GB"/>
        </w:rPr>
        <w:t>”</w:t>
      </w:r>
      <w:r w:rsidRPr="00A86F53">
        <w:rPr>
          <w:rStyle w:val="FootnoteReference"/>
          <w:lang w:val="en-GB"/>
        </w:rPr>
        <w:footnoteReference w:id="21"/>
      </w:r>
      <w:r w:rsidRPr="00A86F53">
        <w:rPr>
          <w:lang w:val="en-GB"/>
        </w:rPr>
        <w:t xml:space="preserve">) and has by no means been fully implemented. In addition, most laws and policies are enacted and revised at all levels of society </w:t>
      </w:r>
      <w:r w:rsidRPr="00A86F53">
        <w:rPr>
          <w:b/>
          <w:lang w:val="en-GB"/>
        </w:rPr>
        <w:t xml:space="preserve">without the involvement of PWD and without taking into account their concerns </w:t>
      </w:r>
      <w:r w:rsidRPr="00A86F53">
        <w:rPr>
          <w:b/>
          <w:bCs/>
          <w:lang w:val="en-GB"/>
        </w:rPr>
        <w:t>and needs</w:t>
      </w:r>
      <w:r w:rsidRPr="00A86F53">
        <w:rPr>
          <w:lang w:val="en-GB"/>
        </w:rPr>
        <w:t>.</w:t>
      </w:r>
      <w:r w:rsidRPr="00A86F53">
        <w:rPr>
          <w:vertAlign w:val="superscript"/>
          <w:lang w:val="en-GB"/>
        </w:rPr>
        <w:footnoteReference w:id="22"/>
      </w:r>
      <w:r w:rsidRPr="00A86F53">
        <w:rPr>
          <w:lang w:val="en-GB"/>
        </w:rPr>
        <w:t xml:space="preserve"> Even for the further planning of the priority topic “Living independently” as part of the policy </w:t>
      </w:r>
      <w:r>
        <w:rPr>
          <w:lang w:val="en-GB"/>
        </w:rPr>
        <w:t>on</w:t>
      </w:r>
      <w:r w:rsidRPr="00A86F53">
        <w:rPr>
          <w:lang w:val="en-GB"/>
        </w:rPr>
        <w:t xml:space="preserve"> PWD for the years 2022-2026, the umbrella organisation Inclusion Handicap was initially involved at short notice, without enabling the affected people to be consulted or their needs to be assessed. </w:t>
      </w:r>
      <w:r w:rsidRPr="006A12A3">
        <w:rPr>
          <w:lang w:val="en-GB"/>
        </w:rPr>
        <w:t>By now, however, the FBED is consulting more closely with organisations of PWD in this respect.</w:t>
      </w:r>
    </w:p>
    <w:p w14:paraId="3E61BAE0" w14:textId="60BAE1EF" w:rsidR="0094135C" w:rsidRPr="0001096E" w:rsidRDefault="005D3D06" w:rsidP="005D3D06">
      <w:pPr>
        <w:pStyle w:val="BodyText"/>
        <w:rPr>
          <w:lang w:val="en-GB"/>
        </w:rPr>
      </w:pPr>
      <w:r w:rsidRPr="00A86F53">
        <w:rPr>
          <w:lang w:val="en-GB"/>
        </w:rPr>
        <w:t xml:space="preserve">Although the </w:t>
      </w:r>
      <w:r w:rsidRPr="00A86F53">
        <w:rPr>
          <w:b/>
          <w:bCs/>
          <w:lang w:val="en-GB"/>
        </w:rPr>
        <w:t xml:space="preserve">consultation procedure </w:t>
      </w:r>
      <w:r w:rsidRPr="00A86F53">
        <w:rPr>
          <w:lang w:val="en-GB"/>
        </w:rPr>
        <w:t xml:space="preserve">mentioned by Switzerland in its Reply to the LoI (para. 2), is a tried and tested instrument for involving civil society in Switzerland, it is taking place at a time when the legislative project is already conceptually so advanced (mostly without taking into account the concerns of </w:t>
      </w:r>
      <w:r w:rsidRPr="00A86F53">
        <w:rPr>
          <w:lang w:val="en-GB"/>
        </w:rPr>
        <w:lastRenderedPageBreak/>
        <w:t>PWD</w:t>
      </w:r>
      <w:r w:rsidRPr="00A86F53">
        <w:rPr>
          <w:rFonts w:eastAsia="Calibri"/>
          <w:color w:val="000000"/>
          <w:lang w:val="en-GB"/>
        </w:rPr>
        <w:t xml:space="preserve">) </w:t>
      </w:r>
      <w:r w:rsidRPr="00A86F53">
        <w:rPr>
          <w:lang w:val="en-GB"/>
        </w:rPr>
        <w:t xml:space="preserve">that fundamental adjustments cannot be made without significant delays. The consultation procedure is therefore not suitable as an instrument for actually taking into account the needs of </w:t>
      </w:r>
      <w:r w:rsidRPr="00A86F53">
        <w:rPr>
          <w:rFonts w:eastAsia="Calibri"/>
          <w:color w:val="000000"/>
          <w:lang w:val="en-GB"/>
        </w:rPr>
        <w:t>PWD</w:t>
      </w:r>
      <w:r w:rsidRPr="00A86F53">
        <w:rPr>
          <w:lang w:val="en-GB"/>
        </w:rPr>
        <w:t xml:space="preserve"> pursuant to Article 4(3) CRPD.</w:t>
      </w:r>
    </w:p>
    <w:p w14:paraId="6BFF76E2" w14:textId="1F70E0E3" w:rsidR="000C5392" w:rsidRPr="0001096E" w:rsidRDefault="00BA7E32" w:rsidP="006066DC">
      <w:pPr>
        <w:pStyle w:val="Subtitle"/>
        <w:rPr>
          <w:lang w:val="en-GB"/>
        </w:rPr>
      </w:pPr>
      <w:r w:rsidRPr="0001096E">
        <w:rPr>
          <w:lang w:val="en-GB"/>
        </w:rPr>
        <w:t>Optional protocol to the CRPD (OP-CRPD) not ratified</w:t>
      </w:r>
      <w:r w:rsidR="00CC1E4C">
        <w:rPr>
          <w:lang w:val="en-GB"/>
        </w:rPr>
        <w:t xml:space="preserve"> (LoI, 1d)</w:t>
      </w:r>
    </w:p>
    <w:p w14:paraId="6954F8CE" w14:textId="748E388E" w:rsidR="005D3D06" w:rsidRPr="00A86F53" w:rsidRDefault="005D3D06" w:rsidP="005D3D06">
      <w:pPr>
        <w:pStyle w:val="BodyText"/>
        <w:rPr>
          <w:lang w:val="en-GB"/>
        </w:rPr>
      </w:pPr>
      <w:r w:rsidRPr="00A86F53">
        <w:rPr>
          <w:lang w:val="en-GB"/>
        </w:rPr>
        <w:t>Switzerland has long been aware of the significance of complaints procedures before UN human rights treaty bodies for the actual enforcement of human rights. It recognises the competence to examine individual complaints of the Committees against Torture, the Elimination of Racial Discrimination, the Rights of Women and the Rights of Children.</w:t>
      </w:r>
      <w:r w:rsidRPr="00A86F53">
        <w:rPr>
          <w:vertAlign w:val="superscript"/>
          <w:lang w:val="en-GB"/>
        </w:rPr>
        <w:footnoteReference w:id="23"/>
      </w:r>
      <w:r w:rsidRPr="00A86F53">
        <w:rPr>
          <w:lang w:val="en-GB"/>
        </w:rPr>
        <w:t xml:space="preserve"> Nevertheless, </w:t>
      </w:r>
      <w:r w:rsidRPr="00A86F53">
        <w:rPr>
          <w:b/>
          <w:lang w:val="en-GB"/>
        </w:rPr>
        <w:t>in early 2018, it again refused to ratify the OP-CR</w:t>
      </w:r>
      <w:r w:rsidRPr="00A86F53">
        <w:rPr>
          <w:b/>
          <w:bCs/>
          <w:lang w:val="en-GB"/>
        </w:rPr>
        <w:t>PD</w:t>
      </w:r>
      <w:r w:rsidRPr="00A86F53">
        <w:rPr>
          <w:lang w:val="en-GB"/>
        </w:rPr>
        <w:t xml:space="preserve"> in the context of UPR recommendations</w:t>
      </w:r>
      <w:r w:rsidRPr="00A86F53">
        <w:rPr>
          <w:rStyle w:val="FootnoteReference"/>
          <w:lang w:val="en-GB"/>
        </w:rPr>
        <w:footnoteReference w:id="24"/>
      </w:r>
      <w:r w:rsidRPr="00A86F53">
        <w:rPr>
          <w:lang w:val="en-GB"/>
        </w:rPr>
        <w:t xml:space="preserve">, at least temporarily. </w:t>
      </w:r>
      <w:r w:rsidRPr="00A86F53">
        <w:rPr>
          <w:b/>
          <w:lang w:val="en-GB"/>
        </w:rPr>
        <w:t>The Federal Council likewise</w:t>
      </w:r>
      <w:r w:rsidRPr="00A86F53">
        <w:rPr>
          <w:lang w:val="en-GB"/>
        </w:rPr>
        <w:t xml:space="preserve"> did this in </w:t>
      </w:r>
      <w:r w:rsidRPr="00A86F53">
        <w:rPr>
          <w:b/>
          <w:lang w:val="en-GB"/>
        </w:rPr>
        <w:t>2020</w:t>
      </w:r>
      <w:r w:rsidRPr="00A86F53">
        <w:rPr>
          <w:lang w:val="en-GB"/>
        </w:rPr>
        <w:t xml:space="preserve"> in its reply to a parliamentary motion.</w:t>
      </w:r>
      <w:r w:rsidRPr="00A86F53">
        <w:rPr>
          <w:rStyle w:val="FootnoteReference"/>
          <w:lang w:val="en-GB"/>
        </w:rPr>
        <w:footnoteReference w:id="25"/>
      </w:r>
      <w:r w:rsidRPr="00A86F53">
        <w:rPr>
          <w:lang w:val="en-GB"/>
        </w:rPr>
        <w:t xml:space="preserve"> However, it is prepared to provide clarifications regarding the consequences of ratifying the OP-CRPD as soon as the Committee’s </w:t>
      </w:r>
      <w:r>
        <w:rPr>
          <w:lang w:val="en-GB"/>
        </w:rPr>
        <w:t>concluding observations</w:t>
      </w:r>
      <w:r w:rsidRPr="00A86F53">
        <w:rPr>
          <w:lang w:val="en-GB"/>
        </w:rPr>
        <w:t xml:space="preserve"> on Switzerland’s ISR are available (see also Reply </w:t>
      </w:r>
      <w:r w:rsidR="00CC1E4C">
        <w:rPr>
          <w:lang w:val="en-GB"/>
        </w:rPr>
        <w:t>to</w:t>
      </w:r>
      <w:r w:rsidRPr="00A86F53">
        <w:rPr>
          <w:lang w:val="en-GB"/>
        </w:rPr>
        <w:t xml:space="preserve"> LoI, para. 4).</w:t>
      </w:r>
    </w:p>
    <w:p w14:paraId="5C730E38" w14:textId="3A43511E" w:rsidR="0094135C" w:rsidRPr="0001096E" w:rsidRDefault="005D3D06" w:rsidP="005D3D06">
      <w:pPr>
        <w:pStyle w:val="BodyText"/>
        <w:rPr>
          <w:lang w:val="en-GB"/>
        </w:rPr>
      </w:pPr>
      <w:r w:rsidRPr="00A86F53">
        <w:rPr>
          <w:lang w:val="en-GB"/>
        </w:rPr>
        <w:t xml:space="preserve">For </w:t>
      </w:r>
      <w:r w:rsidRPr="00A86F53">
        <w:rPr>
          <w:b/>
          <w:lang w:val="en-GB"/>
        </w:rPr>
        <w:t>two reasons,</w:t>
      </w:r>
      <w:r w:rsidRPr="00A86F53">
        <w:rPr>
          <w:lang w:val="en-GB"/>
        </w:rPr>
        <w:t xml:space="preserve"> Switzerland’s ratification of the OP-CRPD appears </w:t>
      </w:r>
      <w:r w:rsidRPr="00A86F53">
        <w:rPr>
          <w:b/>
          <w:lang w:val="en-GB"/>
        </w:rPr>
        <w:t xml:space="preserve">particularly important </w:t>
      </w:r>
      <w:r w:rsidRPr="00C81172">
        <w:rPr>
          <w:bCs/>
          <w:lang w:val="en-GB"/>
        </w:rPr>
        <w:t>in</w:t>
      </w:r>
      <w:r w:rsidRPr="00A86F53">
        <w:rPr>
          <w:lang w:val="en-GB"/>
        </w:rPr>
        <w:t xml:space="preserve"> order to guarantee </w:t>
      </w:r>
      <w:r w:rsidRPr="00A86F53">
        <w:rPr>
          <w:rFonts w:eastAsia="Calibri"/>
          <w:color w:val="000000"/>
          <w:lang w:val="en-GB"/>
        </w:rPr>
        <w:t>that PWD have the</w:t>
      </w:r>
      <w:r w:rsidRPr="00A86F53">
        <w:rPr>
          <w:lang w:val="en-GB"/>
        </w:rPr>
        <w:t xml:space="preserve"> right of access to justice: 1) At present, the Federal Supreme Court has the final say on complaints that are based on CRPD guarantees and object to their violation. </w:t>
      </w:r>
      <w:r w:rsidRPr="00A86F53">
        <w:rPr>
          <w:b/>
          <w:lang w:val="en-GB"/>
        </w:rPr>
        <w:t>However, the Federal Supreme Court has thus far held that economic, cultural and political rights under the</w:t>
      </w:r>
      <w:r w:rsidRPr="00A86F53">
        <w:rPr>
          <w:lang w:val="en-GB"/>
        </w:rPr>
        <w:t xml:space="preserve"> </w:t>
      </w:r>
      <w:r w:rsidRPr="00A86F53">
        <w:rPr>
          <w:b/>
          <w:bCs/>
          <w:lang w:val="en-GB"/>
        </w:rPr>
        <w:t xml:space="preserve">International Covenant on Economic, Social </w:t>
      </w:r>
      <w:r w:rsidRPr="00A86F53">
        <w:rPr>
          <w:b/>
          <w:bCs/>
          <w:lang w:val="en-GB"/>
        </w:rPr>
        <w:lastRenderedPageBreak/>
        <w:t xml:space="preserve">and Cultural Rights </w:t>
      </w:r>
      <w:r w:rsidRPr="00A86F53">
        <w:rPr>
          <w:b/>
          <w:lang w:val="en-GB"/>
        </w:rPr>
        <w:t>are not directly actionable, which means there is a risk that only limited consideration will be given to the CRPD within judicial proceedings</w:t>
      </w:r>
      <w:r w:rsidRPr="00A86F53">
        <w:rPr>
          <w:lang w:val="en-GB"/>
        </w:rPr>
        <w:t>. 2) In addition, as a consequence of Article 190 of the Federal Constitution (</w:t>
      </w:r>
      <w:r w:rsidRPr="00A86F53">
        <w:rPr>
          <w:b/>
          <w:lang w:val="en-GB"/>
        </w:rPr>
        <w:t>lack of constitutional jurisdiction)</w:t>
      </w:r>
      <w:r w:rsidRPr="00A86F53">
        <w:rPr>
          <w:lang w:val="en-GB"/>
        </w:rPr>
        <w:t xml:space="preserve">, federal laws that infringe the rights of PWD may nonetheless apply: Although the Federal Supreme Court may draw attention to the unconstitutional nature of a federal law, it cannot invalidate it. </w:t>
      </w:r>
    </w:p>
    <w:p w14:paraId="1C9F506B" w14:textId="52754CF7" w:rsidR="000C5392" w:rsidRPr="0001096E" w:rsidRDefault="00BA7E32" w:rsidP="000C5392">
      <w:pPr>
        <w:pStyle w:val="Subtitle"/>
        <w:rPr>
          <w:lang w:val="en-GB"/>
        </w:rPr>
      </w:pPr>
      <w:r w:rsidRPr="0001096E">
        <w:rPr>
          <w:lang w:val="en-GB"/>
        </w:rPr>
        <w:t>The term “disability”</w:t>
      </w:r>
      <w:r w:rsidR="0096584B">
        <w:rPr>
          <w:lang w:val="en-GB"/>
        </w:rPr>
        <w:t>(LoI, 1a)</w:t>
      </w:r>
    </w:p>
    <w:p w14:paraId="53C63022" w14:textId="76B50710" w:rsidR="0094135C" w:rsidRPr="0001096E" w:rsidRDefault="005D3D06" w:rsidP="005D3D06">
      <w:pPr>
        <w:pStyle w:val="BodyText"/>
        <w:rPr>
          <w:lang w:val="en-GB"/>
        </w:rPr>
      </w:pPr>
      <w:r w:rsidRPr="00A86F53">
        <w:rPr>
          <w:lang w:val="en-GB"/>
        </w:rPr>
        <w:t xml:space="preserve">The Federal Constitution (Cst.) contains not only the term </w:t>
      </w:r>
      <w:r w:rsidR="003979FB">
        <w:rPr>
          <w:lang w:val="en-GB"/>
        </w:rPr>
        <w:t>“</w:t>
      </w:r>
      <w:r w:rsidRPr="00A86F53">
        <w:rPr>
          <w:lang w:val="en-GB"/>
        </w:rPr>
        <w:t>disability</w:t>
      </w:r>
      <w:r w:rsidR="003979FB">
        <w:rPr>
          <w:lang w:val="en-GB"/>
        </w:rPr>
        <w:t>”</w:t>
      </w:r>
      <w:r w:rsidRPr="00A86F53">
        <w:rPr>
          <w:lang w:val="en-GB"/>
        </w:rPr>
        <w:t xml:space="preserve"> in Article 8(2) and (4) but also the term </w:t>
      </w:r>
      <w:r w:rsidRPr="00A86F53">
        <w:rPr>
          <w:b/>
          <w:lang w:val="en-GB"/>
        </w:rPr>
        <w:t>“invalidity”</w:t>
      </w:r>
      <w:r w:rsidRPr="00A86F53">
        <w:rPr>
          <w:vertAlign w:val="superscript"/>
          <w:lang w:val="en-GB"/>
        </w:rPr>
        <w:footnoteReference w:id="26"/>
      </w:r>
      <w:r w:rsidRPr="00A86F53">
        <w:rPr>
          <w:vertAlign w:val="superscript"/>
          <w:lang w:val="en-GB"/>
        </w:rPr>
        <w:t xml:space="preserve"> </w:t>
      </w:r>
      <w:r w:rsidRPr="00A86F53">
        <w:rPr>
          <w:lang w:val="en-GB"/>
        </w:rPr>
        <w:t>(Article 41(2) Cst.), which is still based entirely on a medical understanding of disability that focuses on deficits.</w:t>
      </w:r>
      <w:r w:rsidRPr="00A86F53">
        <w:rPr>
          <w:vertAlign w:val="superscript"/>
          <w:lang w:val="en-GB"/>
        </w:rPr>
        <w:footnoteReference w:id="27"/>
      </w:r>
      <w:r w:rsidRPr="00A86F53">
        <w:rPr>
          <w:lang w:val="en-GB"/>
        </w:rPr>
        <w:t xml:space="preserve"> The law still uses the term </w:t>
      </w:r>
      <w:r w:rsidR="003979FB">
        <w:rPr>
          <w:b/>
          <w:bCs/>
          <w:lang w:val="en-GB"/>
        </w:rPr>
        <w:t>“</w:t>
      </w:r>
      <w:r w:rsidRPr="00A86F53">
        <w:rPr>
          <w:b/>
          <w:bCs/>
          <w:lang w:val="en-GB"/>
        </w:rPr>
        <w:t>helplessness allowance</w:t>
      </w:r>
      <w:r w:rsidR="003979FB">
        <w:rPr>
          <w:b/>
          <w:bCs/>
          <w:lang w:val="en-GB"/>
        </w:rPr>
        <w:t>”</w:t>
      </w:r>
      <w:r w:rsidRPr="00A86F53">
        <w:rPr>
          <w:lang w:val="en-GB"/>
        </w:rPr>
        <w:t xml:space="preserve"> in relation to PWD.</w:t>
      </w:r>
      <w:r w:rsidRPr="00A86F53">
        <w:rPr>
          <w:vertAlign w:val="superscript"/>
          <w:lang w:val="en-GB"/>
        </w:rPr>
        <w:footnoteReference w:id="28"/>
      </w:r>
      <w:r w:rsidRPr="00A86F53">
        <w:rPr>
          <w:lang w:val="en-GB"/>
        </w:rPr>
        <w:t xml:space="preserve"> </w:t>
      </w:r>
    </w:p>
    <w:p w14:paraId="7FE300A3" w14:textId="1A1FD1AF" w:rsidR="000C5392" w:rsidRDefault="000C5392" w:rsidP="000C5392">
      <w:pPr>
        <w:pStyle w:val="Subtitle"/>
        <w:rPr>
          <w:lang w:val="en-GB"/>
        </w:rPr>
      </w:pPr>
      <w:r w:rsidRPr="0001096E">
        <w:rPr>
          <w:lang w:val="en-GB"/>
        </w:rPr>
        <w:t>Corona</w:t>
      </w:r>
      <w:r w:rsidR="00BA7E32" w:rsidRPr="0001096E">
        <w:rPr>
          <w:lang w:val="en-GB"/>
        </w:rPr>
        <w:t>virus p</w:t>
      </w:r>
      <w:r w:rsidRPr="0001096E">
        <w:rPr>
          <w:lang w:val="en-GB"/>
        </w:rPr>
        <w:t>andem</w:t>
      </w:r>
      <w:r w:rsidR="00BA7E32" w:rsidRPr="0001096E">
        <w:rPr>
          <w:lang w:val="en-GB"/>
        </w:rPr>
        <w:t>ic</w:t>
      </w:r>
    </w:p>
    <w:p w14:paraId="42DEDC39" w14:textId="77777777" w:rsidR="005D3D06" w:rsidRPr="00A86F53" w:rsidRDefault="005D3D06" w:rsidP="005D3D06">
      <w:pPr>
        <w:pStyle w:val="BodyText"/>
        <w:rPr>
          <w:lang w:val="en-GB"/>
        </w:rPr>
      </w:pPr>
      <w:r w:rsidRPr="00A86F53">
        <w:rPr>
          <w:lang w:val="en-GB"/>
        </w:rPr>
        <w:t xml:space="preserve">The coronavirus pandemic has also affected </w:t>
      </w:r>
      <w:r w:rsidRPr="00A86F53">
        <w:rPr>
          <w:rFonts w:eastAsia="Calibri"/>
          <w:color w:val="000000"/>
          <w:lang w:val="en-GB"/>
        </w:rPr>
        <w:t xml:space="preserve">PWD </w:t>
      </w:r>
      <w:r w:rsidRPr="00A86F53">
        <w:rPr>
          <w:lang w:val="en-GB"/>
        </w:rPr>
        <w:t xml:space="preserve">particularly intensively in Switzerland: </w:t>
      </w:r>
    </w:p>
    <w:p w14:paraId="7AB34B99" w14:textId="77777777" w:rsidR="005D3D06" w:rsidRPr="005D3D06" w:rsidRDefault="005D3D06" w:rsidP="005D3D06">
      <w:pPr>
        <w:pStyle w:val="ListParagraph"/>
        <w:numPr>
          <w:ilvl w:val="0"/>
          <w:numId w:val="27"/>
        </w:numPr>
        <w:shd w:val="clear" w:color="auto" w:fill="FFFFFF" w:themeFill="background1"/>
        <w:suppressAutoHyphens/>
        <w:spacing w:before="60" w:after="60" w:line="280" w:lineRule="exact"/>
        <w:contextualSpacing w:val="0"/>
        <w:rPr>
          <w:lang w:val="en-GB"/>
        </w:rPr>
      </w:pPr>
      <w:r w:rsidRPr="005D3D06">
        <w:rPr>
          <w:lang w:val="en-GB"/>
        </w:rPr>
        <w:t>Contrary to Switzerland’s statements regarding the LoI (para. 92), the Federal Administration did not, from the outset,</w:t>
      </w:r>
      <w:r w:rsidRPr="005D3D06">
        <w:rPr>
          <w:b/>
          <w:lang w:val="en-GB"/>
        </w:rPr>
        <w:t xml:space="preserve"> communicate </w:t>
      </w:r>
      <w:r w:rsidRPr="005D3D06">
        <w:rPr>
          <w:lang w:val="en-GB"/>
        </w:rPr>
        <w:t xml:space="preserve">the coronavirus pandemic in a form accessible to all </w:t>
      </w:r>
      <w:r w:rsidRPr="005D3D06">
        <w:rPr>
          <w:rFonts w:eastAsia="Calibri"/>
          <w:color w:val="000000"/>
          <w:lang w:val="en-GB"/>
        </w:rPr>
        <w:t>PWD</w:t>
      </w:r>
      <w:r w:rsidRPr="005D3D06">
        <w:rPr>
          <w:lang w:val="en-GB"/>
        </w:rPr>
        <w:t xml:space="preserve">. For example, the weekly or bi-weekly press conferences of the Federal Council were not translated into sign language for more than a month, or were only translated after the organisations of PWD intervened. </w:t>
      </w:r>
    </w:p>
    <w:p w14:paraId="4B682511" w14:textId="77777777" w:rsidR="005D3D06" w:rsidRPr="005D3D06" w:rsidRDefault="005D3D06" w:rsidP="005D3D06">
      <w:pPr>
        <w:pStyle w:val="ListParagraph"/>
        <w:numPr>
          <w:ilvl w:val="0"/>
          <w:numId w:val="27"/>
        </w:numPr>
        <w:shd w:val="clear" w:color="auto" w:fill="FFFFFF" w:themeFill="background1"/>
        <w:suppressAutoHyphens/>
        <w:spacing w:before="60" w:after="60" w:line="280" w:lineRule="exact"/>
        <w:contextualSpacing w:val="0"/>
        <w:rPr>
          <w:lang w:val="en-GB"/>
        </w:rPr>
      </w:pPr>
      <w:r w:rsidRPr="005D3D06">
        <w:rPr>
          <w:lang w:val="en-GB"/>
        </w:rPr>
        <w:lastRenderedPageBreak/>
        <w:t xml:space="preserve">In the spring of 2020, the Federal Office of Public Health (FOPH) recommended both </w:t>
      </w:r>
      <w:r w:rsidRPr="005D3D06">
        <w:rPr>
          <w:b/>
          <w:lang w:val="en-GB"/>
        </w:rPr>
        <w:t>visiting</w:t>
      </w:r>
      <w:r w:rsidRPr="005D3D06">
        <w:rPr>
          <w:lang w:val="en-GB"/>
        </w:rPr>
        <w:t xml:space="preserve"> </w:t>
      </w:r>
      <w:r w:rsidRPr="005D3D06">
        <w:rPr>
          <w:b/>
          <w:bCs/>
          <w:lang w:val="en-GB"/>
        </w:rPr>
        <w:t>bans and shelter-in-place orders</w:t>
      </w:r>
      <w:r w:rsidRPr="005D3D06">
        <w:rPr>
          <w:lang w:val="en-GB"/>
        </w:rPr>
        <w:t xml:space="preserve"> for retirement homes and homes for PWD. As a result, even people who are not considered particularly vulnerable in connection with the coronavirus were sometimes excluded from their usual contact with family and friends for several weeks.</w:t>
      </w:r>
      <w:r w:rsidRPr="005D3D06">
        <w:rPr>
          <w:vertAlign w:val="superscript"/>
          <w:lang w:val="en-GB"/>
        </w:rPr>
        <w:footnoteReference w:id="29"/>
      </w:r>
    </w:p>
    <w:p w14:paraId="7562DA02" w14:textId="77777777" w:rsidR="005D3D06" w:rsidRPr="005D3D06" w:rsidRDefault="005D3D06" w:rsidP="005D3D06">
      <w:pPr>
        <w:pStyle w:val="ListParagraph"/>
        <w:numPr>
          <w:ilvl w:val="0"/>
          <w:numId w:val="27"/>
        </w:numPr>
        <w:shd w:val="clear" w:color="auto" w:fill="FFFFFF" w:themeFill="background1"/>
        <w:suppressAutoHyphens/>
        <w:spacing w:before="60" w:after="60" w:line="280" w:lineRule="exact"/>
        <w:contextualSpacing w:val="0"/>
        <w:rPr>
          <w:lang w:val="en-GB"/>
        </w:rPr>
      </w:pPr>
      <w:r w:rsidRPr="005D3D06">
        <w:rPr>
          <w:lang w:val="en-GB"/>
        </w:rPr>
        <w:t>In 2020, the Swiss Academy of Medical Sciences (SAMW)</w:t>
      </w:r>
      <w:r w:rsidRPr="005D3D06">
        <w:rPr>
          <w:rStyle w:val="FootnoteReference"/>
          <w:lang w:val="en-GB"/>
        </w:rPr>
        <w:footnoteReference w:id="30"/>
      </w:r>
      <w:r w:rsidRPr="005D3D06">
        <w:rPr>
          <w:lang w:val="en-GB"/>
        </w:rPr>
        <w:t xml:space="preserve"> issued a new guideline on the issue of </w:t>
      </w:r>
      <w:r w:rsidRPr="005D3D06">
        <w:rPr>
          <w:b/>
          <w:lang w:val="en-GB"/>
        </w:rPr>
        <w:t>triage in the case of shortages in intensive care medicine</w:t>
      </w:r>
      <w:r w:rsidRPr="005D3D06">
        <w:rPr>
          <w:rStyle w:val="FootnoteReference"/>
          <w:lang w:val="en-GB"/>
        </w:rPr>
        <w:footnoteReference w:id="31"/>
      </w:r>
      <w:r w:rsidRPr="005D3D06">
        <w:rPr>
          <w:lang w:val="en-GB"/>
        </w:rPr>
        <w:t xml:space="preserve"> which resulted in discrimination against PWD (based on the Clinical Frailty Scale). With the intervention of organisations of PWD (i.e. not the Confederation), the discrimination has been removed by the SAMW. However, there is still no legal basis that would protect </w:t>
      </w:r>
      <w:r w:rsidRPr="005D3D06">
        <w:rPr>
          <w:rFonts w:eastAsia="Calibri"/>
          <w:color w:val="000000"/>
          <w:lang w:val="en-GB"/>
        </w:rPr>
        <w:t>PWD</w:t>
      </w:r>
      <w:r w:rsidRPr="005D3D06">
        <w:rPr>
          <w:lang w:val="en-GB"/>
        </w:rPr>
        <w:t xml:space="preserve"> from discrimination in triage decisions.</w:t>
      </w:r>
      <w:r w:rsidRPr="005D3D06">
        <w:rPr>
          <w:vertAlign w:val="superscript"/>
          <w:lang w:val="en-GB"/>
        </w:rPr>
        <w:footnoteReference w:id="32"/>
      </w:r>
    </w:p>
    <w:p w14:paraId="6C5280F3" w14:textId="77777777" w:rsidR="005D3D06" w:rsidRPr="005D3D06" w:rsidRDefault="005D3D06" w:rsidP="005D3D06">
      <w:pPr>
        <w:pStyle w:val="ListParagraph"/>
        <w:numPr>
          <w:ilvl w:val="0"/>
          <w:numId w:val="27"/>
        </w:numPr>
        <w:shd w:val="clear" w:color="auto" w:fill="FFFFFF" w:themeFill="background1"/>
        <w:suppressAutoHyphens/>
        <w:spacing w:before="60" w:after="60" w:line="280" w:lineRule="exact"/>
        <w:contextualSpacing w:val="0"/>
        <w:rPr>
          <w:lang w:val="en-GB"/>
        </w:rPr>
      </w:pPr>
      <w:r w:rsidRPr="005D3D06">
        <w:rPr>
          <w:lang w:val="en-GB"/>
        </w:rPr>
        <w:t xml:space="preserve">Moreover, </w:t>
      </w:r>
      <w:r w:rsidRPr="005D3D06">
        <w:rPr>
          <w:b/>
          <w:bCs/>
          <w:lang w:val="en-GB"/>
        </w:rPr>
        <w:t>ex</w:t>
      </w:r>
      <w:r w:rsidRPr="005D3D06">
        <w:rPr>
          <w:b/>
          <w:lang w:val="en-GB"/>
        </w:rPr>
        <w:t>ceptions from the duty to wear</w:t>
      </w:r>
      <w:r w:rsidRPr="005D3D06">
        <w:rPr>
          <w:lang w:val="en-GB"/>
        </w:rPr>
        <w:t xml:space="preserve"> masks for people who are unable to wear masks because of disability had to be requested from the FOPH by the organisations of PWD.</w:t>
      </w:r>
      <w:r w:rsidRPr="005D3D06">
        <w:rPr>
          <w:vertAlign w:val="superscript"/>
          <w:lang w:val="en-GB"/>
        </w:rPr>
        <w:footnoteReference w:id="33"/>
      </w:r>
      <w:r w:rsidRPr="005D3D06">
        <w:rPr>
          <w:lang w:val="en-GB"/>
        </w:rPr>
        <w:t xml:space="preserve"> </w:t>
      </w:r>
    </w:p>
    <w:p w14:paraId="3429DECB" w14:textId="77777777" w:rsidR="005D3D06" w:rsidRPr="005D3D06" w:rsidRDefault="005D3D06" w:rsidP="005D3D06">
      <w:pPr>
        <w:pStyle w:val="ListParagraph"/>
        <w:numPr>
          <w:ilvl w:val="0"/>
          <w:numId w:val="27"/>
        </w:numPr>
        <w:shd w:val="clear" w:color="auto" w:fill="FFFFFF" w:themeFill="background1"/>
        <w:suppressAutoHyphens/>
        <w:spacing w:before="60" w:after="60" w:line="280" w:lineRule="exact"/>
        <w:contextualSpacing w:val="0"/>
        <w:rPr>
          <w:lang w:val="en-GB"/>
        </w:rPr>
      </w:pPr>
      <w:r w:rsidRPr="005D3D06">
        <w:rPr>
          <w:lang w:val="en-GB"/>
        </w:rPr>
        <w:t xml:space="preserve">The situation of </w:t>
      </w:r>
      <w:r w:rsidRPr="005D3D06">
        <w:rPr>
          <w:rFonts w:eastAsia="Calibri"/>
          <w:color w:val="000000"/>
          <w:lang w:val="en-GB"/>
        </w:rPr>
        <w:t xml:space="preserve">PWD </w:t>
      </w:r>
      <w:r w:rsidRPr="005D3D06">
        <w:rPr>
          <w:lang w:val="en-GB"/>
        </w:rPr>
        <w:t xml:space="preserve">in the coronavirus pandemic is not being </w:t>
      </w:r>
      <w:r w:rsidRPr="005D3D06">
        <w:rPr>
          <w:b/>
          <w:lang w:val="en-GB"/>
        </w:rPr>
        <w:t>investigated</w:t>
      </w:r>
      <w:r w:rsidRPr="005D3D06">
        <w:rPr>
          <w:lang w:val="en-GB"/>
        </w:rPr>
        <w:t>.</w:t>
      </w:r>
      <w:r w:rsidRPr="005D3D06">
        <w:rPr>
          <w:vertAlign w:val="superscript"/>
          <w:lang w:val="en-GB"/>
        </w:rPr>
        <w:footnoteReference w:id="34"/>
      </w:r>
      <w:r w:rsidRPr="005D3D06">
        <w:rPr>
          <w:lang w:val="en-GB"/>
        </w:rPr>
        <w:t xml:space="preserve"> </w:t>
      </w:r>
    </w:p>
    <w:p w14:paraId="51BBEA89" w14:textId="1A82B53B" w:rsidR="005D3D06" w:rsidRPr="005D3D06" w:rsidRDefault="005D3D06" w:rsidP="005D3D06">
      <w:pPr>
        <w:pStyle w:val="BodyText"/>
        <w:rPr>
          <w:lang w:val="en-GB"/>
        </w:rPr>
      </w:pPr>
      <w:r w:rsidRPr="00A86F53">
        <w:rPr>
          <w:lang w:val="en-GB"/>
        </w:rPr>
        <w:lastRenderedPageBreak/>
        <w:t xml:space="preserve">On a </w:t>
      </w:r>
      <w:r w:rsidRPr="00A86F53">
        <w:rPr>
          <w:b/>
          <w:bCs/>
          <w:lang w:val="en-GB"/>
        </w:rPr>
        <w:t>positive</w:t>
      </w:r>
      <w:r w:rsidRPr="00A86F53">
        <w:rPr>
          <w:lang w:val="en-GB"/>
        </w:rPr>
        <w:t xml:space="preserve"> note, </w:t>
      </w:r>
      <w:r w:rsidRPr="00A86F53">
        <w:rPr>
          <w:b/>
          <w:lang w:val="en-GB"/>
        </w:rPr>
        <w:t xml:space="preserve">cooperation </w:t>
      </w:r>
      <w:r w:rsidRPr="00A86F53">
        <w:rPr>
          <w:rFonts w:eastAsia="Cambria"/>
          <w:b/>
          <w:lang w:val="en-GB"/>
        </w:rPr>
        <w:t>between</w:t>
      </w:r>
      <w:r w:rsidRPr="00A86F53">
        <w:rPr>
          <w:lang w:val="en-GB"/>
        </w:rPr>
        <w:t xml:space="preserve"> the </w:t>
      </w:r>
      <w:r w:rsidRPr="00A86F53">
        <w:rPr>
          <w:b/>
          <w:lang w:val="en-GB"/>
        </w:rPr>
        <w:t>FOPH/FBED and Inclusion Handicap</w:t>
      </w:r>
      <w:r w:rsidRPr="00A86F53">
        <w:rPr>
          <w:lang w:val="en-GB"/>
        </w:rPr>
        <w:t xml:space="preserve"> in the Coronavirus pandemic is now well established, and the FOPH is responding quickly to problem reports from organisations of PWD.</w:t>
      </w:r>
    </w:p>
    <w:p w14:paraId="3F89C8DA" w14:textId="4381B70A" w:rsidR="000C5392" w:rsidRPr="0001096E" w:rsidRDefault="00BA7E32" w:rsidP="000C5392">
      <w:pPr>
        <w:shd w:val="clear" w:color="auto" w:fill="FFFFCC"/>
        <w:rPr>
          <w:rFonts w:eastAsia="Cambria"/>
          <w:b/>
          <w:lang w:val="en-GB"/>
        </w:rPr>
      </w:pPr>
      <w:r w:rsidRPr="0001096E">
        <w:rPr>
          <w:rFonts w:eastAsia="Cambria"/>
          <w:b/>
          <w:lang w:val="en-GB"/>
        </w:rPr>
        <w:t>Proposals for recommendations:</w:t>
      </w:r>
    </w:p>
    <w:p w14:paraId="3387D9E6" w14:textId="77777777" w:rsidR="005D3D06" w:rsidRPr="00A86F53" w:rsidRDefault="005D3D06" w:rsidP="005D3D06">
      <w:pPr>
        <w:pStyle w:val="SBEmpfehlungen"/>
      </w:pPr>
      <w:r w:rsidRPr="00A86F53">
        <w:rPr>
          <w:b/>
        </w:rPr>
        <w:t xml:space="preserve">The </w:t>
      </w:r>
      <w:r w:rsidRPr="00A86F53">
        <w:rPr>
          <w:b/>
          <w:bCs/>
        </w:rPr>
        <w:t>Confederation</w:t>
      </w:r>
      <w:r w:rsidRPr="00A86F53">
        <w:rPr>
          <w:b/>
        </w:rPr>
        <w:t xml:space="preserve"> and </w:t>
      </w:r>
      <w:r w:rsidRPr="00A86F53">
        <w:rPr>
          <w:b/>
          <w:bCs/>
        </w:rPr>
        <w:t>the</w:t>
      </w:r>
      <w:r w:rsidRPr="00A86F53">
        <w:rPr>
          <w:b/>
        </w:rPr>
        <w:t xml:space="preserve"> cantons </w:t>
      </w:r>
      <w:r w:rsidRPr="00A86F53">
        <w:t xml:space="preserve">shall draw up a </w:t>
      </w:r>
      <w:r w:rsidRPr="00A86F53">
        <w:rPr>
          <w:b/>
        </w:rPr>
        <w:t>comprehensive National Action Plan</w:t>
      </w:r>
      <w:r w:rsidRPr="00A86F53">
        <w:t xml:space="preserve"> which obligates all relevant actors at all federal levels to take measures to implement all provisions of the UN CRPD, including the timing of their implementation and information for measuring their impact (including indicators and ongoing monitoring). </w:t>
      </w:r>
    </w:p>
    <w:p w14:paraId="7DBF2DA9" w14:textId="77777777" w:rsidR="005D3D06" w:rsidRPr="00A86F53" w:rsidRDefault="005D3D06" w:rsidP="005D3D06">
      <w:pPr>
        <w:pStyle w:val="SBEmpfehlungen"/>
      </w:pPr>
      <w:r w:rsidRPr="00A86F53">
        <w:rPr>
          <w:b/>
        </w:rPr>
        <w:t>Confederation: The Federal Administration, the Federal Council and the Federal Parliament</w:t>
      </w:r>
      <w:r w:rsidRPr="00A86F53">
        <w:t xml:space="preserve"> shall systematically review the legislative framework in the light of the </w:t>
      </w:r>
      <w:r w:rsidRPr="00A86F53">
        <w:rPr>
          <w:b/>
        </w:rPr>
        <w:t>CRPD</w:t>
      </w:r>
      <w:r w:rsidRPr="00A86F53">
        <w:t xml:space="preserve">. </w:t>
      </w:r>
      <w:r w:rsidRPr="00A86F53">
        <w:rPr>
          <w:b/>
          <w:bCs/>
        </w:rPr>
        <w:t>Cantons:</w:t>
      </w:r>
      <w:r w:rsidRPr="00A86F53">
        <w:t xml:space="preserve"> The </w:t>
      </w:r>
      <w:r w:rsidRPr="00A86F53">
        <w:rPr>
          <w:b/>
        </w:rPr>
        <w:t xml:space="preserve">cantons </w:t>
      </w:r>
      <w:r w:rsidRPr="00A86F53">
        <w:t>in which no such developments have yet been initiated shall draw up legislation and policies concerning the equality of PWD.</w:t>
      </w:r>
    </w:p>
    <w:p w14:paraId="2A4795D2" w14:textId="77777777" w:rsidR="005D3D06" w:rsidRPr="00A86F53" w:rsidRDefault="005D3D06" w:rsidP="005D3D06">
      <w:pPr>
        <w:pStyle w:val="SBEmpfehlungen"/>
      </w:pPr>
      <w:r w:rsidRPr="00A86F53">
        <w:t xml:space="preserve">The Confederation and the cantons shall ensure that the question </w:t>
      </w:r>
      <w:r w:rsidRPr="00A86F53">
        <w:rPr>
          <w:b/>
        </w:rPr>
        <w:t>of the actionability of CRPD</w:t>
      </w:r>
      <w:r w:rsidRPr="00A86F53">
        <w:t xml:space="preserve"> </w:t>
      </w:r>
      <w:r w:rsidRPr="00A86F53">
        <w:rPr>
          <w:b/>
        </w:rPr>
        <w:t>rights</w:t>
      </w:r>
      <w:r w:rsidRPr="00A86F53">
        <w:t xml:space="preserve"> is not </w:t>
      </w:r>
      <w:r w:rsidRPr="00B566FE">
        <w:t>treated restrictively</w:t>
      </w:r>
      <w:r w:rsidRPr="00A86F53">
        <w:t xml:space="preserve"> by the courts.</w:t>
      </w:r>
    </w:p>
    <w:p w14:paraId="174B62A6" w14:textId="7EA36FA0" w:rsidR="005D3D06" w:rsidRPr="00A86F53" w:rsidRDefault="005D3D06" w:rsidP="005D3D06">
      <w:pPr>
        <w:pStyle w:val="SBEmpfehlungen"/>
      </w:pPr>
      <w:r w:rsidRPr="00A86F53">
        <w:t xml:space="preserve">The federal and cantonal legislators shall delete the terms </w:t>
      </w:r>
      <w:r>
        <w:rPr>
          <w:b/>
          <w:bCs/>
        </w:rPr>
        <w:t>“</w:t>
      </w:r>
      <w:r w:rsidRPr="00A86F53">
        <w:rPr>
          <w:b/>
        </w:rPr>
        <w:t>invalidity</w:t>
      </w:r>
      <w:r>
        <w:rPr>
          <w:b/>
        </w:rPr>
        <w:t>”</w:t>
      </w:r>
      <w:r w:rsidRPr="00A86F53">
        <w:rPr>
          <w:b/>
        </w:rPr>
        <w:t xml:space="preserve"> and </w:t>
      </w:r>
      <w:r>
        <w:rPr>
          <w:b/>
        </w:rPr>
        <w:t>“</w:t>
      </w:r>
      <w:r w:rsidRPr="00A86F53">
        <w:rPr>
          <w:b/>
        </w:rPr>
        <w:t>helplessness</w:t>
      </w:r>
      <w:r>
        <w:rPr>
          <w:b/>
        </w:rPr>
        <w:t>”</w:t>
      </w:r>
      <w:r w:rsidRPr="00A86F53">
        <w:t xml:space="preserve"> from Swiss law and replace them with terminology compatible with the requirements of the CRPD.</w:t>
      </w:r>
    </w:p>
    <w:p w14:paraId="4214271D" w14:textId="77777777" w:rsidR="005D3D06" w:rsidRPr="00A86F53" w:rsidRDefault="005D3D06" w:rsidP="005D3D06">
      <w:pPr>
        <w:pStyle w:val="SBEmpfehlungen"/>
      </w:pPr>
      <w:r w:rsidRPr="00A86F53">
        <w:t xml:space="preserve">The Federal Council and the Federal Parliament shall take the necessary steps </w:t>
      </w:r>
      <w:r w:rsidRPr="00A86F53">
        <w:rPr>
          <w:b/>
        </w:rPr>
        <w:t>to ratify the OP</w:t>
      </w:r>
      <w:r w:rsidRPr="00A86F53">
        <w:t xml:space="preserve"> </w:t>
      </w:r>
      <w:r w:rsidRPr="00A86F53">
        <w:rPr>
          <w:b/>
          <w:bCs/>
        </w:rPr>
        <w:t>CRPD</w:t>
      </w:r>
      <w:r w:rsidRPr="00A86F53">
        <w:t>.</w:t>
      </w:r>
    </w:p>
    <w:p w14:paraId="6257E361" w14:textId="511806EC" w:rsidR="00043373" w:rsidRPr="005D3D06" w:rsidRDefault="005D3D06" w:rsidP="000C5392">
      <w:pPr>
        <w:pStyle w:val="SBEmpfehlungen"/>
      </w:pPr>
      <w:r w:rsidRPr="00A86F53">
        <w:t xml:space="preserve">The </w:t>
      </w:r>
      <w:r w:rsidRPr="00B566FE">
        <w:t>Federal Statistical Office (FSO), the FBED and the Swiss National Science Foundation (SNSF)</w:t>
      </w:r>
      <w:r w:rsidRPr="00A86F53">
        <w:t xml:space="preserve"> shall ensure that the special situation of PWD is included in the </w:t>
      </w:r>
      <w:r w:rsidRPr="00B566FE">
        <w:t>scientific research into the coronavirus pandemic</w:t>
      </w:r>
      <w:r w:rsidRPr="00A86F53">
        <w:t xml:space="preserve"> and that the results thereof are published.</w:t>
      </w:r>
    </w:p>
    <w:p w14:paraId="71242D22" w14:textId="77777777" w:rsidR="00BA7E32" w:rsidRPr="0001096E" w:rsidRDefault="00BA7E32" w:rsidP="00BA7E32">
      <w:pPr>
        <w:pStyle w:val="Heading2"/>
        <w:rPr>
          <w:lang w:val="en-GB"/>
        </w:rPr>
      </w:pPr>
      <w:bookmarkStart w:id="30" w:name="_Toc95297058"/>
      <w:bookmarkStart w:id="31" w:name="_Toc95668173"/>
      <w:r w:rsidRPr="0001096E">
        <w:rPr>
          <w:lang w:val="en-GB"/>
        </w:rPr>
        <w:lastRenderedPageBreak/>
        <w:t>Specific rights</w:t>
      </w:r>
      <w:bookmarkEnd w:id="30"/>
      <w:bookmarkEnd w:id="31"/>
    </w:p>
    <w:p w14:paraId="13E4589B" w14:textId="0E789E7A" w:rsidR="00BA7E32" w:rsidRPr="0001096E" w:rsidRDefault="00BA7E32" w:rsidP="00BA7E32">
      <w:pPr>
        <w:pStyle w:val="Heading3"/>
        <w:numPr>
          <w:ilvl w:val="0"/>
          <w:numId w:val="0"/>
        </w:numPr>
        <w:ind w:left="737" w:hanging="737"/>
        <w:rPr>
          <w:lang w:val="en-GB"/>
        </w:rPr>
      </w:pPr>
      <w:bookmarkStart w:id="32" w:name="_Ref15829389"/>
      <w:bookmarkStart w:id="33" w:name="_Ref15830367"/>
      <w:bookmarkStart w:id="34" w:name="_Toc95297059"/>
      <w:bookmarkStart w:id="35" w:name="_Toc95668174"/>
      <w:r w:rsidRPr="0001096E">
        <w:rPr>
          <w:lang w:val="en-GB"/>
        </w:rPr>
        <w:t>Article 5 – Equality and non-discrimination</w:t>
      </w:r>
      <w:bookmarkEnd w:id="32"/>
      <w:bookmarkEnd w:id="33"/>
      <w:bookmarkEnd w:id="34"/>
      <w:bookmarkEnd w:id="35"/>
      <w:r w:rsidRPr="0001096E">
        <w:rPr>
          <w:lang w:val="en-GB"/>
        </w:rPr>
        <w:t xml:space="preserve"> </w:t>
      </w:r>
    </w:p>
    <w:p w14:paraId="3874B719" w14:textId="2F67B1A5" w:rsidR="005D3D06" w:rsidRPr="00A86F53" w:rsidRDefault="005D3D06" w:rsidP="005D3D06">
      <w:pPr>
        <w:rPr>
          <w:lang w:val="en-GB"/>
        </w:rPr>
      </w:pPr>
      <w:r w:rsidRPr="00A86F53">
        <w:rPr>
          <w:lang w:val="en-GB"/>
        </w:rPr>
        <w:t>In its Repl</w:t>
      </w:r>
      <w:r w:rsidR="001D7D8C">
        <w:rPr>
          <w:lang w:val="en-GB"/>
        </w:rPr>
        <w:t>y</w:t>
      </w:r>
      <w:r w:rsidRPr="00A86F53">
        <w:rPr>
          <w:lang w:val="en-GB"/>
        </w:rPr>
        <w:t xml:space="preserve"> to the LoI (para. 5), Switzerland states that </w:t>
      </w:r>
      <w:r>
        <w:rPr>
          <w:lang w:val="en-GB"/>
        </w:rPr>
        <w:t>“</w:t>
      </w:r>
      <w:r w:rsidRPr="00A86F53">
        <w:rPr>
          <w:lang w:val="en-GB"/>
        </w:rPr>
        <w:t xml:space="preserve">existing law and related case law provide sufficient </w:t>
      </w:r>
      <w:r w:rsidRPr="00104AEE">
        <w:rPr>
          <w:rStyle w:val="CommentReference"/>
          <w:color w:val="auto"/>
          <w:lang w:val="en-US"/>
        </w:rPr>
        <w:t>protection</w:t>
      </w:r>
      <w:r w:rsidRPr="00A86F53">
        <w:rPr>
          <w:lang w:val="en-GB"/>
        </w:rPr>
        <w:t xml:space="preserve"> from discrimination and (</w:t>
      </w:r>
      <w:r>
        <w:rPr>
          <w:lang w:val="en-GB"/>
        </w:rPr>
        <w:t>…</w:t>
      </w:r>
      <w:r w:rsidRPr="00A86F53">
        <w:rPr>
          <w:lang w:val="en-GB"/>
        </w:rPr>
        <w:t xml:space="preserve">) the available legal instruments allow victims to defend themselves.” This </w:t>
      </w:r>
      <w:r w:rsidRPr="00A86F53">
        <w:rPr>
          <w:b/>
          <w:lang w:val="en-GB"/>
        </w:rPr>
        <w:t>must be firmly contradicted</w:t>
      </w:r>
      <w:r w:rsidRPr="00A86F53">
        <w:rPr>
          <w:lang w:val="en-GB"/>
        </w:rPr>
        <w:t xml:space="preserve">: </w:t>
      </w:r>
    </w:p>
    <w:p w14:paraId="70A11052" w14:textId="77777777" w:rsidR="005D3D06" w:rsidRPr="00A86F53" w:rsidRDefault="005D3D06" w:rsidP="00FF5ECB">
      <w:pPr>
        <w:pStyle w:val="BodyText"/>
        <w:rPr>
          <w:lang w:val="en-GB"/>
        </w:rPr>
      </w:pPr>
      <w:r w:rsidRPr="00A86F53">
        <w:rPr>
          <w:lang w:val="en-GB"/>
        </w:rPr>
        <w:t xml:space="preserve">Article 8(2) Cst. protects people from </w:t>
      </w:r>
      <w:r w:rsidRPr="00A86F53">
        <w:rPr>
          <w:b/>
          <w:lang w:val="en-GB"/>
        </w:rPr>
        <w:t>discrimination by the state</w:t>
      </w:r>
      <w:r w:rsidRPr="00A86F53">
        <w:rPr>
          <w:lang w:val="en-GB"/>
        </w:rPr>
        <w:t xml:space="preserve"> on account of their disability. However, the case law in no way meets the requirements of Article 5(3) CRPD in the light of GC 6. Rather, the Federal Supreme Court consistently holds that Article 8(2) Cst. </w:t>
      </w:r>
      <w:r w:rsidRPr="00A86F53">
        <w:rPr>
          <w:b/>
          <w:lang w:val="en-GB"/>
        </w:rPr>
        <w:t>does</w:t>
      </w:r>
      <w:r w:rsidRPr="00A86F53">
        <w:rPr>
          <w:b/>
          <w:bCs/>
          <w:lang w:val="en-GB"/>
        </w:rPr>
        <w:t xml:space="preserve"> not </w:t>
      </w:r>
      <w:r w:rsidRPr="00A86F53">
        <w:rPr>
          <w:lang w:val="en-GB"/>
        </w:rPr>
        <w:t xml:space="preserve">contain </w:t>
      </w:r>
      <w:r w:rsidRPr="00A86F53">
        <w:rPr>
          <w:b/>
          <w:lang w:val="en-GB"/>
        </w:rPr>
        <w:t>any claim to the establishment of de facto equality</w:t>
      </w:r>
      <w:r w:rsidRPr="00A86F53">
        <w:rPr>
          <w:lang w:val="en-GB"/>
        </w:rPr>
        <w:t>.</w:t>
      </w:r>
      <w:r w:rsidRPr="00A86F53">
        <w:rPr>
          <w:vertAlign w:val="superscript"/>
          <w:lang w:val="en-GB"/>
        </w:rPr>
        <w:footnoteReference w:id="35"/>
      </w:r>
      <w:r w:rsidRPr="00A86F53">
        <w:rPr>
          <w:lang w:val="en-GB"/>
        </w:rPr>
        <w:t xml:space="preserve"> It is not recognised that the prohibition on discrimination imposes an obligation to make the </w:t>
      </w:r>
      <w:r w:rsidRPr="00104AEE">
        <w:rPr>
          <w:rStyle w:val="CommentReference"/>
          <w:color w:val="auto"/>
          <w:lang w:val="en-US"/>
        </w:rPr>
        <w:t>reasonable</w:t>
      </w:r>
      <w:r w:rsidRPr="00A86F53">
        <w:rPr>
          <w:lang w:val="en-GB"/>
        </w:rPr>
        <w:t xml:space="preserve"> accommodations necessary for a person with disabilities to effectively exercise a right. It is only in the areas of construction, public transport and services of the Confederation and of businesses operating in a monopoly sector of the Confederation</w:t>
      </w:r>
      <w:r w:rsidRPr="00A86F53">
        <w:rPr>
          <w:rFonts w:eastAsia="Calibri"/>
          <w:color w:val="000000"/>
          <w:lang w:val="en-GB"/>
        </w:rPr>
        <w:t xml:space="preserve"> that the DDA</w:t>
      </w:r>
      <w:r w:rsidRPr="00A86F53">
        <w:rPr>
          <w:lang w:val="en-GB"/>
        </w:rPr>
        <w:t xml:space="preserve"> expressly </w:t>
      </w:r>
      <w:r w:rsidRPr="00A86F53">
        <w:rPr>
          <w:rFonts w:eastAsia="Calibri"/>
          <w:color w:val="000000"/>
          <w:lang w:val="en-GB"/>
        </w:rPr>
        <w:t>grants PWD</w:t>
      </w:r>
      <w:r w:rsidRPr="00A86F53">
        <w:rPr>
          <w:lang w:val="en-GB"/>
        </w:rPr>
        <w:t xml:space="preserve"> the right to demand the measures necessary to eliminate a disadvantage in a specific case.</w:t>
      </w:r>
      <w:r w:rsidRPr="00A86F53">
        <w:rPr>
          <w:vertAlign w:val="superscript"/>
          <w:lang w:val="en-GB"/>
        </w:rPr>
        <w:footnoteReference w:id="36"/>
      </w:r>
      <w:r w:rsidRPr="00A86F53">
        <w:rPr>
          <w:lang w:val="en-GB"/>
        </w:rPr>
        <w:t xml:space="preserve"> </w:t>
      </w:r>
    </w:p>
    <w:p w14:paraId="6DFC1C9D" w14:textId="1A42B7DC" w:rsidR="005D3D06" w:rsidRPr="00A86F53" w:rsidRDefault="005D3D06" w:rsidP="005D3D06">
      <w:pPr>
        <w:pStyle w:val="BodyText"/>
        <w:rPr>
          <w:b/>
          <w:lang w:val="en-GB"/>
        </w:rPr>
      </w:pPr>
      <w:r w:rsidRPr="00A86F53">
        <w:rPr>
          <w:lang w:val="en-GB"/>
        </w:rPr>
        <w:t xml:space="preserve">With regard </w:t>
      </w:r>
      <w:r w:rsidRPr="00A86F53">
        <w:rPr>
          <w:b/>
          <w:lang w:val="en-GB"/>
        </w:rPr>
        <w:t>to discrimination by private individuals</w:t>
      </w:r>
      <w:r>
        <w:rPr>
          <w:b/>
          <w:lang w:val="en-GB"/>
        </w:rPr>
        <w:t xml:space="preserve"> and entities</w:t>
      </w:r>
      <w:r w:rsidRPr="00A86F53">
        <w:rPr>
          <w:lang w:val="en-GB"/>
        </w:rPr>
        <w:t xml:space="preserve">, Switzerland contradicts its </w:t>
      </w:r>
      <w:r w:rsidRPr="00104AEE">
        <w:rPr>
          <w:rStyle w:val="CommentReference"/>
          <w:lang w:val="en-US"/>
        </w:rPr>
        <w:t>own</w:t>
      </w:r>
      <w:r w:rsidRPr="00A86F53">
        <w:rPr>
          <w:lang w:val="en-GB"/>
        </w:rPr>
        <w:t xml:space="preserve"> ISR in its Reply to the LoI as regards Article 5 CRPD: </w:t>
      </w:r>
      <w:r w:rsidRPr="00A86F53">
        <w:rPr>
          <w:lang w:val="en-GB"/>
        </w:rPr>
        <w:lastRenderedPageBreak/>
        <w:t xml:space="preserve">Referring to a report by the </w:t>
      </w:r>
      <w:bookmarkStart w:id="36" w:name="_Ref17127496"/>
      <w:r w:rsidRPr="00A86F53">
        <w:rPr>
          <w:lang w:val="en-GB"/>
        </w:rPr>
        <w:t>Federal Council</w:t>
      </w:r>
      <w:r w:rsidR="00BB6C76" w:rsidRPr="00A86F53">
        <w:rPr>
          <w:rStyle w:val="FootnoteReference"/>
          <w:lang w:val="en-GB"/>
        </w:rPr>
        <w:footnoteReference w:id="37"/>
      </w:r>
      <w:r w:rsidRPr="00A86F53">
        <w:rPr>
          <w:lang w:val="en-GB"/>
        </w:rPr>
        <w:t>, it</w:t>
      </w:r>
      <w:bookmarkEnd w:id="36"/>
      <w:r w:rsidRPr="00A86F53">
        <w:rPr>
          <w:lang w:val="en-GB"/>
        </w:rPr>
        <w:t xml:space="preserve"> had</w:t>
      </w:r>
      <w:r w:rsidRPr="00A86F53">
        <w:rPr>
          <w:rStyle w:val="FootnoteReference"/>
          <w:lang w:val="en-GB"/>
        </w:rPr>
        <w:footnoteReference w:id="38"/>
      </w:r>
      <w:r w:rsidRPr="00A86F53">
        <w:rPr>
          <w:lang w:val="en-GB"/>
        </w:rPr>
        <w:t xml:space="preserve"> still </w:t>
      </w:r>
      <w:r w:rsidRPr="00A86F53">
        <w:rPr>
          <w:b/>
          <w:lang w:val="en-GB"/>
        </w:rPr>
        <w:t>generally acknowledged</w:t>
      </w:r>
      <w:r w:rsidRPr="00A86F53">
        <w:rPr>
          <w:lang w:val="en-GB"/>
        </w:rPr>
        <w:t xml:space="preserve"> the need for action (ISR, para. 33).</w:t>
      </w:r>
      <w:bookmarkStart w:id="37" w:name="_Ref15323128"/>
      <w:r w:rsidRPr="00A86F53">
        <w:rPr>
          <w:vertAlign w:val="superscript"/>
          <w:lang w:val="en-GB"/>
        </w:rPr>
        <w:footnoteReference w:id="39"/>
      </w:r>
      <w:bookmarkEnd w:id="37"/>
      <w:r w:rsidRPr="00A86F53">
        <w:rPr>
          <w:lang w:val="en-GB"/>
        </w:rPr>
        <w:t xml:space="preserve"> It had announced that it wanted to examine ways of improving protection against discrimination in its Disability Policy Report (ISR, para. 33). This report, which was since published in May 2018,</w:t>
      </w:r>
      <w:r w:rsidRPr="00A86F53">
        <w:rPr>
          <w:b/>
          <w:lang w:val="en-GB"/>
        </w:rPr>
        <w:t xml:space="preserve"> </w:t>
      </w:r>
      <w:r w:rsidRPr="00A86F53">
        <w:rPr>
          <w:lang w:val="en-GB"/>
        </w:rPr>
        <w:t xml:space="preserve">contains </w:t>
      </w:r>
      <w:r w:rsidRPr="00A86F53">
        <w:rPr>
          <w:b/>
          <w:lang w:val="en-GB"/>
        </w:rPr>
        <w:t>no measures to strengthen legal protection against discrimination by private individuals</w:t>
      </w:r>
      <w:r w:rsidRPr="00A86F53">
        <w:rPr>
          <w:lang w:val="en-GB"/>
        </w:rPr>
        <w:t>. Nevertheless, Swi</w:t>
      </w:r>
      <w:r w:rsidR="001D7D8C">
        <w:rPr>
          <w:lang w:val="en-GB"/>
        </w:rPr>
        <w:t>tzerland now states in its Reply</w:t>
      </w:r>
      <w:r w:rsidRPr="00A86F53">
        <w:rPr>
          <w:lang w:val="en-GB"/>
        </w:rPr>
        <w:t xml:space="preserve"> to the LoI (para. 8) that “the civil law currently in force provides sufficient protection against discrimination” – even making reference to the same report in which the need for action was identified (see ISR, fn. 12 and Reply to LoI, fn. 4).</w:t>
      </w:r>
    </w:p>
    <w:p w14:paraId="7BE29291" w14:textId="77777777" w:rsidR="005D3D06" w:rsidRPr="00A86F53" w:rsidRDefault="005D3D06" w:rsidP="005D3D06">
      <w:pPr>
        <w:pStyle w:val="BodyText"/>
        <w:rPr>
          <w:b/>
          <w:lang w:val="en-GB"/>
        </w:rPr>
      </w:pPr>
      <w:r w:rsidRPr="00A86F53">
        <w:rPr>
          <w:lang w:val="en-GB"/>
        </w:rPr>
        <w:t xml:space="preserve">In particular, the protection guaranteed under the DDA against discrimination </w:t>
      </w:r>
      <w:r w:rsidRPr="00A86F53">
        <w:rPr>
          <w:b/>
          <w:bCs/>
          <w:lang w:val="en-GB"/>
        </w:rPr>
        <w:t>by private entities that offer publicly accessible services</w:t>
      </w:r>
      <w:r w:rsidRPr="00A86F53">
        <w:rPr>
          <w:lang w:val="en-GB"/>
        </w:rPr>
        <w:t xml:space="preserve"> (including online services) is </w:t>
      </w:r>
      <w:r w:rsidRPr="00A86F53">
        <w:rPr>
          <w:b/>
          <w:bCs/>
          <w:lang w:val="en-GB"/>
        </w:rPr>
        <w:t>clearly inadequate</w:t>
      </w:r>
      <w:r w:rsidRPr="00A86F53">
        <w:rPr>
          <w:lang w:val="en-GB"/>
        </w:rPr>
        <w:t xml:space="preserve">. </w:t>
      </w:r>
    </w:p>
    <w:p w14:paraId="3E1DB54B" w14:textId="0CBD570B" w:rsidR="005D3D06" w:rsidRPr="00FF5ECB" w:rsidRDefault="005D3D06" w:rsidP="00FF5ECB">
      <w:pPr>
        <w:pStyle w:val="ListParagraph"/>
        <w:numPr>
          <w:ilvl w:val="0"/>
          <w:numId w:val="29"/>
        </w:numPr>
        <w:shd w:val="clear" w:color="auto" w:fill="FFFFFF" w:themeFill="background1"/>
        <w:suppressAutoHyphens/>
        <w:spacing w:before="60" w:after="60" w:line="280" w:lineRule="exact"/>
        <w:contextualSpacing w:val="0"/>
        <w:rPr>
          <w:b/>
          <w:lang w:val="en-GB"/>
        </w:rPr>
      </w:pPr>
      <w:r w:rsidRPr="00FF5ECB">
        <w:rPr>
          <w:lang w:val="en-GB"/>
        </w:rPr>
        <w:t xml:space="preserve">The Federal Supreme Court interprets the </w:t>
      </w:r>
      <w:r w:rsidRPr="00FF5ECB">
        <w:rPr>
          <w:b/>
          <w:lang w:val="en-GB"/>
        </w:rPr>
        <w:t>te</w:t>
      </w:r>
      <w:r w:rsidR="003D2F0B">
        <w:rPr>
          <w:b/>
          <w:lang w:val="en-GB"/>
        </w:rPr>
        <w:t>r</w:t>
      </w:r>
      <w:r w:rsidRPr="00FF5ECB">
        <w:rPr>
          <w:b/>
          <w:lang w:val="en-GB"/>
        </w:rPr>
        <w:t>m</w:t>
      </w:r>
      <w:r w:rsidRPr="00FF5ECB">
        <w:rPr>
          <w:lang w:val="en-GB"/>
        </w:rPr>
        <w:t xml:space="preserve"> </w:t>
      </w:r>
      <w:r w:rsidR="003D2F0B" w:rsidRPr="003D2F0B">
        <w:rPr>
          <w:b/>
          <w:lang w:val="en-GB"/>
        </w:rPr>
        <w:t>“</w:t>
      </w:r>
      <w:r w:rsidRPr="00FF5ECB">
        <w:rPr>
          <w:b/>
          <w:lang w:val="en-GB"/>
        </w:rPr>
        <w:t>discr</w:t>
      </w:r>
      <w:r w:rsidR="003D2F0B">
        <w:rPr>
          <w:b/>
          <w:lang w:val="en-GB"/>
        </w:rPr>
        <w:t xml:space="preserve">imination” </w:t>
      </w:r>
      <w:r w:rsidRPr="00FF5ECB">
        <w:rPr>
          <w:lang w:val="en-GB"/>
        </w:rPr>
        <w:t xml:space="preserve">within the meaning of Article 6 DDA and Article 2(2) of the Ordinance on the Elimination of Discrimination against PWD (EPDO) very restrictively. It has limited it to cases in which the </w:t>
      </w:r>
      <w:r w:rsidRPr="00FF5ECB">
        <w:rPr>
          <w:b/>
          <w:lang w:val="en-GB"/>
        </w:rPr>
        <w:t xml:space="preserve">disparagement or exclusion </w:t>
      </w:r>
      <w:r w:rsidRPr="00FF5ECB">
        <w:rPr>
          <w:lang w:val="en-GB"/>
        </w:rPr>
        <w:t>of a disabled person is the</w:t>
      </w:r>
      <w:r w:rsidRPr="00FF5ECB">
        <w:rPr>
          <w:b/>
          <w:lang w:val="en-GB"/>
        </w:rPr>
        <w:t xml:space="preserve"> goal</w:t>
      </w:r>
      <w:r w:rsidRPr="00FF5ECB">
        <w:rPr>
          <w:lang w:val="en-GB"/>
        </w:rPr>
        <w:t>, not simply where it is the result</w:t>
      </w:r>
      <w:r w:rsidRPr="00FF5ECB">
        <w:rPr>
          <w:b/>
          <w:lang w:val="en-GB"/>
        </w:rPr>
        <w:t>.</w:t>
      </w:r>
      <w:r w:rsidRPr="00FF5ECB">
        <w:rPr>
          <w:lang w:val="en-GB"/>
        </w:rPr>
        <w:t xml:space="preserve"> </w:t>
      </w:r>
      <w:r w:rsidRPr="00FF5ECB">
        <w:rPr>
          <w:rFonts w:cs="Times New Roman"/>
          <w:lang w:val="en-GB"/>
        </w:rPr>
        <w:t xml:space="preserve">In one case, in which a cinema refused access to a person in a wheelchair, the Federal Supreme Court held that there had been no discrimination. It was considered to be understandable that, in the event of an accident, the cinema was concerned that it might be brought to account. Therefore, according to the Federal </w:t>
      </w:r>
      <w:r w:rsidRPr="00FF5ECB">
        <w:rPr>
          <w:rFonts w:cs="Times New Roman"/>
          <w:lang w:val="en-GB"/>
        </w:rPr>
        <w:lastRenderedPageBreak/>
        <w:t>Supreme Court, the refusal of access could not be regarded as particularly shocking. It did not constitute an expression of a lack of tolerance, and there was no intention to exclude people in wheelchairs.</w:t>
      </w:r>
      <w:r w:rsidRPr="00FF5ECB">
        <w:rPr>
          <w:rStyle w:val="FootnoteReference"/>
          <w:lang w:val="en-GB"/>
        </w:rPr>
        <w:footnoteReference w:id="40"/>
      </w:r>
      <w:r w:rsidRPr="00FF5ECB">
        <w:rPr>
          <w:rFonts w:cs="Times New Roman"/>
          <w:lang w:val="en-GB"/>
        </w:rPr>
        <w:t xml:space="preserve"> </w:t>
      </w:r>
      <w:r w:rsidRPr="00FF5ECB">
        <w:rPr>
          <w:lang w:val="en-GB"/>
        </w:rPr>
        <w:t xml:space="preserve">In its </w:t>
      </w:r>
      <w:r w:rsidRPr="00FF5ECB">
        <w:rPr>
          <w:b/>
          <w:lang w:val="en-GB"/>
        </w:rPr>
        <w:t>decision</w:t>
      </w:r>
      <w:r w:rsidRPr="00FF5ECB">
        <w:rPr>
          <w:lang w:val="en-GB"/>
        </w:rPr>
        <w:t xml:space="preserve"> in </w:t>
      </w:r>
      <w:r w:rsidRPr="00FF5ECB">
        <w:rPr>
          <w:b/>
          <w:lang w:val="en-GB"/>
        </w:rPr>
        <w:t>Glaisen v. Switzerland</w:t>
      </w:r>
      <w:r w:rsidRPr="00FF5ECB">
        <w:rPr>
          <w:vertAlign w:val="superscript"/>
          <w:lang w:val="en-GB"/>
        </w:rPr>
        <w:footnoteReference w:id="41"/>
      </w:r>
      <w:r w:rsidRPr="00FF5ECB">
        <w:rPr>
          <w:lang w:val="en-GB"/>
        </w:rPr>
        <w:t xml:space="preserve"> on 18 July 2019, the ECHR generally supported Article 6 DDA as well as the above-mentioned case law of the Federal Supreme Court, which further exacerbated the situation. </w:t>
      </w:r>
      <w:r w:rsidRPr="00FF5ECB">
        <w:rPr>
          <w:rFonts w:cs="Times New Roman"/>
          <w:lang w:val="en-GB"/>
        </w:rPr>
        <w:t>Its assessment of the Swiss legal situation and practice in relation to Article 8 ECHR cannot be reconciled with Articles 2, 5 and 9 CRPD.</w:t>
      </w:r>
    </w:p>
    <w:p w14:paraId="44646B89" w14:textId="055F5BDD" w:rsidR="00043373" w:rsidRPr="00104AEE" w:rsidRDefault="005D3D06" w:rsidP="00043373">
      <w:pPr>
        <w:pStyle w:val="ListParagraph"/>
        <w:numPr>
          <w:ilvl w:val="0"/>
          <w:numId w:val="29"/>
        </w:numPr>
        <w:shd w:val="clear" w:color="auto" w:fill="FFFFFF" w:themeFill="background1"/>
        <w:suppressAutoHyphens/>
        <w:spacing w:before="60" w:after="60" w:line="280" w:lineRule="exact"/>
        <w:contextualSpacing w:val="0"/>
        <w:rPr>
          <w:b/>
          <w:lang w:val="en-US"/>
        </w:rPr>
      </w:pPr>
      <w:r w:rsidRPr="00FF5ECB">
        <w:rPr>
          <w:lang w:val="en-GB"/>
        </w:rPr>
        <w:t>The</w:t>
      </w:r>
      <w:r w:rsidRPr="00FF5ECB">
        <w:rPr>
          <w:b/>
          <w:lang w:val="en-GB"/>
        </w:rPr>
        <w:t xml:space="preserve"> portrayal of the legal rights in the ISR (para. 50) is incorrect</w:t>
      </w:r>
      <w:r w:rsidRPr="00FF5ECB">
        <w:rPr>
          <w:lang w:val="en-GB"/>
        </w:rPr>
        <w:t xml:space="preserve">: A private individual who takes court action because of discrimination can only receive compensation of CHF 5,000 (see also Reply to LoI, para. 6). He/she cannot demand that the discriminatory treatment be stopped or eliminated through reasonable accommodations. </w:t>
      </w:r>
      <w:r w:rsidRPr="00FF5ECB">
        <w:rPr>
          <w:rFonts w:cs="Times New Roman"/>
          <w:lang w:val="en-GB"/>
        </w:rPr>
        <w:t xml:space="preserve">In such cases, organisations of PWD only have </w:t>
      </w:r>
      <w:r w:rsidRPr="00FF5ECB">
        <w:rPr>
          <w:rFonts w:cs="Times New Roman"/>
          <w:b/>
          <w:lang w:val="en-GB"/>
        </w:rPr>
        <w:t>a claim to a declaration that discrimination has occurred</w:t>
      </w:r>
      <w:r w:rsidRPr="00FF5ECB">
        <w:rPr>
          <w:rFonts w:cs="Times New Roman"/>
          <w:lang w:val="en-GB"/>
        </w:rPr>
        <w:t xml:space="preserve"> (Article 9(3)(a) DDA).</w:t>
      </w:r>
      <w:r w:rsidRPr="00FF5ECB">
        <w:rPr>
          <w:lang w:val="en-GB"/>
        </w:rPr>
        <w:t xml:space="preserve"> </w:t>
      </w:r>
      <w:r w:rsidRPr="00FF5ECB">
        <w:rPr>
          <w:rFonts w:cs="Times New Roman"/>
          <w:lang w:val="en-GB"/>
        </w:rPr>
        <w:t>To date, an action brought under Article 6 DDA has only been successful on one occasion – in March 2017.</w:t>
      </w:r>
      <w:r w:rsidRPr="00FF5ECB">
        <w:rPr>
          <w:rStyle w:val="FootnoteReference"/>
          <w:lang w:val="en-GB"/>
        </w:rPr>
        <w:footnoteReference w:id="42"/>
      </w:r>
      <w:r w:rsidRPr="00FF5ECB">
        <w:rPr>
          <w:rFonts w:cs="Times New Roman"/>
          <w:lang w:val="en-GB"/>
        </w:rPr>
        <w:t xml:space="preserve"> </w:t>
      </w:r>
    </w:p>
    <w:p w14:paraId="5280C0D7" w14:textId="4A820CC7" w:rsidR="0006109B" w:rsidRPr="0001096E" w:rsidRDefault="00BA7E32" w:rsidP="0006109B">
      <w:pPr>
        <w:shd w:val="clear" w:color="auto" w:fill="FFFFCC"/>
        <w:spacing w:before="240"/>
        <w:rPr>
          <w:rFonts w:eastAsia="Cambria"/>
          <w:b/>
          <w:lang w:val="en-GB"/>
        </w:rPr>
      </w:pPr>
      <w:r w:rsidRPr="0001096E">
        <w:rPr>
          <w:rFonts w:eastAsia="Cambria"/>
          <w:b/>
          <w:lang w:val="en-GB"/>
        </w:rPr>
        <w:t>Proposals for recommendations:</w:t>
      </w:r>
    </w:p>
    <w:p w14:paraId="7313FD40" w14:textId="77777777" w:rsidR="00FF5ECB" w:rsidRPr="00A86F53" w:rsidRDefault="00FF5ECB" w:rsidP="00FF5ECB">
      <w:pPr>
        <w:pStyle w:val="SBEmpfehlungen"/>
      </w:pPr>
      <w:r w:rsidRPr="00A86F53">
        <w:rPr>
          <w:b/>
        </w:rPr>
        <w:t>The Federal Council and</w:t>
      </w:r>
      <w:r w:rsidRPr="00A86F53">
        <w:t xml:space="preserve"> the </w:t>
      </w:r>
      <w:r w:rsidRPr="00A86F53">
        <w:rPr>
          <w:b/>
        </w:rPr>
        <w:t>Federal Parliament</w:t>
      </w:r>
      <w:r w:rsidRPr="00A86F53">
        <w:t xml:space="preserve"> shall adapt the definition of </w:t>
      </w:r>
      <w:r w:rsidRPr="00A86F53">
        <w:rPr>
          <w:b/>
        </w:rPr>
        <w:t>discrimination</w:t>
      </w:r>
      <w:r w:rsidRPr="00A86F53">
        <w:t xml:space="preserve"> in the </w:t>
      </w:r>
      <w:r w:rsidRPr="00A86F53">
        <w:rPr>
          <w:b/>
        </w:rPr>
        <w:t>DDA</w:t>
      </w:r>
      <w:r w:rsidRPr="00A86F53">
        <w:t xml:space="preserve"> and </w:t>
      </w:r>
      <w:r w:rsidRPr="00A86F53">
        <w:rPr>
          <w:b/>
        </w:rPr>
        <w:t>EPDO</w:t>
      </w:r>
      <w:r w:rsidRPr="00A86F53">
        <w:t xml:space="preserve"> to Articles 2 and 5 CRPD. In the DDA</w:t>
      </w:r>
      <w:r w:rsidRPr="00A86F53">
        <w:rPr>
          <w:rFonts w:eastAsia="Calibri"/>
          <w:color w:val="000000"/>
        </w:rPr>
        <w:t>, the</w:t>
      </w:r>
      <w:r w:rsidRPr="00A86F53">
        <w:rPr>
          <w:rFonts w:eastAsia="Calibri"/>
          <w:b/>
          <w:color w:val="000000"/>
        </w:rPr>
        <w:t xml:space="preserve"> </w:t>
      </w:r>
      <w:r w:rsidRPr="00A86F53">
        <w:rPr>
          <w:b/>
        </w:rPr>
        <w:t>right of PWD to reasonable accommodations</w:t>
      </w:r>
      <w:r w:rsidRPr="00A86F53">
        <w:t xml:space="preserve"> shall also be expressly established in relation to access to publicly accessible </w:t>
      </w:r>
      <w:r w:rsidRPr="00A86F53">
        <w:rPr>
          <w:b/>
        </w:rPr>
        <w:t>services offered by private individuals</w:t>
      </w:r>
      <w:r w:rsidRPr="00A86F53">
        <w:t>.</w:t>
      </w:r>
    </w:p>
    <w:p w14:paraId="7A31147E" w14:textId="14E48442" w:rsidR="00043373" w:rsidRPr="00FF5ECB" w:rsidRDefault="00FF5ECB" w:rsidP="00FF5ECB">
      <w:pPr>
        <w:pStyle w:val="SBEmpfehlungen"/>
      </w:pPr>
      <w:r w:rsidRPr="00A86F53">
        <w:rPr>
          <w:b/>
        </w:rPr>
        <w:t xml:space="preserve">The </w:t>
      </w:r>
      <w:r w:rsidRPr="00A86F53">
        <w:rPr>
          <w:b/>
          <w:bCs/>
        </w:rPr>
        <w:t>Confederation</w:t>
      </w:r>
      <w:r w:rsidRPr="00A86F53">
        <w:rPr>
          <w:b/>
        </w:rPr>
        <w:t xml:space="preserve"> and the cantons</w:t>
      </w:r>
      <w:r w:rsidRPr="00A86F53">
        <w:t xml:space="preserve"> shall ensure that the courts </w:t>
      </w:r>
      <w:r w:rsidRPr="00A86F53">
        <w:rPr>
          <w:b/>
        </w:rPr>
        <w:t>recognise the refusal to make reasonable accommodations</w:t>
      </w:r>
      <w:r w:rsidRPr="00A86F53">
        <w:t xml:space="preserve"> in all areas of life </w:t>
      </w:r>
      <w:r w:rsidRPr="00A86F53">
        <w:lastRenderedPageBreak/>
        <w:t xml:space="preserve">as </w:t>
      </w:r>
      <w:r w:rsidRPr="00A86F53">
        <w:rPr>
          <w:b/>
        </w:rPr>
        <w:t>a form of discrimination</w:t>
      </w:r>
      <w:r w:rsidRPr="00A86F53">
        <w:t>, and that PWD have a legal right to the elimination of such discrimination. They shall also ensure that the courts do not restrict the concept of discrimination to malicious discrimination.</w:t>
      </w:r>
    </w:p>
    <w:p w14:paraId="1BFD515B" w14:textId="671D66FA" w:rsidR="00BA7E32" w:rsidRPr="0001096E" w:rsidRDefault="00BA7E32" w:rsidP="00BA7E32">
      <w:pPr>
        <w:pStyle w:val="Heading3"/>
        <w:numPr>
          <w:ilvl w:val="0"/>
          <w:numId w:val="0"/>
        </w:numPr>
        <w:rPr>
          <w:lang w:val="en-GB"/>
        </w:rPr>
      </w:pPr>
      <w:bookmarkStart w:id="38" w:name="_Toc91237777"/>
      <w:bookmarkStart w:id="39" w:name="_Toc93596133"/>
      <w:bookmarkStart w:id="40" w:name="_Toc95297060"/>
      <w:bookmarkStart w:id="41" w:name="_Toc95668175"/>
      <w:r w:rsidRPr="0001096E">
        <w:rPr>
          <w:lang w:val="en-GB"/>
        </w:rPr>
        <w:t>Article 6 – Women with disabilities</w:t>
      </w:r>
      <w:bookmarkEnd w:id="38"/>
      <w:bookmarkEnd w:id="39"/>
      <w:bookmarkEnd w:id="40"/>
      <w:bookmarkEnd w:id="41"/>
    </w:p>
    <w:p w14:paraId="7508BE08" w14:textId="77777777" w:rsidR="00FF5ECB" w:rsidRPr="00A86F53" w:rsidRDefault="00FF5ECB" w:rsidP="00FF5ECB">
      <w:pPr>
        <w:pStyle w:val="BodyText"/>
        <w:rPr>
          <w:lang w:val="en-GB"/>
        </w:rPr>
      </w:pPr>
      <w:r w:rsidRPr="00A86F53">
        <w:rPr>
          <w:lang w:val="en-GB"/>
        </w:rPr>
        <w:t>Unfortunately, the state’s obligation pursuant to Article 5 (1) DDA, under which the specific needs of women with disabilities must be taken into account, has not been implemented in practice. The same applies to the numerous recommendations made in the 2013 issue dossier. The Gender Equality Act (GEA) also fails to do justice to the multiple forms of discrimination perpetrated against women with disabilities in their professional lives (ISR para. 192 f.). Neither the Federal Office for Gender Equality (FOGE) nor the FBED has a clear and institutionalised mandate to eliminate the specific intersectional discrimination to which women with disabilities are exposed, and anyone who reads the new National Strategy for Gender Equality</w:t>
      </w:r>
      <w:r w:rsidRPr="00A86F53">
        <w:rPr>
          <w:b/>
          <w:lang w:val="en-GB"/>
        </w:rPr>
        <w:t xml:space="preserve"> </w:t>
      </w:r>
      <w:r w:rsidRPr="00A86F53">
        <w:rPr>
          <w:lang w:val="en-GB"/>
        </w:rPr>
        <w:t>(</w:t>
      </w:r>
      <w:r w:rsidRPr="00A86F53">
        <w:rPr>
          <w:b/>
          <w:lang w:val="en-GB"/>
        </w:rPr>
        <w:t>Equality Strategy 2030</w:t>
      </w:r>
      <w:r w:rsidRPr="00A86F53">
        <w:rPr>
          <w:lang w:val="en-GB"/>
        </w:rPr>
        <w:t>)</w:t>
      </w:r>
      <w:r w:rsidRPr="00A86F53">
        <w:rPr>
          <w:vertAlign w:val="superscript"/>
          <w:lang w:val="en-GB"/>
        </w:rPr>
        <w:footnoteReference w:id="43"/>
      </w:r>
      <w:r w:rsidRPr="00A86F53">
        <w:rPr>
          <w:lang w:val="en-GB"/>
        </w:rPr>
        <w:t xml:space="preserve"> sorely misses the announced efforts to improve the mainstreaming of their rights.</w:t>
      </w:r>
      <w:r w:rsidRPr="00A86F53">
        <w:rPr>
          <w:vertAlign w:val="superscript"/>
          <w:lang w:val="en-GB"/>
        </w:rPr>
        <w:footnoteReference w:id="44"/>
      </w:r>
      <w:r w:rsidRPr="00A86F53">
        <w:rPr>
          <w:lang w:val="en-GB"/>
        </w:rPr>
        <w:t xml:space="preserve"> The clear and constructive criticism of the few NGOs who </w:t>
      </w:r>
      <w:r>
        <w:rPr>
          <w:lang w:val="en-GB"/>
        </w:rPr>
        <w:t xml:space="preserve">were invited </w:t>
      </w:r>
      <w:r w:rsidRPr="00A86F53">
        <w:rPr>
          <w:lang w:val="en-GB"/>
        </w:rPr>
        <w:t>to comment on the draft at all and complained that it ignored the</w:t>
      </w:r>
      <w:r w:rsidRPr="00A86F53">
        <w:rPr>
          <w:b/>
          <w:lang w:val="en-GB"/>
        </w:rPr>
        <w:t xml:space="preserve"> intersectionality</w:t>
      </w:r>
      <w:r w:rsidRPr="00A86F53">
        <w:rPr>
          <w:lang w:val="en-GB"/>
        </w:rPr>
        <w:t xml:space="preserve"> of gender-based discrimination and violence</w:t>
      </w:r>
      <w:r w:rsidRPr="00A86F53">
        <w:rPr>
          <w:vertAlign w:val="superscript"/>
          <w:lang w:val="en-GB"/>
        </w:rPr>
        <w:footnoteReference w:id="45"/>
      </w:r>
      <w:r w:rsidRPr="00A86F53">
        <w:rPr>
          <w:lang w:val="en-GB"/>
        </w:rPr>
        <w:t xml:space="preserve"> obviously proved ineffective. For example, the accompanying </w:t>
      </w:r>
      <w:r w:rsidRPr="00A86F53">
        <w:rPr>
          <w:b/>
          <w:lang w:val="en-GB"/>
        </w:rPr>
        <w:t>action plan</w:t>
      </w:r>
      <w:r w:rsidRPr="00A86F53">
        <w:rPr>
          <w:lang w:val="en-GB"/>
        </w:rPr>
        <w:t xml:space="preserve"> contains just one measure that addresses the situation of women with disabilities (see Article 16 CRPD). </w:t>
      </w:r>
    </w:p>
    <w:p w14:paraId="6B6F3476" w14:textId="77777777" w:rsidR="00FF5ECB" w:rsidRPr="00A86F53" w:rsidRDefault="00FF5ECB" w:rsidP="00FF5ECB">
      <w:pPr>
        <w:pStyle w:val="BodyText"/>
        <w:rPr>
          <w:lang w:val="en-GB"/>
        </w:rPr>
      </w:pPr>
      <w:r w:rsidRPr="00A86F53">
        <w:rPr>
          <w:lang w:val="en-GB"/>
        </w:rPr>
        <w:t xml:space="preserve">There will therefore be no systematic approach to the elimination of such discrimination in the future either, even though </w:t>
      </w:r>
      <w:r>
        <w:rPr>
          <w:lang w:val="en-GB"/>
        </w:rPr>
        <w:t xml:space="preserve">it </w:t>
      </w:r>
      <w:r w:rsidRPr="00A86F53">
        <w:rPr>
          <w:lang w:val="en-GB"/>
        </w:rPr>
        <w:t xml:space="preserve">has many </w:t>
      </w:r>
      <w:r w:rsidRPr="00A86F53">
        <w:rPr>
          <w:b/>
          <w:lang w:val="en-GB"/>
        </w:rPr>
        <w:t>structural causes</w:t>
      </w:r>
      <w:r w:rsidRPr="00A86F53">
        <w:rPr>
          <w:lang w:val="en-GB"/>
        </w:rPr>
        <w:t xml:space="preserve">. In the absence of mainstreaming, women with disabilities are not perceived, included or involved in the development of political measures (including those </w:t>
      </w:r>
      <w:r w:rsidRPr="00A86F53">
        <w:rPr>
          <w:lang w:val="en-GB"/>
        </w:rPr>
        <w:lastRenderedPageBreak/>
        <w:t>specific to women).</w:t>
      </w:r>
      <w:r w:rsidRPr="00A86F53">
        <w:rPr>
          <w:vertAlign w:val="superscript"/>
          <w:lang w:val="en-GB"/>
        </w:rPr>
        <w:footnoteReference w:id="46"/>
      </w:r>
      <w:r w:rsidRPr="00A86F53">
        <w:rPr>
          <w:lang w:val="en-GB"/>
        </w:rPr>
        <w:t xml:space="preserve"> On the other hand, indirect discriminatory legislative frameworks (e.g. social security) and obvious stereotypes (e.g. portrayal in the media) exist. In particular</w:t>
      </w:r>
      <w:r>
        <w:rPr>
          <w:lang w:val="en-GB"/>
        </w:rPr>
        <w:t xml:space="preserve"> </w:t>
      </w:r>
      <w:r w:rsidRPr="00A86F53">
        <w:rPr>
          <w:lang w:val="en-GB"/>
        </w:rPr>
        <w:t>in terms of approving individual support measures, somewhat more subtle and traditional gender images and fixed gender roles are presumably also effective.</w:t>
      </w:r>
      <w:bookmarkStart w:id="42" w:name="_Ref95643391"/>
      <w:r w:rsidRPr="00A86F53">
        <w:rPr>
          <w:vertAlign w:val="superscript"/>
          <w:lang w:val="en-GB"/>
        </w:rPr>
        <w:footnoteReference w:id="47"/>
      </w:r>
      <w:bookmarkEnd w:id="42"/>
      <w:r w:rsidRPr="00A86F53">
        <w:rPr>
          <w:lang w:val="en-GB"/>
        </w:rPr>
        <w:t xml:space="preserve"> </w:t>
      </w:r>
    </w:p>
    <w:p w14:paraId="6E04774F" w14:textId="2AE6E6F6" w:rsidR="00043373" w:rsidRDefault="00FF5ECB" w:rsidP="00FF5ECB">
      <w:pPr>
        <w:pStyle w:val="BodyText"/>
        <w:rPr>
          <w:lang w:val="en-GB"/>
        </w:rPr>
      </w:pPr>
      <w:r w:rsidRPr="00A86F53">
        <w:rPr>
          <w:lang w:val="en-GB"/>
        </w:rPr>
        <w:t xml:space="preserve">The Ordinance against Violence against Women and Domestic Violence (Reply to LoI, para. 9) is primarily a legal basis for </w:t>
      </w:r>
      <w:r w:rsidRPr="00A86F53">
        <w:rPr>
          <w:i/>
          <w:iCs/>
          <w:lang w:val="en-GB"/>
        </w:rPr>
        <w:t xml:space="preserve">financial assistance </w:t>
      </w:r>
      <w:r w:rsidRPr="00A86F53">
        <w:rPr>
          <w:lang w:val="en-GB"/>
        </w:rPr>
        <w:t xml:space="preserve">for </w:t>
      </w:r>
      <w:r w:rsidRPr="00A86F53">
        <w:rPr>
          <w:i/>
          <w:iCs/>
          <w:lang w:val="en-GB"/>
        </w:rPr>
        <w:t>preventive measures</w:t>
      </w:r>
      <w:r w:rsidRPr="00A86F53">
        <w:rPr>
          <w:lang w:val="en-GB"/>
        </w:rPr>
        <w:t xml:space="preserve"> and by no means </w:t>
      </w:r>
      <w:r>
        <w:rPr>
          <w:lang w:val="en-GB"/>
        </w:rPr>
        <w:t xml:space="preserve">contains </w:t>
      </w:r>
      <w:r w:rsidRPr="00A86F53">
        <w:rPr>
          <w:lang w:val="en-GB"/>
        </w:rPr>
        <w:t>substantive requirement</w:t>
      </w:r>
      <w:r>
        <w:rPr>
          <w:lang w:val="en-GB"/>
        </w:rPr>
        <w:t>s</w:t>
      </w:r>
      <w:r w:rsidRPr="00A86F53">
        <w:rPr>
          <w:lang w:val="en-GB"/>
        </w:rPr>
        <w:t xml:space="preserve"> for the implementation of the Istanbul Convention. The FBED, for its part, has only three priority programmes, none of which deals with implementing the IC. Particularly in respect of </w:t>
      </w:r>
      <w:r w:rsidRPr="00A86F53">
        <w:rPr>
          <w:b/>
          <w:lang w:val="en-GB"/>
        </w:rPr>
        <w:t>inclusive implementation</w:t>
      </w:r>
      <w:r w:rsidRPr="00A86F53">
        <w:rPr>
          <w:lang w:val="en-GB"/>
        </w:rPr>
        <w:t>, significant gaps exist in Switzerland (see Article 16 CRPD).</w:t>
      </w:r>
    </w:p>
    <w:p w14:paraId="77372CC7" w14:textId="14430A13" w:rsidR="0096584B" w:rsidRDefault="0096584B">
      <w:pPr>
        <w:jc w:val="left"/>
        <w:rPr>
          <w:lang w:val="en-GB"/>
        </w:rPr>
      </w:pPr>
      <w:r>
        <w:rPr>
          <w:lang w:val="en-GB"/>
        </w:rPr>
        <w:br w:type="page"/>
      </w:r>
    </w:p>
    <w:p w14:paraId="4F8E98A6" w14:textId="7EBCF4A7" w:rsidR="00043373" w:rsidRDefault="00BA7E32" w:rsidP="0006109B">
      <w:pPr>
        <w:shd w:val="clear" w:color="auto" w:fill="FFFFCC"/>
        <w:spacing w:before="240"/>
        <w:rPr>
          <w:rFonts w:eastAsia="Calibri"/>
          <w:b/>
          <w:lang w:val="en-GB"/>
        </w:rPr>
      </w:pPr>
      <w:r w:rsidRPr="0001096E">
        <w:rPr>
          <w:rFonts w:eastAsia="Calibri"/>
          <w:b/>
          <w:lang w:val="en-GB"/>
        </w:rPr>
        <w:lastRenderedPageBreak/>
        <w:t>Proposals for recommendations:</w:t>
      </w:r>
    </w:p>
    <w:p w14:paraId="3A35A406" w14:textId="77777777" w:rsidR="00FF5ECB" w:rsidRPr="00A86F53" w:rsidRDefault="00FF5ECB" w:rsidP="00FF5ECB">
      <w:pPr>
        <w:pStyle w:val="SBEmpfehlungen"/>
      </w:pPr>
      <w:r w:rsidRPr="00A86F53">
        <w:t xml:space="preserve">In order to ensure </w:t>
      </w:r>
      <w:r w:rsidRPr="00A86F53">
        <w:rPr>
          <w:b/>
        </w:rPr>
        <w:t>non-discrimination</w:t>
      </w:r>
      <w:r w:rsidRPr="00A86F53">
        <w:t xml:space="preserve"> against women with disabilities in the more detailed planning and implementation of the measures set out in the Equality Strategy and Action Plan 2030, the</w:t>
      </w:r>
      <w:r w:rsidRPr="00A86F53">
        <w:rPr>
          <w:b/>
        </w:rPr>
        <w:t xml:space="preserve"> FOGE </w:t>
      </w:r>
      <w:r w:rsidRPr="00A86F53">
        <w:t>shall involve organisations of women with disabilities in a timely and effective manner.</w:t>
      </w:r>
    </w:p>
    <w:p w14:paraId="36E24316" w14:textId="77777777" w:rsidR="00FF5ECB" w:rsidRPr="00A86F53" w:rsidRDefault="00FF5ECB" w:rsidP="00FF5ECB">
      <w:pPr>
        <w:pStyle w:val="SBEmpfehlungen"/>
      </w:pPr>
      <w:r w:rsidRPr="00A86F53">
        <w:t xml:space="preserve">As a complement to the Gender Equality Strategy 2030, the Federal Council shall expressly mandate a </w:t>
      </w:r>
      <w:r w:rsidRPr="00A86F53">
        <w:rPr>
          <w:b/>
        </w:rPr>
        <w:t>federal agency</w:t>
      </w:r>
      <w:r w:rsidRPr="00A86F53">
        <w:t xml:space="preserve"> (FBED/FOGE) to </w:t>
      </w:r>
      <w:r w:rsidRPr="00A86F53">
        <w:rPr>
          <w:b/>
        </w:rPr>
        <w:t>implement Article 6 CRPD</w:t>
      </w:r>
      <w:r w:rsidRPr="00A86F53">
        <w:t xml:space="preserve"> as well as General Comment No. 3 and grant the corresponding resources (based on a sound budget).</w:t>
      </w:r>
    </w:p>
    <w:p w14:paraId="3202AEFE" w14:textId="22F5EF1A" w:rsidR="00FF5ECB" w:rsidRPr="00FF5ECB" w:rsidRDefault="00FF5ECB" w:rsidP="00FF5ECB">
      <w:pPr>
        <w:pStyle w:val="SBEmpfehlungen"/>
      </w:pPr>
      <w:r w:rsidRPr="00A86F53">
        <w:t xml:space="preserve">The </w:t>
      </w:r>
      <w:r w:rsidRPr="00A86F53">
        <w:rPr>
          <w:b/>
        </w:rPr>
        <w:t>FOGE</w:t>
      </w:r>
      <w:r w:rsidRPr="00A86F53">
        <w:t xml:space="preserve"> shall ensure that all planned measures are</w:t>
      </w:r>
      <w:r w:rsidRPr="00A86F53">
        <w:rPr>
          <w:b/>
        </w:rPr>
        <w:t xml:space="preserve"> fully inclusive when</w:t>
      </w:r>
      <w:r w:rsidRPr="00A86F53">
        <w:t xml:space="preserve"> it draws up the </w:t>
      </w:r>
      <w:r>
        <w:t>National A</w:t>
      </w:r>
      <w:r w:rsidRPr="00A86F53">
        <w:t xml:space="preserve">ction </w:t>
      </w:r>
      <w:r>
        <w:t>P</w:t>
      </w:r>
      <w:r w:rsidRPr="00A86F53">
        <w:t xml:space="preserve">lan for the </w:t>
      </w:r>
      <w:r w:rsidRPr="00A86F53">
        <w:rPr>
          <w:b/>
        </w:rPr>
        <w:t>implementation of the IC</w:t>
      </w:r>
      <w:r w:rsidRPr="00A86F53">
        <w:t xml:space="preserve"> (</w:t>
      </w:r>
      <w:r>
        <w:t>see Article 16 CRPD</w:t>
      </w:r>
      <w:r w:rsidRPr="00A86F53">
        <w:t>) and systematically involve the organisations of women with disabilities, from drafting through to monitoring its impact.</w:t>
      </w:r>
    </w:p>
    <w:p w14:paraId="50593B93" w14:textId="0FB7A6E8" w:rsidR="00BA7E32" w:rsidRDefault="00BA7E32" w:rsidP="00BA7E32">
      <w:pPr>
        <w:pStyle w:val="Heading3"/>
        <w:numPr>
          <w:ilvl w:val="0"/>
          <w:numId w:val="0"/>
        </w:numPr>
        <w:ind w:left="737" w:hanging="737"/>
        <w:rPr>
          <w:lang w:val="en-GB"/>
        </w:rPr>
      </w:pPr>
      <w:bookmarkStart w:id="43" w:name="_Toc91237778"/>
      <w:bookmarkStart w:id="44" w:name="_Toc93596134"/>
      <w:bookmarkStart w:id="45" w:name="_Toc95297061"/>
      <w:bookmarkStart w:id="46" w:name="_Toc95668176"/>
      <w:r w:rsidRPr="0001096E">
        <w:rPr>
          <w:lang w:val="en-GB"/>
        </w:rPr>
        <w:t>Article 7 – Children with disabilities</w:t>
      </w:r>
      <w:bookmarkEnd w:id="43"/>
      <w:bookmarkEnd w:id="44"/>
      <w:bookmarkEnd w:id="45"/>
      <w:bookmarkEnd w:id="46"/>
    </w:p>
    <w:p w14:paraId="7CF4A44D" w14:textId="77777777" w:rsidR="00FF5ECB" w:rsidRPr="00A86F53" w:rsidRDefault="00FF5ECB" w:rsidP="00FF5ECB">
      <w:pPr>
        <w:pStyle w:val="BodyText"/>
        <w:rPr>
          <w:lang w:val="en-GB"/>
        </w:rPr>
      </w:pPr>
      <w:r w:rsidRPr="00A86F53">
        <w:rPr>
          <w:lang w:val="en-GB"/>
        </w:rPr>
        <w:t xml:space="preserve">The </w:t>
      </w:r>
      <w:r w:rsidRPr="00A86F53">
        <w:rPr>
          <w:b/>
          <w:bCs/>
          <w:lang w:val="en-GB"/>
        </w:rPr>
        <w:t>Extra-Curricular Activities Act</w:t>
      </w:r>
      <w:r w:rsidRPr="00A86F53">
        <w:rPr>
          <w:lang w:val="en-GB"/>
        </w:rPr>
        <w:t xml:space="preserve"> (ECAA,</w:t>
      </w:r>
      <w:r w:rsidRPr="00A86F53">
        <w:rPr>
          <w:b/>
          <w:lang w:val="en-GB"/>
        </w:rPr>
        <w:t xml:space="preserve"> </w:t>
      </w:r>
      <w:r w:rsidRPr="00A86F53">
        <w:rPr>
          <w:lang w:val="en-GB"/>
        </w:rPr>
        <w:t xml:space="preserve">ISR para. 199) is primarily a </w:t>
      </w:r>
      <w:r w:rsidRPr="00A86F53">
        <w:rPr>
          <w:b/>
          <w:lang w:val="en-GB"/>
        </w:rPr>
        <w:t>financial assistance act without any substantive requirements</w:t>
      </w:r>
      <w:r w:rsidRPr="00A86F53">
        <w:rPr>
          <w:lang w:val="en-GB"/>
        </w:rPr>
        <w:t xml:space="preserve"> for the structuring of child and youth policy. Even at the (inter-)cantonal level, laws and policies are insufficient. Apparently, no steps have been taken to improve the mainstreaming of the concerns of children with disabilities.</w:t>
      </w:r>
      <w:r w:rsidRPr="00A86F53">
        <w:rPr>
          <w:rFonts w:eastAsia="Cambria" w:cs="Times New Roman"/>
          <w:vertAlign w:val="superscript"/>
          <w:lang w:val="en-GB"/>
        </w:rPr>
        <w:footnoteReference w:id="48"/>
      </w:r>
      <w:r w:rsidRPr="00A86F53">
        <w:rPr>
          <w:lang w:val="en-GB"/>
        </w:rPr>
        <w:t xml:space="preserve"> Specific shortcomings exist, inter alia, in relation to general and disability-specific services (e.g. deprivati</w:t>
      </w:r>
      <w:r>
        <w:rPr>
          <w:lang w:val="en-GB"/>
        </w:rPr>
        <w:t>on in early detection/education,</w:t>
      </w:r>
      <w:r w:rsidRPr="00A86F53">
        <w:rPr>
          <w:lang w:val="en-GB"/>
        </w:rPr>
        <w:t xml:space="preserve"> see </w:t>
      </w:r>
      <w:r>
        <w:rPr>
          <w:lang w:val="en-GB"/>
        </w:rPr>
        <w:t>furthermore</w:t>
      </w:r>
      <w:r w:rsidRPr="00A86F53">
        <w:rPr>
          <w:lang w:val="en-GB"/>
        </w:rPr>
        <w:t xml:space="preserve"> Articles 23 and 25 CRPD).</w:t>
      </w:r>
    </w:p>
    <w:p w14:paraId="50501ACD" w14:textId="77777777" w:rsidR="00FF5ECB" w:rsidRPr="00A86F53" w:rsidRDefault="00FF5ECB" w:rsidP="00FF5ECB">
      <w:pPr>
        <w:pStyle w:val="BodyText"/>
        <w:rPr>
          <w:i/>
          <w:iCs/>
          <w:lang w:val="en-GB"/>
        </w:rPr>
      </w:pPr>
      <w:r w:rsidRPr="00A86F53">
        <w:rPr>
          <w:lang w:val="en-GB"/>
        </w:rPr>
        <w:t xml:space="preserve">Specific </w:t>
      </w:r>
      <w:r w:rsidRPr="00A86F53">
        <w:rPr>
          <w:b/>
          <w:lang w:val="en-GB"/>
        </w:rPr>
        <w:t>mechanisms to protect the rights</w:t>
      </w:r>
      <w:r w:rsidRPr="00A86F53">
        <w:rPr>
          <w:lang w:val="en-GB"/>
        </w:rPr>
        <w:t xml:space="preserve"> of children with disabilities (LoI para. 4a) do not exist. In this context, however, the planned creation of a </w:t>
      </w:r>
      <w:r w:rsidRPr="00A86F53">
        <w:rPr>
          <w:iCs/>
          <w:lang w:val="en-GB"/>
        </w:rPr>
        <w:t>public-law</w:t>
      </w:r>
      <w:r w:rsidRPr="00A86F53">
        <w:rPr>
          <w:lang w:val="en-GB"/>
        </w:rPr>
        <w:t xml:space="preserve"> ombudsman’</w:t>
      </w:r>
      <w:r w:rsidRPr="00A86F53">
        <w:rPr>
          <w:iCs/>
          <w:lang w:val="en-GB"/>
        </w:rPr>
        <w:t>s office for children’s rights is</w:t>
      </w:r>
      <w:r w:rsidRPr="00A86F53">
        <w:rPr>
          <w:lang w:val="en-GB"/>
        </w:rPr>
        <w:t xml:space="preserve"> generally welcome</w:t>
      </w:r>
      <w:r w:rsidRPr="00A86F53">
        <w:rPr>
          <w:iCs/>
          <w:lang w:val="en-GB"/>
        </w:rPr>
        <w:t>.</w:t>
      </w:r>
    </w:p>
    <w:p w14:paraId="2C211BFE" w14:textId="77777777" w:rsidR="00FF5ECB" w:rsidRPr="00A86F53" w:rsidRDefault="00FF5ECB" w:rsidP="00FF5ECB">
      <w:pPr>
        <w:pStyle w:val="BodyText"/>
        <w:rPr>
          <w:lang w:val="en-GB"/>
        </w:rPr>
      </w:pPr>
      <w:r w:rsidRPr="00A86F53">
        <w:rPr>
          <w:lang w:val="en-GB"/>
        </w:rPr>
        <w:lastRenderedPageBreak/>
        <w:t xml:space="preserve">Various legal and political factors lead to </w:t>
      </w:r>
      <w:r w:rsidRPr="00A86F53">
        <w:rPr>
          <w:b/>
          <w:lang w:val="en-GB"/>
        </w:rPr>
        <w:t xml:space="preserve">multiple discrimination </w:t>
      </w:r>
      <w:r w:rsidRPr="006843DC">
        <w:rPr>
          <w:lang w:val="en-GB"/>
        </w:rPr>
        <w:t>against</w:t>
      </w:r>
      <w:r w:rsidRPr="00A86F53">
        <w:rPr>
          <w:b/>
          <w:lang w:val="en-GB"/>
        </w:rPr>
        <w:t xml:space="preserve"> </w:t>
      </w:r>
      <w:r w:rsidRPr="00A86F53">
        <w:rPr>
          <w:lang w:val="en-GB"/>
        </w:rPr>
        <w:t xml:space="preserve">children with disabilities whose families have </w:t>
      </w:r>
      <w:r w:rsidRPr="00A86F53">
        <w:rPr>
          <w:b/>
          <w:bCs/>
          <w:lang w:val="en-GB"/>
        </w:rPr>
        <w:t>im</w:t>
      </w:r>
      <w:r w:rsidRPr="00A86F53">
        <w:rPr>
          <w:b/>
          <w:lang w:val="en-GB"/>
        </w:rPr>
        <w:t xml:space="preserve">migrated </w:t>
      </w:r>
      <w:r w:rsidRPr="006843DC">
        <w:rPr>
          <w:lang w:val="en-GB"/>
        </w:rPr>
        <w:t>to</w:t>
      </w:r>
      <w:r w:rsidRPr="00A86F53">
        <w:rPr>
          <w:b/>
          <w:lang w:val="en-GB"/>
        </w:rPr>
        <w:t xml:space="preserve"> </w:t>
      </w:r>
      <w:r w:rsidRPr="00A86F53">
        <w:rPr>
          <w:lang w:val="en-GB"/>
        </w:rPr>
        <w:t>Switzerland. This particularly affects their rights to early and long-term education, access to state benefits for (both psychosocial and bodily) health and social security (especial</w:t>
      </w:r>
      <w:r>
        <w:rPr>
          <w:lang w:val="en-GB"/>
        </w:rPr>
        <w:t>ly invalidity insurance), inclusive</w:t>
      </w:r>
      <w:r w:rsidRPr="00A86F53">
        <w:rPr>
          <w:lang w:val="en-GB"/>
        </w:rPr>
        <w:t xml:space="preserve"> primary school education, participation and involvement, living together with their family and naturalisation. </w:t>
      </w:r>
      <w:r w:rsidRPr="00A86F53">
        <w:rPr>
          <w:b/>
          <w:lang w:val="en-GB"/>
        </w:rPr>
        <w:t>Asylum seekers and undocumented children and young PWD</w:t>
      </w:r>
      <w:r w:rsidRPr="00A86F53">
        <w:rPr>
          <w:lang w:val="en-GB"/>
        </w:rPr>
        <w:t xml:space="preserve"> are particularly exposed to these infringements of the law.</w:t>
      </w:r>
      <w:r w:rsidRPr="00A86F53">
        <w:rPr>
          <w:rFonts w:eastAsia="Cambria" w:cs="Times New Roman"/>
          <w:vertAlign w:val="superscript"/>
          <w:lang w:val="en-GB"/>
        </w:rPr>
        <w:footnoteReference w:id="49"/>
      </w:r>
      <w:r w:rsidRPr="00A86F53">
        <w:rPr>
          <w:lang w:val="en-GB"/>
        </w:rPr>
        <w:t xml:space="preserve"> Unfortunately, the CDSS recommendations on minor asylum seekers (Reply to LoI, para. 11) address those with disabilities only marginally.</w:t>
      </w:r>
    </w:p>
    <w:p w14:paraId="0D3B99DF" w14:textId="77777777" w:rsidR="00FF5ECB" w:rsidRPr="00A86F53" w:rsidRDefault="00FF5ECB" w:rsidP="00FF5ECB">
      <w:pPr>
        <w:pStyle w:val="BodyText"/>
        <w:rPr>
          <w:lang w:val="en-GB"/>
        </w:rPr>
      </w:pPr>
      <w:r w:rsidRPr="00A86F53">
        <w:rPr>
          <w:lang w:val="en-GB"/>
        </w:rPr>
        <w:t>Recently, the Children’s</w:t>
      </w:r>
      <w:r w:rsidRPr="00A86F53">
        <w:rPr>
          <w:b/>
          <w:lang w:val="en-GB"/>
        </w:rPr>
        <w:t xml:space="preserve"> </w:t>
      </w:r>
      <w:r w:rsidRPr="00A86F53">
        <w:rPr>
          <w:lang w:val="en-GB"/>
        </w:rPr>
        <w:t>Rights Committee also found once again that the concept of the “</w:t>
      </w:r>
      <w:r>
        <w:rPr>
          <w:b/>
          <w:lang w:val="en-GB"/>
        </w:rPr>
        <w:t xml:space="preserve">good </w:t>
      </w:r>
      <w:r w:rsidRPr="00A86F53">
        <w:rPr>
          <w:b/>
          <w:lang w:val="en-GB"/>
        </w:rPr>
        <w:t>of the child</w:t>
      </w:r>
      <w:r w:rsidRPr="00A86F53">
        <w:rPr>
          <w:lang w:val="en-GB"/>
        </w:rPr>
        <w:t xml:space="preserve">” under Swiss law does not coincide with the principle of “best interests of the child” and leads to inadequate implementation of the same in decisions concerning children (CRC/C/CHE/CO/5-6, para. 19). Guidelines for determining the “best interests” of children are lacking, particularly in asylum proceedings (para. 43a) and on inclusive education (see Article 24 CRPD). </w:t>
      </w:r>
    </w:p>
    <w:p w14:paraId="138ACCE1" w14:textId="7C81BE5F" w:rsidR="00FF5ECB" w:rsidRPr="00FF5ECB" w:rsidRDefault="00FF5ECB" w:rsidP="00FF5ECB">
      <w:pPr>
        <w:pStyle w:val="BodyText"/>
        <w:rPr>
          <w:lang w:val="en-GB"/>
        </w:rPr>
      </w:pPr>
      <w:r w:rsidRPr="00A86F53">
        <w:rPr>
          <w:lang w:val="en-GB"/>
        </w:rPr>
        <w:t xml:space="preserve">With regard to </w:t>
      </w:r>
      <w:r w:rsidRPr="00A86F53">
        <w:rPr>
          <w:b/>
          <w:lang w:val="en-GB"/>
        </w:rPr>
        <w:t>participating in</w:t>
      </w:r>
      <w:r w:rsidRPr="00A86F53">
        <w:rPr>
          <w:lang w:val="en-GB"/>
        </w:rPr>
        <w:t xml:space="preserve"> </w:t>
      </w:r>
      <w:r w:rsidRPr="00A86F53">
        <w:rPr>
          <w:b/>
          <w:bCs/>
          <w:lang w:val="en-GB"/>
        </w:rPr>
        <w:t>the</w:t>
      </w:r>
      <w:r w:rsidRPr="00A86F53">
        <w:rPr>
          <w:lang w:val="en-GB"/>
        </w:rPr>
        <w:t xml:space="preserve"> </w:t>
      </w:r>
      <w:r w:rsidRPr="00A86F53">
        <w:rPr>
          <w:b/>
          <w:lang w:val="en-GB"/>
        </w:rPr>
        <w:t xml:space="preserve">decisions concerning them </w:t>
      </w:r>
      <w:r w:rsidRPr="00A86F53">
        <w:rPr>
          <w:lang w:val="en-GB"/>
        </w:rPr>
        <w:t xml:space="preserve">(LoI para. 4b), children with disabilities are particularly disadvantaged in terms of exercising their </w:t>
      </w:r>
      <w:r w:rsidRPr="00FF41E4">
        <w:rPr>
          <w:b/>
          <w:lang w:val="en-GB"/>
        </w:rPr>
        <w:t>procedural rights</w:t>
      </w:r>
      <w:r w:rsidRPr="00C851DE">
        <w:rPr>
          <w:lang w:val="en-GB"/>
        </w:rPr>
        <w:t xml:space="preserve">. </w:t>
      </w:r>
      <w:r w:rsidRPr="00C851DE">
        <w:rPr>
          <w:lang w:val="en-US"/>
        </w:rPr>
        <w:t xml:space="preserve">As with adults, the </w:t>
      </w:r>
      <w:r w:rsidRPr="00850223">
        <w:rPr>
          <w:lang w:val="en-US"/>
        </w:rPr>
        <w:t>capacity to take legal action and to testify is</w:t>
      </w:r>
      <w:r w:rsidRPr="00C851DE">
        <w:rPr>
          <w:lang w:val="en-US"/>
        </w:rPr>
        <w:t xml:space="preserve"> linked to </w:t>
      </w:r>
      <w:r w:rsidRPr="00850223">
        <w:rPr>
          <w:lang w:val="en-US"/>
        </w:rPr>
        <w:t xml:space="preserve">children’s </w:t>
      </w:r>
      <w:r w:rsidRPr="00850223">
        <w:rPr>
          <w:lang w:val="en-GB"/>
        </w:rPr>
        <w:t>“capacity of judgement”,</w:t>
      </w:r>
      <w:r>
        <w:rPr>
          <w:lang w:val="en-GB"/>
        </w:rPr>
        <w:t xml:space="preserve"> </w:t>
      </w:r>
      <w:r w:rsidRPr="00C851DE">
        <w:rPr>
          <w:lang w:val="en-GB"/>
        </w:rPr>
        <w:t xml:space="preserve">without </w:t>
      </w:r>
      <w:r>
        <w:rPr>
          <w:lang w:val="en-GB"/>
        </w:rPr>
        <w:t xml:space="preserve">them </w:t>
      </w:r>
      <w:r w:rsidRPr="00C851DE">
        <w:rPr>
          <w:lang w:val="en-GB"/>
        </w:rPr>
        <w:t xml:space="preserve">being granted </w:t>
      </w:r>
      <w:r>
        <w:rPr>
          <w:lang w:val="en-GB"/>
        </w:rPr>
        <w:t>supported</w:t>
      </w:r>
      <w:r w:rsidRPr="00C851DE">
        <w:rPr>
          <w:lang w:val="en-GB"/>
        </w:rPr>
        <w:t xml:space="preserve"> decision-making. In addition to </w:t>
      </w:r>
      <w:r w:rsidRPr="00C851DE">
        <w:rPr>
          <w:b/>
          <w:bCs/>
          <w:lang w:val="en-GB"/>
        </w:rPr>
        <w:t>training, reasonable accommodations and assistance</w:t>
      </w:r>
      <w:r w:rsidRPr="00C851DE">
        <w:rPr>
          <w:lang w:val="en-GB"/>
        </w:rPr>
        <w:t>, there is a lack of accessibility to infrastructure, forms of communication and information material (see Article 13 CRPD). A</w:t>
      </w:r>
      <w:r w:rsidRPr="00A86F53">
        <w:rPr>
          <w:lang w:val="en-GB"/>
        </w:rPr>
        <w:t xml:space="preserve"> study on the right of children to participate found that generally in Switzerland there is still a needs-based approach (e.g. “hearing [procedure] as a </w:t>
      </w:r>
      <w:r w:rsidRPr="005A5EBA">
        <w:rPr>
          <w:b/>
          <w:bCs/>
          <w:lang w:val="en-GB"/>
        </w:rPr>
        <w:t>burden</w:t>
      </w:r>
      <w:r w:rsidRPr="00A86F53">
        <w:rPr>
          <w:lang w:val="en-GB"/>
        </w:rPr>
        <w:t xml:space="preserve"> on the child”) instead of a children’s rights-based approach which basically and unreservedly grants the child the right to participate based on him or her being </w:t>
      </w:r>
      <w:r w:rsidRPr="00A86F53">
        <w:rPr>
          <w:lang w:val="en-GB"/>
        </w:rPr>
        <w:lastRenderedPageBreak/>
        <w:t>both a person and child.</w:t>
      </w:r>
      <w:r w:rsidRPr="00A86F53">
        <w:rPr>
          <w:vertAlign w:val="superscript"/>
          <w:lang w:val="en-GB"/>
        </w:rPr>
        <w:footnoteReference w:id="50"/>
      </w:r>
      <w:r w:rsidRPr="00A86F53">
        <w:rPr>
          <w:lang w:val="en-GB"/>
        </w:rPr>
        <w:t xml:space="preserve"> In practice, the disability of a child may be cited as grounds for </w:t>
      </w:r>
      <w:r w:rsidRPr="00FF41E4">
        <w:rPr>
          <w:b/>
          <w:lang w:val="en-GB"/>
        </w:rPr>
        <w:t>refusing to hear</w:t>
      </w:r>
      <w:r w:rsidRPr="00A86F53">
        <w:rPr>
          <w:lang w:val="en-GB"/>
        </w:rPr>
        <w:t xml:space="preserve"> him or her on a case-by-case basis by invoking general clauses in the Swiss Civil Code (CC) and the Civil Procedure Code (CPC).</w:t>
      </w:r>
      <w:r w:rsidRPr="00A86F53">
        <w:rPr>
          <w:vertAlign w:val="superscript"/>
          <w:lang w:val="en-GB"/>
        </w:rPr>
        <w:footnoteReference w:id="51"/>
      </w:r>
      <w:r w:rsidRPr="00A86F53">
        <w:rPr>
          <w:lang w:val="en-GB"/>
        </w:rPr>
        <w:t xml:space="preserve"> Children with intellectual disabilities are particularly exposed to discriminatory attitudes by government agencies and courts.</w:t>
      </w:r>
    </w:p>
    <w:p w14:paraId="1C50499B" w14:textId="378FC347" w:rsidR="0006109B" w:rsidRPr="0001096E" w:rsidRDefault="00BA7E32" w:rsidP="0006109B">
      <w:pPr>
        <w:shd w:val="clear" w:color="auto" w:fill="FFFFCC"/>
        <w:spacing w:before="240"/>
        <w:rPr>
          <w:b/>
          <w:lang w:val="en-GB"/>
        </w:rPr>
      </w:pPr>
      <w:r w:rsidRPr="0001096E">
        <w:rPr>
          <w:b/>
          <w:lang w:val="en-GB"/>
        </w:rPr>
        <w:t>Proposals for recommendations</w:t>
      </w:r>
      <w:r w:rsidR="0006109B" w:rsidRPr="0001096E">
        <w:rPr>
          <w:b/>
          <w:lang w:val="en-GB"/>
        </w:rPr>
        <w:t>:</w:t>
      </w:r>
    </w:p>
    <w:p w14:paraId="303C7428" w14:textId="77777777" w:rsidR="00FF5ECB" w:rsidRPr="00A86F53" w:rsidRDefault="00FF5ECB" w:rsidP="00FF5ECB">
      <w:pPr>
        <w:pStyle w:val="SBEmpfehlungen"/>
      </w:pPr>
      <w:bookmarkStart w:id="47" w:name="_Toc91237779"/>
      <w:bookmarkStart w:id="48" w:name="_Toc93596135"/>
      <w:bookmarkStart w:id="49" w:name="_Toc95297062"/>
      <w:r w:rsidRPr="00A86F53">
        <w:t xml:space="preserve">The Konferenz für Kinder- und Jugendpolitik [Conference on Child and Youth Policy] </w:t>
      </w:r>
      <w:r w:rsidRPr="00A86F53">
        <w:rPr>
          <w:b/>
          <w:bCs/>
        </w:rPr>
        <w:t>(KK</w:t>
      </w:r>
      <w:r w:rsidRPr="00A86F53">
        <w:rPr>
          <w:b/>
        </w:rPr>
        <w:t>JP)</w:t>
      </w:r>
      <w:r w:rsidRPr="00A86F53">
        <w:t xml:space="preserve"> develops </w:t>
      </w:r>
      <w:r w:rsidRPr="00A86F53">
        <w:rPr>
          <w:b/>
        </w:rPr>
        <w:t xml:space="preserve">procedures and criteria for determining the “best interests of the child” </w:t>
      </w:r>
      <w:r>
        <w:t>in accordance with Article 7</w:t>
      </w:r>
      <w:r w:rsidRPr="00A86F53">
        <w:t xml:space="preserve"> CRPD for all competent professionals, taking specific account of the rights of children with disabilities </w:t>
      </w:r>
      <w:r>
        <w:t xml:space="preserve">who are subjected to </w:t>
      </w:r>
      <w:r w:rsidRPr="00FF41E4">
        <w:rPr>
          <w:b/>
        </w:rPr>
        <w:t>multiple discrimination</w:t>
      </w:r>
      <w:r w:rsidRPr="00A86F53">
        <w:t xml:space="preserve">. </w:t>
      </w:r>
    </w:p>
    <w:p w14:paraId="1A40EAEA" w14:textId="77777777" w:rsidR="00FF5ECB" w:rsidRPr="00A86F53" w:rsidRDefault="00FF5ECB" w:rsidP="00FF5ECB">
      <w:pPr>
        <w:pStyle w:val="SBEmpfehlungen"/>
      </w:pPr>
      <w:r w:rsidRPr="00A86F53">
        <w:t xml:space="preserve">The </w:t>
      </w:r>
      <w:r w:rsidRPr="00A86F53">
        <w:rPr>
          <w:b/>
        </w:rPr>
        <w:t xml:space="preserve">cantons </w:t>
      </w:r>
      <w:r w:rsidRPr="00A86F53">
        <w:t xml:space="preserve">shall train all employees of authorities and courts whose decisions regularly (also) affect children in </w:t>
      </w:r>
      <w:r w:rsidRPr="00A86F53">
        <w:rPr>
          <w:b/>
        </w:rPr>
        <w:t>the non-discriminatory application of procedural provisions</w:t>
      </w:r>
      <w:r w:rsidRPr="00A86F53">
        <w:t xml:space="preserve"> and in the </w:t>
      </w:r>
      <w:r w:rsidRPr="00A86F53">
        <w:rPr>
          <w:b/>
        </w:rPr>
        <w:t>provision</w:t>
      </w:r>
      <w:r w:rsidRPr="00A86F53">
        <w:t xml:space="preserve"> </w:t>
      </w:r>
      <w:r w:rsidRPr="00A86F53">
        <w:rPr>
          <w:b/>
        </w:rPr>
        <w:t xml:space="preserve">of necessary accommodations and assistance </w:t>
      </w:r>
      <w:r w:rsidRPr="00A86F53">
        <w:t xml:space="preserve">for children with disabilities. </w:t>
      </w:r>
    </w:p>
    <w:p w14:paraId="4780D851" w14:textId="77777777" w:rsidR="00FF5ECB" w:rsidRPr="00A86F53" w:rsidRDefault="00FF5ECB" w:rsidP="00FF5ECB">
      <w:pPr>
        <w:pStyle w:val="SBEmpfehlungen"/>
      </w:pPr>
      <w:r w:rsidRPr="00A86F53">
        <w:t xml:space="preserve">The Confederation shall ensure that the future </w:t>
      </w:r>
      <w:r w:rsidRPr="00A86F53">
        <w:rPr>
          <w:bCs/>
        </w:rPr>
        <w:t>o</w:t>
      </w:r>
      <w:r w:rsidRPr="00A86F53">
        <w:t xml:space="preserve">mbudsman’s office for children’s rights is </w:t>
      </w:r>
      <w:r w:rsidRPr="00A86F53">
        <w:rPr>
          <w:bCs/>
        </w:rPr>
        <w:t>fully</w:t>
      </w:r>
      <w:r>
        <w:t xml:space="preserve"> accessible and </w:t>
      </w:r>
      <w:r w:rsidRPr="00A86F53">
        <w:t>inclusive for all children with disabilities.</w:t>
      </w:r>
    </w:p>
    <w:p w14:paraId="79114320" w14:textId="3038A5F4" w:rsidR="00BA7E32" w:rsidRPr="0001096E" w:rsidRDefault="00BA7E32" w:rsidP="00BA7E32">
      <w:pPr>
        <w:pStyle w:val="Heading3"/>
        <w:numPr>
          <w:ilvl w:val="0"/>
          <w:numId w:val="0"/>
        </w:numPr>
        <w:ind w:left="737" w:hanging="737"/>
        <w:rPr>
          <w:lang w:val="en-GB"/>
        </w:rPr>
      </w:pPr>
      <w:bookmarkStart w:id="50" w:name="_Toc95668177"/>
      <w:r w:rsidRPr="0001096E">
        <w:rPr>
          <w:lang w:val="en-GB"/>
        </w:rPr>
        <w:t>Article 8 – Awareness-raising</w:t>
      </w:r>
      <w:bookmarkEnd w:id="47"/>
      <w:bookmarkEnd w:id="48"/>
      <w:bookmarkEnd w:id="49"/>
      <w:bookmarkEnd w:id="50"/>
      <w:r w:rsidRPr="0001096E">
        <w:rPr>
          <w:lang w:val="en-GB"/>
        </w:rPr>
        <w:t xml:space="preserve"> </w:t>
      </w:r>
    </w:p>
    <w:p w14:paraId="53E8E810" w14:textId="77777777" w:rsidR="00FF5ECB" w:rsidRPr="00A86F53" w:rsidRDefault="00FF5ECB" w:rsidP="00FF5ECB">
      <w:pPr>
        <w:autoSpaceDE w:val="0"/>
        <w:autoSpaceDN w:val="0"/>
        <w:adjustRightInd w:val="0"/>
        <w:rPr>
          <w:rFonts w:eastAsia="Calibri"/>
          <w:color w:val="000000"/>
          <w:lang w:val="en-GB"/>
        </w:rPr>
      </w:pPr>
      <w:r w:rsidRPr="00A86F53">
        <w:rPr>
          <w:rFonts w:eastAsia="Calibri"/>
          <w:color w:val="000000"/>
          <w:lang w:val="en-GB"/>
        </w:rPr>
        <w:t xml:space="preserve">Special education professionals (Reply to LoI, para. 13) are unfortunately not always aware of the </w:t>
      </w:r>
      <w:r w:rsidRPr="00A86F53">
        <w:rPr>
          <w:rFonts w:eastAsia="Calibri"/>
          <w:b/>
          <w:color w:val="000000"/>
          <w:lang w:val="en-GB"/>
        </w:rPr>
        <w:t>legal nature</w:t>
      </w:r>
      <w:r w:rsidRPr="00A86F53">
        <w:rPr>
          <w:rFonts w:eastAsia="Calibri"/>
          <w:color w:val="000000"/>
          <w:lang w:val="en-GB"/>
        </w:rPr>
        <w:t xml:space="preserve"> of the right to inclusive education. Even more strongly, “regular teachers” understand inclusion merely as a theoretical principle, trend, utopia or non-binding “soft law”, or equate it with integration. In </w:t>
      </w:r>
      <w:r w:rsidRPr="00A86F53">
        <w:rPr>
          <w:rFonts w:eastAsia="Calibri"/>
          <w:color w:val="000000"/>
          <w:lang w:val="en-GB"/>
        </w:rPr>
        <w:lastRenderedPageBreak/>
        <w:t xml:space="preserve">their </w:t>
      </w:r>
      <w:r w:rsidRPr="00A86F53">
        <w:rPr>
          <w:rFonts w:eastAsia="Calibri"/>
          <w:b/>
          <w:color w:val="000000"/>
          <w:lang w:val="en-GB"/>
        </w:rPr>
        <w:t>training</w:t>
      </w:r>
      <w:r w:rsidRPr="00A86F53">
        <w:rPr>
          <w:rFonts w:eastAsia="Calibri"/>
          <w:color w:val="000000"/>
          <w:lang w:val="en-GB"/>
        </w:rPr>
        <w:t>,</w:t>
      </w:r>
      <w:r w:rsidRPr="00A86F53">
        <w:rPr>
          <w:rFonts w:eastAsia="Calibri"/>
          <w:b/>
          <w:color w:val="000000"/>
          <w:lang w:val="en-GB"/>
        </w:rPr>
        <w:t xml:space="preserve"> </w:t>
      </w:r>
      <w:r w:rsidRPr="00A86F53">
        <w:rPr>
          <w:rFonts w:eastAsia="Calibri"/>
          <w:color w:val="000000"/>
          <w:lang w:val="en-GB"/>
        </w:rPr>
        <w:t xml:space="preserve">they seldom acquire sound specialist knowledge on </w:t>
      </w:r>
      <w:r>
        <w:rPr>
          <w:rFonts w:eastAsia="Calibri"/>
          <w:color w:val="000000"/>
          <w:lang w:val="en-GB"/>
        </w:rPr>
        <w:t>the concrete design</w:t>
      </w:r>
      <w:r w:rsidRPr="00A86F53">
        <w:rPr>
          <w:rFonts w:eastAsia="Calibri"/>
          <w:color w:val="000000"/>
          <w:lang w:val="en-GB"/>
        </w:rPr>
        <w:t xml:space="preserve"> </w:t>
      </w:r>
      <w:r>
        <w:rPr>
          <w:rFonts w:eastAsia="Calibri"/>
          <w:color w:val="000000"/>
          <w:lang w:val="en-GB"/>
        </w:rPr>
        <w:t xml:space="preserve">of </w:t>
      </w:r>
      <w:r w:rsidRPr="00A86F53">
        <w:rPr>
          <w:rFonts w:eastAsia="Calibri"/>
          <w:color w:val="000000"/>
          <w:lang w:val="en-GB"/>
        </w:rPr>
        <w:t xml:space="preserve">inclusive lessons. Social education professionals report that, although they deal with the CRPD in training, in practice they often encounter (institutional) structures that render its implementation virtually impossible. Lack of knowledge or interest in the principles/content of international law and deep-rooted stereotypes lead to a disregard of rights even by legal professionals, including judges (see also Articles 13, 16, 24 CRPD). </w:t>
      </w:r>
      <w:r w:rsidRPr="00A86F53">
        <w:rPr>
          <w:lang w:val="en-GB"/>
        </w:rPr>
        <w:t xml:space="preserve">Government agencies generally </w:t>
      </w:r>
      <w:r w:rsidRPr="00104AEE">
        <w:rPr>
          <w:rStyle w:val="CommentReference"/>
          <w:lang w:val="en-US"/>
        </w:rPr>
        <w:t>lack</w:t>
      </w:r>
      <w:r w:rsidRPr="00A86F53">
        <w:rPr>
          <w:lang w:val="en-GB"/>
        </w:rPr>
        <w:t xml:space="preserve"> knowledge of the CRPD.</w:t>
      </w:r>
      <w:r w:rsidRPr="00A86F53">
        <w:rPr>
          <w:rFonts w:eastAsia="Cambria" w:cs="Times New Roman"/>
          <w:vertAlign w:val="superscript"/>
          <w:lang w:val="en-GB"/>
        </w:rPr>
        <w:footnoteReference w:id="52"/>
      </w:r>
      <w:r w:rsidRPr="00A86F53">
        <w:rPr>
          <w:rFonts w:eastAsia="Cambria" w:cs="Times New Roman"/>
          <w:vertAlign w:val="superscript"/>
          <w:lang w:val="en-GB"/>
        </w:rPr>
        <w:t xml:space="preserve"> </w:t>
      </w:r>
      <w:r w:rsidRPr="00A86F53">
        <w:rPr>
          <w:rFonts w:eastAsia="Calibri"/>
          <w:color w:val="000000"/>
          <w:lang w:val="en-GB"/>
        </w:rPr>
        <w:t>Over</w:t>
      </w:r>
      <w:r w:rsidRPr="00A86F53">
        <w:rPr>
          <w:lang w:val="en-GB"/>
        </w:rPr>
        <w:t>all, the i</w:t>
      </w:r>
      <w:r w:rsidRPr="00A86F53">
        <w:rPr>
          <w:rFonts w:eastAsia="Calibri"/>
          <w:color w:val="000000"/>
          <w:lang w:val="en-GB"/>
        </w:rPr>
        <w:t>n</w:t>
      </w:r>
      <w:r w:rsidRPr="00A86F53">
        <w:rPr>
          <w:rFonts w:eastAsia="Calibri"/>
          <w:b/>
          <w:color w:val="000000"/>
          <w:lang w:val="en-GB"/>
        </w:rPr>
        <w:t>-</w:t>
      </w:r>
      <w:r w:rsidRPr="00A86F53">
        <w:rPr>
          <w:rFonts w:eastAsia="Calibri"/>
          <w:color w:val="000000"/>
          <w:lang w:val="en-GB"/>
        </w:rPr>
        <w:t xml:space="preserve">depth knowledge of rights of PWD is apparently not sufficiently binding or sophisticated in any </w:t>
      </w:r>
      <w:r w:rsidRPr="00A86F53">
        <w:rPr>
          <w:rFonts w:eastAsia="Calibri"/>
          <w:b/>
          <w:color w:val="000000"/>
          <w:lang w:val="en-GB"/>
        </w:rPr>
        <w:t>training or continuing education curriculum</w:t>
      </w:r>
      <w:r w:rsidRPr="00A86F53">
        <w:rPr>
          <w:rFonts w:eastAsia="Calibri"/>
          <w:color w:val="000000"/>
          <w:lang w:val="en-GB"/>
        </w:rPr>
        <w:t xml:space="preserve">. </w:t>
      </w:r>
    </w:p>
    <w:p w14:paraId="291BA21A" w14:textId="77777777" w:rsidR="00FF5ECB" w:rsidRPr="00A86F53" w:rsidRDefault="00FF5ECB" w:rsidP="00FF5ECB">
      <w:pPr>
        <w:pStyle w:val="BodyText"/>
        <w:rPr>
          <w:lang w:val="en-GB"/>
        </w:rPr>
      </w:pPr>
      <w:r w:rsidRPr="00A86F53">
        <w:rPr>
          <w:lang w:val="en-GB"/>
        </w:rPr>
        <w:t xml:space="preserve">Many </w:t>
      </w:r>
      <w:r w:rsidRPr="00A86F53">
        <w:rPr>
          <w:rFonts w:eastAsia="Calibri"/>
          <w:b/>
          <w:color w:val="000000"/>
          <w:lang w:val="en-GB"/>
        </w:rPr>
        <w:t>PWD</w:t>
      </w:r>
      <w:r w:rsidRPr="00A86F53">
        <w:rPr>
          <w:lang w:val="en-GB"/>
        </w:rPr>
        <w:t xml:space="preserve"> and their relatives are also unaware of their rights, and the funding of relevant activities of associations of PWD (Reply to LoI) is currently being called into question by a revision of the law. </w:t>
      </w:r>
    </w:p>
    <w:p w14:paraId="242695B1" w14:textId="77777777" w:rsidR="00FF5ECB" w:rsidRPr="00A86F53" w:rsidRDefault="00FF5ECB" w:rsidP="00FF5ECB">
      <w:pPr>
        <w:pStyle w:val="BodyText"/>
        <w:rPr>
          <w:sz w:val="20"/>
          <w:szCs w:val="20"/>
          <w:lang w:val="en-GB"/>
        </w:rPr>
      </w:pPr>
      <w:r w:rsidRPr="00A86F53">
        <w:rPr>
          <w:lang w:val="en-GB"/>
        </w:rPr>
        <w:t xml:space="preserve">Population surveys unfortunately do not support the idea that </w:t>
      </w:r>
      <w:r w:rsidRPr="00A86F53">
        <w:rPr>
          <w:b/>
          <w:lang w:val="en-GB"/>
        </w:rPr>
        <w:t>stereotypes and prejudices</w:t>
      </w:r>
      <w:r w:rsidRPr="00A86F53">
        <w:rPr>
          <w:lang w:val="en-GB"/>
        </w:rPr>
        <w:t xml:space="preserve"> (LoI, para. 5.b) towards </w:t>
      </w:r>
      <w:r w:rsidRPr="00A86F53">
        <w:rPr>
          <w:rFonts w:eastAsia="Calibri"/>
          <w:color w:val="000000"/>
          <w:lang w:val="en-GB"/>
        </w:rPr>
        <w:t>PWD</w:t>
      </w:r>
      <w:r w:rsidRPr="00A86F53">
        <w:rPr>
          <w:lang w:val="en-GB"/>
        </w:rPr>
        <w:t xml:space="preserve"> have decreased as a result of the awareness-raising activities mentioned by Switzerland. On the contrary: their social stigma has intensified in recent years, and psychosocial disabilities, in particular, are often treated as taboo.</w:t>
      </w:r>
      <w:r w:rsidRPr="00A86F53">
        <w:rPr>
          <w:rFonts w:eastAsia="Cambria" w:cs="Times New Roman"/>
          <w:vertAlign w:val="superscript"/>
          <w:lang w:val="en-GB"/>
        </w:rPr>
        <w:footnoteReference w:id="53"/>
      </w:r>
      <w:r w:rsidRPr="00A86F53">
        <w:rPr>
          <w:lang w:val="en-GB"/>
        </w:rPr>
        <w:t xml:space="preserve"> During the referendum on the monitoring of persons receiving social insurance (see Article 22 CRPD), cheap propaganda points were scored against “fraudulent insurance claimants”. </w:t>
      </w:r>
    </w:p>
    <w:p w14:paraId="77495D65" w14:textId="77777777" w:rsidR="00FF5ECB" w:rsidRPr="00A86F53" w:rsidRDefault="00FF5ECB" w:rsidP="00FF5ECB">
      <w:pPr>
        <w:pStyle w:val="BodyText"/>
        <w:rPr>
          <w:lang w:val="en-GB"/>
        </w:rPr>
      </w:pPr>
      <w:r w:rsidRPr="00065D26">
        <w:rPr>
          <w:b/>
          <w:lang w:val="en-GB"/>
        </w:rPr>
        <w:t>Discriminatory attitudes</w:t>
      </w:r>
      <w:r w:rsidRPr="00A86F53">
        <w:rPr>
          <w:lang w:val="en-GB"/>
        </w:rPr>
        <w:t xml:space="preserve"> </w:t>
      </w:r>
      <w:r>
        <w:rPr>
          <w:lang w:val="en-GB"/>
        </w:rPr>
        <w:t>are</w:t>
      </w:r>
      <w:r w:rsidRPr="00A86F53">
        <w:rPr>
          <w:lang w:val="en-GB"/>
        </w:rPr>
        <w:t xml:space="preserve"> generally apparent in relation to the right to</w:t>
      </w:r>
      <w:r>
        <w:rPr>
          <w:lang w:val="en-GB"/>
        </w:rPr>
        <w:t xml:space="preserve"> self-determination</w:t>
      </w:r>
      <w:r w:rsidRPr="00A86F53">
        <w:rPr>
          <w:lang w:val="en-GB"/>
        </w:rPr>
        <w:t xml:space="preserve">, the </w:t>
      </w:r>
      <w:r w:rsidRPr="00065D26">
        <w:rPr>
          <w:lang w:val="en-GB"/>
        </w:rPr>
        <w:t>right to choose where and with whom to live</w:t>
      </w:r>
      <w:r>
        <w:rPr>
          <w:lang w:val="en-GB"/>
        </w:rPr>
        <w:t xml:space="preserve">, the right to </w:t>
      </w:r>
      <w:r w:rsidRPr="00A86F53">
        <w:rPr>
          <w:lang w:val="en-GB"/>
        </w:rPr>
        <w:t xml:space="preserve">education and </w:t>
      </w:r>
      <w:r>
        <w:rPr>
          <w:lang w:val="en-GB"/>
        </w:rPr>
        <w:t xml:space="preserve">to </w:t>
      </w:r>
      <w:r w:rsidRPr="00A86F53">
        <w:rPr>
          <w:lang w:val="en-GB"/>
        </w:rPr>
        <w:t xml:space="preserve">starting a family for people with intellectual and psychosocial disabilities as well as the right to inclusive schooling of children with intellectual </w:t>
      </w:r>
      <w:r>
        <w:rPr>
          <w:lang w:val="en-GB"/>
        </w:rPr>
        <w:t xml:space="preserve">and psychosocial </w:t>
      </w:r>
      <w:r w:rsidRPr="00A86F53">
        <w:rPr>
          <w:lang w:val="en-GB"/>
        </w:rPr>
        <w:t>disabilities.</w:t>
      </w:r>
      <w:r w:rsidRPr="00A86F53">
        <w:rPr>
          <w:rFonts w:eastAsia="Cambria" w:cs="Times New Roman"/>
          <w:vertAlign w:val="superscript"/>
          <w:lang w:val="en-GB"/>
        </w:rPr>
        <w:footnoteReference w:id="54"/>
      </w:r>
      <w:r w:rsidRPr="00A86F53">
        <w:rPr>
          <w:lang w:val="en-GB"/>
        </w:rPr>
        <w:t xml:space="preserve"> Awareness of ableism and its mechanisms is </w:t>
      </w:r>
      <w:r w:rsidRPr="00A86F53">
        <w:rPr>
          <w:lang w:val="en-GB"/>
        </w:rPr>
        <w:lastRenderedPageBreak/>
        <w:t>scarcely developed in Switzerland,</w:t>
      </w:r>
      <w:r w:rsidRPr="00A86F53">
        <w:rPr>
          <w:vertAlign w:val="superscript"/>
          <w:lang w:val="en-GB"/>
        </w:rPr>
        <w:footnoteReference w:id="55"/>
      </w:r>
      <w:r w:rsidRPr="00A86F53">
        <w:rPr>
          <w:lang w:val="en-GB"/>
        </w:rPr>
        <w:t xml:space="preserve"> nor is the use of non-discriminatory language in respect of </w:t>
      </w:r>
      <w:r w:rsidRPr="00A86F53">
        <w:rPr>
          <w:rFonts w:eastAsia="Calibri"/>
          <w:color w:val="000000"/>
          <w:lang w:val="en-GB"/>
        </w:rPr>
        <w:t>PWD</w:t>
      </w:r>
      <w:r w:rsidRPr="00A86F53">
        <w:rPr>
          <w:lang w:val="en-GB"/>
        </w:rPr>
        <w:t xml:space="preserve"> (in contrast to gender-friendly language). </w:t>
      </w:r>
    </w:p>
    <w:p w14:paraId="5490F170" w14:textId="77777777" w:rsidR="00FF5ECB" w:rsidRPr="00A86F53" w:rsidRDefault="00FF5ECB" w:rsidP="00FF5ECB">
      <w:pPr>
        <w:pStyle w:val="BodyText"/>
        <w:rPr>
          <w:lang w:val="en-GB"/>
        </w:rPr>
      </w:pPr>
      <w:r w:rsidRPr="00A86F53">
        <w:rPr>
          <w:b/>
          <w:bCs/>
          <w:lang w:val="en-GB"/>
        </w:rPr>
        <w:t>M</w:t>
      </w:r>
      <w:r w:rsidRPr="00A86F53">
        <w:rPr>
          <w:b/>
          <w:lang w:val="en-GB"/>
        </w:rPr>
        <w:t>edia coverage</w:t>
      </w:r>
      <w:r w:rsidRPr="00A86F53">
        <w:rPr>
          <w:lang w:val="en-GB"/>
        </w:rPr>
        <w:t xml:space="preserve"> of life situations and to some extent the rights of PWD </w:t>
      </w:r>
      <w:r w:rsidRPr="00A86F53">
        <w:rPr>
          <w:rFonts w:eastAsia="Calibri"/>
          <w:color w:val="000000"/>
          <w:lang w:val="en-GB"/>
        </w:rPr>
        <w:t>has</w:t>
      </w:r>
      <w:r w:rsidRPr="00A86F53">
        <w:rPr>
          <w:lang w:val="en-GB"/>
        </w:rPr>
        <w:t xml:space="preserve"> increased somewhat in recent years. However, there are often only a few types of disability present, and women are under-represented. The p</w:t>
      </w:r>
      <w:r>
        <w:rPr>
          <w:lang w:val="en-GB"/>
        </w:rPr>
        <w:t>ractice of focussing on “fat</w:t>
      </w:r>
      <w:r w:rsidRPr="00A86F53">
        <w:rPr>
          <w:lang w:val="en-GB"/>
        </w:rPr>
        <w:t xml:space="preserve">es” </w:t>
      </w:r>
      <w:r>
        <w:rPr>
          <w:lang w:val="en-GB"/>
        </w:rPr>
        <w:t xml:space="preserve">rather than </w:t>
      </w:r>
      <w:r w:rsidRPr="00A86F53">
        <w:rPr>
          <w:lang w:val="en-GB"/>
        </w:rPr>
        <w:t>structural deficits is also widespread.</w:t>
      </w:r>
    </w:p>
    <w:p w14:paraId="08434B99" w14:textId="578B385E" w:rsidR="00043373" w:rsidRPr="0001096E" w:rsidRDefault="00FF5ECB" w:rsidP="00FF5ECB">
      <w:pPr>
        <w:pStyle w:val="BodyText"/>
        <w:rPr>
          <w:lang w:val="en-GB" w:eastAsia="de-CH"/>
        </w:rPr>
      </w:pPr>
      <w:r w:rsidRPr="00A86F53">
        <w:rPr>
          <w:lang w:val="en-GB"/>
        </w:rPr>
        <w:t xml:space="preserve">The mere “passive” </w:t>
      </w:r>
      <w:r w:rsidRPr="00104AEE">
        <w:rPr>
          <w:lang w:val="en-US"/>
        </w:rPr>
        <w:t>project</w:t>
      </w:r>
      <w:r w:rsidRPr="00A86F53">
        <w:rPr>
          <w:lang w:val="en-GB"/>
        </w:rPr>
        <w:t xml:space="preserve"> financing of awareness-raising activities by the FBED appears insufficient (Reply to LoI, para. 14) for the purpose of systematically combatting these stereotypes and prejudices.</w:t>
      </w:r>
    </w:p>
    <w:p w14:paraId="62A57AEA" w14:textId="77777777" w:rsidR="0006109B" w:rsidRPr="0001096E" w:rsidRDefault="000A6C33" w:rsidP="0006109B">
      <w:pPr>
        <w:shd w:val="clear" w:color="auto" w:fill="FFFFCC"/>
        <w:autoSpaceDE w:val="0"/>
        <w:autoSpaceDN w:val="0"/>
        <w:adjustRightInd w:val="0"/>
        <w:spacing w:before="240"/>
        <w:rPr>
          <w:rFonts w:eastAsia="Calibri"/>
          <w:b/>
          <w:color w:val="000000"/>
          <w:lang w:val="en-GB"/>
        </w:rPr>
      </w:pPr>
      <w:r w:rsidRPr="0001096E">
        <w:rPr>
          <w:rFonts w:eastAsia="Calibri"/>
          <w:b/>
          <w:color w:val="000000"/>
          <w:lang w:val="en-GB"/>
        </w:rPr>
        <w:t>Proposals for recommendations</w:t>
      </w:r>
      <w:r w:rsidR="0006109B" w:rsidRPr="0001096E">
        <w:rPr>
          <w:rFonts w:eastAsia="Calibri"/>
          <w:b/>
          <w:color w:val="000000"/>
          <w:lang w:val="en-GB"/>
        </w:rPr>
        <w:t>:</w:t>
      </w:r>
    </w:p>
    <w:p w14:paraId="15F79C9D" w14:textId="77777777" w:rsidR="00FF5ECB" w:rsidRPr="00A86F53" w:rsidRDefault="00FF5ECB" w:rsidP="00FF5ECB">
      <w:pPr>
        <w:pStyle w:val="SBEmpfehlungen"/>
        <w:rPr>
          <w:b/>
        </w:rPr>
      </w:pPr>
      <w:r w:rsidRPr="00A86F53">
        <w:rPr>
          <w:b/>
        </w:rPr>
        <w:t xml:space="preserve">The </w:t>
      </w:r>
      <w:r w:rsidRPr="00A86F53">
        <w:rPr>
          <w:b/>
          <w:bCs/>
        </w:rPr>
        <w:t>Confederation</w:t>
      </w:r>
      <w:r w:rsidRPr="00A86F53">
        <w:rPr>
          <w:b/>
        </w:rPr>
        <w:t xml:space="preserve"> and the cantons</w:t>
      </w:r>
      <w:r w:rsidRPr="00A86F53">
        <w:t xml:space="preserve"> shall develop </w:t>
      </w:r>
      <w:r w:rsidRPr="00A86F53">
        <w:rPr>
          <w:b/>
        </w:rPr>
        <w:t>binding and sophisticated standards</w:t>
      </w:r>
      <w:r w:rsidRPr="00A86F53">
        <w:t xml:space="preserve"> for knowledge transfer concerning the rights of the CRPD in training and continuing education curricula of relevant professional groups.</w:t>
      </w:r>
    </w:p>
    <w:p w14:paraId="41581413" w14:textId="776FA7DF" w:rsidR="0006109B" w:rsidRPr="00FF5ECB" w:rsidRDefault="00FF5ECB" w:rsidP="00FF5ECB">
      <w:pPr>
        <w:pStyle w:val="SBEmpfehlungen"/>
        <w:rPr>
          <w:b/>
        </w:rPr>
      </w:pPr>
      <w:r w:rsidRPr="00A86F53">
        <w:t xml:space="preserve">When financing information campaigns, awareness-raising activities, etc., the </w:t>
      </w:r>
      <w:r w:rsidRPr="00A86F53">
        <w:rPr>
          <w:b/>
        </w:rPr>
        <w:t>FBED</w:t>
      </w:r>
      <w:r w:rsidRPr="00A86F53">
        <w:t xml:space="preserve"> shall increasingly adopt a </w:t>
      </w:r>
      <w:r w:rsidRPr="00A86F53">
        <w:rPr>
          <w:b/>
        </w:rPr>
        <w:t>systematic, coordinated approach to combatting prejudices</w:t>
      </w:r>
      <w:r>
        <w:t xml:space="preserve"> across</w:t>
      </w:r>
      <w:r w:rsidRPr="00A86F53">
        <w:t xml:space="preserve"> various areas of life.</w:t>
      </w:r>
    </w:p>
    <w:p w14:paraId="6B070700" w14:textId="77777777" w:rsidR="000A6C33" w:rsidRPr="0001096E" w:rsidRDefault="000A6C33" w:rsidP="000A6C33">
      <w:pPr>
        <w:pStyle w:val="Heading3"/>
        <w:numPr>
          <w:ilvl w:val="0"/>
          <w:numId w:val="0"/>
        </w:numPr>
        <w:ind w:left="737" w:hanging="737"/>
        <w:rPr>
          <w:lang w:val="en-GB"/>
        </w:rPr>
      </w:pPr>
      <w:bookmarkStart w:id="51" w:name="_Toc95297063"/>
      <w:bookmarkStart w:id="52" w:name="_Ref95642681"/>
      <w:bookmarkStart w:id="53" w:name="_Ref95642692"/>
      <w:bookmarkStart w:id="54" w:name="_Ref95643090"/>
      <w:bookmarkStart w:id="55" w:name="_Toc95668178"/>
      <w:r w:rsidRPr="0001096E">
        <w:rPr>
          <w:lang w:val="en-GB"/>
        </w:rPr>
        <w:t>Article 9 – Accessibility</w:t>
      </w:r>
      <w:bookmarkEnd w:id="51"/>
      <w:bookmarkEnd w:id="52"/>
      <w:bookmarkEnd w:id="53"/>
      <w:bookmarkEnd w:id="54"/>
      <w:bookmarkEnd w:id="55"/>
      <w:r w:rsidRPr="0001096E">
        <w:rPr>
          <w:lang w:val="en-GB"/>
        </w:rPr>
        <w:t xml:space="preserve"> </w:t>
      </w:r>
    </w:p>
    <w:p w14:paraId="07A47819" w14:textId="23908EBC" w:rsidR="0006109B" w:rsidRPr="0001096E" w:rsidRDefault="000A6C33" w:rsidP="0006109B">
      <w:pPr>
        <w:pStyle w:val="Subtitle"/>
        <w:rPr>
          <w:lang w:val="en-GB" w:eastAsia="de-CH"/>
        </w:rPr>
      </w:pPr>
      <w:r w:rsidRPr="0001096E">
        <w:rPr>
          <w:lang w:val="en-GB" w:eastAsia="de-CH"/>
        </w:rPr>
        <w:t>General issues</w:t>
      </w:r>
    </w:p>
    <w:p w14:paraId="7BC08820" w14:textId="34A64D37" w:rsidR="00043373" w:rsidRPr="0001096E" w:rsidRDefault="00FF5ECB" w:rsidP="00FF5ECB">
      <w:pPr>
        <w:pStyle w:val="BodyText"/>
        <w:rPr>
          <w:lang w:val="en-GB" w:eastAsia="de-CH"/>
        </w:rPr>
      </w:pPr>
      <w:r w:rsidRPr="00A86F53">
        <w:rPr>
          <w:lang w:val="en-GB"/>
        </w:rPr>
        <w:t xml:space="preserve">In response to the Committee’s question (para. 6a LoI) as to a national plan for accessibility, inter alia, in the areas of transport, construction and communication and information at all federal levels, including its </w:t>
      </w:r>
      <w:r w:rsidRPr="00104AEE">
        <w:rPr>
          <w:lang w:val="en-US"/>
        </w:rPr>
        <w:t>timetable</w:t>
      </w:r>
      <w:r w:rsidRPr="00A86F53">
        <w:rPr>
          <w:lang w:val="en-GB"/>
        </w:rPr>
        <w:t>, Switzerland makes do with a reference to the DDA as “the basis for all measures to guar</w:t>
      </w:r>
      <w:r w:rsidRPr="00A86F53">
        <w:rPr>
          <w:lang w:val="en-GB"/>
        </w:rPr>
        <w:lastRenderedPageBreak/>
        <w:t>antee or improve accessibility in Switzerland” (Reply to LoI, para. 15). We cannot go along with this: No such plan to implement Article 9 CRPD exists in Switzerland. The DDA, which has been in force since 2004, is a law which requires the removal of barriers to access in selected areas and has certainly led to improvements, particularly in the area of public transport. Apart from this area,</w:t>
      </w:r>
      <w:r w:rsidRPr="00A86F53">
        <w:rPr>
          <w:rStyle w:val="FootnoteReference"/>
          <w:lang w:val="en-GB"/>
        </w:rPr>
        <w:footnoteReference w:id="56"/>
      </w:r>
      <w:r w:rsidRPr="00A86F53">
        <w:rPr>
          <w:lang w:val="en-GB"/>
        </w:rPr>
        <w:t xml:space="preserve"> however, it does not contain any timelines/deadlines. Moreover, it simply does not cover all services provided by the cantons and municipalities. There are also the following area-specific problems, some of which are serious:</w:t>
      </w:r>
    </w:p>
    <w:p w14:paraId="5873C295" w14:textId="63D252BD" w:rsidR="0006109B" w:rsidRPr="0001096E" w:rsidRDefault="000A6C33" w:rsidP="0006109B">
      <w:pPr>
        <w:pStyle w:val="Subtitle"/>
        <w:rPr>
          <w:lang w:val="en-GB"/>
        </w:rPr>
      </w:pPr>
      <w:r w:rsidRPr="0001096E">
        <w:rPr>
          <w:lang w:val="en-GB"/>
        </w:rPr>
        <w:t>Buildings and facilities</w:t>
      </w:r>
    </w:p>
    <w:p w14:paraId="5AFAE6AC" w14:textId="77777777" w:rsidR="00FF5ECB" w:rsidRPr="00A86F53" w:rsidRDefault="00FF5ECB" w:rsidP="00FF5ECB">
      <w:pPr>
        <w:pStyle w:val="BodyText"/>
        <w:rPr>
          <w:lang w:val="en-GB"/>
        </w:rPr>
      </w:pPr>
      <w:r w:rsidRPr="00A86F53">
        <w:rPr>
          <w:b/>
          <w:lang w:val="en-GB"/>
        </w:rPr>
        <w:t xml:space="preserve">Existing buildings and facilities </w:t>
      </w:r>
      <w:r w:rsidRPr="00A86F53">
        <w:rPr>
          <w:lang w:val="en-GB"/>
        </w:rPr>
        <w:t xml:space="preserve">are </w:t>
      </w:r>
      <w:r w:rsidRPr="00A86F53">
        <w:rPr>
          <w:b/>
          <w:bCs/>
          <w:lang w:val="en-GB"/>
        </w:rPr>
        <w:t>not subject</w:t>
      </w:r>
      <w:r w:rsidRPr="00A86F53">
        <w:rPr>
          <w:lang w:val="en-GB"/>
        </w:rPr>
        <w:t xml:space="preserve"> to any requirement to ensure barrier-free access under Article 3(a) DDA unless and until they are renovated.</w:t>
      </w:r>
      <w:r w:rsidRPr="00A86F53">
        <w:rPr>
          <w:rStyle w:val="FootnoteReference"/>
          <w:lang w:val="en-GB"/>
        </w:rPr>
        <w:footnoteReference w:id="57"/>
      </w:r>
      <w:r w:rsidRPr="00A86F53">
        <w:rPr>
          <w:lang w:val="en-GB"/>
        </w:rPr>
        <w:t xml:space="preserve"> Too often, existing construction approval authorities (mostly at municipal level) lack the necessary specific expertise; compliance with Article 9 CRPD is not systematically controlled as part of the construction approval process. In housing construction, the DDA (Article 3(c)) has little effect, particularly in rural areas, as a result of the high minimum threshold of more than eight residential units.</w:t>
      </w:r>
      <w:r w:rsidRPr="00A86F53">
        <w:rPr>
          <w:vertAlign w:val="superscript"/>
          <w:lang w:val="en-GB"/>
        </w:rPr>
        <w:footnoteReference w:id="58"/>
      </w:r>
      <w:r w:rsidRPr="00A86F53">
        <w:rPr>
          <w:lang w:val="en-GB"/>
        </w:rPr>
        <w:t xml:space="preserve"> </w:t>
      </w:r>
    </w:p>
    <w:p w14:paraId="66703703" w14:textId="77777777" w:rsidR="00FF5ECB" w:rsidRPr="00A86F53" w:rsidRDefault="00FF5ECB" w:rsidP="00FF5ECB">
      <w:pPr>
        <w:pStyle w:val="BodyText"/>
        <w:rPr>
          <w:lang w:val="en-GB"/>
        </w:rPr>
      </w:pPr>
      <w:r w:rsidRPr="00A86F53">
        <w:rPr>
          <w:lang w:val="en-GB"/>
        </w:rPr>
        <w:t>Switzerland takes the view (Reply to LoI, para. 18) that SIA Standard 500 “forms the basis for assessing the accessibility of residential and commercial buildings in all cantons”. It emphasises in detail that federally funded buildings</w:t>
      </w:r>
      <w:r w:rsidRPr="00A86F53">
        <w:rPr>
          <w:vertAlign w:val="superscript"/>
          <w:lang w:val="en-GB"/>
        </w:rPr>
        <w:footnoteReference w:id="59"/>
      </w:r>
      <w:r w:rsidRPr="00A86F53">
        <w:rPr>
          <w:lang w:val="en-GB"/>
        </w:rPr>
        <w:t xml:space="preserve"> must comply with this standard. In doing so, it conceals: </w:t>
      </w:r>
    </w:p>
    <w:p w14:paraId="79FB68D2" w14:textId="77777777" w:rsidR="00FF5ECB" w:rsidRPr="00FF5ECB" w:rsidRDefault="00FF5ECB" w:rsidP="00FF5ECB">
      <w:pPr>
        <w:pStyle w:val="ListParagraph"/>
        <w:numPr>
          <w:ilvl w:val="0"/>
          <w:numId w:val="30"/>
        </w:numPr>
        <w:shd w:val="clear" w:color="auto" w:fill="FFFFFF" w:themeFill="background1"/>
        <w:suppressAutoHyphens/>
        <w:spacing w:before="60" w:after="60" w:line="280" w:lineRule="exact"/>
        <w:contextualSpacing w:val="0"/>
        <w:rPr>
          <w:lang w:val="en-GB"/>
        </w:rPr>
      </w:pPr>
      <w:r w:rsidRPr="00FF5ECB">
        <w:rPr>
          <w:lang w:val="en-GB"/>
        </w:rPr>
        <w:lastRenderedPageBreak/>
        <w:t xml:space="preserve">that this standard is </w:t>
      </w:r>
      <w:r w:rsidRPr="00C61379">
        <w:rPr>
          <w:b/>
          <w:lang w:val="en-GB"/>
        </w:rPr>
        <w:t>only legally binding on all remaining buildings and installations if they belong to the Confederation</w:t>
      </w:r>
      <w:r w:rsidRPr="00FF5ECB">
        <w:rPr>
          <w:vertAlign w:val="superscript"/>
          <w:lang w:val="en-GB"/>
        </w:rPr>
        <w:footnoteReference w:id="60"/>
      </w:r>
      <w:r w:rsidRPr="00FF5ECB">
        <w:rPr>
          <w:lang w:val="en-GB"/>
        </w:rPr>
        <w:t xml:space="preserve"> </w:t>
      </w:r>
      <w:r w:rsidRPr="00C61379">
        <w:rPr>
          <w:b/>
          <w:lang w:val="en-GB"/>
        </w:rPr>
        <w:t>or if the cantons expressly refer to it in their laws</w:t>
      </w:r>
      <w:r w:rsidRPr="00FF5ECB">
        <w:rPr>
          <w:lang w:val="en-GB"/>
        </w:rPr>
        <w:t>, which is not always the case;</w:t>
      </w:r>
    </w:p>
    <w:p w14:paraId="16BD111A" w14:textId="3CF12E5C" w:rsidR="00043373" w:rsidRPr="00FF5ECB" w:rsidRDefault="00FF5ECB" w:rsidP="00FF5ECB">
      <w:pPr>
        <w:pStyle w:val="ListParagraph"/>
        <w:numPr>
          <w:ilvl w:val="0"/>
          <w:numId w:val="30"/>
        </w:numPr>
        <w:rPr>
          <w:lang w:val="en-GB"/>
        </w:rPr>
      </w:pPr>
      <w:r w:rsidRPr="00FF5ECB">
        <w:rPr>
          <w:lang w:val="en-GB"/>
        </w:rPr>
        <w:t xml:space="preserve">that the VSS standard SN 640 075, which is </w:t>
      </w:r>
      <w:r w:rsidRPr="00C61379">
        <w:rPr>
          <w:b/>
          <w:lang w:val="en-GB"/>
        </w:rPr>
        <w:t>very important for accessibility in public areas</w:t>
      </w:r>
      <w:r w:rsidRPr="00FF5ECB">
        <w:rPr>
          <w:lang w:val="en-GB"/>
        </w:rPr>
        <w:t xml:space="preserve">, is </w:t>
      </w:r>
      <w:r w:rsidRPr="00C61379">
        <w:rPr>
          <w:b/>
          <w:lang w:val="en-GB"/>
        </w:rPr>
        <w:t>far from legally binding in all cantons</w:t>
      </w:r>
      <w:r w:rsidRPr="00FF5ECB">
        <w:rPr>
          <w:lang w:val="en-GB"/>
        </w:rPr>
        <w:t>.</w:t>
      </w:r>
    </w:p>
    <w:p w14:paraId="6AC7656D" w14:textId="3FC7C5DF" w:rsidR="0006109B" w:rsidRPr="0001096E" w:rsidRDefault="000A6C33" w:rsidP="0006109B">
      <w:pPr>
        <w:pStyle w:val="Subtitle"/>
        <w:rPr>
          <w:lang w:val="en-GB"/>
        </w:rPr>
      </w:pPr>
      <w:r w:rsidRPr="0001096E">
        <w:rPr>
          <w:lang w:val="en-GB"/>
        </w:rPr>
        <w:t>Public transport</w:t>
      </w:r>
    </w:p>
    <w:p w14:paraId="691B723A" w14:textId="76362886" w:rsidR="00FF5ECB" w:rsidRPr="00A86F53" w:rsidRDefault="00ED1A8F" w:rsidP="00FF5ECB">
      <w:pPr>
        <w:rPr>
          <w:lang w:val="en-GB"/>
        </w:rPr>
      </w:pPr>
      <w:r>
        <w:rPr>
          <w:lang w:val="en-GB"/>
        </w:rPr>
        <w:t>E</w:t>
      </w:r>
      <w:r w:rsidR="00FF5ECB" w:rsidRPr="00A86F53">
        <w:rPr>
          <w:lang w:val="en-GB"/>
        </w:rPr>
        <w:t xml:space="preserve">ven the Disability Policy Report of 2018 still lacks </w:t>
      </w:r>
      <w:r w:rsidR="00FF5ECB" w:rsidRPr="00A86F53">
        <w:rPr>
          <w:b/>
          <w:bCs/>
          <w:lang w:val="en-GB"/>
        </w:rPr>
        <w:t>an overall concept</w:t>
      </w:r>
      <w:r w:rsidR="00FF5ECB" w:rsidRPr="00A86F53">
        <w:rPr>
          <w:lang w:val="en-GB"/>
        </w:rPr>
        <w:t>, coordinated according to a universal design,</w:t>
      </w:r>
      <w:r w:rsidR="00FF5ECB" w:rsidRPr="00A86F53">
        <w:rPr>
          <w:b/>
          <w:bCs/>
          <w:lang w:val="en-GB"/>
        </w:rPr>
        <w:t xml:space="preserve"> to ensure the provision of accessible public transport, within the meaning of Article 9 CRPD, by the competent acto</w:t>
      </w:r>
      <w:r w:rsidR="00FF5ECB" w:rsidRPr="00A86F53">
        <w:rPr>
          <w:b/>
          <w:lang w:val="en-GB"/>
        </w:rPr>
        <w:t>rs</w:t>
      </w:r>
      <w:r w:rsidR="00FF5ECB" w:rsidRPr="00A86F53">
        <w:rPr>
          <w:lang w:val="en-GB"/>
        </w:rPr>
        <w:t xml:space="preserve"> in this area. Meanwhile, it is undisputed that the 20-year time limit pursuant to Article 22 (1) DDA (expiry at the end of 2023), according to which buildings, facilities and vehicles of public transport should be accessible, </w:t>
      </w:r>
      <w:r>
        <w:rPr>
          <w:lang w:val="en-GB"/>
        </w:rPr>
        <w:t>will not be</w:t>
      </w:r>
      <w:r w:rsidR="00FF5ECB" w:rsidRPr="00A86F53">
        <w:rPr>
          <w:lang w:val="en-GB"/>
        </w:rPr>
        <w:t xml:space="preserve"> met. A planning tool for implementing the DDA requirements exists, but </w:t>
      </w:r>
      <w:r w:rsidR="00FF5ECB" w:rsidRPr="00A86F53">
        <w:rPr>
          <w:b/>
          <w:lang w:val="en-GB"/>
        </w:rPr>
        <w:t>only for rail transport</w:t>
      </w:r>
      <w:r w:rsidR="00FF5ECB" w:rsidRPr="00A86F53">
        <w:rPr>
          <w:lang w:val="en-GB"/>
        </w:rPr>
        <w:t xml:space="preserve">, and </w:t>
      </w:r>
      <w:r w:rsidR="00FF5ECB" w:rsidRPr="00A86F53">
        <w:rPr>
          <w:b/>
          <w:lang w:val="en-GB"/>
        </w:rPr>
        <w:t>only since 2018.</w:t>
      </w:r>
      <w:r w:rsidR="00FF5ECB" w:rsidRPr="00EC4FF4">
        <w:rPr>
          <w:vertAlign w:val="superscript"/>
          <w:lang w:val="en-GB"/>
        </w:rPr>
        <w:footnoteReference w:id="61"/>
      </w:r>
      <w:r w:rsidR="00FF5ECB" w:rsidRPr="00EC4FF4">
        <w:rPr>
          <w:lang w:val="en-GB"/>
        </w:rPr>
        <w:t xml:space="preserve"> </w:t>
      </w:r>
    </w:p>
    <w:p w14:paraId="5CFA0E29" w14:textId="77777777" w:rsidR="00FF5ECB" w:rsidRPr="00A86F53" w:rsidRDefault="00FF5ECB" w:rsidP="00FF5ECB">
      <w:pPr>
        <w:pStyle w:val="BodyText"/>
        <w:rPr>
          <w:lang w:val="en-GB"/>
        </w:rPr>
      </w:pPr>
      <w:r w:rsidRPr="00A86F53">
        <w:rPr>
          <w:lang w:val="en-GB"/>
        </w:rPr>
        <w:t>The figures cited by the ISR in the area of public transport only reflect the reality as regards the implementation of Article 9 CRPD to a very limited extent.</w:t>
      </w:r>
      <w:r w:rsidRPr="00A86F53">
        <w:rPr>
          <w:rStyle w:val="FootnoteReference"/>
          <w:lang w:val="en-GB"/>
        </w:rPr>
        <w:footnoteReference w:id="62"/>
      </w:r>
      <w:r w:rsidRPr="00A86F53">
        <w:rPr>
          <w:lang w:val="en-GB"/>
        </w:rPr>
        <w:t xml:space="preserve"> </w:t>
      </w:r>
      <w:r w:rsidRPr="00A86F53">
        <w:rPr>
          <w:lang w:val="en-GB"/>
        </w:rPr>
        <w:lastRenderedPageBreak/>
        <w:t xml:space="preserve">Estimates suggest for instance that </w:t>
      </w:r>
      <w:r w:rsidRPr="00A86F53">
        <w:rPr>
          <w:b/>
          <w:bCs/>
          <w:lang w:val="en-GB"/>
        </w:rPr>
        <w:t>more than 90% of bus stops in Switzerland are still inaccessible for PWD</w:t>
      </w:r>
      <w:r w:rsidRPr="00A86F53">
        <w:rPr>
          <w:lang w:val="en-GB"/>
        </w:rPr>
        <w:t>.</w:t>
      </w:r>
      <w:bookmarkStart w:id="56" w:name="_Ref482960445"/>
      <w:r w:rsidRPr="00A86F53">
        <w:rPr>
          <w:rStyle w:val="FootnoteReference"/>
          <w:rFonts w:eastAsia="MS Gothic"/>
          <w:lang w:val="en-GB"/>
        </w:rPr>
        <w:footnoteReference w:id="63"/>
      </w:r>
      <w:bookmarkEnd w:id="56"/>
      <w:r w:rsidRPr="00A86F53">
        <w:rPr>
          <w:lang w:val="en-GB"/>
        </w:rPr>
        <w:t xml:space="preserve"> The assertion that 80%-90% of communications systems and ticket vending facilities had been adjusted before the expiry of the relevant deadline in 2013 must be taken with a pinch of salt</w:t>
      </w:r>
      <w:r w:rsidRPr="00A86F53">
        <w:rPr>
          <w:rStyle w:val="FootnoteReference"/>
          <w:lang w:val="en-GB"/>
        </w:rPr>
        <w:footnoteReference w:id="64"/>
      </w:r>
      <w:r w:rsidRPr="00A86F53">
        <w:rPr>
          <w:lang w:val="en-GB"/>
        </w:rPr>
        <w:t xml:space="preserve"> because it may, at best, be true only of rail travel. </w:t>
      </w:r>
    </w:p>
    <w:p w14:paraId="7FFE14BB" w14:textId="77777777" w:rsidR="00FF5ECB" w:rsidRPr="00A86F53" w:rsidRDefault="00FF5ECB" w:rsidP="00FF5ECB">
      <w:pPr>
        <w:rPr>
          <w:lang w:val="en-GB"/>
        </w:rPr>
      </w:pPr>
      <w:r w:rsidRPr="00A86F53">
        <w:rPr>
          <w:lang w:val="en-GB"/>
        </w:rPr>
        <w:t>In addition,</w:t>
      </w:r>
      <w:r w:rsidRPr="00A86F53">
        <w:rPr>
          <w:b/>
          <w:lang w:val="en-GB"/>
        </w:rPr>
        <w:t xml:space="preserve"> </w:t>
      </w:r>
      <w:r w:rsidRPr="00A86F53">
        <w:rPr>
          <w:lang w:val="en-GB"/>
        </w:rPr>
        <w:t xml:space="preserve">there are two </w:t>
      </w:r>
      <w:r w:rsidRPr="00A86F53">
        <w:rPr>
          <w:b/>
          <w:lang w:val="en-GB"/>
        </w:rPr>
        <w:t>new and troubling developments</w:t>
      </w:r>
      <w:r w:rsidRPr="00A86F53">
        <w:rPr>
          <w:lang w:val="en-GB"/>
        </w:rPr>
        <w:t xml:space="preserve">: </w:t>
      </w:r>
    </w:p>
    <w:p w14:paraId="516E41F8" w14:textId="08C9E883" w:rsidR="00FF5ECB" w:rsidRPr="00FF5ECB" w:rsidRDefault="00FF5ECB" w:rsidP="00FF5ECB">
      <w:pPr>
        <w:pStyle w:val="ListParagraph"/>
        <w:numPr>
          <w:ilvl w:val="0"/>
          <w:numId w:val="31"/>
        </w:numPr>
        <w:shd w:val="clear" w:color="auto" w:fill="FFFFFF" w:themeFill="background1"/>
        <w:suppressAutoHyphens/>
        <w:spacing w:before="60" w:after="60" w:line="280" w:lineRule="exact"/>
        <w:contextualSpacing w:val="0"/>
        <w:rPr>
          <w:lang w:val="en-GB"/>
        </w:rPr>
      </w:pPr>
      <w:r w:rsidRPr="00FF5ECB">
        <w:rPr>
          <w:lang w:val="en-GB"/>
        </w:rPr>
        <w:t xml:space="preserve">In November 2018, the </w:t>
      </w:r>
      <w:r w:rsidRPr="00ED1A8F">
        <w:rPr>
          <w:b/>
          <w:lang w:val="en-GB"/>
        </w:rPr>
        <w:t>Federal Administrative Court</w:t>
      </w:r>
      <w:r w:rsidRPr="00FF5ECB">
        <w:rPr>
          <w:lang w:val="en-GB"/>
        </w:rPr>
        <w:t xml:space="preserve"> ruled on a case involving new SBB vehicles,</w:t>
      </w:r>
      <w:r w:rsidRPr="00FF5ECB">
        <w:rPr>
          <w:rStyle w:val="FootnoteReference"/>
          <w:lang w:val="en-GB"/>
        </w:rPr>
        <w:footnoteReference w:id="65"/>
      </w:r>
      <w:r w:rsidRPr="00FF5ECB">
        <w:rPr>
          <w:lang w:val="en-GB"/>
        </w:rPr>
        <w:t xml:space="preserve"> ruling that, in terms of the </w:t>
      </w:r>
      <w:r w:rsidRPr="00ED1A8F">
        <w:rPr>
          <w:b/>
          <w:lang w:val="en-GB"/>
        </w:rPr>
        <w:t>construction of trains, no right to independent access to public transport can be derived from the UN CRPD, the Constitution or the DDA</w:t>
      </w:r>
      <w:r w:rsidRPr="00FF5ECB">
        <w:rPr>
          <w:lang w:val="en-GB"/>
        </w:rPr>
        <w:t xml:space="preserve">. The only relevant factor is the EU standard </w:t>
      </w:r>
      <w:r w:rsidR="00ED1A8F" w:rsidRPr="00FF5ECB">
        <w:rPr>
          <w:lang w:val="en-GB"/>
        </w:rPr>
        <w:t xml:space="preserve">TSI </w:t>
      </w:r>
      <w:r w:rsidRPr="00FF5ECB">
        <w:rPr>
          <w:lang w:val="en-GB"/>
        </w:rPr>
        <w:t>PRM, which also applies in Switzerland.</w:t>
      </w:r>
      <w:r w:rsidRPr="00FF5ECB">
        <w:rPr>
          <w:vertAlign w:val="superscript"/>
          <w:lang w:val="en-GB"/>
        </w:rPr>
        <w:footnoteReference w:id="66"/>
      </w:r>
      <w:r w:rsidRPr="00FF5ECB">
        <w:rPr>
          <w:lang w:val="en-GB"/>
        </w:rPr>
        <w:t xml:space="preserve"> </w:t>
      </w:r>
      <w:r w:rsidRPr="00ED1A8F">
        <w:rPr>
          <w:b/>
          <w:lang w:val="en-GB"/>
        </w:rPr>
        <w:t xml:space="preserve">While the </w:t>
      </w:r>
      <w:r w:rsidR="00ED1A8F" w:rsidRPr="00ED1A8F">
        <w:rPr>
          <w:b/>
          <w:lang w:val="en-GB"/>
        </w:rPr>
        <w:t xml:space="preserve">TSI </w:t>
      </w:r>
      <w:r w:rsidRPr="00ED1A8F">
        <w:rPr>
          <w:b/>
          <w:lang w:val="en-GB"/>
        </w:rPr>
        <w:t>PRM indeed makes general reference to the CRPD,</w:t>
      </w:r>
      <w:r w:rsidRPr="00ED1A8F">
        <w:rPr>
          <w:rStyle w:val="FootnoteReference"/>
          <w:lang w:val="en-GB"/>
        </w:rPr>
        <w:footnoteReference w:id="67"/>
      </w:r>
      <w:r w:rsidR="00ED1A8F">
        <w:rPr>
          <w:b/>
          <w:lang w:val="en-GB"/>
        </w:rPr>
        <w:t xml:space="preserve"> </w:t>
      </w:r>
      <w:r w:rsidRPr="00ED1A8F">
        <w:rPr>
          <w:b/>
          <w:lang w:val="en-GB"/>
        </w:rPr>
        <w:t xml:space="preserve">it is inconsistent with the obligation to ensure accessibility for all PWD pursuant to Article 9 CRPD in that it equates independent access for </w:t>
      </w:r>
      <w:r w:rsidRPr="00ED1A8F">
        <w:rPr>
          <w:rFonts w:eastAsia="Calibri"/>
          <w:b/>
          <w:color w:val="000000"/>
          <w:lang w:val="en-GB"/>
        </w:rPr>
        <w:t>PWD</w:t>
      </w:r>
      <w:r w:rsidRPr="00ED1A8F">
        <w:rPr>
          <w:b/>
          <w:lang w:val="en-GB"/>
        </w:rPr>
        <w:t xml:space="preserve"> with assisted access</w:t>
      </w:r>
      <w:r w:rsidRPr="00FF5ECB">
        <w:rPr>
          <w:lang w:val="en-GB"/>
        </w:rPr>
        <w:t>.</w:t>
      </w:r>
      <w:r w:rsidRPr="00FF5ECB">
        <w:rPr>
          <w:vertAlign w:val="superscript"/>
          <w:lang w:val="en-GB"/>
        </w:rPr>
        <w:footnoteReference w:id="68"/>
      </w:r>
      <w:r w:rsidRPr="00FF5ECB">
        <w:rPr>
          <w:lang w:val="en-GB"/>
        </w:rPr>
        <w:t xml:space="preserve"> Thus, for instance, the </w:t>
      </w:r>
      <w:r w:rsidR="00ED1A8F" w:rsidRPr="00FF5ECB">
        <w:rPr>
          <w:lang w:val="en-GB"/>
        </w:rPr>
        <w:t xml:space="preserve">TSI </w:t>
      </w:r>
      <w:r w:rsidRPr="00FF5ECB">
        <w:rPr>
          <w:lang w:val="en-GB"/>
        </w:rPr>
        <w:t xml:space="preserve">PRM permits train access ramps with a gradient of 15% even for </w:t>
      </w:r>
      <w:r w:rsidRPr="00FF5ECB">
        <w:rPr>
          <w:lang w:val="en-GB"/>
        </w:rPr>
        <w:lastRenderedPageBreak/>
        <w:t>new trains.</w:t>
      </w:r>
      <w:r w:rsidRPr="00FF5ECB">
        <w:rPr>
          <w:vertAlign w:val="superscript"/>
          <w:lang w:val="en-GB"/>
        </w:rPr>
        <w:footnoteReference w:id="69"/>
      </w:r>
      <w:r w:rsidRPr="00FF5ECB">
        <w:rPr>
          <w:lang w:val="en-GB"/>
        </w:rPr>
        <w:t xml:space="preserve"> Even the construction of stairs is permitted,</w:t>
      </w:r>
      <w:r w:rsidRPr="00FF5ECB">
        <w:rPr>
          <w:rStyle w:val="FootnoteReference"/>
          <w:lang w:val="en-GB"/>
        </w:rPr>
        <w:footnoteReference w:id="70"/>
      </w:r>
      <w:r w:rsidRPr="00FF5ECB">
        <w:rPr>
          <w:lang w:val="en-GB"/>
        </w:rPr>
        <w:t xml:space="preserve"> and not only as an interim solution in the event that accessibility within the meaning of Article 9 CRPD has not yet been achieved.</w:t>
      </w:r>
    </w:p>
    <w:p w14:paraId="0DE5A0A3" w14:textId="2387AAFE" w:rsidR="00FF5ECB" w:rsidRPr="00FF5ECB" w:rsidRDefault="00FF5ECB" w:rsidP="00FF5ECB">
      <w:pPr>
        <w:pStyle w:val="ListParagraph"/>
        <w:numPr>
          <w:ilvl w:val="0"/>
          <w:numId w:val="31"/>
        </w:numPr>
        <w:shd w:val="clear" w:color="auto" w:fill="FFFFFF" w:themeFill="background1"/>
        <w:suppressAutoHyphens/>
        <w:spacing w:before="60" w:after="60" w:line="280" w:lineRule="exact"/>
        <w:contextualSpacing w:val="0"/>
        <w:rPr>
          <w:lang w:val="en-GB"/>
        </w:rPr>
      </w:pPr>
      <w:r w:rsidRPr="00FF5ECB">
        <w:rPr>
          <w:lang w:val="en-GB"/>
        </w:rPr>
        <w:t xml:space="preserve">The implementation of Article 9 CRPD in Switzerland is made even more difficult by the fact that it is </w:t>
      </w:r>
      <w:r w:rsidRPr="00ED1A8F">
        <w:rPr>
          <w:b/>
          <w:lang w:val="en-GB"/>
        </w:rPr>
        <w:t>no longer the FOT but rather the EU</w:t>
      </w:r>
      <w:r w:rsidRPr="00FF5ECB">
        <w:rPr>
          <w:vertAlign w:val="superscript"/>
          <w:lang w:val="en-GB"/>
        </w:rPr>
        <w:footnoteReference w:id="71"/>
      </w:r>
      <w:r w:rsidRPr="00FF5ECB">
        <w:rPr>
          <w:lang w:val="en-GB"/>
        </w:rPr>
        <w:t xml:space="preserve"> that is to approve interoperable Swiss vehicles – based on the </w:t>
      </w:r>
      <w:r w:rsidR="00ED1A8F" w:rsidRPr="00FF5ECB">
        <w:rPr>
          <w:lang w:val="en-GB"/>
        </w:rPr>
        <w:t xml:space="preserve">TSI </w:t>
      </w:r>
      <w:r w:rsidRPr="00FF5ECB">
        <w:rPr>
          <w:lang w:val="en-GB"/>
        </w:rPr>
        <w:t xml:space="preserve">PRM and thus </w:t>
      </w:r>
      <w:r w:rsidRPr="00ED1A8F">
        <w:rPr>
          <w:b/>
          <w:lang w:val="en-GB"/>
        </w:rPr>
        <w:t xml:space="preserve">without the possibility of monitoring and intervention on the part of Swiss </w:t>
      </w:r>
      <w:r w:rsidR="00D739C9">
        <w:rPr>
          <w:b/>
          <w:lang w:val="en-GB"/>
        </w:rPr>
        <w:t>OPDs</w:t>
      </w:r>
      <w:r w:rsidRPr="00FF5ECB">
        <w:rPr>
          <w:lang w:val="en-GB"/>
        </w:rPr>
        <w:t>.</w:t>
      </w:r>
      <w:r w:rsidRPr="00FF5ECB">
        <w:rPr>
          <w:vertAlign w:val="superscript"/>
          <w:lang w:val="en-GB"/>
        </w:rPr>
        <w:footnoteReference w:id="72"/>
      </w:r>
      <w:r w:rsidRPr="00FF5ECB">
        <w:rPr>
          <w:lang w:val="en-GB"/>
        </w:rPr>
        <w:t xml:space="preserve"> </w:t>
      </w:r>
    </w:p>
    <w:p w14:paraId="6DFED792" w14:textId="4207D56C" w:rsidR="00043373" w:rsidRDefault="00FF5ECB" w:rsidP="00FF5ECB">
      <w:pPr>
        <w:pStyle w:val="BodyText"/>
        <w:rPr>
          <w:lang w:val="en-GB"/>
        </w:rPr>
      </w:pPr>
      <w:r w:rsidRPr="00A86F53">
        <w:rPr>
          <w:lang w:val="en-GB"/>
        </w:rPr>
        <w:t xml:space="preserve">Therefore, Switzerland’s assertion that the FOT, as part of its “national plan for implementation in accordance with the requirements of the </w:t>
      </w:r>
      <w:r w:rsidR="00ED1A8F" w:rsidRPr="00A86F53">
        <w:rPr>
          <w:lang w:val="en-GB"/>
        </w:rPr>
        <w:t xml:space="preserve">TSI </w:t>
      </w:r>
      <w:r w:rsidRPr="00A86F53">
        <w:rPr>
          <w:lang w:val="en-GB"/>
        </w:rPr>
        <w:t xml:space="preserve">PRM”, established that “the DDA and its regulations fulfil the role of the national plan” (Reply to LoI, para. 16), is incomprehensible. In any event, it </w:t>
      </w:r>
      <w:r w:rsidRPr="00A86F53">
        <w:rPr>
          <w:b/>
          <w:lang w:val="en-GB"/>
        </w:rPr>
        <w:t>does not answer the question as to a strategy for implementing Article 9 CRPD</w:t>
      </w:r>
      <w:r w:rsidRPr="00A86F53">
        <w:rPr>
          <w:lang w:val="en-GB"/>
        </w:rPr>
        <w:t xml:space="preserve">: Rather, it should be noted that, as a result of the above-mentioned case law and the new responsibilities of the EU authorities for the </w:t>
      </w:r>
      <w:r w:rsidR="00D739C9">
        <w:rPr>
          <w:lang w:val="en-GB"/>
        </w:rPr>
        <w:t>approval</w:t>
      </w:r>
      <w:r w:rsidRPr="00A86F53">
        <w:rPr>
          <w:lang w:val="en-GB"/>
        </w:rPr>
        <w:t xml:space="preserve"> of Swiss rail vehicles, the</w:t>
      </w:r>
      <w:r w:rsidRPr="00A86F53">
        <w:rPr>
          <w:b/>
          <w:lang w:val="en-GB"/>
        </w:rPr>
        <w:t xml:space="preserve"> </w:t>
      </w:r>
      <w:r w:rsidR="00ED1A8F" w:rsidRPr="00A86F53">
        <w:rPr>
          <w:b/>
          <w:lang w:val="en-GB"/>
        </w:rPr>
        <w:t xml:space="preserve">TSI </w:t>
      </w:r>
      <w:r w:rsidRPr="00A86F53">
        <w:rPr>
          <w:b/>
          <w:lang w:val="en-GB"/>
        </w:rPr>
        <w:t>PRM, which is not compliant with the CRPD,</w:t>
      </w:r>
      <w:r w:rsidRPr="00A86F53">
        <w:rPr>
          <w:lang w:val="en-GB"/>
        </w:rPr>
        <w:t xml:space="preserve"> set the pace, at least in rail traffic, including in Switzerland.</w:t>
      </w:r>
    </w:p>
    <w:p w14:paraId="24D3472C" w14:textId="2F93D8EE" w:rsidR="0096584B" w:rsidRDefault="0096584B">
      <w:pPr>
        <w:jc w:val="left"/>
        <w:rPr>
          <w:lang w:val="en-GB"/>
        </w:rPr>
      </w:pPr>
      <w:r>
        <w:rPr>
          <w:lang w:val="en-GB"/>
        </w:rPr>
        <w:br w:type="page"/>
      </w:r>
    </w:p>
    <w:p w14:paraId="29419882" w14:textId="09FE6EC6" w:rsidR="0006109B" w:rsidRPr="0001096E" w:rsidRDefault="000A6C33" w:rsidP="0006109B">
      <w:pPr>
        <w:pStyle w:val="Subtitle"/>
        <w:rPr>
          <w:lang w:val="en-GB"/>
        </w:rPr>
      </w:pPr>
      <w:r w:rsidRPr="0001096E">
        <w:rPr>
          <w:lang w:val="en-GB"/>
        </w:rPr>
        <w:lastRenderedPageBreak/>
        <w:t>Services</w:t>
      </w:r>
    </w:p>
    <w:p w14:paraId="00EC4F91" w14:textId="452857B0" w:rsidR="00043373" w:rsidRPr="0001096E" w:rsidRDefault="00FF5ECB" w:rsidP="00FF5ECB">
      <w:pPr>
        <w:pStyle w:val="BodyText"/>
        <w:rPr>
          <w:lang w:val="en-GB"/>
        </w:rPr>
      </w:pPr>
      <w:r w:rsidRPr="00A86F53">
        <w:rPr>
          <w:lang w:val="en-GB"/>
        </w:rPr>
        <w:t xml:space="preserve">PWD face numerous barriers in terms of accessing services from private </w:t>
      </w:r>
      <w:r w:rsidR="00AF697E">
        <w:rPr>
          <w:lang w:val="en-GB"/>
        </w:rPr>
        <w:t>entities</w:t>
      </w:r>
      <w:r w:rsidRPr="00A86F53">
        <w:rPr>
          <w:lang w:val="en-GB"/>
        </w:rPr>
        <w:t>. These barriers exist mainly because</w:t>
      </w:r>
      <w:r w:rsidRPr="00A86F53">
        <w:rPr>
          <w:i/>
          <w:lang w:val="en-GB"/>
        </w:rPr>
        <w:t xml:space="preserve"> </w:t>
      </w:r>
      <w:r w:rsidRPr="00A86F53">
        <w:rPr>
          <w:b/>
          <w:bCs/>
          <w:lang w:val="en-GB"/>
        </w:rPr>
        <w:t>private service providers are not obligated to guarantee accessibility within the meaning of Article 9 CRPD</w:t>
      </w:r>
      <w:r w:rsidRPr="00A86F53">
        <w:rPr>
          <w:lang w:val="en-GB"/>
        </w:rPr>
        <w:t xml:space="preserve"> (neither </w:t>
      </w:r>
      <w:r w:rsidRPr="00A86F53">
        <w:rPr>
          <w:i/>
          <w:iCs/>
          <w:lang w:val="en-GB"/>
        </w:rPr>
        <w:t>ex ante</w:t>
      </w:r>
      <w:r w:rsidRPr="00A86F53">
        <w:rPr>
          <w:lang w:val="en-GB"/>
        </w:rPr>
        <w:t xml:space="preserve"> nor </w:t>
      </w:r>
      <w:r w:rsidRPr="00A86F53">
        <w:rPr>
          <w:i/>
          <w:iCs/>
          <w:lang w:val="en-GB"/>
        </w:rPr>
        <w:t>ex nunc</w:t>
      </w:r>
      <w:r w:rsidRPr="00A86F53">
        <w:rPr>
          <w:b/>
          <w:bCs/>
          <w:lang w:val="en-GB"/>
        </w:rPr>
        <w:t>).</w:t>
      </w:r>
      <w:r w:rsidRPr="00A86F53">
        <w:rPr>
          <w:vertAlign w:val="superscript"/>
          <w:lang w:val="en-GB"/>
        </w:rPr>
        <w:footnoteReference w:id="73"/>
      </w:r>
      <w:r w:rsidRPr="00A86F53">
        <w:rPr>
          <w:lang w:val="en-GB"/>
        </w:rPr>
        <w:t xml:space="preserve"> A large number of websites, mobile and desktop apps, e-services and electronic documents are thus inaccessible or insufficiently accessible </w:t>
      </w:r>
      <w:r w:rsidRPr="00A86F53">
        <w:rPr>
          <w:b/>
          <w:lang w:val="en-GB"/>
        </w:rPr>
        <w:t xml:space="preserve">to blind and visually impaired </w:t>
      </w:r>
      <w:r w:rsidR="00D739C9">
        <w:rPr>
          <w:b/>
          <w:lang w:val="en-GB"/>
        </w:rPr>
        <w:t>persons</w:t>
      </w:r>
      <w:r w:rsidRPr="00A86F53">
        <w:rPr>
          <w:lang w:val="en-GB"/>
        </w:rPr>
        <w:t>.</w:t>
      </w:r>
      <w:r w:rsidRPr="00A86F53">
        <w:rPr>
          <w:vertAlign w:val="superscript"/>
          <w:lang w:val="en-GB"/>
        </w:rPr>
        <w:footnoteReference w:id="74"/>
      </w:r>
      <w:r w:rsidRPr="00A86F53">
        <w:rPr>
          <w:lang w:val="en-GB"/>
        </w:rPr>
        <w:t xml:space="preserve"> The same applies, for instance, to ATMs, ticket machines, food vending machines and automated cash registers. Deaf </w:t>
      </w:r>
      <w:r w:rsidR="00D739C9" w:rsidRPr="00D739C9">
        <w:rPr>
          <w:lang w:val="en-GB"/>
        </w:rPr>
        <w:t>persons</w:t>
      </w:r>
      <w:r w:rsidRPr="00D739C9">
        <w:rPr>
          <w:lang w:val="en-GB"/>
        </w:rPr>
        <w:t xml:space="preserve"> </w:t>
      </w:r>
      <w:r w:rsidRPr="00A86F53">
        <w:rPr>
          <w:lang w:val="en-GB"/>
        </w:rPr>
        <w:t>are particularly disadvantaged by the lack of visually accessible services and information. Another major factor is the lack of legal obligation on the part of private service providers (including physicians) to cover the costs of sign language interpreting if necessary.</w:t>
      </w:r>
      <w:bookmarkStart w:id="57" w:name="_Ref95644605"/>
      <w:r w:rsidRPr="00A86F53">
        <w:rPr>
          <w:vertAlign w:val="superscript"/>
          <w:lang w:val="en-GB"/>
        </w:rPr>
        <w:footnoteReference w:id="75"/>
      </w:r>
      <w:bookmarkEnd w:id="57"/>
    </w:p>
    <w:p w14:paraId="77F18736" w14:textId="682C24D4" w:rsidR="0006109B" w:rsidRPr="0001096E" w:rsidRDefault="00043373" w:rsidP="0006109B">
      <w:pPr>
        <w:shd w:val="clear" w:color="auto" w:fill="FFFFCC"/>
        <w:autoSpaceDE w:val="0"/>
        <w:autoSpaceDN w:val="0"/>
        <w:adjustRightInd w:val="0"/>
        <w:spacing w:before="240"/>
        <w:rPr>
          <w:rFonts w:eastAsia="Cambria"/>
          <w:b/>
          <w:lang w:val="en-GB"/>
        </w:rPr>
      </w:pPr>
      <w:r w:rsidRPr="0001096E">
        <w:rPr>
          <w:rFonts w:eastAsia="Cambria"/>
          <w:b/>
          <w:lang w:val="en-GB"/>
        </w:rPr>
        <w:t>Proposals for rec</w:t>
      </w:r>
      <w:r w:rsidR="000A6C33" w:rsidRPr="0001096E">
        <w:rPr>
          <w:rFonts w:eastAsia="Cambria"/>
          <w:b/>
          <w:lang w:val="en-GB"/>
        </w:rPr>
        <w:t>o</w:t>
      </w:r>
      <w:r w:rsidRPr="0001096E">
        <w:rPr>
          <w:rFonts w:eastAsia="Cambria"/>
          <w:b/>
          <w:lang w:val="en-GB"/>
        </w:rPr>
        <w:t>m</w:t>
      </w:r>
      <w:r w:rsidR="000A6C33" w:rsidRPr="0001096E">
        <w:rPr>
          <w:rFonts w:eastAsia="Cambria"/>
          <w:b/>
          <w:lang w:val="en-GB"/>
        </w:rPr>
        <w:t>mendations</w:t>
      </w:r>
      <w:r w:rsidR="0006109B" w:rsidRPr="0001096E">
        <w:rPr>
          <w:rFonts w:eastAsia="Cambria"/>
          <w:b/>
          <w:lang w:val="en-GB"/>
        </w:rPr>
        <w:t>:</w:t>
      </w:r>
    </w:p>
    <w:p w14:paraId="43A4E291" w14:textId="77777777" w:rsidR="00FF5ECB" w:rsidRPr="00A86F53" w:rsidRDefault="00FF5ECB" w:rsidP="00FF5ECB">
      <w:pPr>
        <w:pStyle w:val="SBEmpfehlungen"/>
      </w:pPr>
      <w:bookmarkStart w:id="58" w:name="_Toc95297064"/>
      <w:r w:rsidRPr="00A86F53">
        <w:rPr>
          <w:b/>
        </w:rPr>
        <w:t>Buildings/facilities</w:t>
      </w:r>
      <w:r w:rsidRPr="00A86F53">
        <w:t xml:space="preserve">: The </w:t>
      </w:r>
      <w:r w:rsidRPr="00A86F53">
        <w:rPr>
          <w:b/>
        </w:rPr>
        <w:t>Federal Parliament</w:t>
      </w:r>
      <w:r w:rsidRPr="00A86F53">
        <w:t xml:space="preserve"> shall extend the scope of the DDA (Article 3) to cover existing buildings, irrespective of renovation, as well as residential buildings with fewer than nine residential units. The </w:t>
      </w:r>
      <w:r w:rsidRPr="00A86F53">
        <w:rPr>
          <w:b/>
        </w:rPr>
        <w:t>cantons</w:t>
      </w:r>
      <w:r w:rsidRPr="00A86F53">
        <w:t xml:space="preserve"> shall amend their building laws in the light of Article 9 CRPD.</w:t>
      </w:r>
    </w:p>
    <w:p w14:paraId="2794B1AA" w14:textId="77777777" w:rsidR="00FF5ECB" w:rsidRPr="00A86F53" w:rsidRDefault="00FF5ECB" w:rsidP="00FF5ECB">
      <w:pPr>
        <w:pStyle w:val="SBEmpfehlungen"/>
      </w:pPr>
      <w:r w:rsidRPr="00A86F53">
        <w:rPr>
          <w:b/>
        </w:rPr>
        <w:t>Public transport</w:t>
      </w:r>
      <w:r w:rsidRPr="00A86F53">
        <w:t xml:space="preserve">: </w:t>
      </w:r>
      <w:r w:rsidRPr="00A86F53">
        <w:rPr>
          <w:b/>
        </w:rPr>
        <w:t xml:space="preserve">The </w:t>
      </w:r>
      <w:r w:rsidRPr="00A86F53">
        <w:rPr>
          <w:b/>
          <w:bCs/>
        </w:rPr>
        <w:t>Confederation</w:t>
      </w:r>
      <w:r w:rsidRPr="00A86F53">
        <w:rPr>
          <w:b/>
        </w:rPr>
        <w:t xml:space="preserve"> </w:t>
      </w:r>
      <w:r w:rsidRPr="00A86F53">
        <w:rPr>
          <w:b/>
          <w:bCs/>
        </w:rPr>
        <w:t>and the</w:t>
      </w:r>
      <w:r w:rsidRPr="00A86F53">
        <w:t xml:space="preserve"> </w:t>
      </w:r>
      <w:r w:rsidRPr="00A86F53">
        <w:rPr>
          <w:b/>
        </w:rPr>
        <w:t>cantons</w:t>
      </w:r>
      <w:r w:rsidRPr="00A86F53">
        <w:t xml:space="preserve"> shall ensure that government agencies and courts guarantee </w:t>
      </w:r>
      <w:r w:rsidRPr="00A86F53">
        <w:rPr>
          <w:b/>
        </w:rPr>
        <w:t>independent access</w:t>
      </w:r>
      <w:r w:rsidRPr="00A86F53">
        <w:t xml:space="preserve"> to public transport. They shall always interpret legal bases and standards in the light </w:t>
      </w:r>
      <w:r w:rsidRPr="00A86F53">
        <w:lastRenderedPageBreak/>
        <w:t xml:space="preserve">of Article 9 CRPD and GC no. 2. For </w:t>
      </w:r>
      <w:r w:rsidRPr="00A86F53">
        <w:rPr>
          <w:b/>
        </w:rPr>
        <w:t>bus transport,</w:t>
      </w:r>
      <w:r w:rsidRPr="00A86F53">
        <w:t xml:space="preserve"> the </w:t>
      </w:r>
      <w:r w:rsidRPr="00A86F53">
        <w:rPr>
          <w:b/>
        </w:rPr>
        <w:t>Conference of Cantonal Directors of Public Transport shall draw</w:t>
      </w:r>
      <w:r w:rsidRPr="00A86F53">
        <w:t xml:space="preserve"> up an </w:t>
      </w:r>
      <w:r w:rsidRPr="00A86F53">
        <w:rPr>
          <w:b/>
        </w:rPr>
        <w:t>action plan, including a schedule and funding</w:t>
      </w:r>
      <w:r w:rsidRPr="00A86F53">
        <w:t>.</w:t>
      </w:r>
    </w:p>
    <w:p w14:paraId="0E708A32" w14:textId="12201AED" w:rsidR="00FF5ECB" w:rsidRPr="00A86F53" w:rsidRDefault="00FF5ECB" w:rsidP="00FF5ECB">
      <w:pPr>
        <w:pStyle w:val="SBEmpfehlungen"/>
      </w:pPr>
      <w:r w:rsidRPr="00A86F53">
        <w:rPr>
          <w:b/>
        </w:rPr>
        <w:t>Services</w:t>
      </w:r>
      <w:r w:rsidRPr="00A86F53">
        <w:t xml:space="preserve">: The </w:t>
      </w:r>
      <w:r w:rsidRPr="00A86F53">
        <w:rPr>
          <w:b/>
        </w:rPr>
        <w:t>Federal Parliament</w:t>
      </w:r>
      <w:r w:rsidRPr="00A86F53">
        <w:t xml:space="preserve"> </w:t>
      </w:r>
      <w:r w:rsidR="00F1374A">
        <w:t xml:space="preserve">shall </w:t>
      </w:r>
      <w:r w:rsidRPr="00A86F53">
        <w:t>now incorporat</w:t>
      </w:r>
      <w:r w:rsidR="00F1374A">
        <w:t>e</w:t>
      </w:r>
      <w:r w:rsidRPr="00A86F53">
        <w:t xml:space="preserve"> an obligation in the DDA to ensure the accessibility of services provided by private </w:t>
      </w:r>
      <w:r w:rsidR="00AF697E">
        <w:t>entities</w:t>
      </w:r>
      <w:r w:rsidRPr="00A86F53">
        <w:t xml:space="preserve">. It is also </w:t>
      </w:r>
      <w:r w:rsidRPr="00A86F53">
        <w:rPr>
          <w:b/>
        </w:rPr>
        <w:t>developing a system for paying the costs of sign language interpreting</w:t>
      </w:r>
      <w:r w:rsidRPr="00A86F53">
        <w:t xml:space="preserve">, which enables deaf </w:t>
      </w:r>
      <w:r w:rsidR="00D739C9" w:rsidRPr="00D739C9">
        <w:t>persons</w:t>
      </w:r>
      <w:r w:rsidRPr="00A86F53">
        <w:t xml:space="preserve"> to actually participate in society. The </w:t>
      </w:r>
      <w:r w:rsidRPr="00A86F53">
        <w:rPr>
          <w:b/>
        </w:rPr>
        <w:t>cantons</w:t>
      </w:r>
      <w:r w:rsidRPr="00A86F53">
        <w:t xml:space="preserve"> are incorporating in their legislation an obligation to ensure accessibility to services provided by the cantons and municipalities.</w:t>
      </w:r>
    </w:p>
    <w:p w14:paraId="4F19B4A0" w14:textId="1AD9EDFC" w:rsidR="000A6C33" w:rsidRPr="0001096E" w:rsidRDefault="000A6C33" w:rsidP="000A6C33">
      <w:pPr>
        <w:pStyle w:val="Heading3"/>
        <w:numPr>
          <w:ilvl w:val="0"/>
          <w:numId w:val="0"/>
        </w:numPr>
        <w:ind w:left="737" w:hanging="737"/>
        <w:rPr>
          <w:lang w:val="en-GB"/>
        </w:rPr>
      </w:pPr>
      <w:bookmarkStart w:id="59" w:name="_Toc95668179"/>
      <w:r w:rsidRPr="0001096E">
        <w:rPr>
          <w:lang w:val="en-GB"/>
        </w:rPr>
        <w:t>Article 10 – Right to life</w:t>
      </w:r>
      <w:bookmarkEnd w:id="58"/>
      <w:bookmarkEnd w:id="59"/>
    </w:p>
    <w:p w14:paraId="31AF658D" w14:textId="77777777" w:rsidR="00FF5ECB" w:rsidRPr="00A86F53" w:rsidRDefault="00FF5ECB" w:rsidP="00FF5ECB">
      <w:pPr>
        <w:rPr>
          <w:lang w:val="en-GB"/>
        </w:rPr>
      </w:pPr>
      <w:r w:rsidRPr="00A86F53">
        <w:rPr>
          <w:lang w:val="en-GB"/>
        </w:rPr>
        <w:t>In the LoI, the Committee has focused on assisted suicide. Nothing needs to be added to Switzerland’s reply. Instead,</w:t>
      </w:r>
      <w:r w:rsidRPr="00A86F53">
        <w:rPr>
          <w:b/>
          <w:lang w:val="en-GB"/>
        </w:rPr>
        <w:t xml:space="preserve"> two alarming issues</w:t>
      </w:r>
      <w:r w:rsidRPr="00A86F53">
        <w:rPr>
          <w:lang w:val="en-GB"/>
        </w:rPr>
        <w:t xml:space="preserve"> should be highlighted that have recently come to the attention of Inclusion Handicap: </w:t>
      </w:r>
    </w:p>
    <w:p w14:paraId="30D7A83E" w14:textId="77777777" w:rsidR="00FF5ECB" w:rsidRPr="005B4044" w:rsidRDefault="00FF5ECB" w:rsidP="005B4044">
      <w:pPr>
        <w:pStyle w:val="ListParagraph"/>
        <w:numPr>
          <w:ilvl w:val="0"/>
          <w:numId w:val="33"/>
        </w:numPr>
        <w:shd w:val="clear" w:color="auto" w:fill="FFFFFF" w:themeFill="background1"/>
        <w:suppressAutoHyphens/>
        <w:spacing w:before="60" w:after="60" w:line="280" w:lineRule="exact"/>
        <w:contextualSpacing w:val="0"/>
        <w:rPr>
          <w:lang w:val="en-GB"/>
        </w:rPr>
      </w:pPr>
      <w:r w:rsidRPr="005B4044">
        <w:rPr>
          <w:lang w:val="en-GB"/>
        </w:rPr>
        <w:t xml:space="preserve">In 2021, the </w:t>
      </w:r>
      <w:r w:rsidRPr="005B4044">
        <w:rPr>
          <w:b/>
          <w:bCs/>
          <w:lang w:val="en-GB"/>
        </w:rPr>
        <w:t>Swiss Academy of Medical Sciences (SAMS</w:t>
      </w:r>
      <w:r w:rsidRPr="005B4044">
        <w:rPr>
          <w:lang w:val="en-GB"/>
        </w:rPr>
        <w:t xml:space="preserve">) issued a </w:t>
      </w:r>
      <w:r w:rsidRPr="005B4044">
        <w:rPr>
          <w:b/>
          <w:lang w:val="en-GB"/>
        </w:rPr>
        <w:t>guideline</w:t>
      </w:r>
      <w:r w:rsidRPr="005B4044">
        <w:rPr>
          <w:lang w:val="en-GB"/>
        </w:rPr>
        <w:t xml:space="preserve"> on </w:t>
      </w:r>
      <w:r w:rsidRPr="005B4044">
        <w:rPr>
          <w:b/>
          <w:lang w:val="en-GB"/>
        </w:rPr>
        <w:t>“resuscitation decisions</w:t>
      </w:r>
      <w:r w:rsidRPr="005B4044">
        <w:rPr>
          <w:b/>
          <w:bCs/>
          <w:lang w:val="en-GB"/>
        </w:rPr>
        <w:t>”.</w:t>
      </w:r>
      <w:r w:rsidRPr="005B4044">
        <w:rPr>
          <w:vertAlign w:val="superscript"/>
          <w:lang w:val="en-GB"/>
        </w:rPr>
        <w:footnoteReference w:id="76"/>
      </w:r>
      <w:r w:rsidRPr="005B4044">
        <w:rPr>
          <w:lang w:val="en-GB"/>
        </w:rPr>
        <w:t xml:space="preserve"> It contains, in particular, a chapter on patients with disabilities (Section 5.3.4.). In the final section of that chapter, regarding patients with a severe impairment or multiple impairments and also with a severe cognitive impairment (CPC 5 – CPC3),</w:t>
      </w:r>
      <w:r w:rsidRPr="005B4044">
        <w:rPr>
          <w:vertAlign w:val="superscript"/>
          <w:lang w:val="en-GB"/>
        </w:rPr>
        <w:footnoteReference w:id="77"/>
      </w:r>
      <w:r w:rsidRPr="005B4044">
        <w:rPr>
          <w:lang w:val="en-GB"/>
        </w:rPr>
        <w:t xml:space="preserve"> </w:t>
      </w:r>
      <w:r w:rsidRPr="005B4044">
        <w:rPr>
          <w:b/>
          <w:lang w:val="en-GB"/>
        </w:rPr>
        <w:t xml:space="preserve">the following </w:t>
      </w:r>
      <w:r w:rsidRPr="005B4044">
        <w:rPr>
          <w:lang w:val="en-GB"/>
        </w:rPr>
        <w:t xml:space="preserve">is stated </w:t>
      </w:r>
      <w:r w:rsidRPr="005B4044">
        <w:rPr>
          <w:b/>
          <w:lang w:val="en-GB"/>
        </w:rPr>
        <w:t>categorically</w:t>
      </w:r>
      <w:r w:rsidRPr="005B4044">
        <w:rPr>
          <w:lang w:val="en-GB"/>
        </w:rPr>
        <w:t>,</w:t>
      </w:r>
      <w:r w:rsidRPr="005B4044">
        <w:rPr>
          <w:b/>
          <w:lang w:val="en-GB"/>
        </w:rPr>
        <w:t xml:space="preserve"> without reference to any available scientific sources</w:t>
      </w:r>
      <w:r w:rsidRPr="005B4044">
        <w:rPr>
          <w:lang w:val="en-GB"/>
        </w:rPr>
        <w:t>: “</w:t>
      </w:r>
      <w:r w:rsidRPr="005B4044">
        <w:rPr>
          <w:b/>
          <w:lang w:val="en-GB"/>
        </w:rPr>
        <w:t>There is a risk of additional neurological limitations</w:t>
      </w:r>
      <w:r w:rsidRPr="005B4044">
        <w:rPr>
          <w:lang w:val="en-GB"/>
        </w:rPr>
        <w:t xml:space="preserve">. An aggravating factor is that these patients are usually unable to express their will independently or without assistance. </w:t>
      </w:r>
      <w:r w:rsidRPr="005B4044">
        <w:rPr>
          <w:b/>
          <w:lang w:val="en-GB"/>
        </w:rPr>
        <w:t>In such a situation, resuscitation in the context of patient welfare is rarely a sensible measure</w:t>
      </w:r>
      <w:r w:rsidRPr="005B4044">
        <w:rPr>
          <w:lang w:val="en-GB"/>
        </w:rPr>
        <w:t xml:space="preserve">.” </w:t>
      </w:r>
    </w:p>
    <w:p w14:paraId="5C5E1A14" w14:textId="270CA80B" w:rsidR="00FF5ECB" w:rsidRPr="005B4044" w:rsidRDefault="00FF5ECB" w:rsidP="005B4044">
      <w:pPr>
        <w:pStyle w:val="ListParagraph"/>
        <w:numPr>
          <w:ilvl w:val="0"/>
          <w:numId w:val="33"/>
        </w:numPr>
        <w:ind w:left="714" w:hanging="357"/>
        <w:contextualSpacing w:val="0"/>
        <w:rPr>
          <w:lang w:val="en-GB"/>
        </w:rPr>
      </w:pPr>
      <w:r w:rsidRPr="005B4044">
        <w:rPr>
          <w:lang w:val="en-GB"/>
        </w:rPr>
        <w:lastRenderedPageBreak/>
        <w:t xml:space="preserve">This sentence already precludes to a certain extent a decision as to performing a resuscitation in the affected PWD, instead of providing medical criteria for decision-making on a case-by-case basis. Moreover, in the case of the individually listed groups of patients, </w:t>
      </w:r>
      <w:r w:rsidRPr="005B4044">
        <w:rPr>
          <w:b/>
          <w:lang w:val="en-GB"/>
        </w:rPr>
        <w:t xml:space="preserve">patient well-being </w:t>
      </w:r>
      <w:r w:rsidRPr="005B4044">
        <w:rPr>
          <w:lang w:val="en-GB"/>
        </w:rPr>
        <w:t xml:space="preserve">is only mentioned explicitly </w:t>
      </w:r>
      <w:r w:rsidRPr="005B4044">
        <w:rPr>
          <w:b/>
          <w:lang w:val="en-GB"/>
        </w:rPr>
        <w:t>as regards patients with disabilities</w:t>
      </w:r>
      <w:r w:rsidRPr="005B4044">
        <w:rPr>
          <w:lang w:val="en-GB"/>
        </w:rPr>
        <w:t xml:space="preserve">. Otherwise, it is only mentioned in the chapter on ethical principles (Section 3), which applies to all patients. Based on these guidelines, there is a risk that </w:t>
      </w:r>
      <w:r w:rsidR="00D739C9" w:rsidRPr="00D739C9">
        <w:rPr>
          <w:lang w:val="en-GB"/>
        </w:rPr>
        <w:t>persons</w:t>
      </w:r>
      <w:r w:rsidRPr="005B4044">
        <w:rPr>
          <w:lang w:val="en-GB"/>
        </w:rPr>
        <w:t xml:space="preserve"> with severe cognitive and other impairments </w:t>
      </w:r>
      <w:r w:rsidRPr="005B4044">
        <w:rPr>
          <w:b/>
          <w:lang w:val="en-GB"/>
        </w:rPr>
        <w:t xml:space="preserve">are less likely to </w:t>
      </w:r>
      <w:r w:rsidRPr="005B4044">
        <w:rPr>
          <w:b/>
          <w:bCs/>
          <w:lang w:val="en-GB"/>
        </w:rPr>
        <w:t>undergo</w:t>
      </w:r>
      <w:r w:rsidRPr="005B4044">
        <w:rPr>
          <w:lang w:val="en-GB"/>
        </w:rPr>
        <w:t xml:space="preserve"> </w:t>
      </w:r>
      <w:r w:rsidRPr="005B4044">
        <w:rPr>
          <w:b/>
          <w:lang w:val="en-GB"/>
        </w:rPr>
        <w:t xml:space="preserve">resuscitation </w:t>
      </w:r>
      <w:r w:rsidRPr="005B4044">
        <w:rPr>
          <w:lang w:val="en-GB"/>
        </w:rPr>
        <w:t>than others.</w:t>
      </w:r>
    </w:p>
    <w:p w14:paraId="358BA54E" w14:textId="6307ACA2" w:rsidR="00043373" w:rsidRPr="00104AEE" w:rsidRDefault="00FF5ECB" w:rsidP="00043373">
      <w:pPr>
        <w:pStyle w:val="ListParagraph"/>
        <w:numPr>
          <w:ilvl w:val="0"/>
          <w:numId w:val="33"/>
        </w:numPr>
        <w:shd w:val="clear" w:color="auto" w:fill="FFFFFF" w:themeFill="background1"/>
        <w:suppressAutoHyphens/>
        <w:spacing w:before="60" w:after="60" w:line="280" w:lineRule="exact"/>
        <w:contextualSpacing w:val="0"/>
        <w:rPr>
          <w:lang w:val="en-US"/>
        </w:rPr>
      </w:pPr>
      <w:r w:rsidRPr="005B4044">
        <w:rPr>
          <w:lang w:val="en-GB"/>
        </w:rPr>
        <w:t>According to recent media reports,</w:t>
      </w:r>
      <w:r w:rsidRPr="005B4044">
        <w:rPr>
          <w:rStyle w:val="FootnoteReference"/>
          <w:lang w:val="en-GB"/>
        </w:rPr>
        <w:footnoteReference w:id="78"/>
      </w:r>
      <w:r w:rsidRPr="005B4044">
        <w:rPr>
          <w:lang w:val="en-GB"/>
        </w:rPr>
        <w:t xml:space="preserve"> there is a risk that the </w:t>
      </w:r>
      <w:r w:rsidRPr="005B4044">
        <w:rPr>
          <w:b/>
          <w:lang w:val="en-GB"/>
        </w:rPr>
        <w:t>disability-based need for psychiatric care</w:t>
      </w:r>
      <w:r w:rsidRPr="005B4044">
        <w:rPr>
          <w:lang w:val="en-GB"/>
        </w:rPr>
        <w:t xml:space="preserve"> and, in particular, the </w:t>
      </w:r>
      <w:r w:rsidRPr="005B4044">
        <w:rPr>
          <w:b/>
          <w:lang w:val="en-GB"/>
        </w:rPr>
        <w:t>prevention</w:t>
      </w:r>
      <w:r w:rsidRPr="005B4044">
        <w:rPr>
          <w:lang w:val="en-GB"/>
        </w:rPr>
        <w:t xml:space="preserve"> </w:t>
      </w:r>
      <w:r w:rsidRPr="005B4044">
        <w:rPr>
          <w:b/>
          <w:bCs/>
          <w:lang w:val="en-GB"/>
        </w:rPr>
        <w:t xml:space="preserve">of </w:t>
      </w:r>
      <w:r w:rsidRPr="005B4044">
        <w:rPr>
          <w:b/>
          <w:lang w:val="en-GB"/>
        </w:rPr>
        <w:t>suicide</w:t>
      </w:r>
      <w:r w:rsidRPr="005B4044">
        <w:rPr>
          <w:lang w:val="en-GB"/>
        </w:rPr>
        <w:t xml:space="preserve"> of inmates with psychosocial disabilities may be ignored in prisons. Psychiatric care and suicide prevention are also repeatedly discussed by the National Commission for the Prevention of Torture (NCPT) in connection with its prison visits.</w:t>
      </w:r>
      <w:r w:rsidRPr="005B4044">
        <w:rPr>
          <w:vertAlign w:val="superscript"/>
          <w:lang w:val="en-GB"/>
        </w:rPr>
        <w:footnoteReference w:id="79"/>
      </w:r>
      <w:r w:rsidRPr="00104AEE">
        <w:rPr>
          <w:lang w:val="en-US"/>
        </w:rPr>
        <w:t xml:space="preserve"> </w:t>
      </w:r>
    </w:p>
    <w:p w14:paraId="480BEE6F" w14:textId="2BF134C1" w:rsidR="0006109B" w:rsidRDefault="000A6C33" w:rsidP="0006109B">
      <w:pPr>
        <w:shd w:val="clear" w:color="auto" w:fill="FFFFCC"/>
        <w:spacing w:before="240"/>
        <w:rPr>
          <w:rFonts w:eastAsia="Cambria"/>
          <w:b/>
          <w:lang w:val="en-GB"/>
        </w:rPr>
      </w:pPr>
      <w:r w:rsidRPr="0001096E">
        <w:rPr>
          <w:rFonts w:eastAsia="Cambria"/>
          <w:b/>
          <w:lang w:val="en-GB"/>
        </w:rPr>
        <w:t>Proposals for recommendations</w:t>
      </w:r>
      <w:r w:rsidR="0006109B" w:rsidRPr="0001096E">
        <w:rPr>
          <w:rFonts w:eastAsia="Cambria"/>
          <w:b/>
          <w:lang w:val="en-GB"/>
        </w:rPr>
        <w:t>:</w:t>
      </w:r>
    </w:p>
    <w:p w14:paraId="68AD12A7" w14:textId="03BCD4D1" w:rsidR="005B4044" w:rsidRPr="00A86F53" w:rsidRDefault="005B4044" w:rsidP="005B4044">
      <w:pPr>
        <w:pStyle w:val="SBEmpfehlungen"/>
      </w:pPr>
      <w:r w:rsidRPr="00A86F53">
        <w:t xml:space="preserve">The Confederation shall ensure that the </w:t>
      </w:r>
      <w:r w:rsidRPr="00A86F53">
        <w:rPr>
          <w:b/>
        </w:rPr>
        <w:t>SAMS</w:t>
      </w:r>
      <w:r w:rsidRPr="00A86F53">
        <w:t xml:space="preserve"> adapts its guidelines on resuscitation decisions so as to </w:t>
      </w:r>
      <w:r w:rsidR="00EE7F01">
        <w:t>guarantee</w:t>
      </w:r>
      <w:r w:rsidRPr="00A86F53">
        <w:t xml:space="preserve"> that </w:t>
      </w:r>
      <w:r w:rsidRPr="00A86F53">
        <w:rPr>
          <w:b/>
        </w:rPr>
        <w:t>all PWD</w:t>
      </w:r>
      <w:r w:rsidRPr="00A86F53">
        <w:t xml:space="preserve"> </w:t>
      </w:r>
      <w:r w:rsidRPr="00A86F53">
        <w:rPr>
          <w:b/>
        </w:rPr>
        <w:t>are protected from discrimination in resuscitation decisions</w:t>
      </w:r>
      <w:r w:rsidRPr="00A86F53">
        <w:t>.</w:t>
      </w:r>
    </w:p>
    <w:p w14:paraId="5F81A2C2" w14:textId="0532170C" w:rsidR="005B4044" w:rsidRPr="005B4044" w:rsidRDefault="005B4044" w:rsidP="005B4044">
      <w:pPr>
        <w:pStyle w:val="SBEmpfehlungen"/>
      </w:pPr>
      <w:r w:rsidRPr="00A86F53">
        <w:lastRenderedPageBreak/>
        <w:t xml:space="preserve">The </w:t>
      </w:r>
      <w:r w:rsidRPr="00A86F53">
        <w:rPr>
          <w:b/>
        </w:rPr>
        <w:t>cant</w:t>
      </w:r>
      <w:r w:rsidRPr="00A86F53">
        <w:rPr>
          <w:b/>
          <w:bCs/>
        </w:rPr>
        <w:t>ons</w:t>
      </w:r>
      <w:r w:rsidRPr="00A86F53">
        <w:t xml:space="preserve"> shall ensure that </w:t>
      </w:r>
      <w:r w:rsidRPr="00A86F53">
        <w:rPr>
          <w:b/>
        </w:rPr>
        <w:t>all detention facilities</w:t>
      </w:r>
      <w:r w:rsidRPr="00A86F53">
        <w:t xml:space="preserve"> provide for and implement </w:t>
      </w:r>
      <w:r w:rsidRPr="00A86F53">
        <w:rPr>
          <w:b/>
        </w:rPr>
        <w:t>measures to prevent suicide in persons with psychosocial disabilities</w:t>
      </w:r>
      <w:r w:rsidRPr="00A86F53">
        <w:t>. These measures include, among other things, the identification of risk factors, the awareness-raising and training of staff on the subject and the handling of emergency situations.</w:t>
      </w:r>
    </w:p>
    <w:p w14:paraId="30B171FD" w14:textId="2D4EF526" w:rsidR="00043373" w:rsidRPr="0001096E" w:rsidRDefault="000A6C33" w:rsidP="00043373">
      <w:pPr>
        <w:pStyle w:val="Heading3"/>
        <w:numPr>
          <w:ilvl w:val="0"/>
          <w:numId w:val="0"/>
        </w:numPr>
        <w:ind w:left="737" w:hanging="737"/>
        <w:rPr>
          <w:lang w:val="en-GB"/>
        </w:rPr>
      </w:pPr>
      <w:bookmarkStart w:id="60" w:name="_Toc93596137"/>
      <w:bookmarkStart w:id="61" w:name="_Toc95297065"/>
      <w:bookmarkStart w:id="62" w:name="_Toc95668180"/>
      <w:r w:rsidRPr="0001096E">
        <w:rPr>
          <w:lang w:val="en-GB"/>
        </w:rPr>
        <w:t>Article 11 – Situations of risk and humanitarian emergencies</w:t>
      </w:r>
      <w:bookmarkEnd w:id="60"/>
      <w:bookmarkEnd w:id="61"/>
      <w:bookmarkEnd w:id="62"/>
      <w:r w:rsidRPr="0001096E">
        <w:rPr>
          <w:lang w:val="en-GB"/>
        </w:rPr>
        <w:t xml:space="preserve"> </w:t>
      </w:r>
    </w:p>
    <w:p w14:paraId="76A4F3D6" w14:textId="7790D872" w:rsidR="00924B3D" w:rsidRPr="0001096E" w:rsidRDefault="000A6C33" w:rsidP="00924B3D">
      <w:pPr>
        <w:pStyle w:val="Subtitle"/>
        <w:rPr>
          <w:lang w:val="en-GB" w:eastAsia="de-CH"/>
        </w:rPr>
      </w:pPr>
      <w:r w:rsidRPr="0001096E">
        <w:rPr>
          <w:lang w:val="en-GB" w:eastAsia="de-CH"/>
        </w:rPr>
        <w:t>Lack of inclusivity of protection against dangerous situations</w:t>
      </w:r>
      <w:r w:rsidR="00924B3D" w:rsidRPr="0001096E">
        <w:rPr>
          <w:lang w:val="en-GB" w:eastAsia="de-CH"/>
        </w:rPr>
        <w:t xml:space="preserve"> (LoI, 8a)</w:t>
      </w:r>
    </w:p>
    <w:p w14:paraId="0E343E2C" w14:textId="77777777" w:rsidR="005B4044" w:rsidRPr="00A86F53" w:rsidRDefault="005B4044" w:rsidP="005B4044">
      <w:pPr>
        <w:pStyle w:val="BodyText"/>
        <w:rPr>
          <w:lang w:val="en-GB"/>
        </w:rPr>
      </w:pPr>
      <w:r w:rsidRPr="00A86F53">
        <w:rPr>
          <w:lang w:val="en-GB"/>
        </w:rPr>
        <w:t xml:space="preserve">The protection of the Swiss population </w:t>
      </w:r>
      <w:r>
        <w:rPr>
          <w:rFonts w:eastAsia="Cambria"/>
          <w:b/>
          <w:lang w:val="en-GB"/>
        </w:rPr>
        <w:t>in</w:t>
      </w:r>
      <w:r w:rsidRPr="00A86F53">
        <w:rPr>
          <w:rFonts w:eastAsia="Cambria"/>
          <w:b/>
          <w:lang w:val="en-GB"/>
        </w:rPr>
        <w:t xml:space="preserve"> situations</w:t>
      </w:r>
      <w:r>
        <w:rPr>
          <w:rFonts w:eastAsia="Cambria"/>
          <w:b/>
          <w:lang w:val="en-GB"/>
        </w:rPr>
        <w:t xml:space="preserve"> of risk</w:t>
      </w:r>
      <w:r w:rsidRPr="00A86F53">
        <w:rPr>
          <w:rFonts w:eastAsia="Cambria"/>
          <w:lang w:val="en-GB"/>
        </w:rPr>
        <w:t xml:space="preserve"> </w:t>
      </w:r>
      <w:r w:rsidRPr="00A86F53">
        <w:rPr>
          <w:lang w:val="en-GB"/>
        </w:rPr>
        <w:t xml:space="preserve">and humanitarian emergencies is governed by the Civil Protection and Civil Defence Act (CPDA). The Confederation assumes coordination and general functions (e.g. maintenance and further development of alarm systems), while the cantons and municipalities are responsible for creating and operating functional protection systems in their territory. </w:t>
      </w:r>
    </w:p>
    <w:p w14:paraId="0541E937" w14:textId="2F7306F8" w:rsidR="005B4044" w:rsidRPr="00A86F53" w:rsidRDefault="005B4044" w:rsidP="005B4044">
      <w:pPr>
        <w:pStyle w:val="BodyText"/>
        <w:rPr>
          <w:lang w:val="en-GB"/>
        </w:rPr>
      </w:pPr>
      <w:r w:rsidRPr="00A86F53">
        <w:rPr>
          <w:lang w:val="en-GB"/>
        </w:rPr>
        <w:t xml:space="preserve">The signing by Switzerland of </w:t>
      </w:r>
      <w:r>
        <w:rPr>
          <w:lang w:val="en-GB"/>
        </w:rPr>
        <w:t xml:space="preserve">the </w:t>
      </w:r>
      <w:r w:rsidRPr="00A86F53">
        <w:rPr>
          <w:lang w:val="en-GB"/>
        </w:rPr>
        <w:t>Charter on Inclusion of PWD in Humanitarian Action is a positive step (</w:t>
      </w:r>
      <w:r w:rsidR="00186780">
        <w:rPr>
          <w:lang w:val="en-GB"/>
        </w:rPr>
        <w:t xml:space="preserve">Reply LoI, </w:t>
      </w:r>
      <w:r w:rsidRPr="00A86F53">
        <w:rPr>
          <w:lang w:val="en-GB"/>
        </w:rPr>
        <w:t xml:space="preserve">para. 22). It remains to be seen what </w:t>
      </w:r>
      <w:r w:rsidRPr="00A86F53">
        <w:rPr>
          <w:b/>
          <w:lang w:val="en-GB"/>
        </w:rPr>
        <w:t xml:space="preserve">specific measures </w:t>
      </w:r>
      <w:r w:rsidRPr="00A86F53">
        <w:rPr>
          <w:lang w:val="en-GB"/>
        </w:rPr>
        <w:t>will follow this. With regard to implementation in international humanitarian action, the reader is referred to the Shadow Report of the Swiss Disability and Development Consortium (SDDC).</w:t>
      </w:r>
    </w:p>
    <w:p w14:paraId="4C9CA48B" w14:textId="77777777" w:rsidR="005B4044" w:rsidRPr="00A86F53" w:rsidRDefault="005B4044" w:rsidP="005B4044">
      <w:pPr>
        <w:autoSpaceDE w:val="0"/>
        <w:autoSpaceDN w:val="0"/>
        <w:adjustRightInd w:val="0"/>
        <w:rPr>
          <w:rFonts w:eastAsia="Calibri"/>
          <w:color w:val="000000"/>
          <w:lang w:val="en-GB"/>
        </w:rPr>
      </w:pPr>
      <w:r w:rsidRPr="00A86F53">
        <w:rPr>
          <w:lang w:val="en-GB"/>
        </w:rPr>
        <w:t>At national level,</w:t>
      </w:r>
      <w:r>
        <w:rPr>
          <w:lang w:val="en-GB"/>
        </w:rPr>
        <w:t xml:space="preserve"> it is encouraging to note </w:t>
      </w:r>
      <w:r w:rsidRPr="00A86F53">
        <w:rPr>
          <w:lang w:val="en-GB"/>
        </w:rPr>
        <w:t xml:space="preserve">the Confederation's new statutory obligation to ensure that the systems </w:t>
      </w:r>
      <w:r w:rsidRPr="00A86F53">
        <w:rPr>
          <w:rFonts w:eastAsia="Calibri"/>
          <w:color w:val="000000"/>
          <w:lang w:val="en-GB"/>
        </w:rPr>
        <w:t xml:space="preserve">for </w:t>
      </w:r>
      <w:r w:rsidRPr="00A86F53">
        <w:rPr>
          <w:rFonts w:eastAsia="Calibri"/>
          <w:b/>
          <w:color w:val="000000"/>
          <w:lang w:val="en-GB"/>
        </w:rPr>
        <w:t>alerting and informing</w:t>
      </w:r>
      <w:r w:rsidRPr="00A86F53">
        <w:rPr>
          <w:rFonts w:eastAsia="Calibri"/>
          <w:color w:val="000000"/>
          <w:lang w:val="en-GB"/>
        </w:rPr>
        <w:t xml:space="preserve"> the public are accessible to PWD (Article 9(5) CPDA). This obligation also applies with regard to any future alerting by means of cell broadcasting,</w:t>
      </w:r>
      <w:r w:rsidRPr="00A86F53">
        <w:rPr>
          <w:rFonts w:eastAsia="Calibri"/>
          <w:color w:val="000000"/>
          <w:vertAlign w:val="superscript"/>
          <w:lang w:val="en-GB"/>
        </w:rPr>
        <w:footnoteReference w:id="80"/>
      </w:r>
      <w:r w:rsidRPr="00A86F53">
        <w:rPr>
          <w:rFonts w:eastAsia="Calibri"/>
          <w:color w:val="000000"/>
          <w:lang w:val="en-GB"/>
        </w:rPr>
        <w:t xml:space="preserve"> which could reach significantly more people than via the Alertswiss app. </w:t>
      </w:r>
    </w:p>
    <w:p w14:paraId="30613FDD" w14:textId="77777777" w:rsidR="005B4044" w:rsidRPr="00A86F53" w:rsidRDefault="005B4044" w:rsidP="005B4044">
      <w:pPr>
        <w:pStyle w:val="BodyText"/>
        <w:rPr>
          <w:lang w:val="en-GB"/>
        </w:rPr>
      </w:pPr>
      <w:r w:rsidRPr="00A86F53">
        <w:rPr>
          <w:lang w:val="en-GB"/>
        </w:rPr>
        <w:lastRenderedPageBreak/>
        <w:t xml:space="preserve">In addition, the new European standard on </w:t>
      </w:r>
      <w:r>
        <w:rPr>
          <w:lang w:val="en-GB"/>
        </w:rPr>
        <w:t>accessibility of the built environment</w:t>
      </w:r>
      <w:r w:rsidRPr="00A86F53">
        <w:rPr>
          <w:lang w:val="en-GB"/>
        </w:rPr>
        <w:t xml:space="preserve"> is also </w:t>
      </w:r>
      <w:r>
        <w:rPr>
          <w:lang w:val="en-GB"/>
        </w:rPr>
        <w:t>authoritative</w:t>
      </w:r>
      <w:r w:rsidRPr="00A86F53">
        <w:rPr>
          <w:lang w:val="en-GB"/>
        </w:rPr>
        <w:t xml:space="preserve"> for alerting and evacuating PWD</w:t>
      </w:r>
      <w:r>
        <w:rPr>
          <w:lang w:val="en-GB"/>
        </w:rPr>
        <w:t xml:space="preserve"> </w:t>
      </w:r>
      <w:r w:rsidRPr="00A86F53">
        <w:rPr>
          <w:lang w:val="en-GB"/>
        </w:rPr>
        <w:t>in Switzerland.</w:t>
      </w:r>
      <w:r w:rsidRPr="00A86F53">
        <w:rPr>
          <w:vertAlign w:val="superscript"/>
          <w:lang w:val="en-GB"/>
        </w:rPr>
        <w:footnoteReference w:id="81"/>
      </w:r>
      <w:r w:rsidRPr="00A86F53">
        <w:rPr>
          <w:lang w:val="en-GB"/>
        </w:rPr>
        <w:t xml:space="preserve"> According to experts, many tunnels, for example, do not meet these requirements. After evacuation by rescue/security services, persons </w:t>
      </w:r>
      <w:r w:rsidRPr="00104AEE">
        <w:rPr>
          <w:lang w:val="en-US"/>
        </w:rPr>
        <w:t>seeking</w:t>
      </w:r>
      <w:r w:rsidRPr="00A86F53">
        <w:rPr>
          <w:lang w:val="en-GB"/>
        </w:rPr>
        <w:t xml:space="preserve"> protection are handed over to civil </w:t>
      </w:r>
      <w:r>
        <w:rPr>
          <w:lang w:val="en-GB"/>
        </w:rPr>
        <w:t>protection</w:t>
      </w:r>
      <w:r w:rsidRPr="00A86F53">
        <w:rPr>
          <w:lang w:val="en-GB"/>
        </w:rPr>
        <w:t xml:space="preserve"> forces for </w:t>
      </w:r>
      <w:r w:rsidRPr="00A86F53">
        <w:rPr>
          <w:b/>
          <w:lang w:val="en-GB"/>
        </w:rPr>
        <w:t>care</w:t>
      </w:r>
      <w:r w:rsidRPr="00A86F53">
        <w:rPr>
          <w:lang w:val="en-GB"/>
        </w:rPr>
        <w:t>. According to the FOCP, these forces have received hands-on training in the support and communication needs of PWD.</w:t>
      </w:r>
      <w:r w:rsidRPr="00A86F53">
        <w:rPr>
          <w:vertAlign w:val="superscript"/>
          <w:lang w:val="en-GB"/>
        </w:rPr>
        <w:footnoteReference w:id="82"/>
      </w:r>
      <w:r w:rsidRPr="00A86F53">
        <w:rPr>
          <w:lang w:val="en-GB"/>
        </w:rPr>
        <w:t xml:space="preserve"> If necessary, accommodation </w:t>
      </w:r>
      <w:r>
        <w:rPr>
          <w:lang w:val="en-GB"/>
        </w:rPr>
        <w:t xml:space="preserve">will </w:t>
      </w:r>
      <w:r w:rsidRPr="00A86F53">
        <w:rPr>
          <w:lang w:val="en-GB"/>
        </w:rPr>
        <w:t xml:space="preserve">then be provided in </w:t>
      </w:r>
      <w:r w:rsidRPr="00A86F53">
        <w:rPr>
          <w:b/>
          <w:lang w:val="en-GB"/>
        </w:rPr>
        <w:t xml:space="preserve">shelters </w:t>
      </w:r>
      <w:r w:rsidRPr="00A86F53">
        <w:rPr>
          <w:lang w:val="en-GB"/>
        </w:rPr>
        <w:t>for which the FOCP develop</w:t>
      </w:r>
      <w:r>
        <w:rPr>
          <w:lang w:val="en-GB"/>
        </w:rPr>
        <w:t>s</w:t>
      </w:r>
      <w:r w:rsidRPr="00A86F53">
        <w:rPr>
          <w:lang w:val="en-GB"/>
        </w:rPr>
        <w:t xml:space="preserve"> the technical bases. Apparently, this does </w:t>
      </w:r>
      <w:r w:rsidRPr="00A86F53">
        <w:rPr>
          <w:b/>
          <w:lang w:val="en-GB"/>
        </w:rPr>
        <w:t>not</w:t>
      </w:r>
      <w:r w:rsidRPr="00A86F53">
        <w:rPr>
          <w:lang w:val="en-GB"/>
        </w:rPr>
        <w:t xml:space="preserve"> currently include </w:t>
      </w:r>
      <w:r w:rsidRPr="00A86F53">
        <w:rPr>
          <w:b/>
          <w:lang w:val="en-GB"/>
        </w:rPr>
        <w:t>any specific</w:t>
      </w:r>
      <w:r w:rsidRPr="00A86F53">
        <w:rPr>
          <w:b/>
          <w:bCs/>
          <w:lang w:val="en-GB"/>
        </w:rPr>
        <w:t>ity</w:t>
      </w:r>
      <w:r w:rsidRPr="00A86F53">
        <w:rPr>
          <w:lang w:val="en-GB"/>
        </w:rPr>
        <w:t xml:space="preserve"> regarding accessibility. However, experience has shown </w:t>
      </w:r>
      <w:r>
        <w:rPr>
          <w:lang w:val="en-GB"/>
        </w:rPr>
        <w:t xml:space="preserve">that there is regularly a </w:t>
      </w:r>
      <w:r w:rsidRPr="00A86F53">
        <w:rPr>
          <w:lang w:val="en-GB"/>
        </w:rPr>
        <w:t>lack of access</w:t>
      </w:r>
      <w:r>
        <w:rPr>
          <w:lang w:val="en-GB"/>
        </w:rPr>
        <w:t xml:space="preserve">ibility of private cellars intended to be </w:t>
      </w:r>
      <w:r w:rsidRPr="00A86F53">
        <w:rPr>
          <w:lang w:val="en-GB"/>
        </w:rPr>
        <w:t>used as shelter rooms in emergencies.</w:t>
      </w:r>
    </w:p>
    <w:p w14:paraId="012770B6" w14:textId="1DDBD32F" w:rsidR="00043373" w:rsidRPr="0001096E" w:rsidRDefault="005B4044" w:rsidP="005B4044">
      <w:pPr>
        <w:pStyle w:val="BodyText"/>
        <w:rPr>
          <w:lang w:val="en-GB" w:eastAsia="de-CH"/>
        </w:rPr>
      </w:pPr>
      <w:r>
        <w:rPr>
          <w:lang w:val="en-GB"/>
        </w:rPr>
        <w:t>T</w:t>
      </w:r>
      <w:r w:rsidRPr="00A86F53">
        <w:rPr>
          <w:lang w:val="en-GB"/>
        </w:rPr>
        <w:t xml:space="preserve">he mandate to the Federal Council to create a legal basis for the digitalisation of Swiss </w:t>
      </w:r>
      <w:r w:rsidRPr="00A86F53">
        <w:rPr>
          <w:b/>
          <w:lang w:val="en-GB"/>
        </w:rPr>
        <w:t xml:space="preserve">emergency calls </w:t>
      </w:r>
      <w:r w:rsidRPr="00A86F53">
        <w:rPr>
          <w:lang w:val="en-GB"/>
        </w:rPr>
        <w:t xml:space="preserve">so that they are </w:t>
      </w:r>
      <w:r>
        <w:rPr>
          <w:lang w:val="en-GB"/>
        </w:rPr>
        <w:t>fully accessible, in particular</w:t>
      </w:r>
      <w:r w:rsidRPr="00A86F53">
        <w:rPr>
          <w:lang w:val="en-GB"/>
        </w:rPr>
        <w:t xml:space="preserve"> </w:t>
      </w:r>
      <w:r>
        <w:rPr>
          <w:lang w:val="en-GB"/>
        </w:rPr>
        <w:t xml:space="preserve">to </w:t>
      </w:r>
      <w:r w:rsidRPr="00A86F53">
        <w:rPr>
          <w:lang w:val="en-GB"/>
        </w:rPr>
        <w:t xml:space="preserve">deaf </w:t>
      </w:r>
      <w:r>
        <w:rPr>
          <w:lang w:val="en-GB"/>
        </w:rPr>
        <w:t>persons and persons</w:t>
      </w:r>
      <w:r w:rsidRPr="00A86F53">
        <w:rPr>
          <w:lang w:val="en-GB"/>
        </w:rPr>
        <w:t xml:space="preserve"> with hearing impairments, is a welcome change.</w:t>
      </w:r>
      <w:r w:rsidRPr="00A86F53">
        <w:rPr>
          <w:vertAlign w:val="superscript"/>
          <w:lang w:val="en-GB"/>
        </w:rPr>
        <w:footnoteReference w:id="83"/>
      </w:r>
    </w:p>
    <w:p w14:paraId="534D450B" w14:textId="22A10B42" w:rsidR="00924B3D" w:rsidRPr="0001096E" w:rsidRDefault="000A6C33" w:rsidP="00924B3D">
      <w:pPr>
        <w:pStyle w:val="Subtitle"/>
        <w:rPr>
          <w:lang w:val="en-GB" w:eastAsia="de-CH"/>
        </w:rPr>
      </w:pPr>
      <w:r w:rsidRPr="0001096E">
        <w:rPr>
          <w:lang w:val="en-GB" w:eastAsia="de-CH"/>
        </w:rPr>
        <w:t>Policies/programs for refugee PWD</w:t>
      </w:r>
      <w:r w:rsidR="00924B3D" w:rsidRPr="0001096E">
        <w:rPr>
          <w:lang w:val="en-GB" w:eastAsia="de-CH"/>
        </w:rPr>
        <w:t xml:space="preserve"> (LoI, 8b)</w:t>
      </w:r>
    </w:p>
    <w:p w14:paraId="66A75E01" w14:textId="77777777" w:rsidR="005B4044" w:rsidRPr="00A86F53" w:rsidRDefault="005B4044" w:rsidP="005B4044">
      <w:pPr>
        <w:pStyle w:val="BodyText"/>
        <w:rPr>
          <w:lang w:val="en-GB"/>
        </w:rPr>
      </w:pPr>
      <w:r w:rsidRPr="00A86F53">
        <w:rPr>
          <w:lang w:val="en-GB"/>
        </w:rPr>
        <w:t>The Confederation</w:t>
      </w:r>
      <w:r w:rsidRPr="00A86F53">
        <w:rPr>
          <w:b/>
          <w:lang w:val="en-GB"/>
        </w:rPr>
        <w:t xml:space="preserve"> </w:t>
      </w:r>
      <w:r w:rsidRPr="00A86F53">
        <w:rPr>
          <w:lang w:val="en-GB"/>
        </w:rPr>
        <w:t xml:space="preserve">is responsible for conducting </w:t>
      </w:r>
      <w:r w:rsidRPr="00A86F53">
        <w:rPr>
          <w:b/>
          <w:lang w:val="en-GB"/>
        </w:rPr>
        <w:t>asylum proceedings</w:t>
      </w:r>
      <w:r w:rsidRPr="00A86F53">
        <w:rPr>
          <w:lang w:val="en-GB"/>
        </w:rPr>
        <w:t>. Since 2019, most cases are decided with finality within 3-4 months (so-called accelerated and Dublin procedures). During this period, asylum seekers live in federal asylum centres (FAC); The State Secretariat for Migration (SEM) engages private (and in some cases profit-oriented) companies for their care and security. If further investigations are necessary for the asylum decision (the "extended procedure"), the cantons and, where applicable, municipalities shall ensure that the asylum seekers assigned to them are placed, looked after and granted social assistance. If the asylum seekers are finally recognised as refugees</w:t>
      </w:r>
      <w:r>
        <w:rPr>
          <w:lang w:val="en-GB"/>
        </w:rPr>
        <w:t xml:space="preserve"> </w:t>
      </w:r>
      <w:r w:rsidRPr="00A86F53">
        <w:rPr>
          <w:lang w:val="en-GB"/>
        </w:rPr>
        <w:t xml:space="preserve">or temporarily admitted, the cantons' mission to integrate them begins. Asylum seekers who have been rejected may only receive emergency aid until </w:t>
      </w:r>
      <w:r w:rsidRPr="00A86F53">
        <w:rPr>
          <w:lang w:val="en-GB"/>
        </w:rPr>
        <w:lastRenderedPageBreak/>
        <w:t xml:space="preserve">their removal is </w:t>
      </w:r>
      <w:r w:rsidRPr="00B03E56">
        <w:rPr>
          <w:lang w:val="en-GB"/>
        </w:rPr>
        <w:t>enforced; they are put into deportation centres and, depending on the circumstances, even into pre-deportation detention.</w:t>
      </w:r>
      <w:r w:rsidRPr="00A86F53">
        <w:rPr>
          <w:lang w:val="en-GB"/>
        </w:rPr>
        <w:t xml:space="preserve"> </w:t>
      </w:r>
    </w:p>
    <w:p w14:paraId="3DCE34AA" w14:textId="77777777" w:rsidR="005B4044" w:rsidRDefault="005B4044" w:rsidP="005B4044">
      <w:pPr>
        <w:pStyle w:val="BodyText"/>
        <w:rPr>
          <w:sz w:val="20"/>
          <w:szCs w:val="20"/>
          <w:lang w:val="en-GB"/>
        </w:rPr>
      </w:pPr>
      <w:r w:rsidRPr="00A86F53">
        <w:rPr>
          <w:lang w:val="en-GB"/>
        </w:rPr>
        <w:t xml:space="preserve">As an expression of Switzerland’s restrictive asylum policy, dealing with asylum seekers (particularly at the beginning and after negative decisions) is characterised by the fact that </w:t>
      </w:r>
      <w:r w:rsidRPr="00A86F53">
        <w:rPr>
          <w:b/>
          <w:lang w:val="en-GB"/>
        </w:rPr>
        <w:t>little or no steps</w:t>
      </w:r>
      <w:r w:rsidRPr="00A86F53">
        <w:rPr>
          <w:lang w:val="en-GB"/>
        </w:rPr>
        <w:t xml:space="preserve"> are taken towards integration or ensuring good living conditions, </w:t>
      </w:r>
      <w:r>
        <w:rPr>
          <w:lang w:val="en-GB"/>
        </w:rPr>
        <w:t>i.a.</w:t>
      </w:r>
      <w:r w:rsidRPr="00A86F53">
        <w:rPr>
          <w:lang w:val="en-GB"/>
        </w:rPr>
        <w:t xml:space="preserve"> in order not to “endanger” the (possible) enforcement of removal. As a result, </w:t>
      </w:r>
      <w:r w:rsidRPr="00A86F53">
        <w:rPr>
          <w:b/>
          <w:lang w:val="en-GB"/>
        </w:rPr>
        <w:t xml:space="preserve">financial resources </w:t>
      </w:r>
      <w:r w:rsidRPr="00A86F53">
        <w:rPr>
          <w:lang w:val="en-GB"/>
        </w:rPr>
        <w:t>are scarcely granted. Of particular concern are the blatant</w:t>
      </w:r>
      <w:r w:rsidRPr="00A86F53">
        <w:rPr>
          <w:b/>
          <w:lang w:val="en-GB"/>
        </w:rPr>
        <w:t xml:space="preserve"> shortage of staff </w:t>
      </w:r>
      <w:r w:rsidRPr="00A86F53">
        <w:rPr>
          <w:lang w:val="en-GB"/>
        </w:rPr>
        <w:t>in the FACs (care ratio up to 3:300), particularly with sufficient qualifications</w:t>
      </w:r>
      <w:r w:rsidRPr="00A86F53">
        <w:rPr>
          <w:sz w:val="20"/>
          <w:szCs w:val="20"/>
          <w:lang w:val="en-GB"/>
        </w:rPr>
        <w:t>,</w:t>
      </w:r>
      <w:r w:rsidRPr="00A86F53">
        <w:rPr>
          <w:lang w:val="en-GB"/>
        </w:rPr>
        <w:t xml:space="preserve"> the </w:t>
      </w:r>
      <w:r w:rsidRPr="00A86F53">
        <w:rPr>
          <w:b/>
          <w:lang w:val="en-GB"/>
        </w:rPr>
        <w:t>lack of medical care</w:t>
      </w:r>
      <w:r w:rsidRPr="00A86F53">
        <w:rPr>
          <w:lang w:val="en-GB"/>
        </w:rPr>
        <w:t xml:space="preserve"> and </w:t>
      </w:r>
      <w:r>
        <w:rPr>
          <w:lang w:val="en-GB"/>
        </w:rPr>
        <w:t xml:space="preserve">cases of </w:t>
      </w:r>
      <w:r w:rsidRPr="00A86F53">
        <w:rPr>
          <w:lang w:val="en-GB"/>
        </w:rPr>
        <w:t>disproportionate use of force by security personnel.</w:t>
      </w:r>
      <w:bookmarkStart w:id="63" w:name="_Ref93871049"/>
      <w:r w:rsidRPr="00A86F53">
        <w:rPr>
          <w:vertAlign w:val="superscript"/>
          <w:lang w:val="en-GB"/>
        </w:rPr>
        <w:footnoteReference w:id="84"/>
      </w:r>
      <w:bookmarkEnd w:id="63"/>
      <w:r w:rsidRPr="00A86F53">
        <w:rPr>
          <w:lang w:val="en-GB"/>
        </w:rPr>
        <w:t xml:space="preserve"> In these generally precarious conditions, asylum seekers with disabilities face additional obstacles:</w:t>
      </w:r>
    </w:p>
    <w:p w14:paraId="2AC73D11"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sz w:val="20"/>
          <w:szCs w:val="20"/>
          <w:lang w:val="en-GB"/>
        </w:rPr>
      </w:pPr>
      <w:r w:rsidRPr="005B4044">
        <w:rPr>
          <w:b/>
          <w:lang w:val="en-GB"/>
        </w:rPr>
        <w:t>Identification/ early detection:</w:t>
      </w:r>
      <w:r w:rsidRPr="005B4044">
        <w:rPr>
          <w:lang w:val="en-GB"/>
        </w:rPr>
        <w:t xml:space="preserve"> In very many cases, in particular persons with invisible disabilities and their requirements are not identified.</w:t>
      </w:r>
      <w:r w:rsidRPr="005B4044">
        <w:rPr>
          <w:vertAlign w:val="superscript"/>
          <w:lang w:val="en-GB"/>
        </w:rPr>
        <w:footnoteReference w:id="85"/>
      </w:r>
      <w:r w:rsidRPr="005B4044">
        <w:rPr>
          <w:lang w:val="en-GB"/>
        </w:rPr>
        <w:t xml:space="preserve"> </w:t>
      </w:r>
    </w:p>
    <w:p w14:paraId="387E90D0"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lang w:val="en-GB"/>
        </w:rPr>
      </w:pPr>
      <w:r w:rsidRPr="005B4044">
        <w:rPr>
          <w:lang w:val="en-GB"/>
        </w:rPr>
        <w:t>Lack of</w:t>
      </w:r>
      <w:r w:rsidRPr="005B4044">
        <w:rPr>
          <w:b/>
          <w:lang w:val="en-GB"/>
        </w:rPr>
        <w:t xml:space="preserve"> personnel</w:t>
      </w:r>
      <w:r w:rsidRPr="005B4044">
        <w:rPr>
          <w:lang w:val="en-GB"/>
        </w:rPr>
        <w:t xml:space="preserve"> for providing individual support and assistance and making reasonable accommodations</w:t>
      </w:r>
    </w:p>
    <w:p w14:paraId="6A865B05"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lang w:val="en-GB"/>
        </w:rPr>
      </w:pPr>
      <w:r w:rsidRPr="005B4044">
        <w:rPr>
          <w:lang w:val="en-GB"/>
        </w:rPr>
        <w:t xml:space="preserve">Access to health services specifically required because of a disability often does not exist or exists </w:t>
      </w:r>
      <w:r w:rsidRPr="005B4044">
        <w:rPr>
          <w:b/>
          <w:lang w:val="en-GB"/>
        </w:rPr>
        <w:t>only in the case of acutely poor health</w:t>
      </w:r>
      <w:r w:rsidRPr="005B4044">
        <w:rPr>
          <w:lang w:val="en-GB"/>
        </w:rPr>
        <w:t xml:space="preserve">. This applies, in particular, to </w:t>
      </w:r>
      <w:r w:rsidRPr="005B4044">
        <w:rPr>
          <w:b/>
          <w:lang w:val="en-GB"/>
        </w:rPr>
        <w:t>psychiatric/psychotherapeutic</w:t>
      </w:r>
      <w:r w:rsidRPr="005B4044">
        <w:rPr>
          <w:lang w:val="en-GB"/>
        </w:rPr>
        <w:t xml:space="preserve"> care (frequent waiting for therapy until assignment in the canton; </w:t>
      </w:r>
      <w:r w:rsidRPr="005B4044">
        <w:rPr>
          <w:b/>
          <w:lang w:val="en-GB"/>
        </w:rPr>
        <w:t xml:space="preserve">tremendous </w:t>
      </w:r>
      <w:r w:rsidRPr="005B4044">
        <w:rPr>
          <w:b/>
          <w:lang w:val="en-GB"/>
        </w:rPr>
        <w:lastRenderedPageBreak/>
        <w:t>lack of specialised services</w:t>
      </w:r>
      <w:r w:rsidRPr="005B4044">
        <w:rPr>
          <w:lang w:val="en-GB"/>
        </w:rPr>
        <w:t>, long waiting periods), but also to physical care.</w:t>
      </w:r>
      <w:r w:rsidRPr="005B4044">
        <w:rPr>
          <w:vertAlign w:val="superscript"/>
          <w:lang w:val="en-GB"/>
        </w:rPr>
        <w:footnoteReference w:id="86"/>
      </w:r>
    </w:p>
    <w:p w14:paraId="3F5EB864"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lang w:val="en-GB"/>
        </w:rPr>
      </w:pPr>
      <w:r w:rsidRPr="005B4044">
        <w:rPr>
          <w:lang w:val="en-GB"/>
        </w:rPr>
        <w:t>Infrastructural accessibility or reasonable accommodations: Many FACs not accessible, often with very limited space</w:t>
      </w:r>
    </w:p>
    <w:p w14:paraId="2FD4AB8C"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lang w:val="en-GB"/>
        </w:rPr>
      </w:pPr>
      <w:r w:rsidRPr="005B4044">
        <w:rPr>
          <w:lang w:val="en-GB"/>
        </w:rPr>
        <w:t>Communicational accessibility/accommodations: Lack of adapted communication, lack of comprehensive spoken and sign language courses</w:t>
      </w:r>
    </w:p>
    <w:p w14:paraId="0CC5DDD3"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lang w:val="en-GB"/>
        </w:rPr>
      </w:pPr>
      <w:r w:rsidRPr="005B4044">
        <w:rPr>
          <w:b/>
          <w:lang w:val="en-GB"/>
        </w:rPr>
        <w:t>Access to education, work</w:t>
      </w:r>
      <w:r w:rsidRPr="005B4044">
        <w:rPr>
          <w:lang w:val="en-GB"/>
        </w:rPr>
        <w:t xml:space="preserve">/day structure, leisure: lack of universal design, adaptation to requirements (incl. financing) and inclusivity </w:t>
      </w:r>
    </w:p>
    <w:p w14:paraId="1DDB9177"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lang w:val="en-GB"/>
        </w:rPr>
      </w:pPr>
      <w:r w:rsidRPr="005B4044">
        <w:rPr>
          <w:lang w:val="en-GB"/>
        </w:rPr>
        <w:t xml:space="preserve">Lack of </w:t>
      </w:r>
      <w:r w:rsidRPr="005B4044">
        <w:rPr>
          <w:b/>
          <w:bCs/>
          <w:lang w:val="en-GB"/>
        </w:rPr>
        <w:t>funding for</w:t>
      </w:r>
      <w:r w:rsidRPr="005B4044">
        <w:rPr>
          <w:b/>
          <w:lang w:val="en-GB"/>
        </w:rPr>
        <w:t xml:space="preserve"> reasonable accommodations</w:t>
      </w:r>
      <w:r w:rsidRPr="005B4044">
        <w:rPr>
          <w:lang w:val="en-GB"/>
        </w:rPr>
        <w:t xml:space="preserve"> (assistive devices, sign language interpreting, assistance, etc.), as there is no entitlement to invalidity insurance benefits (non-payment of contributions; impairments acquired in the country of origin)</w:t>
      </w:r>
    </w:p>
    <w:p w14:paraId="0B684359"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lang w:val="en-GB"/>
        </w:rPr>
      </w:pPr>
      <w:r w:rsidRPr="005B4044">
        <w:rPr>
          <w:b/>
          <w:lang w:val="en-GB"/>
        </w:rPr>
        <w:t>Procedural accessibility</w:t>
      </w:r>
      <w:r w:rsidRPr="005B4044">
        <w:rPr>
          <w:lang w:val="en-GB"/>
        </w:rPr>
        <w:t>/accommodations: No systematic guarantee and funding of communicational, organisational, etc. adaptations</w:t>
      </w:r>
    </w:p>
    <w:p w14:paraId="39EC5AE4" w14:textId="77777777" w:rsidR="005B4044" w:rsidRPr="005B4044" w:rsidRDefault="005B4044" w:rsidP="005B4044">
      <w:pPr>
        <w:pStyle w:val="ListParagraph"/>
        <w:numPr>
          <w:ilvl w:val="0"/>
          <w:numId w:val="36"/>
        </w:numPr>
        <w:shd w:val="clear" w:color="auto" w:fill="FFFFFF" w:themeFill="background1"/>
        <w:suppressAutoHyphens/>
        <w:spacing w:before="60" w:after="60" w:line="280" w:lineRule="exact"/>
        <w:ind w:left="567"/>
        <w:contextualSpacing w:val="0"/>
        <w:rPr>
          <w:lang w:val="en-GB"/>
        </w:rPr>
      </w:pPr>
      <w:r w:rsidRPr="005B4044">
        <w:rPr>
          <w:lang w:val="en-GB"/>
        </w:rPr>
        <w:t xml:space="preserve">Lack of recognition/investigation of disability-specific persecution as </w:t>
      </w:r>
      <w:r w:rsidRPr="005B4044">
        <w:rPr>
          <w:b/>
          <w:bCs/>
          <w:lang w:val="en-GB"/>
        </w:rPr>
        <w:t>grounds for</w:t>
      </w:r>
      <w:r w:rsidRPr="005B4044">
        <w:rPr>
          <w:lang w:val="en-GB"/>
        </w:rPr>
        <w:t xml:space="preserve"> </w:t>
      </w:r>
      <w:r w:rsidRPr="005B4044">
        <w:rPr>
          <w:b/>
          <w:lang w:val="en-GB"/>
        </w:rPr>
        <w:t>asylum</w:t>
      </w:r>
      <w:r w:rsidRPr="005B4044">
        <w:rPr>
          <w:vertAlign w:val="superscript"/>
          <w:lang w:val="en-GB"/>
        </w:rPr>
        <w:footnoteReference w:id="87"/>
      </w:r>
      <w:r w:rsidRPr="005B4044">
        <w:rPr>
          <w:lang w:val="en-GB"/>
        </w:rPr>
        <w:t xml:space="preserve"> or grounds for unreasonable enforcement of removal; failure to take into account requirements in relation to “return assistance” </w:t>
      </w:r>
    </w:p>
    <w:p w14:paraId="3B67A117" w14:textId="77777777" w:rsidR="005B4044" w:rsidRPr="00A86F53" w:rsidRDefault="005B4044" w:rsidP="005B4044">
      <w:pPr>
        <w:pStyle w:val="BodyText"/>
        <w:rPr>
          <w:lang w:val="en-GB"/>
        </w:rPr>
      </w:pPr>
      <w:r w:rsidRPr="00A86F53">
        <w:rPr>
          <w:lang w:val="en-GB"/>
        </w:rPr>
        <w:t>While some of the</w:t>
      </w:r>
      <w:r>
        <w:rPr>
          <w:lang w:val="en-GB"/>
        </w:rPr>
        <w:t>se</w:t>
      </w:r>
      <w:r w:rsidRPr="00A86F53">
        <w:rPr>
          <w:lang w:val="en-GB"/>
        </w:rPr>
        <w:t xml:space="preserve"> shortcomings are particularly severe during placement in group housing, many remain relevant even after final admission. Thus, the specific </w:t>
      </w:r>
      <w:r>
        <w:rPr>
          <w:lang w:val="en-GB"/>
        </w:rPr>
        <w:t>requirements</w:t>
      </w:r>
      <w:r w:rsidRPr="00A86F53">
        <w:rPr>
          <w:lang w:val="en-GB"/>
        </w:rPr>
        <w:t xml:space="preserve"> of </w:t>
      </w:r>
      <w:r>
        <w:rPr>
          <w:lang w:val="en-GB"/>
        </w:rPr>
        <w:t xml:space="preserve">refugee </w:t>
      </w:r>
      <w:r w:rsidRPr="00A86F53">
        <w:rPr>
          <w:lang w:val="en-GB"/>
        </w:rPr>
        <w:t xml:space="preserve">PWD </w:t>
      </w:r>
      <w:r>
        <w:rPr>
          <w:lang w:val="en-GB"/>
        </w:rPr>
        <w:t>have</w:t>
      </w:r>
      <w:r w:rsidRPr="0083056B">
        <w:rPr>
          <w:lang w:val="en-GB"/>
        </w:rPr>
        <w:t xml:space="preserve"> not been sufficiently taken into account </w:t>
      </w:r>
      <w:r w:rsidRPr="00A86F53">
        <w:rPr>
          <w:lang w:val="en-GB"/>
        </w:rPr>
        <w:lastRenderedPageBreak/>
        <w:t xml:space="preserve">in the context of the </w:t>
      </w:r>
      <w:r w:rsidRPr="00A86F53">
        <w:rPr>
          <w:b/>
          <w:lang w:val="en-GB"/>
        </w:rPr>
        <w:t>integration agenda</w:t>
      </w:r>
      <w:r w:rsidRPr="00A86F53">
        <w:rPr>
          <w:lang w:val="en-GB"/>
        </w:rPr>
        <w:t xml:space="preserve">/integration programs (Reply to LoI, para. 25). </w:t>
      </w:r>
      <w:r>
        <w:rPr>
          <w:lang w:val="en-GB"/>
        </w:rPr>
        <w:t xml:space="preserve">For example, a </w:t>
      </w:r>
      <w:r w:rsidRPr="00A86F53">
        <w:rPr>
          <w:lang w:val="en-GB"/>
        </w:rPr>
        <w:t xml:space="preserve">minimum period of residence is also applicable for recognised refugees with regard to integration measures </w:t>
      </w:r>
      <w:r>
        <w:rPr>
          <w:lang w:val="en-GB"/>
        </w:rPr>
        <w:t>by the invalidity insurance</w:t>
      </w:r>
      <w:r w:rsidRPr="00A86F53">
        <w:rPr>
          <w:lang w:val="en-GB"/>
        </w:rPr>
        <w:t>, or reasonable accommodations are refused in relation to cantonal integration measures (e.g. sign language interpreters).</w:t>
      </w:r>
    </w:p>
    <w:p w14:paraId="4995A80D" w14:textId="20FC566B" w:rsidR="00043373" w:rsidRPr="005B4044" w:rsidRDefault="005B4044" w:rsidP="005B4044">
      <w:pPr>
        <w:pStyle w:val="BodyText"/>
        <w:rPr>
          <w:rFonts w:eastAsia="Cambria"/>
          <w:lang w:val="en-GB"/>
        </w:rPr>
      </w:pPr>
      <w:r w:rsidRPr="00A86F53">
        <w:rPr>
          <w:lang w:val="en-GB"/>
        </w:rPr>
        <w:t>It is encouraging to note that the SEM is currently drawing up</w:t>
      </w:r>
      <w:r w:rsidRPr="00A86F53">
        <w:rPr>
          <w:b/>
          <w:lang w:val="en-GB"/>
        </w:rPr>
        <w:t xml:space="preserve"> guidelines </w:t>
      </w:r>
      <w:r w:rsidRPr="00A86F53">
        <w:rPr>
          <w:lang w:val="en-GB"/>
        </w:rPr>
        <w:t xml:space="preserve">for dealing with </w:t>
      </w:r>
      <w:r w:rsidR="00D739C9" w:rsidRPr="00D739C9">
        <w:rPr>
          <w:b/>
          <w:lang w:val="en-GB"/>
        </w:rPr>
        <w:t>persons</w:t>
      </w:r>
      <w:r w:rsidRPr="00D739C9">
        <w:rPr>
          <w:b/>
          <w:lang w:val="en-GB"/>
        </w:rPr>
        <w:t xml:space="preserve"> </w:t>
      </w:r>
      <w:r w:rsidR="00B01188" w:rsidRPr="00D739C9">
        <w:rPr>
          <w:b/>
          <w:lang w:val="en-GB"/>
        </w:rPr>
        <w:t>“</w:t>
      </w:r>
      <w:r w:rsidRPr="00A86F53">
        <w:rPr>
          <w:b/>
          <w:lang w:val="en-GB"/>
        </w:rPr>
        <w:t>with special needs</w:t>
      </w:r>
      <w:r w:rsidR="00B01188">
        <w:rPr>
          <w:b/>
          <w:lang w:val="en-GB"/>
        </w:rPr>
        <w:t>”</w:t>
      </w:r>
      <w:r w:rsidRPr="00A86F53">
        <w:rPr>
          <w:b/>
          <w:lang w:val="en-GB"/>
        </w:rPr>
        <w:t xml:space="preserve"> </w:t>
      </w:r>
      <w:r w:rsidRPr="00A86F53">
        <w:rPr>
          <w:lang w:val="en-GB"/>
        </w:rPr>
        <w:t xml:space="preserve">and the associated establishment of a SPOC in all </w:t>
      </w:r>
      <w:r w:rsidRPr="00A86F53">
        <w:rPr>
          <w:b/>
          <w:bCs/>
          <w:lang w:val="en-GB"/>
        </w:rPr>
        <w:t>F</w:t>
      </w:r>
      <w:r>
        <w:rPr>
          <w:b/>
          <w:lang w:val="en-GB"/>
        </w:rPr>
        <w:t>A</w:t>
      </w:r>
      <w:r w:rsidRPr="00A86F53">
        <w:rPr>
          <w:b/>
          <w:lang w:val="en-GB"/>
        </w:rPr>
        <w:t>Cs</w:t>
      </w:r>
      <w:r w:rsidRPr="00A86F53">
        <w:rPr>
          <w:lang w:val="en-GB"/>
        </w:rPr>
        <w:t>. In a preliminary consultation, the submissions of associations of PWD were welcomed in this respect.</w:t>
      </w:r>
    </w:p>
    <w:p w14:paraId="4C3CC4BF" w14:textId="63EB41FC" w:rsidR="00924B3D" w:rsidRPr="0001096E" w:rsidRDefault="000A6C33" w:rsidP="00924B3D">
      <w:pPr>
        <w:shd w:val="clear" w:color="auto" w:fill="FFFFCC"/>
        <w:spacing w:before="240"/>
        <w:rPr>
          <w:rFonts w:eastAsia="Cambria"/>
          <w:b/>
          <w:lang w:val="en-GB"/>
        </w:rPr>
      </w:pPr>
      <w:r w:rsidRPr="0001096E">
        <w:rPr>
          <w:rFonts w:eastAsia="Cambria"/>
          <w:b/>
          <w:lang w:val="en-GB"/>
        </w:rPr>
        <w:t>Proposals for recommendations</w:t>
      </w:r>
      <w:r w:rsidR="00924B3D" w:rsidRPr="0001096E">
        <w:rPr>
          <w:rFonts w:eastAsia="Cambria"/>
          <w:b/>
          <w:lang w:val="en-GB"/>
        </w:rPr>
        <w:t>:</w:t>
      </w:r>
    </w:p>
    <w:p w14:paraId="18684FF3" w14:textId="77777777" w:rsidR="005B4044" w:rsidRPr="009C321F" w:rsidRDefault="005B4044" w:rsidP="005B4044">
      <w:pPr>
        <w:pStyle w:val="SBEmpfehlungen"/>
      </w:pPr>
      <w:bookmarkStart w:id="64" w:name="_Toc93906732"/>
      <w:bookmarkStart w:id="65" w:name="_Toc95297066"/>
      <w:r w:rsidRPr="009C321F">
        <w:t xml:space="preserve">The </w:t>
      </w:r>
      <w:r w:rsidRPr="005B4044">
        <w:rPr>
          <w:b/>
        </w:rPr>
        <w:t>FOPH and the cantons</w:t>
      </w:r>
      <w:r w:rsidRPr="009C321F">
        <w:t xml:space="preserve"> shall develop and implement an </w:t>
      </w:r>
      <w:r w:rsidRPr="005B4044">
        <w:rPr>
          <w:b/>
        </w:rPr>
        <w:t>overall strategy</w:t>
      </w:r>
      <w:r>
        <w:t xml:space="preserve"> for ensuring that persons</w:t>
      </w:r>
      <w:r w:rsidRPr="009C321F">
        <w:t xml:space="preserve"> with all types of disabilities are fully protected </w:t>
      </w:r>
      <w:r>
        <w:t xml:space="preserve">in </w:t>
      </w:r>
      <w:r w:rsidRPr="009C321F">
        <w:t>situations</w:t>
      </w:r>
      <w:r>
        <w:t xml:space="preserve"> of risk</w:t>
      </w:r>
      <w:r w:rsidRPr="009C321F">
        <w:t>, particularly with regard to accommodation.</w:t>
      </w:r>
    </w:p>
    <w:p w14:paraId="74CFC9A2" w14:textId="77777777" w:rsidR="005B4044" w:rsidRPr="009C321F" w:rsidRDefault="005B4044" w:rsidP="005B4044">
      <w:pPr>
        <w:pStyle w:val="SBEmpfehlungen"/>
      </w:pPr>
      <w:r w:rsidRPr="009C321F">
        <w:t>In its guide</w:t>
      </w:r>
      <w:r>
        <w:t>lines on</w:t>
      </w:r>
      <w:r w:rsidRPr="009C321F">
        <w:t xml:space="preserve"> “Asylum seekers with special needs in </w:t>
      </w:r>
      <w:r w:rsidRPr="005B4044">
        <w:rPr>
          <w:b/>
        </w:rPr>
        <w:t>FACs</w:t>
      </w:r>
      <w:r w:rsidRPr="009C321F">
        <w:t>”, the SEM, in cooperation with</w:t>
      </w:r>
      <w:r>
        <w:t xml:space="preserve"> OPDs</w:t>
      </w:r>
      <w:r w:rsidRPr="009C321F">
        <w:t xml:space="preserve">, shall formulate CRPD-compliant, practical and </w:t>
      </w:r>
      <w:r w:rsidRPr="005B4044">
        <w:rPr>
          <w:b/>
        </w:rPr>
        <w:t>binding standards</w:t>
      </w:r>
      <w:r w:rsidRPr="009C321F">
        <w:t xml:space="preserve"> for dealing with asylum seekers with disabilities, systematically train staff on these standards and provide the financial and human </w:t>
      </w:r>
      <w:r w:rsidRPr="005B4044">
        <w:rPr>
          <w:b/>
        </w:rPr>
        <w:t>resources</w:t>
      </w:r>
      <w:r w:rsidRPr="009C321F">
        <w:t xml:space="preserve"> necessary for their effective implementation. </w:t>
      </w:r>
    </w:p>
    <w:p w14:paraId="62773A12" w14:textId="77777777" w:rsidR="005B4044" w:rsidRPr="009C321F" w:rsidRDefault="005B4044" w:rsidP="005B4044">
      <w:pPr>
        <w:pStyle w:val="SBEmpfehlungen"/>
      </w:pPr>
      <w:r w:rsidRPr="009C321F">
        <w:t>The SEM and the cantons, in cooperation with</w:t>
      </w:r>
      <w:r>
        <w:t xml:space="preserve"> OPDs</w:t>
      </w:r>
      <w:r w:rsidRPr="009C321F">
        <w:t xml:space="preserve">, shall ensure the development and financing of </w:t>
      </w:r>
      <w:r w:rsidRPr="005B4044">
        <w:rPr>
          <w:b/>
        </w:rPr>
        <w:t>specific measures for the equal treatment</w:t>
      </w:r>
      <w:r w:rsidRPr="009C321F">
        <w:t xml:space="preserve"> of </w:t>
      </w:r>
      <w:r>
        <w:t xml:space="preserve">asylum-seeking and </w:t>
      </w:r>
      <w:r w:rsidRPr="009C321F">
        <w:t>refugee</w:t>
      </w:r>
      <w:r w:rsidRPr="009C321F">
        <w:rPr>
          <w:rFonts w:eastAsia="Calibri"/>
          <w:color w:val="000000"/>
        </w:rPr>
        <w:t xml:space="preserve"> PWD</w:t>
      </w:r>
      <w:r w:rsidRPr="009C321F">
        <w:t xml:space="preserve"> at all stages of the asylum procedure through to long-term integration and particularly with regard to the </w:t>
      </w:r>
      <w:r w:rsidRPr="005B4044">
        <w:rPr>
          <w:b/>
        </w:rPr>
        <w:t>provision of medical care</w:t>
      </w:r>
      <w:r w:rsidRPr="009C321F">
        <w:t xml:space="preserve"> and the </w:t>
      </w:r>
      <w:r w:rsidRPr="005B4044">
        <w:rPr>
          <w:b/>
        </w:rPr>
        <w:t>funding of</w:t>
      </w:r>
      <w:r w:rsidRPr="009C321F">
        <w:t xml:space="preserve"> reasonable accommodations.</w:t>
      </w:r>
    </w:p>
    <w:p w14:paraId="7EA1D4CD" w14:textId="77777777" w:rsidR="0096584B" w:rsidRDefault="0096584B">
      <w:pPr>
        <w:jc w:val="left"/>
        <w:rPr>
          <w:rFonts w:eastAsiaTheme="majorEastAsia" w:cstheme="majorBidi"/>
          <w:b/>
          <w:bCs/>
          <w:szCs w:val="20"/>
          <w:lang w:val="en-GB" w:eastAsia="de-CH"/>
        </w:rPr>
      </w:pPr>
      <w:bookmarkStart w:id="66" w:name="_Ref95646141"/>
      <w:r>
        <w:rPr>
          <w:lang w:val="en-GB"/>
        </w:rPr>
        <w:br w:type="page"/>
      </w:r>
    </w:p>
    <w:p w14:paraId="1A03CE1F" w14:textId="7902E1EA" w:rsidR="000A6C33" w:rsidRPr="0001096E" w:rsidRDefault="000A6C33" w:rsidP="000A6C33">
      <w:pPr>
        <w:pStyle w:val="Heading3"/>
        <w:numPr>
          <w:ilvl w:val="0"/>
          <w:numId w:val="0"/>
        </w:numPr>
        <w:ind w:left="737" w:hanging="737"/>
        <w:rPr>
          <w:rFonts w:asciiTheme="minorHAnsi" w:hAnsiTheme="minorHAnsi" w:cstheme="minorBidi"/>
          <w:lang w:val="en-GB"/>
        </w:rPr>
      </w:pPr>
      <w:bookmarkStart w:id="67" w:name="_Toc95668181"/>
      <w:r w:rsidRPr="0001096E">
        <w:rPr>
          <w:lang w:val="en-GB"/>
        </w:rPr>
        <w:lastRenderedPageBreak/>
        <w:t>Article 12 – Equal recognition before the law</w:t>
      </w:r>
      <w:bookmarkEnd w:id="64"/>
      <w:bookmarkEnd w:id="65"/>
      <w:bookmarkEnd w:id="66"/>
      <w:bookmarkEnd w:id="67"/>
    </w:p>
    <w:tbl>
      <w:tblPr>
        <w:tblStyle w:val="TableGrid"/>
        <w:tblW w:w="0" w:type="auto"/>
        <w:tblLook w:val="04A0" w:firstRow="1" w:lastRow="0" w:firstColumn="1" w:lastColumn="0" w:noHBand="0" w:noVBand="1"/>
      </w:tblPr>
      <w:tblGrid>
        <w:gridCol w:w="2794"/>
        <w:gridCol w:w="1736"/>
        <w:gridCol w:w="4530"/>
      </w:tblGrid>
      <w:tr w:rsidR="00924B3D" w:rsidRPr="00ED1A8F" w14:paraId="34BB4704" w14:textId="77777777" w:rsidTr="00B30BCF">
        <w:trPr>
          <w:trHeight w:val="592"/>
        </w:trPr>
        <w:tc>
          <w:tcPr>
            <w:tcW w:w="0" w:type="auto"/>
            <w:gridSpan w:val="3"/>
            <w:shd w:val="clear" w:color="auto" w:fill="DEEAF6" w:themeFill="accent1" w:themeFillTint="33"/>
          </w:tcPr>
          <w:p w14:paraId="1F0749A4" w14:textId="77777777" w:rsidR="000A6C33" w:rsidRPr="0001096E" w:rsidRDefault="000A6C33" w:rsidP="000A6C33">
            <w:pPr>
              <w:spacing w:line="220" w:lineRule="exact"/>
              <w:jc w:val="center"/>
              <w:rPr>
                <w:b/>
                <w:sz w:val="20"/>
                <w:szCs w:val="20"/>
                <w:lang w:val="en-GB"/>
              </w:rPr>
            </w:pPr>
            <w:r w:rsidRPr="0001096E">
              <w:rPr>
                <w:b/>
                <w:sz w:val="20"/>
                <w:szCs w:val="20"/>
                <w:lang w:val="en-GB"/>
              </w:rPr>
              <w:t>Swiss adult protection law</w:t>
            </w:r>
          </w:p>
          <w:p w14:paraId="75A0CBE7" w14:textId="77777777" w:rsidR="00924B3D" w:rsidRPr="0001096E" w:rsidRDefault="000A6C33" w:rsidP="000A6C33">
            <w:pPr>
              <w:spacing w:before="60" w:after="60" w:line="220" w:lineRule="exact"/>
              <w:jc w:val="center"/>
              <w:rPr>
                <w:sz w:val="20"/>
                <w:szCs w:val="20"/>
                <w:lang w:val="en-GB"/>
              </w:rPr>
            </w:pPr>
            <w:r w:rsidRPr="0001096E">
              <w:rPr>
                <w:b/>
                <w:sz w:val="20"/>
                <w:szCs w:val="20"/>
                <w:lang w:val="en-GB"/>
              </w:rPr>
              <w:t>The deputyships at a glance</w:t>
            </w:r>
          </w:p>
        </w:tc>
      </w:tr>
      <w:tr w:rsidR="00924B3D" w:rsidRPr="00ED1A8F" w14:paraId="07CAA028" w14:textId="77777777" w:rsidTr="00B30BCF">
        <w:trPr>
          <w:trHeight w:val="549"/>
        </w:trPr>
        <w:tc>
          <w:tcPr>
            <w:tcW w:w="2795" w:type="dxa"/>
            <w:shd w:val="clear" w:color="auto" w:fill="DEEAF6" w:themeFill="accent1" w:themeFillTint="33"/>
          </w:tcPr>
          <w:p w14:paraId="0FA04617" w14:textId="77777777" w:rsidR="00924B3D" w:rsidRPr="0001096E" w:rsidRDefault="000A6C33" w:rsidP="00B30BCF">
            <w:pPr>
              <w:spacing w:before="60" w:after="60" w:line="220" w:lineRule="exact"/>
              <w:jc w:val="left"/>
              <w:rPr>
                <w:sz w:val="20"/>
                <w:szCs w:val="20"/>
                <w:lang w:val="en-GB"/>
              </w:rPr>
            </w:pPr>
            <w:r w:rsidRPr="0001096E">
              <w:rPr>
                <w:b/>
                <w:sz w:val="20"/>
                <w:szCs w:val="20"/>
                <w:lang w:val="en-GB"/>
              </w:rPr>
              <w:t>Assistance deputyship</w:t>
            </w:r>
          </w:p>
        </w:tc>
        <w:tc>
          <w:tcPr>
            <w:tcW w:w="1736" w:type="dxa"/>
            <w:shd w:val="clear" w:color="auto" w:fill="DEEAF6" w:themeFill="accent1" w:themeFillTint="33"/>
          </w:tcPr>
          <w:p w14:paraId="12AD8779" w14:textId="77777777" w:rsidR="00924B3D" w:rsidRPr="0001096E" w:rsidRDefault="000A6C33" w:rsidP="00B30BCF">
            <w:pPr>
              <w:spacing w:before="60" w:after="60" w:line="220" w:lineRule="exact"/>
              <w:jc w:val="left"/>
              <w:rPr>
                <w:sz w:val="20"/>
                <w:szCs w:val="20"/>
                <w:lang w:val="en-GB"/>
              </w:rPr>
            </w:pPr>
            <w:r w:rsidRPr="0001096E">
              <w:rPr>
                <w:sz w:val="20"/>
                <w:szCs w:val="20"/>
                <w:lang w:val="en-GB"/>
              </w:rPr>
              <w:t>Article 393 Civil Code (CC)</w:t>
            </w:r>
          </w:p>
        </w:tc>
        <w:tc>
          <w:tcPr>
            <w:tcW w:w="4531" w:type="dxa"/>
            <w:shd w:val="clear" w:color="auto" w:fill="DEEAF6" w:themeFill="accent1" w:themeFillTint="33"/>
          </w:tcPr>
          <w:p w14:paraId="2632D964" w14:textId="52AFDF18" w:rsidR="00924B3D" w:rsidRPr="0001096E" w:rsidRDefault="000A6C33" w:rsidP="00B30BCF">
            <w:pPr>
              <w:spacing w:before="60" w:after="60" w:line="220" w:lineRule="exact"/>
              <w:jc w:val="left"/>
              <w:rPr>
                <w:sz w:val="20"/>
                <w:szCs w:val="20"/>
                <w:lang w:val="en-GB"/>
              </w:rPr>
            </w:pPr>
            <w:r w:rsidRPr="0001096E">
              <w:rPr>
                <w:sz w:val="20"/>
                <w:szCs w:val="20"/>
                <w:lang w:val="en-GB"/>
              </w:rPr>
              <w:t xml:space="preserve">The client's capacity to act </w:t>
            </w:r>
            <w:r w:rsidRPr="0001096E">
              <w:rPr>
                <w:b/>
                <w:sz w:val="20"/>
                <w:szCs w:val="20"/>
                <w:lang w:val="en-GB"/>
              </w:rPr>
              <w:t>is not limited</w:t>
            </w:r>
            <w:r w:rsidRPr="0001096E">
              <w:rPr>
                <w:sz w:val="20"/>
                <w:szCs w:val="20"/>
                <w:lang w:val="en-GB"/>
              </w:rPr>
              <w:t xml:space="preserve"> (Article 393(2) CC)</w:t>
            </w:r>
            <w:r w:rsidR="00EE7F01">
              <w:rPr>
                <w:sz w:val="20"/>
                <w:szCs w:val="20"/>
                <w:lang w:val="en-GB"/>
              </w:rPr>
              <w:t>.</w:t>
            </w:r>
          </w:p>
        </w:tc>
      </w:tr>
      <w:tr w:rsidR="00924B3D" w:rsidRPr="0001096E" w14:paraId="3C2CAE90" w14:textId="77777777" w:rsidTr="00B30BCF">
        <w:trPr>
          <w:trHeight w:val="243"/>
        </w:trPr>
        <w:tc>
          <w:tcPr>
            <w:tcW w:w="2795" w:type="dxa"/>
            <w:vMerge w:val="restart"/>
            <w:shd w:val="clear" w:color="auto" w:fill="BDD6EE" w:themeFill="accent1" w:themeFillTint="66"/>
          </w:tcPr>
          <w:p w14:paraId="036ED54F" w14:textId="77777777" w:rsidR="00924B3D" w:rsidRPr="0001096E" w:rsidRDefault="000A6C33" w:rsidP="00B30BCF">
            <w:pPr>
              <w:spacing w:before="60" w:after="60" w:line="220" w:lineRule="exact"/>
              <w:jc w:val="left"/>
              <w:rPr>
                <w:sz w:val="20"/>
                <w:szCs w:val="20"/>
                <w:lang w:val="en-GB"/>
              </w:rPr>
            </w:pPr>
            <w:r w:rsidRPr="0001096E">
              <w:rPr>
                <w:b/>
                <w:sz w:val="20"/>
                <w:szCs w:val="20"/>
                <w:lang w:val="en-GB"/>
              </w:rPr>
              <w:t>Representative deputyship</w:t>
            </w:r>
          </w:p>
        </w:tc>
        <w:tc>
          <w:tcPr>
            <w:tcW w:w="1736" w:type="dxa"/>
            <w:shd w:val="clear" w:color="auto" w:fill="BDD6EE" w:themeFill="accent1" w:themeFillTint="66"/>
          </w:tcPr>
          <w:p w14:paraId="4DF9E2B5" w14:textId="77777777" w:rsidR="00924B3D" w:rsidRPr="0001096E" w:rsidRDefault="000A6C33" w:rsidP="00B30BCF">
            <w:pPr>
              <w:spacing w:before="60" w:after="60" w:line="220" w:lineRule="exact"/>
              <w:jc w:val="left"/>
              <w:rPr>
                <w:sz w:val="20"/>
                <w:szCs w:val="20"/>
                <w:lang w:val="en-GB"/>
              </w:rPr>
            </w:pPr>
            <w:r w:rsidRPr="0001096E">
              <w:rPr>
                <w:sz w:val="20"/>
                <w:szCs w:val="20"/>
                <w:lang w:val="en-GB"/>
              </w:rPr>
              <w:t>Article 394(1); Article 395 CC</w:t>
            </w:r>
          </w:p>
        </w:tc>
        <w:tc>
          <w:tcPr>
            <w:tcW w:w="4531" w:type="dxa"/>
            <w:shd w:val="clear" w:color="auto" w:fill="BDD6EE" w:themeFill="accent1" w:themeFillTint="66"/>
          </w:tcPr>
          <w:p w14:paraId="067B1DA3" w14:textId="7B9A989B" w:rsidR="00924B3D" w:rsidRPr="0001096E" w:rsidRDefault="000A6C33" w:rsidP="00B30BCF">
            <w:pPr>
              <w:spacing w:before="60" w:after="60" w:line="220" w:lineRule="exact"/>
              <w:jc w:val="left"/>
              <w:rPr>
                <w:sz w:val="20"/>
                <w:szCs w:val="20"/>
                <w:lang w:val="en-GB"/>
              </w:rPr>
            </w:pPr>
            <w:r w:rsidRPr="0001096E">
              <w:rPr>
                <w:sz w:val="20"/>
                <w:szCs w:val="20"/>
                <w:lang w:val="en-GB"/>
              </w:rPr>
              <w:t xml:space="preserve">Representative deputyship </w:t>
            </w:r>
            <w:r w:rsidRPr="0001096E">
              <w:rPr>
                <w:b/>
                <w:sz w:val="20"/>
                <w:szCs w:val="20"/>
                <w:lang w:val="en-GB"/>
              </w:rPr>
              <w:t>without limiting the client's capacity to act</w:t>
            </w:r>
            <w:r w:rsidRPr="0001096E">
              <w:rPr>
                <w:sz w:val="20"/>
                <w:szCs w:val="20"/>
                <w:lang w:val="en-GB"/>
              </w:rPr>
              <w:t>. The client is bound by the acts of the deputy. (Article 394(3) CC)</w:t>
            </w:r>
            <w:r w:rsidR="00EE7F01">
              <w:rPr>
                <w:sz w:val="20"/>
                <w:szCs w:val="20"/>
                <w:lang w:val="en-GB"/>
              </w:rPr>
              <w:t>.</w:t>
            </w:r>
          </w:p>
        </w:tc>
      </w:tr>
      <w:tr w:rsidR="00924B3D" w:rsidRPr="00ED1A8F" w14:paraId="0E87BE31" w14:textId="77777777" w:rsidTr="00B30BCF">
        <w:trPr>
          <w:trHeight w:val="889"/>
        </w:trPr>
        <w:tc>
          <w:tcPr>
            <w:tcW w:w="2795" w:type="dxa"/>
            <w:vMerge/>
            <w:shd w:val="clear" w:color="auto" w:fill="BDD6EE" w:themeFill="accent1" w:themeFillTint="66"/>
          </w:tcPr>
          <w:p w14:paraId="19319492" w14:textId="77777777" w:rsidR="00924B3D" w:rsidRPr="0001096E" w:rsidRDefault="00924B3D" w:rsidP="00B30BCF">
            <w:pPr>
              <w:spacing w:before="60" w:after="60" w:line="220" w:lineRule="exact"/>
              <w:jc w:val="left"/>
              <w:rPr>
                <w:sz w:val="20"/>
                <w:szCs w:val="20"/>
                <w:lang w:val="en-GB"/>
              </w:rPr>
            </w:pPr>
          </w:p>
        </w:tc>
        <w:tc>
          <w:tcPr>
            <w:tcW w:w="1736" w:type="dxa"/>
            <w:shd w:val="clear" w:color="auto" w:fill="BDD6EE" w:themeFill="accent1" w:themeFillTint="66"/>
          </w:tcPr>
          <w:p w14:paraId="1E1D58BE" w14:textId="77777777" w:rsidR="00924B3D" w:rsidRPr="0001096E" w:rsidRDefault="000A6C33" w:rsidP="00B30BCF">
            <w:pPr>
              <w:spacing w:before="60" w:after="60" w:line="220" w:lineRule="exact"/>
              <w:jc w:val="left"/>
              <w:rPr>
                <w:sz w:val="20"/>
                <w:szCs w:val="20"/>
                <w:lang w:val="en-GB"/>
              </w:rPr>
            </w:pPr>
            <w:r w:rsidRPr="0001096E">
              <w:rPr>
                <w:sz w:val="20"/>
                <w:szCs w:val="20"/>
                <w:lang w:val="en-GB"/>
              </w:rPr>
              <w:t>Article 394(2) CC (possibly in conjunction with Article 395 CC)</w:t>
            </w:r>
          </w:p>
        </w:tc>
        <w:tc>
          <w:tcPr>
            <w:tcW w:w="4531" w:type="dxa"/>
            <w:shd w:val="clear" w:color="auto" w:fill="BDD6EE" w:themeFill="accent1" w:themeFillTint="66"/>
          </w:tcPr>
          <w:p w14:paraId="66E2313C" w14:textId="7EAE1BEA" w:rsidR="00924B3D" w:rsidRPr="0001096E" w:rsidRDefault="000A6C33" w:rsidP="00B30BCF">
            <w:pPr>
              <w:spacing w:before="60" w:after="60" w:line="220" w:lineRule="exact"/>
              <w:jc w:val="left"/>
              <w:rPr>
                <w:sz w:val="20"/>
                <w:szCs w:val="20"/>
                <w:lang w:val="en-GB"/>
              </w:rPr>
            </w:pPr>
            <w:r w:rsidRPr="0001096E">
              <w:rPr>
                <w:sz w:val="20"/>
                <w:szCs w:val="20"/>
                <w:lang w:val="en-GB"/>
              </w:rPr>
              <w:t xml:space="preserve">Representative deputyship </w:t>
            </w:r>
            <w:r w:rsidRPr="0001096E">
              <w:rPr>
                <w:b/>
                <w:sz w:val="20"/>
                <w:szCs w:val="20"/>
                <w:lang w:val="en-GB"/>
              </w:rPr>
              <w:t>with limited capacity to act</w:t>
            </w:r>
            <w:r w:rsidR="00EE7F01">
              <w:rPr>
                <w:b/>
                <w:sz w:val="20"/>
                <w:szCs w:val="20"/>
                <w:lang w:val="en-GB"/>
              </w:rPr>
              <w:t>.</w:t>
            </w:r>
          </w:p>
        </w:tc>
      </w:tr>
      <w:tr w:rsidR="00924B3D" w:rsidRPr="00ED1A8F" w14:paraId="126E2D9A" w14:textId="77777777" w:rsidTr="00B30BCF">
        <w:trPr>
          <w:trHeight w:val="524"/>
        </w:trPr>
        <w:tc>
          <w:tcPr>
            <w:tcW w:w="2795" w:type="dxa"/>
            <w:shd w:val="clear" w:color="auto" w:fill="9CC2E5" w:themeFill="accent1" w:themeFillTint="99"/>
          </w:tcPr>
          <w:p w14:paraId="089806CA" w14:textId="77777777" w:rsidR="00924B3D" w:rsidRPr="0001096E" w:rsidRDefault="000A6C33" w:rsidP="00B30BCF">
            <w:pPr>
              <w:spacing w:before="60" w:after="60" w:line="220" w:lineRule="exact"/>
              <w:jc w:val="left"/>
              <w:rPr>
                <w:sz w:val="20"/>
                <w:szCs w:val="20"/>
                <w:lang w:val="en-GB"/>
              </w:rPr>
            </w:pPr>
            <w:r w:rsidRPr="0001096E">
              <w:rPr>
                <w:b/>
                <w:sz w:val="20"/>
                <w:szCs w:val="20"/>
                <w:lang w:val="en-GB"/>
              </w:rPr>
              <w:t>Advisory deputyship</w:t>
            </w:r>
          </w:p>
        </w:tc>
        <w:tc>
          <w:tcPr>
            <w:tcW w:w="1736" w:type="dxa"/>
            <w:shd w:val="clear" w:color="auto" w:fill="9CC2E5" w:themeFill="accent1" w:themeFillTint="99"/>
          </w:tcPr>
          <w:p w14:paraId="4B493492" w14:textId="77777777" w:rsidR="00924B3D" w:rsidRPr="0001096E" w:rsidRDefault="000A6C33" w:rsidP="00B30BCF">
            <w:pPr>
              <w:spacing w:before="60" w:after="60" w:line="220" w:lineRule="exact"/>
              <w:jc w:val="left"/>
              <w:rPr>
                <w:sz w:val="20"/>
                <w:szCs w:val="20"/>
                <w:lang w:val="en-GB"/>
              </w:rPr>
            </w:pPr>
            <w:r w:rsidRPr="0001096E">
              <w:rPr>
                <w:sz w:val="20"/>
                <w:szCs w:val="20"/>
                <w:lang w:val="en-GB"/>
              </w:rPr>
              <w:t>Article 396 CC</w:t>
            </w:r>
          </w:p>
        </w:tc>
        <w:tc>
          <w:tcPr>
            <w:tcW w:w="4531" w:type="dxa"/>
            <w:shd w:val="clear" w:color="auto" w:fill="9CC2E5" w:themeFill="accent1" w:themeFillTint="99"/>
          </w:tcPr>
          <w:p w14:paraId="52729FED" w14:textId="0376958E" w:rsidR="00924B3D" w:rsidRPr="0001096E" w:rsidRDefault="000A6C33" w:rsidP="00B30BCF">
            <w:pPr>
              <w:spacing w:before="60" w:after="60" w:line="220" w:lineRule="exact"/>
              <w:jc w:val="left"/>
              <w:rPr>
                <w:sz w:val="20"/>
                <w:szCs w:val="20"/>
                <w:lang w:val="en-GB"/>
              </w:rPr>
            </w:pPr>
            <w:r w:rsidRPr="00EE7F01">
              <w:rPr>
                <w:b/>
                <w:sz w:val="20"/>
                <w:szCs w:val="20"/>
                <w:lang w:val="en-GB"/>
              </w:rPr>
              <w:t>Limited capacity to act</w:t>
            </w:r>
            <w:r w:rsidRPr="0001096E">
              <w:rPr>
                <w:sz w:val="20"/>
                <w:szCs w:val="20"/>
                <w:lang w:val="en-GB"/>
              </w:rPr>
              <w:t xml:space="preserve"> (for transactions requiring consent) (Article 396(2) CC)</w:t>
            </w:r>
            <w:r w:rsidR="00EE7F01">
              <w:rPr>
                <w:sz w:val="20"/>
                <w:szCs w:val="20"/>
                <w:lang w:val="en-GB"/>
              </w:rPr>
              <w:t>.</w:t>
            </w:r>
          </w:p>
        </w:tc>
      </w:tr>
      <w:tr w:rsidR="00924B3D" w:rsidRPr="00ED1A8F" w14:paraId="71ABEFFE" w14:textId="77777777" w:rsidTr="00B30BCF">
        <w:trPr>
          <w:trHeight w:val="524"/>
        </w:trPr>
        <w:tc>
          <w:tcPr>
            <w:tcW w:w="2795" w:type="dxa"/>
            <w:shd w:val="clear" w:color="auto" w:fill="2E74B5" w:themeFill="accent1" w:themeFillShade="BF"/>
          </w:tcPr>
          <w:p w14:paraId="27D83301" w14:textId="77777777" w:rsidR="00924B3D" w:rsidRPr="0001096E" w:rsidRDefault="000A6C33" w:rsidP="00B30BCF">
            <w:pPr>
              <w:spacing w:before="60" w:after="60" w:line="220" w:lineRule="exact"/>
              <w:jc w:val="left"/>
              <w:rPr>
                <w:b/>
                <w:sz w:val="20"/>
                <w:szCs w:val="20"/>
                <w:lang w:val="en-GB"/>
              </w:rPr>
            </w:pPr>
            <w:r w:rsidRPr="0001096E">
              <w:rPr>
                <w:sz w:val="20"/>
                <w:szCs w:val="20"/>
                <w:lang w:val="en-GB"/>
              </w:rPr>
              <w:t xml:space="preserve">General </w:t>
            </w:r>
            <w:r w:rsidRPr="0001096E">
              <w:rPr>
                <w:b/>
                <w:sz w:val="20"/>
                <w:szCs w:val="20"/>
                <w:lang w:val="en-GB"/>
              </w:rPr>
              <w:t>deputyship</w:t>
            </w:r>
          </w:p>
        </w:tc>
        <w:tc>
          <w:tcPr>
            <w:tcW w:w="1736" w:type="dxa"/>
            <w:shd w:val="clear" w:color="auto" w:fill="2E74B5" w:themeFill="accent1" w:themeFillShade="BF"/>
          </w:tcPr>
          <w:p w14:paraId="2C2980D6" w14:textId="77777777" w:rsidR="00924B3D" w:rsidRPr="0001096E" w:rsidRDefault="000A6C33" w:rsidP="00B30BCF">
            <w:pPr>
              <w:spacing w:before="60" w:after="60" w:line="220" w:lineRule="exact"/>
              <w:jc w:val="left"/>
              <w:rPr>
                <w:sz w:val="20"/>
                <w:szCs w:val="20"/>
                <w:lang w:val="en-GB"/>
              </w:rPr>
            </w:pPr>
            <w:r w:rsidRPr="0001096E">
              <w:rPr>
                <w:sz w:val="20"/>
                <w:szCs w:val="20"/>
                <w:lang w:val="en-GB"/>
              </w:rPr>
              <w:t>Article 398 CC</w:t>
            </w:r>
          </w:p>
        </w:tc>
        <w:tc>
          <w:tcPr>
            <w:tcW w:w="4531" w:type="dxa"/>
            <w:shd w:val="clear" w:color="auto" w:fill="2E74B5" w:themeFill="accent1" w:themeFillShade="BF"/>
          </w:tcPr>
          <w:p w14:paraId="4F40528E" w14:textId="2591B3D6" w:rsidR="00924B3D" w:rsidRPr="0001096E" w:rsidRDefault="000A6C33" w:rsidP="00EE7F01">
            <w:pPr>
              <w:spacing w:before="60" w:after="60" w:line="220" w:lineRule="exact"/>
              <w:jc w:val="left"/>
              <w:rPr>
                <w:sz w:val="20"/>
                <w:szCs w:val="20"/>
                <w:lang w:val="en-GB"/>
              </w:rPr>
            </w:pPr>
            <w:r w:rsidRPr="0001096E">
              <w:rPr>
                <w:sz w:val="20"/>
                <w:szCs w:val="20"/>
                <w:lang w:val="en-GB"/>
              </w:rPr>
              <w:t xml:space="preserve">The </w:t>
            </w:r>
            <w:r w:rsidRPr="0001096E">
              <w:rPr>
                <w:b/>
                <w:sz w:val="20"/>
                <w:szCs w:val="20"/>
                <w:lang w:val="en-GB"/>
              </w:rPr>
              <w:t>client's capacity to act is revoked by law.</w:t>
            </w:r>
            <w:r w:rsidRPr="0001096E">
              <w:rPr>
                <w:sz w:val="20"/>
                <w:szCs w:val="20"/>
                <w:lang w:val="en-GB"/>
              </w:rPr>
              <w:t xml:space="preserve"> The deputyship covers all aspects of personal care, management of assets and legal matters</w:t>
            </w:r>
            <w:r w:rsidR="00EE7F01">
              <w:rPr>
                <w:sz w:val="20"/>
                <w:szCs w:val="20"/>
                <w:lang w:val="en-GB"/>
              </w:rPr>
              <w:t>.</w:t>
            </w:r>
          </w:p>
        </w:tc>
      </w:tr>
    </w:tbl>
    <w:p w14:paraId="6C22DE61" w14:textId="77777777" w:rsidR="00924B3D" w:rsidRPr="0001096E" w:rsidRDefault="00924B3D" w:rsidP="00924B3D">
      <w:pPr>
        <w:pStyle w:val="BodyText"/>
        <w:rPr>
          <w:lang w:val="en-GB" w:eastAsia="de-CH"/>
        </w:rPr>
      </w:pPr>
    </w:p>
    <w:tbl>
      <w:tblPr>
        <w:tblStyle w:val="Tabellenraster1"/>
        <w:tblW w:w="9062" w:type="dxa"/>
        <w:tblLook w:val="04A0" w:firstRow="1" w:lastRow="0" w:firstColumn="1" w:lastColumn="0" w:noHBand="0" w:noVBand="1"/>
      </w:tblPr>
      <w:tblGrid>
        <w:gridCol w:w="1129"/>
        <w:gridCol w:w="7933"/>
      </w:tblGrid>
      <w:tr w:rsidR="00B8736A" w:rsidRPr="0001096E" w14:paraId="7824F8F4" w14:textId="77777777" w:rsidTr="00B8736A">
        <w:trPr>
          <w:trHeight w:val="495"/>
        </w:trPr>
        <w:tc>
          <w:tcPr>
            <w:tcW w:w="0" w:type="auto"/>
            <w:gridSpan w:val="2"/>
            <w:shd w:val="clear" w:color="auto" w:fill="E2EFD9" w:themeFill="accent6" w:themeFillTint="33"/>
          </w:tcPr>
          <w:p w14:paraId="10BA19DD" w14:textId="77777777" w:rsidR="00B8736A" w:rsidRPr="0001096E" w:rsidRDefault="00B8736A" w:rsidP="001F59DA">
            <w:pPr>
              <w:spacing w:line="220" w:lineRule="exact"/>
              <w:jc w:val="center"/>
              <w:rPr>
                <w:rFonts w:ascii="Arial" w:hAnsi="Arial" w:cs="Arial"/>
                <w:b/>
                <w:sz w:val="20"/>
                <w:szCs w:val="20"/>
                <w:lang w:val="en-GB"/>
              </w:rPr>
            </w:pPr>
            <w:r w:rsidRPr="0001096E">
              <w:rPr>
                <w:rFonts w:ascii="Arial" w:hAnsi="Arial" w:cs="Arial"/>
                <w:b/>
                <w:sz w:val="20"/>
                <w:szCs w:val="20"/>
                <w:lang w:val="en-GB"/>
              </w:rPr>
              <w:t>Capacity to act under the Swiss Civil Code</w:t>
            </w:r>
          </w:p>
          <w:p w14:paraId="4E7EF90B" w14:textId="77777777" w:rsidR="00B8736A" w:rsidRPr="0001096E" w:rsidRDefault="00B8736A" w:rsidP="001F59DA">
            <w:pPr>
              <w:spacing w:line="220" w:lineRule="exact"/>
              <w:jc w:val="center"/>
              <w:rPr>
                <w:rFonts w:ascii="Arial" w:hAnsi="Arial" w:cs="Arial"/>
                <w:b/>
                <w:sz w:val="20"/>
                <w:szCs w:val="20"/>
                <w:lang w:val="en-GB"/>
              </w:rPr>
            </w:pPr>
            <w:r w:rsidRPr="0001096E">
              <w:rPr>
                <w:rFonts w:ascii="Arial" w:hAnsi="Arial" w:cs="Arial"/>
                <w:b/>
                <w:sz w:val="20"/>
                <w:szCs w:val="20"/>
                <w:lang w:val="en-GB"/>
              </w:rPr>
              <w:t>The main provisions</w:t>
            </w:r>
          </w:p>
        </w:tc>
      </w:tr>
      <w:tr w:rsidR="00B8736A" w:rsidRPr="00ED1A8F" w14:paraId="17F74ECE" w14:textId="77777777" w:rsidTr="00B8736A">
        <w:trPr>
          <w:trHeight w:val="701"/>
        </w:trPr>
        <w:tc>
          <w:tcPr>
            <w:tcW w:w="1129" w:type="dxa"/>
            <w:shd w:val="clear" w:color="auto" w:fill="C5E0B3" w:themeFill="accent6" w:themeFillTint="66"/>
          </w:tcPr>
          <w:p w14:paraId="3D6FA04D" w14:textId="77777777" w:rsidR="00B8736A" w:rsidRPr="0001096E" w:rsidRDefault="00B8736A" w:rsidP="001F59DA">
            <w:pPr>
              <w:spacing w:line="220" w:lineRule="exact"/>
              <w:jc w:val="left"/>
              <w:rPr>
                <w:rFonts w:ascii="Arial" w:hAnsi="Arial" w:cs="Arial"/>
                <w:b/>
                <w:sz w:val="20"/>
                <w:szCs w:val="20"/>
                <w:lang w:val="en-GB"/>
              </w:rPr>
            </w:pPr>
            <w:r w:rsidRPr="0001096E">
              <w:rPr>
                <w:rFonts w:ascii="Arial" w:hAnsi="Arial" w:cs="Arial"/>
                <w:b/>
                <w:sz w:val="20"/>
                <w:szCs w:val="20"/>
                <w:lang w:val="en-GB"/>
              </w:rPr>
              <w:t xml:space="preserve">Article 12 </w:t>
            </w:r>
          </w:p>
        </w:tc>
        <w:tc>
          <w:tcPr>
            <w:tcW w:w="7933" w:type="dxa"/>
            <w:shd w:val="clear" w:color="auto" w:fill="C5E0B3" w:themeFill="accent6" w:themeFillTint="66"/>
          </w:tcPr>
          <w:p w14:paraId="7E6586F5" w14:textId="77777777" w:rsidR="00B8736A" w:rsidRPr="0001096E" w:rsidRDefault="00B8736A" w:rsidP="001F59DA">
            <w:pPr>
              <w:spacing w:line="220" w:lineRule="exact"/>
              <w:jc w:val="left"/>
              <w:rPr>
                <w:rFonts w:ascii="Arial" w:hAnsi="Arial" w:cs="Arial"/>
                <w:sz w:val="20"/>
                <w:szCs w:val="20"/>
                <w:lang w:val="en-GB"/>
              </w:rPr>
            </w:pPr>
            <w:r w:rsidRPr="0001096E">
              <w:rPr>
                <w:rFonts w:ascii="Arial" w:hAnsi="Arial" w:cs="Arial"/>
                <w:sz w:val="20"/>
                <w:szCs w:val="20"/>
                <w:lang w:val="en-GB"/>
              </w:rPr>
              <w:t xml:space="preserve">A person who has capacity to act has the </w:t>
            </w:r>
            <w:r w:rsidRPr="0001096E">
              <w:rPr>
                <w:rFonts w:ascii="Arial" w:hAnsi="Arial" w:cs="Arial"/>
                <w:b/>
                <w:sz w:val="20"/>
                <w:szCs w:val="20"/>
                <w:lang w:val="en-GB"/>
              </w:rPr>
              <w:t>capacity to create rights and obligations through his actions.</w:t>
            </w:r>
          </w:p>
        </w:tc>
      </w:tr>
      <w:tr w:rsidR="00B8736A" w:rsidRPr="00ED1A8F" w14:paraId="21A0F103" w14:textId="77777777" w:rsidTr="00B8736A">
        <w:trPr>
          <w:trHeight w:val="414"/>
        </w:trPr>
        <w:tc>
          <w:tcPr>
            <w:tcW w:w="1129" w:type="dxa"/>
            <w:shd w:val="clear" w:color="auto" w:fill="C5E0B3" w:themeFill="accent6" w:themeFillTint="66"/>
          </w:tcPr>
          <w:p w14:paraId="0596FA99" w14:textId="77777777" w:rsidR="00B8736A" w:rsidRPr="0001096E" w:rsidRDefault="00B8736A" w:rsidP="001F59DA">
            <w:pPr>
              <w:spacing w:line="220" w:lineRule="exact"/>
              <w:jc w:val="left"/>
              <w:rPr>
                <w:rFonts w:ascii="Arial" w:hAnsi="Arial" w:cs="Arial"/>
                <w:b/>
                <w:sz w:val="20"/>
                <w:szCs w:val="20"/>
                <w:lang w:val="en-GB"/>
              </w:rPr>
            </w:pPr>
            <w:r w:rsidRPr="0001096E">
              <w:rPr>
                <w:rFonts w:ascii="Arial" w:hAnsi="Arial" w:cs="Arial"/>
                <w:b/>
                <w:sz w:val="20"/>
                <w:szCs w:val="20"/>
                <w:lang w:val="en-GB"/>
              </w:rPr>
              <w:t xml:space="preserve">Article 13 </w:t>
            </w:r>
          </w:p>
        </w:tc>
        <w:tc>
          <w:tcPr>
            <w:tcW w:w="7933" w:type="dxa"/>
            <w:shd w:val="clear" w:color="auto" w:fill="C5E0B3" w:themeFill="accent6" w:themeFillTint="66"/>
          </w:tcPr>
          <w:p w14:paraId="0C18772F" w14:textId="77777777" w:rsidR="00B8736A" w:rsidRPr="0001096E" w:rsidRDefault="00B8736A" w:rsidP="001F59DA">
            <w:pPr>
              <w:spacing w:line="220" w:lineRule="exact"/>
              <w:jc w:val="left"/>
              <w:rPr>
                <w:rFonts w:ascii="Arial" w:hAnsi="Arial" w:cs="Arial"/>
                <w:sz w:val="20"/>
                <w:szCs w:val="20"/>
                <w:lang w:val="en-GB"/>
              </w:rPr>
            </w:pPr>
            <w:r w:rsidRPr="0001096E">
              <w:rPr>
                <w:rFonts w:ascii="Arial" w:hAnsi="Arial" w:cs="Arial"/>
                <w:sz w:val="20"/>
                <w:szCs w:val="20"/>
                <w:lang w:val="en-GB"/>
              </w:rPr>
              <w:t xml:space="preserve">A person who is of age and is </w:t>
            </w:r>
            <w:r w:rsidRPr="0001096E">
              <w:rPr>
                <w:rFonts w:ascii="Arial" w:hAnsi="Arial" w:cs="Arial"/>
                <w:b/>
                <w:bCs/>
                <w:sz w:val="20"/>
                <w:szCs w:val="20"/>
                <w:lang w:val="en-GB"/>
              </w:rPr>
              <w:t>capable of judgement</w:t>
            </w:r>
            <w:r w:rsidRPr="0001096E">
              <w:rPr>
                <w:rFonts w:ascii="Arial" w:hAnsi="Arial" w:cs="Arial"/>
                <w:sz w:val="20"/>
                <w:szCs w:val="20"/>
                <w:lang w:val="en-GB"/>
              </w:rPr>
              <w:t xml:space="preserve"> has the capacity to act.</w:t>
            </w:r>
          </w:p>
        </w:tc>
      </w:tr>
      <w:tr w:rsidR="00B8736A" w:rsidRPr="00ED1A8F" w14:paraId="14838C3E" w14:textId="77777777" w:rsidTr="00B8736A">
        <w:trPr>
          <w:trHeight w:val="845"/>
        </w:trPr>
        <w:tc>
          <w:tcPr>
            <w:tcW w:w="1129" w:type="dxa"/>
            <w:shd w:val="clear" w:color="auto" w:fill="C5E0B3" w:themeFill="accent6" w:themeFillTint="66"/>
          </w:tcPr>
          <w:p w14:paraId="364AB6A3" w14:textId="77777777" w:rsidR="00B8736A" w:rsidRPr="0001096E" w:rsidRDefault="00B8736A" w:rsidP="001F59DA">
            <w:pPr>
              <w:spacing w:line="220" w:lineRule="exact"/>
              <w:jc w:val="left"/>
              <w:rPr>
                <w:rFonts w:ascii="Arial" w:hAnsi="Arial" w:cs="Arial"/>
                <w:b/>
                <w:sz w:val="20"/>
                <w:szCs w:val="20"/>
                <w:lang w:val="en-GB"/>
              </w:rPr>
            </w:pPr>
            <w:r w:rsidRPr="0001096E">
              <w:rPr>
                <w:rFonts w:ascii="Arial" w:hAnsi="Arial" w:cs="Arial"/>
                <w:b/>
                <w:sz w:val="20"/>
                <w:szCs w:val="20"/>
                <w:lang w:val="en-GB"/>
              </w:rPr>
              <w:t xml:space="preserve">Article 16 </w:t>
            </w:r>
          </w:p>
        </w:tc>
        <w:tc>
          <w:tcPr>
            <w:tcW w:w="7933" w:type="dxa"/>
            <w:shd w:val="clear" w:color="auto" w:fill="C5E0B3" w:themeFill="accent6" w:themeFillTint="66"/>
          </w:tcPr>
          <w:p w14:paraId="6B4D6E0B" w14:textId="77777777" w:rsidR="00B8736A" w:rsidRPr="0001096E" w:rsidRDefault="00B8736A" w:rsidP="001F59DA">
            <w:pPr>
              <w:spacing w:line="220" w:lineRule="exact"/>
              <w:jc w:val="left"/>
              <w:rPr>
                <w:rFonts w:ascii="Arial" w:hAnsi="Arial" w:cs="Arial"/>
                <w:sz w:val="20"/>
                <w:szCs w:val="20"/>
                <w:lang w:val="en-GB"/>
              </w:rPr>
            </w:pPr>
            <w:r w:rsidRPr="0001096E">
              <w:rPr>
                <w:rFonts w:ascii="Arial" w:hAnsi="Arial" w:cs="Arial"/>
                <w:b/>
                <w:sz w:val="20"/>
                <w:szCs w:val="20"/>
                <w:lang w:val="en-GB"/>
              </w:rPr>
              <w:t>A person</w:t>
            </w:r>
            <w:r w:rsidRPr="0001096E">
              <w:rPr>
                <w:rFonts w:ascii="Arial" w:hAnsi="Arial" w:cs="Arial"/>
                <w:sz w:val="20"/>
                <w:szCs w:val="20"/>
                <w:lang w:val="en-GB"/>
              </w:rPr>
              <w:t xml:space="preserve"> is </w:t>
            </w:r>
            <w:r w:rsidRPr="0001096E">
              <w:rPr>
                <w:rFonts w:ascii="Arial" w:hAnsi="Arial" w:cs="Arial"/>
                <w:b/>
                <w:sz w:val="20"/>
                <w:szCs w:val="20"/>
                <w:lang w:val="en-GB"/>
              </w:rPr>
              <w:t>capable of judgement</w:t>
            </w:r>
            <w:r w:rsidRPr="0001096E">
              <w:rPr>
                <w:rFonts w:ascii="Arial" w:hAnsi="Arial" w:cs="Arial"/>
                <w:sz w:val="20"/>
                <w:szCs w:val="20"/>
                <w:lang w:val="en-GB"/>
              </w:rPr>
              <w:t xml:space="preserve"> within the meaning of the law if he or she </w:t>
            </w:r>
            <w:r w:rsidRPr="0001096E">
              <w:rPr>
                <w:rFonts w:ascii="Arial" w:hAnsi="Arial" w:cs="Arial"/>
                <w:b/>
                <w:sz w:val="20"/>
                <w:szCs w:val="20"/>
                <w:lang w:val="en-GB"/>
              </w:rPr>
              <w:t>does not lack the capacity to act rationally</w:t>
            </w:r>
            <w:r w:rsidRPr="0001096E">
              <w:rPr>
                <w:rFonts w:ascii="Arial" w:hAnsi="Arial" w:cs="Arial"/>
                <w:sz w:val="20"/>
                <w:szCs w:val="20"/>
                <w:lang w:val="en-GB"/>
              </w:rPr>
              <w:t xml:space="preserve"> by virtue of being a minor or </w:t>
            </w:r>
            <w:r w:rsidRPr="0001096E">
              <w:rPr>
                <w:rFonts w:ascii="Arial" w:hAnsi="Arial" w:cs="Arial"/>
                <w:b/>
                <w:sz w:val="20"/>
                <w:szCs w:val="20"/>
                <w:lang w:val="en-GB"/>
              </w:rPr>
              <w:t>because of an intellectual disability</w:t>
            </w:r>
            <w:r w:rsidRPr="0001096E">
              <w:rPr>
                <w:rFonts w:ascii="Arial" w:hAnsi="Arial" w:cs="Arial"/>
                <w:sz w:val="20"/>
                <w:szCs w:val="20"/>
                <w:lang w:val="en-GB"/>
              </w:rPr>
              <w:t xml:space="preserve">, </w:t>
            </w:r>
            <w:r w:rsidRPr="0001096E">
              <w:rPr>
                <w:rFonts w:ascii="Arial" w:hAnsi="Arial" w:cs="Arial"/>
                <w:b/>
                <w:sz w:val="20"/>
                <w:szCs w:val="20"/>
                <w:lang w:val="en-GB"/>
              </w:rPr>
              <w:t>psychosocial disability</w:t>
            </w:r>
            <w:r w:rsidRPr="0001096E">
              <w:rPr>
                <w:rFonts w:ascii="Arial" w:hAnsi="Arial" w:cs="Arial"/>
                <w:sz w:val="20"/>
                <w:szCs w:val="20"/>
                <w:lang w:val="en-GB"/>
              </w:rPr>
              <w:t>, intoxication or similar circumstances.</w:t>
            </w:r>
          </w:p>
        </w:tc>
      </w:tr>
      <w:tr w:rsidR="00B8736A" w:rsidRPr="00ED1A8F" w14:paraId="3E44C825" w14:textId="77777777" w:rsidTr="00B8736A">
        <w:trPr>
          <w:trHeight w:val="559"/>
        </w:trPr>
        <w:tc>
          <w:tcPr>
            <w:tcW w:w="1129" w:type="dxa"/>
            <w:shd w:val="clear" w:color="auto" w:fill="C5E0B3" w:themeFill="accent6" w:themeFillTint="66"/>
          </w:tcPr>
          <w:p w14:paraId="15A7DDE6" w14:textId="77777777" w:rsidR="00B8736A" w:rsidRPr="0001096E" w:rsidRDefault="00B8736A" w:rsidP="001F59DA">
            <w:pPr>
              <w:spacing w:line="220" w:lineRule="exact"/>
              <w:jc w:val="left"/>
              <w:rPr>
                <w:rFonts w:ascii="Arial" w:hAnsi="Arial" w:cs="Arial"/>
                <w:b/>
                <w:sz w:val="20"/>
                <w:szCs w:val="20"/>
                <w:lang w:val="en-GB"/>
              </w:rPr>
            </w:pPr>
            <w:r w:rsidRPr="0001096E">
              <w:rPr>
                <w:rFonts w:ascii="Arial" w:hAnsi="Arial" w:cs="Arial"/>
                <w:b/>
                <w:sz w:val="20"/>
                <w:szCs w:val="20"/>
                <w:lang w:val="en-GB"/>
              </w:rPr>
              <w:t xml:space="preserve">Article 17 </w:t>
            </w:r>
          </w:p>
          <w:p w14:paraId="63F87CF2" w14:textId="77777777" w:rsidR="00B8736A" w:rsidRPr="0001096E" w:rsidRDefault="00B8736A" w:rsidP="001F59DA">
            <w:pPr>
              <w:spacing w:line="220" w:lineRule="exact"/>
              <w:jc w:val="left"/>
              <w:rPr>
                <w:rFonts w:ascii="Arial" w:hAnsi="Arial" w:cs="Arial"/>
                <w:sz w:val="20"/>
                <w:szCs w:val="20"/>
                <w:lang w:val="en-GB"/>
              </w:rPr>
            </w:pPr>
          </w:p>
        </w:tc>
        <w:tc>
          <w:tcPr>
            <w:tcW w:w="7933" w:type="dxa"/>
            <w:shd w:val="clear" w:color="auto" w:fill="C5E0B3" w:themeFill="accent6" w:themeFillTint="66"/>
          </w:tcPr>
          <w:p w14:paraId="4EDE3930" w14:textId="77777777" w:rsidR="00B8736A" w:rsidRPr="0001096E" w:rsidRDefault="00B8736A" w:rsidP="001F59DA">
            <w:pPr>
              <w:spacing w:line="220" w:lineRule="exact"/>
              <w:jc w:val="left"/>
              <w:rPr>
                <w:rFonts w:ascii="Arial" w:hAnsi="Arial" w:cs="Arial"/>
                <w:sz w:val="20"/>
                <w:szCs w:val="20"/>
                <w:lang w:val="en-GB"/>
              </w:rPr>
            </w:pPr>
            <w:r w:rsidRPr="0001096E">
              <w:rPr>
                <w:rFonts w:ascii="Arial" w:hAnsi="Arial" w:cs="Arial"/>
                <w:sz w:val="20"/>
                <w:szCs w:val="20"/>
                <w:lang w:val="en-GB"/>
              </w:rPr>
              <w:t xml:space="preserve">A person </w:t>
            </w:r>
            <w:r w:rsidRPr="0001096E">
              <w:rPr>
                <w:rFonts w:ascii="Arial" w:hAnsi="Arial" w:cs="Arial"/>
                <w:b/>
                <w:sz w:val="20"/>
                <w:szCs w:val="20"/>
                <w:lang w:val="en-GB"/>
              </w:rPr>
              <w:t>does not have the capacity to act</w:t>
            </w:r>
            <w:r w:rsidRPr="0001096E">
              <w:rPr>
                <w:rFonts w:ascii="Arial" w:hAnsi="Arial" w:cs="Arial"/>
                <w:sz w:val="20"/>
                <w:szCs w:val="20"/>
                <w:lang w:val="en-GB"/>
              </w:rPr>
              <w:t xml:space="preserve"> if he or she is </w:t>
            </w:r>
            <w:r w:rsidRPr="0001096E">
              <w:rPr>
                <w:rFonts w:ascii="Arial" w:hAnsi="Arial" w:cs="Arial"/>
                <w:b/>
                <w:sz w:val="20"/>
                <w:szCs w:val="20"/>
                <w:lang w:val="en-GB"/>
              </w:rPr>
              <w:t>incapable of judgement</w:t>
            </w:r>
            <w:r w:rsidRPr="0001096E">
              <w:rPr>
                <w:rFonts w:ascii="Arial" w:hAnsi="Arial" w:cs="Arial"/>
                <w:sz w:val="20"/>
                <w:szCs w:val="20"/>
                <w:lang w:val="en-GB"/>
              </w:rPr>
              <w:t xml:space="preserve">, is a minor or is </w:t>
            </w:r>
            <w:r w:rsidRPr="0001096E">
              <w:rPr>
                <w:rFonts w:ascii="Arial" w:hAnsi="Arial" w:cs="Arial"/>
                <w:b/>
                <w:sz w:val="20"/>
                <w:szCs w:val="20"/>
                <w:lang w:val="en-GB"/>
              </w:rPr>
              <w:t>subject to a general deputyship</w:t>
            </w:r>
            <w:r w:rsidRPr="0001096E">
              <w:rPr>
                <w:rFonts w:ascii="Arial" w:hAnsi="Arial" w:cs="Arial"/>
                <w:sz w:val="20"/>
                <w:szCs w:val="20"/>
                <w:lang w:val="en-GB"/>
              </w:rPr>
              <w:t>.</w:t>
            </w:r>
          </w:p>
        </w:tc>
      </w:tr>
    </w:tbl>
    <w:p w14:paraId="6BCCE9DE" w14:textId="77777777" w:rsidR="005B4044" w:rsidRPr="00A86F53" w:rsidRDefault="005B4044" w:rsidP="005B4044">
      <w:pPr>
        <w:spacing w:before="120"/>
        <w:rPr>
          <w:lang w:val="en-GB"/>
        </w:rPr>
      </w:pPr>
      <w:r w:rsidRPr="00A86F53">
        <w:rPr>
          <w:lang w:val="en-GB"/>
        </w:rPr>
        <w:t xml:space="preserve">In a 2017 report on the initial experiences with the adult protection law in force since 2013, </w:t>
      </w:r>
      <w:r w:rsidRPr="00A86F53">
        <w:rPr>
          <w:b/>
          <w:lang w:val="en-GB"/>
        </w:rPr>
        <w:t>the Federal Council recognised, in view of the Committee’s work, that representative deputyships were incompatible with Article 12 CRPD</w:t>
      </w:r>
      <w:r w:rsidRPr="00A86F53">
        <w:rPr>
          <w:lang w:val="en-GB"/>
        </w:rPr>
        <w:t xml:space="preserve">. Therefore, the Federal Council stated that it would continue to follow </w:t>
      </w:r>
      <w:r w:rsidRPr="00A86F53">
        <w:rPr>
          <w:lang w:val="en-GB"/>
        </w:rPr>
        <w:lastRenderedPageBreak/>
        <w:t>discussions at both national and international level and decide on the further course of action once any recommendations of the Committee had been presented.</w:t>
      </w:r>
      <w:r w:rsidRPr="00A86F53">
        <w:rPr>
          <w:vertAlign w:val="superscript"/>
          <w:lang w:val="en-GB"/>
        </w:rPr>
        <w:footnoteReference w:id="88"/>
      </w:r>
      <w:r w:rsidRPr="00A86F53">
        <w:rPr>
          <w:lang w:val="en-GB"/>
        </w:rPr>
        <w:t xml:space="preserve"> Accordingly, Switzerland’s Reply to the LoI now reads the same way (para. 26).</w:t>
      </w:r>
    </w:p>
    <w:p w14:paraId="2F34E8A7" w14:textId="6580027E" w:rsidR="005B4044" w:rsidRPr="00A86F53" w:rsidRDefault="005B4044" w:rsidP="005B4044">
      <w:pPr>
        <w:pStyle w:val="BodyText"/>
        <w:rPr>
          <w:lang w:val="en-GB"/>
        </w:rPr>
      </w:pPr>
      <w:r w:rsidRPr="00A86F53">
        <w:rPr>
          <w:lang w:val="en-GB"/>
        </w:rPr>
        <w:t xml:space="preserve">It is difficult to grasp why Switzerland remains in </w:t>
      </w:r>
      <w:r w:rsidRPr="00A86F53">
        <w:rPr>
          <w:b/>
          <w:lang w:val="en-GB"/>
        </w:rPr>
        <w:t>waiting mode</w:t>
      </w:r>
      <w:r w:rsidRPr="00A86F53">
        <w:rPr>
          <w:lang w:val="en-GB"/>
        </w:rPr>
        <w:t xml:space="preserve"> even though it has long recognised the problem and the Committee’s recommendations on Article 12 CRPD are predictable. The </w:t>
      </w:r>
      <w:r w:rsidRPr="00A86F53">
        <w:rPr>
          <w:b/>
          <w:lang w:val="en-GB"/>
        </w:rPr>
        <w:t>discrepancy</w:t>
      </w:r>
      <w:r w:rsidRPr="00A86F53">
        <w:rPr>
          <w:lang w:val="en-GB"/>
        </w:rPr>
        <w:t xml:space="preserve"> between the system of deputyships and Article 12 CRPD is </w:t>
      </w:r>
      <w:r w:rsidRPr="00A86F53">
        <w:rPr>
          <w:b/>
          <w:lang w:val="en-GB"/>
        </w:rPr>
        <w:t>obvious</w:t>
      </w:r>
      <w:r w:rsidRPr="00A86F53">
        <w:rPr>
          <w:lang w:val="en-GB"/>
        </w:rPr>
        <w:t xml:space="preserve">: </w:t>
      </w:r>
      <w:r w:rsidRPr="00A86F53">
        <w:rPr>
          <w:b/>
          <w:bCs/>
          <w:lang w:val="en-GB"/>
        </w:rPr>
        <w:t>Legal capacity</w:t>
      </w:r>
      <w:r w:rsidRPr="00A86F53">
        <w:rPr>
          <w:lang w:val="en-GB"/>
        </w:rPr>
        <w:t xml:space="preserve"> can be restricted by official </w:t>
      </w:r>
      <w:r w:rsidRPr="00A86F53">
        <w:rPr>
          <w:b/>
          <w:lang w:val="en-GB"/>
        </w:rPr>
        <w:t xml:space="preserve">adult protection measures </w:t>
      </w:r>
      <w:r w:rsidRPr="00A86F53">
        <w:rPr>
          <w:lang w:val="en-GB"/>
        </w:rPr>
        <w:t xml:space="preserve">(Articles 388-439 CC). </w:t>
      </w:r>
      <w:r w:rsidRPr="00A86F53">
        <w:rPr>
          <w:b/>
          <w:lang w:val="en-GB"/>
        </w:rPr>
        <w:t xml:space="preserve">Deputyship </w:t>
      </w:r>
      <w:r w:rsidRPr="00A86F53">
        <w:rPr>
          <w:lang w:val="en-GB"/>
        </w:rPr>
        <w:t xml:space="preserve">(Articles 390-425 CC) applies in relation to a </w:t>
      </w:r>
      <w:r w:rsidR="00EE7F01">
        <w:rPr>
          <w:lang w:val="en-GB"/>
        </w:rPr>
        <w:t>“</w:t>
      </w:r>
      <w:r w:rsidRPr="00A86F53">
        <w:rPr>
          <w:lang w:val="en-GB"/>
        </w:rPr>
        <w:t>debility</w:t>
      </w:r>
      <w:r w:rsidR="00EE7F01">
        <w:rPr>
          <w:lang w:val="en-GB"/>
        </w:rPr>
        <w:t>”</w:t>
      </w:r>
      <w:r w:rsidRPr="00A86F53">
        <w:rPr>
          <w:lang w:val="en-GB"/>
        </w:rPr>
        <w:t xml:space="preserve"> on the part of an individual and a resulting inability to manage his or her own affairs, either fully or partially. According to the law, such permanent </w:t>
      </w:r>
      <w:r w:rsidR="00EE7F01">
        <w:rPr>
          <w:lang w:val="en-GB"/>
        </w:rPr>
        <w:t>“</w:t>
      </w:r>
      <w:r w:rsidRPr="00A86F53">
        <w:rPr>
          <w:lang w:val="en-GB"/>
        </w:rPr>
        <w:t>debilities</w:t>
      </w:r>
      <w:r w:rsidR="00EE7F01">
        <w:rPr>
          <w:lang w:val="en-GB"/>
        </w:rPr>
        <w:t>”</w:t>
      </w:r>
      <w:r w:rsidRPr="00A86F53">
        <w:rPr>
          <w:lang w:val="en-GB"/>
        </w:rPr>
        <w:t xml:space="preserve"> result, in particular, from an </w:t>
      </w:r>
      <w:r w:rsidRPr="00A86F53">
        <w:rPr>
          <w:b/>
          <w:bCs/>
          <w:lang w:val="en-GB"/>
        </w:rPr>
        <w:t>intellectual disability</w:t>
      </w:r>
      <w:r w:rsidRPr="00A86F53">
        <w:rPr>
          <w:lang w:val="en-GB"/>
        </w:rPr>
        <w:t xml:space="preserve"> or a </w:t>
      </w:r>
      <w:r w:rsidRPr="00A86F53">
        <w:rPr>
          <w:b/>
          <w:bCs/>
          <w:lang w:val="en-GB"/>
        </w:rPr>
        <w:t>psychosocial disorder</w:t>
      </w:r>
      <w:r w:rsidRPr="00A86F53">
        <w:rPr>
          <w:lang w:val="en-GB"/>
        </w:rPr>
        <w:t xml:space="preserve"> (Article 390(1)(1) CC). </w:t>
      </w:r>
    </w:p>
    <w:p w14:paraId="1BCE2404" w14:textId="77777777" w:rsidR="005B4044" w:rsidRPr="00A86F53" w:rsidRDefault="005B4044" w:rsidP="005B4044">
      <w:pPr>
        <w:rPr>
          <w:lang w:val="en-GB"/>
        </w:rPr>
      </w:pPr>
      <w:r w:rsidRPr="00A86F53">
        <w:rPr>
          <w:lang w:val="en-GB"/>
        </w:rPr>
        <w:t xml:space="preserve">As a result of the </w:t>
      </w:r>
      <w:r w:rsidRPr="00A86F53">
        <w:rPr>
          <w:b/>
          <w:lang w:val="en-GB"/>
        </w:rPr>
        <w:t>acts of representation that remain dominant,</w:t>
      </w:r>
      <w:r w:rsidRPr="00A86F53">
        <w:rPr>
          <w:lang w:val="en-GB"/>
        </w:rPr>
        <w:t xml:space="preserve"> a </w:t>
      </w:r>
      <w:r w:rsidRPr="00A86F53">
        <w:rPr>
          <w:b/>
          <w:lang w:val="en-GB"/>
        </w:rPr>
        <w:t>system of substitute decision-making</w:t>
      </w:r>
      <w:r w:rsidRPr="00A86F53">
        <w:rPr>
          <w:lang w:val="en-GB"/>
        </w:rPr>
        <w:t xml:space="preserve"> is maintained and the capacity to act is restricted or revoked.</w:t>
      </w:r>
      <w:r w:rsidRPr="00A86F53">
        <w:rPr>
          <w:vertAlign w:val="superscript"/>
          <w:lang w:val="en-GB"/>
        </w:rPr>
        <w:footnoteReference w:id="89"/>
      </w:r>
      <w:r w:rsidRPr="00A86F53">
        <w:rPr>
          <w:lang w:val="en-GB"/>
        </w:rPr>
        <w:t xml:space="preserve"> Thus, the </w:t>
      </w:r>
      <w:r w:rsidRPr="00A86F53">
        <w:rPr>
          <w:b/>
          <w:bCs/>
          <w:lang w:val="en-GB"/>
        </w:rPr>
        <w:t>assistance deputyship, which is purely supportive in nature, would not be an option in cases involving a lack of capacity of judgement or capacity to act</w:t>
      </w:r>
      <w:r w:rsidRPr="00A86F53">
        <w:rPr>
          <w:lang w:val="en-GB"/>
        </w:rPr>
        <w:t>.</w:t>
      </w:r>
      <w:bookmarkStart w:id="68" w:name="_Ref480299386"/>
      <w:r w:rsidRPr="00A86F53">
        <w:rPr>
          <w:rStyle w:val="FootnoteReference"/>
          <w:lang w:val="en-GB"/>
        </w:rPr>
        <w:footnoteReference w:id="90"/>
      </w:r>
      <w:bookmarkEnd w:id="68"/>
      <w:r w:rsidRPr="00A86F53">
        <w:rPr>
          <w:lang w:val="en-GB"/>
        </w:rPr>
        <w:t xml:space="preserve"> When establishing whether a person lacks </w:t>
      </w:r>
      <w:r w:rsidRPr="00A86F53">
        <w:rPr>
          <w:lang w:val="en-GB"/>
        </w:rPr>
        <w:lastRenderedPageBreak/>
        <w:t xml:space="preserve">capacity of judgment, it is not considered whether the person </w:t>
      </w:r>
      <w:r w:rsidRPr="00A86F53">
        <w:rPr>
          <w:b/>
          <w:bCs/>
          <w:lang w:val="en-GB"/>
        </w:rPr>
        <w:t>may</w:t>
      </w:r>
      <w:r w:rsidRPr="00A86F53">
        <w:rPr>
          <w:lang w:val="en-GB"/>
        </w:rPr>
        <w:t xml:space="preserve"> be capable of acting reasonably </w:t>
      </w:r>
      <w:r w:rsidRPr="00A86F53">
        <w:rPr>
          <w:b/>
          <w:bCs/>
          <w:lang w:val="en-GB"/>
        </w:rPr>
        <w:t>with support</w:t>
      </w:r>
      <w:r w:rsidRPr="00A86F53">
        <w:rPr>
          <w:lang w:val="en-GB"/>
        </w:rPr>
        <w:t xml:space="preserve">; capacity of judgment </w:t>
      </w:r>
      <w:r w:rsidRPr="00A86F53">
        <w:rPr>
          <w:b/>
          <w:bCs/>
          <w:lang w:val="en-GB"/>
        </w:rPr>
        <w:t>presupposes individual capabilities of the person himself or herself</w:t>
      </w:r>
      <w:r w:rsidRPr="00A86F53">
        <w:rPr>
          <w:vertAlign w:val="superscript"/>
          <w:lang w:val="en-GB"/>
        </w:rPr>
        <w:footnoteReference w:id="91"/>
      </w:r>
      <w:r w:rsidRPr="00A86F53">
        <w:rPr>
          <w:lang w:val="en-GB"/>
        </w:rPr>
        <w:t xml:space="preserve"> and is clearly focused on his or her wilful intention. </w:t>
      </w:r>
      <w:r w:rsidRPr="00A86F53">
        <w:rPr>
          <w:b/>
          <w:bCs/>
          <w:lang w:val="en-GB"/>
        </w:rPr>
        <w:t>General deputyship</w:t>
      </w:r>
      <w:r w:rsidRPr="00A86F53">
        <w:rPr>
          <w:lang w:val="en-GB"/>
        </w:rPr>
        <w:t xml:space="preserve"> involves </w:t>
      </w:r>
      <w:r w:rsidRPr="00A86F53">
        <w:rPr>
          <w:b/>
          <w:lang w:val="en-GB"/>
        </w:rPr>
        <w:t>representation in relation to all matters</w:t>
      </w:r>
      <w:r w:rsidRPr="00A86F53">
        <w:rPr>
          <w:lang w:val="en-GB"/>
        </w:rPr>
        <w:t xml:space="preserve">, whilst a representative deputyship involves partial – in some cases extensive – representative acts, and an advisory deputyship provides for a requirement of consent by the deputy. </w:t>
      </w:r>
      <w:r w:rsidRPr="00A86F53">
        <w:rPr>
          <w:b/>
          <w:lang w:val="en-GB"/>
        </w:rPr>
        <w:t>Legal capacity is entirely lost in cases involving general deputyship</w:t>
      </w:r>
      <w:r w:rsidRPr="00A86F53">
        <w:rPr>
          <w:lang w:val="en-GB"/>
        </w:rPr>
        <w:t xml:space="preserve">, whilst in cases involving representative deputyship this is a possibility; in cases of advisory deputyship, it is legally restricted. </w:t>
      </w:r>
    </w:p>
    <w:p w14:paraId="4E485CA8" w14:textId="16C1FA82" w:rsidR="005B4044" w:rsidRPr="00A86F53" w:rsidRDefault="005B4044" w:rsidP="005B4044">
      <w:pPr>
        <w:rPr>
          <w:lang w:val="en-GB"/>
        </w:rPr>
      </w:pPr>
      <w:r w:rsidRPr="00A86F53">
        <w:rPr>
          <w:lang w:val="en-GB"/>
        </w:rPr>
        <w:t xml:space="preserve">The deputy performs the tasks in the interest of the client, although only taking </w:t>
      </w:r>
      <w:r w:rsidRPr="00A86F53">
        <w:rPr>
          <w:b/>
          <w:bCs/>
          <w:lang w:val="en-GB"/>
        </w:rPr>
        <w:t>account of his or her opinion</w:t>
      </w:r>
      <w:r w:rsidRPr="00A86F53">
        <w:rPr>
          <w:lang w:val="en-GB"/>
        </w:rPr>
        <w:t xml:space="preserve"> and respecting his or her desires </w:t>
      </w:r>
      <w:r w:rsidR="0098717A">
        <w:rPr>
          <w:b/>
          <w:bCs/>
          <w:lang w:val="en-GB"/>
        </w:rPr>
        <w:t>“</w:t>
      </w:r>
      <w:r w:rsidRPr="00A86F53">
        <w:rPr>
          <w:b/>
          <w:bCs/>
          <w:lang w:val="en-GB"/>
        </w:rPr>
        <w:t>where possible</w:t>
      </w:r>
      <w:r w:rsidR="0098717A">
        <w:rPr>
          <w:b/>
          <w:bCs/>
          <w:lang w:val="en-GB"/>
        </w:rPr>
        <w:t>”</w:t>
      </w:r>
      <w:r w:rsidRPr="00A86F53">
        <w:rPr>
          <w:lang w:val="en-GB"/>
        </w:rPr>
        <w:t xml:space="preserve"> (Article 406(1) CC). This is an expression </w:t>
      </w:r>
      <w:r w:rsidRPr="00A86F53">
        <w:rPr>
          <w:b/>
          <w:lang w:val="en-GB"/>
        </w:rPr>
        <w:t>of paternalistic supervisory and controlling behaviour.</w:t>
      </w:r>
      <w:r w:rsidRPr="00A86F53">
        <w:rPr>
          <w:rStyle w:val="FootnoteReference"/>
          <w:lang w:val="en-GB"/>
        </w:rPr>
        <w:footnoteReference w:id="92"/>
      </w:r>
      <w:r w:rsidRPr="00A86F53">
        <w:rPr>
          <w:lang w:val="en-GB"/>
        </w:rPr>
        <w:t xml:space="preserve"> </w:t>
      </w:r>
      <w:r w:rsidRPr="00A86F53">
        <w:rPr>
          <w:b/>
          <w:lang w:val="en-GB"/>
        </w:rPr>
        <w:t>This does not sufficiently guarantee that support will be based on the wishes and preferences of the individual concerned, rather than his or her objective welfare ("best interests").</w:t>
      </w:r>
    </w:p>
    <w:p w14:paraId="199BCB0F" w14:textId="35A73A2C" w:rsidR="005B4044" w:rsidRDefault="005B4044" w:rsidP="005B4044">
      <w:pPr>
        <w:pStyle w:val="BodyText"/>
        <w:rPr>
          <w:lang w:val="en-GB"/>
        </w:rPr>
      </w:pPr>
      <w:r w:rsidRPr="00A86F53">
        <w:rPr>
          <w:lang w:val="en-GB"/>
        </w:rPr>
        <w:t xml:space="preserve">Even in the years </w:t>
      </w:r>
      <w:r w:rsidRPr="00A86F53">
        <w:rPr>
          <w:b/>
          <w:lang w:val="en-GB"/>
        </w:rPr>
        <w:t>2018-2020,</w:t>
      </w:r>
      <w:r w:rsidRPr="00A86F53">
        <w:rPr>
          <w:lang w:val="en-GB"/>
        </w:rPr>
        <w:t xml:space="preserve"> the </w:t>
      </w:r>
      <w:r w:rsidRPr="00A86F53">
        <w:rPr>
          <w:b/>
          <w:lang w:val="en-GB"/>
        </w:rPr>
        <w:t xml:space="preserve">clearly overwhelming majority </w:t>
      </w:r>
      <w:r w:rsidRPr="00A86F53">
        <w:rPr>
          <w:lang w:val="en-GB"/>
        </w:rPr>
        <w:t xml:space="preserve">of all deputyships were </w:t>
      </w:r>
      <w:r w:rsidRPr="00A86F53">
        <w:rPr>
          <w:b/>
          <w:lang w:val="en-GB"/>
        </w:rPr>
        <w:t>representative deputyships</w:t>
      </w:r>
      <w:r w:rsidRPr="00A86F53">
        <w:rPr>
          <w:lang w:val="en-GB"/>
        </w:rPr>
        <w:t xml:space="preserve">, while advisory deputyships made up the smallest proportion. In those years, </w:t>
      </w:r>
      <w:r w:rsidRPr="00A86F53">
        <w:rPr>
          <w:b/>
          <w:lang w:val="en-GB"/>
        </w:rPr>
        <w:t xml:space="preserve">approximately 16.3% (2018), </w:t>
      </w:r>
      <w:r w:rsidRPr="00A86F53">
        <w:rPr>
          <w:b/>
          <w:lang w:val="en-GB"/>
        </w:rPr>
        <w:lastRenderedPageBreak/>
        <w:t>15.4% (2019) and 14.4% (2020) of all instances of deputyships were general deputyships</w:t>
      </w:r>
      <w:r w:rsidRPr="00A86F53">
        <w:rPr>
          <w:lang w:val="en-GB"/>
        </w:rPr>
        <w:t>.</w:t>
      </w:r>
      <w:r w:rsidRPr="00A86F53">
        <w:rPr>
          <w:vertAlign w:val="superscript"/>
          <w:lang w:val="en-GB"/>
        </w:rPr>
        <w:footnoteReference w:id="93"/>
      </w:r>
    </w:p>
    <w:p w14:paraId="17C7AF8C" w14:textId="2B7A368A" w:rsidR="00924B3D" w:rsidRPr="0001096E" w:rsidRDefault="00B8736A" w:rsidP="00924B3D">
      <w:pPr>
        <w:shd w:val="clear" w:color="auto" w:fill="FFFFCC"/>
        <w:spacing w:before="240"/>
        <w:rPr>
          <w:rFonts w:eastAsia="Cambria"/>
          <w:b/>
          <w:lang w:val="en-GB"/>
        </w:rPr>
      </w:pPr>
      <w:r w:rsidRPr="0001096E">
        <w:rPr>
          <w:rFonts w:eastAsia="Cambria"/>
          <w:b/>
          <w:lang w:val="en-GB"/>
        </w:rPr>
        <w:t>Proposals for recommendations</w:t>
      </w:r>
      <w:r w:rsidR="00924B3D" w:rsidRPr="0001096E">
        <w:rPr>
          <w:rFonts w:eastAsia="Cambria"/>
          <w:b/>
          <w:lang w:val="en-GB"/>
        </w:rPr>
        <w:t>:</w:t>
      </w:r>
    </w:p>
    <w:p w14:paraId="095BF287" w14:textId="77777777" w:rsidR="005B4044" w:rsidRPr="009C321F" w:rsidRDefault="005B4044" w:rsidP="005B4044">
      <w:pPr>
        <w:pStyle w:val="SBEmpfehlungen"/>
      </w:pPr>
      <w:r w:rsidRPr="009C321F">
        <w:t xml:space="preserve">The </w:t>
      </w:r>
      <w:r w:rsidRPr="006A104D">
        <w:rPr>
          <w:b/>
        </w:rPr>
        <w:t>Confeder</w:t>
      </w:r>
      <w:r w:rsidRPr="006A104D">
        <w:rPr>
          <w:b/>
          <w:bCs/>
        </w:rPr>
        <w:t>ation</w:t>
      </w:r>
      <w:r w:rsidRPr="009C321F">
        <w:t xml:space="preserve"> shall </w:t>
      </w:r>
      <w:r w:rsidRPr="006A104D">
        <w:rPr>
          <w:b/>
        </w:rPr>
        <w:t>amend the provisions of the CC regarding deputyships</w:t>
      </w:r>
      <w:r w:rsidRPr="009C321F">
        <w:t xml:space="preserve"> (Articles 390-425 CC). In doing so, it shall, in particular, </w:t>
      </w:r>
      <w:r w:rsidRPr="006A104D">
        <w:rPr>
          <w:b/>
        </w:rPr>
        <w:t>revoke the general deputyship</w:t>
      </w:r>
      <w:r w:rsidRPr="009C321F">
        <w:t xml:space="preserve"> (Article 398 CC) and </w:t>
      </w:r>
      <w:r w:rsidRPr="006A104D">
        <w:rPr>
          <w:b/>
        </w:rPr>
        <w:t>develop a system of supported decision-making for all PWD</w:t>
      </w:r>
      <w:r w:rsidRPr="009C321F">
        <w:t xml:space="preserve">. </w:t>
      </w:r>
    </w:p>
    <w:p w14:paraId="50E9DA88" w14:textId="69362DCF" w:rsidR="00043373" w:rsidRPr="005B4044" w:rsidRDefault="005B4044" w:rsidP="005B4044">
      <w:pPr>
        <w:pStyle w:val="SBEmpfehlungen"/>
      </w:pPr>
      <w:r w:rsidRPr="009C321F">
        <w:t xml:space="preserve">The </w:t>
      </w:r>
      <w:r w:rsidRPr="009C321F">
        <w:rPr>
          <w:b/>
        </w:rPr>
        <w:t>supported decision-making</w:t>
      </w:r>
      <w:r w:rsidRPr="009C321F">
        <w:t xml:space="preserve"> </w:t>
      </w:r>
      <w:r w:rsidRPr="009C321F">
        <w:rPr>
          <w:b/>
        </w:rPr>
        <w:t>structures and mechanisms</w:t>
      </w:r>
      <w:r w:rsidRPr="009C321F">
        <w:t xml:space="preserve"> to be developed are </w:t>
      </w:r>
      <w:r w:rsidRPr="009C321F">
        <w:rPr>
          <w:b/>
        </w:rPr>
        <w:t xml:space="preserve">in line with </w:t>
      </w:r>
      <w:r w:rsidRPr="009C321F">
        <w:rPr>
          <w:rFonts w:eastAsia="Times New Roman"/>
          <w:b/>
        </w:rPr>
        <w:t xml:space="preserve">GC </w:t>
      </w:r>
      <w:r w:rsidRPr="009C321F">
        <w:rPr>
          <w:b/>
        </w:rPr>
        <w:t>No. 1 (2014)</w:t>
      </w:r>
      <w:r w:rsidRPr="009C321F">
        <w:t xml:space="preserve"> of the Committee and ensure that the dignity, autonomy, will and preferences of all PWD are respected when they exercise their legal capacity.</w:t>
      </w:r>
    </w:p>
    <w:p w14:paraId="67B96C4F" w14:textId="60129E3C" w:rsidR="00B8736A" w:rsidRPr="0001096E" w:rsidRDefault="00B8736A" w:rsidP="00B8736A">
      <w:pPr>
        <w:pStyle w:val="Heading3"/>
        <w:numPr>
          <w:ilvl w:val="0"/>
          <w:numId w:val="0"/>
        </w:numPr>
        <w:ind w:left="737" w:hanging="737"/>
        <w:rPr>
          <w:lang w:val="en-GB"/>
        </w:rPr>
      </w:pPr>
      <w:bookmarkStart w:id="69" w:name="_Ref91239977"/>
      <w:bookmarkStart w:id="70" w:name="_Toc95297067"/>
      <w:bookmarkStart w:id="71" w:name="_Toc95668182"/>
      <w:bookmarkStart w:id="72" w:name="_Toc93906733"/>
      <w:r w:rsidRPr="0001096E">
        <w:rPr>
          <w:lang w:val="en-GB"/>
        </w:rPr>
        <w:t>Article 13 – Access to justice</w:t>
      </w:r>
      <w:bookmarkEnd w:id="69"/>
      <w:bookmarkEnd w:id="70"/>
      <w:bookmarkEnd w:id="71"/>
      <w:r w:rsidRPr="0001096E">
        <w:rPr>
          <w:lang w:val="en-GB"/>
        </w:rPr>
        <w:t xml:space="preserve"> </w:t>
      </w:r>
      <w:bookmarkEnd w:id="72"/>
    </w:p>
    <w:p w14:paraId="4106AC5C" w14:textId="77777777" w:rsidR="005B4044" w:rsidRPr="00A86F53" w:rsidRDefault="005B4044" w:rsidP="005B4044">
      <w:pPr>
        <w:rPr>
          <w:rFonts w:eastAsia="Cambria"/>
          <w:lang w:val="en-GB"/>
        </w:rPr>
      </w:pPr>
      <w:r w:rsidRPr="00A86F53">
        <w:rPr>
          <w:rFonts w:eastAsia="Cambria"/>
          <w:b/>
          <w:lang w:val="en-GB"/>
        </w:rPr>
        <w:t xml:space="preserve">Switzerland does not </w:t>
      </w:r>
      <w:r w:rsidRPr="00A86F53">
        <w:rPr>
          <w:rFonts w:eastAsia="Cambria"/>
          <w:lang w:val="en-GB"/>
        </w:rPr>
        <w:t xml:space="preserve">answer </w:t>
      </w:r>
      <w:r w:rsidRPr="00A86F53">
        <w:rPr>
          <w:lang w:val="en-GB"/>
        </w:rPr>
        <w:t xml:space="preserve">the Committee’s question as to </w:t>
      </w:r>
      <w:r w:rsidRPr="00A86F53">
        <w:rPr>
          <w:rFonts w:eastAsia="Cambria"/>
          <w:lang w:val="en-GB"/>
        </w:rPr>
        <w:t xml:space="preserve">what </w:t>
      </w:r>
      <w:r w:rsidRPr="00A86F53">
        <w:rPr>
          <w:rFonts w:eastAsia="Cambria"/>
          <w:b/>
          <w:lang w:val="en-GB"/>
        </w:rPr>
        <w:t xml:space="preserve">specific </w:t>
      </w:r>
      <w:r w:rsidRPr="00A86F53">
        <w:rPr>
          <w:rFonts w:eastAsia="Cambria"/>
          <w:lang w:val="en-GB"/>
        </w:rPr>
        <w:t xml:space="preserve">steps have been taken to ensure access to justice for all PWD, </w:t>
      </w:r>
      <w:r w:rsidRPr="00A86F53">
        <w:rPr>
          <w:rFonts w:eastAsia="Cambria"/>
          <w:b/>
          <w:lang w:val="en-GB"/>
        </w:rPr>
        <w:t>particularly persons with intellectual and psychosocial disabilities</w:t>
      </w:r>
      <w:r w:rsidRPr="00A86F53">
        <w:rPr>
          <w:rFonts w:eastAsia="Cambria"/>
          <w:lang w:val="en-GB"/>
        </w:rPr>
        <w:t>:</w:t>
      </w:r>
    </w:p>
    <w:p w14:paraId="380F2661" w14:textId="77777777" w:rsidR="005B4044" w:rsidRPr="005B4044" w:rsidRDefault="005B4044" w:rsidP="005B4044">
      <w:pPr>
        <w:pStyle w:val="ListParagraph"/>
        <w:numPr>
          <w:ilvl w:val="0"/>
          <w:numId w:val="38"/>
        </w:numPr>
        <w:shd w:val="clear" w:color="auto" w:fill="FFFFFF" w:themeFill="background1"/>
        <w:suppressAutoHyphens/>
        <w:spacing w:before="60" w:after="60" w:line="280" w:lineRule="exact"/>
        <w:contextualSpacing w:val="0"/>
        <w:rPr>
          <w:rFonts w:eastAsia="MS Gothic"/>
          <w:szCs w:val="20"/>
          <w:lang w:val="en-GB"/>
        </w:rPr>
      </w:pPr>
      <w:r w:rsidRPr="005B4044">
        <w:rPr>
          <w:lang w:val="en-GB"/>
        </w:rPr>
        <w:t xml:space="preserve">According to it, administrative bodies are investing in accessibility at all levels, and access to existing administrative buildings has improved. In addition, under the DDA, new buildings must be built so as to be accessible (Reply to LoI, para. 27). In this regard, it is important to note: In Switzerland, the </w:t>
      </w:r>
      <w:r w:rsidRPr="005B4044">
        <w:rPr>
          <w:b/>
          <w:lang w:val="en-GB"/>
        </w:rPr>
        <w:t xml:space="preserve">accessibility of administrative buildings and courts </w:t>
      </w:r>
      <w:r w:rsidRPr="005B4044">
        <w:rPr>
          <w:lang w:val="en-GB"/>
        </w:rPr>
        <w:t xml:space="preserve">has </w:t>
      </w:r>
      <w:r w:rsidRPr="005B4044">
        <w:rPr>
          <w:b/>
          <w:lang w:val="en-GB"/>
        </w:rPr>
        <w:t xml:space="preserve">never been recorded; </w:t>
      </w:r>
      <w:r w:rsidRPr="005B4044">
        <w:rPr>
          <w:lang w:val="en-GB"/>
        </w:rPr>
        <w:t xml:space="preserve">there are </w:t>
      </w:r>
      <w:r w:rsidRPr="005B4044">
        <w:rPr>
          <w:b/>
          <w:lang w:val="en-GB"/>
        </w:rPr>
        <w:t>no statistics</w:t>
      </w:r>
      <w:r w:rsidRPr="005B4044">
        <w:rPr>
          <w:lang w:val="en-GB"/>
        </w:rPr>
        <w:t xml:space="preserve"> in this regard. The DDA applies only to </w:t>
      </w:r>
      <w:r w:rsidRPr="005B4044">
        <w:rPr>
          <w:lang w:val="en-GB"/>
        </w:rPr>
        <w:lastRenderedPageBreak/>
        <w:t>renovations and new buildings.</w:t>
      </w:r>
      <w:r w:rsidRPr="005B4044">
        <w:rPr>
          <w:rStyle w:val="FootnoteReference"/>
          <w:lang w:val="en-GB"/>
        </w:rPr>
        <w:footnoteReference w:id="94"/>
      </w:r>
      <w:r w:rsidRPr="005B4044">
        <w:rPr>
          <w:lang w:val="en-GB"/>
        </w:rPr>
        <w:t xml:space="preserve"> Other buildings do not have to be made accessible at all.</w:t>
      </w:r>
    </w:p>
    <w:p w14:paraId="384032BA" w14:textId="1FA2B394" w:rsidR="005B4044" w:rsidRPr="005B4044" w:rsidRDefault="005B4044" w:rsidP="005B4044">
      <w:pPr>
        <w:pStyle w:val="ListParagraph"/>
        <w:numPr>
          <w:ilvl w:val="0"/>
          <w:numId w:val="38"/>
        </w:numPr>
        <w:shd w:val="clear" w:color="auto" w:fill="FFFFFF" w:themeFill="background1"/>
        <w:suppressAutoHyphens/>
        <w:spacing w:before="60" w:after="60" w:line="280" w:lineRule="exact"/>
        <w:contextualSpacing w:val="0"/>
        <w:rPr>
          <w:lang w:val="en-GB"/>
        </w:rPr>
      </w:pPr>
      <w:r w:rsidRPr="005B4044">
        <w:rPr>
          <w:lang w:val="en-GB"/>
        </w:rPr>
        <w:t>Furthermore, it is not clear how Switzerland can claim that the barriers have also been removed in the information sector. The “list of recognised sign language interpreters” maintained by the Canton of Zurich</w:t>
      </w:r>
      <w:r w:rsidRPr="005B4044">
        <w:rPr>
          <w:rStyle w:val="FootnoteReference"/>
          <w:szCs w:val="20"/>
          <w:lang w:val="en-GB"/>
        </w:rPr>
        <w:footnoteReference w:id="95"/>
      </w:r>
      <w:r w:rsidRPr="005B4044">
        <w:rPr>
          <w:lang w:val="en-GB"/>
        </w:rPr>
        <w:t xml:space="preserve"> and the “important information on the judicial system itself, as well as on criminal proceedings”, which is to be made available in </w:t>
      </w:r>
      <w:r w:rsidR="00282A84">
        <w:rPr>
          <w:lang w:val="en-GB"/>
        </w:rPr>
        <w:t>plain</w:t>
      </w:r>
      <w:r w:rsidRPr="005B4044">
        <w:rPr>
          <w:lang w:val="en-GB"/>
        </w:rPr>
        <w:t xml:space="preserve"> language, in </w:t>
      </w:r>
      <w:r w:rsidRPr="005B4044">
        <w:rPr>
          <w:b/>
          <w:lang w:val="en-GB"/>
        </w:rPr>
        <w:t>no way replace the adaptation of the various procedural rules at federal and cantonal level</w:t>
      </w:r>
      <w:r w:rsidRPr="005B4044">
        <w:rPr>
          <w:lang w:val="en-GB"/>
        </w:rPr>
        <w:t xml:space="preserve"> which would be necessary to ensure that all proceedings are accessible to all PWD. This has not yet been done.</w:t>
      </w:r>
      <w:r w:rsidRPr="005B4044">
        <w:rPr>
          <w:vertAlign w:val="superscript"/>
          <w:lang w:val="en-GB"/>
        </w:rPr>
        <w:footnoteReference w:id="96"/>
      </w:r>
      <w:r w:rsidRPr="005B4044">
        <w:rPr>
          <w:lang w:val="en-GB"/>
        </w:rPr>
        <w:t xml:space="preserve"> </w:t>
      </w:r>
    </w:p>
    <w:p w14:paraId="11E6DB18" w14:textId="77777777" w:rsidR="005B4044" w:rsidRPr="005B4044" w:rsidRDefault="005B4044" w:rsidP="005B4044">
      <w:pPr>
        <w:pStyle w:val="ListParagraph"/>
        <w:numPr>
          <w:ilvl w:val="0"/>
          <w:numId w:val="38"/>
        </w:numPr>
        <w:shd w:val="clear" w:color="auto" w:fill="FFFFFF" w:themeFill="background1"/>
        <w:suppressAutoHyphens/>
        <w:spacing w:before="60" w:line="280" w:lineRule="exact"/>
        <w:ind w:left="357" w:hanging="357"/>
        <w:contextualSpacing w:val="0"/>
        <w:rPr>
          <w:rFonts w:eastAsia="MS Gothic"/>
          <w:szCs w:val="20"/>
          <w:lang w:val="en-GB"/>
        </w:rPr>
      </w:pPr>
      <w:r w:rsidRPr="005B4044">
        <w:rPr>
          <w:lang w:val="en-GB"/>
        </w:rPr>
        <w:t xml:space="preserve">The </w:t>
      </w:r>
      <w:r w:rsidRPr="005B4044">
        <w:rPr>
          <w:b/>
          <w:lang w:val="en-GB"/>
        </w:rPr>
        <w:t>reference to the revision of the CPC is misleading with regard to the provision on advance costs</w:t>
      </w:r>
      <w:r w:rsidRPr="005B4044">
        <w:rPr>
          <w:lang w:val="en-GB"/>
        </w:rPr>
        <w:t xml:space="preserve">: In particular, the revision does not improve access to justice in relation to implementing the CRPD rights. </w:t>
      </w:r>
      <w:r w:rsidRPr="005B4044">
        <w:rPr>
          <w:b/>
          <w:lang w:val="en-GB"/>
        </w:rPr>
        <w:t>First</w:t>
      </w:r>
      <w:r w:rsidRPr="005B4044">
        <w:rPr>
          <w:lang w:val="en-GB"/>
        </w:rPr>
        <w:t>, these</w:t>
      </w:r>
      <w:r w:rsidRPr="005B4044">
        <w:rPr>
          <w:b/>
          <w:lang w:val="en-GB"/>
        </w:rPr>
        <w:t xml:space="preserve"> </w:t>
      </w:r>
      <w:r w:rsidRPr="005B4044">
        <w:rPr>
          <w:lang w:val="en-GB"/>
        </w:rPr>
        <w:t xml:space="preserve">are </w:t>
      </w:r>
      <w:r w:rsidRPr="005B4044">
        <w:rPr>
          <w:b/>
          <w:lang w:val="en-GB"/>
        </w:rPr>
        <w:t>only</w:t>
      </w:r>
      <w:r w:rsidRPr="005B4044">
        <w:rPr>
          <w:lang w:val="en-GB"/>
        </w:rPr>
        <w:t xml:space="preserve"> </w:t>
      </w:r>
      <w:r w:rsidRPr="005B4044">
        <w:rPr>
          <w:b/>
          <w:lang w:val="en-GB"/>
        </w:rPr>
        <w:t>civil proceedings;</w:t>
      </w:r>
      <w:r w:rsidRPr="005B4044">
        <w:rPr>
          <w:lang w:val="en-GB"/>
        </w:rPr>
        <w:t xml:space="preserve"> all other proceedings remain unaffected by the revision. </w:t>
      </w:r>
      <w:r w:rsidRPr="005B4044">
        <w:rPr>
          <w:b/>
          <w:lang w:val="en-GB"/>
        </w:rPr>
        <w:t>Second,</w:t>
      </w:r>
      <w:r w:rsidRPr="005B4044">
        <w:rPr>
          <w:lang w:val="en-GB"/>
        </w:rPr>
        <w:t xml:space="preserve"> the </w:t>
      </w:r>
      <w:r w:rsidRPr="005B4044">
        <w:rPr>
          <w:b/>
          <w:lang w:val="en-GB"/>
        </w:rPr>
        <w:t>non-remunerated nature of proceedings under the DDA</w:t>
      </w:r>
      <w:r w:rsidRPr="005B4044">
        <w:rPr>
          <w:lang w:val="en-GB"/>
        </w:rPr>
        <w:t xml:space="preserve"> is </w:t>
      </w:r>
      <w:r w:rsidRPr="005B4044">
        <w:rPr>
          <w:b/>
          <w:lang w:val="en-GB"/>
        </w:rPr>
        <w:t>already provided for today</w:t>
      </w:r>
      <w:r w:rsidRPr="005B4044">
        <w:rPr>
          <w:lang w:val="en-GB"/>
        </w:rPr>
        <w:t xml:space="preserve"> (Article 10 DDA); therefore, there is no advance on costs to pay. </w:t>
      </w:r>
      <w:r w:rsidRPr="005B4044">
        <w:rPr>
          <w:b/>
          <w:lang w:val="en-GB"/>
        </w:rPr>
        <w:t>Third,</w:t>
      </w:r>
      <w:r w:rsidRPr="005B4044">
        <w:rPr>
          <w:lang w:val="en-GB"/>
        </w:rPr>
        <w:t xml:space="preserve"> the revision merely concerns the provision on</w:t>
      </w:r>
      <w:r w:rsidRPr="005B4044">
        <w:rPr>
          <w:b/>
          <w:lang w:val="en-GB"/>
        </w:rPr>
        <w:t xml:space="preserve"> advance </w:t>
      </w:r>
      <w:r w:rsidRPr="005B4044">
        <w:rPr>
          <w:lang w:val="en-GB"/>
        </w:rPr>
        <w:t xml:space="preserve">costs; it does not affect the </w:t>
      </w:r>
      <w:r w:rsidRPr="005B4044">
        <w:rPr>
          <w:b/>
          <w:lang w:val="en-GB"/>
        </w:rPr>
        <w:t>procedural costs or legal costs</w:t>
      </w:r>
      <w:r w:rsidRPr="005B4044">
        <w:rPr>
          <w:lang w:val="en-GB"/>
        </w:rPr>
        <w:t xml:space="preserve">. </w:t>
      </w:r>
    </w:p>
    <w:p w14:paraId="606FF32B" w14:textId="0403D283" w:rsidR="005B4044" w:rsidRPr="00A86F53" w:rsidRDefault="005B4044" w:rsidP="005B4044">
      <w:pPr>
        <w:pStyle w:val="BodyText"/>
        <w:rPr>
          <w:lang w:val="en-GB"/>
        </w:rPr>
      </w:pPr>
      <w:r w:rsidRPr="00A86F53">
        <w:rPr>
          <w:lang w:val="en-GB"/>
        </w:rPr>
        <w:lastRenderedPageBreak/>
        <w:t xml:space="preserve">Rather, the reality is that access to justice is </w:t>
      </w:r>
      <w:r w:rsidRPr="00A86F53">
        <w:rPr>
          <w:b/>
          <w:lang w:val="en-GB"/>
        </w:rPr>
        <w:t>associated with a significant financial risk</w:t>
      </w:r>
      <w:r w:rsidRPr="00A86F53">
        <w:rPr>
          <w:lang w:val="en-GB"/>
        </w:rPr>
        <w:t xml:space="preserve"> in two areas of the law that are especially important for the implementation of the CRPD: Under</w:t>
      </w:r>
      <w:r w:rsidR="006A104D">
        <w:rPr>
          <w:lang w:val="en-GB"/>
        </w:rPr>
        <w:t xml:space="preserve"> the</w:t>
      </w:r>
      <w:r w:rsidRPr="00A86F53">
        <w:rPr>
          <w:lang w:val="en-GB"/>
        </w:rPr>
        <w:t xml:space="preserve"> </w:t>
      </w:r>
      <w:r w:rsidR="006A104D">
        <w:rPr>
          <w:b/>
          <w:lang w:val="en-GB"/>
        </w:rPr>
        <w:t>DDA</w:t>
      </w:r>
      <w:r w:rsidRPr="00A86F53">
        <w:rPr>
          <w:lang w:val="en-GB"/>
        </w:rPr>
        <w:t xml:space="preserve">, claimants who are not entitled to claim legal aid or who do not benefit from free legal advice </w:t>
      </w:r>
      <w:r w:rsidRPr="00A86F53">
        <w:rPr>
          <w:b/>
          <w:lang w:val="en-GB"/>
        </w:rPr>
        <w:t>are required to pay the lawyers</w:t>
      </w:r>
      <w:r w:rsidR="006A104D">
        <w:rPr>
          <w:b/>
          <w:lang w:val="en-GB"/>
        </w:rPr>
        <w:t>’</w:t>
      </w:r>
      <w:r w:rsidRPr="00A86F53">
        <w:rPr>
          <w:b/>
          <w:lang w:val="en-GB"/>
        </w:rPr>
        <w:t xml:space="preserve"> fees of the opposing party </w:t>
      </w:r>
      <w:r w:rsidRPr="00A86F53">
        <w:rPr>
          <w:lang w:val="en-GB"/>
        </w:rPr>
        <w:t>in the event that their complaints are rejected.</w:t>
      </w:r>
      <w:r w:rsidRPr="00A86F53">
        <w:rPr>
          <w:vertAlign w:val="superscript"/>
          <w:lang w:val="en-GB"/>
        </w:rPr>
        <w:footnoteReference w:id="97"/>
      </w:r>
      <w:r w:rsidRPr="00A86F53">
        <w:rPr>
          <w:lang w:val="en-GB"/>
        </w:rPr>
        <w:t xml:space="preserve"> In contrast to other areas of </w:t>
      </w:r>
      <w:r w:rsidRPr="00A86F53">
        <w:rPr>
          <w:b/>
          <w:lang w:val="en-GB"/>
        </w:rPr>
        <w:t>social insurance law</w:t>
      </w:r>
      <w:r w:rsidRPr="00A86F53">
        <w:rPr>
          <w:lang w:val="en-GB"/>
        </w:rPr>
        <w:t xml:space="preserve">, claimants in federal invalidity insurance proceedings at first instance are </w:t>
      </w:r>
      <w:r w:rsidRPr="00A86F53">
        <w:rPr>
          <w:b/>
          <w:bCs/>
          <w:lang w:val="en-GB"/>
        </w:rPr>
        <w:t>in principle required to pay the costs</w:t>
      </w:r>
      <w:r w:rsidRPr="00A86F53">
        <w:rPr>
          <w:lang w:val="en-GB"/>
        </w:rPr>
        <w:t xml:space="preserve"> (Article 69(1bis) of the Invalidity Insurance Act (InvIA).</w:t>
      </w:r>
      <w:r w:rsidRPr="00A86F53">
        <w:rPr>
          <w:vertAlign w:val="superscript"/>
          <w:lang w:val="en-GB"/>
        </w:rPr>
        <w:footnoteReference w:id="98"/>
      </w:r>
      <w:r w:rsidRPr="00A86F53">
        <w:rPr>
          <w:lang w:val="en-GB"/>
        </w:rPr>
        <w:t xml:space="preserve"> Applications for legal aid are often rejected on the grounds of allegedly lacking prospects of success.</w:t>
      </w:r>
      <w:r w:rsidRPr="00A86F53">
        <w:rPr>
          <w:rStyle w:val="FootnoteReference"/>
          <w:szCs w:val="20"/>
          <w:lang w:val="en-GB"/>
        </w:rPr>
        <w:footnoteReference w:id="99"/>
      </w:r>
      <w:r w:rsidRPr="00A86F53">
        <w:rPr>
          <w:lang w:val="en-GB"/>
        </w:rPr>
        <w:t xml:space="preserve"> This is in spite of the fact that the individuals affected do not dispose of the necessary financial resources and the cases often involve highly complex issues.</w:t>
      </w:r>
    </w:p>
    <w:p w14:paraId="41D0B574" w14:textId="1499435E" w:rsidR="005B4044" w:rsidRPr="00A86F53" w:rsidRDefault="005B4044" w:rsidP="005B4044">
      <w:pPr>
        <w:pStyle w:val="BodyText"/>
        <w:rPr>
          <w:lang w:val="en-GB"/>
        </w:rPr>
      </w:pPr>
      <w:r w:rsidRPr="00A86F53">
        <w:rPr>
          <w:lang w:val="en-GB"/>
        </w:rPr>
        <w:t xml:space="preserve">Therefore, the statement in the ISR that in Switzerland “non-discriminatory access to the proceedings (...) is guaranteed to every person, including </w:t>
      </w:r>
      <w:r w:rsidR="00D739C9" w:rsidRPr="00D739C9">
        <w:rPr>
          <w:lang w:val="en-GB"/>
        </w:rPr>
        <w:t>persons</w:t>
      </w:r>
      <w:r w:rsidRPr="00A86F53">
        <w:rPr>
          <w:lang w:val="en-GB"/>
        </w:rPr>
        <w:t xml:space="preserve"> with disabilities</w:t>
      </w:r>
      <w:r w:rsidRPr="00BD6E82">
        <w:rPr>
          <w:lang w:val="en-GB"/>
        </w:rPr>
        <w:t>”</w:t>
      </w:r>
      <w:r w:rsidR="00BD6E82">
        <w:rPr>
          <w:lang w:val="en-GB"/>
        </w:rPr>
        <w:t xml:space="preserve"> (ISR, para. 63)</w:t>
      </w:r>
      <w:r w:rsidRPr="00BD6E82">
        <w:rPr>
          <w:lang w:val="en-GB"/>
        </w:rPr>
        <w:t>,</w:t>
      </w:r>
      <w:r w:rsidRPr="00A86F53">
        <w:rPr>
          <w:b/>
          <w:lang w:val="en-GB"/>
        </w:rPr>
        <w:t xml:space="preserve"> must be clearly contradicted</w:t>
      </w:r>
      <w:r w:rsidRPr="00A86F53">
        <w:rPr>
          <w:lang w:val="en-GB"/>
        </w:rPr>
        <w:t>.</w:t>
      </w:r>
      <w:r w:rsidRPr="00A86F53">
        <w:rPr>
          <w:rFonts w:eastAsia="Cambria"/>
          <w:lang w:val="en-GB"/>
        </w:rPr>
        <w:t xml:space="preserve"> With regard to </w:t>
      </w:r>
      <w:r w:rsidR="00D739C9" w:rsidRPr="00D739C9">
        <w:rPr>
          <w:b/>
          <w:lang w:val="en-GB"/>
        </w:rPr>
        <w:t>persons</w:t>
      </w:r>
      <w:r w:rsidRPr="00D739C9">
        <w:rPr>
          <w:rFonts w:eastAsia="Cambria"/>
          <w:b/>
          <w:lang w:val="en-GB"/>
        </w:rPr>
        <w:t xml:space="preserve"> </w:t>
      </w:r>
      <w:r w:rsidRPr="00A86F53">
        <w:rPr>
          <w:rFonts w:eastAsia="Cambria"/>
          <w:b/>
          <w:lang w:val="en-GB"/>
        </w:rPr>
        <w:t>with psychosocial or intellectual disabilities,</w:t>
      </w:r>
      <w:r w:rsidRPr="00A86F53">
        <w:rPr>
          <w:rFonts w:eastAsia="Cambria"/>
          <w:lang w:val="en-GB"/>
        </w:rPr>
        <w:t xml:space="preserve"> the following disadvantages should also be mentioned: </w:t>
      </w:r>
      <w:r w:rsidRPr="00A86F53">
        <w:rPr>
          <w:lang w:val="en-GB"/>
        </w:rPr>
        <w:t xml:space="preserve">The </w:t>
      </w:r>
      <w:r w:rsidRPr="00A86F53">
        <w:rPr>
          <w:b/>
          <w:bCs/>
          <w:lang w:val="en-GB"/>
        </w:rPr>
        <w:t xml:space="preserve">rules governing </w:t>
      </w:r>
      <w:r w:rsidR="002237FB">
        <w:rPr>
          <w:b/>
          <w:bCs/>
          <w:lang w:val="en-GB"/>
        </w:rPr>
        <w:t xml:space="preserve">the </w:t>
      </w:r>
      <w:r w:rsidR="002237FB" w:rsidRPr="002237FB">
        <w:rPr>
          <w:b/>
          <w:lang w:val="en-US"/>
        </w:rPr>
        <w:t xml:space="preserve">capacity to </w:t>
      </w:r>
      <w:r w:rsidR="002237FB" w:rsidRPr="002237FB">
        <w:rPr>
          <w:b/>
          <w:lang w:val="en-US"/>
        </w:rPr>
        <w:lastRenderedPageBreak/>
        <w:t>take legal action and to testify</w:t>
      </w:r>
      <w:r w:rsidRPr="002237FB">
        <w:rPr>
          <w:b/>
          <w:bCs/>
          <w:lang w:val="en-GB"/>
        </w:rPr>
        <w:t xml:space="preserve"> of persons </w:t>
      </w:r>
      <w:r w:rsidR="002237FB" w:rsidRPr="002237FB">
        <w:rPr>
          <w:b/>
          <w:bCs/>
          <w:lang w:val="en-GB"/>
        </w:rPr>
        <w:t>“</w:t>
      </w:r>
      <w:r w:rsidRPr="002237FB">
        <w:rPr>
          <w:b/>
          <w:bCs/>
          <w:lang w:val="en-GB"/>
        </w:rPr>
        <w:t>lacking capacity of judgment</w:t>
      </w:r>
      <w:r w:rsidR="002237FB" w:rsidRPr="002237FB">
        <w:rPr>
          <w:b/>
          <w:bCs/>
          <w:lang w:val="en-GB"/>
        </w:rPr>
        <w:t>”</w:t>
      </w:r>
      <w:r w:rsidR="00BD6E82">
        <w:rPr>
          <w:b/>
          <w:bCs/>
          <w:lang w:val="en-GB"/>
        </w:rPr>
        <w:t xml:space="preserve"> </w:t>
      </w:r>
      <w:r w:rsidR="00BD6E82">
        <w:rPr>
          <w:bCs/>
          <w:lang w:val="en-GB"/>
        </w:rPr>
        <w:t>(ISR, para. 64)</w:t>
      </w:r>
      <w:r w:rsidRPr="00A86F53">
        <w:rPr>
          <w:lang w:val="en-GB"/>
        </w:rPr>
        <w:t xml:space="preserve"> do not take account of the system of supportive decision-making required under Articles 12 and 13 CRPD when assessing capacity of judgment. Finally, </w:t>
      </w:r>
      <w:r w:rsidRPr="00A86F53">
        <w:rPr>
          <w:b/>
          <w:lang w:val="en-GB"/>
        </w:rPr>
        <w:t xml:space="preserve">access to justice </w:t>
      </w:r>
      <w:r w:rsidRPr="00A86F53">
        <w:rPr>
          <w:lang w:val="en-GB"/>
        </w:rPr>
        <w:t xml:space="preserve">is not guaranteed </w:t>
      </w:r>
      <w:r w:rsidRPr="00A86F53">
        <w:rPr>
          <w:b/>
          <w:lang w:val="en-GB"/>
        </w:rPr>
        <w:t xml:space="preserve">for </w:t>
      </w:r>
      <w:r w:rsidR="00D739C9" w:rsidRPr="00D739C9">
        <w:rPr>
          <w:b/>
          <w:lang w:val="en-GB"/>
        </w:rPr>
        <w:t>persons</w:t>
      </w:r>
      <w:r w:rsidRPr="00D739C9">
        <w:rPr>
          <w:b/>
          <w:lang w:val="en-GB"/>
        </w:rPr>
        <w:t xml:space="preserve"> with</w:t>
      </w:r>
      <w:r w:rsidRPr="00A86F53">
        <w:rPr>
          <w:b/>
          <w:lang w:val="en-GB"/>
        </w:rPr>
        <w:t xml:space="preserve"> cognitive impairments living in institutions</w:t>
      </w:r>
      <w:r w:rsidRPr="00A86F53">
        <w:rPr>
          <w:lang w:val="en-GB"/>
        </w:rPr>
        <w:t>.</w:t>
      </w:r>
      <w:r w:rsidRPr="00A86F53">
        <w:rPr>
          <w:vertAlign w:val="superscript"/>
          <w:lang w:val="en-GB"/>
        </w:rPr>
        <w:footnoteReference w:id="100"/>
      </w:r>
    </w:p>
    <w:p w14:paraId="454D54F0" w14:textId="1ACB7A83" w:rsidR="00043373" w:rsidRPr="0001096E" w:rsidRDefault="005B4044" w:rsidP="00043373">
      <w:pPr>
        <w:pStyle w:val="BodyText"/>
        <w:rPr>
          <w:lang w:val="en-GB"/>
        </w:rPr>
      </w:pPr>
      <w:r w:rsidRPr="00A86F53">
        <w:rPr>
          <w:lang w:val="en-GB"/>
        </w:rPr>
        <w:t xml:space="preserve">Finally, Switzerland’s answer to the question of the Committee on the </w:t>
      </w:r>
      <w:r w:rsidRPr="00A86F53">
        <w:rPr>
          <w:b/>
          <w:lang w:val="en-GB"/>
        </w:rPr>
        <w:t>Training of Judges</w:t>
      </w:r>
      <w:r w:rsidRPr="00A86F53">
        <w:rPr>
          <w:lang w:val="en-GB"/>
        </w:rPr>
        <w:t xml:space="preserve"> (Reply to LoI, para. 28) is also unconvincing. Further training in the CRPD in this regard would have completely neglected Inclusion Handicap. To date, the Faculty of Law of the University of Basel is the only one in Switzerland to offer an annual lecture on disability equality law (including the CRPD). However, it is aimed at master's students, not judges. Rather, it is striking how </w:t>
      </w:r>
      <w:r w:rsidRPr="00A86F53">
        <w:rPr>
          <w:b/>
          <w:lang w:val="en-GB"/>
        </w:rPr>
        <w:t>superficially</w:t>
      </w:r>
      <w:r w:rsidRPr="00A86F53">
        <w:rPr>
          <w:lang w:val="en-GB"/>
        </w:rPr>
        <w:t xml:space="preserve"> the Swiss courts – including the Federal Supreme Court – have </w:t>
      </w:r>
      <w:r w:rsidRPr="00A86F53">
        <w:rPr>
          <w:b/>
          <w:lang w:val="en-GB"/>
        </w:rPr>
        <w:t xml:space="preserve">dealt with the CRPD </w:t>
      </w:r>
      <w:r w:rsidRPr="00A86F53">
        <w:rPr>
          <w:lang w:val="en-GB"/>
        </w:rPr>
        <w:t>thus far. In any event, their work does not reveal any specific knowledge in this area.</w:t>
      </w:r>
      <w:r w:rsidRPr="00A86F53">
        <w:rPr>
          <w:vertAlign w:val="superscript"/>
          <w:lang w:val="en-GB"/>
        </w:rPr>
        <w:footnoteReference w:id="101"/>
      </w:r>
      <w:r w:rsidRPr="00A86F53">
        <w:rPr>
          <w:lang w:val="en-GB"/>
        </w:rPr>
        <w:t xml:space="preserve"> This is all the more serious for PWD as, in the absence of ratification of the CRPD Optional Protocol, they do not have the opportunity to refer their complaint to the CRPD Committee.</w:t>
      </w:r>
      <w:r w:rsidRPr="00A86F53">
        <w:rPr>
          <w:vertAlign w:val="superscript"/>
          <w:lang w:val="en-GB"/>
        </w:rPr>
        <w:footnoteReference w:id="102"/>
      </w:r>
    </w:p>
    <w:p w14:paraId="0996B3F7" w14:textId="671F5412" w:rsidR="00924B3D" w:rsidRPr="0001096E" w:rsidRDefault="00B8736A" w:rsidP="00924B3D">
      <w:pPr>
        <w:shd w:val="clear" w:color="auto" w:fill="FFFFCC"/>
        <w:spacing w:before="240"/>
        <w:rPr>
          <w:rFonts w:eastAsia="Cambria"/>
          <w:b/>
          <w:lang w:val="en-GB"/>
        </w:rPr>
      </w:pPr>
      <w:r w:rsidRPr="0001096E">
        <w:rPr>
          <w:rFonts w:eastAsia="Cambria"/>
          <w:b/>
          <w:lang w:val="en-GB"/>
        </w:rPr>
        <w:t>Proposals for recommendations</w:t>
      </w:r>
      <w:r w:rsidR="00924B3D" w:rsidRPr="0001096E">
        <w:rPr>
          <w:rFonts w:eastAsia="Cambria"/>
          <w:b/>
          <w:lang w:val="en-GB"/>
        </w:rPr>
        <w:t>:</w:t>
      </w:r>
    </w:p>
    <w:p w14:paraId="28D66059" w14:textId="77777777" w:rsidR="005B4044" w:rsidRPr="00A523DA" w:rsidRDefault="005B4044" w:rsidP="005B4044">
      <w:pPr>
        <w:pStyle w:val="SBEmpfehlungen"/>
      </w:pPr>
      <w:r w:rsidRPr="00A523DA">
        <w:t xml:space="preserve">The </w:t>
      </w:r>
      <w:r w:rsidRPr="00A523DA">
        <w:rPr>
          <w:b/>
        </w:rPr>
        <w:t>Confeder</w:t>
      </w:r>
      <w:r w:rsidRPr="00A523DA">
        <w:rPr>
          <w:b/>
          <w:bCs/>
        </w:rPr>
        <w:t>ation</w:t>
      </w:r>
      <w:r w:rsidRPr="00A523DA">
        <w:t xml:space="preserve"> shall amend the provisions in the CPC and CrimPC on the </w:t>
      </w:r>
      <w:r w:rsidRPr="00A523DA">
        <w:rPr>
          <w:b/>
        </w:rPr>
        <w:t>capacity of persons “not capable of judgement”</w:t>
      </w:r>
      <w:r w:rsidRPr="00A523DA">
        <w:t xml:space="preserve"> </w:t>
      </w:r>
      <w:r w:rsidRPr="00A523DA">
        <w:rPr>
          <w:b/>
          <w:bCs/>
        </w:rPr>
        <w:t>to take legal action and to tes</w:t>
      </w:r>
      <w:r w:rsidRPr="00A523DA">
        <w:t>t</w:t>
      </w:r>
      <w:r w:rsidRPr="00A523DA">
        <w:rPr>
          <w:b/>
          <w:bCs/>
        </w:rPr>
        <w:t>ify</w:t>
      </w:r>
      <w:r w:rsidRPr="00A523DA">
        <w:t xml:space="preserve"> in the light of Articles 12/13 CRPD. In doing so, it shall take account, in particular, of the concept of supported decision-making.</w:t>
      </w:r>
    </w:p>
    <w:p w14:paraId="433AF87E" w14:textId="30F27DBC" w:rsidR="005B4044" w:rsidRPr="003D2F0B" w:rsidRDefault="005B4044" w:rsidP="005B4044">
      <w:pPr>
        <w:pStyle w:val="SBEmpfehlungen"/>
      </w:pPr>
      <w:r w:rsidRPr="00B205C7">
        <w:rPr>
          <w:b/>
        </w:rPr>
        <w:lastRenderedPageBreak/>
        <w:t>The Confederation and the cantons shall incorporate</w:t>
      </w:r>
      <w:r w:rsidRPr="00B205C7">
        <w:t xml:space="preserve"> mechanisms into their procedural regulations which grant PWD age-appropriate accommodations throughout the entire court proceedings in all areas of law and at all levels of the justice system. </w:t>
      </w:r>
      <w:r w:rsidRPr="003D2F0B">
        <w:t xml:space="preserve">They shall ensure that PWD do not experience discrimination in accessing justice, e.g. if </w:t>
      </w:r>
      <w:r w:rsidRPr="003D2F0B">
        <w:rPr>
          <w:b/>
        </w:rPr>
        <w:t xml:space="preserve">sign language, Braille or </w:t>
      </w:r>
      <w:r w:rsidR="00282A84">
        <w:rPr>
          <w:b/>
        </w:rPr>
        <w:t>plain</w:t>
      </w:r>
      <w:r w:rsidRPr="003D2F0B">
        <w:rPr>
          <w:b/>
        </w:rPr>
        <w:t xml:space="preserve"> language</w:t>
      </w:r>
      <w:r w:rsidRPr="003D2F0B">
        <w:t xml:space="preserve"> is required.</w:t>
      </w:r>
    </w:p>
    <w:p w14:paraId="485BE286" w14:textId="2454BE84" w:rsidR="005B4044" w:rsidRPr="003D2F0B" w:rsidRDefault="005B4044" w:rsidP="005B4044">
      <w:pPr>
        <w:pStyle w:val="SBEmpfehlungen"/>
      </w:pPr>
      <w:r w:rsidRPr="003D2F0B">
        <w:t xml:space="preserve">The </w:t>
      </w:r>
      <w:r w:rsidRPr="003D2F0B">
        <w:rPr>
          <w:b/>
        </w:rPr>
        <w:t>Confederation</w:t>
      </w:r>
      <w:r w:rsidRPr="003D2F0B">
        <w:t xml:space="preserve"> shall ensure, by amending the relevant legislation on social </w:t>
      </w:r>
      <w:r w:rsidR="002237FB">
        <w:t xml:space="preserve">insurance </w:t>
      </w:r>
      <w:r w:rsidRPr="003D2F0B">
        <w:t xml:space="preserve">and disability equality, that access to justice is not closed off to the persons concerned and their organisations for </w:t>
      </w:r>
      <w:r w:rsidRPr="003D2F0B">
        <w:rPr>
          <w:b/>
        </w:rPr>
        <w:t>financial reasons</w:t>
      </w:r>
      <w:r w:rsidRPr="003D2F0B">
        <w:t>.</w:t>
      </w:r>
    </w:p>
    <w:p w14:paraId="080E05FA" w14:textId="77777777" w:rsidR="005B4044" w:rsidRPr="003D2F0B" w:rsidRDefault="005B4044" w:rsidP="005B4044">
      <w:pPr>
        <w:pStyle w:val="SBEmpfehlungen"/>
      </w:pPr>
      <w:r w:rsidRPr="003D2F0B">
        <w:t xml:space="preserve">The </w:t>
      </w:r>
      <w:r w:rsidRPr="003D2F0B">
        <w:rPr>
          <w:b/>
          <w:bCs/>
        </w:rPr>
        <w:t>FBED</w:t>
      </w:r>
      <w:r w:rsidRPr="003D2F0B">
        <w:t xml:space="preserve"> shall develop or support programmes to develop judicial competencies in relation to the provisions of the CRPD.</w:t>
      </w:r>
    </w:p>
    <w:p w14:paraId="37E91D6B" w14:textId="1D07EC63" w:rsidR="00043373" w:rsidRPr="005B4044" w:rsidRDefault="005B4044" w:rsidP="005B4044">
      <w:pPr>
        <w:pStyle w:val="SBEmpfehlungen"/>
        <w:rPr>
          <w:b/>
        </w:rPr>
      </w:pPr>
      <w:r w:rsidRPr="003D2F0B">
        <w:t>During its visits to PWD institutions,</w:t>
      </w:r>
      <w:r w:rsidRPr="003D2F0B">
        <w:rPr>
          <w:b/>
        </w:rPr>
        <w:t xml:space="preserve"> the NCPT</w:t>
      </w:r>
      <w:r w:rsidRPr="003D2F0B">
        <w:t xml:space="preserve"> shall also investigate the issue of access to justice and </w:t>
      </w:r>
      <w:r w:rsidRPr="003D2F0B">
        <w:rPr>
          <w:b/>
        </w:rPr>
        <w:t xml:space="preserve">prepare proposals </w:t>
      </w:r>
      <w:r w:rsidRPr="003D2F0B">
        <w:t>in this regard.</w:t>
      </w:r>
    </w:p>
    <w:p w14:paraId="3F61DB5B" w14:textId="4B7B776A" w:rsidR="00B8736A" w:rsidRDefault="00B8736A" w:rsidP="00B8736A">
      <w:pPr>
        <w:pStyle w:val="Heading3"/>
        <w:numPr>
          <w:ilvl w:val="0"/>
          <w:numId w:val="0"/>
        </w:numPr>
        <w:ind w:left="737" w:hanging="737"/>
        <w:rPr>
          <w:lang w:val="en-GB"/>
        </w:rPr>
      </w:pPr>
      <w:bookmarkStart w:id="73" w:name="_Toc94189852"/>
      <w:bookmarkStart w:id="74" w:name="_Toc95297068"/>
      <w:bookmarkStart w:id="75" w:name="_Ref95642829"/>
      <w:bookmarkStart w:id="76" w:name="_Toc95668183"/>
      <w:r w:rsidRPr="0001096E">
        <w:rPr>
          <w:lang w:val="en-GB"/>
        </w:rPr>
        <w:t>Article 14 – Liberty and security of the person</w:t>
      </w:r>
      <w:bookmarkEnd w:id="73"/>
      <w:bookmarkEnd w:id="74"/>
      <w:bookmarkEnd w:id="75"/>
      <w:bookmarkEnd w:id="76"/>
    </w:p>
    <w:p w14:paraId="240102D8" w14:textId="77777777" w:rsidR="00A523DA" w:rsidRPr="00A86F53" w:rsidRDefault="00A523DA" w:rsidP="00A523DA">
      <w:pPr>
        <w:pStyle w:val="BodyText"/>
        <w:rPr>
          <w:lang w:val="en-GB"/>
        </w:rPr>
      </w:pPr>
      <w:r w:rsidRPr="00A86F53">
        <w:rPr>
          <w:lang w:val="en-GB"/>
        </w:rPr>
        <w:t>Switzerland openly responds to the question of what has been done so far to repeal the laws that allow the deprivation of liberty because of disabilities. It admits that the</w:t>
      </w:r>
      <w:r w:rsidRPr="00A86F53">
        <w:rPr>
          <w:b/>
          <w:lang w:val="en-GB"/>
        </w:rPr>
        <w:t xml:space="preserve"> provisions on care-related hospitalisation (CRH) are criticised domestically </w:t>
      </w:r>
      <w:r w:rsidRPr="00A86F53">
        <w:rPr>
          <w:lang w:val="en-GB"/>
        </w:rPr>
        <w:t>(Reply to LoI, para. 29).</w:t>
      </w:r>
      <w:r w:rsidRPr="00A86F53">
        <w:rPr>
          <w:vertAlign w:val="superscript"/>
          <w:lang w:val="en-GB"/>
        </w:rPr>
        <w:footnoteReference w:id="103"/>
      </w:r>
      <w:r w:rsidRPr="00A86F53">
        <w:rPr>
          <w:lang w:val="en-GB"/>
        </w:rPr>
        <w:t xml:space="preserve"> However, according to the Federal Office of Justice (FOJ), the report announced for October 2021 on the evaluation performed on behalf of the Federal Government (FOJ) will not be </w:t>
      </w:r>
      <w:r w:rsidRPr="00A86F53">
        <w:rPr>
          <w:lang w:val="en-GB"/>
        </w:rPr>
        <w:lastRenderedPageBreak/>
        <w:t>published until the second half of 2022 at earliest. The</w:t>
      </w:r>
      <w:r w:rsidRPr="00A86F53">
        <w:rPr>
          <w:b/>
          <w:lang w:val="en-GB"/>
        </w:rPr>
        <w:t xml:space="preserve"> CRH legislation has thus not been amended to date</w:t>
      </w:r>
      <w:r w:rsidRPr="00A86F53">
        <w:rPr>
          <w:lang w:val="en-GB"/>
        </w:rPr>
        <w:t xml:space="preserve">, nor does any plan exist in this regard. In the </w:t>
      </w:r>
      <w:r w:rsidRPr="00A86F53">
        <w:rPr>
          <w:b/>
          <w:bCs/>
          <w:lang w:val="en-GB"/>
        </w:rPr>
        <w:t>call for p</w:t>
      </w:r>
      <w:r w:rsidRPr="00A86F53">
        <w:rPr>
          <w:b/>
          <w:lang w:val="en-GB"/>
        </w:rPr>
        <w:t xml:space="preserve">roject proposals </w:t>
      </w:r>
      <w:r w:rsidRPr="00A86F53">
        <w:rPr>
          <w:lang w:val="en-GB"/>
        </w:rPr>
        <w:t>dated 9.7.2020,</w:t>
      </w:r>
      <w:bookmarkStart w:id="77" w:name="_Ref94202307"/>
      <w:r w:rsidRPr="00A86F53">
        <w:rPr>
          <w:vertAlign w:val="superscript"/>
          <w:lang w:val="en-GB"/>
        </w:rPr>
        <w:footnoteReference w:id="104"/>
      </w:r>
      <w:bookmarkEnd w:id="77"/>
      <w:r w:rsidRPr="00A86F53">
        <w:rPr>
          <w:lang w:val="en-GB"/>
        </w:rPr>
        <w:t xml:space="preserve"> it is striking that the CRPD </w:t>
      </w:r>
      <w:r w:rsidRPr="00A86F53">
        <w:rPr>
          <w:b/>
          <w:lang w:val="en-GB"/>
        </w:rPr>
        <w:t>is not mentioned at all as a legal basis</w:t>
      </w:r>
      <w:r w:rsidRPr="00A86F53">
        <w:rPr>
          <w:lang w:val="en-GB"/>
        </w:rPr>
        <w:t xml:space="preserve">. There is a risk that CRH will </w:t>
      </w:r>
      <w:r w:rsidRPr="00A86F53">
        <w:rPr>
          <w:b/>
          <w:lang w:val="en-GB"/>
        </w:rPr>
        <w:t xml:space="preserve">not </w:t>
      </w:r>
      <w:r w:rsidRPr="00A86F53">
        <w:rPr>
          <w:b/>
          <w:bCs/>
          <w:lang w:val="en-GB"/>
        </w:rPr>
        <w:t xml:space="preserve">be </w:t>
      </w:r>
      <w:r w:rsidRPr="00A86F53">
        <w:rPr>
          <w:b/>
          <w:lang w:val="en-GB"/>
        </w:rPr>
        <w:t>specifically examined in terms of its compatibility with the CRPD</w:t>
      </w:r>
      <w:r w:rsidRPr="00A86F53">
        <w:rPr>
          <w:lang w:val="en-GB"/>
        </w:rPr>
        <w:t xml:space="preserve"> in the course of this evaluation. The list of questions is actually comprehensive, with explanatory and sometimes critical comments, and as such already provides a good overview of the serious problems associated with a CRH.</w:t>
      </w:r>
      <w:r w:rsidRPr="00A86F53">
        <w:rPr>
          <w:vertAlign w:val="superscript"/>
          <w:lang w:val="en-GB"/>
        </w:rPr>
        <w:footnoteReference w:id="105"/>
      </w:r>
      <w:r w:rsidRPr="00A86F53">
        <w:rPr>
          <w:lang w:val="en-GB"/>
        </w:rPr>
        <w:t xml:space="preserve"> Nevertheless, there is no reference to CRPD obligations, e.g. to create mechanisms for supported decision-making, such as assessing a person's “capacity of judgement”. In addition, the</w:t>
      </w:r>
      <w:r w:rsidRPr="00A86F53">
        <w:rPr>
          <w:b/>
          <w:lang w:val="en-GB"/>
        </w:rPr>
        <w:t xml:space="preserve"> CRH </w:t>
      </w:r>
      <w:r w:rsidRPr="00A86F53">
        <w:rPr>
          <w:lang w:val="en-GB"/>
        </w:rPr>
        <w:t xml:space="preserve">of </w:t>
      </w:r>
      <w:r w:rsidRPr="00A86F53">
        <w:rPr>
          <w:b/>
          <w:bCs/>
          <w:lang w:val="en-GB"/>
        </w:rPr>
        <w:t>minors</w:t>
      </w:r>
      <w:r w:rsidRPr="00A86F53">
        <w:rPr>
          <w:lang w:val="en-GB"/>
        </w:rPr>
        <w:t xml:space="preserve"> is not included in this assessment – there is merely a vague reference to an additional assessment in the call for project proposals</w:t>
      </w:r>
      <w:r w:rsidRPr="00A86F53">
        <w:rPr>
          <w:vertAlign w:val="superscript"/>
          <w:lang w:val="en-GB"/>
        </w:rPr>
        <w:footnoteReference w:id="106"/>
      </w:r>
      <w:r w:rsidRPr="00A86F53">
        <w:rPr>
          <w:lang w:val="en-GB"/>
        </w:rPr>
        <w:t xml:space="preserve"> and in Switzerland's Reply to the LoI.</w:t>
      </w:r>
      <w:r w:rsidRPr="00A86F53">
        <w:rPr>
          <w:vertAlign w:val="superscript"/>
          <w:lang w:val="en-GB"/>
        </w:rPr>
        <w:footnoteReference w:id="107"/>
      </w:r>
      <w:r w:rsidRPr="00A86F53">
        <w:rPr>
          <w:lang w:val="en-GB"/>
        </w:rPr>
        <w:t xml:space="preserve"> </w:t>
      </w:r>
    </w:p>
    <w:p w14:paraId="55D6E964" w14:textId="3A56BAED" w:rsidR="00A523DA" w:rsidRPr="00A86F53" w:rsidRDefault="00A523DA" w:rsidP="00A523DA">
      <w:pPr>
        <w:pStyle w:val="BodyText"/>
        <w:rPr>
          <w:lang w:val="en-GB"/>
        </w:rPr>
      </w:pPr>
      <w:r w:rsidRPr="00A86F53">
        <w:rPr>
          <w:lang w:val="en-GB"/>
        </w:rPr>
        <w:t xml:space="preserve">Switzerland also admits there are </w:t>
      </w:r>
      <w:r w:rsidRPr="00A86F53">
        <w:rPr>
          <w:b/>
          <w:lang w:val="en-GB"/>
        </w:rPr>
        <w:t xml:space="preserve">no comprehensive nationwide statistics </w:t>
      </w:r>
      <w:r w:rsidRPr="00A86F53">
        <w:rPr>
          <w:lang w:val="en-GB"/>
        </w:rPr>
        <w:t xml:space="preserve">on the CRH; therefore, the figures indicated by it should be regarded as </w:t>
      </w:r>
      <w:r w:rsidRPr="00A86F53">
        <w:rPr>
          <w:b/>
          <w:lang w:val="en-GB"/>
        </w:rPr>
        <w:t xml:space="preserve">minimum figures </w:t>
      </w:r>
      <w:r w:rsidRPr="00A86F53">
        <w:rPr>
          <w:lang w:val="en-GB"/>
        </w:rPr>
        <w:t>(Reply to LoI, para. 30). The lack of adequate statistics is not covered by the aforementioned assessment. It is supposed to be addressed by a FOPH workgroup “National figures on care-related hospitalisation in Switzerland”,</w:t>
      </w:r>
      <w:r w:rsidRPr="00A86F53">
        <w:rPr>
          <w:vertAlign w:val="superscript"/>
          <w:lang w:val="en-GB"/>
        </w:rPr>
        <w:footnoteReference w:id="108"/>
      </w:r>
      <w:r w:rsidRPr="00A86F53">
        <w:rPr>
          <w:lang w:val="en-GB"/>
        </w:rPr>
        <w:t xml:space="preserve"> which was set up in 2020, but on which apparently no public information has been published. The existing incomplete figures show at any rate a </w:t>
      </w:r>
      <w:r w:rsidRPr="00A86F53">
        <w:rPr>
          <w:b/>
          <w:lang w:val="en-GB"/>
        </w:rPr>
        <w:t xml:space="preserve">steady increase in the number of </w:t>
      </w:r>
      <w:r w:rsidR="00D739C9" w:rsidRPr="00D739C9">
        <w:rPr>
          <w:b/>
          <w:lang w:val="en-GB"/>
        </w:rPr>
        <w:t>persons</w:t>
      </w:r>
      <w:r w:rsidRPr="00D739C9">
        <w:rPr>
          <w:b/>
          <w:lang w:val="en-GB"/>
        </w:rPr>
        <w:t xml:space="preserve"> </w:t>
      </w:r>
      <w:r w:rsidRPr="00A86F53">
        <w:rPr>
          <w:b/>
          <w:lang w:val="en-GB"/>
        </w:rPr>
        <w:t xml:space="preserve">who have undergone a </w:t>
      </w:r>
      <w:r w:rsidR="002237FB">
        <w:rPr>
          <w:b/>
          <w:lang w:val="en-GB"/>
        </w:rPr>
        <w:t>“</w:t>
      </w:r>
      <w:r w:rsidRPr="00A86F53">
        <w:rPr>
          <w:b/>
          <w:lang w:val="en-GB"/>
        </w:rPr>
        <w:t>care-</w:t>
      </w:r>
      <w:r w:rsidRPr="00A86F53">
        <w:rPr>
          <w:b/>
          <w:lang w:val="en-GB"/>
        </w:rPr>
        <w:lastRenderedPageBreak/>
        <w:t>related</w:t>
      </w:r>
      <w:r w:rsidR="002237FB">
        <w:rPr>
          <w:b/>
          <w:lang w:val="en-GB"/>
        </w:rPr>
        <w:t>”</w:t>
      </w:r>
      <w:r w:rsidRPr="00A86F53">
        <w:rPr>
          <w:b/>
          <w:lang w:val="en-GB"/>
        </w:rPr>
        <w:t xml:space="preserve"> hospitalisation in breach of Article 14 CRPD</w:t>
      </w:r>
      <w:r w:rsidRPr="00A86F53">
        <w:rPr>
          <w:lang w:val="en-GB"/>
        </w:rPr>
        <w:t>:</w:t>
      </w:r>
      <w:r w:rsidRPr="00A86F53">
        <w:rPr>
          <w:vertAlign w:val="superscript"/>
          <w:lang w:val="en-GB"/>
        </w:rPr>
        <w:footnoteReference w:id="109"/>
      </w:r>
      <w:r w:rsidRPr="00A86F53">
        <w:rPr>
          <w:lang w:val="en-GB"/>
        </w:rPr>
        <w:t xml:space="preserve"> 2020: 15,982; 2019: 14,561; 2018: 13,768.</w:t>
      </w:r>
      <w:bookmarkStart w:id="78" w:name="_Ref94207217"/>
      <w:r w:rsidRPr="00A86F53">
        <w:rPr>
          <w:vertAlign w:val="superscript"/>
          <w:lang w:val="en-GB"/>
        </w:rPr>
        <w:footnoteReference w:id="110"/>
      </w:r>
      <w:bookmarkEnd w:id="78"/>
    </w:p>
    <w:p w14:paraId="30C481C3" w14:textId="77777777" w:rsidR="00A523DA" w:rsidRPr="00A86F53" w:rsidRDefault="00A523DA" w:rsidP="00A523DA">
      <w:pPr>
        <w:pStyle w:val="BodyText"/>
        <w:rPr>
          <w:lang w:val="en-GB"/>
        </w:rPr>
      </w:pPr>
      <w:r w:rsidRPr="00A86F53">
        <w:rPr>
          <w:lang w:val="en-GB"/>
        </w:rPr>
        <w:t xml:space="preserve">In addition, it is important to highlight the following two problems: </w:t>
      </w:r>
    </w:p>
    <w:p w14:paraId="7DB2E6E9" w14:textId="77777777" w:rsidR="00A523DA" w:rsidRPr="00A523DA" w:rsidRDefault="00A523DA" w:rsidP="00A523DA">
      <w:pPr>
        <w:pStyle w:val="ListParagraph"/>
        <w:numPr>
          <w:ilvl w:val="0"/>
          <w:numId w:val="39"/>
        </w:numPr>
        <w:shd w:val="clear" w:color="auto" w:fill="FFFFFF" w:themeFill="background1"/>
        <w:suppressAutoHyphens/>
        <w:spacing w:before="60" w:after="60" w:line="280" w:lineRule="exact"/>
        <w:contextualSpacing w:val="0"/>
        <w:rPr>
          <w:lang w:val="en-GB"/>
        </w:rPr>
      </w:pPr>
      <w:r w:rsidRPr="00A523DA">
        <w:rPr>
          <w:b/>
          <w:lang w:val="en-GB"/>
        </w:rPr>
        <w:t>Suitable options and measures for PWD</w:t>
      </w:r>
      <w:r w:rsidRPr="00A523DA">
        <w:rPr>
          <w:lang w:val="en-GB"/>
        </w:rPr>
        <w:t xml:space="preserve"> to prevent situations that are cited as justifying a CRH are lacking. In many cantons and regions, there are serious gaps in community-based and out-patient treatment.</w:t>
      </w:r>
      <w:r w:rsidRPr="00A523DA">
        <w:rPr>
          <w:vertAlign w:val="superscript"/>
          <w:lang w:val="en-GB"/>
        </w:rPr>
        <w:footnoteReference w:id="111"/>
      </w:r>
      <w:r w:rsidRPr="00A523DA">
        <w:rPr>
          <w:lang w:val="en-GB"/>
        </w:rPr>
        <w:t xml:space="preserve"> </w:t>
      </w:r>
    </w:p>
    <w:p w14:paraId="5AA0F1CD" w14:textId="6F8A5C49" w:rsidR="00A523DA" w:rsidRPr="00A523DA" w:rsidRDefault="00A523DA" w:rsidP="00A523DA">
      <w:pPr>
        <w:pStyle w:val="ListParagraph"/>
        <w:numPr>
          <w:ilvl w:val="0"/>
          <w:numId w:val="39"/>
        </w:numPr>
        <w:shd w:val="clear" w:color="auto" w:fill="FFFFFF" w:themeFill="background1"/>
        <w:suppressAutoHyphens/>
        <w:spacing w:before="60" w:after="60" w:line="280" w:lineRule="exact"/>
        <w:contextualSpacing w:val="0"/>
        <w:rPr>
          <w:lang w:val="en-GB"/>
        </w:rPr>
      </w:pPr>
      <w:r w:rsidRPr="00A523DA">
        <w:rPr>
          <w:lang w:val="en-GB"/>
        </w:rPr>
        <w:t>According to recent investigations,</w:t>
      </w:r>
      <w:r w:rsidRPr="00A523DA">
        <w:rPr>
          <w:vertAlign w:val="superscript"/>
          <w:lang w:val="en-GB"/>
        </w:rPr>
        <w:footnoteReference w:id="112"/>
      </w:r>
      <w:r w:rsidRPr="00A523DA">
        <w:rPr>
          <w:lang w:val="en-GB"/>
        </w:rPr>
        <w:t xml:space="preserve"> measures restricting freedom (e.g. lockup, restraints) are also taken in </w:t>
      </w:r>
      <w:r w:rsidRPr="00A523DA">
        <w:rPr>
          <w:b/>
          <w:lang w:val="en-GB"/>
        </w:rPr>
        <w:t>residential facilities for PWD</w:t>
      </w:r>
      <w:r w:rsidRPr="00A523DA">
        <w:rPr>
          <w:lang w:val="en-GB"/>
        </w:rPr>
        <w:t xml:space="preserve">, particularly for </w:t>
      </w:r>
      <w:r w:rsidR="00D739C9" w:rsidRPr="00D739C9">
        <w:rPr>
          <w:lang w:val="en-GB"/>
        </w:rPr>
        <w:t>persons</w:t>
      </w:r>
      <w:r w:rsidRPr="00A523DA">
        <w:rPr>
          <w:lang w:val="en-GB"/>
        </w:rPr>
        <w:t xml:space="preserve"> with intellectual disabilities. These measures are inadequately regulated and evaluated. </w:t>
      </w:r>
    </w:p>
    <w:p w14:paraId="5F8E5508" w14:textId="02099EA5" w:rsidR="00924B3D" w:rsidRPr="0001096E" w:rsidRDefault="00B8736A" w:rsidP="00924B3D">
      <w:pPr>
        <w:shd w:val="clear" w:color="auto" w:fill="FFFFCC"/>
        <w:spacing w:before="240"/>
        <w:rPr>
          <w:rFonts w:eastAsia="Cambria"/>
          <w:b/>
          <w:lang w:val="en-GB"/>
        </w:rPr>
      </w:pPr>
      <w:r w:rsidRPr="0001096E">
        <w:rPr>
          <w:rFonts w:eastAsia="Cambria"/>
          <w:b/>
          <w:lang w:val="en-GB"/>
        </w:rPr>
        <w:t>Proposals for recommendations</w:t>
      </w:r>
      <w:r w:rsidR="00924B3D" w:rsidRPr="0001096E">
        <w:rPr>
          <w:rFonts w:eastAsia="Cambria"/>
          <w:b/>
          <w:lang w:val="en-GB"/>
        </w:rPr>
        <w:t>:</w:t>
      </w:r>
    </w:p>
    <w:p w14:paraId="4515F0AA" w14:textId="77777777" w:rsidR="00A523DA" w:rsidRPr="003D2F0B" w:rsidRDefault="00A523DA" w:rsidP="00A523DA">
      <w:pPr>
        <w:pStyle w:val="SBEmpfehlungen"/>
      </w:pPr>
      <w:r w:rsidRPr="003D2F0B">
        <w:t xml:space="preserve">The </w:t>
      </w:r>
      <w:r w:rsidRPr="003D2F0B">
        <w:rPr>
          <w:b/>
        </w:rPr>
        <w:t>Confederation</w:t>
      </w:r>
      <w:r w:rsidRPr="003D2F0B">
        <w:t xml:space="preserve"> shall interpret the results of the CRH assessment in the light of Articles 12/14 </w:t>
      </w:r>
      <w:r w:rsidRPr="003D2F0B">
        <w:rPr>
          <w:b/>
          <w:bCs/>
        </w:rPr>
        <w:t>CR</w:t>
      </w:r>
      <w:r w:rsidRPr="003D2F0B">
        <w:rPr>
          <w:b/>
        </w:rPr>
        <w:t xml:space="preserve">PD </w:t>
      </w:r>
      <w:r w:rsidRPr="003D2F0B">
        <w:t xml:space="preserve">and </w:t>
      </w:r>
      <w:r w:rsidRPr="003D2F0B">
        <w:rPr>
          <w:b/>
        </w:rPr>
        <w:t>repeal the legal provisions</w:t>
      </w:r>
      <w:r w:rsidRPr="003D2F0B">
        <w:t xml:space="preserve"> that allow </w:t>
      </w:r>
      <w:r w:rsidRPr="003D2F0B">
        <w:lastRenderedPageBreak/>
        <w:t>non-voluntary detention because of psychosocial or intellectual disabilities (Articles 426-439 CC).</w:t>
      </w:r>
    </w:p>
    <w:p w14:paraId="75BE7DC0" w14:textId="77777777" w:rsidR="00A523DA" w:rsidRPr="003D2F0B" w:rsidRDefault="00A523DA" w:rsidP="00A523DA">
      <w:pPr>
        <w:pStyle w:val="SBEmpfehlungen"/>
      </w:pPr>
      <w:r w:rsidRPr="003D2F0B">
        <w:rPr>
          <w:b/>
        </w:rPr>
        <w:t>The Confederation and the cantons</w:t>
      </w:r>
      <w:r w:rsidRPr="003D2F0B">
        <w:t xml:space="preserve"> shall take measures to further develop the psychiatric care system </w:t>
      </w:r>
      <w:r w:rsidRPr="003D2F0B">
        <w:rPr>
          <w:b/>
        </w:rPr>
        <w:t>by creating/expanding mobile crisis intervention teams</w:t>
      </w:r>
      <w:r w:rsidRPr="00A523DA">
        <w:rPr>
          <w:vertAlign w:val="superscript"/>
        </w:rPr>
        <w:footnoteReference w:id="113"/>
      </w:r>
      <w:r w:rsidRPr="003D2F0B">
        <w:rPr>
          <w:vertAlign w:val="superscript"/>
        </w:rPr>
        <w:t xml:space="preserve"> </w:t>
      </w:r>
      <w:r w:rsidRPr="003D2F0B">
        <w:t>that are available to those affected in the vicinity of their communities.</w:t>
      </w:r>
    </w:p>
    <w:p w14:paraId="4617C8C7" w14:textId="27EB2058" w:rsidR="00043373" w:rsidRPr="00A523DA" w:rsidRDefault="00A523DA" w:rsidP="00A523DA">
      <w:pPr>
        <w:pStyle w:val="SBEmpfehlungen"/>
        <w:rPr>
          <w:b/>
        </w:rPr>
      </w:pPr>
      <w:r w:rsidRPr="003D2F0B">
        <w:t xml:space="preserve">During its visits to residential facilities for PWD, the </w:t>
      </w:r>
      <w:r w:rsidRPr="003D2F0B">
        <w:rPr>
          <w:b/>
        </w:rPr>
        <w:t>NCPT</w:t>
      </w:r>
      <w:r w:rsidRPr="003D2F0B">
        <w:t xml:space="preserve"> </w:t>
      </w:r>
      <w:r w:rsidRPr="003D2F0B">
        <w:rPr>
          <w:b/>
          <w:bCs/>
        </w:rPr>
        <w:t>shall f</w:t>
      </w:r>
      <w:r w:rsidRPr="003D2F0B">
        <w:rPr>
          <w:b/>
        </w:rPr>
        <w:t>ocus its inspections on</w:t>
      </w:r>
      <w:r w:rsidRPr="003D2F0B">
        <w:t xml:space="preserve"> the </w:t>
      </w:r>
      <w:r w:rsidRPr="003D2F0B">
        <w:rPr>
          <w:b/>
        </w:rPr>
        <w:t>application of measures restricting liberty</w:t>
      </w:r>
      <w:r w:rsidRPr="003D2F0B">
        <w:t xml:space="preserve">. It shall publish its results and recommend measures, the implementation of which shall be regularly reviewed by the </w:t>
      </w:r>
      <w:r w:rsidRPr="003D2F0B">
        <w:rPr>
          <w:b/>
        </w:rPr>
        <w:t xml:space="preserve">cantons </w:t>
      </w:r>
      <w:r w:rsidRPr="003D2F0B">
        <w:t>following unannounced supervisory visits.</w:t>
      </w:r>
    </w:p>
    <w:p w14:paraId="4325A813" w14:textId="77777777" w:rsidR="00B8736A" w:rsidRPr="0001096E" w:rsidRDefault="00B8736A" w:rsidP="00B8736A">
      <w:pPr>
        <w:pStyle w:val="Heading3"/>
        <w:numPr>
          <w:ilvl w:val="0"/>
          <w:numId w:val="0"/>
        </w:numPr>
        <w:rPr>
          <w:lang w:val="en-GB"/>
        </w:rPr>
      </w:pPr>
      <w:bookmarkStart w:id="79" w:name="_Toc15237205"/>
      <w:bookmarkStart w:id="80" w:name="_Toc15252633"/>
      <w:bookmarkStart w:id="81" w:name="_Toc94189853"/>
      <w:bookmarkStart w:id="82" w:name="_Toc95297069"/>
      <w:bookmarkStart w:id="83" w:name="_Toc95668184"/>
      <w:r w:rsidRPr="0001096E">
        <w:rPr>
          <w:lang w:val="en-GB"/>
        </w:rPr>
        <w:t>Article 15 – Freedom from torture or cruel, inhuman or degrading treatment or punishment</w:t>
      </w:r>
      <w:bookmarkEnd w:id="79"/>
      <w:bookmarkEnd w:id="80"/>
      <w:bookmarkEnd w:id="81"/>
      <w:bookmarkEnd w:id="82"/>
      <w:bookmarkEnd w:id="83"/>
    </w:p>
    <w:p w14:paraId="16ADABC2" w14:textId="76C5E58F" w:rsidR="00924B3D" w:rsidRPr="0001096E" w:rsidRDefault="00B8736A" w:rsidP="00924B3D">
      <w:pPr>
        <w:pStyle w:val="Subtitle"/>
        <w:rPr>
          <w:lang w:val="en-GB" w:eastAsia="de-CH"/>
        </w:rPr>
      </w:pPr>
      <w:r w:rsidRPr="0001096E">
        <w:rPr>
          <w:lang w:val="en-GB" w:eastAsia="de-CH"/>
        </w:rPr>
        <w:t>Compulsory medical measures</w:t>
      </w:r>
      <w:r w:rsidR="00924B3D" w:rsidRPr="0001096E">
        <w:rPr>
          <w:lang w:val="en-GB" w:eastAsia="de-CH"/>
        </w:rPr>
        <w:t xml:space="preserve"> (LoI, 12a)</w:t>
      </w:r>
    </w:p>
    <w:p w14:paraId="67102232" w14:textId="77777777" w:rsidR="00A523DA" w:rsidRPr="00A86F53" w:rsidRDefault="00A523DA" w:rsidP="00A523DA">
      <w:pPr>
        <w:pStyle w:val="BodyText"/>
        <w:rPr>
          <w:lang w:val="en-GB"/>
        </w:rPr>
      </w:pPr>
      <w:r w:rsidRPr="00A86F53">
        <w:rPr>
          <w:lang w:val="en-GB"/>
        </w:rPr>
        <w:t xml:space="preserve">As stated by Switzerland (Reply to LoI, para. 33), the provisions on compulsory measures </w:t>
      </w:r>
      <w:r w:rsidRPr="00A86F53">
        <w:rPr>
          <w:b/>
          <w:lang w:val="en-GB"/>
        </w:rPr>
        <w:t>are currently being evaluated</w:t>
      </w:r>
      <w:r w:rsidRPr="00A86F53">
        <w:rPr>
          <w:lang w:val="en-GB"/>
        </w:rPr>
        <w:t xml:space="preserve">. </w:t>
      </w:r>
      <w:r w:rsidRPr="00A86F53">
        <w:rPr>
          <w:b/>
          <w:lang w:val="en-GB"/>
        </w:rPr>
        <w:t xml:space="preserve">However, </w:t>
      </w:r>
      <w:r w:rsidRPr="00A86F53">
        <w:rPr>
          <w:lang w:val="en-GB"/>
        </w:rPr>
        <w:t xml:space="preserve">the </w:t>
      </w:r>
      <w:r w:rsidRPr="00A86F53">
        <w:rPr>
          <w:b/>
          <w:lang w:val="en-GB"/>
        </w:rPr>
        <w:t>call for evaluation did not explicitly refer to the CRPD</w:t>
      </w:r>
      <w:r w:rsidRPr="00A86F53">
        <w:rPr>
          <w:lang w:val="en-GB"/>
        </w:rPr>
        <w:t>.</w:t>
      </w:r>
      <w:r w:rsidRPr="00A86F53">
        <w:rPr>
          <w:rStyle w:val="FootnoteReference"/>
          <w:lang w:val="en-GB"/>
        </w:rPr>
        <w:footnoteReference w:id="114"/>
      </w:r>
      <w:r w:rsidRPr="00A86F53">
        <w:rPr>
          <w:lang w:val="en-GB"/>
        </w:rPr>
        <w:t xml:space="preserve"> Switzerland has </w:t>
      </w:r>
      <w:r w:rsidRPr="00A86F53">
        <w:rPr>
          <w:b/>
          <w:lang w:val="en-GB"/>
        </w:rPr>
        <w:t xml:space="preserve">thus far not adapted </w:t>
      </w:r>
      <w:r w:rsidRPr="00A86F53">
        <w:rPr>
          <w:lang w:val="en-GB"/>
        </w:rPr>
        <w:t xml:space="preserve">its provisions on compulsory measures </w:t>
      </w:r>
      <w:r w:rsidRPr="00A86F53">
        <w:rPr>
          <w:b/>
          <w:lang w:val="en-GB"/>
        </w:rPr>
        <w:t>to the CRPD</w:t>
      </w:r>
      <w:r w:rsidRPr="00A86F53">
        <w:rPr>
          <w:lang w:val="en-GB"/>
        </w:rPr>
        <w:t xml:space="preserve">. The following are particularly problematic: </w:t>
      </w:r>
    </w:p>
    <w:p w14:paraId="70FCB3A6" w14:textId="27E35064" w:rsidR="00A523DA" w:rsidRPr="00A86F53" w:rsidRDefault="00A523DA" w:rsidP="00A523DA">
      <w:pPr>
        <w:pStyle w:val="Aufzhlung"/>
        <w:numPr>
          <w:ilvl w:val="0"/>
          <w:numId w:val="40"/>
        </w:numPr>
        <w:ind w:left="426"/>
      </w:pPr>
      <w:r w:rsidRPr="00A86F53">
        <w:rPr>
          <w:b/>
        </w:rPr>
        <w:t>In the course of a CRH</w:t>
      </w:r>
      <w:r w:rsidRPr="00A86F53">
        <w:t xml:space="preserve"> (Articles 426-439 SCC), medical measures in the event of a “psychosocial disorder” may be carried out under strict </w:t>
      </w:r>
      <w:r w:rsidRPr="00A86F53">
        <w:lastRenderedPageBreak/>
        <w:t>conditions</w:t>
      </w:r>
      <w:r w:rsidRPr="00A86F53">
        <w:rPr>
          <w:rStyle w:val="FootnoteReference"/>
        </w:rPr>
        <w:footnoteReference w:id="115"/>
      </w:r>
      <w:r w:rsidRPr="00A86F53">
        <w:t xml:space="preserve"> even </w:t>
      </w:r>
      <w:r w:rsidRPr="00A86F53">
        <w:rPr>
          <w:b/>
        </w:rPr>
        <w:t>without the consent of the person concerned</w:t>
      </w:r>
      <w:r w:rsidRPr="00A86F53">
        <w:t xml:space="preserve">. Permitted treatment measures include the </w:t>
      </w:r>
      <w:r w:rsidRPr="00A86F53">
        <w:rPr>
          <w:b/>
        </w:rPr>
        <w:t xml:space="preserve">provision of medication, observation of </w:t>
      </w:r>
      <w:r w:rsidR="002237FB">
        <w:rPr>
          <w:b/>
        </w:rPr>
        <w:t>a</w:t>
      </w:r>
      <w:r w:rsidRPr="00A86F53">
        <w:rPr>
          <w:b/>
        </w:rPr>
        <w:t xml:space="preserve"> daily routine, conversations and forced feeding</w:t>
      </w:r>
      <w:r w:rsidRPr="00A86F53">
        <w:t>. Surgery is expressly excluded.</w:t>
      </w:r>
      <w:r w:rsidRPr="00A86F53">
        <w:rPr>
          <w:vertAlign w:val="superscript"/>
        </w:rPr>
        <w:footnoteReference w:id="116"/>
      </w:r>
      <w:r w:rsidRPr="00A86F53">
        <w:t xml:space="preserve"> In contrast to Art. 372(2) CC, according to which the doctor must </w:t>
      </w:r>
      <w:r w:rsidRPr="00A86F53">
        <w:rPr>
          <w:b/>
        </w:rPr>
        <w:t>comply with</w:t>
      </w:r>
      <w:r w:rsidRPr="00A86F53">
        <w:t xml:space="preserve"> the </w:t>
      </w:r>
      <w:r w:rsidRPr="00A86F53">
        <w:rPr>
          <w:b/>
        </w:rPr>
        <w:t>patient</w:t>
      </w:r>
      <w:r w:rsidRPr="00A86F53">
        <w:t xml:space="preserve"> </w:t>
      </w:r>
      <w:r w:rsidRPr="00A86F53">
        <w:rPr>
          <w:b/>
          <w:bCs/>
        </w:rPr>
        <w:t>decree</w:t>
      </w:r>
      <w:r w:rsidRPr="00A86F53">
        <w:t xml:space="preserve">, in the case of medical measures in the context of a CRH regarding the treatment of a </w:t>
      </w:r>
      <w:r w:rsidRPr="00A86F53">
        <w:rPr>
          <w:b/>
        </w:rPr>
        <w:t>person</w:t>
      </w:r>
      <w:r w:rsidRPr="00A86F53">
        <w:t xml:space="preserve"> “</w:t>
      </w:r>
      <w:r w:rsidRPr="00A86F53">
        <w:rPr>
          <w:b/>
        </w:rPr>
        <w:t>lacking capacity of judgement”</w:t>
      </w:r>
      <w:r w:rsidRPr="00A86F53">
        <w:t xml:space="preserve">, any </w:t>
      </w:r>
      <w:r w:rsidRPr="00A86F53">
        <w:rPr>
          <w:b/>
        </w:rPr>
        <w:t>patient</w:t>
      </w:r>
      <w:r w:rsidRPr="00A86F53">
        <w:t xml:space="preserve"> </w:t>
      </w:r>
      <w:r w:rsidRPr="00A86F53">
        <w:rPr>
          <w:b/>
          <w:bCs/>
        </w:rPr>
        <w:t>dec</w:t>
      </w:r>
      <w:r w:rsidRPr="00A86F53">
        <w:rPr>
          <w:b/>
        </w:rPr>
        <w:t>ree must merely be taken into account</w:t>
      </w:r>
      <w:r w:rsidRPr="00A86F53">
        <w:t xml:space="preserve"> (Art. 433(3) CC).</w:t>
      </w:r>
      <w:r w:rsidRPr="00A86F53">
        <w:rPr>
          <w:rStyle w:val="FootnoteReference"/>
          <w:rFonts w:eastAsiaTheme="minorHAnsi"/>
        </w:rPr>
        <w:footnoteReference w:id="117"/>
      </w:r>
      <w:r w:rsidRPr="00A86F53">
        <w:t xml:space="preserve"> </w:t>
      </w:r>
    </w:p>
    <w:p w14:paraId="2984DF31" w14:textId="77777777" w:rsidR="00A523DA" w:rsidRPr="00A86F53" w:rsidRDefault="00A523DA" w:rsidP="00A523DA">
      <w:pPr>
        <w:pStyle w:val="Aufzhlung"/>
        <w:numPr>
          <w:ilvl w:val="0"/>
          <w:numId w:val="40"/>
        </w:numPr>
        <w:ind w:left="426"/>
      </w:pPr>
      <w:r w:rsidRPr="00A86F53">
        <w:t xml:space="preserve">According to </w:t>
      </w:r>
      <w:r w:rsidRPr="00A86F53">
        <w:rPr>
          <w:b/>
          <w:bCs/>
        </w:rPr>
        <w:t>Article 378 CC</w:t>
      </w:r>
      <w:r w:rsidRPr="00A86F53">
        <w:t>, women and men “lacking capacity of judgment” in relation to consent to outpatient or inpatient treatment may be represented by various persons (Article 378(1) CC).</w:t>
      </w:r>
      <w:r w:rsidRPr="00A86F53">
        <w:rPr>
          <w:vertAlign w:val="superscript"/>
        </w:rPr>
        <w:footnoteReference w:id="118"/>
      </w:r>
      <w:r w:rsidRPr="00A86F53">
        <w:t xml:space="preserve"> The person with power of representation must decide in accordance with the “presumed wishes” and “interests” of the person “lacking capacity of judgement” (Art. 378(3) CC).</w:t>
      </w:r>
    </w:p>
    <w:p w14:paraId="21048933" w14:textId="6482D29E" w:rsidR="00043373" w:rsidRPr="00A523DA" w:rsidRDefault="00A523DA" w:rsidP="00043373">
      <w:pPr>
        <w:pStyle w:val="Aufzhlung"/>
        <w:numPr>
          <w:ilvl w:val="0"/>
          <w:numId w:val="40"/>
        </w:numPr>
        <w:ind w:left="426"/>
      </w:pPr>
      <w:r w:rsidRPr="00A86F53">
        <w:t>In Switzerland,</w:t>
      </w:r>
      <w:r w:rsidRPr="00A86F53">
        <w:rPr>
          <w:b/>
        </w:rPr>
        <w:t xml:space="preserve"> the corresponding surveys on compulsory measures have not yet been carried out</w:t>
      </w:r>
      <w:r w:rsidRPr="00A86F53">
        <w:t>. However, the media have reported on problematic conditions in nursing homes.</w:t>
      </w:r>
      <w:r w:rsidRPr="00A86F53">
        <w:rPr>
          <w:vertAlign w:val="superscript"/>
        </w:rPr>
        <w:footnoteReference w:id="119"/>
      </w:r>
      <w:r w:rsidRPr="00A86F53">
        <w:t xml:space="preserve"> </w:t>
      </w:r>
    </w:p>
    <w:p w14:paraId="02B5D113" w14:textId="74FE2ED1" w:rsidR="00924B3D" w:rsidRPr="0001096E" w:rsidRDefault="00B8736A" w:rsidP="00C177BB">
      <w:pPr>
        <w:pStyle w:val="Subtitle"/>
        <w:rPr>
          <w:lang w:val="en-GB" w:eastAsia="de-CH"/>
        </w:rPr>
      </w:pPr>
      <w:r w:rsidRPr="0001096E">
        <w:rPr>
          <w:lang w:val="en-GB" w:eastAsia="de-CH"/>
        </w:rPr>
        <w:t>NCPT</w:t>
      </w:r>
      <w:r w:rsidR="00C177BB" w:rsidRPr="0001096E">
        <w:rPr>
          <w:lang w:val="en-GB" w:eastAsia="de-CH"/>
        </w:rPr>
        <w:t xml:space="preserve"> (LoI, 12b)</w:t>
      </w:r>
    </w:p>
    <w:p w14:paraId="425E9E4D" w14:textId="0F54633B" w:rsidR="00A523DA" w:rsidRPr="00A86F53" w:rsidRDefault="00A523DA" w:rsidP="00A523DA">
      <w:pPr>
        <w:pStyle w:val="BodyText"/>
        <w:rPr>
          <w:lang w:val="en-GB"/>
        </w:rPr>
      </w:pPr>
      <w:r w:rsidRPr="00A86F53">
        <w:rPr>
          <w:lang w:val="en-GB"/>
        </w:rPr>
        <w:lastRenderedPageBreak/>
        <w:t>The NCPT has for some time been monitoring psychiatric institutions in which</w:t>
      </w:r>
      <w:r w:rsidRPr="00A86F53">
        <w:rPr>
          <w:b/>
          <w:lang w:val="en-GB"/>
        </w:rPr>
        <w:t xml:space="preserve"> measures restricting the liberty of </w:t>
      </w:r>
      <w:r w:rsidR="00D739C9" w:rsidRPr="00D739C9">
        <w:rPr>
          <w:b/>
          <w:lang w:val="en-GB"/>
        </w:rPr>
        <w:t>persons</w:t>
      </w:r>
      <w:r w:rsidRPr="00A86F53">
        <w:rPr>
          <w:b/>
          <w:lang w:val="en-GB"/>
        </w:rPr>
        <w:t xml:space="preserve"> with psychosocial disabilities </w:t>
      </w:r>
      <w:r w:rsidRPr="00A86F53">
        <w:rPr>
          <w:lang w:val="en-GB"/>
        </w:rPr>
        <w:t>(treatment without consent and measures restricting movement) have been carried out.</w:t>
      </w:r>
      <w:r w:rsidRPr="00A86F53">
        <w:rPr>
          <w:rStyle w:val="FootnoteReference"/>
          <w:lang w:val="en-GB"/>
        </w:rPr>
        <w:footnoteReference w:id="120"/>
      </w:r>
      <w:r w:rsidRPr="00A86F53">
        <w:rPr>
          <w:lang w:val="en-GB"/>
        </w:rPr>
        <w:t xml:space="preserve"> On a number of occasions, the NCPT has complained about the</w:t>
      </w:r>
      <w:r w:rsidRPr="00A86F53">
        <w:rPr>
          <w:b/>
          <w:lang w:val="en-GB"/>
        </w:rPr>
        <w:t xml:space="preserve"> security staff of such facilities </w:t>
      </w:r>
      <w:r w:rsidRPr="00A86F53">
        <w:rPr>
          <w:lang w:val="en-GB"/>
        </w:rPr>
        <w:t xml:space="preserve">being equipped with </w:t>
      </w:r>
      <w:r w:rsidRPr="00A86F53">
        <w:rPr>
          <w:b/>
          <w:bCs/>
          <w:lang w:val="en-GB"/>
        </w:rPr>
        <w:t>truncheon</w:t>
      </w:r>
      <w:r w:rsidRPr="00A86F53">
        <w:rPr>
          <w:b/>
          <w:lang w:val="en-GB"/>
        </w:rPr>
        <w:t xml:space="preserve">s, handcuffs and pepper </w:t>
      </w:r>
      <w:r w:rsidRPr="00A86F53">
        <w:rPr>
          <w:b/>
          <w:bCs/>
          <w:lang w:val="en-GB"/>
        </w:rPr>
        <w:t>gel</w:t>
      </w:r>
      <w:r w:rsidRPr="00A86F53">
        <w:rPr>
          <w:lang w:val="en-GB"/>
        </w:rPr>
        <w:t>.</w:t>
      </w:r>
      <w:r w:rsidRPr="00A86F53">
        <w:rPr>
          <w:rStyle w:val="FootnoteReference"/>
          <w:lang w:val="en-GB"/>
        </w:rPr>
        <w:footnoteReference w:id="121"/>
      </w:r>
      <w:r w:rsidRPr="00A86F53">
        <w:rPr>
          <w:lang w:val="en-GB"/>
        </w:rPr>
        <w:t xml:space="preserve"> Granted, the CRPD is mentioned in some cases as the basis in the NCPT activity reports.</w:t>
      </w:r>
      <w:r w:rsidRPr="00A86F53">
        <w:rPr>
          <w:rStyle w:val="FootnoteReference"/>
          <w:lang w:val="en-GB"/>
        </w:rPr>
        <w:footnoteReference w:id="122"/>
      </w:r>
      <w:r w:rsidRPr="00A86F53">
        <w:rPr>
          <w:lang w:val="en-GB"/>
        </w:rPr>
        <w:t xml:space="preserve"> Nevertheless, its substantive requirements, such as those relating to supported decision-making mechanisms, are not clearly reflected in the NCPT's assessment. In this regard, Switzerland generally makes reference to “human rights” (Reply to LoI, para. 34). </w:t>
      </w:r>
    </w:p>
    <w:p w14:paraId="56571085" w14:textId="690E9C76" w:rsidR="00043373" w:rsidRPr="0001096E" w:rsidRDefault="00A523DA" w:rsidP="00A523DA">
      <w:pPr>
        <w:pStyle w:val="BodyText"/>
        <w:rPr>
          <w:lang w:val="en-GB" w:eastAsia="de-CH"/>
        </w:rPr>
      </w:pPr>
      <w:r w:rsidRPr="00A86F53">
        <w:rPr>
          <w:lang w:val="en-GB"/>
        </w:rPr>
        <w:t xml:space="preserve">In its </w:t>
      </w:r>
      <w:r w:rsidRPr="00A86F53">
        <w:rPr>
          <w:b/>
          <w:lang w:val="en-GB"/>
        </w:rPr>
        <w:t>Activity Report 2020</w:t>
      </w:r>
      <w:r w:rsidRPr="00A86F53">
        <w:rPr>
          <w:lang w:val="en-GB"/>
        </w:rPr>
        <w:t>,</w:t>
      </w:r>
      <w:r w:rsidRPr="00A86F53">
        <w:rPr>
          <w:rStyle w:val="FootnoteReference"/>
          <w:lang w:val="en-GB"/>
        </w:rPr>
        <w:footnoteReference w:id="123"/>
      </w:r>
      <w:r w:rsidRPr="00A86F53">
        <w:rPr>
          <w:lang w:val="en-GB"/>
        </w:rPr>
        <w:t xml:space="preserve"> the NCPT announced that it had now made initial preparations to </w:t>
      </w:r>
      <w:r w:rsidRPr="00A86F53">
        <w:rPr>
          <w:b/>
          <w:lang w:val="en-GB"/>
        </w:rPr>
        <w:t>expand activities</w:t>
      </w:r>
      <w:r w:rsidRPr="00A86F53">
        <w:rPr>
          <w:lang w:val="en-GB"/>
        </w:rPr>
        <w:t xml:space="preserve"> </w:t>
      </w:r>
      <w:r w:rsidRPr="00A86F53">
        <w:rPr>
          <w:b/>
          <w:bCs/>
          <w:lang w:val="en-GB"/>
        </w:rPr>
        <w:t xml:space="preserve">in institutions for </w:t>
      </w:r>
      <w:r w:rsidRPr="00A86F53">
        <w:rPr>
          <w:b/>
          <w:lang w:val="en-GB"/>
        </w:rPr>
        <w:t xml:space="preserve">elderly </w:t>
      </w:r>
      <w:r w:rsidR="00D739C9" w:rsidRPr="00D739C9">
        <w:rPr>
          <w:b/>
          <w:lang w:val="en-GB"/>
        </w:rPr>
        <w:t>persons</w:t>
      </w:r>
      <w:r w:rsidRPr="00D739C9">
        <w:rPr>
          <w:b/>
          <w:lang w:val="en-GB"/>
        </w:rPr>
        <w:t xml:space="preserve"> </w:t>
      </w:r>
      <w:r w:rsidRPr="00D739C9">
        <w:rPr>
          <w:b/>
          <w:bCs/>
          <w:lang w:val="en-GB"/>
        </w:rPr>
        <w:t>a</w:t>
      </w:r>
      <w:r w:rsidRPr="00A86F53">
        <w:rPr>
          <w:b/>
          <w:bCs/>
          <w:lang w:val="en-GB"/>
        </w:rPr>
        <w:t xml:space="preserve">nd </w:t>
      </w:r>
      <w:r w:rsidRPr="00A86F53">
        <w:rPr>
          <w:b/>
          <w:lang w:val="en-GB"/>
        </w:rPr>
        <w:t>PWD</w:t>
      </w:r>
      <w:r w:rsidRPr="00A86F53">
        <w:rPr>
          <w:lang w:val="en-GB"/>
        </w:rPr>
        <w:t xml:space="preserve"> in addition to its visits to correctional facilities, asylums and psychiatric institutions. Since the summer of 2021, the NCPT has included these institutions as a new issue and has additional resources in this regard. The NCPT intends to </w:t>
      </w:r>
      <w:r w:rsidRPr="00A86F53">
        <w:rPr>
          <w:b/>
          <w:lang w:val="en-GB"/>
        </w:rPr>
        <w:t>include Inclusion Handicap</w:t>
      </w:r>
      <w:r w:rsidRPr="00A86F53">
        <w:rPr>
          <w:lang w:val="en-GB"/>
        </w:rPr>
        <w:t xml:space="preserve"> in connection with this new </w:t>
      </w:r>
      <w:r w:rsidRPr="001F7066">
        <w:rPr>
          <w:lang w:val="en-GB"/>
        </w:rPr>
        <w:t>task</w:t>
      </w:r>
      <w:r w:rsidRPr="00A86F53">
        <w:rPr>
          <w:lang w:val="en-GB"/>
        </w:rPr>
        <w:t>.</w:t>
      </w:r>
      <w:r w:rsidRPr="00A86F53">
        <w:rPr>
          <w:rStyle w:val="FootnoteReference"/>
          <w:lang w:val="en-GB"/>
        </w:rPr>
        <w:footnoteReference w:id="124"/>
      </w:r>
    </w:p>
    <w:p w14:paraId="08B66E98" w14:textId="38EDC667" w:rsidR="00C177BB" w:rsidRPr="0001096E" w:rsidRDefault="00043373" w:rsidP="00B8736A">
      <w:pPr>
        <w:pStyle w:val="Subtitle"/>
        <w:rPr>
          <w:lang w:val="en-GB" w:eastAsia="de-CH"/>
        </w:rPr>
      </w:pPr>
      <w:r w:rsidRPr="0001096E">
        <w:rPr>
          <w:lang w:val="en-GB" w:eastAsia="de-CH"/>
        </w:rPr>
        <w:t>Human Re</w:t>
      </w:r>
      <w:r w:rsidR="00B8736A" w:rsidRPr="0001096E">
        <w:rPr>
          <w:lang w:val="en-GB" w:eastAsia="de-CH"/>
        </w:rPr>
        <w:t>se</w:t>
      </w:r>
      <w:r w:rsidRPr="0001096E">
        <w:rPr>
          <w:lang w:val="en-GB" w:eastAsia="de-CH"/>
        </w:rPr>
        <w:t>a</w:t>
      </w:r>
      <w:r w:rsidR="00B8736A" w:rsidRPr="0001096E">
        <w:rPr>
          <w:lang w:val="en-GB" w:eastAsia="de-CH"/>
        </w:rPr>
        <w:t>rch Act</w:t>
      </w:r>
      <w:r w:rsidR="00C177BB" w:rsidRPr="0001096E">
        <w:rPr>
          <w:lang w:val="en-GB" w:eastAsia="de-CH"/>
        </w:rPr>
        <w:t xml:space="preserve"> (LoI, 12c)</w:t>
      </w:r>
    </w:p>
    <w:p w14:paraId="75B8BF99" w14:textId="31EE5BDA" w:rsidR="00A523DA" w:rsidRPr="00A86F53" w:rsidRDefault="00A523DA" w:rsidP="00A523DA">
      <w:pPr>
        <w:pStyle w:val="BodyText"/>
        <w:rPr>
          <w:lang w:val="en-GB"/>
        </w:rPr>
      </w:pPr>
      <w:r w:rsidRPr="00A86F53">
        <w:rPr>
          <w:lang w:val="en-GB"/>
        </w:rPr>
        <w:t xml:space="preserve">In response to the Committee’s question as to what measures have been taken to </w:t>
      </w:r>
      <w:r w:rsidRPr="00A86F53">
        <w:rPr>
          <w:b/>
          <w:lang w:val="en-GB"/>
        </w:rPr>
        <w:t>bring the HRA into line with the requirements of Article 15 CRPD</w:t>
      </w:r>
      <w:r w:rsidRPr="00A86F53">
        <w:rPr>
          <w:lang w:val="en-GB"/>
        </w:rPr>
        <w:t xml:space="preserve">, Switzerland makes reference to an assessment of this Act carried out in 2017-2019 and to the subsequent revision of the related ordinances (Reply to LoI, para. 35). The resulting impression that the </w:t>
      </w:r>
      <w:r w:rsidRPr="00A86F53">
        <w:rPr>
          <w:b/>
          <w:lang w:val="en-GB"/>
        </w:rPr>
        <w:t xml:space="preserve">legislation </w:t>
      </w:r>
      <w:r w:rsidRPr="001F7066">
        <w:rPr>
          <w:b/>
          <w:lang w:val="en-GB"/>
        </w:rPr>
        <w:t>in the</w:t>
      </w:r>
      <w:r w:rsidRPr="00A86F53">
        <w:rPr>
          <w:lang w:val="en-GB"/>
        </w:rPr>
        <w:t xml:space="preserve"> </w:t>
      </w:r>
      <w:r w:rsidRPr="00A86F53">
        <w:rPr>
          <w:b/>
          <w:lang w:val="en-GB"/>
        </w:rPr>
        <w:t xml:space="preserve">field of research involving human beings has been examined and adapted in the light of the </w:t>
      </w:r>
      <w:r w:rsidRPr="00A86F53">
        <w:rPr>
          <w:b/>
          <w:lang w:val="en-GB"/>
        </w:rPr>
        <w:lastRenderedPageBreak/>
        <w:t>CR</w:t>
      </w:r>
      <w:r w:rsidRPr="00A86F53">
        <w:rPr>
          <w:b/>
          <w:bCs/>
          <w:lang w:val="en-GB"/>
        </w:rPr>
        <w:t>PD</w:t>
      </w:r>
      <w:r w:rsidRPr="00A86F53">
        <w:rPr>
          <w:lang w:val="en-GB"/>
        </w:rPr>
        <w:t xml:space="preserve"> must be clearly </w:t>
      </w:r>
      <w:r w:rsidRPr="00A86F53">
        <w:rPr>
          <w:b/>
          <w:lang w:val="en-GB"/>
        </w:rPr>
        <w:t>contradicted</w:t>
      </w:r>
      <w:r w:rsidRPr="00A86F53">
        <w:rPr>
          <w:lang w:val="en-GB"/>
        </w:rPr>
        <w:t>: It is true that the assessment report published in 2019 expressly emphasises that the</w:t>
      </w:r>
      <w:r w:rsidRPr="00A86F53">
        <w:rPr>
          <w:b/>
          <w:lang w:val="en-GB"/>
        </w:rPr>
        <w:t xml:space="preserve"> Swiss rules </w:t>
      </w:r>
      <w:r w:rsidRPr="00A86F53">
        <w:rPr>
          <w:lang w:val="en-GB"/>
        </w:rPr>
        <w:t xml:space="preserve">regarding </w:t>
      </w:r>
      <w:r w:rsidRPr="00A86F53">
        <w:rPr>
          <w:b/>
          <w:lang w:val="en-GB"/>
        </w:rPr>
        <w:t xml:space="preserve">persons </w:t>
      </w:r>
      <w:r w:rsidR="001F7066">
        <w:rPr>
          <w:b/>
          <w:lang w:val="en-GB"/>
        </w:rPr>
        <w:t>“</w:t>
      </w:r>
      <w:r w:rsidRPr="00A86F53">
        <w:rPr>
          <w:b/>
          <w:lang w:val="en-GB"/>
        </w:rPr>
        <w:t>lacking capacity of judgement</w:t>
      </w:r>
      <w:r w:rsidR="001F7066">
        <w:rPr>
          <w:b/>
          <w:lang w:val="en-GB"/>
        </w:rPr>
        <w:t>”</w:t>
      </w:r>
      <w:r w:rsidRPr="00A86F53">
        <w:rPr>
          <w:b/>
          <w:lang w:val="en-GB"/>
        </w:rPr>
        <w:t xml:space="preserve"> are less strict than those in the EU</w:t>
      </w:r>
      <w:r w:rsidRPr="00A86F53">
        <w:rPr>
          <w:lang w:val="en-GB"/>
        </w:rPr>
        <w:t>.</w:t>
      </w:r>
      <w:r w:rsidRPr="00A86F53">
        <w:rPr>
          <w:rStyle w:val="FootnoteReference"/>
          <w:lang w:val="en-GB"/>
        </w:rPr>
        <w:footnoteReference w:id="125"/>
      </w:r>
      <w:r w:rsidRPr="00A86F53">
        <w:rPr>
          <w:lang w:val="en-GB"/>
        </w:rPr>
        <w:t xml:space="preserve"> </w:t>
      </w:r>
      <w:r w:rsidRPr="00A86F53">
        <w:rPr>
          <w:b/>
          <w:lang w:val="en-GB"/>
        </w:rPr>
        <w:t xml:space="preserve">However, the subject of this evaluation of the HRA was not the question of its compatibility with the </w:t>
      </w:r>
      <w:r w:rsidRPr="00A86F53">
        <w:rPr>
          <w:b/>
          <w:bCs/>
          <w:lang w:val="en-GB"/>
        </w:rPr>
        <w:t>CRPD</w:t>
      </w:r>
      <w:r w:rsidRPr="00A86F53">
        <w:rPr>
          <w:lang w:val="en-GB"/>
        </w:rPr>
        <w:t xml:space="preserve">. The </w:t>
      </w:r>
      <w:r w:rsidRPr="00A86F53">
        <w:rPr>
          <w:b/>
          <w:lang w:val="en-GB"/>
        </w:rPr>
        <w:t>FOPH report on this evaluation also</w:t>
      </w:r>
      <w:r w:rsidRPr="00A86F53">
        <w:rPr>
          <w:lang w:val="en-GB"/>
        </w:rPr>
        <w:t xml:space="preserve"> makes no reference to the question of research involving persons lacking </w:t>
      </w:r>
      <w:r w:rsidR="001F7066">
        <w:rPr>
          <w:lang w:val="en-GB"/>
        </w:rPr>
        <w:t>“</w:t>
      </w:r>
      <w:r w:rsidRPr="00A86F53">
        <w:rPr>
          <w:lang w:val="en-GB"/>
        </w:rPr>
        <w:t>capacity of judgement</w:t>
      </w:r>
      <w:r w:rsidR="001F7066">
        <w:rPr>
          <w:lang w:val="en-GB"/>
        </w:rPr>
        <w:t>”</w:t>
      </w:r>
      <w:r w:rsidRPr="00A86F53">
        <w:rPr>
          <w:lang w:val="en-GB"/>
        </w:rPr>
        <w:t xml:space="preserve">. </w:t>
      </w:r>
      <w:r w:rsidRPr="00A86F53">
        <w:rPr>
          <w:b/>
          <w:lang w:val="en-GB"/>
        </w:rPr>
        <w:t>Indeed, it does not mention the CRPD at all</w:t>
      </w:r>
      <w:r w:rsidRPr="00A86F53">
        <w:rPr>
          <w:lang w:val="en-GB"/>
        </w:rPr>
        <w:t>.</w:t>
      </w:r>
      <w:r w:rsidRPr="00A86F53">
        <w:rPr>
          <w:rStyle w:val="FootnoteReference"/>
          <w:lang w:val="en-GB"/>
        </w:rPr>
        <w:footnoteReference w:id="126"/>
      </w:r>
      <w:r w:rsidRPr="00A86F53">
        <w:rPr>
          <w:lang w:val="en-GB"/>
        </w:rPr>
        <w:t xml:space="preserve"> </w:t>
      </w:r>
    </w:p>
    <w:p w14:paraId="486E37EF" w14:textId="35981D29" w:rsidR="00043373" w:rsidRPr="0001096E" w:rsidRDefault="00A523DA" w:rsidP="00A523DA">
      <w:pPr>
        <w:pStyle w:val="BodyText"/>
        <w:rPr>
          <w:lang w:val="en-GB"/>
        </w:rPr>
      </w:pPr>
      <w:r w:rsidRPr="00A86F53">
        <w:rPr>
          <w:lang w:val="en-GB"/>
        </w:rPr>
        <w:t xml:space="preserve">The </w:t>
      </w:r>
      <w:r w:rsidRPr="00A86F53">
        <w:rPr>
          <w:b/>
          <w:bCs/>
          <w:lang w:val="en-GB"/>
        </w:rPr>
        <w:t xml:space="preserve">amendments to the Ordinances </w:t>
      </w:r>
      <w:r w:rsidRPr="00A86F53">
        <w:rPr>
          <w:b/>
          <w:lang w:val="en-GB"/>
        </w:rPr>
        <w:t xml:space="preserve">to the HRA </w:t>
      </w:r>
      <w:r w:rsidRPr="00A86F53">
        <w:rPr>
          <w:lang w:val="en-GB"/>
        </w:rPr>
        <w:t xml:space="preserve">that came into force in 2021 have </w:t>
      </w:r>
      <w:r w:rsidRPr="00A86F53">
        <w:rPr>
          <w:b/>
          <w:bCs/>
          <w:lang w:val="en-GB"/>
        </w:rPr>
        <w:t>not</w:t>
      </w:r>
      <w:r w:rsidRPr="00A86F53">
        <w:rPr>
          <w:b/>
          <w:lang w:val="en-GB"/>
        </w:rPr>
        <w:t xml:space="preserve"> clarified </w:t>
      </w:r>
      <w:r w:rsidRPr="00A86F53">
        <w:rPr>
          <w:lang w:val="en-GB"/>
        </w:rPr>
        <w:t>the</w:t>
      </w:r>
      <w:r w:rsidRPr="00A86F53">
        <w:rPr>
          <w:b/>
          <w:lang w:val="en-GB"/>
        </w:rPr>
        <w:t xml:space="preserve"> </w:t>
      </w:r>
      <w:r w:rsidRPr="00A86F53">
        <w:rPr>
          <w:lang w:val="en-GB"/>
        </w:rPr>
        <w:t xml:space="preserve">provisions on </w:t>
      </w:r>
      <w:r w:rsidRPr="00A86F53">
        <w:rPr>
          <w:b/>
          <w:lang w:val="en-GB"/>
        </w:rPr>
        <w:t>research involving persons “lacking capacity of</w:t>
      </w:r>
      <w:r w:rsidRPr="00A86F53">
        <w:rPr>
          <w:b/>
          <w:bCs/>
          <w:lang w:val="en-GB"/>
        </w:rPr>
        <w:t xml:space="preserve"> jud</w:t>
      </w:r>
      <w:r w:rsidRPr="00A86F53">
        <w:rPr>
          <w:b/>
          <w:lang w:val="en-GB"/>
        </w:rPr>
        <w:t xml:space="preserve">gement” </w:t>
      </w:r>
      <w:r w:rsidRPr="00A86F53">
        <w:rPr>
          <w:lang w:val="en-GB"/>
        </w:rPr>
        <w:t xml:space="preserve">(Articles 22(3)(b), 23(2)(b), 24(1)(c) HRA). In the light of Articles 12, 15 and 17 CRPD, the opportunity to concretise the provisions whereby a research project involving </w:t>
      </w:r>
      <w:r w:rsidRPr="00A86F53">
        <w:rPr>
          <w:b/>
          <w:lang w:val="en-GB"/>
        </w:rPr>
        <w:t xml:space="preserve">persons "lacking capacity </w:t>
      </w:r>
      <w:r w:rsidRPr="00A86F53">
        <w:rPr>
          <w:b/>
          <w:bCs/>
          <w:lang w:val="en-GB"/>
        </w:rPr>
        <w:t>of jud</w:t>
      </w:r>
      <w:r w:rsidRPr="00A86F53">
        <w:rPr>
          <w:b/>
          <w:lang w:val="en-GB"/>
        </w:rPr>
        <w:t xml:space="preserve">gement" </w:t>
      </w:r>
      <w:r w:rsidRPr="00A86F53">
        <w:rPr>
          <w:lang w:val="en-GB"/>
        </w:rPr>
        <w:t xml:space="preserve">may only be carried out if the adult, young person or child concerned </w:t>
      </w:r>
      <w:r w:rsidRPr="00A86F53">
        <w:rPr>
          <w:b/>
          <w:lang w:val="en-GB"/>
        </w:rPr>
        <w:t xml:space="preserve">does not manifestly object </w:t>
      </w:r>
      <w:r w:rsidRPr="00A86F53">
        <w:rPr>
          <w:lang w:val="en-GB"/>
        </w:rPr>
        <w:t xml:space="preserve">to the research activity through </w:t>
      </w:r>
      <w:r w:rsidRPr="00A86F53">
        <w:rPr>
          <w:b/>
          <w:lang w:val="en-GB"/>
        </w:rPr>
        <w:t xml:space="preserve">statements or </w:t>
      </w:r>
      <w:r w:rsidRPr="00A86F53">
        <w:rPr>
          <w:b/>
          <w:bCs/>
          <w:lang w:val="en-GB"/>
        </w:rPr>
        <w:t xml:space="preserve">similar </w:t>
      </w:r>
      <w:r w:rsidRPr="00A86F53">
        <w:rPr>
          <w:b/>
          <w:lang w:val="en-GB"/>
        </w:rPr>
        <w:t xml:space="preserve">conduct </w:t>
      </w:r>
      <w:r w:rsidRPr="00A86F53">
        <w:rPr>
          <w:lang w:val="en-GB"/>
        </w:rPr>
        <w:t>was missed.</w:t>
      </w:r>
      <w:r w:rsidRPr="00A86F53">
        <w:rPr>
          <w:rStyle w:val="FootnoteReference"/>
          <w:lang w:val="en-GB"/>
        </w:rPr>
        <w:footnoteReference w:id="127"/>
      </w:r>
      <w:r w:rsidRPr="00A86F53">
        <w:rPr>
          <w:lang w:val="en-GB"/>
        </w:rPr>
        <w:t xml:space="preserve"> </w:t>
      </w:r>
    </w:p>
    <w:p w14:paraId="30FDE38C" w14:textId="77777777" w:rsidR="00C177BB" w:rsidRPr="0001096E" w:rsidRDefault="00B8736A" w:rsidP="00C177BB">
      <w:pPr>
        <w:pStyle w:val="Subtitle"/>
        <w:rPr>
          <w:lang w:val="en-GB"/>
        </w:rPr>
      </w:pPr>
      <w:r w:rsidRPr="0001096E">
        <w:rPr>
          <w:lang w:val="en-GB"/>
        </w:rPr>
        <w:t>Legal remedies in case of sterilisation against a person’s wishes</w:t>
      </w:r>
      <w:r w:rsidR="00C177BB" w:rsidRPr="0001096E">
        <w:rPr>
          <w:lang w:val="en-GB"/>
        </w:rPr>
        <w:t xml:space="preserve"> (LoI, 12e)</w:t>
      </w:r>
    </w:p>
    <w:p w14:paraId="170F4C00" w14:textId="0E1ED2B0" w:rsidR="00C177BB" w:rsidRDefault="00A523DA" w:rsidP="00A523DA">
      <w:pPr>
        <w:pStyle w:val="BodyText"/>
        <w:rPr>
          <w:lang w:val="en-GB"/>
        </w:rPr>
      </w:pPr>
      <w:r w:rsidRPr="00A86F53">
        <w:rPr>
          <w:lang w:val="en-GB"/>
        </w:rPr>
        <w:t xml:space="preserve">Despite giving a detailed statement, Switzerland </w:t>
      </w:r>
      <w:r w:rsidRPr="00A86F53">
        <w:rPr>
          <w:b/>
          <w:bCs/>
          <w:lang w:val="en-GB"/>
        </w:rPr>
        <w:t>fails</w:t>
      </w:r>
      <w:r w:rsidRPr="00A86F53">
        <w:rPr>
          <w:lang w:val="en-GB"/>
        </w:rPr>
        <w:t xml:space="preserve"> to answer the Committee’s question concerning legal remedies in cases of unwanted sterilisation (Reply to LoI, para. 37). Rather, it is worth noting that: Under Swiss law,</w:t>
      </w:r>
      <w:r w:rsidRPr="00A86F53">
        <w:rPr>
          <w:b/>
          <w:lang w:val="en-GB"/>
        </w:rPr>
        <w:t xml:space="preserve"> it </w:t>
      </w:r>
      <w:r w:rsidRPr="00A86F53">
        <w:rPr>
          <w:b/>
          <w:bCs/>
          <w:lang w:val="en-GB"/>
        </w:rPr>
        <w:t>is</w:t>
      </w:r>
      <w:r w:rsidRPr="00A86F53">
        <w:rPr>
          <w:lang w:val="en-GB"/>
        </w:rPr>
        <w:t xml:space="preserve"> </w:t>
      </w:r>
      <w:r w:rsidRPr="00A86F53">
        <w:rPr>
          <w:b/>
          <w:lang w:val="en-GB"/>
        </w:rPr>
        <w:lastRenderedPageBreak/>
        <w:t>permissible under certain conditions to sterilise a person “lacking capacity of judgement” even against his or her will</w:t>
      </w:r>
      <w:r w:rsidRPr="00A86F53">
        <w:rPr>
          <w:lang w:val="en-GB"/>
        </w:rPr>
        <w:t>.</w:t>
      </w:r>
      <w:r w:rsidRPr="00A86F53">
        <w:rPr>
          <w:rStyle w:val="FootnoteReference"/>
          <w:lang w:val="en-GB"/>
        </w:rPr>
        <w:footnoteReference w:id="128"/>
      </w:r>
      <w:r w:rsidRPr="00A86F53">
        <w:rPr>
          <w:lang w:val="en-GB"/>
        </w:rPr>
        <w:t xml:space="preserve"> Granted, the affected person “lacking capacity of judgement” may take legal action. However, if the requirements of Article 7(2) of the Sterilisation Act are met, the sterilisation constitutes a legally permitted act under Article 14 SCC, and there is no punishable bodily harm. In the absence of unlawfulness, there is no claim for damages or compensation for pain and suffering in this case either.</w:t>
      </w:r>
    </w:p>
    <w:p w14:paraId="4F856C53" w14:textId="2E474DE4" w:rsidR="00915CF3" w:rsidRDefault="00915CF3">
      <w:pPr>
        <w:jc w:val="left"/>
        <w:rPr>
          <w:lang w:val="en-GB"/>
        </w:rPr>
      </w:pPr>
      <w:r>
        <w:rPr>
          <w:lang w:val="en-GB"/>
        </w:rPr>
        <w:br w:type="page"/>
      </w:r>
    </w:p>
    <w:p w14:paraId="40E3632F" w14:textId="562DF640" w:rsidR="00C177BB" w:rsidRPr="0001096E" w:rsidRDefault="00B8736A" w:rsidP="00C177BB">
      <w:pPr>
        <w:shd w:val="clear" w:color="auto" w:fill="FFFFCC"/>
        <w:spacing w:before="240"/>
        <w:rPr>
          <w:rFonts w:eastAsia="Cambria"/>
          <w:b/>
          <w:lang w:val="en-GB"/>
        </w:rPr>
      </w:pPr>
      <w:r w:rsidRPr="0001096E">
        <w:rPr>
          <w:rFonts w:eastAsia="Cambria"/>
          <w:b/>
          <w:lang w:val="en-GB"/>
        </w:rPr>
        <w:lastRenderedPageBreak/>
        <w:t>Proposals for recommendations</w:t>
      </w:r>
      <w:r w:rsidR="00C177BB" w:rsidRPr="0001096E">
        <w:rPr>
          <w:rFonts w:eastAsia="Cambria"/>
          <w:b/>
          <w:lang w:val="en-GB"/>
        </w:rPr>
        <w:t>:</w:t>
      </w:r>
    </w:p>
    <w:p w14:paraId="6459CDB4" w14:textId="77777777" w:rsidR="00A523DA" w:rsidRPr="003D2F0B" w:rsidRDefault="00A523DA" w:rsidP="00A523DA">
      <w:pPr>
        <w:pStyle w:val="SBEmpfehlungen"/>
      </w:pPr>
      <w:r w:rsidRPr="003D2F0B">
        <w:t xml:space="preserve">The </w:t>
      </w:r>
      <w:r w:rsidRPr="001F7066">
        <w:rPr>
          <w:b/>
        </w:rPr>
        <w:t>Confederation</w:t>
      </w:r>
      <w:r w:rsidRPr="003D2F0B">
        <w:t xml:space="preserve"> shall </w:t>
      </w:r>
      <w:r w:rsidRPr="001F7066">
        <w:rPr>
          <w:b/>
        </w:rPr>
        <w:t>repeal the legal provisions on the compulsory treatment of persons “lacking capacity of judgement</w:t>
      </w:r>
      <w:r w:rsidRPr="003D2F0B">
        <w:t xml:space="preserve">” (Articles 378, 433 and 434). It shall </w:t>
      </w:r>
      <w:r w:rsidRPr="001F7066">
        <w:rPr>
          <w:b/>
        </w:rPr>
        <w:t>replace</w:t>
      </w:r>
      <w:r w:rsidRPr="003D2F0B">
        <w:t xml:space="preserve"> those provisions with a </w:t>
      </w:r>
      <w:r w:rsidRPr="001F7066">
        <w:rPr>
          <w:b/>
        </w:rPr>
        <w:t>supported decision-making system</w:t>
      </w:r>
      <w:r w:rsidRPr="003D2F0B">
        <w:t xml:space="preserve"> in accordance with Article 12 CRPD.</w:t>
      </w:r>
    </w:p>
    <w:p w14:paraId="6435615C" w14:textId="77777777" w:rsidR="00A523DA" w:rsidRPr="003D2F0B" w:rsidRDefault="00A523DA" w:rsidP="00A523DA">
      <w:pPr>
        <w:pStyle w:val="SBEmpfehlungen"/>
      </w:pPr>
      <w:r w:rsidRPr="003D2F0B">
        <w:t xml:space="preserve">The </w:t>
      </w:r>
      <w:r w:rsidRPr="003D2F0B">
        <w:rPr>
          <w:b/>
        </w:rPr>
        <w:t>Confeder</w:t>
      </w:r>
      <w:r w:rsidRPr="003D2F0B">
        <w:rPr>
          <w:b/>
          <w:bCs/>
        </w:rPr>
        <w:t>ation</w:t>
      </w:r>
      <w:r w:rsidRPr="003D2F0B">
        <w:t xml:space="preserve"> shall amend its</w:t>
      </w:r>
      <w:r w:rsidRPr="003D2F0B">
        <w:rPr>
          <w:b/>
        </w:rPr>
        <w:t xml:space="preserve"> legislation on human research.</w:t>
      </w:r>
      <w:r w:rsidRPr="003D2F0B">
        <w:t xml:space="preserve"> In doing so, it shall specify, in particular, that persons “lacking capacity of judgement” shall have the option to refuse to participate in the research in the light of Articles 12, 15 and 17 CRPD.</w:t>
      </w:r>
    </w:p>
    <w:p w14:paraId="3C4CD768" w14:textId="66C1D7ED" w:rsidR="00043373" w:rsidRPr="00A523DA" w:rsidRDefault="00A523DA" w:rsidP="00A523DA">
      <w:pPr>
        <w:pStyle w:val="SBEmpfehlungen"/>
      </w:pPr>
      <w:r w:rsidRPr="003D2F0B">
        <w:t>During its visits to psychiatric institutions and residential facilities for PWD, the</w:t>
      </w:r>
      <w:r w:rsidRPr="003D2F0B">
        <w:rPr>
          <w:b/>
        </w:rPr>
        <w:t xml:space="preserve"> NCPT </w:t>
      </w:r>
      <w:r w:rsidRPr="003D2F0B">
        <w:t xml:space="preserve">shall </w:t>
      </w:r>
      <w:r w:rsidRPr="003D2F0B">
        <w:rPr>
          <w:b/>
        </w:rPr>
        <w:t xml:space="preserve">focus </w:t>
      </w:r>
      <w:r w:rsidRPr="003D2F0B">
        <w:t xml:space="preserve">its inspections on the </w:t>
      </w:r>
      <w:r w:rsidRPr="003D2F0B">
        <w:rPr>
          <w:b/>
        </w:rPr>
        <w:t>use of measures restricting liberty</w:t>
      </w:r>
      <w:r w:rsidRPr="003D2F0B">
        <w:t xml:space="preserve">, relying, for this purpose, on the CRPD (e.g. Articles 12, 14 and 15). It shall publish its results and recommend measures, the implementation of which shall be regularly reviewed by the </w:t>
      </w:r>
      <w:r w:rsidRPr="003D2F0B">
        <w:rPr>
          <w:b/>
        </w:rPr>
        <w:t xml:space="preserve">cantons </w:t>
      </w:r>
      <w:r w:rsidRPr="003D2F0B">
        <w:t xml:space="preserve">following unannounced supervisory visits. </w:t>
      </w:r>
    </w:p>
    <w:p w14:paraId="7A5F8958" w14:textId="77777777" w:rsidR="00B8736A" w:rsidRPr="0001096E" w:rsidRDefault="00B8736A" w:rsidP="00B8736A">
      <w:pPr>
        <w:pStyle w:val="Heading3"/>
        <w:numPr>
          <w:ilvl w:val="0"/>
          <w:numId w:val="0"/>
        </w:numPr>
        <w:ind w:left="737" w:hanging="737"/>
        <w:rPr>
          <w:lang w:val="en-GB"/>
        </w:rPr>
      </w:pPr>
      <w:bookmarkStart w:id="84" w:name="_Toc95297070"/>
      <w:bookmarkStart w:id="85" w:name="_Toc95668185"/>
      <w:r w:rsidRPr="0001096E">
        <w:rPr>
          <w:lang w:val="en-GB"/>
        </w:rPr>
        <w:t>Article 16 – Freedom from exploitation, violence and abuse</w:t>
      </w:r>
      <w:bookmarkEnd w:id="84"/>
      <w:bookmarkEnd w:id="85"/>
    </w:p>
    <w:p w14:paraId="3E24DD58" w14:textId="79072D9A" w:rsidR="00C177BB" w:rsidRPr="00BD6E82" w:rsidRDefault="00B8736A" w:rsidP="00B8736A">
      <w:pPr>
        <w:pStyle w:val="Subtitle"/>
        <w:rPr>
          <w:lang w:val="en-US"/>
        </w:rPr>
      </w:pPr>
      <w:r w:rsidRPr="00BD6E82">
        <w:rPr>
          <w:lang w:val="en-US"/>
        </w:rPr>
        <w:t>Data situation</w:t>
      </w:r>
      <w:r w:rsidR="00C177BB" w:rsidRPr="00BD6E82">
        <w:rPr>
          <w:lang w:val="en-US"/>
        </w:rPr>
        <w:t xml:space="preserve"> (LoI, para. 13d)</w:t>
      </w:r>
    </w:p>
    <w:p w14:paraId="23FD49A1" w14:textId="06DEE785" w:rsidR="00A523DA" w:rsidRPr="00A86F53" w:rsidRDefault="00A523DA" w:rsidP="00A523DA">
      <w:pPr>
        <w:pStyle w:val="BodyText"/>
        <w:rPr>
          <w:lang w:val="en-GB"/>
        </w:rPr>
      </w:pPr>
      <w:r w:rsidRPr="00A86F53">
        <w:rPr>
          <w:lang w:val="en-GB"/>
        </w:rPr>
        <w:t xml:space="preserve">There is a </w:t>
      </w:r>
      <w:r w:rsidRPr="00A86F53">
        <w:rPr>
          <w:b/>
          <w:lang w:val="en-GB"/>
        </w:rPr>
        <w:t>serious lack</w:t>
      </w:r>
      <w:r w:rsidRPr="00A86F53">
        <w:rPr>
          <w:lang w:val="en-GB"/>
        </w:rPr>
        <w:t xml:space="preserve"> of </w:t>
      </w:r>
      <w:r w:rsidRPr="00A86F53">
        <w:rPr>
          <w:b/>
          <w:lang w:val="en-GB"/>
        </w:rPr>
        <w:t>data</w:t>
      </w:r>
      <w:r w:rsidRPr="00A86F53">
        <w:rPr>
          <w:lang w:val="en-GB"/>
        </w:rPr>
        <w:t xml:space="preserve"> on violence </w:t>
      </w:r>
      <w:r>
        <w:rPr>
          <w:lang w:val="en-GB"/>
        </w:rPr>
        <w:t>against</w:t>
      </w:r>
      <w:r w:rsidRPr="00A86F53">
        <w:rPr>
          <w:lang w:val="en-GB"/>
        </w:rPr>
        <w:t xml:space="preserve"> children and adults with disabilities in Switzerland.</w:t>
      </w:r>
      <w:r w:rsidRPr="00A86F53">
        <w:rPr>
          <w:rFonts w:eastAsia="Cambria" w:cs="Times New Roman"/>
          <w:vertAlign w:val="superscript"/>
          <w:lang w:val="en-GB"/>
        </w:rPr>
        <w:footnoteReference w:id="129"/>
      </w:r>
      <w:r w:rsidRPr="00A86F53">
        <w:rPr>
          <w:lang w:val="en-GB"/>
        </w:rPr>
        <w:t xml:space="preserve"> A parliamentary postulate (see Reply to LoI, para. 44) now requires the Federal Council to analyse </w:t>
      </w:r>
      <w:r>
        <w:rPr>
          <w:lang w:val="en-GB"/>
        </w:rPr>
        <w:t xml:space="preserve">the incidence of violence against </w:t>
      </w:r>
      <w:r w:rsidRPr="00A86F53">
        <w:rPr>
          <w:lang w:val="en-GB"/>
        </w:rPr>
        <w:t>PWD</w:t>
      </w:r>
      <w:r>
        <w:rPr>
          <w:lang w:val="en-GB"/>
        </w:rPr>
        <w:t xml:space="preserve">, </w:t>
      </w:r>
      <w:r w:rsidRPr="00A86F53">
        <w:rPr>
          <w:lang w:val="en-GB"/>
        </w:rPr>
        <w:t>and how prevention, case recording, care and aftercare are organised</w:t>
      </w:r>
      <w:r w:rsidRPr="00F32A10">
        <w:rPr>
          <w:lang w:val="en-GB"/>
        </w:rPr>
        <w:t>.</w:t>
      </w:r>
      <w:r w:rsidRPr="00F32A10">
        <w:rPr>
          <w:rFonts w:eastAsia="Cambria" w:cs="Times New Roman"/>
          <w:vertAlign w:val="superscript"/>
          <w:lang w:val="en-GB"/>
        </w:rPr>
        <w:footnoteReference w:id="130"/>
      </w:r>
      <w:r w:rsidRPr="00F32A10">
        <w:rPr>
          <w:lang w:val="en-GB"/>
        </w:rPr>
        <w:t xml:space="preserve"> This mandate has been included as a measure in the Gleichstellung 2030 [Equality 2030] Action Plan (see Article 6 CRPD) but has not been </w:t>
      </w:r>
      <w:r w:rsidRPr="00F32A10">
        <w:rPr>
          <w:lang w:val="en-GB"/>
        </w:rPr>
        <w:lastRenderedPageBreak/>
        <w:t>allocated a budget of any kind.</w:t>
      </w:r>
      <w:r w:rsidRPr="00F32A10">
        <w:rPr>
          <w:rFonts w:eastAsia="Cambria" w:cs="Times New Roman"/>
          <w:vertAlign w:val="superscript"/>
          <w:lang w:val="en-GB"/>
        </w:rPr>
        <w:footnoteReference w:id="131"/>
      </w:r>
      <w:r w:rsidRPr="00A86F53">
        <w:rPr>
          <w:lang w:val="en-GB"/>
        </w:rPr>
        <w:t xml:space="preserve"> The FBED, which is tasked with implementing the parliamentary postulate report, has only tendered a research mandate to investigate the </w:t>
      </w:r>
      <w:r w:rsidRPr="00A86F53">
        <w:rPr>
          <w:b/>
          <w:lang w:val="en-GB"/>
        </w:rPr>
        <w:t>accessibility of existing options for assistance</w:t>
      </w:r>
      <w:r w:rsidRPr="00A86F53">
        <w:rPr>
          <w:lang w:val="en-GB"/>
        </w:rPr>
        <w:t xml:space="preserve"> to PWD affected by violence. Instead of a study on the prevalence in Switzerland, results from research on neighbouring countries </w:t>
      </w:r>
      <w:r>
        <w:rPr>
          <w:lang w:val="en-GB"/>
        </w:rPr>
        <w:t>shall be</w:t>
      </w:r>
      <w:r w:rsidRPr="00A86F53">
        <w:rPr>
          <w:lang w:val="en-GB"/>
        </w:rPr>
        <w:t xml:space="preserve"> included. NGOs, however, have long studied these and recorded findings on the risk of violence (many times higher for </w:t>
      </w:r>
      <w:r w:rsidR="00D739C9" w:rsidRPr="00D739C9">
        <w:rPr>
          <w:lang w:val="en-GB"/>
        </w:rPr>
        <w:t>persons</w:t>
      </w:r>
      <w:r w:rsidRPr="00A86F53">
        <w:rPr>
          <w:lang w:val="en-GB"/>
        </w:rPr>
        <w:t xml:space="preserve"> with compared to </w:t>
      </w:r>
      <w:r w:rsidR="00D739C9" w:rsidRPr="00D739C9">
        <w:rPr>
          <w:lang w:val="en-GB"/>
        </w:rPr>
        <w:t>persons</w:t>
      </w:r>
      <w:r w:rsidRPr="00A86F53">
        <w:rPr>
          <w:lang w:val="en-GB"/>
        </w:rPr>
        <w:t xml:space="preserve"> without disabilities; higher for women compared to men with disabilities).</w:t>
      </w:r>
      <w:bookmarkStart w:id="86" w:name="_Ref95632139"/>
      <w:r w:rsidRPr="00A86F53">
        <w:rPr>
          <w:vertAlign w:val="superscript"/>
          <w:lang w:val="en-GB"/>
        </w:rPr>
        <w:footnoteReference w:id="132"/>
      </w:r>
      <w:bookmarkEnd w:id="86"/>
    </w:p>
    <w:p w14:paraId="236D6A74" w14:textId="46FE6B52" w:rsidR="00043373" w:rsidRPr="0001096E" w:rsidRDefault="00A523DA" w:rsidP="00A523DA">
      <w:pPr>
        <w:pStyle w:val="BodyText"/>
        <w:rPr>
          <w:lang w:val="en-GB"/>
        </w:rPr>
      </w:pPr>
      <w:r w:rsidRPr="00A86F53">
        <w:rPr>
          <w:lang w:val="en-GB"/>
        </w:rPr>
        <w:t>The reference to studies from abroad is by no means a substitute for prevalence research in Switzerland. Such research seems to be of the utmost importance particularly for targeted preventive measures. It therefore makes no sense why PWD</w:t>
      </w:r>
      <w:r>
        <w:rPr>
          <w:lang w:val="en-GB"/>
        </w:rPr>
        <w:t xml:space="preserve">, </w:t>
      </w:r>
      <w:r w:rsidRPr="00A86F53">
        <w:rPr>
          <w:lang w:val="en-GB"/>
        </w:rPr>
        <w:t>according to the FBED and the FSO</w:t>
      </w:r>
      <w:r>
        <w:rPr>
          <w:lang w:val="en-GB"/>
        </w:rPr>
        <w:t xml:space="preserve">, are </w:t>
      </w:r>
      <w:r w:rsidRPr="0060475E">
        <w:rPr>
          <w:b/>
          <w:lang w:val="en-GB"/>
        </w:rPr>
        <w:t xml:space="preserve">not </w:t>
      </w:r>
      <w:r w:rsidRPr="0060475E">
        <w:rPr>
          <w:lang w:val="en-GB"/>
        </w:rPr>
        <w:t>intended</w:t>
      </w:r>
      <w:r w:rsidRPr="00A86F53">
        <w:rPr>
          <w:lang w:val="en-GB"/>
        </w:rPr>
        <w:t xml:space="preserve"> </w:t>
      </w:r>
      <w:r w:rsidRPr="0060475E">
        <w:rPr>
          <w:bCs/>
          <w:lang w:val="en-GB"/>
        </w:rPr>
        <w:t>to</w:t>
      </w:r>
      <w:r>
        <w:rPr>
          <w:b/>
          <w:bCs/>
          <w:lang w:val="en-GB"/>
        </w:rPr>
        <w:t xml:space="preserve"> </w:t>
      </w:r>
      <w:r w:rsidRPr="00A86F53">
        <w:rPr>
          <w:lang w:val="en-GB"/>
        </w:rPr>
        <w:t xml:space="preserve">be </w:t>
      </w:r>
      <w:r w:rsidRPr="0060475E">
        <w:rPr>
          <w:b/>
          <w:lang w:val="en-GB"/>
        </w:rPr>
        <w:t>included</w:t>
      </w:r>
      <w:r w:rsidRPr="00A86F53">
        <w:rPr>
          <w:lang w:val="en-GB"/>
        </w:rPr>
        <w:t xml:space="preserve"> </w:t>
      </w:r>
      <w:r w:rsidRPr="00A86F53">
        <w:rPr>
          <w:b/>
          <w:lang w:val="en-GB"/>
        </w:rPr>
        <w:t>as affected groups</w:t>
      </w:r>
      <w:r w:rsidRPr="00A86F53">
        <w:rPr>
          <w:lang w:val="en-GB"/>
        </w:rPr>
        <w:t xml:space="preserve"> in the comprehensive </w:t>
      </w:r>
      <w:r w:rsidRPr="00A86F53">
        <w:rPr>
          <w:b/>
          <w:lang w:val="en-GB"/>
        </w:rPr>
        <w:t xml:space="preserve">prevalence study </w:t>
      </w:r>
      <w:r w:rsidRPr="00A86F53">
        <w:rPr>
          <w:lang w:val="en-GB"/>
        </w:rPr>
        <w:t>on violence against women and domestic violence (</w:t>
      </w:r>
      <w:r>
        <w:rPr>
          <w:lang w:val="en-GB"/>
        </w:rPr>
        <w:t>budget 1.4 million CHF</w:t>
      </w:r>
      <w:r w:rsidRPr="00A86F53">
        <w:rPr>
          <w:rFonts w:eastAsia="Cambria" w:cs="Times New Roman"/>
          <w:vertAlign w:val="superscript"/>
          <w:lang w:val="en-GB"/>
        </w:rPr>
        <w:footnoteReference w:id="133"/>
      </w:r>
      <w:r w:rsidRPr="00A86F53">
        <w:rPr>
          <w:lang w:val="en-GB"/>
        </w:rPr>
        <w:t>).</w:t>
      </w:r>
    </w:p>
    <w:p w14:paraId="652F2EDE" w14:textId="6FB2771A" w:rsidR="00C177BB" w:rsidRPr="0001096E" w:rsidRDefault="007826B2" w:rsidP="00C177BB">
      <w:pPr>
        <w:pStyle w:val="Subtitle"/>
        <w:rPr>
          <w:lang w:val="en-GB"/>
        </w:rPr>
      </w:pPr>
      <w:r w:rsidRPr="0001096E">
        <w:rPr>
          <w:lang w:val="en-GB"/>
        </w:rPr>
        <w:t>Prohibition of all forms of violence</w:t>
      </w:r>
      <w:r w:rsidR="00C177BB" w:rsidRPr="0001096E">
        <w:rPr>
          <w:lang w:val="en-GB"/>
        </w:rPr>
        <w:t xml:space="preserve"> (LoI, para. 13a)</w:t>
      </w:r>
    </w:p>
    <w:p w14:paraId="17298B63" w14:textId="77777777" w:rsidR="00A523DA" w:rsidRPr="00A86F53" w:rsidRDefault="00A523DA" w:rsidP="00A523DA">
      <w:pPr>
        <w:spacing w:after="60"/>
        <w:rPr>
          <w:lang w:val="en-GB"/>
        </w:rPr>
      </w:pPr>
      <w:r w:rsidRPr="00A86F53">
        <w:rPr>
          <w:lang w:val="en-GB"/>
        </w:rPr>
        <w:t>Swiss criminal law prohibits acts of violence against PWD beyond the general criminal rules (see Reply to LoI, para. 39) in two respects. First of all, personal characteristics or perpetr</w:t>
      </w:r>
      <w:r>
        <w:rPr>
          <w:lang w:val="en-GB"/>
        </w:rPr>
        <w:t xml:space="preserve">ator-victim relationships that </w:t>
      </w:r>
      <w:r w:rsidRPr="00A86F53">
        <w:rPr>
          <w:lang w:val="en-GB"/>
        </w:rPr>
        <w:t xml:space="preserve">may be </w:t>
      </w:r>
      <w:r>
        <w:rPr>
          <w:lang w:val="en-GB"/>
        </w:rPr>
        <w:t>more frequent in victims with disabilities</w:t>
      </w:r>
      <w:r w:rsidRPr="00A86F53">
        <w:rPr>
          <w:lang w:val="en-GB"/>
        </w:rPr>
        <w:t xml:space="preserve"> are found</w:t>
      </w:r>
      <w:r>
        <w:rPr>
          <w:lang w:val="en-GB"/>
        </w:rPr>
        <w:t xml:space="preserve"> as elements</w:t>
      </w:r>
      <w:r w:rsidRPr="00A86F53">
        <w:rPr>
          <w:lang w:val="en-GB"/>
        </w:rPr>
        <w:t xml:space="preserve"> in some </w:t>
      </w:r>
      <w:r w:rsidRPr="00A86F53">
        <w:rPr>
          <w:b/>
          <w:lang w:val="en-GB"/>
        </w:rPr>
        <w:t xml:space="preserve">specific </w:t>
      </w:r>
      <w:r w:rsidRPr="00A86F53">
        <w:rPr>
          <w:lang w:val="en-GB"/>
        </w:rPr>
        <w:t>sex</w:t>
      </w:r>
      <w:r>
        <w:rPr>
          <w:lang w:val="en-GB"/>
        </w:rPr>
        <w:t>ual</w:t>
      </w:r>
      <w:r w:rsidRPr="00A86F53">
        <w:rPr>
          <w:lang w:val="en-GB"/>
        </w:rPr>
        <w:t xml:space="preserve"> </w:t>
      </w:r>
      <w:r w:rsidRPr="00A86F53">
        <w:rPr>
          <w:b/>
          <w:lang w:val="en-GB"/>
        </w:rPr>
        <w:t>offences</w:t>
      </w:r>
      <w:r w:rsidRPr="00A86F53">
        <w:rPr>
          <w:lang w:val="en-GB"/>
        </w:rPr>
        <w:t>.</w:t>
      </w:r>
      <w:r w:rsidRPr="00A86F53">
        <w:rPr>
          <w:rFonts w:eastAsia="Cambria" w:cs="Times New Roman"/>
          <w:vertAlign w:val="superscript"/>
          <w:lang w:val="en-GB"/>
        </w:rPr>
        <w:footnoteReference w:id="134"/>
      </w:r>
      <w:r w:rsidRPr="00A86F53">
        <w:rPr>
          <w:lang w:val="en-GB"/>
        </w:rPr>
        <w:t xml:space="preserve"> As a rule, they contain a more severe </w:t>
      </w:r>
      <w:r w:rsidRPr="00A86F53">
        <w:rPr>
          <w:b/>
          <w:lang w:val="en-GB"/>
        </w:rPr>
        <w:t xml:space="preserve">range of penalties </w:t>
      </w:r>
      <w:r w:rsidRPr="00A86F53">
        <w:rPr>
          <w:lang w:val="en-GB"/>
        </w:rPr>
        <w:t xml:space="preserve">than the </w:t>
      </w:r>
      <w:r w:rsidRPr="00A86F53">
        <w:rPr>
          <w:lang w:val="en-GB"/>
        </w:rPr>
        <w:lastRenderedPageBreak/>
        <w:t xml:space="preserve">general offences. In principle, </w:t>
      </w:r>
      <w:r>
        <w:rPr>
          <w:lang w:val="en-GB"/>
        </w:rPr>
        <w:t>foreced</w:t>
      </w:r>
      <w:r w:rsidRPr="00A86F53">
        <w:rPr>
          <w:lang w:val="en-GB"/>
        </w:rPr>
        <w:t xml:space="preserve"> sterilisations and abortions are also punishable.</w:t>
      </w:r>
      <w:r w:rsidRPr="00A86F53">
        <w:rPr>
          <w:rFonts w:eastAsia="Cambria" w:cs="Times New Roman"/>
          <w:vertAlign w:val="superscript"/>
          <w:lang w:val="en-GB"/>
        </w:rPr>
        <w:footnoteReference w:id="135"/>
      </w:r>
      <w:r w:rsidRPr="00A86F53">
        <w:rPr>
          <w:lang w:val="en-GB"/>
        </w:rPr>
        <w:t xml:space="preserve"> </w:t>
      </w:r>
    </w:p>
    <w:p w14:paraId="2FD51F85" w14:textId="77777777" w:rsidR="00A523DA" w:rsidRPr="00A86F53" w:rsidRDefault="00A523DA" w:rsidP="00A523DA">
      <w:pPr>
        <w:pStyle w:val="BodyText"/>
        <w:rPr>
          <w:lang w:val="en-GB"/>
        </w:rPr>
      </w:pPr>
      <w:r w:rsidRPr="00A86F53">
        <w:rPr>
          <w:lang w:val="en-GB"/>
        </w:rPr>
        <w:t xml:space="preserve">Based on the </w:t>
      </w:r>
      <w:r w:rsidRPr="00A86F53">
        <w:rPr>
          <w:b/>
          <w:lang w:val="en-GB"/>
        </w:rPr>
        <w:t>culpability of the offender</w:t>
      </w:r>
      <w:r w:rsidRPr="00A86F53">
        <w:rPr>
          <w:lang w:val="en-GB"/>
        </w:rPr>
        <w:t xml:space="preserve"> (particularly </w:t>
      </w:r>
      <w:r>
        <w:rPr>
          <w:lang w:val="en-GB"/>
        </w:rPr>
        <w:t xml:space="preserve">seriousness of damage to </w:t>
      </w:r>
      <w:r w:rsidRPr="00A86F53">
        <w:rPr>
          <w:lang w:val="en-GB"/>
        </w:rPr>
        <w:t>legal interest, moti</w:t>
      </w:r>
      <w:r>
        <w:rPr>
          <w:lang w:val="en-GB"/>
        </w:rPr>
        <w:t>ves, reprehensibility of the conduct</w:t>
      </w:r>
      <w:r w:rsidRPr="00A86F53">
        <w:rPr>
          <w:lang w:val="en-GB"/>
        </w:rPr>
        <w:t xml:space="preserve">), the range of penalties provides for discretion as to the </w:t>
      </w:r>
      <w:r>
        <w:rPr>
          <w:b/>
          <w:bCs/>
          <w:lang w:val="en-GB"/>
        </w:rPr>
        <w:t>sentence</w:t>
      </w:r>
      <w:r w:rsidRPr="00A86F53">
        <w:rPr>
          <w:lang w:val="en-GB"/>
        </w:rPr>
        <w:t xml:space="preserve">. If the victim has a </w:t>
      </w:r>
      <w:r w:rsidRPr="00A86F53">
        <w:rPr>
          <w:b/>
          <w:lang w:val="en-GB"/>
        </w:rPr>
        <w:t>disability</w:t>
      </w:r>
      <w:r w:rsidRPr="00A86F53">
        <w:rPr>
          <w:lang w:val="en-GB"/>
        </w:rPr>
        <w:t xml:space="preserve">, this may have an aggravating effect on the </w:t>
      </w:r>
      <w:r>
        <w:rPr>
          <w:lang w:val="en-GB"/>
        </w:rPr>
        <w:t xml:space="preserve">sentence </w:t>
      </w:r>
      <w:r w:rsidRPr="00A86F53">
        <w:rPr>
          <w:lang w:val="en-GB"/>
        </w:rPr>
        <w:t>(according to legal doctr</w:t>
      </w:r>
      <w:r>
        <w:rPr>
          <w:lang w:val="en-GB"/>
        </w:rPr>
        <w:t>ine in particular). In practice</w:t>
      </w:r>
      <w:r w:rsidRPr="00A86F53">
        <w:rPr>
          <w:lang w:val="en-GB"/>
        </w:rPr>
        <w:t xml:space="preserve"> however, a perverting</w:t>
      </w:r>
      <w:r>
        <w:rPr>
          <w:lang w:val="en-GB"/>
        </w:rPr>
        <w:t>,</w:t>
      </w:r>
      <w:r w:rsidRPr="00A86F53">
        <w:rPr>
          <w:lang w:val="en-GB"/>
        </w:rPr>
        <w:t xml:space="preserve"> mitigating exercise of discretion can also be observed, in which acts of violence, particularly against </w:t>
      </w:r>
      <w:r>
        <w:rPr>
          <w:lang w:val="en-GB"/>
        </w:rPr>
        <w:t>persons</w:t>
      </w:r>
      <w:r w:rsidRPr="00A86F53">
        <w:rPr>
          <w:lang w:val="en-GB"/>
        </w:rPr>
        <w:t xml:space="preserve"> with intellectual disabilities, are regarded as less serious.</w:t>
      </w:r>
      <w:r w:rsidRPr="00A86F53">
        <w:rPr>
          <w:rFonts w:eastAsia="Cambria" w:cs="Times New Roman"/>
          <w:vertAlign w:val="superscript"/>
          <w:lang w:val="en-GB"/>
        </w:rPr>
        <w:footnoteReference w:id="136"/>
      </w:r>
      <w:r w:rsidRPr="00A86F53">
        <w:rPr>
          <w:lang w:val="en-GB"/>
        </w:rPr>
        <w:t xml:space="preserve"> It is doubtful that substantive law and judicial practice in Switzerland are </w:t>
      </w:r>
      <w:r>
        <w:rPr>
          <w:lang w:val="en-GB"/>
        </w:rPr>
        <w:t xml:space="preserve">entirely </w:t>
      </w:r>
      <w:r w:rsidRPr="00A86F53">
        <w:rPr>
          <w:lang w:val="en-GB"/>
        </w:rPr>
        <w:t>consistent with the requirements of Article 16 CRPD and the IC.</w:t>
      </w:r>
    </w:p>
    <w:p w14:paraId="191E4B56" w14:textId="516BEC2C" w:rsidR="00C177BB" w:rsidRPr="0001096E" w:rsidRDefault="007826B2" w:rsidP="00EC48EF">
      <w:pPr>
        <w:pStyle w:val="Subtitle"/>
        <w:rPr>
          <w:lang w:val="en-GB"/>
        </w:rPr>
      </w:pPr>
      <w:r w:rsidRPr="0001096E">
        <w:rPr>
          <w:lang w:val="en-GB"/>
        </w:rPr>
        <w:t>Prevention and Protection against Violence</w:t>
      </w:r>
      <w:r w:rsidR="00C177BB" w:rsidRPr="0001096E">
        <w:rPr>
          <w:lang w:val="en-GB"/>
        </w:rPr>
        <w:t xml:space="preserve"> (LoI, para. 13b)</w:t>
      </w:r>
    </w:p>
    <w:p w14:paraId="4BC62092" w14:textId="517178FB" w:rsidR="00A523DA" w:rsidRDefault="00A523DA" w:rsidP="00A523DA">
      <w:pPr>
        <w:pStyle w:val="BodyText"/>
        <w:rPr>
          <w:lang w:val="en-GB"/>
        </w:rPr>
      </w:pPr>
      <w:r w:rsidRPr="00A86F53">
        <w:rPr>
          <w:lang w:val="en-GB"/>
        </w:rPr>
        <w:t>In the current Alternative Report to the GREVIO,</w:t>
      </w:r>
      <w:r w:rsidRPr="00A86F53">
        <w:rPr>
          <w:rFonts w:eastAsia="Cambria" w:cs="Times New Roman"/>
          <w:vertAlign w:val="superscript"/>
          <w:lang w:val="en-GB"/>
        </w:rPr>
        <w:footnoteReference w:id="137"/>
      </w:r>
      <w:r w:rsidRPr="00A86F53">
        <w:rPr>
          <w:lang w:val="en-GB"/>
        </w:rPr>
        <w:t xml:space="preserve"> experts analyse in depth the deficiencies in implementing the IC in relation to PWD. Here are some key </w:t>
      </w:r>
      <w:r w:rsidRPr="00A86F53">
        <w:rPr>
          <w:b/>
          <w:lang w:val="en-GB"/>
        </w:rPr>
        <w:t>findings on the barriers</w:t>
      </w:r>
      <w:r w:rsidRPr="00A86F53">
        <w:rPr>
          <w:lang w:val="en-GB"/>
        </w:rPr>
        <w:t>:</w:t>
      </w:r>
    </w:p>
    <w:p w14:paraId="64C3F9C1" w14:textId="77777777" w:rsidR="00A523DA" w:rsidRPr="00A86F53" w:rsidRDefault="00A523DA" w:rsidP="00A523DA">
      <w:pPr>
        <w:spacing w:after="60"/>
        <w:rPr>
          <w:rFonts w:eastAsia="Calibri"/>
          <w:b/>
          <w:lang w:val="en-GB"/>
        </w:rPr>
      </w:pPr>
      <w:r w:rsidRPr="00A86F53">
        <w:rPr>
          <w:rFonts w:eastAsia="Calibri"/>
          <w:b/>
          <w:lang w:val="en-GB"/>
        </w:rPr>
        <w:t>Prevention</w:t>
      </w:r>
    </w:p>
    <w:p w14:paraId="4D513C13" w14:textId="77777777" w:rsidR="00A523DA" w:rsidRPr="0002338D" w:rsidRDefault="00A523DA" w:rsidP="0002338D">
      <w:pPr>
        <w:pStyle w:val="ListParagraph"/>
        <w:numPr>
          <w:ilvl w:val="0"/>
          <w:numId w:val="44"/>
        </w:numPr>
        <w:shd w:val="clear" w:color="auto" w:fill="FFFFFF" w:themeFill="background1"/>
        <w:suppressAutoHyphens/>
        <w:spacing w:before="60" w:after="60" w:line="280" w:lineRule="exact"/>
        <w:ind w:left="709"/>
        <w:contextualSpacing w:val="0"/>
        <w:rPr>
          <w:lang w:val="en-GB"/>
        </w:rPr>
      </w:pPr>
      <w:r w:rsidRPr="0002338D">
        <w:rPr>
          <w:lang w:val="en-GB"/>
        </w:rPr>
        <w:t>Lack of specific preventive measures by the government for various target groups</w:t>
      </w:r>
    </w:p>
    <w:p w14:paraId="407A925F" w14:textId="77777777" w:rsidR="00A523DA" w:rsidRPr="0002338D" w:rsidRDefault="00A523DA" w:rsidP="0002338D">
      <w:pPr>
        <w:pStyle w:val="ListParagraph"/>
        <w:numPr>
          <w:ilvl w:val="0"/>
          <w:numId w:val="44"/>
        </w:numPr>
        <w:shd w:val="clear" w:color="auto" w:fill="FFFFFF" w:themeFill="background1"/>
        <w:suppressAutoHyphens/>
        <w:spacing w:before="60" w:after="60" w:line="280" w:lineRule="exact"/>
        <w:ind w:left="709"/>
        <w:contextualSpacing w:val="0"/>
        <w:rPr>
          <w:lang w:val="en-GB"/>
        </w:rPr>
      </w:pPr>
      <w:r w:rsidRPr="0002338D">
        <w:rPr>
          <w:lang w:val="en-GB"/>
        </w:rPr>
        <w:t>Apparently no regular campaigns/awareness-raising programmes that address/involve violence against PWD</w:t>
      </w:r>
    </w:p>
    <w:p w14:paraId="394E2ED0" w14:textId="77777777" w:rsidR="00A523DA" w:rsidRPr="0002338D" w:rsidRDefault="00A523DA" w:rsidP="0002338D">
      <w:pPr>
        <w:pStyle w:val="ListParagraph"/>
        <w:numPr>
          <w:ilvl w:val="0"/>
          <w:numId w:val="44"/>
        </w:numPr>
        <w:shd w:val="clear" w:color="auto" w:fill="FFFFFF" w:themeFill="background1"/>
        <w:suppressAutoHyphens/>
        <w:spacing w:before="60" w:after="60" w:line="280" w:lineRule="exact"/>
        <w:ind w:left="709"/>
        <w:contextualSpacing w:val="0"/>
        <w:rPr>
          <w:lang w:val="en-GB"/>
        </w:rPr>
      </w:pPr>
      <w:r w:rsidRPr="0002338D">
        <w:rPr>
          <w:lang w:val="en-GB"/>
        </w:rPr>
        <w:t>No systematic awareness-raising in sexual education</w:t>
      </w:r>
    </w:p>
    <w:p w14:paraId="0766B569" w14:textId="77777777" w:rsidR="00A523DA" w:rsidRPr="0002338D" w:rsidRDefault="00A523DA" w:rsidP="0002338D">
      <w:pPr>
        <w:pStyle w:val="ListParagraph"/>
        <w:numPr>
          <w:ilvl w:val="0"/>
          <w:numId w:val="44"/>
        </w:numPr>
        <w:shd w:val="clear" w:color="auto" w:fill="FFFFFF" w:themeFill="background1"/>
        <w:suppressAutoHyphens/>
        <w:spacing w:before="60" w:after="60" w:line="280" w:lineRule="exact"/>
        <w:ind w:left="709"/>
        <w:contextualSpacing w:val="0"/>
        <w:rPr>
          <w:lang w:val="en-GB"/>
        </w:rPr>
      </w:pPr>
      <w:r w:rsidRPr="0002338D">
        <w:rPr>
          <w:lang w:val="en-GB"/>
        </w:rPr>
        <w:lastRenderedPageBreak/>
        <w:t>Lack of awareness of stereotypes/prejudices and knowledge transfer in basic and advanced training of relevant professional groups</w:t>
      </w:r>
      <w:r w:rsidRPr="0002338D">
        <w:rPr>
          <w:rFonts w:cs="Times New Roman"/>
          <w:vertAlign w:val="superscript"/>
          <w:lang w:val="en-GB"/>
        </w:rPr>
        <w:footnoteReference w:id="138"/>
      </w:r>
    </w:p>
    <w:p w14:paraId="0A4A3A71" w14:textId="77777777" w:rsidR="00A523DA" w:rsidRPr="0002338D" w:rsidRDefault="00A523DA" w:rsidP="0002338D">
      <w:pPr>
        <w:pStyle w:val="ListParagraph"/>
        <w:numPr>
          <w:ilvl w:val="0"/>
          <w:numId w:val="44"/>
        </w:numPr>
        <w:shd w:val="clear" w:color="auto" w:fill="FFFFFF" w:themeFill="background1"/>
        <w:suppressAutoHyphens/>
        <w:spacing w:before="60" w:after="60" w:line="280" w:lineRule="exact"/>
        <w:ind w:left="709"/>
        <w:contextualSpacing w:val="0"/>
        <w:rPr>
          <w:lang w:val="en-GB"/>
        </w:rPr>
      </w:pPr>
      <w:r w:rsidRPr="0002338D">
        <w:rPr>
          <w:lang w:val="en-GB"/>
        </w:rPr>
        <w:t>Lack of empowerment/support for self-determined decision-making and lifestyle, including free choice of form of residence and support persons</w:t>
      </w:r>
    </w:p>
    <w:p w14:paraId="5CB0A47E" w14:textId="77777777" w:rsidR="00A523DA" w:rsidRPr="0002338D" w:rsidRDefault="00A523DA" w:rsidP="0002338D">
      <w:pPr>
        <w:pStyle w:val="ListParagraph"/>
        <w:numPr>
          <w:ilvl w:val="0"/>
          <w:numId w:val="44"/>
        </w:numPr>
        <w:shd w:val="clear" w:color="auto" w:fill="FFFFFF" w:themeFill="background1"/>
        <w:suppressAutoHyphens/>
        <w:spacing w:before="60" w:after="60" w:line="280" w:lineRule="exact"/>
        <w:ind w:left="709"/>
        <w:contextualSpacing w:val="0"/>
        <w:rPr>
          <w:lang w:val="en-GB"/>
        </w:rPr>
      </w:pPr>
      <w:r w:rsidRPr="0002338D">
        <w:rPr>
          <w:lang w:val="en-GB"/>
        </w:rPr>
        <w:t>Distorting portrayal of PWD in the media</w:t>
      </w:r>
    </w:p>
    <w:p w14:paraId="7FA34C63" w14:textId="77777777" w:rsidR="00A523DA" w:rsidRPr="0002338D" w:rsidRDefault="00A523DA" w:rsidP="0002338D">
      <w:pPr>
        <w:pStyle w:val="ListParagraph"/>
        <w:numPr>
          <w:ilvl w:val="0"/>
          <w:numId w:val="44"/>
        </w:numPr>
        <w:shd w:val="clear" w:color="auto" w:fill="FFFFFF" w:themeFill="background1"/>
        <w:suppressAutoHyphens/>
        <w:spacing w:before="60" w:after="60" w:line="280" w:lineRule="exact"/>
        <w:ind w:left="709"/>
        <w:contextualSpacing w:val="0"/>
        <w:rPr>
          <w:lang w:val="en-GB"/>
        </w:rPr>
      </w:pPr>
      <w:r w:rsidRPr="0002338D">
        <w:rPr>
          <w:lang w:val="en-GB"/>
        </w:rPr>
        <w:t xml:space="preserve">Development of principles of prevention by institutions/services providers, but few codes of conduct that put these principles in more concrete or specific form </w:t>
      </w:r>
    </w:p>
    <w:p w14:paraId="36B67145" w14:textId="77777777" w:rsidR="00A523DA" w:rsidRPr="0002338D" w:rsidRDefault="00A523DA" w:rsidP="0002338D">
      <w:pPr>
        <w:pStyle w:val="ListParagraph"/>
        <w:numPr>
          <w:ilvl w:val="0"/>
          <w:numId w:val="44"/>
        </w:numPr>
        <w:shd w:val="clear" w:color="auto" w:fill="FFFFFF" w:themeFill="background1"/>
        <w:suppressAutoHyphens/>
        <w:spacing w:before="60" w:after="60" w:line="280" w:lineRule="exact"/>
        <w:ind w:left="709"/>
        <w:contextualSpacing w:val="0"/>
        <w:rPr>
          <w:lang w:val="en-GB"/>
        </w:rPr>
      </w:pPr>
      <w:r w:rsidRPr="0002338D">
        <w:rPr>
          <w:lang w:val="en-GB"/>
        </w:rPr>
        <w:t>Lack of clear regulation of suitability and review of carers</w:t>
      </w:r>
      <w:r w:rsidRPr="0002338D">
        <w:rPr>
          <w:rFonts w:cs="Times New Roman"/>
          <w:vertAlign w:val="superscript"/>
          <w:lang w:val="en-GB"/>
        </w:rPr>
        <w:footnoteReference w:id="139"/>
      </w:r>
    </w:p>
    <w:p w14:paraId="10242EEC" w14:textId="4E92D256" w:rsidR="00A523DA" w:rsidRDefault="00A523DA" w:rsidP="0002338D">
      <w:pPr>
        <w:pStyle w:val="ListParagraph"/>
        <w:numPr>
          <w:ilvl w:val="0"/>
          <w:numId w:val="44"/>
        </w:numPr>
        <w:shd w:val="clear" w:color="auto" w:fill="FFFFFF" w:themeFill="background1"/>
        <w:suppressAutoHyphens/>
        <w:spacing w:before="60" w:line="280" w:lineRule="exact"/>
        <w:ind w:left="709" w:hanging="357"/>
        <w:contextualSpacing w:val="0"/>
        <w:rPr>
          <w:lang w:val="en-GB"/>
        </w:rPr>
      </w:pPr>
      <w:r w:rsidRPr="0002338D">
        <w:rPr>
          <w:lang w:val="en-GB"/>
        </w:rPr>
        <w:t xml:space="preserve">Insufficient compliance by the cantons with their </w:t>
      </w:r>
      <w:r w:rsidRPr="0002338D">
        <w:rPr>
          <w:b/>
          <w:lang w:val="en-GB"/>
        </w:rPr>
        <w:t>supervisory duties</w:t>
      </w:r>
      <w:r w:rsidRPr="0002338D">
        <w:rPr>
          <w:lang w:val="en-GB"/>
        </w:rPr>
        <w:t xml:space="preserve"> vis-à-vis institutions (e.g. focus on hygiene or administrative issues)</w:t>
      </w:r>
      <w:r w:rsidRPr="0002338D">
        <w:rPr>
          <w:rFonts w:cs="Times New Roman"/>
          <w:vertAlign w:val="superscript"/>
          <w:lang w:val="en-GB"/>
        </w:rPr>
        <w:footnoteReference w:id="140"/>
      </w:r>
      <w:r w:rsidRPr="0002338D">
        <w:rPr>
          <w:lang w:val="en-GB"/>
        </w:rPr>
        <w:t xml:space="preserve"> </w:t>
      </w:r>
    </w:p>
    <w:p w14:paraId="719C01FC" w14:textId="0E2F1548" w:rsidR="00915CF3" w:rsidRDefault="00915CF3">
      <w:pPr>
        <w:jc w:val="left"/>
        <w:rPr>
          <w:lang w:val="en-GB"/>
        </w:rPr>
      </w:pPr>
      <w:r>
        <w:rPr>
          <w:lang w:val="en-GB"/>
        </w:rPr>
        <w:br w:type="page"/>
      </w:r>
    </w:p>
    <w:p w14:paraId="5728D8D1" w14:textId="77777777" w:rsidR="00A523DA" w:rsidRPr="00A86F53" w:rsidRDefault="00A523DA" w:rsidP="00A523DA">
      <w:pPr>
        <w:tabs>
          <w:tab w:val="left" w:pos="1395"/>
        </w:tabs>
        <w:spacing w:after="60"/>
        <w:rPr>
          <w:rFonts w:eastAsia="Calibri"/>
          <w:b/>
          <w:lang w:val="en-GB"/>
        </w:rPr>
      </w:pPr>
      <w:r w:rsidRPr="00A86F53">
        <w:rPr>
          <w:rFonts w:eastAsia="Calibri"/>
          <w:b/>
          <w:lang w:val="en-GB"/>
        </w:rPr>
        <w:lastRenderedPageBreak/>
        <w:t>Access to protection and support</w:t>
      </w:r>
    </w:p>
    <w:p w14:paraId="5512B5E6" w14:textId="77777777" w:rsidR="00A523DA" w:rsidRPr="00A523DA" w:rsidRDefault="00A523DA" w:rsidP="0002338D">
      <w:pPr>
        <w:pStyle w:val="ListParagraph"/>
        <w:numPr>
          <w:ilvl w:val="0"/>
          <w:numId w:val="43"/>
        </w:numPr>
        <w:shd w:val="clear" w:color="auto" w:fill="FFFFFF" w:themeFill="background1"/>
        <w:suppressAutoHyphens/>
        <w:spacing w:before="60" w:after="60" w:line="280" w:lineRule="exact"/>
        <w:ind w:left="709"/>
        <w:contextualSpacing w:val="0"/>
        <w:rPr>
          <w:lang w:val="en-GB"/>
        </w:rPr>
      </w:pPr>
      <w:r w:rsidRPr="00A523DA">
        <w:rPr>
          <w:lang w:val="en-GB"/>
        </w:rPr>
        <w:t>Insufficient access to/accessibility of information on available support services/ reporting systems</w:t>
      </w:r>
    </w:p>
    <w:p w14:paraId="49D90894" w14:textId="77777777" w:rsidR="00A523DA" w:rsidRPr="00A523DA" w:rsidRDefault="00A523DA" w:rsidP="0002338D">
      <w:pPr>
        <w:pStyle w:val="ListParagraph"/>
        <w:numPr>
          <w:ilvl w:val="0"/>
          <w:numId w:val="43"/>
        </w:numPr>
        <w:shd w:val="clear" w:color="auto" w:fill="FFFFFF" w:themeFill="background1"/>
        <w:suppressAutoHyphens/>
        <w:spacing w:before="60" w:after="60" w:line="280" w:lineRule="exact"/>
        <w:ind w:left="709"/>
        <w:contextualSpacing w:val="0"/>
        <w:rPr>
          <w:lang w:val="en-GB"/>
        </w:rPr>
      </w:pPr>
      <w:r w:rsidRPr="00A523DA">
        <w:rPr>
          <w:lang w:val="en-GB"/>
        </w:rPr>
        <w:t>narrow understanding of “domestic violence” (family/partnership) hinders tailored protective measures (e.g. vis-à-vis the support person)</w:t>
      </w:r>
    </w:p>
    <w:p w14:paraId="262AEF4F" w14:textId="77777777" w:rsidR="00A523DA" w:rsidRPr="00A523DA" w:rsidRDefault="00A523DA" w:rsidP="0002338D">
      <w:pPr>
        <w:pStyle w:val="ListParagraph"/>
        <w:numPr>
          <w:ilvl w:val="0"/>
          <w:numId w:val="43"/>
        </w:numPr>
        <w:shd w:val="clear" w:color="auto" w:fill="FFFFFF" w:themeFill="background1"/>
        <w:suppressAutoHyphens/>
        <w:spacing w:before="60" w:after="60" w:line="280" w:lineRule="exact"/>
        <w:ind w:left="709"/>
        <w:contextualSpacing w:val="0"/>
        <w:rPr>
          <w:lang w:val="en-GB"/>
        </w:rPr>
      </w:pPr>
      <w:r w:rsidRPr="00A523DA">
        <w:rPr>
          <w:lang w:val="en-GB"/>
        </w:rPr>
        <w:t>Notification duty of third parties only in official capacity</w:t>
      </w:r>
    </w:p>
    <w:p w14:paraId="582B5F7F" w14:textId="77777777" w:rsidR="00A523DA" w:rsidRPr="00A523DA" w:rsidRDefault="00A523DA" w:rsidP="0002338D">
      <w:pPr>
        <w:pStyle w:val="ListParagraph"/>
        <w:numPr>
          <w:ilvl w:val="0"/>
          <w:numId w:val="43"/>
        </w:numPr>
        <w:shd w:val="clear" w:color="auto" w:fill="FFFFFF" w:themeFill="background1"/>
        <w:suppressAutoHyphens/>
        <w:spacing w:before="60" w:line="280" w:lineRule="exact"/>
        <w:ind w:left="709" w:hanging="357"/>
        <w:contextualSpacing w:val="0"/>
        <w:rPr>
          <w:lang w:val="en-GB"/>
        </w:rPr>
      </w:pPr>
      <w:r w:rsidRPr="00A523DA">
        <w:rPr>
          <w:lang w:val="en-GB"/>
        </w:rPr>
        <w:t>Questioning the credibility of the statements of the persons concerned, including degrading treatment; omission of protective measures, erroneous prosecutorial and judicial decisions</w:t>
      </w:r>
    </w:p>
    <w:p w14:paraId="12FB7503" w14:textId="77777777" w:rsidR="00A523DA" w:rsidRPr="00A86F53" w:rsidRDefault="00A523DA" w:rsidP="00A523DA">
      <w:pPr>
        <w:tabs>
          <w:tab w:val="left" w:pos="1395"/>
        </w:tabs>
        <w:spacing w:after="60"/>
        <w:rPr>
          <w:rFonts w:eastAsia="Calibri"/>
          <w:b/>
          <w:lang w:val="en-GB"/>
        </w:rPr>
      </w:pPr>
      <w:r>
        <w:rPr>
          <w:rFonts w:eastAsia="Calibri"/>
          <w:b/>
          <w:lang w:val="en-GB"/>
        </w:rPr>
        <w:t>Inclusive design of</w:t>
      </w:r>
      <w:r w:rsidRPr="00A86F53">
        <w:rPr>
          <w:rFonts w:eastAsia="Calibri"/>
          <w:b/>
          <w:lang w:val="en-GB"/>
        </w:rPr>
        <w:t xml:space="preserve"> protection and support </w:t>
      </w:r>
    </w:p>
    <w:p w14:paraId="53C4C0D1" w14:textId="77777777" w:rsidR="00A523DA" w:rsidRPr="00A523DA" w:rsidRDefault="00A523DA" w:rsidP="00A523DA">
      <w:pPr>
        <w:pStyle w:val="ListParagraph"/>
        <w:numPr>
          <w:ilvl w:val="0"/>
          <w:numId w:val="42"/>
        </w:numPr>
        <w:shd w:val="clear" w:color="auto" w:fill="FFFFFF" w:themeFill="background1"/>
        <w:suppressAutoHyphens/>
        <w:spacing w:before="60" w:after="60" w:line="280" w:lineRule="exact"/>
        <w:contextualSpacing w:val="0"/>
        <w:rPr>
          <w:lang w:val="en-GB"/>
        </w:rPr>
      </w:pPr>
      <w:r w:rsidRPr="00A523DA">
        <w:rPr>
          <w:lang w:val="en-GB"/>
        </w:rPr>
        <w:t xml:space="preserve">Victim support centres as per the Victim Support Act (VSA): Little </w:t>
      </w:r>
      <w:r w:rsidRPr="00A523DA">
        <w:rPr>
          <w:b/>
          <w:lang w:val="en-GB"/>
        </w:rPr>
        <w:t>disability-specific expertise</w:t>
      </w:r>
      <w:r w:rsidRPr="00A523DA">
        <w:rPr>
          <w:lang w:val="en-GB"/>
        </w:rPr>
        <w:t>, lack of accessibility/ reasonable accommodations in terms of information and communication; possibly consider violence in institutions to be "outside their area of responsibility"; not available 24 hours a day</w:t>
      </w:r>
    </w:p>
    <w:p w14:paraId="3E25EBC4" w14:textId="77777777" w:rsidR="00A523DA" w:rsidRPr="00A523DA" w:rsidRDefault="00A523DA" w:rsidP="00A523DA">
      <w:pPr>
        <w:pStyle w:val="ListParagraph"/>
        <w:numPr>
          <w:ilvl w:val="0"/>
          <w:numId w:val="42"/>
        </w:numPr>
        <w:shd w:val="clear" w:color="auto" w:fill="FFFFFF" w:themeFill="background1"/>
        <w:suppressAutoHyphens/>
        <w:spacing w:before="60" w:after="60" w:line="280" w:lineRule="exact"/>
        <w:contextualSpacing w:val="0"/>
        <w:rPr>
          <w:lang w:val="en-GB"/>
        </w:rPr>
      </w:pPr>
      <w:r w:rsidRPr="00A523DA">
        <w:rPr>
          <w:lang w:val="en-GB"/>
        </w:rPr>
        <w:t>Lack of awareness/expertise, accessibility and reasonable accommodations on the part of CAPA, the police and the judicial authorities</w:t>
      </w:r>
    </w:p>
    <w:p w14:paraId="4FD28FE0" w14:textId="77777777" w:rsidR="00A523DA" w:rsidRPr="00A523DA" w:rsidRDefault="00A523DA" w:rsidP="00A523DA">
      <w:pPr>
        <w:numPr>
          <w:ilvl w:val="0"/>
          <w:numId w:val="42"/>
        </w:numPr>
        <w:tabs>
          <w:tab w:val="left" w:pos="1395"/>
        </w:tabs>
        <w:spacing w:after="40" w:line="280" w:lineRule="exact"/>
        <w:rPr>
          <w:rFonts w:eastAsia="Calibri"/>
          <w:lang w:val="en-GB"/>
        </w:rPr>
      </w:pPr>
      <w:r w:rsidRPr="00A523DA">
        <w:rPr>
          <w:rFonts w:eastAsia="Calibri"/>
          <w:b/>
          <w:lang w:val="en-GB"/>
        </w:rPr>
        <w:t>Reporting system</w:t>
      </w:r>
      <w:r w:rsidRPr="00A523DA">
        <w:rPr>
          <w:rFonts w:eastAsia="Calibri"/>
          <w:lang w:val="en-GB"/>
        </w:rPr>
        <w:t xml:space="preserve"> for violent incidents in </w:t>
      </w:r>
      <w:r w:rsidRPr="00A523DA">
        <w:rPr>
          <w:rFonts w:eastAsia="Calibri"/>
          <w:b/>
          <w:lang w:val="en-GB"/>
        </w:rPr>
        <w:t>institutions</w:t>
      </w:r>
      <w:r w:rsidRPr="00A523DA">
        <w:rPr>
          <w:rFonts w:eastAsia="Calibri"/>
          <w:lang w:val="en-GB"/>
        </w:rPr>
        <w:t xml:space="preserve"> (first point of contact, association-internal reporting office, external reporting office): No continuous accessibility, no guarantee of independence </w:t>
      </w:r>
    </w:p>
    <w:p w14:paraId="5BE65DC3" w14:textId="77777777" w:rsidR="00A523DA" w:rsidRPr="00A523DA" w:rsidRDefault="00A523DA" w:rsidP="0002338D">
      <w:pPr>
        <w:pStyle w:val="ListParagraph"/>
        <w:numPr>
          <w:ilvl w:val="0"/>
          <w:numId w:val="42"/>
        </w:numPr>
        <w:shd w:val="clear" w:color="auto" w:fill="FFFFFF" w:themeFill="background1"/>
        <w:suppressAutoHyphens/>
        <w:spacing w:before="60" w:line="280" w:lineRule="exact"/>
        <w:ind w:left="714" w:hanging="357"/>
        <w:contextualSpacing w:val="0"/>
        <w:rPr>
          <w:rFonts w:eastAsia="Calibri"/>
          <w:lang w:val="en-GB"/>
        </w:rPr>
      </w:pPr>
      <w:r w:rsidRPr="00A523DA">
        <w:rPr>
          <w:rFonts w:eastAsia="Calibri"/>
          <w:bCs/>
          <w:lang w:val="en-GB"/>
        </w:rPr>
        <w:t>(Women’s)</w:t>
      </w:r>
      <w:r w:rsidRPr="00A523DA">
        <w:rPr>
          <w:rFonts w:eastAsia="Calibri"/>
          <w:b/>
          <w:lang w:val="en-GB"/>
        </w:rPr>
        <w:t xml:space="preserve"> Shelters: </w:t>
      </w:r>
      <w:r w:rsidRPr="00A523DA">
        <w:rPr>
          <w:lang w:val="en-GB"/>
        </w:rPr>
        <w:t xml:space="preserve">Lack of expertise, accessibility and reasonable accommodations </w:t>
      </w:r>
    </w:p>
    <w:p w14:paraId="093B18EB" w14:textId="3CF24BB4" w:rsidR="00A523DA" w:rsidRPr="0002338D" w:rsidRDefault="00A523DA" w:rsidP="00A523DA">
      <w:pPr>
        <w:pStyle w:val="BodyText"/>
        <w:rPr>
          <w:iCs/>
          <w:lang w:val="en-GB"/>
        </w:rPr>
      </w:pPr>
      <w:r w:rsidRPr="00A86F53">
        <w:rPr>
          <w:b/>
          <w:lang w:val="en-GB"/>
        </w:rPr>
        <w:t xml:space="preserve">Positive examples </w:t>
      </w:r>
      <w:r w:rsidRPr="00A86F53">
        <w:rPr>
          <w:lang w:val="en-GB"/>
        </w:rPr>
        <w:t>in this area include general awareness</w:t>
      </w:r>
      <w:r>
        <w:rPr>
          <w:lang w:val="en-GB"/>
        </w:rPr>
        <w:t>-</w:t>
      </w:r>
      <w:r w:rsidRPr="00A86F53">
        <w:rPr>
          <w:lang w:val="en-GB"/>
        </w:rPr>
        <w:t xml:space="preserve">raising (e.g. by means of a film festival) and specialised continuing education programmes. The website of Victim Support Switzerland is </w:t>
      </w:r>
      <w:r>
        <w:rPr>
          <w:lang w:val="en-GB"/>
        </w:rPr>
        <w:t xml:space="preserve">close to </w:t>
      </w:r>
      <w:r w:rsidRPr="00A86F53">
        <w:rPr>
          <w:lang w:val="en-GB"/>
        </w:rPr>
        <w:t>accessib</w:t>
      </w:r>
      <w:r>
        <w:rPr>
          <w:lang w:val="en-GB"/>
        </w:rPr>
        <w:t>ility</w:t>
      </w:r>
      <w:r w:rsidRPr="00A86F53">
        <w:rPr>
          <w:lang w:val="en-GB"/>
        </w:rPr>
        <w:t xml:space="preserve"> (in contrast to many cantonal websites that are linked to it there)</w:t>
      </w:r>
      <w:r>
        <w:rPr>
          <w:lang w:val="en-GB"/>
        </w:rPr>
        <w:t xml:space="preserve">; however, information in </w:t>
      </w:r>
      <w:r w:rsidR="005B6E73">
        <w:rPr>
          <w:lang w:val="en-GB"/>
        </w:rPr>
        <w:t>plain-language</w:t>
      </w:r>
      <w:r>
        <w:rPr>
          <w:lang w:val="en-GB"/>
        </w:rPr>
        <w:t xml:space="preserve"> is lacking.</w:t>
      </w:r>
      <w:r w:rsidRPr="00A86F53">
        <w:rPr>
          <w:lang w:val="en-GB"/>
        </w:rPr>
        <w:t xml:space="preserve"> In addition, the Frauenhaus </w:t>
      </w:r>
      <w:r w:rsidRPr="00A86F53">
        <w:rPr>
          <w:iCs/>
          <w:lang w:val="en-GB"/>
        </w:rPr>
        <w:t xml:space="preserve">Graubünden apparently </w:t>
      </w:r>
      <w:r w:rsidRPr="00A86F53">
        <w:rPr>
          <w:iCs/>
          <w:lang w:val="en-GB"/>
        </w:rPr>
        <w:lastRenderedPageBreak/>
        <w:t xml:space="preserve">has an accessible infrastructure and basically offers protection to women and children with all types of disabilities. The planned establishment of a </w:t>
      </w:r>
      <w:r w:rsidRPr="00A86F53">
        <w:rPr>
          <w:b/>
          <w:iCs/>
          <w:lang w:val="en-GB"/>
        </w:rPr>
        <w:t>24-hour counselling service</w:t>
      </w:r>
      <w:r w:rsidRPr="00A86F53">
        <w:rPr>
          <w:iCs/>
          <w:lang w:val="en-GB"/>
        </w:rPr>
        <w:t xml:space="preserve"> for persons affected by violence throughout Switzerland as a result of several parliamentary motions which expressly also demand that the service be accessible to PWD is particularly encouraging.</w:t>
      </w:r>
      <w:r w:rsidRPr="00A86F53">
        <w:rPr>
          <w:iCs/>
          <w:vertAlign w:val="superscript"/>
          <w:lang w:val="en-GB"/>
        </w:rPr>
        <w:footnoteReference w:id="141"/>
      </w:r>
    </w:p>
    <w:p w14:paraId="159E5D6F" w14:textId="77777777" w:rsidR="00C177BB" w:rsidRPr="0001096E" w:rsidRDefault="007826B2" w:rsidP="00C177BB">
      <w:pPr>
        <w:pStyle w:val="Subtitle"/>
        <w:rPr>
          <w:lang w:val="en-GB"/>
        </w:rPr>
      </w:pPr>
      <w:r w:rsidRPr="0001096E">
        <w:rPr>
          <w:lang w:val="en-GB"/>
        </w:rPr>
        <w:t>Strategy against gender based violence</w:t>
      </w:r>
      <w:r w:rsidR="00C177BB" w:rsidRPr="0001096E">
        <w:rPr>
          <w:lang w:val="en-GB"/>
        </w:rPr>
        <w:t xml:space="preserve"> (LoI, para. 13c)</w:t>
      </w:r>
    </w:p>
    <w:p w14:paraId="77733474" w14:textId="23463E13" w:rsidR="00C177BB" w:rsidRPr="0001096E" w:rsidRDefault="0002338D" w:rsidP="0002338D">
      <w:pPr>
        <w:pStyle w:val="BodyText"/>
        <w:rPr>
          <w:lang w:val="en-GB"/>
        </w:rPr>
      </w:pPr>
      <w:r w:rsidRPr="00A86F53">
        <w:rPr>
          <w:lang w:val="en-GB"/>
        </w:rPr>
        <w:t xml:space="preserve">As mentioned above, the elaboration of a </w:t>
      </w:r>
      <w:r w:rsidRPr="00A86F53">
        <w:rPr>
          <w:b/>
          <w:lang w:val="en-GB"/>
        </w:rPr>
        <w:t>NAP to implement the IC</w:t>
      </w:r>
      <w:r w:rsidRPr="00A86F53">
        <w:rPr>
          <w:lang w:val="en-GB"/>
        </w:rPr>
        <w:t xml:space="preserve"> is envisaged in the Equality Action Plan 2030 (see proposal for a corresponding recommendation under Article 6 CRPD).</w:t>
      </w:r>
      <w:r w:rsidR="0049152C" w:rsidRPr="004B0FA9">
        <w:rPr>
          <w:rFonts w:eastAsia="Cambria" w:cs="Times New Roman"/>
          <w:iCs/>
          <w:vertAlign w:val="superscript"/>
          <w:lang w:val="de-CH"/>
        </w:rPr>
        <w:footnoteReference w:id="142"/>
      </w:r>
      <w:r w:rsidRPr="00A86F53">
        <w:rPr>
          <w:lang w:val="en-GB"/>
        </w:rPr>
        <w:t xml:space="preserve"> Under the leadership of the FOGE, the Confederation and the cantons intend to define implementation measures, responsibilities, their prioritisation and financing, as </w:t>
      </w:r>
      <w:r w:rsidRPr="00BC2EC2">
        <w:rPr>
          <w:lang w:val="en-GB"/>
        </w:rPr>
        <w:t>well as a timetable. Approval by the FC is planned for June 2022. Civil society has been consulted through questionnaires and exchange sessions; however, the extent to which the ideas it has submitted will be integrated into the NAP remains to be seen. In addition</w:t>
      </w:r>
      <w:r w:rsidRPr="00A86F53">
        <w:rPr>
          <w:lang w:val="en-GB"/>
        </w:rPr>
        <w:t xml:space="preserve">, a </w:t>
      </w:r>
      <w:r w:rsidRPr="00A86F53">
        <w:rPr>
          <w:b/>
          <w:lang w:val="en-GB"/>
        </w:rPr>
        <w:t>roadmap against domestic violence</w:t>
      </w:r>
      <w:r w:rsidRPr="00A86F53">
        <w:rPr>
          <w:lang w:val="en-GB"/>
        </w:rPr>
        <w:t xml:space="preserve"> has already been approved by the Confederation and the cantons (responsibility of the FOJ).</w:t>
      </w:r>
      <w:r w:rsidR="003D2F0B" w:rsidRPr="004B0FA9">
        <w:rPr>
          <w:rFonts w:eastAsia="Calibri"/>
          <w:vertAlign w:val="superscript"/>
          <w:lang w:val="de-CH"/>
        </w:rPr>
        <w:footnoteReference w:id="143"/>
      </w:r>
      <w:r w:rsidRPr="00A86F53">
        <w:rPr>
          <w:lang w:val="en-GB"/>
        </w:rPr>
        <w:t xml:space="preserve"> In terms of the areas of action and measures listed there as regards </w:t>
      </w:r>
      <w:r w:rsidRPr="00A86F53">
        <w:rPr>
          <w:b/>
          <w:lang w:val="en-GB"/>
        </w:rPr>
        <w:t xml:space="preserve">improving victim </w:t>
      </w:r>
      <w:r w:rsidRPr="00A86F53">
        <w:rPr>
          <w:b/>
          <w:bCs/>
          <w:lang w:val="en-GB"/>
        </w:rPr>
        <w:t>protection</w:t>
      </w:r>
      <w:r w:rsidRPr="00A86F53">
        <w:rPr>
          <w:lang w:val="en-GB"/>
        </w:rPr>
        <w:t xml:space="preserve">, the </w:t>
      </w:r>
      <w:r>
        <w:rPr>
          <w:lang w:val="en-GB"/>
        </w:rPr>
        <w:t>requirements</w:t>
      </w:r>
      <w:r w:rsidRPr="00A86F53">
        <w:rPr>
          <w:lang w:val="en-GB"/>
        </w:rPr>
        <w:t xml:space="preserve"> of women with disabilities are unfortunately nowhere to be found.</w:t>
      </w:r>
      <w:r w:rsidRPr="00A86F53">
        <w:rPr>
          <w:vertAlign w:val="superscript"/>
          <w:lang w:val="en-GB"/>
        </w:rPr>
        <w:footnoteReference w:id="144"/>
      </w:r>
    </w:p>
    <w:p w14:paraId="19B02AC6" w14:textId="56CFD59F" w:rsidR="00C177BB" w:rsidRPr="0001096E" w:rsidRDefault="007826B2" w:rsidP="00C177BB">
      <w:pPr>
        <w:shd w:val="clear" w:color="auto" w:fill="FFFFCC"/>
        <w:rPr>
          <w:rFonts w:eastAsia="Calibri"/>
          <w:b/>
          <w:lang w:val="en-GB"/>
        </w:rPr>
      </w:pPr>
      <w:r w:rsidRPr="0001096E">
        <w:rPr>
          <w:rFonts w:eastAsia="Calibri"/>
          <w:b/>
          <w:lang w:val="en-GB"/>
        </w:rPr>
        <w:t>Proposals for recommendations:</w:t>
      </w:r>
    </w:p>
    <w:p w14:paraId="2005583C" w14:textId="77777777" w:rsidR="0002338D" w:rsidRPr="003D2F0B" w:rsidRDefault="0002338D" w:rsidP="0002338D">
      <w:pPr>
        <w:pStyle w:val="SBEmpfehlungen"/>
        <w:rPr>
          <w:b/>
        </w:rPr>
      </w:pPr>
      <w:r w:rsidRPr="003D2F0B">
        <w:lastRenderedPageBreak/>
        <w:t xml:space="preserve">In fulfilling its obligations under Articles 6, 16 and 31 CRPD as well as Article 11 IC, </w:t>
      </w:r>
      <w:r w:rsidRPr="003D2F0B">
        <w:rPr>
          <w:b/>
        </w:rPr>
        <w:t>the Confederation</w:t>
      </w:r>
      <w:r w:rsidRPr="003D2F0B">
        <w:t xml:space="preserve"> shall immediately ensure that an in</w:t>
      </w:r>
      <w:r w:rsidRPr="003D2F0B">
        <w:rPr>
          <w:b/>
        </w:rPr>
        <w:t>-</w:t>
      </w:r>
      <w:r w:rsidRPr="003D2F0B">
        <w:t xml:space="preserve">depth analysis of the </w:t>
      </w:r>
      <w:r w:rsidRPr="003D2F0B">
        <w:rPr>
          <w:b/>
        </w:rPr>
        <w:t>incidence of violence</w:t>
      </w:r>
      <w:r w:rsidRPr="003D2F0B">
        <w:t xml:space="preserve"> a</w:t>
      </w:r>
      <w:r w:rsidRPr="0002338D">
        <w:t>gainst</w:t>
      </w:r>
      <w:r w:rsidRPr="003D2F0B">
        <w:t xml:space="preserve"> PWD is conducted as part of the </w:t>
      </w:r>
      <w:r w:rsidRPr="0002338D">
        <w:t xml:space="preserve">prevalence study on violence against women and domestic violence </w:t>
      </w:r>
      <w:r w:rsidRPr="003D2F0B">
        <w:t>or in the form of a special, appropriately funded research contract.</w:t>
      </w:r>
    </w:p>
    <w:p w14:paraId="0816C1B4" w14:textId="77777777" w:rsidR="0002338D" w:rsidRPr="003D2F0B" w:rsidRDefault="0002338D" w:rsidP="0002338D">
      <w:pPr>
        <w:pStyle w:val="SBEmpfehlungen"/>
        <w:rPr>
          <w:b/>
        </w:rPr>
      </w:pPr>
      <w:r w:rsidRPr="003D2F0B">
        <w:rPr>
          <w:b/>
        </w:rPr>
        <w:t>The Confederation and</w:t>
      </w:r>
      <w:r w:rsidRPr="003D2F0B">
        <w:t xml:space="preserve"> </w:t>
      </w:r>
      <w:r w:rsidRPr="003D2F0B">
        <w:rPr>
          <w:b/>
        </w:rPr>
        <w:t>the cantons</w:t>
      </w:r>
      <w:r w:rsidRPr="003D2F0B">
        <w:t xml:space="preserve"> shall include in the NAP</w:t>
      </w:r>
      <w:r w:rsidRPr="003D2F0B">
        <w:rPr>
          <w:b/>
        </w:rPr>
        <w:t xml:space="preserve"> targeted, verifiable </w:t>
      </w:r>
      <w:r w:rsidRPr="003D2F0B">
        <w:t>measures to</w:t>
      </w:r>
      <w:r w:rsidRPr="003D2F0B">
        <w:rPr>
          <w:b/>
        </w:rPr>
        <w:t xml:space="preserve"> prevent violence </w:t>
      </w:r>
      <w:r w:rsidRPr="003D2F0B">
        <w:t>against PWD, including government campaigns and awareness-raising programmes.</w:t>
      </w:r>
    </w:p>
    <w:p w14:paraId="6C11C9F0" w14:textId="77777777" w:rsidR="0002338D" w:rsidRPr="003D2F0B" w:rsidRDefault="0002338D" w:rsidP="0002338D">
      <w:pPr>
        <w:pStyle w:val="SBEmpfehlungen"/>
        <w:rPr>
          <w:b/>
        </w:rPr>
      </w:pPr>
      <w:r w:rsidRPr="003D2F0B">
        <w:rPr>
          <w:b/>
        </w:rPr>
        <w:t>Every canton</w:t>
      </w:r>
      <w:r w:rsidRPr="003D2F0B">
        <w:t xml:space="preserve"> shall draw up a strategy, including a timetable, with the aim of making all </w:t>
      </w:r>
      <w:r w:rsidRPr="0002338D">
        <w:t xml:space="preserve">regular </w:t>
      </w:r>
      <w:r w:rsidRPr="0002338D">
        <w:rPr>
          <w:b/>
          <w:bCs/>
        </w:rPr>
        <w:t>victim support services</w:t>
      </w:r>
      <w:r w:rsidRPr="0002338D">
        <w:t xml:space="preserve"> </w:t>
      </w:r>
      <w:r w:rsidRPr="003D2F0B">
        <w:t xml:space="preserve">and </w:t>
      </w:r>
      <w:r w:rsidRPr="0002338D">
        <w:rPr>
          <w:b/>
        </w:rPr>
        <w:t>shelters</w:t>
      </w:r>
      <w:r w:rsidRPr="003D2F0B">
        <w:rPr>
          <w:b/>
        </w:rPr>
        <w:t xml:space="preserve"> </w:t>
      </w:r>
      <w:r w:rsidRPr="003D2F0B">
        <w:t>for persons affected by violence on its territory fully accessible to PWD, including training</w:t>
      </w:r>
      <w:r w:rsidRPr="0002338D">
        <w:t xml:space="preserve"> of staff</w:t>
      </w:r>
      <w:r w:rsidRPr="003D2F0B">
        <w:t xml:space="preserve">; providing accessible information, communication and infrastructure; and ensuring easy access for persons living in institutions (confidential reporting procedure). </w:t>
      </w:r>
    </w:p>
    <w:p w14:paraId="7E4312CB" w14:textId="4F786AC5" w:rsidR="00043373" w:rsidRPr="0002338D" w:rsidRDefault="0002338D" w:rsidP="0002338D">
      <w:pPr>
        <w:pStyle w:val="SBEmpfehlungen"/>
        <w:rPr>
          <w:b/>
        </w:rPr>
      </w:pPr>
      <w:r w:rsidRPr="003D2F0B">
        <w:t>As part of regular and unannounced supervisory visits, the cantons shall focus their inspections on the institutions' actual implementation of</w:t>
      </w:r>
      <w:r w:rsidRPr="0002338D">
        <w:t xml:space="preserve"> policies and codes of conduct for the prevention and protection of violence.</w:t>
      </w:r>
    </w:p>
    <w:p w14:paraId="34A65E46" w14:textId="0EB1AAAA" w:rsidR="007826B2" w:rsidRPr="0001096E" w:rsidRDefault="007826B2" w:rsidP="007826B2">
      <w:pPr>
        <w:pStyle w:val="Heading3"/>
        <w:numPr>
          <w:ilvl w:val="0"/>
          <w:numId w:val="0"/>
        </w:numPr>
        <w:ind w:left="737" w:hanging="737"/>
        <w:rPr>
          <w:lang w:val="en-GB"/>
        </w:rPr>
      </w:pPr>
      <w:bookmarkStart w:id="87" w:name="_Toc93596143"/>
      <w:bookmarkStart w:id="88" w:name="_Toc91237782"/>
      <w:bookmarkStart w:id="89" w:name="_Toc95297071"/>
      <w:bookmarkStart w:id="90" w:name="_Ref95642899"/>
      <w:bookmarkStart w:id="91" w:name="_Toc95668186"/>
      <w:r w:rsidRPr="0001096E">
        <w:rPr>
          <w:lang w:val="en-GB"/>
        </w:rPr>
        <w:t>Article 17 – Protecting the integrity of the person</w:t>
      </w:r>
      <w:bookmarkEnd w:id="87"/>
      <w:bookmarkEnd w:id="88"/>
      <w:bookmarkEnd w:id="89"/>
      <w:bookmarkEnd w:id="90"/>
      <w:bookmarkEnd w:id="91"/>
    </w:p>
    <w:p w14:paraId="64EA74DD" w14:textId="77777777" w:rsidR="0002338D" w:rsidRPr="00685D23" w:rsidRDefault="0002338D" w:rsidP="0002338D">
      <w:pPr>
        <w:pStyle w:val="BodyText"/>
        <w:rPr>
          <w:rFonts w:eastAsia="Cambria"/>
          <w:szCs w:val="24"/>
          <w:lang w:val="en-GB"/>
        </w:rPr>
      </w:pPr>
      <w:r w:rsidRPr="00685D23">
        <w:rPr>
          <w:rFonts w:eastAsia="Cambria"/>
          <w:szCs w:val="24"/>
          <w:lang w:val="en-GB"/>
        </w:rPr>
        <w:t>As mentioned above (Article 15 CRPD), the Sterilisation Act in no way prohibits sterilisations against the will respectively without the prior informed consent (PIC) of a person considered “</w:t>
      </w:r>
      <w:r w:rsidRPr="00685D23">
        <w:rPr>
          <w:rFonts w:eastAsia="Cambria"/>
          <w:b/>
          <w:bCs/>
          <w:szCs w:val="24"/>
          <w:lang w:val="en-GB"/>
        </w:rPr>
        <w:t>incapable of judgement</w:t>
      </w:r>
      <w:r w:rsidRPr="00685D23">
        <w:rPr>
          <w:rFonts w:eastAsia="Cambria"/>
          <w:szCs w:val="24"/>
          <w:lang w:val="en-GB"/>
        </w:rPr>
        <w:t>”</w:t>
      </w:r>
      <w:r w:rsidRPr="00685D23">
        <w:rPr>
          <w:rFonts w:eastAsia="Cambria"/>
          <w:b/>
          <w:bCs/>
          <w:szCs w:val="24"/>
          <w:lang w:val="en-GB"/>
        </w:rPr>
        <w:t xml:space="preserve"> </w:t>
      </w:r>
      <w:r w:rsidRPr="00685D23">
        <w:rPr>
          <w:rFonts w:eastAsia="Cambria"/>
          <w:szCs w:val="24"/>
          <w:lang w:val="en-GB"/>
        </w:rPr>
        <w:t xml:space="preserve">from 16 years of age. In the Reply to the LoI (para. 46), Switzerland seems to distance itself from its claim to the contrary in the ISR (para. 86). Under the prevailing law, the </w:t>
      </w:r>
      <w:r w:rsidRPr="00685D23">
        <w:rPr>
          <w:rFonts w:eastAsia="Cambria"/>
          <w:b/>
          <w:szCs w:val="24"/>
          <w:lang w:val="en-GB"/>
        </w:rPr>
        <w:t xml:space="preserve">will of a person “incapable of judgement” </w:t>
      </w:r>
      <w:r w:rsidRPr="00685D23">
        <w:rPr>
          <w:rFonts w:eastAsia="Cambria"/>
          <w:szCs w:val="24"/>
          <w:lang w:val="en-GB"/>
        </w:rPr>
        <w:t xml:space="preserve">has </w:t>
      </w:r>
      <w:r w:rsidRPr="00685D23">
        <w:rPr>
          <w:rFonts w:eastAsia="Cambria"/>
          <w:b/>
          <w:szCs w:val="24"/>
          <w:lang w:val="en-GB"/>
        </w:rPr>
        <w:t>no legal relevance</w:t>
      </w:r>
      <w:r w:rsidRPr="00685D23">
        <w:rPr>
          <w:rFonts w:eastAsia="Cambria"/>
          <w:szCs w:val="24"/>
          <w:lang w:val="en-GB"/>
        </w:rPr>
        <w:t>. Rather, the decisive factors, according to Article 7(2)(a) of the Sterilisation Act, are whether,</w:t>
      </w:r>
      <w:r>
        <w:rPr>
          <w:rFonts w:eastAsia="Cambria"/>
          <w:szCs w:val="24"/>
          <w:lang w:val="en-GB"/>
        </w:rPr>
        <w:t xml:space="preserve"> “b</w:t>
      </w:r>
      <w:r w:rsidRPr="00B85339">
        <w:rPr>
          <w:lang w:val="en-GB"/>
        </w:rPr>
        <w:t>ased on the overall circumstances</w:t>
      </w:r>
      <w:r>
        <w:rPr>
          <w:lang w:val="en-GB"/>
        </w:rPr>
        <w:t>”</w:t>
      </w:r>
      <w:r w:rsidRPr="00685D23">
        <w:rPr>
          <w:rFonts w:eastAsia="Cambria"/>
          <w:szCs w:val="24"/>
          <w:lang w:val="en-GB"/>
        </w:rPr>
        <w:t xml:space="preserve">, the procedure is executed </w:t>
      </w:r>
      <w:r>
        <w:rPr>
          <w:rFonts w:eastAsia="Cambria"/>
          <w:szCs w:val="24"/>
          <w:lang w:val="en-GB"/>
        </w:rPr>
        <w:t>“</w:t>
      </w:r>
      <w:r w:rsidRPr="00685D23">
        <w:rPr>
          <w:rFonts w:eastAsia="Cambria"/>
          <w:szCs w:val="24"/>
          <w:lang w:val="en-GB"/>
        </w:rPr>
        <w:t>in the inter</w:t>
      </w:r>
      <w:r w:rsidRPr="00685D23">
        <w:rPr>
          <w:rFonts w:eastAsia="Cambria"/>
          <w:szCs w:val="24"/>
          <w:lang w:val="en-GB"/>
        </w:rPr>
        <w:lastRenderedPageBreak/>
        <w:t>ests of the person concerned” and whether the adult protection authority consents to the procedure.</w:t>
      </w:r>
      <w:r>
        <w:rPr>
          <w:rStyle w:val="FootnoteReference"/>
          <w:szCs w:val="24"/>
          <w:lang w:val="en-GB"/>
        </w:rPr>
        <w:footnoteReference w:id="145"/>
      </w:r>
      <w:r w:rsidRPr="00685D23">
        <w:rPr>
          <w:rFonts w:eastAsia="Cambria"/>
          <w:szCs w:val="24"/>
          <w:lang w:val="en-GB"/>
        </w:rPr>
        <w:t xml:space="preserve"> In response to a parliamentary procedural request, however, Switzerland once again expressed the view that the relevant provisions of the Sterilisation Act were compatible with the CRPD – despite having previously cited the Committee’s jurisprudence to the contrary.</w:t>
      </w:r>
      <w:r w:rsidRPr="00685D23">
        <w:rPr>
          <w:rFonts w:eastAsia="Cambria"/>
          <w:szCs w:val="24"/>
          <w:vertAlign w:val="superscript"/>
          <w:lang w:val="en-GB"/>
        </w:rPr>
        <w:footnoteReference w:id="146"/>
      </w:r>
      <w:r w:rsidRPr="00685D23">
        <w:rPr>
          <w:rFonts w:eastAsia="Cambria"/>
          <w:szCs w:val="24"/>
          <w:vertAlign w:val="superscript"/>
          <w:lang w:val="en-GB"/>
        </w:rPr>
        <w:t xml:space="preserve"> </w:t>
      </w:r>
      <w:r w:rsidRPr="00685D23">
        <w:rPr>
          <w:rFonts w:eastAsia="Cambria"/>
          <w:szCs w:val="24"/>
          <w:lang w:val="en-GB"/>
        </w:rPr>
        <w:t xml:space="preserve">We firmly object to this. </w:t>
      </w:r>
      <w:r>
        <w:rPr>
          <w:rFonts w:eastAsia="Cambria"/>
          <w:szCs w:val="24"/>
          <w:lang w:val="en-GB"/>
        </w:rPr>
        <w:t>Similarly, an</w:t>
      </w:r>
      <w:r w:rsidRPr="00685D23">
        <w:rPr>
          <w:rFonts w:eastAsia="Cambria"/>
          <w:szCs w:val="24"/>
          <w:lang w:val="en-GB"/>
        </w:rPr>
        <w:t xml:space="preserve"> abortion without penalty in the case of a woman </w:t>
      </w:r>
      <w:r>
        <w:rPr>
          <w:rFonts w:eastAsia="Cambria"/>
          <w:szCs w:val="24"/>
          <w:lang w:val="en-GB"/>
        </w:rPr>
        <w:t xml:space="preserve">considered </w:t>
      </w:r>
      <w:r w:rsidRPr="00685D23">
        <w:rPr>
          <w:rFonts w:eastAsia="Cambria"/>
          <w:szCs w:val="24"/>
          <w:lang w:val="en-GB"/>
        </w:rPr>
        <w:t>"incapable of judgement" is possible on the basis of substituted consent in accordance with Art. 119 (1) – (3) SCC.</w:t>
      </w:r>
    </w:p>
    <w:p w14:paraId="1192268B" w14:textId="77777777" w:rsidR="0002338D" w:rsidRPr="00A86F53" w:rsidRDefault="0002338D" w:rsidP="0002338D">
      <w:pPr>
        <w:pStyle w:val="BodyText"/>
        <w:rPr>
          <w:rFonts w:eastAsia="Cambria"/>
          <w:szCs w:val="24"/>
          <w:lang w:val="en-GB"/>
        </w:rPr>
      </w:pPr>
      <w:r w:rsidRPr="00FF0E19">
        <w:rPr>
          <w:rFonts w:eastAsia="Cambria"/>
          <w:szCs w:val="24"/>
          <w:lang w:val="en-GB"/>
        </w:rPr>
        <w:t xml:space="preserve">With regard to the </w:t>
      </w:r>
      <w:r w:rsidRPr="00FF0E19">
        <w:rPr>
          <w:rFonts w:eastAsia="Cambria"/>
          <w:b/>
          <w:bCs/>
          <w:szCs w:val="24"/>
          <w:lang w:val="en-GB"/>
        </w:rPr>
        <w:t>practice</w:t>
      </w:r>
      <w:r w:rsidRPr="00FF0E19">
        <w:rPr>
          <w:rFonts w:eastAsia="Cambria"/>
          <w:szCs w:val="24"/>
          <w:lang w:val="en-GB"/>
        </w:rPr>
        <w:t xml:space="preserve"> concerning forced </w:t>
      </w:r>
      <w:r w:rsidRPr="00685D23">
        <w:rPr>
          <w:rFonts w:eastAsia="Cambria"/>
          <w:szCs w:val="24"/>
          <w:lang w:val="en-GB"/>
        </w:rPr>
        <w:t>sterilisation, Switzerland claimed, without any justification</w:t>
      </w:r>
      <w:r w:rsidRPr="00685D23">
        <w:rPr>
          <w:rStyle w:val="FootnoteReference"/>
          <w:szCs w:val="24"/>
          <w:lang w:val="en-GB"/>
        </w:rPr>
        <w:footnoteReference w:id="147"/>
      </w:r>
      <w:r w:rsidRPr="00685D23">
        <w:rPr>
          <w:rFonts w:eastAsia="Cambria"/>
          <w:szCs w:val="24"/>
          <w:lang w:val="en-GB"/>
        </w:rPr>
        <w:t xml:space="preserve"> and contrary to indications in medical-ethical guidelines</w:t>
      </w:r>
      <w:r w:rsidRPr="00685D23">
        <w:rPr>
          <w:szCs w:val="24"/>
          <w:lang w:val="en-GB"/>
        </w:rPr>
        <w:t>,</w:t>
      </w:r>
      <w:r w:rsidRPr="00685D23">
        <w:rPr>
          <w:rStyle w:val="FootnoteReference"/>
          <w:szCs w:val="24"/>
          <w:lang w:val="en-GB"/>
        </w:rPr>
        <w:footnoteReference w:id="148"/>
      </w:r>
      <w:r w:rsidRPr="00685D23">
        <w:rPr>
          <w:szCs w:val="24"/>
          <w:lang w:val="en-GB"/>
        </w:rPr>
        <w:t xml:space="preserve"> </w:t>
      </w:r>
      <w:r w:rsidRPr="00685D23">
        <w:rPr>
          <w:rFonts w:eastAsia="Cambria"/>
          <w:szCs w:val="24"/>
          <w:lang w:val="en-GB"/>
        </w:rPr>
        <w:t>that “this issue” is no longer relevant. However</w:t>
      </w:r>
      <w:r w:rsidRPr="00A86F53">
        <w:rPr>
          <w:rFonts w:eastAsia="Cambria"/>
          <w:szCs w:val="24"/>
          <w:lang w:val="en-GB"/>
        </w:rPr>
        <w:t xml:space="preserve">, enquiries conducted </w:t>
      </w:r>
      <w:r>
        <w:rPr>
          <w:rFonts w:eastAsia="Cambria"/>
          <w:szCs w:val="24"/>
          <w:lang w:val="en-GB"/>
        </w:rPr>
        <w:t>by</w:t>
      </w:r>
      <w:r w:rsidRPr="00A86F53">
        <w:rPr>
          <w:rFonts w:eastAsia="Cambria"/>
          <w:szCs w:val="24"/>
          <w:lang w:val="en-GB"/>
        </w:rPr>
        <w:t xml:space="preserve"> both civil society and the government with several adult protection authorities showed that they had consented to sterilisation at least in </w:t>
      </w:r>
      <w:r>
        <w:rPr>
          <w:rFonts w:eastAsia="Cambria"/>
          <w:szCs w:val="24"/>
          <w:lang w:val="en-GB"/>
        </w:rPr>
        <w:t>single</w:t>
      </w:r>
      <w:r w:rsidRPr="00A86F53">
        <w:rPr>
          <w:rFonts w:eastAsia="Cambria"/>
          <w:szCs w:val="24"/>
          <w:lang w:val="en-GB"/>
        </w:rPr>
        <w:t xml:space="preserve"> cases.</w:t>
      </w:r>
      <w:r w:rsidRPr="00A86F53">
        <w:rPr>
          <w:rStyle w:val="FootnoteReference"/>
          <w:szCs w:val="24"/>
          <w:lang w:val="en-GB"/>
        </w:rPr>
        <w:footnoteReference w:id="149"/>
      </w:r>
      <w:r w:rsidRPr="00A86F53">
        <w:rPr>
          <w:rFonts w:eastAsia="Cambria"/>
          <w:szCs w:val="24"/>
          <w:lang w:val="en-GB"/>
        </w:rPr>
        <w:t xml:space="preserve"> </w:t>
      </w:r>
      <w:r w:rsidRPr="00A86F53">
        <w:rPr>
          <w:lang w:val="en-GB"/>
        </w:rPr>
        <w:t xml:space="preserve">The above-mentioned parliamentary procedural request and the </w:t>
      </w:r>
      <w:r w:rsidRPr="003D2F0B">
        <w:rPr>
          <w:lang w:val="en-GB"/>
        </w:rPr>
        <w:t xml:space="preserve">Federal Council’s reply also </w:t>
      </w:r>
      <w:r w:rsidRPr="003D2F0B">
        <w:rPr>
          <w:rFonts w:eastAsia="Cambria"/>
          <w:szCs w:val="24"/>
          <w:lang w:val="en-GB"/>
        </w:rPr>
        <w:t xml:space="preserve">contain </w:t>
      </w:r>
      <w:r w:rsidRPr="003D2F0B">
        <w:rPr>
          <w:rFonts w:eastAsia="Cambria"/>
          <w:bCs/>
          <w:lang w:val="en-GB"/>
        </w:rPr>
        <w:t>references to extremely</w:t>
      </w:r>
      <w:r w:rsidRPr="003D2F0B">
        <w:rPr>
          <w:rFonts w:eastAsia="Cambria"/>
          <w:b/>
          <w:bCs/>
          <w:lang w:val="en-GB"/>
        </w:rPr>
        <w:t xml:space="preserve"> problematic practices</w:t>
      </w:r>
      <w:r w:rsidRPr="003D2F0B">
        <w:rPr>
          <w:rFonts w:eastAsia="Cambria"/>
          <w:lang w:val="en-GB"/>
        </w:rPr>
        <w:t xml:space="preserve"> (sterilisation “because of sexual behaviour that violates boundaries”; </w:t>
      </w:r>
      <w:r w:rsidRPr="003D2F0B">
        <w:rPr>
          <w:rFonts w:eastAsia="Cambria"/>
          <w:lang w:val="en-GB"/>
        </w:rPr>
        <w:lastRenderedPageBreak/>
        <w:t xml:space="preserve">women </w:t>
      </w:r>
      <w:r>
        <w:rPr>
          <w:rFonts w:eastAsia="Cambria"/>
          <w:lang w:val="en-GB"/>
        </w:rPr>
        <w:t xml:space="preserve">affected </w:t>
      </w:r>
      <w:r w:rsidRPr="003D2F0B">
        <w:rPr>
          <w:rFonts w:eastAsia="Cambria"/>
          <w:lang w:val="en-GB"/>
        </w:rPr>
        <w:t xml:space="preserve">more than twice as much as men; informally suggesting sterilisation to family members before admission to </w:t>
      </w:r>
      <w:r>
        <w:rPr>
          <w:rFonts w:eastAsia="Cambria"/>
          <w:lang w:val="en-GB"/>
        </w:rPr>
        <w:t>an</w:t>
      </w:r>
      <w:r w:rsidRPr="003D2F0B">
        <w:rPr>
          <w:rFonts w:eastAsia="Cambria"/>
          <w:lang w:val="en-GB"/>
        </w:rPr>
        <w:t xml:space="preserve"> institution).</w:t>
      </w:r>
    </w:p>
    <w:p w14:paraId="2EDD5752" w14:textId="77777777" w:rsidR="0002338D" w:rsidRPr="00A86F53" w:rsidRDefault="0002338D" w:rsidP="0002338D">
      <w:pPr>
        <w:pStyle w:val="BodyText"/>
        <w:rPr>
          <w:rFonts w:eastAsia="Cambria"/>
          <w:lang w:val="en-GB"/>
        </w:rPr>
      </w:pPr>
      <w:r w:rsidRPr="00A86F53">
        <w:rPr>
          <w:rFonts w:eastAsia="Cambria"/>
          <w:szCs w:val="24"/>
          <w:lang w:val="en-GB"/>
        </w:rPr>
        <w:t xml:space="preserve">Switzerland does not dispute the blatant </w:t>
      </w:r>
      <w:r w:rsidRPr="00A86F53">
        <w:rPr>
          <w:rFonts w:eastAsia="Cambria"/>
          <w:b/>
          <w:szCs w:val="24"/>
          <w:lang w:val="en-GB"/>
        </w:rPr>
        <w:t xml:space="preserve">lack of data </w:t>
      </w:r>
      <w:r w:rsidRPr="00A86F53">
        <w:rPr>
          <w:rFonts w:eastAsia="Cambria"/>
          <w:lang w:val="en-GB"/>
        </w:rPr>
        <w:t>as to</w:t>
      </w:r>
      <w:r w:rsidRPr="00A86F53">
        <w:rPr>
          <w:rFonts w:eastAsia="Cambria"/>
          <w:szCs w:val="24"/>
          <w:lang w:val="en-GB"/>
        </w:rPr>
        <w:t xml:space="preserve"> the practice of sterilisation on PWD </w:t>
      </w:r>
      <w:r w:rsidRPr="00A86F53">
        <w:rPr>
          <w:rFonts w:eastAsia="Cambria"/>
          <w:lang w:val="en-GB"/>
        </w:rPr>
        <w:t xml:space="preserve">(Reply to LoI, para. 46). However, to date it has not taken any steps to remedy it. There is also no information on abortions in women “lacking capacity of judgement”. </w:t>
      </w:r>
    </w:p>
    <w:p w14:paraId="50ECEAE3" w14:textId="7C6BC0CC" w:rsidR="00043373" w:rsidRPr="0001096E" w:rsidRDefault="0002338D" w:rsidP="0002338D">
      <w:pPr>
        <w:pStyle w:val="BodyText"/>
        <w:rPr>
          <w:lang w:val="en-GB" w:eastAsia="de-CH"/>
        </w:rPr>
      </w:pPr>
      <w:r w:rsidRPr="00A86F53">
        <w:rPr>
          <w:rFonts w:eastAsia="Cambria"/>
          <w:lang w:val="en-GB"/>
        </w:rPr>
        <w:t xml:space="preserve">With regard to irreversible medical/surgical interventions on intersex children, we refer the reader </w:t>
      </w:r>
      <w:r w:rsidRPr="008823EA">
        <w:rPr>
          <w:rFonts w:eastAsia="Cambria"/>
          <w:lang w:val="en-GB"/>
        </w:rPr>
        <w:t>to Intersex.ch’s submission.</w:t>
      </w:r>
    </w:p>
    <w:p w14:paraId="1D47F10A" w14:textId="6EE30A12" w:rsidR="00C177BB" w:rsidRPr="0001096E" w:rsidRDefault="007826B2" w:rsidP="00C177BB">
      <w:pPr>
        <w:pStyle w:val="BodyText"/>
        <w:shd w:val="clear" w:color="auto" w:fill="FFFFCC"/>
        <w:spacing w:before="240"/>
        <w:rPr>
          <w:b/>
          <w:lang w:val="en-GB"/>
        </w:rPr>
      </w:pPr>
      <w:r w:rsidRPr="0001096E">
        <w:rPr>
          <w:b/>
          <w:lang w:val="en-GB"/>
        </w:rPr>
        <w:t>Proposals for recommendations</w:t>
      </w:r>
      <w:r w:rsidR="00C177BB" w:rsidRPr="0001096E">
        <w:rPr>
          <w:b/>
          <w:lang w:val="en-GB"/>
        </w:rPr>
        <w:t>:</w:t>
      </w:r>
    </w:p>
    <w:p w14:paraId="11F54058" w14:textId="77777777" w:rsidR="0002338D" w:rsidRPr="0002338D" w:rsidRDefault="0002338D" w:rsidP="003D2F0B">
      <w:pPr>
        <w:pStyle w:val="SBEmpfehlungen"/>
      </w:pPr>
      <w:r w:rsidRPr="0002338D">
        <w:t>The</w:t>
      </w:r>
      <w:r w:rsidRPr="0002338D">
        <w:rPr>
          <w:b/>
          <w:bCs/>
        </w:rPr>
        <w:t xml:space="preserve"> Confederation</w:t>
      </w:r>
      <w:r w:rsidRPr="0002338D">
        <w:t xml:space="preserve"> shall </w:t>
      </w:r>
      <w:r w:rsidRPr="0002338D">
        <w:rPr>
          <w:b/>
          <w:bCs/>
        </w:rPr>
        <w:t>abrogate without replacement</w:t>
      </w:r>
      <w:r w:rsidRPr="0002338D">
        <w:t xml:space="preserve"> the statutory provisions that permit forced sterilisations and abortions on the basis of </w:t>
      </w:r>
      <w:r w:rsidRPr="0002338D">
        <w:rPr>
          <w:b/>
          <w:bCs/>
        </w:rPr>
        <w:t>substituted consent</w:t>
      </w:r>
      <w:r w:rsidRPr="0002338D">
        <w:t xml:space="preserve">. </w:t>
      </w:r>
    </w:p>
    <w:p w14:paraId="08B22758" w14:textId="77777777" w:rsidR="0002338D" w:rsidRPr="0002338D" w:rsidRDefault="0002338D" w:rsidP="003D2F0B">
      <w:pPr>
        <w:pStyle w:val="SBEmpfehlungen"/>
      </w:pPr>
      <w:r w:rsidRPr="0002338D">
        <w:t xml:space="preserve">The </w:t>
      </w:r>
      <w:r w:rsidRPr="0002338D">
        <w:rPr>
          <w:b/>
          <w:bCs/>
        </w:rPr>
        <w:t xml:space="preserve">cantons </w:t>
      </w:r>
      <w:r w:rsidRPr="0002338D">
        <w:t xml:space="preserve">shall provide women with disabilities with professional, independent </w:t>
      </w:r>
      <w:r w:rsidRPr="0002338D">
        <w:rPr>
          <w:b/>
          <w:bCs/>
        </w:rPr>
        <w:t>support</w:t>
      </w:r>
      <w:r w:rsidRPr="0002338D">
        <w:t xml:space="preserve"> in exercising their capacity to act, as well as comprehensive and inclusive services on sexual and reproductive health and rights, including family planning and supported parenting.</w:t>
      </w:r>
    </w:p>
    <w:p w14:paraId="17064276" w14:textId="674F5D59" w:rsidR="00043373" w:rsidRPr="0002338D" w:rsidRDefault="0002338D" w:rsidP="0002338D">
      <w:pPr>
        <w:pStyle w:val="SBEmpfehlungen"/>
      </w:pPr>
      <w:r w:rsidRPr="0002338D">
        <w:t xml:space="preserve">The </w:t>
      </w:r>
      <w:r w:rsidRPr="0002338D">
        <w:rPr>
          <w:b/>
          <w:bCs/>
        </w:rPr>
        <w:t>Confederation</w:t>
      </w:r>
      <w:r w:rsidRPr="0002338D">
        <w:t xml:space="preserve"> shall ensure that, as part of a </w:t>
      </w:r>
      <w:r w:rsidRPr="0002338D">
        <w:rPr>
          <w:b/>
          <w:bCs/>
        </w:rPr>
        <w:t>research project</w:t>
      </w:r>
      <w:r w:rsidRPr="0002338D">
        <w:t xml:space="preserve"> on violence against PWD (see Article 16 CRPD), in-depth research is also carried out into the practice of sterilisations and abortions in PWD and women with disabilities, respectively, in Switzerland. </w:t>
      </w:r>
    </w:p>
    <w:p w14:paraId="299B4847" w14:textId="12E58038" w:rsidR="007826B2" w:rsidRPr="0001096E" w:rsidRDefault="007826B2" w:rsidP="007826B2">
      <w:pPr>
        <w:pStyle w:val="Heading3"/>
        <w:numPr>
          <w:ilvl w:val="0"/>
          <w:numId w:val="0"/>
        </w:numPr>
        <w:ind w:left="737" w:hanging="737"/>
        <w:rPr>
          <w:lang w:val="en-GB"/>
        </w:rPr>
      </w:pPr>
      <w:bookmarkStart w:id="92" w:name="_Toc93596144"/>
      <w:bookmarkStart w:id="93" w:name="_Toc91237783"/>
      <w:bookmarkStart w:id="94" w:name="_Ref479171356"/>
      <w:bookmarkStart w:id="95" w:name="_Ref479169284"/>
      <w:bookmarkStart w:id="96" w:name="_Toc95297072"/>
      <w:bookmarkStart w:id="97" w:name="_Ref95643338"/>
      <w:bookmarkStart w:id="98" w:name="_Toc95668187"/>
      <w:r w:rsidRPr="0001096E">
        <w:rPr>
          <w:lang w:val="en-GB"/>
        </w:rPr>
        <w:t>Article 19 – Living independently and being included in the community</w:t>
      </w:r>
      <w:bookmarkEnd w:id="92"/>
      <w:bookmarkEnd w:id="93"/>
      <w:bookmarkEnd w:id="94"/>
      <w:bookmarkEnd w:id="95"/>
      <w:bookmarkEnd w:id="96"/>
      <w:bookmarkEnd w:id="97"/>
      <w:bookmarkEnd w:id="98"/>
    </w:p>
    <w:p w14:paraId="7E4DBEC3" w14:textId="2DBEC111" w:rsidR="0002338D" w:rsidRPr="00A86F53" w:rsidRDefault="0002338D" w:rsidP="0002338D">
      <w:pPr>
        <w:pStyle w:val="BodyText"/>
        <w:rPr>
          <w:lang w:val="en-GB"/>
        </w:rPr>
      </w:pPr>
      <w:r w:rsidRPr="00A86F53">
        <w:rPr>
          <w:lang w:val="en-GB"/>
        </w:rPr>
        <w:t>In the course of the new system of fiscal equalisation and division of tasks (NFE) established in 2008, the Confederation (Federal Invalidity Insurance, IV) retained the remit of "individual integration measures". It assigned the responsibility for the financing of the construction and operation of "</w:t>
      </w:r>
      <w:r w:rsidRPr="00735596">
        <w:rPr>
          <w:b/>
          <w:lang w:val="en-GB"/>
        </w:rPr>
        <w:t>residenti</w:t>
      </w:r>
      <w:r w:rsidR="00735596">
        <w:rPr>
          <w:b/>
          <w:lang w:val="en-GB"/>
        </w:rPr>
        <w:t xml:space="preserve">al </w:t>
      </w:r>
      <w:r w:rsidR="00735596">
        <w:rPr>
          <w:b/>
          <w:lang w:val="en-GB"/>
        </w:rPr>
        <w:lastRenderedPageBreak/>
        <w:t>homes, workshops and day</w:t>
      </w:r>
      <w:r w:rsidRPr="00735596">
        <w:rPr>
          <w:b/>
          <w:lang w:val="en-GB"/>
        </w:rPr>
        <w:t xml:space="preserve"> centres</w:t>
      </w:r>
      <w:r w:rsidRPr="00A86F53">
        <w:rPr>
          <w:lang w:val="en-GB"/>
        </w:rPr>
        <w:t>" to the cantons.</w:t>
      </w:r>
      <w:r w:rsidRPr="00A86F53">
        <w:rPr>
          <w:vertAlign w:val="superscript"/>
          <w:lang w:val="en-GB"/>
        </w:rPr>
        <w:footnoteReference w:id="150"/>
      </w:r>
      <w:r w:rsidRPr="00A86F53">
        <w:rPr>
          <w:lang w:val="en-GB"/>
        </w:rPr>
        <w:t xml:space="preserve"> As a framework act, it issued the Federal Act on Institutions for the Rehabilitation of </w:t>
      </w:r>
      <w:r>
        <w:rPr>
          <w:lang w:val="en-GB"/>
        </w:rPr>
        <w:t xml:space="preserve">Invalid </w:t>
      </w:r>
      <w:r w:rsidRPr="00A86F53">
        <w:rPr>
          <w:lang w:val="en-GB"/>
        </w:rPr>
        <w:t xml:space="preserve">Persons (IFEG) in order to guarantee a place in an institution to "every disabled person who depends on having and wishes to have one". According to the IFEG, "integration" means living, working, employment and other day-to-day activities </w:t>
      </w:r>
      <w:r w:rsidRPr="00A86F53">
        <w:rPr>
          <w:i/>
          <w:lang w:val="en-GB"/>
        </w:rPr>
        <w:t>in a community</w:t>
      </w:r>
      <w:r w:rsidRPr="00A86F53">
        <w:rPr>
          <w:lang w:val="en-GB"/>
        </w:rPr>
        <w:t xml:space="preserve"> ("</w:t>
      </w:r>
      <w:r w:rsidRPr="00735596">
        <w:rPr>
          <w:b/>
          <w:lang w:val="en-GB"/>
        </w:rPr>
        <w:t>inpatient integration</w:t>
      </w:r>
      <w:r w:rsidRPr="00A86F53">
        <w:rPr>
          <w:lang w:val="en-GB"/>
        </w:rPr>
        <w:t>"). "</w:t>
      </w:r>
      <w:r w:rsidRPr="00735596">
        <w:rPr>
          <w:b/>
          <w:lang w:val="en-GB"/>
        </w:rPr>
        <w:t>Outpatient integration</w:t>
      </w:r>
      <w:r w:rsidRPr="00A86F53">
        <w:rPr>
          <w:lang w:val="en-GB"/>
        </w:rPr>
        <w:t>", on the other hand, was to be regulated by the cantons under their own competence. In order to implement the IFEG, the cantons had to develop "policies regarding PWD" and, if necessary, adapt their legislation.</w:t>
      </w:r>
      <w:r w:rsidRPr="00A86F53">
        <w:rPr>
          <w:vertAlign w:val="superscript"/>
          <w:lang w:val="en-GB"/>
        </w:rPr>
        <w:footnoteReference w:id="151"/>
      </w:r>
      <w:r w:rsidRPr="00A86F53">
        <w:rPr>
          <w:lang w:val="en-GB"/>
        </w:rPr>
        <w:t xml:space="preserve"> At inter-cantonal level, they were supported by the Conference of Cantonal Ministers of Social Affairs (CDSS), which created the Symposium of Officers for Issues relating to PWD (FBBF) as a body for exchanging relevant information. </w:t>
      </w:r>
    </w:p>
    <w:p w14:paraId="097490B5" w14:textId="079C35AE" w:rsidR="00043373" w:rsidRPr="0001096E" w:rsidRDefault="0002338D" w:rsidP="0002338D">
      <w:pPr>
        <w:pStyle w:val="BodyText"/>
        <w:rPr>
          <w:lang w:val="en-GB" w:eastAsia="de-CH"/>
        </w:rPr>
      </w:pPr>
      <w:r w:rsidRPr="00A86F53">
        <w:rPr>
          <w:lang w:val="en-GB"/>
        </w:rPr>
        <w:t xml:space="preserve">As part of the </w:t>
      </w:r>
      <w:r w:rsidRPr="00A86F53">
        <w:rPr>
          <w:b/>
          <w:lang w:val="en-GB"/>
        </w:rPr>
        <w:t>system</w:t>
      </w:r>
      <w:r w:rsidRPr="00A86F53">
        <w:rPr>
          <w:lang w:val="en-GB"/>
        </w:rPr>
        <w:t xml:space="preserve"> created in this way, many PWD in Switzerland are </w:t>
      </w:r>
      <w:r>
        <w:rPr>
          <w:lang w:val="en-GB"/>
        </w:rPr>
        <w:t>still</w:t>
      </w:r>
      <w:r w:rsidRPr="00A86F53">
        <w:rPr>
          <w:lang w:val="en-GB"/>
        </w:rPr>
        <w:t xml:space="preserve"> </w:t>
      </w:r>
      <w:r w:rsidRPr="00A86F53">
        <w:rPr>
          <w:b/>
          <w:lang w:val="en-GB"/>
        </w:rPr>
        <w:t>barred from living an independent life</w:t>
      </w:r>
      <w:r w:rsidRPr="00A86F53">
        <w:rPr>
          <w:lang w:val="en-GB"/>
        </w:rPr>
        <w:t>.</w:t>
      </w:r>
    </w:p>
    <w:p w14:paraId="2FC00806" w14:textId="64A4D608" w:rsidR="00C177BB" w:rsidRPr="0001096E" w:rsidRDefault="007826B2" w:rsidP="00C177BB">
      <w:pPr>
        <w:pStyle w:val="Subtitle"/>
        <w:rPr>
          <w:lang w:val="en-GB"/>
        </w:rPr>
      </w:pPr>
      <w:r w:rsidRPr="0001096E">
        <w:rPr>
          <w:lang w:val="en-GB"/>
        </w:rPr>
        <w:t>Lack of measures/strategy for de-institutionalisation</w:t>
      </w:r>
      <w:r w:rsidR="00C177BB" w:rsidRPr="0001096E">
        <w:rPr>
          <w:lang w:val="en-GB"/>
        </w:rPr>
        <w:t xml:space="preserve"> (LoI, </w:t>
      </w:r>
      <w:r w:rsidR="00104AEE">
        <w:rPr>
          <w:lang w:val="en-GB"/>
        </w:rPr>
        <w:t>15</w:t>
      </w:r>
      <w:r w:rsidR="00C177BB" w:rsidRPr="0001096E">
        <w:rPr>
          <w:lang w:val="en-GB"/>
        </w:rPr>
        <w:t>a, c)</w:t>
      </w:r>
    </w:p>
    <w:p w14:paraId="3661A073" w14:textId="77777777" w:rsidR="0002338D" w:rsidRPr="00A86F53" w:rsidRDefault="0002338D" w:rsidP="0002338D">
      <w:pPr>
        <w:pStyle w:val="BodyText"/>
        <w:rPr>
          <w:lang w:val="en-GB"/>
        </w:rPr>
      </w:pPr>
      <w:r w:rsidRPr="00A86F53">
        <w:rPr>
          <w:lang w:val="en-GB"/>
        </w:rPr>
        <w:t xml:space="preserve">At the federal and inter-cantonal level, the </w:t>
      </w:r>
      <w:r w:rsidRPr="00A86F53">
        <w:rPr>
          <w:b/>
          <w:lang w:val="en-GB"/>
        </w:rPr>
        <w:t>“Selbstbestimmtes Leben” [Living Independ</w:t>
      </w:r>
      <w:r w:rsidRPr="00A86F53">
        <w:rPr>
          <w:b/>
          <w:bCs/>
          <w:lang w:val="en-GB"/>
        </w:rPr>
        <w:t>ently]</w:t>
      </w:r>
      <w:r w:rsidRPr="00A86F53">
        <w:rPr>
          <w:b/>
          <w:lang w:val="en-GB"/>
        </w:rPr>
        <w:t xml:space="preserve"> programme</w:t>
      </w:r>
      <w:r w:rsidRPr="00A86F53">
        <w:rPr>
          <w:lang w:val="en-GB"/>
        </w:rPr>
        <w:t xml:space="preserve"> (2018-2021) was intended to provide an overview of the existing residential offerings, to gain insight into independent housing and financing arrangements, and to implement pilot projects.</w:t>
      </w:r>
      <w:r w:rsidRPr="00A86F53">
        <w:rPr>
          <w:vertAlign w:val="superscript"/>
          <w:lang w:val="en-GB"/>
        </w:rPr>
        <w:footnoteReference w:id="152"/>
      </w:r>
      <w:r w:rsidRPr="00A86F53">
        <w:rPr>
          <w:lang w:val="en-GB"/>
        </w:rPr>
        <w:t xml:space="preserve"> In particular, a</w:t>
      </w:r>
      <w:r>
        <w:rPr>
          <w:lang w:val="en-GB"/>
        </w:rPr>
        <w:t xml:space="preserve"> survey </w:t>
      </w:r>
      <w:r w:rsidRPr="00A86F53">
        <w:rPr>
          <w:lang w:val="en-GB"/>
        </w:rPr>
        <w:t xml:space="preserve">of </w:t>
      </w:r>
      <w:r>
        <w:rPr>
          <w:lang w:val="en-GB"/>
        </w:rPr>
        <w:t xml:space="preserve">the </w:t>
      </w:r>
      <w:r w:rsidRPr="00A86F53">
        <w:rPr>
          <w:lang w:val="en-GB"/>
        </w:rPr>
        <w:t xml:space="preserve">housing </w:t>
      </w:r>
      <w:r>
        <w:rPr>
          <w:lang w:val="en-GB"/>
        </w:rPr>
        <w:t>supply</w:t>
      </w:r>
      <w:r w:rsidRPr="00A86F53">
        <w:rPr>
          <w:lang w:val="en-GB"/>
        </w:rPr>
        <w:t xml:space="preserve"> for PWD and the (further) evaluation of </w:t>
      </w:r>
      <w:r w:rsidRPr="00A86F53">
        <w:rPr>
          <w:lang w:val="en-GB"/>
        </w:rPr>
        <w:lastRenderedPageBreak/>
        <w:t>the IV assistance contribution was carried out.</w:t>
      </w:r>
      <w:r w:rsidRPr="00A86F53">
        <w:rPr>
          <w:vertAlign w:val="superscript"/>
          <w:lang w:val="en-GB"/>
        </w:rPr>
        <w:footnoteReference w:id="153"/>
      </w:r>
      <w:r w:rsidRPr="00A86F53">
        <w:rPr>
          <w:lang w:val="en-GB"/>
        </w:rPr>
        <w:t xml:space="preserve"> Despite a number of shortcomings,</w:t>
      </w:r>
      <w:r w:rsidRPr="00A86F53">
        <w:rPr>
          <w:vertAlign w:val="superscript"/>
          <w:lang w:val="en-GB"/>
        </w:rPr>
        <w:footnoteReference w:id="154"/>
      </w:r>
      <w:r w:rsidRPr="00A86F53">
        <w:rPr>
          <w:lang w:val="en-GB"/>
        </w:rPr>
        <w:t xml:space="preserve"> the inventory provides some basis for defining measures for a se</w:t>
      </w:r>
      <w:r>
        <w:rPr>
          <w:lang w:val="en-GB"/>
        </w:rPr>
        <w:t>cond phase of the programme; a</w:t>
      </w:r>
      <w:r w:rsidRPr="00A86F53">
        <w:rPr>
          <w:lang w:val="en-GB"/>
        </w:rPr>
        <w:t xml:space="preserve"> follow-up study on financial flows is being prepared. Via the CDSS, the cantons also formulated a </w:t>
      </w:r>
      <w:r w:rsidRPr="00A86F53">
        <w:rPr>
          <w:b/>
          <w:bCs/>
          <w:lang w:val="en-GB"/>
        </w:rPr>
        <w:t>brief</w:t>
      </w:r>
      <w:r w:rsidRPr="00A86F53">
        <w:rPr>
          <w:b/>
          <w:lang w:val="en-GB"/>
        </w:rPr>
        <w:t xml:space="preserve"> joint vision statement</w:t>
      </w:r>
      <w:r w:rsidRPr="00A86F53">
        <w:rPr>
          <w:lang w:val="en-GB"/>
        </w:rPr>
        <w:t xml:space="preserve"> on the freedom of choice of residence and the form thereof by 2030.</w:t>
      </w:r>
      <w:r w:rsidRPr="00A86F53">
        <w:rPr>
          <w:vertAlign w:val="superscript"/>
          <w:lang w:val="en-GB"/>
        </w:rPr>
        <w:footnoteReference w:id="155"/>
      </w:r>
    </w:p>
    <w:p w14:paraId="5A552F79" w14:textId="77777777" w:rsidR="0002338D" w:rsidRPr="00A86F53" w:rsidRDefault="0002338D" w:rsidP="0002338D">
      <w:pPr>
        <w:pStyle w:val="BodyText"/>
        <w:rPr>
          <w:lang w:val="en-GB"/>
        </w:rPr>
      </w:pPr>
      <w:r w:rsidRPr="00A86F53">
        <w:rPr>
          <w:lang w:val="en-GB"/>
        </w:rPr>
        <w:t xml:space="preserve">Neither the Independent Living programme nor the CDSS vision statement can be described as a strategy of </w:t>
      </w:r>
      <w:r w:rsidRPr="00A86F53">
        <w:rPr>
          <w:b/>
          <w:bCs/>
          <w:lang w:val="en-GB"/>
        </w:rPr>
        <w:t>de</w:t>
      </w:r>
      <w:r w:rsidRPr="00A86F53">
        <w:rPr>
          <w:b/>
          <w:lang w:val="en-GB"/>
        </w:rPr>
        <w:t>institutionalisation</w:t>
      </w:r>
      <w:r w:rsidRPr="00A86F53">
        <w:rPr>
          <w:lang w:val="en-GB"/>
        </w:rPr>
        <w:t xml:space="preserve"> within the meaning of General comment No. 5.</w:t>
      </w:r>
      <w:r w:rsidRPr="00A86F53">
        <w:rPr>
          <w:vertAlign w:val="superscript"/>
          <w:lang w:val="en-GB"/>
        </w:rPr>
        <w:footnoteReference w:id="156"/>
      </w:r>
      <w:r w:rsidRPr="00A86F53">
        <w:rPr>
          <w:lang w:val="en-GB"/>
        </w:rPr>
        <w:t xml:space="preserve"> On the contrary: The Confederation and the cantons deliberately exclude this dimension of the necessary transition process. There </w:t>
      </w:r>
      <w:r w:rsidRPr="00A86F53">
        <w:rPr>
          <w:b/>
          <w:lang w:val="en-GB"/>
        </w:rPr>
        <w:t>is no mention</w:t>
      </w:r>
      <w:r w:rsidRPr="00A86F53">
        <w:rPr>
          <w:lang w:val="en-GB"/>
        </w:rPr>
        <w:t xml:space="preserve"> </w:t>
      </w:r>
      <w:r w:rsidRPr="00A86F53">
        <w:rPr>
          <w:b/>
          <w:bCs/>
          <w:lang w:val="en-GB"/>
        </w:rPr>
        <w:t>what</w:t>
      </w:r>
      <w:r w:rsidRPr="00A86F53">
        <w:rPr>
          <w:b/>
          <w:lang w:val="en-GB"/>
        </w:rPr>
        <w:t>soever of the gradual dismantling/replacement</w:t>
      </w:r>
      <w:r w:rsidRPr="00A86F53">
        <w:rPr>
          <w:lang w:val="en-GB"/>
        </w:rPr>
        <w:t xml:space="preserve"> of institutional housing, the systematic transfer of resources or the adaptation of </w:t>
      </w:r>
      <w:r>
        <w:rPr>
          <w:lang w:val="en-GB"/>
        </w:rPr>
        <w:t>demand</w:t>
      </w:r>
      <w:r w:rsidRPr="00A86F53">
        <w:rPr>
          <w:lang w:val="en-GB"/>
        </w:rPr>
        <w:t xml:space="preserve"> planning. There is also a lack of a plan for expanding and redesigning </w:t>
      </w:r>
      <w:r w:rsidRPr="00A86F53">
        <w:rPr>
          <w:b/>
          <w:lang w:val="en-GB"/>
        </w:rPr>
        <w:t>support services</w:t>
      </w:r>
      <w:r w:rsidRPr="00A86F53">
        <w:rPr>
          <w:lang w:val="en-GB"/>
        </w:rPr>
        <w:t>.</w:t>
      </w:r>
    </w:p>
    <w:p w14:paraId="110B0AAE" w14:textId="77777777" w:rsidR="0002338D" w:rsidRPr="00A86F53" w:rsidRDefault="0002338D" w:rsidP="0002338D">
      <w:pPr>
        <w:pStyle w:val="BodyText"/>
        <w:rPr>
          <w:lang w:val="en-GB"/>
        </w:rPr>
      </w:pPr>
      <w:r w:rsidRPr="00A86F53">
        <w:rPr>
          <w:lang w:val="en-GB"/>
        </w:rPr>
        <w:t xml:space="preserve">The same applies to the </w:t>
      </w:r>
      <w:r w:rsidRPr="00A86F53">
        <w:rPr>
          <w:b/>
          <w:lang w:val="en-GB"/>
        </w:rPr>
        <w:t xml:space="preserve">cantonal </w:t>
      </w:r>
      <w:r w:rsidRPr="00A86F53">
        <w:rPr>
          <w:lang w:val="en-GB"/>
        </w:rPr>
        <w:t xml:space="preserve">legal bases and policies concerning PWD. Their focus is on </w:t>
      </w:r>
      <w:r w:rsidRPr="00A86F53">
        <w:rPr>
          <w:b/>
          <w:lang w:val="en-GB"/>
        </w:rPr>
        <w:t xml:space="preserve">institutional </w:t>
      </w:r>
      <w:r w:rsidRPr="00A86F53">
        <w:rPr>
          <w:lang w:val="en-GB"/>
        </w:rPr>
        <w:t xml:space="preserve">options, while outpatient living is largely ignored. </w:t>
      </w:r>
      <w:r>
        <w:rPr>
          <w:b/>
          <w:lang w:val="en-GB"/>
        </w:rPr>
        <w:t>Demand</w:t>
      </w:r>
      <w:r w:rsidRPr="00A86F53">
        <w:rPr>
          <w:b/>
          <w:lang w:val="en-GB"/>
        </w:rPr>
        <w:t xml:space="preserve"> assessment and planning</w:t>
      </w:r>
      <w:r w:rsidRPr="00A86F53">
        <w:rPr>
          <w:lang w:val="en-GB"/>
        </w:rPr>
        <w:t xml:space="preserve"> is generally limited to places in institutions financed by the canton through service agreements. </w:t>
      </w:r>
      <w:r>
        <w:rPr>
          <w:lang w:val="en-GB"/>
        </w:rPr>
        <w:t>Thereby, t</w:t>
      </w:r>
      <w:r w:rsidRPr="00A86F53">
        <w:rPr>
          <w:lang w:val="en-GB"/>
        </w:rPr>
        <w:t xml:space="preserve">he fact that institutions have to suffer losses in the event of insufficiently high occupancy rates is a clear </w:t>
      </w:r>
      <w:r w:rsidRPr="00A86F53">
        <w:rPr>
          <w:b/>
          <w:lang w:val="en-GB"/>
        </w:rPr>
        <w:t>disincentive</w:t>
      </w:r>
      <w:r w:rsidRPr="00A86F53">
        <w:rPr>
          <w:lang w:val="en-GB"/>
        </w:rPr>
        <w:t xml:space="preserve">. Granted, a number of cantons are currently </w:t>
      </w:r>
      <w:r w:rsidRPr="00A86F53">
        <w:rPr>
          <w:lang w:val="en-GB"/>
        </w:rPr>
        <w:lastRenderedPageBreak/>
        <w:t xml:space="preserve">trying to switch from facility-based </w:t>
      </w:r>
      <w:r w:rsidRPr="00A86F53">
        <w:rPr>
          <w:b/>
          <w:lang w:val="en-GB"/>
        </w:rPr>
        <w:t>funding to individual-based funding</w:t>
      </w:r>
      <w:r w:rsidRPr="00A86F53">
        <w:rPr>
          <w:lang w:val="en-GB"/>
        </w:rPr>
        <w:t>. Financial contributions</w:t>
      </w:r>
      <w:r>
        <w:rPr>
          <w:lang w:val="en-GB"/>
        </w:rPr>
        <w:t>/allowances</w:t>
      </w:r>
      <w:r w:rsidRPr="00A86F53">
        <w:rPr>
          <w:lang w:val="en-GB"/>
        </w:rPr>
        <w:t xml:space="preserve"> are to be paid directly to the persons concerned and used by them for the support services of their choice. However, the entrenchment of housing in the NFE structures makes such a move very difficult.</w:t>
      </w:r>
      <w:r w:rsidRPr="00A86F53">
        <w:rPr>
          <w:vertAlign w:val="superscript"/>
          <w:lang w:val="en-GB"/>
        </w:rPr>
        <w:footnoteReference w:id="157"/>
      </w:r>
    </w:p>
    <w:p w14:paraId="6FA560E4" w14:textId="77777777" w:rsidR="0002338D" w:rsidRPr="00A86F53" w:rsidRDefault="0002338D" w:rsidP="0002338D">
      <w:pPr>
        <w:pStyle w:val="BodyText"/>
        <w:rPr>
          <w:bCs/>
          <w:lang w:val="en-GB"/>
        </w:rPr>
      </w:pPr>
      <w:r w:rsidRPr="00A86F53">
        <w:rPr>
          <w:lang w:val="en-GB"/>
        </w:rPr>
        <w:t xml:space="preserve">In larger cantons, </w:t>
      </w:r>
      <w:r w:rsidRPr="00A86F53">
        <w:rPr>
          <w:b/>
          <w:lang w:val="en-GB"/>
        </w:rPr>
        <w:t>institutional housing options have been</w:t>
      </w:r>
      <w:r w:rsidRPr="00A86F53">
        <w:rPr>
          <w:lang w:val="en-GB"/>
        </w:rPr>
        <w:t xml:space="preserve"> </w:t>
      </w:r>
      <w:r w:rsidRPr="00A86F53">
        <w:rPr>
          <w:b/>
          <w:lang w:val="en-GB"/>
        </w:rPr>
        <w:t>diversified</w:t>
      </w:r>
      <w:r w:rsidRPr="00A86F53">
        <w:rPr>
          <w:lang w:val="en-GB"/>
        </w:rPr>
        <w:t xml:space="preserve"> to a certain extent in recent years, with some institutions operating smaller housing units or renting flats. At the same time, the size of the average institution grew to 41 </w:t>
      </w:r>
      <w:r>
        <w:rPr>
          <w:lang w:val="en-GB"/>
        </w:rPr>
        <w:t>place</w:t>
      </w:r>
      <w:r w:rsidRPr="00A86F53">
        <w:rPr>
          <w:lang w:val="en-GB"/>
        </w:rPr>
        <w:t>s. There are clear differences from institution to institution with regard to the extent to which rules, attendance times and a lack of choice restrict freedom.</w:t>
      </w:r>
      <w:r w:rsidRPr="00A86F53">
        <w:rPr>
          <w:vertAlign w:val="superscript"/>
          <w:lang w:val="en-GB"/>
        </w:rPr>
        <w:footnoteReference w:id="158"/>
      </w:r>
      <w:r w:rsidRPr="00A86F53">
        <w:rPr>
          <w:lang w:val="en-GB"/>
        </w:rPr>
        <w:t xml:space="preserve"> According to their “UN CRPD Action Plan”, the </w:t>
      </w:r>
      <w:r w:rsidRPr="00A86F53">
        <w:rPr>
          <w:bCs/>
          <w:lang w:val="en-GB"/>
        </w:rPr>
        <w:t>national branch associations</w:t>
      </w:r>
      <w:r w:rsidRPr="00A86F53">
        <w:rPr>
          <w:lang w:val="en-GB"/>
        </w:rPr>
        <w:t xml:space="preserve"> strive </w:t>
      </w:r>
      <w:r w:rsidRPr="00A86F53">
        <w:rPr>
          <w:bCs/>
          <w:lang w:val="en-GB"/>
        </w:rPr>
        <w:t>to make the support options more flexible/individualised and empower PWD to lead an independent lifestyle.</w:t>
      </w:r>
      <w:r w:rsidRPr="00A86F53">
        <w:rPr>
          <w:bCs/>
          <w:vertAlign w:val="superscript"/>
          <w:lang w:val="en-GB"/>
        </w:rPr>
        <w:footnoteReference w:id="159"/>
      </w:r>
      <w:r w:rsidRPr="00A86F53">
        <w:rPr>
          <w:bCs/>
          <w:lang w:val="en-GB"/>
        </w:rPr>
        <w:t xml:space="preserve"> </w:t>
      </w:r>
    </w:p>
    <w:p w14:paraId="21D678E3" w14:textId="3683070F" w:rsidR="00043373" w:rsidRPr="0001096E" w:rsidRDefault="0002338D" w:rsidP="0002338D">
      <w:pPr>
        <w:pStyle w:val="BodyText"/>
        <w:rPr>
          <w:lang w:val="en-GB"/>
        </w:rPr>
      </w:pPr>
      <w:r>
        <w:rPr>
          <w:lang w:val="en-GB"/>
        </w:rPr>
        <w:t>A</w:t>
      </w:r>
      <w:r w:rsidRPr="00A86F53">
        <w:rPr>
          <w:lang w:val="en-GB"/>
        </w:rPr>
        <w:t xml:space="preserve"> </w:t>
      </w:r>
      <w:r>
        <w:rPr>
          <w:lang w:val="en-GB"/>
        </w:rPr>
        <w:t xml:space="preserve">concept for </w:t>
      </w:r>
      <w:r w:rsidRPr="00A86F53">
        <w:rPr>
          <w:lang w:val="en-GB"/>
        </w:rPr>
        <w:t xml:space="preserve">the “Living Independently 2023-2026” programme </w:t>
      </w:r>
      <w:r>
        <w:rPr>
          <w:lang w:val="en-GB"/>
        </w:rPr>
        <w:t xml:space="preserve">is </w:t>
      </w:r>
      <w:r w:rsidRPr="00A86F53">
        <w:rPr>
          <w:lang w:val="en-GB"/>
        </w:rPr>
        <w:t>to be adopted in mid-20</w:t>
      </w:r>
      <w:r>
        <w:rPr>
          <w:lang w:val="en-GB"/>
        </w:rPr>
        <w:t>22</w:t>
      </w:r>
      <w:r w:rsidRPr="00A86F53">
        <w:rPr>
          <w:lang w:val="en-GB"/>
        </w:rPr>
        <w:t xml:space="preserve">. </w:t>
      </w:r>
      <w:r>
        <w:rPr>
          <w:lang w:val="en-GB"/>
        </w:rPr>
        <w:t xml:space="preserve">OPDs und PWD </w:t>
      </w:r>
      <w:r w:rsidRPr="00A86F53">
        <w:rPr>
          <w:lang w:val="en-GB"/>
        </w:rPr>
        <w:t>have so far been poorly integrated, and international expertise has been completely omitted; the planned refinement of objectives is welcome.</w:t>
      </w:r>
    </w:p>
    <w:p w14:paraId="364E88FC" w14:textId="22888D03" w:rsidR="00C177BB" w:rsidRPr="0001096E" w:rsidRDefault="007826B2" w:rsidP="00C177BB">
      <w:pPr>
        <w:pStyle w:val="Subtitle"/>
        <w:rPr>
          <w:bCs/>
          <w:lang w:val="en-GB"/>
        </w:rPr>
      </w:pPr>
      <w:r w:rsidRPr="0001096E">
        <w:rPr>
          <w:lang w:val="en-GB"/>
        </w:rPr>
        <w:t>Insufficient support for independent living</w:t>
      </w:r>
      <w:r w:rsidR="00C177BB" w:rsidRPr="0001096E">
        <w:rPr>
          <w:lang w:val="en-GB"/>
        </w:rPr>
        <w:t xml:space="preserve"> </w:t>
      </w:r>
      <w:r w:rsidR="00C177BB" w:rsidRPr="0001096E">
        <w:rPr>
          <w:bCs/>
          <w:lang w:val="en-GB"/>
        </w:rPr>
        <w:t>(L</w:t>
      </w:r>
      <w:r w:rsidR="0002338D">
        <w:rPr>
          <w:bCs/>
          <w:lang w:val="en-GB"/>
        </w:rPr>
        <w:t>oI, 16</w:t>
      </w:r>
      <w:r w:rsidR="00C177BB" w:rsidRPr="0001096E">
        <w:rPr>
          <w:bCs/>
          <w:lang w:val="en-GB"/>
        </w:rPr>
        <w:t>b)</w:t>
      </w:r>
    </w:p>
    <w:p w14:paraId="222E9D75" w14:textId="77777777" w:rsidR="0002338D" w:rsidRPr="00A86F53" w:rsidRDefault="0002338D" w:rsidP="0002338D">
      <w:pPr>
        <w:pStyle w:val="BodyText"/>
        <w:rPr>
          <w:lang w:val="en-GB"/>
        </w:rPr>
      </w:pPr>
      <w:r w:rsidRPr="00A86F53">
        <w:rPr>
          <w:lang w:val="en-GB"/>
        </w:rPr>
        <w:t>Up to now, PWD have received (beyond a pension) certain financial contributions</w:t>
      </w:r>
      <w:r>
        <w:rPr>
          <w:lang w:val="en-GB"/>
        </w:rPr>
        <w:t>/allowances</w:t>
      </w:r>
      <w:r w:rsidRPr="00A86F53">
        <w:rPr>
          <w:lang w:val="en-GB"/>
        </w:rPr>
        <w:t xml:space="preserve"> primarily </w:t>
      </w:r>
      <w:r w:rsidRPr="00A86F53">
        <w:rPr>
          <w:b/>
          <w:lang w:val="en-GB"/>
        </w:rPr>
        <w:t>through IV</w:t>
      </w:r>
      <w:r w:rsidRPr="00A86F53">
        <w:rPr>
          <w:lang w:val="en-GB"/>
        </w:rPr>
        <w:t xml:space="preserve"> that are aimed at supporting independent living (see list in ISR para. 94 f.</w:t>
      </w:r>
      <w:r>
        <w:rPr>
          <w:lang w:val="en-GB"/>
        </w:rPr>
        <w:t>;</w:t>
      </w:r>
      <w:r w:rsidRPr="00A86F53">
        <w:rPr>
          <w:lang w:val="en-GB"/>
        </w:rPr>
        <w:t xml:space="preserve"> Reply to LoI, para. 16a/b). The above-mentioned inventory shows that these highly fragmented </w:t>
      </w:r>
      <w:r>
        <w:rPr>
          <w:lang w:val="en-GB"/>
        </w:rPr>
        <w:t>allowances</w:t>
      </w:r>
      <w:r w:rsidRPr="00A86F53">
        <w:rPr>
          <w:lang w:val="en-GB"/>
        </w:rPr>
        <w:t xml:space="preserve"> – apart </w:t>
      </w:r>
      <w:r w:rsidRPr="00A86F53">
        <w:rPr>
          <w:lang w:val="en-GB"/>
        </w:rPr>
        <w:lastRenderedPageBreak/>
        <w:t>from the "helplessness allowance" (HA)</w:t>
      </w:r>
      <w:r w:rsidRPr="00A86F53">
        <w:rPr>
          <w:rFonts w:eastAsia="Cambria" w:cs="Times New Roman"/>
          <w:bCs/>
          <w:vertAlign w:val="superscript"/>
          <w:lang w:val="en-GB"/>
        </w:rPr>
        <w:footnoteReference w:id="160"/>
      </w:r>
      <w:r w:rsidRPr="00A86F53">
        <w:rPr>
          <w:rFonts w:eastAsia="Cambria" w:cs="Times New Roman"/>
          <w:bCs/>
          <w:vertAlign w:val="superscript"/>
          <w:lang w:val="en-GB"/>
        </w:rPr>
        <w:t xml:space="preserve"> </w:t>
      </w:r>
      <w:r w:rsidRPr="00A86F53">
        <w:rPr>
          <w:lang w:val="en-GB"/>
        </w:rPr>
        <w:t xml:space="preserve">– are only </w:t>
      </w:r>
      <w:r w:rsidRPr="00A86F53">
        <w:rPr>
          <w:b/>
          <w:lang w:val="en-GB"/>
        </w:rPr>
        <w:t>received by relatively few persons</w:t>
      </w:r>
      <w:r w:rsidRPr="00A86F53">
        <w:rPr>
          <w:lang w:val="en-GB"/>
        </w:rPr>
        <w:t>.</w:t>
      </w:r>
      <w:r w:rsidRPr="00A86F53">
        <w:rPr>
          <w:vertAlign w:val="superscript"/>
          <w:lang w:val="en-GB"/>
        </w:rPr>
        <w:footnoteReference w:id="161"/>
      </w:r>
      <w:r w:rsidRPr="00A86F53">
        <w:rPr>
          <w:bCs/>
          <w:lang w:val="en-GB"/>
        </w:rPr>
        <w:t xml:space="preserve"> </w:t>
      </w:r>
      <w:r w:rsidRPr="00A86F53">
        <w:rPr>
          <w:lang w:val="en-GB"/>
        </w:rPr>
        <w:t xml:space="preserve">This applies, in particular, to the IV assistance contribution. Any </w:t>
      </w:r>
      <w:r w:rsidRPr="00A86F53">
        <w:rPr>
          <w:b/>
          <w:lang w:val="en-GB"/>
        </w:rPr>
        <w:t xml:space="preserve">actual </w:t>
      </w:r>
      <w:r w:rsidRPr="00A86F53">
        <w:rPr>
          <w:b/>
          <w:i/>
          <w:lang w:val="en-GB"/>
        </w:rPr>
        <w:t>expansion</w:t>
      </w:r>
      <w:r w:rsidRPr="00A86F53">
        <w:rPr>
          <w:lang w:val="en-GB"/>
        </w:rPr>
        <w:t xml:space="preserve"> of benefits has not happened in a long time.</w:t>
      </w:r>
      <w:r w:rsidRPr="00A86F53">
        <w:rPr>
          <w:vertAlign w:val="superscript"/>
          <w:lang w:val="en-GB"/>
        </w:rPr>
        <w:footnoteReference w:id="162"/>
      </w:r>
    </w:p>
    <w:p w14:paraId="715B480D" w14:textId="77777777" w:rsidR="0002338D" w:rsidRPr="00A86F53" w:rsidRDefault="0002338D" w:rsidP="0002338D">
      <w:pPr>
        <w:pStyle w:val="BodyText"/>
        <w:rPr>
          <w:lang w:val="en-GB"/>
        </w:rPr>
      </w:pPr>
      <w:r w:rsidRPr="00A86F53">
        <w:rPr>
          <w:lang w:val="en-GB"/>
        </w:rPr>
        <w:t>In addition,</w:t>
      </w:r>
      <w:r w:rsidRPr="00F91AC1">
        <w:rPr>
          <w:bCs/>
          <w:lang w:val="en-GB"/>
        </w:rPr>
        <w:t xml:space="preserve"> several</w:t>
      </w:r>
      <w:r w:rsidRPr="00A86F53">
        <w:rPr>
          <w:b/>
          <w:lang w:val="en-GB"/>
        </w:rPr>
        <w:t xml:space="preserve"> cantons</w:t>
      </w:r>
      <w:r w:rsidRPr="00A86F53">
        <w:rPr>
          <w:lang w:val="en-GB"/>
        </w:rPr>
        <w:t xml:space="preserve"> are striving to expand independent housing by "pragmatic co-financing on a case-by-case basis", launching pilot projects, but, in particular, also </w:t>
      </w:r>
      <w:r w:rsidRPr="00A86F53">
        <w:rPr>
          <w:b/>
          <w:lang w:val="en-GB"/>
        </w:rPr>
        <w:t xml:space="preserve">legally defined </w:t>
      </w:r>
      <w:r>
        <w:rPr>
          <w:b/>
          <w:lang w:val="en-GB"/>
        </w:rPr>
        <w:t>support allowances</w:t>
      </w:r>
      <w:r w:rsidRPr="00A86F53">
        <w:rPr>
          <w:lang w:val="en-GB"/>
        </w:rPr>
        <w:t xml:space="preserve"> (BS, BL, ZG, TG, ZH).</w:t>
      </w:r>
      <w:r w:rsidRPr="00A86F53">
        <w:rPr>
          <w:vertAlign w:val="superscript"/>
          <w:lang w:val="en-GB"/>
        </w:rPr>
        <w:footnoteReference w:id="163"/>
      </w:r>
      <w:r w:rsidRPr="00A86F53">
        <w:rPr>
          <w:lang w:val="en-GB"/>
        </w:rPr>
        <w:t xml:space="preserve"> </w:t>
      </w:r>
    </w:p>
    <w:p w14:paraId="55E7FD8D" w14:textId="77777777" w:rsidR="0002338D" w:rsidRPr="00A86F53" w:rsidRDefault="0002338D" w:rsidP="0002338D">
      <w:pPr>
        <w:pStyle w:val="BodyText"/>
        <w:rPr>
          <w:lang w:val="en-GB"/>
        </w:rPr>
      </w:pPr>
      <w:r w:rsidRPr="00A86F53">
        <w:rPr>
          <w:lang w:val="en-GB"/>
        </w:rPr>
        <w:t>According to General comment No. 5,</w:t>
      </w:r>
      <w:r w:rsidRPr="00A86F53">
        <w:rPr>
          <w:vertAlign w:val="superscript"/>
          <w:lang w:val="en-GB"/>
        </w:rPr>
        <w:footnoteReference w:id="164"/>
      </w:r>
      <w:r w:rsidRPr="00A86F53">
        <w:rPr>
          <w:lang w:val="en-GB"/>
        </w:rPr>
        <w:t xml:space="preserve"> the following </w:t>
      </w:r>
      <w:r w:rsidRPr="00A86F53">
        <w:rPr>
          <w:b/>
          <w:lang w:val="en-GB"/>
        </w:rPr>
        <w:t>shortcomings</w:t>
      </w:r>
      <w:r w:rsidRPr="00A86F53">
        <w:rPr>
          <w:lang w:val="en-GB"/>
        </w:rPr>
        <w:t xml:space="preserve"> characterise the </w:t>
      </w:r>
      <w:r w:rsidRPr="00A86F53">
        <w:rPr>
          <w:b/>
          <w:lang w:val="en-GB"/>
        </w:rPr>
        <w:t xml:space="preserve">existing support </w:t>
      </w:r>
      <w:r>
        <w:rPr>
          <w:b/>
          <w:lang w:val="en-GB"/>
        </w:rPr>
        <w:t>allowances</w:t>
      </w:r>
      <w:r w:rsidRPr="00A86F53">
        <w:rPr>
          <w:b/>
          <w:lang w:val="en-GB"/>
        </w:rPr>
        <w:t xml:space="preserve"> as a whole</w:t>
      </w:r>
      <w:r w:rsidRPr="00A86F53">
        <w:rPr>
          <w:lang w:val="en-GB"/>
        </w:rPr>
        <w:t>:</w:t>
      </w:r>
    </w:p>
    <w:p w14:paraId="3FF6FA8A" w14:textId="77777777" w:rsidR="0002338D" w:rsidRPr="00A86F53" w:rsidRDefault="0002338D" w:rsidP="0002338D">
      <w:pPr>
        <w:pStyle w:val="Aufzhlung"/>
        <w:numPr>
          <w:ilvl w:val="0"/>
          <w:numId w:val="46"/>
        </w:numPr>
        <w:ind w:left="426"/>
      </w:pPr>
      <w:r w:rsidRPr="00A86F53">
        <w:t>heavy fragmentation across the social insurance branches (InvIA, AIA, OASIA, HIA) and within a branch (especially InvIA); lack of clarity; incoherence or insufficient coordination</w:t>
      </w:r>
      <w:r w:rsidRPr="00A86F53">
        <w:rPr>
          <w:vertAlign w:val="superscript"/>
        </w:rPr>
        <w:footnoteReference w:id="165"/>
      </w:r>
    </w:p>
    <w:p w14:paraId="00F664B1" w14:textId="77777777" w:rsidR="0002338D" w:rsidRPr="00A86F53" w:rsidRDefault="0002338D" w:rsidP="0002338D">
      <w:pPr>
        <w:pStyle w:val="Aufzhlung"/>
        <w:numPr>
          <w:ilvl w:val="0"/>
          <w:numId w:val="46"/>
        </w:numPr>
        <w:ind w:left="426"/>
      </w:pPr>
      <w:r w:rsidRPr="00A86F53">
        <w:t>rigid regulations with eligibility requirements, levels of need and upper limits that exclude certain types of disability</w:t>
      </w:r>
    </w:p>
    <w:p w14:paraId="078184A4" w14:textId="77777777" w:rsidR="0002338D" w:rsidRPr="00A86F53" w:rsidRDefault="0002338D" w:rsidP="0002338D">
      <w:pPr>
        <w:pStyle w:val="Aufzhlung"/>
        <w:numPr>
          <w:ilvl w:val="0"/>
          <w:numId w:val="46"/>
        </w:numPr>
        <w:ind w:left="426"/>
      </w:pPr>
      <w:r w:rsidRPr="00A86F53">
        <w:lastRenderedPageBreak/>
        <w:t xml:space="preserve">inadequate tools to assess </w:t>
      </w:r>
      <w:r>
        <w:t>requirements</w:t>
      </w:r>
      <w:r w:rsidRPr="00A86F53">
        <w:t xml:space="preserve">, lack of independent </w:t>
      </w:r>
      <w:r>
        <w:t>assessment agencies</w:t>
      </w:r>
      <w:r w:rsidRPr="00A86F53">
        <w:t xml:space="preserve"> </w:t>
      </w:r>
    </w:p>
    <w:p w14:paraId="0ECA2CBF" w14:textId="77777777" w:rsidR="0002338D" w:rsidRPr="00A86F53" w:rsidRDefault="0002338D" w:rsidP="0002338D">
      <w:pPr>
        <w:pStyle w:val="Aufzhlung"/>
        <w:numPr>
          <w:ilvl w:val="0"/>
          <w:numId w:val="46"/>
        </w:numPr>
        <w:ind w:left="426"/>
      </w:pPr>
      <w:r w:rsidRPr="00A86F53">
        <w:t xml:space="preserve">complicated, overly formal process for </w:t>
      </w:r>
      <w:r>
        <w:t>claiming entitlement</w:t>
      </w:r>
    </w:p>
    <w:p w14:paraId="7D235DF5" w14:textId="77777777" w:rsidR="0002338D" w:rsidRPr="00A86F53" w:rsidRDefault="0002338D" w:rsidP="0002338D">
      <w:pPr>
        <w:pStyle w:val="Aufzhlung"/>
        <w:numPr>
          <w:ilvl w:val="0"/>
          <w:numId w:val="46"/>
        </w:numPr>
        <w:ind w:left="426"/>
      </w:pPr>
      <w:r w:rsidRPr="00A86F53">
        <w:t xml:space="preserve">insufficient </w:t>
      </w:r>
      <w:r>
        <w:t>number of service providers</w:t>
      </w:r>
      <w:r w:rsidRPr="00A86F53">
        <w:t xml:space="preserve"> for </w:t>
      </w:r>
      <w:r>
        <w:t>support in independent</w:t>
      </w:r>
      <w:r w:rsidRPr="00A86F53">
        <w:t xml:space="preserve"> living</w:t>
      </w:r>
      <w:r w:rsidRPr="00A86F53">
        <w:rPr>
          <w:vertAlign w:val="superscript"/>
        </w:rPr>
        <w:footnoteReference w:id="166"/>
      </w:r>
    </w:p>
    <w:p w14:paraId="50D87BE6" w14:textId="77777777" w:rsidR="0002338D" w:rsidRPr="00A86F53" w:rsidRDefault="0002338D" w:rsidP="0002338D">
      <w:pPr>
        <w:spacing w:before="60"/>
        <w:rPr>
          <w:lang w:val="en-GB"/>
        </w:rPr>
      </w:pPr>
      <w:r w:rsidRPr="00A86F53">
        <w:rPr>
          <w:lang w:val="en-GB"/>
        </w:rPr>
        <w:t xml:space="preserve">As a result of these shortcomings, many PWD remain </w:t>
      </w:r>
      <w:r w:rsidRPr="00A86F53">
        <w:rPr>
          <w:b/>
          <w:lang w:val="en-GB"/>
        </w:rPr>
        <w:t>unable to avail themselves of personal assistance</w:t>
      </w:r>
      <w:r w:rsidRPr="00A86F53">
        <w:rPr>
          <w:lang w:val="en-GB"/>
        </w:rPr>
        <w:t xml:space="preserve"> as referred to in para. 16.d of General comment No. 5. </w:t>
      </w:r>
    </w:p>
    <w:p w14:paraId="1C15FA67" w14:textId="5A1402F4" w:rsidR="0002338D" w:rsidRPr="00A86F53" w:rsidRDefault="0002338D" w:rsidP="0002338D">
      <w:pPr>
        <w:pStyle w:val="BodyText"/>
        <w:rPr>
          <w:lang w:val="en-GB"/>
        </w:rPr>
      </w:pPr>
      <w:r w:rsidRPr="00A86F53">
        <w:rPr>
          <w:lang w:val="en-GB"/>
        </w:rPr>
        <w:t xml:space="preserve">Examining the </w:t>
      </w:r>
      <w:r w:rsidRPr="00A86F53">
        <w:rPr>
          <w:b/>
          <w:bCs/>
          <w:lang w:val="en-GB"/>
        </w:rPr>
        <w:t>IV</w:t>
      </w:r>
      <w:r w:rsidRPr="00A86F53">
        <w:rPr>
          <w:lang w:val="en-GB"/>
        </w:rPr>
        <w:t xml:space="preserve"> </w:t>
      </w:r>
      <w:r w:rsidRPr="00A86F53">
        <w:rPr>
          <w:b/>
          <w:lang w:val="en-GB"/>
        </w:rPr>
        <w:t xml:space="preserve">assistance contribution </w:t>
      </w:r>
      <w:r w:rsidRPr="00A86F53">
        <w:rPr>
          <w:lang w:val="en-GB"/>
        </w:rPr>
        <w:t>by way of example, three quarters of the surveyed recipients were generally (very) satisfied with the improved quality of life and independence. At the same time, they found fault with the complex administrative processes that were not always accessible, their need for assistance that was inadequately acknowledged,</w:t>
      </w:r>
      <w:bookmarkStart w:id="99" w:name="_Ref89338170"/>
      <w:r w:rsidRPr="00A86F53">
        <w:rPr>
          <w:rFonts w:eastAsia="Cambria" w:cs="Times New Roman"/>
          <w:vertAlign w:val="superscript"/>
          <w:lang w:val="en-GB"/>
        </w:rPr>
        <w:footnoteReference w:id="167"/>
      </w:r>
      <w:bookmarkEnd w:id="99"/>
      <w:r w:rsidRPr="00A86F53">
        <w:rPr>
          <w:lang w:val="en-GB"/>
        </w:rPr>
        <w:t xml:space="preserve"> and the lack of opportunity to hire family members and (marriage) partners as assistants.</w:t>
      </w:r>
      <w:r w:rsidRPr="00A86F53">
        <w:rPr>
          <w:vertAlign w:val="superscript"/>
          <w:lang w:val="en-GB"/>
        </w:rPr>
        <w:footnoteReference w:id="168"/>
      </w:r>
      <w:r w:rsidRPr="00A86F53">
        <w:rPr>
          <w:lang w:val="en-GB"/>
        </w:rPr>
        <w:t xml:space="preserve"> The considerable</w:t>
      </w:r>
      <w:r w:rsidRPr="00A86F53">
        <w:rPr>
          <w:b/>
          <w:lang w:val="en-GB"/>
        </w:rPr>
        <w:t xml:space="preserve"> obstacles </w:t>
      </w:r>
      <w:r w:rsidRPr="00A86F53">
        <w:rPr>
          <w:lang w:val="en-GB"/>
        </w:rPr>
        <w:t xml:space="preserve">to </w:t>
      </w:r>
      <w:r w:rsidRPr="00A86F53">
        <w:rPr>
          <w:b/>
          <w:i/>
          <w:lang w:val="en-GB"/>
        </w:rPr>
        <w:t>access</w:t>
      </w:r>
      <w:r w:rsidRPr="00A86F53">
        <w:rPr>
          <w:i/>
          <w:iCs/>
          <w:lang w:val="en-GB"/>
        </w:rPr>
        <w:t xml:space="preserve"> </w:t>
      </w:r>
      <w:r w:rsidRPr="00A86F53">
        <w:rPr>
          <w:lang w:val="en-GB"/>
        </w:rPr>
        <w:t xml:space="preserve">to the assistance contribution, which have been unanimously criticised by experts, have not been investigated. Thus, one of the cumulative </w:t>
      </w:r>
      <w:r w:rsidRPr="00A86F53">
        <w:rPr>
          <w:b/>
          <w:lang w:val="en-GB"/>
        </w:rPr>
        <w:t xml:space="preserve">prerequisites for entitlement </w:t>
      </w:r>
      <w:r>
        <w:rPr>
          <w:lang w:val="en-GB"/>
        </w:rPr>
        <w:t>consists in the entitlement to</w:t>
      </w:r>
      <w:r w:rsidRPr="00A86F53">
        <w:rPr>
          <w:lang w:val="en-GB"/>
        </w:rPr>
        <w:t xml:space="preserve"> an HA; persons who do not meet the HA criteria, particularly persons with </w:t>
      </w:r>
      <w:r>
        <w:rPr>
          <w:lang w:val="en-GB"/>
        </w:rPr>
        <w:t xml:space="preserve">psychosocial </w:t>
      </w:r>
      <w:r w:rsidRPr="00A86F53">
        <w:rPr>
          <w:lang w:val="en-GB"/>
        </w:rPr>
        <w:t xml:space="preserve">disabilities, do not receive any assistance contribution. Additional eligibility requirements in the event of a “limited capacity to act” as well as the lack of support options in the exercise of the role of the employer have an exclusionary effect primarily on persons with intellectual disabilities. For social security reasons, in turn, </w:t>
      </w:r>
      <w:r w:rsidR="00D739C9" w:rsidRPr="00D739C9">
        <w:rPr>
          <w:lang w:val="en-GB"/>
        </w:rPr>
        <w:t>persons</w:t>
      </w:r>
      <w:r w:rsidRPr="00A86F53">
        <w:rPr>
          <w:lang w:val="en-GB"/>
        </w:rPr>
        <w:t xml:space="preserve"> with disability due to accident or age are not eligible for the </w:t>
      </w:r>
      <w:r>
        <w:rPr>
          <w:lang w:val="en-GB"/>
        </w:rPr>
        <w:t>IV assistance contribution</w:t>
      </w:r>
      <w:r w:rsidRPr="00A86F53">
        <w:rPr>
          <w:lang w:val="en-GB"/>
        </w:rPr>
        <w:t xml:space="preserve">. In addition, the </w:t>
      </w:r>
      <w:r w:rsidRPr="00A86F53">
        <w:rPr>
          <w:b/>
          <w:lang w:val="en-GB"/>
        </w:rPr>
        <w:t>needs assessment</w:t>
      </w:r>
      <w:r w:rsidRPr="00A86F53">
        <w:rPr>
          <w:lang w:val="en-GB"/>
        </w:rPr>
        <w:t xml:space="preserve"> </w:t>
      </w:r>
      <w:r w:rsidRPr="00A86F53">
        <w:rPr>
          <w:lang w:val="en-GB"/>
        </w:rPr>
        <w:lastRenderedPageBreak/>
        <w:t xml:space="preserve">is aimed at persons with physical disabilities. Finally, it is not possible </w:t>
      </w:r>
      <w:r w:rsidRPr="00A86F53">
        <w:rPr>
          <w:b/>
          <w:lang w:val="en-GB"/>
        </w:rPr>
        <w:t>to cover costs</w:t>
      </w:r>
      <w:r w:rsidRPr="00A86F53">
        <w:rPr>
          <w:lang w:val="en-GB"/>
        </w:rPr>
        <w:t xml:space="preserve"> for pe</w:t>
      </w:r>
      <w:r>
        <w:rPr>
          <w:lang w:val="en-GB"/>
        </w:rPr>
        <w:t>rsons</w:t>
      </w:r>
      <w:r w:rsidRPr="00A86F53">
        <w:rPr>
          <w:lang w:val="en-GB"/>
        </w:rPr>
        <w:t xml:space="preserve"> requiring a high level of support.</w:t>
      </w:r>
    </w:p>
    <w:p w14:paraId="1233FEB6" w14:textId="77777777" w:rsidR="0002338D" w:rsidRPr="00A86F53" w:rsidRDefault="0002338D" w:rsidP="0002338D">
      <w:pPr>
        <w:pStyle w:val="BodyText"/>
        <w:rPr>
          <w:lang w:val="en-GB"/>
        </w:rPr>
      </w:pPr>
      <w:r w:rsidRPr="00A86F53">
        <w:rPr>
          <w:lang w:val="en-GB"/>
        </w:rPr>
        <w:t xml:space="preserve">Similar shortcomings (differences between </w:t>
      </w:r>
      <w:r w:rsidRPr="00A86F53">
        <w:rPr>
          <w:bCs/>
          <w:lang w:val="en-GB"/>
        </w:rPr>
        <w:t>social insurance schemes</w:t>
      </w:r>
      <w:r w:rsidRPr="00A86F53">
        <w:rPr>
          <w:lang w:val="en-GB"/>
        </w:rPr>
        <w:t xml:space="preserve">, restrictive </w:t>
      </w:r>
      <w:r w:rsidRPr="00A86F53">
        <w:rPr>
          <w:bCs/>
          <w:lang w:val="en-GB"/>
        </w:rPr>
        <w:t>financing mechanisms</w:t>
      </w:r>
      <w:r w:rsidRPr="00A86F53">
        <w:rPr>
          <w:lang w:val="en-GB"/>
        </w:rPr>
        <w:t xml:space="preserve"> and </w:t>
      </w:r>
      <w:r w:rsidRPr="00A86F53">
        <w:rPr>
          <w:bCs/>
          <w:lang w:val="en-GB"/>
        </w:rPr>
        <w:t>granting practices, etc.)</w:t>
      </w:r>
      <w:r w:rsidRPr="00A86F53">
        <w:rPr>
          <w:lang w:val="en-GB"/>
        </w:rPr>
        <w:t xml:space="preserve"> also exist in relation to other support services aimed at promoting</w:t>
      </w:r>
      <w:r>
        <w:rPr>
          <w:lang w:val="en-GB"/>
        </w:rPr>
        <w:t xml:space="preserve"> independent living</w:t>
      </w:r>
      <w:r w:rsidRPr="00A86F53">
        <w:rPr>
          <w:lang w:val="en-GB"/>
        </w:rPr>
        <w:t xml:space="preserve">, e.g. </w:t>
      </w:r>
      <w:r w:rsidRPr="00A86F53">
        <w:rPr>
          <w:b/>
          <w:lang w:val="en-GB"/>
        </w:rPr>
        <w:t>assistive devices</w:t>
      </w:r>
      <w:r w:rsidRPr="00A86F53">
        <w:rPr>
          <w:lang w:val="en-GB"/>
        </w:rPr>
        <w:t xml:space="preserve"> or rehabilitation measures</w:t>
      </w:r>
      <w:r w:rsidRPr="00A86F53">
        <w:rPr>
          <w:bCs/>
          <w:lang w:val="en-GB"/>
        </w:rPr>
        <w:t>.</w:t>
      </w:r>
      <w:r w:rsidRPr="00A86F53">
        <w:rPr>
          <w:bCs/>
          <w:vertAlign w:val="superscript"/>
          <w:lang w:val="en-GB"/>
        </w:rPr>
        <w:footnoteReference w:id="169"/>
      </w:r>
      <w:r w:rsidRPr="00A86F53">
        <w:rPr>
          <w:bCs/>
          <w:lang w:val="en-GB"/>
        </w:rPr>
        <w:t xml:space="preserve"> </w:t>
      </w:r>
      <w:r w:rsidRPr="00A86F53">
        <w:rPr>
          <w:lang w:val="en-GB"/>
        </w:rPr>
        <w:t xml:space="preserve">In the case </w:t>
      </w:r>
      <w:r w:rsidRPr="00A86F53">
        <w:rPr>
          <w:b/>
          <w:lang w:val="en-GB"/>
        </w:rPr>
        <w:t>of cantonal support</w:t>
      </w:r>
      <w:r>
        <w:rPr>
          <w:b/>
          <w:lang w:val="en-GB"/>
        </w:rPr>
        <w:t xml:space="preserve"> allowances</w:t>
      </w:r>
      <w:r w:rsidRPr="00A86F53">
        <w:rPr>
          <w:b/>
          <w:lang w:val="en-GB"/>
        </w:rPr>
        <w:t>/assistance contributions,</w:t>
      </w:r>
      <w:r w:rsidRPr="00A86F53">
        <w:rPr>
          <w:lang w:val="en-GB"/>
        </w:rPr>
        <w:t xml:space="preserve"> the obstacles relate primarily to the levels of need and the cost ceilings. </w:t>
      </w:r>
    </w:p>
    <w:p w14:paraId="0464FBD4" w14:textId="7A1A787B" w:rsidR="00043373" w:rsidRPr="0001096E" w:rsidRDefault="0002338D" w:rsidP="0002338D">
      <w:pPr>
        <w:pStyle w:val="BodyText"/>
        <w:rPr>
          <w:lang w:val="en-GB"/>
        </w:rPr>
      </w:pPr>
      <w:r w:rsidRPr="00A86F53">
        <w:rPr>
          <w:lang w:val="en-GB"/>
        </w:rPr>
        <w:t>In summary, there is therefore no freedom to make choices as to living in an institut</w:t>
      </w:r>
      <w:r w:rsidR="00104AEE">
        <w:rPr>
          <w:lang w:val="en-GB"/>
        </w:rPr>
        <w:t xml:space="preserve">ion (see Reply to LoI, para. </w:t>
      </w:r>
      <w:r w:rsidR="00816F90">
        <w:rPr>
          <w:lang w:val="en-GB"/>
        </w:rPr>
        <w:t>49</w:t>
      </w:r>
      <w:r w:rsidRPr="00864711">
        <w:rPr>
          <w:lang w:val="en-GB"/>
        </w:rPr>
        <w:t xml:space="preserve">). Additionally, field reports from the cantons indicate that a large number of persons concerned are not informed as to their right to freely decide on their form of residence or as to the actual options available to them. Accordingly, many people with very low need for care (“Individual need for care 0”) nevertheless live in institutions. Scarcely any </w:t>
      </w:r>
      <w:r w:rsidRPr="00864711">
        <w:rPr>
          <w:b/>
          <w:bCs/>
          <w:lang w:val="en-GB"/>
        </w:rPr>
        <w:t xml:space="preserve">independent </w:t>
      </w:r>
      <w:r>
        <w:rPr>
          <w:b/>
          <w:bCs/>
          <w:lang w:val="en-GB"/>
        </w:rPr>
        <w:t>counselling services</w:t>
      </w:r>
      <w:r w:rsidRPr="00864711">
        <w:rPr>
          <w:lang w:val="en-GB"/>
        </w:rPr>
        <w:t xml:space="preserve"> exist.</w:t>
      </w:r>
      <w:r w:rsidRPr="00864711">
        <w:rPr>
          <w:vertAlign w:val="superscript"/>
          <w:lang w:val="en-GB"/>
        </w:rPr>
        <w:footnoteReference w:id="170"/>
      </w:r>
      <w:r w:rsidRPr="00864711">
        <w:rPr>
          <w:lang w:val="en-US"/>
        </w:rPr>
        <w:t xml:space="preserve"> </w:t>
      </w:r>
      <w:r w:rsidRPr="00864711">
        <w:rPr>
          <w:lang w:val="en-GB"/>
        </w:rPr>
        <w:t>There</w:t>
      </w:r>
      <w:r w:rsidRPr="00A86F53">
        <w:rPr>
          <w:lang w:val="en-GB"/>
        </w:rPr>
        <w:t xml:space="preserve"> are now several associations of PWD claiming their </w:t>
      </w:r>
      <w:r w:rsidRPr="00A86F53">
        <w:rPr>
          <w:b/>
          <w:lang w:val="en-GB"/>
        </w:rPr>
        <w:t xml:space="preserve">right to </w:t>
      </w:r>
      <w:r>
        <w:rPr>
          <w:b/>
          <w:lang w:val="en-GB"/>
        </w:rPr>
        <w:t xml:space="preserve">personal </w:t>
      </w:r>
      <w:r w:rsidRPr="00A86F53">
        <w:rPr>
          <w:b/>
          <w:lang w:val="en-GB"/>
        </w:rPr>
        <w:t>assistance</w:t>
      </w:r>
      <w:r w:rsidRPr="00A86F53">
        <w:rPr>
          <w:lang w:val="en-GB"/>
        </w:rPr>
        <w:t>.</w:t>
      </w:r>
      <w:r w:rsidRPr="00A86F53">
        <w:rPr>
          <w:vertAlign w:val="superscript"/>
          <w:lang w:val="en-GB"/>
        </w:rPr>
        <w:footnoteReference w:id="171"/>
      </w:r>
    </w:p>
    <w:p w14:paraId="33933FBA" w14:textId="16AD66AB" w:rsidR="00C177BB" w:rsidRPr="0001096E" w:rsidRDefault="00AD6133" w:rsidP="00C177BB">
      <w:pPr>
        <w:pStyle w:val="Subtitle"/>
        <w:rPr>
          <w:lang w:val="en-GB"/>
        </w:rPr>
      </w:pPr>
      <w:r w:rsidRPr="0001096E">
        <w:rPr>
          <w:lang w:val="en-GB"/>
        </w:rPr>
        <w:t>Lack of inclusi</w:t>
      </w:r>
      <w:r w:rsidR="007826B2" w:rsidRPr="0001096E">
        <w:rPr>
          <w:lang w:val="en-GB"/>
        </w:rPr>
        <w:t>vity of general services</w:t>
      </w:r>
      <w:r w:rsidR="00C177BB" w:rsidRPr="0001096E">
        <w:rPr>
          <w:lang w:val="en-GB"/>
        </w:rPr>
        <w:t xml:space="preserve"> (L</w:t>
      </w:r>
      <w:r w:rsidR="0002338D">
        <w:rPr>
          <w:lang w:val="en-GB"/>
        </w:rPr>
        <w:t xml:space="preserve">oI, </w:t>
      </w:r>
      <w:r w:rsidR="00104AEE">
        <w:rPr>
          <w:lang w:val="en-GB"/>
        </w:rPr>
        <w:t>15</w:t>
      </w:r>
      <w:r w:rsidR="00C177BB" w:rsidRPr="0001096E">
        <w:rPr>
          <w:lang w:val="en-GB"/>
        </w:rPr>
        <w:t>b)</w:t>
      </w:r>
    </w:p>
    <w:p w14:paraId="5A3EA17A" w14:textId="3689C6D6" w:rsidR="0002338D" w:rsidRDefault="004413D0" w:rsidP="0002338D">
      <w:pPr>
        <w:pStyle w:val="BodyText"/>
        <w:rPr>
          <w:lang w:val="en-GB"/>
        </w:rPr>
      </w:pPr>
      <w:r>
        <w:rPr>
          <w:lang w:val="en-GB"/>
        </w:rPr>
        <w:t>I</w:t>
      </w:r>
      <w:r w:rsidR="0002338D" w:rsidRPr="00A86F53">
        <w:rPr>
          <w:lang w:val="en-GB"/>
        </w:rPr>
        <w:t xml:space="preserve">nclusion of PWD in the </w:t>
      </w:r>
      <w:r w:rsidR="0002338D">
        <w:rPr>
          <w:lang w:val="en-GB"/>
        </w:rPr>
        <w:t xml:space="preserve">community </w:t>
      </w:r>
      <w:r w:rsidR="0002338D" w:rsidRPr="00A86F53">
        <w:rPr>
          <w:lang w:val="en-GB"/>
        </w:rPr>
        <w:t xml:space="preserve">does not receive enough recognition as an important aspect of an independent life. This also applies where </w:t>
      </w:r>
      <w:r w:rsidR="0002338D">
        <w:rPr>
          <w:lang w:val="en-GB"/>
        </w:rPr>
        <w:t xml:space="preserve">the </w:t>
      </w:r>
      <w:r w:rsidR="0002338D" w:rsidRPr="00A86F53">
        <w:rPr>
          <w:lang w:val="en-GB"/>
        </w:rPr>
        <w:t xml:space="preserve">persons </w:t>
      </w:r>
      <w:r w:rsidR="0002338D">
        <w:rPr>
          <w:lang w:val="en-GB"/>
        </w:rPr>
        <w:t xml:space="preserve">concerned </w:t>
      </w:r>
      <w:r w:rsidR="0002338D" w:rsidRPr="00A86F53">
        <w:rPr>
          <w:lang w:val="en-GB"/>
        </w:rPr>
        <w:t xml:space="preserve">receive a support </w:t>
      </w:r>
      <w:r w:rsidR="0002338D">
        <w:rPr>
          <w:lang w:val="en-GB"/>
        </w:rPr>
        <w:t xml:space="preserve">allowance </w:t>
      </w:r>
      <w:r w:rsidR="0002338D" w:rsidRPr="00A86F53">
        <w:rPr>
          <w:lang w:val="en-GB"/>
        </w:rPr>
        <w:t>for independent living</w:t>
      </w:r>
      <w:r w:rsidR="0002338D">
        <w:rPr>
          <w:lang w:val="en-GB"/>
        </w:rPr>
        <w:t>, such as the IV assistance contribution</w:t>
      </w:r>
      <w:r w:rsidR="0002338D" w:rsidRPr="00A86F53">
        <w:rPr>
          <w:lang w:val="en-GB"/>
        </w:rPr>
        <w:t>. T</w:t>
      </w:r>
      <w:r w:rsidR="0002338D">
        <w:rPr>
          <w:lang w:val="en-GB"/>
        </w:rPr>
        <w:t>hese</w:t>
      </w:r>
      <w:r w:rsidR="0002338D" w:rsidRPr="00A86F53">
        <w:rPr>
          <w:lang w:val="en-GB"/>
        </w:rPr>
        <w:t xml:space="preserve"> </w:t>
      </w:r>
      <w:r w:rsidR="0002338D">
        <w:rPr>
          <w:lang w:val="en-GB"/>
        </w:rPr>
        <w:t>allowances</w:t>
      </w:r>
      <w:r w:rsidR="0002338D" w:rsidRPr="00A86F53">
        <w:rPr>
          <w:lang w:val="en-GB"/>
        </w:rPr>
        <w:t xml:space="preserve"> must </w:t>
      </w:r>
      <w:r w:rsidR="0002338D">
        <w:rPr>
          <w:lang w:val="en-GB"/>
        </w:rPr>
        <w:t xml:space="preserve">therefore </w:t>
      </w:r>
      <w:r w:rsidR="0002338D" w:rsidRPr="00A86F53">
        <w:rPr>
          <w:lang w:val="en-GB"/>
        </w:rPr>
        <w:t xml:space="preserve">cover the promotion of </w:t>
      </w:r>
      <w:r w:rsidR="0002338D">
        <w:rPr>
          <w:lang w:val="en-GB"/>
        </w:rPr>
        <w:t>participation in the community</w:t>
      </w:r>
      <w:r w:rsidR="0002338D" w:rsidRPr="00A86F53">
        <w:rPr>
          <w:lang w:val="en-GB"/>
        </w:rPr>
        <w:t xml:space="preserve"> in conjunction with local authorities and organisations. </w:t>
      </w:r>
    </w:p>
    <w:p w14:paraId="2FC5A980" w14:textId="77777777" w:rsidR="0002338D" w:rsidRPr="00A86F53" w:rsidRDefault="0002338D" w:rsidP="0002338D">
      <w:pPr>
        <w:rPr>
          <w:lang w:val="en-GB"/>
        </w:rPr>
      </w:pPr>
      <w:r w:rsidRPr="00A86F53">
        <w:rPr>
          <w:lang w:val="en-GB"/>
        </w:rPr>
        <w:lastRenderedPageBreak/>
        <w:t xml:space="preserve">In the ISR (para. 104), Switzerland acknowledges that access to </w:t>
      </w:r>
      <w:r>
        <w:rPr>
          <w:lang w:val="en-GB"/>
        </w:rPr>
        <w:t xml:space="preserve">general </w:t>
      </w:r>
      <w:r w:rsidRPr="00A86F53">
        <w:rPr>
          <w:lang w:val="en-GB"/>
        </w:rPr>
        <w:t xml:space="preserve">services is not yet guaranteed in many areas, and it mentions the relevant statistics on equality. </w:t>
      </w:r>
      <w:r>
        <w:rPr>
          <w:lang w:val="en-GB"/>
        </w:rPr>
        <w:t xml:space="preserve">The services reflected in those statistics normally are </w:t>
      </w:r>
      <w:r w:rsidRPr="00A86F53">
        <w:rPr>
          <w:lang w:val="en-GB"/>
        </w:rPr>
        <w:t xml:space="preserve">used </w:t>
      </w:r>
      <w:r>
        <w:rPr>
          <w:lang w:val="en-GB"/>
        </w:rPr>
        <w:t xml:space="preserve">directly </w:t>
      </w:r>
      <w:r w:rsidRPr="00A86F53">
        <w:rPr>
          <w:lang w:val="en-GB"/>
        </w:rPr>
        <w:t xml:space="preserve">in the </w:t>
      </w:r>
      <w:r>
        <w:rPr>
          <w:lang w:val="en-GB"/>
        </w:rPr>
        <w:t>community</w:t>
      </w:r>
      <w:r w:rsidRPr="00A86F53">
        <w:rPr>
          <w:lang w:val="en-GB"/>
        </w:rPr>
        <w:t xml:space="preserve">. </w:t>
      </w:r>
    </w:p>
    <w:p w14:paraId="66D706F0" w14:textId="4D0467B8" w:rsidR="00AD6133" w:rsidRPr="0001096E" w:rsidRDefault="0002338D" w:rsidP="0002338D">
      <w:pPr>
        <w:pStyle w:val="BodyText"/>
        <w:rPr>
          <w:lang w:val="en-GB"/>
        </w:rPr>
      </w:pPr>
      <w:r w:rsidRPr="00A86F53">
        <w:rPr>
          <w:lang w:val="en-GB"/>
        </w:rPr>
        <w:t>There is often a lack of affordable and accessible housing. An analysis revealed that in 2016, only 1 in 30 city flats was advertised as wheelchair accessible.</w:t>
      </w:r>
      <w:r w:rsidRPr="00A86F53">
        <w:rPr>
          <w:vertAlign w:val="superscript"/>
          <w:lang w:val="en-GB"/>
        </w:rPr>
        <w:footnoteReference w:id="172"/>
      </w:r>
      <w:r w:rsidRPr="00A86F53">
        <w:rPr>
          <w:lang w:val="en-GB"/>
        </w:rPr>
        <w:t xml:space="preserve"> The LEA label cannot change this shortage. In addition, stereotypical prejudices of property managers/landlords against tenants with disabilities exist.</w:t>
      </w:r>
    </w:p>
    <w:p w14:paraId="7B0D3F03" w14:textId="0E2A5409" w:rsidR="00C177BB" w:rsidRPr="00BD6E82" w:rsidRDefault="007826B2" w:rsidP="00C177BB">
      <w:pPr>
        <w:pStyle w:val="Subtitle"/>
        <w:rPr>
          <w:lang w:val="it-IT"/>
        </w:rPr>
      </w:pPr>
      <w:r w:rsidRPr="00BD6E82">
        <w:rPr>
          <w:lang w:val="it-IT"/>
        </w:rPr>
        <w:t>Statistical data (e</w:t>
      </w:r>
      <w:r w:rsidR="00C177BB" w:rsidRPr="00BD6E82">
        <w:rPr>
          <w:lang w:val="it-IT"/>
        </w:rPr>
        <w:t>.</w:t>
      </w:r>
      <w:r w:rsidRPr="00BD6E82">
        <w:rPr>
          <w:lang w:val="it-IT"/>
        </w:rPr>
        <w:t>g.</w:t>
      </w:r>
      <w:r w:rsidR="00C177BB" w:rsidRPr="00BD6E82">
        <w:rPr>
          <w:lang w:val="it-IT"/>
        </w:rPr>
        <w:t xml:space="preserve"> L</w:t>
      </w:r>
      <w:r w:rsidRPr="00BD6E82">
        <w:rPr>
          <w:lang w:val="it-IT"/>
        </w:rPr>
        <w:t>oI, 15</w:t>
      </w:r>
      <w:r w:rsidR="00C177BB" w:rsidRPr="00BD6E82">
        <w:rPr>
          <w:lang w:val="it-IT"/>
        </w:rPr>
        <w:t xml:space="preserve">c) </w:t>
      </w:r>
    </w:p>
    <w:p w14:paraId="319595C3" w14:textId="6FD56935" w:rsidR="0002338D" w:rsidRPr="00A86F53" w:rsidRDefault="0002338D" w:rsidP="0002338D">
      <w:pPr>
        <w:pStyle w:val="BodyText"/>
        <w:rPr>
          <w:lang w:val="en-GB"/>
        </w:rPr>
      </w:pPr>
      <w:r w:rsidRPr="00FF72D3">
        <w:rPr>
          <w:lang w:val="en-GB"/>
        </w:rPr>
        <w:t xml:space="preserve">It is not possible to say precisely how many children and adults with disabilities in Switzerland currently live in which type of housing given the </w:t>
      </w:r>
      <w:r w:rsidRPr="00FF72D3">
        <w:rPr>
          <w:b/>
          <w:lang w:val="en-GB"/>
        </w:rPr>
        <w:t>unreliable data available</w:t>
      </w:r>
      <w:r w:rsidRPr="00FF72D3">
        <w:rPr>
          <w:lang w:val="en-GB"/>
        </w:rPr>
        <w:t xml:space="preserve"> in this area of life. Based on the latest SOMED statistics from 2015 (!) and somewhat more recent but very fragmented data sources, it is safe to assume that there are on the order of </w:t>
      </w:r>
      <w:r w:rsidRPr="00FF72D3">
        <w:rPr>
          <w:b/>
          <w:lang w:val="en-GB"/>
        </w:rPr>
        <w:t xml:space="preserve">25,000 – 30,000 </w:t>
      </w:r>
      <w:r w:rsidRPr="00FF72D3">
        <w:rPr>
          <w:bCs/>
          <w:lang w:val="en-GB"/>
        </w:rPr>
        <w:t>PWD of up to 64 years of age living in institutions</w:t>
      </w:r>
      <w:r w:rsidRPr="00FF72D3">
        <w:rPr>
          <w:lang w:val="en-GB"/>
        </w:rPr>
        <w:t>.</w:t>
      </w:r>
      <w:r w:rsidRPr="00FF72D3">
        <w:rPr>
          <w:vertAlign w:val="superscript"/>
          <w:lang w:val="en-GB"/>
        </w:rPr>
        <w:footnoteReference w:id="173"/>
      </w:r>
      <w:r w:rsidRPr="00FF72D3">
        <w:rPr>
          <w:lang w:val="en-GB"/>
        </w:rPr>
        <w:t xml:space="preserve"> In 2017, some </w:t>
      </w:r>
      <w:r w:rsidRPr="00FF72D3">
        <w:rPr>
          <w:b/>
          <w:bCs/>
          <w:lang w:val="en-GB"/>
        </w:rPr>
        <w:t>1,600</w:t>
      </w:r>
      <w:r w:rsidRPr="00FF72D3">
        <w:rPr>
          <w:lang w:val="en-GB"/>
        </w:rPr>
        <w:t xml:space="preserve"> out of approximately 7,000 children with severe disabilities between 0 and 14 years of age lived in a specialised institution for the whole year or part thereof.</w:t>
      </w:r>
      <w:r w:rsidRPr="00FF72D3">
        <w:rPr>
          <w:vertAlign w:val="superscript"/>
          <w:lang w:val="en-GB"/>
        </w:rPr>
        <w:footnoteReference w:id="174"/>
      </w:r>
    </w:p>
    <w:p w14:paraId="529F376D" w14:textId="42F99B32" w:rsidR="0002338D" w:rsidRPr="00A86F53" w:rsidRDefault="0002338D" w:rsidP="0002338D">
      <w:pPr>
        <w:pStyle w:val="BodyText"/>
        <w:rPr>
          <w:lang w:val="en-GB"/>
        </w:rPr>
      </w:pPr>
      <w:r w:rsidRPr="00A86F53">
        <w:rPr>
          <w:lang w:val="en-GB"/>
        </w:rPr>
        <w:t xml:space="preserve">Of the group of persons with IV benefits (18 to 64 years old) surveyed, </w:t>
      </w:r>
      <w:r w:rsidR="004413D0">
        <w:rPr>
          <w:lang w:val="en-GB"/>
        </w:rPr>
        <w:t xml:space="preserve">in 2017 </w:t>
      </w:r>
      <w:r w:rsidRPr="00A86F53">
        <w:rPr>
          <w:lang w:val="en-GB"/>
        </w:rPr>
        <w:t xml:space="preserve">slightly more people lived in </w:t>
      </w:r>
      <w:r w:rsidRPr="00A86F53">
        <w:rPr>
          <w:b/>
          <w:lang w:val="en-GB"/>
        </w:rPr>
        <w:t>institutional housing</w:t>
      </w:r>
      <w:r w:rsidR="004413D0">
        <w:rPr>
          <w:lang w:val="en-GB"/>
        </w:rPr>
        <w:t xml:space="preserve"> than </w:t>
      </w:r>
      <w:r w:rsidR="004413D0" w:rsidRPr="004413D0">
        <w:rPr>
          <w:b/>
          <w:lang w:val="en-GB"/>
        </w:rPr>
        <w:t>independently</w:t>
      </w:r>
      <w:r w:rsidR="004413D0">
        <w:rPr>
          <w:lang w:val="en-GB"/>
        </w:rPr>
        <w:t xml:space="preserve"> </w:t>
      </w:r>
      <w:r w:rsidRPr="00A86F53">
        <w:rPr>
          <w:lang w:val="en-GB"/>
        </w:rPr>
        <w:t xml:space="preserve">with </w:t>
      </w:r>
      <w:r w:rsidR="004413D0">
        <w:rPr>
          <w:lang w:val="en-GB"/>
        </w:rPr>
        <w:lastRenderedPageBreak/>
        <w:t>support</w:t>
      </w:r>
      <w:r w:rsidRPr="00A86F53">
        <w:rPr>
          <w:lang w:val="en-GB"/>
        </w:rPr>
        <w:t>.</w:t>
      </w:r>
      <w:r w:rsidRPr="00A86F53">
        <w:rPr>
          <w:vertAlign w:val="superscript"/>
          <w:lang w:val="en-GB"/>
        </w:rPr>
        <w:footnoteReference w:id="175"/>
      </w:r>
      <w:r w:rsidRPr="00A86F53">
        <w:rPr>
          <w:lang w:val="en-GB"/>
        </w:rPr>
        <w:t xml:space="preserve"> It is encouraging to note that the proportion of persons living independently has increased proportionately to a greater degree since 2011.</w:t>
      </w:r>
      <w:r w:rsidRPr="00A86F53">
        <w:rPr>
          <w:vertAlign w:val="superscript"/>
          <w:lang w:val="en-GB"/>
        </w:rPr>
        <w:footnoteReference w:id="176"/>
      </w:r>
      <w:r w:rsidRPr="00A86F53">
        <w:rPr>
          <w:lang w:val="en-GB"/>
        </w:rPr>
        <w:t xml:space="preserve"> </w:t>
      </w:r>
    </w:p>
    <w:p w14:paraId="0D9EAFBC" w14:textId="7FF297DC" w:rsidR="00AD6133" w:rsidRPr="0001096E" w:rsidRDefault="0002338D" w:rsidP="0002338D">
      <w:pPr>
        <w:pStyle w:val="BodyText"/>
        <w:rPr>
          <w:lang w:val="en-GB"/>
        </w:rPr>
      </w:pPr>
      <w:r w:rsidRPr="00A86F53">
        <w:rPr>
          <w:lang w:val="en-GB"/>
        </w:rPr>
        <w:t xml:space="preserve">There are clear </w:t>
      </w:r>
      <w:r w:rsidRPr="00A86F53">
        <w:rPr>
          <w:b/>
          <w:lang w:val="en-GB"/>
        </w:rPr>
        <w:t xml:space="preserve">differences </w:t>
      </w:r>
      <w:r w:rsidRPr="00A86F53">
        <w:rPr>
          <w:lang w:val="en-GB"/>
        </w:rPr>
        <w:t>between the</w:t>
      </w:r>
      <w:r w:rsidRPr="00A86F53">
        <w:rPr>
          <w:b/>
          <w:lang w:val="en-GB"/>
        </w:rPr>
        <w:t xml:space="preserve"> types of disability </w:t>
      </w:r>
      <w:r w:rsidRPr="00A86F53">
        <w:rPr>
          <w:lang w:val="en-GB"/>
        </w:rPr>
        <w:t>in terms of housing: Persons with intellectual and psychosocial disabilities (55% and 27%, respectively, of all institutional residents</w:t>
      </w:r>
      <w:r w:rsidRPr="00A86F53">
        <w:rPr>
          <w:vertAlign w:val="superscript"/>
          <w:lang w:val="en-GB"/>
        </w:rPr>
        <w:footnoteReference w:id="177"/>
      </w:r>
      <w:r w:rsidRPr="00A86F53">
        <w:rPr>
          <w:lang w:val="en-GB"/>
        </w:rPr>
        <w:t xml:space="preserve">) and those with multiple disabilities tend to live in institutions, while </w:t>
      </w:r>
      <w:r w:rsidR="004D63C3">
        <w:rPr>
          <w:lang w:val="en-GB"/>
        </w:rPr>
        <w:t>persons</w:t>
      </w:r>
      <w:r w:rsidRPr="00A86F53">
        <w:rPr>
          <w:lang w:val="en-GB"/>
        </w:rPr>
        <w:t xml:space="preserve"> with physical disabilities </w:t>
      </w:r>
      <w:r w:rsidR="004D63C3">
        <w:rPr>
          <w:lang w:val="en-GB"/>
        </w:rPr>
        <w:t xml:space="preserve">rather </w:t>
      </w:r>
      <w:r w:rsidRPr="00A86F53">
        <w:rPr>
          <w:lang w:val="en-GB"/>
        </w:rPr>
        <w:t>live in their own homes.</w:t>
      </w:r>
      <w:r w:rsidRPr="00A86F53">
        <w:rPr>
          <w:vertAlign w:val="superscript"/>
          <w:lang w:val="en-GB"/>
        </w:rPr>
        <w:footnoteReference w:id="178"/>
      </w:r>
      <w:r w:rsidRPr="00A86F53">
        <w:rPr>
          <w:lang w:val="en-GB"/>
        </w:rPr>
        <w:t xml:space="preserve"> </w:t>
      </w:r>
    </w:p>
    <w:p w14:paraId="60885B1C" w14:textId="25EE5293" w:rsidR="00C177BB" w:rsidRPr="0001096E" w:rsidRDefault="007826B2" w:rsidP="00C177BB">
      <w:pPr>
        <w:shd w:val="clear" w:color="auto" w:fill="FFFFCC"/>
        <w:rPr>
          <w:b/>
          <w:lang w:val="en-GB"/>
        </w:rPr>
      </w:pPr>
      <w:r w:rsidRPr="0001096E">
        <w:rPr>
          <w:b/>
          <w:lang w:val="en-GB"/>
        </w:rPr>
        <w:t>Proposals for recommendations</w:t>
      </w:r>
      <w:r w:rsidR="00C177BB" w:rsidRPr="0001096E">
        <w:rPr>
          <w:b/>
          <w:lang w:val="en-GB"/>
        </w:rPr>
        <w:t>:</w:t>
      </w:r>
    </w:p>
    <w:p w14:paraId="4AD7462C" w14:textId="372369D8" w:rsidR="0002338D" w:rsidRPr="0002338D" w:rsidRDefault="0002338D" w:rsidP="0002338D">
      <w:pPr>
        <w:pStyle w:val="SBEmpfehlungen"/>
      </w:pPr>
      <w:r w:rsidRPr="0002338D">
        <w:t xml:space="preserve">The </w:t>
      </w:r>
      <w:r w:rsidRPr="00BC49E0">
        <w:rPr>
          <w:b/>
        </w:rPr>
        <w:t>FBED, FSIO and CDSS</w:t>
      </w:r>
      <w:r w:rsidRPr="0002338D">
        <w:t>, accompanied by international experts</w:t>
      </w:r>
      <w:r w:rsidR="00C1158C">
        <w:t xml:space="preserve"> and systematically involving PWD and OPDs</w:t>
      </w:r>
      <w:r w:rsidRPr="0002338D">
        <w:t xml:space="preserve">, shall develop an </w:t>
      </w:r>
      <w:r w:rsidRPr="00BC49E0">
        <w:rPr>
          <w:b/>
        </w:rPr>
        <w:t>action plan</w:t>
      </w:r>
      <w:r w:rsidR="00BC49E0">
        <w:t xml:space="preserve"> for action a</w:t>
      </w:r>
      <w:r w:rsidRPr="0002338D">
        <w:t>rea 1 of the Living Ind</w:t>
      </w:r>
      <w:r w:rsidR="00C1158C">
        <w:t>ependently 2023-2026 programme that contains</w:t>
      </w:r>
      <w:r w:rsidRPr="0002338D">
        <w:t xml:space="preserve"> the </w:t>
      </w:r>
      <w:r w:rsidR="00C1158C" w:rsidRPr="0002338D">
        <w:t xml:space="preserve">currently </w:t>
      </w:r>
      <w:r w:rsidRPr="0002338D">
        <w:t xml:space="preserve">most urgent steps for a </w:t>
      </w:r>
      <w:r w:rsidRPr="00BE57FB">
        <w:rPr>
          <w:b/>
        </w:rPr>
        <w:t>transition process from institutional to autonomous forms of housing</w:t>
      </w:r>
      <w:r w:rsidRPr="0002338D">
        <w:t xml:space="preserve">, including replacing IFEG with a law that ensures this systemic transformation, and a plan to unbundle the division of tasks between the Confederation and the cantons in the outpatient sector. </w:t>
      </w:r>
    </w:p>
    <w:p w14:paraId="3FABDB2E" w14:textId="490C8CD0" w:rsidR="0002338D" w:rsidRPr="0002338D" w:rsidRDefault="0002338D" w:rsidP="0002338D">
      <w:pPr>
        <w:pStyle w:val="SBEmpfehlungen"/>
      </w:pPr>
      <w:r w:rsidRPr="0002338D">
        <w:t xml:space="preserve">The </w:t>
      </w:r>
      <w:r w:rsidRPr="0002338D">
        <w:rPr>
          <w:b/>
        </w:rPr>
        <w:t>FBED, FSIO and CDSS</w:t>
      </w:r>
      <w:r w:rsidRPr="0002338D">
        <w:t xml:space="preserve"> shall jointly develop a </w:t>
      </w:r>
      <w:r w:rsidRPr="0002338D">
        <w:rPr>
          <w:b/>
        </w:rPr>
        <w:t xml:space="preserve">coherent, flexible and uncomplicated assistance model </w:t>
      </w:r>
      <w:r w:rsidRPr="0002338D">
        <w:t>as a replacement for previous support contributions</w:t>
      </w:r>
      <w:r w:rsidR="00C1158C">
        <w:t>/allowances</w:t>
      </w:r>
      <w:r w:rsidRPr="0002338D">
        <w:t xml:space="preserve">, which grants all PWD access to </w:t>
      </w:r>
      <w:r w:rsidR="00C1158C">
        <w:t xml:space="preserve">personal </w:t>
      </w:r>
      <w:r w:rsidRPr="0002338D">
        <w:t>assistance within the meaning of para. 16.d General comment No. 5, and they shall determine the funding for this model.</w:t>
      </w:r>
    </w:p>
    <w:p w14:paraId="3F043B58" w14:textId="155003DB" w:rsidR="0002338D" w:rsidRPr="0002338D" w:rsidRDefault="0002338D" w:rsidP="0002338D">
      <w:pPr>
        <w:pStyle w:val="SBEmpfehlungen"/>
      </w:pPr>
      <w:r w:rsidRPr="0002338D">
        <w:lastRenderedPageBreak/>
        <w:t xml:space="preserve">Under the leadership of the </w:t>
      </w:r>
      <w:r w:rsidRPr="00BE57FB">
        <w:rPr>
          <w:b/>
        </w:rPr>
        <w:t>CDSS</w:t>
      </w:r>
      <w:r w:rsidRPr="0002338D">
        <w:t xml:space="preserve">, the </w:t>
      </w:r>
      <w:r w:rsidRPr="00BE57FB">
        <w:rPr>
          <w:b/>
        </w:rPr>
        <w:t>cantons</w:t>
      </w:r>
      <w:r w:rsidRPr="0002338D">
        <w:t xml:space="preserve"> shall revise their </w:t>
      </w:r>
      <w:r w:rsidRPr="00BE57FB">
        <w:rPr>
          <w:b/>
        </w:rPr>
        <w:t>policies on PWD</w:t>
      </w:r>
      <w:r w:rsidRPr="0002338D">
        <w:t xml:space="preserve">, including an </w:t>
      </w:r>
      <w:r w:rsidRPr="00BE57FB">
        <w:rPr>
          <w:b/>
        </w:rPr>
        <w:t>action plan for the systematic transfer of resources</w:t>
      </w:r>
      <w:r w:rsidRPr="0002338D">
        <w:t xml:space="preserve"> from institutional to outpatient housing services, revising their </w:t>
      </w:r>
      <w:r w:rsidRPr="00BE57FB">
        <w:rPr>
          <w:b/>
        </w:rPr>
        <w:t>legislation</w:t>
      </w:r>
      <w:r w:rsidRPr="0002338D">
        <w:t xml:space="preserve"> accordingly and adapting their </w:t>
      </w:r>
      <w:r w:rsidR="00BE57FB" w:rsidRPr="00BE57FB">
        <w:rPr>
          <w:b/>
        </w:rPr>
        <w:t>demand</w:t>
      </w:r>
      <w:r w:rsidRPr="00BE57FB">
        <w:rPr>
          <w:b/>
        </w:rPr>
        <w:t xml:space="preserve"> planning</w:t>
      </w:r>
      <w:r w:rsidRPr="0002338D">
        <w:t xml:space="preserve">. </w:t>
      </w:r>
    </w:p>
    <w:p w14:paraId="20656B53" w14:textId="25735061" w:rsidR="0002338D" w:rsidRPr="0002338D" w:rsidRDefault="0002338D" w:rsidP="0002338D">
      <w:pPr>
        <w:pStyle w:val="SBEmpfehlungen"/>
      </w:pPr>
      <w:r w:rsidRPr="0002338D">
        <w:t xml:space="preserve">The </w:t>
      </w:r>
      <w:r w:rsidRPr="0002338D">
        <w:rPr>
          <w:b/>
        </w:rPr>
        <w:t>cantons</w:t>
      </w:r>
      <w:r w:rsidRPr="0002338D">
        <w:t xml:space="preserve"> shall establish </w:t>
      </w:r>
      <w:r w:rsidRPr="0002338D">
        <w:rPr>
          <w:b/>
        </w:rPr>
        <w:t xml:space="preserve">specialist units for the independent provision of advice, information and assessment of the </w:t>
      </w:r>
      <w:r w:rsidR="00BE57FB">
        <w:rPr>
          <w:b/>
        </w:rPr>
        <w:t>requirement</w:t>
      </w:r>
      <w:r w:rsidRPr="0002338D">
        <w:rPr>
          <w:b/>
        </w:rPr>
        <w:t>s of PWD</w:t>
      </w:r>
      <w:r w:rsidRPr="0002338D">
        <w:t>, particularly regarding the transition from institutional to independent housing, and shall foster the expansion of the range of outpatient housing services.</w:t>
      </w:r>
    </w:p>
    <w:p w14:paraId="42E29A58" w14:textId="705DB8A2" w:rsidR="00AD6133" w:rsidRPr="007D4ACD" w:rsidRDefault="0002338D" w:rsidP="0002338D">
      <w:pPr>
        <w:pStyle w:val="SBEmpfehlungen"/>
        <w:rPr>
          <w:b/>
        </w:rPr>
      </w:pPr>
      <w:r w:rsidRPr="00A86F53">
        <w:t xml:space="preserve">The </w:t>
      </w:r>
      <w:r w:rsidRPr="007D4ACD">
        <w:rPr>
          <w:b/>
        </w:rPr>
        <w:t>cantons</w:t>
      </w:r>
      <w:r w:rsidRPr="00A86F53">
        <w:t xml:space="preserve"> shall supplement their </w:t>
      </w:r>
      <w:r w:rsidRPr="007D4ACD">
        <w:rPr>
          <w:b/>
        </w:rPr>
        <w:t>service agreements</w:t>
      </w:r>
      <w:r w:rsidRPr="00A86F53">
        <w:t xml:space="preserve"> with residential institutions with binding, auditable standards for the </w:t>
      </w:r>
      <w:r w:rsidR="007D4ACD">
        <w:rPr>
          <w:b/>
        </w:rPr>
        <w:t>successive expansion of autonomy</w:t>
      </w:r>
      <w:r w:rsidRPr="007D4ACD">
        <w:rPr>
          <w:b/>
        </w:rPr>
        <w:t xml:space="preserve"> and participation</w:t>
      </w:r>
      <w:r w:rsidRPr="00A86F53">
        <w:t xml:space="preserve">, verify their compliance by means of unannounced visits and support the </w:t>
      </w:r>
      <w:r w:rsidRPr="007D4ACD">
        <w:t xml:space="preserve">institutions in the corresponding transformation of their services, including revising the tools used for assessing </w:t>
      </w:r>
      <w:r w:rsidR="007D4ACD" w:rsidRPr="007D4ACD">
        <w:t>requirements</w:t>
      </w:r>
      <w:r w:rsidRPr="007D4ACD">
        <w:t>.</w:t>
      </w:r>
    </w:p>
    <w:p w14:paraId="37A79B42" w14:textId="26DB83FF" w:rsidR="007826B2" w:rsidRPr="0001096E" w:rsidRDefault="007826B2" w:rsidP="007826B2">
      <w:pPr>
        <w:pStyle w:val="Heading3"/>
        <w:numPr>
          <w:ilvl w:val="0"/>
          <w:numId w:val="0"/>
        </w:numPr>
        <w:ind w:left="737" w:hanging="737"/>
        <w:rPr>
          <w:lang w:val="en-GB"/>
        </w:rPr>
      </w:pPr>
      <w:bookmarkStart w:id="100" w:name="_Toc94189856"/>
      <w:bookmarkStart w:id="101" w:name="_Ref478725236"/>
      <w:bookmarkStart w:id="102" w:name="_Toc95297073"/>
      <w:bookmarkStart w:id="103" w:name="_Toc95668188"/>
      <w:r w:rsidRPr="0001096E">
        <w:rPr>
          <w:lang w:val="en-GB"/>
        </w:rPr>
        <w:t>Article 21 – Freedom of expression and opinion, and access to information</w:t>
      </w:r>
      <w:bookmarkEnd w:id="100"/>
      <w:bookmarkEnd w:id="101"/>
      <w:bookmarkEnd w:id="102"/>
      <w:bookmarkEnd w:id="103"/>
    </w:p>
    <w:p w14:paraId="5226B8E4" w14:textId="24F2A5B1" w:rsidR="007D0141" w:rsidRPr="00A86F53" w:rsidRDefault="007D0141" w:rsidP="007D0141">
      <w:pPr>
        <w:rPr>
          <w:lang w:val="en-GB"/>
        </w:rPr>
      </w:pPr>
      <w:r w:rsidRPr="00A86F53">
        <w:rPr>
          <w:b/>
          <w:lang w:val="en-GB"/>
        </w:rPr>
        <w:t xml:space="preserve">The measures </w:t>
      </w:r>
      <w:r w:rsidRPr="00A86F53">
        <w:rPr>
          <w:lang w:val="en-GB"/>
        </w:rPr>
        <w:t>taken</w:t>
      </w:r>
      <w:r>
        <w:rPr>
          <w:lang w:val="en-GB"/>
        </w:rPr>
        <w:t xml:space="preserve"> (Reply to LoI, para. 53 f.)</w:t>
      </w:r>
      <w:r w:rsidRPr="00A86F53">
        <w:rPr>
          <w:lang w:val="en-GB"/>
        </w:rPr>
        <w:t xml:space="preserve"> by both the </w:t>
      </w:r>
      <w:r w:rsidRPr="00A86F53">
        <w:rPr>
          <w:b/>
          <w:lang w:val="en-GB"/>
        </w:rPr>
        <w:t xml:space="preserve">Confederation and the Swiss Broadcasting Corporation (SRG) </w:t>
      </w:r>
      <w:r w:rsidRPr="00A86F53">
        <w:rPr>
          <w:lang w:val="en-GB"/>
        </w:rPr>
        <w:t>in</w:t>
      </w:r>
      <w:r w:rsidRPr="00A86F53">
        <w:rPr>
          <w:b/>
          <w:bCs/>
          <w:lang w:val="en-GB"/>
        </w:rPr>
        <w:t xml:space="preserve"> </w:t>
      </w:r>
      <w:r w:rsidRPr="00A86F53">
        <w:rPr>
          <w:lang w:val="en-GB"/>
        </w:rPr>
        <w:t xml:space="preserve">order </w:t>
      </w:r>
      <w:r w:rsidRPr="005E7C0E">
        <w:rPr>
          <w:lang w:val="en-GB"/>
        </w:rPr>
        <w:t xml:space="preserve">to </w:t>
      </w:r>
      <w:r w:rsidRPr="005E7C0E">
        <w:rPr>
          <w:b/>
          <w:bCs/>
          <w:lang w:val="en-GB"/>
        </w:rPr>
        <w:t xml:space="preserve">make </w:t>
      </w:r>
      <w:r w:rsidRPr="005E7C0E">
        <w:rPr>
          <w:b/>
          <w:lang w:val="en-GB"/>
        </w:rPr>
        <w:t>their information available</w:t>
      </w:r>
      <w:r w:rsidRPr="005E7C0E">
        <w:rPr>
          <w:lang w:val="en-GB"/>
        </w:rPr>
        <w:t xml:space="preserve"> (LoI, para. 16a) are </w:t>
      </w:r>
      <w:r w:rsidRPr="005E7C0E">
        <w:rPr>
          <w:b/>
          <w:lang w:val="en-GB"/>
        </w:rPr>
        <w:t>most</w:t>
      </w:r>
      <w:r w:rsidRPr="00A86F53">
        <w:rPr>
          <w:b/>
          <w:lang w:val="en-GB"/>
        </w:rPr>
        <w:t xml:space="preserve"> welcome</w:t>
      </w:r>
      <w:r w:rsidRPr="00A86F53">
        <w:rPr>
          <w:lang w:val="en-GB"/>
        </w:rPr>
        <w:t xml:space="preserve">. Nevertheless, many </w:t>
      </w:r>
      <w:r w:rsidRPr="00A86F53">
        <w:rPr>
          <w:b/>
          <w:lang w:val="en-GB"/>
        </w:rPr>
        <w:t>websites of public authorities</w:t>
      </w:r>
      <w:r w:rsidRPr="00A86F53">
        <w:rPr>
          <w:lang w:val="en-GB"/>
        </w:rPr>
        <w:t xml:space="preserve"> (at federal, cantonal and municipal level) or </w:t>
      </w:r>
      <w:r w:rsidRPr="00A86F53">
        <w:rPr>
          <w:b/>
          <w:lang w:val="en-GB"/>
        </w:rPr>
        <w:t xml:space="preserve">subsidised companies </w:t>
      </w:r>
      <w:r w:rsidRPr="00A86F53">
        <w:rPr>
          <w:lang w:val="en-GB"/>
        </w:rPr>
        <w:t>are still not accessible and are therefore not usable or are only usable in a limited fashion for PWD.</w:t>
      </w:r>
      <w:bookmarkStart w:id="104" w:name="_Ref94458014"/>
      <w:r w:rsidRPr="00A86F53">
        <w:rPr>
          <w:rStyle w:val="FootnoteReference"/>
          <w:lang w:val="en-GB"/>
        </w:rPr>
        <w:footnoteReference w:id="179"/>
      </w:r>
      <w:bookmarkEnd w:id="104"/>
      <w:r w:rsidRPr="00A86F53">
        <w:rPr>
          <w:lang w:val="en-GB"/>
        </w:rPr>
        <w:t xml:space="preserve"> According to an assessment report from 2018, the Confederation is doing better in terms of accessibility than other levels of government. It has also established accessibility as a focal </w:t>
      </w:r>
      <w:r w:rsidRPr="00A86F53">
        <w:rPr>
          <w:lang w:val="en-GB"/>
        </w:rPr>
        <w:lastRenderedPageBreak/>
        <w:t>point and is active in this area.</w:t>
      </w:r>
      <w:r w:rsidRPr="00A86F53">
        <w:rPr>
          <w:rStyle w:val="FootnoteReference"/>
          <w:lang w:val="en-GB"/>
        </w:rPr>
        <w:footnoteReference w:id="180"/>
      </w:r>
      <w:r w:rsidRPr="00A86F53">
        <w:rPr>
          <w:lang w:val="en-GB"/>
        </w:rPr>
        <w:t xml:space="preserve"> </w:t>
      </w:r>
      <w:r w:rsidRPr="00A86F53">
        <w:rPr>
          <w:b/>
          <w:lang w:val="en-GB"/>
        </w:rPr>
        <w:t>However, its websites do not yet comply with the legal requirements</w:t>
      </w:r>
      <w:r w:rsidRPr="00A86F53">
        <w:rPr>
          <w:lang w:val="en-GB"/>
        </w:rPr>
        <w:t>.</w:t>
      </w:r>
      <w:bookmarkStart w:id="105" w:name="_Ref15246547"/>
      <w:r w:rsidRPr="00A86F53">
        <w:rPr>
          <w:vertAlign w:val="superscript"/>
          <w:lang w:val="en-GB"/>
        </w:rPr>
        <w:footnoteReference w:id="181"/>
      </w:r>
      <w:bookmarkEnd w:id="105"/>
      <w:r w:rsidRPr="00A86F53">
        <w:rPr>
          <w:lang w:val="en-GB"/>
        </w:rPr>
        <w:t xml:space="preserve"> Information is not accessible in </w:t>
      </w:r>
      <w:r w:rsidR="00282A84">
        <w:rPr>
          <w:lang w:val="en-GB"/>
        </w:rPr>
        <w:t>plain</w:t>
      </w:r>
      <w:r w:rsidRPr="00A86F53">
        <w:rPr>
          <w:lang w:val="en-GB"/>
        </w:rPr>
        <w:t xml:space="preserve"> language and sign language. Audio-based videos and files are often not available in other formats or with subtitles. In addition, access to online information in PDF format is inadequate. The </w:t>
      </w:r>
      <w:r w:rsidRPr="00A86F53">
        <w:rPr>
          <w:b/>
          <w:lang w:val="en-GB"/>
        </w:rPr>
        <w:t>websites of private companies</w:t>
      </w:r>
      <w:r w:rsidRPr="00A86F53">
        <w:rPr>
          <w:lang w:val="en-GB"/>
        </w:rPr>
        <w:t xml:space="preserve"> are also generally not accessible.</w:t>
      </w:r>
      <w:r w:rsidRPr="00A86F53">
        <w:rPr>
          <w:vertAlign w:val="superscript"/>
          <w:lang w:val="en-GB"/>
        </w:rPr>
        <w:footnoteReference w:id="182"/>
      </w:r>
      <w:r w:rsidRPr="00A86F53">
        <w:rPr>
          <w:lang w:val="en-GB"/>
        </w:rPr>
        <w:t xml:space="preserve"> </w:t>
      </w:r>
    </w:p>
    <w:p w14:paraId="328FEB94" w14:textId="77777777" w:rsidR="007D0141" w:rsidRPr="00A86F53" w:rsidRDefault="007D0141" w:rsidP="007D0141">
      <w:pPr>
        <w:rPr>
          <w:lang w:val="en-GB"/>
        </w:rPr>
      </w:pPr>
      <w:r w:rsidRPr="00A86F53">
        <w:rPr>
          <w:lang w:val="en-GB"/>
        </w:rPr>
        <w:t xml:space="preserve">The vast majority of the </w:t>
      </w:r>
      <w:r w:rsidRPr="00A86F53">
        <w:rPr>
          <w:b/>
          <w:lang w:val="en-GB"/>
        </w:rPr>
        <w:t>cantons</w:t>
      </w:r>
      <w:r w:rsidRPr="00A86F53">
        <w:rPr>
          <w:rStyle w:val="FootnoteReference"/>
          <w:lang w:val="en-GB"/>
        </w:rPr>
        <w:footnoteReference w:id="183"/>
      </w:r>
      <w:r w:rsidRPr="00A86F53">
        <w:rPr>
          <w:lang w:val="en-GB"/>
        </w:rPr>
        <w:t xml:space="preserve"> have </w:t>
      </w:r>
      <w:r w:rsidRPr="00A86F53">
        <w:rPr>
          <w:b/>
          <w:bCs/>
          <w:lang w:val="en-GB"/>
        </w:rPr>
        <w:t xml:space="preserve">neither concretised in their legal regime nor implemented </w:t>
      </w:r>
      <w:r w:rsidRPr="00A86F53">
        <w:rPr>
          <w:lang w:val="en-GB"/>
        </w:rPr>
        <w:t>the obligation under Article 21 CRPD to make their information accessible (including digitally) and to communicate in an accessible manner with PWD.</w:t>
      </w:r>
    </w:p>
    <w:p w14:paraId="39EBE5E1" w14:textId="5B0B3896" w:rsidR="007D0141" w:rsidRPr="007D0141" w:rsidRDefault="007D0141" w:rsidP="007D0141">
      <w:pPr>
        <w:pStyle w:val="BodyText"/>
        <w:rPr>
          <w:lang w:val="en-GB"/>
        </w:rPr>
      </w:pPr>
      <w:r w:rsidRPr="00A86F53">
        <w:rPr>
          <w:lang w:val="en-GB"/>
        </w:rPr>
        <w:t xml:space="preserve">Despite the </w:t>
      </w:r>
      <w:r w:rsidRPr="00A86F53">
        <w:rPr>
          <w:b/>
          <w:lang w:val="en-GB"/>
        </w:rPr>
        <w:t>encouraging measures taken at federal level</w:t>
      </w:r>
      <w:r w:rsidRPr="00A86F53">
        <w:rPr>
          <w:lang w:val="en-GB"/>
        </w:rPr>
        <w:t xml:space="preserve"> (Reply to LoI, para. 55+56) many PWD face </w:t>
      </w:r>
      <w:r w:rsidRPr="005E7C0E">
        <w:rPr>
          <w:lang w:val="en-GB"/>
        </w:rPr>
        <w:t xml:space="preserve">discrimination when </w:t>
      </w:r>
      <w:r w:rsidRPr="005E7C0E">
        <w:rPr>
          <w:b/>
          <w:lang w:val="en-GB"/>
        </w:rPr>
        <w:t>communicating directly</w:t>
      </w:r>
      <w:r w:rsidRPr="005E7C0E">
        <w:rPr>
          <w:lang w:val="en-GB"/>
        </w:rPr>
        <w:t xml:space="preserve"> </w:t>
      </w:r>
      <w:r w:rsidRPr="005E7C0E">
        <w:rPr>
          <w:b/>
          <w:lang w:val="en-GB"/>
        </w:rPr>
        <w:t xml:space="preserve">with the authorities </w:t>
      </w:r>
      <w:r w:rsidRPr="005E7C0E">
        <w:rPr>
          <w:bCs/>
          <w:lang w:val="en-GB"/>
        </w:rPr>
        <w:t>(LoI, para. 16b)</w:t>
      </w:r>
      <w:r w:rsidRPr="005E7C0E">
        <w:rPr>
          <w:lang w:val="en-GB"/>
        </w:rPr>
        <w:t>. For instance, decisions are issued which the persons with impaired vision to whom they apply are unable to understand without</w:t>
      </w:r>
      <w:r w:rsidRPr="00A86F53">
        <w:rPr>
          <w:lang w:val="en-GB"/>
        </w:rPr>
        <w:t xml:space="preserve"> outside help. Furthermore, as can be seen from the legal advice provided by organisations of PWD, the authorities still often refuse to cover the cost of a sign language interpreter or a speech-to-text interpreter to provide services at a meeting. </w:t>
      </w:r>
    </w:p>
    <w:p w14:paraId="74140890" w14:textId="187C90DB" w:rsidR="00C177BB" w:rsidRPr="0001096E" w:rsidRDefault="00FE4D0E" w:rsidP="00C177BB">
      <w:pPr>
        <w:shd w:val="clear" w:color="auto" w:fill="FFFFCC"/>
        <w:spacing w:before="240"/>
        <w:rPr>
          <w:rFonts w:eastAsia="Cambria"/>
          <w:b/>
          <w:lang w:val="en-GB"/>
        </w:rPr>
      </w:pPr>
      <w:r w:rsidRPr="0001096E">
        <w:rPr>
          <w:rFonts w:eastAsia="Cambria"/>
          <w:b/>
          <w:lang w:val="en-GB"/>
        </w:rPr>
        <w:t>Proposals for recommendations</w:t>
      </w:r>
      <w:r w:rsidR="00C177BB" w:rsidRPr="0001096E">
        <w:rPr>
          <w:rFonts w:eastAsia="Cambria"/>
          <w:b/>
          <w:lang w:val="en-GB"/>
        </w:rPr>
        <w:t>:</w:t>
      </w:r>
    </w:p>
    <w:p w14:paraId="6E4591BD" w14:textId="535263E6" w:rsidR="007D0141" w:rsidRPr="00A86F53" w:rsidRDefault="007D0141" w:rsidP="007D0141">
      <w:pPr>
        <w:pStyle w:val="BodyText"/>
        <w:numPr>
          <w:ilvl w:val="0"/>
          <w:numId w:val="10"/>
        </w:numPr>
        <w:shd w:val="clear" w:color="auto" w:fill="FFFFCC"/>
        <w:spacing w:line="280" w:lineRule="exact"/>
        <w:jc w:val="left"/>
        <w:rPr>
          <w:lang w:val="en-GB"/>
        </w:rPr>
      </w:pPr>
      <w:r w:rsidRPr="00A86F53">
        <w:rPr>
          <w:b/>
          <w:lang w:val="en-GB"/>
        </w:rPr>
        <w:lastRenderedPageBreak/>
        <w:t>The cantons</w:t>
      </w:r>
      <w:r w:rsidRPr="00A86F53">
        <w:rPr>
          <w:lang w:val="en-GB"/>
        </w:rPr>
        <w:t xml:space="preserve"> and </w:t>
      </w:r>
      <w:r w:rsidRPr="00A86F53">
        <w:rPr>
          <w:b/>
          <w:lang w:val="en-GB"/>
        </w:rPr>
        <w:t>municipalities</w:t>
      </w:r>
      <w:r w:rsidRPr="00A86F53">
        <w:rPr>
          <w:lang w:val="en-GB"/>
        </w:rPr>
        <w:t xml:space="preserve"> shall incorporate the obligation to make </w:t>
      </w:r>
      <w:r w:rsidRPr="00A86F53">
        <w:rPr>
          <w:b/>
          <w:lang w:val="en-GB"/>
        </w:rPr>
        <w:t>their information accessible</w:t>
      </w:r>
      <w:r w:rsidRPr="00A86F53">
        <w:rPr>
          <w:lang w:val="en-GB"/>
        </w:rPr>
        <w:t xml:space="preserve"> and to </w:t>
      </w:r>
      <w:r w:rsidRPr="00A86F53">
        <w:rPr>
          <w:b/>
          <w:lang w:val="en-GB"/>
        </w:rPr>
        <w:t>communicate in an accessible manner with PWD</w:t>
      </w:r>
      <w:r w:rsidRPr="00A86F53">
        <w:rPr>
          <w:lang w:val="en-GB"/>
        </w:rPr>
        <w:t xml:space="preserve"> in their legislation and shall provide the </w:t>
      </w:r>
      <w:r w:rsidRPr="00A86F53">
        <w:rPr>
          <w:b/>
          <w:lang w:val="en-GB"/>
        </w:rPr>
        <w:t>necessary resources to implement</w:t>
      </w:r>
      <w:r w:rsidRPr="00A86F53">
        <w:rPr>
          <w:lang w:val="en-GB"/>
        </w:rPr>
        <w:t xml:space="preserve"> this obligation. They shall ensure accessible communication e.g. by means of Braille, sign language, </w:t>
      </w:r>
      <w:r w:rsidR="00282A84">
        <w:rPr>
          <w:lang w:val="en-GB"/>
        </w:rPr>
        <w:t>plain</w:t>
      </w:r>
      <w:r w:rsidRPr="00A86F53">
        <w:rPr>
          <w:lang w:val="en-GB"/>
        </w:rPr>
        <w:t xml:space="preserve"> language and hearing loops.</w:t>
      </w:r>
    </w:p>
    <w:p w14:paraId="7DCDD75B" w14:textId="0CE59506" w:rsidR="00AD6133" w:rsidRPr="007D0141" w:rsidRDefault="007D0141" w:rsidP="007D0141">
      <w:pPr>
        <w:pStyle w:val="BodyText"/>
        <w:numPr>
          <w:ilvl w:val="0"/>
          <w:numId w:val="10"/>
        </w:numPr>
        <w:shd w:val="clear" w:color="auto" w:fill="FFFFCC"/>
        <w:spacing w:line="280" w:lineRule="exact"/>
        <w:jc w:val="left"/>
        <w:rPr>
          <w:lang w:val="en-GB"/>
        </w:rPr>
      </w:pPr>
      <w:r w:rsidRPr="00A86F53">
        <w:rPr>
          <w:lang w:val="en-GB"/>
        </w:rPr>
        <w:t xml:space="preserve">When </w:t>
      </w:r>
      <w:r w:rsidRPr="00A86F53">
        <w:rPr>
          <w:b/>
          <w:lang w:val="en-GB"/>
        </w:rPr>
        <w:t xml:space="preserve">awarding public contracts to </w:t>
      </w:r>
      <w:r w:rsidRPr="00D018D0">
        <w:rPr>
          <w:b/>
          <w:lang w:val="en-GB"/>
        </w:rPr>
        <w:t xml:space="preserve">private </w:t>
      </w:r>
      <w:r w:rsidR="00D018D0" w:rsidRPr="00D018D0">
        <w:rPr>
          <w:b/>
          <w:lang w:val="en-US"/>
        </w:rPr>
        <w:t>entities</w:t>
      </w:r>
      <w:r w:rsidRPr="00A86F53">
        <w:rPr>
          <w:b/>
          <w:lang w:val="en-GB"/>
        </w:rPr>
        <w:t xml:space="preserve">, </w:t>
      </w:r>
      <w:r w:rsidRPr="00A86F53">
        <w:rPr>
          <w:lang w:val="en-GB"/>
        </w:rPr>
        <w:t xml:space="preserve">the Confederation and the cantons shall set the </w:t>
      </w:r>
      <w:r w:rsidRPr="00A86F53">
        <w:rPr>
          <w:b/>
          <w:lang w:val="en-GB"/>
        </w:rPr>
        <w:t xml:space="preserve">accessibility of ICT for </w:t>
      </w:r>
      <w:r w:rsidRPr="00A86F53">
        <w:rPr>
          <w:rFonts w:eastAsia="Calibri"/>
          <w:b/>
          <w:color w:val="000000"/>
          <w:lang w:val="en-GB"/>
        </w:rPr>
        <w:t>PWD</w:t>
      </w:r>
      <w:r w:rsidRPr="00A86F53">
        <w:rPr>
          <w:lang w:val="en-GB"/>
        </w:rPr>
        <w:t xml:space="preserve"> as a </w:t>
      </w:r>
      <w:r w:rsidRPr="00A86F53">
        <w:rPr>
          <w:b/>
          <w:lang w:val="en-GB"/>
        </w:rPr>
        <w:t>prerequisite</w:t>
      </w:r>
      <w:r w:rsidRPr="00A86F53">
        <w:rPr>
          <w:lang w:val="en-GB"/>
        </w:rPr>
        <w:t>.</w:t>
      </w:r>
    </w:p>
    <w:p w14:paraId="43CE284E" w14:textId="45D9A02C" w:rsidR="00FE4D0E" w:rsidRPr="0001096E" w:rsidRDefault="00FE4D0E" w:rsidP="00FE4D0E">
      <w:pPr>
        <w:pStyle w:val="Heading3"/>
        <w:numPr>
          <w:ilvl w:val="0"/>
          <w:numId w:val="0"/>
        </w:numPr>
        <w:ind w:left="737" w:hanging="737"/>
        <w:rPr>
          <w:rStyle w:val="Strong"/>
          <w:b/>
          <w:bCs/>
          <w:lang w:val="en-GB"/>
        </w:rPr>
      </w:pPr>
      <w:bookmarkStart w:id="106" w:name="_Toc94189857"/>
      <w:bookmarkStart w:id="107" w:name="_Ref479079474"/>
      <w:bookmarkStart w:id="108" w:name="_Toc95297074"/>
      <w:bookmarkStart w:id="109" w:name="_Toc95668189"/>
      <w:r w:rsidRPr="0001096E">
        <w:rPr>
          <w:rStyle w:val="Strong"/>
          <w:b/>
          <w:bCs/>
          <w:lang w:val="en-GB"/>
        </w:rPr>
        <w:t>Article 22 – Respect for privacy</w:t>
      </w:r>
      <w:bookmarkEnd w:id="106"/>
      <w:bookmarkEnd w:id="107"/>
      <w:bookmarkEnd w:id="108"/>
      <w:bookmarkEnd w:id="109"/>
    </w:p>
    <w:p w14:paraId="38EA37C0" w14:textId="677C1813" w:rsidR="007D0141" w:rsidRPr="007D0141" w:rsidRDefault="007D0141" w:rsidP="007D0141">
      <w:pPr>
        <w:pStyle w:val="BodyText"/>
        <w:rPr>
          <w:lang w:val="en-GB" w:eastAsia="de-CH"/>
        </w:rPr>
      </w:pPr>
      <w:r w:rsidRPr="007D0141">
        <w:rPr>
          <w:lang w:val="en-GB" w:eastAsia="de-CH"/>
        </w:rPr>
        <w:t xml:space="preserve">Switzerland’s reference to federal legislation in the areas of data protection and statistics does not answer the Committee’s </w:t>
      </w:r>
      <w:r w:rsidRPr="005E7C0E">
        <w:rPr>
          <w:lang w:val="en-GB" w:eastAsia="de-CH"/>
        </w:rPr>
        <w:t xml:space="preserve">question </w:t>
      </w:r>
      <w:r w:rsidRPr="005E7C0E">
        <w:rPr>
          <w:lang w:val="en-US" w:eastAsia="de-CH"/>
        </w:rPr>
        <w:t>about protective measures in relation to official data surveys (LoI, para. 17a)</w:t>
      </w:r>
      <w:r w:rsidRPr="005E7C0E">
        <w:rPr>
          <w:lang w:val="en-GB" w:eastAsia="de-CH"/>
        </w:rPr>
        <w:t xml:space="preserve">. </w:t>
      </w:r>
      <w:r w:rsidRPr="005E7C0E">
        <w:rPr>
          <w:rFonts w:eastAsia="Calibri"/>
          <w:color w:val="000000"/>
          <w:lang w:val="en-GB" w:eastAsia="de-CH"/>
        </w:rPr>
        <w:t>PWD</w:t>
      </w:r>
      <w:r w:rsidRPr="005E7C0E">
        <w:rPr>
          <w:lang w:val="en-GB" w:eastAsia="de-CH"/>
        </w:rPr>
        <w:t xml:space="preserve"> have a </w:t>
      </w:r>
      <w:r w:rsidRPr="005E7C0E">
        <w:rPr>
          <w:b/>
          <w:lang w:val="en-GB" w:eastAsia="de-CH"/>
        </w:rPr>
        <w:t xml:space="preserve">special need for protection </w:t>
      </w:r>
      <w:r w:rsidRPr="005E7C0E">
        <w:rPr>
          <w:lang w:val="en-GB" w:eastAsia="de-CH"/>
        </w:rPr>
        <w:t>in relation to respect for their privacy. At present, this need</w:t>
      </w:r>
      <w:r w:rsidRPr="007D0141">
        <w:rPr>
          <w:lang w:val="en-GB" w:eastAsia="de-CH"/>
        </w:rPr>
        <w:t xml:space="preserve"> is not taken into account sufficiently at the level of the legal frameworks and their implementation. This is the case especially for </w:t>
      </w:r>
      <w:r w:rsidR="00D739C9" w:rsidRPr="00D739C9">
        <w:rPr>
          <w:b/>
          <w:lang w:val="en-GB"/>
        </w:rPr>
        <w:t>persons</w:t>
      </w:r>
      <w:r w:rsidRPr="007D0141">
        <w:rPr>
          <w:b/>
          <w:lang w:val="en-GB" w:eastAsia="de-CH"/>
        </w:rPr>
        <w:t xml:space="preserve"> living in institutions</w:t>
      </w:r>
      <w:r w:rsidRPr="007D0141">
        <w:rPr>
          <w:lang w:val="en-GB" w:eastAsia="de-CH"/>
        </w:rPr>
        <w:t xml:space="preserve">. In general, </w:t>
      </w:r>
      <w:r w:rsidRPr="007D0141">
        <w:rPr>
          <w:rFonts w:eastAsia="Calibri"/>
          <w:color w:val="000000"/>
          <w:lang w:val="en-GB" w:eastAsia="de-CH"/>
        </w:rPr>
        <w:t>PWD</w:t>
      </w:r>
      <w:r w:rsidRPr="007D0141">
        <w:rPr>
          <w:lang w:val="en-GB" w:eastAsia="de-CH"/>
        </w:rPr>
        <w:t xml:space="preserve"> are required to disclose a large amount of (highly) personal data</w:t>
      </w:r>
      <w:r w:rsidRPr="007D0141">
        <w:rPr>
          <w:vertAlign w:val="superscript"/>
          <w:lang w:val="en-GB" w:eastAsia="de-CH"/>
        </w:rPr>
        <w:footnoteReference w:id="184"/>
      </w:r>
      <w:r w:rsidRPr="007D0141">
        <w:rPr>
          <w:lang w:val="en-GB" w:eastAsia="de-CH"/>
        </w:rPr>
        <w:t xml:space="preserve"> when applying for social insurance benefits or </w:t>
      </w:r>
      <w:r w:rsidR="00770D23">
        <w:rPr>
          <w:lang w:val="en-GB" w:eastAsia="de-CH"/>
        </w:rPr>
        <w:t>special</w:t>
      </w:r>
      <w:r w:rsidRPr="007D0141">
        <w:rPr>
          <w:lang w:val="en-GB" w:eastAsia="de-CH"/>
        </w:rPr>
        <w:t xml:space="preserve"> education services. </w:t>
      </w:r>
      <w:r w:rsidRPr="007D0141">
        <w:rPr>
          <w:rFonts w:eastAsia="Times New Roman"/>
          <w:lang w:val="en-GB" w:eastAsia="de-CH"/>
        </w:rPr>
        <w:t xml:space="preserve">In the context of its legal advisory activities, Inclusion Handicap was </w:t>
      </w:r>
      <w:r w:rsidRPr="007D0141">
        <w:rPr>
          <w:lang w:val="en-GB" w:eastAsia="de-CH"/>
        </w:rPr>
        <w:t xml:space="preserve">made aware of the correspondingly increased </w:t>
      </w:r>
      <w:r w:rsidRPr="007D0141">
        <w:rPr>
          <w:b/>
          <w:lang w:val="en-GB" w:eastAsia="de-CH"/>
        </w:rPr>
        <w:t>vulnerability of PWD under data protection law</w:t>
      </w:r>
      <w:r w:rsidRPr="007D0141">
        <w:rPr>
          <w:lang w:val="en-GB" w:eastAsia="de-CH"/>
        </w:rPr>
        <w:t>:</w:t>
      </w:r>
      <w:r w:rsidRPr="007D0141">
        <w:rPr>
          <w:vertAlign w:val="superscript"/>
          <w:lang w:val="en-GB" w:eastAsia="de-CH"/>
        </w:rPr>
        <w:footnoteReference w:id="185"/>
      </w:r>
      <w:r w:rsidRPr="007D0141">
        <w:rPr>
          <w:lang w:val="en-GB" w:eastAsia="de-CH"/>
        </w:rPr>
        <w:t xml:space="preserve"> It </w:t>
      </w:r>
      <w:r w:rsidRPr="007D0141">
        <w:rPr>
          <w:b/>
          <w:lang w:val="en-GB" w:eastAsia="de-CH"/>
        </w:rPr>
        <w:t xml:space="preserve">by no means </w:t>
      </w:r>
      <w:r w:rsidRPr="007D0141">
        <w:rPr>
          <w:lang w:val="en-GB" w:eastAsia="de-CH"/>
        </w:rPr>
        <w:t xml:space="preserve">appears to be </w:t>
      </w:r>
      <w:r w:rsidRPr="007D0141">
        <w:rPr>
          <w:b/>
          <w:lang w:val="en-GB" w:eastAsia="de-CH"/>
        </w:rPr>
        <w:t>guaranteed</w:t>
      </w:r>
      <w:r w:rsidRPr="007D0141">
        <w:rPr>
          <w:lang w:val="en-GB" w:eastAsia="de-CH"/>
        </w:rPr>
        <w:t xml:space="preserve"> that </w:t>
      </w:r>
      <w:r w:rsidRPr="007D0141">
        <w:rPr>
          <w:b/>
          <w:lang w:val="en-GB" w:eastAsia="de-CH"/>
        </w:rPr>
        <w:t xml:space="preserve">the only data of PWD that will be collected is the data that is actually necessary </w:t>
      </w:r>
      <w:r w:rsidRPr="007D0141">
        <w:rPr>
          <w:lang w:val="en-GB" w:eastAsia="de-CH"/>
        </w:rPr>
        <w:t>in order to determine their entitlement to benefits and the amount thereof.</w:t>
      </w:r>
      <w:r w:rsidRPr="007D0141">
        <w:rPr>
          <w:vertAlign w:val="superscript"/>
          <w:lang w:val="en-GB" w:eastAsia="de-CH"/>
        </w:rPr>
        <w:footnoteReference w:id="186"/>
      </w:r>
    </w:p>
    <w:p w14:paraId="0989250E" w14:textId="08949863" w:rsidR="007D0141" w:rsidRPr="007D0141" w:rsidRDefault="007D0141" w:rsidP="007D0141">
      <w:pPr>
        <w:spacing w:before="120" w:line="280" w:lineRule="exact"/>
        <w:rPr>
          <w:rFonts w:eastAsia="MS Gothic"/>
          <w:bCs/>
          <w:szCs w:val="24"/>
          <w:lang w:val="en-GB" w:eastAsia="de-CH"/>
        </w:rPr>
      </w:pPr>
      <w:r w:rsidRPr="007D0141">
        <w:rPr>
          <w:rFonts w:eastAsia="MS Gothic"/>
          <w:bCs/>
          <w:szCs w:val="24"/>
          <w:lang w:val="en-GB" w:eastAsia="de-CH"/>
        </w:rPr>
        <w:lastRenderedPageBreak/>
        <w:t xml:space="preserve">Switzerland’s statement (Reply to LoI, para. 57) that, based on Article 8 DDA, any person who suffers discrimination by the state authority may request the court or the administrative authority to eliminate or cease the discrimination, is incorrect. </w:t>
      </w:r>
      <w:r w:rsidRPr="007D0141">
        <w:rPr>
          <w:rFonts w:eastAsia="MS Gothic"/>
          <w:b/>
          <w:bCs/>
          <w:szCs w:val="24"/>
          <w:lang w:val="en-GB" w:eastAsia="de-CH"/>
        </w:rPr>
        <w:t>As</w:t>
      </w:r>
      <w:r w:rsidRPr="007D0141">
        <w:rPr>
          <w:rFonts w:eastAsia="MS Gothic"/>
          <w:bCs/>
          <w:szCs w:val="24"/>
          <w:lang w:val="en-GB" w:eastAsia="de-CH"/>
        </w:rPr>
        <w:t xml:space="preserve"> </w:t>
      </w:r>
      <w:r w:rsidRPr="007D0141">
        <w:rPr>
          <w:rFonts w:eastAsia="MS Gothic"/>
          <w:b/>
          <w:bCs/>
          <w:szCs w:val="24"/>
          <w:lang w:val="en-GB" w:eastAsia="de-CH"/>
        </w:rPr>
        <w:t xml:space="preserve">a result of the division of powers between the Confederation and the cantons, </w:t>
      </w:r>
      <w:r w:rsidRPr="007D0141">
        <w:rPr>
          <w:rFonts w:eastAsia="MS Gothic"/>
          <w:bCs/>
          <w:szCs w:val="24"/>
          <w:lang w:val="en-GB" w:eastAsia="de-CH"/>
        </w:rPr>
        <w:t>the</w:t>
      </w:r>
      <w:r w:rsidRPr="007D0141">
        <w:rPr>
          <w:rFonts w:eastAsia="MS Gothic"/>
          <w:b/>
          <w:bCs/>
          <w:szCs w:val="24"/>
          <w:lang w:val="en-GB" w:eastAsia="de-CH"/>
        </w:rPr>
        <w:t xml:space="preserve"> DDA does not apply to services provided by the cantons and municipalities</w:t>
      </w:r>
      <w:r w:rsidRPr="007D0141">
        <w:rPr>
          <w:rFonts w:eastAsia="MS Gothic"/>
          <w:bCs/>
          <w:szCs w:val="24"/>
          <w:lang w:val="en-GB" w:eastAsia="de-CH"/>
        </w:rPr>
        <w:t>. Accordingly, the legal rights specified in Art. 8(1) DDA do not apply against them either</w:t>
      </w:r>
      <w:r>
        <w:rPr>
          <w:rFonts w:eastAsia="MS Gothic"/>
          <w:bCs/>
          <w:szCs w:val="24"/>
          <w:lang w:val="en-GB" w:eastAsia="de-CH"/>
        </w:rPr>
        <w:t>.</w:t>
      </w:r>
    </w:p>
    <w:p w14:paraId="41C57637" w14:textId="73558EA7" w:rsidR="00C177BB" w:rsidRPr="0001096E" w:rsidRDefault="00FE4D0E" w:rsidP="00C177BB">
      <w:pPr>
        <w:shd w:val="clear" w:color="auto" w:fill="FFFFCC"/>
        <w:spacing w:before="240"/>
        <w:rPr>
          <w:rFonts w:eastAsia="Cambria"/>
          <w:b/>
          <w:lang w:val="en-GB"/>
        </w:rPr>
      </w:pPr>
      <w:r w:rsidRPr="0001096E">
        <w:rPr>
          <w:rFonts w:eastAsia="Cambria"/>
          <w:b/>
          <w:lang w:val="en-GB"/>
        </w:rPr>
        <w:t>Proposals for recommendations</w:t>
      </w:r>
      <w:r w:rsidR="00C177BB" w:rsidRPr="0001096E">
        <w:rPr>
          <w:rFonts w:eastAsia="Cambria"/>
          <w:b/>
          <w:lang w:val="en-GB"/>
        </w:rPr>
        <w:t>:</w:t>
      </w:r>
    </w:p>
    <w:p w14:paraId="474AB0BA" w14:textId="77777777" w:rsidR="007D0141" w:rsidRPr="00A86F53" w:rsidRDefault="007D0141" w:rsidP="007D0141">
      <w:pPr>
        <w:pStyle w:val="SBEmpfehlungen"/>
      </w:pPr>
      <w:r w:rsidRPr="00A86F53">
        <w:t xml:space="preserve">The </w:t>
      </w:r>
      <w:r w:rsidRPr="00915CF3">
        <w:rPr>
          <w:b/>
        </w:rPr>
        <w:t>Confederation and the Cantons</w:t>
      </w:r>
      <w:r w:rsidRPr="00A86F53">
        <w:t xml:space="preserve"> shall ensure, at the level of legislation and its implementation, that the </w:t>
      </w:r>
      <w:r w:rsidRPr="00915CF3">
        <w:rPr>
          <w:b/>
        </w:rPr>
        <w:t>collection of data is limited to data that is actually required</w:t>
      </w:r>
      <w:r w:rsidRPr="00A86F53">
        <w:t>. They shall also ensure that the disclosure of (highly) personal data only takes place with the consent of the data subject. This data protection must also apply, in particular, to persons living and/or working in institutions.</w:t>
      </w:r>
    </w:p>
    <w:p w14:paraId="344E9C32" w14:textId="07715A7C" w:rsidR="00AD6133" w:rsidRPr="007D0141" w:rsidRDefault="007D0141" w:rsidP="007D0141">
      <w:pPr>
        <w:pStyle w:val="SBEmpfehlungen"/>
      </w:pPr>
      <w:r w:rsidRPr="00A86F53">
        <w:t xml:space="preserve">As part of their supervisory function, the </w:t>
      </w:r>
      <w:r w:rsidRPr="00915CF3">
        <w:rPr>
          <w:b/>
        </w:rPr>
        <w:t>cantons</w:t>
      </w:r>
      <w:r w:rsidRPr="00A86F53">
        <w:t xml:space="preserve"> shall </w:t>
      </w:r>
      <w:r w:rsidRPr="00915CF3">
        <w:rPr>
          <w:b/>
        </w:rPr>
        <w:t>review the handling of sensitive/(highly) personal data of care home residents</w:t>
      </w:r>
      <w:r w:rsidRPr="00A86F53">
        <w:t xml:space="preserve"> in the light of Article 22 CRPD.</w:t>
      </w:r>
    </w:p>
    <w:p w14:paraId="047702B5" w14:textId="77DA19EA" w:rsidR="00FE4D0E" w:rsidRDefault="00FE4D0E" w:rsidP="00FE4D0E">
      <w:pPr>
        <w:pStyle w:val="Heading3"/>
        <w:numPr>
          <w:ilvl w:val="0"/>
          <w:numId w:val="0"/>
        </w:numPr>
        <w:ind w:left="737" w:hanging="737"/>
        <w:rPr>
          <w:lang w:val="en-GB"/>
        </w:rPr>
      </w:pPr>
      <w:bookmarkStart w:id="110" w:name="_Toc94189858"/>
      <w:bookmarkStart w:id="111" w:name="_Toc95297075"/>
      <w:bookmarkStart w:id="112" w:name="_Toc95668190"/>
      <w:r w:rsidRPr="0001096E">
        <w:rPr>
          <w:lang w:val="en-GB"/>
        </w:rPr>
        <w:t>Article 23 – Respect for home and the family</w:t>
      </w:r>
      <w:bookmarkEnd w:id="110"/>
      <w:bookmarkEnd w:id="111"/>
      <w:bookmarkEnd w:id="112"/>
    </w:p>
    <w:p w14:paraId="52A980D0" w14:textId="77777777" w:rsidR="007D0141" w:rsidRPr="00A86F53" w:rsidRDefault="007D0141" w:rsidP="007D0141">
      <w:pPr>
        <w:pStyle w:val="BodyText"/>
        <w:rPr>
          <w:lang w:val="en-GB"/>
        </w:rPr>
      </w:pPr>
      <w:r w:rsidRPr="00A86F53">
        <w:rPr>
          <w:lang w:val="en-GB"/>
        </w:rPr>
        <w:t xml:space="preserve">We agree with Switzerland (Reply to LoI, para. 60-62) insofar as the IV system provides various </w:t>
      </w:r>
      <w:r w:rsidRPr="00A86F53">
        <w:rPr>
          <w:b/>
          <w:lang w:val="en-GB"/>
        </w:rPr>
        <w:t>essential services</w:t>
      </w:r>
      <w:r w:rsidRPr="00A86F53">
        <w:rPr>
          <w:lang w:val="en-GB"/>
        </w:rPr>
        <w:t xml:space="preserve"> for the financial support of </w:t>
      </w:r>
      <w:r w:rsidRPr="00A86F53">
        <w:rPr>
          <w:b/>
          <w:lang w:val="en-GB"/>
        </w:rPr>
        <w:t>adults with disabilities</w:t>
      </w:r>
      <w:r w:rsidRPr="00A86F53">
        <w:rPr>
          <w:lang w:val="en-GB"/>
        </w:rPr>
        <w:t xml:space="preserve"> as well as </w:t>
      </w:r>
      <w:r w:rsidRPr="00A86F53">
        <w:rPr>
          <w:b/>
          <w:lang w:val="en-GB"/>
        </w:rPr>
        <w:t>parents of children with disabilities</w:t>
      </w:r>
      <w:r w:rsidRPr="00A86F53">
        <w:rPr>
          <w:lang w:val="en-GB"/>
        </w:rPr>
        <w:t xml:space="preserve">. The care situation of </w:t>
      </w:r>
      <w:r w:rsidRPr="00A86F53">
        <w:rPr>
          <w:b/>
          <w:lang w:val="en-GB"/>
        </w:rPr>
        <w:t xml:space="preserve">parents who care for </w:t>
      </w:r>
      <w:r w:rsidRPr="00A86F53">
        <w:rPr>
          <w:lang w:val="en-GB"/>
        </w:rPr>
        <w:t xml:space="preserve">their </w:t>
      </w:r>
      <w:r w:rsidRPr="00A86F53">
        <w:rPr>
          <w:b/>
          <w:lang w:val="en-GB"/>
        </w:rPr>
        <w:t>children with severe disabilities</w:t>
      </w:r>
      <w:r w:rsidRPr="00A86F53">
        <w:rPr>
          <w:lang w:val="en-GB"/>
        </w:rPr>
        <w:t xml:space="preserve"> </w:t>
      </w:r>
      <w:r w:rsidRPr="00A86F53">
        <w:rPr>
          <w:b/>
          <w:lang w:val="en-GB"/>
        </w:rPr>
        <w:t xml:space="preserve">at home </w:t>
      </w:r>
      <w:r w:rsidRPr="00A86F53">
        <w:rPr>
          <w:lang w:val="en-GB"/>
        </w:rPr>
        <w:t xml:space="preserve">has improved significantly through the amendments to the federal legislation </w:t>
      </w:r>
      <w:r w:rsidRPr="00A86F53">
        <w:rPr>
          <w:lang w:val="en-GB"/>
        </w:rPr>
        <w:lastRenderedPageBreak/>
        <w:t>that came into force in 2018 and 2021.</w:t>
      </w:r>
      <w:r w:rsidRPr="00A86F53">
        <w:rPr>
          <w:rStyle w:val="FootnoteReference"/>
          <w:lang w:val="en-GB"/>
        </w:rPr>
        <w:footnoteReference w:id="187"/>
      </w:r>
      <w:r w:rsidRPr="00A86F53">
        <w:rPr>
          <w:lang w:val="en-GB"/>
        </w:rPr>
        <w:t xml:space="preserve"> These amendments were therefore very much welcomed by the organisations of PWD.</w:t>
      </w:r>
      <w:r w:rsidRPr="00A86F53">
        <w:rPr>
          <w:rStyle w:val="FootnoteReference"/>
          <w:lang w:val="en-GB"/>
        </w:rPr>
        <w:footnoteReference w:id="188"/>
      </w:r>
    </w:p>
    <w:p w14:paraId="4BBF913D" w14:textId="77777777" w:rsidR="007D0141" w:rsidRPr="00A86F53" w:rsidRDefault="007D0141" w:rsidP="007D0141">
      <w:pPr>
        <w:pStyle w:val="BodyText"/>
        <w:rPr>
          <w:rFonts w:eastAsia="MS Gothic"/>
          <w:lang w:val="en-GB"/>
        </w:rPr>
      </w:pPr>
      <w:r w:rsidRPr="00A86F53">
        <w:rPr>
          <w:rFonts w:eastAsia="MS Gothic"/>
          <w:lang w:val="en-GB"/>
        </w:rPr>
        <w:t xml:space="preserve">However, PWD still face serious problems at times in </w:t>
      </w:r>
      <w:r w:rsidRPr="00A86F53">
        <w:rPr>
          <w:rFonts w:eastAsia="MS Gothic"/>
          <w:b/>
          <w:lang w:val="en-GB"/>
        </w:rPr>
        <w:t xml:space="preserve">exercising their right </w:t>
      </w:r>
      <w:r w:rsidRPr="00A86F53">
        <w:rPr>
          <w:rFonts w:eastAsia="MS Gothic"/>
          <w:lang w:val="en-GB"/>
        </w:rPr>
        <w:t xml:space="preserve">to a </w:t>
      </w:r>
      <w:r w:rsidRPr="00A86F53">
        <w:rPr>
          <w:rFonts w:eastAsia="MS Gothic"/>
          <w:b/>
          <w:lang w:val="en-GB"/>
        </w:rPr>
        <w:t>family and sexuality</w:t>
      </w:r>
      <w:r w:rsidRPr="00A86F53">
        <w:rPr>
          <w:lang w:val="en-GB"/>
        </w:rPr>
        <w:t xml:space="preserve">. This applies primarily to </w:t>
      </w:r>
      <w:r w:rsidRPr="00A86F53">
        <w:rPr>
          <w:b/>
          <w:lang w:val="en-GB"/>
        </w:rPr>
        <w:t>women</w:t>
      </w:r>
      <w:r w:rsidRPr="00A86F53">
        <w:rPr>
          <w:lang w:val="en-GB"/>
        </w:rPr>
        <w:t xml:space="preserve"> (and particularly </w:t>
      </w:r>
      <w:r w:rsidRPr="00A86F53">
        <w:rPr>
          <w:b/>
          <w:lang w:val="en-GB"/>
        </w:rPr>
        <w:t>women with intellectual disabilities</w:t>
      </w:r>
      <w:r w:rsidRPr="00A86F53">
        <w:rPr>
          <w:lang w:val="en-GB"/>
        </w:rPr>
        <w:t xml:space="preserve">) and </w:t>
      </w:r>
      <w:r w:rsidRPr="00A86F53">
        <w:rPr>
          <w:b/>
          <w:bCs/>
          <w:lang w:val="en-GB"/>
        </w:rPr>
        <w:t>residents of care h</w:t>
      </w:r>
      <w:r w:rsidRPr="00A86F53">
        <w:rPr>
          <w:b/>
          <w:lang w:val="en-GB"/>
        </w:rPr>
        <w:t>omes</w:t>
      </w:r>
      <w:r w:rsidRPr="00A86F53">
        <w:rPr>
          <w:lang w:val="en-GB"/>
        </w:rPr>
        <w:t>.</w:t>
      </w:r>
      <w:r w:rsidRPr="00A86F53">
        <w:rPr>
          <w:rFonts w:eastAsia="MS Gothic"/>
          <w:lang w:val="en-GB"/>
        </w:rPr>
        <w:t xml:space="preserve"> </w:t>
      </w:r>
    </w:p>
    <w:p w14:paraId="0F33BDA9" w14:textId="21E7727E" w:rsidR="007D0141" w:rsidRPr="00A86F53" w:rsidRDefault="007D0141" w:rsidP="007D0141">
      <w:pPr>
        <w:pStyle w:val="Aufzhlung"/>
        <w:numPr>
          <w:ilvl w:val="0"/>
          <w:numId w:val="47"/>
        </w:numPr>
        <w:ind w:left="426"/>
      </w:pPr>
      <w:r w:rsidRPr="00A86F53">
        <w:t xml:space="preserve">Specific support for </w:t>
      </w:r>
      <w:r w:rsidRPr="00A86F53">
        <w:rPr>
          <w:b/>
        </w:rPr>
        <w:t>parents with disabilities</w:t>
      </w:r>
      <w:r w:rsidRPr="00A86F53">
        <w:t>, particularly to enable children to grow up in their parents</w:t>
      </w:r>
      <w:r w:rsidR="00770D23">
        <w:t>’</w:t>
      </w:r>
      <w:r w:rsidRPr="00A86F53">
        <w:t xml:space="preserve"> home, remains </w:t>
      </w:r>
      <w:r w:rsidRPr="00A86F53">
        <w:rPr>
          <w:b/>
        </w:rPr>
        <w:t>very rare</w:t>
      </w:r>
      <w:r w:rsidRPr="00A86F53">
        <w:t xml:space="preserve"> and is </w:t>
      </w:r>
      <w:r w:rsidRPr="00A86F53">
        <w:rPr>
          <w:b/>
        </w:rPr>
        <w:t>insufficiently funded</w:t>
      </w:r>
      <w:r w:rsidRPr="00A86F53">
        <w:t xml:space="preserve"> at best. Regular support services are often overburdened when supporting mothers and fathers with disabilities.</w:t>
      </w:r>
    </w:p>
    <w:p w14:paraId="4EFFB078" w14:textId="77777777" w:rsidR="007D0141" w:rsidRPr="00A86F53" w:rsidRDefault="007D0141" w:rsidP="007D0141">
      <w:pPr>
        <w:pStyle w:val="Aufzhlung"/>
        <w:numPr>
          <w:ilvl w:val="0"/>
          <w:numId w:val="47"/>
        </w:numPr>
        <w:ind w:left="426"/>
      </w:pPr>
      <w:r w:rsidRPr="00A86F53">
        <w:rPr>
          <w:b/>
        </w:rPr>
        <w:t>Parents of children with disabilities</w:t>
      </w:r>
      <w:r w:rsidRPr="00A86F53">
        <w:t xml:space="preserve"> face numerous deficiencies despite the aforementioned IV benefits. The following deficiencies exist in both general and disability-specific services: lack of inclusivity and a lack of options for supplementary family care services;</w:t>
      </w:r>
      <w:r w:rsidRPr="00A86F53">
        <w:rPr>
          <w:rStyle w:val="FootnoteReference"/>
        </w:rPr>
        <w:footnoteReference w:id="189"/>
      </w:r>
      <w:r w:rsidRPr="00A86F53">
        <w:t xml:space="preserve"> shortfalls in early detection/support as well as psychiatry/psychotherapy</w:t>
      </w:r>
      <w:r w:rsidRPr="00A86F53">
        <w:rPr>
          <w:rStyle w:val="FootnoteReference"/>
        </w:rPr>
        <w:footnoteReference w:id="190"/>
      </w:r>
      <w:r w:rsidRPr="00A86F53">
        <w:t>). As a result,</w:t>
      </w:r>
      <w:r w:rsidRPr="00A86F53">
        <w:rPr>
          <w:b/>
        </w:rPr>
        <w:t xml:space="preserve"> many children with disabilities are still living in institutions</w:t>
      </w:r>
      <w:r w:rsidRPr="00A86F53">
        <w:t>.</w:t>
      </w:r>
      <w:r w:rsidRPr="00A86F53">
        <w:rPr>
          <w:rStyle w:val="FootnoteReference"/>
        </w:rPr>
        <w:footnoteReference w:id="191"/>
      </w:r>
      <w:r w:rsidRPr="00A86F53">
        <w:t xml:space="preserve"> </w:t>
      </w:r>
    </w:p>
    <w:p w14:paraId="4221CEA6" w14:textId="77777777" w:rsidR="007D0141" w:rsidRPr="00A86F53" w:rsidRDefault="007D0141" w:rsidP="007D0141">
      <w:pPr>
        <w:pStyle w:val="Aufzhlung"/>
        <w:numPr>
          <w:ilvl w:val="0"/>
          <w:numId w:val="47"/>
        </w:numPr>
        <w:ind w:left="426"/>
      </w:pPr>
      <w:r w:rsidRPr="00A86F53">
        <w:t xml:space="preserve">The topic of </w:t>
      </w:r>
      <w:r w:rsidRPr="00A86F53">
        <w:rPr>
          <w:b/>
        </w:rPr>
        <w:t>sexuality and disability</w:t>
      </w:r>
      <w:r w:rsidRPr="00A86F53">
        <w:t xml:space="preserve"> is largely </w:t>
      </w:r>
      <w:r w:rsidRPr="00A86F53">
        <w:rPr>
          <w:b/>
        </w:rPr>
        <w:t xml:space="preserve">taboo </w:t>
      </w:r>
      <w:r w:rsidRPr="00A86F53">
        <w:t xml:space="preserve">in </w:t>
      </w:r>
      <w:r w:rsidRPr="00A86F53">
        <w:rPr>
          <w:b/>
        </w:rPr>
        <w:t>society</w:t>
      </w:r>
      <w:r w:rsidRPr="00A86F53">
        <w:t>.</w:t>
      </w:r>
      <w:r w:rsidRPr="00A86F53">
        <w:rPr>
          <w:rStyle w:val="FootnoteReference"/>
        </w:rPr>
        <w:footnoteReference w:id="192"/>
      </w:r>
      <w:r w:rsidRPr="00A86F53">
        <w:t xml:space="preserve"> </w:t>
      </w:r>
      <w:r w:rsidRPr="00A86F53">
        <w:rPr>
          <w:b/>
          <w:bCs/>
        </w:rPr>
        <w:t>Little education</w:t>
      </w:r>
      <w:r w:rsidRPr="00A86F53">
        <w:t xml:space="preserve"> is provided to the </w:t>
      </w:r>
      <w:r w:rsidRPr="00A86F53">
        <w:rPr>
          <w:b/>
          <w:bCs/>
        </w:rPr>
        <w:t>persons concerned</w:t>
      </w:r>
      <w:r w:rsidRPr="00A86F53">
        <w:t xml:space="preserve">. Information, advice, </w:t>
      </w:r>
      <w:r w:rsidRPr="00A86F53">
        <w:lastRenderedPageBreak/>
        <w:t xml:space="preserve">assistance, support and medical services concerning independent sexuality and family planning are </w:t>
      </w:r>
      <w:r w:rsidRPr="00A86F53">
        <w:rPr>
          <w:b/>
        </w:rPr>
        <w:t>not inclusive</w:t>
      </w:r>
      <w:r w:rsidRPr="00A86F53">
        <w:t>.</w:t>
      </w:r>
    </w:p>
    <w:p w14:paraId="0521155B" w14:textId="124D9C15" w:rsidR="007D0141" w:rsidRDefault="007D0141" w:rsidP="007D0141">
      <w:pPr>
        <w:pStyle w:val="Aufzhlung"/>
        <w:numPr>
          <w:ilvl w:val="0"/>
          <w:numId w:val="47"/>
        </w:numPr>
        <w:ind w:left="426"/>
      </w:pPr>
      <w:r w:rsidRPr="00A86F53">
        <w:t xml:space="preserve">Lastly, the situation of </w:t>
      </w:r>
      <w:r w:rsidR="00D739C9" w:rsidRPr="00D739C9">
        <w:t>persons</w:t>
      </w:r>
      <w:r w:rsidRPr="00A86F53">
        <w:t xml:space="preserve"> who </w:t>
      </w:r>
      <w:r w:rsidRPr="00A86F53">
        <w:rPr>
          <w:b/>
        </w:rPr>
        <w:t xml:space="preserve">care </w:t>
      </w:r>
      <w:r w:rsidRPr="00A86F53">
        <w:t xml:space="preserve">for </w:t>
      </w:r>
      <w:r w:rsidRPr="00A86F53">
        <w:rPr>
          <w:b/>
        </w:rPr>
        <w:t xml:space="preserve">adult family members with disabilities at home continues </w:t>
      </w:r>
      <w:r w:rsidRPr="00A86F53">
        <w:t>to be difficult. The legislative revisions mentioned by Switzerland (Reply to LoI, para. 61+62) fall short for them. The consequences of this include</w:t>
      </w:r>
      <w:r w:rsidRPr="00A86F53">
        <w:rPr>
          <w:b/>
        </w:rPr>
        <w:t xml:space="preserve"> overburdening the carers </w:t>
      </w:r>
      <w:r w:rsidRPr="00A86F53">
        <w:t>to the point of causing harm to their own health or potential premature dismissals which lead to</w:t>
      </w:r>
      <w:r w:rsidRPr="00A86F53">
        <w:rPr>
          <w:b/>
        </w:rPr>
        <w:t xml:space="preserve"> financial problems </w:t>
      </w:r>
      <w:r w:rsidRPr="00A86F53">
        <w:t>for the whole family.</w:t>
      </w:r>
      <w:r w:rsidRPr="00A86F53">
        <w:rPr>
          <w:rStyle w:val="FootnoteReference"/>
        </w:rPr>
        <w:footnoteReference w:id="193"/>
      </w:r>
      <w:r w:rsidRPr="00A86F53">
        <w:t xml:space="preserve"> </w:t>
      </w:r>
    </w:p>
    <w:p w14:paraId="3A186C26" w14:textId="1C9CF952" w:rsidR="00915CF3" w:rsidRDefault="00915CF3">
      <w:pPr>
        <w:jc w:val="left"/>
        <w:rPr>
          <w:rFonts w:eastAsia="Cambria"/>
          <w:szCs w:val="24"/>
          <w:lang w:val="en-GB" w:eastAsia="de-CH"/>
        </w:rPr>
      </w:pPr>
      <w:r w:rsidRPr="00ED1A8F">
        <w:rPr>
          <w:lang w:val="en-US"/>
        </w:rPr>
        <w:br w:type="page"/>
      </w:r>
    </w:p>
    <w:p w14:paraId="5F0D2019" w14:textId="4647D5D0" w:rsidR="00C177BB" w:rsidRPr="0001096E" w:rsidRDefault="00FE4D0E" w:rsidP="00C177BB">
      <w:pPr>
        <w:shd w:val="clear" w:color="auto" w:fill="FFFFCC"/>
        <w:spacing w:before="240"/>
        <w:rPr>
          <w:rFonts w:eastAsia="Cambria"/>
          <w:b/>
          <w:lang w:val="en-GB"/>
        </w:rPr>
      </w:pPr>
      <w:r w:rsidRPr="0001096E">
        <w:rPr>
          <w:rFonts w:eastAsia="Cambria"/>
          <w:b/>
          <w:lang w:val="en-GB"/>
        </w:rPr>
        <w:lastRenderedPageBreak/>
        <w:t>Proposals for recommendations</w:t>
      </w:r>
      <w:r w:rsidR="00C177BB" w:rsidRPr="0001096E">
        <w:rPr>
          <w:rFonts w:eastAsia="Cambria"/>
          <w:b/>
          <w:lang w:val="en-GB"/>
        </w:rPr>
        <w:t>:</w:t>
      </w:r>
    </w:p>
    <w:p w14:paraId="6D306A49" w14:textId="50969147" w:rsidR="007D0141" w:rsidRPr="007D0141" w:rsidRDefault="007D0141" w:rsidP="007D0141">
      <w:pPr>
        <w:pStyle w:val="SBEmpfehlungen"/>
      </w:pPr>
      <w:r w:rsidRPr="007D0141">
        <w:t xml:space="preserve">The </w:t>
      </w:r>
      <w:r w:rsidRPr="00770D23">
        <w:rPr>
          <w:b/>
        </w:rPr>
        <w:t>cantons</w:t>
      </w:r>
      <w:r w:rsidRPr="007D0141">
        <w:t xml:space="preserve"> shall provide </w:t>
      </w:r>
      <w:r w:rsidRPr="00A429E8">
        <w:rPr>
          <w:b/>
        </w:rPr>
        <w:t xml:space="preserve">specific support services for families with children </w:t>
      </w:r>
      <w:r w:rsidR="00770D23" w:rsidRPr="00A429E8">
        <w:rPr>
          <w:b/>
        </w:rPr>
        <w:t xml:space="preserve">or parents </w:t>
      </w:r>
      <w:r w:rsidRPr="00A429E8">
        <w:rPr>
          <w:b/>
        </w:rPr>
        <w:t>with disabilities</w:t>
      </w:r>
      <w:r w:rsidRPr="007D0141">
        <w:t xml:space="preserve"> with the aim of enabling them to live in their own family. Through inclusive care options and the assumption of additional disability-related costs by the public </w:t>
      </w:r>
      <w:r w:rsidRPr="007D0141">
        <w:rPr>
          <w:bCs/>
        </w:rPr>
        <w:t>authorities</w:t>
      </w:r>
      <w:r w:rsidRPr="007D0141">
        <w:t>, they shall also ensure that children with disabilities have the same access to the system of supplementary family care as children without disabilities.</w:t>
      </w:r>
    </w:p>
    <w:p w14:paraId="4CE279BC" w14:textId="6EA2B2D8" w:rsidR="00AD6133" w:rsidRPr="007D0141" w:rsidRDefault="007D0141" w:rsidP="007D0141">
      <w:pPr>
        <w:pStyle w:val="SBEmpfehlungen"/>
      </w:pPr>
      <w:r w:rsidRPr="007D0141">
        <w:t>The</w:t>
      </w:r>
      <w:r w:rsidRPr="007D0141">
        <w:rPr>
          <w:b/>
        </w:rPr>
        <w:t xml:space="preserve"> cantons</w:t>
      </w:r>
      <w:r w:rsidRPr="007D0141">
        <w:t xml:space="preserve"> shall ensure that </w:t>
      </w:r>
      <w:r w:rsidRPr="007D0141">
        <w:rPr>
          <w:b/>
        </w:rPr>
        <w:t xml:space="preserve">sexual and reproductive health services </w:t>
      </w:r>
      <w:r w:rsidRPr="007D0141">
        <w:t xml:space="preserve">are consistently inclusive and accessible to all women with disabilities. In particular, they shall broaden the options for supported parenting and ensure that these services are adequately funded. </w:t>
      </w:r>
    </w:p>
    <w:p w14:paraId="0C6FCF0C" w14:textId="77777777" w:rsidR="00FE4D0E" w:rsidRPr="0001096E" w:rsidRDefault="00FE4D0E" w:rsidP="00FE4D0E">
      <w:pPr>
        <w:pStyle w:val="Heading3"/>
        <w:numPr>
          <w:ilvl w:val="0"/>
          <w:numId w:val="0"/>
        </w:numPr>
        <w:ind w:left="737" w:hanging="737"/>
        <w:rPr>
          <w:lang w:val="en-GB"/>
        </w:rPr>
      </w:pPr>
      <w:bookmarkStart w:id="113" w:name="_Toc91237784"/>
      <w:bookmarkStart w:id="114" w:name="_Ref91239956"/>
      <w:bookmarkStart w:id="115" w:name="_Toc93596148"/>
      <w:bookmarkStart w:id="116" w:name="_Toc95297076"/>
      <w:bookmarkStart w:id="117" w:name="_Toc95668191"/>
      <w:r w:rsidRPr="0001096E">
        <w:rPr>
          <w:lang w:val="en-GB"/>
        </w:rPr>
        <w:t>Article 24 – Education</w:t>
      </w:r>
      <w:bookmarkStart w:id="118" w:name="_Ref89074984"/>
      <w:r w:rsidRPr="00EF3E0E">
        <w:rPr>
          <w:rFonts w:eastAsia="Cambria" w:cs="Times New Roman"/>
          <w:b w:val="0"/>
          <w:vertAlign w:val="superscript"/>
          <w:lang w:val="en-GB"/>
        </w:rPr>
        <w:footnoteReference w:id="194"/>
      </w:r>
      <w:bookmarkEnd w:id="113"/>
      <w:bookmarkEnd w:id="114"/>
      <w:bookmarkEnd w:id="115"/>
      <w:bookmarkEnd w:id="116"/>
      <w:bookmarkEnd w:id="118"/>
      <w:bookmarkEnd w:id="117"/>
    </w:p>
    <w:p w14:paraId="3BC02824" w14:textId="28A4C250" w:rsidR="00B30BCF" w:rsidRPr="0001096E" w:rsidRDefault="00B33AE3" w:rsidP="00AD6133">
      <w:pPr>
        <w:pStyle w:val="Subtitle"/>
        <w:rPr>
          <w:lang w:val="en-GB"/>
        </w:rPr>
      </w:pPr>
      <w:r w:rsidRPr="0001096E">
        <w:rPr>
          <w:lang w:val="en-GB"/>
        </w:rPr>
        <w:t xml:space="preserve">Development and functioning of the integrative </w:t>
      </w:r>
      <w:r w:rsidR="009A4704">
        <w:rPr>
          <w:lang w:val="en-GB"/>
        </w:rPr>
        <w:t>basic education</w:t>
      </w:r>
      <w:r w:rsidRPr="0001096E">
        <w:rPr>
          <w:lang w:val="en-GB"/>
        </w:rPr>
        <w:t xml:space="preserve"> system</w:t>
      </w:r>
    </w:p>
    <w:p w14:paraId="6E342CDB" w14:textId="346B1C94" w:rsidR="007D0141" w:rsidRPr="00DF2884" w:rsidRDefault="007D0141" w:rsidP="007D0141">
      <w:pPr>
        <w:pStyle w:val="BodyText"/>
        <w:rPr>
          <w:rFonts w:eastAsia="Calibri"/>
          <w:lang w:val="en-GB"/>
        </w:rPr>
      </w:pPr>
      <w:r w:rsidRPr="00A86F53">
        <w:rPr>
          <w:lang w:val="en-GB"/>
        </w:rPr>
        <w:t xml:space="preserve">With regard to primary school education for children and young PWD, a system change has taken </w:t>
      </w:r>
      <w:r w:rsidRPr="00A86F53">
        <w:rPr>
          <w:rFonts w:eastAsia="Calibri"/>
          <w:lang w:val="en-GB"/>
        </w:rPr>
        <w:t xml:space="preserve">place in Switzerland with the NFE. </w:t>
      </w:r>
      <w:r w:rsidRPr="00A86F53">
        <w:rPr>
          <w:lang w:val="en-GB"/>
        </w:rPr>
        <w:t xml:space="preserve">Instead of the invalidity insurance (IV) system, it was now the cantons that became responsible (Art. </w:t>
      </w:r>
      <w:r w:rsidRPr="00A86F53">
        <w:rPr>
          <w:rFonts w:eastAsia="Calibri"/>
          <w:lang w:val="en-GB"/>
        </w:rPr>
        <w:t>62(3) Cst.), and instead of the obligation to provide reasons as to why regular school was the better solution for a child with a disability, it was now necessary to explain why the special school was the better solution in each case.</w:t>
      </w:r>
      <w:bookmarkStart w:id="119" w:name="_Ref88555766"/>
      <w:r w:rsidRPr="00A86F53">
        <w:rPr>
          <w:rFonts w:eastAsia="Calibri"/>
          <w:vertAlign w:val="superscript"/>
          <w:lang w:val="en-GB"/>
        </w:rPr>
        <w:footnoteReference w:id="195"/>
      </w:r>
      <w:bookmarkEnd w:id="119"/>
      <w:r w:rsidRPr="00A86F53">
        <w:rPr>
          <w:rFonts w:eastAsia="Calibri"/>
          <w:lang w:val="en-GB"/>
        </w:rPr>
        <w:t xml:space="preserve"> The cantons established this </w:t>
      </w:r>
      <w:r w:rsidRPr="00A86F53">
        <w:rPr>
          <w:rFonts w:eastAsia="Calibri"/>
          <w:b/>
          <w:lang w:val="en-GB"/>
        </w:rPr>
        <w:t>conditional priority of integrative education</w:t>
      </w:r>
      <w:r w:rsidRPr="00A86F53">
        <w:rPr>
          <w:rFonts w:eastAsia="Calibri"/>
          <w:lang w:val="en-GB"/>
        </w:rPr>
        <w:t xml:space="preserve"> in the</w:t>
      </w:r>
      <w:r w:rsidRPr="00A86F53">
        <w:rPr>
          <w:lang w:val="en-GB"/>
        </w:rPr>
        <w:t xml:space="preserve"> </w:t>
      </w:r>
      <w:r w:rsidRPr="00A86F53">
        <w:rPr>
          <w:rFonts w:eastAsia="Calibri"/>
          <w:b/>
          <w:lang w:val="en-GB"/>
        </w:rPr>
        <w:t xml:space="preserve">Special Pedagogic Convention </w:t>
      </w:r>
      <w:r w:rsidRPr="00A86F53">
        <w:rPr>
          <w:lang w:val="en-GB"/>
        </w:rPr>
        <w:t>(SoPädK)</w:t>
      </w:r>
      <w:r w:rsidRPr="00A86F53">
        <w:rPr>
          <w:vertAlign w:val="superscript"/>
          <w:lang w:val="en-GB"/>
        </w:rPr>
        <w:footnoteReference w:id="196"/>
      </w:r>
      <w:r w:rsidRPr="00A86F53">
        <w:rPr>
          <w:lang w:val="en-GB"/>
        </w:rPr>
        <w:t xml:space="preserve"> (Art. 2(b)</w:t>
      </w:r>
      <w:r w:rsidRPr="00A86F53">
        <w:rPr>
          <w:rFonts w:eastAsia="Calibri"/>
          <w:lang w:val="en-GB"/>
        </w:rPr>
        <w:t xml:space="preserve">, emphasis added; see also Art. 20(2) DDA): </w:t>
      </w:r>
      <w:r w:rsidR="009A4704">
        <w:rPr>
          <w:rFonts w:eastAsia="Calibri"/>
          <w:lang w:val="en-GB"/>
        </w:rPr>
        <w:t>“</w:t>
      </w:r>
      <w:r w:rsidRPr="00A86F53">
        <w:rPr>
          <w:rFonts w:eastAsia="Calibri"/>
          <w:lang w:val="en-GB"/>
        </w:rPr>
        <w:t xml:space="preserve">Integrative solutions are to be preferred over separation </w:t>
      </w:r>
      <w:r w:rsidRPr="00A86F53">
        <w:rPr>
          <w:rFonts w:eastAsia="Calibri"/>
          <w:lang w:val="en-GB"/>
        </w:rPr>
        <w:lastRenderedPageBreak/>
        <w:t xml:space="preserve">solutions, taking account of </w:t>
      </w:r>
      <w:r w:rsidRPr="00A86F53">
        <w:rPr>
          <w:rFonts w:eastAsia="Calibri"/>
          <w:b/>
          <w:lang w:val="en-GB"/>
        </w:rPr>
        <w:t>the welfare</w:t>
      </w:r>
      <w:r w:rsidRPr="00A86F53">
        <w:rPr>
          <w:rFonts w:eastAsia="Calibri"/>
          <w:lang w:val="en-GB"/>
        </w:rPr>
        <w:t xml:space="preserve"> and developmental possibilities of the child or young person and also taking account of the </w:t>
      </w:r>
      <w:r w:rsidRPr="00A86F53">
        <w:rPr>
          <w:rFonts w:eastAsia="Calibri"/>
          <w:b/>
          <w:bCs/>
          <w:lang w:val="en-GB"/>
        </w:rPr>
        <w:t>schooling</w:t>
      </w:r>
      <w:r w:rsidRPr="00A86F53">
        <w:rPr>
          <w:rFonts w:eastAsia="Calibri"/>
          <w:lang w:val="en-GB"/>
        </w:rPr>
        <w:t xml:space="preserve"> environment and </w:t>
      </w:r>
      <w:r w:rsidRPr="00A86F53">
        <w:rPr>
          <w:rFonts w:eastAsia="Calibri"/>
          <w:b/>
          <w:bCs/>
          <w:lang w:val="en-GB"/>
        </w:rPr>
        <w:t>organisation</w:t>
      </w:r>
      <w:r w:rsidRPr="00A86F53">
        <w:rPr>
          <w:rFonts w:eastAsia="Calibri"/>
          <w:lang w:val="en-GB"/>
        </w:rPr>
        <w:t>.</w:t>
      </w:r>
      <w:r w:rsidR="00A97250">
        <w:rPr>
          <w:rFonts w:eastAsia="Calibri"/>
          <w:lang w:val="en-GB"/>
        </w:rPr>
        <w:t>”</w:t>
      </w:r>
      <w:r w:rsidRPr="00A86F53">
        <w:rPr>
          <w:rFonts w:eastAsia="Calibri"/>
          <w:lang w:val="en-GB"/>
        </w:rPr>
        <w:t xml:space="preserve"> </w:t>
      </w:r>
      <w:r w:rsidRPr="00DF2884">
        <w:rPr>
          <w:rFonts w:eastAsia="Calibri"/>
          <w:lang w:val="en-GB"/>
        </w:rPr>
        <w:t>The specific structuring of these “solutions” by means of special pedagogical policies and legislative changes was left to the individual cantons.</w:t>
      </w:r>
      <w:r w:rsidRPr="00DF2884">
        <w:rPr>
          <w:rFonts w:eastAsia="Calibri" w:cs="Times New Roman"/>
          <w:vertAlign w:val="superscript"/>
          <w:lang w:val="en-GB"/>
        </w:rPr>
        <w:footnoteReference w:id="197"/>
      </w:r>
      <w:r w:rsidRPr="00DF2884">
        <w:rPr>
          <w:rFonts w:eastAsia="Calibri"/>
          <w:lang w:val="en-GB"/>
        </w:rPr>
        <w:t xml:space="preserve"> </w:t>
      </w:r>
    </w:p>
    <w:p w14:paraId="08B8902F" w14:textId="09429DAC" w:rsidR="00AD6133" w:rsidRPr="0001096E" w:rsidRDefault="007D0141" w:rsidP="007D0141">
      <w:pPr>
        <w:pStyle w:val="BodyText"/>
        <w:rPr>
          <w:lang w:val="en-GB"/>
        </w:rPr>
      </w:pPr>
      <w:r w:rsidRPr="00DF2884">
        <w:rPr>
          <w:lang w:val="en-GB"/>
        </w:rPr>
        <w:t>The departure from the insurance system</w:t>
      </w:r>
      <w:r w:rsidRPr="00A86F53">
        <w:rPr>
          <w:lang w:val="en-GB"/>
        </w:rPr>
        <w:t xml:space="preserve"> and the reversal of the chain of reasoning as to integration/separation were generally welcome, but by no means created the </w:t>
      </w:r>
      <w:r w:rsidRPr="00A86F53">
        <w:rPr>
          <w:b/>
          <w:lang w:val="en-GB"/>
        </w:rPr>
        <w:t>basis for an inclusive school system</w:t>
      </w:r>
      <w:r w:rsidRPr="00A86F53">
        <w:rPr>
          <w:lang w:val="en-GB"/>
        </w:rPr>
        <w:t>. That is, similarly to the Spanish legal standards,</w:t>
      </w:r>
      <w:r w:rsidRPr="00A86F53">
        <w:rPr>
          <w:vertAlign w:val="superscript"/>
          <w:lang w:val="en-GB"/>
        </w:rPr>
        <w:footnoteReference w:id="198"/>
      </w:r>
      <w:r w:rsidRPr="00A86F53">
        <w:rPr>
          <w:lang w:val="en-GB"/>
        </w:rPr>
        <w:t xml:space="preserve"> Article 2(b) SoPädK and the corresponding cantonal provisions act as a </w:t>
      </w:r>
      <w:r w:rsidRPr="00A86F53">
        <w:rPr>
          <w:b/>
          <w:lang w:val="en-GB"/>
        </w:rPr>
        <w:t>“separation machine”</w:t>
      </w:r>
      <w:r w:rsidRPr="00A86F53">
        <w:rPr>
          <w:lang w:val="en-GB"/>
        </w:rPr>
        <w:t xml:space="preserve"> for schoolchildren, particularly those with intellectual and psychosocial disabilities. The usual justification in individual cases is that </w:t>
      </w:r>
      <w:r w:rsidRPr="00A97250">
        <w:rPr>
          <w:b/>
          <w:lang w:val="en-GB"/>
        </w:rPr>
        <w:t>regular school is unable to guarantee</w:t>
      </w:r>
      <w:r w:rsidRPr="00A86F53">
        <w:rPr>
          <w:i/>
          <w:lang w:val="en-GB"/>
        </w:rPr>
        <w:t xml:space="preserve"> </w:t>
      </w:r>
      <w:r w:rsidRPr="00A86F53">
        <w:rPr>
          <w:lang w:val="en-GB"/>
        </w:rPr>
        <w:t xml:space="preserve">adequate support and “equal opportunities” for the child concerned; the child is therefore assigned to a special school for </w:t>
      </w:r>
      <w:r w:rsidRPr="00A97250">
        <w:rPr>
          <w:b/>
          <w:lang w:val="en-GB"/>
        </w:rPr>
        <w:t>his/her own benefit</w:t>
      </w:r>
      <w:r w:rsidRPr="00A86F53">
        <w:rPr>
          <w:lang w:val="en-GB"/>
        </w:rPr>
        <w:t xml:space="preserve">. In addition, Article 62(3) in conjunction with Article 19 Cst. only granted the right to </w:t>
      </w:r>
      <w:r w:rsidRPr="00A86F53">
        <w:rPr>
          <w:b/>
          <w:lang w:val="en-GB"/>
        </w:rPr>
        <w:t xml:space="preserve">adequate </w:t>
      </w:r>
      <w:r w:rsidR="00A97250">
        <w:rPr>
          <w:b/>
          <w:lang w:val="en-GB"/>
        </w:rPr>
        <w:t>basic</w:t>
      </w:r>
      <w:r w:rsidRPr="00A86F53">
        <w:rPr>
          <w:b/>
          <w:lang w:val="en-GB"/>
        </w:rPr>
        <w:t xml:space="preserve"> school education</w:t>
      </w:r>
      <w:r w:rsidRPr="00A86F53">
        <w:rPr>
          <w:lang w:val="en-GB"/>
        </w:rPr>
        <w:t xml:space="preserve">, but not to “ideal” </w:t>
      </w:r>
      <w:r w:rsidR="00A97250">
        <w:rPr>
          <w:lang w:val="en-GB"/>
        </w:rPr>
        <w:t>basic</w:t>
      </w:r>
      <w:r w:rsidRPr="00A86F53">
        <w:rPr>
          <w:lang w:val="en-GB"/>
        </w:rPr>
        <w:t xml:space="preserve"> school education in view of the “limited state benefits”.</w:t>
      </w:r>
      <w:r w:rsidRPr="00A86F53">
        <w:rPr>
          <w:rFonts w:cs="Times New Roman"/>
          <w:vertAlign w:val="superscript"/>
          <w:lang w:val="en-GB"/>
        </w:rPr>
        <w:footnoteReference w:id="199"/>
      </w:r>
      <w:r w:rsidRPr="00A86F53">
        <w:rPr>
          <w:lang w:val="en-GB"/>
        </w:rPr>
        <w:t xml:space="preserve"> Based on many years of experience in providing legal advice, the needs of the child are hardly ever determined by specialists with special expertise in the disability in question in the preceding </w:t>
      </w:r>
      <w:r w:rsidRPr="00A86F53">
        <w:rPr>
          <w:b/>
          <w:lang w:val="en-GB"/>
        </w:rPr>
        <w:t>standardised investigative</w:t>
      </w:r>
      <w:r w:rsidRPr="00A86F53">
        <w:rPr>
          <w:lang w:val="en-GB"/>
        </w:rPr>
        <w:t xml:space="preserve"> </w:t>
      </w:r>
      <w:r w:rsidRPr="00A86F53">
        <w:rPr>
          <w:b/>
          <w:lang w:val="en-GB"/>
        </w:rPr>
        <w:t xml:space="preserve">procedure </w:t>
      </w:r>
      <w:r w:rsidRPr="00A86F53">
        <w:rPr>
          <w:lang w:val="en-GB"/>
        </w:rPr>
        <w:t xml:space="preserve">(SIP). In addition, the status quo at the regular school in question is decisive, and no expertise in integrative education is </w:t>
      </w:r>
      <w:r w:rsidR="00B7328B">
        <w:rPr>
          <w:lang w:val="en-GB"/>
        </w:rPr>
        <w:t>gathered</w:t>
      </w:r>
      <w:r w:rsidRPr="00A86F53">
        <w:rPr>
          <w:lang w:val="en-GB"/>
        </w:rPr>
        <w:t xml:space="preserve">. </w:t>
      </w:r>
      <w:r w:rsidRPr="00A86F53">
        <w:rPr>
          <w:lang w:val="en-GB"/>
        </w:rPr>
        <w:lastRenderedPageBreak/>
        <w:t>The fact that, at the same time, no steps are taken at the political level to reorganise regular schools (see below) facilitates the argument that integrative training in individual cases is normally contrary to “the best interests of the child”. Rather, politicians turn a blind eye to the fact that separate education in special schools is in most cases irreversible</w:t>
      </w:r>
      <w:r w:rsidRPr="00A86F53">
        <w:rPr>
          <w:vertAlign w:val="superscript"/>
          <w:lang w:val="en-GB"/>
        </w:rPr>
        <w:footnoteReference w:id="200"/>
      </w:r>
      <w:r w:rsidRPr="00A86F53">
        <w:rPr>
          <w:lang w:val="en-GB"/>
        </w:rPr>
        <w:t xml:space="preserve"> and leads to a </w:t>
      </w:r>
      <w:r w:rsidRPr="00A86F53">
        <w:rPr>
          <w:b/>
          <w:lang w:val="en-GB"/>
        </w:rPr>
        <w:t xml:space="preserve">life of segregation </w:t>
      </w:r>
      <w:r w:rsidRPr="00A86F53">
        <w:rPr>
          <w:lang w:val="en-GB"/>
        </w:rPr>
        <w:t>(home and work setting).</w:t>
      </w:r>
    </w:p>
    <w:p w14:paraId="55D0C618" w14:textId="77777777" w:rsidR="00B30BCF" w:rsidRPr="0001096E" w:rsidRDefault="00B33AE3" w:rsidP="00B30BCF">
      <w:pPr>
        <w:pStyle w:val="Subtitle"/>
        <w:rPr>
          <w:lang w:val="en-GB"/>
        </w:rPr>
      </w:pPr>
      <w:r w:rsidRPr="0001096E">
        <w:rPr>
          <w:lang w:val="en-GB"/>
        </w:rPr>
        <w:t>Role of the courts, administration, politics and civil society</w:t>
      </w:r>
    </w:p>
    <w:p w14:paraId="73AF0D91" w14:textId="77777777" w:rsidR="007D0141" w:rsidRPr="00A86F53" w:rsidRDefault="007D0141" w:rsidP="007D0141">
      <w:pPr>
        <w:pStyle w:val="BodyText"/>
        <w:rPr>
          <w:lang w:val="en-GB"/>
        </w:rPr>
      </w:pPr>
      <w:r w:rsidRPr="00A86F53">
        <w:rPr>
          <w:lang w:val="en-GB"/>
        </w:rPr>
        <w:t xml:space="preserve">In recent years, there has been a downward trend in the handling of appeals against separate schooling in individual cases by </w:t>
      </w:r>
      <w:r w:rsidRPr="00A86F53">
        <w:rPr>
          <w:b/>
          <w:lang w:val="en-GB"/>
        </w:rPr>
        <w:t>appellate bodies and courts</w:t>
      </w:r>
      <w:r w:rsidRPr="00A86F53">
        <w:rPr>
          <w:lang w:val="en-GB"/>
        </w:rPr>
        <w:t xml:space="preserve">. The assertion, particularly by the Federal Supreme Court, that inclusive schooling pursuant to Article 24 CRPD does not go beyond the guarantees of federal law and imparts to the students “no absolute rights” or </w:t>
      </w:r>
      <w:r w:rsidRPr="00A86F53">
        <w:rPr>
          <w:b/>
          <w:lang w:val="en-GB"/>
        </w:rPr>
        <w:t>no right to inclusive schooling</w:t>
      </w:r>
      <w:r w:rsidRPr="00A86F53">
        <w:rPr>
          <w:lang w:val="en-GB"/>
        </w:rPr>
        <w:t>, as the case may be, is becoming trite.</w:t>
      </w:r>
      <w:r w:rsidRPr="00A86F53">
        <w:rPr>
          <w:vertAlign w:val="superscript"/>
          <w:lang w:val="en-GB"/>
        </w:rPr>
        <w:footnoteReference w:id="201"/>
      </w:r>
      <w:r w:rsidRPr="00A86F53">
        <w:rPr>
          <w:lang w:val="en-GB"/>
        </w:rPr>
        <w:t xml:space="preserve"> As already stated regarding Article 5 CRPD, the case law does not recognise that the refusal to take appropriate measures constitutes discrimination.</w:t>
      </w:r>
    </w:p>
    <w:p w14:paraId="1DA85A54" w14:textId="63B636A9" w:rsidR="007D0141" w:rsidRPr="00A86F53" w:rsidRDefault="007D0141" w:rsidP="007D0141">
      <w:pPr>
        <w:pStyle w:val="BodyText"/>
        <w:rPr>
          <w:lang w:val="en-GB"/>
        </w:rPr>
      </w:pPr>
      <w:r w:rsidRPr="00A86F53">
        <w:rPr>
          <w:lang w:val="en-GB"/>
        </w:rPr>
        <w:t xml:space="preserve">In response to the question of a </w:t>
      </w:r>
      <w:r w:rsidRPr="00A86F53">
        <w:rPr>
          <w:b/>
          <w:lang w:val="en-GB"/>
        </w:rPr>
        <w:t>strategy for an inclusive education system</w:t>
      </w:r>
      <w:r w:rsidRPr="00A86F53">
        <w:rPr>
          <w:lang w:val="en-GB"/>
        </w:rPr>
        <w:t xml:space="preserve"> (LoI para.</w:t>
      </w:r>
      <w:r w:rsidR="00026ECE">
        <w:rPr>
          <w:lang w:val="en-GB"/>
        </w:rPr>
        <w:t xml:space="preserve"> 19</w:t>
      </w:r>
      <w:r w:rsidRPr="00A86F53">
        <w:rPr>
          <w:lang w:val="en-GB"/>
        </w:rPr>
        <w:t>a), Switzerland only responds by making reference to the aforementioned</w:t>
      </w:r>
      <w:r w:rsidRPr="00A86F53">
        <w:rPr>
          <w:i/>
          <w:lang w:val="en-GB"/>
        </w:rPr>
        <w:t xml:space="preserve"> legal </w:t>
      </w:r>
      <w:r w:rsidRPr="00A86F53">
        <w:rPr>
          <w:lang w:val="en-GB"/>
        </w:rPr>
        <w:t>bases (which are now 15-20 years old), namely the Cst. and DDA in addition to the SoPädK</w:t>
      </w:r>
      <w:r w:rsidR="003D2F0B">
        <w:rPr>
          <w:lang w:val="en-GB"/>
        </w:rPr>
        <w:t xml:space="preserve"> (</w:t>
      </w:r>
      <w:r w:rsidR="003D2F0B" w:rsidRPr="003D2F0B">
        <w:rPr>
          <w:lang w:val="en-GB"/>
        </w:rPr>
        <w:t>Repl</w:t>
      </w:r>
      <w:r w:rsidR="001D7D8C">
        <w:rPr>
          <w:lang w:val="en-GB"/>
        </w:rPr>
        <w:t>y</w:t>
      </w:r>
      <w:r w:rsidR="003D2F0B" w:rsidRPr="003D2F0B">
        <w:rPr>
          <w:lang w:val="en-GB"/>
        </w:rPr>
        <w:t xml:space="preserve"> </w:t>
      </w:r>
      <w:r w:rsidR="001D7D8C">
        <w:rPr>
          <w:lang w:val="en-GB"/>
        </w:rPr>
        <w:t>to</w:t>
      </w:r>
      <w:r w:rsidR="003D2F0B" w:rsidRPr="003D2F0B">
        <w:rPr>
          <w:lang w:val="en-GB"/>
        </w:rPr>
        <w:t xml:space="preserve"> LoI, para. 64</w:t>
      </w:r>
      <w:r w:rsidR="003D2F0B">
        <w:rPr>
          <w:lang w:val="en-GB"/>
        </w:rPr>
        <w:t>)</w:t>
      </w:r>
      <w:r w:rsidRPr="00A86F53">
        <w:rPr>
          <w:lang w:val="en-GB"/>
        </w:rPr>
        <w:t xml:space="preserve">. It says nothing as to the reform mandate and agenda of Article 24 CRPD and fails to even mention the special school policies of the cantons. Nor have political and administrative measures </w:t>
      </w:r>
      <w:r w:rsidRPr="00A86F53">
        <w:rPr>
          <w:b/>
          <w:lang w:val="en-GB"/>
        </w:rPr>
        <w:t>been taken</w:t>
      </w:r>
      <w:r w:rsidRPr="00A86F53">
        <w:rPr>
          <w:lang w:val="en-GB"/>
        </w:rPr>
        <w:t xml:space="preserve"> to develop a </w:t>
      </w:r>
      <w:r w:rsidRPr="00A86F53">
        <w:rPr>
          <w:b/>
          <w:lang w:val="en-GB"/>
        </w:rPr>
        <w:t xml:space="preserve">political strategy </w:t>
      </w:r>
      <w:r w:rsidRPr="00A86F53">
        <w:rPr>
          <w:lang w:val="en-GB"/>
        </w:rPr>
        <w:t xml:space="preserve">for the establishment of an inclusive school system. Initiatives such as the drafting of standards for an </w:t>
      </w:r>
      <w:r w:rsidRPr="00A86F53">
        <w:rPr>
          <w:lang w:val="en-GB"/>
        </w:rPr>
        <w:lastRenderedPageBreak/>
        <w:t>inclusive school by the Fachverband Sozial- und Sonderpädagogik Integras</w:t>
      </w:r>
      <w:r w:rsidRPr="00A86F53">
        <w:rPr>
          <w:vertAlign w:val="superscript"/>
          <w:lang w:val="en-GB"/>
        </w:rPr>
        <w:footnoteReference w:id="202"/>
      </w:r>
      <w:r w:rsidRPr="00A86F53">
        <w:rPr>
          <w:lang w:val="en-GB"/>
        </w:rPr>
        <w:t xml:space="preserve"> have not yet resulted in the development of a plan for in-depth legal and systemic reforms in any canton. In the </w:t>
      </w:r>
      <w:r w:rsidR="00365785">
        <w:rPr>
          <w:lang w:val="en-GB"/>
        </w:rPr>
        <w:t>C</w:t>
      </w:r>
      <w:r w:rsidRPr="00A86F53">
        <w:rPr>
          <w:lang w:val="en-GB"/>
        </w:rPr>
        <w:t>anton of Basel-Stadt, where the priority of integration is being implemented in a relatively consistent manner, a committee made up of teachers recently launched a popular initiative to reintroduce special classes and expand special schools.</w:t>
      </w:r>
      <w:r w:rsidRPr="00A86F53">
        <w:rPr>
          <w:rFonts w:cs="Times New Roman"/>
          <w:vertAlign w:val="superscript"/>
          <w:lang w:val="en-GB"/>
        </w:rPr>
        <w:footnoteReference w:id="203"/>
      </w:r>
      <w:r w:rsidRPr="00A86F53">
        <w:rPr>
          <w:lang w:val="en-GB"/>
        </w:rPr>
        <w:t xml:space="preserve"> In the majority of inclusive schools, there is a massive shortage of resources and staff; several cantons have discontinued measures to promote integration for cost-saving purposes.</w:t>
      </w:r>
      <w:r w:rsidRPr="00A86F53">
        <w:rPr>
          <w:rFonts w:cs="Times New Roman"/>
          <w:vertAlign w:val="superscript"/>
          <w:lang w:val="en-GB"/>
        </w:rPr>
        <w:footnoteReference w:id="204"/>
      </w:r>
      <w:r w:rsidRPr="00A86F53">
        <w:rPr>
          <w:lang w:val="en-GB"/>
        </w:rPr>
        <w:t xml:space="preserve"> Instead of a systematic </w:t>
      </w:r>
      <w:r w:rsidRPr="00A86F53">
        <w:rPr>
          <w:b/>
          <w:lang w:val="en-GB"/>
        </w:rPr>
        <w:t>transfer of resources</w:t>
      </w:r>
      <w:r w:rsidRPr="00A86F53">
        <w:rPr>
          <w:lang w:val="en-GB"/>
        </w:rPr>
        <w:t xml:space="preserve"> from special schools to regular schools, the former will continue to be financed as before and supplied with schoolchildren through separation decisions. </w:t>
      </w:r>
    </w:p>
    <w:p w14:paraId="721243F5" w14:textId="30808DDF" w:rsidR="00B30BCF" w:rsidRPr="0001096E" w:rsidRDefault="007D0141" w:rsidP="007D0141">
      <w:pPr>
        <w:pStyle w:val="BodyText"/>
        <w:rPr>
          <w:lang w:val="en-GB"/>
        </w:rPr>
      </w:pPr>
      <w:r w:rsidRPr="00A86F53">
        <w:rPr>
          <w:lang w:val="en-GB"/>
        </w:rPr>
        <w:t>The Swiss Conference of Cantonal Directors of Education (EDK), for its part, is content to administer the implementation of the SoPädK; the federal government does not consider itself responsible and refrains “from taking measures to support the cantons”.</w:t>
      </w:r>
      <w:r w:rsidRPr="00A86F53">
        <w:rPr>
          <w:vertAlign w:val="superscript"/>
          <w:lang w:val="en-GB"/>
        </w:rPr>
        <w:footnoteReference w:id="205"/>
      </w:r>
      <w:r w:rsidRPr="00A86F53">
        <w:rPr>
          <w:lang w:val="en-GB"/>
        </w:rPr>
        <w:t xml:space="preserve"> Under 61a Cst., however, the</w:t>
      </w:r>
      <w:r w:rsidRPr="00A86F53">
        <w:rPr>
          <w:b/>
          <w:lang w:val="en-GB"/>
        </w:rPr>
        <w:t xml:space="preserve"> Confederation and </w:t>
      </w:r>
      <w:r w:rsidRPr="00A86F53">
        <w:rPr>
          <w:lang w:val="en-GB"/>
        </w:rPr>
        <w:t xml:space="preserve">the </w:t>
      </w:r>
      <w:r w:rsidRPr="00A86F53">
        <w:rPr>
          <w:b/>
          <w:lang w:val="en-GB"/>
        </w:rPr>
        <w:t xml:space="preserve">cantons </w:t>
      </w:r>
      <w:r w:rsidRPr="00A86F53">
        <w:rPr>
          <w:lang w:val="en-GB"/>
        </w:rPr>
        <w:t xml:space="preserve">have the duty </w:t>
      </w:r>
      <w:r w:rsidR="00D8058B">
        <w:rPr>
          <w:lang w:val="en-GB"/>
        </w:rPr>
        <w:t>“</w:t>
      </w:r>
      <w:r w:rsidRPr="00A86F53">
        <w:rPr>
          <w:lang w:val="en-GB"/>
        </w:rPr>
        <w:t xml:space="preserve">to jointly ensure, within the scope of their powers, the high </w:t>
      </w:r>
      <w:r w:rsidRPr="00A86F53">
        <w:rPr>
          <w:i/>
          <w:iCs/>
          <w:lang w:val="en-GB"/>
        </w:rPr>
        <w:t>quality</w:t>
      </w:r>
      <w:r w:rsidRPr="00A86F53">
        <w:rPr>
          <w:lang w:val="en-GB"/>
        </w:rPr>
        <w:t xml:space="preserve"> and </w:t>
      </w:r>
      <w:r w:rsidRPr="00A86F53">
        <w:rPr>
          <w:i/>
          <w:iCs/>
          <w:lang w:val="en-GB"/>
        </w:rPr>
        <w:t>accessibility</w:t>
      </w:r>
      <w:r w:rsidRPr="00A86F53">
        <w:rPr>
          <w:lang w:val="en-GB"/>
        </w:rPr>
        <w:t xml:space="preserve"> of the </w:t>
      </w:r>
      <w:r w:rsidRPr="00A86F53">
        <w:rPr>
          <w:b/>
          <w:bCs/>
          <w:lang w:val="en-GB"/>
        </w:rPr>
        <w:t>Swiss Education Area</w:t>
      </w:r>
      <w:r w:rsidR="00D8058B">
        <w:rPr>
          <w:lang w:val="en-GB"/>
        </w:rPr>
        <w:t>”</w:t>
      </w:r>
      <w:r w:rsidRPr="00A86F53">
        <w:rPr>
          <w:lang w:val="en-GB"/>
        </w:rPr>
        <w:t>. To this end, they periodically agree on common objectives and measures and conduct educational monitoring for evidence-based political decisions. It was within that framework that a survey on special education was published in 2021.</w:t>
      </w:r>
      <w:r w:rsidRPr="00A86F53">
        <w:rPr>
          <w:rFonts w:cs="Times New Roman"/>
          <w:vertAlign w:val="superscript"/>
          <w:lang w:val="en-GB"/>
        </w:rPr>
        <w:footnoteReference w:id="206"/>
      </w:r>
    </w:p>
    <w:p w14:paraId="41C6007F" w14:textId="00A08DED" w:rsidR="00B30BCF" w:rsidRPr="0001096E" w:rsidRDefault="00B33AE3" w:rsidP="00B30BCF">
      <w:pPr>
        <w:pStyle w:val="Subtitle"/>
        <w:rPr>
          <w:lang w:val="en-GB"/>
        </w:rPr>
      </w:pPr>
      <w:r w:rsidRPr="0001096E">
        <w:rPr>
          <w:lang w:val="en-GB"/>
        </w:rPr>
        <w:t xml:space="preserve">Lack of inclusivity of the </w:t>
      </w:r>
      <w:r w:rsidR="00202F1D">
        <w:rPr>
          <w:lang w:val="en-GB"/>
        </w:rPr>
        <w:t>basic education</w:t>
      </w:r>
      <w:r w:rsidRPr="0001096E">
        <w:rPr>
          <w:lang w:val="en-GB"/>
        </w:rPr>
        <w:t xml:space="preserve"> system</w:t>
      </w:r>
    </w:p>
    <w:p w14:paraId="1E04A9BD" w14:textId="166C2445" w:rsidR="007D0141" w:rsidRPr="007D0141" w:rsidRDefault="007D0141" w:rsidP="007D0141">
      <w:pPr>
        <w:pStyle w:val="BodyText"/>
        <w:rPr>
          <w:lang w:val="en-GB" w:eastAsia="de-CH"/>
        </w:rPr>
      </w:pPr>
      <w:r w:rsidRPr="007D0141">
        <w:rPr>
          <w:lang w:val="en-GB" w:eastAsia="de-CH"/>
        </w:rPr>
        <w:lastRenderedPageBreak/>
        <w:t>Given the background outlined above, the ever-</w:t>
      </w:r>
      <w:r w:rsidRPr="007D0141">
        <w:rPr>
          <w:b/>
          <w:lang w:val="en-GB" w:eastAsia="de-CH"/>
        </w:rPr>
        <w:t xml:space="preserve">high number of special schools </w:t>
      </w:r>
      <w:r w:rsidRPr="007D0141">
        <w:rPr>
          <w:lang w:val="en-GB" w:eastAsia="de-CH"/>
        </w:rPr>
        <w:t xml:space="preserve">(LoI para. 20.b) is not surprising. In the 2017-2018 school year, just </w:t>
      </w:r>
      <w:r w:rsidRPr="007D0141">
        <w:rPr>
          <w:b/>
          <w:bCs/>
          <w:lang w:val="en-GB" w:eastAsia="de-CH"/>
        </w:rPr>
        <w:t>half</w:t>
      </w:r>
      <w:r w:rsidRPr="007D0141">
        <w:rPr>
          <w:lang w:val="en-GB" w:eastAsia="de-CH"/>
        </w:rPr>
        <w:t xml:space="preserve"> of primary school pupils in Switzerland </w:t>
      </w:r>
      <w:r w:rsidR="00E461C3">
        <w:rPr>
          <w:lang w:val="en-GB" w:eastAsia="de-CH"/>
        </w:rPr>
        <w:t xml:space="preserve">who benefited from </w:t>
      </w:r>
      <w:r w:rsidR="00E461C3" w:rsidRPr="007D0141">
        <w:rPr>
          <w:lang w:val="en-GB" w:eastAsia="de-CH"/>
        </w:rPr>
        <w:t xml:space="preserve">increased special educational measures </w:t>
      </w:r>
      <w:r w:rsidRPr="007D0141">
        <w:rPr>
          <w:lang w:val="en-GB" w:eastAsia="de-CH"/>
        </w:rPr>
        <w:t xml:space="preserve">received </w:t>
      </w:r>
      <w:r w:rsidRPr="007D0141">
        <w:rPr>
          <w:b/>
          <w:lang w:val="en-GB" w:eastAsia="de-CH"/>
        </w:rPr>
        <w:t xml:space="preserve">separate </w:t>
      </w:r>
      <w:r w:rsidRPr="007D0141">
        <w:rPr>
          <w:lang w:val="en-GB" w:eastAsia="de-CH"/>
        </w:rPr>
        <w:t>education.</w:t>
      </w:r>
      <w:r w:rsidRPr="007D0141">
        <w:rPr>
          <w:vertAlign w:val="superscript"/>
          <w:lang w:val="en-GB" w:eastAsia="de-CH"/>
        </w:rPr>
        <w:footnoteReference w:id="207"/>
      </w:r>
      <w:r w:rsidRPr="007D0141">
        <w:rPr>
          <w:lang w:val="en-GB" w:eastAsia="de-CH"/>
        </w:rPr>
        <w:t xml:space="preserve"> In the Canton of Bern, in 2020, only 20% of schoolchildren “with a need for special education” received integrated education, while the remaining 80% received separate education.</w:t>
      </w:r>
      <w:r w:rsidRPr="007D0141">
        <w:rPr>
          <w:vertAlign w:val="superscript"/>
          <w:lang w:val="en-GB" w:eastAsia="de-CH"/>
        </w:rPr>
        <w:footnoteReference w:id="208"/>
      </w:r>
      <w:r w:rsidRPr="007D0141">
        <w:rPr>
          <w:lang w:val="en-GB" w:eastAsia="de-CH"/>
        </w:rPr>
        <w:t xml:space="preserve"> </w:t>
      </w:r>
    </w:p>
    <w:p w14:paraId="33F0800B" w14:textId="4BFC167E" w:rsidR="007D0141" w:rsidRPr="007D0141" w:rsidRDefault="007D0141" w:rsidP="007D0141">
      <w:pPr>
        <w:pStyle w:val="BodyText"/>
        <w:rPr>
          <w:rFonts w:eastAsia="Calibri"/>
          <w:lang w:val="en-GB" w:eastAsia="de-CH"/>
        </w:rPr>
      </w:pPr>
      <w:r w:rsidRPr="007D0141">
        <w:rPr>
          <w:lang w:val="en-GB" w:eastAsia="de-CH"/>
        </w:rPr>
        <w:t xml:space="preserve">The existing </w:t>
      </w:r>
      <w:r w:rsidRPr="007D0141">
        <w:rPr>
          <w:b/>
          <w:lang w:val="en-GB" w:eastAsia="de-CH"/>
        </w:rPr>
        <w:t>integrative structures</w:t>
      </w:r>
      <w:r w:rsidRPr="007D0141">
        <w:rPr>
          <w:lang w:val="en-GB" w:eastAsia="de-CH"/>
        </w:rPr>
        <w:t xml:space="preserve"> in regular schools are sometimes also based on the SoPädK and are </w:t>
      </w:r>
      <w:r w:rsidRPr="007D0141">
        <w:rPr>
          <w:b/>
          <w:lang w:val="en-GB" w:eastAsia="de-CH"/>
        </w:rPr>
        <w:t xml:space="preserve">far removed </w:t>
      </w:r>
      <w:r w:rsidRPr="007D0141">
        <w:rPr>
          <w:lang w:val="en-GB" w:eastAsia="de-CH"/>
        </w:rPr>
        <w:t xml:space="preserve">from an </w:t>
      </w:r>
      <w:r w:rsidRPr="007D0141">
        <w:rPr>
          <w:b/>
          <w:lang w:val="en-GB" w:eastAsia="de-CH"/>
        </w:rPr>
        <w:t>inclusive school</w:t>
      </w:r>
      <w:r w:rsidRPr="007D0141">
        <w:rPr>
          <w:lang w:val="en-GB" w:eastAsia="de-CH"/>
        </w:rPr>
        <w:t xml:space="preserve">. With regard to individual forms of support in </w:t>
      </w:r>
      <w:r w:rsidR="00291221">
        <w:rPr>
          <w:lang w:val="en-GB" w:eastAsia="de-CH"/>
        </w:rPr>
        <w:t>basic</w:t>
      </w:r>
      <w:r w:rsidRPr="007D0141">
        <w:rPr>
          <w:lang w:val="en-GB" w:eastAsia="de-CH"/>
        </w:rPr>
        <w:t xml:space="preserve"> education, the </w:t>
      </w:r>
      <w:r w:rsidRPr="007D0141">
        <w:rPr>
          <w:b/>
          <w:lang w:val="en-GB" w:eastAsia="de-CH"/>
        </w:rPr>
        <w:t xml:space="preserve">SoPädK </w:t>
      </w:r>
      <w:r w:rsidRPr="007D0141">
        <w:rPr>
          <w:rFonts w:eastAsia="Calibri"/>
          <w:lang w:val="en-GB" w:eastAsia="de-CH"/>
        </w:rPr>
        <w:t xml:space="preserve">distinguishes between </w:t>
      </w:r>
      <w:r w:rsidRPr="007D0141">
        <w:rPr>
          <w:rFonts w:eastAsia="Calibri"/>
          <w:i/>
          <w:lang w:val="en-GB" w:eastAsia="de-CH"/>
        </w:rPr>
        <w:t xml:space="preserve">simple </w:t>
      </w:r>
      <w:r w:rsidRPr="007D0141">
        <w:rPr>
          <w:rFonts w:eastAsia="Calibri"/>
          <w:lang w:val="en-GB" w:eastAsia="de-CH"/>
        </w:rPr>
        <w:t xml:space="preserve">and </w:t>
      </w:r>
      <w:r w:rsidRPr="007D0141">
        <w:rPr>
          <w:rFonts w:eastAsia="Calibri"/>
          <w:i/>
          <w:lang w:val="en-GB" w:eastAsia="de-CH"/>
        </w:rPr>
        <w:t>enhanced measures</w:t>
      </w:r>
      <w:r w:rsidRPr="007D0141">
        <w:rPr>
          <w:rFonts w:eastAsia="Calibri"/>
          <w:lang w:val="en-GB" w:eastAsia="de-CH"/>
        </w:rPr>
        <w:t xml:space="preserve">. </w:t>
      </w:r>
      <w:r w:rsidRPr="007D0141">
        <w:rPr>
          <w:rFonts w:eastAsia="Calibri"/>
          <w:b/>
          <w:lang w:val="en-GB" w:eastAsia="de-CH"/>
        </w:rPr>
        <w:t>Simple measures</w:t>
      </w:r>
      <w:r w:rsidRPr="007D0141">
        <w:rPr>
          <w:rFonts w:eastAsia="Calibri"/>
          <w:lang w:val="en-GB" w:eastAsia="de-CH"/>
        </w:rPr>
        <w:t xml:space="preserve"> include, for example, low educational support for </w:t>
      </w:r>
      <w:r w:rsidR="00D857C2">
        <w:rPr>
          <w:rFonts w:eastAsia="Calibri"/>
          <w:lang w:val="en-GB" w:eastAsia="de-CH"/>
        </w:rPr>
        <w:t>special</w:t>
      </w:r>
      <w:r w:rsidRPr="007D0141">
        <w:rPr>
          <w:rFonts w:eastAsia="Calibri"/>
          <w:lang w:val="en-GB" w:eastAsia="de-CH"/>
        </w:rPr>
        <w:t xml:space="preserve"> education, speech therapy or educational assistance. The </w:t>
      </w:r>
      <w:r w:rsidRPr="007D0141">
        <w:rPr>
          <w:rFonts w:eastAsia="Calibri"/>
          <w:b/>
          <w:lang w:val="en-GB" w:eastAsia="de-CH"/>
        </w:rPr>
        <w:t>enhanced measures</w:t>
      </w:r>
      <w:r w:rsidRPr="007D0141">
        <w:rPr>
          <w:rFonts w:eastAsia="Calibri"/>
          <w:lang w:val="en-GB" w:eastAsia="de-CH"/>
        </w:rPr>
        <w:t xml:space="preserve"> include primarily intensive and long-term medical or socio-educational support and individual support. </w:t>
      </w:r>
      <w:r w:rsidRPr="007D0141">
        <w:rPr>
          <w:lang w:val="en-GB" w:eastAsia="de-CH"/>
        </w:rPr>
        <w:t xml:space="preserve">The latter are set by means of SIPs and are often </w:t>
      </w:r>
      <w:r w:rsidRPr="007D0141">
        <w:rPr>
          <w:rFonts w:eastAsia="Calibri"/>
          <w:lang w:val="en-GB" w:eastAsia="de-CH"/>
        </w:rPr>
        <w:t xml:space="preserve">accompanied by </w:t>
      </w:r>
      <w:r w:rsidRPr="007D0141">
        <w:rPr>
          <w:rFonts w:eastAsia="Calibri"/>
          <w:i/>
          <w:lang w:val="en-GB" w:eastAsia="de-CH"/>
        </w:rPr>
        <w:t>reduced individual learning objectives</w:t>
      </w:r>
      <w:r w:rsidRPr="007D0141">
        <w:rPr>
          <w:rFonts w:eastAsia="Calibri"/>
          <w:lang w:val="en-GB" w:eastAsia="de-CH"/>
        </w:rPr>
        <w:t xml:space="preserve"> (RILOs) (substantive adjustments to the learning material). As a further adjustment, </w:t>
      </w:r>
      <w:r w:rsidRPr="007D0141">
        <w:rPr>
          <w:rFonts w:eastAsia="Calibri"/>
          <w:b/>
          <w:lang w:val="en-GB" w:eastAsia="de-CH"/>
        </w:rPr>
        <w:t xml:space="preserve">compensation of discrimination </w:t>
      </w:r>
      <w:r w:rsidRPr="007D0141">
        <w:rPr>
          <w:rFonts w:eastAsia="Calibri"/>
          <w:lang w:val="en-GB" w:eastAsia="de-CH"/>
        </w:rPr>
        <w:t xml:space="preserve">may be requested based on </w:t>
      </w:r>
      <w:r w:rsidRPr="007D0141">
        <w:rPr>
          <w:rFonts w:eastAsia="Calibri"/>
          <w:b/>
          <w:lang w:val="en-GB" w:eastAsia="de-CH"/>
        </w:rPr>
        <w:t xml:space="preserve">disability equality law </w:t>
      </w:r>
      <w:r w:rsidRPr="007D0141">
        <w:rPr>
          <w:rFonts w:eastAsia="Calibri"/>
          <w:lang w:val="en-GB" w:eastAsia="de-CH"/>
        </w:rPr>
        <w:t>(only formal adjustments, e.g. time supplement). In the case of simple measures and compensation for discrimination, the curriculum is implemented in the same way in terms of objectives, while with RILOs, it differs as regards objectives.</w:t>
      </w:r>
      <w:bookmarkStart w:id="121" w:name="_Ref88061310"/>
      <w:r w:rsidRPr="007D0141">
        <w:rPr>
          <w:rFonts w:eastAsia="Calibri" w:cs="Times New Roman"/>
          <w:vertAlign w:val="superscript"/>
          <w:lang w:val="en-GB" w:eastAsia="de-CH"/>
        </w:rPr>
        <w:footnoteReference w:id="209"/>
      </w:r>
      <w:bookmarkEnd w:id="121"/>
      <w:r w:rsidRPr="007D0141">
        <w:rPr>
          <w:rFonts w:eastAsia="Calibri"/>
          <w:lang w:val="en-GB" w:eastAsia="de-CH"/>
        </w:rPr>
        <w:t xml:space="preserve"> Depending on the specific learning support, RILOs have a supportive or inhibiting effect; in the transition </w:t>
      </w:r>
      <w:r w:rsidRPr="007D0141">
        <w:rPr>
          <w:rFonts w:eastAsia="Calibri"/>
          <w:lang w:val="en-GB" w:eastAsia="de-CH"/>
        </w:rPr>
        <w:lastRenderedPageBreak/>
        <w:t>to post-compulsory education, they cause affiliation problems, in particular, because substantive adjustments are no longer granted there.</w:t>
      </w:r>
    </w:p>
    <w:p w14:paraId="2C6CEB4E" w14:textId="77777777" w:rsidR="007D0141" w:rsidRPr="007D0141" w:rsidRDefault="007D0141" w:rsidP="007D0141">
      <w:pPr>
        <w:pStyle w:val="BodyText"/>
        <w:rPr>
          <w:lang w:val="en-GB" w:eastAsia="de-CH"/>
        </w:rPr>
      </w:pPr>
      <w:r w:rsidRPr="007D0141">
        <w:rPr>
          <w:lang w:val="en-GB" w:eastAsia="de-CH"/>
        </w:rPr>
        <w:t xml:space="preserve">In regular schools, students with </w:t>
      </w:r>
      <w:r w:rsidRPr="007D0141">
        <w:rPr>
          <w:b/>
          <w:lang w:val="en-GB" w:eastAsia="de-CH"/>
        </w:rPr>
        <w:t>hearing impairments</w:t>
      </w:r>
      <w:r w:rsidRPr="007D0141">
        <w:rPr>
          <w:lang w:val="en-GB" w:eastAsia="de-CH"/>
        </w:rPr>
        <w:t xml:space="preserve"> are assisted by so-called audio-educational services according to the </w:t>
      </w:r>
      <w:r w:rsidRPr="007D0141">
        <w:rPr>
          <w:b/>
          <w:lang w:val="en-GB" w:eastAsia="de-CH"/>
        </w:rPr>
        <w:t>SoPädK</w:t>
      </w:r>
      <w:r w:rsidRPr="007D0141">
        <w:rPr>
          <w:lang w:val="en-GB" w:eastAsia="de-CH"/>
        </w:rPr>
        <w:t xml:space="preserve">. The providers of these services help them to learn </w:t>
      </w:r>
      <w:r w:rsidRPr="007D0141">
        <w:rPr>
          <w:iCs/>
          <w:lang w:val="en-GB" w:eastAsia="de-CH"/>
        </w:rPr>
        <w:t xml:space="preserve">lip reading and spoken language, but – like regular teachers – they seldom have sign language skills. Therefore, there is a lack of </w:t>
      </w:r>
      <w:r w:rsidRPr="007D0141">
        <w:rPr>
          <w:b/>
          <w:iCs/>
          <w:lang w:val="en-GB" w:eastAsia="de-CH"/>
        </w:rPr>
        <w:t xml:space="preserve">integrative bilingual education options, </w:t>
      </w:r>
      <w:r w:rsidRPr="007D0141">
        <w:rPr>
          <w:iCs/>
          <w:lang w:val="en-GB" w:eastAsia="de-CH"/>
        </w:rPr>
        <w:t>particularly</w:t>
      </w:r>
      <w:r w:rsidRPr="007D0141">
        <w:rPr>
          <w:b/>
          <w:iCs/>
          <w:lang w:val="en-GB" w:eastAsia="de-CH"/>
        </w:rPr>
        <w:t xml:space="preserve"> </w:t>
      </w:r>
      <w:r w:rsidRPr="007D0141">
        <w:rPr>
          <w:iCs/>
          <w:lang w:val="en-GB" w:eastAsia="de-CH"/>
        </w:rPr>
        <w:t>at primary level.</w:t>
      </w:r>
    </w:p>
    <w:p w14:paraId="537A8A5E" w14:textId="197BB16E" w:rsidR="00A20EF3" w:rsidRDefault="007D0141" w:rsidP="00B5787C">
      <w:pPr>
        <w:pStyle w:val="Subtitle"/>
        <w:spacing w:before="0"/>
        <w:rPr>
          <w:rFonts w:eastAsia="Calibri" w:cs="Arial"/>
          <w:b w:val="0"/>
          <w:iCs w:val="0"/>
          <w:spacing w:val="0"/>
          <w:szCs w:val="24"/>
          <w:lang w:val="en-GB" w:eastAsia="de-CH"/>
        </w:rPr>
      </w:pPr>
      <w:r w:rsidRPr="007D0141">
        <w:rPr>
          <w:rFonts w:eastAsia="Calibri" w:cs="Arial"/>
          <w:b w:val="0"/>
          <w:iCs w:val="0"/>
          <w:spacing w:val="0"/>
          <w:szCs w:val="24"/>
          <w:lang w:val="en-GB" w:eastAsia="de-CH"/>
        </w:rPr>
        <w:t>While assistance and compensation for discrimination often must be won through great effort,</w:t>
      </w:r>
      <w:r w:rsidRPr="007D0141">
        <w:rPr>
          <w:rFonts w:eastAsia="Calibri" w:cs="Arial"/>
          <w:b w:val="0"/>
          <w:iCs w:val="0"/>
          <w:spacing w:val="0"/>
          <w:szCs w:val="24"/>
          <w:vertAlign w:val="superscript"/>
          <w:lang w:val="en-GB" w:eastAsia="de-CH"/>
        </w:rPr>
        <w:footnoteReference w:id="210"/>
      </w:r>
      <w:r w:rsidRPr="007D0141">
        <w:rPr>
          <w:rFonts w:eastAsia="Calibri" w:cs="Arial"/>
          <w:b w:val="0"/>
          <w:iCs w:val="0"/>
          <w:spacing w:val="0"/>
          <w:szCs w:val="24"/>
          <w:lang w:val="en-GB" w:eastAsia="de-CH"/>
        </w:rPr>
        <w:t xml:space="preserve"> </w:t>
      </w:r>
      <w:r w:rsidR="009802BB">
        <w:rPr>
          <w:rFonts w:eastAsia="Calibri" w:cs="Arial"/>
          <w:b w:val="0"/>
          <w:iCs w:val="0"/>
          <w:spacing w:val="0"/>
          <w:szCs w:val="24"/>
          <w:lang w:val="en-GB" w:eastAsia="de-CH"/>
        </w:rPr>
        <w:t xml:space="preserve">resources are </w:t>
      </w:r>
      <w:r w:rsidR="009802BB" w:rsidRPr="007D0141">
        <w:rPr>
          <w:rFonts w:eastAsia="Times New Roman" w:cs="Arial"/>
          <w:b w:val="0"/>
          <w:iCs w:val="0"/>
          <w:spacing w:val="0"/>
          <w:szCs w:val="24"/>
          <w:lang w:val="en-GB" w:eastAsia="de-CH"/>
        </w:rPr>
        <w:t xml:space="preserve">fundamentally </w:t>
      </w:r>
      <w:r w:rsidR="009802BB" w:rsidRPr="007D0141">
        <w:rPr>
          <w:rFonts w:eastAsia="Calibri" w:cs="Arial"/>
          <w:b w:val="0"/>
          <w:iCs w:val="0"/>
          <w:spacing w:val="0"/>
          <w:szCs w:val="24"/>
          <w:lang w:val="en-GB" w:eastAsia="de-CH"/>
        </w:rPr>
        <w:t xml:space="preserve">lacking </w:t>
      </w:r>
      <w:r w:rsidR="009802BB">
        <w:rPr>
          <w:rFonts w:eastAsia="Calibri" w:cs="Arial"/>
          <w:b w:val="0"/>
          <w:iCs w:val="0"/>
          <w:spacing w:val="0"/>
          <w:szCs w:val="24"/>
          <w:lang w:val="en-GB" w:eastAsia="de-CH"/>
        </w:rPr>
        <w:t>for</w:t>
      </w:r>
      <w:r w:rsidRPr="007D0141">
        <w:rPr>
          <w:rFonts w:eastAsia="Calibri" w:cs="Arial"/>
          <w:b w:val="0"/>
          <w:iCs w:val="0"/>
          <w:spacing w:val="0"/>
          <w:szCs w:val="24"/>
          <w:lang w:val="en-GB" w:eastAsia="de-CH"/>
        </w:rPr>
        <w:t xml:space="preserve"> </w:t>
      </w:r>
      <w:r w:rsidRPr="007D0141">
        <w:rPr>
          <w:rFonts w:eastAsia="Calibri" w:cs="Arial"/>
          <w:iCs w:val="0"/>
          <w:spacing w:val="0"/>
          <w:szCs w:val="24"/>
          <w:lang w:val="en-GB" w:eastAsia="de-CH"/>
        </w:rPr>
        <w:t xml:space="preserve">enhanced measures </w:t>
      </w:r>
      <w:r w:rsidRPr="007D0141">
        <w:rPr>
          <w:rFonts w:eastAsia="Calibri" w:cs="Arial"/>
          <w:b w:val="0"/>
          <w:iCs w:val="0"/>
          <w:spacing w:val="0"/>
          <w:szCs w:val="24"/>
          <w:lang w:val="en-GB" w:eastAsia="de-CH"/>
        </w:rPr>
        <w:t xml:space="preserve">in </w:t>
      </w:r>
      <w:r w:rsidRPr="007D0141">
        <w:rPr>
          <w:rFonts w:eastAsia="Calibri" w:cs="Arial"/>
          <w:iCs w:val="0"/>
          <w:spacing w:val="0"/>
          <w:szCs w:val="24"/>
          <w:lang w:val="en-GB" w:eastAsia="de-CH"/>
        </w:rPr>
        <w:t>regular schools</w:t>
      </w:r>
      <w:r w:rsidRPr="007D0141">
        <w:rPr>
          <w:rFonts w:eastAsia="Calibri" w:cs="Arial"/>
          <w:b w:val="0"/>
          <w:iCs w:val="0"/>
          <w:spacing w:val="0"/>
          <w:szCs w:val="24"/>
          <w:lang w:val="en-GB" w:eastAsia="de-CH"/>
        </w:rPr>
        <w:t xml:space="preserve">. </w:t>
      </w:r>
      <w:r w:rsidRPr="007D0141">
        <w:rPr>
          <w:rFonts w:eastAsia="Calibri" w:cs="Arial"/>
          <w:b w:val="0"/>
          <w:spacing w:val="0"/>
          <w:szCs w:val="24"/>
          <w:lang w:val="en-GB" w:eastAsia="de-CH"/>
        </w:rPr>
        <w:t xml:space="preserve">Pupils in regular schools receive </w:t>
      </w:r>
      <w:r w:rsidRPr="007D0141">
        <w:rPr>
          <w:rFonts w:eastAsia="Calibri" w:cs="Arial"/>
          <w:spacing w:val="0"/>
          <w:szCs w:val="24"/>
          <w:lang w:val="en-GB" w:eastAsia="de-CH"/>
        </w:rPr>
        <w:t>three times less intensive care</w:t>
      </w:r>
      <w:r w:rsidRPr="007D0141">
        <w:rPr>
          <w:rFonts w:eastAsia="Calibri" w:cs="Arial"/>
          <w:b w:val="0"/>
          <w:spacing w:val="0"/>
          <w:szCs w:val="24"/>
          <w:lang w:val="en-GB" w:eastAsia="de-CH"/>
        </w:rPr>
        <w:t xml:space="preserve"> than those in special schools, and for every 150 trainees, there is, on average, one full-time position in school-based </w:t>
      </w:r>
      <w:r w:rsidR="00D30EE3">
        <w:rPr>
          <w:rFonts w:eastAsia="Calibri" w:cs="Arial"/>
          <w:b w:val="0"/>
          <w:spacing w:val="0"/>
          <w:szCs w:val="24"/>
          <w:lang w:val="en-GB" w:eastAsia="de-CH"/>
        </w:rPr>
        <w:t>special</w:t>
      </w:r>
      <w:r w:rsidRPr="007D0141">
        <w:rPr>
          <w:rFonts w:eastAsia="Calibri" w:cs="Arial"/>
          <w:b w:val="0"/>
          <w:spacing w:val="0"/>
          <w:szCs w:val="24"/>
          <w:lang w:val="en-GB" w:eastAsia="de-CH"/>
        </w:rPr>
        <w:t xml:space="preserve"> education. Even for the purpose of filling that position, </w:t>
      </w:r>
      <w:r w:rsidRPr="007D0141">
        <w:rPr>
          <w:rFonts w:eastAsia="Calibri" w:cs="Arial"/>
          <w:b w:val="0"/>
          <w:iCs w:val="0"/>
          <w:spacing w:val="0"/>
          <w:szCs w:val="24"/>
          <w:lang w:val="en-GB" w:eastAsia="de-CH"/>
        </w:rPr>
        <w:t xml:space="preserve">however, there is a lack of adequately trained </w:t>
      </w:r>
      <w:r w:rsidR="00D30EE3">
        <w:rPr>
          <w:rFonts w:eastAsia="Calibri" w:cs="Arial"/>
          <w:b w:val="0"/>
          <w:iCs w:val="0"/>
          <w:spacing w:val="0"/>
          <w:szCs w:val="24"/>
          <w:lang w:val="en-GB" w:eastAsia="de-CH"/>
        </w:rPr>
        <w:t>special education</w:t>
      </w:r>
      <w:r w:rsidRPr="007D0141">
        <w:rPr>
          <w:rFonts w:eastAsia="Calibri" w:cs="Arial"/>
          <w:b w:val="0"/>
          <w:iCs w:val="0"/>
          <w:spacing w:val="0"/>
          <w:szCs w:val="24"/>
          <w:lang w:val="en-GB" w:eastAsia="de-CH"/>
        </w:rPr>
        <w:t xml:space="preserve"> teachers.</w:t>
      </w:r>
      <w:r w:rsidRPr="007D0141">
        <w:rPr>
          <w:rFonts w:eastAsia="Calibri" w:cs="Times New Roman"/>
          <w:b w:val="0"/>
          <w:spacing w:val="0"/>
          <w:szCs w:val="24"/>
          <w:vertAlign w:val="superscript"/>
          <w:lang w:val="en-GB" w:eastAsia="de-CH"/>
        </w:rPr>
        <w:footnoteReference w:id="211"/>
      </w:r>
      <w:r w:rsidRPr="007D0141">
        <w:rPr>
          <w:rFonts w:eastAsia="Calibri" w:cs="Arial"/>
          <w:b w:val="0"/>
          <w:iCs w:val="0"/>
          <w:spacing w:val="0"/>
          <w:szCs w:val="24"/>
          <w:lang w:val="en-GB" w:eastAsia="de-CH"/>
        </w:rPr>
        <w:t xml:space="preserve"> Nevertheless, the existing demand for admissions slots is not met by the cantons.</w:t>
      </w:r>
      <w:r w:rsidRPr="007D0141">
        <w:rPr>
          <w:rFonts w:eastAsia="Calibri" w:cs="Arial"/>
          <w:b w:val="0"/>
          <w:iCs w:val="0"/>
          <w:spacing w:val="0"/>
          <w:szCs w:val="24"/>
          <w:vertAlign w:val="superscript"/>
          <w:lang w:val="en-GB" w:eastAsia="de-CH"/>
        </w:rPr>
        <w:footnoteReference w:id="212"/>
      </w:r>
      <w:r w:rsidRPr="007D0141">
        <w:rPr>
          <w:rFonts w:eastAsia="Calibri" w:cs="Arial"/>
          <w:b w:val="0"/>
          <w:iCs w:val="0"/>
          <w:spacing w:val="0"/>
          <w:szCs w:val="24"/>
          <w:lang w:val="en-GB" w:eastAsia="de-CH"/>
        </w:rPr>
        <w:t xml:space="preserve"> Moreover, there is a lack of</w:t>
      </w:r>
      <w:r w:rsidRPr="007D0141">
        <w:rPr>
          <w:rFonts w:eastAsia="Calibri" w:cs="Arial"/>
          <w:iCs w:val="0"/>
          <w:spacing w:val="0"/>
          <w:szCs w:val="24"/>
          <w:lang w:val="en-GB" w:eastAsia="de-CH"/>
        </w:rPr>
        <w:t xml:space="preserve"> specialist knowledge </w:t>
      </w:r>
      <w:r w:rsidRPr="007D0141">
        <w:rPr>
          <w:rFonts w:eastAsia="Calibri" w:cs="Arial"/>
          <w:b w:val="0"/>
          <w:iCs w:val="0"/>
          <w:spacing w:val="0"/>
          <w:szCs w:val="24"/>
          <w:lang w:val="en-GB" w:eastAsia="de-CH"/>
        </w:rPr>
        <w:t>and sometimes a lack of commitment on the part of school staff, especially school principals,</w:t>
      </w:r>
      <w:r w:rsidRPr="007D0141">
        <w:rPr>
          <w:rFonts w:eastAsia="Calibri" w:cs="Arial"/>
          <w:b w:val="0"/>
          <w:iCs w:val="0"/>
          <w:spacing w:val="0"/>
          <w:szCs w:val="24"/>
          <w:vertAlign w:val="superscript"/>
          <w:lang w:val="en-GB" w:eastAsia="de-CH"/>
        </w:rPr>
        <w:footnoteReference w:id="213"/>
      </w:r>
      <w:r w:rsidRPr="007D0141">
        <w:rPr>
          <w:rFonts w:eastAsia="Calibri" w:cs="Arial"/>
          <w:b w:val="0"/>
          <w:iCs w:val="0"/>
          <w:spacing w:val="0"/>
          <w:szCs w:val="24"/>
          <w:lang w:val="en-GB" w:eastAsia="de-CH"/>
        </w:rPr>
        <w:t xml:space="preserve"> as well as a lack of</w:t>
      </w:r>
      <w:r w:rsidRPr="007D0141">
        <w:rPr>
          <w:rFonts w:eastAsia="Calibri" w:cs="Arial"/>
          <w:iCs w:val="0"/>
          <w:spacing w:val="0"/>
          <w:szCs w:val="24"/>
          <w:lang w:val="en-GB" w:eastAsia="de-CH"/>
        </w:rPr>
        <w:t xml:space="preserve"> universal design </w:t>
      </w:r>
      <w:r w:rsidRPr="007D0141">
        <w:rPr>
          <w:rFonts w:eastAsia="Calibri" w:cs="Arial"/>
          <w:b w:val="0"/>
          <w:iCs w:val="0"/>
          <w:spacing w:val="0"/>
          <w:szCs w:val="24"/>
          <w:lang w:val="en-GB" w:eastAsia="de-CH"/>
        </w:rPr>
        <w:t>(room design, teaching and communication methods, teaching aids, supporting technologies, assistive devices, etc.). The ISR rightly asks whether the teaching staff in the training courses are well prepared for work in integrative structures (para. 145).</w:t>
      </w:r>
    </w:p>
    <w:p w14:paraId="608C6F81" w14:textId="25D93C0B" w:rsidR="00AD6133" w:rsidRDefault="00B33AE3" w:rsidP="007D0141">
      <w:pPr>
        <w:pStyle w:val="Subtitle"/>
        <w:rPr>
          <w:lang w:val="en-GB"/>
        </w:rPr>
      </w:pPr>
      <w:r w:rsidRPr="0001096E">
        <w:rPr>
          <w:lang w:val="en-GB"/>
        </w:rPr>
        <w:lastRenderedPageBreak/>
        <w:t>Post-compulsory education, particularly vocational training</w:t>
      </w:r>
      <w:r w:rsidR="00B30BCF" w:rsidRPr="0001096E">
        <w:rPr>
          <w:lang w:val="en-GB"/>
        </w:rPr>
        <w:t xml:space="preserve"> (LoI, 22a/</w:t>
      </w:r>
      <w:r w:rsidR="00B5787C">
        <w:rPr>
          <w:lang w:val="en-GB"/>
        </w:rPr>
        <w:t xml:space="preserve"> </w:t>
      </w:r>
      <w:r w:rsidR="00B30BCF" w:rsidRPr="0001096E">
        <w:rPr>
          <w:lang w:val="en-GB"/>
        </w:rPr>
        <w:t xml:space="preserve">20a) </w:t>
      </w:r>
    </w:p>
    <w:p w14:paraId="6F5ADB66" w14:textId="08A1B8BF" w:rsidR="00A20EF3" w:rsidRPr="00A86F53" w:rsidRDefault="00A20EF3" w:rsidP="00A20EF3">
      <w:pPr>
        <w:pStyle w:val="BodyText"/>
        <w:rPr>
          <w:lang w:val="en-GB"/>
        </w:rPr>
      </w:pPr>
      <w:r w:rsidRPr="00A86F53">
        <w:rPr>
          <w:lang w:val="en-GB"/>
        </w:rPr>
        <w:t>The cantons are responsible for general education courses, while the "association partners", i.e. the Confederation, the cantons as well as employers' and employees' associations, are responsible for vocational training courses.</w:t>
      </w:r>
      <w:r w:rsidRPr="00A86F53">
        <w:rPr>
          <w:vertAlign w:val="superscript"/>
          <w:lang w:val="en-GB"/>
        </w:rPr>
        <w:footnoteReference w:id="214"/>
      </w:r>
      <w:r w:rsidRPr="00A86F53">
        <w:rPr>
          <w:lang w:val="en-GB"/>
        </w:rPr>
        <w:t xml:space="preserve"> Students with disabilities have not yet been mentioned in the </w:t>
      </w:r>
      <w:r w:rsidRPr="00A86F53">
        <w:rPr>
          <w:b/>
          <w:lang w:val="en-GB"/>
        </w:rPr>
        <w:t xml:space="preserve">“Berufsbildung 2030” </w:t>
      </w:r>
      <w:r w:rsidRPr="00A86F53">
        <w:rPr>
          <w:lang w:val="en-GB"/>
        </w:rPr>
        <w:t xml:space="preserve">[Vocational Training 2030] mission statement. Now, however, (self-)advocates of </w:t>
      </w:r>
      <w:r w:rsidR="00C514A9">
        <w:rPr>
          <w:lang w:val="en-GB"/>
        </w:rPr>
        <w:t>OPDs</w:t>
      </w:r>
      <w:r w:rsidRPr="00A86F53">
        <w:rPr>
          <w:lang w:val="en-GB"/>
        </w:rPr>
        <w:t xml:space="preserve"> will be able to exchange recommendations with and submit proposals to the competent bodies as part of an “Employee Dialogue Forum”.</w:t>
      </w:r>
      <w:r w:rsidRPr="00A86F53">
        <w:rPr>
          <w:vertAlign w:val="superscript"/>
          <w:lang w:val="en-GB"/>
        </w:rPr>
        <w:footnoteReference w:id="215"/>
      </w:r>
      <w:r w:rsidRPr="00A86F53">
        <w:rPr>
          <w:lang w:val="en-GB"/>
        </w:rPr>
        <w:t xml:space="preserve"> </w:t>
      </w:r>
    </w:p>
    <w:p w14:paraId="0B9FDA6F" w14:textId="535DB54B" w:rsidR="00A20EF3" w:rsidRPr="00A86F53" w:rsidRDefault="00A20EF3" w:rsidP="00A20EF3">
      <w:pPr>
        <w:pStyle w:val="BodyText"/>
        <w:rPr>
          <w:lang w:val="en-GB"/>
        </w:rPr>
      </w:pPr>
      <w:r w:rsidRPr="00A86F53">
        <w:rPr>
          <w:lang w:val="en-GB"/>
        </w:rPr>
        <w:t xml:space="preserve">Similarly to </w:t>
      </w:r>
      <w:r w:rsidR="006C6090">
        <w:rPr>
          <w:lang w:val="en-GB"/>
        </w:rPr>
        <w:t>the basic education system</w:t>
      </w:r>
      <w:r w:rsidRPr="00A86F53">
        <w:rPr>
          <w:lang w:val="en-GB"/>
        </w:rPr>
        <w:t xml:space="preserve">, young PWD can apply for </w:t>
      </w:r>
      <w:r w:rsidRPr="00A86F53">
        <w:rPr>
          <w:b/>
          <w:lang w:val="en-GB"/>
        </w:rPr>
        <w:t xml:space="preserve">compensation of discrimination and for assistance </w:t>
      </w:r>
      <w:r w:rsidRPr="00A86F53">
        <w:rPr>
          <w:lang w:val="en-GB"/>
        </w:rPr>
        <w:t xml:space="preserve">or “experienced individual support” (in the event of learning difficulties) in the </w:t>
      </w:r>
      <w:r w:rsidRPr="00A86F53">
        <w:rPr>
          <w:b/>
          <w:bCs/>
          <w:lang w:val="en-GB"/>
        </w:rPr>
        <w:t>regular</w:t>
      </w:r>
      <w:r w:rsidRPr="00A86F53">
        <w:rPr>
          <w:lang w:val="en-GB"/>
        </w:rPr>
        <w:t xml:space="preserve"> post-compulsory training courses, but they face unclear institutional responsibilities, complicated procedures and restrictive guarantees of support in practice.</w:t>
      </w:r>
      <w:r w:rsidRPr="00A86F53">
        <w:rPr>
          <w:vertAlign w:val="superscript"/>
          <w:lang w:val="en-GB"/>
        </w:rPr>
        <w:footnoteReference w:id="216"/>
      </w:r>
      <w:r w:rsidRPr="00A86F53">
        <w:rPr>
          <w:lang w:val="en-GB"/>
        </w:rPr>
        <w:t xml:space="preserve"> The necessary adjustment measures are quickly classified as “</w:t>
      </w:r>
      <w:r w:rsidRPr="00A86F53">
        <w:rPr>
          <w:b/>
          <w:bCs/>
          <w:lang w:val="en-GB"/>
        </w:rPr>
        <w:t>sub</w:t>
      </w:r>
      <w:r w:rsidRPr="00A86F53">
        <w:rPr>
          <w:b/>
          <w:lang w:val="en-GB"/>
        </w:rPr>
        <w:t>stantive</w:t>
      </w:r>
      <w:r w:rsidRPr="00A86F53">
        <w:rPr>
          <w:lang w:val="en-GB"/>
        </w:rPr>
        <w:t xml:space="preserve">” and thus </w:t>
      </w:r>
      <w:r w:rsidRPr="00A86F53">
        <w:rPr>
          <w:b/>
          <w:lang w:val="en-GB"/>
        </w:rPr>
        <w:t>impermissible</w:t>
      </w:r>
      <w:r w:rsidRPr="00A86F53">
        <w:rPr>
          <w:lang w:val="en-GB"/>
        </w:rPr>
        <w:t>, so that the desired education or training cannot be started at all. The actual importance of a competency for the pursuit of a subsequent profession / admission to a programme of studies is irrelevant in this regard.</w:t>
      </w:r>
      <w:r w:rsidRPr="00A86F53">
        <w:rPr>
          <w:vertAlign w:val="superscript"/>
          <w:lang w:val="en-GB"/>
        </w:rPr>
        <w:footnoteReference w:id="217"/>
      </w:r>
    </w:p>
    <w:p w14:paraId="0E8B89E7" w14:textId="77777777" w:rsidR="00A20EF3" w:rsidRPr="00A86F53" w:rsidRDefault="00A20EF3" w:rsidP="00A20EF3">
      <w:pPr>
        <w:pStyle w:val="BodyText"/>
        <w:rPr>
          <w:lang w:val="en-GB"/>
        </w:rPr>
      </w:pPr>
      <w:r w:rsidRPr="00A86F53">
        <w:rPr>
          <w:lang w:val="en-GB"/>
        </w:rPr>
        <w:t>Young people who require</w:t>
      </w:r>
      <w:r w:rsidRPr="00A86F53">
        <w:rPr>
          <w:b/>
          <w:lang w:val="en-GB"/>
        </w:rPr>
        <w:t xml:space="preserve"> further adaptations</w:t>
      </w:r>
      <w:r w:rsidRPr="00A86F53">
        <w:rPr>
          <w:lang w:val="en-GB"/>
        </w:rPr>
        <w:t xml:space="preserve">, particularly those with cognitive and psychosocial disabilities, are often </w:t>
      </w:r>
      <w:r w:rsidRPr="00A86F53">
        <w:rPr>
          <w:b/>
          <w:lang w:val="en-GB"/>
        </w:rPr>
        <w:t>denied</w:t>
      </w:r>
      <w:r w:rsidRPr="00A86F53">
        <w:rPr>
          <w:lang w:val="en-GB"/>
        </w:rPr>
        <w:t xml:space="preserve"> access </w:t>
      </w:r>
      <w:r w:rsidRPr="00A86F53">
        <w:rPr>
          <w:b/>
          <w:lang w:val="en-GB"/>
        </w:rPr>
        <w:t>to certified vocational training</w:t>
      </w:r>
      <w:r w:rsidRPr="00A86F53">
        <w:rPr>
          <w:lang w:val="en-GB"/>
        </w:rPr>
        <w:t xml:space="preserve"> from the outset.</w:t>
      </w:r>
      <w:r w:rsidRPr="00A86F53">
        <w:rPr>
          <w:vertAlign w:val="superscript"/>
          <w:lang w:val="en-GB"/>
        </w:rPr>
        <w:footnoteReference w:id="218"/>
      </w:r>
      <w:r w:rsidRPr="00A86F53">
        <w:rPr>
          <w:lang w:val="en-GB"/>
        </w:rPr>
        <w:t xml:space="preserve"> For instance, 42% of school-leavers with </w:t>
      </w:r>
      <w:r w:rsidRPr="00A86F53">
        <w:rPr>
          <w:lang w:val="en-GB"/>
        </w:rPr>
        <w:lastRenderedPageBreak/>
        <w:t>RILOs were not admitted to such training in the next few years.</w:t>
      </w:r>
      <w:r w:rsidRPr="00A86F53">
        <w:rPr>
          <w:vertAlign w:val="superscript"/>
          <w:lang w:val="en-GB"/>
        </w:rPr>
        <w:footnoteReference w:id="219"/>
      </w:r>
      <w:r w:rsidRPr="00A86F53">
        <w:rPr>
          <w:lang w:val="en-GB"/>
        </w:rPr>
        <w:t xml:space="preserve"> Lower-level training</w:t>
      </w:r>
      <w:r w:rsidRPr="00A86F53">
        <w:rPr>
          <w:rFonts w:eastAsia="Cambria" w:cs="Times New Roman"/>
          <w:vertAlign w:val="superscript"/>
          <w:lang w:val="en-GB"/>
        </w:rPr>
        <w:footnoteReference w:id="220"/>
      </w:r>
      <w:r w:rsidRPr="00A86F53">
        <w:rPr>
          <w:rFonts w:eastAsia="Cambria" w:cs="Times New Roman"/>
          <w:vertAlign w:val="superscript"/>
          <w:lang w:val="en-GB"/>
        </w:rPr>
        <w:t xml:space="preserve"> </w:t>
      </w:r>
      <w:r w:rsidRPr="00A86F53">
        <w:rPr>
          <w:lang w:val="en-GB"/>
        </w:rPr>
        <w:t xml:space="preserve">in turn is </w:t>
      </w:r>
      <w:r w:rsidRPr="00A86F53">
        <w:rPr>
          <w:b/>
          <w:lang w:val="en-GB"/>
        </w:rPr>
        <w:t>no</w:t>
      </w:r>
      <w:r w:rsidRPr="00A86F53">
        <w:rPr>
          <w:lang w:val="en-GB"/>
        </w:rPr>
        <w:t xml:space="preserve"> longer </w:t>
      </w:r>
      <w:r w:rsidRPr="00A86F53">
        <w:rPr>
          <w:b/>
          <w:lang w:val="en-GB"/>
        </w:rPr>
        <w:t>recognised</w:t>
      </w:r>
      <w:r w:rsidRPr="00A86F53">
        <w:rPr>
          <w:lang w:val="en-GB"/>
        </w:rPr>
        <w:t xml:space="preserve"> by the Vocational and Professional Education and Training Act </w:t>
      </w:r>
      <w:r w:rsidRPr="00A86F53">
        <w:rPr>
          <w:b/>
          <w:lang w:val="en-GB"/>
        </w:rPr>
        <w:t>(VPETA)</w:t>
      </w:r>
      <w:r w:rsidRPr="00A86F53">
        <w:rPr>
          <w:lang w:val="en-GB"/>
        </w:rPr>
        <w:t>.</w:t>
      </w:r>
      <w:r w:rsidRPr="00A86F53">
        <w:rPr>
          <w:vertAlign w:val="superscript"/>
          <w:lang w:val="en-GB"/>
        </w:rPr>
        <w:footnoteReference w:id="221"/>
      </w:r>
      <w:r w:rsidRPr="00A86F53">
        <w:rPr>
          <w:lang w:val="en-GB"/>
        </w:rPr>
        <w:t xml:space="preserve"> The IV system only finances them if there is a prospect of a certain minimum income, and (like special transitional education options) they take place mainly </w:t>
      </w:r>
      <w:r w:rsidRPr="00A86F53">
        <w:rPr>
          <w:b/>
          <w:lang w:val="en-GB"/>
        </w:rPr>
        <w:t>in separate settings</w:t>
      </w:r>
      <w:r w:rsidRPr="00A86F53">
        <w:rPr>
          <w:lang w:val="en-GB"/>
        </w:rPr>
        <w:t>.</w:t>
      </w:r>
      <w:r w:rsidRPr="00A86F53">
        <w:rPr>
          <w:vertAlign w:val="superscript"/>
          <w:lang w:val="en-GB"/>
        </w:rPr>
        <w:footnoteReference w:id="222"/>
      </w:r>
      <w:r w:rsidRPr="00A86F53">
        <w:rPr>
          <w:lang w:val="en-GB"/>
        </w:rPr>
        <w:t xml:space="preserve"> </w:t>
      </w:r>
    </w:p>
    <w:p w14:paraId="25795282" w14:textId="10EBC3AD" w:rsidR="00A20EF3" w:rsidRPr="00A20EF3" w:rsidRDefault="00A20EF3" w:rsidP="00A20EF3">
      <w:pPr>
        <w:spacing w:before="60" w:after="240"/>
        <w:rPr>
          <w:lang w:val="en-GB"/>
        </w:rPr>
      </w:pPr>
      <w:r w:rsidRPr="00A86F53">
        <w:rPr>
          <w:lang w:val="en-GB"/>
        </w:rPr>
        <w:t>Positive aspects include legislative changes aimed at improving the professional integration of young PWD,</w:t>
      </w:r>
      <w:r w:rsidRPr="00A86F53">
        <w:rPr>
          <w:rFonts w:eastAsia="Cambria" w:cs="Times New Roman"/>
          <w:vertAlign w:val="superscript"/>
          <w:lang w:val="en-GB"/>
        </w:rPr>
        <w:footnoteReference w:id="223"/>
      </w:r>
      <w:r w:rsidRPr="00A86F53">
        <w:rPr>
          <w:lang w:val="en-GB"/>
        </w:rPr>
        <w:t xml:space="preserve"> and the possibility of an individual certificate of competence (ICN) in the case of the </w:t>
      </w:r>
      <w:r>
        <w:rPr>
          <w:lang w:val="en-GB"/>
        </w:rPr>
        <w:t>federal vocational certificate.</w:t>
      </w:r>
    </w:p>
    <w:p w14:paraId="0C715B87" w14:textId="05639093" w:rsidR="00B30BCF" w:rsidRPr="0001096E" w:rsidRDefault="00B33AE3" w:rsidP="00B30BCF">
      <w:pPr>
        <w:pStyle w:val="Subtitle"/>
        <w:rPr>
          <w:lang w:val="en-GB"/>
        </w:rPr>
      </w:pPr>
      <w:r w:rsidRPr="0001096E">
        <w:rPr>
          <w:lang w:val="en-GB"/>
        </w:rPr>
        <w:t>Higher education and advanced training</w:t>
      </w:r>
    </w:p>
    <w:p w14:paraId="57AE0EFF" w14:textId="75A2A779" w:rsidR="00AD6133" w:rsidRPr="0001096E" w:rsidRDefault="00A20EF3" w:rsidP="00A20EF3">
      <w:pPr>
        <w:pStyle w:val="BodyText"/>
        <w:rPr>
          <w:lang w:val="en-GB"/>
        </w:rPr>
      </w:pPr>
      <w:r w:rsidRPr="00A86F53">
        <w:rPr>
          <w:lang w:val="en-GB"/>
        </w:rPr>
        <w:t>Despite the creation of certain specialist offices and networks (ISR para. 140), universal design is still lacking at (specialist) universities in many places. Students with disabilities are regularly denied even purely formal adjustment measures, and substantive measures are not even considered. Accordingly, they make up a small proportion of the students.</w:t>
      </w:r>
      <w:r w:rsidRPr="00A86F53">
        <w:rPr>
          <w:vertAlign w:val="superscript"/>
          <w:lang w:val="en-GB"/>
        </w:rPr>
        <w:footnoteReference w:id="224"/>
      </w:r>
      <w:r w:rsidRPr="00A86F53">
        <w:rPr>
          <w:lang w:val="en-GB"/>
        </w:rPr>
        <w:t xml:space="preserve"> There are educational colleges that regularly do not allow candidates with certain disabilities to study there based on a “health suitability assessment”. Finally, even regular general and continuing education options are also inaccessible to many PWD.</w:t>
      </w:r>
    </w:p>
    <w:p w14:paraId="35B710AD" w14:textId="74B1C52A" w:rsidR="00B30BCF" w:rsidRPr="0001096E" w:rsidRDefault="00B33AE3" w:rsidP="00B30BCF">
      <w:pPr>
        <w:shd w:val="clear" w:color="auto" w:fill="FFFFCC"/>
        <w:spacing w:before="240"/>
        <w:ind w:left="357" w:hanging="357"/>
        <w:rPr>
          <w:b/>
          <w:lang w:val="en-GB"/>
        </w:rPr>
      </w:pPr>
      <w:r w:rsidRPr="0001096E">
        <w:rPr>
          <w:b/>
          <w:lang w:val="en-GB"/>
        </w:rPr>
        <w:lastRenderedPageBreak/>
        <w:t>Proposals for recommendations</w:t>
      </w:r>
      <w:r w:rsidR="00B30BCF" w:rsidRPr="0001096E">
        <w:rPr>
          <w:b/>
          <w:lang w:val="en-GB"/>
        </w:rPr>
        <w:t>:</w:t>
      </w:r>
    </w:p>
    <w:p w14:paraId="11DDC45D" w14:textId="77777777" w:rsidR="00A20EF3" w:rsidRPr="00A20EF3" w:rsidRDefault="00A20EF3" w:rsidP="00A20EF3">
      <w:pPr>
        <w:pStyle w:val="SBEmpfehlungen"/>
      </w:pPr>
      <w:bookmarkStart w:id="122" w:name="_Toc91237785"/>
      <w:bookmarkStart w:id="123" w:name="_Toc91239907"/>
      <w:bookmarkStart w:id="124" w:name="_Toc95297077"/>
      <w:r w:rsidRPr="00A20EF3">
        <w:rPr>
          <w:b/>
          <w:bCs/>
        </w:rPr>
        <w:t>The Federal Department of Economic Affairs, Education and Research (EAER) and the EDK</w:t>
      </w:r>
      <w:r w:rsidRPr="00A20EF3">
        <w:t xml:space="preserve"> shall acknowledge their legal obligation under Article 24 CRPD to gradually develop an inclusive Swiss education system, shall redefine it as an objective in the next </w:t>
      </w:r>
      <w:r w:rsidRPr="00A20EF3">
        <w:rPr>
          <w:b/>
        </w:rPr>
        <w:t>declaration on common objectives for education</w:t>
      </w:r>
      <w:r w:rsidRPr="00A20EF3">
        <w:t xml:space="preserve"> and draw up a long-term agenda for reform. The </w:t>
      </w:r>
      <w:r w:rsidRPr="00A20EF3">
        <w:rPr>
          <w:b/>
        </w:rPr>
        <w:t>EDK</w:t>
      </w:r>
      <w:r w:rsidRPr="00A20EF3">
        <w:t xml:space="preserve"> shall include in its next </w:t>
      </w:r>
      <w:r w:rsidRPr="00A20EF3">
        <w:rPr>
          <w:b/>
        </w:rPr>
        <w:t>programme</w:t>
      </w:r>
      <w:r w:rsidRPr="00A20EF3">
        <w:t xml:space="preserve"> of </w:t>
      </w:r>
      <w:r w:rsidRPr="00A20EF3">
        <w:rPr>
          <w:b/>
        </w:rPr>
        <w:t>activities</w:t>
      </w:r>
      <w:r w:rsidRPr="00A20EF3">
        <w:t xml:space="preserve"> the objective of reforming the SoPädK and shall specify concrete measures for this purpose.</w:t>
      </w:r>
      <w:r w:rsidRPr="00A20EF3">
        <w:rPr>
          <w:vertAlign w:val="superscript"/>
        </w:rPr>
        <w:footnoteReference w:id="225"/>
      </w:r>
    </w:p>
    <w:p w14:paraId="03C2E773" w14:textId="6010662F" w:rsidR="00A20EF3" w:rsidRPr="00A20EF3" w:rsidRDefault="00A20EF3" w:rsidP="00A20EF3">
      <w:pPr>
        <w:pStyle w:val="SBEmpfehlungen"/>
      </w:pPr>
      <w:r w:rsidRPr="00A20EF3">
        <w:t xml:space="preserve">Under </w:t>
      </w:r>
      <w:r w:rsidRPr="00A20EF3">
        <w:rPr>
          <w:b/>
        </w:rPr>
        <w:t>the leadership of the EDK,</w:t>
      </w:r>
      <w:r w:rsidRPr="00A20EF3">
        <w:t xml:space="preserve"> the </w:t>
      </w:r>
      <w:r w:rsidRPr="00A20EF3">
        <w:rPr>
          <w:b/>
        </w:rPr>
        <w:t>cantons shall revise</w:t>
      </w:r>
      <w:r w:rsidRPr="00A20EF3">
        <w:t xml:space="preserve"> their </w:t>
      </w:r>
      <w:r w:rsidRPr="00A20EF3">
        <w:rPr>
          <w:b/>
        </w:rPr>
        <w:t>“special educational policies”</w:t>
      </w:r>
      <w:r w:rsidRPr="0065723E">
        <w:t>,</w:t>
      </w:r>
      <w:r w:rsidRPr="00A20EF3">
        <w:rPr>
          <w:b/>
        </w:rPr>
        <w:t xml:space="preserve"> </w:t>
      </w:r>
      <w:r w:rsidRPr="00A20EF3">
        <w:t xml:space="preserve">including an action plan for the systematic transfer of resources from special schools to regular schools and </w:t>
      </w:r>
      <w:r w:rsidRPr="0065723E">
        <w:t xml:space="preserve">a </w:t>
      </w:r>
      <w:r w:rsidRPr="00A20EF3">
        <w:t>comprehensive budget, structural reforms of regular schools and the revision of cantonal</w:t>
      </w:r>
      <w:r w:rsidR="0065723E">
        <w:t xml:space="preserve"> laws on compulsory education; i</w:t>
      </w:r>
      <w:r w:rsidRPr="00A20EF3">
        <w:t xml:space="preserve">n doing so, they shall lay the foundations for the development of sign language learning environments in bilingual schools. </w:t>
      </w:r>
    </w:p>
    <w:p w14:paraId="6735DB13" w14:textId="33D102C6" w:rsidR="00A20EF3" w:rsidRPr="003D2F0B" w:rsidRDefault="00A20EF3" w:rsidP="00A20EF3">
      <w:pPr>
        <w:pStyle w:val="SBEmpfehlungen"/>
      </w:pPr>
      <w:r w:rsidRPr="003D2F0B">
        <w:t xml:space="preserve">The </w:t>
      </w:r>
      <w:r w:rsidRPr="003D2F0B">
        <w:rPr>
          <w:b/>
        </w:rPr>
        <w:t>Confederation</w:t>
      </w:r>
      <w:r w:rsidRPr="003D2F0B">
        <w:t xml:space="preserve"> shall introduce a </w:t>
      </w:r>
      <w:r w:rsidRPr="003D2F0B">
        <w:rPr>
          <w:b/>
        </w:rPr>
        <w:t xml:space="preserve">constitutional right to inclusive </w:t>
      </w:r>
      <w:r w:rsidR="00F45C90">
        <w:rPr>
          <w:b/>
        </w:rPr>
        <w:t>basic</w:t>
      </w:r>
      <w:r w:rsidRPr="003D2F0B">
        <w:rPr>
          <w:b/>
        </w:rPr>
        <w:t xml:space="preserve"> education</w:t>
      </w:r>
      <w:r w:rsidRPr="003D2F0B">
        <w:t xml:space="preserve">. On a </w:t>
      </w:r>
      <w:r w:rsidRPr="003D2F0B">
        <w:rPr>
          <w:b/>
        </w:rPr>
        <w:t>transitional basis</w:t>
      </w:r>
      <w:r w:rsidRPr="003D2F0B">
        <w:t xml:space="preserve">, the </w:t>
      </w:r>
      <w:r w:rsidRPr="003D2F0B">
        <w:rPr>
          <w:b/>
        </w:rPr>
        <w:t>EAER</w:t>
      </w:r>
      <w:r w:rsidRPr="003D2F0B">
        <w:t xml:space="preserve"> and the cantons shall ensure, as far as possible, that undefined legal terms are interpreted in </w:t>
      </w:r>
      <w:r w:rsidRPr="003D2F0B">
        <w:rPr>
          <w:b/>
        </w:rPr>
        <w:t>accordance with international law</w:t>
      </w:r>
      <w:r w:rsidRPr="003D2F0B">
        <w:t xml:space="preserve"> (“child welfare”, “school organisation”, “sufficient”, etc.) through systematic training of the investigative, decision-making and appeal bodies regarding Article 24 CRPD.</w:t>
      </w:r>
    </w:p>
    <w:p w14:paraId="18225FDE" w14:textId="77777777" w:rsidR="00A20EF3" w:rsidRPr="003D2F0B" w:rsidRDefault="00A20EF3" w:rsidP="00A20EF3">
      <w:pPr>
        <w:pStyle w:val="SBEmpfehlungen"/>
      </w:pPr>
      <w:r w:rsidRPr="003D2F0B">
        <w:lastRenderedPageBreak/>
        <w:t xml:space="preserve">The </w:t>
      </w:r>
      <w:r w:rsidRPr="003D2F0B">
        <w:rPr>
          <w:b/>
        </w:rPr>
        <w:t>Confederation and the cantons</w:t>
      </w:r>
      <w:r w:rsidRPr="003D2F0B">
        <w:t xml:space="preserve"> shall draw up a </w:t>
      </w:r>
      <w:r w:rsidRPr="003D2F0B">
        <w:rPr>
          <w:b/>
        </w:rPr>
        <w:t>plan for reforming the training of all teachers (general and specialist)</w:t>
      </w:r>
      <w:r w:rsidRPr="003D2F0B">
        <w:t xml:space="preserve"> with a view to enabling high-quality teaching in inclusive educational institutions.</w:t>
      </w:r>
      <w:r w:rsidRPr="00A20EF3">
        <w:rPr>
          <w:vertAlign w:val="superscript"/>
        </w:rPr>
        <w:footnoteReference w:id="226"/>
      </w:r>
    </w:p>
    <w:p w14:paraId="395DE051" w14:textId="77777777" w:rsidR="00A20EF3" w:rsidRPr="00A20EF3" w:rsidRDefault="00A20EF3" w:rsidP="00A20EF3">
      <w:pPr>
        <w:pStyle w:val="SBEmpfehlungen"/>
      </w:pPr>
      <w:r w:rsidRPr="003D2F0B">
        <w:t>Together with the EDK and the organisations of the world of work, the SERI shall reform vocational training in accordance with the VPETA so that all people have access to certified basic vocational training in an inclusive education system, including individually adaptable educational plans and proof of competence;</w:t>
      </w:r>
      <w:r w:rsidRPr="00A20EF3">
        <w:rPr>
          <w:vertAlign w:val="superscript"/>
        </w:rPr>
        <w:footnoteReference w:id="227"/>
      </w:r>
      <w:r w:rsidRPr="003D2F0B">
        <w:t xml:space="preserve"> as a first step, non-formal, lower-threshold training courses that exist for this purpose shall be recognised by the VPETA (Motion for Dialogue Forum Vocational Training 2030).</w:t>
      </w:r>
    </w:p>
    <w:p w14:paraId="0666F191" w14:textId="02BD75D3" w:rsidR="00B33AE3" w:rsidRPr="0001096E" w:rsidRDefault="00B33AE3" w:rsidP="00A20EF3">
      <w:pPr>
        <w:pStyle w:val="Heading3"/>
        <w:numPr>
          <w:ilvl w:val="0"/>
          <w:numId w:val="0"/>
        </w:numPr>
        <w:ind w:left="737" w:hanging="737"/>
        <w:rPr>
          <w:lang w:val="en-GB"/>
        </w:rPr>
      </w:pPr>
      <w:bookmarkStart w:id="125" w:name="_Ref95643309"/>
      <w:bookmarkStart w:id="126" w:name="_Toc95668192"/>
      <w:r w:rsidRPr="0001096E">
        <w:rPr>
          <w:lang w:val="en-GB"/>
        </w:rPr>
        <w:t>Article 25 – Health</w:t>
      </w:r>
      <w:bookmarkEnd w:id="122"/>
      <w:bookmarkEnd w:id="123"/>
      <w:bookmarkEnd w:id="124"/>
      <w:bookmarkEnd w:id="125"/>
      <w:bookmarkEnd w:id="126"/>
    </w:p>
    <w:p w14:paraId="4FC4CF74" w14:textId="3F641EC8" w:rsidR="00A20EF3" w:rsidRPr="00A86F53" w:rsidRDefault="00A20EF3" w:rsidP="00A20EF3">
      <w:pPr>
        <w:pStyle w:val="BodyText"/>
        <w:rPr>
          <w:lang w:val="en-GB"/>
        </w:rPr>
      </w:pPr>
      <w:r w:rsidRPr="00A86F53">
        <w:rPr>
          <w:lang w:val="en-GB"/>
        </w:rPr>
        <w:t>In Switzerland,</w:t>
      </w:r>
      <w:r w:rsidRPr="00A86F53">
        <w:rPr>
          <w:b/>
          <w:lang w:val="en-GB"/>
        </w:rPr>
        <w:t xml:space="preserve"> every canton</w:t>
      </w:r>
      <w:r w:rsidRPr="00A86F53">
        <w:rPr>
          <w:lang w:val="en-GB"/>
        </w:rPr>
        <w:t xml:space="preserve"> has its own health legislation and ensures the healthcare of its population. Access to benefits is guaranteed through the </w:t>
      </w:r>
      <w:r w:rsidRPr="00A86F53">
        <w:rPr>
          <w:b/>
          <w:bCs/>
          <w:lang w:val="en-GB"/>
        </w:rPr>
        <w:t>compulsory</w:t>
      </w:r>
      <w:r w:rsidRPr="00A86F53">
        <w:rPr>
          <w:lang w:val="en-GB"/>
        </w:rPr>
        <w:t xml:space="preserve"> </w:t>
      </w:r>
      <w:r w:rsidRPr="00A86F53">
        <w:rPr>
          <w:b/>
          <w:lang w:val="en-GB"/>
        </w:rPr>
        <w:t>health insurance</w:t>
      </w:r>
      <w:r w:rsidRPr="00A86F53">
        <w:rPr>
          <w:lang w:val="en-GB"/>
        </w:rPr>
        <w:t xml:space="preserve"> system, which is regulated by federal law. It covers most of the benefits offered/prescribed by physicians, and additional insurance is required for more extensive benefits. The Confederation also regulates the basic and advanced training of health personnel and aspects of public health.</w:t>
      </w:r>
      <w:r w:rsidRPr="00A86F53">
        <w:rPr>
          <w:rStyle w:val="FootnoteReference"/>
          <w:spacing w:val="-6"/>
          <w:lang w:val="en-GB"/>
        </w:rPr>
        <w:footnoteReference w:id="228"/>
      </w:r>
      <w:r w:rsidRPr="00A86F53">
        <w:rPr>
          <w:rFonts w:cstheme="minorBidi"/>
          <w:lang w:val="en-GB"/>
        </w:rPr>
        <w:t xml:space="preserve"> </w:t>
      </w:r>
      <w:r w:rsidRPr="00A86F53">
        <w:rPr>
          <w:lang w:val="en-GB"/>
        </w:rPr>
        <w:t xml:space="preserve">The </w:t>
      </w:r>
      <w:r w:rsidRPr="00A86F53">
        <w:rPr>
          <w:b/>
          <w:lang w:val="en-GB"/>
        </w:rPr>
        <w:t>service rates</w:t>
      </w:r>
      <w:r w:rsidRPr="00A86F53">
        <w:rPr>
          <w:lang w:val="en-GB"/>
        </w:rPr>
        <w:t xml:space="preserve"> are generally agreed between the insurers and service providers</w:t>
      </w:r>
      <w:r w:rsidR="00F45C90">
        <w:rPr>
          <w:lang w:val="en-GB"/>
        </w:rPr>
        <w:t>’</w:t>
      </w:r>
      <w:r w:rsidRPr="00A86F53">
        <w:rPr>
          <w:lang w:val="en-GB"/>
        </w:rPr>
        <w:t xml:space="preserve"> associations and approved by the authorities. Despite inter-cantonal cooperation via the GDK, there are </w:t>
      </w:r>
      <w:r w:rsidRPr="00A86F53">
        <w:rPr>
          <w:rFonts w:cstheme="minorBidi"/>
          <w:lang w:val="en-GB"/>
        </w:rPr>
        <w:t xml:space="preserve">significant </w:t>
      </w:r>
      <w:r w:rsidRPr="00A86F53">
        <w:rPr>
          <w:rFonts w:cstheme="minorBidi"/>
          <w:b/>
          <w:lang w:val="en-GB"/>
        </w:rPr>
        <w:t>cantonal differences</w:t>
      </w:r>
      <w:r w:rsidRPr="00A86F53">
        <w:rPr>
          <w:lang w:val="en-GB"/>
        </w:rPr>
        <w:t xml:space="preserve"> in the</w:t>
      </w:r>
      <w:r w:rsidRPr="00A86F53">
        <w:rPr>
          <w:rFonts w:cstheme="minorBidi"/>
          <w:lang w:val="en-GB"/>
        </w:rPr>
        <w:t xml:space="preserve"> healthcare provided to PWD. Being disadvantaged can have </w:t>
      </w:r>
      <w:r w:rsidRPr="00A86F53">
        <w:rPr>
          <w:rFonts w:cstheme="minorBidi"/>
          <w:b/>
          <w:lang w:val="en-GB"/>
        </w:rPr>
        <w:t>fatal consequences</w:t>
      </w:r>
      <w:r w:rsidRPr="00A86F53">
        <w:rPr>
          <w:rFonts w:cstheme="minorBidi"/>
          <w:lang w:val="en-GB"/>
        </w:rPr>
        <w:t xml:space="preserve">: For </w:t>
      </w:r>
      <w:r w:rsidR="00D739C9" w:rsidRPr="00D739C9">
        <w:rPr>
          <w:lang w:val="en-GB"/>
        </w:rPr>
        <w:t>persons</w:t>
      </w:r>
      <w:r w:rsidRPr="00A86F53">
        <w:rPr>
          <w:rFonts w:cstheme="minorBidi"/>
          <w:lang w:val="en-GB"/>
        </w:rPr>
        <w:t xml:space="preserve"> with hearing impairments, the suicide rate is </w:t>
      </w:r>
      <w:bookmarkStart w:id="127" w:name="_Ref93332272"/>
      <w:r w:rsidRPr="00A86F53">
        <w:rPr>
          <w:rFonts w:cstheme="minorBidi"/>
          <w:lang w:val="en-GB"/>
        </w:rPr>
        <w:t xml:space="preserve">five </w:t>
      </w:r>
      <w:r w:rsidRPr="00A86F53">
        <w:rPr>
          <w:rFonts w:cstheme="minorBidi"/>
          <w:lang w:val="en-GB"/>
        </w:rPr>
        <w:lastRenderedPageBreak/>
        <w:t>times higher,</w:t>
      </w:r>
      <w:r w:rsidRPr="00A86F53">
        <w:rPr>
          <w:rFonts w:cstheme="minorBidi"/>
          <w:vertAlign w:val="superscript"/>
          <w:lang w:val="en-GB"/>
        </w:rPr>
        <w:footnoteReference w:id="229"/>
      </w:r>
      <w:bookmarkEnd w:id="127"/>
      <w:r w:rsidRPr="00A86F53">
        <w:rPr>
          <w:rFonts w:cstheme="minorBidi"/>
          <w:lang w:val="en-GB"/>
        </w:rPr>
        <w:t xml:space="preserve"> and </w:t>
      </w:r>
      <w:r w:rsidR="00AF697E">
        <w:rPr>
          <w:rFonts w:cstheme="minorBidi"/>
          <w:lang w:val="en-GB"/>
        </w:rPr>
        <w:t>psychosocial</w:t>
      </w:r>
      <w:r w:rsidRPr="00A86F53">
        <w:rPr>
          <w:rFonts w:cstheme="minorBidi"/>
          <w:lang w:val="en-GB"/>
        </w:rPr>
        <w:t xml:space="preserve"> disabilities are also associated with greater somatic mortality.</w:t>
      </w:r>
      <w:r w:rsidRPr="00A86F53">
        <w:rPr>
          <w:rFonts w:cstheme="minorBidi"/>
          <w:vertAlign w:val="superscript"/>
          <w:lang w:val="en-GB"/>
        </w:rPr>
        <w:footnoteReference w:id="230"/>
      </w:r>
    </w:p>
    <w:p w14:paraId="7171D0B2" w14:textId="63A9011D" w:rsidR="00AD6133" w:rsidRPr="0001096E" w:rsidRDefault="00A20EF3" w:rsidP="00AD6133">
      <w:pPr>
        <w:pStyle w:val="BodyText"/>
        <w:rPr>
          <w:lang w:val="en-GB"/>
        </w:rPr>
      </w:pPr>
      <w:r w:rsidRPr="00A86F53">
        <w:rPr>
          <w:lang w:val="en-GB"/>
        </w:rPr>
        <w:t xml:space="preserve">There is no targeted </w:t>
      </w:r>
      <w:r w:rsidRPr="00A86F53">
        <w:rPr>
          <w:b/>
          <w:lang w:val="en-GB"/>
        </w:rPr>
        <w:t>development</w:t>
      </w:r>
      <w:r w:rsidRPr="00A86F53">
        <w:rPr>
          <w:lang w:val="en-GB"/>
        </w:rPr>
        <w:t xml:space="preserve"> of </w:t>
      </w:r>
      <w:r w:rsidRPr="00A86F53">
        <w:rPr>
          <w:b/>
          <w:lang w:val="en-GB"/>
        </w:rPr>
        <w:t>inclusive strategies</w:t>
      </w:r>
      <w:r w:rsidRPr="00A86F53">
        <w:rPr>
          <w:lang w:val="en-GB"/>
        </w:rPr>
        <w:t xml:space="preserve"> (LoI para. 21.a). Although the</w:t>
      </w:r>
      <w:r w:rsidRPr="00A86F53">
        <w:rPr>
          <w:b/>
          <w:lang w:val="en-GB"/>
        </w:rPr>
        <w:t xml:space="preserve"> </w:t>
      </w:r>
      <w:r w:rsidR="00564158">
        <w:rPr>
          <w:b/>
          <w:lang w:val="en-GB"/>
        </w:rPr>
        <w:t>“</w:t>
      </w:r>
      <w:r w:rsidRPr="00A86F53">
        <w:rPr>
          <w:b/>
          <w:lang w:val="en-GB"/>
        </w:rPr>
        <w:t>Health 2030</w:t>
      </w:r>
      <w:r w:rsidR="00564158">
        <w:rPr>
          <w:b/>
          <w:lang w:val="en-GB"/>
        </w:rPr>
        <w:t>”</w:t>
      </w:r>
      <w:r w:rsidRPr="00A86F53">
        <w:rPr>
          <w:b/>
          <w:lang w:val="en-GB"/>
        </w:rPr>
        <w:t xml:space="preserve"> </w:t>
      </w:r>
      <w:r w:rsidRPr="00A86F53">
        <w:rPr>
          <w:lang w:val="en-GB"/>
        </w:rPr>
        <w:t xml:space="preserve">strategy mentions the unequal living conditions of PWD as an example, it does </w:t>
      </w:r>
      <w:r w:rsidRPr="00A86F53">
        <w:rPr>
          <w:b/>
          <w:bCs/>
          <w:lang w:val="en-GB"/>
        </w:rPr>
        <w:t>not</w:t>
      </w:r>
      <w:r w:rsidRPr="00A86F53">
        <w:rPr>
          <w:lang w:val="en-GB"/>
        </w:rPr>
        <w:t xml:space="preserve"> specify any </w:t>
      </w:r>
      <w:r w:rsidRPr="00A86F53">
        <w:rPr>
          <w:b/>
          <w:lang w:val="en-GB"/>
        </w:rPr>
        <w:t xml:space="preserve">measures </w:t>
      </w:r>
      <w:r w:rsidRPr="00A86F53">
        <w:rPr>
          <w:lang w:val="en-GB"/>
        </w:rPr>
        <w:t>to reduce structural disadvantages.</w:t>
      </w:r>
      <w:bookmarkStart w:id="128" w:name="_Ref93399023"/>
      <w:r w:rsidRPr="00A86F53">
        <w:rPr>
          <w:rStyle w:val="FootnoteReference"/>
          <w:color w:val="000000"/>
          <w:spacing w:val="-6"/>
          <w:lang w:val="en-GB"/>
        </w:rPr>
        <w:footnoteReference w:id="231"/>
      </w:r>
      <w:bookmarkEnd w:id="128"/>
      <w:r w:rsidRPr="00A86F53">
        <w:rPr>
          <w:lang w:val="en-GB"/>
        </w:rPr>
        <w:t xml:space="preserve"> Although measures were developed for more inclusive palliative care,</w:t>
      </w:r>
      <w:bookmarkStart w:id="129" w:name="_Ref93334798"/>
      <w:r w:rsidRPr="00A86F53">
        <w:rPr>
          <w:vertAlign w:val="superscript"/>
          <w:lang w:val="en-GB"/>
        </w:rPr>
        <w:footnoteReference w:id="232"/>
      </w:r>
      <w:bookmarkEnd w:id="129"/>
      <w:r w:rsidRPr="00A86F53">
        <w:rPr>
          <w:lang w:val="en-GB"/>
        </w:rPr>
        <w:t xml:space="preserve"> despite proven urgency,</w:t>
      </w:r>
      <w:r w:rsidRPr="00A86F53">
        <w:rPr>
          <w:vertAlign w:val="superscript"/>
          <w:lang w:val="en-GB"/>
        </w:rPr>
        <w:footnoteReference w:id="233"/>
      </w:r>
      <w:r w:rsidRPr="00A86F53">
        <w:rPr>
          <w:lang w:val="en-GB"/>
        </w:rPr>
        <w:t xml:space="preserve"> they were</w:t>
      </w:r>
      <w:r w:rsidRPr="00A86F53">
        <w:rPr>
          <w:b/>
          <w:lang w:val="en-GB"/>
        </w:rPr>
        <w:t xml:space="preserve"> not rated as a </w:t>
      </w:r>
      <w:r w:rsidRPr="00A86F53">
        <w:rPr>
          <w:b/>
          <w:bCs/>
          <w:lang w:val="en-GB"/>
        </w:rPr>
        <w:t>priority</w:t>
      </w:r>
      <w:r w:rsidRPr="00A86F53">
        <w:rPr>
          <w:lang w:val="en-GB"/>
        </w:rPr>
        <w:t>.</w:t>
      </w:r>
      <w:r w:rsidRPr="00A86F53">
        <w:rPr>
          <w:vertAlign w:val="superscript"/>
          <w:lang w:val="en-GB"/>
        </w:rPr>
        <w:footnoteReference w:id="234"/>
      </w:r>
      <w:r w:rsidRPr="00A86F53">
        <w:rPr>
          <w:lang w:val="en-GB"/>
        </w:rPr>
        <w:t xml:space="preserve"> In some cases, there is a fundamental lack of sufficient </w:t>
      </w:r>
      <w:r w:rsidRPr="00A86F53">
        <w:rPr>
          <w:b/>
          <w:lang w:val="en-GB"/>
        </w:rPr>
        <w:t>political follow-up</w:t>
      </w:r>
      <w:r w:rsidRPr="00A86F53">
        <w:rPr>
          <w:lang w:val="en-GB"/>
        </w:rPr>
        <w:t xml:space="preserve"> of recommendations from studies and reports.</w:t>
      </w:r>
    </w:p>
    <w:p w14:paraId="09145AF0" w14:textId="77777777" w:rsidR="00150661" w:rsidRPr="0001096E" w:rsidRDefault="00B33AE3" w:rsidP="005B5851">
      <w:pPr>
        <w:pStyle w:val="BodyText"/>
        <w:spacing w:before="240"/>
        <w:ind w:left="284"/>
        <w:jc w:val="center"/>
        <w:rPr>
          <w:rStyle w:val="IntenseReference"/>
          <w:lang w:val="en-GB"/>
        </w:rPr>
      </w:pPr>
      <w:r w:rsidRPr="0001096E">
        <w:rPr>
          <w:rStyle w:val="IntenseReference"/>
          <w:lang w:val="en-GB"/>
        </w:rPr>
        <w:t xml:space="preserve">Provision of </w:t>
      </w:r>
      <w:r w:rsidRPr="00ED1A8F">
        <w:rPr>
          <w:rStyle w:val="IntenseReference"/>
          <w:lang w:val="en-US"/>
        </w:rPr>
        <w:t>healthcare</w:t>
      </w:r>
      <w:r w:rsidRPr="0001096E">
        <w:rPr>
          <w:rStyle w:val="IntenseReference"/>
          <w:lang w:val="en-GB"/>
        </w:rPr>
        <w:t xml:space="preserve"> to PWD in Switzerland: Sample cases</w:t>
      </w:r>
    </w:p>
    <w:p w14:paraId="6CF16787" w14:textId="77777777" w:rsidR="00B33AE3" w:rsidRPr="0001096E" w:rsidRDefault="00B33AE3" w:rsidP="006403E4">
      <w:pPr>
        <w:pStyle w:val="BalloonText"/>
        <w:numPr>
          <w:ilvl w:val="0"/>
          <w:numId w:val="17"/>
        </w:numPr>
        <w:spacing w:before="120" w:after="120"/>
        <w:ind w:left="1054" w:right="284" w:hanging="357"/>
        <w:rPr>
          <w:lang w:val="en-GB"/>
        </w:rPr>
      </w:pPr>
      <w:r w:rsidRPr="0001096E">
        <w:rPr>
          <w:lang w:val="en-GB"/>
        </w:rPr>
        <w:t>A deaf woman is in a psychiatric hospital after a suicide attempt. Sign interpreting services receive enough funding for only one weekly interview with the psychiatrist.</w:t>
      </w:r>
    </w:p>
    <w:p w14:paraId="041D84AE" w14:textId="77777777" w:rsidR="001E787F" w:rsidRPr="0001096E" w:rsidRDefault="00B33AE3" w:rsidP="006403E4">
      <w:pPr>
        <w:pStyle w:val="BalloonText"/>
        <w:numPr>
          <w:ilvl w:val="0"/>
          <w:numId w:val="19"/>
        </w:numPr>
        <w:spacing w:before="120" w:after="120"/>
        <w:ind w:left="1054" w:right="284" w:hanging="357"/>
        <w:rPr>
          <w:lang w:val="en-GB"/>
        </w:rPr>
      </w:pPr>
      <w:r w:rsidRPr="0001096E">
        <w:rPr>
          <w:lang w:val="en-GB"/>
        </w:rPr>
        <w:t xml:space="preserve">Because of both the time limit for which the general practitioner is required and the flow of events (uncertain time specifications, waiting rooms, exclusion of companions), a person with ASD forgoes a visit. </w:t>
      </w:r>
    </w:p>
    <w:p w14:paraId="7B77CA91" w14:textId="77777777" w:rsidR="001E787F" w:rsidRPr="0001096E" w:rsidRDefault="00B33AE3" w:rsidP="006403E4">
      <w:pPr>
        <w:pStyle w:val="BalloonText"/>
        <w:numPr>
          <w:ilvl w:val="0"/>
          <w:numId w:val="19"/>
        </w:numPr>
        <w:spacing w:before="120" w:after="120"/>
        <w:ind w:left="1054" w:right="284" w:hanging="357"/>
        <w:rPr>
          <w:szCs w:val="21"/>
          <w:lang w:val="en-GB"/>
        </w:rPr>
      </w:pPr>
      <w:r w:rsidRPr="0001096E">
        <w:rPr>
          <w:szCs w:val="21"/>
          <w:lang w:val="en-GB"/>
        </w:rPr>
        <w:lastRenderedPageBreak/>
        <w:t>A young woman with a severe visual impairment goes to hospital after she has been intoxicated with GHB and sexually abused. Instead of undergoing a serious examination, she is accused of “fabricating stories”. Two days later</w:t>
      </w:r>
      <w:r w:rsidR="006403E4" w:rsidRPr="0001096E">
        <w:rPr>
          <w:szCs w:val="21"/>
          <w:lang w:val="en-GB"/>
        </w:rPr>
        <w:t>, severe wounds are identified.</w:t>
      </w:r>
    </w:p>
    <w:p w14:paraId="3DA32831" w14:textId="5C1F247D" w:rsidR="006403E4" w:rsidRPr="0001096E" w:rsidRDefault="006403E4" w:rsidP="006403E4">
      <w:pPr>
        <w:pStyle w:val="BalloonText"/>
        <w:numPr>
          <w:ilvl w:val="0"/>
          <w:numId w:val="20"/>
        </w:numPr>
        <w:spacing w:before="120" w:after="120"/>
        <w:ind w:left="1054" w:right="284" w:hanging="357"/>
        <w:rPr>
          <w:lang w:val="en-GB"/>
        </w:rPr>
      </w:pPr>
      <w:r w:rsidRPr="0001096E">
        <w:rPr>
          <w:lang w:val="en-GB"/>
        </w:rPr>
        <w:t xml:space="preserve">For a gynaecological examination, a paraplegic woman can hardly find any </w:t>
      </w:r>
      <w:r w:rsidR="00F45C90">
        <w:rPr>
          <w:lang w:val="en-GB"/>
        </w:rPr>
        <w:t>medical practice</w:t>
      </w:r>
      <w:r w:rsidRPr="0001096E">
        <w:rPr>
          <w:lang w:val="en-GB"/>
        </w:rPr>
        <w:t xml:space="preserve"> having adaptable examination equipment.</w:t>
      </w:r>
    </w:p>
    <w:p w14:paraId="3749C208" w14:textId="77777777" w:rsidR="006403E4" w:rsidRPr="0001096E" w:rsidRDefault="006403E4" w:rsidP="006403E4">
      <w:pPr>
        <w:pStyle w:val="BalloonText"/>
        <w:numPr>
          <w:ilvl w:val="0"/>
          <w:numId w:val="21"/>
        </w:numPr>
        <w:spacing w:before="120" w:after="120"/>
        <w:ind w:left="1054" w:right="284" w:hanging="357"/>
        <w:rPr>
          <w:lang w:val="en-GB"/>
        </w:rPr>
      </w:pPr>
      <w:r w:rsidRPr="0001096E">
        <w:rPr>
          <w:lang w:val="en-GB"/>
        </w:rPr>
        <w:t>A young man with an intellectual disability who also suffers from a psychosocial disorder in unable to find a psychiatric hospital where he could be treated competently.</w:t>
      </w:r>
    </w:p>
    <w:p w14:paraId="78E23F54" w14:textId="2BE5BA90" w:rsidR="00A20EF3" w:rsidRPr="00A20EF3" w:rsidRDefault="006403E4" w:rsidP="00A20EF3">
      <w:pPr>
        <w:pStyle w:val="BalloonText"/>
        <w:numPr>
          <w:ilvl w:val="0"/>
          <w:numId w:val="22"/>
        </w:numPr>
        <w:spacing w:before="120" w:after="120"/>
        <w:ind w:left="1054" w:right="284" w:hanging="357"/>
        <w:rPr>
          <w:lang w:val="en-GB"/>
        </w:rPr>
      </w:pPr>
      <w:r w:rsidRPr="0001096E">
        <w:rPr>
          <w:lang w:val="en-GB"/>
        </w:rPr>
        <w:t>As the pandemic continues, a teenager gets deeper and deeper into anorexia and begins harming herself. However, a hospital stay is not possible: All spaces are full, and there are long waiting lists. The first interview cannot take place until a year later.</w:t>
      </w:r>
      <w:r w:rsidR="00F85268">
        <w:rPr>
          <w:rStyle w:val="FootnoteReference"/>
          <w:lang w:val="en-GB"/>
        </w:rPr>
        <w:footnoteReference w:id="235"/>
      </w:r>
      <w:r w:rsidRPr="0001096E">
        <w:rPr>
          <w:lang w:val="en-GB"/>
        </w:rPr>
        <w:t xml:space="preserve"> </w:t>
      </w:r>
    </w:p>
    <w:p w14:paraId="6CD00238" w14:textId="228A758F" w:rsidR="00A20EF3" w:rsidRPr="00A20EF3" w:rsidRDefault="00A20EF3" w:rsidP="00A20EF3">
      <w:pPr>
        <w:pStyle w:val="BodyText"/>
        <w:rPr>
          <w:lang w:val="en-GB" w:eastAsia="de-CH"/>
        </w:rPr>
      </w:pPr>
      <w:r w:rsidRPr="00A20EF3">
        <w:rPr>
          <w:lang w:val="en-GB" w:eastAsia="de-CH"/>
        </w:rPr>
        <w:t xml:space="preserve">As a result of Covid-19, the Swiss healthcare system also reached or exceeded its limits (as regards pandemic response measures and (intensive) medical care, see </w:t>
      </w:r>
      <w:r w:rsidR="00565E74">
        <w:rPr>
          <w:lang w:val="en-GB" w:eastAsia="de-CH"/>
        </w:rPr>
        <w:t xml:space="preserve">General provisions, p. </w:t>
      </w:r>
      <w:r w:rsidR="00565E74">
        <w:rPr>
          <w:lang w:val="en-GB" w:eastAsia="de-CH"/>
        </w:rPr>
        <w:fldChar w:fldCharType="begin"/>
      </w:r>
      <w:r w:rsidR="00565E74">
        <w:rPr>
          <w:lang w:val="en-GB" w:eastAsia="de-CH"/>
        </w:rPr>
        <w:instrText xml:space="preserve"> PAGEREF _Ref95643816 \h </w:instrText>
      </w:r>
      <w:r w:rsidR="00565E74">
        <w:rPr>
          <w:lang w:val="en-GB" w:eastAsia="de-CH"/>
        </w:rPr>
      </w:r>
      <w:r w:rsidR="00565E74">
        <w:rPr>
          <w:lang w:val="en-GB" w:eastAsia="de-CH"/>
        </w:rPr>
        <w:fldChar w:fldCharType="separate"/>
      </w:r>
      <w:r w:rsidR="007433D0">
        <w:rPr>
          <w:noProof/>
          <w:lang w:val="en-GB" w:eastAsia="de-CH"/>
        </w:rPr>
        <w:t>6</w:t>
      </w:r>
      <w:r w:rsidR="00565E74">
        <w:rPr>
          <w:lang w:val="en-GB" w:eastAsia="de-CH"/>
        </w:rPr>
        <w:fldChar w:fldCharType="end"/>
      </w:r>
      <w:r w:rsidR="00565E74">
        <w:rPr>
          <w:lang w:val="en-GB" w:eastAsia="de-CH"/>
        </w:rPr>
        <w:t xml:space="preserve"> ff.</w:t>
      </w:r>
      <w:r w:rsidRPr="00A20EF3">
        <w:rPr>
          <w:lang w:val="en-GB" w:eastAsia="de-CH"/>
        </w:rPr>
        <w:t xml:space="preserve">). In some instances, this accentuated pre-existing deficiencies in the provision of healthcare to PWD. For example, a </w:t>
      </w:r>
      <w:r w:rsidRPr="00A20EF3">
        <w:rPr>
          <w:b/>
          <w:bCs/>
          <w:lang w:val="en-GB" w:eastAsia="de-CH"/>
        </w:rPr>
        <w:t>shortage of p</w:t>
      </w:r>
      <w:r w:rsidRPr="00A20EF3">
        <w:rPr>
          <w:b/>
          <w:lang w:val="en-GB" w:eastAsia="de-CH"/>
        </w:rPr>
        <w:t xml:space="preserve">sychiatric-psychotherapeutic care, </w:t>
      </w:r>
      <w:r w:rsidRPr="00A20EF3">
        <w:rPr>
          <w:lang w:val="en-GB" w:eastAsia="de-CH"/>
        </w:rPr>
        <w:t>particularly of</w:t>
      </w:r>
      <w:r w:rsidRPr="00A20EF3">
        <w:rPr>
          <w:b/>
          <w:lang w:val="en-GB" w:eastAsia="de-CH"/>
        </w:rPr>
        <w:t xml:space="preserve"> children and adolescents, </w:t>
      </w:r>
      <w:r w:rsidRPr="00A20EF3">
        <w:rPr>
          <w:lang w:val="en-GB" w:eastAsia="de-CH"/>
        </w:rPr>
        <w:t xml:space="preserve">was identified years ago; </w:t>
      </w:r>
      <w:r w:rsidR="00EF3E0E">
        <w:rPr>
          <w:lang w:val="en-GB" w:eastAsia="de-CH"/>
        </w:rPr>
        <w:t>i</w:t>
      </w:r>
      <w:r w:rsidRPr="00A20EF3">
        <w:rPr>
          <w:lang w:val="en-GB" w:eastAsia="de-CH"/>
        </w:rPr>
        <w:t xml:space="preserve">n the wake of the pandemic, </w:t>
      </w:r>
      <w:r w:rsidRPr="00A20EF3">
        <w:rPr>
          <w:b/>
          <w:bCs/>
          <w:lang w:val="en-GB" w:eastAsia="de-CH"/>
        </w:rPr>
        <w:t xml:space="preserve">this shortage </w:t>
      </w:r>
      <w:r w:rsidRPr="00A20EF3">
        <w:rPr>
          <w:b/>
          <w:lang w:val="en-GB" w:eastAsia="de-CH"/>
        </w:rPr>
        <w:t>worsened tremendously</w:t>
      </w:r>
      <w:r w:rsidRPr="00F45C90">
        <w:rPr>
          <w:lang w:val="en-GB" w:eastAsia="de-CH"/>
        </w:rPr>
        <w:t>.</w:t>
      </w:r>
      <w:r w:rsidRPr="00A20EF3">
        <w:rPr>
          <w:b/>
          <w:lang w:val="en-GB" w:eastAsia="de-CH"/>
        </w:rPr>
        <w:t xml:space="preserve"> </w:t>
      </w:r>
      <w:r w:rsidRPr="00A20EF3">
        <w:rPr>
          <w:lang w:val="en-GB" w:eastAsia="de-CH"/>
        </w:rPr>
        <w:t xml:space="preserve">Patients also usually have to wait </w:t>
      </w:r>
      <w:r w:rsidRPr="00A20EF3">
        <w:rPr>
          <w:b/>
          <w:lang w:val="en-GB" w:eastAsia="de-CH"/>
        </w:rPr>
        <w:t xml:space="preserve">several months </w:t>
      </w:r>
      <w:r w:rsidRPr="00A20EF3">
        <w:rPr>
          <w:lang w:val="en-GB" w:eastAsia="de-CH"/>
        </w:rPr>
        <w:t>(up to 18!) for outpatient treatment.</w:t>
      </w:r>
      <w:bookmarkStart w:id="130" w:name="_Ref94558188"/>
      <w:r w:rsidRPr="00A20EF3">
        <w:rPr>
          <w:rFonts w:eastAsia="Cambria" w:cs="Times New Roman"/>
          <w:vertAlign w:val="superscript"/>
          <w:lang w:val="en-GB" w:eastAsia="de-CH"/>
        </w:rPr>
        <w:footnoteReference w:id="236"/>
      </w:r>
      <w:bookmarkEnd w:id="130"/>
      <w:r w:rsidRPr="00A20EF3">
        <w:rPr>
          <w:lang w:val="en-GB" w:eastAsia="de-CH"/>
        </w:rPr>
        <w:t xml:space="preserve"> Likewise, </w:t>
      </w:r>
      <w:r w:rsidR="00AF697E" w:rsidRPr="00D739C9">
        <w:rPr>
          <w:lang w:val="en-GB"/>
        </w:rPr>
        <w:t>persons</w:t>
      </w:r>
      <w:r w:rsidRPr="00A20EF3">
        <w:rPr>
          <w:lang w:val="en-GB" w:eastAsia="de-CH"/>
        </w:rPr>
        <w:t xml:space="preserve"> with pre-ex</w:t>
      </w:r>
      <w:r w:rsidRPr="00A20EF3">
        <w:rPr>
          <w:lang w:val="en-GB" w:eastAsia="de-CH"/>
        </w:rPr>
        <w:lastRenderedPageBreak/>
        <w:t>isting</w:t>
      </w:r>
      <w:r w:rsidRPr="00A20EF3">
        <w:rPr>
          <w:b/>
          <w:lang w:val="en-GB" w:eastAsia="de-CH"/>
        </w:rPr>
        <w:t xml:space="preserve"> psychosocial disabilities </w:t>
      </w:r>
      <w:r w:rsidRPr="00A20EF3">
        <w:rPr>
          <w:lang w:val="en-GB" w:eastAsia="de-CH"/>
        </w:rPr>
        <w:t>are significantly more likely to experience severe symptoms than others (34% vs. 14%).</w:t>
      </w:r>
      <w:r w:rsidRPr="00A20EF3">
        <w:rPr>
          <w:rFonts w:eastAsia="Cambria" w:cs="Times New Roman"/>
          <w:vertAlign w:val="superscript"/>
          <w:lang w:val="en-GB" w:eastAsia="de-CH"/>
        </w:rPr>
        <w:footnoteReference w:id="237"/>
      </w:r>
      <w:r w:rsidRPr="00A20EF3">
        <w:rPr>
          <w:lang w:val="en-GB" w:eastAsia="de-CH"/>
        </w:rPr>
        <w:t xml:space="preserve"> According to therapists, outpatient care in adults is often not guaranteed either. On the other hand, the reduced charges for telephone consultations</w:t>
      </w:r>
      <w:r w:rsidRPr="00A20EF3">
        <w:rPr>
          <w:rFonts w:eastAsia="Cambria" w:cs="Times New Roman"/>
          <w:vertAlign w:val="superscript"/>
          <w:lang w:val="en-GB" w:eastAsia="de-CH"/>
        </w:rPr>
        <w:footnoteReference w:id="238"/>
      </w:r>
      <w:r w:rsidRPr="00A20EF3">
        <w:rPr>
          <w:lang w:val="en-GB" w:eastAsia="de-CH"/>
        </w:rPr>
        <w:t xml:space="preserve"> and improved access to psychological psychotherapy are considered to be effective.</w:t>
      </w:r>
      <w:r w:rsidRPr="00A20EF3">
        <w:rPr>
          <w:rFonts w:eastAsia="Cambria" w:cs="Times New Roman"/>
          <w:vertAlign w:val="superscript"/>
          <w:lang w:val="en-GB" w:eastAsia="de-CH"/>
        </w:rPr>
        <w:footnoteReference w:id="239"/>
      </w:r>
      <w:r w:rsidRPr="00A20EF3">
        <w:rPr>
          <w:lang w:val="en-GB" w:eastAsia="de-CH"/>
        </w:rPr>
        <w:t xml:space="preserve"> </w:t>
      </w:r>
    </w:p>
    <w:p w14:paraId="02F20A52" w14:textId="4C9E440F" w:rsidR="00A20EF3" w:rsidRPr="00A20EF3" w:rsidRDefault="00A20EF3" w:rsidP="00A20EF3">
      <w:pPr>
        <w:pStyle w:val="BodyText"/>
        <w:rPr>
          <w:lang w:val="en-GB" w:eastAsia="de-CH"/>
        </w:rPr>
      </w:pPr>
      <w:r w:rsidRPr="00A20EF3">
        <w:rPr>
          <w:lang w:val="en-GB" w:eastAsia="de-CH"/>
        </w:rPr>
        <w:t xml:space="preserve">The above-mentioned sample cases reflect a variety of other </w:t>
      </w:r>
      <w:r w:rsidRPr="00A20EF3">
        <w:rPr>
          <w:b/>
          <w:lang w:val="en-GB" w:eastAsia="de-CH"/>
        </w:rPr>
        <w:t xml:space="preserve">deficiencies in the provision of healthcare </w:t>
      </w:r>
      <w:r w:rsidRPr="00A20EF3">
        <w:rPr>
          <w:lang w:val="en-GB" w:eastAsia="de-CH"/>
        </w:rPr>
        <w:t>to PWD</w:t>
      </w:r>
      <w:r w:rsidRPr="00A20EF3">
        <w:rPr>
          <w:b/>
          <w:lang w:val="en-GB" w:eastAsia="de-CH"/>
        </w:rPr>
        <w:t xml:space="preserve"> </w:t>
      </w:r>
      <w:r w:rsidRPr="00A20EF3">
        <w:rPr>
          <w:lang w:val="en-GB" w:eastAsia="de-CH"/>
        </w:rPr>
        <w:t xml:space="preserve">at cantonal level. For instance, the use of general health services (Art. 25.a CRPD) is lacking in </w:t>
      </w:r>
      <w:r w:rsidRPr="00A20EF3">
        <w:rPr>
          <w:b/>
          <w:lang w:val="en-GB" w:eastAsia="de-CH"/>
        </w:rPr>
        <w:t>accessibility, reasonable accommodations</w:t>
      </w:r>
      <w:r w:rsidRPr="00A20EF3">
        <w:rPr>
          <w:lang w:val="en-GB" w:eastAsia="de-CH"/>
        </w:rPr>
        <w:t xml:space="preserve"> and </w:t>
      </w:r>
      <w:r w:rsidRPr="00A20EF3">
        <w:rPr>
          <w:b/>
          <w:lang w:val="en-GB" w:eastAsia="de-CH"/>
        </w:rPr>
        <w:t>freedom of prejudice</w:t>
      </w:r>
      <w:r w:rsidRPr="00A20EF3">
        <w:rPr>
          <w:lang w:val="en-GB" w:eastAsia="de-CH"/>
        </w:rPr>
        <w:t xml:space="preserve"> across all medical specialties. There are also significant gaps in the care of </w:t>
      </w:r>
      <w:r w:rsidR="00AF697E" w:rsidRPr="00D739C9">
        <w:rPr>
          <w:lang w:val="en-GB"/>
        </w:rPr>
        <w:t>persons</w:t>
      </w:r>
      <w:r w:rsidRPr="00A20EF3">
        <w:rPr>
          <w:lang w:val="en-GB" w:eastAsia="de-CH"/>
        </w:rPr>
        <w:t xml:space="preserve"> with </w:t>
      </w:r>
      <w:r w:rsidRPr="00A20EF3">
        <w:rPr>
          <w:b/>
          <w:lang w:val="en-GB" w:eastAsia="de-CH"/>
        </w:rPr>
        <w:t xml:space="preserve">multiple disabilities </w:t>
      </w:r>
      <w:r w:rsidRPr="00A20EF3">
        <w:rPr>
          <w:lang w:val="en-GB" w:eastAsia="de-CH"/>
        </w:rPr>
        <w:t xml:space="preserve">(psychiatric treatment of </w:t>
      </w:r>
      <w:r w:rsidR="00AF697E" w:rsidRPr="00D739C9">
        <w:rPr>
          <w:lang w:val="en-GB"/>
        </w:rPr>
        <w:t>persons</w:t>
      </w:r>
      <w:r w:rsidRPr="00A20EF3">
        <w:rPr>
          <w:lang w:val="en-GB" w:eastAsia="de-CH"/>
        </w:rPr>
        <w:t xml:space="preserve"> with intellectual disabilities; spatial coordination/institutional integration of care for </w:t>
      </w:r>
      <w:r w:rsidR="00AF697E" w:rsidRPr="00D739C9">
        <w:rPr>
          <w:lang w:val="en-GB"/>
        </w:rPr>
        <w:t>persons</w:t>
      </w:r>
      <w:r w:rsidRPr="00A20EF3">
        <w:rPr>
          <w:lang w:val="en-GB" w:eastAsia="de-CH"/>
        </w:rPr>
        <w:t xml:space="preserve"> with psychosocial disabilities and chronic</w:t>
      </w:r>
      <w:bookmarkStart w:id="131" w:name="_Ref93324131"/>
      <w:r w:rsidRPr="00A20EF3">
        <w:rPr>
          <w:lang w:val="en-GB" w:eastAsia="de-CH"/>
        </w:rPr>
        <w:t xml:space="preserve"> somatic diseases;</w:t>
      </w:r>
      <w:r w:rsidRPr="00A20EF3">
        <w:rPr>
          <w:rFonts w:eastAsia="Cambria" w:cs="Times New Roman"/>
          <w:vertAlign w:val="superscript"/>
          <w:lang w:val="en-GB" w:eastAsia="de-CH"/>
        </w:rPr>
        <w:footnoteReference w:id="240"/>
      </w:r>
      <w:bookmarkEnd w:id="131"/>
      <w:r w:rsidRPr="00A20EF3">
        <w:rPr>
          <w:lang w:val="en-GB" w:eastAsia="de-CH"/>
        </w:rPr>
        <w:t xml:space="preserve"> </w:t>
      </w:r>
      <w:r w:rsidRPr="00A20EF3">
        <w:rPr>
          <w:b/>
          <w:lang w:val="en-GB" w:eastAsia="de-CH"/>
        </w:rPr>
        <w:t xml:space="preserve">outreach, </w:t>
      </w:r>
      <w:r w:rsidRPr="00A20EF3">
        <w:rPr>
          <w:lang w:val="en-GB" w:eastAsia="de-CH"/>
        </w:rPr>
        <w:t>consultative and intermediary services; care across impairments / assistance during hospitalisation).</w:t>
      </w:r>
    </w:p>
    <w:p w14:paraId="1A829587" w14:textId="77777777" w:rsidR="00A20EF3" w:rsidRPr="00A20EF3" w:rsidRDefault="00A20EF3" w:rsidP="00A20EF3">
      <w:pPr>
        <w:pStyle w:val="BodyText"/>
        <w:rPr>
          <w:lang w:val="en-GB" w:eastAsia="de-CH"/>
        </w:rPr>
      </w:pPr>
      <w:r w:rsidRPr="00A20EF3">
        <w:rPr>
          <w:lang w:val="en-GB" w:eastAsia="de-CH"/>
        </w:rPr>
        <w:t xml:space="preserve">The provision of adequate care for PWD would require corresponding health policy </w:t>
      </w:r>
      <w:r w:rsidRPr="00A20EF3">
        <w:rPr>
          <w:b/>
          <w:lang w:val="en-GB" w:eastAsia="de-CH"/>
        </w:rPr>
        <w:t xml:space="preserve">planning and budgeting </w:t>
      </w:r>
      <w:r w:rsidRPr="00A20EF3">
        <w:rPr>
          <w:lang w:val="en-GB" w:eastAsia="de-CH"/>
        </w:rPr>
        <w:t xml:space="preserve">by the cantons. It would also be of key importance to adapt the </w:t>
      </w:r>
      <w:r w:rsidRPr="00A20EF3">
        <w:rPr>
          <w:b/>
          <w:lang w:val="en-GB" w:eastAsia="de-CH"/>
        </w:rPr>
        <w:t>fee system</w:t>
      </w:r>
      <w:r w:rsidRPr="00A20EF3">
        <w:rPr>
          <w:lang w:val="en-GB" w:eastAsia="de-CH"/>
        </w:rPr>
        <w:t xml:space="preserve"> such that service providers will in future be compensated for the additional expense that often arises for equivalent medical treatment of PWD. </w:t>
      </w:r>
      <w:r w:rsidRPr="00A20EF3">
        <w:rPr>
          <w:b/>
          <w:bCs/>
          <w:lang w:val="en-GB" w:eastAsia="de-CH"/>
        </w:rPr>
        <w:t>C</w:t>
      </w:r>
      <w:r w:rsidRPr="00A20EF3">
        <w:rPr>
          <w:b/>
          <w:lang w:val="en-GB" w:eastAsia="de-CH"/>
        </w:rPr>
        <w:t>antonal requirements</w:t>
      </w:r>
      <w:r w:rsidRPr="00A20EF3">
        <w:rPr>
          <w:lang w:val="en-GB" w:eastAsia="de-CH"/>
        </w:rPr>
        <w:t xml:space="preserve"> for infrastructure, communication or organisational adjustments by service providers are also lacking, and in </w:t>
      </w:r>
      <w:r w:rsidRPr="00A20EF3">
        <w:rPr>
          <w:lang w:val="en-GB" w:eastAsia="de-CH"/>
        </w:rPr>
        <w:lastRenderedPageBreak/>
        <w:t xml:space="preserve">terms of service quality, </w:t>
      </w:r>
      <w:r w:rsidRPr="00A20EF3">
        <w:rPr>
          <w:b/>
          <w:lang w:val="en-GB" w:eastAsia="de-CH"/>
        </w:rPr>
        <w:t>standards</w:t>
      </w:r>
      <w:r w:rsidRPr="00A20EF3">
        <w:rPr>
          <w:lang w:val="en-GB" w:eastAsia="de-CH"/>
        </w:rPr>
        <w:t xml:space="preserve"> are lacking for the often complex diagnosing, treatment, care and recording of care needs. </w:t>
      </w:r>
    </w:p>
    <w:p w14:paraId="1EAF1631" w14:textId="77777777" w:rsidR="00A20EF3" w:rsidRPr="00A20EF3" w:rsidRDefault="00A20EF3" w:rsidP="00A20EF3">
      <w:pPr>
        <w:pStyle w:val="BodyText"/>
        <w:rPr>
          <w:lang w:val="en-GB" w:eastAsia="de-CH"/>
        </w:rPr>
      </w:pPr>
      <w:r w:rsidRPr="00A20EF3">
        <w:rPr>
          <w:lang w:val="en-GB" w:eastAsia="de-CH"/>
        </w:rPr>
        <w:t>Good-practice examples in the areas of strategies / supply planning</w:t>
      </w:r>
      <w:r w:rsidRPr="00A20EF3">
        <w:rPr>
          <w:rFonts w:eastAsia="Cambria" w:cs="Times New Roman"/>
          <w:vertAlign w:val="superscript"/>
          <w:lang w:val="en-GB" w:eastAsia="de-CH"/>
        </w:rPr>
        <w:footnoteReference w:id="241"/>
      </w:r>
      <w:r w:rsidRPr="00A20EF3">
        <w:rPr>
          <w:lang w:val="en-GB" w:eastAsia="de-CH"/>
        </w:rPr>
        <w:t>, reasonable accommodations / accessibility of general services</w:t>
      </w:r>
      <w:r w:rsidRPr="00A20EF3">
        <w:rPr>
          <w:rFonts w:eastAsia="Cambria" w:cs="Times New Roman"/>
          <w:vertAlign w:val="superscript"/>
          <w:lang w:val="en-GB" w:eastAsia="de-CH"/>
        </w:rPr>
        <w:footnoteReference w:id="242"/>
      </w:r>
      <w:r w:rsidRPr="00A20EF3">
        <w:rPr>
          <w:lang w:val="en-GB" w:eastAsia="de-CH"/>
        </w:rPr>
        <w:t>, specialised and integrated services</w:t>
      </w:r>
      <w:r w:rsidRPr="00A20EF3">
        <w:rPr>
          <w:rFonts w:eastAsia="Cambria" w:cs="Times New Roman"/>
          <w:vertAlign w:val="superscript"/>
          <w:lang w:val="en-GB" w:eastAsia="de-CH"/>
        </w:rPr>
        <w:footnoteReference w:id="243"/>
      </w:r>
      <w:r w:rsidRPr="00A20EF3">
        <w:rPr>
          <w:lang w:val="en-GB" w:eastAsia="de-CH"/>
        </w:rPr>
        <w:t xml:space="preserve"> are available in isolated cases but have not been systematically expanded thus far.</w:t>
      </w:r>
    </w:p>
    <w:p w14:paraId="3DF31E7B" w14:textId="77777777" w:rsidR="00A20EF3" w:rsidRPr="00A20EF3" w:rsidRDefault="00A20EF3" w:rsidP="00A20EF3">
      <w:pPr>
        <w:pStyle w:val="BodyText"/>
        <w:rPr>
          <w:highlight w:val="magenta"/>
          <w:lang w:val="en-GB" w:eastAsia="de-CH"/>
        </w:rPr>
      </w:pPr>
      <w:r w:rsidRPr="00A20EF3">
        <w:rPr>
          <w:lang w:val="en-GB" w:eastAsia="de-CH"/>
        </w:rPr>
        <w:t xml:space="preserve">With regard to the </w:t>
      </w:r>
      <w:r w:rsidRPr="00A20EF3">
        <w:rPr>
          <w:b/>
          <w:lang w:val="en-GB" w:eastAsia="de-CH"/>
        </w:rPr>
        <w:t>training and continuing education</w:t>
      </w:r>
      <w:r w:rsidRPr="00A20EF3">
        <w:rPr>
          <w:lang w:val="en-GB" w:eastAsia="de-CH"/>
        </w:rPr>
        <w:t xml:space="preserve"> of health personnel (LoI para. 21.c), despite the existence of good-practice examples</w:t>
      </w:r>
      <w:r w:rsidRPr="00A20EF3">
        <w:rPr>
          <w:vertAlign w:val="superscript"/>
          <w:lang w:val="en-GB" w:eastAsia="de-CH"/>
        </w:rPr>
        <w:footnoteReference w:id="244"/>
      </w:r>
      <w:r w:rsidRPr="00A20EF3">
        <w:rPr>
          <w:lang w:val="en-GB" w:eastAsia="de-CH"/>
        </w:rPr>
        <w:t xml:space="preserve">, experts have identified significant shortcomings in terms </w:t>
      </w:r>
      <w:r w:rsidRPr="00A20EF3">
        <w:rPr>
          <w:b/>
          <w:lang w:val="en-GB" w:eastAsia="de-CH"/>
        </w:rPr>
        <w:t xml:space="preserve">of disability-specific </w:t>
      </w:r>
      <w:r w:rsidRPr="00A20EF3">
        <w:rPr>
          <w:lang w:val="en-GB" w:eastAsia="de-CH"/>
        </w:rPr>
        <w:t xml:space="preserve">and (for multiple disabilities) </w:t>
      </w:r>
      <w:r w:rsidRPr="00A20EF3">
        <w:rPr>
          <w:b/>
          <w:lang w:val="en-GB" w:eastAsia="de-CH"/>
        </w:rPr>
        <w:t>cross-disciplinary expertise</w:t>
      </w:r>
      <w:r w:rsidRPr="00A20EF3">
        <w:rPr>
          <w:lang w:val="en-GB" w:eastAsia="de-CH"/>
        </w:rPr>
        <w:t xml:space="preserve">. Moreover, peer support is not yet well established. </w:t>
      </w:r>
    </w:p>
    <w:p w14:paraId="431CCD22" w14:textId="6BCBBF95" w:rsidR="00A20EF3" w:rsidRPr="00A20EF3" w:rsidRDefault="00A20EF3" w:rsidP="00A20EF3">
      <w:pPr>
        <w:pStyle w:val="BodyText"/>
        <w:rPr>
          <w:lang w:val="en-GB" w:eastAsia="de-CH"/>
        </w:rPr>
      </w:pPr>
      <w:r w:rsidRPr="00A20EF3">
        <w:rPr>
          <w:lang w:val="en-GB" w:eastAsia="de-CH"/>
        </w:rPr>
        <w:t xml:space="preserve">Contrary to the statement in the ISR (para. 148), the criteria of economic efficiency, expediency and effectiveness required for the </w:t>
      </w:r>
      <w:r w:rsidRPr="00A20EF3">
        <w:rPr>
          <w:b/>
          <w:lang w:val="en-GB" w:eastAsia="de-CH"/>
        </w:rPr>
        <w:t xml:space="preserve">coverage of costs by </w:t>
      </w:r>
      <w:r w:rsidRPr="00A20EF3">
        <w:rPr>
          <w:b/>
          <w:bCs/>
          <w:lang w:val="en-GB" w:eastAsia="de-CH"/>
        </w:rPr>
        <w:t>compulsory health insurance</w:t>
      </w:r>
      <w:r w:rsidRPr="00A20EF3">
        <w:rPr>
          <w:b/>
          <w:lang w:val="en-GB" w:eastAsia="de-CH"/>
        </w:rPr>
        <w:t xml:space="preserve"> harbour the potential</w:t>
      </w:r>
      <w:r w:rsidRPr="00A20EF3">
        <w:rPr>
          <w:lang w:val="en-GB" w:eastAsia="de-CH"/>
        </w:rPr>
        <w:t xml:space="preserve"> </w:t>
      </w:r>
      <w:r w:rsidRPr="00A20EF3">
        <w:rPr>
          <w:b/>
          <w:bCs/>
          <w:lang w:val="en-GB" w:eastAsia="de-CH"/>
        </w:rPr>
        <w:t>for</w:t>
      </w:r>
      <w:r w:rsidRPr="00A20EF3">
        <w:rPr>
          <w:lang w:val="en-GB" w:eastAsia="de-CH"/>
        </w:rPr>
        <w:t xml:space="preserve"> </w:t>
      </w:r>
      <w:r w:rsidRPr="00A20EF3">
        <w:rPr>
          <w:b/>
          <w:lang w:val="en-GB" w:eastAsia="de-CH"/>
        </w:rPr>
        <w:t xml:space="preserve">discrimination </w:t>
      </w:r>
      <w:r w:rsidRPr="00A20EF3">
        <w:rPr>
          <w:lang w:val="en-GB" w:eastAsia="de-CH"/>
        </w:rPr>
        <w:t xml:space="preserve">against PWD. Depending on the disability, benefits whose costs are covered only by </w:t>
      </w:r>
      <w:r w:rsidRPr="00A20EF3">
        <w:rPr>
          <w:b/>
          <w:lang w:val="en-GB" w:eastAsia="de-CH"/>
        </w:rPr>
        <w:t>supplementary health insurance</w:t>
      </w:r>
      <w:r w:rsidRPr="00A20EF3">
        <w:rPr>
          <w:lang w:val="en-GB" w:eastAsia="de-CH"/>
        </w:rPr>
        <w:t xml:space="preserve"> can also be very important. By relying on contractual freedom, however, they often reject PWD or exclude </w:t>
      </w:r>
      <w:r w:rsidRPr="00A20EF3">
        <w:rPr>
          <w:b/>
          <w:lang w:val="en-GB" w:eastAsia="de-CH"/>
        </w:rPr>
        <w:t>disability-related risks</w:t>
      </w:r>
      <w:r w:rsidRPr="00A20EF3">
        <w:rPr>
          <w:lang w:val="en-GB" w:eastAsia="de-CH"/>
        </w:rPr>
        <w:t xml:space="preserve">. This hardly seems </w:t>
      </w:r>
      <w:r w:rsidRPr="00A20EF3">
        <w:rPr>
          <w:color w:val="000000"/>
          <w:lang w:val="en-GB" w:eastAsia="de-CH"/>
        </w:rPr>
        <w:t>compatible</w:t>
      </w:r>
      <w:r w:rsidRPr="00A20EF3">
        <w:rPr>
          <w:lang w:val="en-GB" w:eastAsia="de-CH"/>
        </w:rPr>
        <w:t xml:space="preserve"> with </w:t>
      </w:r>
      <w:r w:rsidRPr="00A20EF3">
        <w:rPr>
          <w:color w:val="000000"/>
          <w:lang w:val="en-GB" w:eastAsia="de-CH"/>
        </w:rPr>
        <w:t>Article 25, second sentence (e) CRPD or with the prohibition of discrimination.</w:t>
      </w:r>
    </w:p>
    <w:p w14:paraId="76B36DEB" w14:textId="66A42B44" w:rsidR="00B30BCF" w:rsidRPr="0001096E" w:rsidRDefault="00B33AE3" w:rsidP="00B30BCF">
      <w:pPr>
        <w:pStyle w:val="BodyText"/>
        <w:shd w:val="clear" w:color="auto" w:fill="FFFFCC"/>
        <w:spacing w:after="60"/>
        <w:rPr>
          <w:b/>
          <w:szCs w:val="24"/>
          <w:lang w:val="en-GB"/>
        </w:rPr>
      </w:pPr>
      <w:r w:rsidRPr="0001096E">
        <w:rPr>
          <w:b/>
          <w:szCs w:val="24"/>
          <w:lang w:val="en-GB"/>
        </w:rPr>
        <w:lastRenderedPageBreak/>
        <w:t>Proposals for recommendations:</w:t>
      </w:r>
    </w:p>
    <w:p w14:paraId="6B43BDFF" w14:textId="77777777" w:rsidR="00A20EF3" w:rsidRPr="003D2F0B" w:rsidRDefault="00A20EF3" w:rsidP="00A20EF3">
      <w:pPr>
        <w:pStyle w:val="SBEmpfehlungen"/>
      </w:pPr>
      <w:r w:rsidRPr="003D2F0B">
        <w:t xml:space="preserve">The Confederation and the cantons shall </w:t>
      </w:r>
      <w:r w:rsidRPr="003D2F0B">
        <w:rPr>
          <w:b/>
        </w:rPr>
        <w:t>immediately</w:t>
      </w:r>
      <w:r w:rsidRPr="003D2F0B">
        <w:t xml:space="preserve"> take measures to significantly expand low-threshold contact and counselling services as well as out-patient and in-patient care for children and adolescents </w:t>
      </w:r>
      <w:r w:rsidRPr="003D2F0B">
        <w:rPr>
          <w:b/>
        </w:rPr>
        <w:t>with psychosocial illnesses</w:t>
      </w:r>
      <w:r w:rsidRPr="003D2F0B">
        <w:t xml:space="preserve"> and guarantee their financing, even outside the applicable regulations on a temporary basis. </w:t>
      </w:r>
    </w:p>
    <w:p w14:paraId="20DCC431" w14:textId="77777777" w:rsidR="00A20EF3" w:rsidRPr="003D2F0B" w:rsidRDefault="00A20EF3" w:rsidP="00A20EF3">
      <w:pPr>
        <w:pStyle w:val="SBEmpfehlungen"/>
      </w:pPr>
      <w:r w:rsidRPr="003D2F0B">
        <w:t xml:space="preserve">Under the </w:t>
      </w:r>
      <w:r w:rsidRPr="0040659F">
        <w:rPr>
          <w:b/>
        </w:rPr>
        <w:t>leadership of the GDK</w:t>
      </w:r>
      <w:r w:rsidRPr="003D2F0B">
        <w:t xml:space="preserve">, </w:t>
      </w:r>
      <w:r w:rsidRPr="0040659F">
        <w:rPr>
          <w:b/>
        </w:rPr>
        <w:t>every canton</w:t>
      </w:r>
      <w:r w:rsidRPr="003D2F0B">
        <w:t xml:space="preserve"> shall draw up an </w:t>
      </w:r>
      <w:r w:rsidRPr="0040659F">
        <w:rPr>
          <w:b/>
        </w:rPr>
        <w:t>action plan to improve the provision of</w:t>
      </w:r>
      <w:r w:rsidRPr="003D2F0B">
        <w:t xml:space="preserve"> </w:t>
      </w:r>
      <w:r w:rsidRPr="003D2F0B">
        <w:rPr>
          <w:b/>
        </w:rPr>
        <w:t>health care</w:t>
      </w:r>
      <w:r w:rsidRPr="003D2F0B">
        <w:t xml:space="preserve"> to PWD in terms of both general and specific services required because of disability.</w:t>
      </w:r>
    </w:p>
    <w:p w14:paraId="505F5CA6" w14:textId="77777777" w:rsidR="00A20EF3" w:rsidRPr="003D2F0B" w:rsidRDefault="00A20EF3" w:rsidP="00A20EF3">
      <w:pPr>
        <w:pStyle w:val="SBEmpfehlungen"/>
      </w:pPr>
      <w:r w:rsidRPr="003D2F0B">
        <w:t xml:space="preserve">In order to improve medical treatment (Objective 5.2 of “Health 2030”), the FOPH shall launch an initiative in its action plan to systematically </w:t>
      </w:r>
      <w:r w:rsidRPr="003D2F0B">
        <w:rPr>
          <w:b/>
        </w:rPr>
        <w:t>educate and train</w:t>
      </w:r>
      <w:r w:rsidRPr="003D2F0B">
        <w:t xml:space="preserve"> healthcare professionals on the rights and medical needs of PWD and to develop sophisticated diagnosis and treatment </w:t>
      </w:r>
      <w:r w:rsidRPr="003D2F0B">
        <w:rPr>
          <w:b/>
        </w:rPr>
        <w:t>standards</w:t>
      </w:r>
      <w:r w:rsidRPr="003D2F0B">
        <w:t>.</w:t>
      </w:r>
    </w:p>
    <w:p w14:paraId="4A529929" w14:textId="3C906B99" w:rsidR="00AD6133" w:rsidRPr="00A20EF3" w:rsidRDefault="00A20EF3" w:rsidP="00B30BCF">
      <w:pPr>
        <w:pStyle w:val="SBEmpfehlungen"/>
      </w:pPr>
      <w:r w:rsidRPr="003D2F0B">
        <w:t xml:space="preserve">As part of the action area “Opportunities for a healthy life”, the FOPH shall integrate into the “Health 2030” action plan effective measures to eliminate </w:t>
      </w:r>
      <w:r w:rsidRPr="003D2F0B">
        <w:rPr>
          <w:b/>
        </w:rPr>
        <w:t>fee restrictions</w:t>
      </w:r>
      <w:r w:rsidRPr="003D2F0B">
        <w:t xml:space="preserve"> that prevent compensation for additional disability-related expenses.</w:t>
      </w:r>
    </w:p>
    <w:p w14:paraId="767CB15D" w14:textId="43BBBC17" w:rsidR="00B33AE3" w:rsidRPr="0001096E" w:rsidRDefault="00B33AE3" w:rsidP="00B33AE3">
      <w:pPr>
        <w:pStyle w:val="Heading3"/>
        <w:numPr>
          <w:ilvl w:val="0"/>
          <w:numId w:val="0"/>
        </w:numPr>
        <w:ind w:left="737" w:hanging="737"/>
        <w:rPr>
          <w:lang w:val="en-GB"/>
        </w:rPr>
      </w:pPr>
      <w:bookmarkStart w:id="132" w:name="_Toc91237786"/>
      <w:bookmarkStart w:id="133" w:name="_Toc93596150"/>
      <w:bookmarkStart w:id="134" w:name="_Toc95297078"/>
      <w:bookmarkStart w:id="135" w:name="_Toc95668193"/>
      <w:r w:rsidRPr="0001096E">
        <w:rPr>
          <w:lang w:val="en-GB"/>
        </w:rPr>
        <w:t>Article 27 – Work and employment</w:t>
      </w:r>
      <w:bookmarkEnd w:id="132"/>
      <w:bookmarkEnd w:id="133"/>
      <w:bookmarkEnd w:id="134"/>
      <w:bookmarkEnd w:id="135"/>
    </w:p>
    <w:p w14:paraId="142B8B3C" w14:textId="210AB23D" w:rsidR="00AD6133" w:rsidRPr="0001096E" w:rsidRDefault="00A20EF3" w:rsidP="00A20EF3">
      <w:pPr>
        <w:pStyle w:val="BodyText"/>
        <w:rPr>
          <w:lang w:val="en-GB" w:eastAsia="de-CH"/>
        </w:rPr>
      </w:pPr>
      <w:r w:rsidRPr="00A86F53">
        <w:rPr>
          <w:b/>
          <w:lang w:val="en-GB"/>
        </w:rPr>
        <w:t>As with housing,</w:t>
      </w:r>
      <w:r w:rsidRPr="00A86F53">
        <w:rPr>
          <w:lang w:val="en-GB"/>
        </w:rPr>
        <w:t xml:space="preserve"> the cantons have, since the NFE, paid contributions to </w:t>
      </w:r>
      <w:r w:rsidR="0045190F">
        <w:rPr>
          <w:lang w:val="en-GB"/>
        </w:rPr>
        <w:t xml:space="preserve">working </w:t>
      </w:r>
      <w:r w:rsidRPr="00A86F53">
        <w:rPr>
          <w:lang w:val="en-GB"/>
        </w:rPr>
        <w:t xml:space="preserve">institutions “for </w:t>
      </w:r>
      <w:r w:rsidR="0045190F">
        <w:rPr>
          <w:lang w:val="en-GB"/>
        </w:rPr>
        <w:t xml:space="preserve">invalid </w:t>
      </w:r>
      <w:r w:rsidRPr="00A86F53">
        <w:rPr>
          <w:lang w:val="en-GB"/>
        </w:rPr>
        <w:t xml:space="preserve">persons”. According to the IFEG, these include both </w:t>
      </w:r>
      <w:r w:rsidRPr="00A86F53">
        <w:rPr>
          <w:b/>
          <w:lang w:val="en-GB"/>
        </w:rPr>
        <w:t>workshops</w:t>
      </w:r>
      <w:r w:rsidRPr="00A86F53">
        <w:rPr>
          <w:lang w:val="en-GB"/>
        </w:rPr>
        <w:t xml:space="preserve"> for </w:t>
      </w:r>
      <w:r w:rsidR="0045190F">
        <w:rPr>
          <w:lang w:val="en-GB"/>
        </w:rPr>
        <w:t xml:space="preserve">invalid </w:t>
      </w:r>
      <w:r w:rsidRPr="00A86F53">
        <w:rPr>
          <w:lang w:val="en-GB"/>
        </w:rPr>
        <w:t xml:space="preserve">persons “who are unable to perform gainful employment under normal conditions” and </w:t>
      </w:r>
      <w:r w:rsidRPr="00A86F53">
        <w:rPr>
          <w:b/>
          <w:lang w:val="en-GB"/>
        </w:rPr>
        <w:t>day centres</w:t>
      </w:r>
      <w:r w:rsidRPr="00A86F53">
        <w:rPr>
          <w:lang w:val="en-GB"/>
        </w:rPr>
        <w:t xml:space="preserve">. The term “normal conditions” refers to the </w:t>
      </w:r>
      <w:r w:rsidRPr="00A86F53">
        <w:rPr>
          <w:b/>
          <w:lang w:val="en-GB"/>
        </w:rPr>
        <w:t xml:space="preserve">regular labour market </w:t>
      </w:r>
      <w:r w:rsidRPr="00A86F53">
        <w:rPr>
          <w:lang w:val="en-GB"/>
        </w:rPr>
        <w:t xml:space="preserve">with standard market salaries and specific performance requirements. A sheltered, </w:t>
      </w:r>
      <w:r w:rsidRPr="00A86F53">
        <w:rPr>
          <w:b/>
          <w:lang w:val="en-GB"/>
        </w:rPr>
        <w:t>state-supported</w:t>
      </w:r>
      <w:r w:rsidRPr="00A86F53">
        <w:rPr>
          <w:lang w:val="en-GB"/>
        </w:rPr>
        <w:t xml:space="preserve"> labour market has evolved over time. As with institutional living, the cantons regulate and manage this labour market through policies</w:t>
      </w:r>
      <w:r w:rsidR="0045190F">
        <w:rPr>
          <w:lang w:val="en-GB"/>
        </w:rPr>
        <w:t xml:space="preserve"> on PWD</w:t>
      </w:r>
      <w:r w:rsidRPr="00A86F53">
        <w:rPr>
          <w:lang w:val="en-GB"/>
        </w:rPr>
        <w:t>, cantonal legislation, the recognition of institutions and the formation of service agreements. At the inter-cantonal level, the CDSS and the FBBF</w:t>
      </w:r>
      <w:r w:rsidR="0045190F">
        <w:rPr>
          <w:lang w:val="en-GB"/>
        </w:rPr>
        <w:t xml:space="preserve"> are responsible</w:t>
      </w:r>
      <w:r w:rsidRPr="00A86F53">
        <w:rPr>
          <w:lang w:val="en-GB"/>
        </w:rPr>
        <w:t>.</w:t>
      </w:r>
    </w:p>
    <w:p w14:paraId="1782993F" w14:textId="2DCD8758" w:rsidR="00B30BCF" w:rsidRPr="0001096E" w:rsidRDefault="00B33AE3" w:rsidP="00B30BCF">
      <w:pPr>
        <w:pStyle w:val="Subtitle"/>
        <w:rPr>
          <w:lang w:val="en-GB"/>
        </w:rPr>
      </w:pPr>
      <w:r w:rsidRPr="0001096E">
        <w:rPr>
          <w:lang w:val="en-GB"/>
        </w:rPr>
        <w:lastRenderedPageBreak/>
        <w:t>Exclusion of PWD from the open labour market</w:t>
      </w:r>
      <w:r w:rsidR="00B30BCF" w:rsidRPr="0001096E">
        <w:rPr>
          <w:lang w:val="en-GB"/>
        </w:rPr>
        <w:t xml:space="preserve"> (LoI </w:t>
      </w:r>
      <w:r w:rsidR="000E67CF">
        <w:rPr>
          <w:lang w:val="en-GB"/>
        </w:rPr>
        <w:t>22</w:t>
      </w:r>
      <w:r w:rsidR="00B30BCF" w:rsidRPr="0001096E">
        <w:rPr>
          <w:lang w:val="en-GB"/>
        </w:rPr>
        <w:t>c)</w:t>
      </w:r>
    </w:p>
    <w:p w14:paraId="487C7520" w14:textId="35B5D33F" w:rsidR="00A20EF3" w:rsidRPr="00A86F53" w:rsidRDefault="00A20EF3" w:rsidP="00A20EF3">
      <w:pPr>
        <w:pStyle w:val="BodyText"/>
        <w:rPr>
          <w:lang w:val="en-GB"/>
        </w:rPr>
      </w:pPr>
      <w:r w:rsidRPr="00A86F53">
        <w:rPr>
          <w:lang w:val="en-GB"/>
        </w:rPr>
        <w:t xml:space="preserve">The </w:t>
      </w:r>
      <w:r w:rsidRPr="00A86F53">
        <w:rPr>
          <w:b/>
          <w:lang w:val="en-GB"/>
        </w:rPr>
        <w:t xml:space="preserve">number of </w:t>
      </w:r>
      <w:r w:rsidRPr="00A86F53">
        <w:rPr>
          <w:lang w:val="en-GB"/>
        </w:rPr>
        <w:t xml:space="preserve">PWD who work in </w:t>
      </w:r>
      <w:r w:rsidRPr="00A86F53">
        <w:rPr>
          <w:b/>
          <w:lang w:val="en-GB"/>
        </w:rPr>
        <w:t xml:space="preserve">sheltered </w:t>
      </w:r>
      <w:r w:rsidRPr="0045190F">
        <w:rPr>
          <w:b/>
          <w:lang w:val="en-GB"/>
        </w:rPr>
        <w:t>workshops</w:t>
      </w:r>
      <w:r w:rsidRPr="0045190F">
        <w:rPr>
          <w:lang w:val="en-GB"/>
        </w:rPr>
        <w:t xml:space="preserve"> </w:t>
      </w:r>
      <w:r w:rsidRPr="0045190F">
        <w:rPr>
          <w:i/>
          <w:iCs/>
          <w:lang w:val="en-GB"/>
        </w:rPr>
        <w:t xml:space="preserve">attached to </w:t>
      </w:r>
      <w:r w:rsidR="0045190F">
        <w:rPr>
          <w:i/>
          <w:iCs/>
          <w:lang w:val="en-GB"/>
        </w:rPr>
        <w:t>residential institutions</w:t>
      </w:r>
      <w:r>
        <w:rPr>
          <w:lang w:val="en-GB"/>
        </w:rPr>
        <w:t xml:space="preserve"> </w:t>
      </w:r>
      <w:r w:rsidRPr="00A86F53">
        <w:rPr>
          <w:lang w:val="en-GB"/>
        </w:rPr>
        <w:t xml:space="preserve">was last surveyed by the FSO in 2015 (!). Between 2007 and 2013, it increased from 14,252 to 18,122 persons; about half of them were </w:t>
      </w:r>
      <w:r w:rsidR="00AF697E" w:rsidRPr="00D739C9">
        <w:rPr>
          <w:lang w:val="en-GB"/>
        </w:rPr>
        <w:t>persons</w:t>
      </w:r>
      <w:r w:rsidRPr="00A86F53">
        <w:rPr>
          <w:lang w:val="en-GB"/>
        </w:rPr>
        <w:t xml:space="preserve"> with intellectual disabilities</w:t>
      </w:r>
      <w:r>
        <w:rPr>
          <w:lang w:val="en-GB"/>
        </w:rPr>
        <w:t xml:space="preserve"> </w:t>
      </w:r>
      <w:r w:rsidRPr="0045190F">
        <w:rPr>
          <w:lang w:val="en-GB"/>
        </w:rPr>
        <w:t xml:space="preserve">(see ISR para. 160). The up-to-date surveys conducted by the </w:t>
      </w:r>
      <w:r w:rsidR="009F6640">
        <w:rPr>
          <w:lang w:val="en-GB"/>
        </w:rPr>
        <w:t>sectoral</w:t>
      </w:r>
      <w:r w:rsidRPr="0045190F">
        <w:rPr>
          <w:lang w:val="en-GB"/>
        </w:rPr>
        <w:t xml:space="preserve"> association INSOS on all of </w:t>
      </w:r>
      <w:r w:rsidRPr="0045190F">
        <w:rPr>
          <w:i/>
          <w:iCs/>
          <w:lang w:val="en-GB"/>
        </w:rPr>
        <w:t>its</w:t>
      </w:r>
      <w:r w:rsidRPr="0045190F">
        <w:rPr>
          <w:lang w:val="en-GB"/>
        </w:rPr>
        <w:t xml:space="preserve"> workshops (including those outside</w:t>
      </w:r>
      <w:r w:rsidR="00DC405E">
        <w:rPr>
          <w:lang w:val="en-GB"/>
        </w:rPr>
        <w:t xml:space="preserve"> residential institutions</w:t>
      </w:r>
      <w:r w:rsidRPr="0045190F">
        <w:rPr>
          <w:lang w:val="en-GB"/>
        </w:rPr>
        <w:t>) also indicate a rise in the number of available jobs</w:t>
      </w:r>
      <w:r w:rsidRPr="0045190F">
        <w:rPr>
          <w:b/>
          <w:lang w:val="en-GB"/>
        </w:rPr>
        <w:t xml:space="preserve"> </w:t>
      </w:r>
      <w:r w:rsidRPr="0045190F">
        <w:rPr>
          <w:bCs/>
          <w:lang w:val="en-GB"/>
        </w:rPr>
        <w:t>(2020:</w:t>
      </w:r>
      <w:r w:rsidRPr="0045190F">
        <w:rPr>
          <w:b/>
          <w:lang w:val="en-GB"/>
        </w:rPr>
        <w:t xml:space="preserve"> 23,</w:t>
      </w:r>
      <w:r w:rsidRPr="0045190F">
        <w:rPr>
          <w:b/>
          <w:bCs/>
          <w:lang w:val="en-GB"/>
        </w:rPr>
        <w:t>792</w:t>
      </w:r>
      <w:r w:rsidRPr="0045190F">
        <w:rPr>
          <w:lang w:val="en-GB"/>
        </w:rPr>
        <w:t xml:space="preserve">). In addition, there are </w:t>
      </w:r>
      <w:r w:rsidRPr="0045190F">
        <w:rPr>
          <w:b/>
          <w:lang w:val="en-GB"/>
        </w:rPr>
        <w:t>10,034 jobs</w:t>
      </w:r>
      <w:r w:rsidRPr="0045190F">
        <w:rPr>
          <w:lang w:val="en-GB"/>
        </w:rPr>
        <w:t xml:space="preserve"> in INSOS </w:t>
      </w:r>
      <w:r w:rsidRPr="0045190F">
        <w:rPr>
          <w:b/>
          <w:lang w:val="en-GB"/>
        </w:rPr>
        <w:t>day centres</w:t>
      </w:r>
      <w:r w:rsidRPr="0045190F">
        <w:rPr>
          <w:lang w:val="en-GB"/>
        </w:rPr>
        <w:t>.</w:t>
      </w:r>
      <w:r w:rsidRPr="0045190F">
        <w:rPr>
          <w:vertAlign w:val="superscript"/>
          <w:lang w:val="en-GB"/>
        </w:rPr>
        <w:footnoteReference w:id="245"/>
      </w:r>
      <w:r w:rsidRPr="00A86F53">
        <w:rPr>
          <w:lang w:val="en-GB"/>
        </w:rPr>
        <w:t xml:space="preserve"> </w:t>
      </w:r>
    </w:p>
    <w:p w14:paraId="69A63599" w14:textId="6D63AE44" w:rsidR="00A20EF3" w:rsidRPr="00A86F53" w:rsidRDefault="00A20EF3" w:rsidP="00A20EF3">
      <w:pPr>
        <w:pStyle w:val="BodyText"/>
        <w:rPr>
          <w:lang w:val="en-GB"/>
        </w:rPr>
      </w:pPr>
      <w:r w:rsidRPr="00A86F53">
        <w:rPr>
          <w:lang w:val="en-GB"/>
        </w:rPr>
        <w:t>As a matter of law, sheltered employment is generally subject to regular employment law.</w:t>
      </w:r>
      <w:r w:rsidRPr="00A86F53">
        <w:rPr>
          <w:rFonts w:eastAsia="Cambria" w:cs="Times New Roman"/>
          <w:vertAlign w:val="superscript"/>
          <w:lang w:val="en-GB"/>
        </w:rPr>
        <w:footnoteReference w:id="246"/>
      </w:r>
      <w:r w:rsidR="000F12AD">
        <w:rPr>
          <w:lang w:val="en-GB"/>
        </w:rPr>
        <w:t xml:space="preserve"> </w:t>
      </w:r>
      <w:r w:rsidRPr="00A86F53">
        <w:rPr>
          <w:lang w:val="en-GB"/>
        </w:rPr>
        <w:t xml:space="preserve">According to INSOS, the cantonal labour inspectorates inspect </w:t>
      </w:r>
      <w:r w:rsidR="00DC405E">
        <w:rPr>
          <w:lang w:val="en-GB"/>
        </w:rPr>
        <w:t xml:space="preserve">sheltered </w:t>
      </w:r>
      <w:r w:rsidRPr="00A86F53">
        <w:rPr>
          <w:lang w:val="en-GB"/>
        </w:rPr>
        <w:t xml:space="preserve">workshops annually. However, the social security system regards almost all persons working there as </w:t>
      </w:r>
      <w:r w:rsidRPr="00A86F53">
        <w:rPr>
          <w:b/>
          <w:lang w:val="en-GB"/>
        </w:rPr>
        <w:t>“</w:t>
      </w:r>
      <w:r w:rsidR="003A40A8" w:rsidRPr="003A40A8">
        <w:rPr>
          <w:b/>
          <w:lang w:val="en-GB"/>
        </w:rPr>
        <w:t>erwerbsunfähig</w:t>
      </w:r>
      <w:r w:rsidRPr="003A40A8">
        <w:rPr>
          <w:lang w:val="en-GB"/>
        </w:rPr>
        <w:t>”</w:t>
      </w:r>
      <w:r w:rsidRPr="00A86F53">
        <w:rPr>
          <w:lang w:val="en-GB"/>
        </w:rPr>
        <w:t xml:space="preserve"> </w:t>
      </w:r>
      <w:r w:rsidR="003A40A8">
        <w:rPr>
          <w:lang w:val="en-GB"/>
        </w:rPr>
        <w:t>[</w:t>
      </w:r>
      <w:r w:rsidR="003A40A8" w:rsidRPr="003A40A8">
        <w:rPr>
          <w:i/>
          <w:lang w:val="en-GB"/>
        </w:rPr>
        <w:t>unable</w:t>
      </w:r>
      <w:r w:rsidR="003A40A8">
        <w:rPr>
          <w:lang w:val="en-GB"/>
        </w:rPr>
        <w:t xml:space="preserve"> to </w:t>
      </w:r>
      <w:r w:rsidR="003A40A8" w:rsidRPr="003A40A8">
        <w:rPr>
          <w:lang w:val="en-GB"/>
        </w:rPr>
        <w:t xml:space="preserve">pursue a </w:t>
      </w:r>
      <w:r w:rsidR="003A40A8" w:rsidRPr="003A40A8">
        <w:rPr>
          <w:b/>
          <w:lang w:val="en-GB"/>
        </w:rPr>
        <w:t>gainful activity</w:t>
      </w:r>
      <w:r w:rsidR="003A40A8" w:rsidRPr="003A40A8">
        <w:rPr>
          <w:lang w:val="en-GB"/>
        </w:rPr>
        <w:t xml:space="preserve">] </w:t>
      </w:r>
      <w:r w:rsidRPr="003A40A8">
        <w:rPr>
          <w:lang w:val="en-GB"/>
        </w:rPr>
        <w:t>or “</w:t>
      </w:r>
      <w:r w:rsidR="003A40A8" w:rsidRPr="003A40A8">
        <w:rPr>
          <w:lang w:val="en-GB"/>
        </w:rPr>
        <w:t>eingeschränkt erwerbsfähig” [</w:t>
      </w:r>
      <w:r w:rsidR="003A40A8" w:rsidRPr="003A40A8">
        <w:rPr>
          <w:i/>
          <w:lang w:val="en-GB"/>
        </w:rPr>
        <w:t>limitedly able</w:t>
      </w:r>
      <w:r w:rsidR="003A40A8" w:rsidRPr="003A40A8">
        <w:rPr>
          <w:lang w:val="en-GB"/>
        </w:rPr>
        <w:t>]</w:t>
      </w:r>
      <w:r w:rsidRPr="003A40A8">
        <w:rPr>
          <w:lang w:val="en-GB"/>
        </w:rPr>
        <w:t xml:space="preserve">. They </w:t>
      </w:r>
      <w:r w:rsidR="000F12AD">
        <w:rPr>
          <w:lang w:val="en-GB"/>
        </w:rPr>
        <w:t>do not have the possibility</w:t>
      </w:r>
      <w:r w:rsidRPr="003A40A8">
        <w:rPr>
          <w:lang w:val="en-GB"/>
        </w:rPr>
        <w:t xml:space="preserve"> </w:t>
      </w:r>
      <w:r w:rsidR="000F12AD">
        <w:rPr>
          <w:lang w:val="en-GB"/>
        </w:rPr>
        <w:t xml:space="preserve">to </w:t>
      </w:r>
      <w:r w:rsidRPr="003A40A8">
        <w:rPr>
          <w:lang w:val="en-GB"/>
        </w:rPr>
        <w:t xml:space="preserve">earn </w:t>
      </w:r>
      <w:r w:rsidR="000F12AD">
        <w:rPr>
          <w:lang w:val="en-GB"/>
        </w:rPr>
        <w:t>their</w:t>
      </w:r>
      <w:r w:rsidRPr="003A40A8">
        <w:rPr>
          <w:lang w:val="en-GB"/>
        </w:rPr>
        <w:t xml:space="preserve"> living</w:t>
      </w:r>
      <w:r w:rsidR="003A40A8" w:rsidRPr="003A40A8">
        <w:rPr>
          <w:lang w:val="en-GB"/>
        </w:rPr>
        <w:t xml:space="preserve"> through work like persons</w:t>
      </w:r>
      <w:r w:rsidRPr="003A40A8">
        <w:rPr>
          <w:lang w:val="en-GB"/>
        </w:rPr>
        <w:t xml:space="preserve"> </w:t>
      </w:r>
      <w:r w:rsidR="003A40A8" w:rsidRPr="003A40A8">
        <w:rPr>
          <w:lang w:val="en-GB"/>
        </w:rPr>
        <w:t xml:space="preserve">considered </w:t>
      </w:r>
      <w:r w:rsidR="00FA404D">
        <w:rPr>
          <w:lang w:val="en-GB"/>
        </w:rPr>
        <w:t>“</w:t>
      </w:r>
      <w:r w:rsidR="003A40A8" w:rsidRPr="003A40A8">
        <w:rPr>
          <w:lang w:val="en-GB"/>
        </w:rPr>
        <w:t>able to pursue a gainful activity</w:t>
      </w:r>
      <w:r w:rsidR="00FA404D">
        <w:rPr>
          <w:lang w:val="en-GB"/>
        </w:rPr>
        <w:t>”</w:t>
      </w:r>
      <w:r w:rsidRPr="003A40A8">
        <w:rPr>
          <w:lang w:val="en-GB"/>
        </w:rPr>
        <w:t>.</w:t>
      </w:r>
      <w:r w:rsidRPr="003A40A8">
        <w:rPr>
          <w:vertAlign w:val="superscript"/>
          <w:lang w:val="en-GB"/>
        </w:rPr>
        <w:footnoteReference w:id="247"/>
      </w:r>
      <w:r w:rsidRPr="003A40A8">
        <w:rPr>
          <w:lang w:val="en-GB"/>
        </w:rPr>
        <w:t xml:space="preserve"> Instead, they receive a “substitute income” to cover</w:t>
      </w:r>
      <w:r w:rsidRPr="00A86F53">
        <w:rPr>
          <w:lang w:val="en-GB"/>
        </w:rPr>
        <w:t xml:space="preserve"> their loss of earnings in the form of an invalidity insurance pension and supplementary benefits. As a sort of additional income, </w:t>
      </w:r>
      <w:r w:rsidRPr="005636A4">
        <w:rPr>
          <w:lang w:val="en-GB"/>
        </w:rPr>
        <w:t>in exchange for their labour in the workshops,</w:t>
      </w:r>
      <w:r>
        <w:rPr>
          <w:lang w:val="en-GB"/>
        </w:rPr>
        <w:t xml:space="preserve"> </w:t>
      </w:r>
      <w:r w:rsidRPr="00A86F53">
        <w:rPr>
          <w:lang w:val="en-GB"/>
        </w:rPr>
        <w:t xml:space="preserve">they receive a wage </w:t>
      </w:r>
      <w:r w:rsidRPr="00A86F53">
        <w:rPr>
          <w:b/>
          <w:bCs/>
          <w:lang w:val="en-GB"/>
        </w:rPr>
        <w:t xml:space="preserve">which is </w:t>
      </w:r>
      <w:r w:rsidRPr="00A86F53">
        <w:rPr>
          <w:b/>
          <w:lang w:val="en-GB"/>
        </w:rPr>
        <w:t>usually very low</w:t>
      </w:r>
      <w:r w:rsidRPr="00A86F53">
        <w:rPr>
          <w:lang w:val="en-GB"/>
        </w:rPr>
        <w:t>.</w:t>
      </w:r>
      <w:bookmarkStart w:id="136" w:name="_Ref94591004"/>
      <w:r w:rsidRPr="00A86F53">
        <w:rPr>
          <w:vertAlign w:val="superscript"/>
          <w:lang w:val="en-GB"/>
        </w:rPr>
        <w:footnoteReference w:id="248"/>
      </w:r>
      <w:bookmarkEnd w:id="136"/>
      <w:r w:rsidRPr="00A86F53">
        <w:rPr>
          <w:lang w:val="en-GB"/>
        </w:rPr>
        <w:t xml:space="preserve"> </w:t>
      </w:r>
      <w:r w:rsidRPr="00A86F53">
        <w:rPr>
          <w:lang w:val="en-GB"/>
        </w:rPr>
        <w:lastRenderedPageBreak/>
        <w:t>Even if an employee has an invalidity insurance pension, supplementary b</w:t>
      </w:r>
      <w:r w:rsidR="005636A4">
        <w:rPr>
          <w:lang w:val="en-GB"/>
        </w:rPr>
        <w:t>enefits and a workshop wage</w:t>
      </w:r>
      <w:r w:rsidRPr="00A86F53">
        <w:rPr>
          <w:lang w:val="en-GB"/>
        </w:rPr>
        <w:t>, her income is generally below the (lowest) minimum wages.</w:t>
      </w:r>
      <w:r w:rsidRPr="00A86F53">
        <w:rPr>
          <w:vertAlign w:val="superscript"/>
          <w:lang w:val="en-GB"/>
        </w:rPr>
        <w:footnoteReference w:id="249"/>
      </w:r>
      <w:r w:rsidRPr="00A86F53">
        <w:rPr>
          <w:lang w:val="en-GB"/>
        </w:rPr>
        <w:t xml:space="preserve"> On the other hand, if their wage exceeds a certain amount, the authorities consider reducing their supplementary benefit and their pension. Low wages are a major point of criticism for workshop workers</w:t>
      </w:r>
      <w:r w:rsidRPr="00A86F53">
        <w:rPr>
          <w:vertAlign w:val="superscript"/>
          <w:lang w:val="en-GB"/>
        </w:rPr>
        <w:footnoteReference w:id="250"/>
      </w:r>
      <w:r w:rsidRPr="00A86F53">
        <w:rPr>
          <w:vertAlign w:val="superscript"/>
          <w:lang w:val="en-GB"/>
        </w:rPr>
        <w:t xml:space="preserve"> </w:t>
      </w:r>
      <w:r w:rsidRPr="00A86F53">
        <w:rPr>
          <w:lang w:val="en-GB"/>
        </w:rPr>
        <w:t>and have also been criticised by the CESCR Committee.</w:t>
      </w:r>
      <w:r w:rsidRPr="00A86F53">
        <w:rPr>
          <w:vertAlign w:val="superscript"/>
          <w:lang w:val="en-GB"/>
        </w:rPr>
        <w:footnoteReference w:id="251"/>
      </w:r>
      <w:r w:rsidRPr="00A86F53">
        <w:rPr>
          <w:lang w:val="en-GB"/>
        </w:rPr>
        <w:t xml:space="preserve"> The current system perpetuates the </w:t>
      </w:r>
      <w:r w:rsidRPr="00A86F53">
        <w:rPr>
          <w:b/>
          <w:lang w:val="en-GB"/>
        </w:rPr>
        <w:t xml:space="preserve">dependency </w:t>
      </w:r>
      <w:r w:rsidRPr="00A86F53">
        <w:rPr>
          <w:lang w:val="en-GB"/>
        </w:rPr>
        <w:t>of working PWD on social state benefits,</w:t>
      </w:r>
      <w:r w:rsidRPr="00A86F53">
        <w:rPr>
          <w:vertAlign w:val="superscript"/>
          <w:lang w:val="en-GB"/>
        </w:rPr>
        <w:footnoteReference w:id="252"/>
      </w:r>
      <w:r w:rsidRPr="00A86F53">
        <w:rPr>
          <w:lang w:val="en-GB"/>
        </w:rPr>
        <w:t xml:space="preserve"> including permanent accountability and disclosure obligations, the risk of unjustified decisions by the authorities and, under certain circumstances, arbitrary medical opinions. </w:t>
      </w:r>
    </w:p>
    <w:p w14:paraId="28631AC8" w14:textId="591978AE" w:rsidR="00A20EF3" w:rsidRPr="00A86F53" w:rsidRDefault="00A20EF3" w:rsidP="00A20EF3">
      <w:pPr>
        <w:pStyle w:val="BodyText"/>
        <w:rPr>
          <w:lang w:val="en-GB"/>
        </w:rPr>
      </w:pPr>
      <w:r w:rsidRPr="00A86F53">
        <w:rPr>
          <w:lang w:val="en-GB"/>
        </w:rPr>
        <w:t xml:space="preserve">Surveys showed that only a few institutions offer employees </w:t>
      </w:r>
      <w:r w:rsidRPr="00ED1853">
        <w:rPr>
          <w:lang w:val="en-GB"/>
        </w:rPr>
        <w:t>with</w:t>
      </w:r>
      <w:r w:rsidRPr="00A86F53">
        <w:rPr>
          <w:lang w:val="en-GB"/>
        </w:rPr>
        <w:t xml:space="preserve"> disabilities </w:t>
      </w:r>
      <w:r w:rsidRPr="00A86F53">
        <w:rPr>
          <w:b/>
          <w:lang w:val="en-GB"/>
        </w:rPr>
        <w:t>opportunities for advancement</w:t>
      </w:r>
      <w:r w:rsidRPr="00A86F53">
        <w:rPr>
          <w:lang w:val="en-GB"/>
        </w:rPr>
        <w:t xml:space="preserve"> and that </w:t>
      </w:r>
      <w:r w:rsidR="00A57EC2">
        <w:rPr>
          <w:lang w:val="en-GB"/>
        </w:rPr>
        <w:t>effort</w:t>
      </w:r>
      <w:r w:rsidR="00ED1853">
        <w:rPr>
          <w:lang w:val="en-GB"/>
        </w:rPr>
        <w:t>s to inform and consult</w:t>
      </w:r>
      <w:r w:rsidRPr="00A86F53">
        <w:rPr>
          <w:lang w:val="en-GB"/>
        </w:rPr>
        <w:t xml:space="preserve"> </w:t>
      </w:r>
      <w:r w:rsidR="00ED1853">
        <w:rPr>
          <w:lang w:val="en-GB"/>
        </w:rPr>
        <w:t>them are</w:t>
      </w:r>
      <w:r w:rsidRPr="00A86F53">
        <w:rPr>
          <w:lang w:val="en-GB"/>
        </w:rPr>
        <w:t xml:space="preserve"> still limited.</w:t>
      </w:r>
      <w:r w:rsidRPr="00A86F53">
        <w:rPr>
          <w:rFonts w:eastAsia="Cambria" w:cs="Times New Roman"/>
          <w:vertAlign w:val="superscript"/>
          <w:lang w:val="en-GB"/>
        </w:rPr>
        <w:footnoteReference w:id="253"/>
      </w:r>
      <w:r w:rsidRPr="00A86F53">
        <w:rPr>
          <w:lang w:val="en-GB"/>
        </w:rPr>
        <w:t xml:space="preserve"> The INSOS initiative to establish </w:t>
      </w:r>
      <w:r w:rsidRPr="00A86F53">
        <w:rPr>
          <w:b/>
          <w:lang w:val="en-GB"/>
        </w:rPr>
        <w:t>employee representatives</w:t>
      </w:r>
      <w:r w:rsidRPr="00A86F53">
        <w:rPr>
          <w:lang w:val="en-GB"/>
        </w:rPr>
        <w:t xml:space="preserve"> in the workshops </w:t>
      </w:r>
      <w:r w:rsidR="00A57EC2" w:rsidRPr="00A57EC2">
        <w:rPr>
          <w:lang w:val="en-GB"/>
        </w:rPr>
        <w:t xml:space="preserve">for internal participation </w:t>
      </w:r>
      <w:r w:rsidRPr="00A86F53">
        <w:rPr>
          <w:lang w:val="en-GB"/>
        </w:rPr>
        <w:t xml:space="preserve">is therefore welcome. </w:t>
      </w:r>
    </w:p>
    <w:p w14:paraId="7FCA8351" w14:textId="67787756" w:rsidR="00B30BCF" w:rsidRPr="0001096E" w:rsidRDefault="00A20EF3" w:rsidP="00A20EF3">
      <w:pPr>
        <w:pStyle w:val="BodyText"/>
        <w:rPr>
          <w:lang w:val="en-GB"/>
        </w:rPr>
      </w:pPr>
      <w:r w:rsidRPr="00A86F53">
        <w:rPr>
          <w:lang w:val="en-GB"/>
        </w:rPr>
        <w:t xml:space="preserve">On the open labour market, PWD exhibit significantly </w:t>
      </w:r>
      <w:r w:rsidRPr="00A86F53">
        <w:rPr>
          <w:b/>
          <w:lang w:val="en-GB"/>
        </w:rPr>
        <w:t>lower</w:t>
      </w:r>
      <w:r w:rsidRPr="00A86F53">
        <w:rPr>
          <w:lang w:val="en-GB"/>
        </w:rPr>
        <w:t xml:space="preserve"> </w:t>
      </w:r>
      <w:r w:rsidRPr="00A86F53">
        <w:rPr>
          <w:b/>
          <w:bCs/>
          <w:i/>
          <w:iCs/>
          <w:lang w:val="en-GB"/>
        </w:rPr>
        <w:t>employment</w:t>
      </w:r>
      <w:r w:rsidRPr="00A86F53">
        <w:rPr>
          <w:lang w:val="en-GB"/>
        </w:rPr>
        <w:t xml:space="preserve"> and </w:t>
      </w:r>
      <w:r w:rsidRPr="00A86F53">
        <w:rPr>
          <w:b/>
          <w:lang w:val="en-GB"/>
        </w:rPr>
        <w:t xml:space="preserve">higher </w:t>
      </w:r>
      <w:r w:rsidRPr="00A86F53">
        <w:rPr>
          <w:b/>
          <w:bCs/>
          <w:i/>
          <w:iCs/>
          <w:lang w:val="en-GB"/>
        </w:rPr>
        <w:t>un</w:t>
      </w:r>
      <w:r w:rsidRPr="00A86F53">
        <w:rPr>
          <w:b/>
          <w:lang w:val="en-GB"/>
        </w:rPr>
        <w:t>employment</w:t>
      </w:r>
      <w:r w:rsidRPr="00A86F53">
        <w:rPr>
          <w:lang w:val="en-GB"/>
        </w:rPr>
        <w:t xml:space="preserve"> than </w:t>
      </w:r>
      <w:r w:rsidR="00A57EC2">
        <w:rPr>
          <w:lang w:val="en-GB"/>
        </w:rPr>
        <w:t>persons without disabilities</w:t>
      </w:r>
      <w:r w:rsidRPr="00A86F53">
        <w:rPr>
          <w:lang w:val="en-GB"/>
        </w:rPr>
        <w:t>. In 2019, for instance, 68% of PWD living in private households were in gainful employment, while another 4.5% were unemployed and looking for a job. For people without disabilities, the corresponding percentages were 84% and 3%, for “highly impaired” PWD 39% and 7.5%.</w:t>
      </w:r>
      <w:r w:rsidRPr="00A86F53">
        <w:rPr>
          <w:vertAlign w:val="superscript"/>
          <w:lang w:val="en-GB"/>
        </w:rPr>
        <w:footnoteReference w:id="254"/>
      </w:r>
      <w:r w:rsidRPr="00A86F53">
        <w:rPr>
          <w:lang w:val="en-GB"/>
        </w:rPr>
        <w:t xml:space="preserve"> A research project revealed that out of almost </w:t>
      </w:r>
      <w:r w:rsidRPr="00A86F53">
        <w:rPr>
          <w:lang w:val="en-GB"/>
        </w:rPr>
        <w:lastRenderedPageBreak/>
        <w:t xml:space="preserve">100 </w:t>
      </w:r>
      <w:r w:rsidR="00AF697E" w:rsidRPr="00D739C9">
        <w:rPr>
          <w:lang w:val="en-GB"/>
        </w:rPr>
        <w:t>persons</w:t>
      </w:r>
      <w:r w:rsidRPr="00A86F53">
        <w:rPr>
          <w:lang w:val="en-GB"/>
        </w:rPr>
        <w:t xml:space="preserve"> with autism spectrum disorders, all those with early </w:t>
      </w:r>
      <w:r w:rsidR="00947FF6">
        <w:rPr>
          <w:lang w:val="en-GB"/>
        </w:rPr>
        <w:t xml:space="preserve">childhood </w:t>
      </w:r>
      <w:r w:rsidRPr="00A86F53">
        <w:rPr>
          <w:lang w:val="en-GB"/>
        </w:rPr>
        <w:t>autism and 45% of those with Asperger syndrome were working in the sheltered labour market or did not work at all.</w:t>
      </w:r>
      <w:r w:rsidRPr="00A86F53">
        <w:rPr>
          <w:vertAlign w:val="superscript"/>
          <w:lang w:val="en-GB"/>
        </w:rPr>
        <w:footnoteReference w:id="255"/>
      </w:r>
    </w:p>
    <w:p w14:paraId="171CBADB" w14:textId="4CFE7FB0" w:rsidR="00B30BCF" w:rsidRPr="0001096E" w:rsidRDefault="00B33AE3" w:rsidP="00B30BCF">
      <w:pPr>
        <w:pStyle w:val="Subtitle"/>
        <w:rPr>
          <w:lang w:val="en-GB"/>
        </w:rPr>
      </w:pPr>
      <w:r w:rsidRPr="0001096E">
        <w:rPr>
          <w:lang w:val="en-GB"/>
        </w:rPr>
        <w:t>No strategies for a systemic reform</w:t>
      </w:r>
      <w:r w:rsidR="00B30BCF" w:rsidRPr="0001096E">
        <w:rPr>
          <w:lang w:val="en-GB"/>
        </w:rPr>
        <w:t xml:space="preserve"> (LoI 22a)</w:t>
      </w:r>
    </w:p>
    <w:p w14:paraId="0B829719" w14:textId="30A8FB18" w:rsidR="00AD6133" w:rsidRPr="0001096E" w:rsidRDefault="000E67CF" w:rsidP="00A20EF3">
      <w:pPr>
        <w:pStyle w:val="BodyText"/>
        <w:rPr>
          <w:lang w:val="en-GB"/>
        </w:rPr>
      </w:pPr>
      <w:r>
        <w:rPr>
          <w:lang w:val="en-GB"/>
        </w:rPr>
        <w:t>I</w:t>
      </w:r>
      <w:r w:rsidR="00A20EF3" w:rsidRPr="00A86F53">
        <w:rPr>
          <w:lang w:val="en-GB"/>
        </w:rPr>
        <w:t xml:space="preserve">ntegration </w:t>
      </w:r>
      <w:r>
        <w:rPr>
          <w:lang w:val="en-GB"/>
        </w:rPr>
        <w:t xml:space="preserve">into the open labour market </w:t>
      </w:r>
      <w:r w:rsidR="00A20EF3" w:rsidRPr="00A86F53">
        <w:rPr>
          <w:lang w:val="en-GB"/>
        </w:rPr>
        <w:t>does not fall within the scope of the IFEG but is carried out through the invalidity insurance system.</w:t>
      </w:r>
      <w:r w:rsidR="00A20EF3" w:rsidRPr="00A86F53">
        <w:rPr>
          <w:rFonts w:eastAsia="Cambria" w:cs="Times New Roman"/>
          <w:vertAlign w:val="superscript"/>
          <w:lang w:val="en-GB"/>
        </w:rPr>
        <w:footnoteReference w:id="256"/>
      </w:r>
      <w:r w:rsidR="00A20EF3" w:rsidRPr="00A86F53">
        <w:rPr>
          <w:lang w:val="en-GB"/>
        </w:rPr>
        <w:t xml:space="preserve"> According to Switzerland, integration is a key objective of invalidity insurance (Reply to LoI, para. 73). </w:t>
      </w:r>
      <w:r w:rsidR="00443210">
        <w:rPr>
          <w:lang w:val="en-GB"/>
        </w:rPr>
        <w:t xml:space="preserve">The latter </w:t>
      </w:r>
      <w:r w:rsidR="00A20EF3" w:rsidRPr="00A86F53">
        <w:rPr>
          <w:lang w:val="en-GB"/>
        </w:rPr>
        <w:t xml:space="preserve">generally </w:t>
      </w:r>
      <w:r>
        <w:rPr>
          <w:lang w:val="en-GB"/>
        </w:rPr>
        <w:t xml:space="preserve">only </w:t>
      </w:r>
      <w:r w:rsidR="00A20EF3" w:rsidRPr="00A86F53">
        <w:rPr>
          <w:lang w:val="en-GB"/>
        </w:rPr>
        <w:t xml:space="preserve">finances </w:t>
      </w:r>
      <w:r w:rsidR="00A20EF3" w:rsidRPr="000E67CF">
        <w:rPr>
          <w:lang w:val="en-GB"/>
        </w:rPr>
        <w:t>measures on “</w:t>
      </w:r>
      <w:r w:rsidR="00A20EF3" w:rsidRPr="000E67CF">
        <w:rPr>
          <w:b/>
          <w:lang w:val="en-GB"/>
        </w:rPr>
        <w:t>re-integration</w:t>
      </w:r>
      <w:r w:rsidR="00A20EF3" w:rsidRPr="000E67CF">
        <w:rPr>
          <w:lang w:val="en-GB"/>
        </w:rPr>
        <w:t>” from</w:t>
      </w:r>
      <w:r w:rsidR="00A20EF3" w:rsidRPr="00A86F53">
        <w:rPr>
          <w:lang w:val="en-GB"/>
        </w:rPr>
        <w:t xml:space="preserve"> an ongoing invalidity insurance pensi</w:t>
      </w:r>
      <w:r>
        <w:rPr>
          <w:lang w:val="en-GB"/>
        </w:rPr>
        <w:t xml:space="preserve">on into the open labour market </w:t>
      </w:r>
      <w:r w:rsidR="00A20EF3" w:rsidRPr="00A86F53">
        <w:rPr>
          <w:lang w:val="en-GB"/>
        </w:rPr>
        <w:t>if the person is likely to earn a wage that will reduce their pension.</w:t>
      </w:r>
      <w:r w:rsidR="00A20EF3" w:rsidRPr="00A86F53">
        <w:rPr>
          <w:rFonts w:eastAsia="Cambria" w:cs="Times New Roman"/>
          <w:vertAlign w:val="superscript"/>
          <w:lang w:val="en-GB"/>
        </w:rPr>
        <w:footnoteReference w:id="257"/>
      </w:r>
      <w:r w:rsidR="00A20EF3" w:rsidRPr="00A86F53">
        <w:rPr>
          <w:lang w:val="en-GB"/>
        </w:rPr>
        <w:t xml:space="preserve"> In recent years, re-integrations accounted for </w:t>
      </w:r>
      <w:r w:rsidR="00A20EF3" w:rsidRPr="00A86F53">
        <w:rPr>
          <w:b/>
          <w:lang w:val="en-GB"/>
        </w:rPr>
        <w:t>only</w:t>
      </w:r>
      <w:r w:rsidR="00A20EF3" w:rsidRPr="00A86F53">
        <w:rPr>
          <w:lang w:val="en-GB"/>
        </w:rPr>
        <w:t xml:space="preserve"> </w:t>
      </w:r>
      <w:r w:rsidR="00A20EF3" w:rsidRPr="00A86F53">
        <w:rPr>
          <w:b/>
          <w:lang w:val="en-GB"/>
        </w:rPr>
        <w:t>2-3</w:t>
      </w:r>
      <w:r w:rsidR="00A20EF3" w:rsidRPr="000C1AE5">
        <w:rPr>
          <w:b/>
          <w:lang w:val="en-GB"/>
        </w:rPr>
        <w:t>%</w:t>
      </w:r>
      <w:r w:rsidR="00A20EF3" w:rsidRPr="000C1AE5">
        <w:rPr>
          <w:lang w:val="en-GB"/>
        </w:rPr>
        <w:t xml:space="preserve"> </w:t>
      </w:r>
      <w:r w:rsidR="00A20EF3" w:rsidRPr="000C1AE5">
        <w:rPr>
          <w:b/>
          <w:lang w:val="en-GB"/>
        </w:rPr>
        <w:t>of integrations</w:t>
      </w:r>
      <w:r w:rsidR="00A20EF3" w:rsidRPr="000C1AE5">
        <w:rPr>
          <w:lang w:val="en-GB"/>
        </w:rPr>
        <w:t xml:space="preserve">. On the other hand, </w:t>
      </w:r>
      <w:r w:rsidR="00241E1F" w:rsidRPr="00241E1F">
        <w:rPr>
          <w:lang w:val="en-GB"/>
        </w:rPr>
        <w:t>more than half of all integration cases involved keeping a job after an accident or illness, and about one third involved a change of job.</w:t>
      </w:r>
      <w:r w:rsidR="00A20EF3" w:rsidRPr="00A86F53">
        <w:rPr>
          <w:rFonts w:eastAsia="Cambria" w:cs="Times New Roman"/>
          <w:vertAlign w:val="superscript"/>
          <w:lang w:val="en-GB"/>
        </w:rPr>
        <w:footnoteReference w:id="258"/>
      </w:r>
      <w:r w:rsidR="00A20EF3" w:rsidRPr="00A86F53">
        <w:rPr>
          <w:lang w:val="en-GB"/>
        </w:rPr>
        <w:t xml:space="preserve"> There is no systematic, long-term monitoring of the impact of </w:t>
      </w:r>
      <w:r w:rsidR="00443210">
        <w:rPr>
          <w:lang w:val="en-GB"/>
        </w:rPr>
        <w:t xml:space="preserve">IV </w:t>
      </w:r>
      <w:r w:rsidR="00A20EF3" w:rsidRPr="00A86F53">
        <w:rPr>
          <w:lang w:val="en-GB"/>
        </w:rPr>
        <w:t xml:space="preserve">integration measures. In the medium term, isolated studies showed poor integration success, particularly for </w:t>
      </w:r>
      <w:r w:rsidR="00AF697E" w:rsidRPr="00D739C9">
        <w:rPr>
          <w:lang w:val="en-GB"/>
        </w:rPr>
        <w:t>persons</w:t>
      </w:r>
      <w:r w:rsidR="00A20EF3" w:rsidRPr="00A86F53">
        <w:rPr>
          <w:lang w:val="en-GB"/>
        </w:rPr>
        <w:t xml:space="preserve"> with psychosocial disabilities;</w:t>
      </w:r>
      <w:r w:rsidR="00A20EF3" w:rsidRPr="00A86F53">
        <w:rPr>
          <w:vertAlign w:val="superscript"/>
          <w:lang w:val="en-GB"/>
        </w:rPr>
        <w:footnoteReference w:id="259"/>
      </w:r>
      <w:r w:rsidR="00A20EF3" w:rsidRPr="00A86F53">
        <w:rPr>
          <w:lang w:val="en-GB"/>
        </w:rPr>
        <w:t xml:space="preserve"> </w:t>
      </w:r>
      <w:r w:rsidR="00443210">
        <w:rPr>
          <w:lang w:val="en-GB"/>
        </w:rPr>
        <w:t xml:space="preserve">persons </w:t>
      </w:r>
      <w:r w:rsidR="00A20EF3" w:rsidRPr="00A86F53">
        <w:rPr>
          <w:lang w:val="en-GB"/>
        </w:rPr>
        <w:t xml:space="preserve">with </w:t>
      </w:r>
      <w:r w:rsidR="00443210">
        <w:rPr>
          <w:lang w:val="en-GB"/>
        </w:rPr>
        <w:t>intellectual disabilities</w:t>
      </w:r>
      <w:r w:rsidR="00F17FEC">
        <w:rPr>
          <w:lang w:val="en-GB"/>
        </w:rPr>
        <w:t>,</w:t>
      </w:r>
      <w:r w:rsidR="00443210">
        <w:rPr>
          <w:lang w:val="en-GB"/>
        </w:rPr>
        <w:t xml:space="preserve"> who rarely get integration measures</w:t>
      </w:r>
      <w:r w:rsidR="00F17FEC">
        <w:rPr>
          <w:lang w:val="en-GB"/>
        </w:rPr>
        <w:t>,</w:t>
      </w:r>
      <w:r w:rsidR="00A20EF3" w:rsidRPr="00A86F53">
        <w:rPr>
          <w:vertAlign w:val="superscript"/>
          <w:lang w:val="en-GB"/>
        </w:rPr>
        <w:footnoteReference w:id="260"/>
      </w:r>
      <w:r w:rsidR="00A20EF3" w:rsidRPr="00A86F53">
        <w:rPr>
          <w:lang w:val="en-GB"/>
        </w:rPr>
        <w:t xml:space="preserve"> were not included. </w:t>
      </w:r>
    </w:p>
    <w:p w14:paraId="5F23EFB2" w14:textId="346AF033" w:rsidR="00B33AE3" w:rsidRPr="00883722" w:rsidRDefault="00B33AE3" w:rsidP="00883722">
      <w:pPr>
        <w:pStyle w:val="BalloonText"/>
        <w:spacing w:before="120" w:after="120"/>
        <w:ind w:left="1054" w:right="284"/>
        <w:rPr>
          <w:lang w:val="en-GB"/>
        </w:rPr>
      </w:pPr>
      <w:r w:rsidRPr="00883722">
        <w:rPr>
          <w:lang w:val="en-GB"/>
        </w:rPr>
        <w:lastRenderedPageBreak/>
        <w:t>In the invalidity insurance system, work integration is not for the sake of inclusion but primarily for cost-saving purposes. This is fundamentally in contradiction with Article 27 CRPD.</w:t>
      </w:r>
    </w:p>
    <w:p w14:paraId="3A4BA600" w14:textId="4653ECB3" w:rsidR="00B205C7" w:rsidRDefault="00B205C7" w:rsidP="00B205C7">
      <w:pPr>
        <w:pStyle w:val="BodyText"/>
        <w:rPr>
          <w:lang w:val="en-GB"/>
        </w:rPr>
      </w:pPr>
      <w:r w:rsidRPr="00A86F53">
        <w:rPr>
          <w:lang w:val="en-GB"/>
        </w:rPr>
        <w:t>No revision of the InvIA, let alone the National Labour Market Conference of 2017 (</w:t>
      </w:r>
      <w:r w:rsidR="00F17FEC">
        <w:rPr>
          <w:lang w:val="en-GB"/>
        </w:rPr>
        <w:t xml:space="preserve">Reply to </w:t>
      </w:r>
      <w:r w:rsidRPr="00A86F53">
        <w:rPr>
          <w:lang w:val="en-GB"/>
        </w:rPr>
        <w:t xml:space="preserve">LoI, para. 69), has changed anything about this </w:t>
      </w:r>
      <w:r w:rsidRPr="00A86F53">
        <w:rPr>
          <w:b/>
          <w:bCs/>
          <w:lang w:val="en-GB"/>
        </w:rPr>
        <w:t>wrong orientation</w:t>
      </w:r>
      <w:r w:rsidRPr="00A86F53">
        <w:rPr>
          <w:lang w:val="en-GB"/>
        </w:rPr>
        <w:t>. As with the residential sector, the division of tasks between the federal government and the cantons,</w:t>
      </w:r>
      <w:r w:rsidRPr="00A86F53">
        <w:rPr>
          <w:b/>
          <w:lang w:val="en-GB"/>
        </w:rPr>
        <w:t xml:space="preserve"> as established in the IFEG,</w:t>
      </w:r>
      <w:r w:rsidRPr="00A86F53">
        <w:rPr>
          <w:lang w:val="en-GB"/>
        </w:rPr>
        <w:t xml:space="preserve"> represents a major obstacle to a transition to out-patient support services in the open labour market. </w:t>
      </w:r>
      <w:r w:rsidRPr="00A86F53">
        <w:rPr>
          <w:b/>
          <w:lang w:val="en-GB"/>
        </w:rPr>
        <w:t xml:space="preserve">The CDSS and the cantons </w:t>
      </w:r>
      <w:r w:rsidRPr="00A86F53">
        <w:rPr>
          <w:bCs/>
          <w:lang w:val="en-GB"/>
        </w:rPr>
        <w:t>do little in this regard</w:t>
      </w:r>
      <w:r w:rsidRPr="00A86F53">
        <w:rPr>
          <w:lang w:val="en-GB"/>
        </w:rPr>
        <w:t xml:space="preserve">. Although one of the objectives of the Living Independently programme is PWD’s freedom of choice with regard </w:t>
      </w:r>
      <w:r w:rsidR="00370CDB">
        <w:rPr>
          <w:lang w:val="en-GB"/>
        </w:rPr>
        <w:t xml:space="preserve">to </w:t>
      </w:r>
      <w:r w:rsidRPr="00A86F53">
        <w:rPr>
          <w:lang w:val="en-GB"/>
        </w:rPr>
        <w:t>the structure of their daily life, project activities have not yet been implemented.</w:t>
      </w:r>
      <w:r w:rsidRPr="00A86F53">
        <w:rPr>
          <w:vertAlign w:val="superscript"/>
          <w:lang w:val="en-GB"/>
        </w:rPr>
        <w:footnoteReference w:id="261"/>
      </w:r>
    </w:p>
    <w:p w14:paraId="032C1077" w14:textId="5D309730" w:rsidR="00B205C7" w:rsidRDefault="00B205C7" w:rsidP="00B205C7">
      <w:pPr>
        <w:pStyle w:val="BodyText"/>
        <w:rPr>
          <w:lang w:val="en-GB"/>
        </w:rPr>
      </w:pPr>
      <w:r w:rsidRPr="007D5B09">
        <w:rPr>
          <w:lang w:val="en-GB"/>
        </w:rPr>
        <w:t xml:space="preserve">Cantonal requirements on workshop </w:t>
      </w:r>
      <w:r w:rsidR="001D0DCC" w:rsidRPr="007D5B09">
        <w:rPr>
          <w:b/>
          <w:lang w:val="en-GB"/>
        </w:rPr>
        <w:t>occupancy rates</w:t>
      </w:r>
      <w:r w:rsidR="001D0DCC" w:rsidRPr="007D5B09">
        <w:rPr>
          <w:lang w:val="en-GB"/>
        </w:rPr>
        <w:t xml:space="preserve"> </w:t>
      </w:r>
      <w:r w:rsidRPr="007D5B09">
        <w:rPr>
          <w:lang w:val="en-GB"/>
        </w:rPr>
        <w:t xml:space="preserve">and the </w:t>
      </w:r>
      <w:r w:rsidRPr="007D5B09">
        <w:rPr>
          <w:b/>
          <w:lang w:val="en-GB"/>
        </w:rPr>
        <w:t xml:space="preserve">pressure </w:t>
      </w:r>
      <w:r w:rsidRPr="007D5B09">
        <w:rPr>
          <w:b/>
          <w:bCs/>
          <w:lang w:val="en-GB"/>
        </w:rPr>
        <w:t>on profitability</w:t>
      </w:r>
      <w:r w:rsidRPr="007D5B09">
        <w:rPr>
          <w:lang w:val="en-GB"/>
        </w:rPr>
        <w:t xml:space="preserve"> to which workshops are subject have proved to be particularly </w:t>
      </w:r>
      <w:r w:rsidRPr="007D5B09">
        <w:rPr>
          <w:b/>
          <w:bCs/>
          <w:lang w:val="en-GB"/>
        </w:rPr>
        <w:t>misplaced incentives</w:t>
      </w:r>
      <w:r w:rsidRPr="007D5B09">
        <w:rPr>
          <w:lang w:val="en-GB"/>
        </w:rPr>
        <w:t>. All</w:t>
      </w:r>
      <w:r w:rsidRPr="00A86F53">
        <w:rPr>
          <w:lang w:val="en-GB"/>
        </w:rPr>
        <w:t xml:space="preserve"> the same, 60 out of 100 institutions surveyed have “placed PWD on the open labour market”, half of them </w:t>
      </w:r>
      <w:r w:rsidR="00370CDB">
        <w:rPr>
          <w:lang w:val="en-GB"/>
        </w:rPr>
        <w:t xml:space="preserve">is </w:t>
      </w:r>
      <w:r w:rsidRPr="00A86F53">
        <w:rPr>
          <w:lang w:val="en-GB"/>
        </w:rPr>
        <w:t>working with job coaches.</w:t>
      </w:r>
      <w:r w:rsidRPr="00A86F53">
        <w:rPr>
          <w:rFonts w:eastAsia="Cambria" w:cs="Times New Roman"/>
          <w:vertAlign w:val="superscript"/>
          <w:lang w:val="en-GB"/>
        </w:rPr>
        <w:footnoteReference w:id="262"/>
      </w:r>
      <w:r w:rsidR="008865E7">
        <w:rPr>
          <w:lang w:val="en-GB"/>
        </w:rPr>
        <w:t xml:space="preserve"> </w:t>
      </w:r>
      <w:r w:rsidR="008865E7" w:rsidRPr="007D5B09">
        <w:rPr>
          <w:lang w:val="en-GB"/>
        </w:rPr>
        <w:t>The sectoral associations advocate for Supported Education and Supported Employment to be par</w:t>
      </w:r>
      <w:r w:rsidR="008865E7">
        <w:rPr>
          <w:lang w:val="en-GB"/>
        </w:rPr>
        <w:t>t of the performance agreements</w:t>
      </w:r>
      <w:r>
        <w:rPr>
          <w:lang w:val="en-GB"/>
        </w:rPr>
        <w:t xml:space="preserve">; </w:t>
      </w:r>
      <w:r w:rsidR="009F6640">
        <w:rPr>
          <w:lang w:val="en-GB"/>
        </w:rPr>
        <w:t>hiring of services/</w:t>
      </w:r>
      <w:r w:rsidR="00565971">
        <w:rPr>
          <w:lang w:val="en-GB"/>
        </w:rPr>
        <w:t xml:space="preserve"> </w:t>
      </w:r>
      <w:r w:rsidR="009F6640">
        <w:rPr>
          <w:lang w:val="en-GB"/>
        </w:rPr>
        <w:t>staff leasing</w:t>
      </w:r>
      <w:r w:rsidRPr="00A86F53">
        <w:rPr>
          <w:lang w:val="en-GB"/>
        </w:rPr>
        <w:t xml:space="preserve"> systems should also be developed further.</w:t>
      </w:r>
      <w:r w:rsidRPr="00A86F53">
        <w:rPr>
          <w:rFonts w:eastAsia="Cambria" w:cs="Times New Roman"/>
          <w:vertAlign w:val="superscript"/>
          <w:lang w:val="en-GB"/>
        </w:rPr>
        <w:footnoteReference w:id="263"/>
      </w:r>
      <w:r w:rsidRPr="00A86F53">
        <w:rPr>
          <w:lang w:val="en-GB"/>
        </w:rPr>
        <w:t xml:space="preserve"> These are sometimes viewed critically when it comes to temporary assignments of a spatially segregated group of PWD in a company. </w:t>
      </w:r>
    </w:p>
    <w:p w14:paraId="4C805D20" w14:textId="77777777" w:rsidR="00B205C7" w:rsidRDefault="00B205C7" w:rsidP="00B205C7">
      <w:pPr>
        <w:pStyle w:val="BodyText"/>
        <w:rPr>
          <w:lang w:val="en-GB"/>
        </w:rPr>
      </w:pPr>
      <w:r w:rsidRPr="00565971">
        <w:rPr>
          <w:lang w:val="en-GB"/>
        </w:rPr>
        <w:t xml:space="preserve">Granted, there are a number of organisations that offer </w:t>
      </w:r>
      <w:r w:rsidRPr="003D2F0B">
        <w:rPr>
          <w:b/>
          <w:bCs/>
          <w:lang w:val="en-GB"/>
        </w:rPr>
        <w:t>independent advice</w:t>
      </w:r>
      <w:r w:rsidRPr="00565971">
        <w:rPr>
          <w:lang w:val="en-GB"/>
        </w:rPr>
        <w:t xml:space="preserve"> to interested persons for the purpose of entering the open labour market. However, the funding they receive from the state is very restricted.</w:t>
      </w:r>
    </w:p>
    <w:p w14:paraId="738181CC" w14:textId="10C936A7" w:rsidR="00B205C7" w:rsidRPr="00A86F53" w:rsidRDefault="00B205C7" w:rsidP="00B205C7">
      <w:pPr>
        <w:pStyle w:val="BodyText"/>
        <w:rPr>
          <w:lang w:val="en-GB"/>
        </w:rPr>
      </w:pPr>
      <w:r w:rsidRPr="00A86F53">
        <w:rPr>
          <w:lang w:val="en-GB"/>
        </w:rPr>
        <w:lastRenderedPageBreak/>
        <w:t xml:space="preserve">The increase in </w:t>
      </w:r>
      <w:r w:rsidRPr="00A86F53">
        <w:rPr>
          <w:b/>
          <w:lang w:val="en-GB"/>
        </w:rPr>
        <w:t>cant</w:t>
      </w:r>
      <w:r w:rsidRPr="00A86F53">
        <w:rPr>
          <w:b/>
          <w:bCs/>
          <w:lang w:val="en-GB"/>
        </w:rPr>
        <w:t>onal</w:t>
      </w:r>
      <w:r w:rsidRPr="00A86F53">
        <w:rPr>
          <w:lang w:val="en-GB"/>
        </w:rPr>
        <w:t xml:space="preserve"> </w:t>
      </w:r>
      <w:r w:rsidRPr="00A86F53">
        <w:rPr>
          <w:b/>
          <w:lang w:val="en-GB"/>
        </w:rPr>
        <w:t>support contributions</w:t>
      </w:r>
      <w:r w:rsidR="00565971">
        <w:rPr>
          <w:b/>
          <w:lang w:val="en-GB"/>
        </w:rPr>
        <w:t>/ allowances</w:t>
      </w:r>
      <w:r w:rsidRPr="00A86F53">
        <w:rPr>
          <w:lang w:val="en-GB"/>
        </w:rPr>
        <w:t xml:space="preserve"> for supported employment</w:t>
      </w:r>
      <w:r w:rsidR="00615913">
        <w:rPr>
          <w:lang w:val="en-GB"/>
        </w:rPr>
        <w:t xml:space="preserve"> on the open labour market</w:t>
      </w:r>
      <w:r w:rsidRPr="00A86F53">
        <w:rPr>
          <w:lang w:val="en-GB"/>
        </w:rPr>
        <w:t>,</w:t>
      </w:r>
      <w:r w:rsidRPr="00A86F53">
        <w:rPr>
          <w:rFonts w:eastAsia="Cambria" w:cs="Times New Roman"/>
          <w:vertAlign w:val="superscript"/>
          <w:lang w:val="en-GB"/>
        </w:rPr>
        <w:footnoteReference w:id="264"/>
      </w:r>
      <w:r w:rsidRPr="00A86F53">
        <w:rPr>
          <w:rFonts w:eastAsia="Cambria" w:cs="Times New Roman"/>
          <w:vertAlign w:val="superscript"/>
          <w:lang w:val="en-GB"/>
        </w:rPr>
        <w:t xml:space="preserve"> </w:t>
      </w:r>
      <w:r w:rsidRPr="00A86F53">
        <w:rPr>
          <w:lang w:val="en-GB"/>
        </w:rPr>
        <w:t xml:space="preserve">as with housing, seems promising. Nevertheless, a planned and coordinated approach is lacking. </w:t>
      </w:r>
      <w:r w:rsidRPr="00565971">
        <w:rPr>
          <w:lang w:val="en-GB"/>
        </w:rPr>
        <w:t>Nor is virtually any canton</w:t>
      </w:r>
      <w:r w:rsidRPr="00A86F53">
        <w:rPr>
          <w:lang w:val="en-GB"/>
        </w:rPr>
        <w:t xml:space="preserve"> in the process of initiating the required </w:t>
      </w:r>
      <w:r w:rsidRPr="00A86F53">
        <w:rPr>
          <w:b/>
          <w:lang w:val="en-GB"/>
        </w:rPr>
        <w:t xml:space="preserve">systemic transformation </w:t>
      </w:r>
      <w:r w:rsidRPr="00565971">
        <w:rPr>
          <w:lang w:val="en-GB"/>
        </w:rPr>
        <w:t>of</w:t>
      </w:r>
      <w:r w:rsidR="00494B45">
        <w:rPr>
          <w:lang w:val="en-GB"/>
        </w:rPr>
        <w:t xml:space="preserve"> institutional employment </w:t>
      </w:r>
      <w:r w:rsidRPr="00A86F53">
        <w:rPr>
          <w:lang w:val="en-GB"/>
        </w:rPr>
        <w:t xml:space="preserve">while expanding </w:t>
      </w:r>
      <w:r w:rsidR="00494B45">
        <w:rPr>
          <w:lang w:val="en-GB"/>
        </w:rPr>
        <w:t>allowances</w:t>
      </w:r>
      <w:r w:rsidR="00615913">
        <w:rPr>
          <w:lang w:val="en-GB"/>
        </w:rPr>
        <w:t xml:space="preserve"> for supported employment on the open labour market</w:t>
      </w:r>
      <w:r w:rsidRPr="00A86F53">
        <w:rPr>
          <w:lang w:val="en-GB"/>
        </w:rPr>
        <w:t>. Data show that a transition from the sheltered to the open labour market rarely occurs.</w:t>
      </w:r>
      <w:r w:rsidRPr="00A86F53">
        <w:rPr>
          <w:rFonts w:eastAsia="Cambria" w:cs="Times New Roman"/>
          <w:vertAlign w:val="superscript"/>
          <w:lang w:val="en-GB"/>
        </w:rPr>
        <w:footnoteReference w:id="265"/>
      </w:r>
      <w:r w:rsidRPr="00A86F53">
        <w:rPr>
          <w:lang w:val="en-GB"/>
        </w:rPr>
        <w:t xml:space="preserve"> </w:t>
      </w:r>
    </w:p>
    <w:p w14:paraId="4A5D528A" w14:textId="44E14F53" w:rsidR="00B205C7" w:rsidRPr="00A86F53" w:rsidRDefault="00B205C7" w:rsidP="00B205C7">
      <w:pPr>
        <w:pStyle w:val="BodyText"/>
        <w:rPr>
          <w:lang w:val="en-GB"/>
        </w:rPr>
      </w:pPr>
      <w:r w:rsidRPr="00A86F53">
        <w:rPr>
          <w:lang w:val="en-GB"/>
        </w:rPr>
        <w:t xml:space="preserve">As part of the </w:t>
      </w:r>
      <w:r w:rsidR="00E60EB6">
        <w:rPr>
          <w:lang w:val="en-GB"/>
        </w:rPr>
        <w:t>“</w:t>
      </w:r>
      <w:r w:rsidRPr="00A86F53">
        <w:rPr>
          <w:b/>
          <w:lang w:val="en-GB"/>
        </w:rPr>
        <w:t xml:space="preserve">Future </w:t>
      </w:r>
      <w:r w:rsidRPr="00565971">
        <w:rPr>
          <w:b/>
          <w:lang w:val="en-GB"/>
        </w:rPr>
        <w:t>Workshop</w:t>
      </w:r>
      <w:r w:rsidR="00E60EB6">
        <w:rPr>
          <w:b/>
          <w:lang w:val="en-GB"/>
        </w:rPr>
        <w:t>”</w:t>
      </w:r>
      <w:r w:rsidRPr="00565971">
        <w:rPr>
          <w:lang w:val="en-GB"/>
        </w:rPr>
        <w:t xml:space="preserve"> project, INSOS, together</w:t>
      </w:r>
      <w:r w:rsidRPr="00A86F53">
        <w:rPr>
          <w:lang w:val="en-GB"/>
        </w:rPr>
        <w:t xml:space="preserve"> with CDSS, the cantons and employee representatives, intends to find the “most suitable business models”.</w:t>
      </w:r>
      <w:r w:rsidRPr="00A86F53">
        <w:rPr>
          <w:rFonts w:eastAsia="Cambria" w:cs="Times New Roman"/>
          <w:vertAlign w:val="superscript"/>
          <w:lang w:val="en-GB"/>
        </w:rPr>
        <w:footnoteReference w:id="266"/>
      </w:r>
      <w:r w:rsidRPr="00A86F53">
        <w:rPr>
          <w:lang w:val="en-GB"/>
        </w:rPr>
        <w:t xml:space="preserve"> So far, the state has failed to </w:t>
      </w:r>
      <w:r w:rsidRPr="00A86F53">
        <w:rPr>
          <w:b/>
          <w:lang w:val="en-GB"/>
        </w:rPr>
        <w:t xml:space="preserve">actively involve </w:t>
      </w:r>
      <w:r w:rsidRPr="00A86F53">
        <w:rPr>
          <w:lang w:val="en-GB"/>
        </w:rPr>
        <w:t xml:space="preserve">PWD and </w:t>
      </w:r>
      <w:r w:rsidR="00E60EB6">
        <w:rPr>
          <w:lang w:val="en-GB"/>
        </w:rPr>
        <w:t xml:space="preserve">OPDs </w:t>
      </w:r>
      <w:r w:rsidRPr="00A86F53">
        <w:rPr>
          <w:lang w:val="en-GB"/>
        </w:rPr>
        <w:t xml:space="preserve">in this process in accordance with Article 4(3) CRPD. </w:t>
      </w:r>
    </w:p>
    <w:p w14:paraId="058D963E" w14:textId="69515087" w:rsidR="00AD6133" w:rsidRPr="0001096E" w:rsidRDefault="00B205C7" w:rsidP="00AD6133">
      <w:pPr>
        <w:pStyle w:val="BodyText"/>
        <w:rPr>
          <w:lang w:val="en-GB"/>
        </w:rPr>
      </w:pPr>
      <w:r w:rsidRPr="00A86F53">
        <w:rPr>
          <w:lang w:val="en-GB"/>
        </w:rPr>
        <w:t xml:space="preserve">Even if services were to be transformed, an inclusive labour market cannot </w:t>
      </w:r>
      <w:r w:rsidR="00E60EB6">
        <w:rPr>
          <w:lang w:val="en-GB"/>
        </w:rPr>
        <w:t>emerge</w:t>
      </w:r>
      <w:r w:rsidRPr="00A86F53">
        <w:rPr>
          <w:lang w:val="en-GB"/>
        </w:rPr>
        <w:t xml:space="preserve"> as long as </w:t>
      </w:r>
      <w:r w:rsidRPr="00A86F53">
        <w:rPr>
          <w:b/>
          <w:lang w:val="en-GB"/>
        </w:rPr>
        <w:t>employers</w:t>
      </w:r>
      <w:r w:rsidRPr="00A86F53">
        <w:rPr>
          <w:lang w:val="en-GB"/>
        </w:rPr>
        <w:t xml:space="preserve"> </w:t>
      </w:r>
      <w:r w:rsidRPr="00A86F53">
        <w:rPr>
          <w:b/>
          <w:lang w:val="en-GB"/>
        </w:rPr>
        <w:t>create virtually no adapted jobs</w:t>
      </w:r>
      <w:r w:rsidRPr="00A86F53">
        <w:rPr>
          <w:lang w:val="en-GB"/>
        </w:rPr>
        <w:t>. This addresses yet another fault in the system:</w:t>
      </w:r>
    </w:p>
    <w:p w14:paraId="5CDB300F" w14:textId="77777777" w:rsidR="0017517D" w:rsidRPr="0001096E" w:rsidRDefault="00082D01" w:rsidP="0017517D">
      <w:pPr>
        <w:pStyle w:val="BalloonText"/>
        <w:ind w:left="284" w:right="281"/>
        <w:rPr>
          <w:lang w:val="en-GB"/>
        </w:rPr>
      </w:pPr>
      <w:r w:rsidRPr="0001096E">
        <w:rPr>
          <w:lang w:val="en-GB"/>
        </w:rPr>
        <w:t>On the open labour market in Switzerland, not a single employer is legally required to employ PWD.</w:t>
      </w:r>
    </w:p>
    <w:p w14:paraId="33089BC8" w14:textId="115E8B18" w:rsidR="00B205C7" w:rsidRPr="00A86F53" w:rsidRDefault="00B205C7" w:rsidP="00B205C7">
      <w:pPr>
        <w:pStyle w:val="BodyText"/>
        <w:rPr>
          <w:lang w:val="en-GB"/>
        </w:rPr>
      </w:pPr>
      <w:r w:rsidRPr="00A86F53">
        <w:rPr>
          <w:lang w:val="en-GB"/>
        </w:rPr>
        <w:t>Granted, some employers and their associations wish to make this commitment</w:t>
      </w:r>
      <w:r w:rsidRPr="00A86F53">
        <w:rPr>
          <w:rStyle w:val="FootnoteReference"/>
          <w:lang w:val="en-GB"/>
        </w:rPr>
        <w:footnoteReference w:id="267"/>
      </w:r>
      <w:r w:rsidRPr="00A86F53">
        <w:rPr>
          <w:lang w:val="en-GB"/>
        </w:rPr>
        <w:t xml:space="preserve"> to a certain degree and therefore do not consider government regulations or financial incentives necessary. There are definitely some companies that are actually involved. Overall, however, there is little sense of effective </w:t>
      </w:r>
      <w:r w:rsidRPr="00A86F53">
        <w:rPr>
          <w:b/>
          <w:bCs/>
          <w:lang w:val="en-GB"/>
        </w:rPr>
        <w:lastRenderedPageBreak/>
        <w:t>self-</w:t>
      </w:r>
      <w:r w:rsidRPr="00A86F53">
        <w:rPr>
          <w:b/>
          <w:lang w:val="en-GB"/>
        </w:rPr>
        <w:t>commitment</w:t>
      </w:r>
      <w:r w:rsidRPr="00A86F53">
        <w:rPr>
          <w:lang w:val="en-GB"/>
        </w:rPr>
        <w:t xml:space="preserve"> in practice. The willingness of employers to engage PWD as </w:t>
      </w:r>
      <w:r w:rsidRPr="00A86F53">
        <w:rPr>
          <w:i/>
          <w:lang w:val="en-GB"/>
        </w:rPr>
        <w:t xml:space="preserve">new employees </w:t>
      </w:r>
      <w:r w:rsidRPr="00A86F53">
        <w:rPr>
          <w:lang w:val="en-GB"/>
        </w:rPr>
        <w:t>is particularly low.</w:t>
      </w:r>
      <w:r w:rsidRPr="00A86F53">
        <w:rPr>
          <w:vertAlign w:val="superscript"/>
          <w:lang w:val="en-GB"/>
        </w:rPr>
        <w:footnoteReference w:id="268"/>
      </w:r>
      <w:r w:rsidRPr="00A86F53">
        <w:rPr>
          <w:lang w:val="en-GB"/>
        </w:rPr>
        <w:t xml:space="preserve"> Experts report that </w:t>
      </w:r>
      <w:r w:rsidRPr="00A86F53">
        <w:rPr>
          <w:b/>
          <w:lang w:val="en-GB"/>
        </w:rPr>
        <w:t>inclusive jobs</w:t>
      </w:r>
      <w:r w:rsidRPr="00A86F53">
        <w:rPr>
          <w:lang w:val="en-GB"/>
        </w:rPr>
        <w:t xml:space="preserve"> have been </w:t>
      </w:r>
      <w:r w:rsidRPr="00A86F53">
        <w:rPr>
          <w:b/>
          <w:lang w:val="en-GB"/>
        </w:rPr>
        <w:t>steadily reduced</w:t>
      </w:r>
      <w:r w:rsidRPr="00A86F53">
        <w:rPr>
          <w:lang w:val="en-GB"/>
        </w:rPr>
        <w:t xml:space="preserve">. The Federal Administration, for its part, increased its modest target quota for </w:t>
      </w:r>
      <w:r w:rsidR="00FE68CE">
        <w:rPr>
          <w:lang w:val="en-GB"/>
        </w:rPr>
        <w:t xml:space="preserve">the employment of PWD </w:t>
      </w:r>
      <w:r w:rsidRPr="00A86F53">
        <w:rPr>
          <w:lang w:val="en-GB"/>
        </w:rPr>
        <w:t xml:space="preserve">to 1.5-2.5% </w:t>
      </w:r>
      <w:r w:rsidR="00FE68CE">
        <w:rPr>
          <w:lang w:val="en-GB"/>
        </w:rPr>
        <w:t xml:space="preserve">in 2020, </w:t>
      </w:r>
      <w:r w:rsidRPr="00A86F53">
        <w:rPr>
          <w:lang w:val="en-GB"/>
        </w:rPr>
        <w:t>but failed to reach it.</w:t>
      </w:r>
      <w:r w:rsidRPr="00A86F53">
        <w:rPr>
          <w:rFonts w:eastAsia="Cambria" w:cs="Times New Roman"/>
          <w:vertAlign w:val="superscript"/>
          <w:lang w:val="en-GB"/>
        </w:rPr>
        <w:footnoteReference w:id="269"/>
      </w:r>
      <w:r w:rsidRPr="00A86F53">
        <w:rPr>
          <w:lang w:val="en-GB"/>
        </w:rPr>
        <w:t xml:space="preserve"> The FBED’s “Equality </w:t>
      </w:r>
      <w:r w:rsidRPr="00104AEE">
        <w:rPr>
          <w:lang w:val="en-US"/>
        </w:rPr>
        <w:t>and</w:t>
      </w:r>
      <w:r w:rsidRPr="00A86F53">
        <w:rPr>
          <w:lang w:val="en-GB"/>
        </w:rPr>
        <w:t xml:space="preserve"> Work” programme focuses on informing companies about equality/integration measures and their voluntary implementation, particularly by means of a private label award (a state award one was rejected).</w:t>
      </w:r>
      <w:r w:rsidRPr="00A86F53">
        <w:rPr>
          <w:vertAlign w:val="superscript"/>
          <w:lang w:val="en-GB"/>
        </w:rPr>
        <w:footnoteReference w:id="270"/>
      </w:r>
      <w:r w:rsidRPr="00A86F53">
        <w:rPr>
          <w:lang w:val="en-GB"/>
        </w:rPr>
        <w:t xml:space="preserve"> </w:t>
      </w:r>
    </w:p>
    <w:p w14:paraId="2C13AADA" w14:textId="5E278179" w:rsidR="00B205C7" w:rsidRPr="0001096E" w:rsidRDefault="00B205C7" w:rsidP="00F61F09">
      <w:pPr>
        <w:pStyle w:val="BodyText"/>
        <w:rPr>
          <w:lang w:val="en-GB"/>
        </w:rPr>
      </w:pPr>
      <w:r w:rsidRPr="00A86F53">
        <w:rPr>
          <w:lang w:val="en-GB"/>
        </w:rPr>
        <w:t xml:space="preserve">A further structural obstacle is finally the </w:t>
      </w:r>
      <w:r w:rsidRPr="00A86F53">
        <w:rPr>
          <w:b/>
          <w:lang w:val="en-GB"/>
        </w:rPr>
        <w:t>inadequate protection against discrimination provided</w:t>
      </w:r>
      <w:r w:rsidRPr="00A86F53">
        <w:rPr>
          <w:lang w:val="en-GB"/>
        </w:rPr>
        <w:t xml:space="preserve"> to PWD in the workplace (LoI para. 22b). </w:t>
      </w:r>
    </w:p>
    <w:p w14:paraId="7227BD5E" w14:textId="6AEEB18C" w:rsidR="00AD6133" w:rsidRDefault="00082D01" w:rsidP="00B205C7">
      <w:pPr>
        <w:pStyle w:val="BalloonText"/>
        <w:ind w:left="284" w:right="281"/>
        <w:rPr>
          <w:lang w:val="en-GB"/>
        </w:rPr>
      </w:pPr>
      <w:r w:rsidRPr="0001096E">
        <w:rPr>
          <w:lang w:val="en-GB"/>
        </w:rPr>
        <w:t>Unlike the non-discrimination clause in the GEA, the one in the DDA does not apply to private employment agreements.</w:t>
      </w:r>
    </w:p>
    <w:p w14:paraId="621E2F09" w14:textId="35D438B3" w:rsidR="00B205C7" w:rsidRPr="00B205C7" w:rsidRDefault="00B205C7" w:rsidP="00F61F09">
      <w:pPr>
        <w:spacing w:after="240"/>
        <w:rPr>
          <w:lang w:val="en-GB"/>
        </w:rPr>
      </w:pPr>
      <w:r w:rsidRPr="00F61F09">
        <w:rPr>
          <w:lang w:val="en-GB"/>
        </w:rPr>
        <w:t xml:space="preserve">As with Article 5 CRPD, the FC acknowledged in a postulate report of 2016 the need for action regarding the protection of PWD against discrimination by private </w:t>
      </w:r>
      <w:r w:rsidR="00F61F09">
        <w:rPr>
          <w:lang w:val="en-GB"/>
        </w:rPr>
        <w:t>entitie</w:t>
      </w:r>
      <w:r w:rsidRPr="00F61F09">
        <w:rPr>
          <w:lang w:val="en-GB"/>
        </w:rPr>
        <w:t>s, and thus also in</w:t>
      </w:r>
      <w:r w:rsidR="00F61F09">
        <w:rPr>
          <w:lang w:val="en-GB"/>
        </w:rPr>
        <w:t xml:space="preserve"> working life. However, in the “Equality and Work” </w:t>
      </w:r>
      <w:r w:rsidRPr="00F61F09">
        <w:rPr>
          <w:lang w:val="en-GB"/>
        </w:rPr>
        <w:t>programme, the same FC report was utilised as justification for an expansion of legal protection “not being a priority”.</w:t>
      </w:r>
      <w:r w:rsidRPr="00F61F09">
        <w:rPr>
          <w:rStyle w:val="FootnoteReference"/>
          <w:lang w:val="en-GB"/>
        </w:rPr>
        <w:footnoteReference w:id="271"/>
      </w:r>
      <w:r>
        <w:rPr>
          <w:lang w:val="en-GB"/>
        </w:rPr>
        <w:t xml:space="preserve"> </w:t>
      </w:r>
      <w:r w:rsidRPr="00A86F53">
        <w:rPr>
          <w:lang w:val="en-GB"/>
        </w:rPr>
        <w:t xml:space="preserve">Thus far, PWD's efforts to invoke the private-law provisions specified in para. 70 Reply to LoI have proven largely unsuccessful. There are no effective legal remedies available to them against discrimination in the application procedure, recruitment, during the employment </w:t>
      </w:r>
      <w:r w:rsidRPr="00A86F53">
        <w:rPr>
          <w:lang w:val="en-GB"/>
        </w:rPr>
        <w:lastRenderedPageBreak/>
        <w:t>relationship and its termination,</w:t>
      </w:r>
      <w:r w:rsidRPr="00A86F53">
        <w:rPr>
          <w:rFonts w:eastAsia="Cambria" w:cs="Times New Roman"/>
          <w:vertAlign w:val="superscript"/>
          <w:lang w:val="en-GB"/>
        </w:rPr>
        <w:footnoteReference w:id="272"/>
      </w:r>
      <w:r w:rsidRPr="00A86F53">
        <w:rPr>
          <w:lang w:val="en-GB"/>
        </w:rPr>
        <w:t xml:space="preserve"> particularly in the form of </w:t>
      </w:r>
      <w:r w:rsidR="00F61F09" w:rsidRPr="00F61F09">
        <w:rPr>
          <w:b/>
          <w:lang w:val="en-GB"/>
        </w:rPr>
        <w:t>denial of</w:t>
      </w:r>
      <w:r w:rsidR="00F61F09">
        <w:rPr>
          <w:lang w:val="en-GB"/>
        </w:rPr>
        <w:t xml:space="preserve"> </w:t>
      </w:r>
      <w:r w:rsidR="00F61F09">
        <w:rPr>
          <w:b/>
          <w:lang w:val="en-GB"/>
        </w:rPr>
        <w:t>reasonable accommodation</w:t>
      </w:r>
      <w:r w:rsidRPr="00A86F53">
        <w:rPr>
          <w:lang w:val="en-GB"/>
        </w:rPr>
        <w:t xml:space="preserve">. </w:t>
      </w:r>
      <w:r w:rsidRPr="002E4D6E">
        <w:rPr>
          <w:lang w:val="en-GB"/>
        </w:rPr>
        <w:t>In 2019,</w:t>
      </w:r>
      <w:r w:rsidRPr="00A86F53">
        <w:rPr>
          <w:lang w:val="en-GB"/>
        </w:rPr>
        <w:t xml:space="preserve"> PWD’s job satisfaction was significantly lower than that of people without disabilities. They were more at risk of discrimination or violence,</w:t>
      </w:r>
      <w:r w:rsidRPr="00A86F53">
        <w:rPr>
          <w:rFonts w:eastAsia="Cambria" w:cs="Times New Roman"/>
          <w:vertAlign w:val="superscript"/>
          <w:lang w:val="en-GB"/>
        </w:rPr>
        <w:footnoteReference w:id="273"/>
      </w:r>
      <w:r w:rsidRPr="002E4D6E">
        <w:rPr>
          <w:rFonts w:eastAsia="Times New Roman"/>
          <w:lang w:val="en-GB"/>
        </w:rPr>
        <w:t xml:space="preserve"> </w:t>
      </w:r>
      <w:r w:rsidRPr="00A86F53">
        <w:rPr>
          <w:lang w:val="en-GB"/>
        </w:rPr>
        <w:t>and in 2014, they less often worked full-time or as supervisors but instead more often worked in precarious work situations.</w:t>
      </w:r>
      <w:r w:rsidRPr="00A86F53">
        <w:rPr>
          <w:rFonts w:eastAsia="Cambria" w:cs="Times New Roman"/>
          <w:vertAlign w:val="superscript"/>
          <w:lang w:val="en-GB"/>
        </w:rPr>
        <w:footnoteReference w:id="274"/>
      </w:r>
      <w:r w:rsidRPr="00A86F53">
        <w:rPr>
          <w:lang w:val="en-GB"/>
        </w:rPr>
        <w:t xml:space="preserve"> </w:t>
      </w:r>
    </w:p>
    <w:p w14:paraId="681CA4BE" w14:textId="73B97355" w:rsidR="00B30BCF" w:rsidRPr="0001096E" w:rsidRDefault="00082D01" w:rsidP="00B30BCF">
      <w:pPr>
        <w:pStyle w:val="Subtitle"/>
        <w:rPr>
          <w:lang w:val="en-GB"/>
        </w:rPr>
      </w:pPr>
      <w:r w:rsidRPr="0001096E">
        <w:rPr>
          <w:lang w:val="en-GB"/>
        </w:rPr>
        <w:t>Inadequate individual support measures</w:t>
      </w:r>
    </w:p>
    <w:p w14:paraId="6C49D7DE" w14:textId="4954D675" w:rsidR="00B205C7" w:rsidRPr="002E4D6E" w:rsidRDefault="00B205C7" w:rsidP="002E4D6E">
      <w:pPr>
        <w:spacing w:after="60"/>
        <w:rPr>
          <w:rFonts w:ascii="Helvetica" w:hAnsi="Helvetica" w:cs="Helvetica"/>
          <w:color w:val="000000"/>
          <w:shd w:val="clear" w:color="auto" w:fill="FFFFFF"/>
          <w:lang w:val="en-US"/>
        </w:rPr>
      </w:pPr>
      <w:r w:rsidRPr="002E4D6E">
        <w:rPr>
          <w:lang w:val="en-GB"/>
        </w:rPr>
        <w:t xml:space="preserve">In the case of re-integrations, even the </w:t>
      </w:r>
      <w:r w:rsidRPr="002E4D6E">
        <w:rPr>
          <w:lang w:val="en-US"/>
        </w:rPr>
        <w:t xml:space="preserve">prerequisites for entitlement in the Act as well as in the application guidelines of the FSIO are narrowly defined. In reference to integration and support measures of </w:t>
      </w:r>
      <w:r w:rsidRPr="002E4D6E">
        <w:rPr>
          <w:b/>
          <w:bCs/>
          <w:lang w:val="en-US"/>
        </w:rPr>
        <w:t>invalidity insurance</w:t>
      </w:r>
      <w:r w:rsidRPr="002E4D6E">
        <w:rPr>
          <w:lang w:val="en-US"/>
        </w:rPr>
        <w:t xml:space="preserve"> in general, the following deficiencies </w:t>
      </w:r>
      <w:r w:rsidR="002E4D6E" w:rsidRPr="002E4D6E">
        <w:rPr>
          <w:lang w:val="en-US"/>
        </w:rPr>
        <w:t xml:space="preserve">also </w:t>
      </w:r>
      <w:r w:rsidRPr="002E4D6E">
        <w:rPr>
          <w:lang w:val="en-US"/>
        </w:rPr>
        <w:t>persist in the revised InvIA:</w:t>
      </w:r>
    </w:p>
    <w:p w14:paraId="016FAC1D" w14:textId="77777777" w:rsidR="0040614B" w:rsidRDefault="00B205C7" w:rsidP="0040614B">
      <w:pPr>
        <w:pStyle w:val="Aufzhlung"/>
        <w:numPr>
          <w:ilvl w:val="0"/>
          <w:numId w:val="50"/>
        </w:numPr>
        <w:ind w:left="425" w:hanging="357"/>
        <w:rPr>
          <w:rFonts w:ascii="Helvetica" w:hAnsi="Helvetica" w:cs="Helvetica"/>
          <w:color w:val="000000"/>
          <w:shd w:val="clear" w:color="auto" w:fill="FFFFFF"/>
        </w:rPr>
      </w:pPr>
      <w:r>
        <w:t>s</w:t>
      </w:r>
      <w:r w:rsidRPr="00A86F53">
        <w:t xml:space="preserve">ignificant differences among the </w:t>
      </w:r>
      <w:r w:rsidRPr="002E4D6E">
        <w:t xml:space="preserve">cantons in terms of approval </w:t>
      </w:r>
    </w:p>
    <w:p w14:paraId="4895C4E0" w14:textId="394BF3D7" w:rsidR="00B205C7" w:rsidRPr="0040614B" w:rsidRDefault="002E4D6E" w:rsidP="0040614B">
      <w:pPr>
        <w:pStyle w:val="Aufzhlung"/>
        <w:numPr>
          <w:ilvl w:val="0"/>
          <w:numId w:val="50"/>
        </w:numPr>
        <w:ind w:left="425" w:hanging="357"/>
        <w:rPr>
          <w:rFonts w:ascii="Helvetica" w:hAnsi="Helvetica" w:cs="Helvetica"/>
          <w:color w:val="000000"/>
          <w:shd w:val="clear" w:color="auto" w:fill="FFFFFF"/>
        </w:rPr>
      </w:pPr>
      <w:r>
        <w:t xml:space="preserve">cost ceilings; </w:t>
      </w:r>
      <w:r w:rsidR="0040614B" w:rsidRPr="0040614B">
        <w:t xml:space="preserve">quantitative limitation </w:t>
      </w:r>
      <w:r w:rsidR="00B205C7" w:rsidRPr="00A86F53">
        <w:t xml:space="preserve">of </w:t>
      </w:r>
      <w:r>
        <w:t>assistive devices</w:t>
      </w:r>
      <w:r w:rsidR="00B205C7" w:rsidRPr="00A86F53">
        <w:t>/</w:t>
      </w:r>
      <w:r w:rsidR="0040614B">
        <w:t xml:space="preserve"> </w:t>
      </w:r>
      <w:r w:rsidR="00B205C7" w:rsidRPr="00A86F53">
        <w:t>services</w:t>
      </w:r>
    </w:p>
    <w:p w14:paraId="34AE9DF1" w14:textId="75473A44" w:rsidR="00B205C7" w:rsidRPr="00A86F53" w:rsidRDefault="00B205C7" w:rsidP="00B205C7">
      <w:pPr>
        <w:pStyle w:val="Aufzhlung"/>
        <w:numPr>
          <w:ilvl w:val="0"/>
          <w:numId w:val="50"/>
        </w:numPr>
        <w:ind w:left="426"/>
        <w:rPr>
          <w:rFonts w:ascii="Helvetica" w:hAnsi="Helvetica" w:cs="Helvetica"/>
          <w:color w:val="000000"/>
          <w:shd w:val="clear" w:color="auto" w:fill="FFFFFF"/>
        </w:rPr>
      </w:pPr>
      <w:r>
        <w:t>a</w:t>
      </w:r>
      <w:r w:rsidRPr="00A86F53">
        <w:t>ssistance contribution in day-to-day work: low amounts, difficult to access (Art. 19 CRPD)</w:t>
      </w:r>
    </w:p>
    <w:p w14:paraId="29EDF4DA" w14:textId="48933079" w:rsidR="00B205C7" w:rsidRPr="00A86F53" w:rsidRDefault="00B205C7" w:rsidP="00B205C7">
      <w:pPr>
        <w:pStyle w:val="Aufzhlung"/>
        <w:numPr>
          <w:ilvl w:val="0"/>
          <w:numId w:val="50"/>
        </w:numPr>
        <w:ind w:left="426"/>
        <w:rPr>
          <w:rFonts w:ascii="Helvetica" w:hAnsi="Helvetica" w:cs="Helvetica"/>
          <w:color w:val="000000"/>
          <w:shd w:val="clear" w:color="auto" w:fill="FFFFFF"/>
        </w:rPr>
      </w:pPr>
      <w:r>
        <w:t>n</w:t>
      </w:r>
      <w:r w:rsidRPr="00A86F53">
        <w:t>o long-term job coaching / advice or support (max. 3 years</w:t>
      </w:r>
      <w:r w:rsidRPr="00A86F53">
        <w:rPr>
          <w:rFonts w:cs="Times New Roman"/>
          <w:vertAlign w:val="superscript"/>
        </w:rPr>
        <w:footnoteReference w:id="275"/>
      </w:r>
      <w:r w:rsidRPr="00A86F53">
        <w:t>)</w:t>
      </w:r>
    </w:p>
    <w:p w14:paraId="28D721EB" w14:textId="51B76FD7" w:rsidR="00B205C7" w:rsidRPr="00A86F53" w:rsidRDefault="00B205C7" w:rsidP="00B205C7">
      <w:pPr>
        <w:pStyle w:val="Aufzhlung"/>
        <w:numPr>
          <w:ilvl w:val="0"/>
          <w:numId w:val="50"/>
        </w:numPr>
        <w:ind w:left="426"/>
        <w:rPr>
          <w:rFonts w:ascii="Helvetica" w:hAnsi="Helvetica" w:cs="Helvetica"/>
          <w:color w:val="000000"/>
          <w:shd w:val="clear" w:color="auto" w:fill="FFFFFF"/>
        </w:rPr>
      </w:pPr>
      <w:r>
        <w:t>i</w:t>
      </w:r>
      <w:r w:rsidRPr="00A86F53">
        <w:t xml:space="preserve">nadequate and stereotypical retraining, hardly any further training </w:t>
      </w:r>
    </w:p>
    <w:p w14:paraId="24791AF2" w14:textId="77777777" w:rsidR="0061524A" w:rsidRDefault="00B205C7" w:rsidP="0061524A">
      <w:pPr>
        <w:pStyle w:val="Aufzhlung"/>
        <w:numPr>
          <w:ilvl w:val="0"/>
          <w:numId w:val="50"/>
        </w:numPr>
        <w:ind w:left="426"/>
        <w:rPr>
          <w:rFonts w:ascii="Helvetica" w:hAnsi="Helvetica" w:cs="Helvetica"/>
          <w:color w:val="000000"/>
          <w:shd w:val="clear" w:color="auto" w:fill="FFFFFF"/>
        </w:rPr>
      </w:pPr>
      <w:r>
        <w:t>l</w:t>
      </w:r>
      <w:r w:rsidRPr="00A86F53">
        <w:t xml:space="preserve">ack of active and long-term support for job seekers </w:t>
      </w:r>
    </w:p>
    <w:p w14:paraId="1EA51E54" w14:textId="49D23CD7" w:rsidR="00B205C7" w:rsidRPr="0061524A" w:rsidRDefault="0061524A" w:rsidP="0061524A">
      <w:pPr>
        <w:pStyle w:val="Aufzhlung"/>
        <w:numPr>
          <w:ilvl w:val="0"/>
          <w:numId w:val="50"/>
        </w:numPr>
        <w:ind w:left="426"/>
        <w:rPr>
          <w:rFonts w:ascii="Helvetica" w:hAnsi="Helvetica" w:cs="Helvetica"/>
          <w:color w:val="000000"/>
          <w:shd w:val="clear" w:color="auto" w:fill="FFFFFF"/>
        </w:rPr>
      </w:pPr>
      <w:r w:rsidRPr="0061524A">
        <w:rPr>
          <w:rFonts w:ascii="Helvetica" w:hAnsi="Helvetica" w:cs="Helvetica"/>
          <w:color w:val="000000"/>
          <w:shd w:val="clear" w:color="auto" w:fill="FFFFFF"/>
        </w:rPr>
        <w:t>no wage subsidies to employers in order to compensate for increased effective working time due to disability</w:t>
      </w:r>
      <w:r w:rsidR="00B205C7" w:rsidRPr="0061524A">
        <w:rPr>
          <w:rStyle w:val="FootnoteReference"/>
        </w:rPr>
        <w:footnoteReference w:id="276"/>
      </w:r>
    </w:p>
    <w:p w14:paraId="2C8A7B77" w14:textId="6BF3459C" w:rsidR="00AD6133" w:rsidRPr="0001096E" w:rsidRDefault="00B205C7" w:rsidP="00B205C7">
      <w:pPr>
        <w:pStyle w:val="BodyText"/>
        <w:rPr>
          <w:lang w:val="en-GB"/>
        </w:rPr>
      </w:pPr>
      <w:r w:rsidRPr="00A86F53">
        <w:rPr>
          <w:lang w:val="en-GB"/>
        </w:rPr>
        <w:lastRenderedPageBreak/>
        <w:t xml:space="preserve">For </w:t>
      </w:r>
      <w:r w:rsidRPr="00A86F53">
        <w:rPr>
          <w:b/>
          <w:lang w:val="en-GB"/>
        </w:rPr>
        <w:t>cantonal support contributions</w:t>
      </w:r>
      <w:r w:rsidR="00F70B27">
        <w:rPr>
          <w:b/>
          <w:lang w:val="en-GB"/>
        </w:rPr>
        <w:t>/ allowances</w:t>
      </w:r>
      <w:r w:rsidRPr="00A86F53">
        <w:rPr>
          <w:lang w:val="en-GB"/>
        </w:rPr>
        <w:t xml:space="preserve"> in the area of employment, similar restrictions </w:t>
      </w:r>
      <w:r w:rsidR="00F70B27">
        <w:rPr>
          <w:lang w:val="en-GB"/>
        </w:rPr>
        <w:t xml:space="preserve">as </w:t>
      </w:r>
      <w:r w:rsidRPr="00A86F53">
        <w:rPr>
          <w:lang w:val="en-GB"/>
        </w:rPr>
        <w:t>on housing apply. In addition, they are set at a low level, just like the IV assistance contribution.</w:t>
      </w:r>
    </w:p>
    <w:p w14:paraId="0D23D5CD" w14:textId="471FFC54" w:rsidR="00B30BCF" w:rsidRPr="0001096E" w:rsidRDefault="00082D01" w:rsidP="00B30BCF">
      <w:pPr>
        <w:pStyle w:val="Subtitle"/>
        <w:rPr>
          <w:lang w:val="en-GB"/>
        </w:rPr>
      </w:pPr>
      <w:r w:rsidRPr="0001096E">
        <w:rPr>
          <w:lang w:val="en-GB"/>
        </w:rPr>
        <w:t>Women with disabilities</w:t>
      </w:r>
      <w:r w:rsidR="00AD6133" w:rsidRPr="0001096E">
        <w:rPr>
          <w:lang w:val="en-GB"/>
        </w:rPr>
        <w:t xml:space="preserve"> (LoI 22</w:t>
      </w:r>
      <w:r w:rsidR="00B30BCF" w:rsidRPr="0001096E">
        <w:rPr>
          <w:lang w:val="en-GB"/>
        </w:rPr>
        <w:t>d)</w:t>
      </w:r>
    </w:p>
    <w:p w14:paraId="65A1BE39" w14:textId="785972B7" w:rsidR="00B205C7" w:rsidRPr="00A86F53" w:rsidRDefault="00B205C7" w:rsidP="00B205C7">
      <w:pPr>
        <w:pStyle w:val="BodyText"/>
        <w:rPr>
          <w:lang w:val="en-GB"/>
        </w:rPr>
      </w:pPr>
      <w:r w:rsidRPr="00F70B27">
        <w:rPr>
          <w:lang w:val="en-GB"/>
        </w:rPr>
        <w:t xml:space="preserve">The percentage of persons living in private households and </w:t>
      </w:r>
      <w:r w:rsidRPr="00F70B27">
        <w:rPr>
          <w:b/>
          <w:lang w:val="en-GB"/>
        </w:rPr>
        <w:t>participating in the labour market</w:t>
      </w:r>
      <w:r w:rsidRPr="00F70B27">
        <w:rPr>
          <w:lang w:val="en-GB"/>
        </w:rPr>
        <w:t xml:space="preserve"> is </w:t>
      </w:r>
      <w:r w:rsidRPr="00F70B27">
        <w:rPr>
          <w:b/>
          <w:lang w:val="en-GB"/>
        </w:rPr>
        <w:t>significantly lower</w:t>
      </w:r>
      <w:r w:rsidRPr="00F70B27">
        <w:rPr>
          <w:lang w:val="en-GB"/>
        </w:rPr>
        <w:t xml:space="preserve"> for women with disabilities than for men with and women without disabilities</w:t>
      </w:r>
      <w:r w:rsidRPr="00F70B27">
        <w:rPr>
          <w:rFonts w:eastAsia="Calibri"/>
          <w:lang w:val="en-GB"/>
        </w:rPr>
        <w:t>.</w:t>
      </w:r>
      <w:r w:rsidRPr="00F70B27">
        <w:rPr>
          <w:rFonts w:eastAsia="Calibri" w:cs="Times New Roman"/>
          <w:vertAlign w:val="superscript"/>
          <w:lang w:val="en-GB"/>
        </w:rPr>
        <w:footnoteReference w:id="277"/>
      </w:r>
      <w:r w:rsidRPr="00F70B27">
        <w:rPr>
          <w:lang w:val="en-GB"/>
        </w:rPr>
        <w:t xml:space="preserve"> Women</w:t>
      </w:r>
      <w:r w:rsidRPr="00A86F53">
        <w:rPr>
          <w:lang w:val="en-GB"/>
        </w:rPr>
        <w:t xml:space="preserve"> with disabilities are also the worst off in relation to full-time</w:t>
      </w:r>
      <w:r w:rsidRPr="00A86F53">
        <w:rPr>
          <w:rFonts w:eastAsia="MS Gothic" w:cs="Times New Roman"/>
          <w:vertAlign w:val="superscript"/>
          <w:lang w:val="en-GB"/>
        </w:rPr>
        <w:footnoteReference w:id="278"/>
      </w:r>
      <w:r w:rsidRPr="00A86F53">
        <w:rPr>
          <w:lang w:val="en-GB"/>
        </w:rPr>
        <w:t xml:space="preserve"> and managerial positions, precarious working conditions</w:t>
      </w:r>
      <w:r w:rsidRPr="00A86F53">
        <w:rPr>
          <w:rFonts w:eastAsia="MS Gothic" w:cs="Times New Roman"/>
          <w:vertAlign w:val="superscript"/>
          <w:lang w:val="en-GB"/>
        </w:rPr>
        <w:footnoteReference w:id="279"/>
      </w:r>
      <w:r w:rsidRPr="00A86F53">
        <w:rPr>
          <w:lang w:val="en-GB"/>
        </w:rPr>
        <w:t xml:space="preserve"> and workplace discrimination/violence.</w:t>
      </w:r>
      <w:r w:rsidRPr="00A86F53">
        <w:rPr>
          <w:rFonts w:eastAsia="MS Gothic" w:cs="Times New Roman"/>
          <w:vertAlign w:val="superscript"/>
          <w:lang w:val="en-GB"/>
        </w:rPr>
        <w:footnoteReference w:id="280"/>
      </w:r>
      <w:r w:rsidRPr="00A86F53">
        <w:rPr>
          <w:lang w:val="en-GB"/>
        </w:rPr>
        <w:t xml:space="preserve"> Low wages and part-time work result in disadvantages under the occupational pension schemes.</w:t>
      </w:r>
      <w:r w:rsidRPr="00A86F53">
        <w:rPr>
          <w:rFonts w:eastAsia="Calibri" w:cs="Times New Roman"/>
          <w:vertAlign w:val="superscript"/>
          <w:lang w:val="en-GB"/>
        </w:rPr>
        <w:footnoteReference w:id="281"/>
      </w:r>
      <w:r w:rsidRPr="00A86F53">
        <w:rPr>
          <w:lang w:val="en-GB"/>
        </w:rPr>
        <w:t xml:space="preserve"> </w:t>
      </w:r>
    </w:p>
    <w:p w14:paraId="090B721E" w14:textId="2A22D740" w:rsidR="00B205C7" w:rsidRPr="00A86F53" w:rsidRDefault="00B205C7" w:rsidP="00B205C7">
      <w:pPr>
        <w:pStyle w:val="BodyText"/>
        <w:rPr>
          <w:lang w:val="en-GB"/>
        </w:rPr>
      </w:pPr>
      <w:r w:rsidRPr="00A86F53">
        <w:rPr>
          <w:lang w:val="en-GB"/>
        </w:rPr>
        <w:t xml:space="preserve">Despite the </w:t>
      </w:r>
      <w:r w:rsidRPr="00F70B27">
        <w:rPr>
          <w:lang w:val="en-GB"/>
        </w:rPr>
        <w:t>higher proportion of women in PWD of working age</w:t>
      </w:r>
      <w:r w:rsidRPr="00F70B27">
        <w:rPr>
          <w:rFonts w:eastAsia="Cambria" w:cs="Times New Roman"/>
          <w:vertAlign w:val="superscript"/>
          <w:lang w:val="en-GB"/>
        </w:rPr>
        <w:footnoteReference w:id="282"/>
      </w:r>
      <w:r w:rsidRPr="00F70B27">
        <w:rPr>
          <w:rFonts w:eastAsia="Cambria" w:cs="Times New Roman"/>
          <w:vertAlign w:val="superscript"/>
          <w:lang w:val="en-GB"/>
        </w:rPr>
        <w:t xml:space="preserve"> </w:t>
      </w:r>
      <w:r w:rsidRPr="00F70B27">
        <w:rPr>
          <w:lang w:val="en-GB"/>
        </w:rPr>
        <w:t>and the urgent need,</w:t>
      </w:r>
      <w:r w:rsidRPr="00F70B27">
        <w:rPr>
          <w:rFonts w:eastAsia="Calibri" w:cs="Times New Roman"/>
          <w:vertAlign w:val="superscript"/>
          <w:lang w:val="en-GB"/>
        </w:rPr>
        <w:footnoteReference w:id="283"/>
      </w:r>
      <w:r w:rsidRPr="00F70B27">
        <w:rPr>
          <w:rFonts w:eastAsia="Calibri" w:cs="Times New Roman"/>
          <w:vertAlign w:val="superscript"/>
          <w:lang w:val="en-GB"/>
        </w:rPr>
        <w:t xml:space="preserve"> </w:t>
      </w:r>
      <w:r w:rsidRPr="00F70B27">
        <w:rPr>
          <w:lang w:val="en-GB"/>
        </w:rPr>
        <w:t>women received</w:t>
      </w:r>
      <w:r w:rsidR="00F70B27">
        <w:rPr>
          <w:lang w:val="en-GB"/>
        </w:rPr>
        <w:t xml:space="preserve"> </w:t>
      </w:r>
      <w:r w:rsidRPr="00F70B27">
        <w:rPr>
          <w:lang w:val="en-GB"/>
        </w:rPr>
        <w:t xml:space="preserve">much </w:t>
      </w:r>
      <w:r w:rsidRPr="00F70B27">
        <w:rPr>
          <w:b/>
          <w:lang w:val="en-GB"/>
        </w:rPr>
        <w:t>lower levels of financial support</w:t>
      </w:r>
      <w:r w:rsidRPr="00F70B27">
        <w:rPr>
          <w:lang w:val="en-GB"/>
        </w:rPr>
        <w:t xml:space="preserve"> for vocational training in 2018.</w:t>
      </w:r>
      <w:r w:rsidRPr="00F70B27">
        <w:rPr>
          <w:rFonts w:eastAsia="Calibri" w:cs="Times New Roman"/>
          <w:vertAlign w:val="superscript"/>
          <w:lang w:val="en-GB"/>
        </w:rPr>
        <w:footnoteReference w:id="284"/>
      </w:r>
      <w:r w:rsidRPr="00F70B27">
        <w:rPr>
          <w:lang w:val="en-GB"/>
        </w:rPr>
        <w:t xml:space="preserve"> However</w:t>
      </w:r>
      <w:r w:rsidRPr="00A86F53">
        <w:rPr>
          <w:lang w:val="en-GB"/>
        </w:rPr>
        <w:t>, sufficiently sophisticated statistics on the participation of women with different disabilities in the labour market are lack</w:t>
      </w:r>
      <w:r w:rsidRPr="00A86F53">
        <w:rPr>
          <w:lang w:val="en-GB"/>
        </w:rPr>
        <w:lastRenderedPageBreak/>
        <w:t xml:space="preserve">ing. Contrary to the Committee’s request, Switzerland did not provide any information in its </w:t>
      </w:r>
      <w:r w:rsidR="00F70B27">
        <w:rPr>
          <w:lang w:val="en-GB"/>
        </w:rPr>
        <w:t xml:space="preserve">Reply to </w:t>
      </w:r>
      <w:r w:rsidRPr="00A86F53">
        <w:rPr>
          <w:lang w:val="en-GB"/>
        </w:rPr>
        <w:t xml:space="preserve">LoI regarding the reintegration of women with disabilities (para. 73). </w:t>
      </w:r>
    </w:p>
    <w:p w14:paraId="5E07E45E" w14:textId="0B759668" w:rsidR="00AD6133" w:rsidRPr="0001096E" w:rsidRDefault="00B205C7" w:rsidP="00B205C7">
      <w:pPr>
        <w:pStyle w:val="BodyText"/>
        <w:rPr>
          <w:lang w:val="en-GB"/>
        </w:rPr>
      </w:pPr>
      <w:r w:rsidRPr="00A86F53">
        <w:rPr>
          <w:lang w:val="en-GB"/>
        </w:rPr>
        <w:t xml:space="preserve">Switzerland did not answer </w:t>
      </w:r>
      <w:r w:rsidR="003950DD">
        <w:rPr>
          <w:lang w:val="en-GB"/>
        </w:rPr>
        <w:t xml:space="preserve">either </w:t>
      </w:r>
      <w:r w:rsidRPr="00A86F53">
        <w:rPr>
          <w:lang w:val="en-GB"/>
        </w:rPr>
        <w:t xml:space="preserve">the question of </w:t>
      </w:r>
      <w:r w:rsidRPr="003950DD">
        <w:rPr>
          <w:b/>
          <w:lang w:val="en-GB"/>
        </w:rPr>
        <w:t xml:space="preserve">targeted measures to create employment opportunities </w:t>
      </w:r>
      <w:r w:rsidRPr="00A86F53">
        <w:rPr>
          <w:lang w:val="en-GB"/>
        </w:rPr>
        <w:t>for women with disabilities in accordance with the CEDAW recommendation, as such measures do not exist. Even research and awareness-raising measures planned 20 years ago were never carried out as planned.</w:t>
      </w:r>
      <w:r w:rsidRPr="00A86F53">
        <w:rPr>
          <w:rFonts w:eastAsia="MS Gothic" w:cs="Times New Roman"/>
          <w:vertAlign w:val="superscript"/>
          <w:lang w:val="en-GB"/>
        </w:rPr>
        <w:footnoteReference w:id="285"/>
      </w:r>
      <w:r w:rsidRPr="00A86F53">
        <w:rPr>
          <w:lang w:val="en-GB"/>
        </w:rPr>
        <w:t xml:space="preserve"> Only the FBED financed a project on stereotypical job profiles and the independent choice of a career by women with disabilities, but otherwise did not pursue the issue further.</w:t>
      </w:r>
      <w:r w:rsidRPr="00A86F53">
        <w:rPr>
          <w:rFonts w:eastAsia="Cambria" w:cs="Times New Roman"/>
          <w:vertAlign w:val="superscript"/>
          <w:lang w:val="en-GB"/>
        </w:rPr>
        <w:footnoteReference w:id="286"/>
      </w:r>
      <w:r w:rsidRPr="00A86F53">
        <w:rPr>
          <w:lang w:val="en-GB"/>
        </w:rPr>
        <w:t xml:space="preserve"> </w:t>
      </w:r>
    </w:p>
    <w:p w14:paraId="4118C9CD" w14:textId="0517C55E" w:rsidR="00B30BCF" w:rsidRPr="0001096E" w:rsidRDefault="00082D01" w:rsidP="00B30BCF">
      <w:pPr>
        <w:shd w:val="clear" w:color="auto" w:fill="FFFFCC"/>
        <w:rPr>
          <w:b/>
          <w:lang w:val="en-GB"/>
        </w:rPr>
      </w:pPr>
      <w:r w:rsidRPr="0001096E">
        <w:rPr>
          <w:b/>
          <w:lang w:val="en-GB"/>
        </w:rPr>
        <w:t>Proposals for recommendations:</w:t>
      </w:r>
    </w:p>
    <w:p w14:paraId="120B358A" w14:textId="05E6BA54" w:rsidR="00B205C7" w:rsidRPr="0041432A" w:rsidRDefault="00B205C7" w:rsidP="00B205C7">
      <w:pPr>
        <w:pStyle w:val="SBEmpfehlungen"/>
      </w:pPr>
      <w:r w:rsidRPr="00B205C7">
        <w:t xml:space="preserve">The </w:t>
      </w:r>
      <w:r w:rsidRPr="0041432A">
        <w:rPr>
          <w:b/>
        </w:rPr>
        <w:t>FBED, FSIO, CDSS and SECO</w:t>
      </w:r>
      <w:r w:rsidRPr="00B205C7">
        <w:t xml:space="preserve">, accompanied by international experts with the systematic </w:t>
      </w:r>
      <w:r w:rsidR="0041432A">
        <w:t xml:space="preserve">involvement </w:t>
      </w:r>
      <w:r w:rsidRPr="00B205C7">
        <w:t xml:space="preserve">of PWD and </w:t>
      </w:r>
      <w:r w:rsidR="0041432A">
        <w:t>OPDs</w:t>
      </w:r>
      <w:r w:rsidRPr="00B205C7">
        <w:t xml:space="preserve">, shall develop an </w:t>
      </w:r>
      <w:r w:rsidRPr="0041432A">
        <w:rPr>
          <w:b/>
        </w:rPr>
        <w:t>action plan</w:t>
      </w:r>
      <w:r w:rsidRPr="00B205C7">
        <w:t xml:space="preserve"> for the Independent Living 2023-2026 programme which </w:t>
      </w:r>
      <w:r w:rsidR="0041432A">
        <w:t>contains the</w:t>
      </w:r>
      <w:r w:rsidRPr="00B205C7">
        <w:t xml:space="preserve"> currently most urgent steps for a </w:t>
      </w:r>
      <w:r w:rsidRPr="0041432A">
        <w:rPr>
          <w:b/>
        </w:rPr>
        <w:t>transition process from institutional to supported forms of work</w:t>
      </w:r>
      <w:r w:rsidRPr="00B205C7">
        <w:t xml:space="preserve"> in the open labour market. </w:t>
      </w:r>
      <w:r w:rsidRPr="0041432A">
        <w:t xml:space="preserve">This includes replacing IFEG with a law that ensures this systemic transformation as well as a plan to unbundle the division of tasks between the Confederation and the cantons </w:t>
      </w:r>
      <w:r w:rsidR="00A576CD">
        <w:t>in the outpatient sector</w:t>
      </w:r>
      <w:r w:rsidRPr="0041432A">
        <w:t xml:space="preserve">. </w:t>
      </w:r>
    </w:p>
    <w:p w14:paraId="53119F63" w14:textId="2CC51381" w:rsidR="00B205C7" w:rsidRPr="0041432A" w:rsidRDefault="00B205C7" w:rsidP="00B205C7">
      <w:pPr>
        <w:pStyle w:val="SBEmpfehlungen"/>
      </w:pPr>
      <w:r w:rsidRPr="0041432A">
        <w:t xml:space="preserve">In the second phase of the </w:t>
      </w:r>
      <w:r w:rsidRPr="00F052F2">
        <w:rPr>
          <w:b/>
        </w:rPr>
        <w:t>“Equality and Work” programme</w:t>
      </w:r>
      <w:r w:rsidRPr="0041432A">
        <w:t xml:space="preserve">, the </w:t>
      </w:r>
      <w:r w:rsidRPr="00F052F2">
        <w:rPr>
          <w:b/>
        </w:rPr>
        <w:t>FBED</w:t>
      </w:r>
      <w:r w:rsidRPr="0041432A">
        <w:t xml:space="preserve"> is dedicated to the goal of </w:t>
      </w:r>
      <w:r w:rsidRPr="00F052F2">
        <w:rPr>
          <w:b/>
        </w:rPr>
        <w:t xml:space="preserve">introducing quotas/binding targets for private employers </w:t>
      </w:r>
      <w:r w:rsidRPr="00F052F2">
        <w:t>throughout Switzerland for employing or creating jobs for PWD</w:t>
      </w:r>
      <w:r w:rsidRPr="0041432A">
        <w:t xml:space="preserve"> and </w:t>
      </w:r>
      <w:r w:rsidR="00F052F2">
        <w:t xml:space="preserve">to </w:t>
      </w:r>
      <w:r w:rsidRPr="00F052F2">
        <w:rPr>
          <w:b/>
        </w:rPr>
        <w:t>extending the scope of the DDA to private employment relationships</w:t>
      </w:r>
      <w:r w:rsidRPr="0041432A">
        <w:t>.</w:t>
      </w:r>
    </w:p>
    <w:p w14:paraId="661C71E7" w14:textId="77777777" w:rsidR="00B205C7" w:rsidRPr="0041432A" w:rsidRDefault="00B205C7" w:rsidP="00B205C7">
      <w:pPr>
        <w:pStyle w:val="SBEmpfehlungen"/>
      </w:pPr>
      <w:r w:rsidRPr="0041432A">
        <w:lastRenderedPageBreak/>
        <w:t xml:space="preserve">Together with the </w:t>
      </w:r>
      <w:r w:rsidRPr="00F052F2">
        <w:rPr>
          <w:b/>
        </w:rPr>
        <w:t>FOGE, the FBED, FSIO, CDSS and SECO</w:t>
      </w:r>
      <w:r w:rsidRPr="0041432A">
        <w:t xml:space="preserve"> shall implement targeted, verifiable measures in the sense of </w:t>
      </w:r>
      <w:r w:rsidRPr="00F052F2">
        <w:rPr>
          <w:b/>
          <w:i/>
        </w:rPr>
        <w:t>affirmative action</w:t>
      </w:r>
      <w:r w:rsidRPr="0041432A">
        <w:rPr>
          <w:i/>
        </w:rPr>
        <w:t xml:space="preserve"> </w:t>
      </w:r>
      <w:r w:rsidRPr="0041432A">
        <w:t xml:space="preserve">in order to enable </w:t>
      </w:r>
      <w:r w:rsidRPr="00F052F2">
        <w:rPr>
          <w:b/>
        </w:rPr>
        <w:t>women with disabilities</w:t>
      </w:r>
      <w:r w:rsidRPr="0041432A">
        <w:t xml:space="preserve"> to earn a reasonable wage working in the open labour market.</w:t>
      </w:r>
    </w:p>
    <w:p w14:paraId="6C4A9C0F" w14:textId="496D26A6" w:rsidR="00B205C7" w:rsidRPr="0041432A" w:rsidRDefault="00B205C7" w:rsidP="00B205C7">
      <w:pPr>
        <w:pStyle w:val="SBEmpfehlungen"/>
      </w:pPr>
      <w:r w:rsidRPr="0041432A">
        <w:t xml:space="preserve">Under the leadership of the </w:t>
      </w:r>
      <w:r w:rsidRPr="00F052F2">
        <w:rPr>
          <w:b/>
        </w:rPr>
        <w:t>CDSS</w:t>
      </w:r>
      <w:r w:rsidRPr="0041432A">
        <w:t xml:space="preserve">, the </w:t>
      </w:r>
      <w:r w:rsidRPr="00F052F2">
        <w:rPr>
          <w:b/>
        </w:rPr>
        <w:t>cantons</w:t>
      </w:r>
      <w:r w:rsidRPr="0041432A">
        <w:t xml:space="preserve"> shall revise their </w:t>
      </w:r>
      <w:r w:rsidRPr="00F052F2">
        <w:rPr>
          <w:b/>
        </w:rPr>
        <w:t>disability policies</w:t>
      </w:r>
      <w:r w:rsidRPr="0041432A">
        <w:t xml:space="preserve"> – including an action plan for the systematic transfer of resources from institutional to outpatient support services in the open labour market – and their </w:t>
      </w:r>
      <w:r w:rsidRPr="00F052F2">
        <w:rPr>
          <w:b/>
        </w:rPr>
        <w:t>legal bases</w:t>
      </w:r>
      <w:r w:rsidRPr="0041432A">
        <w:t xml:space="preserve">, and shall adapt </w:t>
      </w:r>
      <w:r w:rsidRPr="00F052F2">
        <w:rPr>
          <w:b/>
        </w:rPr>
        <w:t>financing models</w:t>
      </w:r>
      <w:r w:rsidRPr="0041432A">
        <w:t xml:space="preserve">, </w:t>
      </w:r>
      <w:r w:rsidR="00F052F2" w:rsidRPr="00F052F2">
        <w:rPr>
          <w:b/>
        </w:rPr>
        <w:t>demand</w:t>
      </w:r>
      <w:r w:rsidRPr="00F052F2">
        <w:rPr>
          <w:b/>
        </w:rPr>
        <w:t xml:space="preserve"> planning</w:t>
      </w:r>
      <w:r w:rsidRPr="0041432A">
        <w:t xml:space="preserve"> and </w:t>
      </w:r>
      <w:r w:rsidRPr="00F052F2">
        <w:rPr>
          <w:b/>
        </w:rPr>
        <w:t>service agreements</w:t>
      </w:r>
      <w:r w:rsidRPr="0041432A">
        <w:t>.</w:t>
      </w:r>
    </w:p>
    <w:p w14:paraId="1B2C3AC1" w14:textId="03DCDBA9" w:rsidR="00C2554B" w:rsidRPr="00C2554B" w:rsidRDefault="00B205C7" w:rsidP="001F5569">
      <w:pPr>
        <w:pStyle w:val="SBEmpfehlungen"/>
      </w:pPr>
      <w:r w:rsidRPr="0041432A">
        <w:t xml:space="preserve">The </w:t>
      </w:r>
      <w:r w:rsidRPr="00F052F2">
        <w:rPr>
          <w:b/>
        </w:rPr>
        <w:t>Confederation</w:t>
      </w:r>
      <w:r w:rsidRPr="0041432A">
        <w:t xml:space="preserve"> and the </w:t>
      </w:r>
      <w:r w:rsidRPr="00F052F2">
        <w:rPr>
          <w:b/>
        </w:rPr>
        <w:t>cantons</w:t>
      </w:r>
      <w:r w:rsidRPr="0041432A">
        <w:t xml:space="preserve"> shall bring about the conditions </w:t>
      </w:r>
      <w:r w:rsidR="001F5569" w:rsidRPr="00C2554B">
        <w:t xml:space="preserve">for the </w:t>
      </w:r>
      <w:r w:rsidR="001F5569" w:rsidRPr="00C92163">
        <w:rPr>
          <w:b/>
        </w:rPr>
        <w:t>remuneration of PWD</w:t>
      </w:r>
      <w:r w:rsidR="001F5569" w:rsidRPr="00C2554B">
        <w:t xml:space="preserve"> to correspond to a </w:t>
      </w:r>
      <w:r w:rsidR="001F5569" w:rsidRPr="00C92163">
        <w:rPr>
          <w:b/>
        </w:rPr>
        <w:t>minimum wage</w:t>
      </w:r>
      <w:r w:rsidR="001F5569" w:rsidRPr="0041432A">
        <w:t xml:space="preserve"> </w:t>
      </w:r>
      <w:r w:rsidRPr="0041432A">
        <w:t xml:space="preserve">by introducing </w:t>
      </w:r>
      <w:r w:rsidRPr="00C92163">
        <w:rPr>
          <w:b/>
        </w:rPr>
        <w:t>wage cost subsidies</w:t>
      </w:r>
      <w:r w:rsidRPr="0041432A">
        <w:t xml:space="preserve"> to employers instead of fragmented social security benefits.</w:t>
      </w:r>
    </w:p>
    <w:p w14:paraId="0BF586C2" w14:textId="488E3FB4" w:rsidR="00082D01" w:rsidRPr="0001096E" w:rsidRDefault="00082D01" w:rsidP="00082D01">
      <w:pPr>
        <w:pStyle w:val="Heading3"/>
        <w:numPr>
          <w:ilvl w:val="0"/>
          <w:numId w:val="0"/>
        </w:numPr>
        <w:ind w:left="737" w:hanging="737"/>
        <w:rPr>
          <w:lang w:val="en-GB"/>
        </w:rPr>
      </w:pPr>
      <w:bookmarkStart w:id="137" w:name="_Toc95297079"/>
      <w:bookmarkStart w:id="138" w:name="_Toc95668194"/>
      <w:bookmarkStart w:id="139" w:name="_Toc93906739"/>
      <w:r w:rsidRPr="0001096E">
        <w:rPr>
          <w:lang w:val="en-GB"/>
        </w:rPr>
        <w:t>Article 28 – Adequate standard of living and social protection</w:t>
      </w:r>
      <w:bookmarkEnd w:id="137"/>
      <w:bookmarkEnd w:id="138"/>
      <w:r w:rsidRPr="0001096E">
        <w:rPr>
          <w:lang w:val="en-GB"/>
        </w:rPr>
        <w:t xml:space="preserve"> </w:t>
      </w:r>
      <w:bookmarkEnd w:id="139"/>
    </w:p>
    <w:p w14:paraId="51E52150" w14:textId="3877181E" w:rsidR="00B205C7" w:rsidRPr="00A86F53" w:rsidRDefault="00B205C7" w:rsidP="00B205C7">
      <w:pPr>
        <w:pStyle w:val="BodyText"/>
        <w:rPr>
          <w:lang w:val="en-GB"/>
        </w:rPr>
      </w:pPr>
      <w:r w:rsidRPr="00A86F53">
        <w:rPr>
          <w:lang w:val="en-GB"/>
        </w:rPr>
        <w:t xml:space="preserve">As a whole, social insurance schemes in Switzerland provide </w:t>
      </w:r>
      <w:r w:rsidRPr="00A86F53">
        <w:rPr>
          <w:b/>
          <w:lang w:val="en-GB"/>
        </w:rPr>
        <w:t>satisfactory social protection for PWD</w:t>
      </w:r>
      <w:r w:rsidRPr="00A86F53">
        <w:rPr>
          <w:lang w:val="en-GB"/>
        </w:rPr>
        <w:t xml:space="preserve"> when compared internationally. However, within the context of a country with a high standard of living, but also high costs of living, the benefits provided for certain groups </w:t>
      </w:r>
      <w:r w:rsidRPr="00A86F53">
        <w:rPr>
          <w:b/>
          <w:lang w:val="en-GB"/>
        </w:rPr>
        <w:t xml:space="preserve">of people </w:t>
      </w:r>
      <w:r w:rsidRPr="00A86F53">
        <w:rPr>
          <w:lang w:val="en-GB"/>
        </w:rPr>
        <w:t xml:space="preserve">- in particular, </w:t>
      </w:r>
      <w:r w:rsidR="00AF697E" w:rsidRPr="00AF697E">
        <w:rPr>
          <w:b/>
          <w:lang w:val="en-GB"/>
        </w:rPr>
        <w:t>persons</w:t>
      </w:r>
      <w:r w:rsidRPr="00A86F53">
        <w:rPr>
          <w:b/>
          <w:lang w:val="en-GB"/>
        </w:rPr>
        <w:t xml:space="preserve"> who have been </w:t>
      </w:r>
      <w:r w:rsidR="00AF697E">
        <w:rPr>
          <w:b/>
          <w:lang w:val="en-GB"/>
        </w:rPr>
        <w:t>living with a disability</w:t>
      </w:r>
      <w:r w:rsidRPr="00A86F53">
        <w:rPr>
          <w:b/>
          <w:lang w:val="en-GB"/>
        </w:rPr>
        <w:t xml:space="preserve"> since birth or an </w:t>
      </w:r>
      <w:r w:rsidRPr="00A86F53">
        <w:rPr>
          <w:b/>
          <w:bCs/>
          <w:lang w:val="en-GB"/>
        </w:rPr>
        <w:t>early age</w:t>
      </w:r>
      <w:r w:rsidRPr="00A86F53">
        <w:rPr>
          <w:lang w:val="en-GB"/>
        </w:rPr>
        <w:t xml:space="preserve"> - are comparatively modest.</w:t>
      </w:r>
      <w:r w:rsidRPr="00A86F53">
        <w:rPr>
          <w:vertAlign w:val="superscript"/>
          <w:lang w:val="en-GB"/>
        </w:rPr>
        <w:footnoteReference w:id="287"/>
      </w:r>
      <w:r w:rsidRPr="00A86F53">
        <w:rPr>
          <w:lang w:val="en-GB"/>
        </w:rPr>
        <w:t xml:space="preserve"> In addition, there is the </w:t>
      </w:r>
      <w:r w:rsidRPr="00A86F53">
        <w:rPr>
          <w:b/>
          <w:lang w:val="en-GB"/>
        </w:rPr>
        <w:t xml:space="preserve">lengthy duration of the invalidity </w:t>
      </w:r>
      <w:r w:rsidRPr="00A86F53">
        <w:rPr>
          <w:b/>
          <w:lang w:val="en-GB"/>
        </w:rPr>
        <w:lastRenderedPageBreak/>
        <w:t>benefits process</w:t>
      </w:r>
      <w:r w:rsidRPr="00A86F53">
        <w:rPr>
          <w:lang w:val="en-GB"/>
        </w:rPr>
        <w:t>,</w:t>
      </w:r>
      <w:r w:rsidRPr="00A86F53">
        <w:rPr>
          <w:vertAlign w:val="superscript"/>
          <w:lang w:val="en-GB"/>
        </w:rPr>
        <w:footnoteReference w:id="288"/>
      </w:r>
      <w:r w:rsidRPr="00A86F53">
        <w:rPr>
          <w:lang w:val="en-GB"/>
        </w:rPr>
        <w:t xml:space="preserve"> in which the persons concerned must rely on social assistance. It is</w:t>
      </w:r>
      <w:r w:rsidRPr="00A86F53">
        <w:rPr>
          <w:b/>
          <w:lang w:val="en-GB"/>
        </w:rPr>
        <w:t xml:space="preserve"> alarming </w:t>
      </w:r>
      <w:r w:rsidRPr="00A86F53">
        <w:rPr>
          <w:lang w:val="en-GB"/>
        </w:rPr>
        <w:t xml:space="preserve">that, even in Switzerland, PWDs </w:t>
      </w:r>
      <w:r w:rsidRPr="00A86F53">
        <w:rPr>
          <w:b/>
          <w:lang w:val="en-GB"/>
        </w:rPr>
        <w:t xml:space="preserve">are more at risk </w:t>
      </w:r>
      <w:r w:rsidRPr="00A86F53">
        <w:rPr>
          <w:lang w:val="en-GB"/>
        </w:rPr>
        <w:t xml:space="preserve">of </w:t>
      </w:r>
      <w:r w:rsidRPr="00A86F53">
        <w:rPr>
          <w:b/>
          <w:lang w:val="en-GB"/>
        </w:rPr>
        <w:t>poverty than people without disabilities</w:t>
      </w:r>
      <w:r w:rsidRPr="00A86F53">
        <w:rPr>
          <w:lang w:val="en-GB"/>
        </w:rPr>
        <w:t xml:space="preserve">. In </w:t>
      </w:r>
      <w:r w:rsidRPr="00A86F53">
        <w:rPr>
          <w:b/>
          <w:lang w:val="en-GB"/>
        </w:rPr>
        <w:t>2018</w:t>
      </w:r>
      <w:r w:rsidRPr="00A86F53">
        <w:rPr>
          <w:lang w:val="en-GB"/>
        </w:rPr>
        <w:t>,</w:t>
      </w:r>
      <w:r w:rsidRPr="00A86F53">
        <w:rPr>
          <w:b/>
          <w:lang w:val="en-GB"/>
        </w:rPr>
        <w:t xml:space="preserve"> </w:t>
      </w:r>
      <w:r w:rsidRPr="00A86F53">
        <w:rPr>
          <w:b/>
          <w:bCs/>
          <w:lang w:val="en-GB"/>
        </w:rPr>
        <w:t>16.</w:t>
      </w:r>
      <w:r w:rsidRPr="00A86F53">
        <w:rPr>
          <w:b/>
          <w:lang w:val="en-GB"/>
        </w:rPr>
        <w:t xml:space="preserve">1% </w:t>
      </w:r>
      <w:r w:rsidRPr="00A86F53">
        <w:rPr>
          <w:lang w:val="en-GB"/>
        </w:rPr>
        <w:t xml:space="preserve">of PWD, or </w:t>
      </w:r>
      <w:r w:rsidRPr="00A86F53">
        <w:rPr>
          <w:b/>
          <w:bCs/>
          <w:lang w:val="en-GB"/>
        </w:rPr>
        <w:t>27.</w:t>
      </w:r>
      <w:r w:rsidRPr="00A86F53">
        <w:rPr>
          <w:b/>
          <w:lang w:val="en-GB"/>
        </w:rPr>
        <w:t xml:space="preserve">8% </w:t>
      </w:r>
      <w:r w:rsidRPr="00A86F53">
        <w:rPr>
          <w:lang w:val="en-GB"/>
        </w:rPr>
        <w:t>of the “severely impaired” PWD, were at risk of poverty.</w:t>
      </w:r>
      <w:r w:rsidRPr="00A86F53">
        <w:rPr>
          <w:vertAlign w:val="superscript"/>
          <w:lang w:val="en-GB"/>
        </w:rPr>
        <w:footnoteReference w:id="289"/>
      </w:r>
      <w:r w:rsidRPr="00A86F53">
        <w:rPr>
          <w:lang w:val="en-GB"/>
        </w:rPr>
        <w:t xml:space="preserve"> For the rest of the population, this proportion was </w:t>
      </w:r>
      <w:r w:rsidRPr="00A86F53">
        <w:rPr>
          <w:b/>
          <w:lang w:val="en-GB"/>
        </w:rPr>
        <w:t>10.3</w:t>
      </w:r>
      <w:r w:rsidRPr="00A86F53">
        <w:rPr>
          <w:lang w:val="en-GB"/>
        </w:rPr>
        <w:t>%.</w:t>
      </w:r>
      <w:r w:rsidRPr="00A86F53">
        <w:rPr>
          <w:vertAlign w:val="superscript"/>
          <w:lang w:val="en-GB"/>
        </w:rPr>
        <w:footnoteReference w:id="290"/>
      </w:r>
      <w:r w:rsidRPr="00A86F53">
        <w:rPr>
          <w:lang w:val="en-GB"/>
        </w:rPr>
        <w:t xml:space="preserve"> </w:t>
      </w:r>
      <w:r w:rsidRPr="00A86F53">
        <w:rPr>
          <w:b/>
          <w:lang w:val="en-GB"/>
        </w:rPr>
        <w:t>The Federal Council has acknowledged this situation</w:t>
      </w:r>
      <w:r w:rsidRPr="00A86F53">
        <w:rPr>
          <w:lang w:val="en-GB"/>
        </w:rPr>
        <w:t>.</w:t>
      </w:r>
      <w:r w:rsidRPr="00A86F53">
        <w:rPr>
          <w:rStyle w:val="FootnoteReference"/>
          <w:lang w:val="en-GB"/>
        </w:rPr>
        <w:footnoteReference w:id="291"/>
      </w:r>
      <w:r w:rsidRPr="00A86F53">
        <w:rPr>
          <w:lang w:val="en-GB"/>
        </w:rPr>
        <w:t xml:space="preserve"> Nevertheless, </w:t>
      </w:r>
      <w:r w:rsidRPr="00A86F53">
        <w:rPr>
          <w:b/>
          <w:lang w:val="en-GB"/>
        </w:rPr>
        <w:t xml:space="preserve">the 2019-2024 </w:t>
      </w:r>
      <w:r w:rsidRPr="00A86F53">
        <w:rPr>
          <w:b/>
          <w:bCs/>
          <w:lang w:val="en-GB"/>
        </w:rPr>
        <w:t xml:space="preserve">Plan </w:t>
      </w:r>
      <w:r w:rsidRPr="00A86F53">
        <w:rPr>
          <w:b/>
          <w:lang w:val="en-GB"/>
        </w:rPr>
        <w:t>for the</w:t>
      </w:r>
      <w:r w:rsidRPr="00A86F53">
        <w:rPr>
          <w:b/>
          <w:bCs/>
          <w:lang w:val="en-GB"/>
        </w:rPr>
        <w:t xml:space="preserve"> Implementation</w:t>
      </w:r>
      <w:r w:rsidRPr="00A86F53">
        <w:rPr>
          <w:lang w:val="en-GB"/>
        </w:rPr>
        <w:t xml:space="preserve"> </w:t>
      </w:r>
      <w:r w:rsidRPr="00A86F53">
        <w:rPr>
          <w:b/>
          <w:lang w:val="en-GB"/>
        </w:rPr>
        <w:t>of Poverty Reduction Measures</w:t>
      </w:r>
      <w:r w:rsidRPr="00A86F53">
        <w:rPr>
          <w:b/>
          <w:vertAlign w:val="superscript"/>
          <w:lang w:val="en-GB"/>
        </w:rPr>
        <w:footnoteReference w:id="292"/>
      </w:r>
      <w:r w:rsidRPr="00A86F53">
        <w:rPr>
          <w:b/>
          <w:lang w:val="en-GB"/>
        </w:rPr>
        <w:t xml:space="preserve"> apparently does not mention</w:t>
      </w:r>
      <w:r w:rsidRPr="00A86F53">
        <w:rPr>
          <w:lang w:val="en-GB"/>
        </w:rPr>
        <w:t xml:space="preserve"> or even focus on PWD.</w:t>
      </w:r>
    </w:p>
    <w:p w14:paraId="5E3BE642" w14:textId="77777777" w:rsidR="00B205C7" w:rsidRPr="00A86F53" w:rsidRDefault="00B205C7" w:rsidP="00B205C7">
      <w:pPr>
        <w:pStyle w:val="BodyText"/>
        <w:rPr>
          <w:b/>
          <w:lang w:val="en-GB"/>
        </w:rPr>
      </w:pPr>
      <w:r w:rsidRPr="00A86F53">
        <w:rPr>
          <w:lang w:val="en-GB"/>
        </w:rPr>
        <w:t xml:space="preserve">In answering the question concerning the percentage of insured and non-insured persons (Reply to LoI, para. 74), Switzerland describes only the </w:t>
      </w:r>
      <w:r w:rsidRPr="00A86F53">
        <w:rPr>
          <w:b/>
          <w:lang w:val="en-GB"/>
        </w:rPr>
        <w:t xml:space="preserve">half-full glass: </w:t>
      </w:r>
    </w:p>
    <w:p w14:paraId="3AFD56E8" w14:textId="77777777" w:rsidR="00B205C7" w:rsidRPr="00B205C7" w:rsidRDefault="00B205C7" w:rsidP="00B205C7">
      <w:pPr>
        <w:pStyle w:val="ListParagraph"/>
        <w:numPr>
          <w:ilvl w:val="0"/>
          <w:numId w:val="52"/>
        </w:numPr>
        <w:shd w:val="clear" w:color="auto" w:fill="FFFFFF" w:themeFill="background1"/>
        <w:suppressAutoHyphens/>
        <w:spacing w:before="60" w:after="60" w:line="280" w:lineRule="exact"/>
        <w:contextualSpacing w:val="0"/>
        <w:rPr>
          <w:lang w:val="en-GB"/>
        </w:rPr>
      </w:pPr>
      <w:r w:rsidRPr="00B205C7">
        <w:rPr>
          <w:lang w:val="en-GB"/>
        </w:rPr>
        <w:t xml:space="preserve">With regard to the </w:t>
      </w:r>
      <w:r w:rsidRPr="00B205C7">
        <w:rPr>
          <w:b/>
          <w:lang w:val="en-GB"/>
        </w:rPr>
        <w:t>coverage of loss of earnings as a result of illness</w:t>
      </w:r>
      <w:r w:rsidRPr="00B205C7">
        <w:rPr>
          <w:lang w:val="en-GB"/>
        </w:rPr>
        <w:t xml:space="preserve">: It states that this coverage depends on [the employee's] professional status and working conditions. This merely hints at the actual problem: In Switzerland there is still no </w:t>
      </w:r>
      <w:r w:rsidRPr="00B205C7">
        <w:rPr>
          <w:b/>
          <w:lang w:val="en-GB"/>
        </w:rPr>
        <w:t>mandatory social insurance providing coverage against the loss of income as a consequence of illness</w:t>
      </w:r>
      <w:r w:rsidRPr="00B205C7">
        <w:rPr>
          <w:lang w:val="en-GB"/>
        </w:rPr>
        <w:t xml:space="preserve">. It is true that most employers have taken out daily sickness benefits </w:t>
      </w:r>
      <w:r w:rsidRPr="00B205C7">
        <w:rPr>
          <w:lang w:val="en-GB"/>
        </w:rPr>
        <w:lastRenderedPageBreak/>
        <w:t xml:space="preserve">insurance for their own employees. Nonetheless, a significant proportion of employees still does not have any such protection. </w:t>
      </w:r>
      <w:r w:rsidRPr="00B205C7">
        <w:rPr>
          <w:b/>
          <w:lang w:val="en-GB"/>
        </w:rPr>
        <w:t>In addition, benefits for people who already suffered from certain health-related impairments when they started work are often denied or are reduced significantly in terms of duration, even if daily sickness benefits insurance exists</w:t>
      </w:r>
      <w:r w:rsidRPr="00B205C7">
        <w:rPr>
          <w:lang w:val="en-GB"/>
        </w:rPr>
        <w:t>.</w:t>
      </w:r>
      <w:r w:rsidRPr="00B205C7">
        <w:rPr>
          <w:vertAlign w:val="superscript"/>
          <w:lang w:val="en-GB"/>
        </w:rPr>
        <w:footnoteReference w:id="293"/>
      </w:r>
      <w:r w:rsidRPr="00B205C7">
        <w:rPr>
          <w:lang w:val="en-GB"/>
        </w:rPr>
        <w:t xml:space="preserve"> </w:t>
      </w:r>
    </w:p>
    <w:p w14:paraId="23FBCF76" w14:textId="00FA8647" w:rsidR="00B205C7" w:rsidRPr="00B205C7" w:rsidRDefault="00B205C7" w:rsidP="00B205C7">
      <w:pPr>
        <w:pStyle w:val="ListParagraph"/>
        <w:numPr>
          <w:ilvl w:val="0"/>
          <w:numId w:val="52"/>
        </w:numPr>
        <w:shd w:val="clear" w:color="auto" w:fill="FFFFFF" w:themeFill="background1"/>
        <w:suppressAutoHyphens/>
        <w:spacing w:before="60" w:after="60" w:line="280" w:lineRule="exact"/>
        <w:contextualSpacing w:val="0"/>
        <w:rPr>
          <w:lang w:val="en-GB"/>
        </w:rPr>
      </w:pPr>
      <w:r w:rsidRPr="00B205C7">
        <w:rPr>
          <w:lang w:val="en-GB"/>
        </w:rPr>
        <w:t xml:space="preserve">Moreover, not every employment relationship </w:t>
      </w:r>
      <w:r w:rsidRPr="00B205C7">
        <w:rPr>
          <w:b/>
          <w:bCs/>
          <w:lang w:val="en-GB"/>
        </w:rPr>
        <w:t>include</w:t>
      </w:r>
      <w:r w:rsidRPr="00B205C7">
        <w:rPr>
          <w:b/>
          <w:lang w:val="en-GB"/>
        </w:rPr>
        <w:t>s access to occupational pension schemes</w:t>
      </w:r>
      <w:r w:rsidRPr="00B205C7">
        <w:rPr>
          <w:lang w:val="en-GB"/>
        </w:rPr>
        <w:t xml:space="preserve">. Only those who reach the </w:t>
      </w:r>
      <w:r w:rsidR="000A6B5C">
        <w:rPr>
          <w:lang w:val="en-GB"/>
        </w:rPr>
        <w:t>“</w:t>
      </w:r>
      <w:r w:rsidRPr="00B205C7">
        <w:rPr>
          <w:lang w:val="en-GB"/>
        </w:rPr>
        <w:t>admission threshold</w:t>
      </w:r>
      <w:r w:rsidR="000A6B5C">
        <w:rPr>
          <w:lang w:val="en-GB"/>
        </w:rPr>
        <w:t>”</w:t>
      </w:r>
      <w:r w:rsidRPr="00B205C7">
        <w:rPr>
          <w:lang w:val="en-GB"/>
        </w:rPr>
        <w:t xml:space="preserve"> with an annual income of at least CHF 21,510 are insured.</w:t>
      </w:r>
      <w:r w:rsidRPr="00B205C7">
        <w:rPr>
          <w:vertAlign w:val="superscript"/>
          <w:lang w:val="en-GB"/>
        </w:rPr>
        <w:footnoteReference w:id="294"/>
      </w:r>
      <w:r w:rsidRPr="00B205C7">
        <w:rPr>
          <w:lang w:val="en-GB"/>
        </w:rPr>
        <w:t xml:space="preserve"> Since PWD </w:t>
      </w:r>
      <w:r w:rsidRPr="00B205C7">
        <w:rPr>
          <w:b/>
          <w:lang w:val="en-GB"/>
        </w:rPr>
        <w:t>often</w:t>
      </w:r>
      <w:r w:rsidRPr="00B205C7">
        <w:rPr>
          <w:lang w:val="en-GB"/>
        </w:rPr>
        <w:t xml:space="preserve"> work </w:t>
      </w:r>
      <w:r w:rsidRPr="00B205C7">
        <w:rPr>
          <w:b/>
          <w:lang w:val="en-GB"/>
        </w:rPr>
        <w:t>part-time</w:t>
      </w:r>
      <w:r w:rsidRPr="00B205C7">
        <w:rPr>
          <w:lang w:val="en-GB"/>
        </w:rPr>
        <w:t xml:space="preserve"> or </w:t>
      </w:r>
      <w:r w:rsidRPr="00B205C7">
        <w:rPr>
          <w:b/>
          <w:lang w:val="en-GB"/>
        </w:rPr>
        <w:t>in low-paid sectors</w:t>
      </w:r>
      <w:r w:rsidRPr="00B205C7">
        <w:rPr>
          <w:lang w:val="en-GB"/>
        </w:rPr>
        <w:t xml:space="preserve">, they do not reach this </w:t>
      </w:r>
      <w:r w:rsidRPr="00B205C7">
        <w:rPr>
          <w:b/>
          <w:lang w:val="en-GB"/>
        </w:rPr>
        <w:t>high threshold for admission</w:t>
      </w:r>
      <w:r w:rsidRPr="00B205C7">
        <w:rPr>
          <w:lang w:val="en-GB"/>
        </w:rPr>
        <w:t xml:space="preserve">. They are therefore </w:t>
      </w:r>
      <w:r w:rsidRPr="00B205C7">
        <w:rPr>
          <w:b/>
          <w:lang w:val="en-GB"/>
        </w:rPr>
        <w:t>not insured under the occupational pension scheme</w:t>
      </w:r>
      <w:r w:rsidRPr="00B205C7">
        <w:rPr>
          <w:lang w:val="en-GB"/>
        </w:rPr>
        <w:t xml:space="preserve">. Only </w:t>
      </w:r>
      <w:r w:rsidRPr="00B205C7">
        <w:rPr>
          <w:b/>
          <w:lang w:val="en-GB"/>
        </w:rPr>
        <w:t>from a certain degree of invalidity</w:t>
      </w:r>
      <w:r w:rsidRPr="00B205C7">
        <w:rPr>
          <w:lang w:val="en-GB"/>
        </w:rPr>
        <w:t xml:space="preserve"> is the above-mentioned admission threshold reduced. Many people are </w:t>
      </w:r>
      <w:r w:rsidRPr="00B205C7">
        <w:rPr>
          <w:b/>
          <w:lang w:val="en-GB"/>
        </w:rPr>
        <w:t>“not disabled enough” to qualify as “invalids” in the social security system</w:t>
      </w:r>
      <w:r w:rsidRPr="00B205C7">
        <w:rPr>
          <w:lang w:val="en-GB"/>
        </w:rPr>
        <w:t xml:space="preserve">. However, as a result of their disability, they </w:t>
      </w:r>
      <w:r w:rsidRPr="00B205C7">
        <w:rPr>
          <w:b/>
          <w:lang w:val="en-GB"/>
        </w:rPr>
        <w:t>cannot earn a wage that would</w:t>
      </w:r>
      <w:r w:rsidRPr="00B205C7">
        <w:rPr>
          <w:lang w:val="en-GB"/>
        </w:rPr>
        <w:t xml:space="preserve"> enable </w:t>
      </w:r>
      <w:r w:rsidRPr="00B205C7">
        <w:rPr>
          <w:b/>
          <w:lang w:val="en-GB"/>
        </w:rPr>
        <w:t>them to enter the occupational pension scheme</w:t>
      </w:r>
      <w:r w:rsidRPr="00B205C7">
        <w:rPr>
          <w:lang w:val="en-GB"/>
        </w:rPr>
        <w:t xml:space="preserve">. </w:t>
      </w:r>
    </w:p>
    <w:p w14:paraId="142EC00C" w14:textId="57405617" w:rsidR="00AD6133" w:rsidRPr="00B205C7" w:rsidRDefault="00B205C7" w:rsidP="00B205C7">
      <w:pPr>
        <w:pStyle w:val="BodyText"/>
        <w:numPr>
          <w:ilvl w:val="0"/>
          <w:numId w:val="52"/>
        </w:numPr>
        <w:rPr>
          <w:lang w:val="en-GB" w:eastAsia="de-CH"/>
        </w:rPr>
      </w:pPr>
      <w:r w:rsidRPr="00B205C7">
        <w:rPr>
          <w:lang w:val="en-GB"/>
        </w:rPr>
        <w:t xml:space="preserve">Finally, it is important to note that only persons who, at the time of the onset of their “invalidity”, </w:t>
      </w:r>
      <w:r w:rsidRPr="00B205C7">
        <w:rPr>
          <w:b/>
          <w:lang w:val="en-GB"/>
        </w:rPr>
        <w:t xml:space="preserve">have </w:t>
      </w:r>
      <w:r w:rsidRPr="00B205C7">
        <w:rPr>
          <w:lang w:val="en-GB"/>
        </w:rPr>
        <w:t xml:space="preserve">already </w:t>
      </w:r>
      <w:r w:rsidRPr="00B205C7">
        <w:rPr>
          <w:b/>
          <w:lang w:val="en-GB"/>
        </w:rPr>
        <w:t>paid insurance contributions for at least three years</w:t>
      </w:r>
      <w:r w:rsidRPr="00B205C7">
        <w:rPr>
          <w:rStyle w:val="FootnoteReference"/>
          <w:lang w:val="en-GB"/>
        </w:rPr>
        <w:footnoteReference w:id="295"/>
      </w:r>
      <w:r w:rsidRPr="00B205C7">
        <w:rPr>
          <w:lang w:val="en-GB"/>
        </w:rPr>
        <w:t xml:space="preserve"> are entitled to a regular invalidity pension. For Swiss and EU/EFTA nationals, contribution periods completed in an EU/EFTA member state are also taken into account.</w:t>
      </w:r>
      <w:r w:rsidRPr="00B205C7">
        <w:rPr>
          <w:vertAlign w:val="superscript"/>
          <w:lang w:val="en-GB"/>
        </w:rPr>
        <w:footnoteReference w:id="296"/>
      </w:r>
      <w:r w:rsidRPr="00B205C7">
        <w:rPr>
          <w:lang w:val="en-GB"/>
        </w:rPr>
        <w:t xml:space="preserve"> However, these persons must also have completed </w:t>
      </w:r>
      <w:r w:rsidRPr="00B205C7">
        <w:rPr>
          <w:b/>
          <w:lang w:val="en-GB"/>
        </w:rPr>
        <w:t xml:space="preserve">at least one year of contributions in Switzerland by the onset of their </w:t>
      </w:r>
      <w:r w:rsidR="00A8205E">
        <w:rPr>
          <w:b/>
          <w:lang w:val="en-GB"/>
        </w:rPr>
        <w:t>“</w:t>
      </w:r>
      <w:r w:rsidRPr="00B205C7">
        <w:rPr>
          <w:b/>
          <w:lang w:val="en-GB"/>
        </w:rPr>
        <w:t>invalidity</w:t>
      </w:r>
      <w:r w:rsidR="00A8205E">
        <w:rPr>
          <w:b/>
          <w:lang w:val="en-GB"/>
        </w:rPr>
        <w:t>”</w:t>
      </w:r>
      <w:r w:rsidRPr="00B205C7">
        <w:rPr>
          <w:lang w:val="en-GB"/>
        </w:rPr>
        <w:t xml:space="preserve">. This means that </w:t>
      </w:r>
      <w:r w:rsidRPr="00B205C7">
        <w:rPr>
          <w:b/>
          <w:lang w:val="en-GB"/>
        </w:rPr>
        <w:lastRenderedPageBreak/>
        <w:t>PWD who are already unable to work when they enter Switzerland, will not receive an ordinary pension from its invalidity insurance scheme</w:t>
      </w:r>
      <w:r w:rsidRPr="00B205C7">
        <w:rPr>
          <w:lang w:val="en-GB"/>
        </w:rPr>
        <w:t>.</w:t>
      </w:r>
    </w:p>
    <w:p w14:paraId="7A1DA6B3" w14:textId="1B7EB7CC" w:rsidR="00B30BCF" w:rsidRPr="0001096E" w:rsidRDefault="00AD6133" w:rsidP="00B30BCF">
      <w:pPr>
        <w:shd w:val="clear" w:color="auto" w:fill="FFFFCC"/>
        <w:spacing w:before="240"/>
        <w:rPr>
          <w:rFonts w:eastAsia="Cambria"/>
          <w:b/>
          <w:lang w:val="en-GB"/>
        </w:rPr>
      </w:pPr>
      <w:r w:rsidRPr="0001096E">
        <w:rPr>
          <w:rFonts w:eastAsia="Cambria"/>
          <w:b/>
          <w:lang w:val="en-GB"/>
        </w:rPr>
        <w:t>Proposals</w:t>
      </w:r>
      <w:r w:rsidR="00082D01" w:rsidRPr="0001096E">
        <w:rPr>
          <w:rFonts w:eastAsia="Cambria"/>
          <w:b/>
          <w:lang w:val="en-GB"/>
        </w:rPr>
        <w:t xml:space="preserve"> for recommendations</w:t>
      </w:r>
      <w:r w:rsidR="00B30BCF" w:rsidRPr="0001096E">
        <w:rPr>
          <w:rFonts w:eastAsia="Cambria"/>
          <w:b/>
          <w:lang w:val="en-GB"/>
        </w:rPr>
        <w:t>:</w:t>
      </w:r>
    </w:p>
    <w:p w14:paraId="18F38A00" w14:textId="77777777" w:rsidR="00B205C7" w:rsidRPr="003D2F0B" w:rsidRDefault="00B205C7" w:rsidP="00B205C7">
      <w:pPr>
        <w:pStyle w:val="SBEmpfehlungen"/>
      </w:pPr>
      <w:r w:rsidRPr="003D2F0B">
        <w:t xml:space="preserve">As part of the </w:t>
      </w:r>
      <w:r w:rsidRPr="003D2F0B">
        <w:rPr>
          <w:b/>
        </w:rPr>
        <w:t>2019-2024 fight against poverty</w:t>
      </w:r>
      <w:r w:rsidRPr="003D2F0B">
        <w:t xml:space="preserve">, the </w:t>
      </w:r>
      <w:r w:rsidRPr="003D2F0B">
        <w:rPr>
          <w:b/>
        </w:rPr>
        <w:t>Confederation, cantons and municipalities</w:t>
      </w:r>
      <w:r w:rsidRPr="003D2F0B">
        <w:t xml:space="preserve"> shall develop specific measures to address the special risk of poverty faced by PWD.</w:t>
      </w:r>
    </w:p>
    <w:p w14:paraId="5201D793" w14:textId="77777777" w:rsidR="00B205C7" w:rsidRPr="003D2F0B" w:rsidRDefault="00B205C7" w:rsidP="00B205C7">
      <w:pPr>
        <w:pStyle w:val="SBEmpfehlungen"/>
      </w:pPr>
      <w:r w:rsidRPr="003D2F0B">
        <w:t xml:space="preserve">The </w:t>
      </w:r>
      <w:r w:rsidRPr="003D2F0B">
        <w:rPr>
          <w:b/>
        </w:rPr>
        <w:t>Confeder</w:t>
      </w:r>
      <w:r w:rsidRPr="003D2F0B">
        <w:rPr>
          <w:b/>
          <w:bCs/>
        </w:rPr>
        <w:t>ation</w:t>
      </w:r>
      <w:r w:rsidRPr="003D2F0B">
        <w:t xml:space="preserve"> shall supplement social security law by introducing </w:t>
      </w:r>
      <w:r w:rsidRPr="003D2F0B">
        <w:rPr>
          <w:b/>
        </w:rPr>
        <w:t>compulsory daily sickness benefits insurance</w:t>
      </w:r>
      <w:r w:rsidRPr="003D2F0B">
        <w:t>.</w:t>
      </w:r>
    </w:p>
    <w:p w14:paraId="72EC330F" w14:textId="312EB88B" w:rsidR="00AD6133" w:rsidRPr="00B205C7" w:rsidRDefault="00B205C7" w:rsidP="00B205C7">
      <w:pPr>
        <w:pStyle w:val="SBEmpfehlungen"/>
      </w:pPr>
      <w:r w:rsidRPr="003D2F0B">
        <w:t xml:space="preserve">The </w:t>
      </w:r>
      <w:r w:rsidRPr="00202EA2">
        <w:rPr>
          <w:b/>
        </w:rPr>
        <w:t>Confeder</w:t>
      </w:r>
      <w:r w:rsidRPr="00202EA2">
        <w:rPr>
          <w:b/>
          <w:bCs/>
        </w:rPr>
        <w:t>ation</w:t>
      </w:r>
      <w:r w:rsidRPr="003D2F0B">
        <w:t xml:space="preserve"> shall </w:t>
      </w:r>
      <w:r w:rsidRPr="00202EA2">
        <w:rPr>
          <w:b/>
        </w:rPr>
        <w:t>adjust the admission threshold for occupational pension schemes</w:t>
      </w:r>
      <w:r w:rsidRPr="003D2F0B">
        <w:t xml:space="preserve"> in such a way that it is also available to PWD.</w:t>
      </w:r>
    </w:p>
    <w:p w14:paraId="2EBDDE97" w14:textId="77777777" w:rsidR="00082D01" w:rsidRPr="0001096E" w:rsidRDefault="00082D01" w:rsidP="00082D01">
      <w:pPr>
        <w:pStyle w:val="Heading3"/>
        <w:numPr>
          <w:ilvl w:val="0"/>
          <w:numId w:val="0"/>
        </w:numPr>
        <w:ind w:left="737" w:hanging="737"/>
        <w:rPr>
          <w:lang w:val="en-GB"/>
        </w:rPr>
      </w:pPr>
      <w:bookmarkStart w:id="140" w:name="_Toc95297080"/>
      <w:bookmarkStart w:id="141" w:name="_Ref95646174"/>
      <w:bookmarkStart w:id="142" w:name="_Toc95668195"/>
      <w:r w:rsidRPr="0001096E">
        <w:rPr>
          <w:lang w:val="en-GB"/>
        </w:rPr>
        <w:t>Article 29 – Participation in political and public life</w:t>
      </w:r>
      <w:bookmarkEnd w:id="140"/>
      <w:bookmarkEnd w:id="141"/>
      <w:bookmarkEnd w:id="142"/>
    </w:p>
    <w:p w14:paraId="4511056C" w14:textId="25FF5FA8" w:rsidR="00B30BCF" w:rsidRPr="0001096E" w:rsidRDefault="00082D01" w:rsidP="00B30BCF">
      <w:pPr>
        <w:pStyle w:val="Subtitle"/>
        <w:rPr>
          <w:lang w:val="en-GB"/>
        </w:rPr>
      </w:pPr>
      <w:r w:rsidRPr="0001096E">
        <w:rPr>
          <w:lang w:val="en-GB"/>
        </w:rPr>
        <w:t>Exclusion from political rights</w:t>
      </w:r>
      <w:r w:rsidR="00B30BCF" w:rsidRPr="0001096E">
        <w:rPr>
          <w:lang w:val="en-GB"/>
        </w:rPr>
        <w:t xml:space="preserve"> (LoI, 23b)</w:t>
      </w:r>
    </w:p>
    <w:p w14:paraId="50101C66" w14:textId="75D8F90C" w:rsidR="00B205C7" w:rsidRPr="00A86F53" w:rsidRDefault="00B205C7" w:rsidP="00B205C7">
      <w:pPr>
        <w:pStyle w:val="BodyText"/>
        <w:rPr>
          <w:lang w:val="en-GB"/>
        </w:rPr>
      </w:pPr>
      <w:r w:rsidRPr="00A86F53">
        <w:rPr>
          <w:lang w:val="en-GB"/>
        </w:rPr>
        <w:t>Article 136 of the Federal Constitution continues to state that persons “</w:t>
      </w:r>
      <w:r w:rsidRPr="00A86F53">
        <w:rPr>
          <w:b/>
          <w:lang w:val="en-GB"/>
        </w:rPr>
        <w:t>who</w:t>
      </w:r>
      <w:r w:rsidRPr="00A86F53">
        <w:rPr>
          <w:lang w:val="en-GB"/>
        </w:rPr>
        <w:t xml:space="preserve"> </w:t>
      </w:r>
      <w:r w:rsidRPr="00202EA2">
        <w:rPr>
          <w:b/>
          <w:lang w:val="en-GB"/>
        </w:rPr>
        <w:t xml:space="preserve">lack legal capacity due to </w:t>
      </w:r>
      <w:r w:rsidRPr="00A86F53">
        <w:rPr>
          <w:b/>
          <w:lang w:val="en-GB"/>
        </w:rPr>
        <w:t>mental illness or mental incapacity</w:t>
      </w:r>
      <w:r w:rsidRPr="00A86F53">
        <w:rPr>
          <w:lang w:val="en-GB"/>
        </w:rPr>
        <w:t xml:space="preserve">” </w:t>
      </w:r>
      <w:r w:rsidRPr="00A86F53">
        <w:rPr>
          <w:b/>
          <w:lang w:val="en-GB"/>
        </w:rPr>
        <w:t>do not have any political rights</w:t>
      </w:r>
      <w:r w:rsidRPr="00A86F53">
        <w:rPr>
          <w:lang w:val="en-GB"/>
        </w:rPr>
        <w:t>.</w:t>
      </w:r>
      <w:r w:rsidRPr="00A86F53">
        <w:rPr>
          <w:vertAlign w:val="superscript"/>
          <w:lang w:val="en-GB"/>
        </w:rPr>
        <w:footnoteReference w:id="297"/>
      </w:r>
      <w:r w:rsidRPr="00A86F53">
        <w:rPr>
          <w:lang w:val="en-GB"/>
        </w:rPr>
        <w:t xml:space="preserve"> The Federal Act on Political Rights (PRA) specifies the group of persons excluded from </w:t>
      </w:r>
      <w:r w:rsidR="00B027C8">
        <w:rPr>
          <w:lang w:val="en-GB"/>
        </w:rPr>
        <w:t xml:space="preserve">election and </w:t>
      </w:r>
      <w:r w:rsidRPr="00A86F53">
        <w:rPr>
          <w:lang w:val="en-GB"/>
        </w:rPr>
        <w:t xml:space="preserve">voting rights: These are persons who are </w:t>
      </w:r>
      <w:r w:rsidR="00C655D5">
        <w:rPr>
          <w:lang w:val="en-GB"/>
        </w:rPr>
        <w:t>“</w:t>
      </w:r>
      <w:r w:rsidRPr="00A86F53">
        <w:rPr>
          <w:lang w:val="en-GB"/>
        </w:rPr>
        <w:t>subject to a general deputyship or are represented by a carer as they are permanently incapable of judgement.</w:t>
      </w:r>
      <w:r w:rsidR="00C655D5">
        <w:rPr>
          <w:lang w:val="en-GB"/>
        </w:rPr>
        <w:t>”</w:t>
      </w:r>
      <w:r w:rsidRPr="00A86F53">
        <w:rPr>
          <w:rStyle w:val="FootnoteReference"/>
          <w:lang w:val="en-GB"/>
        </w:rPr>
        <w:footnoteReference w:id="298"/>
      </w:r>
      <w:r w:rsidRPr="00A86F53">
        <w:rPr>
          <w:lang w:val="en-GB"/>
        </w:rPr>
        <w:t xml:space="preserve"> This especially affects </w:t>
      </w:r>
      <w:r w:rsidR="00AF697E" w:rsidRPr="00D739C9">
        <w:rPr>
          <w:lang w:val="en-GB"/>
        </w:rPr>
        <w:t>persons</w:t>
      </w:r>
      <w:r w:rsidRPr="00A86F53">
        <w:rPr>
          <w:lang w:val="en-GB"/>
        </w:rPr>
        <w:t xml:space="preserve"> with psychosocial and cognitive disabilities. The ISR and the Disability Policy Report</w:t>
      </w:r>
      <w:r w:rsidRPr="00A86F53">
        <w:rPr>
          <w:rStyle w:val="FootnoteReference"/>
          <w:lang w:val="en-GB"/>
        </w:rPr>
        <w:footnoteReference w:id="299"/>
      </w:r>
      <w:r w:rsidRPr="00A86F53">
        <w:rPr>
          <w:lang w:val="en-GB"/>
        </w:rPr>
        <w:t xml:space="preserve"> are silent on the incompatibility of this provision with Articles 29 and </w:t>
      </w:r>
      <w:r w:rsidRPr="00A86F53">
        <w:rPr>
          <w:lang w:val="en-GB"/>
        </w:rPr>
        <w:lastRenderedPageBreak/>
        <w:t xml:space="preserve">12 CRPD. Admittedly, there are no central statistics on the number of persons </w:t>
      </w:r>
      <w:r w:rsidR="00CC7B2F">
        <w:rPr>
          <w:lang w:val="en-GB"/>
        </w:rPr>
        <w:t>without election and voting rights</w:t>
      </w:r>
      <w:r w:rsidRPr="00A86F53">
        <w:rPr>
          <w:lang w:val="en-GB"/>
        </w:rPr>
        <w:t xml:space="preserve"> (Reply to LoI, para. 76). However, KOKES [Conference for the Protection of Minors and Adults] publishes annually the number of persons subject to a general deputyship per canton.</w:t>
      </w:r>
      <w:r w:rsidRPr="00A86F53">
        <w:rPr>
          <w:rStyle w:val="FootnoteReference"/>
          <w:lang w:val="en-GB"/>
        </w:rPr>
        <w:footnoteReference w:id="300"/>
      </w:r>
      <w:r w:rsidRPr="00A86F53">
        <w:rPr>
          <w:lang w:val="en-GB"/>
        </w:rPr>
        <w:t xml:space="preserve"> In 2020, there were </w:t>
      </w:r>
      <w:r w:rsidRPr="00A86F53">
        <w:rPr>
          <w:b/>
          <w:lang w:val="en-GB"/>
        </w:rPr>
        <w:t xml:space="preserve">14,050 such </w:t>
      </w:r>
      <w:r w:rsidR="00AF697E" w:rsidRPr="00AF697E">
        <w:rPr>
          <w:b/>
          <w:lang w:val="en-GB"/>
        </w:rPr>
        <w:t>persons</w:t>
      </w:r>
      <w:r w:rsidRPr="00AF697E">
        <w:rPr>
          <w:b/>
          <w:lang w:val="en-GB"/>
        </w:rPr>
        <w:t xml:space="preserve"> a</w:t>
      </w:r>
      <w:r w:rsidRPr="00A86F53">
        <w:rPr>
          <w:b/>
          <w:lang w:val="en-GB"/>
        </w:rPr>
        <w:t>cross Switzerland</w:t>
      </w:r>
      <w:r w:rsidRPr="00A86F53">
        <w:rPr>
          <w:lang w:val="en-GB"/>
        </w:rPr>
        <w:t xml:space="preserve">, with </w:t>
      </w:r>
      <w:r w:rsidRPr="00A86F53">
        <w:rPr>
          <w:b/>
          <w:lang w:val="en-GB"/>
        </w:rPr>
        <w:t>major differences in the cantons</w:t>
      </w:r>
      <w:r w:rsidRPr="00A86F53">
        <w:rPr>
          <w:lang w:val="en-GB"/>
        </w:rPr>
        <w:t>.</w:t>
      </w:r>
      <w:bookmarkStart w:id="143" w:name="_Ref93930615"/>
      <w:r w:rsidRPr="00A86F53">
        <w:rPr>
          <w:rStyle w:val="FootnoteReference"/>
          <w:lang w:val="en-GB"/>
        </w:rPr>
        <w:footnoteReference w:id="301"/>
      </w:r>
      <w:bookmarkEnd w:id="143"/>
      <w:r w:rsidRPr="00A86F53">
        <w:rPr>
          <w:lang w:val="en-GB"/>
        </w:rPr>
        <w:t xml:space="preserve"> </w:t>
      </w:r>
      <w:r w:rsidRPr="00A86F53">
        <w:rPr>
          <w:b/>
          <w:lang w:val="en-GB"/>
        </w:rPr>
        <w:t xml:space="preserve">In addition, </w:t>
      </w:r>
      <w:r w:rsidRPr="00A86F53">
        <w:rPr>
          <w:lang w:val="en-GB"/>
        </w:rPr>
        <w:t xml:space="preserve">there is the </w:t>
      </w:r>
      <w:r w:rsidRPr="00A86F53">
        <w:rPr>
          <w:b/>
          <w:lang w:val="en-GB"/>
        </w:rPr>
        <w:t xml:space="preserve">unrecorded number of persons represented </w:t>
      </w:r>
      <w:r w:rsidRPr="00A86F53">
        <w:rPr>
          <w:lang w:val="en-GB"/>
        </w:rPr>
        <w:t xml:space="preserve">by a </w:t>
      </w:r>
      <w:r w:rsidRPr="00A86F53">
        <w:rPr>
          <w:b/>
          <w:bCs/>
          <w:lang w:val="en-GB"/>
        </w:rPr>
        <w:t>carer</w:t>
      </w:r>
      <w:r w:rsidRPr="00A86F53">
        <w:rPr>
          <w:lang w:val="en-GB"/>
        </w:rPr>
        <w:t>.</w:t>
      </w:r>
    </w:p>
    <w:p w14:paraId="510580E1" w14:textId="46842959" w:rsidR="00AD6133" w:rsidRDefault="00B205C7" w:rsidP="00B205C7">
      <w:pPr>
        <w:pStyle w:val="BodyText"/>
        <w:rPr>
          <w:lang w:val="en-GB"/>
        </w:rPr>
      </w:pPr>
      <w:r w:rsidRPr="00A86F53">
        <w:rPr>
          <w:lang w:val="en-GB"/>
        </w:rPr>
        <w:t xml:space="preserve">The following are </w:t>
      </w:r>
      <w:r w:rsidRPr="00A86F53">
        <w:rPr>
          <w:b/>
          <w:bCs/>
          <w:lang w:val="en-GB"/>
        </w:rPr>
        <w:t xml:space="preserve">positive </w:t>
      </w:r>
      <w:r w:rsidRPr="00A86F53">
        <w:rPr>
          <w:b/>
          <w:lang w:val="en-GB"/>
        </w:rPr>
        <w:t>new developments</w:t>
      </w:r>
      <w:r w:rsidRPr="00A86F53">
        <w:rPr>
          <w:lang w:val="en-GB"/>
        </w:rPr>
        <w:t xml:space="preserve">: On 29 November 2020, with around 75% of the votes in favour, Geneva approved an amendment to the Constitution (Art. 48(1) KV/GE), whereby all </w:t>
      </w:r>
      <w:r w:rsidRPr="00A86F53">
        <w:rPr>
          <w:rFonts w:eastAsia="Calibri"/>
          <w:color w:val="000000"/>
          <w:lang w:val="en-GB"/>
        </w:rPr>
        <w:t>PWD</w:t>
      </w:r>
      <w:r w:rsidRPr="00A86F53">
        <w:rPr>
          <w:lang w:val="en-GB"/>
        </w:rPr>
        <w:t xml:space="preserve"> may now elect and vote without restrictions. Following Geneva's example, parliamentary initiatives aiming to guarantee the political rights of all </w:t>
      </w:r>
      <w:r w:rsidRPr="00A86F53">
        <w:rPr>
          <w:rFonts w:eastAsia="Calibri"/>
          <w:color w:val="000000"/>
          <w:lang w:val="en-GB"/>
        </w:rPr>
        <w:t xml:space="preserve">PWD </w:t>
      </w:r>
      <w:r w:rsidRPr="00A86F53">
        <w:rPr>
          <w:lang w:val="en-GB"/>
        </w:rPr>
        <w:t xml:space="preserve">have been adopted in </w:t>
      </w:r>
      <w:r w:rsidRPr="00A86F53">
        <w:rPr>
          <w:b/>
          <w:lang w:val="en-GB"/>
        </w:rPr>
        <w:t>several cantons</w:t>
      </w:r>
      <w:r w:rsidRPr="00A86F53">
        <w:rPr>
          <w:lang w:val="en-GB"/>
        </w:rPr>
        <w:t>.</w:t>
      </w:r>
      <w:r w:rsidRPr="00A86F53">
        <w:rPr>
          <w:vertAlign w:val="superscript"/>
          <w:lang w:val="en-GB"/>
        </w:rPr>
        <w:footnoteReference w:id="302"/>
      </w:r>
      <w:r w:rsidRPr="00A86F53">
        <w:rPr>
          <w:lang w:val="en-GB"/>
        </w:rPr>
        <w:t xml:space="preserve"> In March 2021, two parliamentary motions were filed at </w:t>
      </w:r>
      <w:r w:rsidRPr="00A86F53">
        <w:rPr>
          <w:b/>
          <w:lang w:val="en-GB"/>
        </w:rPr>
        <w:t>federal level</w:t>
      </w:r>
      <w:r w:rsidRPr="00A86F53">
        <w:rPr>
          <w:lang w:val="en-GB"/>
        </w:rPr>
        <w:t xml:space="preserve"> on the subject of political rights for </w:t>
      </w:r>
      <w:r w:rsidRPr="00A86F53">
        <w:rPr>
          <w:rFonts w:eastAsia="Calibri"/>
          <w:color w:val="000000"/>
          <w:lang w:val="en-GB"/>
        </w:rPr>
        <w:t>PWD</w:t>
      </w:r>
      <w:r w:rsidRPr="00A86F53">
        <w:rPr>
          <w:lang w:val="en-GB"/>
        </w:rPr>
        <w:t>.</w:t>
      </w:r>
      <w:r w:rsidRPr="00A86F53">
        <w:rPr>
          <w:rStyle w:val="FootnoteReference"/>
          <w:lang w:val="en-GB"/>
        </w:rPr>
        <w:footnoteReference w:id="303"/>
      </w:r>
      <w:r w:rsidRPr="00A86F53">
        <w:rPr>
          <w:lang w:val="en-GB"/>
        </w:rPr>
        <w:t xml:space="preserve"> As a result, the Federal Chancellery is currently working on a report in this regard. </w:t>
      </w:r>
    </w:p>
    <w:p w14:paraId="2B41E545" w14:textId="0FB6EF3B" w:rsidR="00B30BCF" w:rsidRPr="0001096E" w:rsidRDefault="00082D01" w:rsidP="00B30BCF">
      <w:pPr>
        <w:pStyle w:val="Subtitle"/>
        <w:rPr>
          <w:lang w:val="en-GB"/>
        </w:rPr>
      </w:pPr>
      <w:r w:rsidRPr="0001096E">
        <w:rPr>
          <w:lang w:val="en-GB"/>
        </w:rPr>
        <w:t>Disadvantages in the exercise of political rights</w:t>
      </w:r>
      <w:r w:rsidR="00B30BCF" w:rsidRPr="0001096E">
        <w:rPr>
          <w:lang w:val="en-GB"/>
        </w:rPr>
        <w:t xml:space="preserve"> (LoI, 23a)</w:t>
      </w:r>
    </w:p>
    <w:p w14:paraId="5110F5DF" w14:textId="53EC76D7" w:rsidR="00B205C7" w:rsidRPr="00A86F53" w:rsidRDefault="00B205C7" w:rsidP="00B205C7">
      <w:pPr>
        <w:rPr>
          <w:lang w:val="en-GB"/>
        </w:rPr>
      </w:pPr>
      <w:r w:rsidRPr="00A86F53">
        <w:rPr>
          <w:lang w:val="en-GB"/>
        </w:rPr>
        <w:t xml:space="preserve">The Confederation is making </w:t>
      </w:r>
      <w:r w:rsidRPr="00A86F53">
        <w:rPr>
          <w:b/>
          <w:lang w:val="en-GB"/>
        </w:rPr>
        <w:t>progress with regard to the accessible processing of voting/electoral materials and information</w:t>
      </w:r>
      <w:r w:rsidRPr="00A86F53">
        <w:rPr>
          <w:lang w:val="en-GB"/>
        </w:rPr>
        <w:t xml:space="preserve"> for PWD.</w:t>
      </w:r>
      <w:r w:rsidRPr="00A86F53">
        <w:rPr>
          <w:rStyle w:val="FootnoteReference"/>
          <w:lang w:val="en-GB"/>
        </w:rPr>
        <w:footnoteReference w:id="304"/>
      </w:r>
      <w:r w:rsidRPr="00A86F53">
        <w:rPr>
          <w:lang w:val="en-GB"/>
        </w:rPr>
        <w:t xml:space="preserve"> At present, however,</w:t>
      </w:r>
      <w:r w:rsidRPr="00A86F53">
        <w:rPr>
          <w:b/>
          <w:lang w:val="en-GB"/>
        </w:rPr>
        <w:t xml:space="preserve"> </w:t>
      </w:r>
      <w:r w:rsidR="00AF697E">
        <w:rPr>
          <w:b/>
          <w:lang w:val="en-GB"/>
        </w:rPr>
        <w:t xml:space="preserve">persons who are </w:t>
      </w:r>
      <w:r w:rsidRPr="00A86F53">
        <w:rPr>
          <w:b/>
          <w:lang w:val="en-GB"/>
        </w:rPr>
        <w:t xml:space="preserve">blind </w:t>
      </w:r>
      <w:r w:rsidR="00AF697E">
        <w:rPr>
          <w:b/>
          <w:lang w:val="en-GB"/>
        </w:rPr>
        <w:t>or</w:t>
      </w:r>
      <w:r w:rsidRPr="00A86F53">
        <w:rPr>
          <w:b/>
          <w:lang w:val="en-GB"/>
        </w:rPr>
        <w:t xml:space="preserve"> visually impaired are</w:t>
      </w:r>
      <w:r w:rsidRPr="00A86F53">
        <w:rPr>
          <w:lang w:val="en-GB"/>
        </w:rPr>
        <w:t xml:space="preserve"> still </w:t>
      </w:r>
      <w:r w:rsidRPr="00A86F53">
        <w:rPr>
          <w:b/>
          <w:lang w:val="en-GB"/>
        </w:rPr>
        <w:t xml:space="preserve">unable to exercise </w:t>
      </w:r>
      <w:r w:rsidRPr="00A86F53">
        <w:rPr>
          <w:lang w:val="en-GB"/>
        </w:rPr>
        <w:t>their right to vote and elect</w:t>
      </w:r>
      <w:r w:rsidRPr="00A86F53">
        <w:rPr>
          <w:b/>
          <w:lang w:val="en-GB"/>
        </w:rPr>
        <w:t xml:space="preserve"> independently</w:t>
      </w:r>
      <w:r w:rsidRPr="00A86F53">
        <w:rPr>
          <w:lang w:val="en-GB"/>
        </w:rPr>
        <w:t xml:space="preserve">; they need an assistant </w:t>
      </w:r>
      <w:r w:rsidRPr="00A86F53">
        <w:rPr>
          <w:lang w:val="en-GB"/>
        </w:rPr>
        <w:lastRenderedPageBreak/>
        <w:t xml:space="preserve">in order to do this. </w:t>
      </w:r>
      <w:r w:rsidRPr="00A86F53">
        <w:rPr>
          <w:b/>
          <w:lang w:val="en-GB"/>
        </w:rPr>
        <w:t>E-voting</w:t>
      </w:r>
      <w:r w:rsidRPr="00A86F53">
        <w:rPr>
          <w:lang w:val="en-GB"/>
        </w:rPr>
        <w:t xml:space="preserve">, which allows them (as well as other PWD) to elect and vote while preserving voting secrecy, was </w:t>
      </w:r>
      <w:r w:rsidRPr="00A86F53">
        <w:rPr>
          <w:b/>
          <w:lang w:val="en-GB"/>
        </w:rPr>
        <w:t>reinstated in 2019</w:t>
      </w:r>
      <w:r w:rsidRPr="00A86F53">
        <w:rPr>
          <w:lang w:val="en-GB"/>
        </w:rPr>
        <w:t xml:space="preserve"> </w:t>
      </w:r>
      <w:r w:rsidRPr="00A86F53">
        <w:rPr>
          <w:b/>
          <w:lang w:val="en-GB"/>
        </w:rPr>
        <w:t>following a lengthy test phase in ten cantons</w:t>
      </w:r>
      <w:r w:rsidRPr="00A86F53">
        <w:rPr>
          <w:lang w:val="en-GB"/>
        </w:rPr>
        <w:t>.</w:t>
      </w:r>
      <w:r w:rsidRPr="00A86F53">
        <w:rPr>
          <w:rStyle w:val="FootnoteReference"/>
          <w:lang w:val="en-GB"/>
        </w:rPr>
        <w:footnoteReference w:id="305"/>
      </w:r>
      <w:r w:rsidRPr="00A86F53">
        <w:rPr>
          <w:lang w:val="en-GB"/>
        </w:rPr>
        <w:t xml:space="preserve"> In 2021, proposals to amend legislation at federal level were again </w:t>
      </w:r>
      <w:r w:rsidR="00042324">
        <w:rPr>
          <w:lang w:val="en-GB"/>
        </w:rPr>
        <w:t>submitted to</w:t>
      </w:r>
      <w:r w:rsidRPr="00A86F53">
        <w:rPr>
          <w:lang w:val="en-GB"/>
        </w:rPr>
        <w:t xml:space="preserve"> the consultation process with the aim of creating a new basis for experimental e-voting.</w:t>
      </w:r>
      <w:r w:rsidRPr="00A86F53">
        <w:rPr>
          <w:rStyle w:val="FootnoteReference"/>
          <w:lang w:val="en-GB"/>
        </w:rPr>
        <w:footnoteReference w:id="306"/>
      </w:r>
      <w:r w:rsidRPr="00A86F53">
        <w:rPr>
          <w:lang w:val="en-GB"/>
        </w:rPr>
        <w:t xml:space="preserve"> However, a pilot test involving the provision of voting information in </w:t>
      </w:r>
      <w:r w:rsidR="00282A84">
        <w:rPr>
          <w:lang w:val="en-GB"/>
        </w:rPr>
        <w:t>plain</w:t>
      </w:r>
      <w:r w:rsidRPr="00A86F53">
        <w:rPr>
          <w:lang w:val="en-GB"/>
        </w:rPr>
        <w:t xml:space="preserve"> language was rejected.</w:t>
      </w:r>
      <w:r w:rsidRPr="00A86F53">
        <w:rPr>
          <w:rStyle w:val="FootnoteReference"/>
          <w:lang w:val="en-GB"/>
        </w:rPr>
        <w:footnoteReference w:id="307"/>
      </w:r>
    </w:p>
    <w:p w14:paraId="2BB99EE2" w14:textId="6EC5F8AE" w:rsidR="00AD6133" w:rsidRPr="0001096E" w:rsidRDefault="00B205C7" w:rsidP="00D616B2">
      <w:pPr>
        <w:rPr>
          <w:lang w:val="en-GB"/>
        </w:rPr>
      </w:pPr>
      <w:r w:rsidRPr="00A86F53">
        <w:rPr>
          <w:b/>
          <w:lang w:val="en-GB"/>
        </w:rPr>
        <w:t xml:space="preserve">Inclusion Handicap’s legal advice </w:t>
      </w:r>
      <w:r w:rsidRPr="00A86F53">
        <w:rPr>
          <w:lang w:val="en-GB"/>
        </w:rPr>
        <w:t xml:space="preserve">reported cases in which the voting documents of </w:t>
      </w:r>
      <w:r w:rsidRPr="00A86F53">
        <w:rPr>
          <w:b/>
          <w:lang w:val="en-GB"/>
        </w:rPr>
        <w:t>PWD residing in institutions</w:t>
      </w:r>
      <w:r w:rsidRPr="00A86F53">
        <w:rPr>
          <w:lang w:val="en-GB"/>
        </w:rPr>
        <w:t xml:space="preserve"> were completely destroyed without the affected persons having been asked with regard t</w:t>
      </w:r>
      <w:r w:rsidR="00D616B2">
        <w:rPr>
          <w:lang w:val="en-GB"/>
        </w:rPr>
        <w:t>o the specific election/voting.</w:t>
      </w:r>
    </w:p>
    <w:p w14:paraId="2808A168" w14:textId="69BF7570" w:rsidR="00B30BCF" w:rsidRDefault="00082D01" w:rsidP="00B30BCF">
      <w:pPr>
        <w:pStyle w:val="Subtitle"/>
        <w:rPr>
          <w:lang w:val="en-GB"/>
        </w:rPr>
      </w:pPr>
      <w:r w:rsidRPr="0001096E">
        <w:rPr>
          <w:lang w:val="en-GB"/>
        </w:rPr>
        <w:t>Discrimination in the right to stand for election</w:t>
      </w:r>
      <w:r w:rsidR="00B30BCF" w:rsidRPr="0001096E">
        <w:rPr>
          <w:lang w:val="en-GB"/>
        </w:rPr>
        <w:t xml:space="preserve"> (LoI, 23d)</w:t>
      </w:r>
    </w:p>
    <w:p w14:paraId="33A6CB9F" w14:textId="1C224345" w:rsidR="00D616B2" w:rsidRPr="00D616B2" w:rsidRDefault="00D616B2" w:rsidP="00D616B2">
      <w:pPr>
        <w:rPr>
          <w:lang w:val="en-GB"/>
        </w:rPr>
      </w:pPr>
      <w:r w:rsidRPr="00A86F53">
        <w:rPr>
          <w:lang w:val="en-GB"/>
        </w:rPr>
        <w:t xml:space="preserve">PWD are </w:t>
      </w:r>
      <w:r w:rsidRPr="00A86F53">
        <w:rPr>
          <w:b/>
          <w:lang w:val="en-GB"/>
        </w:rPr>
        <w:t xml:space="preserve">strongly underrepresented </w:t>
      </w:r>
      <w:r w:rsidRPr="00282A84">
        <w:rPr>
          <w:lang w:val="en-GB"/>
        </w:rPr>
        <w:t>in</w:t>
      </w:r>
      <w:r w:rsidRPr="00A86F53">
        <w:rPr>
          <w:lang w:val="en-GB"/>
        </w:rPr>
        <w:t xml:space="preserve"> Swiss politics.</w:t>
      </w:r>
      <w:r w:rsidRPr="00A86F53">
        <w:rPr>
          <w:rStyle w:val="FootnoteReference"/>
          <w:lang w:val="en-GB"/>
        </w:rPr>
        <w:footnoteReference w:id="308"/>
      </w:r>
      <w:r w:rsidRPr="00A86F53">
        <w:rPr>
          <w:lang w:val="en-GB"/>
        </w:rPr>
        <w:t xml:space="preserve"> At the end of 2021, the University of Zurich published the results of a study titled “Disabled in Politics”.</w:t>
      </w:r>
      <w:r w:rsidRPr="00A86F53">
        <w:rPr>
          <w:rStyle w:val="FootnoteReference"/>
          <w:lang w:val="en-GB"/>
        </w:rPr>
        <w:footnoteReference w:id="309"/>
      </w:r>
      <w:r w:rsidRPr="00A86F53">
        <w:rPr>
          <w:lang w:val="en-GB"/>
        </w:rPr>
        <w:t xml:space="preserve"> The study examined how PWD’s political participation, particularly in political bodies, could be increased quantitatively and at all levels of government. It identified barriers, e.g. in terms of political structures, attitudes towards </w:t>
      </w:r>
      <w:r w:rsidRPr="00A86F53">
        <w:rPr>
          <w:lang w:val="en-GB"/>
        </w:rPr>
        <w:lastRenderedPageBreak/>
        <w:t>PWD, financial resources, personal support and accessibility, and drew up measures.</w:t>
      </w:r>
      <w:r w:rsidRPr="00A86F53">
        <w:rPr>
          <w:vertAlign w:val="superscript"/>
          <w:lang w:val="en-GB"/>
        </w:rPr>
        <w:footnoteReference w:id="310"/>
      </w:r>
    </w:p>
    <w:p w14:paraId="1931C5F6" w14:textId="03353F4C" w:rsidR="00B30BCF" w:rsidRPr="0001096E" w:rsidRDefault="00082D01" w:rsidP="00B30BCF">
      <w:pPr>
        <w:shd w:val="clear" w:color="auto" w:fill="FFFFCC"/>
        <w:spacing w:before="240"/>
        <w:ind w:left="357" w:hanging="357"/>
        <w:rPr>
          <w:rFonts w:eastAsia="Cambria"/>
          <w:b/>
          <w:lang w:val="en-GB"/>
        </w:rPr>
      </w:pPr>
      <w:r w:rsidRPr="0001096E">
        <w:rPr>
          <w:rFonts w:eastAsia="Cambria"/>
          <w:b/>
          <w:lang w:val="en-GB"/>
        </w:rPr>
        <w:t>Proposals for recommendations</w:t>
      </w:r>
      <w:r w:rsidR="00B30BCF" w:rsidRPr="0001096E">
        <w:rPr>
          <w:rFonts w:eastAsia="Cambria"/>
          <w:b/>
          <w:lang w:val="en-GB"/>
        </w:rPr>
        <w:t>:</w:t>
      </w:r>
    </w:p>
    <w:p w14:paraId="1B2B7B8D" w14:textId="73777B6D" w:rsidR="00D616B2" w:rsidRPr="00433554" w:rsidRDefault="00D616B2" w:rsidP="00D616B2">
      <w:pPr>
        <w:pStyle w:val="SBEmpfehlungen"/>
      </w:pPr>
      <w:r w:rsidRPr="00D616B2">
        <w:rPr>
          <w:b/>
        </w:rPr>
        <w:t>The Confederation and the cantons</w:t>
      </w:r>
      <w:r w:rsidRPr="00D616B2">
        <w:t xml:space="preserve"> shall revoke all constitutional and statutory provisions that result </w:t>
      </w:r>
      <w:r w:rsidRPr="00D616B2">
        <w:rPr>
          <w:rFonts w:eastAsia="Calibri"/>
          <w:color w:val="000000"/>
        </w:rPr>
        <w:t>in PWD</w:t>
      </w:r>
      <w:r w:rsidRPr="00D616B2">
        <w:t xml:space="preserve"> being denied the right to</w:t>
      </w:r>
      <w:r w:rsidR="00282A84">
        <w:t xml:space="preserve"> vote, to</w:t>
      </w:r>
      <w:r w:rsidRPr="00D616B2">
        <w:t xml:space="preserve"> elect and to stand for election. </w:t>
      </w:r>
      <w:r w:rsidRPr="00433554">
        <w:t xml:space="preserve">They shall establish </w:t>
      </w:r>
      <w:r w:rsidRPr="00433554">
        <w:rPr>
          <w:b/>
        </w:rPr>
        <w:t>professional structures for supported decision-making</w:t>
      </w:r>
      <w:r w:rsidRPr="00433554">
        <w:t xml:space="preserve"> in the exercise of political rights.</w:t>
      </w:r>
    </w:p>
    <w:p w14:paraId="6E2F9B00" w14:textId="77777777" w:rsidR="00D616B2" w:rsidRPr="00433554" w:rsidRDefault="00D616B2" w:rsidP="00D616B2">
      <w:pPr>
        <w:pStyle w:val="SBEmpfehlungen"/>
      </w:pPr>
      <w:r w:rsidRPr="00433554">
        <w:rPr>
          <w:b/>
        </w:rPr>
        <w:t>The Confederation and the cantons</w:t>
      </w:r>
      <w:r w:rsidRPr="00433554">
        <w:t xml:space="preserve"> shall ensure that </w:t>
      </w:r>
      <w:r w:rsidRPr="00433554">
        <w:rPr>
          <w:b/>
        </w:rPr>
        <w:t>election and voting procedures, facilities and online or printed election materials may</w:t>
      </w:r>
      <w:r w:rsidRPr="00433554">
        <w:t xml:space="preserve"> be used by all </w:t>
      </w:r>
      <w:r w:rsidRPr="00433554">
        <w:rPr>
          <w:rFonts w:eastAsia="Calibri"/>
          <w:color w:val="000000"/>
        </w:rPr>
        <w:t>PWD,</w:t>
      </w:r>
      <w:r w:rsidRPr="00433554">
        <w:t xml:space="preserve"> subject to the preservation of voting secrecy. </w:t>
      </w:r>
      <w:r w:rsidRPr="00D616B2">
        <w:t xml:space="preserve">They shall ensure, in particular, that, in the event of </w:t>
      </w:r>
      <w:r w:rsidRPr="00D616B2">
        <w:rPr>
          <w:b/>
        </w:rPr>
        <w:t>the realignment of the e-voting test phase,</w:t>
      </w:r>
      <w:r w:rsidRPr="00D616B2">
        <w:t xml:space="preserve"> </w:t>
      </w:r>
      <w:r w:rsidRPr="00D616B2">
        <w:rPr>
          <w:b/>
        </w:rPr>
        <w:t>all PWD in all cantons</w:t>
      </w:r>
      <w:r w:rsidRPr="00D616B2">
        <w:t xml:space="preserve"> receive access to this system by the 2023 federal elections at the latest. </w:t>
      </w:r>
      <w:r w:rsidRPr="00433554">
        <w:t xml:space="preserve">This applies to the </w:t>
      </w:r>
      <w:r w:rsidRPr="00433554">
        <w:rPr>
          <w:b/>
        </w:rPr>
        <w:t xml:space="preserve">entire voting process </w:t>
      </w:r>
      <w:r w:rsidRPr="00433554">
        <w:t xml:space="preserve">as well as to the </w:t>
      </w:r>
      <w:r w:rsidRPr="00433554">
        <w:rPr>
          <w:b/>
        </w:rPr>
        <w:t>registration</w:t>
      </w:r>
      <w:r w:rsidRPr="00433554">
        <w:t xml:space="preserve"> for electronic voting, the </w:t>
      </w:r>
      <w:r w:rsidRPr="00433554">
        <w:rPr>
          <w:b/>
        </w:rPr>
        <w:t>voting documents</w:t>
      </w:r>
      <w:r w:rsidRPr="00433554">
        <w:t xml:space="preserve"> and </w:t>
      </w:r>
      <w:r w:rsidRPr="00433554">
        <w:rPr>
          <w:b/>
        </w:rPr>
        <w:t>information</w:t>
      </w:r>
      <w:r w:rsidRPr="00433554">
        <w:t xml:space="preserve">. </w:t>
      </w:r>
    </w:p>
    <w:p w14:paraId="335A337B" w14:textId="77777777" w:rsidR="00D616B2" w:rsidRPr="00433554" w:rsidRDefault="00D616B2" w:rsidP="00D616B2">
      <w:pPr>
        <w:pStyle w:val="SBEmpfehlungen"/>
      </w:pPr>
      <w:r w:rsidRPr="00433554">
        <w:rPr>
          <w:b/>
        </w:rPr>
        <w:t>The Confederation, cantons and municipalities</w:t>
      </w:r>
      <w:r w:rsidRPr="00433554">
        <w:t xml:space="preserve"> as well as </w:t>
      </w:r>
      <w:r w:rsidRPr="00433554">
        <w:rPr>
          <w:b/>
        </w:rPr>
        <w:t>political parties shall</w:t>
      </w:r>
      <w:r w:rsidRPr="00433554">
        <w:t xml:space="preserve"> create structures and take the necessary measures to enable PWD to become </w:t>
      </w:r>
      <w:r w:rsidRPr="00433554">
        <w:rPr>
          <w:b/>
        </w:rPr>
        <w:t>politically involved</w:t>
      </w:r>
      <w:r w:rsidRPr="00433554">
        <w:t xml:space="preserve"> and, in particular, to exercise their </w:t>
      </w:r>
      <w:r w:rsidRPr="00433554">
        <w:rPr>
          <w:b/>
        </w:rPr>
        <w:t>right</w:t>
      </w:r>
      <w:r w:rsidRPr="00433554">
        <w:t xml:space="preserve"> to stand for election. </w:t>
      </w:r>
    </w:p>
    <w:p w14:paraId="2CC9F837" w14:textId="1D817AC7" w:rsidR="00AD6133" w:rsidRPr="00D616B2" w:rsidRDefault="00D616B2" w:rsidP="00D616B2">
      <w:pPr>
        <w:pStyle w:val="SBEmpfehlungen"/>
      </w:pPr>
      <w:r w:rsidRPr="00433554">
        <w:t xml:space="preserve">As part of their </w:t>
      </w:r>
      <w:r w:rsidRPr="00433554">
        <w:rPr>
          <w:b/>
        </w:rPr>
        <w:t>supervisory function,</w:t>
      </w:r>
      <w:r w:rsidRPr="00433554">
        <w:t xml:space="preserve"> the </w:t>
      </w:r>
      <w:r w:rsidRPr="00433554">
        <w:rPr>
          <w:b/>
        </w:rPr>
        <w:t>cantons</w:t>
      </w:r>
      <w:r w:rsidRPr="00433554">
        <w:t xml:space="preserve"> shall ensure that </w:t>
      </w:r>
      <w:r w:rsidRPr="00433554">
        <w:rPr>
          <w:b/>
        </w:rPr>
        <w:t xml:space="preserve">PWD residing in institutions </w:t>
      </w:r>
      <w:r w:rsidRPr="00433554">
        <w:t xml:space="preserve">can actually exercise their political rights. </w:t>
      </w:r>
    </w:p>
    <w:p w14:paraId="4314E5BC" w14:textId="3924B3C7" w:rsidR="00082D01" w:rsidRDefault="00082D01" w:rsidP="00082D01">
      <w:pPr>
        <w:pStyle w:val="Heading3"/>
        <w:numPr>
          <w:ilvl w:val="0"/>
          <w:numId w:val="0"/>
        </w:numPr>
        <w:ind w:left="737" w:hanging="737"/>
        <w:rPr>
          <w:lang w:val="en-GB"/>
        </w:rPr>
      </w:pPr>
      <w:bookmarkStart w:id="144" w:name="_Toc95297081"/>
      <w:bookmarkStart w:id="145" w:name="_Toc95668196"/>
      <w:r w:rsidRPr="0001096E">
        <w:rPr>
          <w:lang w:val="en-GB"/>
        </w:rPr>
        <w:lastRenderedPageBreak/>
        <w:t>Article 30 – Participation in cultural life, recreation, leisure and sport</w:t>
      </w:r>
      <w:bookmarkEnd w:id="144"/>
      <w:bookmarkEnd w:id="145"/>
    </w:p>
    <w:p w14:paraId="5011A9D7" w14:textId="49176375" w:rsidR="00D616B2" w:rsidRPr="00D616B2" w:rsidRDefault="00D616B2" w:rsidP="00D616B2">
      <w:pPr>
        <w:pStyle w:val="BodyText"/>
        <w:rPr>
          <w:lang w:val="en-GB"/>
        </w:rPr>
      </w:pPr>
      <w:r w:rsidRPr="00A86F53">
        <w:rPr>
          <w:lang w:val="en-GB"/>
        </w:rPr>
        <w:t>In its report titled “Options for the legal recognition of Swiss sign languages”, published in 2021,</w:t>
      </w:r>
      <w:bookmarkStart w:id="146" w:name="_Ref94020234"/>
      <w:r w:rsidRPr="00A86F53">
        <w:rPr>
          <w:rStyle w:val="FootnoteReference"/>
          <w:lang w:val="en-GB"/>
        </w:rPr>
        <w:footnoteReference w:id="311"/>
      </w:r>
      <w:bookmarkEnd w:id="146"/>
      <w:r w:rsidRPr="00A86F53">
        <w:rPr>
          <w:lang w:val="en-GB"/>
        </w:rPr>
        <w:t xml:space="preserve"> the Federal Council takes the view that </w:t>
      </w:r>
      <w:r w:rsidRPr="00A86F53">
        <w:rPr>
          <w:b/>
          <w:lang w:val="en-GB"/>
        </w:rPr>
        <w:t>the recognition of Swiss sign languages</w:t>
      </w:r>
      <w:r w:rsidRPr="00A86F53">
        <w:rPr>
          <w:lang w:val="en-GB"/>
        </w:rPr>
        <w:t xml:space="preserve"> </w:t>
      </w:r>
      <w:r w:rsidRPr="00A86F53">
        <w:rPr>
          <w:b/>
          <w:lang w:val="en-GB"/>
        </w:rPr>
        <w:t>is not a mandatory prerequisite for improving the situation of deaf persons in Switzerland</w:t>
      </w:r>
      <w:r w:rsidRPr="00A86F53">
        <w:rPr>
          <w:lang w:val="en-GB"/>
        </w:rPr>
        <w:t xml:space="preserve">. Accordingly, it </w:t>
      </w:r>
      <w:r w:rsidR="00D15DF3">
        <w:rPr>
          <w:lang w:val="en-GB"/>
        </w:rPr>
        <w:t>renounces</w:t>
      </w:r>
      <w:r w:rsidRPr="00A86F53">
        <w:rPr>
          <w:lang w:val="en-GB"/>
        </w:rPr>
        <w:t xml:space="preserve"> any political program, action plan or strategy for the legal recognition of sign language in Switzerland and the promotion of sign language and deaf culture. </w:t>
      </w:r>
      <w:r w:rsidRPr="00A86F53">
        <w:rPr>
          <w:b/>
          <w:lang w:val="en-GB"/>
        </w:rPr>
        <w:t>Rather, the Confederation intends to monitor the existing regulations/measures</w:t>
      </w:r>
      <w:r w:rsidRPr="00A86F53">
        <w:rPr>
          <w:lang w:val="en-GB"/>
        </w:rPr>
        <w:t xml:space="preserve"> and, if necessary, follow up on the issue in the Disability Policy Report.</w:t>
      </w:r>
      <w:r w:rsidRPr="00A86F53">
        <w:rPr>
          <w:rStyle w:val="FootnoteReference"/>
          <w:lang w:val="en-GB"/>
        </w:rPr>
        <w:footnoteReference w:id="312"/>
      </w:r>
      <w:r w:rsidRPr="00A86F53">
        <w:rPr>
          <w:lang w:val="en-GB"/>
        </w:rPr>
        <w:t xml:space="preserve"> Despite the existing measures taken by the Confederation and the cantons, </w:t>
      </w:r>
      <w:r w:rsidR="00AF697E">
        <w:rPr>
          <w:lang w:val="en-GB"/>
        </w:rPr>
        <w:t xml:space="preserve">persons who are deaf or have a </w:t>
      </w:r>
      <w:r w:rsidRPr="00A86F53">
        <w:rPr>
          <w:lang w:val="en-GB"/>
        </w:rPr>
        <w:t>hearing-</w:t>
      </w:r>
      <w:r w:rsidR="00AF697E" w:rsidRPr="00A86F53">
        <w:rPr>
          <w:lang w:val="en-GB"/>
        </w:rPr>
        <w:t>impairm</w:t>
      </w:r>
      <w:r w:rsidR="00AF697E">
        <w:rPr>
          <w:lang w:val="en-GB"/>
        </w:rPr>
        <w:t xml:space="preserve">ent </w:t>
      </w:r>
      <w:r w:rsidRPr="00A86F53">
        <w:rPr>
          <w:lang w:val="en-GB"/>
        </w:rPr>
        <w:t>face discrimination on a daily basis in Switzerland.</w:t>
      </w:r>
      <w:r w:rsidRPr="00A86F53">
        <w:rPr>
          <w:vertAlign w:val="superscript"/>
          <w:lang w:val="en-GB"/>
        </w:rPr>
        <w:footnoteReference w:id="313"/>
      </w:r>
      <w:r w:rsidRPr="00A86F53">
        <w:rPr>
          <w:lang w:val="en-GB"/>
        </w:rPr>
        <w:t xml:space="preserve"> By virtue of the stance it has adopted, Switzerland overlooks its special situation and thus also its obligations under Article 30 CRPD.</w:t>
      </w:r>
    </w:p>
    <w:p w14:paraId="059211A8" w14:textId="6B6C8B28" w:rsidR="00B30BCF" w:rsidRPr="0001096E" w:rsidRDefault="00082D01" w:rsidP="00B30BCF">
      <w:pPr>
        <w:shd w:val="clear" w:color="auto" w:fill="FFFFCC"/>
        <w:spacing w:before="240"/>
        <w:rPr>
          <w:rFonts w:eastAsia="Cambria"/>
          <w:b/>
          <w:lang w:val="en-GB"/>
        </w:rPr>
      </w:pPr>
      <w:r w:rsidRPr="0001096E">
        <w:rPr>
          <w:rFonts w:eastAsia="Cambria"/>
          <w:b/>
          <w:lang w:val="en-GB"/>
        </w:rPr>
        <w:t>Proposals for recommendations</w:t>
      </w:r>
      <w:r w:rsidR="00B30BCF" w:rsidRPr="0001096E">
        <w:rPr>
          <w:rFonts w:eastAsia="Cambria"/>
          <w:b/>
          <w:lang w:val="en-GB"/>
        </w:rPr>
        <w:t>:</w:t>
      </w:r>
    </w:p>
    <w:p w14:paraId="3E237172" w14:textId="608B3047" w:rsidR="00AD6133" w:rsidRPr="00D616B2" w:rsidRDefault="00D616B2" w:rsidP="00D616B2">
      <w:pPr>
        <w:pStyle w:val="SBEmpfehlungen"/>
      </w:pPr>
      <w:r w:rsidRPr="00A86F53">
        <w:t xml:space="preserve">The </w:t>
      </w:r>
      <w:r w:rsidRPr="00A86F53">
        <w:rPr>
          <w:b/>
        </w:rPr>
        <w:t xml:space="preserve">Confederation </w:t>
      </w:r>
      <w:r w:rsidRPr="00A86F53">
        <w:t xml:space="preserve">shall draw up a </w:t>
      </w:r>
      <w:r w:rsidRPr="00A86F53">
        <w:rPr>
          <w:b/>
        </w:rPr>
        <w:t xml:space="preserve">law </w:t>
      </w:r>
      <w:r w:rsidRPr="00A86F53">
        <w:t xml:space="preserve">in which the </w:t>
      </w:r>
      <w:r w:rsidRPr="00A86F53">
        <w:rPr>
          <w:b/>
        </w:rPr>
        <w:t>three Swiss sign languages are legally recognised</w:t>
      </w:r>
      <w:r w:rsidRPr="00A86F53">
        <w:t xml:space="preserve"> and the necessary protection and support provisions are established. </w:t>
      </w:r>
    </w:p>
    <w:p w14:paraId="7A22FFA2" w14:textId="77777777" w:rsidR="00082D01" w:rsidRPr="0001096E" w:rsidRDefault="00082D01" w:rsidP="00082D01">
      <w:pPr>
        <w:pStyle w:val="Heading2"/>
        <w:rPr>
          <w:lang w:val="en-GB"/>
        </w:rPr>
      </w:pPr>
      <w:bookmarkStart w:id="147" w:name="_Toc94189862"/>
      <w:bookmarkStart w:id="148" w:name="_Toc95297082"/>
      <w:bookmarkStart w:id="149" w:name="_Toc95668197"/>
      <w:bookmarkStart w:id="150" w:name="_Toc94605108"/>
      <w:r w:rsidRPr="0001096E">
        <w:rPr>
          <w:lang w:val="en-GB"/>
        </w:rPr>
        <w:lastRenderedPageBreak/>
        <w:t>Special duties</w:t>
      </w:r>
      <w:bookmarkEnd w:id="147"/>
      <w:bookmarkEnd w:id="148"/>
      <w:bookmarkEnd w:id="149"/>
    </w:p>
    <w:p w14:paraId="2BB5D1B4" w14:textId="263F21A8" w:rsidR="00082D01" w:rsidRPr="0001096E" w:rsidRDefault="00082D01" w:rsidP="00082D01">
      <w:pPr>
        <w:pStyle w:val="Heading3"/>
        <w:numPr>
          <w:ilvl w:val="0"/>
          <w:numId w:val="0"/>
        </w:numPr>
        <w:ind w:left="737" w:hanging="737"/>
        <w:rPr>
          <w:lang w:val="en-GB"/>
        </w:rPr>
      </w:pPr>
      <w:bookmarkStart w:id="151" w:name="_Toc95297083"/>
      <w:bookmarkStart w:id="152" w:name="_Toc95668198"/>
      <w:bookmarkEnd w:id="150"/>
      <w:r w:rsidRPr="0001096E">
        <w:rPr>
          <w:lang w:val="en-GB"/>
        </w:rPr>
        <w:t>Article 31 – Statistics and data collection</w:t>
      </w:r>
      <w:bookmarkEnd w:id="151"/>
      <w:bookmarkEnd w:id="152"/>
    </w:p>
    <w:p w14:paraId="0A7F3AEA" w14:textId="77777777" w:rsidR="00D616B2" w:rsidRPr="00A86F53" w:rsidRDefault="00D616B2" w:rsidP="00D616B2">
      <w:pPr>
        <w:rPr>
          <w:sz w:val="20"/>
          <w:szCs w:val="20"/>
          <w:lang w:val="en-GB"/>
        </w:rPr>
      </w:pPr>
      <w:r w:rsidRPr="00A86F53">
        <w:rPr>
          <w:lang w:val="en-GB"/>
        </w:rPr>
        <w:t>According to the Reply to the LoI (para. 82), the FSO's statistics on the equality of PWD provide “many key figures” for the development of the national disability policy. When, in the Disability Policy Report 2018, the Confederation sometimes also used statistical information to illustrate the status of implementation, it explicitly admitted that this information “does not go beyond individual key figures” and merely served to illustrate its explanations.</w:t>
      </w:r>
      <w:r w:rsidRPr="00A86F53">
        <w:rPr>
          <w:rStyle w:val="FootnoteReference"/>
          <w:lang w:val="en-GB"/>
        </w:rPr>
        <w:footnoteReference w:id="314"/>
      </w:r>
      <w:r w:rsidRPr="00A86F53">
        <w:rPr>
          <w:lang w:val="en-GB"/>
        </w:rPr>
        <w:t xml:space="preserve"> In the wake of the DDA assessment and due to the impact of the </w:t>
      </w:r>
      <w:r w:rsidRPr="00A86F53">
        <w:rPr>
          <w:b/>
          <w:lang w:val="en-GB"/>
        </w:rPr>
        <w:t>CRPD reporting</w:t>
      </w:r>
      <w:r w:rsidRPr="00A86F53">
        <w:rPr>
          <w:lang w:val="en-GB"/>
        </w:rPr>
        <w:t>,</w:t>
      </w:r>
      <w:r w:rsidRPr="00A86F53">
        <w:rPr>
          <w:b/>
          <w:lang w:val="en-GB"/>
        </w:rPr>
        <w:t xml:space="preserve"> </w:t>
      </w:r>
      <w:r w:rsidRPr="00A86F53">
        <w:rPr>
          <w:lang w:val="en-GB"/>
        </w:rPr>
        <w:t>it expressed itself even more clearly: Despite the mandate established in the Federal Statistics Act (FStatA),</w:t>
      </w:r>
      <w:r w:rsidRPr="00A86F53">
        <w:rPr>
          <w:rStyle w:val="FootnoteReference"/>
          <w:lang w:val="en-GB"/>
        </w:rPr>
        <w:footnoteReference w:id="315"/>
      </w:r>
      <w:r w:rsidRPr="00A86F53">
        <w:rPr>
          <w:lang w:val="en-GB"/>
        </w:rPr>
        <w:t xml:space="preserve"> an “ongoing review and control of implementation on the basis of specific implementation targets, and thus also the possibility of </w:t>
      </w:r>
      <w:r w:rsidRPr="00DE1CDB">
        <w:rPr>
          <w:b/>
          <w:iCs/>
          <w:lang w:val="en-GB"/>
        </w:rPr>
        <w:t>setting</w:t>
      </w:r>
      <w:r w:rsidRPr="00DE1CDB">
        <w:rPr>
          <w:b/>
          <w:lang w:val="en-GB"/>
        </w:rPr>
        <w:t xml:space="preserve"> further implementation targets</w:t>
      </w:r>
      <w:r w:rsidRPr="00A86F53">
        <w:rPr>
          <w:i/>
          <w:lang w:val="en-GB"/>
        </w:rPr>
        <w:t xml:space="preserve"> </w:t>
      </w:r>
      <w:r w:rsidRPr="00DE1CDB">
        <w:rPr>
          <w:lang w:val="en-GB"/>
        </w:rPr>
        <w:t>as</w:t>
      </w:r>
      <w:r w:rsidRPr="00A86F53">
        <w:rPr>
          <w:lang w:val="en-GB"/>
        </w:rPr>
        <w:t xml:space="preserve"> part of an </w:t>
      </w:r>
      <w:r w:rsidRPr="00DE1CDB">
        <w:rPr>
          <w:b/>
          <w:lang w:val="en-GB"/>
        </w:rPr>
        <w:t>overall strategy which can be verified on the basis of measurable indicators</w:t>
      </w:r>
      <w:r w:rsidRPr="00A86F53">
        <w:rPr>
          <w:lang w:val="en-GB"/>
        </w:rPr>
        <w:t>”, are lacking.</w:t>
      </w:r>
      <w:r w:rsidRPr="00A86F53">
        <w:rPr>
          <w:rStyle w:val="FootnoteReference"/>
          <w:lang w:val="en-GB"/>
        </w:rPr>
        <w:footnoteReference w:id="316"/>
      </w:r>
      <w:r w:rsidRPr="00A86F53">
        <w:rPr>
          <w:lang w:val="en-GB"/>
        </w:rPr>
        <w:t xml:space="preserve"> </w:t>
      </w:r>
    </w:p>
    <w:p w14:paraId="4E03D908" w14:textId="77777777" w:rsidR="00D616B2" w:rsidRPr="00A86F53" w:rsidRDefault="00D616B2" w:rsidP="00D616B2">
      <w:pPr>
        <w:rPr>
          <w:lang w:val="en-GB"/>
        </w:rPr>
      </w:pPr>
      <w:r w:rsidRPr="00A86F53">
        <w:rPr>
          <w:lang w:val="en-GB"/>
        </w:rPr>
        <w:t xml:space="preserve">Unfortunately, this situation has </w:t>
      </w:r>
      <w:r w:rsidRPr="00A86F53">
        <w:rPr>
          <w:b/>
          <w:lang w:val="en-GB"/>
        </w:rPr>
        <w:t xml:space="preserve">not changed much </w:t>
      </w:r>
      <w:r w:rsidRPr="00A86F53">
        <w:rPr>
          <w:lang w:val="en-GB"/>
        </w:rPr>
        <w:t>in the last five years. The general improvement of the underlying data</w:t>
      </w:r>
      <w:r w:rsidRPr="00A86F53">
        <w:rPr>
          <w:rStyle w:val="FootnoteReference"/>
          <w:lang w:val="en-GB"/>
        </w:rPr>
        <w:footnoteReference w:id="317"/>
      </w:r>
      <w:r w:rsidRPr="00A86F53">
        <w:rPr>
          <w:lang w:val="en-GB"/>
        </w:rPr>
        <w:t xml:space="preserve"> which was still being planned in 2017 gave way in 2018 to the “pragmatic and step-by-step” development of a monitoring system. First of all, data gaps and possible indicators were to be identified in the new focus areas of work and independent living</w:t>
      </w:r>
      <w:r w:rsidRPr="00A86F53">
        <w:rPr>
          <w:rStyle w:val="FootnoteReference"/>
          <w:lang w:val="en-GB"/>
        </w:rPr>
        <w:footnoteReference w:id="318"/>
      </w:r>
      <w:r w:rsidRPr="00A86F53">
        <w:rPr>
          <w:lang w:val="en-GB"/>
        </w:rPr>
        <w:t xml:space="preserve"> – in parallel with the launch of the relevant programmes where these indicators were therefore lacking. Indicators are to be defined for the new “Living Independently” programme, but no drafts have yet been submitted to organisations for PWD. </w:t>
      </w:r>
      <w:r w:rsidRPr="00A86F53">
        <w:rPr>
          <w:lang w:val="en-GB"/>
        </w:rPr>
        <w:lastRenderedPageBreak/>
        <w:t xml:space="preserve">Overall, since the consultation 15 years ago (Reply to LoI, para. 82), there has been </w:t>
      </w:r>
      <w:r w:rsidRPr="00A86F53">
        <w:rPr>
          <w:b/>
          <w:bCs/>
          <w:lang w:val="en-GB"/>
        </w:rPr>
        <w:t xml:space="preserve">no </w:t>
      </w:r>
      <w:r w:rsidRPr="00A86F53">
        <w:rPr>
          <w:b/>
          <w:lang w:val="en-GB"/>
        </w:rPr>
        <w:t>broad, systematic involvement</w:t>
      </w:r>
      <w:r w:rsidRPr="00A86F53">
        <w:rPr>
          <w:lang w:val="en-GB"/>
        </w:rPr>
        <w:t xml:space="preserve"> of civil society rather than for the purpose of further developing the data pool. </w:t>
      </w:r>
    </w:p>
    <w:p w14:paraId="04A9E053" w14:textId="77777777" w:rsidR="00D616B2" w:rsidRPr="00A86F53" w:rsidRDefault="00D616B2" w:rsidP="00D616B2">
      <w:pPr>
        <w:rPr>
          <w:rFonts w:cs="Rotis Sans Serif Std"/>
          <w:color w:val="000000"/>
          <w:lang w:val="en-GB"/>
        </w:rPr>
      </w:pPr>
      <w:r w:rsidRPr="00A86F53">
        <w:rPr>
          <w:lang w:val="en-GB"/>
        </w:rPr>
        <w:t xml:space="preserve">Thus, the statistics listed in the ISR (para. 200 ff.) and the Reply to the LoI (para. 82 ff.) fail to meet the requirements of </w:t>
      </w:r>
      <w:r w:rsidRPr="00A86F53">
        <w:rPr>
          <w:i/>
          <w:lang w:val="en-GB"/>
        </w:rPr>
        <w:t xml:space="preserve">a </w:t>
      </w:r>
      <w:r w:rsidRPr="00DE1CDB">
        <w:rPr>
          <w:b/>
          <w:lang w:val="en-GB"/>
        </w:rPr>
        <w:t>human rights-based</w:t>
      </w:r>
      <w:r w:rsidRPr="00A86F53">
        <w:rPr>
          <w:lang w:val="en-GB"/>
        </w:rPr>
        <w:t xml:space="preserve"> approach in several respects. This applies, first of all, to a comprehensive </w:t>
      </w:r>
      <w:r w:rsidRPr="00A86F53">
        <w:rPr>
          <w:b/>
          <w:lang w:val="en-GB"/>
        </w:rPr>
        <w:t>breakdown</w:t>
      </w:r>
      <w:r w:rsidRPr="00A86F53">
        <w:rPr>
          <w:lang w:val="en-GB"/>
        </w:rPr>
        <w:t xml:space="preserve"> of the data (para. 26b LoI). Even the FSO’s equality statistics are broken down only by gender and age; the</w:t>
      </w:r>
      <w:r w:rsidRPr="00A86F53">
        <w:rPr>
          <w:rFonts w:cs="Rotis Sans Serif Std"/>
          <w:i/>
          <w:color w:val="000000"/>
          <w:lang w:val="en-GB"/>
        </w:rPr>
        <w:t xml:space="preserve"> </w:t>
      </w:r>
      <w:r w:rsidRPr="00DE1CDB">
        <w:rPr>
          <w:rFonts w:cs="Rotis Sans Serif Std"/>
          <w:b/>
          <w:color w:val="000000"/>
          <w:lang w:val="en-GB"/>
        </w:rPr>
        <w:t>Washington Group Sets of Questions</w:t>
      </w:r>
      <w:r w:rsidRPr="00A86F53">
        <w:rPr>
          <w:rFonts w:cs="Rotis Sans Serif Std"/>
          <w:i/>
          <w:color w:val="000000"/>
          <w:lang w:val="en-GB"/>
        </w:rPr>
        <w:t xml:space="preserve"> </w:t>
      </w:r>
      <w:r w:rsidRPr="00A86F53">
        <w:rPr>
          <w:rFonts w:cs="Rotis Sans Serif Std"/>
          <w:color w:val="000000"/>
          <w:lang w:val="en-GB"/>
        </w:rPr>
        <w:t>are not used. Furthermore, the indicators surveyed have no link to the structural elements/</w:t>
      </w:r>
      <w:r w:rsidRPr="00A86F53">
        <w:rPr>
          <w:rFonts w:cs="Rotis Sans Serif Std"/>
          <w:b/>
          <w:color w:val="000000"/>
          <w:lang w:val="en-GB"/>
        </w:rPr>
        <w:t xml:space="preserve">obligation-related dimensions </w:t>
      </w:r>
      <w:r w:rsidRPr="00A86F53">
        <w:rPr>
          <w:rFonts w:cs="Rotis Sans Serif Std"/>
          <w:color w:val="000000"/>
          <w:lang w:val="en-GB"/>
        </w:rPr>
        <w:t>of the CRPD rights and the required diversity of types (structural, process and outcome indicators).</w:t>
      </w:r>
      <w:r w:rsidRPr="00A86F53">
        <w:rPr>
          <w:rFonts w:eastAsia="Cambria" w:cs="Times New Roman"/>
          <w:color w:val="000000"/>
          <w:vertAlign w:val="superscript"/>
          <w:lang w:val="en-GB"/>
        </w:rPr>
        <w:footnoteReference w:id="319"/>
      </w:r>
      <w:r w:rsidRPr="00A86F53">
        <w:rPr>
          <w:sz w:val="20"/>
          <w:szCs w:val="20"/>
          <w:lang w:val="en-GB"/>
        </w:rPr>
        <w:t xml:space="preserve"> </w:t>
      </w:r>
      <w:r w:rsidRPr="00A86F53">
        <w:rPr>
          <w:rFonts w:eastAsia="Calibri"/>
          <w:color w:val="000000"/>
          <w:lang w:val="en-GB"/>
        </w:rPr>
        <w:t xml:space="preserve">The </w:t>
      </w:r>
      <w:r w:rsidRPr="00A86F53">
        <w:rPr>
          <w:rFonts w:cs="Rotis Sans Serif Std"/>
          <w:b/>
          <w:color w:val="000000"/>
          <w:lang w:val="en-GB"/>
        </w:rPr>
        <w:t>definition</w:t>
      </w:r>
      <w:r w:rsidRPr="00A86F53">
        <w:rPr>
          <w:lang w:val="en-GB"/>
        </w:rPr>
        <w:t xml:space="preserve"> of disability could also be improved (barriers to participation, needs for support/adaptation)</w:t>
      </w:r>
      <w:r w:rsidRPr="00A86F53">
        <w:rPr>
          <w:rFonts w:eastAsia="Cambria" w:cs="Times New Roman"/>
          <w:color w:val="000000"/>
          <w:vertAlign w:val="superscript"/>
          <w:lang w:val="en-GB"/>
        </w:rPr>
        <w:footnoteReference w:id="320"/>
      </w:r>
      <w:r w:rsidRPr="00A86F53">
        <w:rPr>
          <w:rFonts w:eastAsia="Cambria" w:cs="Times New Roman"/>
          <w:color w:val="000000"/>
          <w:vertAlign w:val="superscript"/>
          <w:lang w:val="en-GB"/>
        </w:rPr>
        <w:t xml:space="preserve"> </w:t>
      </w:r>
      <w:r w:rsidRPr="00A86F53">
        <w:rPr>
          <w:rFonts w:cs="Rotis Sans Serif Std"/>
          <w:color w:val="000000"/>
          <w:lang w:val="en-GB"/>
        </w:rPr>
        <w:t xml:space="preserve">where it does not already </w:t>
      </w:r>
      <w:r w:rsidRPr="00A86F53">
        <w:rPr>
          <w:rFonts w:eastAsia="Calibri"/>
          <w:color w:val="000000"/>
          <w:lang w:val="en-GB"/>
        </w:rPr>
        <w:t xml:space="preserve">depart </w:t>
      </w:r>
      <w:r w:rsidRPr="00A86F53">
        <w:rPr>
          <w:rFonts w:cs="Rotis Sans Serif Std"/>
          <w:color w:val="000000"/>
          <w:lang w:val="en-GB"/>
        </w:rPr>
        <w:t xml:space="preserve">from a </w:t>
      </w:r>
      <w:r w:rsidRPr="00A86F53">
        <w:rPr>
          <w:rFonts w:eastAsia="Calibri"/>
          <w:color w:val="000000"/>
          <w:lang w:val="en-GB"/>
        </w:rPr>
        <w:t>human rights-based approach.</w:t>
      </w:r>
      <w:r w:rsidRPr="00A86F53">
        <w:rPr>
          <w:rFonts w:eastAsia="Calibri"/>
          <w:color w:val="000000"/>
          <w:vertAlign w:val="superscript"/>
          <w:lang w:val="en-GB"/>
        </w:rPr>
        <w:footnoteReference w:id="321"/>
      </w:r>
      <w:r w:rsidRPr="00A86F53">
        <w:rPr>
          <w:rFonts w:eastAsia="Calibri"/>
          <w:color w:val="000000"/>
          <w:lang w:val="en-GB"/>
        </w:rPr>
        <w:t xml:space="preserve"> </w:t>
      </w:r>
    </w:p>
    <w:p w14:paraId="040F9085" w14:textId="77777777" w:rsidR="00D616B2" w:rsidRPr="00A86F53" w:rsidRDefault="00D616B2" w:rsidP="00D616B2">
      <w:pPr>
        <w:rPr>
          <w:rFonts w:cs="Rotis Sans Serif Std"/>
          <w:color w:val="000000"/>
          <w:lang w:val="en-GB"/>
        </w:rPr>
      </w:pPr>
      <w:r w:rsidRPr="00A86F53">
        <w:rPr>
          <w:rFonts w:cs="Rotis Sans Serif Std"/>
          <w:color w:val="000000"/>
          <w:lang w:val="en-GB"/>
        </w:rPr>
        <w:t xml:space="preserve">So far, the main sources of data have been statistical surveys in </w:t>
      </w:r>
      <w:r w:rsidRPr="00A86F53">
        <w:rPr>
          <w:rFonts w:cs="Rotis Sans Serif Std"/>
          <w:b/>
          <w:color w:val="000000"/>
          <w:lang w:val="en-GB"/>
        </w:rPr>
        <w:t>private households</w:t>
      </w:r>
      <w:r w:rsidRPr="00A86F53">
        <w:rPr>
          <w:rFonts w:cs="Rotis Sans Serif Std"/>
          <w:color w:val="000000"/>
          <w:lang w:val="en-GB"/>
        </w:rPr>
        <w:t xml:space="preserve"> such as SILC, SGB and SAKE, as well as </w:t>
      </w:r>
      <w:r w:rsidRPr="00A86F53">
        <w:rPr>
          <w:rFonts w:cs="Rotis Sans Serif Std"/>
          <w:b/>
          <w:color w:val="000000"/>
          <w:lang w:val="en-GB"/>
        </w:rPr>
        <w:t>administrative</w:t>
      </w:r>
      <w:r w:rsidRPr="00A86F53">
        <w:rPr>
          <w:rFonts w:cs="Rotis Sans Serif Std"/>
          <w:color w:val="000000"/>
          <w:lang w:val="en-GB"/>
        </w:rPr>
        <w:t xml:space="preserve"> statistics such as SOMED. Therefore, there is a great deal of uncertainty when it comes to restrictions on participating in various areas of life of PWD who</w:t>
      </w:r>
      <w:r w:rsidRPr="00A86F53">
        <w:rPr>
          <w:rFonts w:cs="Rotis Sans Serif Std"/>
          <w:b/>
          <w:color w:val="000000"/>
          <w:lang w:val="en-GB"/>
        </w:rPr>
        <w:t xml:space="preserve"> live and work</w:t>
      </w:r>
      <w:r w:rsidRPr="00A86F53">
        <w:rPr>
          <w:rFonts w:cs="Rotis Sans Serif Std"/>
          <w:color w:val="000000"/>
          <w:lang w:val="en-GB"/>
        </w:rPr>
        <w:t xml:space="preserve"> in </w:t>
      </w:r>
      <w:r w:rsidRPr="00A86F53">
        <w:rPr>
          <w:rFonts w:cs="Rotis Sans Serif Std"/>
          <w:b/>
          <w:color w:val="000000"/>
          <w:lang w:val="en-GB"/>
        </w:rPr>
        <w:t>institutions</w:t>
      </w:r>
      <w:r w:rsidRPr="00A86F53">
        <w:rPr>
          <w:rFonts w:cs="Rotis Sans Serif Std"/>
          <w:color w:val="000000"/>
          <w:lang w:val="en-GB"/>
        </w:rPr>
        <w:t xml:space="preserve">. All the same, SOMED provided general information on their number, gender, age and type of disability until 2015, but since then, it has </w:t>
      </w:r>
      <w:r w:rsidRPr="00DE1CDB">
        <w:rPr>
          <w:rFonts w:cs="Rotis Sans Serif Std"/>
          <w:b/>
          <w:bCs/>
          <w:iCs/>
          <w:color w:val="000000"/>
          <w:lang w:val="en-GB"/>
        </w:rPr>
        <w:t>no longer been mandatory</w:t>
      </w:r>
      <w:r w:rsidRPr="00A86F53">
        <w:rPr>
          <w:rFonts w:cs="Rotis Sans Serif Std"/>
          <w:b/>
          <w:bCs/>
          <w:i/>
          <w:iCs/>
          <w:color w:val="000000"/>
          <w:lang w:val="en-GB"/>
        </w:rPr>
        <w:t xml:space="preserve"> </w:t>
      </w:r>
      <w:r w:rsidRPr="00A86F53">
        <w:rPr>
          <w:rFonts w:cs="Rotis Sans Serif Std"/>
          <w:color w:val="000000"/>
          <w:lang w:val="en-GB"/>
        </w:rPr>
        <w:t xml:space="preserve">(!). </w:t>
      </w:r>
    </w:p>
    <w:p w14:paraId="6427F2EA" w14:textId="7E49CD1E" w:rsidR="00D616B2" w:rsidRPr="00A86F53" w:rsidRDefault="00D616B2" w:rsidP="00D616B2">
      <w:pPr>
        <w:pStyle w:val="BodyText"/>
        <w:rPr>
          <w:lang w:val="en-GB"/>
        </w:rPr>
      </w:pPr>
      <w:r w:rsidRPr="00A86F53">
        <w:rPr>
          <w:lang w:val="en-GB"/>
        </w:rPr>
        <w:t xml:space="preserve">In </w:t>
      </w:r>
      <w:r w:rsidRPr="00A86F53">
        <w:rPr>
          <w:b/>
          <w:lang w:val="en-GB"/>
        </w:rPr>
        <w:t>the area of education,</w:t>
      </w:r>
      <w:r w:rsidRPr="00A86F53">
        <w:rPr>
          <w:lang w:val="en-GB"/>
        </w:rPr>
        <w:t xml:space="preserve"> the “Special Educational Statistics” are based, even after they are revised, solely on the special educational measures ordered instead of on the needs and restrictions on participation of PWD. The </w:t>
      </w:r>
      <w:r w:rsidR="00DE1CDB">
        <w:rPr>
          <w:lang w:val="en-GB"/>
        </w:rPr>
        <w:t>“</w:t>
      </w:r>
      <w:r w:rsidRPr="00A86F53">
        <w:rPr>
          <w:lang w:val="en-GB"/>
        </w:rPr>
        <w:t xml:space="preserve">exclusion </w:t>
      </w:r>
      <w:r w:rsidRPr="00A86F53">
        <w:rPr>
          <w:lang w:val="en-GB"/>
        </w:rPr>
        <w:lastRenderedPageBreak/>
        <w:t>rate</w:t>
      </w:r>
      <w:r w:rsidR="00DE1CDB">
        <w:rPr>
          <w:lang w:val="en-GB"/>
        </w:rPr>
        <w:t>”</w:t>
      </w:r>
      <w:r w:rsidRPr="00A86F53">
        <w:rPr>
          <w:lang w:val="en-GB"/>
        </w:rPr>
        <w:t xml:space="preserve"> can only be determined indirectly, and there is no breakdown according to type of disability, school level, exact form and chronological sequence of the integrative or separate schooling.</w:t>
      </w:r>
    </w:p>
    <w:p w14:paraId="6B9EE87A" w14:textId="77777777" w:rsidR="00D616B2" w:rsidRPr="00A86F53" w:rsidRDefault="00D616B2" w:rsidP="00D616B2">
      <w:pPr>
        <w:rPr>
          <w:rFonts w:eastAsia="Calibri"/>
          <w:color w:val="000000"/>
          <w:lang w:val="en-GB"/>
        </w:rPr>
      </w:pPr>
      <w:r w:rsidRPr="00A86F53">
        <w:rPr>
          <w:rFonts w:eastAsia="Calibri"/>
          <w:color w:val="000000"/>
          <w:lang w:val="en-GB"/>
        </w:rPr>
        <w:t xml:space="preserve">To the extent available at all, the data necessary to assess the state of implementation of a </w:t>
      </w:r>
      <w:r w:rsidRPr="00A86F53">
        <w:rPr>
          <w:rFonts w:eastAsia="Calibri"/>
          <w:b/>
          <w:bCs/>
          <w:color w:val="000000"/>
          <w:lang w:val="en-GB"/>
        </w:rPr>
        <w:t xml:space="preserve">CRPD provision </w:t>
      </w:r>
      <w:r w:rsidRPr="00A86F53">
        <w:rPr>
          <w:rFonts w:eastAsia="Calibri"/>
          <w:color w:val="000000"/>
          <w:lang w:val="en-GB"/>
        </w:rPr>
        <w:t>comes from very different data sources with different, inconsistent and at times unreliable</w:t>
      </w:r>
      <w:r w:rsidRPr="00A86F53">
        <w:rPr>
          <w:rFonts w:eastAsia="Calibri"/>
          <w:color w:val="000000"/>
          <w:vertAlign w:val="superscript"/>
          <w:lang w:val="en-GB"/>
        </w:rPr>
        <w:footnoteReference w:id="322"/>
      </w:r>
      <w:r w:rsidRPr="00A86F53">
        <w:rPr>
          <w:rFonts w:eastAsia="Calibri"/>
          <w:color w:val="000000"/>
          <w:lang w:val="en-GB"/>
        </w:rPr>
        <w:t xml:space="preserve"> indicators. The time gaps between the date of the survey and the date of publication (at least two years, often longer) or the merely sporadic collection of certain indicators are also aggravated.</w:t>
      </w:r>
      <w:r w:rsidRPr="00A86F53">
        <w:rPr>
          <w:rFonts w:eastAsia="Cambria" w:cs="Times New Roman"/>
          <w:color w:val="000000"/>
          <w:vertAlign w:val="superscript"/>
          <w:lang w:val="en-GB"/>
        </w:rPr>
        <w:footnoteReference w:id="323"/>
      </w:r>
      <w:r w:rsidRPr="00A86F53">
        <w:rPr>
          <w:rFonts w:eastAsia="Calibri"/>
          <w:color w:val="000000"/>
          <w:lang w:val="en-GB"/>
        </w:rPr>
        <w:t xml:space="preserve"> There is hardly any</w:t>
      </w:r>
      <w:r w:rsidRPr="00A86F53">
        <w:rPr>
          <w:rFonts w:eastAsia="Calibri"/>
          <w:b/>
          <w:bCs/>
          <w:color w:val="000000"/>
          <w:lang w:val="en-GB"/>
        </w:rPr>
        <w:t xml:space="preserve"> genuinely current </w:t>
      </w:r>
      <w:r w:rsidRPr="00A86F53">
        <w:rPr>
          <w:rFonts w:eastAsia="Calibri"/>
          <w:b/>
          <w:color w:val="000000"/>
          <w:lang w:val="en-GB"/>
        </w:rPr>
        <w:t xml:space="preserve">data </w:t>
      </w:r>
      <w:r w:rsidRPr="00A86F53">
        <w:rPr>
          <w:rFonts w:eastAsia="Calibri"/>
          <w:color w:val="000000"/>
          <w:lang w:val="en-GB"/>
        </w:rPr>
        <w:t xml:space="preserve">available in any area. </w:t>
      </w:r>
    </w:p>
    <w:p w14:paraId="4A49789F" w14:textId="77777777" w:rsidR="00D616B2" w:rsidRPr="00A86F53" w:rsidRDefault="00D616B2" w:rsidP="00D616B2">
      <w:pPr>
        <w:rPr>
          <w:rFonts w:eastAsia="Calibri"/>
          <w:color w:val="000000"/>
          <w:lang w:val="en-GB"/>
        </w:rPr>
      </w:pPr>
      <w:r w:rsidRPr="00A86F53">
        <w:rPr>
          <w:rFonts w:eastAsia="Calibri"/>
          <w:color w:val="000000"/>
          <w:lang w:val="en-GB"/>
        </w:rPr>
        <w:t xml:space="preserve">In turn, there are very large differences between the individual </w:t>
      </w:r>
      <w:r w:rsidRPr="00A86F53">
        <w:rPr>
          <w:rFonts w:eastAsia="Calibri"/>
          <w:b/>
          <w:color w:val="000000"/>
          <w:lang w:val="en-GB"/>
        </w:rPr>
        <w:t xml:space="preserve">cantons and municipalities </w:t>
      </w:r>
      <w:r w:rsidRPr="00A86F53">
        <w:rPr>
          <w:rFonts w:eastAsia="Calibri"/>
          <w:color w:val="000000"/>
          <w:lang w:val="en-GB"/>
        </w:rPr>
        <w:t xml:space="preserve">in terms of the quantity and quality of the data collected on PWD. Experts now cite the Canton of Lucerne as a positive example. </w:t>
      </w:r>
    </w:p>
    <w:p w14:paraId="7FA53F9A" w14:textId="77777777" w:rsidR="00D616B2" w:rsidRPr="00A86F53" w:rsidRDefault="00D616B2" w:rsidP="00D616B2">
      <w:pPr>
        <w:pStyle w:val="BodyText"/>
        <w:rPr>
          <w:lang w:val="en-GB"/>
        </w:rPr>
      </w:pPr>
      <w:r w:rsidRPr="00A86F53">
        <w:rPr>
          <w:lang w:val="en-GB"/>
        </w:rPr>
        <w:t xml:space="preserve">In recent years, political and economic interest in the qualification of underlying data has generally been low, and thus also the willingness to make sufficient </w:t>
      </w:r>
      <w:r w:rsidRPr="00A86F53">
        <w:rPr>
          <w:b/>
          <w:bCs/>
          <w:lang w:val="en-GB"/>
        </w:rPr>
        <w:t>funds</w:t>
      </w:r>
      <w:r w:rsidRPr="00A86F53">
        <w:rPr>
          <w:lang w:val="en-GB"/>
        </w:rPr>
        <w:t xml:space="preserve"> available, has been low. As stated previously regarding public transport (see Art. 9 CRPD), Switzerland cannot, however, invoke EU standards (Reply to LoI, para. 83) to avoid its obligations under Article 31 CRPD.</w:t>
      </w:r>
    </w:p>
    <w:p w14:paraId="5EFAFC13" w14:textId="47A659C6" w:rsidR="00AD6133" w:rsidRPr="0001096E" w:rsidRDefault="00D616B2" w:rsidP="00AD6133">
      <w:pPr>
        <w:pStyle w:val="BodyText"/>
        <w:rPr>
          <w:lang w:val="en-GB"/>
        </w:rPr>
      </w:pPr>
      <w:r w:rsidRPr="00A86F53">
        <w:rPr>
          <w:rFonts w:eastAsia="Calibri"/>
          <w:color w:val="000000"/>
          <w:lang w:val="en-GB"/>
        </w:rPr>
        <w:t xml:space="preserve">With regard to the </w:t>
      </w:r>
      <w:r w:rsidRPr="00A86F53">
        <w:rPr>
          <w:rFonts w:eastAsia="Calibri"/>
          <w:b/>
          <w:color w:val="000000"/>
          <w:lang w:val="en-GB"/>
        </w:rPr>
        <w:t>dissemination</w:t>
      </w:r>
      <w:r w:rsidRPr="00A86F53">
        <w:rPr>
          <w:rFonts w:eastAsia="Calibri"/>
          <w:color w:val="000000"/>
          <w:lang w:val="en-GB"/>
        </w:rPr>
        <w:t xml:space="preserve"> of statistical data</w:t>
      </w:r>
      <w:r w:rsidRPr="00A86F53">
        <w:rPr>
          <w:lang w:val="en-GB"/>
        </w:rPr>
        <w:t xml:space="preserve"> (LoI para. 2</w:t>
      </w:r>
      <w:r w:rsidR="00026ECE">
        <w:rPr>
          <w:lang w:val="en-GB"/>
        </w:rPr>
        <w:t>5</w:t>
      </w:r>
      <w:r w:rsidRPr="00A86F53">
        <w:rPr>
          <w:lang w:val="en-GB"/>
        </w:rPr>
        <w:t xml:space="preserve">c), such data is not known to a wider public. The FSO’s website on the equality of PWD is not designed in a clear manner and information in </w:t>
      </w:r>
      <w:r w:rsidR="00282A84">
        <w:rPr>
          <w:lang w:val="en-GB"/>
        </w:rPr>
        <w:t>plain</w:t>
      </w:r>
      <w:r w:rsidRPr="00A86F53">
        <w:rPr>
          <w:lang w:val="en-GB"/>
        </w:rPr>
        <w:t xml:space="preserve"> language appears to be lacking.</w:t>
      </w:r>
    </w:p>
    <w:p w14:paraId="0B628862" w14:textId="4F5E08DC" w:rsidR="00B30BCF" w:rsidRPr="0001096E" w:rsidRDefault="00082D01" w:rsidP="00B30BCF">
      <w:pPr>
        <w:shd w:val="clear" w:color="auto" w:fill="FFFFCC"/>
        <w:rPr>
          <w:b/>
          <w:lang w:val="en-GB"/>
        </w:rPr>
      </w:pPr>
      <w:r w:rsidRPr="0001096E">
        <w:rPr>
          <w:b/>
          <w:lang w:val="en-GB"/>
        </w:rPr>
        <w:t>Proposals for recommendations</w:t>
      </w:r>
      <w:r w:rsidR="00B30BCF" w:rsidRPr="0001096E">
        <w:rPr>
          <w:b/>
          <w:lang w:val="en-GB"/>
        </w:rPr>
        <w:t>:</w:t>
      </w:r>
    </w:p>
    <w:p w14:paraId="0CFAA3E7" w14:textId="77777777" w:rsidR="00D616B2" w:rsidRPr="009C321F" w:rsidRDefault="00D616B2" w:rsidP="00D616B2">
      <w:pPr>
        <w:pStyle w:val="SBEmpfehlungen"/>
      </w:pPr>
      <w:r w:rsidRPr="009C321F">
        <w:lastRenderedPageBreak/>
        <w:t xml:space="preserve">The </w:t>
      </w:r>
      <w:r w:rsidRPr="009C321F">
        <w:rPr>
          <w:b/>
        </w:rPr>
        <w:t>FSO, FBED and the competent cantonal authorities</w:t>
      </w:r>
      <w:r w:rsidRPr="009C321F">
        <w:t xml:space="preserve"> shall develop a project with the aim of developing</w:t>
      </w:r>
      <w:r w:rsidRPr="009C321F">
        <w:rPr>
          <w:b/>
        </w:rPr>
        <w:t xml:space="preserve"> human rights-based indicators </w:t>
      </w:r>
      <w:r w:rsidRPr="009C321F">
        <w:t>together with international experts, academia and PWD and their organisations as a basis for comprehensive monitoring of the implementation of the CRPD and the targeted formulation of policies/strategies.</w:t>
      </w:r>
    </w:p>
    <w:p w14:paraId="066E851A" w14:textId="77777777" w:rsidR="00D616B2" w:rsidRPr="009C321F" w:rsidRDefault="00D616B2" w:rsidP="00D616B2">
      <w:pPr>
        <w:pStyle w:val="SBEmpfehlungen"/>
      </w:pPr>
      <w:r w:rsidRPr="009C321F">
        <w:t xml:space="preserve">The </w:t>
      </w:r>
      <w:r w:rsidRPr="002C7F77">
        <w:rPr>
          <w:b/>
        </w:rPr>
        <w:t>FSO, FBED and the competent cantonal authorities</w:t>
      </w:r>
      <w:r w:rsidRPr="009C321F">
        <w:t xml:space="preserve"> shall introduce an </w:t>
      </w:r>
      <w:r w:rsidRPr="002C7F77">
        <w:rPr>
          <w:b/>
        </w:rPr>
        <w:t>independent, representative survey to record the living circumstances of PWD</w:t>
      </w:r>
      <w:r w:rsidRPr="009C321F">
        <w:t xml:space="preserve"> (Disability Survey), in which all types of disability, forms of living and working, gender, age groups, etc. are adequately represented. </w:t>
      </w:r>
    </w:p>
    <w:p w14:paraId="6586CD2A" w14:textId="58F4E20D" w:rsidR="00AD6133" w:rsidRPr="0001096E" w:rsidRDefault="00D616B2" w:rsidP="00D616B2">
      <w:pPr>
        <w:pStyle w:val="SBEmpfehlungen"/>
        <w:rPr>
          <w:b/>
        </w:rPr>
      </w:pPr>
      <w:r w:rsidRPr="00433554">
        <w:rPr>
          <w:lang w:val="en-US"/>
        </w:rPr>
        <w:t xml:space="preserve">The </w:t>
      </w:r>
      <w:r w:rsidRPr="00433554">
        <w:rPr>
          <w:b/>
          <w:lang w:val="en-US"/>
        </w:rPr>
        <w:t>Federal Parliament</w:t>
      </w:r>
      <w:r w:rsidRPr="00433554">
        <w:rPr>
          <w:lang w:val="en-US"/>
        </w:rPr>
        <w:t xml:space="preserve"> shall specify the </w:t>
      </w:r>
      <w:r w:rsidRPr="00433554">
        <w:rPr>
          <w:b/>
          <w:lang w:val="en-US"/>
        </w:rPr>
        <w:t>resources</w:t>
      </w:r>
      <w:r w:rsidRPr="00433554">
        <w:rPr>
          <w:lang w:val="en-US"/>
        </w:rPr>
        <w:t xml:space="preserve"> required for these measures, if necessary by extending the FSO’s mandate</w:t>
      </w:r>
    </w:p>
    <w:p w14:paraId="23C36815" w14:textId="77777777" w:rsidR="00082D01" w:rsidRPr="0001096E" w:rsidRDefault="00082D01" w:rsidP="00082D01">
      <w:pPr>
        <w:pStyle w:val="Heading3"/>
        <w:numPr>
          <w:ilvl w:val="0"/>
          <w:numId w:val="0"/>
        </w:numPr>
        <w:ind w:left="737" w:hanging="737"/>
        <w:rPr>
          <w:lang w:val="en-GB"/>
        </w:rPr>
      </w:pPr>
      <w:bookmarkStart w:id="153" w:name="_Toc95297084"/>
      <w:bookmarkStart w:id="154" w:name="_Toc95668199"/>
      <w:r w:rsidRPr="0001096E">
        <w:rPr>
          <w:lang w:val="en-GB"/>
        </w:rPr>
        <w:t>Article 33 – National implementation and monitoring</w:t>
      </w:r>
      <w:bookmarkEnd w:id="153"/>
      <w:bookmarkEnd w:id="154"/>
      <w:r w:rsidRPr="0001096E">
        <w:rPr>
          <w:lang w:val="en-GB"/>
        </w:rPr>
        <w:t xml:space="preserve"> </w:t>
      </w:r>
    </w:p>
    <w:p w14:paraId="1A7CA467" w14:textId="24D762E2" w:rsidR="00B30BCF" w:rsidRPr="0001096E" w:rsidRDefault="00082D01" w:rsidP="00082D01">
      <w:pPr>
        <w:pStyle w:val="Subtitle"/>
        <w:rPr>
          <w:lang w:val="en-GB"/>
        </w:rPr>
      </w:pPr>
      <w:r w:rsidRPr="0001096E">
        <w:rPr>
          <w:lang w:val="en-GB"/>
        </w:rPr>
        <w:t xml:space="preserve">Measures for CRPD implementation and monitoring </w:t>
      </w:r>
      <w:r w:rsidR="00B30BCF" w:rsidRPr="0001096E">
        <w:rPr>
          <w:lang w:val="en-GB"/>
        </w:rPr>
        <w:t>(LoI, 27a)</w:t>
      </w:r>
    </w:p>
    <w:p w14:paraId="583EBC35" w14:textId="2F8F5E6B" w:rsidR="00D616B2" w:rsidRPr="00A86F53" w:rsidRDefault="00D616B2" w:rsidP="00D616B2">
      <w:pPr>
        <w:pStyle w:val="BodyText"/>
        <w:rPr>
          <w:lang w:val="en-GB"/>
        </w:rPr>
      </w:pPr>
      <w:r w:rsidRPr="00A86F53">
        <w:rPr>
          <w:lang w:val="en-GB"/>
        </w:rPr>
        <w:t>The Federal Council</w:t>
      </w:r>
      <w:r w:rsidR="002C7F77">
        <w:rPr>
          <w:lang w:val="en-GB"/>
        </w:rPr>
        <w:t>’</w:t>
      </w:r>
      <w:r w:rsidRPr="00A86F53">
        <w:rPr>
          <w:lang w:val="en-GB"/>
        </w:rPr>
        <w:t>s Disability Policy Report</w:t>
      </w:r>
      <w:r w:rsidRPr="00A86F53">
        <w:rPr>
          <w:rStyle w:val="FootnoteReference"/>
          <w:lang w:val="en-GB"/>
        </w:rPr>
        <w:footnoteReference w:id="324"/>
      </w:r>
      <w:r w:rsidRPr="00A86F53">
        <w:rPr>
          <w:lang w:val="en-GB"/>
        </w:rPr>
        <w:t xml:space="preserve"> contains </w:t>
      </w:r>
      <w:r w:rsidRPr="00A86F53">
        <w:rPr>
          <w:b/>
          <w:lang w:val="en-GB"/>
        </w:rPr>
        <w:t>welcome measures</w:t>
      </w:r>
      <w:r w:rsidRPr="00A86F53">
        <w:rPr>
          <w:lang w:val="en-GB"/>
        </w:rPr>
        <w:t xml:space="preserve"> to improve coordination. This includes the </w:t>
      </w:r>
      <w:r w:rsidRPr="00A86F53">
        <w:rPr>
          <w:b/>
          <w:lang w:val="en-GB"/>
        </w:rPr>
        <w:t xml:space="preserve">Disability Policy Working Group </w:t>
      </w:r>
      <w:r w:rsidRPr="00A86F53">
        <w:rPr>
          <w:lang w:val="en-GB"/>
        </w:rPr>
        <w:t xml:space="preserve">appointed by Switzerland (Reply to LoI, para. 89). The specification and consolidation of the main topics envisaged in the report in the form of </w:t>
      </w:r>
      <w:r w:rsidRPr="00A86F53">
        <w:rPr>
          <w:b/>
          <w:lang w:val="en-GB"/>
        </w:rPr>
        <w:t>multi-year programmes</w:t>
      </w:r>
      <w:r w:rsidRPr="00A86F53">
        <w:rPr>
          <w:rStyle w:val="FootnoteReference"/>
          <w:lang w:val="en-GB"/>
        </w:rPr>
        <w:footnoteReference w:id="325"/>
      </w:r>
      <w:r w:rsidRPr="00A86F53">
        <w:rPr>
          <w:rStyle w:val="FootnoteReference"/>
          <w:lang w:val="en-GB"/>
        </w:rPr>
        <w:t xml:space="preserve"> </w:t>
      </w:r>
      <w:r w:rsidRPr="00A86F53">
        <w:rPr>
          <w:lang w:val="en-GB"/>
        </w:rPr>
        <w:t xml:space="preserve">is also encouraging. The FBED is active in </w:t>
      </w:r>
      <w:r w:rsidRPr="00A86F53">
        <w:rPr>
          <w:b/>
          <w:bCs/>
          <w:lang w:val="en-GB"/>
        </w:rPr>
        <w:t xml:space="preserve">disseminating </w:t>
      </w:r>
      <w:r w:rsidRPr="00A86F53">
        <w:rPr>
          <w:b/>
          <w:lang w:val="en-GB"/>
        </w:rPr>
        <w:t>information and raising awareness</w:t>
      </w:r>
      <w:r w:rsidRPr="00A86F53">
        <w:rPr>
          <w:lang w:val="en-GB"/>
        </w:rPr>
        <w:t xml:space="preserve"> about the CRPD.</w:t>
      </w:r>
      <w:r w:rsidRPr="00A86F53">
        <w:rPr>
          <w:vertAlign w:val="superscript"/>
          <w:lang w:val="en-GB"/>
        </w:rPr>
        <w:footnoteReference w:id="326"/>
      </w:r>
      <w:r w:rsidRPr="00A86F53">
        <w:rPr>
          <w:lang w:val="en-GB"/>
        </w:rPr>
        <w:t xml:space="preserve"> This clearly shows the </w:t>
      </w:r>
      <w:r w:rsidRPr="00A86F53">
        <w:rPr>
          <w:b/>
          <w:lang w:val="en-GB"/>
        </w:rPr>
        <w:t>intent of the FBED</w:t>
      </w:r>
      <w:r w:rsidRPr="00A86F53">
        <w:rPr>
          <w:lang w:val="en-GB"/>
        </w:rPr>
        <w:t xml:space="preserve">, </w:t>
      </w:r>
      <w:r w:rsidRPr="00A86F53">
        <w:rPr>
          <w:b/>
          <w:lang w:val="en-GB"/>
        </w:rPr>
        <w:t>in particular</w:t>
      </w:r>
      <w:r w:rsidRPr="00A86F53">
        <w:rPr>
          <w:lang w:val="en-GB"/>
        </w:rPr>
        <w:t xml:space="preserve">, to push ahead with the implementation of </w:t>
      </w:r>
      <w:r w:rsidRPr="00A86F53">
        <w:rPr>
          <w:lang w:val="en-GB"/>
        </w:rPr>
        <w:lastRenderedPageBreak/>
        <w:t xml:space="preserve">the CRPD. However, because a </w:t>
      </w:r>
      <w:r w:rsidRPr="00A86F53">
        <w:rPr>
          <w:b/>
          <w:lang w:val="en-GB"/>
        </w:rPr>
        <w:t xml:space="preserve">comprehensive action plan for implementing the CRPD is </w:t>
      </w:r>
      <w:r w:rsidRPr="00A86F53">
        <w:rPr>
          <w:lang w:val="en-GB"/>
        </w:rPr>
        <w:t xml:space="preserve">still </w:t>
      </w:r>
      <w:r w:rsidRPr="00A86F53">
        <w:rPr>
          <w:b/>
          <w:lang w:val="en-GB"/>
        </w:rPr>
        <w:t>lacking,</w:t>
      </w:r>
      <w:r w:rsidRPr="00A86F53">
        <w:rPr>
          <w:rStyle w:val="FootnoteReference"/>
          <w:lang w:val="en-GB"/>
        </w:rPr>
        <w:footnoteReference w:id="327"/>
      </w:r>
      <w:r w:rsidRPr="00A86F53">
        <w:rPr>
          <w:rStyle w:val="FootnoteReference"/>
          <w:lang w:val="en-GB"/>
        </w:rPr>
        <w:t xml:space="preserve"> </w:t>
      </w:r>
      <w:r w:rsidRPr="00A86F53">
        <w:rPr>
          <w:lang w:val="en-GB"/>
        </w:rPr>
        <w:t xml:space="preserve">and because its requirements have </w:t>
      </w:r>
      <w:r w:rsidRPr="00A86F53">
        <w:rPr>
          <w:b/>
          <w:lang w:val="en-GB"/>
        </w:rPr>
        <w:t>not</w:t>
      </w:r>
      <w:r w:rsidRPr="00A86F53">
        <w:rPr>
          <w:lang w:val="en-GB"/>
        </w:rPr>
        <w:t xml:space="preserve"> yet </w:t>
      </w:r>
      <w:r w:rsidRPr="00A86F53">
        <w:rPr>
          <w:b/>
          <w:lang w:val="en-GB"/>
        </w:rPr>
        <w:t>been incorporated</w:t>
      </w:r>
      <w:r w:rsidRPr="00A86F53">
        <w:rPr>
          <w:lang w:val="en-GB"/>
        </w:rPr>
        <w:t xml:space="preserve"> into the </w:t>
      </w:r>
      <w:r w:rsidRPr="00A86F53">
        <w:rPr>
          <w:b/>
          <w:lang w:val="en-GB"/>
        </w:rPr>
        <w:t>content, institutions and processes at all federal levels</w:t>
      </w:r>
      <w:r w:rsidRPr="00A86F53">
        <w:rPr>
          <w:lang w:val="en-GB"/>
        </w:rPr>
        <w:t xml:space="preserve">, there </w:t>
      </w:r>
      <w:r w:rsidRPr="00A86F53">
        <w:rPr>
          <w:b/>
          <w:lang w:val="en-GB"/>
        </w:rPr>
        <w:t>is a risk</w:t>
      </w:r>
      <w:r w:rsidRPr="00A86F53">
        <w:rPr>
          <w:lang w:val="en-GB"/>
        </w:rPr>
        <w:t xml:space="preserve"> that, until further notice, the </w:t>
      </w:r>
      <w:r w:rsidRPr="00A86F53">
        <w:rPr>
          <w:b/>
          <w:lang w:val="en-GB"/>
        </w:rPr>
        <w:t>CRPD will mainly be “managed” rather than being implemented in a proactive, comprehensive and coordinated manner</w:t>
      </w:r>
      <w:r w:rsidRPr="00A86F53">
        <w:rPr>
          <w:lang w:val="en-GB"/>
        </w:rPr>
        <w:t>.</w:t>
      </w:r>
    </w:p>
    <w:p w14:paraId="476FD0F2" w14:textId="07CAFF67" w:rsidR="00AD6133" w:rsidRPr="0001096E" w:rsidRDefault="00D616B2" w:rsidP="00D616B2">
      <w:pPr>
        <w:pStyle w:val="BodyText"/>
        <w:rPr>
          <w:lang w:val="en-GB"/>
        </w:rPr>
      </w:pPr>
      <w:r w:rsidRPr="00A86F53">
        <w:rPr>
          <w:b/>
          <w:lang w:val="en-GB"/>
        </w:rPr>
        <w:t>In addition, serious shortcomings</w:t>
      </w:r>
      <w:r w:rsidRPr="00A86F53">
        <w:rPr>
          <w:lang w:val="en-GB"/>
        </w:rPr>
        <w:t xml:space="preserve"> remain in the </w:t>
      </w:r>
      <w:r w:rsidRPr="00A86F53">
        <w:rPr>
          <w:b/>
          <w:lang w:val="en-GB"/>
        </w:rPr>
        <w:t>cantons and municipalities</w:t>
      </w:r>
      <w:r w:rsidRPr="00A86F53">
        <w:rPr>
          <w:lang w:val="en-GB"/>
        </w:rPr>
        <w:t>, where there is almost a complete lack of structures for implementing the CRPD.</w:t>
      </w:r>
      <w:r w:rsidRPr="00A86F53">
        <w:rPr>
          <w:vertAlign w:val="superscript"/>
          <w:lang w:val="en-GB"/>
        </w:rPr>
        <w:footnoteReference w:id="328"/>
      </w:r>
      <w:r w:rsidRPr="00A86F53">
        <w:rPr>
          <w:lang w:val="en-GB"/>
        </w:rPr>
        <w:t xml:space="preserve"> Currently, a contact point for CRPD matters exists only in the cantons of Zurich and Basel-Stadt.</w:t>
      </w:r>
      <w:r w:rsidRPr="00A86F53">
        <w:rPr>
          <w:rStyle w:val="FootnoteReference"/>
          <w:lang w:val="en-GB"/>
        </w:rPr>
        <w:footnoteReference w:id="329"/>
      </w:r>
      <w:r w:rsidRPr="00A86F53">
        <w:rPr>
          <w:rStyle w:val="FootnoteReference"/>
          <w:lang w:val="en-GB"/>
        </w:rPr>
        <w:t xml:space="preserve"> </w:t>
      </w:r>
      <w:r w:rsidRPr="00A86F53">
        <w:rPr>
          <w:lang w:val="en-GB"/>
        </w:rPr>
        <w:t>The cantons of Valais and Neuchâtel have included such a contact point in their new laws on PWD.</w:t>
      </w:r>
      <w:r w:rsidRPr="00A86F53">
        <w:rPr>
          <w:vertAlign w:val="superscript"/>
          <w:lang w:val="en-GB"/>
        </w:rPr>
        <w:footnoteReference w:id="330"/>
      </w:r>
      <w:r w:rsidRPr="00A86F53">
        <w:rPr>
          <w:lang w:val="en-GB"/>
        </w:rPr>
        <w:t xml:space="preserve"> At </w:t>
      </w:r>
      <w:r w:rsidRPr="00A86F53">
        <w:rPr>
          <w:b/>
          <w:lang w:val="en-GB"/>
        </w:rPr>
        <w:t>municipal level,</w:t>
      </w:r>
      <w:r w:rsidRPr="00A86F53">
        <w:rPr>
          <w:lang w:val="en-GB"/>
        </w:rPr>
        <w:t xml:space="preserve"> the City of Bern</w:t>
      </w:r>
      <w:r w:rsidRPr="00A86F53">
        <w:rPr>
          <w:rStyle w:val="FootnoteReference"/>
          <w:lang w:val="en-GB"/>
        </w:rPr>
        <w:footnoteReference w:id="331"/>
      </w:r>
      <w:r w:rsidRPr="00A86F53">
        <w:rPr>
          <w:lang w:val="en-GB"/>
        </w:rPr>
        <w:t xml:space="preserve"> and the City of Zurich have a </w:t>
      </w:r>
      <w:r w:rsidRPr="00A86F53">
        <w:rPr>
          <w:b/>
          <w:lang w:val="en-GB"/>
        </w:rPr>
        <w:t>specialist unit for the equality of PWD</w:t>
      </w:r>
      <w:r w:rsidRPr="00A86F53">
        <w:rPr>
          <w:lang w:val="en-GB"/>
        </w:rPr>
        <w:t xml:space="preserve">. </w:t>
      </w:r>
    </w:p>
    <w:p w14:paraId="56D8420C" w14:textId="4D13CE17" w:rsidR="00B30BCF" w:rsidRPr="0001096E" w:rsidRDefault="00082D01" w:rsidP="00B30BCF">
      <w:pPr>
        <w:pStyle w:val="Subtitle"/>
        <w:rPr>
          <w:lang w:val="en-GB"/>
        </w:rPr>
      </w:pPr>
      <w:r w:rsidRPr="0001096E">
        <w:rPr>
          <w:lang w:val="en-GB"/>
        </w:rPr>
        <w:t>NH</w:t>
      </w:r>
      <w:r w:rsidR="00B30BCF" w:rsidRPr="0001096E">
        <w:rPr>
          <w:lang w:val="en-GB"/>
        </w:rPr>
        <w:t>RI (LoI, 27b)</w:t>
      </w:r>
    </w:p>
    <w:p w14:paraId="412691EB" w14:textId="77777777" w:rsidR="00D616B2" w:rsidRPr="00A86F53" w:rsidRDefault="00D616B2" w:rsidP="00D616B2">
      <w:pPr>
        <w:pStyle w:val="BodyText"/>
        <w:rPr>
          <w:lang w:val="en-GB"/>
        </w:rPr>
      </w:pPr>
      <w:r w:rsidRPr="00A86F53">
        <w:rPr>
          <w:lang w:val="en-GB"/>
        </w:rPr>
        <w:t xml:space="preserve">On 1.10.2021, the Swiss Parliament </w:t>
      </w:r>
      <w:r w:rsidRPr="00A86F53">
        <w:rPr>
          <w:b/>
          <w:lang w:val="en-GB"/>
        </w:rPr>
        <w:t>passed a law creating an NHRI</w:t>
      </w:r>
      <w:r w:rsidRPr="00A86F53">
        <w:rPr>
          <w:lang w:val="en-GB"/>
        </w:rPr>
        <w:t>.</w:t>
      </w:r>
      <w:r w:rsidRPr="00A86F53">
        <w:rPr>
          <w:vertAlign w:val="superscript"/>
          <w:lang w:val="en-GB"/>
        </w:rPr>
        <w:footnoteReference w:id="332"/>
      </w:r>
      <w:r w:rsidRPr="00A86F53">
        <w:rPr>
          <w:lang w:val="en-GB"/>
        </w:rPr>
        <w:t xml:space="preserve"> It generally serves as a </w:t>
      </w:r>
      <w:r w:rsidRPr="00A86F53">
        <w:rPr>
          <w:b/>
          <w:lang w:val="en-GB"/>
        </w:rPr>
        <w:t xml:space="preserve">good basis </w:t>
      </w:r>
      <w:r w:rsidRPr="00A86F53">
        <w:rPr>
          <w:lang w:val="en-GB"/>
        </w:rPr>
        <w:t>for complying with the Paris Principles. However</w:t>
      </w:r>
      <w:r w:rsidRPr="00A86F53">
        <w:rPr>
          <w:b/>
          <w:lang w:val="en-GB"/>
        </w:rPr>
        <w:t>, the achievement of “A” status</w:t>
      </w:r>
      <w:r w:rsidRPr="00A86F53">
        <w:rPr>
          <w:lang w:val="en-GB"/>
        </w:rPr>
        <w:t xml:space="preserve"> appears to be undermined by the following two problems: </w:t>
      </w:r>
    </w:p>
    <w:p w14:paraId="7FB8C09B" w14:textId="0EE51FC5" w:rsidR="00D616B2" w:rsidRPr="00A86F53" w:rsidRDefault="00D616B2" w:rsidP="003D2F0B">
      <w:pPr>
        <w:pStyle w:val="Aufzhlung"/>
        <w:numPr>
          <w:ilvl w:val="0"/>
          <w:numId w:val="53"/>
        </w:numPr>
        <w:ind w:left="426"/>
      </w:pPr>
      <w:r w:rsidRPr="00A86F53">
        <w:lastRenderedPageBreak/>
        <w:t>The dispatch provides for a</w:t>
      </w:r>
      <w:r w:rsidRPr="00A86F53">
        <w:rPr>
          <w:b/>
        </w:rPr>
        <w:t xml:space="preserve"> federal contribution</w:t>
      </w:r>
      <w:r w:rsidRPr="00A86F53">
        <w:t xml:space="preserve"> of CHF 1 million (plus infrastructure contributions from the cantons). This puts the </w:t>
      </w:r>
      <w:r w:rsidRPr="00A86F53">
        <w:rPr>
          <w:b/>
        </w:rPr>
        <w:t>development and activities of the NHRI at risk</w:t>
      </w:r>
      <w:r w:rsidRPr="00A86F53">
        <w:t xml:space="preserve">. In planning the budget, the Federal Council should rather be guided </w:t>
      </w:r>
      <w:r w:rsidRPr="00A86F53">
        <w:rPr>
          <w:b/>
          <w:bCs/>
        </w:rPr>
        <w:t>by</w:t>
      </w:r>
      <w:r w:rsidRPr="00A86F53">
        <w:rPr>
          <w:b/>
        </w:rPr>
        <w:t xml:space="preserve"> state contributions </w:t>
      </w:r>
      <w:r w:rsidRPr="00A86F53">
        <w:t xml:space="preserve">available </w:t>
      </w:r>
      <w:r w:rsidRPr="00A86F53">
        <w:rPr>
          <w:b/>
        </w:rPr>
        <w:t>to NHRIs in comparable countries</w:t>
      </w:r>
      <w:r w:rsidRPr="00A86F53">
        <w:t xml:space="preserve"> such as Denmark, Germany, the Netherlands or</w:t>
      </w:r>
      <w:r w:rsidRPr="00A86F53">
        <w:rPr>
          <w:rStyle w:val="FootnoteReference"/>
        </w:rPr>
        <w:t xml:space="preserve"> </w:t>
      </w:r>
      <w:r w:rsidRPr="00A86F53">
        <w:t>Sweden.</w:t>
      </w:r>
      <w:r w:rsidR="002C7F77" w:rsidRPr="00A86F53">
        <w:rPr>
          <w:rStyle w:val="FootnoteReference"/>
        </w:rPr>
        <w:footnoteReference w:id="333"/>
      </w:r>
      <w:r w:rsidRPr="00A86F53">
        <w:t xml:space="preserve"> In 2021, the UN Committee on the Elimination of Racial Discrimination (</w:t>
      </w:r>
      <w:r w:rsidRPr="00A86F53">
        <w:rPr>
          <w:b/>
        </w:rPr>
        <w:t>CERD</w:t>
      </w:r>
      <w:r w:rsidRPr="00A86F53">
        <w:t>) and the Committee on the Rights of the Child (</w:t>
      </w:r>
      <w:r w:rsidRPr="00A86F53">
        <w:rPr>
          <w:b/>
        </w:rPr>
        <w:t>CRC</w:t>
      </w:r>
      <w:r w:rsidRPr="00A86F53">
        <w:t xml:space="preserve">) recommended that Switzerland provide the institution with </w:t>
      </w:r>
      <w:r w:rsidRPr="00A86F53">
        <w:rPr>
          <w:b/>
        </w:rPr>
        <w:t>sufficient human and financial resources</w:t>
      </w:r>
      <w:r w:rsidRPr="00A86F53">
        <w:t xml:space="preserve"> to enable it to fulfil its mandate.</w:t>
      </w:r>
      <w:r w:rsidRPr="00A86F53">
        <w:rPr>
          <w:vertAlign w:val="superscript"/>
        </w:rPr>
        <w:footnoteReference w:id="334"/>
      </w:r>
    </w:p>
    <w:p w14:paraId="6DC1EB26" w14:textId="77777777" w:rsidR="00D616B2" w:rsidRPr="00A86F53" w:rsidRDefault="00D616B2" w:rsidP="003D2F0B">
      <w:pPr>
        <w:pStyle w:val="Aufzhlung"/>
        <w:numPr>
          <w:ilvl w:val="0"/>
          <w:numId w:val="53"/>
        </w:numPr>
        <w:ind w:left="426"/>
      </w:pPr>
      <w:r w:rsidRPr="00A86F53">
        <w:t xml:space="preserve">The statutory mandate of the NHRI is generally appropriate. However, Parliament decided by a narrow majority in favour </w:t>
      </w:r>
      <w:r w:rsidRPr="00A86F53">
        <w:rPr>
          <w:b/>
        </w:rPr>
        <w:t xml:space="preserve">of a definitive wording </w:t>
      </w:r>
      <w:r w:rsidRPr="00A86F53">
        <w:t xml:space="preserve">(Article 10b). This </w:t>
      </w:r>
      <w:r w:rsidRPr="00A86F53">
        <w:rPr>
          <w:b/>
        </w:rPr>
        <w:t xml:space="preserve">calls into question </w:t>
      </w:r>
      <w:r w:rsidRPr="00A86F53">
        <w:t xml:space="preserve">whether the NHRI will be able </w:t>
      </w:r>
      <w:r w:rsidRPr="00A86F53">
        <w:rPr>
          <w:b/>
        </w:rPr>
        <w:t>to operate in a sufficiently wide and comprehensive manner</w:t>
      </w:r>
      <w:r w:rsidRPr="00A86F53">
        <w:t xml:space="preserve">. </w:t>
      </w:r>
    </w:p>
    <w:p w14:paraId="0A9D7DA4" w14:textId="5EE77700" w:rsidR="00AD6133" w:rsidRPr="0001096E" w:rsidRDefault="00D616B2" w:rsidP="00D616B2">
      <w:pPr>
        <w:rPr>
          <w:lang w:val="en-GB"/>
        </w:rPr>
      </w:pPr>
      <w:r w:rsidRPr="00A86F53">
        <w:rPr>
          <w:b/>
          <w:lang w:val="en-GB"/>
        </w:rPr>
        <w:t>Lastly and specifically</w:t>
      </w:r>
      <w:r w:rsidRPr="00A86F53">
        <w:rPr>
          <w:lang w:val="en-GB"/>
        </w:rPr>
        <w:t xml:space="preserve"> in connection with the </w:t>
      </w:r>
      <w:r w:rsidRPr="00A86F53">
        <w:rPr>
          <w:b/>
          <w:lang w:val="en-GB"/>
        </w:rPr>
        <w:t xml:space="preserve">implementation of the CRPD, </w:t>
      </w:r>
      <w:r w:rsidRPr="00A86F53">
        <w:rPr>
          <w:lang w:val="en-GB"/>
        </w:rPr>
        <w:t xml:space="preserve">it </w:t>
      </w:r>
      <w:r w:rsidR="002C7F77">
        <w:rPr>
          <w:lang w:val="en-GB"/>
        </w:rPr>
        <w:t>is of crucial importance</w:t>
      </w:r>
      <w:r w:rsidRPr="00A86F53">
        <w:rPr>
          <w:lang w:val="en-GB"/>
        </w:rPr>
        <w:t xml:space="preserve"> that </w:t>
      </w:r>
      <w:r w:rsidRPr="00A86F53">
        <w:rPr>
          <w:b/>
          <w:lang w:val="en-GB"/>
        </w:rPr>
        <w:t>the FBED –like other federal agencies</w:t>
      </w:r>
      <w:r w:rsidRPr="00A86F53">
        <w:rPr>
          <w:lang w:val="en-GB"/>
        </w:rPr>
        <w:t xml:space="preserve"> such as in the area </w:t>
      </w:r>
      <w:r w:rsidRPr="00A86F53">
        <w:rPr>
          <w:b/>
          <w:lang w:val="en-GB"/>
        </w:rPr>
        <w:t xml:space="preserve">of gender equality and </w:t>
      </w:r>
      <w:r w:rsidRPr="00A86F53">
        <w:rPr>
          <w:lang w:val="en-GB"/>
        </w:rPr>
        <w:t xml:space="preserve">the </w:t>
      </w:r>
      <w:r w:rsidRPr="00A86F53">
        <w:rPr>
          <w:b/>
          <w:lang w:val="en-GB"/>
        </w:rPr>
        <w:t>elimination</w:t>
      </w:r>
      <w:r w:rsidRPr="00A86F53">
        <w:rPr>
          <w:lang w:val="en-GB"/>
        </w:rPr>
        <w:t xml:space="preserve"> </w:t>
      </w:r>
      <w:r w:rsidRPr="00A86F53">
        <w:rPr>
          <w:b/>
          <w:lang w:val="en-GB"/>
        </w:rPr>
        <w:t xml:space="preserve">of racism – </w:t>
      </w:r>
      <w:r w:rsidR="002C7F77">
        <w:rPr>
          <w:b/>
          <w:lang w:val="en-GB"/>
        </w:rPr>
        <w:t>be</w:t>
      </w:r>
      <w:r w:rsidRPr="00A86F53">
        <w:rPr>
          <w:b/>
          <w:lang w:val="en-GB"/>
        </w:rPr>
        <w:t xml:space="preserve"> involved </w:t>
      </w:r>
      <w:r w:rsidRPr="00A86F53">
        <w:rPr>
          <w:lang w:val="en-GB"/>
        </w:rPr>
        <w:t xml:space="preserve">in the </w:t>
      </w:r>
      <w:r w:rsidRPr="00A86F53">
        <w:rPr>
          <w:b/>
          <w:lang w:val="en-GB"/>
        </w:rPr>
        <w:t>preparatory work</w:t>
      </w:r>
      <w:r w:rsidRPr="00A86F53">
        <w:rPr>
          <w:lang w:val="en-GB"/>
        </w:rPr>
        <w:t xml:space="preserve"> for the establishment of the new institution.</w:t>
      </w:r>
      <w:r w:rsidRPr="00A86F53">
        <w:rPr>
          <w:vertAlign w:val="superscript"/>
          <w:lang w:val="en-GB"/>
        </w:rPr>
        <w:footnoteReference w:id="335"/>
      </w:r>
      <w:r w:rsidRPr="00A86F53">
        <w:rPr>
          <w:lang w:val="en-GB"/>
        </w:rPr>
        <w:t xml:space="preserve"> </w:t>
      </w:r>
      <w:r w:rsidR="002C7F77">
        <w:rPr>
          <w:lang w:val="en-GB"/>
        </w:rPr>
        <w:t>T</w:t>
      </w:r>
      <w:r w:rsidRPr="00A86F53">
        <w:rPr>
          <w:lang w:val="en-GB"/>
        </w:rPr>
        <w:t xml:space="preserve">he CRPD is the only human rights convention that explicitly refers to the NHRI, and the latter has an </w:t>
      </w:r>
      <w:r w:rsidRPr="00A86F53">
        <w:rPr>
          <w:b/>
          <w:lang w:val="en-GB"/>
        </w:rPr>
        <w:t>essential role to play</w:t>
      </w:r>
      <w:r w:rsidRPr="00A86F53">
        <w:rPr>
          <w:lang w:val="en-GB"/>
        </w:rPr>
        <w:t xml:space="preserve"> concerning the rights of PWD.</w:t>
      </w:r>
      <w:r w:rsidRPr="00A86F53">
        <w:rPr>
          <w:vertAlign w:val="superscript"/>
          <w:lang w:val="en-GB"/>
        </w:rPr>
        <w:footnoteReference w:id="336"/>
      </w:r>
    </w:p>
    <w:p w14:paraId="35B55D83" w14:textId="77777777" w:rsidR="00B30BCF" w:rsidRPr="0001096E" w:rsidRDefault="00082D01" w:rsidP="00082D01">
      <w:pPr>
        <w:pStyle w:val="Subtitle"/>
        <w:rPr>
          <w:lang w:val="en-GB"/>
        </w:rPr>
      </w:pPr>
      <w:r w:rsidRPr="0001096E">
        <w:rPr>
          <w:lang w:val="en-GB"/>
        </w:rPr>
        <w:lastRenderedPageBreak/>
        <w:t>Inclusion of PWD</w:t>
      </w:r>
      <w:r w:rsidRPr="0001096E">
        <w:rPr>
          <w:b w:val="0"/>
          <w:lang w:val="en-GB"/>
        </w:rPr>
        <w:t xml:space="preserve"> </w:t>
      </w:r>
      <w:r w:rsidR="00B30BCF" w:rsidRPr="0001096E">
        <w:rPr>
          <w:lang w:val="en-GB"/>
        </w:rPr>
        <w:t>(LoI, para. 27c)</w:t>
      </w:r>
    </w:p>
    <w:p w14:paraId="09D12BC8" w14:textId="7C112E95" w:rsidR="00B009DC" w:rsidRDefault="00B009DC" w:rsidP="00B009DC">
      <w:pPr>
        <w:rPr>
          <w:lang w:val="en-GB"/>
        </w:rPr>
      </w:pPr>
      <w:r w:rsidRPr="0001096E">
        <w:rPr>
          <w:lang w:val="en-GB"/>
        </w:rPr>
        <w:t xml:space="preserve">See General </w:t>
      </w:r>
      <w:r w:rsidR="00883722">
        <w:rPr>
          <w:lang w:val="en-GB"/>
        </w:rPr>
        <w:t>assessments</w:t>
      </w:r>
      <w:r w:rsidRPr="0001096E">
        <w:rPr>
          <w:lang w:val="en-GB"/>
        </w:rPr>
        <w:t xml:space="preserve">, p. </w:t>
      </w:r>
      <w:r w:rsidR="007433D0">
        <w:rPr>
          <w:lang w:val="en-GB"/>
        </w:rPr>
        <w:fldChar w:fldCharType="begin"/>
      </w:r>
      <w:r w:rsidR="007433D0">
        <w:rPr>
          <w:lang w:val="en-GB"/>
        </w:rPr>
        <w:instrText xml:space="preserve"> PAGEREF _Ref95667838 \h </w:instrText>
      </w:r>
      <w:r w:rsidR="007433D0">
        <w:rPr>
          <w:lang w:val="en-GB"/>
        </w:rPr>
      </w:r>
      <w:r w:rsidR="007433D0">
        <w:rPr>
          <w:lang w:val="en-GB"/>
        </w:rPr>
        <w:fldChar w:fldCharType="separate"/>
      </w:r>
      <w:r w:rsidR="007433D0">
        <w:rPr>
          <w:noProof/>
          <w:lang w:val="en-GB"/>
        </w:rPr>
        <w:t>4</w:t>
      </w:r>
      <w:r w:rsidR="007433D0">
        <w:rPr>
          <w:lang w:val="en-GB"/>
        </w:rPr>
        <w:fldChar w:fldCharType="end"/>
      </w:r>
      <w:r w:rsidRPr="0001096E">
        <w:rPr>
          <w:lang w:val="en-GB"/>
        </w:rPr>
        <w:t xml:space="preserve"> ff.</w:t>
      </w:r>
    </w:p>
    <w:p w14:paraId="38894C2F" w14:textId="55997A79" w:rsidR="00B30BCF" w:rsidRPr="0001096E" w:rsidRDefault="00B009DC" w:rsidP="00B30BCF">
      <w:pPr>
        <w:pStyle w:val="BaukastenAufzaehlung"/>
        <w:numPr>
          <w:ilvl w:val="0"/>
          <w:numId w:val="0"/>
        </w:numPr>
        <w:shd w:val="clear" w:color="auto" w:fill="FFFFCC"/>
        <w:spacing w:before="240" w:after="120" w:line="280" w:lineRule="exact"/>
        <w:ind w:left="360" w:hanging="360"/>
        <w:rPr>
          <w:b/>
          <w:lang w:val="en-GB"/>
        </w:rPr>
      </w:pPr>
      <w:r w:rsidRPr="0001096E">
        <w:rPr>
          <w:b/>
          <w:lang w:val="en-GB"/>
        </w:rPr>
        <w:t>Proposals for recommendations</w:t>
      </w:r>
      <w:r w:rsidR="00B30BCF" w:rsidRPr="0001096E">
        <w:rPr>
          <w:b/>
          <w:lang w:val="en-GB"/>
        </w:rPr>
        <w:t>:</w:t>
      </w:r>
    </w:p>
    <w:p w14:paraId="04B34A8D" w14:textId="77777777" w:rsidR="00E66775" w:rsidRPr="00A86F53" w:rsidRDefault="00E66775" w:rsidP="00E66775">
      <w:pPr>
        <w:pStyle w:val="SBEmpfehlungen"/>
      </w:pPr>
      <w:r w:rsidRPr="00A86F53">
        <w:t xml:space="preserve">By contributing to the NHRI, </w:t>
      </w:r>
      <w:r w:rsidRPr="00A86F53">
        <w:rPr>
          <w:b/>
        </w:rPr>
        <w:t xml:space="preserve">the Confederation and </w:t>
      </w:r>
      <w:r w:rsidRPr="00A86F53">
        <w:t xml:space="preserve">the </w:t>
      </w:r>
      <w:r w:rsidRPr="00A86F53">
        <w:rPr>
          <w:b/>
        </w:rPr>
        <w:t>cantons</w:t>
      </w:r>
      <w:r w:rsidRPr="00A86F53">
        <w:t xml:space="preserve"> shall ensure that it is able </w:t>
      </w:r>
      <w:r w:rsidRPr="00A86F53">
        <w:rPr>
          <w:b/>
        </w:rPr>
        <w:t>to effectively carry out</w:t>
      </w:r>
      <w:r w:rsidRPr="00A86F53">
        <w:t xml:space="preserve"> the </w:t>
      </w:r>
      <w:r w:rsidRPr="00A86F53">
        <w:rPr>
          <w:b/>
        </w:rPr>
        <w:t>tasks</w:t>
      </w:r>
      <w:r w:rsidRPr="00A86F53">
        <w:t xml:space="preserve"> specified in the new law </w:t>
      </w:r>
      <w:r w:rsidRPr="00A86F53">
        <w:rPr>
          <w:b/>
        </w:rPr>
        <w:t>in a federalist, multilingual country.</w:t>
      </w:r>
      <w:r w:rsidRPr="00A86F53">
        <w:t xml:space="preserve"> In performing their development work, they shall take into account the </w:t>
      </w:r>
      <w:r w:rsidRPr="00A86F53">
        <w:rPr>
          <w:b/>
        </w:rPr>
        <w:t>CRPD requirements</w:t>
      </w:r>
      <w:r w:rsidRPr="00A86F53">
        <w:t xml:space="preserve"> from the outset and </w:t>
      </w:r>
      <w:r w:rsidRPr="00A86F53">
        <w:rPr>
          <w:b/>
        </w:rPr>
        <w:t>shall include the FBED for this purpose</w:t>
      </w:r>
      <w:r w:rsidRPr="00A86F53">
        <w:t>.</w:t>
      </w:r>
    </w:p>
    <w:p w14:paraId="7BFC46F9" w14:textId="6D3FB69F" w:rsidR="00AD6133" w:rsidRPr="0001096E" w:rsidRDefault="00E66775" w:rsidP="00E66775">
      <w:pPr>
        <w:pStyle w:val="SBEmpfehlungen"/>
      </w:pPr>
      <w:r w:rsidRPr="00A86F53">
        <w:t xml:space="preserve">All </w:t>
      </w:r>
      <w:r w:rsidRPr="002C7F77">
        <w:rPr>
          <w:b/>
        </w:rPr>
        <w:t>cantons</w:t>
      </w:r>
      <w:r w:rsidRPr="00A86F53">
        <w:t xml:space="preserve"> that do not yet have a </w:t>
      </w:r>
      <w:r w:rsidRPr="002C7F77">
        <w:rPr>
          <w:b/>
        </w:rPr>
        <w:t>CRPD contact point</w:t>
      </w:r>
      <w:r w:rsidRPr="00A86F53">
        <w:t xml:space="preserve"> shall create one by adapting their legislation</w:t>
      </w:r>
      <w:r>
        <w:t>; t</w:t>
      </w:r>
      <w:r w:rsidRPr="00A86F53">
        <w:t xml:space="preserve">hey shall provide the </w:t>
      </w:r>
      <w:r w:rsidRPr="002C7F77">
        <w:rPr>
          <w:b/>
        </w:rPr>
        <w:t>necessary human and financial resources</w:t>
      </w:r>
      <w:r w:rsidRPr="00A86F53">
        <w:t xml:space="preserve"> for this purpose.</w:t>
      </w:r>
    </w:p>
    <w:p w14:paraId="66C0A61A" w14:textId="77777777" w:rsidR="00B30BCF" w:rsidRPr="0001096E" w:rsidRDefault="00B30BCF" w:rsidP="00B30BCF">
      <w:pPr>
        <w:spacing w:after="160" w:line="259" w:lineRule="auto"/>
        <w:jc w:val="left"/>
        <w:rPr>
          <w:rFonts w:cstheme="minorBidi"/>
          <w:lang w:val="en-GB"/>
        </w:rPr>
      </w:pPr>
      <w:r w:rsidRPr="0001096E">
        <w:rPr>
          <w:lang w:val="en-GB"/>
        </w:rPr>
        <w:br w:type="page"/>
      </w:r>
    </w:p>
    <w:p w14:paraId="07B11AA0" w14:textId="77777777" w:rsidR="00B009DC" w:rsidRPr="0001096E" w:rsidRDefault="00B009DC" w:rsidP="00B009DC">
      <w:pPr>
        <w:pStyle w:val="Heading2"/>
        <w:numPr>
          <w:ilvl w:val="0"/>
          <w:numId w:val="0"/>
        </w:numPr>
        <w:ind w:left="340" w:hanging="340"/>
        <w:rPr>
          <w:lang w:val="en-GB"/>
        </w:rPr>
      </w:pPr>
      <w:bookmarkStart w:id="155" w:name="_Toc95297085"/>
      <w:bookmarkStart w:id="156" w:name="_Toc95668200"/>
      <w:r w:rsidRPr="0001096E">
        <w:rPr>
          <w:lang w:val="en-GB"/>
        </w:rPr>
        <w:lastRenderedPageBreak/>
        <w:t>List of Abbreviations</w:t>
      </w:r>
      <w:bookmarkEnd w:id="155"/>
      <w:bookmarkEnd w:id="156"/>
    </w:p>
    <w:p w14:paraId="3057242C" w14:textId="77777777" w:rsidR="00B009DC" w:rsidRPr="0001096E" w:rsidRDefault="00B009DC" w:rsidP="00B009DC">
      <w:pPr>
        <w:tabs>
          <w:tab w:val="left" w:pos="2410"/>
        </w:tabs>
        <w:ind w:left="2410" w:hanging="2410"/>
        <w:rPr>
          <w:lang w:val="en-GB"/>
        </w:rPr>
      </w:pPr>
      <w:r w:rsidRPr="0001096E">
        <w:rPr>
          <w:lang w:val="en-GB"/>
        </w:rPr>
        <w:t>AIA</w:t>
      </w:r>
      <w:r w:rsidRPr="0001096E">
        <w:rPr>
          <w:lang w:val="en-GB"/>
        </w:rPr>
        <w:tab/>
        <w:t>Federal Act of 20 March 1981 on Accident Insurance (Accident Insurance Act, SR 832.20)</w:t>
      </w:r>
    </w:p>
    <w:p w14:paraId="1A1380BB" w14:textId="77777777" w:rsidR="00B009DC" w:rsidRPr="0001096E" w:rsidRDefault="00B009DC" w:rsidP="00B009DC">
      <w:pPr>
        <w:tabs>
          <w:tab w:val="left" w:pos="2410"/>
        </w:tabs>
        <w:ind w:left="2410" w:hanging="2410"/>
        <w:rPr>
          <w:lang w:val="en-GB"/>
        </w:rPr>
      </w:pPr>
      <w:r w:rsidRPr="0001096E">
        <w:rPr>
          <w:lang w:val="en-GB"/>
        </w:rPr>
        <w:t>Art.</w:t>
      </w:r>
      <w:r w:rsidRPr="0001096E">
        <w:rPr>
          <w:lang w:val="en-GB"/>
        </w:rPr>
        <w:tab/>
        <w:t>Article</w:t>
      </w:r>
    </w:p>
    <w:p w14:paraId="793E4A1D" w14:textId="77777777" w:rsidR="00B009DC" w:rsidRPr="0001096E" w:rsidRDefault="00B009DC" w:rsidP="00B009DC">
      <w:pPr>
        <w:tabs>
          <w:tab w:val="left" w:pos="2410"/>
        </w:tabs>
        <w:ind w:left="2410" w:hanging="2410"/>
        <w:rPr>
          <w:lang w:val="en-GB"/>
        </w:rPr>
      </w:pPr>
      <w:r w:rsidRPr="0001096E">
        <w:rPr>
          <w:lang w:val="en-GB"/>
        </w:rPr>
        <w:t>ASD</w:t>
      </w:r>
      <w:r w:rsidRPr="0001096E">
        <w:rPr>
          <w:lang w:val="en-GB"/>
        </w:rPr>
        <w:tab/>
        <w:t>Autism Spectrum Disorder</w:t>
      </w:r>
    </w:p>
    <w:p w14:paraId="65AE45FA" w14:textId="77777777" w:rsidR="00B009DC" w:rsidRPr="0001096E" w:rsidRDefault="00B009DC" w:rsidP="00B009DC">
      <w:pPr>
        <w:tabs>
          <w:tab w:val="left" w:pos="2410"/>
        </w:tabs>
        <w:ind w:left="2410" w:hanging="2410"/>
        <w:rPr>
          <w:lang w:val="en-GB"/>
        </w:rPr>
      </w:pPr>
      <w:r w:rsidRPr="0001096E">
        <w:rPr>
          <w:lang w:val="en-GB"/>
        </w:rPr>
        <w:t>B&amp;A</w:t>
      </w:r>
      <w:r w:rsidRPr="0001096E">
        <w:rPr>
          <w:lang w:val="en-GB"/>
        </w:rPr>
        <w:tab/>
      </w:r>
      <w:r w:rsidRPr="0001096E">
        <w:rPr>
          <w:i/>
          <w:lang w:val="en-GB"/>
        </w:rPr>
        <w:t xml:space="preserve">Beratungen &amp; Analysen </w:t>
      </w:r>
      <w:r w:rsidRPr="0001096E">
        <w:rPr>
          <w:lang w:val="en-GB"/>
        </w:rPr>
        <w:t>[company]</w:t>
      </w:r>
    </w:p>
    <w:p w14:paraId="69BF6301" w14:textId="77777777" w:rsidR="00B009DC" w:rsidRPr="0001096E" w:rsidRDefault="00B009DC" w:rsidP="00B009DC">
      <w:pPr>
        <w:tabs>
          <w:tab w:val="left" w:pos="2410"/>
        </w:tabs>
        <w:ind w:left="2410" w:hanging="2410"/>
        <w:rPr>
          <w:lang w:val="en-GB"/>
        </w:rPr>
      </w:pPr>
      <w:r w:rsidRPr="0001096E">
        <w:rPr>
          <w:lang w:val="en-GB"/>
        </w:rPr>
        <w:t>BASS</w:t>
      </w:r>
      <w:r w:rsidRPr="0001096E">
        <w:rPr>
          <w:lang w:val="en-GB"/>
        </w:rPr>
        <w:tab/>
      </w:r>
      <w:r w:rsidRPr="0001096E">
        <w:rPr>
          <w:i/>
          <w:iCs/>
          <w:lang w:val="en-GB"/>
        </w:rPr>
        <w:t>Büro für arbeits- und sozialpolitische Studien</w:t>
      </w:r>
      <w:r w:rsidRPr="0001096E">
        <w:rPr>
          <w:lang w:val="en-GB"/>
        </w:rPr>
        <w:t xml:space="preserve"> [Bureau of Employment and Socio-political Studies]</w:t>
      </w:r>
    </w:p>
    <w:p w14:paraId="6E461FBC" w14:textId="77777777" w:rsidR="00B009DC" w:rsidRPr="0001096E" w:rsidRDefault="00B009DC" w:rsidP="00B009DC">
      <w:pPr>
        <w:tabs>
          <w:tab w:val="left" w:pos="2410"/>
        </w:tabs>
        <w:ind w:left="2410" w:hanging="2410"/>
        <w:rPr>
          <w:lang w:val="en-GB"/>
        </w:rPr>
      </w:pPr>
      <w:r w:rsidRPr="0001096E">
        <w:rPr>
          <w:lang w:val="en-GB"/>
        </w:rPr>
        <w:t>BG</w:t>
      </w:r>
      <w:r w:rsidRPr="0001096E">
        <w:rPr>
          <w:lang w:val="en-GB"/>
        </w:rPr>
        <w:tab/>
        <w:t>Federal Supreme Court</w:t>
      </w:r>
    </w:p>
    <w:p w14:paraId="133C719A" w14:textId="77777777" w:rsidR="00B009DC" w:rsidRPr="0001096E" w:rsidRDefault="00B009DC" w:rsidP="00B009DC">
      <w:pPr>
        <w:ind w:left="2410" w:hanging="2410"/>
        <w:rPr>
          <w:lang w:val="en-GB"/>
        </w:rPr>
      </w:pPr>
      <w:r w:rsidRPr="0001096E">
        <w:rPr>
          <w:lang w:val="en-GB"/>
        </w:rPr>
        <w:t>BGE</w:t>
      </w:r>
      <w:r w:rsidRPr="0001096E">
        <w:rPr>
          <w:lang w:val="en-GB"/>
        </w:rPr>
        <w:tab/>
      </w:r>
      <w:r w:rsidRPr="0001096E">
        <w:rPr>
          <w:i/>
          <w:iCs/>
          <w:lang w:val="en-GB"/>
        </w:rPr>
        <w:t>Bundesgerichtsentscheid (amtliche Sammlung)</w:t>
      </w:r>
      <w:r w:rsidRPr="0001096E">
        <w:rPr>
          <w:lang w:val="en-GB"/>
        </w:rPr>
        <w:t xml:space="preserve"> [Decision of the Federal Supreme Court (official collection)]</w:t>
      </w:r>
    </w:p>
    <w:p w14:paraId="10DECFA1" w14:textId="77777777" w:rsidR="00B009DC" w:rsidRPr="0001096E" w:rsidRDefault="00B009DC" w:rsidP="00B009DC">
      <w:pPr>
        <w:ind w:left="2410" w:hanging="2410"/>
        <w:rPr>
          <w:lang w:val="en-GB"/>
        </w:rPr>
      </w:pPr>
      <w:r w:rsidRPr="0001096E">
        <w:rPr>
          <w:lang w:val="en-GB"/>
        </w:rPr>
        <w:t>BL</w:t>
      </w:r>
      <w:r w:rsidRPr="0001096E">
        <w:rPr>
          <w:lang w:val="en-GB"/>
        </w:rPr>
        <w:tab/>
        <w:t>Canton of Basel-Landschaft</w:t>
      </w:r>
    </w:p>
    <w:p w14:paraId="4ED00D2F" w14:textId="77777777" w:rsidR="00B009DC" w:rsidRPr="0001096E" w:rsidRDefault="00B009DC" w:rsidP="00B009DC">
      <w:pPr>
        <w:ind w:left="2410" w:hanging="2410"/>
        <w:rPr>
          <w:lang w:val="en-GB"/>
        </w:rPr>
      </w:pPr>
      <w:r w:rsidRPr="0001096E">
        <w:rPr>
          <w:lang w:val="en-GB"/>
        </w:rPr>
        <w:t>BS</w:t>
      </w:r>
      <w:r w:rsidRPr="0001096E">
        <w:rPr>
          <w:lang w:val="en-GB"/>
        </w:rPr>
        <w:tab/>
        <w:t>Canton of Basel-Stadt</w:t>
      </w:r>
    </w:p>
    <w:p w14:paraId="1E9698AC" w14:textId="77777777" w:rsidR="00B009DC" w:rsidRPr="0001096E" w:rsidRDefault="00B009DC" w:rsidP="00B009DC">
      <w:pPr>
        <w:ind w:left="2410" w:hanging="2410"/>
        <w:rPr>
          <w:lang w:val="en-GB"/>
        </w:rPr>
      </w:pPr>
      <w:r w:rsidRPr="0001096E">
        <w:rPr>
          <w:lang w:val="en-GB"/>
        </w:rPr>
        <w:t>CAPA</w:t>
      </w:r>
      <w:r w:rsidRPr="0001096E">
        <w:rPr>
          <w:lang w:val="en-GB"/>
        </w:rPr>
        <w:tab/>
        <w:t>child and adult protection authority/authorities</w:t>
      </w:r>
    </w:p>
    <w:p w14:paraId="126BB4BC" w14:textId="77777777" w:rsidR="00B009DC" w:rsidRPr="0001096E" w:rsidRDefault="00B009DC" w:rsidP="00B009DC">
      <w:pPr>
        <w:ind w:left="2410" w:hanging="2410"/>
        <w:rPr>
          <w:lang w:val="en-GB"/>
        </w:rPr>
      </w:pPr>
      <w:r w:rsidRPr="0001096E">
        <w:rPr>
          <w:lang w:val="en-GB"/>
        </w:rPr>
        <w:t>CC</w:t>
      </w:r>
      <w:r w:rsidRPr="0001096E">
        <w:rPr>
          <w:lang w:val="en-GB"/>
        </w:rPr>
        <w:tab/>
        <w:t>Swiss Civil Code of 10 December 1907 (SR 210)</w:t>
      </w:r>
    </w:p>
    <w:p w14:paraId="49015741" w14:textId="77777777" w:rsidR="00B009DC" w:rsidRPr="0001096E" w:rsidRDefault="00B009DC" w:rsidP="00B009DC">
      <w:pPr>
        <w:ind w:left="2410" w:hanging="2410"/>
        <w:rPr>
          <w:lang w:val="en-GB"/>
        </w:rPr>
      </w:pPr>
      <w:r w:rsidRPr="0001096E">
        <w:rPr>
          <w:lang w:val="en-GB"/>
        </w:rPr>
        <w:t>CCJPD</w:t>
      </w:r>
      <w:r w:rsidRPr="0001096E">
        <w:rPr>
          <w:lang w:val="en-GB"/>
        </w:rPr>
        <w:tab/>
        <w:t>Conference of Cantonal Justice and Police Directors</w:t>
      </w:r>
    </w:p>
    <w:p w14:paraId="537D32FA" w14:textId="77777777" w:rsidR="00B009DC" w:rsidRPr="0001096E" w:rsidRDefault="00B009DC" w:rsidP="00B009DC">
      <w:pPr>
        <w:ind w:left="2410" w:hanging="2410"/>
        <w:rPr>
          <w:lang w:val="en-GB"/>
        </w:rPr>
      </w:pPr>
      <w:r w:rsidRPr="0001096E">
        <w:rPr>
          <w:lang w:val="en-GB"/>
        </w:rPr>
        <w:t>CDSS</w:t>
      </w:r>
      <w:r w:rsidRPr="0001096E">
        <w:rPr>
          <w:lang w:val="en-GB"/>
        </w:rPr>
        <w:tab/>
        <w:t>Conference of Cantonal Ministers of Social Affairs</w:t>
      </w:r>
    </w:p>
    <w:p w14:paraId="05197CE9" w14:textId="77777777" w:rsidR="00B009DC" w:rsidRPr="0001096E" w:rsidRDefault="00B009DC" w:rsidP="00B009DC">
      <w:pPr>
        <w:ind w:left="2410" w:hanging="2410"/>
        <w:rPr>
          <w:lang w:val="en-GB"/>
        </w:rPr>
      </w:pPr>
      <w:r w:rsidRPr="0001096E">
        <w:rPr>
          <w:lang w:val="en-GB"/>
        </w:rPr>
        <w:t>CEDAW</w:t>
      </w:r>
      <w:r w:rsidRPr="0001096E">
        <w:rPr>
          <w:lang w:val="en-GB"/>
        </w:rPr>
        <w:tab/>
        <w:t>UN Committee on the Elimination of Discrimination against Women</w:t>
      </w:r>
    </w:p>
    <w:p w14:paraId="3DD9B330" w14:textId="77777777" w:rsidR="00B009DC" w:rsidRPr="0001096E" w:rsidRDefault="00B009DC" w:rsidP="00B009DC">
      <w:pPr>
        <w:ind w:left="2410" w:hanging="2410"/>
        <w:rPr>
          <w:lang w:val="en-GB"/>
        </w:rPr>
      </w:pPr>
      <w:r w:rsidRPr="0001096E">
        <w:rPr>
          <w:lang w:val="en-GB"/>
        </w:rPr>
        <w:t>CERD</w:t>
      </w:r>
      <w:r w:rsidRPr="0001096E">
        <w:rPr>
          <w:lang w:val="en-GB"/>
        </w:rPr>
        <w:tab/>
        <w:t>UN Committee on the Elimination of Racial Discrimination</w:t>
      </w:r>
    </w:p>
    <w:p w14:paraId="63BC0949" w14:textId="77777777" w:rsidR="00B009DC" w:rsidRPr="0001096E" w:rsidRDefault="00B009DC" w:rsidP="00B009DC">
      <w:pPr>
        <w:ind w:left="2410" w:hanging="2410"/>
        <w:rPr>
          <w:lang w:val="en-GB"/>
        </w:rPr>
      </w:pPr>
      <w:r w:rsidRPr="0001096E">
        <w:rPr>
          <w:lang w:val="en-GB"/>
        </w:rPr>
        <w:t>CESCR</w:t>
      </w:r>
      <w:r w:rsidRPr="0001096E">
        <w:rPr>
          <w:lang w:val="en-GB"/>
        </w:rPr>
        <w:tab/>
        <w:t>UN Committee on Economic, Social and Cultural Rights</w:t>
      </w:r>
    </w:p>
    <w:p w14:paraId="3FBD0EFC" w14:textId="77777777" w:rsidR="00B009DC" w:rsidRPr="0001096E" w:rsidRDefault="00B009DC" w:rsidP="00B009DC">
      <w:pPr>
        <w:ind w:left="2410" w:hanging="2410"/>
        <w:rPr>
          <w:lang w:val="en-GB"/>
        </w:rPr>
      </w:pPr>
      <w:r w:rsidRPr="0001096E">
        <w:rPr>
          <w:lang w:val="en-GB"/>
        </w:rPr>
        <w:t>CHF</w:t>
      </w:r>
      <w:r w:rsidRPr="0001096E">
        <w:rPr>
          <w:lang w:val="en-GB"/>
        </w:rPr>
        <w:tab/>
        <w:t>Swiss franc(s)</w:t>
      </w:r>
    </w:p>
    <w:p w14:paraId="52F4AEBD" w14:textId="77777777" w:rsidR="00B009DC" w:rsidRPr="0001096E" w:rsidRDefault="00B009DC" w:rsidP="00B009DC">
      <w:pPr>
        <w:ind w:left="2410" w:hanging="2410"/>
        <w:rPr>
          <w:lang w:val="en-GB"/>
        </w:rPr>
      </w:pPr>
      <w:r w:rsidRPr="0001096E">
        <w:rPr>
          <w:lang w:val="en-GB"/>
        </w:rPr>
        <w:lastRenderedPageBreak/>
        <w:t>CO</w:t>
      </w:r>
      <w:r w:rsidRPr="0001096E">
        <w:rPr>
          <w:lang w:val="en-GB"/>
        </w:rPr>
        <w:tab/>
        <w:t>Federal Act of 30 March 1911 on the Amendment of the Swiss Civil Code (Part Five: Code of Obligations; SR 220)</w:t>
      </w:r>
    </w:p>
    <w:p w14:paraId="0FE076A8" w14:textId="77777777" w:rsidR="00B009DC" w:rsidRPr="0001096E" w:rsidRDefault="00B009DC" w:rsidP="00B009DC">
      <w:pPr>
        <w:ind w:left="2410" w:hanging="2410"/>
        <w:rPr>
          <w:lang w:val="en-GB"/>
        </w:rPr>
      </w:pPr>
      <w:r w:rsidRPr="0001096E">
        <w:rPr>
          <w:lang w:val="en-GB"/>
        </w:rPr>
        <w:t>consid.</w:t>
      </w:r>
      <w:r w:rsidRPr="0001096E">
        <w:rPr>
          <w:lang w:val="en-GB"/>
        </w:rPr>
        <w:tab/>
        <w:t>consideration</w:t>
      </w:r>
    </w:p>
    <w:p w14:paraId="3134D762" w14:textId="77777777" w:rsidR="00B009DC" w:rsidRPr="0001096E" w:rsidRDefault="00B009DC" w:rsidP="00B009DC">
      <w:pPr>
        <w:ind w:left="2410" w:hanging="2410"/>
        <w:rPr>
          <w:lang w:val="en-GB"/>
        </w:rPr>
      </w:pPr>
      <w:r w:rsidRPr="0001096E">
        <w:rPr>
          <w:lang w:val="en-GB"/>
        </w:rPr>
        <w:t>CPC</w:t>
      </w:r>
      <w:r w:rsidRPr="0001096E">
        <w:rPr>
          <w:lang w:val="en-GB"/>
        </w:rPr>
        <w:tab/>
        <w:t>Cerebral Performance Category</w:t>
      </w:r>
    </w:p>
    <w:p w14:paraId="5337A7F6" w14:textId="77777777" w:rsidR="00B009DC" w:rsidRPr="0001096E" w:rsidRDefault="00B009DC" w:rsidP="00B009DC">
      <w:pPr>
        <w:ind w:left="2410" w:hanging="2410"/>
        <w:rPr>
          <w:lang w:val="en-GB"/>
        </w:rPr>
      </w:pPr>
      <w:r w:rsidRPr="0001096E">
        <w:rPr>
          <w:lang w:val="en-GB"/>
        </w:rPr>
        <w:t>CPC</w:t>
      </w:r>
      <w:r w:rsidRPr="0001096E">
        <w:rPr>
          <w:lang w:val="en-GB"/>
        </w:rPr>
        <w:tab/>
        <w:t>Swiss Civil Procedure Code of 19 December 2008 (Civil Procedure Code, CPC; SR 272)</w:t>
      </w:r>
    </w:p>
    <w:p w14:paraId="19336EA6" w14:textId="77777777" w:rsidR="00B009DC" w:rsidRPr="0001096E" w:rsidRDefault="00B009DC" w:rsidP="00B009DC">
      <w:pPr>
        <w:ind w:left="2410" w:hanging="2410"/>
        <w:rPr>
          <w:lang w:val="en-GB"/>
        </w:rPr>
      </w:pPr>
      <w:r w:rsidRPr="0001096E">
        <w:rPr>
          <w:lang w:val="en-GB"/>
        </w:rPr>
        <w:t>CPDA</w:t>
      </w:r>
      <w:r w:rsidRPr="0001096E">
        <w:rPr>
          <w:lang w:val="en-GB"/>
        </w:rPr>
        <w:tab/>
        <w:t>Federal Act of 20 December 2019 on Civil Protection and Civil Defence (Civil Protection and Civil Defence Act; SR 520.1)</w:t>
      </w:r>
    </w:p>
    <w:p w14:paraId="65288775" w14:textId="77777777" w:rsidR="00B009DC" w:rsidRPr="0001096E" w:rsidRDefault="00B009DC" w:rsidP="00B009DC">
      <w:pPr>
        <w:ind w:left="2410" w:hanging="2410"/>
        <w:rPr>
          <w:lang w:val="en-GB"/>
        </w:rPr>
      </w:pPr>
      <w:r w:rsidRPr="0001096E">
        <w:rPr>
          <w:lang w:val="en-GB"/>
        </w:rPr>
        <w:t>CRC</w:t>
      </w:r>
      <w:r w:rsidRPr="0001096E">
        <w:rPr>
          <w:lang w:val="en-GB"/>
        </w:rPr>
        <w:tab/>
        <w:t>UN Committee on the Rights of the Child / Convention of the Rights of the Child of 20 November 1989 (SR 0.107)</w:t>
      </w:r>
    </w:p>
    <w:p w14:paraId="5EE17356" w14:textId="77777777" w:rsidR="00B009DC" w:rsidRPr="0001096E" w:rsidRDefault="00B009DC" w:rsidP="00B009DC">
      <w:pPr>
        <w:ind w:left="2410" w:hanging="2410"/>
        <w:rPr>
          <w:lang w:val="en-GB"/>
        </w:rPr>
      </w:pPr>
      <w:r w:rsidRPr="0001096E">
        <w:rPr>
          <w:lang w:val="en-GB"/>
        </w:rPr>
        <w:t>CRH</w:t>
      </w:r>
      <w:r w:rsidRPr="0001096E">
        <w:rPr>
          <w:lang w:val="en-GB"/>
        </w:rPr>
        <w:tab/>
        <w:t>care-related hospitalisation</w:t>
      </w:r>
    </w:p>
    <w:p w14:paraId="0A12904C" w14:textId="77777777" w:rsidR="00B009DC" w:rsidRPr="0001096E" w:rsidRDefault="00B009DC" w:rsidP="00B009DC">
      <w:pPr>
        <w:ind w:left="2410" w:hanging="2410"/>
        <w:rPr>
          <w:lang w:val="en-GB"/>
        </w:rPr>
      </w:pPr>
      <w:r w:rsidRPr="0001096E">
        <w:rPr>
          <w:lang w:val="en-GB"/>
        </w:rPr>
        <w:t>CrimPC</w:t>
      </w:r>
      <w:r w:rsidRPr="0001096E">
        <w:rPr>
          <w:lang w:val="en-GB"/>
        </w:rPr>
        <w:tab/>
        <w:t>Swiss Criminal Procedure Code of 5 October 2007 (Criminal Procedure Code; SR 312.0)</w:t>
      </w:r>
    </w:p>
    <w:p w14:paraId="05367639" w14:textId="77777777" w:rsidR="00B009DC" w:rsidRPr="0001096E" w:rsidRDefault="00B009DC" w:rsidP="00B009DC">
      <w:pPr>
        <w:ind w:left="2410" w:hanging="2410"/>
        <w:rPr>
          <w:lang w:val="en-GB"/>
        </w:rPr>
      </w:pPr>
      <w:r w:rsidRPr="0001096E">
        <w:rPr>
          <w:lang w:val="en-GB"/>
        </w:rPr>
        <w:t>CRPD</w:t>
      </w:r>
      <w:r w:rsidRPr="0001096E">
        <w:rPr>
          <w:lang w:val="en-GB"/>
        </w:rPr>
        <w:tab/>
        <w:t xml:space="preserve">UN Committee on the Rights of Persons with Disabilities / UN Convention of 13 December 2006 on the Rights of Persons with Disabilities (SR 0.109) </w:t>
      </w:r>
    </w:p>
    <w:p w14:paraId="15622E8B" w14:textId="77777777" w:rsidR="00B009DC" w:rsidRPr="0001096E" w:rsidRDefault="00B009DC" w:rsidP="00B009DC">
      <w:pPr>
        <w:ind w:left="2410" w:hanging="2410"/>
        <w:rPr>
          <w:lang w:val="en-GB"/>
        </w:rPr>
      </w:pPr>
      <w:r w:rsidRPr="0001096E">
        <w:rPr>
          <w:lang w:val="en-GB"/>
        </w:rPr>
        <w:t>Cst.</w:t>
      </w:r>
      <w:r w:rsidRPr="0001096E">
        <w:rPr>
          <w:lang w:val="en-GB"/>
        </w:rPr>
        <w:tab/>
        <w:t>Federal Constitution of the Swiss Confederation of 18 April 1999 (SR 101)</w:t>
      </w:r>
    </w:p>
    <w:p w14:paraId="72A0490F" w14:textId="77777777" w:rsidR="00B009DC" w:rsidRPr="0001096E" w:rsidRDefault="00B009DC" w:rsidP="00B009DC">
      <w:pPr>
        <w:ind w:left="2410" w:hanging="2410"/>
        <w:rPr>
          <w:lang w:val="en-GB"/>
        </w:rPr>
      </w:pPr>
      <w:r w:rsidRPr="0001096E">
        <w:rPr>
          <w:lang w:val="en-GB"/>
        </w:rPr>
        <w:t>DDA</w:t>
      </w:r>
      <w:r w:rsidRPr="0001096E">
        <w:rPr>
          <w:lang w:val="en-GB"/>
        </w:rPr>
        <w:tab/>
        <w:t>Federal Act of 13 December 2002 on the Elimination of Discrimination against People with Disabilities (Disability Discrimination Act; SR 151.3)</w:t>
      </w:r>
    </w:p>
    <w:p w14:paraId="0A1FB7FE" w14:textId="77777777" w:rsidR="00B009DC" w:rsidRPr="00104AEE" w:rsidRDefault="00B009DC" w:rsidP="00B009DC">
      <w:pPr>
        <w:ind w:left="2410" w:hanging="2410"/>
        <w:rPr>
          <w:lang w:val="fr-FR"/>
        </w:rPr>
      </w:pPr>
      <w:r w:rsidRPr="00104AEE">
        <w:rPr>
          <w:lang w:val="fr-FR"/>
        </w:rPr>
        <w:t>Doc.</w:t>
      </w:r>
      <w:r w:rsidRPr="00104AEE">
        <w:rPr>
          <w:lang w:val="fr-FR"/>
        </w:rPr>
        <w:tab/>
        <w:t>Document</w:t>
      </w:r>
    </w:p>
    <w:p w14:paraId="7DE24258" w14:textId="77777777" w:rsidR="00B009DC" w:rsidRPr="00104AEE" w:rsidRDefault="00B009DC" w:rsidP="00B009DC">
      <w:pPr>
        <w:ind w:left="2410" w:hanging="2410"/>
        <w:rPr>
          <w:lang w:val="fr-FR"/>
        </w:rPr>
      </w:pPr>
      <w:r w:rsidRPr="00104AEE">
        <w:rPr>
          <w:lang w:val="fr-FR"/>
        </w:rPr>
        <w:t>e.g.</w:t>
      </w:r>
      <w:r w:rsidRPr="00104AEE">
        <w:rPr>
          <w:lang w:val="fr-FR"/>
        </w:rPr>
        <w:tab/>
      </w:r>
      <w:r w:rsidRPr="00104AEE">
        <w:rPr>
          <w:i/>
          <w:iCs/>
          <w:lang w:val="fr-FR"/>
        </w:rPr>
        <w:t>exempli gratia</w:t>
      </w:r>
      <w:r w:rsidRPr="00104AEE">
        <w:rPr>
          <w:lang w:val="fr-FR"/>
        </w:rPr>
        <w:t xml:space="preserve"> [for example]</w:t>
      </w:r>
    </w:p>
    <w:p w14:paraId="6C181736" w14:textId="77777777" w:rsidR="00B009DC" w:rsidRPr="0001096E" w:rsidRDefault="00B009DC" w:rsidP="00B009DC">
      <w:pPr>
        <w:ind w:left="2410" w:hanging="2410"/>
        <w:rPr>
          <w:lang w:val="en-GB"/>
        </w:rPr>
      </w:pPr>
      <w:r w:rsidRPr="0001096E">
        <w:rPr>
          <w:lang w:val="en-GB"/>
        </w:rPr>
        <w:lastRenderedPageBreak/>
        <w:t>EAER</w:t>
      </w:r>
      <w:r w:rsidRPr="0001096E">
        <w:rPr>
          <w:lang w:val="en-GB"/>
        </w:rPr>
        <w:tab/>
        <w:t>Federal Department of Economic Affairs, Education and Research</w:t>
      </w:r>
    </w:p>
    <w:p w14:paraId="733F6C86" w14:textId="77777777" w:rsidR="00B009DC" w:rsidRPr="0001096E" w:rsidRDefault="00B009DC" w:rsidP="00B009DC">
      <w:pPr>
        <w:ind w:left="2410" w:hanging="2410"/>
        <w:rPr>
          <w:lang w:val="en-GB"/>
        </w:rPr>
      </w:pPr>
      <w:r w:rsidRPr="0001096E">
        <w:rPr>
          <w:lang w:val="en-GB"/>
        </w:rPr>
        <w:t>ECAA</w:t>
      </w:r>
      <w:r w:rsidRPr="0001096E">
        <w:rPr>
          <w:lang w:val="en-GB"/>
        </w:rPr>
        <w:tab/>
        <w:t>Federal Act of 30 September 2011 on the Promotion of Extra-Curricular Activities for Children and Adolescents (Extra-Curricular Activities Act; SR 446.1)</w:t>
      </w:r>
    </w:p>
    <w:p w14:paraId="63333EE6" w14:textId="77777777" w:rsidR="00B009DC" w:rsidRPr="0001096E" w:rsidRDefault="00B009DC" w:rsidP="00B009DC">
      <w:pPr>
        <w:ind w:left="2410" w:hanging="2410"/>
        <w:rPr>
          <w:lang w:val="en-GB"/>
        </w:rPr>
      </w:pPr>
      <w:r w:rsidRPr="0001096E">
        <w:rPr>
          <w:lang w:val="en-GB"/>
        </w:rPr>
        <w:t>ECHR</w:t>
      </w:r>
      <w:r w:rsidRPr="0001096E">
        <w:rPr>
          <w:lang w:val="en-GB"/>
        </w:rPr>
        <w:tab/>
        <w:t>European Court of Human Rights / Convention of 4 November 1950 for the Protection of Human Rights and Fundamental Freedoms (European Convention on Human Rights; SR 0.101)</w:t>
      </w:r>
    </w:p>
    <w:p w14:paraId="4000DEE3" w14:textId="77777777" w:rsidR="00B009DC" w:rsidRPr="0001096E" w:rsidRDefault="00B009DC" w:rsidP="00B009DC">
      <w:pPr>
        <w:ind w:left="2410" w:hanging="2410"/>
        <w:rPr>
          <w:lang w:val="en-GB"/>
        </w:rPr>
      </w:pPr>
      <w:r w:rsidRPr="0001096E">
        <w:rPr>
          <w:lang w:val="en-GB"/>
        </w:rPr>
        <w:t>ed.</w:t>
      </w:r>
      <w:r w:rsidRPr="0001096E">
        <w:rPr>
          <w:lang w:val="en-GB"/>
        </w:rPr>
        <w:tab/>
        <w:t>edition</w:t>
      </w:r>
    </w:p>
    <w:p w14:paraId="7C73826D" w14:textId="77777777" w:rsidR="00B009DC" w:rsidRPr="0001096E" w:rsidRDefault="00B009DC" w:rsidP="00B009DC">
      <w:pPr>
        <w:ind w:left="2410" w:hanging="2410"/>
        <w:rPr>
          <w:lang w:val="en-GB"/>
        </w:rPr>
      </w:pPr>
      <w:r w:rsidRPr="0001096E">
        <w:rPr>
          <w:lang w:val="en-GB"/>
        </w:rPr>
        <w:t>EDK</w:t>
      </w:r>
      <w:r w:rsidRPr="0001096E">
        <w:rPr>
          <w:lang w:val="en-GB"/>
        </w:rPr>
        <w:tab/>
        <w:t>Swiss Conference of Cantonal Directors of Education</w:t>
      </w:r>
    </w:p>
    <w:p w14:paraId="765F993D" w14:textId="77777777" w:rsidR="00B009DC" w:rsidRPr="0001096E" w:rsidRDefault="00B009DC" w:rsidP="00B009DC">
      <w:pPr>
        <w:ind w:left="2410" w:hanging="2410"/>
        <w:rPr>
          <w:lang w:val="en-GB"/>
        </w:rPr>
      </w:pPr>
      <w:r w:rsidRPr="0001096E">
        <w:rPr>
          <w:lang w:val="en-GB"/>
        </w:rPr>
        <w:t>EmpA</w:t>
      </w:r>
      <w:r w:rsidRPr="0001096E">
        <w:rPr>
          <w:lang w:val="en-GB"/>
        </w:rPr>
        <w:tab/>
        <w:t>Federal Act of 13 March 1964 on Employment in Business, Trade and Industry (SR 822.11)</w:t>
      </w:r>
    </w:p>
    <w:p w14:paraId="4C86ACED" w14:textId="77777777" w:rsidR="00B009DC" w:rsidRPr="0001096E" w:rsidRDefault="00B009DC" w:rsidP="00B009DC">
      <w:pPr>
        <w:ind w:left="2410" w:hanging="2410"/>
        <w:rPr>
          <w:lang w:val="en-GB"/>
        </w:rPr>
      </w:pPr>
      <w:r w:rsidRPr="0001096E">
        <w:rPr>
          <w:lang w:val="en-GB"/>
        </w:rPr>
        <w:t>EPDO</w:t>
      </w:r>
      <w:r w:rsidRPr="0001096E">
        <w:rPr>
          <w:lang w:val="en-GB"/>
        </w:rPr>
        <w:tab/>
        <w:t>Ordinance of 19 November 2003 on the Elimination of Discrimination against People with Disabilities (SR 151.31)</w:t>
      </w:r>
    </w:p>
    <w:p w14:paraId="65A4CBFF" w14:textId="77777777" w:rsidR="00B009DC" w:rsidRPr="00104AEE" w:rsidRDefault="00B009DC" w:rsidP="00B009DC">
      <w:pPr>
        <w:ind w:left="2410" w:hanging="2410"/>
        <w:rPr>
          <w:lang w:val="fr-FR"/>
        </w:rPr>
      </w:pPr>
      <w:r w:rsidRPr="00104AEE">
        <w:rPr>
          <w:lang w:val="fr-FR"/>
        </w:rPr>
        <w:t>ERA</w:t>
      </w:r>
      <w:r w:rsidRPr="00104AEE">
        <w:rPr>
          <w:lang w:val="fr-FR"/>
        </w:rPr>
        <w:tab/>
        <w:t>European Railway Agency</w:t>
      </w:r>
    </w:p>
    <w:p w14:paraId="7E32F5E9" w14:textId="77777777" w:rsidR="00B009DC" w:rsidRPr="00104AEE" w:rsidRDefault="00B009DC" w:rsidP="00B009DC">
      <w:pPr>
        <w:ind w:left="2410" w:hanging="2410"/>
        <w:rPr>
          <w:lang w:val="fr-FR"/>
        </w:rPr>
      </w:pPr>
      <w:r w:rsidRPr="00104AEE">
        <w:rPr>
          <w:lang w:val="fr-FR"/>
        </w:rPr>
        <w:t>et al.</w:t>
      </w:r>
      <w:r w:rsidRPr="00104AEE">
        <w:rPr>
          <w:lang w:val="fr-FR"/>
        </w:rPr>
        <w:tab/>
      </w:r>
      <w:r w:rsidRPr="00104AEE">
        <w:rPr>
          <w:i/>
          <w:iCs/>
          <w:lang w:val="fr-FR"/>
        </w:rPr>
        <w:t xml:space="preserve">et alii, et aliae, et alia </w:t>
      </w:r>
      <w:r w:rsidRPr="00104AEE">
        <w:rPr>
          <w:lang w:val="fr-FR"/>
        </w:rPr>
        <w:t>[and others]</w:t>
      </w:r>
    </w:p>
    <w:p w14:paraId="0410EAA7" w14:textId="77777777" w:rsidR="00B009DC" w:rsidRPr="00104AEE" w:rsidRDefault="00B009DC" w:rsidP="00B009DC">
      <w:pPr>
        <w:ind w:left="2410" w:hanging="2410"/>
        <w:rPr>
          <w:lang w:val="fr-FR"/>
        </w:rPr>
      </w:pPr>
      <w:r w:rsidRPr="00104AEE">
        <w:rPr>
          <w:lang w:val="fr-FR"/>
        </w:rPr>
        <w:t>etc.</w:t>
      </w:r>
      <w:r w:rsidRPr="00104AEE">
        <w:rPr>
          <w:lang w:val="fr-FR"/>
        </w:rPr>
        <w:tab/>
        <w:t>et cetera</w:t>
      </w:r>
    </w:p>
    <w:p w14:paraId="1806B7A7" w14:textId="77777777" w:rsidR="00B009DC" w:rsidRPr="0001096E" w:rsidRDefault="00B009DC" w:rsidP="00B009DC">
      <w:pPr>
        <w:ind w:left="2410" w:hanging="2410"/>
        <w:rPr>
          <w:lang w:val="en-GB"/>
        </w:rPr>
      </w:pPr>
      <w:r w:rsidRPr="0001096E">
        <w:rPr>
          <w:lang w:val="en-GB"/>
        </w:rPr>
        <w:t>EU</w:t>
      </w:r>
      <w:r w:rsidRPr="0001096E">
        <w:rPr>
          <w:lang w:val="en-GB"/>
        </w:rPr>
        <w:tab/>
        <w:t>European Union</w:t>
      </w:r>
    </w:p>
    <w:p w14:paraId="54C030DF" w14:textId="77777777" w:rsidR="00B009DC" w:rsidRPr="0001096E" w:rsidRDefault="00B009DC" w:rsidP="00B009DC">
      <w:pPr>
        <w:ind w:left="2410" w:hanging="2410"/>
        <w:rPr>
          <w:lang w:val="en-GB"/>
        </w:rPr>
      </w:pPr>
      <w:r w:rsidRPr="0001096E">
        <w:rPr>
          <w:lang w:val="en-GB"/>
        </w:rPr>
        <w:t>EUR</w:t>
      </w:r>
      <w:r w:rsidRPr="0001096E">
        <w:rPr>
          <w:lang w:val="en-GB"/>
        </w:rPr>
        <w:tab/>
        <w:t>euro</w:t>
      </w:r>
    </w:p>
    <w:p w14:paraId="6C1FC57C" w14:textId="77777777" w:rsidR="00B009DC" w:rsidRPr="0001096E" w:rsidRDefault="00B009DC" w:rsidP="00B009DC">
      <w:pPr>
        <w:ind w:left="2410" w:hanging="2410"/>
        <w:rPr>
          <w:lang w:val="en-GB"/>
        </w:rPr>
      </w:pPr>
      <w:r w:rsidRPr="0001096E">
        <w:rPr>
          <w:lang w:val="en-GB"/>
        </w:rPr>
        <w:t>f./ff.</w:t>
      </w:r>
      <w:r w:rsidRPr="0001096E">
        <w:rPr>
          <w:lang w:val="en-GB"/>
        </w:rPr>
        <w:tab/>
        <w:t>following page/pages</w:t>
      </w:r>
    </w:p>
    <w:p w14:paraId="19E80429" w14:textId="77777777" w:rsidR="00B009DC" w:rsidRPr="0001096E" w:rsidRDefault="00B009DC" w:rsidP="00B009DC">
      <w:pPr>
        <w:ind w:left="2410" w:hanging="2410"/>
        <w:rPr>
          <w:lang w:val="en-GB"/>
        </w:rPr>
      </w:pPr>
      <w:r w:rsidRPr="0001096E">
        <w:rPr>
          <w:lang w:val="en-GB"/>
        </w:rPr>
        <w:t>FA</w:t>
      </w:r>
      <w:r w:rsidRPr="0001096E">
        <w:rPr>
          <w:lang w:val="en-GB"/>
        </w:rPr>
        <w:tab/>
        <w:t>Federal Act</w:t>
      </w:r>
    </w:p>
    <w:p w14:paraId="74F451C3" w14:textId="77777777" w:rsidR="00B009DC" w:rsidRPr="0001096E" w:rsidRDefault="00B009DC" w:rsidP="00B009DC">
      <w:pPr>
        <w:ind w:left="2410" w:hanging="2410"/>
        <w:rPr>
          <w:lang w:val="en-GB"/>
        </w:rPr>
      </w:pPr>
      <w:r w:rsidRPr="0001096E">
        <w:rPr>
          <w:lang w:val="en-GB"/>
        </w:rPr>
        <w:t>FAC</w:t>
      </w:r>
      <w:r w:rsidRPr="0001096E">
        <w:rPr>
          <w:lang w:val="en-GB"/>
        </w:rPr>
        <w:tab/>
        <w:t>Federal asylum centre</w:t>
      </w:r>
    </w:p>
    <w:p w14:paraId="5BF1A0DF" w14:textId="77777777" w:rsidR="00B009DC" w:rsidRPr="0001096E" w:rsidRDefault="00B009DC" w:rsidP="00B009DC">
      <w:pPr>
        <w:ind w:left="2410" w:hanging="2410"/>
        <w:rPr>
          <w:lang w:val="en-GB"/>
        </w:rPr>
      </w:pPr>
      <w:r w:rsidRPr="0001096E">
        <w:rPr>
          <w:lang w:val="en-GB"/>
        </w:rPr>
        <w:lastRenderedPageBreak/>
        <w:t>FBBF</w:t>
      </w:r>
      <w:r w:rsidRPr="0001096E">
        <w:rPr>
          <w:lang w:val="en-GB"/>
        </w:rPr>
        <w:tab/>
      </w:r>
      <w:r w:rsidRPr="0001096E">
        <w:rPr>
          <w:i/>
          <w:iCs/>
          <w:lang w:val="en-GB"/>
        </w:rPr>
        <w:t>Fachkonferenz der kantonalen Beauftragten für Behindertenfragen</w:t>
      </w:r>
      <w:r w:rsidRPr="0001096E">
        <w:rPr>
          <w:lang w:val="en-GB"/>
        </w:rPr>
        <w:t xml:space="preserve"> [Symposium of Officers for Issues relating to PWD]</w:t>
      </w:r>
    </w:p>
    <w:p w14:paraId="5FB56EBD" w14:textId="77777777" w:rsidR="00B009DC" w:rsidRPr="0001096E" w:rsidRDefault="00B009DC" w:rsidP="00B009DC">
      <w:pPr>
        <w:ind w:left="2410" w:hanging="2410"/>
        <w:rPr>
          <w:lang w:val="en-GB"/>
        </w:rPr>
      </w:pPr>
      <w:r w:rsidRPr="0001096E">
        <w:rPr>
          <w:lang w:val="en-GB"/>
        </w:rPr>
        <w:t>FBED</w:t>
      </w:r>
      <w:r w:rsidRPr="0001096E">
        <w:rPr>
          <w:lang w:val="en-GB"/>
        </w:rPr>
        <w:tab/>
        <w:t>Federal Bureau for the Equality of People with Disabilities</w:t>
      </w:r>
    </w:p>
    <w:p w14:paraId="4E663FCC" w14:textId="77777777" w:rsidR="00B009DC" w:rsidRPr="0001096E" w:rsidRDefault="00B009DC" w:rsidP="00B009DC">
      <w:pPr>
        <w:ind w:left="2410" w:hanging="2410"/>
        <w:rPr>
          <w:lang w:val="en-GB"/>
        </w:rPr>
      </w:pPr>
      <w:r w:rsidRPr="0001096E">
        <w:rPr>
          <w:lang w:val="en-GB"/>
        </w:rPr>
        <w:t>FC</w:t>
      </w:r>
      <w:r w:rsidRPr="0001096E">
        <w:rPr>
          <w:lang w:val="en-GB"/>
        </w:rPr>
        <w:tab/>
        <w:t>Federal Council</w:t>
      </w:r>
    </w:p>
    <w:p w14:paraId="43AA479B" w14:textId="77777777" w:rsidR="00B009DC" w:rsidRPr="0001096E" w:rsidRDefault="00B009DC" w:rsidP="00B009DC">
      <w:pPr>
        <w:ind w:left="2410" w:hanging="2410"/>
        <w:rPr>
          <w:lang w:val="en-GB"/>
        </w:rPr>
      </w:pPr>
      <w:r w:rsidRPr="0001096E">
        <w:rPr>
          <w:lang w:val="en-GB"/>
        </w:rPr>
        <w:t>FDHA</w:t>
      </w:r>
      <w:r w:rsidRPr="0001096E">
        <w:rPr>
          <w:lang w:val="en-GB"/>
        </w:rPr>
        <w:tab/>
        <w:t>Federal Department of Home Affairs</w:t>
      </w:r>
    </w:p>
    <w:p w14:paraId="7689DE9F" w14:textId="77777777" w:rsidR="00B009DC" w:rsidRPr="0001096E" w:rsidRDefault="00B009DC" w:rsidP="00B009DC">
      <w:pPr>
        <w:ind w:left="2410" w:hanging="2410"/>
        <w:rPr>
          <w:lang w:val="en-GB"/>
        </w:rPr>
      </w:pPr>
      <w:r w:rsidRPr="0001096E">
        <w:rPr>
          <w:lang w:val="en-GB"/>
        </w:rPr>
        <w:t>FDJP</w:t>
      </w:r>
      <w:r w:rsidRPr="0001096E">
        <w:rPr>
          <w:lang w:val="en-GB"/>
        </w:rPr>
        <w:tab/>
        <w:t>Federal Department of Justice and Police</w:t>
      </w:r>
    </w:p>
    <w:p w14:paraId="222E6762" w14:textId="77777777" w:rsidR="00B009DC" w:rsidRPr="0001096E" w:rsidRDefault="00B009DC" w:rsidP="00B009DC">
      <w:pPr>
        <w:ind w:left="2410" w:hanging="2410"/>
        <w:rPr>
          <w:lang w:val="en-GB"/>
        </w:rPr>
      </w:pPr>
      <w:r w:rsidRPr="0001096E">
        <w:rPr>
          <w:lang w:val="en-GB"/>
        </w:rPr>
        <w:t>fn.</w:t>
      </w:r>
      <w:r w:rsidRPr="0001096E">
        <w:rPr>
          <w:lang w:val="en-GB"/>
        </w:rPr>
        <w:tab/>
        <w:t>footnote</w:t>
      </w:r>
    </w:p>
    <w:p w14:paraId="6940EA8C" w14:textId="77777777" w:rsidR="00B009DC" w:rsidRPr="0001096E" w:rsidRDefault="00B009DC" w:rsidP="00B009DC">
      <w:pPr>
        <w:ind w:left="2410" w:hanging="2410"/>
        <w:rPr>
          <w:lang w:val="en-GB"/>
        </w:rPr>
      </w:pPr>
      <w:r w:rsidRPr="0001096E">
        <w:rPr>
          <w:lang w:val="en-GB"/>
        </w:rPr>
        <w:t>FOCP</w:t>
      </w:r>
      <w:r w:rsidRPr="0001096E">
        <w:rPr>
          <w:lang w:val="en-GB"/>
        </w:rPr>
        <w:tab/>
        <w:t>Federal Office for Civil Protection</w:t>
      </w:r>
    </w:p>
    <w:p w14:paraId="7A72F5CA" w14:textId="77777777" w:rsidR="00B009DC" w:rsidRPr="0001096E" w:rsidRDefault="00B009DC" w:rsidP="00B009DC">
      <w:pPr>
        <w:ind w:left="2410" w:hanging="2410"/>
        <w:rPr>
          <w:lang w:val="en-GB"/>
        </w:rPr>
      </w:pPr>
      <w:r w:rsidRPr="0001096E">
        <w:rPr>
          <w:lang w:val="en-GB"/>
        </w:rPr>
        <w:t>FOGE</w:t>
      </w:r>
      <w:r w:rsidRPr="0001096E">
        <w:rPr>
          <w:lang w:val="en-GB"/>
        </w:rPr>
        <w:tab/>
        <w:t>Federal Office for Gender Equality</w:t>
      </w:r>
    </w:p>
    <w:p w14:paraId="274C4D08" w14:textId="77777777" w:rsidR="00B009DC" w:rsidRPr="0001096E" w:rsidRDefault="00B009DC" w:rsidP="00B009DC">
      <w:pPr>
        <w:ind w:left="2410" w:hanging="2410"/>
        <w:rPr>
          <w:lang w:val="en-GB"/>
        </w:rPr>
      </w:pPr>
      <w:r w:rsidRPr="0001096E">
        <w:rPr>
          <w:lang w:val="en-GB"/>
        </w:rPr>
        <w:t>FOH</w:t>
      </w:r>
      <w:r w:rsidRPr="0001096E">
        <w:rPr>
          <w:lang w:val="en-GB"/>
        </w:rPr>
        <w:tab/>
        <w:t>Federal Office for Housing</w:t>
      </w:r>
    </w:p>
    <w:p w14:paraId="3533EF1E" w14:textId="77777777" w:rsidR="00B009DC" w:rsidRPr="0001096E" w:rsidRDefault="00B009DC" w:rsidP="00B009DC">
      <w:pPr>
        <w:ind w:left="2410" w:hanging="2410"/>
        <w:rPr>
          <w:lang w:val="en-GB"/>
        </w:rPr>
      </w:pPr>
      <w:r w:rsidRPr="0001096E">
        <w:rPr>
          <w:lang w:val="en-GB"/>
        </w:rPr>
        <w:t>FOJ</w:t>
      </w:r>
      <w:r w:rsidRPr="0001096E">
        <w:rPr>
          <w:lang w:val="en-GB"/>
        </w:rPr>
        <w:tab/>
        <w:t>Federal Office of Justice</w:t>
      </w:r>
    </w:p>
    <w:p w14:paraId="2469291E" w14:textId="77777777" w:rsidR="00B009DC" w:rsidRPr="0001096E" w:rsidRDefault="00B009DC" w:rsidP="00B009DC">
      <w:pPr>
        <w:ind w:left="2410" w:hanging="2410"/>
        <w:rPr>
          <w:lang w:val="en-GB"/>
        </w:rPr>
      </w:pPr>
      <w:r w:rsidRPr="0001096E">
        <w:rPr>
          <w:lang w:val="en-GB"/>
        </w:rPr>
        <w:t>FOPH</w:t>
      </w:r>
      <w:r w:rsidRPr="0001096E">
        <w:rPr>
          <w:lang w:val="en-GB"/>
        </w:rPr>
        <w:tab/>
        <w:t>Federal Office of Public Health</w:t>
      </w:r>
    </w:p>
    <w:p w14:paraId="715B27DB" w14:textId="77777777" w:rsidR="00B009DC" w:rsidRPr="0001096E" w:rsidRDefault="00B009DC" w:rsidP="00B009DC">
      <w:pPr>
        <w:ind w:left="2410" w:hanging="2410"/>
        <w:rPr>
          <w:lang w:val="en-GB"/>
        </w:rPr>
      </w:pPr>
      <w:r w:rsidRPr="0001096E">
        <w:rPr>
          <w:lang w:val="en-GB"/>
        </w:rPr>
        <w:t>FOT</w:t>
      </w:r>
      <w:r w:rsidRPr="0001096E">
        <w:rPr>
          <w:lang w:val="en-GB"/>
        </w:rPr>
        <w:tab/>
        <w:t>Federal Office of Transport</w:t>
      </w:r>
    </w:p>
    <w:p w14:paraId="5114F318" w14:textId="77777777" w:rsidR="00B009DC" w:rsidRPr="0001096E" w:rsidRDefault="00B009DC" w:rsidP="00B009DC">
      <w:pPr>
        <w:ind w:left="2410" w:hanging="2410"/>
        <w:rPr>
          <w:lang w:val="en-GB"/>
        </w:rPr>
      </w:pPr>
      <w:r w:rsidRPr="0001096E">
        <w:rPr>
          <w:lang w:val="en-GB"/>
        </w:rPr>
        <w:t>FR</w:t>
      </w:r>
      <w:r w:rsidRPr="0001096E">
        <w:rPr>
          <w:lang w:val="en-GB"/>
        </w:rPr>
        <w:tab/>
        <w:t>Canton of Fribourg</w:t>
      </w:r>
    </w:p>
    <w:p w14:paraId="2BBEC759" w14:textId="77777777" w:rsidR="00B009DC" w:rsidRPr="0001096E" w:rsidRDefault="00B009DC" w:rsidP="00B009DC">
      <w:pPr>
        <w:ind w:left="2410" w:hanging="2410"/>
        <w:rPr>
          <w:lang w:val="en-GB"/>
        </w:rPr>
      </w:pPr>
      <w:r w:rsidRPr="0001096E">
        <w:rPr>
          <w:lang w:val="en-GB"/>
        </w:rPr>
        <w:t>FSCA</w:t>
      </w:r>
      <w:r w:rsidRPr="0001096E">
        <w:rPr>
          <w:lang w:val="en-GB"/>
        </w:rPr>
        <w:tab/>
        <w:t>Federal Act of 17 June 2005 on the Federal Supreme Court (Federal Supreme Court Act; SR 173.110)</w:t>
      </w:r>
    </w:p>
    <w:p w14:paraId="50F25CD3" w14:textId="77777777" w:rsidR="00B009DC" w:rsidRPr="0001096E" w:rsidRDefault="00B009DC" w:rsidP="00B009DC">
      <w:pPr>
        <w:ind w:left="2410" w:hanging="2410"/>
        <w:rPr>
          <w:lang w:val="en-GB"/>
        </w:rPr>
      </w:pPr>
      <w:r w:rsidRPr="0001096E">
        <w:rPr>
          <w:lang w:val="en-GB"/>
        </w:rPr>
        <w:t>FSIO</w:t>
      </w:r>
      <w:r w:rsidRPr="0001096E">
        <w:rPr>
          <w:lang w:val="en-GB"/>
        </w:rPr>
        <w:tab/>
        <w:t>Federal Social Insurance Office</w:t>
      </w:r>
    </w:p>
    <w:p w14:paraId="7CDFED08" w14:textId="77777777" w:rsidR="00B009DC" w:rsidRPr="0001096E" w:rsidRDefault="00B009DC" w:rsidP="00B009DC">
      <w:pPr>
        <w:ind w:left="2410" w:hanging="2410"/>
        <w:rPr>
          <w:lang w:val="en-GB"/>
        </w:rPr>
      </w:pPr>
      <w:r w:rsidRPr="0001096E">
        <w:rPr>
          <w:lang w:val="en-GB"/>
        </w:rPr>
        <w:t>FSO</w:t>
      </w:r>
      <w:r w:rsidRPr="0001096E">
        <w:rPr>
          <w:lang w:val="en-GB"/>
        </w:rPr>
        <w:tab/>
        <w:t>Federal Statistical Office</w:t>
      </w:r>
    </w:p>
    <w:p w14:paraId="359538B4" w14:textId="77777777" w:rsidR="00B009DC" w:rsidRPr="0001096E" w:rsidRDefault="00B009DC" w:rsidP="00B009DC">
      <w:pPr>
        <w:ind w:left="2410" w:hanging="2410"/>
        <w:rPr>
          <w:lang w:val="en-GB"/>
        </w:rPr>
      </w:pPr>
      <w:r w:rsidRPr="0001096E">
        <w:rPr>
          <w:lang w:val="en-GB"/>
        </w:rPr>
        <w:t>FStatA</w:t>
      </w:r>
      <w:r w:rsidRPr="0001096E">
        <w:rPr>
          <w:lang w:val="en-GB"/>
        </w:rPr>
        <w:tab/>
        <w:t>Federal Statistics Act of 9 October 1992 (SR 431.01)</w:t>
      </w:r>
    </w:p>
    <w:p w14:paraId="38AD2157" w14:textId="77777777" w:rsidR="00B009DC" w:rsidRPr="0001096E" w:rsidRDefault="00B009DC" w:rsidP="00B009DC">
      <w:pPr>
        <w:ind w:left="2410" w:hanging="2410"/>
        <w:rPr>
          <w:lang w:val="en-GB"/>
        </w:rPr>
      </w:pPr>
      <w:r w:rsidRPr="0001096E">
        <w:rPr>
          <w:lang w:val="en-GB"/>
        </w:rPr>
        <w:t>GC</w:t>
      </w:r>
      <w:r w:rsidRPr="0001096E">
        <w:rPr>
          <w:lang w:val="en-GB"/>
        </w:rPr>
        <w:tab/>
        <w:t>General Comment</w:t>
      </w:r>
    </w:p>
    <w:p w14:paraId="64E4D92D" w14:textId="77777777" w:rsidR="00B009DC" w:rsidRPr="0001096E" w:rsidRDefault="00B009DC" w:rsidP="00B009DC">
      <w:pPr>
        <w:ind w:left="2410" w:hanging="2410"/>
        <w:rPr>
          <w:lang w:val="en-GB"/>
        </w:rPr>
      </w:pPr>
      <w:r w:rsidRPr="0001096E">
        <w:rPr>
          <w:lang w:val="en-GB"/>
        </w:rPr>
        <w:lastRenderedPageBreak/>
        <w:t>GDK</w:t>
      </w:r>
      <w:r w:rsidRPr="0001096E">
        <w:rPr>
          <w:lang w:val="en-GB"/>
        </w:rPr>
        <w:tab/>
        <w:t>Swiss Conference of the Cantonal Ministers of Public Health</w:t>
      </w:r>
    </w:p>
    <w:p w14:paraId="3A6C73A2" w14:textId="77777777" w:rsidR="00B009DC" w:rsidRPr="0001096E" w:rsidRDefault="00B009DC" w:rsidP="00B009DC">
      <w:pPr>
        <w:ind w:left="2410" w:hanging="2410"/>
        <w:rPr>
          <w:lang w:val="en-GB"/>
        </w:rPr>
      </w:pPr>
      <w:r w:rsidRPr="0001096E">
        <w:rPr>
          <w:lang w:val="en-GB"/>
        </w:rPr>
        <w:t>GE</w:t>
      </w:r>
      <w:r w:rsidRPr="0001096E">
        <w:rPr>
          <w:lang w:val="en-GB"/>
        </w:rPr>
        <w:tab/>
        <w:t>Canton of Geneva</w:t>
      </w:r>
    </w:p>
    <w:p w14:paraId="6D9CD0FC" w14:textId="77777777" w:rsidR="00B009DC" w:rsidRPr="0001096E" w:rsidRDefault="00B009DC" w:rsidP="00B009DC">
      <w:pPr>
        <w:ind w:left="2410" w:hanging="2410"/>
        <w:rPr>
          <w:lang w:val="en-GB"/>
        </w:rPr>
      </w:pPr>
      <w:r w:rsidRPr="0001096E">
        <w:rPr>
          <w:lang w:val="en-GB"/>
        </w:rPr>
        <w:t>GEA</w:t>
      </w:r>
      <w:r w:rsidRPr="0001096E">
        <w:rPr>
          <w:lang w:val="en-GB"/>
        </w:rPr>
        <w:tab/>
        <w:t>Federal Act of 24 March 1995 on Gender Equality (Gender Equality Act; SR 151.1)</w:t>
      </w:r>
    </w:p>
    <w:p w14:paraId="340A4A29" w14:textId="77777777" w:rsidR="00B009DC" w:rsidRPr="0001096E" w:rsidRDefault="00B009DC" w:rsidP="00B009DC">
      <w:pPr>
        <w:ind w:left="2410" w:hanging="2410"/>
        <w:rPr>
          <w:lang w:val="en-GB"/>
        </w:rPr>
      </w:pPr>
      <w:r w:rsidRPr="0001096E">
        <w:rPr>
          <w:lang w:val="en-GB"/>
        </w:rPr>
        <w:t>GHB</w:t>
      </w:r>
      <w:r w:rsidRPr="0001096E">
        <w:rPr>
          <w:lang w:val="en-GB"/>
        </w:rPr>
        <w:tab/>
        <w:t>gamma hydroxybutyric acid</w:t>
      </w:r>
    </w:p>
    <w:p w14:paraId="09CBCF0E" w14:textId="77777777" w:rsidR="00B009DC" w:rsidRPr="0001096E" w:rsidRDefault="00B009DC" w:rsidP="00B009DC">
      <w:pPr>
        <w:ind w:left="2410" w:hanging="2410"/>
        <w:rPr>
          <w:lang w:val="en-GB"/>
        </w:rPr>
      </w:pPr>
      <w:r w:rsidRPr="0001096E">
        <w:rPr>
          <w:lang w:val="en-GB"/>
        </w:rPr>
        <w:t>GREVIO</w:t>
      </w:r>
      <w:r w:rsidRPr="0001096E">
        <w:rPr>
          <w:lang w:val="en-GB"/>
        </w:rPr>
        <w:tab/>
        <w:t>Group of Experts on Action against Violence against Women and Domestic Violence</w:t>
      </w:r>
    </w:p>
    <w:p w14:paraId="6AD2FC7D" w14:textId="77777777" w:rsidR="00B009DC" w:rsidRPr="0001096E" w:rsidRDefault="00B009DC" w:rsidP="00B009DC">
      <w:pPr>
        <w:ind w:left="2410" w:hanging="2410"/>
        <w:rPr>
          <w:i/>
          <w:iCs/>
          <w:lang w:val="en-GB"/>
        </w:rPr>
      </w:pPr>
      <w:r w:rsidRPr="0001096E">
        <w:rPr>
          <w:lang w:val="en-GB"/>
        </w:rPr>
        <w:t>GRIMB VS</w:t>
      </w:r>
      <w:r w:rsidRPr="0001096E">
        <w:rPr>
          <w:lang w:val="en-GB"/>
        </w:rPr>
        <w:tab/>
      </w:r>
      <w:r w:rsidRPr="0001096E">
        <w:rPr>
          <w:i/>
          <w:iCs/>
          <w:lang w:val="en-GB"/>
        </w:rPr>
        <w:t>Gesetz vom 31. Januar 1991 über die Rechte und die Inklusion von Menschen mit Behinderungen des Kantons Wallis (GRIMB; SGS 850.6)</w:t>
      </w:r>
      <w:r w:rsidRPr="0001096E">
        <w:rPr>
          <w:lang w:val="en-GB"/>
        </w:rPr>
        <w:t xml:space="preserve"> [Act of 31 January</w:t>
      </w:r>
      <w:r w:rsidRPr="0001096E">
        <w:rPr>
          <w:i/>
          <w:iCs/>
          <w:lang w:val="en-GB"/>
        </w:rPr>
        <w:t xml:space="preserve"> </w:t>
      </w:r>
      <w:r w:rsidRPr="0001096E">
        <w:rPr>
          <w:lang w:val="en-GB"/>
        </w:rPr>
        <w:t>1991 on the Rights and Inclusion of PWD of the Canton of Valais]</w:t>
      </w:r>
    </w:p>
    <w:p w14:paraId="3B2D2E4A" w14:textId="77777777" w:rsidR="00B009DC" w:rsidRPr="0001096E" w:rsidRDefault="00B009DC" w:rsidP="00B009DC">
      <w:pPr>
        <w:ind w:left="2410" w:hanging="2410"/>
        <w:rPr>
          <w:lang w:val="en-GB"/>
        </w:rPr>
      </w:pPr>
      <w:r w:rsidRPr="0001096E">
        <w:rPr>
          <w:lang w:val="en-GB"/>
        </w:rPr>
        <w:t>GSSLA</w:t>
      </w:r>
      <w:r w:rsidRPr="0001096E">
        <w:rPr>
          <w:lang w:val="en-GB"/>
        </w:rPr>
        <w:tab/>
        <w:t>Federal Act of 6 October 2000 on General Aspects of Social Security Law (SR 830.1)</w:t>
      </w:r>
    </w:p>
    <w:p w14:paraId="4F558F7E" w14:textId="77777777" w:rsidR="00B009DC" w:rsidRPr="0001096E" w:rsidRDefault="00B009DC" w:rsidP="00B009DC">
      <w:pPr>
        <w:ind w:left="2410" w:hanging="2410"/>
        <w:rPr>
          <w:lang w:val="en-GB"/>
        </w:rPr>
      </w:pPr>
      <w:r w:rsidRPr="0001096E">
        <w:rPr>
          <w:lang w:val="en-GB"/>
        </w:rPr>
        <w:t>HA</w:t>
      </w:r>
      <w:r w:rsidRPr="0001096E">
        <w:rPr>
          <w:lang w:val="en-GB"/>
        </w:rPr>
        <w:tab/>
        <w:t>helplessness allowance</w:t>
      </w:r>
    </w:p>
    <w:p w14:paraId="206EC0F9" w14:textId="77777777" w:rsidR="00B009DC" w:rsidRPr="0001096E" w:rsidRDefault="00B009DC" w:rsidP="00B009DC">
      <w:pPr>
        <w:ind w:left="2410" w:hanging="2410"/>
        <w:rPr>
          <w:lang w:val="en-GB"/>
        </w:rPr>
      </w:pPr>
      <w:r w:rsidRPr="0001096E">
        <w:rPr>
          <w:lang w:val="en-GB"/>
        </w:rPr>
        <w:t>HfH</w:t>
      </w:r>
      <w:r w:rsidRPr="0001096E">
        <w:rPr>
          <w:lang w:val="en-GB"/>
        </w:rPr>
        <w:tab/>
      </w:r>
      <w:r w:rsidRPr="0001096E">
        <w:rPr>
          <w:i/>
          <w:lang w:val="en-GB"/>
        </w:rPr>
        <w:t>Interkantonale Hochschule für Heilpädagogik</w:t>
      </w:r>
      <w:r w:rsidRPr="0001096E">
        <w:rPr>
          <w:lang w:val="en-GB"/>
        </w:rPr>
        <w:t xml:space="preserve"> [University of Teacher Education in Special Needs]</w:t>
      </w:r>
    </w:p>
    <w:p w14:paraId="53EDCF05" w14:textId="77777777" w:rsidR="00B009DC" w:rsidRPr="0001096E" w:rsidRDefault="00B009DC" w:rsidP="00B009DC">
      <w:pPr>
        <w:ind w:left="2410" w:hanging="2410"/>
        <w:rPr>
          <w:lang w:val="en-GB"/>
        </w:rPr>
      </w:pPr>
      <w:r w:rsidRPr="0001096E">
        <w:rPr>
          <w:lang w:val="en-GB"/>
        </w:rPr>
        <w:t>HIA</w:t>
      </w:r>
      <w:r w:rsidRPr="0001096E">
        <w:rPr>
          <w:lang w:val="en-GB"/>
        </w:rPr>
        <w:tab/>
        <w:t>Federal Act of 18 March 1994 on Health Insurance (SR 832.10)</w:t>
      </w:r>
    </w:p>
    <w:p w14:paraId="652BE65B" w14:textId="77777777" w:rsidR="00B009DC" w:rsidRPr="0001096E" w:rsidRDefault="00B009DC" w:rsidP="00B009DC">
      <w:pPr>
        <w:ind w:left="2410" w:hanging="2410"/>
        <w:rPr>
          <w:lang w:val="en-GB"/>
        </w:rPr>
      </w:pPr>
      <w:r w:rsidRPr="0001096E">
        <w:rPr>
          <w:lang w:val="en-GB"/>
        </w:rPr>
        <w:t>HRA</w:t>
      </w:r>
      <w:r w:rsidRPr="0001096E">
        <w:rPr>
          <w:lang w:val="en-GB"/>
        </w:rPr>
        <w:tab/>
        <w:t>Federal Act of 30 September 2011 on Research involving Human Beings (Human Research Act; SR 810.30)</w:t>
      </w:r>
    </w:p>
    <w:p w14:paraId="60310E58" w14:textId="77777777" w:rsidR="00B009DC" w:rsidRPr="0001096E" w:rsidRDefault="00B009DC" w:rsidP="00B009DC">
      <w:pPr>
        <w:ind w:left="2410" w:hanging="2410"/>
        <w:rPr>
          <w:lang w:val="en-GB"/>
        </w:rPr>
      </w:pPr>
      <w:r w:rsidRPr="0001096E">
        <w:rPr>
          <w:lang w:val="en-GB"/>
        </w:rPr>
        <w:t>HRC</w:t>
      </w:r>
      <w:r w:rsidRPr="0001096E">
        <w:rPr>
          <w:lang w:val="en-GB"/>
        </w:rPr>
        <w:tab/>
        <w:t>Human Rights Council</w:t>
      </w:r>
    </w:p>
    <w:p w14:paraId="55002547" w14:textId="77777777" w:rsidR="00B009DC" w:rsidRPr="0001096E" w:rsidRDefault="00B009DC" w:rsidP="00B009DC">
      <w:pPr>
        <w:ind w:left="2410" w:hanging="2410"/>
        <w:rPr>
          <w:lang w:val="en-GB"/>
        </w:rPr>
      </w:pPr>
      <w:r w:rsidRPr="0001096E">
        <w:rPr>
          <w:lang w:val="en-GB"/>
        </w:rPr>
        <w:t>Hrsg.</w:t>
      </w:r>
      <w:r w:rsidRPr="0001096E">
        <w:rPr>
          <w:lang w:val="en-GB"/>
        </w:rPr>
        <w:tab/>
        <w:t>editor(s) (ed./eds.)</w:t>
      </w:r>
    </w:p>
    <w:p w14:paraId="01A2F06F" w14:textId="77777777" w:rsidR="00B009DC" w:rsidRPr="0001096E" w:rsidRDefault="00B009DC" w:rsidP="00B009DC">
      <w:pPr>
        <w:ind w:left="2410" w:hanging="2410"/>
        <w:rPr>
          <w:lang w:val="en-GB"/>
        </w:rPr>
      </w:pPr>
      <w:r w:rsidRPr="0001096E">
        <w:rPr>
          <w:lang w:val="en-GB"/>
        </w:rPr>
        <w:t>ibid.</w:t>
      </w:r>
      <w:r w:rsidRPr="0001096E">
        <w:rPr>
          <w:lang w:val="en-GB"/>
        </w:rPr>
        <w:tab/>
      </w:r>
      <w:r w:rsidRPr="0001096E">
        <w:rPr>
          <w:i/>
          <w:iCs/>
          <w:lang w:val="en-GB"/>
        </w:rPr>
        <w:t>ibidem</w:t>
      </w:r>
      <w:r w:rsidRPr="0001096E">
        <w:rPr>
          <w:lang w:val="en-GB"/>
        </w:rPr>
        <w:t xml:space="preserve"> [in the same place]</w:t>
      </w:r>
    </w:p>
    <w:p w14:paraId="62EE8B6B" w14:textId="77777777" w:rsidR="00B009DC" w:rsidRPr="0001096E" w:rsidRDefault="00B009DC" w:rsidP="00B009DC">
      <w:pPr>
        <w:ind w:left="2410" w:hanging="2410"/>
        <w:rPr>
          <w:lang w:val="en-GB"/>
        </w:rPr>
      </w:pPr>
      <w:r w:rsidRPr="0001096E">
        <w:rPr>
          <w:lang w:val="en-GB"/>
        </w:rPr>
        <w:lastRenderedPageBreak/>
        <w:t>IC</w:t>
      </w:r>
      <w:r w:rsidRPr="0001096E">
        <w:rPr>
          <w:lang w:val="en-GB"/>
        </w:rPr>
        <w:tab/>
        <w:t>Istanbul Convention</w:t>
      </w:r>
    </w:p>
    <w:p w14:paraId="74677171" w14:textId="77777777" w:rsidR="00B009DC" w:rsidRPr="0001096E" w:rsidRDefault="00B009DC" w:rsidP="00B009DC">
      <w:pPr>
        <w:ind w:left="2410" w:hanging="2410"/>
        <w:rPr>
          <w:lang w:val="en-GB"/>
        </w:rPr>
      </w:pPr>
      <w:r w:rsidRPr="0001096E">
        <w:rPr>
          <w:lang w:val="en-GB"/>
        </w:rPr>
        <w:t>ICT</w:t>
      </w:r>
      <w:r w:rsidRPr="0001096E">
        <w:rPr>
          <w:lang w:val="en-GB"/>
        </w:rPr>
        <w:tab/>
        <w:t>information and communications technology</w:t>
      </w:r>
    </w:p>
    <w:p w14:paraId="3F780518" w14:textId="77777777" w:rsidR="00B009DC" w:rsidRPr="0001096E" w:rsidRDefault="00B009DC" w:rsidP="00B009DC">
      <w:pPr>
        <w:ind w:left="2410" w:hanging="2410"/>
        <w:rPr>
          <w:lang w:val="en-GB"/>
        </w:rPr>
      </w:pPr>
      <w:r w:rsidRPr="0001096E">
        <w:rPr>
          <w:lang w:val="en-GB"/>
        </w:rPr>
        <w:t>IFEG</w:t>
      </w:r>
      <w:r w:rsidRPr="0001096E">
        <w:rPr>
          <w:lang w:val="en-GB"/>
        </w:rPr>
        <w:tab/>
        <w:t>Federal Act of 6 October 2006 on Institutions for the Rehabilitation of Persons on Invalidity Benefit (SR 831.26)</w:t>
      </w:r>
    </w:p>
    <w:p w14:paraId="7A684C19" w14:textId="77777777" w:rsidR="00B009DC" w:rsidRPr="0001096E" w:rsidRDefault="00B009DC" w:rsidP="00B009DC">
      <w:pPr>
        <w:ind w:left="2410" w:hanging="2410"/>
        <w:rPr>
          <w:lang w:val="en-GB"/>
        </w:rPr>
      </w:pPr>
      <w:r w:rsidRPr="0001096E">
        <w:rPr>
          <w:lang w:val="en-GB"/>
        </w:rPr>
        <w:t>IH</w:t>
      </w:r>
      <w:r w:rsidRPr="0001096E">
        <w:rPr>
          <w:lang w:val="en-GB"/>
        </w:rPr>
        <w:tab/>
        <w:t>Inclusion Handicap</w:t>
      </w:r>
    </w:p>
    <w:p w14:paraId="0E3C47E2" w14:textId="77777777" w:rsidR="00B009DC" w:rsidRPr="0001096E" w:rsidRDefault="00B009DC" w:rsidP="00B009DC">
      <w:pPr>
        <w:ind w:left="2410" w:hanging="2410"/>
        <w:rPr>
          <w:lang w:val="en-GB"/>
        </w:rPr>
      </w:pPr>
      <w:r w:rsidRPr="0001096E">
        <w:rPr>
          <w:lang w:val="en-GB"/>
        </w:rPr>
        <w:t>INSOS</w:t>
      </w:r>
      <w:r w:rsidRPr="0001096E">
        <w:rPr>
          <w:lang w:val="en-GB"/>
        </w:rPr>
        <w:tab/>
      </w:r>
      <w:r w:rsidRPr="0001096E">
        <w:rPr>
          <w:i/>
          <w:iCs/>
          <w:lang w:val="en-GB"/>
        </w:rPr>
        <w:t>Branchenverband der Dienstleister für Menschen mit Behinderungen</w:t>
      </w:r>
      <w:r w:rsidRPr="0001096E">
        <w:rPr>
          <w:lang w:val="en-GB"/>
        </w:rPr>
        <w:t xml:space="preserve"> [Industry Association of Providers of Services for PWD]</w:t>
      </w:r>
    </w:p>
    <w:p w14:paraId="399E52B0" w14:textId="77777777" w:rsidR="00B009DC" w:rsidRPr="0001096E" w:rsidRDefault="00B009DC" w:rsidP="00B009DC">
      <w:pPr>
        <w:ind w:left="2410" w:hanging="2410"/>
        <w:rPr>
          <w:lang w:val="en-GB"/>
        </w:rPr>
      </w:pPr>
      <w:r w:rsidRPr="0001096E">
        <w:rPr>
          <w:lang w:val="en-GB"/>
        </w:rPr>
        <w:t>InvIA</w:t>
      </w:r>
      <w:r w:rsidRPr="0001096E">
        <w:rPr>
          <w:lang w:val="en-GB"/>
        </w:rPr>
        <w:tab/>
        <w:t>Federal Act of 19 June 1959 on Invalidity Insurance (Invalidity Insurance Act, SR 831.20)</w:t>
      </w:r>
    </w:p>
    <w:p w14:paraId="09D6FC83" w14:textId="77777777" w:rsidR="00B009DC" w:rsidRPr="0001096E" w:rsidRDefault="00B009DC" w:rsidP="00B009DC">
      <w:pPr>
        <w:ind w:left="2410" w:hanging="2410"/>
        <w:rPr>
          <w:lang w:val="en-GB"/>
        </w:rPr>
      </w:pPr>
      <w:r w:rsidRPr="0001096E">
        <w:rPr>
          <w:lang w:val="en-GB"/>
        </w:rPr>
        <w:t>ISR</w:t>
      </w:r>
      <w:r w:rsidRPr="0001096E">
        <w:rPr>
          <w:lang w:val="en-GB"/>
        </w:rPr>
        <w:tab/>
        <w:t>Initial State Report</w:t>
      </w:r>
    </w:p>
    <w:p w14:paraId="17A1E783" w14:textId="77777777" w:rsidR="00B009DC" w:rsidRPr="0001096E" w:rsidRDefault="00B009DC" w:rsidP="00B009DC">
      <w:pPr>
        <w:ind w:left="2410" w:hanging="2410"/>
        <w:rPr>
          <w:lang w:val="en-GB"/>
        </w:rPr>
      </w:pPr>
      <w:r w:rsidRPr="0001096E">
        <w:rPr>
          <w:lang w:val="en-GB"/>
        </w:rPr>
        <w:t>IV</w:t>
      </w:r>
      <w:r w:rsidRPr="0001096E">
        <w:rPr>
          <w:lang w:val="en-GB"/>
        </w:rPr>
        <w:tab/>
      </w:r>
      <w:r w:rsidRPr="0001096E">
        <w:rPr>
          <w:i/>
          <w:lang w:val="en-GB"/>
        </w:rPr>
        <w:t>Invalidenversicherung</w:t>
      </w:r>
      <w:r w:rsidRPr="0001096E">
        <w:rPr>
          <w:lang w:val="en-GB"/>
        </w:rPr>
        <w:t xml:space="preserve"> [Invalidity insurance]</w:t>
      </w:r>
    </w:p>
    <w:p w14:paraId="393B4FBA" w14:textId="77777777" w:rsidR="00B009DC" w:rsidRPr="0001096E" w:rsidRDefault="00B009DC" w:rsidP="00B009DC">
      <w:pPr>
        <w:ind w:left="2410" w:hanging="2410"/>
        <w:rPr>
          <w:lang w:val="en-GB"/>
        </w:rPr>
      </w:pPr>
      <w:r w:rsidRPr="0001096E">
        <w:rPr>
          <w:lang w:val="en-GB"/>
        </w:rPr>
        <w:t>KKJP</w:t>
      </w:r>
      <w:r w:rsidRPr="0001096E">
        <w:rPr>
          <w:lang w:val="en-GB"/>
        </w:rPr>
        <w:tab/>
      </w:r>
      <w:r w:rsidRPr="0001096E">
        <w:rPr>
          <w:i/>
          <w:iCs/>
          <w:lang w:val="en-GB"/>
        </w:rPr>
        <w:t>Konferenz für Kinder- und Jugendpolitik</w:t>
      </w:r>
      <w:r w:rsidRPr="0001096E">
        <w:rPr>
          <w:lang w:val="en-GB"/>
        </w:rPr>
        <w:t xml:space="preserve"> [Conference for Child and Youth Policy]</w:t>
      </w:r>
    </w:p>
    <w:p w14:paraId="336E62D2" w14:textId="77777777" w:rsidR="00B009DC" w:rsidRPr="0001096E" w:rsidRDefault="00B009DC" w:rsidP="00B009DC">
      <w:pPr>
        <w:ind w:left="2410" w:hanging="2410"/>
        <w:rPr>
          <w:lang w:val="en-GB"/>
        </w:rPr>
      </w:pPr>
      <w:r w:rsidRPr="0001096E">
        <w:rPr>
          <w:lang w:val="en-GB"/>
        </w:rPr>
        <w:t>KOKES</w:t>
      </w:r>
      <w:r w:rsidRPr="0001096E">
        <w:rPr>
          <w:lang w:val="en-GB"/>
        </w:rPr>
        <w:tab/>
        <w:t>Conference for Child and Adult Protection</w:t>
      </w:r>
    </w:p>
    <w:p w14:paraId="2CD1DA5F" w14:textId="77777777" w:rsidR="00B009DC" w:rsidRPr="0001096E" w:rsidRDefault="00B009DC" w:rsidP="00B009DC">
      <w:pPr>
        <w:ind w:left="2410" w:hanging="2410"/>
        <w:rPr>
          <w:lang w:val="en-GB"/>
        </w:rPr>
      </w:pPr>
      <w:r w:rsidRPr="0001096E">
        <w:rPr>
          <w:lang w:val="en-GB"/>
        </w:rPr>
        <w:t>KV</w:t>
      </w:r>
      <w:r w:rsidRPr="0001096E">
        <w:rPr>
          <w:lang w:val="en-GB"/>
        </w:rPr>
        <w:tab/>
      </w:r>
      <w:r w:rsidRPr="0001096E">
        <w:rPr>
          <w:i/>
          <w:lang w:val="en-GB"/>
        </w:rPr>
        <w:t>Kantonsverfassung</w:t>
      </w:r>
      <w:r w:rsidRPr="0001096E">
        <w:rPr>
          <w:lang w:val="en-GB"/>
        </w:rPr>
        <w:t xml:space="preserve"> [Cantonal Constitution]</w:t>
      </w:r>
    </w:p>
    <w:p w14:paraId="09B33E50" w14:textId="77777777" w:rsidR="00B009DC" w:rsidRPr="0001096E" w:rsidRDefault="00B009DC" w:rsidP="00B009DC">
      <w:pPr>
        <w:ind w:left="2410" w:hanging="2410"/>
        <w:rPr>
          <w:lang w:val="en-GB"/>
        </w:rPr>
      </w:pPr>
      <w:r w:rsidRPr="0001096E">
        <w:rPr>
          <w:lang w:val="en-GB"/>
        </w:rPr>
        <w:t>LEA</w:t>
      </w:r>
      <w:r w:rsidRPr="0001096E">
        <w:rPr>
          <w:lang w:val="en-GB"/>
        </w:rPr>
        <w:tab/>
        <w:t>Living Every Age</w:t>
      </w:r>
    </w:p>
    <w:p w14:paraId="3C6A47B3" w14:textId="77777777" w:rsidR="00B009DC" w:rsidRPr="0001096E" w:rsidRDefault="00B009DC" w:rsidP="00B009DC">
      <w:pPr>
        <w:ind w:left="2410" w:hanging="2410"/>
        <w:rPr>
          <w:lang w:val="en-GB"/>
        </w:rPr>
      </w:pPr>
      <w:r w:rsidRPr="0001096E">
        <w:rPr>
          <w:lang w:val="en-GB"/>
        </w:rPr>
        <w:t>LECA</w:t>
      </w:r>
      <w:r w:rsidRPr="0001096E">
        <w:rPr>
          <w:lang w:val="en-GB"/>
        </w:rPr>
        <w:tab/>
        <w:t>Federal Act of 25 September 1952 on Compensation for Loss of Earnings for Persons on Military Service or Maternity Leave (Loss of Earnings Compensation Act; SR 834.1)</w:t>
      </w:r>
    </w:p>
    <w:p w14:paraId="544D6030" w14:textId="77777777" w:rsidR="00B009DC" w:rsidRPr="0001096E" w:rsidRDefault="00B009DC" w:rsidP="00B009DC">
      <w:pPr>
        <w:ind w:left="2410" w:hanging="2410"/>
        <w:rPr>
          <w:lang w:val="en-GB"/>
        </w:rPr>
      </w:pPr>
      <w:r w:rsidRPr="0001096E">
        <w:rPr>
          <w:lang w:val="en-GB"/>
        </w:rPr>
        <w:t>LoI</w:t>
      </w:r>
      <w:r w:rsidRPr="0001096E">
        <w:rPr>
          <w:lang w:val="en-GB"/>
        </w:rPr>
        <w:tab/>
        <w:t>List of Issues</w:t>
      </w:r>
    </w:p>
    <w:p w14:paraId="376FFA30" w14:textId="77777777" w:rsidR="00B009DC" w:rsidRPr="0001096E" w:rsidRDefault="00B009DC" w:rsidP="00B009DC">
      <w:pPr>
        <w:ind w:left="2410" w:hanging="2410"/>
        <w:rPr>
          <w:lang w:val="en-GB"/>
        </w:rPr>
      </w:pPr>
      <w:r w:rsidRPr="0001096E">
        <w:rPr>
          <w:lang w:val="en-GB"/>
        </w:rPr>
        <w:t>NAP</w:t>
      </w:r>
      <w:r w:rsidRPr="0001096E">
        <w:rPr>
          <w:lang w:val="en-GB"/>
        </w:rPr>
        <w:tab/>
        <w:t>national action plan</w:t>
      </w:r>
    </w:p>
    <w:p w14:paraId="5DDDDABA" w14:textId="77777777" w:rsidR="00B009DC" w:rsidRPr="0001096E" w:rsidRDefault="00B009DC" w:rsidP="00B009DC">
      <w:pPr>
        <w:ind w:left="2410" w:hanging="2410"/>
        <w:rPr>
          <w:lang w:val="en-GB"/>
        </w:rPr>
      </w:pPr>
      <w:r w:rsidRPr="0001096E">
        <w:rPr>
          <w:lang w:val="en-GB"/>
        </w:rPr>
        <w:t>NCPT</w:t>
      </w:r>
      <w:r w:rsidRPr="0001096E">
        <w:rPr>
          <w:lang w:val="en-GB"/>
        </w:rPr>
        <w:tab/>
        <w:t>National Commission for the Prevention of Torture</w:t>
      </w:r>
    </w:p>
    <w:p w14:paraId="231D02DD" w14:textId="77777777" w:rsidR="00B009DC" w:rsidRPr="0001096E" w:rsidRDefault="00B009DC" w:rsidP="00B009DC">
      <w:pPr>
        <w:ind w:left="2410" w:hanging="2410"/>
        <w:rPr>
          <w:lang w:val="en-GB"/>
        </w:rPr>
      </w:pPr>
      <w:r w:rsidRPr="0001096E">
        <w:rPr>
          <w:lang w:val="en-GB"/>
        </w:rPr>
        <w:lastRenderedPageBreak/>
        <w:t>NFE</w:t>
      </w:r>
      <w:r w:rsidRPr="0001096E">
        <w:rPr>
          <w:lang w:val="en-GB"/>
        </w:rPr>
        <w:tab/>
        <w:t>New system of fiscal equalisation and division of tasks between the Confederation and the cantons</w:t>
      </w:r>
    </w:p>
    <w:p w14:paraId="2B03A457" w14:textId="77777777" w:rsidR="00B009DC" w:rsidRPr="0001096E" w:rsidRDefault="00B009DC" w:rsidP="00B009DC">
      <w:pPr>
        <w:ind w:left="2410" w:hanging="2410"/>
        <w:rPr>
          <w:lang w:val="en-GB"/>
        </w:rPr>
      </w:pPr>
      <w:r w:rsidRPr="0001096E">
        <w:rPr>
          <w:lang w:val="en-GB"/>
        </w:rPr>
        <w:t>NGO</w:t>
      </w:r>
      <w:r w:rsidRPr="0001096E">
        <w:rPr>
          <w:lang w:val="en-GB"/>
        </w:rPr>
        <w:tab/>
        <w:t>non-governmental organisation</w:t>
      </w:r>
    </w:p>
    <w:p w14:paraId="45C45F18" w14:textId="77777777" w:rsidR="00B009DC" w:rsidRPr="0001096E" w:rsidRDefault="00B009DC" w:rsidP="00B009DC">
      <w:pPr>
        <w:ind w:left="2410" w:hanging="2410"/>
        <w:rPr>
          <w:lang w:val="en-GB"/>
        </w:rPr>
      </w:pPr>
      <w:r w:rsidRPr="0001096E">
        <w:rPr>
          <w:lang w:val="en-GB"/>
        </w:rPr>
        <w:t>NHRI</w:t>
      </w:r>
      <w:r w:rsidRPr="0001096E">
        <w:rPr>
          <w:lang w:val="en-GB"/>
        </w:rPr>
        <w:tab/>
        <w:t>National Human Rights Institution</w:t>
      </w:r>
    </w:p>
    <w:p w14:paraId="1980EC1F" w14:textId="77777777" w:rsidR="00B009DC" w:rsidRPr="0001096E" w:rsidRDefault="00B009DC" w:rsidP="00B009DC">
      <w:pPr>
        <w:ind w:left="2410" w:hanging="2410"/>
        <w:rPr>
          <w:lang w:val="en-GB"/>
        </w:rPr>
      </w:pPr>
      <w:r w:rsidRPr="0001096E">
        <w:rPr>
          <w:lang w:val="en-GB"/>
        </w:rPr>
        <w:t>No.</w:t>
      </w:r>
      <w:r w:rsidRPr="0001096E">
        <w:rPr>
          <w:lang w:val="en-GB"/>
        </w:rPr>
        <w:tab/>
        <w:t>number</w:t>
      </w:r>
    </w:p>
    <w:p w14:paraId="01EF10EC" w14:textId="77777777" w:rsidR="00B009DC" w:rsidRPr="0001096E" w:rsidRDefault="00B009DC" w:rsidP="00B009DC">
      <w:pPr>
        <w:ind w:left="2410" w:hanging="2410"/>
        <w:rPr>
          <w:lang w:val="en-GB"/>
        </w:rPr>
      </w:pPr>
      <w:r w:rsidRPr="0001096E">
        <w:rPr>
          <w:lang w:val="en-GB"/>
        </w:rPr>
        <w:t>NRP</w:t>
      </w:r>
      <w:r w:rsidRPr="0001096E">
        <w:rPr>
          <w:lang w:val="en-GB"/>
        </w:rPr>
        <w:tab/>
        <w:t>national research programme</w:t>
      </w:r>
    </w:p>
    <w:p w14:paraId="4B68CEED" w14:textId="77777777" w:rsidR="00B009DC" w:rsidRPr="0001096E" w:rsidRDefault="00B009DC" w:rsidP="00B009DC">
      <w:pPr>
        <w:ind w:left="2410" w:hanging="2410"/>
        <w:rPr>
          <w:lang w:val="en-GB"/>
        </w:rPr>
      </w:pPr>
      <w:r w:rsidRPr="0001096E">
        <w:rPr>
          <w:lang w:val="en-GB"/>
        </w:rPr>
        <w:t>OASI</w:t>
      </w:r>
      <w:r w:rsidRPr="0001096E">
        <w:rPr>
          <w:lang w:val="en-GB"/>
        </w:rPr>
        <w:tab/>
        <w:t>Old-Age and Survivors' Insurance</w:t>
      </w:r>
    </w:p>
    <w:p w14:paraId="0ED745DA" w14:textId="77777777" w:rsidR="00B009DC" w:rsidRPr="0001096E" w:rsidRDefault="00B009DC" w:rsidP="00B009DC">
      <w:pPr>
        <w:ind w:left="2410" w:hanging="2410"/>
        <w:rPr>
          <w:lang w:val="en-GB"/>
        </w:rPr>
      </w:pPr>
      <w:r w:rsidRPr="0001096E">
        <w:rPr>
          <w:lang w:val="en-GB"/>
        </w:rPr>
        <w:t>OASIA</w:t>
      </w:r>
      <w:r w:rsidRPr="0001096E">
        <w:rPr>
          <w:lang w:val="en-GB"/>
        </w:rPr>
        <w:tab/>
        <w:t>Federal Act of 20 December 1946 on Old-Age and Survivors' Insurance (SR 831.10)</w:t>
      </w:r>
    </w:p>
    <w:p w14:paraId="739F67F3" w14:textId="77777777" w:rsidR="00B009DC" w:rsidRPr="0001096E" w:rsidRDefault="00B009DC" w:rsidP="00B009DC">
      <w:pPr>
        <w:ind w:left="2410" w:hanging="2410"/>
        <w:rPr>
          <w:lang w:val="en-GB"/>
        </w:rPr>
      </w:pPr>
      <w:r w:rsidRPr="0001096E">
        <w:rPr>
          <w:lang w:val="en-GB"/>
        </w:rPr>
        <w:t>OHCHR</w:t>
      </w:r>
      <w:r w:rsidRPr="0001096E">
        <w:rPr>
          <w:lang w:val="en-GB"/>
        </w:rPr>
        <w:tab/>
        <w:t>Office of the United Nations High Commissioner for Human Rights</w:t>
      </w:r>
    </w:p>
    <w:p w14:paraId="4563D87A" w14:textId="08C610D3" w:rsidR="00B009DC" w:rsidRDefault="00B009DC" w:rsidP="00B009DC">
      <w:pPr>
        <w:ind w:left="2410" w:hanging="2410"/>
        <w:rPr>
          <w:lang w:val="en-GB"/>
        </w:rPr>
      </w:pPr>
      <w:r w:rsidRPr="0001096E">
        <w:rPr>
          <w:lang w:val="en-GB"/>
        </w:rPr>
        <w:t>OPA</w:t>
      </w:r>
      <w:r w:rsidRPr="0001096E">
        <w:rPr>
          <w:lang w:val="en-GB"/>
        </w:rPr>
        <w:tab/>
        <w:t>Federal Act of 25 June 1982 on Occupational Old Age, Survivors' and Disability Pension Provision (Occupational Pensions Act; SR 831.40)</w:t>
      </w:r>
    </w:p>
    <w:p w14:paraId="31801D8F" w14:textId="76A59A01" w:rsidR="00D739C9" w:rsidRPr="0001096E" w:rsidRDefault="00D739C9" w:rsidP="00B009DC">
      <w:pPr>
        <w:ind w:left="2410" w:hanging="2410"/>
        <w:rPr>
          <w:lang w:val="en-GB"/>
        </w:rPr>
      </w:pPr>
      <w:r>
        <w:rPr>
          <w:lang w:val="en-GB"/>
        </w:rPr>
        <w:t>OPDs</w:t>
      </w:r>
      <w:r>
        <w:rPr>
          <w:lang w:val="en-GB"/>
        </w:rPr>
        <w:tab/>
        <w:t>Organizations of Persons with Disabilitites</w:t>
      </w:r>
    </w:p>
    <w:p w14:paraId="22749C42" w14:textId="77777777" w:rsidR="00B009DC" w:rsidRPr="0001096E" w:rsidRDefault="00B009DC" w:rsidP="00B009DC">
      <w:pPr>
        <w:ind w:left="2410" w:hanging="2410"/>
        <w:rPr>
          <w:lang w:val="en-GB"/>
        </w:rPr>
      </w:pPr>
      <w:r w:rsidRPr="0001096E">
        <w:rPr>
          <w:lang w:val="en-GB"/>
        </w:rPr>
        <w:t>OPO 2</w:t>
      </w:r>
      <w:r w:rsidRPr="0001096E">
        <w:rPr>
          <w:lang w:val="en-GB"/>
        </w:rPr>
        <w:tab/>
        <w:t xml:space="preserve">Ordinance of 18 April 1984 on Occupational Old Age, Survivors' and Disability Pension Provision (SR 831.441.1) </w:t>
      </w:r>
    </w:p>
    <w:p w14:paraId="6E9B64F1" w14:textId="77777777" w:rsidR="00B009DC" w:rsidRPr="00104AEE" w:rsidRDefault="00B009DC" w:rsidP="00B009DC">
      <w:pPr>
        <w:ind w:left="2410" w:hanging="2410"/>
        <w:rPr>
          <w:lang w:val="fr-FR"/>
        </w:rPr>
      </w:pPr>
      <w:r w:rsidRPr="00104AEE">
        <w:rPr>
          <w:lang w:val="fr-FR"/>
        </w:rPr>
        <w:t>p./pp.</w:t>
      </w:r>
      <w:r w:rsidRPr="00104AEE">
        <w:rPr>
          <w:lang w:val="fr-FR"/>
        </w:rPr>
        <w:tab/>
        <w:t>page/pages</w:t>
      </w:r>
    </w:p>
    <w:p w14:paraId="5A7C7101" w14:textId="77777777" w:rsidR="00B009DC" w:rsidRPr="00104AEE" w:rsidRDefault="00B009DC" w:rsidP="00B009DC">
      <w:pPr>
        <w:ind w:left="2410" w:hanging="2410"/>
        <w:rPr>
          <w:lang w:val="fr-FR"/>
        </w:rPr>
      </w:pPr>
      <w:r w:rsidRPr="00104AEE">
        <w:rPr>
          <w:lang w:val="fr-FR"/>
        </w:rPr>
        <w:t>para./paras.</w:t>
      </w:r>
      <w:r w:rsidRPr="00104AEE">
        <w:rPr>
          <w:lang w:val="fr-FR"/>
        </w:rPr>
        <w:tab/>
        <w:t>paragraph/paragraphs</w:t>
      </w:r>
    </w:p>
    <w:p w14:paraId="73080C27" w14:textId="77777777" w:rsidR="00B009DC" w:rsidRPr="0001096E" w:rsidRDefault="00B009DC" w:rsidP="00B009DC">
      <w:pPr>
        <w:ind w:left="2410" w:hanging="2410"/>
        <w:rPr>
          <w:lang w:val="en-GB"/>
        </w:rPr>
      </w:pPr>
      <w:r w:rsidRPr="0001096E">
        <w:rPr>
          <w:lang w:val="en-GB"/>
        </w:rPr>
        <w:t>PRA</w:t>
      </w:r>
      <w:r w:rsidRPr="0001096E">
        <w:rPr>
          <w:lang w:val="en-GB"/>
        </w:rPr>
        <w:tab/>
        <w:t>Federal Act of 17 December 1976 on Political Rights (SR 161.1)</w:t>
      </w:r>
    </w:p>
    <w:p w14:paraId="16C71760" w14:textId="77777777" w:rsidR="00B009DC" w:rsidRPr="0001096E" w:rsidRDefault="00B009DC" w:rsidP="00B009DC">
      <w:pPr>
        <w:ind w:left="2410" w:hanging="2410"/>
        <w:rPr>
          <w:lang w:val="en-GB"/>
        </w:rPr>
      </w:pPr>
      <w:r w:rsidRPr="0001096E">
        <w:rPr>
          <w:lang w:val="en-GB"/>
        </w:rPr>
        <w:t>PRM TSI</w:t>
      </w:r>
      <w:r w:rsidRPr="0001096E">
        <w:rPr>
          <w:lang w:val="en-GB"/>
        </w:rPr>
        <w:tab/>
        <w:t>Commission Regulation (EU) No 1300/2014 of 18 November 2014 on the technical specifications for interop</w:t>
      </w:r>
      <w:r w:rsidRPr="0001096E">
        <w:rPr>
          <w:lang w:val="en-GB"/>
        </w:rPr>
        <w:lastRenderedPageBreak/>
        <w:t>erability relating to accessibility of the Union's rail system for persons with disabilities and persons with reduced mobility</w:t>
      </w:r>
    </w:p>
    <w:p w14:paraId="6ED8843B" w14:textId="77777777" w:rsidR="00B009DC" w:rsidRPr="0001096E" w:rsidRDefault="00B009DC" w:rsidP="00B009DC">
      <w:pPr>
        <w:ind w:left="2410" w:hanging="2410"/>
        <w:rPr>
          <w:lang w:val="en-GB"/>
        </w:rPr>
      </w:pPr>
      <w:r w:rsidRPr="0001096E">
        <w:rPr>
          <w:lang w:val="en-GB"/>
        </w:rPr>
        <w:t>PWD</w:t>
      </w:r>
      <w:r w:rsidRPr="0001096E">
        <w:rPr>
          <w:lang w:val="en-GB"/>
        </w:rPr>
        <w:tab/>
        <w:t>persons with disabilities</w:t>
      </w:r>
    </w:p>
    <w:p w14:paraId="0355BAC8" w14:textId="77777777" w:rsidR="00B009DC" w:rsidRPr="0001096E" w:rsidRDefault="00B009DC" w:rsidP="00B009DC">
      <w:pPr>
        <w:ind w:left="2410" w:hanging="2410"/>
        <w:rPr>
          <w:lang w:val="en-GB"/>
        </w:rPr>
      </w:pPr>
      <w:r w:rsidRPr="0001096E">
        <w:rPr>
          <w:lang w:val="en-GB"/>
        </w:rPr>
        <w:t>RILO</w:t>
      </w:r>
      <w:r w:rsidRPr="0001096E">
        <w:rPr>
          <w:lang w:val="en-GB"/>
        </w:rPr>
        <w:tab/>
        <w:t>reduced individual learning objective</w:t>
      </w:r>
    </w:p>
    <w:p w14:paraId="0AEB3B23" w14:textId="77777777" w:rsidR="00B009DC" w:rsidRPr="00104AEE" w:rsidRDefault="00B009DC" w:rsidP="00B009DC">
      <w:pPr>
        <w:ind w:left="2410" w:hanging="2410"/>
        <w:rPr>
          <w:lang w:val="de-CH"/>
        </w:rPr>
      </w:pPr>
      <w:r w:rsidRPr="00104AEE">
        <w:rPr>
          <w:lang w:val="de-CH"/>
        </w:rPr>
        <w:t>SAKE</w:t>
      </w:r>
      <w:r w:rsidRPr="00104AEE">
        <w:rPr>
          <w:lang w:val="de-CH"/>
        </w:rPr>
        <w:tab/>
      </w:r>
      <w:r w:rsidRPr="00104AEE">
        <w:rPr>
          <w:i/>
          <w:iCs/>
          <w:lang w:val="de-CH"/>
        </w:rPr>
        <w:t>Schweizerische Arbeitskräfteerhebung</w:t>
      </w:r>
      <w:r w:rsidRPr="00104AEE">
        <w:rPr>
          <w:lang w:val="de-CH"/>
        </w:rPr>
        <w:t xml:space="preserve"> [Swiss Labour Force Survey]</w:t>
      </w:r>
    </w:p>
    <w:p w14:paraId="7D487531" w14:textId="77777777" w:rsidR="00B009DC" w:rsidRPr="0001096E" w:rsidRDefault="00B009DC" w:rsidP="00B009DC">
      <w:pPr>
        <w:ind w:left="2410" w:hanging="2410"/>
        <w:rPr>
          <w:lang w:val="en-GB"/>
        </w:rPr>
      </w:pPr>
      <w:r w:rsidRPr="0001096E">
        <w:rPr>
          <w:lang w:val="en-GB"/>
        </w:rPr>
        <w:t>SAMS</w:t>
      </w:r>
      <w:r w:rsidRPr="0001096E">
        <w:rPr>
          <w:lang w:val="en-GB"/>
        </w:rPr>
        <w:tab/>
        <w:t>Swiss Academy of Medical Sciences</w:t>
      </w:r>
    </w:p>
    <w:p w14:paraId="5FC4E3F1" w14:textId="77777777" w:rsidR="00B009DC" w:rsidRPr="0001096E" w:rsidRDefault="00B009DC" w:rsidP="00B009DC">
      <w:pPr>
        <w:ind w:left="2410" w:hanging="2410"/>
        <w:rPr>
          <w:lang w:val="en-GB"/>
        </w:rPr>
      </w:pPr>
      <w:r w:rsidRPr="0001096E">
        <w:rPr>
          <w:lang w:val="en-GB"/>
        </w:rPr>
        <w:t>SBB</w:t>
      </w:r>
      <w:r w:rsidRPr="0001096E">
        <w:rPr>
          <w:lang w:val="en-GB"/>
        </w:rPr>
        <w:tab/>
        <w:t xml:space="preserve">Swiss Federal Railways </w:t>
      </w:r>
    </w:p>
    <w:p w14:paraId="1F697A3B" w14:textId="77777777" w:rsidR="00B009DC" w:rsidRPr="0001096E" w:rsidRDefault="00B009DC" w:rsidP="00B009DC">
      <w:pPr>
        <w:ind w:left="2410" w:hanging="2410"/>
        <w:rPr>
          <w:lang w:val="en-GB"/>
        </w:rPr>
      </w:pPr>
      <w:r w:rsidRPr="0001096E">
        <w:rPr>
          <w:lang w:val="en-GB"/>
        </w:rPr>
        <w:t>SCC</w:t>
      </w:r>
      <w:r w:rsidRPr="0001096E">
        <w:rPr>
          <w:lang w:val="en-GB"/>
        </w:rPr>
        <w:tab/>
        <w:t>Swiss Criminal Code of 21 December 1937 (SR 311.0)</w:t>
      </w:r>
    </w:p>
    <w:p w14:paraId="2C82EF91" w14:textId="77777777" w:rsidR="00B009DC" w:rsidRPr="0001096E" w:rsidRDefault="00B009DC" w:rsidP="00B009DC">
      <w:pPr>
        <w:ind w:left="2410" w:hanging="2410"/>
        <w:rPr>
          <w:lang w:val="en-GB"/>
        </w:rPr>
      </w:pPr>
      <w:r w:rsidRPr="0001096E">
        <w:rPr>
          <w:lang w:val="en-GB"/>
        </w:rPr>
        <w:t>SCHR</w:t>
      </w:r>
      <w:r w:rsidRPr="0001096E">
        <w:rPr>
          <w:lang w:val="en-GB"/>
        </w:rPr>
        <w:tab/>
        <w:t>Swiss Centre of Expertise in Human Rights</w:t>
      </w:r>
    </w:p>
    <w:p w14:paraId="362D681D" w14:textId="77777777" w:rsidR="00B009DC" w:rsidRPr="0001096E" w:rsidRDefault="00B009DC" w:rsidP="00B009DC">
      <w:pPr>
        <w:ind w:left="2410" w:hanging="2410"/>
        <w:rPr>
          <w:lang w:val="en-GB"/>
        </w:rPr>
      </w:pPr>
      <w:r w:rsidRPr="0001096E">
        <w:rPr>
          <w:lang w:val="en-GB"/>
        </w:rPr>
        <w:t>SDDC</w:t>
      </w:r>
      <w:r w:rsidRPr="0001096E">
        <w:rPr>
          <w:lang w:val="en-GB"/>
        </w:rPr>
        <w:tab/>
        <w:t>Swiss Disability and Development Consortium</w:t>
      </w:r>
    </w:p>
    <w:p w14:paraId="07000398" w14:textId="77777777" w:rsidR="00B009DC" w:rsidRPr="0001096E" w:rsidRDefault="00B009DC" w:rsidP="00B009DC">
      <w:pPr>
        <w:ind w:left="2410" w:hanging="2410"/>
        <w:rPr>
          <w:lang w:val="en-GB"/>
        </w:rPr>
      </w:pPr>
      <w:r w:rsidRPr="0001096E">
        <w:rPr>
          <w:lang w:val="en-GB"/>
        </w:rPr>
        <w:t>SECO</w:t>
      </w:r>
      <w:r w:rsidRPr="0001096E">
        <w:rPr>
          <w:lang w:val="en-GB"/>
        </w:rPr>
        <w:tab/>
        <w:t>State Secretariat for Economic Affairs</w:t>
      </w:r>
    </w:p>
    <w:p w14:paraId="269696A4" w14:textId="77777777" w:rsidR="00B009DC" w:rsidRPr="0001096E" w:rsidRDefault="00B009DC" w:rsidP="00B009DC">
      <w:pPr>
        <w:ind w:left="2410" w:hanging="2410"/>
        <w:rPr>
          <w:lang w:val="en-GB"/>
        </w:rPr>
      </w:pPr>
      <w:r w:rsidRPr="0001096E">
        <w:rPr>
          <w:lang w:val="en-GB"/>
        </w:rPr>
        <w:t>SEM</w:t>
      </w:r>
      <w:r w:rsidRPr="0001096E">
        <w:rPr>
          <w:lang w:val="en-GB"/>
        </w:rPr>
        <w:tab/>
        <w:t>State Secretariat for Migration</w:t>
      </w:r>
    </w:p>
    <w:p w14:paraId="7A1DE2CC" w14:textId="77777777" w:rsidR="00B009DC" w:rsidRPr="0001096E" w:rsidRDefault="00B009DC" w:rsidP="00B009DC">
      <w:pPr>
        <w:ind w:left="2410" w:hanging="2410"/>
        <w:rPr>
          <w:lang w:val="en-GB"/>
        </w:rPr>
      </w:pPr>
      <w:r w:rsidRPr="0001096E">
        <w:rPr>
          <w:lang w:val="en-GB"/>
        </w:rPr>
        <w:t>SERI</w:t>
      </w:r>
      <w:r w:rsidRPr="0001096E">
        <w:rPr>
          <w:lang w:val="en-GB"/>
        </w:rPr>
        <w:tab/>
        <w:t>State Secretariat for Education, Research and Innovation</w:t>
      </w:r>
    </w:p>
    <w:p w14:paraId="6792A86A" w14:textId="77777777" w:rsidR="00B009DC" w:rsidRPr="0001096E" w:rsidRDefault="00B009DC" w:rsidP="00B009DC">
      <w:pPr>
        <w:ind w:left="2410" w:hanging="2410"/>
        <w:rPr>
          <w:lang w:val="en-GB"/>
        </w:rPr>
      </w:pPr>
      <w:r w:rsidRPr="0001096E">
        <w:rPr>
          <w:lang w:val="en-GB"/>
        </w:rPr>
        <w:t>SFAO</w:t>
      </w:r>
      <w:r w:rsidRPr="0001096E">
        <w:rPr>
          <w:lang w:val="en-GB"/>
        </w:rPr>
        <w:tab/>
        <w:t>Swiss Federal Audit Office</w:t>
      </w:r>
    </w:p>
    <w:p w14:paraId="0053D18A" w14:textId="77777777" w:rsidR="00B009DC" w:rsidRPr="0001096E" w:rsidRDefault="00B009DC" w:rsidP="00B009DC">
      <w:pPr>
        <w:ind w:left="2410" w:hanging="2410"/>
        <w:rPr>
          <w:lang w:val="en-GB"/>
        </w:rPr>
      </w:pPr>
      <w:r w:rsidRPr="0001096E">
        <w:rPr>
          <w:lang w:val="en-GB"/>
        </w:rPr>
        <w:t>SGB</w:t>
      </w:r>
      <w:r w:rsidRPr="0001096E">
        <w:rPr>
          <w:lang w:val="en-GB"/>
        </w:rPr>
        <w:tab/>
      </w:r>
      <w:r w:rsidRPr="0001096E">
        <w:rPr>
          <w:i/>
          <w:iCs/>
          <w:lang w:val="en-GB"/>
        </w:rPr>
        <w:t>Schweizerische Gesundheitsbefragung</w:t>
      </w:r>
      <w:r w:rsidRPr="0001096E">
        <w:rPr>
          <w:lang w:val="en-GB"/>
        </w:rPr>
        <w:t xml:space="preserve"> [Swiss Health Survey]</w:t>
      </w:r>
    </w:p>
    <w:p w14:paraId="2A9A453F" w14:textId="77777777" w:rsidR="00B009DC" w:rsidRPr="0001096E" w:rsidRDefault="00B009DC" w:rsidP="00B009DC">
      <w:pPr>
        <w:ind w:left="2410" w:hanging="2410"/>
        <w:rPr>
          <w:lang w:val="en-GB"/>
        </w:rPr>
      </w:pPr>
      <w:r w:rsidRPr="0001096E">
        <w:rPr>
          <w:lang w:val="en-GB"/>
        </w:rPr>
        <w:t>SGB</w:t>
      </w:r>
      <w:r w:rsidRPr="0001096E">
        <w:rPr>
          <w:lang w:val="en-GB"/>
        </w:rPr>
        <w:tab/>
      </w:r>
      <w:r w:rsidRPr="0001096E">
        <w:rPr>
          <w:i/>
          <w:iCs/>
          <w:lang w:val="en-GB"/>
        </w:rPr>
        <w:t>Schweizerischer Gehörlosenbund</w:t>
      </w:r>
      <w:r w:rsidRPr="0001096E">
        <w:rPr>
          <w:lang w:val="en-GB"/>
        </w:rPr>
        <w:t xml:space="preserve"> [Swiss Federation for the Hearing Impaired]</w:t>
      </w:r>
    </w:p>
    <w:p w14:paraId="7B5F3882" w14:textId="77777777" w:rsidR="00B009DC" w:rsidRPr="0001096E" w:rsidRDefault="00B009DC" w:rsidP="00B009DC">
      <w:pPr>
        <w:ind w:left="2410" w:hanging="2410"/>
        <w:rPr>
          <w:lang w:val="en-GB"/>
        </w:rPr>
      </w:pPr>
      <w:r w:rsidRPr="0001096E">
        <w:rPr>
          <w:lang w:val="en-GB"/>
        </w:rPr>
        <w:t>SILC</w:t>
      </w:r>
      <w:r w:rsidRPr="0001096E">
        <w:rPr>
          <w:lang w:val="en-GB"/>
        </w:rPr>
        <w:tab/>
        <w:t>Statistics on Income and Living Conditions</w:t>
      </w:r>
    </w:p>
    <w:p w14:paraId="0F07CB6A" w14:textId="77777777" w:rsidR="00B009DC" w:rsidRPr="0001096E" w:rsidRDefault="00B009DC" w:rsidP="00B009DC">
      <w:pPr>
        <w:ind w:left="2410" w:hanging="2410"/>
        <w:rPr>
          <w:lang w:val="en-GB"/>
        </w:rPr>
      </w:pPr>
      <w:r w:rsidRPr="0001096E">
        <w:rPr>
          <w:lang w:val="en-GB"/>
        </w:rPr>
        <w:t>SIP</w:t>
      </w:r>
      <w:r w:rsidRPr="0001096E">
        <w:rPr>
          <w:lang w:val="en-GB"/>
        </w:rPr>
        <w:tab/>
        <w:t>Standardised investigative procedure</w:t>
      </w:r>
    </w:p>
    <w:p w14:paraId="39136279" w14:textId="77777777" w:rsidR="00B009DC" w:rsidRPr="0001096E" w:rsidRDefault="00B009DC" w:rsidP="00B009DC">
      <w:pPr>
        <w:ind w:left="2410" w:hanging="2410"/>
        <w:rPr>
          <w:lang w:val="en-GB"/>
        </w:rPr>
      </w:pPr>
      <w:r w:rsidRPr="0001096E">
        <w:rPr>
          <w:lang w:val="en-GB"/>
        </w:rPr>
        <w:t>SNSF</w:t>
      </w:r>
      <w:r w:rsidRPr="0001096E">
        <w:rPr>
          <w:lang w:val="en-GB"/>
        </w:rPr>
        <w:tab/>
        <w:t>Swiss National Science Foundation</w:t>
      </w:r>
    </w:p>
    <w:p w14:paraId="37B581F1" w14:textId="77777777" w:rsidR="00B009DC" w:rsidRPr="0001096E" w:rsidRDefault="00B009DC" w:rsidP="00B009DC">
      <w:pPr>
        <w:ind w:left="2410" w:hanging="2410"/>
        <w:rPr>
          <w:lang w:val="en-GB"/>
        </w:rPr>
      </w:pPr>
      <w:r w:rsidRPr="0001096E">
        <w:rPr>
          <w:lang w:val="en-GB"/>
        </w:rPr>
        <w:lastRenderedPageBreak/>
        <w:t>SOMED</w:t>
      </w:r>
      <w:r w:rsidRPr="0001096E">
        <w:rPr>
          <w:lang w:val="en-GB"/>
        </w:rPr>
        <w:tab/>
        <w:t>Statistics of the sociomedical institutions</w:t>
      </w:r>
    </w:p>
    <w:p w14:paraId="4946C70D" w14:textId="77777777" w:rsidR="00B009DC" w:rsidRPr="0001096E" w:rsidRDefault="00B009DC" w:rsidP="00B009DC">
      <w:pPr>
        <w:ind w:left="2410" w:hanging="2410"/>
        <w:rPr>
          <w:i/>
          <w:iCs/>
          <w:lang w:val="en-GB"/>
        </w:rPr>
      </w:pPr>
      <w:r w:rsidRPr="00104AEE">
        <w:rPr>
          <w:lang w:val="de-CH"/>
        </w:rPr>
        <w:t>SoPädK</w:t>
      </w:r>
      <w:r w:rsidRPr="00104AEE">
        <w:rPr>
          <w:lang w:val="de-CH"/>
        </w:rPr>
        <w:tab/>
      </w:r>
      <w:r w:rsidRPr="00104AEE">
        <w:rPr>
          <w:i/>
          <w:iCs/>
          <w:lang w:val="de-CH"/>
        </w:rPr>
        <w:t xml:space="preserve">Interkantonale Vereinbarung über die Zusammenarbeit im Bereich der Sonderpädagogik vom 25. </w:t>
      </w:r>
      <w:r w:rsidRPr="0001096E">
        <w:rPr>
          <w:i/>
          <w:iCs/>
          <w:lang w:val="en-GB"/>
        </w:rPr>
        <w:t>Oktober 2007</w:t>
      </w:r>
      <w:r w:rsidRPr="0001096E">
        <w:rPr>
          <w:lang w:val="en-GB"/>
        </w:rPr>
        <w:t xml:space="preserve"> [Intercantonal convention of 25 October 2007 on cooperation in the field of special pedagogy (Special Pedagogic Convention)]</w:t>
      </w:r>
    </w:p>
    <w:p w14:paraId="3B4F2905" w14:textId="77777777" w:rsidR="00B009DC" w:rsidRPr="0001096E" w:rsidRDefault="00B009DC" w:rsidP="00B009DC">
      <w:pPr>
        <w:ind w:left="2410" w:hanging="2410"/>
        <w:rPr>
          <w:lang w:val="en-GB"/>
        </w:rPr>
      </w:pPr>
      <w:r w:rsidRPr="0001096E">
        <w:rPr>
          <w:lang w:val="en-GB"/>
        </w:rPr>
        <w:t>SPOC</w:t>
      </w:r>
      <w:r w:rsidRPr="0001096E">
        <w:rPr>
          <w:lang w:val="en-GB"/>
        </w:rPr>
        <w:tab/>
        <w:t>single point of contact</w:t>
      </w:r>
    </w:p>
    <w:p w14:paraId="66E582D9" w14:textId="77777777" w:rsidR="00B009DC" w:rsidRPr="0001096E" w:rsidRDefault="00B009DC" w:rsidP="00B009DC">
      <w:pPr>
        <w:ind w:left="2410" w:hanging="2410"/>
        <w:rPr>
          <w:lang w:val="en-GB"/>
        </w:rPr>
      </w:pPr>
      <w:r w:rsidRPr="0001096E">
        <w:rPr>
          <w:lang w:val="en-GB"/>
        </w:rPr>
        <w:t>SR</w:t>
      </w:r>
      <w:r w:rsidRPr="0001096E">
        <w:rPr>
          <w:lang w:val="en-GB"/>
        </w:rPr>
        <w:tab/>
        <w:t>Classified Compilation of Federal Legislation</w:t>
      </w:r>
    </w:p>
    <w:p w14:paraId="0DD9BD77" w14:textId="77777777" w:rsidR="00B009DC" w:rsidRPr="00104AEE" w:rsidRDefault="00B009DC" w:rsidP="00B009DC">
      <w:pPr>
        <w:ind w:left="2410" w:hanging="2410"/>
        <w:rPr>
          <w:lang w:val="de-CH"/>
        </w:rPr>
      </w:pPr>
      <w:r w:rsidRPr="00104AEE">
        <w:rPr>
          <w:lang w:val="de-CH"/>
        </w:rPr>
        <w:t>SRF</w:t>
      </w:r>
      <w:r w:rsidRPr="00104AEE">
        <w:rPr>
          <w:lang w:val="de-CH"/>
        </w:rPr>
        <w:tab/>
      </w:r>
      <w:r w:rsidRPr="00104AEE">
        <w:rPr>
          <w:i/>
          <w:iCs/>
          <w:lang w:val="de-CH"/>
        </w:rPr>
        <w:t>Schweizer Radio und Fernsehen</w:t>
      </w:r>
      <w:r w:rsidRPr="00104AEE">
        <w:rPr>
          <w:lang w:val="de-CH"/>
        </w:rPr>
        <w:t xml:space="preserve"> [Swiss Radio and Television]</w:t>
      </w:r>
    </w:p>
    <w:p w14:paraId="754630A7" w14:textId="77777777" w:rsidR="00B009DC" w:rsidRPr="00104AEE" w:rsidRDefault="00B009DC" w:rsidP="00B009DC">
      <w:pPr>
        <w:ind w:left="2410" w:hanging="2410"/>
        <w:rPr>
          <w:lang w:val="de-CH"/>
        </w:rPr>
      </w:pPr>
      <w:r w:rsidRPr="00104AEE">
        <w:rPr>
          <w:lang w:val="de-CH"/>
        </w:rPr>
        <w:t>SRG</w:t>
      </w:r>
      <w:r w:rsidRPr="00104AEE">
        <w:rPr>
          <w:lang w:val="de-CH"/>
        </w:rPr>
        <w:tab/>
      </w:r>
      <w:r w:rsidRPr="00104AEE">
        <w:rPr>
          <w:i/>
          <w:iCs/>
          <w:lang w:val="de-CH"/>
        </w:rPr>
        <w:t>Schweizerische Radio- und Fernsehgesellschaft</w:t>
      </w:r>
      <w:r w:rsidRPr="00104AEE">
        <w:rPr>
          <w:lang w:val="de-CH"/>
        </w:rPr>
        <w:t xml:space="preserve"> [Swiss Radio and Television Company]</w:t>
      </w:r>
    </w:p>
    <w:p w14:paraId="20C5803D" w14:textId="77777777" w:rsidR="00B009DC" w:rsidRPr="0001096E" w:rsidRDefault="00B009DC" w:rsidP="00B009DC">
      <w:pPr>
        <w:ind w:left="2410" w:hanging="2410"/>
        <w:rPr>
          <w:lang w:val="en-GB"/>
        </w:rPr>
      </w:pPr>
      <w:r w:rsidRPr="0001096E">
        <w:rPr>
          <w:lang w:val="en-GB"/>
        </w:rPr>
        <w:t>SSHID</w:t>
      </w:r>
      <w:r w:rsidRPr="0001096E">
        <w:rPr>
          <w:lang w:val="en-GB"/>
        </w:rPr>
        <w:tab/>
        <w:t>Swiss Society for Health in Intellectual Disability</w:t>
      </w:r>
    </w:p>
    <w:p w14:paraId="53D56A84" w14:textId="77777777" w:rsidR="00B009DC" w:rsidRPr="0001096E" w:rsidRDefault="00B009DC" w:rsidP="00B009DC">
      <w:pPr>
        <w:ind w:left="2410" w:hanging="2410"/>
        <w:rPr>
          <w:lang w:val="en-GB"/>
        </w:rPr>
      </w:pPr>
      <w:r w:rsidRPr="0001096E">
        <w:rPr>
          <w:lang w:val="en-GB"/>
        </w:rPr>
        <w:t>TG</w:t>
      </w:r>
      <w:r w:rsidRPr="0001096E">
        <w:rPr>
          <w:lang w:val="en-GB"/>
        </w:rPr>
        <w:tab/>
        <w:t>Canton of Thurgau</w:t>
      </w:r>
    </w:p>
    <w:p w14:paraId="3D64394C" w14:textId="77777777" w:rsidR="00B009DC" w:rsidRPr="0001096E" w:rsidRDefault="00B009DC" w:rsidP="00B009DC">
      <w:pPr>
        <w:ind w:left="2410" w:hanging="2410"/>
        <w:rPr>
          <w:lang w:val="en-GB"/>
        </w:rPr>
      </w:pPr>
      <w:r w:rsidRPr="0001096E">
        <w:rPr>
          <w:lang w:val="en-GB"/>
        </w:rPr>
        <w:t>UN</w:t>
      </w:r>
      <w:r w:rsidRPr="0001096E">
        <w:rPr>
          <w:lang w:val="en-GB"/>
        </w:rPr>
        <w:tab/>
        <w:t>United Nations</w:t>
      </w:r>
    </w:p>
    <w:p w14:paraId="48F6EF4D" w14:textId="77777777" w:rsidR="00B009DC" w:rsidRPr="0001096E" w:rsidRDefault="00B009DC" w:rsidP="00B009DC">
      <w:pPr>
        <w:ind w:left="2410" w:hanging="2410"/>
        <w:rPr>
          <w:lang w:val="en-GB"/>
        </w:rPr>
      </w:pPr>
      <w:r w:rsidRPr="0001096E">
        <w:rPr>
          <w:lang w:val="en-GB"/>
        </w:rPr>
        <w:t>UNHCR</w:t>
      </w:r>
      <w:r w:rsidRPr="0001096E">
        <w:rPr>
          <w:lang w:val="en-GB"/>
        </w:rPr>
        <w:tab/>
        <w:t>United Nations High Commissioner for Refugees</w:t>
      </w:r>
    </w:p>
    <w:p w14:paraId="44473CE2" w14:textId="77777777" w:rsidR="00B009DC" w:rsidRPr="0001096E" w:rsidRDefault="00B009DC" w:rsidP="00B009DC">
      <w:pPr>
        <w:ind w:left="2410" w:hanging="2410"/>
        <w:rPr>
          <w:lang w:val="en-GB"/>
        </w:rPr>
      </w:pPr>
      <w:r w:rsidRPr="0001096E">
        <w:rPr>
          <w:lang w:val="en-GB"/>
        </w:rPr>
        <w:t>UPR</w:t>
      </w:r>
      <w:r w:rsidRPr="0001096E">
        <w:rPr>
          <w:lang w:val="en-GB"/>
        </w:rPr>
        <w:tab/>
        <w:t>Universal Periodic Review</w:t>
      </w:r>
    </w:p>
    <w:p w14:paraId="7BF770C1" w14:textId="77777777" w:rsidR="00B009DC" w:rsidRPr="0001096E" w:rsidRDefault="00B009DC" w:rsidP="00B009DC">
      <w:pPr>
        <w:ind w:left="2410" w:hanging="2410"/>
        <w:rPr>
          <w:lang w:val="en-GB"/>
        </w:rPr>
      </w:pPr>
      <w:r w:rsidRPr="0001096E">
        <w:rPr>
          <w:lang w:val="en-GB"/>
        </w:rPr>
        <w:t>v.</w:t>
      </w:r>
      <w:r w:rsidRPr="0001096E">
        <w:rPr>
          <w:lang w:val="en-GB"/>
        </w:rPr>
        <w:tab/>
        <w:t>versus</w:t>
      </w:r>
    </w:p>
    <w:p w14:paraId="5EADA754" w14:textId="77777777" w:rsidR="00B009DC" w:rsidRPr="0001096E" w:rsidRDefault="00B009DC" w:rsidP="00B009DC">
      <w:pPr>
        <w:ind w:left="2410" w:hanging="2410"/>
        <w:rPr>
          <w:lang w:val="en-GB"/>
        </w:rPr>
      </w:pPr>
      <w:r w:rsidRPr="0001096E">
        <w:rPr>
          <w:lang w:val="en-GB"/>
        </w:rPr>
        <w:t>vahs</w:t>
      </w:r>
      <w:r w:rsidRPr="0001096E">
        <w:rPr>
          <w:lang w:val="en-GB"/>
        </w:rPr>
        <w:tab/>
      </w:r>
      <w:r w:rsidRPr="0001096E">
        <w:rPr>
          <w:i/>
          <w:iCs/>
          <w:lang w:val="en-GB"/>
        </w:rPr>
        <w:t>Verband für anthroposophische Heilpädagogik und Sozialtherapie</w:t>
      </w:r>
      <w:r w:rsidRPr="0001096E">
        <w:rPr>
          <w:lang w:val="en-GB"/>
        </w:rPr>
        <w:t xml:space="preserve"> [Association for Anthroposophical Special Education and Social Therapy]</w:t>
      </w:r>
    </w:p>
    <w:p w14:paraId="46F92E3D" w14:textId="77777777" w:rsidR="00B009DC" w:rsidRPr="0001096E" w:rsidRDefault="00B009DC" w:rsidP="00B009DC">
      <w:pPr>
        <w:ind w:left="2410" w:hanging="2410"/>
        <w:rPr>
          <w:lang w:val="en-GB"/>
        </w:rPr>
      </w:pPr>
      <w:r w:rsidRPr="0001096E">
        <w:rPr>
          <w:lang w:val="en-GB"/>
        </w:rPr>
        <w:t>VPETA</w:t>
      </w:r>
      <w:r w:rsidRPr="0001096E">
        <w:rPr>
          <w:lang w:val="en-GB"/>
        </w:rPr>
        <w:tab/>
        <w:t>Federal Act of 13 December 2002 on Vocational and Professional Education and Training (Vocational and Professional Education and Training Act; SR 412.10)</w:t>
      </w:r>
    </w:p>
    <w:p w14:paraId="606FA323" w14:textId="77777777" w:rsidR="00B009DC" w:rsidRPr="0001096E" w:rsidRDefault="00B009DC" w:rsidP="00B009DC">
      <w:pPr>
        <w:ind w:left="2410" w:hanging="2410"/>
        <w:rPr>
          <w:lang w:val="en-GB"/>
        </w:rPr>
      </w:pPr>
      <w:r w:rsidRPr="0001096E">
        <w:rPr>
          <w:lang w:val="en-GB"/>
        </w:rPr>
        <w:t>VS</w:t>
      </w:r>
      <w:r w:rsidRPr="0001096E">
        <w:rPr>
          <w:lang w:val="en-GB"/>
        </w:rPr>
        <w:tab/>
        <w:t>Canton of Valais</w:t>
      </w:r>
    </w:p>
    <w:p w14:paraId="35D272C5" w14:textId="77777777" w:rsidR="00B009DC" w:rsidRPr="0001096E" w:rsidRDefault="00B009DC" w:rsidP="00B009DC">
      <w:pPr>
        <w:ind w:left="2410" w:hanging="2410"/>
        <w:rPr>
          <w:lang w:val="en-GB"/>
        </w:rPr>
      </w:pPr>
      <w:r w:rsidRPr="0001096E">
        <w:rPr>
          <w:lang w:val="en-GB"/>
        </w:rPr>
        <w:lastRenderedPageBreak/>
        <w:t>VSA</w:t>
      </w:r>
      <w:r w:rsidRPr="0001096E">
        <w:rPr>
          <w:lang w:val="en-GB"/>
        </w:rPr>
        <w:tab/>
        <w:t>Federal Act of 23 March 2007 on the Provision of support to Victims of Crime (SR 312.5)</w:t>
      </w:r>
    </w:p>
    <w:p w14:paraId="6589CF79" w14:textId="77777777" w:rsidR="00B009DC" w:rsidRPr="0001096E" w:rsidRDefault="00B009DC" w:rsidP="00B009DC">
      <w:pPr>
        <w:ind w:left="2410" w:hanging="2410"/>
        <w:rPr>
          <w:lang w:val="en-GB"/>
        </w:rPr>
      </w:pPr>
      <w:r w:rsidRPr="0001096E">
        <w:rPr>
          <w:lang w:val="en-GB"/>
        </w:rPr>
        <w:t>WAGAMO</w:t>
      </w:r>
      <w:r w:rsidRPr="0001096E">
        <w:rPr>
          <w:lang w:val="en-GB"/>
        </w:rPr>
        <w:tab/>
        <w:t>Ordinance of 4 July 2012 on Asset Management by Welfare Advocates and Guardians (SR 211.223.11)</w:t>
      </w:r>
    </w:p>
    <w:p w14:paraId="72E941FA" w14:textId="77777777" w:rsidR="00B009DC" w:rsidRPr="0001096E" w:rsidRDefault="00B009DC" w:rsidP="00B009DC">
      <w:pPr>
        <w:ind w:left="2410" w:hanging="2410"/>
        <w:rPr>
          <w:lang w:val="en-GB"/>
        </w:rPr>
      </w:pPr>
      <w:r w:rsidRPr="0001096E">
        <w:rPr>
          <w:lang w:val="en-GB"/>
        </w:rPr>
        <w:t>WHO</w:t>
      </w:r>
      <w:r w:rsidRPr="0001096E">
        <w:rPr>
          <w:lang w:val="en-GB"/>
        </w:rPr>
        <w:tab/>
        <w:t>World Health Organization</w:t>
      </w:r>
    </w:p>
    <w:p w14:paraId="7994F8AC" w14:textId="77777777" w:rsidR="00B009DC" w:rsidRPr="0001096E" w:rsidRDefault="00B009DC" w:rsidP="00B009DC">
      <w:pPr>
        <w:ind w:left="2410" w:hanging="2410"/>
        <w:rPr>
          <w:lang w:val="en-GB"/>
        </w:rPr>
      </w:pPr>
      <w:r w:rsidRPr="0001096E">
        <w:rPr>
          <w:lang w:val="en-GB"/>
        </w:rPr>
        <w:t>ZG</w:t>
      </w:r>
      <w:r w:rsidRPr="0001096E">
        <w:rPr>
          <w:lang w:val="en-GB"/>
        </w:rPr>
        <w:tab/>
        <w:t>Canton of Zug</w:t>
      </w:r>
    </w:p>
    <w:p w14:paraId="6314CB34" w14:textId="77777777" w:rsidR="00B009DC" w:rsidRPr="00104AEE" w:rsidRDefault="00B009DC" w:rsidP="00B009DC">
      <w:pPr>
        <w:ind w:left="2410" w:hanging="2410"/>
        <w:rPr>
          <w:lang w:val="de-CH"/>
        </w:rPr>
      </w:pPr>
      <w:r w:rsidRPr="00104AEE">
        <w:rPr>
          <w:lang w:val="de-CH"/>
        </w:rPr>
        <w:t>ZH</w:t>
      </w:r>
      <w:r w:rsidRPr="00104AEE">
        <w:rPr>
          <w:lang w:val="de-CH"/>
        </w:rPr>
        <w:tab/>
        <w:t>Canton of Zurich</w:t>
      </w:r>
    </w:p>
    <w:p w14:paraId="2FC4794F" w14:textId="77777777" w:rsidR="00B009DC" w:rsidRPr="00104AEE" w:rsidRDefault="00B009DC" w:rsidP="00B009DC">
      <w:pPr>
        <w:ind w:left="2410" w:hanging="2410"/>
        <w:rPr>
          <w:lang w:val="de-CH"/>
        </w:rPr>
      </w:pPr>
      <w:r w:rsidRPr="00104AEE">
        <w:rPr>
          <w:lang w:val="de-CH"/>
        </w:rPr>
        <w:t>ZHAW</w:t>
      </w:r>
      <w:r w:rsidRPr="00104AEE">
        <w:rPr>
          <w:lang w:val="de-CH"/>
        </w:rPr>
        <w:tab/>
      </w:r>
      <w:r w:rsidRPr="00104AEE">
        <w:rPr>
          <w:i/>
          <w:iCs/>
          <w:lang w:val="de-CH"/>
        </w:rPr>
        <w:t>Zürcher Hochschule für Angewandte Wisse</w:t>
      </w:r>
      <w:r w:rsidRPr="00104AEE">
        <w:rPr>
          <w:lang w:val="de-CH"/>
        </w:rPr>
        <w:t>nschaften [Zurich University of Applied Sciences]</w:t>
      </w:r>
    </w:p>
    <w:p w14:paraId="1F6EA95D" w14:textId="77777777" w:rsidR="00B009DC" w:rsidRPr="00BD6E82" w:rsidRDefault="00B009DC" w:rsidP="00B009DC">
      <w:pPr>
        <w:ind w:left="2410" w:hanging="2410"/>
        <w:rPr>
          <w:lang w:val="de-CH"/>
        </w:rPr>
      </w:pPr>
      <w:r w:rsidRPr="00BD6E82">
        <w:rPr>
          <w:lang w:val="de-CH"/>
        </w:rPr>
        <w:t>ZVW</w:t>
      </w:r>
      <w:r w:rsidRPr="00BD6E82">
        <w:rPr>
          <w:lang w:val="de-CH"/>
        </w:rPr>
        <w:tab/>
      </w:r>
      <w:r w:rsidRPr="00BD6E82">
        <w:rPr>
          <w:i/>
          <w:iCs/>
          <w:lang w:val="de-CH"/>
        </w:rPr>
        <w:t>Zeitschrift für Vormundschaftswesen</w:t>
      </w:r>
      <w:r w:rsidRPr="00BD6E82">
        <w:rPr>
          <w:lang w:val="de-CH"/>
        </w:rPr>
        <w:t xml:space="preserve"> [Journal of the Guardianship System]</w:t>
      </w:r>
    </w:p>
    <w:p w14:paraId="73640A35" w14:textId="77777777" w:rsidR="00C177BB" w:rsidRPr="00BD6E82" w:rsidRDefault="00C177BB" w:rsidP="00B009DC">
      <w:pPr>
        <w:tabs>
          <w:tab w:val="left" w:pos="2410"/>
        </w:tabs>
        <w:rPr>
          <w:rFonts w:eastAsia="MS Gothic"/>
          <w:b/>
          <w:lang w:val="de-CH"/>
        </w:rPr>
      </w:pPr>
    </w:p>
    <w:sectPr w:rsidR="00C177BB" w:rsidRPr="00BD6E82" w:rsidSect="00D65CB1">
      <w:headerReference w:type="even" r:id="rId30"/>
      <w:headerReference w:type="default" r:id="rId31"/>
      <w:footerReference w:type="even" r:id="rId32"/>
      <w:footerReference w:type="default" r:id="rId33"/>
      <w:headerReference w:type="first" r:id="rId34"/>
      <w:pgSz w:w="11906" w:h="16838"/>
      <w:pgMar w:top="1560" w:right="1418" w:bottom="1134" w:left="1418" w:header="851" w:footer="19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B325C" w14:textId="77777777" w:rsidR="00D739C9" w:rsidRDefault="00D739C9" w:rsidP="00E448CB">
      <w:pPr>
        <w:spacing w:after="0"/>
      </w:pPr>
      <w:r>
        <w:separator/>
      </w:r>
    </w:p>
  </w:endnote>
  <w:endnote w:type="continuationSeparator" w:id="0">
    <w:p w14:paraId="4A9743A1" w14:textId="77777777" w:rsidR="00D739C9" w:rsidRDefault="00D739C9" w:rsidP="00E448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Rotis Sans Serif Std">
    <w:altName w:val="Rotis Sans Serif St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3937446"/>
      <w:docPartObj>
        <w:docPartGallery w:val="Page Numbers (Bottom of Page)"/>
        <w:docPartUnique/>
      </w:docPartObj>
    </w:sdtPr>
    <w:sdtEndPr/>
    <w:sdtContent>
      <w:p w14:paraId="4F71EBF0" w14:textId="1AAAC12E" w:rsidR="00D739C9" w:rsidRDefault="00D739C9">
        <w:pPr>
          <w:pStyle w:val="Footer"/>
        </w:pPr>
        <w:r>
          <w:fldChar w:fldCharType="begin"/>
        </w:r>
        <w:r>
          <w:instrText>PAGE   \* MERGEFORMAT</w:instrText>
        </w:r>
        <w:r>
          <w:fldChar w:fldCharType="separate"/>
        </w:r>
        <w:r w:rsidR="00C71D65" w:rsidRPr="00C71D65">
          <w:rPr>
            <w:noProof/>
            <w:lang w:val="de-DE"/>
          </w:rPr>
          <w:t>38</w:t>
        </w:r>
        <w:r>
          <w:fldChar w:fldCharType="end"/>
        </w:r>
      </w:p>
    </w:sdtContent>
  </w:sdt>
  <w:p w14:paraId="60754082" w14:textId="77777777" w:rsidR="00D739C9" w:rsidRDefault="00D739C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945878"/>
      <w:docPartObj>
        <w:docPartGallery w:val="Page Numbers (Bottom of Page)"/>
        <w:docPartUnique/>
      </w:docPartObj>
    </w:sdtPr>
    <w:sdtEndPr/>
    <w:sdtContent>
      <w:p w14:paraId="53086D51" w14:textId="5C02A512" w:rsidR="00D739C9" w:rsidRDefault="00D739C9">
        <w:pPr>
          <w:pStyle w:val="Footer"/>
          <w:jc w:val="right"/>
        </w:pPr>
        <w:r>
          <w:fldChar w:fldCharType="begin"/>
        </w:r>
        <w:r>
          <w:instrText>PAGE   \* MERGEFORMAT</w:instrText>
        </w:r>
        <w:r>
          <w:fldChar w:fldCharType="separate"/>
        </w:r>
        <w:r w:rsidR="00C71D65" w:rsidRPr="00C71D65">
          <w:rPr>
            <w:noProof/>
            <w:lang w:val="de-DE"/>
          </w:rPr>
          <w:t>39</w:t>
        </w:r>
        <w:r>
          <w:fldChar w:fldCharType="end"/>
        </w:r>
      </w:p>
    </w:sdtContent>
  </w:sdt>
  <w:p w14:paraId="05569059" w14:textId="77777777" w:rsidR="00D739C9" w:rsidRDefault="00D739C9" w:rsidP="00A7258A">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4BA6C" w14:textId="77777777" w:rsidR="00D739C9" w:rsidRDefault="00D739C9" w:rsidP="00E448CB">
      <w:pPr>
        <w:spacing w:after="0"/>
      </w:pPr>
      <w:r>
        <w:separator/>
      </w:r>
    </w:p>
  </w:footnote>
  <w:footnote w:type="continuationSeparator" w:id="0">
    <w:p w14:paraId="59D1D217" w14:textId="77777777" w:rsidR="00D739C9" w:rsidRDefault="00D739C9" w:rsidP="00E448CB">
      <w:pPr>
        <w:spacing w:after="0"/>
      </w:pPr>
      <w:r>
        <w:continuationSeparator/>
      </w:r>
    </w:p>
  </w:footnote>
  <w:footnote w:id="1">
    <w:p w14:paraId="0C0EAF58" w14:textId="76217078" w:rsidR="00D739C9" w:rsidRPr="005C7271" w:rsidRDefault="00D739C9" w:rsidP="0001096E">
      <w:pPr>
        <w:pStyle w:val="Fussnote"/>
        <w:rPr>
          <w:lang w:val="en-US"/>
        </w:rPr>
      </w:pPr>
      <w:r>
        <w:rPr>
          <w:rStyle w:val="FootnoteReference"/>
        </w:rPr>
        <w:footnoteRef/>
      </w:r>
      <w:r>
        <w:t xml:space="preserve"> </w:t>
      </w:r>
      <w:hyperlink r:id="rId1" w:history="1">
        <w:r w:rsidRPr="00EF249A">
          <w:rPr>
            <w:rStyle w:val="Hyperlink"/>
          </w:rPr>
          <w:t xml:space="preserve">Botschaft des Bundesrates zur Genehmigung des Übereinkommens vom 13. </w:t>
        </w:r>
        <w:r w:rsidRPr="00EF249A">
          <w:rPr>
            <w:rStyle w:val="Hyperlink"/>
            <w:lang w:val="en-US"/>
          </w:rPr>
          <w:t>Dezember 2006 über die Rechte von MmB vom 19. Dezember 2012</w:t>
        </w:r>
      </w:hyperlink>
      <w:r>
        <w:rPr>
          <w:lang w:val="en-US"/>
        </w:rPr>
        <w:t xml:space="preserve"> </w:t>
      </w:r>
      <w:r w:rsidRPr="005C7271">
        <w:rPr>
          <w:lang w:val="en-US"/>
        </w:rPr>
        <w:t xml:space="preserve">[Federal Council Dispatch of 19 December 2012 on the Approval of the Convention on the Rights of Persons with Disabilities of 13 December 2006], Federal Gazette 2013 661, 662. </w:t>
      </w:r>
      <w:r>
        <w:t xml:space="preserve">See also in this regard </w:t>
      </w:r>
      <w:hyperlink r:id="rId2" w:history="1">
        <w:r w:rsidRPr="00770E1F">
          <w:rPr>
            <w:rStyle w:val="Hyperlink"/>
          </w:rPr>
          <w:t xml:space="preserve">Erster Bericht der Schweizer Regierung über die Umsetzung des Übereinkommens über die Rechte der MmB vom 29. </w:t>
        </w:r>
        <w:r w:rsidRPr="00770E1F">
          <w:rPr>
            <w:rStyle w:val="Hyperlink"/>
            <w:lang w:val="en-US"/>
          </w:rPr>
          <w:t>Juni 2016</w:t>
        </w:r>
      </w:hyperlink>
      <w:r w:rsidRPr="005C7271">
        <w:rPr>
          <w:lang w:val="en-US"/>
        </w:rPr>
        <w:t xml:space="preserve"> [Initial Report of the Swiss Government of 29 June 2016 on the Implementation of the Convention on the Rights of Persons with Disabilities], para. 6.</w:t>
      </w:r>
    </w:p>
  </w:footnote>
  <w:footnote w:id="2">
    <w:p w14:paraId="2A6988CE" w14:textId="7BE4AB7E" w:rsidR="00D739C9" w:rsidRPr="005C7271" w:rsidRDefault="00D739C9" w:rsidP="0001096E">
      <w:pPr>
        <w:pStyle w:val="Fussnote"/>
        <w:rPr>
          <w:lang w:val="en-US"/>
        </w:rPr>
      </w:pPr>
      <w:r>
        <w:rPr>
          <w:rStyle w:val="FootnoteReference"/>
        </w:rPr>
        <w:footnoteRef/>
      </w:r>
      <w:r w:rsidRPr="005C7271">
        <w:rPr>
          <w:lang w:val="en-US"/>
        </w:rPr>
        <w:t xml:space="preserve"> In connection with the DDA, this is confirmed by the results of an assessment published in 2015: </w:t>
      </w:r>
      <w:hyperlink r:id="rId3" w:history="1">
        <w:r w:rsidRPr="00770E1F">
          <w:rPr>
            <w:rStyle w:val="Hyperlink"/>
            <w:smallCaps/>
            <w:lang w:val="en-US"/>
          </w:rPr>
          <w:t>Theres Egger/Heidi Stutz/Jolanda Jäggi/ Livia Bannwart/Thomas Oesch/Tarek Naguib/Kurt Pärli (ZHAW/BASS)</w:t>
        </w:r>
        <w:r w:rsidRPr="00770E1F">
          <w:rPr>
            <w:rStyle w:val="Hyperlink"/>
            <w:lang w:val="en-US"/>
          </w:rPr>
          <w:t>, Evaluation des Bundesgesetzes über die Beseitigung von Benachteiligungen von MmB – BehiG, im Auftrag des EBGB</w:t>
        </w:r>
      </w:hyperlink>
      <w:r w:rsidRPr="005C7271">
        <w:rPr>
          <w:lang w:val="en-US"/>
        </w:rPr>
        <w:t xml:space="preserve"> [Assessment of the Swiss Federal Act on the Elimination of Discrimination against People with Disabilities – DDA, commissioned by the FBED], Bern, August 2015.</w:t>
      </w:r>
    </w:p>
  </w:footnote>
  <w:footnote w:id="3">
    <w:p w14:paraId="2D3D36EE" w14:textId="0E940360" w:rsidR="00D739C9" w:rsidRPr="00BD6E82" w:rsidRDefault="00D739C9" w:rsidP="005D3D06">
      <w:pPr>
        <w:pStyle w:val="Fussnote"/>
      </w:pPr>
      <w:r>
        <w:rPr>
          <w:rStyle w:val="FootnoteReference"/>
        </w:rPr>
        <w:footnoteRef/>
      </w:r>
      <w:r w:rsidRPr="00BD6E82">
        <w:t xml:space="preserve"> </w:t>
      </w:r>
      <w:hyperlink r:id="rId4" w:history="1">
        <w:r w:rsidRPr="00BD6E82">
          <w:rPr>
            <w:rStyle w:val="Hyperlink"/>
          </w:rPr>
          <w:t>Bericht des Bundesrates vom 09. 05. 2018</w:t>
        </w:r>
      </w:hyperlink>
      <w:r w:rsidRPr="00BD6E82">
        <w:t>, Behindertenpolitik [Federal Council Disability Policy Report].</w:t>
      </w:r>
    </w:p>
  </w:footnote>
  <w:footnote w:id="4">
    <w:p w14:paraId="207119C3" w14:textId="77777777" w:rsidR="00D739C9" w:rsidRPr="00104AEE" w:rsidRDefault="00D739C9" w:rsidP="005D3D06">
      <w:pPr>
        <w:pStyle w:val="Fussnote"/>
        <w:rPr>
          <w:lang w:val="en-US"/>
        </w:rPr>
      </w:pPr>
      <w:r>
        <w:rPr>
          <w:rStyle w:val="FootnoteReference"/>
        </w:rPr>
        <w:footnoteRef/>
      </w:r>
      <w:r w:rsidRPr="00104AEE">
        <w:rPr>
          <w:lang w:val="en-US"/>
        </w:rPr>
        <w:t xml:space="preserve"> The 2022-2026 period is currently scheduled for the priority topic “Living Independently”.</w:t>
      </w:r>
    </w:p>
  </w:footnote>
  <w:footnote w:id="5">
    <w:p w14:paraId="2DF60464" w14:textId="5A487280" w:rsidR="00D739C9" w:rsidRPr="00ED1A8F" w:rsidRDefault="00D739C9" w:rsidP="005D3D06">
      <w:pPr>
        <w:pStyle w:val="Fussnote"/>
        <w:rPr>
          <w:lang w:val="en-US"/>
        </w:rPr>
      </w:pPr>
      <w:r>
        <w:rPr>
          <w:rStyle w:val="FootnoteReference"/>
        </w:rPr>
        <w:footnoteRef/>
      </w:r>
      <w:r w:rsidRPr="00104AEE">
        <w:rPr>
          <w:lang w:val="en-US"/>
        </w:rPr>
        <w:t xml:space="preserve"> Disability Policy Report (fn. </w:t>
      </w:r>
      <w:r>
        <w:fldChar w:fldCharType="begin"/>
      </w:r>
      <w:r w:rsidRPr="00104AEE">
        <w:rPr>
          <w:lang w:val="en-US"/>
        </w:rPr>
        <w:instrText xml:space="preserve"> NOTEREF _Ref15242908 \h  \* MERGEFORMAT </w:instrText>
      </w:r>
      <w:r>
        <w:fldChar w:fldCharType="separate"/>
      </w:r>
      <w:r w:rsidRPr="00ED1A8F">
        <w:rPr>
          <w:lang w:val="en-US"/>
        </w:rPr>
        <w:t>3</w:t>
      </w:r>
      <w:r>
        <w:fldChar w:fldCharType="end"/>
      </w:r>
      <w:r w:rsidRPr="00ED1A8F">
        <w:rPr>
          <w:lang w:val="en-US"/>
        </w:rPr>
        <w:t>), p. 42 ff.</w:t>
      </w:r>
    </w:p>
  </w:footnote>
  <w:footnote w:id="6">
    <w:p w14:paraId="52132CCB" w14:textId="7734ECE2" w:rsidR="00D739C9" w:rsidRPr="00AB763D" w:rsidRDefault="00D739C9" w:rsidP="005D3D06">
      <w:pPr>
        <w:pStyle w:val="Fussnote"/>
      </w:pPr>
      <w:r>
        <w:rPr>
          <w:rStyle w:val="FootnoteReference"/>
        </w:rPr>
        <w:footnoteRef/>
      </w:r>
      <w:r w:rsidRPr="008E5854">
        <w:t xml:space="preserve"> </w:t>
      </w:r>
      <w:hyperlink r:id="rId5" w:history="1">
        <w:r w:rsidRPr="00AB763D">
          <w:rPr>
            <w:rStyle w:val="Hyperlink"/>
            <w:szCs w:val="18"/>
          </w:rPr>
          <w:t>Gesetz über die Rechte von Menschen mit Behinderungen (Behindertenrechtegesetz, BRG; SR/BS 140.500)</w:t>
        </w:r>
      </w:hyperlink>
      <w:r w:rsidRPr="00AB763D">
        <w:rPr>
          <w:szCs w:val="18"/>
        </w:rPr>
        <w:t xml:space="preserve">; </w:t>
      </w:r>
      <w:hyperlink r:id="rId6" w:history="1">
        <w:r w:rsidRPr="00AB763D">
          <w:rPr>
            <w:rStyle w:val="Hyperlink"/>
          </w:rPr>
          <w:t>BRG BS Ratschlag und Bericht</w:t>
        </w:r>
      </w:hyperlink>
      <w:r w:rsidRPr="00AB763D">
        <w:rPr>
          <w:rStyle w:val="Hyperlink"/>
        </w:rPr>
        <w:t xml:space="preserve"> [</w:t>
      </w:r>
      <w:r w:rsidRPr="00AB763D">
        <w:t>Act on the Rights of Persons with Disabilities, advice and report].</w:t>
      </w:r>
    </w:p>
  </w:footnote>
  <w:footnote w:id="7">
    <w:p w14:paraId="44AA57FD" w14:textId="750B5E4C" w:rsidR="00D739C9" w:rsidRPr="00104AEE" w:rsidRDefault="00D739C9" w:rsidP="005D3D06">
      <w:pPr>
        <w:pStyle w:val="Fussnote"/>
        <w:rPr>
          <w:lang w:val="en-US"/>
        </w:rPr>
      </w:pPr>
      <w:r w:rsidRPr="00AB763D">
        <w:rPr>
          <w:rStyle w:val="FootnoteReference"/>
        </w:rPr>
        <w:footnoteRef/>
      </w:r>
      <w:r w:rsidRPr="00104AEE">
        <w:rPr>
          <w:lang w:val="en-US"/>
        </w:rPr>
        <w:t xml:space="preserve"> In the </w:t>
      </w:r>
      <w:r>
        <w:rPr>
          <w:lang w:val="en-US"/>
        </w:rPr>
        <w:t>C</w:t>
      </w:r>
      <w:r w:rsidRPr="00104AEE">
        <w:rPr>
          <w:lang w:val="en-US"/>
        </w:rPr>
        <w:t xml:space="preserve">anton of Valais, this was a partial revision in the light of the CRPD of a pre-existing law: </w:t>
      </w:r>
      <w:hyperlink r:id="rId7" w:history="1">
        <w:r w:rsidRPr="00433554">
          <w:rPr>
            <w:rStyle w:val="Hyperlink"/>
            <w:lang w:val="en-US"/>
          </w:rPr>
          <w:t>Gesetz über die Rechte und die Inklusion von Menschen mit Behinderungen vom 31.1.1991</w:t>
        </w:r>
        <w:r w:rsidRPr="00AB763D">
          <w:rPr>
            <w:rStyle w:val="Hyperlink"/>
            <w:lang w:val="en-US"/>
          </w:rPr>
          <w:t xml:space="preserve"> (GRIMB; SR/VS 850.6)</w:t>
        </w:r>
      </w:hyperlink>
      <w:r w:rsidRPr="00AB763D">
        <w:rPr>
          <w:rStyle w:val="Hyperlink"/>
          <w:lang w:val="en-US"/>
        </w:rPr>
        <w:t xml:space="preserve"> </w:t>
      </w:r>
      <w:r w:rsidRPr="005D3D06">
        <w:rPr>
          <w:rStyle w:val="Hyperlink"/>
          <w:u w:val="none"/>
          <w:lang w:val="en-US"/>
        </w:rPr>
        <w:t>[Act of 31.1.1991 on the Rights and Inclusion of Persons with Disabilities].</w:t>
      </w:r>
    </w:p>
  </w:footnote>
  <w:footnote w:id="8">
    <w:p w14:paraId="55FE627F" w14:textId="79E7867B" w:rsidR="00D739C9" w:rsidRPr="00104AEE" w:rsidRDefault="00D739C9" w:rsidP="005D3D06">
      <w:pPr>
        <w:pStyle w:val="Fussnote"/>
        <w:rPr>
          <w:lang w:val="en-US"/>
        </w:rPr>
      </w:pPr>
      <w:r>
        <w:rPr>
          <w:rStyle w:val="FootnoteReference"/>
        </w:rPr>
        <w:footnoteRef/>
      </w:r>
      <w:r w:rsidRPr="00104AEE">
        <w:rPr>
          <w:lang w:val="en-US"/>
        </w:rPr>
        <w:t xml:space="preserve"> Section 8 BRG Basel-Stadt (in force since 1.7.2020) and Article 35e GRIMB VS (entry into force planned on 1.1.2022). In 2018, an </w:t>
      </w:r>
      <w:hyperlink r:id="rId8" w:history="1">
        <w:r w:rsidRPr="00F15A6C">
          <w:rPr>
            <w:rStyle w:val="Hyperlink"/>
            <w:lang w:val="en-US"/>
          </w:rPr>
          <w:t>“Act on PWD” (SR/FR 10.4)</w:t>
        </w:r>
      </w:hyperlink>
      <w:r w:rsidRPr="00104AEE">
        <w:rPr>
          <w:lang w:val="en-US"/>
        </w:rPr>
        <w:t xml:space="preserve"> also came into force in the </w:t>
      </w:r>
      <w:r>
        <w:rPr>
          <w:lang w:val="en-US"/>
        </w:rPr>
        <w:t>C</w:t>
      </w:r>
      <w:r w:rsidRPr="00104AEE">
        <w:rPr>
          <w:lang w:val="en-US"/>
        </w:rPr>
        <w:t>anton of Fribourg. This is based on the CRPD but remains very general and does not provide any legal entitlements to PWD.</w:t>
      </w:r>
    </w:p>
  </w:footnote>
  <w:footnote w:id="9">
    <w:p w14:paraId="0ED73064" w14:textId="1FB815D0" w:rsidR="00D739C9" w:rsidRPr="00104AEE" w:rsidRDefault="00D739C9" w:rsidP="001D7D8C">
      <w:pPr>
        <w:pStyle w:val="Fussnote"/>
        <w:rPr>
          <w:lang w:val="en-US"/>
        </w:rPr>
      </w:pPr>
      <w:r>
        <w:rPr>
          <w:rStyle w:val="FootnoteReference"/>
        </w:rPr>
        <w:footnoteRef/>
      </w:r>
      <w:r w:rsidRPr="00104AEE">
        <w:rPr>
          <w:lang w:val="en-US"/>
        </w:rPr>
        <w:t xml:space="preserve"> </w:t>
      </w:r>
      <w:hyperlink r:id="rId9" w:history="1">
        <w:r w:rsidRPr="001D7D8C">
          <w:rPr>
            <w:rStyle w:val="Hyperlink"/>
            <w:lang w:val="en-GB"/>
          </w:rPr>
          <w:t>www.rtn.ch</w:t>
        </w:r>
      </w:hyperlink>
      <w:r>
        <w:rPr>
          <w:lang w:val="en-GB"/>
        </w:rPr>
        <w:t xml:space="preserve">; </w:t>
      </w:r>
      <w:hyperlink r:id="rId10" w:history="1">
        <w:r w:rsidRPr="000E4086">
          <w:rPr>
            <w:rStyle w:val="Hyperlink"/>
            <w:lang w:val="en-US"/>
          </w:rPr>
          <w:t>Report of the Cantonal Council to the Cantonal Parliament of 22 February 2021 in support of a bill on the inclusion and support of PWD (LINcA)</w:t>
        </w:r>
      </w:hyperlink>
      <w:r w:rsidRPr="00104AEE">
        <w:rPr>
          <w:lang w:val="en-US"/>
        </w:rPr>
        <w:t xml:space="preserve">. </w:t>
      </w:r>
    </w:p>
  </w:footnote>
  <w:footnote w:id="10">
    <w:p w14:paraId="1B1576F5" w14:textId="285D77A9" w:rsidR="00D739C9" w:rsidRPr="00592C09" w:rsidRDefault="00D739C9" w:rsidP="005D3D06">
      <w:pPr>
        <w:pStyle w:val="Fussnote"/>
        <w:rPr>
          <w:lang w:val="en-US"/>
        </w:rPr>
      </w:pPr>
      <w:r>
        <w:rPr>
          <w:rStyle w:val="FootnoteReference"/>
        </w:rPr>
        <w:footnoteRef/>
      </w:r>
      <w:r w:rsidRPr="00ED1A8F">
        <w:rPr>
          <w:lang w:val="en-US"/>
        </w:rPr>
        <w:t xml:space="preserve"> S. </w:t>
      </w:r>
      <w:hyperlink r:id="rId11" w:history="1">
        <w:r w:rsidRPr="00592C09">
          <w:rPr>
            <w:rStyle w:val="Hyperlink"/>
            <w:lang w:val="en-US"/>
          </w:rPr>
          <w:t>Press</w:t>
        </w:r>
        <w:r>
          <w:rPr>
            <w:rStyle w:val="Hyperlink"/>
            <w:lang w:val="en-US"/>
          </w:rPr>
          <w:t xml:space="preserve"> </w:t>
        </w:r>
        <w:r w:rsidRPr="00592C09">
          <w:rPr>
            <w:rStyle w:val="Hyperlink"/>
            <w:lang w:val="en-US"/>
          </w:rPr>
          <w:t xml:space="preserve">release of the Governement of the </w:t>
        </w:r>
        <w:r>
          <w:rPr>
            <w:rStyle w:val="Hyperlink"/>
            <w:lang w:val="en-US"/>
          </w:rPr>
          <w:t>C</w:t>
        </w:r>
        <w:r w:rsidRPr="00592C09">
          <w:rPr>
            <w:rStyle w:val="Hyperlink"/>
            <w:lang w:val="en-US"/>
          </w:rPr>
          <w:t>anton of Basel-Landschaft from 17.8.2021</w:t>
        </w:r>
      </w:hyperlink>
      <w:r w:rsidRPr="00592C09">
        <w:rPr>
          <w:lang w:val="en-US"/>
        </w:rPr>
        <w:t>.</w:t>
      </w:r>
    </w:p>
  </w:footnote>
  <w:footnote w:id="11">
    <w:p w14:paraId="7B52BF7C" w14:textId="232B16E2" w:rsidR="00D739C9" w:rsidRPr="00C97C0A" w:rsidRDefault="00D739C9" w:rsidP="005D3D06">
      <w:pPr>
        <w:pStyle w:val="Fussnote"/>
        <w:rPr>
          <w:lang w:val="fr-FR"/>
        </w:rPr>
      </w:pPr>
      <w:r>
        <w:rPr>
          <w:rStyle w:val="FootnoteReference"/>
        </w:rPr>
        <w:footnoteRef/>
      </w:r>
      <w:r w:rsidRPr="00C97C0A">
        <w:rPr>
          <w:lang w:val="fr-FR"/>
        </w:rPr>
        <w:t xml:space="preserve"> </w:t>
      </w:r>
      <w:hyperlink r:id="rId12" w:history="1">
        <w:r w:rsidRPr="00C97C0A">
          <w:rPr>
            <w:rStyle w:val="Hyperlink"/>
            <w:lang w:val="fr-FR"/>
          </w:rPr>
          <w:t>Motion Arnaud Bouverat et al. dated 6.10.2020</w:t>
        </w:r>
      </w:hyperlink>
      <w:r w:rsidRPr="00C97C0A">
        <w:rPr>
          <w:lang w:val="fr-FR"/>
        </w:rPr>
        <w:t xml:space="preserve">; </w:t>
      </w:r>
      <w:hyperlink r:id="rId13" w:history="1">
        <w:r w:rsidRPr="00C97C0A">
          <w:rPr>
            <w:rStyle w:val="Hyperlink"/>
            <w:lang w:val="fr-FR"/>
          </w:rPr>
          <w:t>Motion Julien Cuérel et al. dated 6.10.2020</w:t>
        </w:r>
      </w:hyperlink>
      <w:r w:rsidRPr="00C97C0A">
        <w:rPr>
          <w:lang w:val="fr-FR"/>
        </w:rPr>
        <w:t>.</w:t>
      </w:r>
    </w:p>
  </w:footnote>
  <w:footnote w:id="12">
    <w:p w14:paraId="3088F9E6" w14:textId="47199951" w:rsidR="00D739C9" w:rsidRPr="00C97C0A" w:rsidRDefault="00D739C9" w:rsidP="005D3D06">
      <w:pPr>
        <w:pStyle w:val="Fussnote"/>
        <w:rPr>
          <w:lang w:val="fr-FR"/>
        </w:rPr>
      </w:pPr>
      <w:r w:rsidRPr="00CC4DB3">
        <w:rPr>
          <w:rStyle w:val="FootnoteReference"/>
        </w:rPr>
        <w:footnoteRef/>
      </w:r>
      <w:r w:rsidRPr="00C97C0A">
        <w:rPr>
          <w:lang w:val="fr-FR"/>
        </w:rPr>
        <w:t xml:space="preserve"> </w:t>
      </w:r>
      <w:hyperlink r:id="rId14" w:history="1">
        <w:r w:rsidRPr="00C97C0A">
          <w:rPr>
            <w:rStyle w:val="Hyperlink"/>
            <w:lang w:val="fr-FR"/>
          </w:rPr>
          <w:t>Motion Gabriel Friche dated 29.1.2020</w:t>
        </w:r>
      </w:hyperlink>
      <w:r w:rsidRPr="00C97C0A">
        <w:rPr>
          <w:lang w:val="fr-FR"/>
        </w:rPr>
        <w:t>.</w:t>
      </w:r>
    </w:p>
  </w:footnote>
  <w:footnote w:id="13">
    <w:p w14:paraId="11E7BE28" w14:textId="3C1BA1A0" w:rsidR="00D739C9" w:rsidRPr="00C97C0A" w:rsidRDefault="00D739C9" w:rsidP="005D3D06">
      <w:pPr>
        <w:pStyle w:val="Fussnote"/>
        <w:rPr>
          <w:sz w:val="22"/>
          <w:lang w:val="fr-FR"/>
        </w:rPr>
      </w:pPr>
      <w:r>
        <w:rPr>
          <w:rStyle w:val="FootnoteReference"/>
        </w:rPr>
        <w:footnoteRef/>
      </w:r>
      <w:r w:rsidRPr="00C97C0A">
        <w:rPr>
          <w:lang w:val="fr-FR"/>
        </w:rPr>
        <w:t xml:space="preserve"> </w:t>
      </w:r>
      <w:hyperlink r:id="rId15" w:history="1">
        <w:r w:rsidRPr="00C97C0A">
          <w:rPr>
            <w:rStyle w:val="Hyperlink"/>
            <w:smallCaps/>
            <w:lang w:val="fr-FR"/>
          </w:rPr>
          <w:t>Tarek Naguib/Sylvie Johner-Kobi/Fiona Gisler</w:t>
        </w:r>
        <w:r w:rsidRPr="00C97C0A">
          <w:rPr>
            <w:rStyle w:val="Hyperlink"/>
            <w:lang w:val="fr-FR"/>
          </w:rPr>
          <w:t xml:space="preserve"> (ZHAW), Handlungsbedarf aufgrund der UNO-Behindertenrechtskonvention im Kanton Zürich [Need for action based on the UN CRPD in the Canton of Zurich], 2018</w:t>
        </w:r>
      </w:hyperlink>
      <w:r w:rsidRPr="00C97C0A">
        <w:rPr>
          <w:lang w:val="fr-FR"/>
        </w:rPr>
        <w:t>.</w:t>
      </w:r>
    </w:p>
  </w:footnote>
  <w:footnote w:id="14">
    <w:p w14:paraId="0276B098" w14:textId="0B1451DE" w:rsidR="00D739C9" w:rsidRPr="003D2F0B" w:rsidRDefault="00D739C9" w:rsidP="005D3D06">
      <w:pPr>
        <w:pStyle w:val="Fussnote"/>
        <w:rPr>
          <w:lang w:val="en-US"/>
        </w:rPr>
      </w:pPr>
      <w:r>
        <w:rPr>
          <w:rStyle w:val="FootnoteReference"/>
        </w:rPr>
        <w:footnoteRef/>
      </w:r>
      <w:r w:rsidRPr="003D2F0B">
        <w:rPr>
          <w:lang w:val="en-US"/>
        </w:rPr>
        <w:t xml:space="preserve"> </w:t>
      </w:r>
      <w:hyperlink r:id="rId16" w:history="1">
        <w:r w:rsidRPr="003D2F0B">
          <w:rPr>
            <w:rStyle w:val="Hyperlink"/>
            <w:lang w:val="en-US"/>
          </w:rPr>
          <w:t>Website of the Canton Zurich, Living with a Disability</w:t>
        </w:r>
      </w:hyperlink>
      <w:r w:rsidRPr="003D2F0B">
        <w:rPr>
          <w:lang w:val="en-US"/>
        </w:rPr>
        <w:t xml:space="preserve">. </w:t>
      </w:r>
    </w:p>
  </w:footnote>
  <w:footnote w:id="15">
    <w:p w14:paraId="1E616334" w14:textId="259563DA" w:rsidR="00D739C9" w:rsidRPr="003D2F0B" w:rsidRDefault="00D739C9" w:rsidP="005D3D06">
      <w:pPr>
        <w:pStyle w:val="Fussnote"/>
        <w:rPr>
          <w:lang w:val="en-US"/>
        </w:rPr>
      </w:pPr>
      <w:r>
        <w:rPr>
          <w:rStyle w:val="FootnoteReference"/>
        </w:rPr>
        <w:footnoteRef/>
      </w:r>
      <w:r w:rsidRPr="003D2F0B">
        <w:rPr>
          <w:lang w:val="en-US"/>
        </w:rPr>
        <w:t xml:space="preserve"> </w:t>
      </w:r>
      <w:hyperlink r:id="rId17" w:history="1">
        <w:r w:rsidRPr="003D2F0B">
          <w:rPr>
            <w:rStyle w:val="Hyperlink"/>
            <w:lang w:val="en-US"/>
          </w:rPr>
          <w:t>SRF article dated 17.1.2022</w:t>
        </w:r>
      </w:hyperlink>
      <w:r w:rsidRPr="003D2F0B">
        <w:rPr>
          <w:lang w:val="en-US"/>
        </w:rPr>
        <w:t xml:space="preserve">. </w:t>
      </w:r>
    </w:p>
  </w:footnote>
  <w:footnote w:id="16">
    <w:p w14:paraId="19278D46" w14:textId="6F24707E" w:rsidR="00D739C9" w:rsidRPr="00104AEE" w:rsidRDefault="00D739C9" w:rsidP="005D3D06">
      <w:pPr>
        <w:pStyle w:val="Fussnote"/>
        <w:rPr>
          <w:lang w:val="en-US"/>
        </w:rPr>
      </w:pPr>
      <w:r>
        <w:rPr>
          <w:rStyle w:val="FootnoteReference"/>
        </w:rPr>
        <w:footnoteRef/>
      </w:r>
      <w:r w:rsidRPr="00104AEE">
        <w:rPr>
          <w:lang w:val="en-US"/>
        </w:rPr>
        <w:t xml:space="preserve"> </w:t>
      </w:r>
      <w:hyperlink r:id="rId18" w:history="1">
        <w:r w:rsidRPr="005F48DB">
          <w:rPr>
            <w:rStyle w:val="Hyperlink"/>
            <w:lang w:val="en-US"/>
          </w:rPr>
          <w:t>Website socialdesi</w:t>
        </w:r>
        <w:r>
          <w:rPr>
            <w:rStyle w:val="Hyperlink"/>
            <w:lang w:val="en-US"/>
          </w:rPr>
          <w:t>gn.ch</w:t>
        </w:r>
      </w:hyperlink>
      <w:r w:rsidRPr="00104AEE">
        <w:rPr>
          <w:lang w:val="en-US"/>
        </w:rPr>
        <w:t>.</w:t>
      </w:r>
    </w:p>
  </w:footnote>
  <w:footnote w:id="17">
    <w:p w14:paraId="1D637692" w14:textId="63FC8ADB" w:rsidR="00D739C9" w:rsidRPr="003D2F0B" w:rsidRDefault="00D739C9" w:rsidP="005D3D06">
      <w:pPr>
        <w:pStyle w:val="Fussnote"/>
        <w:rPr>
          <w:lang w:val="en-US"/>
        </w:rPr>
      </w:pPr>
      <w:r>
        <w:rPr>
          <w:rStyle w:val="FootnoteReference"/>
        </w:rPr>
        <w:footnoteRef/>
      </w:r>
      <w:r w:rsidRPr="003D2F0B">
        <w:rPr>
          <w:lang w:val="en-US"/>
        </w:rPr>
        <w:t xml:space="preserve"> </w:t>
      </w:r>
      <w:hyperlink r:id="rId19" w:history="1">
        <w:r w:rsidRPr="003D2F0B">
          <w:rPr>
            <w:rStyle w:val="Hyperlink"/>
            <w:lang w:val="en-US"/>
          </w:rPr>
          <w:t>Website of the Canton St. Gallen</w:t>
        </w:r>
      </w:hyperlink>
      <w:r w:rsidRPr="003D2F0B">
        <w:rPr>
          <w:lang w:val="en-US"/>
        </w:rPr>
        <w:t>.</w:t>
      </w:r>
    </w:p>
  </w:footnote>
  <w:footnote w:id="18">
    <w:p w14:paraId="0BC8851A" w14:textId="77777777" w:rsidR="00D739C9" w:rsidRPr="00104AEE" w:rsidRDefault="00D739C9" w:rsidP="005D3D06">
      <w:pPr>
        <w:pStyle w:val="Fussnote"/>
        <w:rPr>
          <w:lang w:val="en-US"/>
        </w:rPr>
      </w:pPr>
      <w:r>
        <w:rPr>
          <w:rStyle w:val="FootnoteReference"/>
        </w:rPr>
        <w:footnoteRef/>
      </w:r>
      <w:r w:rsidRPr="00104AEE">
        <w:rPr>
          <w:lang w:val="en-US"/>
        </w:rPr>
        <w:t xml:space="preserve"> According to a study carried out by the Conference of Cantonal Ministers of Social Affairs (CDSS) in 2019, 13 cantons have implemented or are working on legislative projects relating to the CRPD. In addition, 18 cantons are supporting or implementing pilot projects in the area of housing and employment for PWD. </w:t>
      </w:r>
    </w:p>
  </w:footnote>
  <w:footnote w:id="19">
    <w:p w14:paraId="26A6E38E" w14:textId="6A67E1C7" w:rsidR="00D739C9" w:rsidRPr="00104AEE" w:rsidRDefault="00D739C9" w:rsidP="005D3D06">
      <w:pPr>
        <w:pStyle w:val="Fussnote"/>
        <w:rPr>
          <w:lang w:val="en-US"/>
        </w:rPr>
      </w:pPr>
      <w:r>
        <w:rPr>
          <w:rStyle w:val="FootnoteReference"/>
        </w:rPr>
        <w:footnoteRef/>
      </w:r>
      <w:r w:rsidRPr="00104AEE">
        <w:rPr>
          <w:lang w:val="en-US"/>
        </w:rPr>
        <w:t xml:space="preserve"> Calls were being made as early as 2013 for Switzerland to create a coherent policy on PWD: </w:t>
      </w:r>
      <w:hyperlink r:id="rId20" w:history="1">
        <w:r w:rsidRPr="002707BD">
          <w:rPr>
            <w:rStyle w:val="Hyperlink"/>
            <w:lang w:val="en-US"/>
          </w:rPr>
          <w:t>Lohr’s postulate of 13.12.2013</w:t>
        </w:r>
      </w:hyperlink>
      <w:r w:rsidRPr="00104AEE">
        <w:rPr>
          <w:lang w:val="en-US"/>
        </w:rPr>
        <w:t>.</w:t>
      </w:r>
    </w:p>
  </w:footnote>
  <w:footnote w:id="20">
    <w:p w14:paraId="6B747F66" w14:textId="77777777" w:rsidR="00D739C9" w:rsidRPr="00104AEE" w:rsidRDefault="00D739C9" w:rsidP="005D3D06">
      <w:pPr>
        <w:pStyle w:val="Fussnote"/>
        <w:rPr>
          <w:lang w:val="en-US"/>
        </w:rPr>
      </w:pPr>
      <w:r>
        <w:rPr>
          <w:rStyle w:val="FootnoteReference"/>
        </w:rPr>
        <w:footnoteRef/>
      </w:r>
      <w:r w:rsidRPr="00104AEE">
        <w:rPr>
          <w:lang w:val="en-US"/>
        </w:rPr>
        <w:t xml:space="preserve"> The competencies changed in 2008 as a result of the new fiscal equalisation (NFE). Since then, the cantons have had sole responsibility, in particular, for special training and housing.</w:t>
      </w:r>
    </w:p>
  </w:footnote>
  <w:footnote w:id="21">
    <w:p w14:paraId="6F484A76" w14:textId="77777777" w:rsidR="00D739C9" w:rsidRPr="00104AEE" w:rsidRDefault="00D739C9" w:rsidP="005D3D06">
      <w:pPr>
        <w:pStyle w:val="Fussnote"/>
        <w:rPr>
          <w:lang w:val="en-US"/>
        </w:rPr>
      </w:pPr>
      <w:r>
        <w:rPr>
          <w:rStyle w:val="FootnoteReference"/>
        </w:rPr>
        <w:footnoteRef/>
      </w:r>
      <w:r w:rsidRPr="00104AEE">
        <w:rPr>
          <w:lang w:val="en-US"/>
        </w:rPr>
        <w:t xml:space="preserve"> According to legal doctrine, the wording expresses that the mandate does not go as far as in the area of equality between men and women pursuant to Article 8(3) sentence 2, according to which the lawmaker must ensure equality in law and in fact: </w:t>
      </w:r>
      <w:r w:rsidRPr="00104AEE">
        <w:rPr>
          <w:smallCaps/>
          <w:lang w:val="en-US"/>
        </w:rPr>
        <w:t>Regina Kiener/Walter Kälin/Judith Wyttenbach</w:t>
      </w:r>
      <w:r w:rsidRPr="00104AEE">
        <w:rPr>
          <w:lang w:val="en-US"/>
        </w:rPr>
        <w:t>, Grundrechte 3</w:t>
      </w:r>
      <w:r w:rsidRPr="00104AEE">
        <w:rPr>
          <w:vertAlign w:val="superscript"/>
          <w:lang w:val="en-US"/>
        </w:rPr>
        <w:t>rd</w:t>
      </w:r>
      <w:r w:rsidRPr="00104AEE">
        <w:rPr>
          <w:lang w:val="en-US"/>
        </w:rPr>
        <w:t xml:space="preserve"> ed., Bern 2018, para. 111.</w:t>
      </w:r>
    </w:p>
  </w:footnote>
  <w:footnote w:id="22">
    <w:p w14:paraId="435D8BF9" w14:textId="1C0DEC6C" w:rsidR="00D739C9" w:rsidRPr="00104AEE" w:rsidRDefault="00D739C9" w:rsidP="005D3D06">
      <w:pPr>
        <w:pStyle w:val="Fussnote"/>
        <w:rPr>
          <w:lang w:val="en-US"/>
        </w:rPr>
      </w:pPr>
      <w:r>
        <w:rPr>
          <w:rStyle w:val="FootnoteReference"/>
        </w:rPr>
        <w:footnoteRef/>
      </w:r>
      <w:r w:rsidRPr="00104AEE">
        <w:rPr>
          <w:lang w:val="en-US"/>
        </w:rPr>
        <w:t xml:space="preserve"> DDA Assessment (fn. </w:t>
      </w:r>
      <w:r>
        <w:fldChar w:fldCharType="begin"/>
      </w:r>
      <w:r w:rsidRPr="00104AEE">
        <w:rPr>
          <w:lang w:val="en-US"/>
        </w:rPr>
        <w:instrText xml:space="preserve"> NOTEREF _Ref477517014 \h  \* MERGEFORMAT </w:instrText>
      </w:r>
      <w:r>
        <w:fldChar w:fldCharType="separate"/>
      </w:r>
      <w:r>
        <w:rPr>
          <w:lang w:val="en-US"/>
        </w:rPr>
        <w:t>2</w:t>
      </w:r>
      <w:r>
        <w:fldChar w:fldCharType="end"/>
      </w:r>
      <w:r w:rsidRPr="00104AEE">
        <w:rPr>
          <w:lang w:val="en-US"/>
        </w:rPr>
        <w:t>), p. 381. In particular, the cantons of Basel-Stadt, Basel-Landschaft, Valais, Zurich and Geneva have done well by involving PWD and their organisations from the outset in their legislative projects or action plans for implementing the CRPD.</w:t>
      </w:r>
    </w:p>
  </w:footnote>
  <w:footnote w:id="23">
    <w:p w14:paraId="713AEB15" w14:textId="16D325BF" w:rsidR="00D739C9" w:rsidRPr="00104AEE" w:rsidRDefault="00D739C9" w:rsidP="005D3D06">
      <w:pPr>
        <w:pStyle w:val="Fussnote"/>
        <w:rPr>
          <w:lang w:val="en-US"/>
        </w:rPr>
      </w:pPr>
      <w:r>
        <w:rPr>
          <w:rStyle w:val="FootnoteReference"/>
        </w:rPr>
        <w:footnoteRef/>
      </w:r>
      <w:r w:rsidRPr="00104AEE">
        <w:rPr>
          <w:lang w:val="en-US"/>
        </w:rPr>
        <w:t xml:space="preserve"> </w:t>
      </w:r>
      <w:hyperlink r:id="rId21" w:history="1">
        <w:r w:rsidRPr="00972CA9">
          <w:rPr>
            <w:rStyle w:val="Hyperlink"/>
            <w:lang w:val="en-US"/>
          </w:rPr>
          <w:t>List of the Optional Protocols ratified by Switzerland</w:t>
        </w:r>
      </w:hyperlink>
      <w:r w:rsidRPr="00104AEE">
        <w:rPr>
          <w:lang w:val="en-US"/>
        </w:rPr>
        <w:t>.</w:t>
      </w:r>
    </w:p>
  </w:footnote>
  <w:footnote w:id="24">
    <w:p w14:paraId="7C5973BF" w14:textId="77777777" w:rsidR="00D739C9" w:rsidRPr="00B93050" w:rsidRDefault="00D739C9" w:rsidP="005D3D06">
      <w:pPr>
        <w:pStyle w:val="Fussnote"/>
        <w:rPr>
          <w:lang w:val="en-US"/>
        </w:rPr>
      </w:pPr>
      <w:r>
        <w:rPr>
          <w:rStyle w:val="FootnoteReference"/>
        </w:rPr>
        <w:footnoteRef/>
      </w:r>
      <w:r w:rsidRPr="00104AEE">
        <w:rPr>
          <w:lang w:val="en-US"/>
        </w:rPr>
        <w:t xml:space="preserve"> The recommendations concerning the ratification of the additional protocol under the UPR 2017 (147.1 and 147.2, UN Doc. A/HRC/37/12 of 29.12.2017) were rejected by Switzerland on the following grounds (see UN Doc. A/HRC/22/11/Add.1, p. 3): “Switzerland ratifies human rights instruments which provide for individual communications to human rights treaty bodies on condition that experience exists with the instrument in question. Thus, the initial report, submitted in June 2016 by the Committee on the Rights of Persons with Disabilities, requires </w:t>
      </w:r>
      <w:r w:rsidRPr="00B93050">
        <w:rPr>
          <w:lang w:val="en-US"/>
        </w:rPr>
        <w:t>consideration prior to ratification of the Optional Protocol. Such consideration has not yet been scheduled.”</w:t>
      </w:r>
    </w:p>
  </w:footnote>
  <w:footnote w:id="25">
    <w:p w14:paraId="0EBA4E9E" w14:textId="3D5BDD57" w:rsidR="00D739C9" w:rsidRPr="00104AEE" w:rsidRDefault="00D739C9" w:rsidP="005D3D06">
      <w:pPr>
        <w:pStyle w:val="Fussnote"/>
        <w:rPr>
          <w:lang w:val="en-US"/>
        </w:rPr>
      </w:pPr>
      <w:r w:rsidRPr="00B93050">
        <w:rPr>
          <w:rStyle w:val="FootnoteReference"/>
        </w:rPr>
        <w:footnoteRef/>
      </w:r>
      <w:r w:rsidRPr="00B93050">
        <w:rPr>
          <w:lang w:val="en-US"/>
        </w:rPr>
        <w:t xml:space="preserve"> </w:t>
      </w:r>
      <w:hyperlink r:id="rId22" w:history="1">
        <w:r w:rsidRPr="00B93050">
          <w:rPr>
            <w:rStyle w:val="Hyperlink"/>
            <w:lang w:val="en-US"/>
          </w:rPr>
          <w:t>Roth's motion of 11.12.2019</w:t>
        </w:r>
      </w:hyperlink>
      <w:r w:rsidRPr="00B93050">
        <w:rPr>
          <w:lang w:val="en-US"/>
        </w:rPr>
        <w:t>.</w:t>
      </w:r>
    </w:p>
  </w:footnote>
  <w:footnote w:id="26">
    <w:p w14:paraId="3890FAE2" w14:textId="0B66FD86" w:rsidR="00D739C9" w:rsidRPr="00104AEE" w:rsidRDefault="00D739C9" w:rsidP="005D3D06">
      <w:pPr>
        <w:pStyle w:val="Fussnote"/>
        <w:rPr>
          <w:lang w:val="en-US"/>
        </w:rPr>
      </w:pPr>
      <w:r>
        <w:rPr>
          <w:rStyle w:val="FootnoteReference"/>
        </w:rPr>
        <w:footnoteRef/>
      </w:r>
      <w:r w:rsidRPr="00104AEE">
        <w:rPr>
          <w:lang w:val="en-US"/>
        </w:rPr>
        <w:t xml:space="preserve"> Within Swiss law, the terms </w:t>
      </w:r>
      <w:r>
        <w:rPr>
          <w:lang w:val="en-US"/>
        </w:rPr>
        <w:t>“</w:t>
      </w:r>
      <w:r w:rsidRPr="00104AEE">
        <w:rPr>
          <w:lang w:val="en-US"/>
        </w:rPr>
        <w:t>disability</w:t>
      </w:r>
      <w:r>
        <w:rPr>
          <w:lang w:val="en-US"/>
        </w:rPr>
        <w:t>”</w:t>
      </w:r>
      <w:r w:rsidRPr="00104AEE">
        <w:rPr>
          <w:lang w:val="en-US"/>
        </w:rPr>
        <w:t xml:space="preserve"> and </w:t>
      </w:r>
      <w:r>
        <w:rPr>
          <w:lang w:val="en-US"/>
        </w:rPr>
        <w:t>“</w:t>
      </w:r>
      <w:r w:rsidRPr="00104AEE">
        <w:rPr>
          <w:lang w:val="en-US"/>
        </w:rPr>
        <w:t>invalidity</w:t>
      </w:r>
      <w:r>
        <w:rPr>
          <w:lang w:val="en-US"/>
        </w:rPr>
        <w:t>”</w:t>
      </w:r>
      <w:r w:rsidRPr="00104AEE">
        <w:rPr>
          <w:lang w:val="en-US"/>
        </w:rPr>
        <w:t xml:space="preserve"> only partially overlap with each other. </w:t>
      </w:r>
    </w:p>
  </w:footnote>
  <w:footnote w:id="27">
    <w:p w14:paraId="2CF581E3" w14:textId="08471AFD" w:rsidR="00D739C9" w:rsidRPr="00104AEE" w:rsidRDefault="00D739C9" w:rsidP="005D3D06">
      <w:pPr>
        <w:pStyle w:val="Fussnote"/>
        <w:rPr>
          <w:lang w:val="en-US"/>
        </w:rPr>
      </w:pPr>
      <w:r>
        <w:rPr>
          <w:rStyle w:val="FootnoteReference"/>
        </w:rPr>
        <w:footnoteRef/>
      </w:r>
      <w:r w:rsidRPr="00104AEE">
        <w:rPr>
          <w:lang w:val="en-US"/>
        </w:rPr>
        <w:t xml:space="preserve"> A parliamentary procedural request was submitted in 2020 with the aim of adapting the terminology in the social legislation: </w:t>
      </w:r>
      <w:hyperlink r:id="rId23" w:history="1">
        <w:r w:rsidRPr="00DF549F">
          <w:rPr>
            <w:rStyle w:val="Hyperlink"/>
            <w:lang w:val="en-US"/>
          </w:rPr>
          <w:t>Ettlin’s postulate of 17.1.2020</w:t>
        </w:r>
      </w:hyperlink>
      <w:r w:rsidRPr="00104AEE">
        <w:rPr>
          <w:lang w:val="en-US"/>
        </w:rPr>
        <w:t>. The Council of States approved this request on the recommendation of the Federal Council.</w:t>
      </w:r>
    </w:p>
  </w:footnote>
  <w:footnote w:id="28">
    <w:p w14:paraId="6184B216" w14:textId="77777777" w:rsidR="00D739C9" w:rsidRPr="00104AEE" w:rsidRDefault="00D739C9" w:rsidP="005D3D06">
      <w:pPr>
        <w:pStyle w:val="Fussnote"/>
        <w:rPr>
          <w:lang w:val="en-US"/>
        </w:rPr>
      </w:pPr>
      <w:r>
        <w:rPr>
          <w:rStyle w:val="FootnoteReference"/>
        </w:rPr>
        <w:footnoteRef/>
      </w:r>
      <w:r w:rsidRPr="00104AEE">
        <w:rPr>
          <w:lang w:val="en-US"/>
        </w:rPr>
        <w:t xml:space="preserve"> Article 43</w:t>
      </w:r>
      <w:r w:rsidRPr="00104AEE">
        <w:rPr>
          <w:vertAlign w:val="superscript"/>
          <w:lang w:val="en-US"/>
        </w:rPr>
        <w:t>bis</w:t>
      </w:r>
      <w:r w:rsidRPr="00104AEE">
        <w:rPr>
          <w:lang w:val="en-US"/>
        </w:rPr>
        <w:t xml:space="preserve"> OASIA.</w:t>
      </w:r>
    </w:p>
  </w:footnote>
  <w:footnote w:id="29">
    <w:p w14:paraId="62B9CF60" w14:textId="77777777" w:rsidR="00D739C9" w:rsidRPr="00104AEE" w:rsidRDefault="00D739C9" w:rsidP="005D3D06">
      <w:pPr>
        <w:pStyle w:val="Fussnote"/>
        <w:rPr>
          <w:lang w:val="en-US"/>
        </w:rPr>
      </w:pPr>
      <w:r>
        <w:rPr>
          <w:rStyle w:val="FootnoteReference"/>
        </w:rPr>
        <w:footnoteRef/>
      </w:r>
      <w:r w:rsidRPr="00104AEE">
        <w:rPr>
          <w:lang w:val="en-US"/>
        </w:rPr>
        <w:t xml:space="preserve"> Following an intervention by organisations of PWD with the FOPH and the FBED, the recommendations were modified to account for such differences in vulnerability.</w:t>
      </w:r>
    </w:p>
  </w:footnote>
  <w:footnote w:id="30">
    <w:p w14:paraId="0D557244" w14:textId="0A287C44" w:rsidR="00D739C9" w:rsidRPr="00104AEE" w:rsidRDefault="00D739C9" w:rsidP="005D3D06">
      <w:pPr>
        <w:pStyle w:val="Fussnote"/>
        <w:rPr>
          <w:lang w:val="en-US"/>
        </w:rPr>
      </w:pPr>
      <w:r>
        <w:rPr>
          <w:rStyle w:val="FootnoteReference"/>
        </w:rPr>
        <w:footnoteRef/>
      </w:r>
      <w:r w:rsidRPr="00104AEE">
        <w:rPr>
          <w:lang w:val="en-US"/>
        </w:rPr>
        <w:t xml:space="preserve"> </w:t>
      </w:r>
      <w:hyperlink r:id="rId24" w:history="1">
        <w:r w:rsidRPr="00B93050">
          <w:rPr>
            <w:rStyle w:val="Hyperlink"/>
            <w:lang w:val="en-US"/>
          </w:rPr>
          <w:t>Website SAMW</w:t>
        </w:r>
      </w:hyperlink>
      <w:r>
        <w:rPr>
          <w:lang w:val="en-US"/>
        </w:rPr>
        <w:t>:</w:t>
      </w:r>
      <w:r w:rsidRPr="00104AEE">
        <w:rPr>
          <w:lang w:val="en-US"/>
        </w:rPr>
        <w:t xml:space="preserve"> A private foundation subsidised by the Confederation and active in the field of medical science and practice. It issues numerous guidelines on which hospitals rely when making medical decisions.</w:t>
      </w:r>
    </w:p>
  </w:footnote>
  <w:footnote w:id="31">
    <w:p w14:paraId="220D4CC2" w14:textId="2AE32138" w:rsidR="00D739C9" w:rsidRPr="00104AEE" w:rsidRDefault="00D739C9" w:rsidP="005D3D06">
      <w:pPr>
        <w:pStyle w:val="Fussnote"/>
        <w:rPr>
          <w:lang w:val="en-US"/>
        </w:rPr>
      </w:pPr>
      <w:r>
        <w:rPr>
          <w:rStyle w:val="FootnoteReference"/>
        </w:rPr>
        <w:footnoteRef/>
      </w:r>
      <w:r w:rsidRPr="00104AEE">
        <w:rPr>
          <w:lang w:val="en-US"/>
        </w:rPr>
        <w:t xml:space="preserve"> </w:t>
      </w:r>
      <w:hyperlink r:id="rId25" w:history="1">
        <w:r w:rsidRPr="00ED18A1">
          <w:rPr>
            <w:rStyle w:val="Hyperlink"/>
            <w:lang w:val="en-US"/>
          </w:rPr>
          <w:t>Press release of Inclusion Handicap</w:t>
        </w:r>
      </w:hyperlink>
      <w:r w:rsidRPr="00104AEE">
        <w:rPr>
          <w:lang w:val="en-US"/>
        </w:rPr>
        <w:t>.</w:t>
      </w:r>
    </w:p>
  </w:footnote>
  <w:footnote w:id="32">
    <w:p w14:paraId="73466ED6" w14:textId="667E3BDB" w:rsidR="00D739C9" w:rsidRPr="00104AEE" w:rsidRDefault="00D739C9" w:rsidP="005D3D06">
      <w:pPr>
        <w:pStyle w:val="Fussnote"/>
        <w:rPr>
          <w:lang w:val="en-US"/>
        </w:rPr>
      </w:pPr>
      <w:r>
        <w:rPr>
          <w:rStyle w:val="FootnoteReference"/>
        </w:rPr>
        <w:footnoteRef/>
      </w:r>
      <w:r w:rsidRPr="00104AEE">
        <w:rPr>
          <w:lang w:val="en-US"/>
        </w:rPr>
        <w:t xml:space="preserve"> With regard to the analogous legal situation in Germany, see the </w:t>
      </w:r>
      <w:hyperlink r:id="rId26" w:history="1">
        <w:r w:rsidRPr="00ED18A1">
          <w:rPr>
            <w:rStyle w:val="Hyperlink"/>
            <w:lang w:val="en-US"/>
          </w:rPr>
          <w:t>judgment of the Federal Constitutional Court of 16 December 2021</w:t>
        </w:r>
      </w:hyperlink>
      <w:r w:rsidRPr="00104AEE">
        <w:rPr>
          <w:lang w:val="en-US"/>
        </w:rPr>
        <w:t xml:space="preserve"> (grant of appeal of the PWD concerned).</w:t>
      </w:r>
    </w:p>
  </w:footnote>
  <w:footnote w:id="33">
    <w:p w14:paraId="70170911" w14:textId="13CB2A96" w:rsidR="00D739C9" w:rsidRPr="00104AEE" w:rsidRDefault="00D739C9" w:rsidP="005D3D06">
      <w:pPr>
        <w:pStyle w:val="Fussnote"/>
        <w:rPr>
          <w:lang w:val="en-US"/>
        </w:rPr>
      </w:pPr>
      <w:r>
        <w:rPr>
          <w:rStyle w:val="FootnoteReference"/>
        </w:rPr>
        <w:footnoteRef/>
      </w:r>
      <w:r w:rsidRPr="00104AEE">
        <w:rPr>
          <w:lang w:val="en-US"/>
        </w:rPr>
        <w:t xml:space="preserve"> </w:t>
      </w:r>
      <w:hyperlink r:id="rId27" w:history="1">
        <w:r w:rsidRPr="00ED18A1">
          <w:rPr>
            <w:rStyle w:val="Hyperlink"/>
            <w:lang w:val="en-US"/>
          </w:rPr>
          <w:t>Press release of Inclusion Handicap</w:t>
        </w:r>
      </w:hyperlink>
      <w:r w:rsidRPr="00104AEE">
        <w:rPr>
          <w:lang w:val="en-US"/>
        </w:rPr>
        <w:t>.</w:t>
      </w:r>
    </w:p>
  </w:footnote>
  <w:footnote w:id="34">
    <w:p w14:paraId="3EC3BECC" w14:textId="742D70CA" w:rsidR="00D739C9" w:rsidRPr="00104AEE" w:rsidRDefault="00D739C9" w:rsidP="005D3D06">
      <w:pPr>
        <w:pStyle w:val="Fussnote"/>
        <w:rPr>
          <w:lang w:val="en-US"/>
        </w:rPr>
      </w:pPr>
      <w:r>
        <w:rPr>
          <w:rStyle w:val="FootnoteReference"/>
        </w:rPr>
        <w:footnoteRef/>
      </w:r>
      <w:r w:rsidRPr="00104AEE">
        <w:rPr>
          <w:lang w:val="en-US"/>
        </w:rPr>
        <w:t xml:space="preserve"> Even in the </w:t>
      </w:r>
      <w:hyperlink r:id="rId28" w:history="1">
        <w:r w:rsidRPr="00CB4D3E">
          <w:rPr>
            <w:rStyle w:val="Hyperlink"/>
            <w:lang w:val="en-US"/>
          </w:rPr>
          <w:t>call for tenders for the research project NRP 80 “Covid-19 in Society”, which was published at the end of 2021</w:t>
        </w:r>
      </w:hyperlink>
      <w:r w:rsidRPr="00104AEE">
        <w:rPr>
          <w:lang w:val="en-US"/>
        </w:rPr>
        <w:t xml:space="preserve">, no mention is </w:t>
      </w:r>
      <w:r w:rsidRPr="00104AEE">
        <w:rPr>
          <w:rFonts w:eastAsia="Calibri"/>
          <w:color w:val="000000"/>
          <w:lang w:val="en-US"/>
        </w:rPr>
        <w:t>made of PWD.</w:t>
      </w:r>
    </w:p>
  </w:footnote>
  <w:footnote w:id="35">
    <w:p w14:paraId="604A1BB5" w14:textId="77777777" w:rsidR="00D739C9" w:rsidRPr="005C7271" w:rsidRDefault="00D739C9" w:rsidP="005D3D06">
      <w:pPr>
        <w:pStyle w:val="Fussnote"/>
        <w:rPr>
          <w:lang w:val="en-US"/>
        </w:rPr>
      </w:pPr>
      <w:r>
        <w:rPr>
          <w:rStyle w:val="FootnoteReference"/>
        </w:rPr>
        <w:footnoteRef/>
      </w:r>
      <w:r w:rsidRPr="00BD6E82">
        <w:rPr>
          <w:lang w:val="it-IT"/>
        </w:rPr>
        <w:t xml:space="preserve"> BGE 134 I 105 consid. 5 p. 108 ff.; 135 I 161 consid. 2.3 p. 163; 139 II 289 consid. 2.2.2 p. 295; 141 I 9 consid. </w:t>
      </w:r>
      <w:r w:rsidRPr="005C7271">
        <w:rPr>
          <w:lang w:val="en-US"/>
        </w:rPr>
        <w:t>3.1 p. 12.</w:t>
      </w:r>
    </w:p>
  </w:footnote>
  <w:footnote w:id="36">
    <w:p w14:paraId="1615E4D8" w14:textId="77777777" w:rsidR="00D739C9" w:rsidRPr="005C7271" w:rsidRDefault="00D739C9" w:rsidP="005D3D06">
      <w:pPr>
        <w:pStyle w:val="Fussnote"/>
        <w:rPr>
          <w:lang w:val="en-US"/>
        </w:rPr>
      </w:pPr>
      <w:r>
        <w:rPr>
          <w:rStyle w:val="FootnoteReference"/>
        </w:rPr>
        <w:footnoteRef/>
      </w:r>
      <w:r w:rsidRPr="005C7271">
        <w:rPr>
          <w:lang w:val="en-US"/>
        </w:rPr>
        <w:t xml:space="preserve"> Articles 7 and 8 DDA.</w:t>
      </w:r>
    </w:p>
  </w:footnote>
  <w:footnote w:id="37">
    <w:p w14:paraId="67A7B81C" w14:textId="740DC97F" w:rsidR="00D739C9" w:rsidRPr="005C7271" w:rsidRDefault="00D739C9" w:rsidP="00BB6C76">
      <w:pPr>
        <w:pStyle w:val="Fussnote"/>
        <w:rPr>
          <w:lang w:val="en-US"/>
        </w:rPr>
      </w:pPr>
      <w:r>
        <w:rPr>
          <w:rStyle w:val="FootnoteReference"/>
        </w:rPr>
        <w:footnoteRef/>
      </w:r>
      <w:r w:rsidRPr="005C7271">
        <w:rPr>
          <w:lang w:val="en-US"/>
        </w:rPr>
        <w:t xml:space="preserve"> </w:t>
      </w:r>
      <w:hyperlink r:id="rId29" w:history="1">
        <w:r w:rsidRPr="001A6D6C">
          <w:rPr>
            <w:rStyle w:val="Hyperlink"/>
            <w:lang w:val="en-US"/>
          </w:rPr>
          <w:t>Federal Council, Report on parliamentary postulates concerning the right to protection against discrimination, 25.5.2016</w:t>
        </w:r>
      </w:hyperlink>
      <w:r>
        <w:rPr>
          <w:lang w:val="en-US"/>
        </w:rPr>
        <w:t xml:space="preserve">, </w:t>
      </w:r>
      <w:r w:rsidRPr="005C7271">
        <w:rPr>
          <w:lang w:val="en-US"/>
        </w:rPr>
        <w:t>p. 11.</w:t>
      </w:r>
    </w:p>
  </w:footnote>
  <w:footnote w:id="38">
    <w:p w14:paraId="19FB0304" w14:textId="43F56334" w:rsidR="00D739C9" w:rsidRPr="005C7271" w:rsidRDefault="00D739C9" w:rsidP="005D3D06">
      <w:pPr>
        <w:pStyle w:val="Fussnote"/>
        <w:rPr>
          <w:lang w:val="en-US"/>
        </w:rPr>
      </w:pPr>
      <w:r>
        <w:rPr>
          <w:rStyle w:val="FootnoteReference"/>
        </w:rPr>
        <w:footnoteRef/>
      </w:r>
      <w:r w:rsidRPr="005C7271">
        <w:rPr>
          <w:lang w:val="en-US"/>
        </w:rPr>
        <w:t xml:space="preserve"> Particularly in the case of employment relationships under private law (see Article 27 CRPD) and in the case of publicly available services offered by private </w:t>
      </w:r>
      <w:r w:rsidR="00D018D0" w:rsidRPr="00D018D0">
        <w:rPr>
          <w:lang w:val="en-US"/>
        </w:rPr>
        <w:t>entities</w:t>
      </w:r>
      <w:r w:rsidRPr="005C7271">
        <w:rPr>
          <w:lang w:val="en-US"/>
        </w:rPr>
        <w:t>.</w:t>
      </w:r>
    </w:p>
  </w:footnote>
  <w:footnote w:id="39">
    <w:p w14:paraId="4DAF64E7" w14:textId="684073A3" w:rsidR="00D739C9" w:rsidRPr="00104AEE" w:rsidRDefault="00D739C9" w:rsidP="00FF5ECB">
      <w:pPr>
        <w:pStyle w:val="Fussnote"/>
        <w:rPr>
          <w:lang w:val="en-US"/>
        </w:rPr>
      </w:pPr>
      <w:r>
        <w:rPr>
          <w:rStyle w:val="FootnoteReference"/>
        </w:rPr>
        <w:footnoteRef/>
      </w:r>
      <w:r w:rsidRPr="00104AEE">
        <w:rPr>
          <w:lang w:val="en-US"/>
        </w:rPr>
        <w:t xml:space="preserve"> The lack of effective protection of PWD against discrimination by private </w:t>
      </w:r>
      <w:r w:rsidR="00D018D0" w:rsidRPr="00D018D0">
        <w:rPr>
          <w:lang w:val="en-US"/>
        </w:rPr>
        <w:t>entities</w:t>
      </w:r>
      <w:r w:rsidRPr="00104AEE">
        <w:rPr>
          <w:lang w:val="en-US"/>
        </w:rPr>
        <w:t xml:space="preserve"> in Switzerland is also recognised in the DDA Assessment (fn. </w:t>
      </w:r>
      <w:r w:rsidRPr="00BA3939">
        <w:fldChar w:fldCharType="begin"/>
      </w:r>
      <w:r w:rsidRPr="00104AEE">
        <w:rPr>
          <w:lang w:val="en-US"/>
        </w:rPr>
        <w:instrText xml:space="preserve"> NOTEREF _Ref477517014 \h  \* MERGEFORMAT </w:instrText>
      </w:r>
      <w:r w:rsidRPr="00BA3939">
        <w:rPr>
          <w:lang w:val="en-GB"/>
        </w:rPr>
        <w:fldChar w:fldCharType="separate"/>
      </w:r>
      <w:r>
        <w:rPr>
          <w:lang w:val="en-US"/>
        </w:rPr>
        <w:t>2</w:t>
      </w:r>
      <w:r w:rsidRPr="00BA3939">
        <w:rPr>
          <w:lang w:val="en-GB"/>
        </w:rPr>
        <w:fldChar w:fldCharType="end"/>
      </w:r>
      <w:r w:rsidRPr="00104AEE">
        <w:rPr>
          <w:lang w:val="en-US"/>
        </w:rPr>
        <w:t xml:space="preserve">), p. 271 ff. and </w:t>
      </w:r>
      <w:hyperlink r:id="rId30" w:history="1">
        <w:r w:rsidRPr="00253F19">
          <w:rPr>
            <w:rStyle w:val="Hyperlink"/>
            <w:lang w:val="en-US"/>
          </w:rPr>
          <w:t>Swiss Centre of Expertise in Human Rights (SCHR), Der Zugang zur Justiz in Diskriminierungsfällen [Access to justice in cases of discrimination], Synthesebericht, Bern 2015</w:t>
        </w:r>
      </w:hyperlink>
      <w:r w:rsidRPr="00104AEE">
        <w:rPr>
          <w:lang w:val="en-US"/>
        </w:rPr>
        <w:t xml:space="preserve">, Chapters II.4.6 and V.5, as well as </w:t>
      </w:r>
      <w:hyperlink r:id="rId31" w:history="1">
        <w:r w:rsidRPr="00253F19">
          <w:rPr>
            <w:rStyle w:val="Hyperlink"/>
            <w:smallCaps/>
            <w:lang w:val="en-US"/>
          </w:rPr>
          <w:t>Irene Grohsmann</w:t>
        </w:r>
        <w:r w:rsidRPr="00253F19">
          <w:rPr>
            <w:rStyle w:val="Hyperlink"/>
            <w:lang w:val="en-US"/>
          </w:rPr>
          <w:t>, sub-study 4: Behinderung – Juristische Analyse</w:t>
        </w:r>
      </w:hyperlink>
      <w:r>
        <w:rPr>
          <w:lang w:val="en-US"/>
        </w:rPr>
        <w:t xml:space="preserve"> [Disability – Legal analysis]</w:t>
      </w:r>
      <w:r w:rsidRPr="00104AEE">
        <w:rPr>
          <w:lang w:val="en-US"/>
        </w:rPr>
        <w:t>, Chapter IV.</w:t>
      </w:r>
    </w:p>
  </w:footnote>
  <w:footnote w:id="40">
    <w:p w14:paraId="5CBED173" w14:textId="77777777" w:rsidR="00D739C9" w:rsidRPr="00104AEE" w:rsidRDefault="00D739C9" w:rsidP="00FF5ECB">
      <w:pPr>
        <w:pStyle w:val="Fussnote"/>
        <w:rPr>
          <w:lang w:val="en-US"/>
        </w:rPr>
      </w:pPr>
      <w:r>
        <w:rPr>
          <w:rStyle w:val="FootnoteReference"/>
        </w:rPr>
        <w:footnoteRef/>
      </w:r>
      <w:r w:rsidRPr="00104AEE">
        <w:rPr>
          <w:lang w:val="en-US"/>
        </w:rPr>
        <w:t xml:space="preserve"> BGE 138 I 475 consid. 3.3.1 and 3.3.2 p. 480 f. and on this subject </w:t>
      </w:r>
      <w:r w:rsidRPr="00104AEE">
        <w:rPr>
          <w:smallCaps/>
          <w:lang w:val="en-US"/>
        </w:rPr>
        <w:t>Markus</w:t>
      </w:r>
      <w:r w:rsidRPr="00104AEE">
        <w:rPr>
          <w:lang w:val="en-US"/>
        </w:rPr>
        <w:t xml:space="preserve"> </w:t>
      </w:r>
      <w:r w:rsidRPr="00104AEE">
        <w:rPr>
          <w:smallCaps/>
          <w:lang w:val="en-US"/>
        </w:rPr>
        <w:t>Schefer/Caroline Hess-Klein</w:t>
      </w:r>
      <w:r w:rsidRPr="00104AEE">
        <w:rPr>
          <w:lang w:val="en-US"/>
        </w:rPr>
        <w:t>, Behindertengleichstellungsrecht [disability equality law], Bern 2014, p. 298 ff.</w:t>
      </w:r>
    </w:p>
  </w:footnote>
  <w:footnote w:id="41">
    <w:p w14:paraId="1F761952" w14:textId="77777777" w:rsidR="00D739C9" w:rsidRPr="00104AEE" w:rsidRDefault="00D739C9" w:rsidP="00FF5ECB">
      <w:pPr>
        <w:pStyle w:val="Fussnote"/>
        <w:rPr>
          <w:lang w:val="en-US"/>
        </w:rPr>
      </w:pPr>
      <w:r>
        <w:rPr>
          <w:rStyle w:val="FootnoteReference"/>
        </w:rPr>
        <w:footnoteRef/>
      </w:r>
      <w:r w:rsidRPr="00104AEE">
        <w:rPr>
          <w:lang w:val="en-US"/>
        </w:rPr>
        <w:t xml:space="preserve"> Application no. 40477/13, para. 52 ff.</w:t>
      </w:r>
    </w:p>
  </w:footnote>
  <w:footnote w:id="42">
    <w:p w14:paraId="10B631E3" w14:textId="5EB16A54" w:rsidR="00D739C9" w:rsidRPr="00104AEE" w:rsidRDefault="00D739C9" w:rsidP="00FF5ECB">
      <w:pPr>
        <w:pStyle w:val="Fussnote"/>
        <w:rPr>
          <w:lang w:val="en-US"/>
        </w:rPr>
      </w:pPr>
      <w:r>
        <w:rPr>
          <w:rStyle w:val="FootnoteReference"/>
        </w:rPr>
        <w:footnoteRef/>
      </w:r>
      <w:r w:rsidRPr="00104AEE">
        <w:rPr>
          <w:lang w:val="en-US"/>
        </w:rPr>
        <w:t xml:space="preserve"> See, inter alia, the </w:t>
      </w:r>
      <w:hyperlink r:id="rId32" w:history="1">
        <w:r w:rsidRPr="0091195F">
          <w:rPr>
            <w:rStyle w:val="Hyperlink"/>
            <w:lang w:val="en-US"/>
          </w:rPr>
          <w:t>report of 21.3.2017 in the daily newspaper 24heures</w:t>
        </w:r>
      </w:hyperlink>
      <w:r w:rsidRPr="00104AEE">
        <w:rPr>
          <w:lang w:val="en-US"/>
        </w:rPr>
        <w:t xml:space="preserve"> (in French).</w:t>
      </w:r>
    </w:p>
  </w:footnote>
  <w:footnote w:id="43">
    <w:p w14:paraId="402B4A95" w14:textId="7C57C8E5" w:rsidR="00D739C9" w:rsidRPr="00104AEE" w:rsidRDefault="00D739C9" w:rsidP="00FF5ECB">
      <w:pPr>
        <w:pStyle w:val="Fussnote"/>
        <w:rPr>
          <w:lang w:val="en-US"/>
        </w:rPr>
      </w:pPr>
      <w:r>
        <w:rPr>
          <w:rStyle w:val="FootnoteReference"/>
        </w:rPr>
        <w:footnoteRef/>
      </w:r>
      <w:r w:rsidRPr="00104AEE">
        <w:rPr>
          <w:lang w:val="en-US"/>
        </w:rPr>
        <w:t xml:space="preserve"> </w:t>
      </w:r>
      <w:hyperlink r:id="rId33" w:history="1">
        <w:r w:rsidRPr="00063CD7">
          <w:rPr>
            <w:rStyle w:val="Hyperlink"/>
            <w:lang w:val="en-US"/>
          </w:rPr>
          <w:t>Swiss Confederation, 2030 Gender Equality Strategy, April 2021</w:t>
        </w:r>
      </w:hyperlink>
      <w:r>
        <w:rPr>
          <w:lang w:val="en-US"/>
        </w:rPr>
        <w:t>.</w:t>
      </w:r>
    </w:p>
  </w:footnote>
  <w:footnote w:id="44">
    <w:p w14:paraId="57D91656" w14:textId="67CE2DB5" w:rsidR="00D739C9" w:rsidRPr="00104AEE" w:rsidRDefault="00D739C9" w:rsidP="00FF5ECB">
      <w:pPr>
        <w:pStyle w:val="Fussnote"/>
        <w:rPr>
          <w:szCs w:val="18"/>
          <w:lang w:val="en-US"/>
        </w:rPr>
      </w:pPr>
      <w:r>
        <w:rPr>
          <w:rStyle w:val="FootnoteReference"/>
          <w:szCs w:val="18"/>
        </w:rPr>
        <w:footnoteRef/>
      </w:r>
      <w:r w:rsidRPr="00104AEE">
        <w:rPr>
          <w:szCs w:val="18"/>
          <w:lang w:val="en-US"/>
        </w:rPr>
        <w:t xml:space="preserve"> See Disability Policy Report (fn. </w:t>
      </w:r>
      <w:r w:rsidRPr="0017588B">
        <w:rPr>
          <w:szCs w:val="18"/>
        </w:rPr>
        <w:fldChar w:fldCharType="begin"/>
      </w:r>
      <w:r w:rsidRPr="00104AEE">
        <w:rPr>
          <w:szCs w:val="18"/>
          <w:lang w:val="en-US"/>
        </w:rPr>
        <w:instrText xml:space="preserve"> NOTEREF _Ref15242908 \h  \* MERGEFORMAT </w:instrText>
      </w:r>
      <w:r w:rsidRPr="0017588B">
        <w:rPr>
          <w:szCs w:val="18"/>
        </w:rPr>
      </w:r>
      <w:r w:rsidRPr="0017588B">
        <w:rPr>
          <w:szCs w:val="18"/>
        </w:rPr>
        <w:fldChar w:fldCharType="separate"/>
      </w:r>
      <w:r>
        <w:rPr>
          <w:szCs w:val="18"/>
          <w:lang w:val="en-US"/>
        </w:rPr>
        <w:t>3</w:t>
      </w:r>
      <w:r w:rsidRPr="0017588B">
        <w:rPr>
          <w:szCs w:val="18"/>
        </w:rPr>
        <w:fldChar w:fldCharType="end"/>
      </w:r>
      <w:r w:rsidRPr="00104AEE">
        <w:rPr>
          <w:szCs w:val="18"/>
          <w:lang w:val="en-US"/>
        </w:rPr>
        <w:t>), p. 40.</w:t>
      </w:r>
    </w:p>
  </w:footnote>
  <w:footnote w:id="45">
    <w:p w14:paraId="3E3AC3C6" w14:textId="32D5D245" w:rsidR="00D739C9" w:rsidRPr="00104AEE" w:rsidRDefault="00D739C9" w:rsidP="00FF5ECB">
      <w:pPr>
        <w:pStyle w:val="Fussnote"/>
        <w:rPr>
          <w:lang w:val="en-US"/>
        </w:rPr>
      </w:pPr>
      <w:r>
        <w:rPr>
          <w:rStyle w:val="FootnoteReference"/>
        </w:rPr>
        <w:footnoteRef/>
      </w:r>
      <w:r w:rsidRPr="00104AEE">
        <w:rPr>
          <w:lang w:val="en-US"/>
        </w:rPr>
        <w:t xml:space="preserve"> See e.g. </w:t>
      </w:r>
      <w:hyperlink r:id="rId34" w:history="1">
        <w:r w:rsidRPr="00063CD7">
          <w:rPr>
            <w:rStyle w:val="Hyperlink"/>
            <w:lang w:val="en-US"/>
          </w:rPr>
          <w:t xml:space="preserve">CEDAW Shadow Report by the NGO-Coordination post Beijing Switzerland, </w:t>
        </w:r>
        <w:r>
          <w:rPr>
            <w:rStyle w:val="Hyperlink"/>
            <w:lang w:val="en-US"/>
          </w:rPr>
          <w:t>Mai</w:t>
        </w:r>
        <w:r w:rsidRPr="00063CD7">
          <w:rPr>
            <w:rStyle w:val="Hyperlink"/>
            <w:lang w:val="en-US"/>
          </w:rPr>
          <w:t xml:space="preserve"> 2021</w:t>
        </w:r>
      </w:hyperlink>
      <w:r w:rsidRPr="00104AEE">
        <w:rPr>
          <w:lang w:val="en-US"/>
        </w:rPr>
        <w:t>, p. 7.</w:t>
      </w:r>
    </w:p>
  </w:footnote>
  <w:footnote w:id="46">
    <w:p w14:paraId="6F75574C" w14:textId="755B1562" w:rsidR="00D739C9" w:rsidRPr="00104AEE" w:rsidRDefault="00D739C9" w:rsidP="00FF5ECB">
      <w:pPr>
        <w:pStyle w:val="Fussnote"/>
        <w:rPr>
          <w:lang w:val="en-US"/>
        </w:rPr>
      </w:pPr>
      <w:r>
        <w:rPr>
          <w:rStyle w:val="FootnoteReference"/>
        </w:rPr>
        <w:footnoteRef/>
      </w:r>
      <w:r w:rsidRPr="00104AEE">
        <w:rPr>
          <w:lang w:val="en-US"/>
        </w:rPr>
        <w:t xml:space="preserve"> For example, when implementing the IC: </w:t>
      </w:r>
      <w:hyperlink r:id="rId35" w:history="1">
        <w:r w:rsidRPr="00253F19">
          <w:rPr>
            <w:rStyle w:val="Hyperlink"/>
            <w:lang w:val="en-US"/>
          </w:rPr>
          <w:t>Istanbul Convention Network, implementation of the Istanbul Convention in Switzerland; Alternativbericht der Zivilgesellschaft</w:t>
        </w:r>
      </w:hyperlink>
      <w:r w:rsidRPr="00104AEE">
        <w:rPr>
          <w:lang w:val="en-US"/>
        </w:rPr>
        <w:t xml:space="preserve"> [Alternative Report of Civil Society], June 2021, p. 22 f.</w:t>
      </w:r>
    </w:p>
  </w:footnote>
  <w:footnote w:id="47">
    <w:p w14:paraId="03A2ECAF" w14:textId="73043C3A" w:rsidR="00D739C9" w:rsidRPr="00104AEE" w:rsidRDefault="00D739C9" w:rsidP="00FF5ECB">
      <w:pPr>
        <w:pStyle w:val="Fussnote"/>
        <w:rPr>
          <w:highlight w:val="yellow"/>
          <w:lang w:val="en-US"/>
        </w:rPr>
      </w:pPr>
      <w:r>
        <w:rPr>
          <w:rStyle w:val="FootnoteReference"/>
        </w:rPr>
        <w:footnoteRef/>
      </w:r>
      <w:r w:rsidRPr="00104AEE">
        <w:rPr>
          <w:lang w:val="en-US"/>
        </w:rPr>
        <w:t xml:space="preserve"> In terms of measures concerning the integration of PWD, see Article 27 CRPD. In addition, girls receive far fewer special educational measures than boys. This can be justified biologically only in part, but more so due to the differences in socialisation. S. </w:t>
      </w:r>
      <w:hyperlink r:id="rId36" w:history="1">
        <w:r w:rsidRPr="00063CD7">
          <w:rPr>
            <w:rStyle w:val="Hyperlink"/>
            <w:smallCaps/>
            <w:lang w:val="en-US"/>
          </w:rPr>
          <w:t>Beatrice Kronenberg</w:t>
        </w:r>
        <w:r w:rsidRPr="00063CD7">
          <w:rPr>
            <w:rStyle w:val="Hyperlink"/>
            <w:lang w:val="en-US"/>
          </w:rPr>
          <w:t>, Sonderpädagogik in der Schweiz: Bericht im Auftrag des SBFI und der EDK im Rahmen des Bildungsmonitorings, 2021</w:t>
        </w:r>
      </w:hyperlink>
      <w:r w:rsidRPr="00104AEE">
        <w:rPr>
          <w:lang w:val="en-US"/>
        </w:rPr>
        <w:t xml:space="preserve"> [Special Education in Switzerland: Report commissioned by the State Secretariat for Education, Research and Innovation (SERI) and the Swiss Conference of Cantonal Directors of Education (EDK) in the context of education monitoring, 2021</w:t>
      </w:r>
      <w:r>
        <w:rPr>
          <w:lang w:val="en-US"/>
        </w:rPr>
        <w:t>]</w:t>
      </w:r>
      <w:r w:rsidRPr="00104AEE">
        <w:rPr>
          <w:lang w:val="en-US"/>
        </w:rPr>
        <w:t>, p. 143.</w:t>
      </w:r>
    </w:p>
  </w:footnote>
  <w:footnote w:id="48">
    <w:p w14:paraId="5E53D13C" w14:textId="344BD0C9" w:rsidR="00D739C9" w:rsidRPr="001C1A91" w:rsidRDefault="00D739C9" w:rsidP="00FF5ECB">
      <w:pPr>
        <w:pStyle w:val="Fussnote"/>
        <w:rPr>
          <w:lang w:val="fr-CH"/>
        </w:rPr>
      </w:pPr>
      <w:r>
        <w:rPr>
          <w:rStyle w:val="FootnoteReference"/>
          <w:szCs w:val="18"/>
        </w:rPr>
        <w:footnoteRef/>
      </w:r>
      <w:r w:rsidRPr="00104AEE">
        <w:rPr>
          <w:lang w:val="en-US"/>
        </w:rPr>
        <w:t xml:space="preserve"> As announced in the Disability Policy report (fn. </w:t>
      </w:r>
      <w:r w:rsidRPr="0017588B">
        <w:fldChar w:fldCharType="begin"/>
      </w:r>
      <w:r w:rsidRPr="00104AEE">
        <w:rPr>
          <w:lang w:val="en-US"/>
        </w:rPr>
        <w:instrText xml:space="preserve"> NOTEREF _Ref15242908 \h  \* MERGEFORMAT </w:instrText>
      </w:r>
      <w:r w:rsidRPr="0017588B">
        <w:fldChar w:fldCharType="separate"/>
      </w:r>
      <w:r w:rsidRPr="00C97C0A">
        <w:rPr>
          <w:lang w:val="fr-CH"/>
        </w:rPr>
        <w:t>3</w:t>
      </w:r>
      <w:r w:rsidRPr="0017588B">
        <w:fldChar w:fldCharType="end"/>
      </w:r>
      <w:r w:rsidRPr="001C1A91">
        <w:rPr>
          <w:lang w:val="fr-CH"/>
        </w:rPr>
        <w:t>), p. 39.</w:t>
      </w:r>
    </w:p>
  </w:footnote>
  <w:footnote w:id="49">
    <w:p w14:paraId="508EDC9D" w14:textId="6ABDA90A" w:rsidR="00D739C9" w:rsidRPr="00527230" w:rsidRDefault="00D739C9" w:rsidP="00FF5ECB">
      <w:pPr>
        <w:pStyle w:val="Fussnote"/>
        <w:rPr>
          <w:lang w:val="fr-FR"/>
        </w:rPr>
      </w:pPr>
      <w:r w:rsidRPr="00527230">
        <w:rPr>
          <w:rStyle w:val="FootnoteReference"/>
        </w:rPr>
        <w:footnoteRef/>
      </w:r>
      <w:r w:rsidRPr="00527230">
        <w:rPr>
          <w:lang w:val="fr-CH"/>
        </w:rPr>
        <w:t xml:space="preserve"> See </w:t>
      </w:r>
      <w:hyperlink r:id="rId37" w:history="1">
        <w:r w:rsidRPr="00063CD7">
          <w:rPr>
            <w:rStyle w:val="Hyperlink"/>
            <w:smallCaps/>
            <w:lang w:val="fr-CH"/>
          </w:rPr>
          <w:t>Geneviève Piérart</w:t>
        </w:r>
        <w:r w:rsidRPr="00063CD7">
          <w:rPr>
            <w:rStyle w:val="Hyperlink"/>
            <w:lang w:val="fr-CH"/>
          </w:rPr>
          <w:t>, Les enfants migrants en situation de handicap et leurs familles, in: University of Geneva, Les droits de l’enfant en situations de migration en Suisse, 2017</w:t>
        </w:r>
      </w:hyperlink>
      <w:r w:rsidRPr="00527230">
        <w:rPr>
          <w:lang w:val="fr-CH"/>
        </w:rPr>
        <w:t>, p. 63 ff.</w:t>
      </w:r>
    </w:p>
  </w:footnote>
  <w:footnote w:id="50">
    <w:p w14:paraId="13B24981" w14:textId="3534AC6C" w:rsidR="00D739C9" w:rsidRPr="00BD6E82" w:rsidRDefault="00D739C9" w:rsidP="00FF5ECB">
      <w:pPr>
        <w:pStyle w:val="Fussnote"/>
        <w:rPr>
          <w:lang w:val="fr-FR"/>
        </w:rPr>
      </w:pPr>
      <w:r w:rsidRPr="00527230">
        <w:rPr>
          <w:rStyle w:val="FootnoteReference"/>
        </w:rPr>
        <w:footnoteRef/>
      </w:r>
      <w:r w:rsidRPr="00BD6E82">
        <w:rPr>
          <w:lang w:val="fr-FR"/>
        </w:rPr>
        <w:t xml:space="preserve"> </w:t>
      </w:r>
      <w:hyperlink r:id="rId38" w:history="1">
        <w:r w:rsidRPr="00051048">
          <w:rPr>
            <w:rStyle w:val="Hyperlink"/>
            <w:smallCaps/>
            <w:lang w:val="fr-FR"/>
          </w:rPr>
          <w:t>Christina Weber Khan/ Sandra Hotz (SCHR)</w:t>
        </w:r>
        <w:r w:rsidRPr="00051048">
          <w:rPr>
            <w:rStyle w:val="Hyperlink"/>
            <w:lang w:val="fr-FR"/>
          </w:rPr>
          <w:t>, Die Umsetzung des Partizipationsrechts des Kindes nach Art. 12 UN-Kinderrechtskonvention in der Schweiz [Implementation of the right of children to participate according to Article 12 UN Convention on the Rights of the Child in Switzerland], 2019</w:t>
        </w:r>
      </w:hyperlink>
      <w:r w:rsidRPr="00BD6E82">
        <w:rPr>
          <w:lang w:val="fr-FR"/>
        </w:rPr>
        <w:t>, p. 209.</w:t>
      </w:r>
    </w:p>
  </w:footnote>
  <w:footnote w:id="51">
    <w:p w14:paraId="39BAA4DE" w14:textId="77777777" w:rsidR="00D739C9" w:rsidRPr="00104AEE" w:rsidRDefault="00D739C9" w:rsidP="00FF5ECB">
      <w:pPr>
        <w:pStyle w:val="Fussnote"/>
        <w:rPr>
          <w:lang w:val="en-US"/>
        </w:rPr>
      </w:pPr>
      <w:r w:rsidRPr="00527230">
        <w:rPr>
          <w:rStyle w:val="FootnoteReference"/>
        </w:rPr>
        <w:footnoteRef/>
      </w:r>
      <w:r w:rsidRPr="00104AEE">
        <w:rPr>
          <w:lang w:val="en-US"/>
        </w:rPr>
        <w:t xml:space="preserve"> For example, “other important reasons” (besides age) for excluding a hearing, or “respecting the views of the child 'where feasible'”. Experience report of the Kinderanwaltschaft Schweiz [Children's Advocacy Office of Switzerland].</w:t>
      </w:r>
    </w:p>
  </w:footnote>
  <w:footnote w:id="52">
    <w:p w14:paraId="12FE5075" w14:textId="77777777" w:rsidR="00D739C9" w:rsidRPr="00527230" w:rsidRDefault="00D739C9" w:rsidP="00FF5ECB">
      <w:pPr>
        <w:pStyle w:val="Fussnote"/>
        <w:rPr>
          <w:szCs w:val="18"/>
          <w:lang w:val="it-CH"/>
        </w:rPr>
      </w:pPr>
      <w:r w:rsidRPr="00CD07C7">
        <w:rPr>
          <w:rStyle w:val="FootnoteReference"/>
          <w:szCs w:val="18"/>
        </w:rPr>
        <w:footnoteRef/>
      </w:r>
      <w:r w:rsidRPr="00CD07C7">
        <w:rPr>
          <w:szCs w:val="18"/>
          <w:lang w:val="it-CH"/>
        </w:rPr>
        <w:t xml:space="preserve"> DDA </w:t>
      </w:r>
      <w:r w:rsidRPr="00540E7A">
        <w:rPr>
          <w:szCs w:val="18"/>
          <w:lang w:val="it-CH"/>
        </w:rPr>
        <w:t>Assessment</w:t>
      </w:r>
      <w:r w:rsidRPr="00CD07C7">
        <w:rPr>
          <w:szCs w:val="18"/>
          <w:lang w:val="it-CH"/>
        </w:rPr>
        <w:t xml:space="preserve"> (fn. 2), p. 357.</w:t>
      </w:r>
    </w:p>
  </w:footnote>
  <w:footnote w:id="53">
    <w:p w14:paraId="416157F8" w14:textId="77777777" w:rsidR="00D739C9" w:rsidRPr="00BD6E82" w:rsidRDefault="00D739C9" w:rsidP="00FF5ECB">
      <w:pPr>
        <w:pStyle w:val="Fussnote"/>
        <w:rPr>
          <w:lang w:val="it-IT"/>
        </w:rPr>
      </w:pPr>
      <w:r w:rsidRPr="00527230">
        <w:rPr>
          <w:rStyle w:val="FootnoteReference"/>
          <w:szCs w:val="18"/>
        </w:rPr>
        <w:footnoteRef/>
      </w:r>
      <w:r w:rsidRPr="00BD6E82">
        <w:rPr>
          <w:lang w:val="it-IT"/>
        </w:rPr>
        <w:t xml:space="preserve"> DDA Assessment (fn. 2), p. 373.</w:t>
      </w:r>
    </w:p>
  </w:footnote>
  <w:footnote w:id="54">
    <w:p w14:paraId="4E78992A" w14:textId="5164EF32" w:rsidR="00D739C9" w:rsidRPr="008C0590" w:rsidRDefault="00D739C9" w:rsidP="00FF5ECB">
      <w:pPr>
        <w:pStyle w:val="Fussnote"/>
      </w:pPr>
      <w:r w:rsidRPr="00527230">
        <w:rPr>
          <w:rStyle w:val="FootnoteReference"/>
          <w:szCs w:val="18"/>
        </w:rPr>
        <w:footnoteRef/>
      </w:r>
      <w:r w:rsidRPr="008C0590">
        <w:t xml:space="preserve"> See </w:t>
      </w:r>
      <w:hyperlink r:id="rId39" w:history="1">
        <w:r w:rsidRPr="00CB19F9">
          <w:rPr>
            <w:rStyle w:val="Hyperlink"/>
            <w:szCs w:val="18"/>
          </w:rPr>
          <w:t>Pro Infirmis, Studie Teilhabe von Menschen mit Beeinträchtigung (TeMB-Studie) 2016</w:t>
        </w:r>
      </w:hyperlink>
      <w:r w:rsidRPr="008C0590">
        <w:t>.</w:t>
      </w:r>
    </w:p>
  </w:footnote>
  <w:footnote w:id="55">
    <w:p w14:paraId="0398B275" w14:textId="0AFD1584" w:rsidR="00D739C9" w:rsidRPr="00ED1A8F" w:rsidRDefault="00D739C9" w:rsidP="00FF5ECB">
      <w:pPr>
        <w:pStyle w:val="Fussnote"/>
        <w:rPr>
          <w:lang w:val="en-US"/>
        </w:rPr>
      </w:pPr>
      <w:r w:rsidRPr="00290BBE">
        <w:rPr>
          <w:rStyle w:val="FootnoteReference"/>
        </w:rPr>
        <w:footnoteRef/>
      </w:r>
      <w:r w:rsidRPr="00ED1A8F">
        <w:rPr>
          <w:lang w:val="en-US"/>
        </w:rPr>
        <w:t xml:space="preserve"> </w:t>
      </w:r>
      <w:hyperlink r:id="rId40" w:history="1">
        <w:r w:rsidRPr="00ED1A8F">
          <w:rPr>
            <w:rStyle w:val="Hyperlink"/>
            <w:lang w:val="en-US"/>
          </w:rPr>
          <w:t>AGILE.CH, Behinderung und Politik [Disability and Politics], Edition 4, December 2021</w:t>
        </w:r>
      </w:hyperlink>
      <w:r w:rsidRPr="00ED1A8F">
        <w:rPr>
          <w:lang w:val="en-US"/>
        </w:rPr>
        <w:t>.</w:t>
      </w:r>
    </w:p>
  </w:footnote>
  <w:footnote w:id="56">
    <w:p w14:paraId="6AED11B7" w14:textId="77777777" w:rsidR="00D739C9" w:rsidRPr="00104AEE" w:rsidRDefault="00D739C9" w:rsidP="00FF5ECB">
      <w:pPr>
        <w:pStyle w:val="Fussnote"/>
        <w:rPr>
          <w:lang w:val="en-US"/>
        </w:rPr>
      </w:pPr>
      <w:r w:rsidRPr="00290BBE">
        <w:rPr>
          <w:rStyle w:val="FootnoteReference"/>
        </w:rPr>
        <w:footnoteRef/>
      </w:r>
      <w:r w:rsidRPr="00104AEE">
        <w:rPr>
          <w:lang w:val="en-US"/>
        </w:rPr>
        <w:t xml:space="preserve"> Article 22 DDA.</w:t>
      </w:r>
    </w:p>
  </w:footnote>
  <w:footnote w:id="57">
    <w:p w14:paraId="0B8C52D2" w14:textId="77777777" w:rsidR="00D739C9" w:rsidRPr="005033A4" w:rsidRDefault="00D739C9" w:rsidP="00FF5ECB">
      <w:pPr>
        <w:pStyle w:val="Fussnote"/>
        <w:rPr>
          <w:lang w:val="en-US"/>
        </w:rPr>
      </w:pPr>
      <w:r w:rsidRPr="005033A4">
        <w:rPr>
          <w:rStyle w:val="FootnoteReference"/>
        </w:rPr>
        <w:footnoteRef/>
      </w:r>
      <w:r w:rsidRPr="005033A4">
        <w:rPr>
          <w:lang w:val="en-US"/>
        </w:rPr>
        <w:t xml:space="preserve"> Solely the cantons of Basel-Stadt and Geneva guarantee the right of PWD to demand the removal of a disadvantage even in the case of existing buildings independently of any renovation. </w:t>
      </w:r>
    </w:p>
  </w:footnote>
  <w:footnote w:id="58">
    <w:p w14:paraId="2151FC23" w14:textId="126B34B3" w:rsidR="00D739C9" w:rsidRPr="005033A4" w:rsidRDefault="00D739C9" w:rsidP="00FF5ECB">
      <w:pPr>
        <w:pStyle w:val="Fussnote"/>
        <w:rPr>
          <w:lang w:val="en-US"/>
        </w:rPr>
      </w:pPr>
      <w:r w:rsidRPr="005033A4">
        <w:rPr>
          <w:rStyle w:val="FootnoteReference"/>
          <w:rFonts w:eastAsia="MS Gothic"/>
        </w:rPr>
        <w:footnoteRef/>
      </w:r>
      <w:r w:rsidRPr="005033A4">
        <w:rPr>
          <w:lang w:val="en-US"/>
        </w:rPr>
        <w:t xml:space="preserve"> </w:t>
      </w:r>
      <w:r>
        <w:rPr>
          <w:lang w:val="en-US"/>
        </w:rPr>
        <w:t xml:space="preserve">Assessment of the DDA (fn. </w:t>
      </w:r>
      <w:r>
        <w:rPr>
          <w:lang w:val="en-US"/>
        </w:rPr>
        <w:fldChar w:fldCharType="begin"/>
      </w:r>
      <w:r>
        <w:rPr>
          <w:lang w:val="en-US"/>
        </w:rPr>
        <w:instrText xml:space="preserve"> NOTEREF _Ref95639500 \h </w:instrText>
      </w:r>
      <w:r>
        <w:rPr>
          <w:lang w:val="en-US"/>
        </w:rPr>
      </w:r>
      <w:r>
        <w:rPr>
          <w:lang w:val="en-US"/>
        </w:rPr>
        <w:fldChar w:fldCharType="separate"/>
      </w:r>
      <w:r>
        <w:rPr>
          <w:lang w:val="en-US"/>
        </w:rPr>
        <w:t>2</w:t>
      </w:r>
      <w:r>
        <w:rPr>
          <w:lang w:val="en-US"/>
        </w:rPr>
        <w:fldChar w:fldCharType="end"/>
      </w:r>
      <w:r>
        <w:rPr>
          <w:lang w:val="en-US"/>
        </w:rPr>
        <w:t xml:space="preserve">), Short Version, </w:t>
      </w:r>
      <w:r w:rsidRPr="005033A4">
        <w:rPr>
          <w:lang w:val="en-US"/>
        </w:rPr>
        <w:t>p. 15 f.</w:t>
      </w:r>
    </w:p>
  </w:footnote>
  <w:footnote w:id="59">
    <w:p w14:paraId="614286E1" w14:textId="475A1D0E" w:rsidR="00D739C9" w:rsidRPr="00104AEE" w:rsidRDefault="00D739C9" w:rsidP="00FF5ECB">
      <w:pPr>
        <w:pStyle w:val="Fussnote"/>
        <w:rPr>
          <w:lang w:val="en-US"/>
        </w:rPr>
      </w:pPr>
      <w:r w:rsidRPr="00290BBE">
        <w:rPr>
          <w:rStyle w:val="FootnoteReference"/>
        </w:rPr>
        <w:footnoteRef/>
      </w:r>
      <w:r w:rsidRPr="00104AEE">
        <w:rPr>
          <w:lang w:val="en-US"/>
        </w:rPr>
        <w:t xml:space="preserve"> The number of flats supported by the Confederation (and for which SIA 500 applies) is minimal in relation to the total volume of flats in Switzerland (i.e. less than 1.5%). See the </w:t>
      </w:r>
      <w:hyperlink r:id="rId41" w:history="1">
        <w:r w:rsidRPr="006077B1">
          <w:rPr>
            <w:rStyle w:val="Hyperlink"/>
            <w:lang w:val="en-US"/>
          </w:rPr>
          <w:t>statistics of the Federal Office for Housing (FOH)</w:t>
        </w:r>
      </w:hyperlink>
      <w:r>
        <w:rPr>
          <w:lang w:val="en-US"/>
        </w:rPr>
        <w:t xml:space="preserve"> </w:t>
      </w:r>
      <w:r w:rsidRPr="00104AEE">
        <w:rPr>
          <w:lang w:val="en-US"/>
        </w:rPr>
        <w:t>(2016-2019: 201,944 flats built in total, 2,932 with federal funding).</w:t>
      </w:r>
    </w:p>
  </w:footnote>
  <w:footnote w:id="60">
    <w:p w14:paraId="503D6078" w14:textId="77777777" w:rsidR="00D739C9" w:rsidRPr="00104AEE" w:rsidRDefault="00D739C9" w:rsidP="00FF5ECB">
      <w:pPr>
        <w:pStyle w:val="Fussnote"/>
        <w:rPr>
          <w:lang w:val="en-US"/>
        </w:rPr>
      </w:pPr>
      <w:r w:rsidRPr="00290BBE">
        <w:rPr>
          <w:rStyle w:val="FootnoteReference"/>
        </w:rPr>
        <w:footnoteRef/>
      </w:r>
      <w:r w:rsidRPr="00104AEE">
        <w:rPr>
          <w:lang w:val="en-US"/>
        </w:rPr>
        <w:t xml:space="preserve"> Article 8 DPA.</w:t>
      </w:r>
    </w:p>
  </w:footnote>
  <w:footnote w:id="61">
    <w:p w14:paraId="4B27B3F7" w14:textId="0DDABA80" w:rsidR="00D739C9" w:rsidRPr="00104AEE" w:rsidRDefault="00D739C9" w:rsidP="00FF5ECB">
      <w:pPr>
        <w:pStyle w:val="Fussnote"/>
        <w:rPr>
          <w:lang w:val="en-US"/>
        </w:rPr>
      </w:pPr>
      <w:r w:rsidRPr="00290BBE">
        <w:rPr>
          <w:rStyle w:val="FootnoteReference"/>
        </w:rPr>
        <w:footnoteRef/>
      </w:r>
      <w:r w:rsidRPr="00104AEE">
        <w:rPr>
          <w:lang w:val="en-US"/>
        </w:rPr>
        <w:t xml:space="preserve"> In 2020, the Swiss Federal Audit Office (SFAO) criticized the delays in the implementation of the DDA in rail transport and recommended that the Federal Office of Transport (FOT) monitor them more closely: SFAO, </w:t>
      </w:r>
      <w:hyperlink r:id="rId42" w:history="1">
        <w:r w:rsidRPr="006077B1">
          <w:rPr>
            <w:rStyle w:val="Hyperlink"/>
            <w:lang w:val="en-US"/>
          </w:rPr>
          <w:t>Audit of the implementation of measures related to railway access for the disabled, Federal Office of Transport, 23 January 2020</w:t>
        </w:r>
      </w:hyperlink>
      <w:r w:rsidRPr="00104AEE">
        <w:rPr>
          <w:lang w:val="en-US"/>
        </w:rPr>
        <w:t>.</w:t>
      </w:r>
    </w:p>
  </w:footnote>
  <w:footnote w:id="62">
    <w:p w14:paraId="4D2FD775" w14:textId="605664B5" w:rsidR="00D739C9" w:rsidRPr="00104AEE" w:rsidRDefault="00D739C9" w:rsidP="00FF5ECB">
      <w:pPr>
        <w:pStyle w:val="Fussnote"/>
        <w:rPr>
          <w:lang w:val="en-US"/>
        </w:rPr>
      </w:pPr>
      <w:r w:rsidRPr="00290BBE">
        <w:rPr>
          <w:rStyle w:val="FootnoteReference"/>
        </w:rPr>
        <w:footnoteRef/>
      </w:r>
      <w:r w:rsidRPr="00104AEE">
        <w:rPr>
          <w:lang w:val="en-US"/>
        </w:rPr>
        <w:t xml:space="preserve"> Thus, more recent surveys (</w:t>
      </w:r>
      <w:hyperlink r:id="rId43" w:history="1">
        <w:r w:rsidRPr="006077B1">
          <w:rPr>
            <w:rStyle w:val="Hyperlink"/>
            <w:lang w:val="en-US"/>
          </w:rPr>
          <w:t>FOT, Status report no. 4 on the implementation of the Disability Discrimination Act at railway stations, 16 December 2021</w:t>
        </w:r>
      </w:hyperlink>
      <w:r w:rsidRPr="00104AEE">
        <w:rPr>
          <w:lang w:val="en-US"/>
        </w:rPr>
        <w:t>) show that in 2021 (and not in 2016, when the State Party's Report was submitted [fn. 1, para. 47]), only around half of the 1,800 stations/stops can be accessed independently by PWD. As before, only 69% of passengers benefit from adapted stations. It is also worth noting that the forecast of the number of accessible railway stops and stations by 2023 has changed for the worse: There are almost 20% fewer stations that can be adapted on time, FOT Status Report, p. 3).</w:t>
      </w:r>
    </w:p>
  </w:footnote>
  <w:footnote w:id="63">
    <w:p w14:paraId="3F697D58" w14:textId="05C665BA" w:rsidR="00D739C9" w:rsidRPr="005C7271" w:rsidRDefault="00D739C9" w:rsidP="00FF5ECB">
      <w:pPr>
        <w:pStyle w:val="Fussnote"/>
        <w:rPr>
          <w:lang w:val="en-US"/>
        </w:rPr>
      </w:pPr>
      <w:r w:rsidRPr="00290BBE">
        <w:rPr>
          <w:rStyle w:val="FootnoteReference"/>
          <w:rFonts w:eastAsia="MS Gothic"/>
        </w:rPr>
        <w:footnoteRef/>
      </w:r>
      <w:r w:rsidRPr="00290BBE">
        <w:rPr>
          <w:lang w:val="en-US"/>
        </w:rPr>
        <w:t xml:space="preserve"> For this reason, and in the absence of a Swiss-wide concept of accessibility in bus transport, </w:t>
      </w:r>
      <w:r>
        <w:rPr>
          <w:lang w:val="en-US"/>
        </w:rPr>
        <w:t>OPDs</w:t>
      </w:r>
      <w:r w:rsidRPr="00290BBE">
        <w:rPr>
          <w:lang w:val="en-US"/>
        </w:rPr>
        <w:t xml:space="preserve"> must repeatedly make use of their association’s right of appeal and demand that bus traffic be accessible on a case-by-case basis, such as, for example - in a case that proved success before the </w:t>
      </w:r>
      <w:hyperlink r:id="rId44" w:history="1">
        <w:r w:rsidRPr="00D93FD4">
          <w:rPr>
            <w:rStyle w:val="Hyperlink"/>
            <w:lang w:val="en-US"/>
          </w:rPr>
          <w:t>Cantonal Court of Fribourg at the end of 2020</w:t>
        </w:r>
      </w:hyperlink>
      <w:r w:rsidRPr="00290BBE">
        <w:rPr>
          <w:lang w:val="en-US"/>
        </w:rPr>
        <w:t xml:space="preserve">. Swiss television has also reported on the inadequate accommodation of bus stops in Switzerland, see the </w:t>
      </w:r>
      <w:hyperlink r:id="rId45" w:history="1">
        <w:r w:rsidR="00C61379">
          <w:rPr>
            <w:rStyle w:val="Hyperlink"/>
            <w:lang w:val="en-US"/>
          </w:rPr>
          <w:t>“</w:t>
        </w:r>
        <w:r w:rsidRPr="00D93FD4">
          <w:rPr>
            <w:rStyle w:val="Hyperlink"/>
            <w:lang w:val="en-US"/>
          </w:rPr>
          <w:t>Schweiz Aktuell</w:t>
        </w:r>
        <w:r w:rsidR="00C61379">
          <w:rPr>
            <w:rStyle w:val="Hyperlink"/>
            <w:lang w:val="en-US"/>
          </w:rPr>
          <w:t>”</w:t>
        </w:r>
        <w:r w:rsidRPr="00D93FD4">
          <w:rPr>
            <w:rStyle w:val="Hyperlink"/>
            <w:lang w:val="en-US"/>
          </w:rPr>
          <w:t xml:space="preserve"> programme broadcast of 31 March 2017</w:t>
        </w:r>
      </w:hyperlink>
      <w:r>
        <w:rPr>
          <w:lang w:val="en-US"/>
        </w:rPr>
        <w:t xml:space="preserve"> </w:t>
      </w:r>
      <w:r w:rsidRPr="00290BBE">
        <w:rPr>
          <w:lang w:val="en-US"/>
        </w:rPr>
        <w:t xml:space="preserve">and the </w:t>
      </w:r>
      <w:hyperlink r:id="rId46" w:history="1">
        <w:r w:rsidR="00C61379">
          <w:rPr>
            <w:rStyle w:val="Hyperlink"/>
            <w:lang w:val="en-US"/>
          </w:rPr>
          <w:t>“</w:t>
        </w:r>
        <w:r w:rsidRPr="00D93FD4">
          <w:rPr>
            <w:rStyle w:val="Hyperlink"/>
            <w:lang w:val="en-US"/>
          </w:rPr>
          <w:t>10vor10</w:t>
        </w:r>
        <w:r w:rsidR="00C61379">
          <w:rPr>
            <w:rStyle w:val="Hyperlink"/>
            <w:lang w:val="en-US"/>
          </w:rPr>
          <w:t>”</w:t>
        </w:r>
        <w:r w:rsidRPr="00D93FD4">
          <w:rPr>
            <w:rStyle w:val="Hyperlink"/>
            <w:lang w:val="en-US"/>
          </w:rPr>
          <w:t xml:space="preserve"> programme broadcast of 11 May 2017</w:t>
        </w:r>
      </w:hyperlink>
      <w:r w:rsidRPr="00290BBE">
        <w:rPr>
          <w:lang w:val="en-US"/>
        </w:rPr>
        <w:t>.</w:t>
      </w:r>
    </w:p>
  </w:footnote>
  <w:footnote w:id="64">
    <w:p w14:paraId="4CFA6AA4" w14:textId="71E96404" w:rsidR="00D739C9" w:rsidRPr="005C7271" w:rsidRDefault="00D739C9" w:rsidP="00FF5ECB">
      <w:pPr>
        <w:pStyle w:val="Fussnote"/>
        <w:rPr>
          <w:lang w:val="en-US"/>
        </w:rPr>
      </w:pPr>
      <w:r>
        <w:rPr>
          <w:rStyle w:val="FootnoteReference"/>
        </w:rPr>
        <w:footnoteRef/>
      </w:r>
      <w:r w:rsidRPr="005C7271">
        <w:rPr>
          <w:lang w:val="en-US"/>
        </w:rPr>
        <w:t xml:space="preserve"> See the study by </w:t>
      </w:r>
      <w:hyperlink r:id="rId47" w:history="1">
        <w:r w:rsidRPr="00D93FD4">
          <w:rPr>
            <w:rStyle w:val="Hyperlink"/>
            <w:lang w:val="en-US"/>
          </w:rPr>
          <w:t>agile.ch, Behinderung und Politik, edition 4, November 2019</w:t>
        </w:r>
      </w:hyperlink>
      <w:r>
        <w:rPr>
          <w:lang w:val="en-US"/>
        </w:rPr>
        <w:t>.</w:t>
      </w:r>
      <w:r w:rsidRPr="005C7271">
        <w:rPr>
          <w:lang w:val="en-US"/>
        </w:rPr>
        <w:t xml:space="preserve"> </w:t>
      </w:r>
    </w:p>
  </w:footnote>
  <w:footnote w:id="65">
    <w:p w14:paraId="3DD9EEF8" w14:textId="300A8E8E" w:rsidR="00D739C9" w:rsidRPr="005C7271" w:rsidRDefault="00D739C9" w:rsidP="00FF5ECB">
      <w:pPr>
        <w:pStyle w:val="Fussnote"/>
        <w:rPr>
          <w:lang w:val="en-US"/>
        </w:rPr>
      </w:pPr>
      <w:r>
        <w:rPr>
          <w:rStyle w:val="FootnoteReference"/>
        </w:rPr>
        <w:footnoteRef/>
      </w:r>
      <w:r w:rsidRPr="005C7271">
        <w:rPr>
          <w:lang w:val="en-US"/>
        </w:rPr>
        <w:t xml:space="preserve"> </w:t>
      </w:r>
      <w:hyperlink r:id="rId48" w:history="1">
        <w:r w:rsidRPr="00D93FD4">
          <w:rPr>
            <w:rStyle w:val="Hyperlink"/>
            <w:lang w:val="en-US"/>
          </w:rPr>
          <w:t>Judgment A-359/2018 of the Federal Administrative Court of 20 November 2018</w:t>
        </w:r>
      </w:hyperlink>
      <w:r w:rsidRPr="005C7271">
        <w:rPr>
          <w:lang w:val="en-US"/>
        </w:rPr>
        <w:t xml:space="preserve">. The case has been pending before the Federal Supreme Court since January 2019. It concerns 62 double-decker trains manufactured by Bombardier. </w:t>
      </w:r>
    </w:p>
  </w:footnote>
  <w:footnote w:id="66">
    <w:p w14:paraId="6CB16E51" w14:textId="77777777" w:rsidR="00D739C9" w:rsidRPr="005C7271" w:rsidRDefault="00D739C9" w:rsidP="00FF5ECB">
      <w:pPr>
        <w:pStyle w:val="Fussnote"/>
        <w:rPr>
          <w:lang w:val="en-US"/>
        </w:rPr>
      </w:pPr>
      <w:r>
        <w:rPr>
          <w:rStyle w:val="FootnoteReference"/>
        </w:rPr>
        <w:footnoteRef/>
      </w:r>
      <w:r w:rsidRPr="005C7271">
        <w:rPr>
          <w:lang w:val="en-US"/>
        </w:rPr>
        <w:t xml:space="preserve"> As a result of the agreements between the EU and Switzerland.</w:t>
      </w:r>
    </w:p>
  </w:footnote>
  <w:footnote w:id="67">
    <w:p w14:paraId="6DE20B8A" w14:textId="77777777" w:rsidR="00D739C9" w:rsidRPr="005C7271" w:rsidRDefault="00D739C9" w:rsidP="00FF5ECB">
      <w:pPr>
        <w:pStyle w:val="Fussnote"/>
        <w:rPr>
          <w:lang w:val="en-US"/>
        </w:rPr>
      </w:pPr>
      <w:r>
        <w:rPr>
          <w:rStyle w:val="FootnoteReference"/>
        </w:rPr>
        <w:footnoteRef/>
      </w:r>
      <w:r w:rsidRPr="005C7271">
        <w:rPr>
          <w:lang w:val="en-US"/>
        </w:rPr>
        <w:t xml:space="preserve"> Preamble, Section 4.</w:t>
      </w:r>
    </w:p>
  </w:footnote>
  <w:footnote w:id="68">
    <w:p w14:paraId="13E19F8D" w14:textId="77777777" w:rsidR="00D739C9" w:rsidRPr="005C7271" w:rsidRDefault="00D739C9" w:rsidP="00FF5ECB">
      <w:pPr>
        <w:pStyle w:val="Fussnote"/>
        <w:rPr>
          <w:lang w:val="en-US"/>
        </w:rPr>
      </w:pPr>
      <w:r>
        <w:rPr>
          <w:rStyle w:val="FootnoteReference"/>
        </w:rPr>
        <w:footnoteRef/>
      </w:r>
      <w:r w:rsidRPr="005C7271">
        <w:rPr>
          <w:lang w:val="en-US"/>
        </w:rPr>
        <w:t xml:space="preserve"> Federal Administrative Court in its judgment A-359/2018, para. 7.4.4: “It is undisputed that, contrary to Swiss disability equality law, the PRM TSI does not, in principle, require independent access (without assistance from third parties) for persons with limited mobility through equal access.”</w:t>
      </w:r>
    </w:p>
  </w:footnote>
  <w:footnote w:id="69">
    <w:p w14:paraId="51B2A5C9" w14:textId="77777777" w:rsidR="00D739C9" w:rsidRPr="00BD6E82" w:rsidRDefault="00D739C9" w:rsidP="00FF5ECB">
      <w:pPr>
        <w:pStyle w:val="Fussnote"/>
        <w:rPr>
          <w:lang w:val="en-US"/>
        </w:rPr>
      </w:pPr>
      <w:r>
        <w:rPr>
          <w:rStyle w:val="FootnoteReference"/>
        </w:rPr>
        <w:footnoteRef/>
      </w:r>
      <w:r w:rsidRPr="00BD6E82">
        <w:rPr>
          <w:lang w:val="en-US"/>
        </w:rPr>
        <w:t xml:space="preserve"> PRM TSI, Section 4.2.2.8, Table 6.</w:t>
      </w:r>
    </w:p>
  </w:footnote>
  <w:footnote w:id="70">
    <w:p w14:paraId="4D8EE763" w14:textId="77777777" w:rsidR="00D739C9" w:rsidRPr="00BD6E82" w:rsidRDefault="00D739C9" w:rsidP="00FF5ECB">
      <w:pPr>
        <w:pStyle w:val="Fussnote"/>
        <w:rPr>
          <w:lang w:val="en-US"/>
        </w:rPr>
      </w:pPr>
      <w:r>
        <w:rPr>
          <w:rStyle w:val="FootnoteReference"/>
        </w:rPr>
        <w:footnoteRef/>
      </w:r>
      <w:r w:rsidRPr="00BD6E82">
        <w:rPr>
          <w:lang w:val="en-US"/>
        </w:rPr>
        <w:t xml:space="preserve"> PRM TSI, Section 4.2.2.11.</w:t>
      </w:r>
    </w:p>
  </w:footnote>
  <w:footnote w:id="71">
    <w:p w14:paraId="7E4F92DC" w14:textId="77777777" w:rsidR="00D739C9" w:rsidRPr="005C7271" w:rsidRDefault="00D739C9" w:rsidP="00FF5ECB">
      <w:pPr>
        <w:pStyle w:val="Fussnote"/>
        <w:rPr>
          <w:lang w:val="en-US"/>
        </w:rPr>
      </w:pPr>
      <w:r>
        <w:rPr>
          <w:rStyle w:val="FootnoteReference"/>
        </w:rPr>
        <w:footnoteRef/>
      </w:r>
      <w:r w:rsidRPr="005C7271">
        <w:rPr>
          <w:lang w:val="en-US"/>
        </w:rPr>
        <w:t xml:space="preserve"> The European Railway Agency (ERA) is responsible for the approval of rolling stock for cross-border transport.</w:t>
      </w:r>
    </w:p>
  </w:footnote>
  <w:footnote w:id="72">
    <w:p w14:paraId="4DC1F037" w14:textId="1B8C7393" w:rsidR="00D739C9" w:rsidRPr="005C7271" w:rsidRDefault="00D739C9" w:rsidP="00FF5ECB">
      <w:pPr>
        <w:pStyle w:val="Fussnote"/>
        <w:rPr>
          <w:lang w:val="en-US"/>
        </w:rPr>
      </w:pPr>
      <w:r>
        <w:rPr>
          <w:rStyle w:val="FootnoteReference"/>
        </w:rPr>
        <w:footnoteRef/>
      </w:r>
      <w:r w:rsidRPr="005C7271">
        <w:rPr>
          <w:lang w:val="en-US"/>
        </w:rPr>
        <w:t xml:space="preserve"> </w:t>
      </w:r>
      <w:hyperlink r:id="rId49" w:history="1">
        <w:r w:rsidRPr="00D93FD4">
          <w:rPr>
            <w:rStyle w:val="Hyperlink"/>
            <w:lang w:val="en-US"/>
          </w:rPr>
          <w:t>Federal Council, Press Release of 21.12.2021</w:t>
        </w:r>
      </w:hyperlink>
      <w:r w:rsidRPr="005C7271">
        <w:rPr>
          <w:lang w:val="en-US"/>
        </w:rPr>
        <w:t>.</w:t>
      </w:r>
    </w:p>
  </w:footnote>
  <w:footnote w:id="73">
    <w:p w14:paraId="4D52EE7B" w14:textId="41314308" w:rsidR="00D739C9" w:rsidRPr="00104AEE" w:rsidRDefault="00D739C9" w:rsidP="005B4044">
      <w:pPr>
        <w:pStyle w:val="Fussnote"/>
        <w:rPr>
          <w:lang w:val="en-US"/>
        </w:rPr>
      </w:pPr>
      <w:r>
        <w:rPr>
          <w:rStyle w:val="FootnoteReference"/>
        </w:rPr>
        <w:footnoteRef/>
      </w:r>
      <w:r w:rsidRPr="00104AEE">
        <w:rPr>
          <w:lang w:val="en-US"/>
        </w:rPr>
        <w:t xml:space="preserve"> Article 6 in conjunction with Article 8(3) DDA. With regard to the concept of discrimination under Article 6 DDA, see p. </w:t>
      </w:r>
      <w:r>
        <w:fldChar w:fldCharType="begin"/>
      </w:r>
      <w:r w:rsidRPr="00104AEE">
        <w:rPr>
          <w:lang w:val="en-US"/>
        </w:rPr>
        <w:instrText xml:space="preserve"> PAGEREF _Ref15829389 </w:instrText>
      </w:r>
      <w:r>
        <w:fldChar w:fldCharType="separate"/>
      </w:r>
      <w:r>
        <w:rPr>
          <w:noProof/>
          <w:lang w:val="en-US"/>
        </w:rPr>
        <w:t>10</w:t>
      </w:r>
      <w:r>
        <w:rPr>
          <w:noProof/>
        </w:rPr>
        <w:fldChar w:fldCharType="end"/>
      </w:r>
      <w:r w:rsidRPr="00104AEE">
        <w:rPr>
          <w:lang w:val="en-US"/>
        </w:rPr>
        <w:t>f. above regarding Article 5 CRPD.</w:t>
      </w:r>
    </w:p>
  </w:footnote>
  <w:footnote w:id="74">
    <w:p w14:paraId="0193B011" w14:textId="31700FA6" w:rsidR="00D739C9" w:rsidRPr="00104AEE" w:rsidRDefault="00D739C9" w:rsidP="005B4044">
      <w:pPr>
        <w:pStyle w:val="Fussnote"/>
        <w:rPr>
          <w:lang w:val="en-US"/>
        </w:rPr>
      </w:pPr>
      <w:r>
        <w:rPr>
          <w:rStyle w:val="FootnoteReference"/>
        </w:rPr>
        <w:footnoteRef/>
      </w:r>
      <w:r w:rsidRPr="00104AEE">
        <w:rPr>
          <w:lang w:val="en-US"/>
        </w:rPr>
        <w:t xml:space="preserve"> According to a </w:t>
      </w:r>
      <w:hyperlink r:id="rId50" w:history="1">
        <w:r w:rsidRPr="00D93FD4">
          <w:rPr>
            <w:rStyle w:val="Hyperlink"/>
            <w:lang w:val="en-US"/>
          </w:rPr>
          <w:t>study carried out by the private foundation Access for All in 2020</w:t>
        </w:r>
      </w:hyperlink>
      <w:r w:rsidRPr="00104AEE">
        <w:rPr>
          <w:lang w:val="en-US"/>
        </w:rPr>
        <w:t xml:space="preserve"> involving 41 online shops of private and federal companies, 21 online shops are only partially accessible or completely inaccessible. Fundamental rules of accessibility have been infringed on multiple occasions and seriously. </w:t>
      </w:r>
    </w:p>
  </w:footnote>
  <w:footnote w:id="75">
    <w:p w14:paraId="19D62550" w14:textId="088D0BD1" w:rsidR="00D739C9" w:rsidRPr="00104AEE" w:rsidRDefault="00D739C9" w:rsidP="005B4044">
      <w:pPr>
        <w:pStyle w:val="Fussnote"/>
        <w:rPr>
          <w:lang w:val="en-US"/>
        </w:rPr>
      </w:pPr>
      <w:r>
        <w:rPr>
          <w:rStyle w:val="FootnoteReference"/>
        </w:rPr>
        <w:footnoteRef/>
      </w:r>
      <w:r w:rsidRPr="00104AEE">
        <w:rPr>
          <w:lang w:val="en-US"/>
        </w:rPr>
        <w:t xml:space="preserve"> The Federal Council recently confirmed the lack of a legal obligation, </w:t>
      </w:r>
      <w:hyperlink r:id="rId51" w:history="1">
        <w:r w:rsidRPr="00D93FD4">
          <w:rPr>
            <w:rStyle w:val="Hyperlink"/>
            <w:lang w:val="en-US"/>
          </w:rPr>
          <w:t>Federal Council, Report on parliamentary postulates concerning the recognition of sign language, 24.9.2021</w:t>
        </w:r>
      </w:hyperlink>
      <w:r w:rsidRPr="00104AEE">
        <w:rPr>
          <w:lang w:val="en-US"/>
        </w:rPr>
        <w:t>, p. 32 f. The funds made available by the Federal Social Insurance Office (FSIO) for interpreters cannot compensate for the lack of legal obligations.</w:t>
      </w:r>
    </w:p>
  </w:footnote>
  <w:footnote w:id="76">
    <w:p w14:paraId="31CC1D93" w14:textId="3749D9EB" w:rsidR="00D739C9" w:rsidRPr="00104AEE" w:rsidRDefault="00D739C9" w:rsidP="005B4044">
      <w:pPr>
        <w:pStyle w:val="Fussnote"/>
        <w:rPr>
          <w:lang w:val="en-US"/>
        </w:rPr>
      </w:pPr>
      <w:r>
        <w:rPr>
          <w:rStyle w:val="FootnoteReference"/>
        </w:rPr>
        <w:footnoteRef/>
      </w:r>
      <w:r w:rsidRPr="00104AEE">
        <w:rPr>
          <w:lang w:val="en-US"/>
        </w:rPr>
        <w:t xml:space="preserve"> </w:t>
      </w:r>
      <w:hyperlink r:id="rId52" w:history="1">
        <w:r w:rsidRPr="00D93FD4">
          <w:rPr>
            <w:rStyle w:val="Hyperlink"/>
            <w:lang w:val="en-US"/>
          </w:rPr>
          <w:t>SAMS Directive on Resuscitation Decisions 2021</w:t>
        </w:r>
      </w:hyperlink>
      <w:r w:rsidRPr="00104AEE">
        <w:rPr>
          <w:lang w:val="en-US"/>
        </w:rPr>
        <w:t>.</w:t>
      </w:r>
    </w:p>
  </w:footnote>
  <w:footnote w:id="77">
    <w:p w14:paraId="7E974FF0" w14:textId="73BDD57C" w:rsidR="00D739C9" w:rsidRPr="00104AEE" w:rsidRDefault="00D739C9" w:rsidP="005B4044">
      <w:pPr>
        <w:pStyle w:val="Fussnote"/>
        <w:rPr>
          <w:lang w:val="en-US"/>
        </w:rPr>
      </w:pPr>
      <w:r>
        <w:rPr>
          <w:rStyle w:val="FootnoteReference"/>
        </w:rPr>
        <w:footnoteRef/>
      </w:r>
      <w:r w:rsidRPr="00ED1A8F">
        <w:rPr>
          <w:lang w:val="en-US"/>
        </w:rPr>
        <w:t xml:space="preserve"> </w:t>
      </w:r>
      <w:hyperlink r:id="rId53" w:history="1">
        <w:r w:rsidRPr="00ED1A8F">
          <w:rPr>
            <w:rStyle w:val="Hyperlink"/>
            <w:lang w:val="en-US"/>
          </w:rPr>
          <w:t>Cerebral Performance Categories Scale</w:t>
        </w:r>
      </w:hyperlink>
      <w:r w:rsidRPr="00ED1A8F">
        <w:rPr>
          <w:lang w:val="en-US"/>
        </w:rPr>
        <w:t xml:space="preserve">, CPC Scale. </w:t>
      </w:r>
      <w:r w:rsidRPr="00104AEE">
        <w:rPr>
          <w:lang w:val="en-US"/>
        </w:rPr>
        <w:t>CPC 3 covers the following group of persons: “Severe cerebral disability: conscious, dependent on others for daily support because of impaired brain function. Ranges from ambulatory state to severe dementia or paralysis.”</w:t>
      </w:r>
    </w:p>
  </w:footnote>
  <w:footnote w:id="78">
    <w:p w14:paraId="0DE2AB98" w14:textId="07D3531C" w:rsidR="00D739C9" w:rsidRPr="00104AEE" w:rsidRDefault="00D739C9" w:rsidP="005B4044">
      <w:pPr>
        <w:pStyle w:val="Fussnote"/>
        <w:rPr>
          <w:lang w:val="en-US"/>
        </w:rPr>
      </w:pPr>
      <w:r>
        <w:rPr>
          <w:rStyle w:val="FootnoteReference"/>
        </w:rPr>
        <w:footnoteRef/>
      </w:r>
      <w:r w:rsidRPr="00104AEE">
        <w:rPr>
          <w:lang w:val="en-US"/>
        </w:rPr>
        <w:t xml:space="preserve"> Concerning a case in the Waaghof remand centre in Basel-Stadt, see: </w:t>
      </w:r>
      <w:hyperlink r:id="rId54" w:history="1">
        <w:r w:rsidRPr="00186780">
          <w:rPr>
            <w:rStyle w:val="Hyperlink"/>
            <w:lang w:val="en-US"/>
          </w:rPr>
          <w:t>bzbasel, 21.8.21</w:t>
        </w:r>
      </w:hyperlink>
      <w:r w:rsidRPr="00104AEE">
        <w:rPr>
          <w:lang w:val="en-US"/>
        </w:rPr>
        <w:t xml:space="preserve"> and </w:t>
      </w:r>
      <w:hyperlink r:id="rId55" w:history="1">
        <w:r w:rsidRPr="00186780">
          <w:rPr>
            <w:rStyle w:val="Hyperlink"/>
            <w:lang w:val="en-US"/>
          </w:rPr>
          <w:t>SRF Schweiz aktuell, 24.8.2021</w:t>
        </w:r>
      </w:hyperlink>
      <w:r w:rsidRPr="00104AEE">
        <w:rPr>
          <w:lang w:val="en-US"/>
        </w:rPr>
        <w:t xml:space="preserve">. In this case, the fact that the prison’s security plan itself rated the probability of suicide as “very low” and instead stressed that emergencies were often feigned was particularly appalling. </w:t>
      </w:r>
    </w:p>
  </w:footnote>
  <w:footnote w:id="79">
    <w:p w14:paraId="4BDD8E01" w14:textId="10876C10" w:rsidR="00D739C9" w:rsidRPr="00104AEE" w:rsidRDefault="00D739C9" w:rsidP="005B4044">
      <w:pPr>
        <w:pStyle w:val="Fussnote"/>
        <w:rPr>
          <w:lang w:val="en-US"/>
        </w:rPr>
      </w:pPr>
      <w:r>
        <w:rPr>
          <w:rStyle w:val="FootnoteReference"/>
        </w:rPr>
        <w:footnoteRef/>
      </w:r>
      <w:r w:rsidRPr="00104AEE">
        <w:rPr>
          <w:lang w:val="en-US"/>
        </w:rPr>
        <w:t xml:space="preserve"> The NCPT repeatedly notes - and even makes reference to ECHR practice - that a person at risk of suicide must be transferred to a suitable psychiatric institution. Any placement in a security cell should last as briefly as possible and should be monitored closely by medical staff. See, for example, in connection with its visit to the Waaghof facility on 18 September 2020, </w:t>
      </w:r>
      <w:hyperlink r:id="rId56" w:history="1">
        <w:r w:rsidRPr="0018236C">
          <w:rPr>
            <w:rStyle w:val="Hyperlink"/>
            <w:lang w:val="en-US"/>
          </w:rPr>
          <w:t>NCPT, feedback letter dated 21.12.2020</w:t>
        </w:r>
      </w:hyperlink>
      <w:r>
        <w:rPr>
          <w:lang w:val="en-US"/>
        </w:rPr>
        <w:t>,</w:t>
      </w:r>
      <w:r w:rsidRPr="00104AEE">
        <w:rPr>
          <w:lang w:val="en-US"/>
        </w:rPr>
        <w:t xml:space="preserve"> or also to the </w:t>
      </w:r>
      <w:r>
        <w:rPr>
          <w:lang w:val="en-US"/>
        </w:rPr>
        <w:t>Prison</w:t>
      </w:r>
      <w:r w:rsidRPr="00104AEE">
        <w:rPr>
          <w:lang w:val="en-US"/>
        </w:rPr>
        <w:t xml:space="preserve"> of Hindelbank/Bern on 31 January 2020, </w:t>
      </w:r>
      <w:hyperlink r:id="rId57" w:history="1">
        <w:r w:rsidRPr="00430A29">
          <w:rPr>
            <w:rStyle w:val="Hyperlink"/>
            <w:lang w:val="en-US"/>
          </w:rPr>
          <w:t>NCPT, feedback letter dated 8.5.2020</w:t>
        </w:r>
      </w:hyperlink>
      <w:r w:rsidRPr="00104AEE">
        <w:rPr>
          <w:lang w:val="en-US"/>
        </w:rPr>
        <w:t xml:space="preserve">. As regards the handling of inmates with psychosocial disabilities, see the </w:t>
      </w:r>
      <w:hyperlink r:id="rId58" w:history="1">
        <w:r w:rsidRPr="000B1A6A">
          <w:rPr>
            <w:rStyle w:val="Hyperlink"/>
            <w:lang w:val="en-US"/>
          </w:rPr>
          <w:t>Concluding Observation of the CAT for the attention of Switzerland 2015, para. 19</w:t>
        </w:r>
      </w:hyperlink>
      <w:r w:rsidRPr="00104AEE">
        <w:rPr>
          <w:lang w:val="en-US"/>
        </w:rPr>
        <w:t>.</w:t>
      </w:r>
    </w:p>
  </w:footnote>
  <w:footnote w:id="80">
    <w:p w14:paraId="15417A02" w14:textId="67F3BDD1" w:rsidR="00D739C9" w:rsidRPr="00104AEE" w:rsidRDefault="00D739C9" w:rsidP="005B4044">
      <w:pPr>
        <w:pStyle w:val="Fussnote"/>
        <w:rPr>
          <w:lang w:val="en-US"/>
        </w:rPr>
      </w:pPr>
      <w:r w:rsidRPr="003F38EC">
        <w:rPr>
          <w:rStyle w:val="FootnoteReference"/>
        </w:rPr>
        <w:footnoteRef/>
      </w:r>
      <w:r w:rsidRPr="00104AEE">
        <w:rPr>
          <w:lang w:val="en-US"/>
        </w:rPr>
        <w:t xml:space="preserve"> The </w:t>
      </w:r>
      <w:hyperlink r:id="rId59" w:history="1">
        <w:r w:rsidRPr="0065329D">
          <w:rPr>
            <w:rStyle w:val="Hyperlink"/>
            <w:lang w:val="en-US"/>
          </w:rPr>
          <w:t>Riniker motion of 30.9.2021</w:t>
        </w:r>
      </w:hyperlink>
      <w:r w:rsidRPr="00104AEE">
        <w:rPr>
          <w:lang w:val="en-US"/>
        </w:rPr>
        <w:t xml:space="preserve"> calls for the creation of a corresponding legal basis.</w:t>
      </w:r>
    </w:p>
  </w:footnote>
  <w:footnote w:id="81">
    <w:p w14:paraId="0BF26098" w14:textId="77777777" w:rsidR="00D739C9" w:rsidRPr="003F38EC" w:rsidRDefault="00D739C9" w:rsidP="005B4044">
      <w:pPr>
        <w:pStyle w:val="Fussnote"/>
      </w:pPr>
      <w:r w:rsidRPr="003F38EC">
        <w:rPr>
          <w:rStyle w:val="FootnoteReference"/>
        </w:rPr>
        <w:footnoteRef/>
      </w:r>
      <w:r w:rsidRPr="003F38EC">
        <w:t xml:space="preserve"> Standard SN EN 17210.</w:t>
      </w:r>
    </w:p>
  </w:footnote>
  <w:footnote w:id="82">
    <w:p w14:paraId="6C704DBB" w14:textId="426D7A56" w:rsidR="00D739C9" w:rsidRPr="0017588B" w:rsidRDefault="00D739C9" w:rsidP="005B4044">
      <w:pPr>
        <w:pStyle w:val="Fussnote"/>
      </w:pPr>
      <w:r w:rsidRPr="003F38EC">
        <w:rPr>
          <w:rStyle w:val="FootnoteReference"/>
        </w:rPr>
        <w:footnoteRef/>
      </w:r>
      <w:r w:rsidRPr="003F38EC">
        <w:t xml:space="preserve"> See </w:t>
      </w:r>
      <w:hyperlink r:id="rId60" w:history="1">
        <w:r w:rsidRPr="006C3171">
          <w:rPr>
            <w:rStyle w:val="Hyperlink"/>
          </w:rPr>
          <w:t>FOCP, journal "Bevölkerungsschutz", No. 25 / July 2016</w:t>
        </w:r>
      </w:hyperlink>
      <w:r w:rsidRPr="003F38EC">
        <w:t>, p. 10.</w:t>
      </w:r>
      <w:r>
        <w:t xml:space="preserve"> </w:t>
      </w:r>
    </w:p>
  </w:footnote>
  <w:footnote w:id="83">
    <w:p w14:paraId="2B62E6B6" w14:textId="3575A9B4" w:rsidR="00D739C9" w:rsidRPr="00104AEE" w:rsidRDefault="00D739C9" w:rsidP="005B4044">
      <w:pPr>
        <w:pStyle w:val="Fussnote"/>
        <w:rPr>
          <w:lang w:val="en-US"/>
        </w:rPr>
      </w:pPr>
      <w:r w:rsidRPr="003F38EC">
        <w:rPr>
          <w:rStyle w:val="FootnoteReference"/>
        </w:rPr>
        <w:footnoteRef/>
      </w:r>
      <w:r w:rsidRPr="00104AEE">
        <w:rPr>
          <w:lang w:val="en-US"/>
        </w:rPr>
        <w:t xml:space="preserve"> See, e.g. the </w:t>
      </w:r>
      <w:hyperlink r:id="rId61" w:history="1">
        <w:r w:rsidRPr="006C3171">
          <w:rPr>
            <w:rStyle w:val="Hyperlink"/>
            <w:lang w:val="en-US"/>
          </w:rPr>
          <w:t>Grüter motion adopted in Dec. 2021</w:t>
        </w:r>
      </w:hyperlink>
      <w:r>
        <w:rPr>
          <w:lang w:val="en-US"/>
        </w:rPr>
        <w:t>.</w:t>
      </w:r>
    </w:p>
  </w:footnote>
  <w:footnote w:id="84">
    <w:p w14:paraId="1D7D17A1" w14:textId="22F8154D" w:rsidR="00D739C9" w:rsidRPr="00771ADD" w:rsidRDefault="00D739C9" w:rsidP="005B4044">
      <w:pPr>
        <w:pStyle w:val="Fussnote"/>
        <w:rPr>
          <w:lang w:val="en-US"/>
        </w:rPr>
      </w:pPr>
      <w:r w:rsidRPr="003F38EC">
        <w:rPr>
          <w:rStyle w:val="FootnoteReference"/>
        </w:rPr>
        <w:footnoteRef/>
      </w:r>
      <w:r w:rsidRPr="00771ADD">
        <w:rPr>
          <w:lang w:val="en-US"/>
        </w:rPr>
        <w:t xml:space="preserve"> See, for instance, </w:t>
      </w:r>
      <w:hyperlink r:id="rId62" w:history="1">
        <w:r w:rsidRPr="00771ADD">
          <w:rPr>
            <w:rStyle w:val="Hyperlink"/>
            <w:lang w:val="en-US"/>
          </w:rPr>
          <w:t>I</w:t>
        </w:r>
        <w:r w:rsidRPr="00771ADD">
          <w:rPr>
            <w:rStyle w:val="Hyperlink"/>
            <w:smallCaps/>
            <w:lang w:val="en-US"/>
          </w:rPr>
          <w:t>nterface</w:t>
        </w:r>
        <w:r w:rsidRPr="00771ADD">
          <w:rPr>
            <w:rStyle w:val="Hyperlink"/>
            <w:lang w:val="en-US"/>
          </w:rPr>
          <w:t>, Psychische Gesundheit von traumatisierten Asylsuchenden: Situationsanalyse und Empfehlungen [Psychosocial health of traumatised asylum seekers: situation analysis and recommendations], Report to the FOPH, 2017, p. 13 f</w:t>
        </w:r>
      </w:hyperlink>
      <w:r w:rsidRPr="00771ADD">
        <w:rPr>
          <w:lang w:val="en-US"/>
        </w:rPr>
        <w:t xml:space="preserve">.; </w:t>
      </w:r>
      <w:hyperlink r:id="rId63" w:history="1">
        <w:r w:rsidRPr="00771ADD">
          <w:rPr>
            <w:rStyle w:val="Hyperlink"/>
            <w:szCs w:val="18"/>
            <w:lang w:val="en-US"/>
          </w:rPr>
          <w:t>RTS News, Encadrement médical lacunaire pour les requérants d’asile de Perreux (NE)</w:t>
        </w:r>
        <w:r>
          <w:rPr>
            <w:rStyle w:val="Hyperlink"/>
            <w:szCs w:val="18"/>
            <w:lang w:val="en-US"/>
          </w:rPr>
          <w:t xml:space="preserve"> [</w:t>
        </w:r>
        <w:r w:rsidRPr="00771ADD">
          <w:rPr>
            <w:rStyle w:val="Hyperlink"/>
            <w:szCs w:val="18"/>
            <w:lang w:val="en-US"/>
          </w:rPr>
          <w:t>Lack of medical care for asylum seekers in Perreux (NE)</w:t>
        </w:r>
        <w:r>
          <w:rPr>
            <w:rStyle w:val="Hyperlink"/>
            <w:szCs w:val="18"/>
            <w:lang w:val="en-US"/>
          </w:rPr>
          <w:t>]</w:t>
        </w:r>
        <w:r w:rsidRPr="00771ADD">
          <w:rPr>
            <w:rStyle w:val="Hyperlink"/>
            <w:szCs w:val="18"/>
            <w:lang w:val="en-US"/>
          </w:rPr>
          <w:t>, 9.12.2018</w:t>
        </w:r>
      </w:hyperlink>
      <w:r w:rsidRPr="00771ADD">
        <w:rPr>
          <w:lang w:val="en-US"/>
        </w:rPr>
        <w:t xml:space="preserve">; </w:t>
      </w:r>
      <w:hyperlink r:id="rId64" w:history="1">
        <w:r w:rsidRPr="00771ADD">
          <w:rPr>
            <w:rStyle w:val="Hyperlink"/>
            <w:szCs w:val="18"/>
            <w:lang w:val="en-US"/>
          </w:rPr>
          <w:t>3 Rosen gegen Grenzen, Gesundheit im Bundesasyllager Basel [3 Roses Against Borders, Health in the Basel Federal Asylum Camp], März 2021</w:t>
        </w:r>
      </w:hyperlink>
      <w:r w:rsidRPr="00771ADD">
        <w:rPr>
          <w:lang w:val="en-US"/>
        </w:rPr>
        <w:t xml:space="preserve">; </w:t>
      </w:r>
      <w:hyperlink r:id="rId65" w:history="1">
        <w:r w:rsidRPr="00771ADD">
          <w:rPr>
            <w:rStyle w:val="Hyperlink"/>
            <w:szCs w:val="18"/>
            <w:lang w:val="en-US"/>
          </w:rPr>
          <w:t>humanrights.ch, Ungenügende Aufarbeitung von Menschenrechtsverletzungen in Bundesasylzentren</w:t>
        </w:r>
      </w:hyperlink>
      <w:r w:rsidRPr="00771ADD">
        <w:rPr>
          <w:rStyle w:val="Hyperlink"/>
          <w:szCs w:val="18"/>
          <w:lang w:val="en-US"/>
        </w:rPr>
        <w:t xml:space="preserve"> [Insufficient processing of human rights violations in federal asylum centers]</w:t>
      </w:r>
      <w:r w:rsidRPr="00771ADD">
        <w:rPr>
          <w:lang w:val="en-US"/>
        </w:rPr>
        <w:t xml:space="preserve">; </w:t>
      </w:r>
      <w:hyperlink r:id="rId66" w:history="1">
        <w:r w:rsidRPr="00771ADD">
          <w:rPr>
            <w:rStyle w:val="Hyperlink"/>
            <w:szCs w:val="18"/>
            <w:lang w:val="en-US"/>
          </w:rPr>
          <w:t>Die Wochenzeitung</w:t>
        </w:r>
        <w:r w:rsidRPr="00771ADD">
          <w:rPr>
            <w:rStyle w:val="Hyperlink"/>
            <w:smallCaps/>
            <w:szCs w:val="18"/>
            <w:lang w:val="en-US"/>
          </w:rPr>
          <w:t>,</w:t>
        </w:r>
        <w:r w:rsidRPr="00771ADD">
          <w:rPr>
            <w:rStyle w:val="Hyperlink"/>
            <w:szCs w:val="18"/>
            <w:lang w:val="en-US"/>
          </w:rPr>
          <w:t xml:space="preserve"> Alles so schön günstig hier</w:t>
        </w:r>
      </w:hyperlink>
      <w:r w:rsidRPr="00771ADD">
        <w:rPr>
          <w:rStyle w:val="Hyperlink"/>
          <w:szCs w:val="18"/>
          <w:lang w:val="en-US"/>
        </w:rPr>
        <w:t xml:space="preserve"> [Everything so nice and cheap here], 27.2.2020</w:t>
      </w:r>
      <w:r w:rsidRPr="00771ADD">
        <w:rPr>
          <w:lang w:val="en-US"/>
        </w:rPr>
        <w:t xml:space="preserve">. </w:t>
      </w:r>
    </w:p>
  </w:footnote>
  <w:footnote w:id="85">
    <w:p w14:paraId="63002A8B" w14:textId="084CFA72" w:rsidR="00D739C9" w:rsidRPr="0017588B" w:rsidRDefault="00D739C9" w:rsidP="005B4044">
      <w:pPr>
        <w:pStyle w:val="Fussnote"/>
      </w:pPr>
      <w:r w:rsidRPr="003F38EC">
        <w:rPr>
          <w:rStyle w:val="FootnoteReference"/>
        </w:rPr>
        <w:footnoteRef/>
      </w:r>
      <w:r w:rsidRPr="003F38EC">
        <w:t xml:space="preserve"> </w:t>
      </w:r>
      <w:hyperlink r:id="rId67" w:history="1">
        <w:r w:rsidRPr="00771ADD">
          <w:rPr>
            <w:rStyle w:val="Hyperlink"/>
          </w:rPr>
          <w:t>NCPT, Bericht betreffend die Überprüfung der Bundesasylzentren durch die Nationale Kommission zur Verhütung von Folter (2019–2020)</w:t>
        </w:r>
      </w:hyperlink>
      <w:r>
        <w:t>,</w:t>
      </w:r>
      <w:r w:rsidRPr="003F38EC">
        <w:t xml:space="preserve"> p. 6.</w:t>
      </w:r>
    </w:p>
  </w:footnote>
  <w:footnote w:id="86">
    <w:p w14:paraId="186CF309" w14:textId="553D9CB0" w:rsidR="00D739C9" w:rsidRPr="00527230" w:rsidRDefault="00D739C9" w:rsidP="005B4044">
      <w:pPr>
        <w:pStyle w:val="Fussnote"/>
      </w:pPr>
      <w:r w:rsidRPr="00527230">
        <w:rPr>
          <w:rStyle w:val="FootnoteReference"/>
        </w:rPr>
        <w:footnoteRef/>
      </w:r>
      <w:r w:rsidRPr="00527230">
        <w:rPr>
          <w:smallCaps/>
        </w:rPr>
        <w:t xml:space="preserve"> Interface</w:t>
      </w:r>
      <w:r w:rsidRPr="00527230">
        <w:t xml:space="preserve">(fn. </w:t>
      </w:r>
      <w:r w:rsidRPr="00527230">
        <w:fldChar w:fldCharType="begin"/>
      </w:r>
      <w:r w:rsidRPr="00527230">
        <w:instrText xml:space="preserve"> NOTEREF _Ref93871049 \h  \* MERGEFORMAT </w:instrText>
      </w:r>
      <w:r w:rsidRPr="00527230">
        <w:fldChar w:fldCharType="separate"/>
      </w:r>
      <w:r>
        <w:t>84</w:t>
      </w:r>
      <w:r w:rsidRPr="00527230">
        <w:fldChar w:fldCharType="end"/>
      </w:r>
      <w:r w:rsidRPr="00527230">
        <w:t xml:space="preserve">), p. 19 ff.; </w:t>
      </w:r>
      <w:hyperlink r:id="rId68" w:history="1">
        <w:r w:rsidRPr="00771ADD">
          <w:rPr>
            <w:rStyle w:val="Hyperlink"/>
            <w:smallCaps/>
          </w:rPr>
          <w:t xml:space="preserve">Die Wochenzeitung, 22.8.2019, </w:t>
        </w:r>
        <w:r w:rsidRPr="00771ADD">
          <w:rPr>
            <w:rStyle w:val="Hyperlink"/>
          </w:rPr>
          <w:t>Keine Hilfe für Familie Tahmazov [No help for the Tahmazov family]</w:t>
        </w:r>
      </w:hyperlink>
      <w:r w:rsidRPr="00527230">
        <w:t xml:space="preserve">. </w:t>
      </w:r>
    </w:p>
  </w:footnote>
  <w:footnote w:id="87">
    <w:p w14:paraId="26B46043" w14:textId="37B0E8ED" w:rsidR="00D739C9" w:rsidRPr="001D0B11" w:rsidRDefault="00D739C9" w:rsidP="005B4044">
      <w:pPr>
        <w:pStyle w:val="Fussnote"/>
      </w:pPr>
      <w:r w:rsidRPr="00527230">
        <w:rPr>
          <w:rStyle w:val="FootnoteReference"/>
        </w:rPr>
        <w:footnoteRef/>
      </w:r>
      <w:r w:rsidRPr="00527230">
        <w:rPr>
          <w:smallCaps/>
        </w:rPr>
        <w:t xml:space="preserve"> </w:t>
      </w:r>
      <w:hyperlink r:id="rId69" w:history="1">
        <w:r w:rsidRPr="00771ADD">
          <w:rPr>
            <w:rStyle w:val="Hyperlink"/>
            <w:smallCaps/>
          </w:rPr>
          <w:t>Angela Stettler</w:t>
        </w:r>
        <w:r w:rsidRPr="00771ADD">
          <w:rPr>
            <w:rStyle w:val="Hyperlink"/>
          </w:rPr>
          <w:t>, Asylsuchende mit besonderen Bedürfnissen im neuen schweizerischen Asylverfahren, mit Unterstützung von UNHCR [Asylum seekers with special needs in the new Swiss asylum procedure, with the support of UNHCR], August 2020, p. 66 f</w:t>
        </w:r>
      </w:hyperlink>
      <w:r w:rsidRPr="00527230">
        <w:t xml:space="preserve">. </w:t>
      </w:r>
      <w:r w:rsidRPr="001D0B11">
        <w:t xml:space="preserve">Regarding the lack of in-depth medical reports, see: </w:t>
      </w:r>
      <w:hyperlink r:id="rId70" w:history="1">
        <w:r w:rsidRPr="001D0B11">
          <w:rPr>
            <w:rStyle w:val="Hyperlink"/>
            <w:szCs w:val="18"/>
          </w:rPr>
          <w:t>RTS News, Encadrement médical lacunaire pour les requérants d’asile de Perreux (NE) [Lack of medical care for asylum seekers in Perreux (NE)], 9.12.2018</w:t>
        </w:r>
      </w:hyperlink>
      <w:r w:rsidRPr="001D0B11">
        <w:rPr>
          <w:rStyle w:val="Hyperlink"/>
          <w:szCs w:val="18"/>
        </w:rPr>
        <w:t>.</w:t>
      </w:r>
    </w:p>
    <w:p w14:paraId="70DDA275" w14:textId="77777777" w:rsidR="00D739C9" w:rsidRPr="001D0B11" w:rsidRDefault="00D739C9" w:rsidP="005B4044">
      <w:pPr>
        <w:pStyle w:val="FootnoteText"/>
        <w:rPr>
          <w:lang w:val="de-CH"/>
        </w:rPr>
      </w:pPr>
    </w:p>
  </w:footnote>
  <w:footnote w:id="88">
    <w:p w14:paraId="261CC9FA" w14:textId="22C290F6" w:rsidR="00D739C9" w:rsidRPr="003F38EC" w:rsidRDefault="00D739C9" w:rsidP="005B4044">
      <w:pPr>
        <w:pStyle w:val="Fussnote"/>
      </w:pPr>
      <w:r w:rsidRPr="003F38EC">
        <w:rPr>
          <w:rStyle w:val="FootnoteReference"/>
        </w:rPr>
        <w:footnoteRef/>
      </w:r>
      <w:r w:rsidRPr="003F38EC">
        <w:t xml:space="preserve"> Federal Council, Report on </w:t>
      </w:r>
      <w:r>
        <w:t>parliamentary postulates</w:t>
      </w:r>
      <w:r w:rsidRPr="003F38EC">
        <w:t xml:space="preserve"> </w:t>
      </w:r>
      <w:hyperlink r:id="rId71" w:history="1">
        <w:r w:rsidRPr="003F38EC">
          <w:rPr>
            <w:rStyle w:val="Hyperlink"/>
          </w:rPr>
          <w:t>Erste Erfahrungen mit dem neuen Kindes- und Erwachsenenschutzrecht, 29.3.2017 [Initial experiences with the new child and adult protection law, 29.3.2017]</w:t>
        </w:r>
      </w:hyperlink>
      <w:r w:rsidRPr="003F38EC">
        <w:t xml:space="preserve">, pp. 76 and 15. </w:t>
      </w:r>
    </w:p>
  </w:footnote>
  <w:footnote w:id="89">
    <w:p w14:paraId="397D34B1" w14:textId="13634088" w:rsidR="00D739C9" w:rsidRPr="00BA3939" w:rsidRDefault="00D739C9" w:rsidP="005B4044">
      <w:pPr>
        <w:pStyle w:val="Fussnote"/>
      </w:pPr>
      <w:r>
        <w:rPr>
          <w:rStyle w:val="FootnoteReference"/>
        </w:rPr>
        <w:footnoteRef/>
      </w:r>
      <w:r w:rsidRPr="00104AEE">
        <w:rPr>
          <w:lang w:val="en-US"/>
        </w:rPr>
        <w:t xml:space="preserve"> However, the Federal Council Dispatch on the CRPD made the assumption that, following the revision of the law on guardianship, the shift in perspective required under the CRPD from substitute decision-making to supportive decision-making had been implemented within national law: However, the Federal Council Dispatch on the CRPD made the assumption that, following the revision of the law on guardianship, the shift in perspective required under the CRPD from substitute decision-making to supportive decision-making had been implemented within national law: Dispatch on the Approval of the UN CRPD (fn. </w:t>
      </w:r>
      <w:r>
        <w:fldChar w:fldCharType="begin"/>
      </w:r>
      <w:r>
        <w:rPr>
          <w:lang w:val="en-US"/>
        </w:rPr>
        <w:instrText xml:space="preserve"> NOTEREF _Ref95642652 \h </w:instrText>
      </w:r>
      <w:r>
        <w:fldChar w:fldCharType="separate"/>
      </w:r>
      <w:r w:rsidRPr="00ED1A8F">
        <w:t>1</w:t>
      </w:r>
      <w:r>
        <w:fldChar w:fldCharType="end"/>
      </w:r>
      <w:r>
        <w:t>), p. 690.</w:t>
      </w:r>
    </w:p>
  </w:footnote>
  <w:footnote w:id="90">
    <w:p w14:paraId="135B3EF9" w14:textId="77777777" w:rsidR="00D739C9" w:rsidRPr="00BA3939" w:rsidRDefault="00D739C9" w:rsidP="005B4044">
      <w:pPr>
        <w:pStyle w:val="Fussnote"/>
      </w:pPr>
      <w:r>
        <w:rPr>
          <w:rStyle w:val="FootnoteReference"/>
        </w:rPr>
        <w:footnoteRef/>
      </w:r>
      <w:r>
        <w:t xml:space="preserve"> On this position within the literature, see </w:t>
      </w:r>
      <w:r>
        <w:rPr>
          <w:smallCaps/>
        </w:rPr>
        <w:t>Walter Boente,</w:t>
      </w:r>
      <w:r>
        <w:t xml:space="preserve"> Zürcher Kommentar Band I der Erwachsenenschutz</w:t>
      </w:r>
      <w:r>
        <w:rPr>
          <w:smallCaps/>
        </w:rPr>
        <w:t xml:space="preserve">, </w:t>
      </w:r>
      <w:r>
        <w:t>Die eigene Vorsorge und Massnahmen von Gesetzes wegen Art. 360-387 ZGB, 1</w:t>
      </w:r>
      <w:r>
        <w:rPr>
          <w:vertAlign w:val="superscript"/>
        </w:rPr>
        <w:t>st</w:t>
      </w:r>
      <w:r>
        <w:t xml:space="preserve"> edition, Zurich/Basel/Geneva 2015: Vorbemerkungen zu Art. 360-373 ZGB, para. 144, referring to </w:t>
      </w:r>
      <w:r>
        <w:rPr>
          <w:smallCaps/>
        </w:rPr>
        <w:t>Helmut Henkel,</w:t>
      </w:r>
      <w:r>
        <w:t xml:space="preserve"> Basler Kommentar Zivilgesetzbuch Band I Erwachsenenschutz, 5</w:t>
      </w:r>
      <w:r>
        <w:rPr>
          <w:vertAlign w:val="superscript"/>
        </w:rPr>
        <w:t>th</w:t>
      </w:r>
      <w:r>
        <w:t xml:space="preserve"> edition, Zurich/St. Gallen 2014: Assistance deputyship, Art. 393, para. 7.</w:t>
      </w:r>
    </w:p>
  </w:footnote>
  <w:footnote w:id="91">
    <w:p w14:paraId="2E8B93AD" w14:textId="1EF64CAA" w:rsidR="00D739C9" w:rsidRPr="00BA3939" w:rsidRDefault="00D739C9" w:rsidP="005B4044">
      <w:pPr>
        <w:pStyle w:val="Fussnote"/>
      </w:pPr>
      <w:r>
        <w:rPr>
          <w:rStyle w:val="FootnoteReference"/>
        </w:rPr>
        <w:footnoteRef/>
      </w:r>
      <w:r>
        <w:t xml:space="preserve"> See </w:t>
      </w:r>
      <w:r>
        <w:rPr>
          <w:smallCaps/>
        </w:rPr>
        <w:t>Boente (</w:t>
      </w:r>
      <w:r>
        <w:t>fn.</w:t>
      </w:r>
      <w:r>
        <w:rPr>
          <w:smallCaps/>
        </w:rPr>
        <w:t xml:space="preserve"> </w:t>
      </w:r>
      <w:r>
        <w:fldChar w:fldCharType="begin"/>
      </w:r>
      <w:r>
        <w:instrText xml:space="preserve"> NOTEREF _Ref480299386 \h  \* MERGEFORMAT </w:instrText>
      </w:r>
      <w:r>
        <w:fldChar w:fldCharType="separate"/>
      </w:r>
      <w:r>
        <w:t>90</w:t>
      </w:r>
      <w:r>
        <w:fldChar w:fldCharType="end"/>
      </w:r>
      <w:r>
        <w:rPr>
          <w:smallCaps/>
        </w:rPr>
        <w:t>)</w:t>
      </w:r>
      <w:r>
        <w:t>, Vorbemerkungen zu Art. 360-373 ZGB, para. 143.</w:t>
      </w:r>
    </w:p>
  </w:footnote>
  <w:footnote w:id="92">
    <w:p w14:paraId="3BAD16AF" w14:textId="7C95AF2A" w:rsidR="00D739C9" w:rsidRPr="008C7A41" w:rsidRDefault="00D739C9" w:rsidP="005B4044">
      <w:pPr>
        <w:pStyle w:val="Fussnote"/>
      </w:pPr>
      <w:r>
        <w:rPr>
          <w:rStyle w:val="FootnoteReference"/>
        </w:rPr>
        <w:footnoteRef/>
      </w:r>
      <w:r>
        <w:t xml:space="preserve"> See </w:t>
      </w:r>
      <w:r>
        <w:rPr>
          <w:smallCaps/>
        </w:rPr>
        <w:t>Kurt Affolter</w:t>
      </w:r>
      <w:r>
        <w:t xml:space="preserve">, Basler Kommentar Zivilgesetzbuch (fn. </w:t>
      </w:r>
      <w:r>
        <w:fldChar w:fldCharType="begin"/>
      </w:r>
      <w:r>
        <w:instrText xml:space="preserve"> NOTEREF _Ref480299386 \h  \* MERGEFORMAT </w:instrText>
      </w:r>
      <w:r>
        <w:fldChar w:fldCharType="separate"/>
      </w:r>
      <w:r>
        <w:t>90</w:t>
      </w:r>
      <w:r>
        <w:fldChar w:fldCharType="end"/>
      </w:r>
      <w:r>
        <w:t xml:space="preserve">), Art. 406, para. 2, referring to </w:t>
      </w:r>
      <w:r>
        <w:rPr>
          <w:smallCaps/>
        </w:rPr>
        <w:t>Jean-Claude</w:t>
      </w:r>
      <w:r>
        <w:t xml:space="preserve"> </w:t>
      </w:r>
      <w:r>
        <w:rPr>
          <w:smallCaps/>
        </w:rPr>
        <w:t>Wolf</w:t>
      </w:r>
      <w:r>
        <w:t xml:space="preserve">, </w:t>
      </w:r>
      <w:r w:rsidRPr="00BD6E82">
        <w:t>Paternalismus und andere ethische Konflikte im Alltag der Amtsvormunde und Amtsvormundinnen [Paternalism and other ethical conflicts in the daily work of official deputies],</w:t>
      </w:r>
      <w:r w:rsidRPr="00ED1A8F">
        <w:t xml:space="preserve"> </w:t>
      </w:r>
      <w:r w:rsidRPr="005C4768">
        <w:t>Zeitschrift für Vormundschaftswesen (ZVW)</w:t>
      </w:r>
      <w:r w:rsidRPr="00BD6E82">
        <w:t>, Konferenz für Kindes- und Erwachsenenschutz</w:t>
      </w:r>
      <w:r w:rsidRPr="00BD6E82">
        <w:rPr>
          <w:b/>
          <w:bCs/>
        </w:rPr>
        <w:t xml:space="preserve"> </w:t>
      </w:r>
      <w:r>
        <w:t>KOKES (Hrsg.), Zurich 2000, vol. no. 1, pp. 1-15.</w:t>
      </w:r>
    </w:p>
  </w:footnote>
  <w:footnote w:id="93">
    <w:p w14:paraId="7A4C124F" w14:textId="69F7685F" w:rsidR="00D739C9" w:rsidRPr="00104AEE" w:rsidRDefault="00D739C9" w:rsidP="005B4044">
      <w:pPr>
        <w:pStyle w:val="Fussnote"/>
        <w:rPr>
          <w:lang w:val="en-US"/>
        </w:rPr>
      </w:pPr>
      <w:r w:rsidRPr="00527230">
        <w:rPr>
          <w:rStyle w:val="FootnoteReference"/>
        </w:rPr>
        <w:footnoteRef/>
      </w:r>
      <w:r w:rsidRPr="00104AEE">
        <w:rPr>
          <w:lang w:val="en-US"/>
        </w:rPr>
        <w:t xml:space="preserve"> See the </w:t>
      </w:r>
      <w:hyperlink r:id="rId72" w:history="1">
        <w:r w:rsidRPr="00527230">
          <w:rPr>
            <w:rStyle w:val="Hyperlink"/>
            <w:lang w:val="en-US"/>
          </w:rPr>
          <w:t>figures published by KOKES</w:t>
        </w:r>
      </w:hyperlink>
      <w:r w:rsidRPr="00104AEE">
        <w:rPr>
          <w:lang w:val="en-US"/>
        </w:rPr>
        <w:t xml:space="preserve"> general deputyships: 14.050 (2020) / 14,796 (2019) / 15,232 (2018); Assistance deputyships: 10,983 (2020) / 10,879 (2019) / 10,637 (2018); Representative deputyships 81,641 (2020) / 79,547 (2019) / 76,766 (2018); advisory deputyships 2,242 (2020) / 2,192 (2019) / 2,113 (2018). On the major differences among the cantons in the number of general deputyships, see fn </w:t>
      </w:r>
      <w:r w:rsidRPr="00527230">
        <w:fldChar w:fldCharType="begin"/>
      </w:r>
      <w:r w:rsidRPr="00104AEE">
        <w:rPr>
          <w:lang w:val="en-US"/>
        </w:rPr>
        <w:instrText xml:space="preserve"> NOTEREF _Ref93930615 \h  \* MERGEFORMAT </w:instrText>
      </w:r>
      <w:r w:rsidRPr="00527230">
        <w:fldChar w:fldCharType="separate"/>
      </w:r>
      <w:r>
        <w:rPr>
          <w:lang w:val="en-US"/>
        </w:rPr>
        <w:t>301</w:t>
      </w:r>
      <w:r w:rsidRPr="00527230">
        <w:fldChar w:fldCharType="end"/>
      </w:r>
      <w:r w:rsidRPr="00104AEE">
        <w:rPr>
          <w:lang w:val="en-US"/>
        </w:rPr>
        <w:t>.</w:t>
      </w:r>
    </w:p>
  </w:footnote>
  <w:footnote w:id="94">
    <w:p w14:paraId="3D35D476" w14:textId="186EDC80" w:rsidR="00D739C9" w:rsidRPr="00ED1A8F" w:rsidRDefault="00D739C9" w:rsidP="005B4044">
      <w:pPr>
        <w:pStyle w:val="Fussnote"/>
        <w:rPr>
          <w:lang w:val="en-US"/>
        </w:rPr>
      </w:pPr>
      <w:r w:rsidRPr="00527230">
        <w:rPr>
          <w:rStyle w:val="FootnoteReference"/>
        </w:rPr>
        <w:footnoteRef/>
      </w:r>
      <w:r w:rsidRPr="00104AEE">
        <w:rPr>
          <w:lang w:val="en-US"/>
        </w:rPr>
        <w:t xml:space="preserve"> In this regard, Article 9 CRPD, p. </w:t>
      </w:r>
      <w:r>
        <w:fldChar w:fldCharType="begin"/>
      </w:r>
      <w:r w:rsidRPr="00ED1A8F">
        <w:rPr>
          <w:lang w:val="en-US"/>
        </w:rPr>
        <w:instrText xml:space="preserve"> PAGEREF _Ref95642692 \h </w:instrText>
      </w:r>
      <w:r>
        <w:fldChar w:fldCharType="separate"/>
      </w:r>
      <w:r w:rsidRPr="00ED1A8F">
        <w:rPr>
          <w:noProof/>
          <w:lang w:val="en-US"/>
        </w:rPr>
        <w:t>15</w:t>
      </w:r>
      <w:r>
        <w:fldChar w:fldCharType="end"/>
      </w:r>
      <w:r w:rsidRPr="00ED1A8F">
        <w:rPr>
          <w:lang w:val="en-US"/>
        </w:rPr>
        <w:t xml:space="preserve"> ff.</w:t>
      </w:r>
    </w:p>
  </w:footnote>
  <w:footnote w:id="95">
    <w:p w14:paraId="55249699" w14:textId="7E0E089C" w:rsidR="00D739C9" w:rsidRPr="00104AEE" w:rsidRDefault="00D739C9" w:rsidP="005B4044">
      <w:pPr>
        <w:pStyle w:val="Fussnote"/>
        <w:rPr>
          <w:lang w:val="en-US"/>
        </w:rPr>
      </w:pPr>
      <w:r w:rsidRPr="00CC4DB3">
        <w:rPr>
          <w:rStyle w:val="FootnoteReference"/>
        </w:rPr>
        <w:footnoteRef/>
      </w:r>
      <w:r w:rsidRPr="00104AEE">
        <w:rPr>
          <w:lang w:val="en-US"/>
        </w:rPr>
        <w:t xml:space="preserve"> The Supreme Court of the Canton of Bern (judgment of 26 November 2013, ZK 13 551) had to decide who would bear the costs of translating court hearings into sign language if one of the parties in divorce proceedings is deaf. The competent president of the court had set the cost advance to be borne by the party concerned, including sig</w:t>
      </w:r>
      <w:r w:rsidR="006A104D">
        <w:rPr>
          <w:lang w:val="en-US"/>
        </w:rPr>
        <w:t>n language interpreting costs. The party concerned</w:t>
      </w:r>
      <w:r w:rsidRPr="00104AEE">
        <w:rPr>
          <w:lang w:val="en-US"/>
        </w:rPr>
        <w:t xml:space="preserve"> filed an appeal against this, which was granted by the court.</w:t>
      </w:r>
    </w:p>
  </w:footnote>
  <w:footnote w:id="96">
    <w:p w14:paraId="77B23C5A" w14:textId="493C2BF9" w:rsidR="00D739C9" w:rsidRPr="00104AEE" w:rsidRDefault="00D739C9" w:rsidP="005B4044">
      <w:pPr>
        <w:pStyle w:val="Fussnote"/>
        <w:rPr>
          <w:lang w:val="en-US"/>
        </w:rPr>
      </w:pPr>
      <w:r w:rsidRPr="00527230">
        <w:rPr>
          <w:rStyle w:val="FootnoteReference"/>
        </w:rPr>
        <w:footnoteRef/>
      </w:r>
      <w:r w:rsidRPr="00104AEE">
        <w:rPr>
          <w:lang w:val="en-US"/>
        </w:rPr>
        <w:t xml:space="preserve"> The Federal Supreme Court Act (FSCA) was, for example, submitted to consultation for revision in November 2015. In the process, the bases required by the CRPD for procedural adjustments was by no means established, e.g. in connection with the legal briefs (Article 42 FSCA), the notification of the decision (Article 60 FSCA) and the exchange of written submissions (Article 102 FSCA). </w:t>
      </w:r>
      <w:hyperlink r:id="rId73" w:history="1">
        <w:r w:rsidRPr="00527230">
          <w:rPr>
            <w:rStyle w:val="Hyperlink"/>
            <w:lang w:val="en-US"/>
          </w:rPr>
          <w:t>Consultation Draft FSCA</w:t>
        </w:r>
      </w:hyperlink>
      <w:r w:rsidRPr="00104AEE">
        <w:rPr>
          <w:lang w:val="en-US"/>
        </w:rPr>
        <w:t xml:space="preserve">; </w:t>
      </w:r>
      <w:hyperlink r:id="rId74" w:history="1">
        <w:r w:rsidRPr="00527230">
          <w:rPr>
            <w:rStyle w:val="Hyperlink"/>
            <w:lang w:val="en-US"/>
          </w:rPr>
          <w:t>Statement by Inclusion Handicap February 2016</w:t>
        </w:r>
      </w:hyperlink>
      <w:r w:rsidRPr="00104AEE">
        <w:rPr>
          <w:lang w:val="en-US"/>
        </w:rPr>
        <w:t>.</w:t>
      </w:r>
    </w:p>
  </w:footnote>
  <w:footnote w:id="97">
    <w:p w14:paraId="0BC2418F" w14:textId="3A83D526" w:rsidR="00D739C9" w:rsidRPr="00104AEE" w:rsidRDefault="00D739C9" w:rsidP="005B4044">
      <w:pPr>
        <w:pStyle w:val="Fussnote"/>
        <w:rPr>
          <w:lang w:val="en-US"/>
        </w:rPr>
      </w:pPr>
      <w:r w:rsidRPr="00527230">
        <w:rPr>
          <w:rStyle w:val="FootnoteReference"/>
        </w:rPr>
        <w:footnoteRef/>
      </w:r>
      <w:r w:rsidRPr="00104AEE">
        <w:rPr>
          <w:lang w:val="en-US"/>
        </w:rPr>
        <w:t xml:space="preserve"> It is clear from a recent judgment of the Federal Administrative Court that this can be of existential significance even for </w:t>
      </w:r>
      <w:r w:rsidR="008E6B31">
        <w:rPr>
          <w:lang w:val="en-US"/>
        </w:rPr>
        <w:t>OPDs</w:t>
      </w:r>
      <w:r w:rsidRPr="00104AEE">
        <w:rPr>
          <w:lang w:val="en-US"/>
        </w:rPr>
        <w:t xml:space="preserve">, which have standing to file complaints as associations. The complainant (Inclusion Handicap) was awarded legal costs of CHF 252,000. It had complained that the design of the new 62 double-decker trains procured by the Swiss Federal Railways infringed the provisions of disability equality law in 15 respects and did not guarantee independent access to PWD. The appeal is currently pending before the Federal Supreme Court, and the judgement is expected at the end of February 2022. </w:t>
      </w:r>
      <w:hyperlink r:id="rId75" w:history="1">
        <w:r w:rsidRPr="00527230">
          <w:rPr>
            <w:rStyle w:val="Hyperlink"/>
            <w:lang w:val="en-US"/>
          </w:rPr>
          <w:t>Judgement of the Federal Administrative Court A-359/2018 of 20 November 2018</w:t>
        </w:r>
      </w:hyperlink>
      <w:r w:rsidRPr="00104AEE">
        <w:rPr>
          <w:lang w:val="en-US"/>
        </w:rPr>
        <w:t xml:space="preserve"> and </w:t>
      </w:r>
      <w:hyperlink r:id="rId76" w:history="1">
        <w:r w:rsidRPr="00527230">
          <w:rPr>
            <w:rStyle w:val="Hyperlink"/>
            <w:lang w:val="en-US"/>
          </w:rPr>
          <w:t>Press release of Inclusion Handicap dated 10 January 2019</w:t>
        </w:r>
      </w:hyperlink>
      <w:r w:rsidRPr="00104AEE">
        <w:rPr>
          <w:lang w:val="en-US"/>
        </w:rPr>
        <w:t>.</w:t>
      </w:r>
    </w:p>
  </w:footnote>
  <w:footnote w:id="98">
    <w:p w14:paraId="3659BDFA" w14:textId="285B265B" w:rsidR="00D739C9" w:rsidRPr="00104AEE" w:rsidRDefault="00D739C9" w:rsidP="00A523DA">
      <w:pPr>
        <w:pStyle w:val="Fussnote"/>
        <w:rPr>
          <w:lang w:val="en-US"/>
        </w:rPr>
      </w:pPr>
      <w:r w:rsidRPr="00527230">
        <w:rPr>
          <w:rStyle w:val="FootnoteReference"/>
        </w:rPr>
        <w:footnoteRef/>
      </w:r>
      <w:r w:rsidRPr="00104AEE">
        <w:rPr>
          <w:lang w:val="en-US"/>
        </w:rPr>
        <w:t xml:space="preserve"> The most recent revision of the Federal Act on General Aspects of Social Security Law (GSSLA, in force since 1.1.2021), has made it possible for other social insurance laws to provide for the obligation to pay costs (Article 61(f) GSSLA). In the consultation procedure, Inclusion Handicap had argued in vain for the removal of the obligation to pay costs in the invalidity insurance proceedings and against this extension: </w:t>
      </w:r>
      <w:hyperlink r:id="rId77" w:history="1">
        <w:r w:rsidRPr="00527230">
          <w:rPr>
            <w:rStyle w:val="Hyperlink"/>
            <w:lang w:val="en-US"/>
          </w:rPr>
          <w:t>Consultation reply IH GSSLA revision</w:t>
        </w:r>
      </w:hyperlink>
      <w:r w:rsidRPr="00104AEE">
        <w:rPr>
          <w:lang w:val="en-US"/>
        </w:rPr>
        <w:t>, p. 7 ff.</w:t>
      </w:r>
    </w:p>
  </w:footnote>
  <w:footnote w:id="99">
    <w:p w14:paraId="2BD9EE0C" w14:textId="77777777" w:rsidR="00D739C9" w:rsidRPr="00104AEE" w:rsidRDefault="00D739C9" w:rsidP="00A523DA">
      <w:pPr>
        <w:pStyle w:val="Fussnote"/>
        <w:rPr>
          <w:lang w:val="en-US"/>
        </w:rPr>
      </w:pPr>
      <w:r w:rsidRPr="00527230">
        <w:rPr>
          <w:rStyle w:val="FootnoteReference"/>
        </w:rPr>
        <w:footnoteRef/>
      </w:r>
      <w:r w:rsidRPr="00104AEE">
        <w:rPr>
          <w:lang w:val="en-US"/>
        </w:rPr>
        <w:t xml:space="preserve"> At present, the question of whether a proceeding has no prospect of success has not been answered by the competent authorities, at least not systematically, by taking into account Switzerland’s obligations under the CRPD.</w:t>
      </w:r>
    </w:p>
  </w:footnote>
  <w:footnote w:id="100">
    <w:p w14:paraId="2F919479" w14:textId="3E1F8A60" w:rsidR="00D739C9" w:rsidRPr="001E1EA8" w:rsidRDefault="00D739C9" w:rsidP="00A523DA">
      <w:pPr>
        <w:pStyle w:val="Fussnote"/>
        <w:rPr>
          <w:lang w:val="en-US"/>
        </w:rPr>
      </w:pPr>
      <w:r w:rsidRPr="00527230">
        <w:rPr>
          <w:rStyle w:val="FootnoteReference"/>
        </w:rPr>
        <w:footnoteRef/>
      </w:r>
      <w:r w:rsidRPr="00527230">
        <w:rPr>
          <w:lang w:val="en-US"/>
        </w:rPr>
        <w:t xml:space="preserve"> Inclusion Handicap’s legal </w:t>
      </w:r>
      <w:r w:rsidR="002237FB">
        <w:rPr>
          <w:lang w:val="en-US"/>
        </w:rPr>
        <w:t>practic</w:t>
      </w:r>
      <w:r w:rsidRPr="00527230">
        <w:rPr>
          <w:lang w:val="en-US"/>
        </w:rPr>
        <w:t xml:space="preserve">e shows that access to justice is particularly difficult in conflicts with the institution. For example, serious accusations of bullying are not investigated or addressed structurally. Instead, difficult problems are often </w:t>
      </w:r>
      <w:r w:rsidR="002237FB">
        <w:rPr>
          <w:lang w:val="en-US"/>
        </w:rPr>
        <w:t>blamed</w:t>
      </w:r>
      <w:r w:rsidRPr="00527230">
        <w:rPr>
          <w:lang w:val="en-US"/>
        </w:rPr>
        <w:t xml:space="preserve"> on family members.</w:t>
      </w:r>
    </w:p>
  </w:footnote>
  <w:footnote w:id="101">
    <w:p w14:paraId="7EF9BA8C" w14:textId="4BDB3039" w:rsidR="00D739C9" w:rsidRPr="00527230" w:rsidRDefault="00D739C9" w:rsidP="00A523DA">
      <w:pPr>
        <w:pStyle w:val="Fussnote"/>
        <w:rPr>
          <w:lang w:val="en-US"/>
        </w:rPr>
      </w:pPr>
      <w:r w:rsidRPr="00527230">
        <w:rPr>
          <w:rStyle w:val="FootnoteReference"/>
        </w:rPr>
        <w:footnoteRef/>
      </w:r>
      <w:r w:rsidRPr="00527230">
        <w:rPr>
          <w:lang w:val="en-US"/>
        </w:rPr>
        <w:t xml:space="preserve"> In relation to Article 18(1) and Article 22(1) CRPD, for example, judgement BG 8C_390/2019, consid. 6.1 of 20.9.2019, and in this regard </w:t>
      </w:r>
      <w:hyperlink r:id="rId78" w:history="1">
        <w:r w:rsidRPr="00527230">
          <w:rPr>
            <w:rStyle w:val="Hyperlink"/>
            <w:lang w:val="en-US"/>
          </w:rPr>
          <w:t>SRF 10vor10 broadcast of 26 May 2020</w:t>
        </w:r>
      </w:hyperlink>
      <w:r w:rsidRPr="00527230">
        <w:rPr>
          <w:lang w:val="en-US"/>
        </w:rPr>
        <w:t xml:space="preserve">. </w:t>
      </w:r>
    </w:p>
  </w:footnote>
  <w:footnote w:id="102">
    <w:p w14:paraId="4D768FD5" w14:textId="5DD193E9" w:rsidR="00D739C9" w:rsidRPr="00ED1A8F" w:rsidRDefault="00D739C9" w:rsidP="00A523DA">
      <w:pPr>
        <w:pStyle w:val="Fussnote"/>
        <w:rPr>
          <w:lang w:val="en-US"/>
        </w:rPr>
      </w:pPr>
      <w:r w:rsidRPr="00527230">
        <w:rPr>
          <w:rStyle w:val="FootnoteReference"/>
        </w:rPr>
        <w:footnoteRef/>
      </w:r>
      <w:r w:rsidRPr="00527230">
        <w:rPr>
          <w:lang w:val="en-US"/>
        </w:rPr>
        <w:t xml:space="preserve"> See General Provisions, p. </w:t>
      </w:r>
      <w:r>
        <w:fldChar w:fldCharType="begin"/>
      </w:r>
      <w:r>
        <w:rPr>
          <w:lang w:val="en-US"/>
        </w:rPr>
        <w:instrText xml:space="preserve"> PAGEREF _Ref95642726 \h </w:instrText>
      </w:r>
      <w:r>
        <w:fldChar w:fldCharType="separate"/>
      </w:r>
      <w:r>
        <w:rPr>
          <w:noProof/>
          <w:lang w:val="en-US"/>
        </w:rPr>
        <w:t>6</w:t>
      </w:r>
      <w:r>
        <w:fldChar w:fldCharType="end"/>
      </w:r>
      <w:r w:rsidRPr="00ED1A8F">
        <w:rPr>
          <w:lang w:val="en-US"/>
        </w:rPr>
        <w:t xml:space="preserve"> ff.</w:t>
      </w:r>
    </w:p>
  </w:footnote>
  <w:footnote w:id="103">
    <w:p w14:paraId="74E9CD5B" w14:textId="0E173DBA" w:rsidR="00D739C9" w:rsidRPr="00A523DA" w:rsidRDefault="00D739C9" w:rsidP="00A523DA">
      <w:pPr>
        <w:pStyle w:val="Fussnote"/>
        <w:rPr>
          <w:lang w:val="en-GB"/>
        </w:rPr>
      </w:pPr>
      <w:r w:rsidRPr="00A523DA">
        <w:rPr>
          <w:rStyle w:val="FootnoteReference"/>
          <w:lang w:val="en-GB"/>
        </w:rPr>
        <w:footnoteRef/>
      </w:r>
      <w:r w:rsidRPr="00104AEE">
        <w:t xml:space="preserve"> In the media, e.g.: </w:t>
      </w:r>
      <w:hyperlink r:id="rId79" w:history="1">
        <w:r w:rsidRPr="00104AEE">
          <w:rPr>
            <w:rStyle w:val="Hyperlink"/>
          </w:rPr>
          <w:t>SRF, Echo der Zeit 28.07.2017 «Die Schweiz hat ein hohes Ordnungsbedürfnis»;</w:t>
        </w:r>
      </w:hyperlink>
      <w:r w:rsidRPr="00104AEE">
        <w:rPr>
          <w:rStyle w:val="Hyperlink"/>
        </w:rPr>
        <w:t xml:space="preserve"> </w:t>
      </w:r>
      <w:hyperlink r:id="rId80" w:history="1">
        <w:r w:rsidRPr="00104AEE">
          <w:rPr>
            <w:rStyle w:val="Hyperlink"/>
          </w:rPr>
          <w:t>Tagesanzeiger/Sonntagszeitung 30.7.2027, «Ärzte sperren 14’000 psychisch Kranke weg»</w:t>
        </w:r>
      </w:hyperlink>
      <w:r w:rsidRPr="00104AEE">
        <w:t xml:space="preserve">; </w:t>
      </w:r>
      <w:hyperlink r:id="rId81" w:history="1">
        <w:r w:rsidRPr="00104AEE">
          <w:rPr>
            <w:rStyle w:val="Hyperlink"/>
          </w:rPr>
          <w:t>NZZ, 09.06.2018 «Wir müssen die Quote der Zwangseinweisungen in die Psychiatrie senken»</w:t>
        </w:r>
      </w:hyperlink>
      <w:r w:rsidRPr="00104AEE">
        <w:t xml:space="preserve">and recently </w:t>
      </w:r>
      <w:hyperlink r:id="rId82" w:history="1">
        <w:r w:rsidRPr="00104AEE">
          <w:rPr>
            <w:rStyle w:val="Hyperlink"/>
          </w:rPr>
          <w:t xml:space="preserve">NZZ, 19.4.2021, «Daniela W. kam mit Handschellen in die psychiatrische Klinik. </w:t>
        </w:r>
        <w:r w:rsidRPr="003D2F0B">
          <w:rPr>
            <w:rStyle w:val="Hyperlink"/>
            <w:lang w:val="en-US"/>
          </w:rPr>
          <w:t>Sie sagt: ‘Mit einer Vertrauensperson wäre ich schneller gesund geworden’»</w:t>
        </w:r>
      </w:hyperlink>
      <w:r w:rsidRPr="003D2F0B">
        <w:rPr>
          <w:lang w:val="en-US"/>
        </w:rPr>
        <w:t xml:space="preserve">, with regard to the meaning of the person of trust and the corresponding </w:t>
      </w:r>
      <w:hyperlink r:id="rId83" w:history="1">
        <w:r w:rsidRPr="003D2F0B">
          <w:rPr>
            <w:lang w:val="en-US"/>
          </w:rPr>
          <w:t>Website of pro mente sana</w:t>
        </w:r>
      </w:hyperlink>
      <w:r w:rsidRPr="003D2F0B">
        <w:rPr>
          <w:lang w:val="en-US"/>
        </w:rPr>
        <w:t xml:space="preserve">. </w:t>
      </w:r>
      <w:r w:rsidRPr="00A523DA">
        <w:rPr>
          <w:lang w:val="en-GB"/>
        </w:rPr>
        <w:t xml:space="preserve">See also the criticism of CRH from the perspective of psychiatrists: </w:t>
      </w:r>
      <w:hyperlink r:id="rId84" w:history="1">
        <w:r w:rsidRPr="00F11B89">
          <w:rPr>
            <w:rStyle w:val="Hyperlink"/>
            <w:smallCaps/>
            <w:lang w:val="en-GB"/>
          </w:rPr>
          <w:t>Helena Hermann, Paul Hoff, Florian Hotzy, Lena Schneller, Anastasia Theodoridou, Matthias Jäger</w:t>
        </w:r>
        <w:r w:rsidRPr="00A523DA">
          <w:rPr>
            <w:rStyle w:val="Hyperlink"/>
            <w:lang w:val="en-GB"/>
          </w:rPr>
          <w:t>, Fürsorgerische Unterbringung in psychiatrische Kliniken, Schweizerische Ärztezeitung 2018/99, p. 524-526</w:t>
        </w:r>
      </w:hyperlink>
      <w:r w:rsidRPr="00A523DA">
        <w:rPr>
          <w:lang w:val="en-GB"/>
        </w:rPr>
        <w:t>. Problems of lack of expertise (p. 524 f.), lack of independence (p. 525) and incomplete data (p. 526) are emphasized in particular.</w:t>
      </w:r>
    </w:p>
  </w:footnote>
  <w:footnote w:id="104">
    <w:p w14:paraId="48781225" w14:textId="2CA7C976" w:rsidR="00D739C9" w:rsidRPr="00527230" w:rsidRDefault="00D739C9" w:rsidP="00A523DA">
      <w:pPr>
        <w:pStyle w:val="Fussnote"/>
        <w:rPr>
          <w:lang w:val="en-US"/>
        </w:rPr>
      </w:pPr>
      <w:r w:rsidRPr="00A523DA">
        <w:rPr>
          <w:rStyle w:val="FootnoteReference"/>
          <w:lang w:val="en-GB"/>
        </w:rPr>
        <w:footnoteRef/>
      </w:r>
      <w:r w:rsidRPr="00A523DA">
        <w:rPr>
          <w:lang w:val="en-GB"/>
        </w:rPr>
        <w:t xml:space="preserve"> </w:t>
      </w:r>
      <w:hyperlink r:id="rId85" w:history="1">
        <w:r w:rsidRPr="00A523DA">
          <w:rPr>
            <w:rStyle w:val="Hyperlink"/>
            <w:lang w:val="en-GB"/>
          </w:rPr>
          <w:t>Call for project proposals for assessment of the provisions on care-related hospitalisation</w:t>
        </w:r>
      </w:hyperlink>
      <w:r w:rsidRPr="00A523DA">
        <w:rPr>
          <w:lang w:val="en-GB"/>
        </w:rPr>
        <w:t>.</w:t>
      </w:r>
    </w:p>
  </w:footnote>
  <w:footnote w:id="105">
    <w:p w14:paraId="415CF979" w14:textId="26BB56A5" w:rsidR="00D739C9" w:rsidRPr="001E1EA8" w:rsidRDefault="00D739C9" w:rsidP="00A523DA">
      <w:pPr>
        <w:pStyle w:val="Fussnote"/>
        <w:rPr>
          <w:lang w:val="en-US"/>
        </w:rPr>
      </w:pPr>
      <w:r>
        <w:rPr>
          <w:rStyle w:val="FootnoteReference"/>
        </w:rPr>
        <w:footnoteRef/>
      </w:r>
      <w:r w:rsidRPr="001E1EA8">
        <w:rPr>
          <w:lang w:val="en-US"/>
        </w:rPr>
        <w:t xml:space="preserve"> This includes, e.g. the lack of provision of information to the persons affected as to the reasons for the CRH and as to their rights, Call for project proposals (fn. </w:t>
      </w:r>
      <w:r>
        <w:fldChar w:fldCharType="begin"/>
      </w:r>
      <w:r w:rsidRPr="001E1EA8">
        <w:rPr>
          <w:lang w:val="en-US"/>
        </w:rPr>
        <w:instrText xml:space="preserve"> NOTEREF _Ref94202307 \h </w:instrText>
      </w:r>
      <w:r w:rsidRPr="00104AEE">
        <w:rPr>
          <w:lang w:val="en-US"/>
        </w:rPr>
        <w:instrText xml:space="preserve"> \* MERGEFORMAT </w:instrText>
      </w:r>
      <w:r>
        <w:fldChar w:fldCharType="separate"/>
      </w:r>
      <w:r>
        <w:rPr>
          <w:lang w:val="en-US"/>
        </w:rPr>
        <w:t>104</w:t>
      </w:r>
      <w:r>
        <w:fldChar w:fldCharType="end"/>
      </w:r>
      <w:r w:rsidRPr="001C1A91">
        <w:rPr>
          <w:lang w:val="en-US"/>
        </w:rPr>
        <w:t xml:space="preserve">), p. 10. </w:t>
      </w:r>
      <w:r w:rsidRPr="001E1EA8">
        <w:rPr>
          <w:lang w:val="en-US"/>
        </w:rPr>
        <w:t xml:space="preserve">The Pro Mente Sana foundation also reports on this based on its advisory activities: Clients state that they have not even been informed of why they underwent care-related </w:t>
      </w:r>
      <w:r w:rsidRPr="00A523DA">
        <w:rPr>
          <w:lang w:val="en-GB"/>
        </w:rPr>
        <w:t>hospitalisation</w:t>
      </w:r>
      <w:r w:rsidRPr="001E1EA8">
        <w:rPr>
          <w:lang w:val="en-US"/>
        </w:rPr>
        <w:t>, they were unaware of their diagnosis and were also not informed about the treatment.</w:t>
      </w:r>
    </w:p>
  </w:footnote>
  <w:footnote w:id="106">
    <w:p w14:paraId="26DB5D3E" w14:textId="6C90FED4" w:rsidR="00D739C9" w:rsidRPr="001C1A91" w:rsidRDefault="00D739C9" w:rsidP="00A523DA">
      <w:pPr>
        <w:pStyle w:val="Fussnote"/>
        <w:rPr>
          <w:lang w:val="en-US"/>
        </w:rPr>
      </w:pPr>
      <w:r>
        <w:rPr>
          <w:rStyle w:val="FootnoteReference"/>
        </w:rPr>
        <w:footnoteRef/>
      </w:r>
      <w:r w:rsidRPr="001E1EA8">
        <w:rPr>
          <w:lang w:val="en-US"/>
        </w:rPr>
        <w:t xml:space="preserve"> Call for project proposals (fn. </w:t>
      </w:r>
      <w:r>
        <w:fldChar w:fldCharType="begin"/>
      </w:r>
      <w:r w:rsidRPr="001E1EA8">
        <w:rPr>
          <w:lang w:val="en-US"/>
        </w:rPr>
        <w:instrText xml:space="preserve"> NOTEREF _Ref94202307 \h </w:instrText>
      </w:r>
      <w:r w:rsidRPr="00104AEE">
        <w:rPr>
          <w:lang w:val="en-US"/>
        </w:rPr>
        <w:instrText xml:space="preserve"> \* MERGEFORMAT </w:instrText>
      </w:r>
      <w:r>
        <w:fldChar w:fldCharType="separate"/>
      </w:r>
      <w:r>
        <w:rPr>
          <w:lang w:val="en-US"/>
        </w:rPr>
        <w:t>104</w:t>
      </w:r>
      <w:r>
        <w:fldChar w:fldCharType="end"/>
      </w:r>
      <w:r w:rsidRPr="001C1A91">
        <w:rPr>
          <w:lang w:val="en-US"/>
        </w:rPr>
        <w:t>), p. 6.</w:t>
      </w:r>
    </w:p>
  </w:footnote>
  <w:footnote w:id="107">
    <w:p w14:paraId="4894D589" w14:textId="77777777" w:rsidR="00D739C9" w:rsidRPr="001E1EA8" w:rsidRDefault="00D739C9" w:rsidP="00A523DA">
      <w:pPr>
        <w:pStyle w:val="Fussnote"/>
        <w:rPr>
          <w:lang w:val="en-US"/>
        </w:rPr>
      </w:pPr>
      <w:r>
        <w:rPr>
          <w:rStyle w:val="FootnoteReference"/>
        </w:rPr>
        <w:footnoteRef/>
      </w:r>
      <w:r w:rsidRPr="001E1EA8">
        <w:rPr>
          <w:lang w:val="en-US"/>
        </w:rPr>
        <w:t xml:space="preserve"> Reply to LoI, para. 21, with the reference “see 4b”, which does not lead anywhere.</w:t>
      </w:r>
    </w:p>
  </w:footnote>
  <w:footnote w:id="108">
    <w:p w14:paraId="10D0C396" w14:textId="667668D2" w:rsidR="00D739C9" w:rsidRPr="001C1A91" w:rsidRDefault="00D739C9" w:rsidP="00A523DA">
      <w:pPr>
        <w:pStyle w:val="Fussnote"/>
        <w:rPr>
          <w:lang w:val="en-US"/>
        </w:rPr>
      </w:pPr>
      <w:r>
        <w:rPr>
          <w:rStyle w:val="FootnoteReference"/>
        </w:rPr>
        <w:footnoteRef/>
      </w:r>
      <w:r w:rsidRPr="001E1EA8">
        <w:rPr>
          <w:lang w:val="en-US"/>
        </w:rPr>
        <w:t xml:space="preserve"> Call for project proposals (fn. </w:t>
      </w:r>
      <w:r>
        <w:fldChar w:fldCharType="begin"/>
      </w:r>
      <w:r w:rsidRPr="001E1EA8">
        <w:rPr>
          <w:lang w:val="en-US"/>
        </w:rPr>
        <w:instrText xml:space="preserve"> NOTEREF _Ref94202307 \h </w:instrText>
      </w:r>
      <w:r w:rsidRPr="00104AEE">
        <w:rPr>
          <w:lang w:val="en-US"/>
        </w:rPr>
        <w:instrText xml:space="preserve"> \* MERGEFORMAT </w:instrText>
      </w:r>
      <w:r>
        <w:fldChar w:fldCharType="separate"/>
      </w:r>
      <w:r>
        <w:rPr>
          <w:lang w:val="en-US"/>
        </w:rPr>
        <w:t>104</w:t>
      </w:r>
      <w:r>
        <w:fldChar w:fldCharType="end"/>
      </w:r>
      <w:r w:rsidRPr="001C1A91">
        <w:rPr>
          <w:lang w:val="en-US"/>
        </w:rPr>
        <w:t>), p. 5.</w:t>
      </w:r>
    </w:p>
  </w:footnote>
  <w:footnote w:id="109">
    <w:p w14:paraId="33EC0AAA" w14:textId="34B037A0" w:rsidR="00D739C9" w:rsidRPr="00104AEE" w:rsidRDefault="00D739C9" w:rsidP="00A523DA">
      <w:pPr>
        <w:pStyle w:val="Fussnote"/>
        <w:rPr>
          <w:lang w:val="en-US"/>
        </w:rPr>
      </w:pPr>
      <w:r>
        <w:rPr>
          <w:rStyle w:val="FootnoteReference"/>
        </w:rPr>
        <w:footnoteRef/>
      </w:r>
      <w:r w:rsidRPr="00104AEE">
        <w:rPr>
          <w:lang w:val="en-US"/>
        </w:rPr>
        <w:t xml:space="preserve"> An </w:t>
      </w:r>
      <w:hyperlink r:id="rId86" w:history="1">
        <w:r w:rsidRPr="001E1EA8">
          <w:rPr>
            <w:rStyle w:val="Hyperlink"/>
            <w:lang w:val="en-US"/>
          </w:rPr>
          <w:t>Analysis of the Swiss Centre of Expertise in Human Rights (SCHR) of June 2013</w:t>
        </w:r>
      </w:hyperlink>
      <w:r w:rsidRPr="00104AEE">
        <w:rPr>
          <w:lang w:val="en-US"/>
        </w:rPr>
        <w:t xml:space="preserve"> concluded that the new provisions of the CC on care-related hospitalisation and compulsory treatment “largely” comply with the requirements of the European Convention on Human Rights (ECHR). However, the SCHR criticises the fact that CRH may be ordered without a prior medical examination. </w:t>
      </w:r>
    </w:p>
  </w:footnote>
  <w:footnote w:id="110">
    <w:p w14:paraId="0161E5F1" w14:textId="6752D5C8" w:rsidR="00D739C9" w:rsidRPr="00104AEE" w:rsidRDefault="00D739C9" w:rsidP="00A523DA">
      <w:pPr>
        <w:pStyle w:val="Fussnote"/>
        <w:rPr>
          <w:lang w:val="en-US"/>
        </w:rPr>
      </w:pPr>
      <w:r>
        <w:rPr>
          <w:rStyle w:val="FootnoteReference"/>
        </w:rPr>
        <w:footnoteRef/>
      </w:r>
      <w:r w:rsidRPr="00104AEE">
        <w:rPr>
          <w:lang w:val="en-US"/>
        </w:rPr>
        <w:t xml:space="preserve"> </w:t>
      </w:r>
      <w:hyperlink r:id="rId87" w:history="1">
        <w:r w:rsidRPr="001E1EA8">
          <w:rPr>
            <w:rStyle w:val="Hyperlink"/>
            <w:lang w:val="en-US"/>
          </w:rPr>
          <w:t>Statistics Swiss Health Observatory</w:t>
        </w:r>
      </w:hyperlink>
      <w:r w:rsidRPr="00104AEE">
        <w:rPr>
          <w:lang w:val="en-US"/>
        </w:rPr>
        <w:t xml:space="preserve"> (The figures do not match the information in the Reply to LoI, para. 30). Even before the new adult protection law came into force, a study was carried out on behalf of the FOPH in 2011 on the effectiveness of legal protection regarding compulsory placements in psychiatric hospitals in Switzerland: </w:t>
      </w:r>
      <w:r w:rsidRPr="00104AEE">
        <w:rPr>
          <w:smallCaps/>
          <w:lang w:val="en-US"/>
        </w:rPr>
        <w:t xml:space="preserve">Jürg Gassmann, </w:t>
      </w:r>
      <w:r w:rsidRPr="00104AEE">
        <w:rPr>
          <w:lang w:val="en-US"/>
        </w:rPr>
        <w:t xml:space="preserve">Wirksamkeit des Rechtsschutzes bei psychiatrischen Zwangseinweisungen in der Schweiz, Gutachten erstellt im Auftrag des Bundesamtes für Gesundheit (BAG), Winterthur 2011. The study concluded that Switzerland has one of the highest proportions of compulsory placements in psychiatric hospitals compared to 15 EU member states. </w:t>
      </w:r>
    </w:p>
  </w:footnote>
  <w:footnote w:id="111">
    <w:p w14:paraId="23BEFB49" w14:textId="04E34C7B" w:rsidR="00D739C9" w:rsidRPr="00BA3939" w:rsidRDefault="00D739C9" w:rsidP="00A523DA">
      <w:pPr>
        <w:pStyle w:val="Fussnote"/>
      </w:pPr>
      <w:r>
        <w:rPr>
          <w:rStyle w:val="FootnoteReference"/>
        </w:rPr>
        <w:footnoteRef/>
      </w:r>
      <w:r>
        <w:t xml:space="preserve"> </w:t>
      </w:r>
      <w:r>
        <w:rPr>
          <w:smallCaps/>
        </w:rPr>
        <w:t>Gassmann (</w:t>
      </w:r>
      <w:r>
        <w:t xml:space="preserve">fn. </w:t>
      </w:r>
      <w:r>
        <w:fldChar w:fldCharType="begin"/>
      </w:r>
      <w:r>
        <w:instrText xml:space="preserve"> NOTEREF _Ref94207217 \h  \* MERGEFORMAT </w:instrText>
      </w:r>
      <w:r>
        <w:fldChar w:fldCharType="separate"/>
      </w:r>
      <w:r>
        <w:t>110</w:t>
      </w:r>
      <w:r>
        <w:fldChar w:fldCharType="end"/>
      </w:r>
      <w:r>
        <w:t>).</w:t>
      </w:r>
    </w:p>
  </w:footnote>
  <w:footnote w:id="112">
    <w:p w14:paraId="70BAE3DA" w14:textId="6231C0E0" w:rsidR="00D739C9" w:rsidRPr="00104AEE" w:rsidRDefault="00D739C9" w:rsidP="00A523DA">
      <w:pPr>
        <w:pStyle w:val="Fussnote"/>
        <w:rPr>
          <w:lang w:val="en-US"/>
        </w:rPr>
      </w:pPr>
      <w:r>
        <w:rPr>
          <w:rStyle w:val="FootnoteReference"/>
        </w:rPr>
        <w:footnoteRef/>
      </w:r>
      <w:r>
        <w:t xml:space="preserve"> </w:t>
      </w:r>
      <w:hyperlink r:id="rId88" w:history="1">
        <w:r w:rsidRPr="00F11B89">
          <w:rPr>
            <w:rStyle w:val="Hyperlink"/>
            <w:smallCaps/>
          </w:rPr>
          <w:t>Eva Büschi, Manuela Schicka, Stefania Calabrese, Benedikt Hassler und Natalie Zambrino</w:t>
        </w:r>
        <w:r>
          <w:rPr>
            <w:rStyle w:val="Hyperlink"/>
          </w:rPr>
          <w:t>, Freiheitsbeschränkende Massnahmen im Umgang mit herausfordernden Verhaltensweisen von Erwachsenen mit kognitiven Beeinträchtigungen, Schweizerische Zeitschrift für soziale Arbeit No. 7/2020</w:t>
        </w:r>
      </w:hyperlink>
      <w:r>
        <w:t xml:space="preserve">. </w:t>
      </w:r>
      <w:r w:rsidRPr="00104AEE">
        <w:rPr>
          <w:lang w:val="en-US"/>
        </w:rPr>
        <w:t>According to the study, around 80% of the 172 executives surveyed stated that measures restricting freedom were used in their facilities in escalation situations. The most common practice is separation in a private room, administration of sedating medication, holding in custody or other physical interventions, as well as separation in another room (p. 31).</w:t>
      </w:r>
    </w:p>
  </w:footnote>
  <w:footnote w:id="113">
    <w:p w14:paraId="02449189" w14:textId="0B60D537" w:rsidR="00D739C9" w:rsidRPr="00104AEE" w:rsidRDefault="00D739C9" w:rsidP="00A523DA">
      <w:pPr>
        <w:pStyle w:val="Fussnote"/>
        <w:rPr>
          <w:lang w:val="en-US"/>
        </w:rPr>
      </w:pPr>
      <w:r>
        <w:rPr>
          <w:rStyle w:val="FootnoteReference"/>
        </w:rPr>
        <w:footnoteRef/>
      </w:r>
      <w:r w:rsidRPr="00104AEE">
        <w:rPr>
          <w:lang w:val="en-US"/>
        </w:rPr>
        <w:t xml:space="preserve"> See for example the services offered by the </w:t>
      </w:r>
      <w:hyperlink r:id="rId89" w:history="1">
        <w:r w:rsidRPr="001E1EA8">
          <w:rPr>
            <w:rStyle w:val="Hyperlink"/>
            <w:lang w:val="en-US"/>
          </w:rPr>
          <w:t>Rheinleben Foundation in Basel-Stadt</w:t>
        </w:r>
      </w:hyperlink>
      <w:r w:rsidRPr="00104AEE">
        <w:rPr>
          <w:lang w:val="en-US"/>
        </w:rPr>
        <w:t xml:space="preserve">, which has the mission of improving the lives of </w:t>
      </w:r>
      <w:r w:rsidR="00AF697E">
        <w:rPr>
          <w:lang w:val="en-US"/>
        </w:rPr>
        <w:t>persons</w:t>
      </w:r>
      <w:r w:rsidRPr="00104AEE">
        <w:rPr>
          <w:lang w:val="en-US"/>
        </w:rPr>
        <w:t xml:space="preserve"> with </w:t>
      </w:r>
      <w:r w:rsidR="00AF697E">
        <w:rPr>
          <w:lang w:val="en-US"/>
        </w:rPr>
        <w:t>psychosocial</w:t>
      </w:r>
      <w:r w:rsidRPr="00104AEE">
        <w:rPr>
          <w:lang w:val="en-US"/>
        </w:rPr>
        <w:t xml:space="preserve"> impairments, particularly by providing care, guidance and support outside of psychiatric clinics and by incorporating such persons into a social environment.</w:t>
      </w:r>
    </w:p>
  </w:footnote>
  <w:footnote w:id="114">
    <w:p w14:paraId="018F6216" w14:textId="178EF011" w:rsidR="00D739C9" w:rsidRPr="00104AEE" w:rsidRDefault="00D739C9" w:rsidP="00A523DA">
      <w:pPr>
        <w:pStyle w:val="Fussnote"/>
        <w:rPr>
          <w:lang w:val="en-US"/>
        </w:rPr>
      </w:pPr>
      <w:r>
        <w:rPr>
          <w:rStyle w:val="FootnoteReference"/>
        </w:rPr>
        <w:footnoteRef/>
      </w:r>
      <w:r w:rsidRPr="00104AEE">
        <w:rPr>
          <w:lang w:val="en-US"/>
        </w:rPr>
        <w:t xml:space="preserve"> </w:t>
      </w:r>
      <w:r>
        <w:rPr>
          <w:lang w:val="en-US"/>
        </w:rPr>
        <w:t xml:space="preserve">Art. </w:t>
      </w:r>
      <w:r w:rsidRPr="00104AEE">
        <w:rPr>
          <w:lang w:val="en-US"/>
        </w:rPr>
        <w:t xml:space="preserve">14 CRPD, p. </w:t>
      </w:r>
      <w:r>
        <w:rPr>
          <w:lang w:val="en-US"/>
        </w:rPr>
        <w:fldChar w:fldCharType="begin"/>
      </w:r>
      <w:r>
        <w:rPr>
          <w:lang w:val="en-US"/>
        </w:rPr>
        <w:instrText xml:space="preserve"> PAGEREF _Ref95642829 \h </w:instrText>
      </w:r>
      <w:r>
        <w:rPr>
          <w:lang w:val="en-US"/>
        </w:rPr>
      </w:r>
      <w:r>
        <w:rPr>
          <w:lang w:val="en-US"/>
        </w:rPr>
        <w:fldChar w:fldCharType="separate"/>
      </w:r>
      <w:r>
        <w:rPr>
          <w:noProof/>
          <w:lang w:val="en-US"/>
        </w:rPr>
        <w:t>26</w:t>
      </w:r>
      <w:r>
        <w:rPr>
          <w:lang w:val="en-US"/>
        </w:rPr>
        <w:fldChar w:fldCharType="end"/>
      </w:r>
      <w:r>
        <w:rPr>
          <w:lang w:val="en-US"/>
        </w:rPr>
        <w:t xml:space="preserve"> </w:t>
      </w:r>
      <w:r w:rsidRPr="00F11B89">
        <w:rPr>
          <w:lang w:val="en-US"/>
        </w:rPr>
        <w:t xml:space="preserve">ff., in conjunction with fn. </w:t>
      </w:r>
      <w:r>
        <w:fldChar w:fldCharType="begin"/>
      </w:r>
      <w:r w:rsidRPr="00F11B89">
        <w:rPr>
          <w:lang w:val="en-US"/>
        </w:rPr>
        <w:instrText xml:space="preserve"> NOTEREF _Ref94202307 \h  \* MERGEFORMAT </w:instrText>
      </w:r>
      <w:r>
        <w:fldChar w:fldCharType="separate"/>
      </w:r>
      <w:r>
        <w:rPr>
          <w:lang w:val="en-US"/>
        </w:rPr>
        <w:t>104</w:t>
      </w:r>
      <w:r>
        <w:fldChar w:fldCharType="end"/>
      </w:r>
      <w:r w:rsidRPr="00104AEE">
        <w:rPr>
          <w:lang w:val="en-US"/>
        </w:rPr>
        <w:t>.</w:t>
      </w:r>
    </w:p>
  </w:footnote>
  <w:footnote w:id="115">
    <w:p w14:paraId="74B28AA1" w14:textId="77777777" w:rsidR="00D739C9" w:rsidRPr="00104AEE" w:rsidRDefault="00D739C9" w:rsidP="00A523DA">
      <w:pPr>
        <w:pStyle w:val="Fussnote"/>
        <w:rPr>
          <w:lang w:val="en-US"/>
        </w:rPr>
      </w:pPr>
      <w:r>
        <w:rPr>
          <w:rStyle w:val="FootnoteReference"/>
        </w:rPr>
        <w:footnoteRef/>
      </w:r>
      <w:r w:rsidRPr="00104AEE">
        <w:rPr>
          <w:lang w:val="en-US"/>
        </w:rPr>
        <w:t xml:space="preserve"> Articles 434(1) and 433 CC.</w:t>
      </w:r>
    </w:p>
  </w:footnote>
  <w:footnote w:id="116">
    <w:p w14:paraId="007D3BE1" w14:textId="26104DA1" w:rsidR="00D739C9" w:rsidRPr="001C1A91" w:rsidRDefault="00D739C9" w:rsidP="00A523DA">
      <w:pPr>
        <w:pStyle w:val="Fussnote"/>
        <w:rPr>
          <w:lang w:val="en-US"/>
        </w:rPr>
      </w:pPr>
      <w:r>
        <w:rPr>
          <w:rStyle w:val="FootnoteReference"/>
        </w:rPr>
        <w:footnoteRef/>
      </w:r>
      <w:r w:rsidRPr="001C1A91">
        <w:rPr>
          <w:lang w:val="en-US"/>
        </w:rPr>
        <w:t xml:space="preserve"> Dispatch on the Amendment of the Swiss Civil Code (Adult Protection Law, Law of Persons and Law of Chi</w:t>
      </w:r>
      <w:r>
        <w:rPr>
          <w:lang w:val="en-US"/>
        </w:rPr>
        <w:t>ldren) of 28.6.2006, 7001, 7070.</w:t>
      </w:r>
    </w:p>
  </w:footnote>
  <w:footnote w:id="117">
    <w:p w14:paraId="5F6EC947" w14:textId="77777777" w:rsidR="00D739C9" w:rsidRPr="00A523DA" w:rsidRDefault="00D739C9" w:rsidP="00A523DA">
      <w:pPr>
        <w:pStyle w:val="Fussnote"/>
      </w:pPr>
      <w:r w:rsidRPr="00A523DA">
        <w:rPr>
          <w:rStyle w:val="FootnoteReference"/>
        </w:rPr>
        <w:footnoteRef/>
      </w:r>
      <w:r w:rsidRPr="00A523DA">
        <w:t xml:space="preserve"> </w:t>
      </w:r>
      <w:r w:rsidRPr="00A523DA">
        <w:rPr>
          <w:smallCaps/>
        </w:rPr>
        <w:t>Daniel Rosch</w:t>
      </w:r>
      <w:r w:rsidRPr="00A523DA">
        <w:t xml:space="preserve">, Medizinische Massnahmen im Rahmen einer fürsorgerischen Unterbringung: Schnitt- und Nahtstellen, AJP/PJA 2014, op. 3-10., p. 7 f. </w:t>
      </w:r>
    </w:p>
  </w:footnote>
  <w:footnote w:id="118">
    <w:p w14:paraId="382C9EE2" w14:textId="67311347" w:rsidR="00D739C9" w:rsidRPr="00A523DA" w:rsidRDefault="00D739C9" w:rsidP="00A523DA">
      <w:pPr>
        <w:pStyle w:val="Fussnote"/>
      </w:pPr>
      <w:r w:rsidRPr="00A523DA">
        <w:rPr>
          <w:rStyle w:val="FootnoteReference"/>
        </w:rPr>
        <w:footnoteRef/>
      </w:r>
      <w:r w:rsidRPr="003D2F0B">
        <w:t xml:space="preserve"> </w:t>
      </w:r>
      <w:r w:rsidRPr="003D2F0B">
        <w:rPr>
          <w:smallCaps/>
        </w:rPr>
        <w:t>Boente</w:t>
      </w:r>
      <w:r w:rsidRPr="003D2F0B">
        <w:t xml:space="preserve"> (fn. </w:t>
      </w:r>
      <w:r w:rsidRPr="00A523DA">
        <w:fldChar w:fldCharType="begin"/>
      </w:r>
      <w:r w:rsidRPr="003D2F0B">
        <w:instrText xml:space="preserve"> NOTEREF _Ref480299386 \h  \* MERGEFORMAT </w:instrText>
      </w:r>
      <w:r w:rsidRPr="00A523DA">
        <w:fldChar w:fldCharType="separate"/>
      </w:r>
      <w:r w:rsidRPr="00ED1A8F">
        <w:t>90</w:t>
      </w:r>
      <w:r w:rsidRPr="00A523DA">
        <w:fldChar w:fldCharType="end"/>
      </w:r>
      <w:r w:rsidRPr="00ED1A8F">
        <w:t xml:space="preserve">), Article 360 para. 210; </w:t>
      </w:r>
      <w:r w:rsidRPr="00ED1A8F">
        <w:rPr>
          <w:smallCaps/>
        </w:rPr>
        <w:t>Boente</w:t>
      </w:r>
      <w:r w:rsidRPr="00ED1A8F">
        <w:t xml:space="preserve"> (fn. </w:t>
      </w:r>
      <w:r w:rsidRPr="00A523DA">
        <w:fldChar w:fldCharType="begin"/>
      </w:r>
      <w:r w:rsidRPr="00ED1A8F">
        <w:instrText xml:space="preserve"> NOTEREF _Ref480299386 \h  \* MERGEFORMAT </w:instrText>
      </w:r>
      <w:r w:rsidRPr="00A523DA">
        <w:fldChar w:fldCharType="separate"/>
      </w:r>
      <w:r w:rsidRPr="00ED1A8F">
        <w:t>90</w:t>
      </w:r>
      <w:r w:rsidRPr="00A523DA">
        <w:fldChar w:fldCharType="end"/>
      </w:r>
      <w:r w:rsidRPr="00ED1A8F">
        <w:t xml:space="preserve">), Article 378 para. </w:t>
      </w:r>
      <w:r w:rsidRPr="00A523DA">
        <w:t xml:space="preserve">92 ff.; </w:t>
      </w:r>
      <w:r w:rsidRPr="00A523DA">
        <w:rPr>
          <w:smallCaps/>
        </w:rPr>
        <w:t>Daniel Rosch</w:t>
      </w:r>
      <w:r w:rsidRPr="00A523DA">
        <w:t xml:space="preserve">, Article 426, para. 14a, in: </w:t>
      </w:r>
      <w:r w:rsidRPr="00A523DA">
        <w:rPr>
          <w:smallCaps/>
        </w:rPr>
        <w:t>Daniel Rosch/Andrea Büchler/Dominik Jakob</w:t>
      </w:r>
      <w:r w:rsidRPr="00A523DA">
        <w:t xml:space="preserve"> (Hrsg.), Das neue Erwachsenenschutzrecht: Einführung und Kommentar zu Art. 360 ff. ZGB und VBVV [The new adult protection law: Introduction and commentary on art. 360 ff. CC and WAGAMO], 2. Aufl. Basel 2015.</w:t>
      </w:r>
    </w:p>
  </w:footnote>
  <w:footnote w:id="119">
    <w:p w14:paraId="22D80D3C" w14:textId="2D67D8B2" w:rsidR="00D739C9" w:rsidRPr="007473FC" w:rsidRDefault="002237FB" w:rsidP="00A523DA">
      <w:pPr>
        <w:pStyle w:val="Fussnote"/>
      </w:pPr>
      <w:r w:rsidRPr="002237FB">
        <w:rPr>
          <w:rStyle w:val="FootnoteReference"/>
        </w:rPr>
        <w:footnoteRef/>
      </w:r>
      <w:r>
        <w:t xml:space="preserve"> </w:t>
      </w:r>
      <w:r w:rsidR="00D739C9" w:rsidRPr="00A523DA">
        <w:t>S</w:t>
      </w:r>
      <w:r>
        <w:t>.</w:t>
      </w:r>
      <w:r w:rsidR="00D739C9" w:rsidRPr="00A523DA">
        <w:t xml:space="preserve"> </w:t>
      </w:r>
      <w:r w:rsidR="00D739C9" w:rsidRPr="00A523DA">
        <w:rPr>
          <w:smallCaps/>
        </w:rPr>
        <w:t>Kurt Pärli</w:t>
      </w:r>
      <w:r w:rsidR="00D739C9" w:rsidRPr="00A523DA">
        <w:t>, Zwangsmassnahmen in der Pflege,</w:t>
      </w:r>
      <w:r w:rsidR="00D739C9">
        <w:t xml:space="preserve"> AJP/PJA 2011, pp. 360-370, 362.</w:t>
      </w:r>
    </w:p>
  </w:footnote>
  <w:footnote w:id="120">
    <w:p w14:paraId="6A95E323" w14:textId="21ECC38B" w:rsidR="00D739C9" w:rsidRPr="001C1A91" w:rsidRDefault="00D739C9" w:rsidP="00A523DA">
      <w:pPr>
        <w:pStyle w:val="Fussnote"/>
        <w:rPr>
          <w:lang w:val="en-US"/>
        </w:rPr>
      </w:pPr>
      <w:r>
        <w:rPr>
          <w:rStyle w:val="FootnoteReference"/>
        </w:rPr>
        <w:footnoteRef/>
      </w:r>
      <w:r w:rsidRPr="001C1A91">
        <w:rPr>
          <w:lang w:val="en-US"/>
        </w:rPr>
        <w:t xml:space="preserve"> </w:t>
      </w:r>
      <w:hyperlink r:id="rId90" w:history="1">
        <w:r w:rsidRPr="001C1A91">
          <w:rPr>
            <w:rStyle w:val="Hyperlink"/>
            <w:lang w:val="en-US"/>
          </w:rPr>
          <w:t>NCPT website on measures restricting freedom</w:t>
        </w:r>
      </w:hyperlink>
      <w:r w:rsidRPr="001C1A91">
        <w:rPr>
          <w:lang w:val="en-US"/>
        </w:rPr>
        <w:t>.</w:t>
      </w:r>
    </w:p>
  </w:footnote>
  <w:footnote w:id="121">
    <w:p w14:paraId="1337ABF4" w14:textId="5A4C1493" w:rsidR="00D739C9" w:rsidRPr="001C1A91" w:rsidRDefault="00D739C9" w:rsidP="00A523DA">
      <w:pPr>
        <w:pStyle w:val="Fussnote"/>
        <w:rPr>
          <w:lang w:val="en-US"/>
        </w:rPr>
      </w:pPr>
      <w:r>
        <w:rPr>
          <w:rStyle w:val="FootnoteReference"/>
        </w:rPr>
        <w:footnoteRef/>
      </w:r>
      <w:r w:rsidRPr="001C1A91">
        <w:rPr>
          <w:rStyle w:val="FootnoteReference"/>
          <w:lang w:val="en-US"/>
        </w:rPr>
        <w:t xml:space="preserve"> </w:t>
      </w:r>
      <w:r w:rsidRPr="001C1A91">
        <w:rPr>
          <w:lang w:val="en-US"/>
        </w:rPr>
        <w:t>NCPT,</w:t>
      </w:r>
      <w:r w:rsidRPr="001C1A91">
        <w:rPr>
          <w:rStyle w:val="FootnoteReference"/>
          <w:lang w:val="en-US"/>
        </w:rPr>
        <w:t xml:space="preserve"> </w:t>
      </w:r>
      <w:hyperlink r:id="rId91" w:history="1">
        <w:r w:rsidRPr="001C1A91">
          <w:rPr>
            <w:rStyle w:val="Hyperlink"/>
            <w:lang w:val="en-US"/>
          </w:rPr>
          <w:t>Activity Report</w:t>
        </w:r>
        <w:r>
          <w:rPr>
            <w:rStyle w:val="Hyperlink"/>
            <w:lang w:val="en-US"/>
          </w:rPr>
          <w:t xml:space="preserve"> </w:t>
        </w:r>
        <w:r w:rsidRPr="00654776">
          <w:rPr>
            <w:rStyle w:val="Hyperlink"/>
            <w:lang w:val="en-US"/>
          </w:rPr>
          <w:t>2016</w:t>
        </w:r>
        <w:r w:rsidRPr="001C1A91">
          <w:rPr>
            <w:rStyle w:val="Hyperlink"/>
            <w:lang w:val="en-US"/>
          </w:rPr>
          <w:t>, p. 50.</w:t>
        </w:r>
      </w:hyperlink>
      <w:r w:rsidRPr="001C1A91">
        <w:rPr>
          <w:lang w:val="en-US"/>
        </w:rPr>
        <w:t xml:space="preserve"> NCPT, </w:t>
      </w:r>
      <w:hyperlink r:id="rId92" w:history="1">
        <w:r w:rsidRPr="001C1A91">
          <w:rPr>
            <w:rStyle w:val="Hyperlink"/>
            <w:lang w:val="en-US"/>
          </w:rPr>
          <w:t>Activity Report 2018, p. 16 ff. and 54</w:t>
        </w:r>
      </w:hyperlink>
      <w:r w:rsidR="001F7066">
        <w:rPr>
          <w:rStyle w:val="Hyperlink"/>
          <w:lang w:val="en-US"/>
        </w:rPr>
        <w:t>.</w:t>
      </w:r>
    </w:p>
  </w:footnote>
  <w:footnote w:id="122">
    <w:p w14:paraId="59CC7B3E" w14:textId="219EF5FD" w:rsidR="00D739C9" w:rsidRPr="001C1A91" w:rsidRDefault="00D739C9" w:rsidP="00A523DA">
      <w:pPr>
        <w:pStyle w:val="Fussnote"/>
        <w:rPr>
          <w:lang w:val="en-US"/>
        </w:rPr>
      </w:pPr>
      <w:r>
        <w:rPr>
          <w:rStyle w:val="FootnoteReference"/>
        </w:rPr>
        <w:footnoteRef/>
      </w:r>
      <w:r w:rsidRPr="001C1A91">
        <w:rPr>
          <w:lang w:val="en-US"/>
        </w:rPr>
        <w:t xml:space="preserve"> NCPT, </w:t>
      </w:r>
      <w:hyperlink r:id="rId93" w:history="1">
        <w:r w:rsidRPr="001C1A91">
          <w:rPr>
            <w:rStyle w:val="Hyperlink"/>
            <w:lang w:val="en-US"/>
          </w:rPr>
          <w:t>Activity Report 2018</w:t>
        </w:r>
      </w:hyperlink>
      <w:r w:rsidRPr="001C1A91">
        <w:rPr>
          <w:lang w:val="en-US"/>
        </w:rPr>
        <w:t xml:space="preserve"> (note 38); NCPT, </w:t>
      </w:r>
      <w:hyperlink r:id="rId94" w:history="1">
        <w:r w:rsidRPr="001C1A91">
          <w:rPr>
            <w:rStyle w:val="Hyperlink"/>
            <w:lang w:val="en-US"/>
          </w:rPr>
          <w:t xml:space="preserve">Activity Report 2016 </w:t>
        </w:r>
        <w:r w:rsidRPr="001C1A91">
          <w:rPr>
            <w:lang w:val="en-US"/>
          </w:rPr>
          <w:t>(notes 1, 56, 58, 59 and 88)</w:t>
        </w:r>
      </w:hyperlink>
      <w:r w:rsidRPr="001C1A91">
        <w:rPr>
          <w:lang w:val="en-US"/>
        </w:rPr>
        <w:t>.</w:t>
      </w:r>
    </w:p>
  </w:footnote>
  <w:footnote w:id="123">
    <w:p w14:paraId="14A0DDEE" w14:textId="162F2BD2" w:rsidR="00D739C9" w:rsidRPr="001C1A91" w:rsidRDefault="00D739C9" w:rsidP="00A523DA">
      <w:pPr>
        <w:pStyle w:val="Fussnote"/>
        <w:rPr>
          <w:lang w:val="en-US"/>
        </w:rPr>
      </w:pPr>
      <w:r>
        <w:rPr>
          <w:rStyle w:val="FootnoteReference"/>
        </w:rPr>
        <w:footnoteRef/>
      </w:r>
      <w:r w:rsidRPr="001C1A91">
        <w:rPr>
          <w:lang w:val="en-US"/>
        </w:rPr>
        <w:t xml:space="preserve"> </w:t>
      </w:r>
      <w:r w:rsidRPr="00F11B89">
        <w:rPr>
          <w:lang w:val="en-US"/>
        </w:rPr>
        <w:t xml:space="preserve">NCPT, </w:t>
      </w:r>
      <w:hyperlink r:id="rId95" w:history="1">
        <w:r w:rsidRPr="00654776">
          <w:rPr>
            <w:rStyle w:val="Hyperlink"/>
            <w:lang w:val="en-US"/>
          </w:rPr>
          <w:t>Activity Report 2020, p. 1</w:t>
        </w:r>
      </w:hyperlink>
      <w:r w:rsidRPr="00F11B89">
        <w:rPr>
          <w:lang w:val="en-US"/>
        </w:rPr>
        <w:t>.</w:t>
      </w:r>
    </w:p>
  </w:footnote>
  <w:footnote w:id="124">
    <w:p w14:paraId="7A6EB638" w14:textId="77777777" w:rsidR="00D739C9" w:rsidRPr="00104AEE" w:rsidRDefault="00D739C9" w:rsidP="00A523DA">
      <w:pPr>
        <w:pStyle w:val="Fussnote"/>
        <w:rPr>
          <w:lang w:val="en-US"/>
        </w:rPr>
      </w:pPr>
      <w:r>
        <w:rPr>
          <w:rStyle w:val="FootnoteReference"/>
        </w:rPr>
        <w:footnoteRef/>
      </w:r>
      <w:r w:rsidRPr="00104AEE">
        <w:rPr>
          <w:lang w:val="en-US"/>
        </w:rPr>
        <w:t xml:space="preserve"> First telephone contact by the NCPT in the summer of 2021.</w:t>
      </w:r>
    </w:p>
  </w:footnote>
  <w:footnote w:id="125">
    <w:p w14:paraId="20714107" w14:textId="77777777" w:rsidR="00D739C9" w:rsidRPr="00104AEE" w:rsidRDefault="00D739C9" w:rsidP="00A523DA">
      <w:pPr>
        <w:pStyle w:val="Fussnote"/>
        <w:rPr>
          <w:lang w:val="en-US"/>
        </w:rPr>
      </w:pPr>
      <w:r>
        <w:rPr>
          <w:rStyle w:val="FootnoteReference"/>
        </w:rPr>
        <w:footnoteRef/>
      </w:r>
      <w:r>
        <w:t xml:space="preserve"> </w:t>
      </w:r>
      <w:r>
        <w:rPr>
          <w:smallCaps/>
        </w:rPr>
        <w:t>Thomas Widmer, Kathrin Frey, Daniela Eberli, Basil Schläpfer, Julia Rickenbacher</w:t>
      </w:r>
      <w:r>
        <w:t xml:space="preserve">, Evaluation des HFG, Schlussbericht im Auftrag des BAG, 2019, p. 85 (with note 115). </w:t>
      </w:r>
      <w:r w:rsidRPr="00104AEE">
        <w:rPr>
          <w:lang w:val="en-US"/>
        </w:rPr>
        <w:t>The EU provision in question is Article 31 of Regulation 536/2014. Differences exist in particular as to the requirement of a direct benefit for the person concerned. According to this final report, one in five approved applications in Switzerland (20.5%) deals with vulnerable persons; the proportion of approved applications involving research on vulnerable persons is 34.4% (p. 52).</w:t>
      </w:r>
    </w:p>
  </w:footnote>
  <w:footnote w:id="126">
    <w:p w14:paraId="33D86BC8" w14:textId="0B650EAD" w:rsidR="00D739C9" w:rsidRPr="00104AEE" w:rsidRDefault="00D739C9" w:rsidP="00A523DA">
      <w:pPr>
        <w:pStyle w:val="Fussnote"/>
        <w:rPr>
          <w:rFonts w:eastAsiaTheme="majorEastAsia"/>
          <w:bCs/>
          <w:szCs w:val="18"/>
          <w:u w:val="single"/>
          <w:lang w:val="en-US" w:eastAsia="fr-FR"/>
        </w:rPr>
      </w:pPr>
      <w:r>
        <w:rPr>
          <w:rStyle w:val="FootnoteReference"/>
          <w:bCs/>
          <w:szCs w:val="20"/>
        </w:rPr>
        <w:footnoteRef/>
      </w:r>
      <w:r w:rsidRPr="00104AEE">
        <w:rPr>
          <w:rFonts w:eastAsiaTheme="majorEastAsia"/>
          <w:bCs/>
          <w:szCs w:val="20"/>
          <w:lang w:val="en-US"/>
        </w:rPr>
        <w:t xml:space="preserve"> </w:t>
      </w:r>
      <w:hyperlink r:id="rId96" w:history="1">
        <w:r w:rsidRPr="001C1A91">
          <w:rPr>
            <w:rStyle w:val="Hyperlink"/>
            <w:rFonts w:eastAsiaTheme="majorEastAsia"/>
            <w:bCs/>
            <w:szCs w:val="18"/>
            <w:lang w:val="en-US"/>
          </w:rPr>
          <w:t>FOPH, Report on the Human Research Act (HRA): Results of the assessment and next steps, 2019</w:t>
        </w:r>
      </w:hyperlink>
      <w:r w:rsidRPr="001C1A91">
        <w:rPr>
          <w:rStyle w:val="Hyperlink"/>
          <w:rFonts w:eastAsiaTheme="majorEastAsia"/>
          <w:bCs/>
          <w:szCs w:val="18"/>
          <w:lang w:val="en-US"/>
        </w:rPr>
        <w:t>.</w:t>
      </w:r>
    </w:p>
  </w:footnote>
  <w:footnote w:id="127">
    <w:p w14:paraId="10ABA104" w14:textId="77777777" w:rsidR="00D739C9" w:rsidRPr="00104AEE" w:rsidRDefault="00D739C9" w:rsidP="00A523DA">
      <w:pPr>
        <w:pStyle w:val="Fussnote"/>
        <w:rPr>
          <w:lang w:val="en-US"/>
        </w:rPr>
      </w:pPr>
      <w:r>
        <w:rPr>
          <w:rStyle w:val="FootnoteReference"/>
        </w:rPr>
        <w:footnoteRef/>
      </w:r>
      <w:r w:rsidRPr="00104AEE">
        <w:rPr>
          <w:lang w:val="en-US"/>
        </w:rPr>
        <w:t xml:space="preserve"> Dispatch of the FC of 21.10.2009 concerning the Federal Act on Research Involving Human Beings, Federal Gazette 2009 8045, 8113. “less stringent requirements in terms of mental faculties or capacity for judgment should apply to a legally valid objection than to a legally valid consent.”.</w:t>
      </w:r>
    </w:p>
  </w:footnote>
  <w:footnote w:id="128">
    <w:p w14:paraId="1FE86CB0" w14:textId="627BCAF4" w:rsidR="00D739C9" w:rsidRPr="001C1A91" w:rsidRDefault="00D739C9" w:rsidP="00A523DA">
      <w:pPr>
        <w:pStyle w:val="Fussnote"/>
      </w:pPr>
      <w:r>
        <w:rPr>
          <w:rStyle w:val="FootnoteReference"/>
        </w:rPr>
        <w:footnoteRef/>
      </w:r>
      <w:r w:rsidRPr="00104AEE">
        <w:rPr>
          <w:lang w:val="en-US"/>
        </w:rPr>
        <w:t xml:space="preserve"> See also Article 17 CRPD, p. </w:t>
      </w:r>
      <w:r>
        <w:rPr>
          <w:lang w:val="en-US"/>
        </w:rPr>
        <w:fldChar w:fldCharType="begin"/>
      </w:r>
      <w:r>
        <w:rPr>
          <w:lang w:val="en-US"/>
        </w:rPr>
        <w:instrText xml:space="preserve"> PAGEREF _Ref95642899 \h </w:instrText>
      </w:r>
      <w:r>
        <w:rPr>
          <w:lang w:val="en-US"/>
        </w:rPr>
      </w:r>
      <w:r>
        <w:rPr>
          <w:lang w:val="en-US"/>
        </w:rPr>
        <w:fldChar w:fldCharType="separate"/>
      </w:r>
      <w:r w:rsidRPr="00ED1A8F">
        <w:rPr>
          <w:noProof/>
        </w:rPr>
        <w:t>34</w:t>
      </w:r>
      <w:r>
        <w:rPr>
          <w:lang w:val="en-US"/>
        </w:rPr>
        <w:fldChar w:fldCharType="end"/>
      </w:r>
      <w:r w:rsidRPr="00ED1A8F">
        <w:t xml:space="preserve"> </w:t>
      </w:r>
      <w:r>
        <w:t>ff.</w:t>
      </w:r>
    </w:p>
  </w:footnote>
  <w:footnote w:id="129">
    <w:p w14:paraId="29680DB8" w14:textId="1312EEAE" w:rsidR="00D739C9" w:rsidRDefault="00D739C9" w:rsidP="00A523DA">
      <w:pPr>
        <w:pStyle w:val="Fussnote"/>
      </w:pPr>
      <w:r>
        <w:rPr>
          <w:rStyle w:val="FootnoteReference"/>
        </w:rPr>
        <w:footnoteRef/>
      </w:r>
      <w:r>
        <w:t xml:space="preserve"> See </w:t>
      </w:r>
      <w:hyperlink r:id="rId97" w:history="1">
        <w:r>
          <w:rPr>
            <w:rStyle w:val="Hyperlink"/>
          </w:rPr>
          <w:t>Netzwerk Istanbul Konvention (Hrsg.), Umsetzung der Istanbul-Konvention in der Schweiz: Alternativbericht der Zivilgesellschaft, June 2021</w:t>
        </w:r>
      </w:hyperlink>
      <w:r>
        <w:t xml:space="preserve">, </w:t>
      </w:r>
      <w:r>
        <w:rPr>
          <w:color w:val="000000"/>
        </w:rPr>
        <w:t>p. 186.</w:t>
      </w:r>
    </w:p>
  </w:footnote>
  <w:footnote w:id="130">
    <w:p w14:paraId="17E31906" w14:textId="585B5124" w:rsidR="00D739C9" w:rsidRPr="001C1A91" w:rsidRDefault="00D739C9" w:rsidP="00A523DA">
      <w:pPr>
        <w:pStyle w:val="Fussnote"/>
        <w:rPr>
          <w:lang w:val="en-US"/>
        </w:rPr>
      </w:pPr>
      <w:r>
        <w:rPr>
          <w:rStyle w:val="FootnoteReference"/>
        </w:rPr>
        <w:footnoteRef/>
      </w:r>
      <w:r w:rsidRPr="001C1A91">
        <w:rPr>
          <w:lang w:val="en-US"/>
        </w:rPr>
        <w:t xml:space="preserve"> </w:t>
      </w:r>
      <w:hyperlink r:id="rId98" w:history="1">
        <w:r w:rsidRPr="001C1A91">
          <w:rPr>
            <w:rStyle w:val="Hyperlink"/>
            <w:lang w:val="en-US"/>
          </w:rPr>
          <w:t>Roth's parliamentary postulate of 19.6.2020, Violence against PWD in Switzerland</w:t>
        </w:r>
      </w:hyperlink>
      <w:r w:rsidRPr="001C1A91">
        <w:rPr>
          <w:lang w:val="en-US"/>
        </w:rPr>
        <w:t>.</w:t>
      </w:r>
    </w:p>
  </w:footnote>
  <w:footnote w:id="131">
    <w:p w14:paraId="7E43B219" w14:textId="4244BA4E" w:rsidR="00D739C9" w:rsidRPr="001C1A91" w:rsidRDefault="00D739C9" w:rsidP="00A523DA">
      <w:pPr>
        <w:pStyle w:val="Fussnote"/>
        <w:rPr>
          <w:lang w:val="en-US"/>
        </w:rPr>
      </w:pPr>
      <w:r>
        <w:rPr>
          <w:rStyle w:val="FootnoteReference"/>
        </w:rPr>
        <w:footnoteRef/>
      </w:r>
      <w:r w:rsidRPr="001C1A91">
        <w:rPr>
          <w:lang w:val="en-US"/>
        </w:rPr>
        <w:t xml:space="preserve"> </w:t>
      </w:r>
      <w:hyperlink r:id="rId99" w:history="1">
        <w:r w:rsidRPr="001C1A91">
          <w:rPr>
            <w:rStyle w:val="Hyperlink"/>
            <w:lang w:val="en-US"/>
          </w:rPr>
          <w:t>FOGE, Action Plan for Equality Strategy 2030, Dec. 2021</w:t>
        </w:r>
      </w:hyperlink>
      <w:r w:rsidRPr="001C1A91">
        <w:rPr>
          <w:lang w:val="en-US"/>
        </w:rPr>
        <w:t>, measure 3.2.7, p. 44.</w:t>
      </w:r>
    </w:p>
  </w:footnote>
  <w:footnote w:id="132">
    <w:p w14:paraId="06146EC2" w14:textId="61AC0F36" w:rsidR="00D739C9" w:rsidRPr="001C1A91" w:rsidRDefault="00D739C9" w:rsidP="00A523DA">
      <w:pPr>
        <w:pStyle w:val="Fussnote"/>
        <w:rPr>
          <w:lang w:val="en-US"/>
        </w:rPr>
      </w:pPr>
      <w:r>
        <w:rPr>
          <w:rStyle w:val="FootnoteReference"/>
        </w:rPr>
        <w:footnoteRef/>
      </w:r>
      <w:r w:rsidRPr="001C1A91">
        <w:rPr>
          <w:lang w:val="en-US"/>
        </w:rPr>
        <w:t xml:space="preserve"> </w:t>
      </w:r>
      <w:hyperlink r:id="rId100" w:history="1">
        <w:r w:rsidRPr="001C1A91">
          <w:rPr>
            <w:rStyle w:val="Hyperlink"/>
            <w:lang w:val="en-US"/>
          </w:rPr>
          <w:t>FBED, Topic dossier Equality of PWD: Women, 2013</w:t>
        </w:r>
      </w:hyperlink>
      <w:r w:rsidRPr="001C1A91">
        <w:rPr>
          <w:lang w:val="en-US"/>
        </w:rPr>
        <w:t>, p. 37.</w:t>
      </w:r>
    </w:p>
  </w:footnote>
  <w:footnote w:id="133">
    <w:p w14:paraId="58E9BDC0" w14:textId="20D07265" w:rsidR="00D739C9" w:rsidRPr="001C1A91" w:rsidRDefault="00D739C9" w:rsidP="00A523DA">
      <w:pPr>
        <w:pStyle w:val="Fussnote"/>
        <w:rPr>
          <w:lang w:val="en-US"/>
        </w:rPr>
      </w:pPr>
      <w:r>
        <w:rPr>
          <w:rStyle w:val="FootnoteReference"/>
        </w:rPr>
        <w:footnoteRef/>
      </w:r>
      <w:r w:rsidRPr="001C1A91">
        <w:rPr>
          <w:lang w:val="en-US"/>
        </w:rPr>
        <w:t xml:space="preserve"> </w:t>
      </w:r>
      <w:hyperlink r:id="rId101" w:history="1">
        <w:r w:rsidRPr="001C1A91">
          <w:rPr>
            <w:rStyle w:val="Hyperlink"/>
            <w:lang w:val="en-US"/>
          </w:rPr>
          <w:t>Action Plan for Equality 2030</w:t>
        </w:r>
      </w:hyperlink>
      <w:r w:rsidRPr="001C1A91">
        <w:rPr>
          <w:lang w:val="en-US"/>
        </w:rPr>
        <w:t>, measure 3.2.8, p. 45.</w:t>
      </w:r>
    </w:p>
  </w:footnote>
  <w:footnote w:id="134">
    <w:p w14:paraId="1E2700E5" w14:textId="77777777" w:rsidR="00D739C9" w:rsidRPr="00104AEE" w:rsidRDefault="00D739C9" w:rsidP="0002338D">
      <w:pPr>
        <w:pStyle w:val="Fussnote"/>
        <w:rPr>
          <w:szCs w:val="20"/>
          <w:lang w:val="en-US"/>
        </w:rPr>
      </w:pPr>
      <w:r>
        <w:rPr>
          <w:rStyle w:val="FootnoteReference"/>
        </w:rPr>
        <w:footnoteRef/>
      </w:r>
      <w:r w:rsidRPr="00104AEE">
        <w:rPr>
          <w:lang w:val="en-US"/>
        </w:rPr>
        <w:t xml:space="preserve"> For instance, sexual acts with persons incapable of judgement or resistance, Article 191 SCC; exploitation of a person in a position of need or dependency, Article 193 SCC; sexual acts with persons in institutional care, Article 192 SCC.</w:t>
      </w:r>
    </w:p>
  </w:footnote>
  <w:footnote w:id="135">
    <w:p w14:paraId="595A00EB" w14:textId="77777777" w:rsidR="00D739C9" w:rsidRPr="00104AEE" w:rsidRDefault="00D739C9" w:rsidP="0002338D">
      <w:pPr>
        <w:pStyle w:val="Fussnote"/>
        <w:rPr>
          <w:lang w:val="en-US"/>
        </w:rPr>
      </w:pPr>
      <w:r>
        <w:rPr>
          <w:rStyle w:val="FootnoteReference"/>
        </w:rPr>
        <w:footnoteRef/>
      </w:r>
      <w:r w:rsidRPr="00104AEE">
        <w:rPr>
          <w:lang w:val="en-US"/>
        </w:rPr>
        <w:t xml:space="preserve"> Inflicting grievous bodily harm, Article 122(2) SCC; termination of pregnancy without the consent of the pregnant woman, Article 118 (2) SCC.</w:t>
      </w:r>
    </w:p>
  </w:footnote>
  <w:footnote w:id="136">
    <w:p w14:paraId="6CE22C42" w14:textId="77C1561E" w:rsidR="00D739C9" w:rsidRDefault="00D739C9" w:rsidP="0002338D">
      <w:pPr>
        <w:pStyle w:val="Fussnote"/>
      </w:pPr>
      <w:r>
        <w:rPr>
          <w:rStyle w:val="FootnoteReference"/>
        </w:rPr>
        <w:footnoteRef/>
      </w:r>
      <w:r w:rsidRPr="00104AEE">
        <w:rPr>
          <w:lang w:val="en-US"/>
        </w:rPr>
        <w:t xml:space="preserve"> For instance, the statement of grounds for a relatively lenient judgment for sexual acts with a child stated that the consequences of the act were “probably not very serious” due to the child’s cognitive impairment(!). </w:t>
      </w:r>
      <w:r>
        <w:t>Luzerner Zeitung, 15.4.</w:t>
      </w:r>
      <w:r>
        <w:rPr>
          <w:rFonts w:eastAsia="Times New Roman"/>
        </w:rPr>
        <w:t xml:space="preserve">2018, </w:t>
      </w:r>
      <w:r>
        <w:t xml:space="preserve">cited in </w:t>
      </w:r>
      <w:hyperlink r:id="rId102" w:history="1">
        <w:r>
          <w:rPr>
            <w:rStyle w:val="Hyperlink"/>
          </w:rPr>
          <w:t>Alternative Report Istanbul Convention</w:t>
        </w:r>
      </w:hyperlink>
      <w:r>
        <w:t xml:space="preserve">, p. 199. </w:t>
      </w:r>
    </w:p>
  </w:footnote>
  <w:footnote w:id="137">
    <w:p w14:paraId="0ADC6705" w14:textId="77777777" w:rsidR="00D739C9" w:rsidRDefault="00D739C9" w:rsidP="0002338D">
      <w:pPr>
        <w:pStyle w:val="Fussnote"/>
      </w:pPr>
      <w:r>
        <w:rPr>
          <w:rStyle w:val="FootnoteReference"/>
        </w:rPr>
        <w:footnoteRef/>
      </w:r>
      <w:r>
        <w:t xml:space="preserve"> Ibid., particularly the “Vertiefungsbericht: Opferschutz von Mädchen und Frauen mit Behinderung &amp; Unterstützungs- und Pflegebedarf» (pp. 148-162) and "Vertiefungsbericht: Behinderung" (pp. 174-211).</w:t>
      </w:r>
    </w:p>
  </w:footnote>
  <w:footnote w:id="138">
    <w:p w14:paraId="59A5A5B6" w14:textId="4F11BD66" w:rsidR="00D739C9" w:rsidRDefault="00D739C9" w:rsidP="0002338D">
      <w:pPr>
        <w:pStyle w:val="Fussnote"/>
      </w:pPr>
      <w:r>
        <w:rPr>
          <w:rStyle w:val="FootnoteReference"/>
        </w:rPr>
        <w:footnoteRef/>
      </w:r>
      <w:r>
        <w:t xml:space="preserve"> See also </w:t>
      </w:r>
      <w:hyperlink r:id="rId103" w:history="1">
        <w:r>
          <w:rPr>
            <w:rStyle w:val="Hyperlink"/>
            <w:smallCaps/>
          </w:rPr>
          <w:t>Niehaus/Caviezel Schmitz/Krüger</w:t>
        </w:r>
        <w:r>
          <w:rPr>
            <w:rStyle w:val="Hyperlink"/>
          </w:rPr>
          <w:t>, Zur Situation geistig behinderter Opfer sexueller Gewalt im Strafverfahren: Unwissen erschwert die juristische Arbeit, 2014</w:t>
        </w:r>
      </w:hyperlink>
      <w:r>
        <w:t>,</w:t>
      </w:r>
    </w:p>
  </w:footnote>
  <w:footnote w:id="139">
    <w:p w14:paraId="42D32975" w14:textId="77777777" w:rsidR="00D739C9" w:rsidRPr="00104AEE" w:rsidRDefault="00D739C9" w:rsidP="0002338D">
      <w:pPr>
        <w:pStyle w:val="Fussnote"/>
        <w:rPr>
          <w:lang w:val="en-US"/>
        </w:rPr>
      </w:pPr>
      <w:r>
        <w:rPr>
          <w:rStyle w:val="FootnoteReference"/>
        </w:rPr>
        <w:footnoteRef/>
      </w:r>
      <w:r w:rsidRPr="00104AEE">
        <w:rPr>
          <w:lang w:val="en-US"/>
        </w:rPr>
        <w:t xml:space="preserve"> According to the experience report of the SSHID.</w:t>
      </w:r>
    </w:p>
  </w:footnote>
  <w:footnote w:id="140">
    <w:p w14:paraId="39EA4E63" w14:textId="77777777" w:rsidR="00D739C9" w:rsidRPr="00104AEE" w:rsidRDefault="00D739C9" w:rsidP="0002338D">
      <w:pPr>
        <w:pStyle w:val="Fussnote"/>
        <w:rPr>
          <w:lang w:val="en-US"/>
        </w:rPr>
      </w:pPr>
      <w:r>
        <w:rPr>
          <w:rStyle w:val="FootnoteReference"/>
        </w:rPr>
        <w:footnoteRef/>
      </w:r>
      <w:r w:rsidRPr="00104AEE">
        <w:rPr>
          <w:lang w:val="en-US"/>
        </w:rPr>
        <w:t xml:space="preserve"> According to field reports prepared by experts and contrary to the statements in the ISR, para. 80.</w:t>
      </w:r>
    </w:p>
  </w:footnote>
  <w:footnote w:id="141">
    <w:p w14:paraId="6CCE007B" w14:textId="4D27E7F6" w:rsidR="00D739C9" w:rsidRPr="00104AEE" w:rsidRDefault="00D739C9" w:rsidP="0002338D">
      <w:pPr>
        <w:pStyle w:val="Fussnote"/>
        <w:rPr>
          <w:lang w:val="en-US"/>
        </w:rPr>
      </w:pPr>
      <w:r>
        <w:rPr>
          <w:rStyle w:val="FootnoteReference"/>
        </w:rPr>
        <w:footnoteRef/>
      </w:r>
      <w:r w:rsidRPr="00104AEE">
        <w:rPr>
          <w:lang w:val="en-US"/>
        </w:rPr>
        <w:t xml:space="preserve"> </w:t>
      </w:r>
      <w:hyperlink r:id="rId104" w:history="1">
        <w:r w:rsidRPr="001C1A91">
          <w:rPr>
            <w:rStyle w:val="Hyperlink"/>
            <w:lang w:val="en-US"/>
          </w:rPr>
          <w:t>Motions of Funiciello</w:t>
        </w:r>
      </w:hyperlink>
      <w:r w:rsidRPr="00104AEE">
        <w:rPr>
          <w:lang w:val="en-US"/>
        </w:rPr>
        <w:t xml:space="preserve">, </w:t>
      </w:r>
      <w:hyperlink r:id="rId105" w:history="1">
        <w:r w:rsidRPr="001C1A91">
          <w:rPr>
            <w:rStyle w:val="Hyperlink"/>
            <w:lang w:val="en-US"/>
          </w:rPr>
          <w:t>Vincenz</w:t>
        </w:r>
      </w:hyperlink>
      <w:r w:rsidRPr="00104AEE">
        <w:rPr>
          <w:lang w:val="en-US"/>
        </w:rPr>
        <w:t xml:space="preserve">, </w:t>
      </w:r>
      <w:hyperlink r:id="rId106" w:history="1">
        <w:r w:rsidRPr="001C1A91">
          <w:rPr>
            <w:rStyle w:val="Hyperlink"/>
            <w:lang w:val="en-US"/>
          </w:rPr>
          <w:t>Herzog</w:t>
        </w:r>
      </w:hyperlink>
      <w:r w:rsidRPr="00104AEE">
        <w:rPr>
          <w:lang w:val="en-US"/>
        </w:rPr>
        <w:t>, 24-hour counselling service for persons affected by violence, in accordance with the Istanbul Convention.</w:t>
      </w:r>
    </w:p>
  </w:footnote>
  <w:footnote w:id="142">
    <w:p w14:paraId="2DB5F540" w14:textId="42279991" w:rsidR="00D739C9" w:rsidRPr="0049152C" w:rsidRDefault="00D739C9" w:rsidP="0049152C">
      <w:pPr>
        <w:pStyle w:val="Fussnote"/>
        <w:rPr>
          <w:szCs w:val="18"/>
          <w:lang w:val="en-US"/>
        </w:rPr>
      </w:pPr>
      <w:r w:rsidRPr="00CB19F9">
        <w:rPr>
          <w:rStyle w:val="FootnoteReference"/>
        </w:rPr>
        <w:footnoteRef/>
      </w:r>
      <w:r w:rsidRPr="0049152C">
        <w:rPr>
          <w:rStyle w:val="FootnoteReference"/>
          <w:lang w:val="en-US"/>
        </w:rPr>
        <w:t xml:space="preserve"> </w:t>
      </w:r>
      <w:hyperlink r:id="rId107" w:history="1">
        <w:r w:rsidRPr="001C1A91">
          <w:rPr>
            <w:rStyle w:val="Hyperlink"/>
            <w:lang w:val="en-US"/>
          </w:rPr>
          <w:t>FBED, Topic dossier Equality of PWD: Women, 2013</w:t>
        </w:r>
      </w:hyperlink>
      <w:r w:rsidRPr="0049152C">
        <w:rPr>
          <w:szCs w:val="18"/>
          <w:lang w:val="en-US"/>
        </w:rPr>
        <w:t xml:space="preserve"> (FN </w:t>
      </w:r>
      <w:r>
        <w:rPr>
          <w:szCs w:val="18"/>
        </w:rPr>
        <w:fldChar w:fldCharType="begin"/>
      </w:r>
      <w:r>
        <w:rPr>
          <w:szCs w:val="18"/>
          <w:lang w:val="en-US"/>
        </w:rPr>
        <w:instrText xml:space="preserve"> NOTEREF _Ref95632139 \h </w:instrText>
      </w:r>
      <w:r>
        <w:rPr>
          <w:szCs w:val="18"/>
        </w:rPr>
      </w:r>
      <w:r>
        <w:rPr>
          <w:szCs w:val="18"/>
        </w:rPr>
        <w:fldChar w:fldCharType="separate"/>
      </w:r>
      <w:r>
        <w:rPr>
          <w:szCs w:val="18"/>
          <w:lang w:val="en-US"/>
        </w:rPr>
        <w:t>132</w:t>
      </w:r>
      <w:r>
        <w:rPr>
          <w:szCs w:val="18"/>
        </w:rPr>
        <w:fldChar w:fldCharType="end"/>
      </w:r>
      <w:r w:rsidRPr="0049152C">
        <w:rPr>
          <w:szCs w:val="18"/>
          <w:lang w:val="en-US"/>
        </w:rPr>
        <w:t>), M</w:t>
      </w:r>
      <w:r>
        <w:rPr>
          <w:szCs w:val="18"/>
          <w:lang w:val="en-US"/>
        </w:rPr>
        <w:t>easure</w:t>
      </w:r>
      <w:r w:rsidRPr="0049152C">
        <w:rPr>
          <w:szCs w:val="18"/>
          <w:lang w:val="en-US"/>
        </w:rPr>
        <w:t xml:space="preserve"> 3.2.3, </w:t>
      </w:r>
      <w:r>
        <w:rPr>
          <w:szCs w:val="18"/>
          <w:lang w:val="en-US"/>
        </w:rPr>
        <w:t>p</w:t>
      </w:r>
      <w:r w:rsidRPr="0049152C">
        <w:rPr>
          <w:szCs w:val="18"/>
          <w:lang w:val="en-US"/>
        </w:rPr>
        <w:t>. 39 f.</w:t>
      </w:r>
    </w:p>
  </w:footnote>
  <w:footnote w:id="143">
    <w:p w14:paraId="0DA6F21A" w14:textId="6D3B988B" w:rsidR="00D739C9" w:rsidRPr="003D2F0B" w:rsidRDefault="00D739C9" w:rsidP="003D2F0B">
      <w:pPr>
        <w:pStyle w:val="Fussnote"/>
        <w:rPr>
          <w:lang w:val="en-US"/>
        </w:rPr>
      </w:pPr>
      <w:r w:rsidRPr="00CB19F9">
        <w:rPr>
          <w:rStyle w:val="FootnoteReference"/>
        </w:rPr>
        <w:footnoteRef/>
      </w:r>
      <w:r w:rsidRPr="003D2F0B">
        <w:rPr>
          <w:rStyle w:val="FootnoteReference"/>
          <w:lang w:val="en-US"/>
        </w:rPr>
        <w:t xml:space="preserve"> </w:t>
      </w:r>
      <w:hyperlink r:id="rId108" w:history="1">
        <w:r w:rsidRPr="001C1A91">
          <w:rPr>
            <w:rStyle w:val="Hyperlink"/>
            <w:lang w:val="en-US"/>
          </w:rPr>
          <w:t>FBED, Topic dossier Equality of PWD: Women, 2013</w:t>
        </w:r>
      </w:hyperlink>
      <w:r w:rsidRPr="0049152C">
        <w:rPr>
          <w:szCs w:val="18"/>
          <w:lang w:val="en-US"/>
        </w:rPr>
        <w:t xml:space="preserve"> (FN </w:t>
      </w:r>
      <w:r>
        <w:rPr>
          <w:szCs w:val="18"/>
        </w:rPr>
        <w:fldChar w:fldCharType="begin"/>
      </w:r>
      <w:r>
        <w:rPr>
          <w:szCs w:val="18"/>
          <w:lang w:val="en-US"/>
        </w:rPr>
        <w:instrText xml:space="preserve"> NOTEREF _Ref95632139 \h </w:instrText>
      </w:r>
      <w:r>
        <w:rPr>
          <w:szCs w:val="18"/>
        </w:rPr>
      </w:r>
      <w:r>
        <w:rPr>
          <w:szCs w:val="18"/>
        </w:rPr>
        <w:fldChar w:fldCharType="separate"/>
      </w:r>
      <w:r>
        <w:rPr>
          <w:szCs w:val="18"/>
          <w:lang w:val="en-US"/>
        </w:rPr>
        <w:t>132</w:t>
      </w:r>
      <w:r>
        <w:rPr>
          <w:szCs w:val="18"/>
        </w:rPr>
        <w:fldChar w:fldCharType="end"/>
      </w:r>
      <w:r w:rsidRPr="0049152C">
        <w:rPr>
          <w:szCs w:val="18"/>
          <w:lang w:val="en-US"/>
        </w:rPr>
        <w:t>)</w:t>
      </w:r>
      <w:r w:rsidRPr="003D2F0B">
        <w:rPr>
          <w:lang w:val="en-US"/>
        </w:rPr>
        <w:t xml:space="preserve">, </w:t>
      </w:r>
      <w:r>
        <w:rPr>
          <w:lang w:val="en-US"/>
        </w:rPr>
        <w:t>Measure</w:t>
      </w:r>
      <w:r w:rsidRPr="003D2F0B">
        <w:rPr>
          <w:lang w:val="en-US"/>
        </w:rPr>
        <w:t xml:space="preserve"> 3.2.1, </w:t>
      </w:r>
      <w:r>
        <w:rPr>
          <w:lang w:val="en-US"/>
        </w:rPr>
        <w:t>p</w:t>
      </w:r>
      <w:r w:rsidRPr="003D2F0B">
        <w:rPr>
          <w:lang w:val="en-US"/>
        </w:rPr>
        <w:t>. 37 f.</w:t>
      </w:r>
    </w:p>
  </w:footnote>
  <w:footnote w:id="144">
    <w:p w14:paraId="2D522EA0" w14:textId="57AD3B4F" w:rsidR="00D739C9" w:rsidRPr="00104AEE" w:rsidRDefault="00D739C9" w:rsidP="0002338D">
      <w:pPr>
        <w:pStyle w:val="Fussnote"/>
        <w:rPr>
          <w:szCs w:val="20"/>
          <w:lang w:val="en-US"/>
        </w:rPr>
      </w:pPr>
      <w:r>
        <w:rPr>
          <w:rStyle w:val="FootnoteReference"/>
        </w:rPr>
        <w:footnoteRef/>
      </w:r>
      <w:r w:rsidRPr="00104AEE">
        <w:rPr>
          <w:lang w:val="en-US"/>
        </w:rPr>
        <w:t xml:space="preserve"> </w:t>
      </w:r>
      <w:hyperlink r:id="rId109" w:history="1">
        <w:r w:rsidRPr="001C1A91">
          <w:rPr>
            <w:rStyle w:val="Hyperlink"/>
            <w:lang w:val="en-US"/>
          </w:rPr>
          <w:t>FDJP/CDSS/CCJPD, Domestic Violence: Roadmap of the Confederation and the cantons, 30.4.2021</w:t>
        </w:r>
      </w:hyperlink>
      <w:r w:rsidRPr="00104AEE">
        <w:rPr>
          <w:lang w:val="en-US"/>
        </w:rPr>
        <w:t>.</w:t>
      </w:r>
    </w:p>
  </w:footnote>
  <w:footnote w:id="145">
    <w:p w14:paraId="4CD05469" w14:textId="77777777" w:rsidR="00D739C9" w:rsidRPr="00104AEE" w:rsidRDefault="00D739C9" w:rsidP="0002338D">
      <w:pPr>
        <w:pStyle w:val="Fussnote"/>
        <w:rPr>
          <w:lang w:val="en-US"/>
        </w:rPr>
      </w:pPr>
      <w:r>
        <w:rPr>
          <w:rStyle w:val="FootnoteReference"/>
        </w:rPr>
        <w:footnoteRef/>
      </w:r>
      <w:r w:rsidRPr="00104AEE">
        <w:rPr>
          <w:lang w:val="en-US"/>
        </w:rPr>
        <w:t xml:space="preserve"> Precise criteria according to Article 7(2): “Based on the overall circumstances, it is in the interest of the person concerned”; conception/birth cannot be prevented by suitable means of contraception; conception/birth is likely; separation from the child would be unavoidable because “parental responsibility cannot be exercised” or because pregnancy poses a significant health risk; the person concerned has no prospect of attaining capacity of judgement; the surgical method with the greatest prospect of re-fertilisation is chosen; the adult protection authority has consented to the procedure. Article 8(2): Adult protection authority: hears the person concerned and persons close to him/her; requests a report on the person's social and personal circumstances; obtains an expert opinion on the person's lack of capacity of judgement.</w:t>
      </w:r>
    </w:p>
  </w:footnote>
  <w:footnote w:id="146">
    <w:p w14:paraId="6F431530" w14:textId="2BC92815" w:rsidR="00D739C9" w:rsidRPr="001C1A91" w:rsidRDefault="00D739C9" w:rsidP="0002338D">
      <w:pPr>
        <w:pStyle w:val="Fussnote"/>
        <w:rPr>
          <w:lang w:val="en-US"/>
        </w:rPr>
      </w:pPr>
      <w:r>
        <w:rPr>
          <w:rStyle w:val="FootnoteReference"/>
        </w:rPr>
        <w:footnoteRef/>
      </w:r>
      <w:r w:rsidRPr="001C1A91">
        <w:rPr>
          <w:lang w:val="en-US"/>
        </w:rPr>
        <w:t xml:space="preserve"> Reply of the Federal Council to </w:t>
      </w:r>
      <w:hyperlink r:id="rId110" w:history="1">
        <w:r w:rsidRPr="001C1A91">
          <w:rPr>
            <w:rStyle w:val="Hyperlink"/>
            <w:lang w:val="en-US"/>
          </w:rPr>
          <w:t>Fehlmann's question of 2.12.2020</w:t>
        </w:r>
      </w:hyperlink>
      <w:r w:rsidRPr="001C1A91">
        <w:rPr>
          <w:lang w:val="en-US"/>
        </w:rPr>
        <w:t>.</w:t>
      </w:r>
    </w:p>
  </w:footnote>
  <w:footnote w:id="147">
    <w:p w14:paraId="7B90B27E" w14:textId="5F13740F" w:rsidR="00D739C9" w:rsidRPr="001C1A91" w:rsidRDefault="00D739C9" w:rsidP="0002338D">
      <w:pPr>
        <w:pStyle w:val="Fussnote"/>
        <w:rPr>
          <w:szCs w:val="20"/>
          <w:lang w:val="en-US"/>
        </w:rPr>
      </w:pPr>
      <w:r w:rsidRPr="00865C84">
        <w:rPr>
          <w:rStyle w:val="FootnoteReference"/>
        </w:rPr>
        <w:footnoteRef/>
      </w:r>
      <w:r w:rsidRPr="00865C84">
        <w:rPr>
          <w:rStyle w:val="Hyperlink"/>
          <w:lang w:val="en-US"/>
        </w:rPr>
        <w:t xml:space="preserve"> </w:t>
      </w:r>
      <w:hyperlink r:id="rId111" w:history="1">
        <w:r w:rsidRPr="00865C84">
          <w:rPr>
            <w:rStyle w:val="Hyperlink"/>
            <w:lang w:val="en-US"/>
          </w:rPr>
          <w:t xml:space="preserve">FC, </w:t>
        </w:r>
        <w:r w:rsidRPr="00865C84">
          <w:rPr>
            <w:rStyle w:val="Hyperlink"/>
            <w:lang w:val="en-GB"/>
          </w:rPr>
          <w:t>UN Convention on the Elimination of All Forms of Discrimination against Women (CEDAW): Replies of Switzerland to the questions in the List of Issues in relation to the sixth periodic report, Nov. 2020</w:t>
        </w:r>
      </w:hyperlink>
      <w:r w:rsidRPr="00865C84">
        <w:rPr>
          <w:lang w:val="en-US"/>
        </w:rPr>
        <w:t>, para. 174.</w:t>
      </w:r>
      <w:r w:rsidRPr="001C1A91">
        <w:rPr>
          <w:lang w:val="en-US"/>
        </w:rPr>
        <w:t xml:space="preserve"> </w:t>
      </w:r>
    </w:p>
  </w:footnote>
  <w:footnote w:id="148">
    <w:p w14:paraId="791C86E1" w14:textId="085859C4" w:rsidR="00D739C9" w:rsidRPr="001C1A91" w:rsidRDefault="00D739C9" w:rsidP="0002338D">
      <w:pPr>
        <w:pStyle w:val="Fussnote"/>
        <w:rPr>
          <w:lang w:val="en-US"/>
        </w:rPr>
      </w:pPr>
      <w:r>
        <w:rPr>
          <w:rStyle w:val="FootnoteReference"/>
        </w:rPr>
        <w:footnoteRef/>
      </w:r>
      <w:r w:rsidRPr="001C1A91">
        <w:rPr>
          <w:lang w:val="en-US"/>
        </w:rPr>
        <w:t xml:space="preserve"> It notes, for instance, that the implementation of this provision is very difficult from a medical point of view: </w:t>
      </w:r>
      <w:hyperlink r:id="rId112" w:history="1">
        <w:r w:rsidRPr="001C1A91">
          <w:rPr>
            <w:rStyle w:val="Hyperlink"/>
            <w:lang w:val="en-US"/>
          </w:rPr>
          <w:t>SAMW, Medizinische Behandlung und Betreuung von Menschen mit Behinderung, 2017</w:t>
        </w:r>
      </w:hyperlink>
      <w:r w:rsidRPr="001C1A91">
        <w:rPr>
          <w:lang w:val="en-US"/>
        </w:rPr>
        <w:t>, p. 26.</w:t>
      </w:r>
    </w:p>
  </w:footnote>
  <w:footnote w:id="149">
    <w:p w14:paraId="566F505C" w14:textId="3B927B31" w:rsidR="00D739C9" w:rsidRPr="00104AEE" w:rsidRDefault="00D739C9" w:rsidP="0002338D">
      <w:pPr>
        <w:pStyle w:val="Fussnote"/>
        <w:rPr>
          <w:lang w:val="en-US"/>
        </w:rPr>
      </w:pPr>
      <w:r>
        <w:rPr>
          <w:rStyle w:val="FootnoteReference"/>
        </w:rPr>
        <w:footnoteRef/>
      </w:r>
      <w:r w:rsidRPr="00104AEE">
        <w:rPr>
          <w:lang w:val="en-US"/>
        </w:rPr>
        <w:t xml:space="preserve"> Reply of the Federal Council to </w:t>
      </w:r>
      <w:hyperlink r:id="rId113" w:history="1">
        <w:r w:rsidRPr="001C1A91">
          <w:rPr>
            <w:rStyle w:val="Hyperlink"/>
            <w:lang w:val="en-US"/>
          </w:rPr>
          <w:t>Fehlmann</w:t>
        </w:r>
        <w:r>
          <w:rPr>
            <w:rStyle w:val="Hyperlink"/>
            <w:lang w:val="en-US"/>
          </w:rPr>
          <w:t>’</w:t>
        </w:r>
        <w:r w:rsidRPr="001C1A91">
          <w:rPr>
            <w:rStyle w:val="Hyperlink"/>
            <w:lang w:val="en-US"/>
          </w:rPr>
          <w:t>s question</w:t>
        </w:r>
      </w:hyperlink>
      <w:r w:rsidRPr="00104AEE">
        <w:rPr>
          <w:lang w:val="en-US"/>
        </w:rPr>
        <w:t xml:space="preserve"> and </w:t>
      </w:r>
      <w:hyperlink r:id="rId114" w:history="1">
        <w:r w:rsidRPr="001C1A91">
          <w:rPr>
            <w:rStyle w:val="Hyperlink"/>
            <w:lang w:val="en-US"/>
          </w:rPr>
          <w:t>Alternative Report Istanbul Convention</w:t>
        </w:r>
      </w:hyperlink>
      <w:r w:rsidRPr="00104AEE">
        <w:rPr>
          <w:lang w:val="en-US"/>
        </w:rPr>
        <w:t>, p. 203.</w:t>
      </w:r>
    </w:p>
  </w:footnote>
  <w:footnote w:id="150">
    <w:p w14:paraId="0EC40AFD" w14:textId="77777777" w:rsidR="00D739C9" w:rsidRPr="00104AEE" w:rsidRDefault="00D739C9" w:rsidP="0002338D">
      <w:pPr>
        <w:pStyle w:val="Fussnote"/>
        <w:rPr>
          <w:lang w:val="en-US"/>
        </w:rPr>
      </w:pPr>
      <w:r>
        <w:rPr>
          <w:rStyle w:val="FootnoteReference"/>
        </w:rPr>
        <w:footnoteRef/>
      </w:r>
      <w:r w:rsidRPr="00104AEE">
        <w:rPr>
          <w:rFonts w:eastAsia="Times New Roman"/>
          <w:lang w:val="en-US"/>
        </w:rPr>
        <w:t xml:space="preserve"> See Article 112b of the Federal Constitution (Cst.)</w:t>
      </w:r>
      <w:r w:rsidRPr="00104AEE">
        <w:rPr>
          <w:lang w:val="en-US"/>
        </w:rPr>
        <w:t>; NFE Dispatch, pp. 6199 and 6201 ff.</w:t>
      </w:r>
    </w:p>
  </w:footnote>
  <w:footnote w:id="151">
    <w:p w14:paraId="11E636EC" w14:textId="77777777" w:rsidR="00D739C9" w:rsidRPr="00104AEE" w:rsidRDefault="00D739C9" w:rsidP="0002338D">
      <w:pPr>
        <w:pStyle w:val="Fussnote"/>
        <w:rPr>
          <w:lang w:val="en-US"/>
        </w:rPr>
      </w:pPr>
      <w:r>
        <w:rPr>
          <w:rStyle w:val="FootnoteReference"/>
        </w:rPr>
        <w:footnoteRef/>
      </w:r>
      <w:r w:rsidRPr="00104AEE">
        <w:rPr>
          <w:lang w:val="en-US"/>
        </w:rPr>
        <w:t xml:space="preserve"> See Article 197(4) Cst. and Article 10 of the IFEG. </w:t>
      </w:r>
    </w:p>
  </w:footnote>
  <w:footnote w:id="152">
    <w:p w14:paraId="5BB2AA95" w14:textId="510D4B19" w:rsidR="00D739C9" w:rsidRDefault="00D739C9" w:rsidP="0002338D">
      <w:pPr>
        <w:pStyle w:val="Fussnote"/>
      </w:pPr>
      <w:r>
        <w:rPr>
          <w:rStyle w:val="FootnoteReference"/>
        </w:rPr>
        <w:footnoteRef/>
      </w:r>
      <w:r>
        <w:t xml:space="preserve"> </w:t>
      </w:r>
      <w:hyperlink r:id="rId115" w:history="1">
        <w:r>
          <w:rPr>
            <w:rStyle w:val="Hyperlink"/>
          </w:rPr>
          <w:t>Programm Selbstbestimmtes Leben</w:t>
        </w:r>
      </w:hyperlink>
      <w:r>
        <w:t>, pp. 7 and 9.</w:t>
      </w:r>
    </w:p>
  </w:footnote>
  <w:footnote w:id="153">
    <w:p w14:paraId="7046F1B0" w14:textId="0606CE56" w:rsidR="00D739C9" w:rsidRDefault="00D739C9" w:rsidP="0002338D">
      <w:pPr>
        <w:pStyle w:val="Fussnote"/>
      </w:pPr>
      <w:r>
        <w:rPr>
          <w:rStyle w:val="FootnoteReference"/>
        </w:rPr>
        <w:footnoteRef/>
      </w:r>
      <w:r>
        <w:t xml:space="preserve"> </w:t>
      </w:r>
      <w:hyperlink r:id="rId116" w:anchor="pubdb" w:history="1">
        <w:r>
          <w:rPr>
            <w:rStyle w:val="Hyperlink"/>
          </w:rPr>
          <w:t>BFH, FoP3-IV Bericht Nr. 7/19, Bestandesaufnahme des Wohnangebots für Menschen mit Behinderungen, 11.11.2019</w:t>
        </w:r>
      </w:hyperlink>
      <w:r>
        <w:t>.</w:t>
      </w:r>
    </w:p>
  </w:footnote>
  <w:footnote w:id="154">
    <w:p w14:paraId="6CB2EBCA" w14:textId="57A4767D" w:rsidR="00D739C9" w:rsidRPr="001C1A91" w:rsidRDefault="00D739C9" w:rsidP="0002338D">
      <w:pPr>
        <w:pStyle w:val="Fussnote"/>
        <w:rPr>
          <w:lang w:val="en-US"/>
        </w:rPr>
      </w:pPr>
      <w:r>
        <w:rPr>
          <w:rStyle w:val="FootnoteReference"/>
        </w:rPr>
        <w:footnoteRef/>
      </w:r>
      <w:r w:rsidRPr="001C1A91">
        <w:rPr>
          <w:lang w:val="en-US"/>
        </w:rPr>
        <w:t xml:space="preserve"> Only residential options used by </w:t>
      </w:r>
      <w:r w:rsidR="00AF697E">
        <w:rPr>
          <w:lang w:val="en-US"/>
        </w:rPr>
        <w:t>persons</w:t>
      </w:r>
      <w:r w:rsidRPr="001C1A91">
        <w:rPr>
          <w:lang w:val="en-US"/>
        </w:rPr>
        <w:t xml:space="preserve"> with (different types of) invalidity benefits were investigated (ibid., p. IV); precise information on housing </w:t>
      </w:r>
      <w:r>
        <w:rPr>
          <w:lang w:val="en-US"/>
        </w:rPr>
        <w:t>supply</w:t>
      </w:r>
      <w:r w:rsidRPr="001C1A91">
        <w:rPr>
          <w:lang w:val="en-US"/>
        </w:rPr>
        <w:t xml:space="preserve"> is only available per region, since the cantons required the pseu</w:t>
      </w:r>
      <w:r>
        <w:rPr>
          <w:lang w:val="en-US"/>
        </w:rPr>
        <w:t>d</w:t>
      </w:r>
      <w:r w:rsidRPr="001C1A91">
        <w:rPr>
          <w:lang w:val="en-US"/>
        </w:rPr>
        <w:t xml:space="preserve">onymisation of the data collected directly by them (ibid., p. 32); inadequate involvement of </w:t>
      </w:r>
      <w:r>
        <w:rPr>
          <w:lang w:val="en-US"/>
        </w:rPr>
        <w:t>OP</w:t>
      </w:r>
      <w:r w:rsidRPr="001C1A91">
        <w:rPr>
          <w:lang w:val="en-US"/>
        </w:rPr>
        <w:t>D</w:t>
      </w:r>
      <w:r>
        <w:rPr>
          <w:lang w:val="en-US"/>
        </w:rPr>
        <w:t>s</w:t>
      </w:r>
      <w:r w:rsidRPr="001C1A91">
        <w:rPr>
          <w:lang w:val="en-US"/>
        </w:rPr>
        <w:t xml:space="preserve"> and, in particular, self-advocates; fragmentation, incompleteness and inconsistencies in the different data sources.</w:t>
      </w:r>
    </w:p>
  </w:footnote>
  <w:footnote w:id="155">
    <w:p w14:paraId="270C9228" w14:textId="4E265AF6" w:rsidR="00D739C9" w:rsidRDefault="00D739C9" w:rsidP="0002338D">
      <w:pPr>
        <w:pStyle w:val="Fussnote"/>
      </w:pPr>
      <w:r>
        <w:rPr>
          <w:rStyle w:val="FootnoteReference"/>
        </w:rPr>
        <w:footnoteRef/>
      </w:r>
      <w:r>
        <w:t xml:space="preserve"> </w:t>
      </w:r>
      <w:hyperlink r:id="rId117" w:history="1">
        <w:r>
          <w:rPr>
            <w:rStyle w:val="Hyperlink"/>
          </w:rPr>
          <w:t>Vision der SODK für das selbstbestimmte Wohnen von betagten Menschen und Menschen mit Behinderungen, 22.1.2021</w:t>
        </w:r>
      </w:hyperlink>
      <w:r>
        <w:t>.</w:t>
      </w:r>
    </w:p>
  </w:footnote>
  <w:footnote w:id="156">
    <w:p w14:paraId="284FC00E" w14:textId="77777777" w:rsidR="00D739C9" w:rsidRDefault="00D739C9" w:rsidP="0002338D">
      <w:pPr>
        <w:pStyle w:val="Fussnote"/>
        <w:rPr>
          <w:lang w:val="en-US"/>
        </w:rPr>
      </w:pPr>
      <w:r>
        <w:rPr>
          <w:rStyle w:val="FootnoteReference"/>
        </w:rPr>
        <w:footnoteRef/>
      </w:r>
      <w:r w:rsidRPr="001C1A91">
        <w:rPr>
          <w:lang w:val="en-US"/>
        </w:rPr>
        <w:t xml:space="preserve"> See, in particular, paras. 41 (structural changes), 42 (strategic planning for replacement), 49 (phasing out), 57 and 98.g (strategy and action plan), 58 (closure; elimination of institutionalizing regulations) and 59 (reallocate funding).</w:t>
      </w:r>
    </w:p>
  </w:footnote>
  <w:footnote w:id="157">
    <w:p w14:paraId="1687A36B" w14:textId="77777777" w:rsidR="00D739C9" w:rsidRPr="001C1A91" w:rsidRDefault="00D739C9" w:rsidP="0002338D">
      <w:pPr>
        <w:pStyle w:val="Fussnote"/>
        <w:rPr>
          <w:lang w:val="en-US"/>
        </w:rPr>
      </w:pPr>
      <w:r w:rsidRPr="00527230">
        <w:rPr>
          <w:rStyle w:val="FootnoteReference"/>
        </w:rPr>
        <w:footnoteRef/>
      </w:r>
      <w:r w:rsidRPr="001C1A91">
        <w:rPr>
          <w:lang w:val="en-US"/>
        </w:rPr>
        <w:t xml:space="preserve"> Survey of housing options, pp. 11 ff., 72 f., 62, 77 f. </w:t>
      </w:r>
    </w:p>
  </w:footnote>
  <w:footnote w:id="158">
    <w:p w14:paraId="6C94FA8A" w14:textId="77777777" w:rsidR="00D739C9" w:rsidRPr="001C1A91" w:rsidRDefault="00D739C9" w:rsidP="0002338D">
      <w:pPr>
        <w:pStyle w:val="Fussnote"/>
        <w:rPr>
          <w:lang w:val="en-US"/>
        </w:rPr>
      </w:pPr>
      <w:r w:rsidRPr="00527230">
        <w:rPr>
          <w:rStyle w:val="FootnoteReference"/>
        </w:rPr>
        <w:footnoteRef/>
      </w:r>
      <w:r w:rsidRPr="001C1A91">
        <w:rPr>
          <w:lang w:val="en-US"/>
        </w:rPr>
        <w:t xml:space="preserve"> See Survey of housing options, pp. III, IV, V and 69. Of the institutions included, 58% offer 24-hour care, 42% fewer hours of care and enhanced independence requirements. </w:t>
      </w:r>
    </w:p>
  </w:footnote>
  <w:footnote w:id="159">
    <w:p w14:paraId="2A5C6297" w14:textId="307C5F2B" w:rsidR="00D739C9" w:rsidRPr="00104AEE" w:rsidRDefault="00D739C9" w:rsidP="0002338D">
      <w:pPr>
        <w:pStyle w:val="Fussnote"/>
        <w:rPr>
          <w:lang w:val="en-US"/>
        </w:rPr>
      </w:pPr>
      <w:r w:rsidRPr="00527230">
        <w:rPr>
          <w:rStyle w:val="FootnoteReference"/>
        </w:rPr>
        <w:footnoteRef/>
      </w:r>
      <w:r w:rsidRPr="00104AEE">
        <w:rPr>
          <w:lang w:val="en-US"/>
        </w:rPr>
        <w:t xml:space="preserve"> </w:t>
      </w:r>
      <w:hyperlink r:id="rId118" w:history="1">
        <w:r w:rsidRPr="001C1A91">
          <w:rPr>
            <w:rStyle w:val="Hyperlink"/>
            <w:lang w:val="en-US"/>
          </w:rPr>
          <w:t>INSOS/Curaviva/vahs, UN CRPD Action plan 2019 – 2023, 2019</w:t>
        </w:r>
      </w:hyperlink>
      <w:r w:rsidRPr="00104AEE">
        <w:rPr>
          <w:lang w:val="en-US"/>
        </w:rPr>
        <w:t>, objectives 14 and 16. The plan lists measures taken by the associations and recommendations for the institutions but does not include detailed time and budget planning or indicators for measuring their impact. A collection of good practices is also available.</w:t>
      </w:r>
    </w:p>
  </w:footnote>
  <w:footnote w:id="160">
    <w:p w14:paraId="1A50155B" w14:textId="77777777" w:rsidR="00D739C9" w:rsidRPr="00104AEE" w:rsidRDefault="00D739C9" w:rsidP="0002338D">
      <w:pPr>
        <w:pStyle w:val="Fussnote"/>
        <w:rPr>
          <w:lang w:val="en-US"/>
        </w:rPr>
      </w:pPr>
      <w:r w:rsidRPr="00527230">
        <w:rPr>
          <w:rStyle w:val="FootnoteReference"/>
        </w:rPr>
        <w:footnoteRef/>
      </w:r>
      <w:r w:rsidRPr="00104AEE">
        <w:rPr>
          <w:lang w:val="en-US"/>
        </w:rPr>
        <w:t xml:space="preserve"> With regard to the helplessness allowance, see Articles 42 – 42ter InvIA. It is paid out as a lump sum, graded according to 3 degrees of "helplessness". </w:t>
      </w:r>
    </w:p>
  </w:footnote>
  <w:footnote w:id="161">
    <w:p w14:paraId="0D4FF6A3" w14:textId="77777777" w:rsidR="00D739C9" w:rsidRPr="00104AEE" w:rsidRDefault="00D739C9" w:rsidP="0002338D">
      <w:pPr>
        <w:pStyle w:val="Fussnote"/>
        <w:rPr>
          <w:lang w:val="en-US"/>
        </w:rPr>
      </w:pPr>
      <w:r w:rsidRPr="00527230">
        <w:rPr>
          <w:rStyle w:val="FootnoteReference"/>
        </w:rPr>
        <w:footnoteRef/>
      </w:r>
      <w:r w:rsidRPr="00104AEE">
        <w:rPr>
          <w:lang w:val="en-US"/>
        </w:rPr>
        <w:t xml:space="preserve"> Of the 49% persons with IV benefits who live independently, 45.9% received a helplessness allowance, 4.3% received an assistance contribution and 1.4% received housing assistance in connection with vocational measures. In 2016, 1,858 persons used assisted living benefits pursuant to Article 74 InvIA. Survey of housing options, pp. 41, 46. </w:t>
      </w:r>
    </w:p>
  </w:footnote>
  <w:footnote w:id="162">
    <w:p w14:paraId="4FB595FE" w14:textId="2E5BB942" w:rsidR="00D739C9" w:rsidRPr="00104AEE" w:rsidRDefault="00D739C9" w:rsidP="0002338D">
      <w:pPr>
        <w:pStyle w:val="Fussnote"/>
        <w:rPr>
          <w:lang w:val="en-US"/>
        </w:rPr>
      </w:pPr>
      <w:r w:rsidRPr="00527230">
        <w:rPr>
          <w:rStyle w:val="FootnoteReference"/>
        </w:rPr>
        <w:footnoteRef/>
      </w:r>
      <w:r w:rsidRPr="00104AEE">
        <w:rPr>
          <w:lang w:val="en-US"/>
        </w:rPr>
        <w:t xml:space="preserve"> 2004: doubling of HA for private vs. institutional housing; 2012: Introduction of the assistance contribution. Recently, the outdated maximum rental costs were generally adjusted in relation to supplementary benefits </w:t>
      </w:r>
      <w:r w:rsidRPr="00104AEE">
        <w:rPr>
          <w:rFonts w:eastAsia="Times New Roman"/>
          <w:lang w:val="en-US"/>
        </w:rPr>
        <w:t>but were even reduced for certain types of housing.</w:t>
      </w:r>
      <w:r w:rsidRPr="00104AEE">
        <w:rPr>
          <w:lang w:val="en-US"/>
        </w:rPr>
        <w:t xml:space="preserve"> </w:t>
      </w:r>
      <w:hyperlink r:id="rId119" w:history="1">
        <w:r w:rsidRPr="00527230">
          <w:rPr>
            <w:rStyle w:val="Hyperlink"/>
            <w:smallCaps/>
          </w:rPr>
          <w:t>Petra Kern</w:t>
        </w:r>
        <w:r w:rsidRPr="00527230">
          <w:rPr>
            <w:rStyle w:val="Hyperlink"/>
          </w:rPr>
          <w:t xml:space="preserve">, Ergänzungsleistungen: Erhöhung der Mietzinsmaxima und stärkere Berücksichtigung des Vermögens ab 2021, in: </w:t>
        </w:r>
        <w:r w:rsidRPr="008823EA">
          <w:rPr>
            <w:rStyle w:val="Hyperlink"/>
          </w:rPr>
          <w:t xml:space="preserve">Handicap und Recht </w:t>
        </w:r>
        <w:r w:rsidRPr="00527230">
          <w:rPr>
            <w:rStyle w:val="Hyperlink"/>
          </w:rPr>
          <w:t>08/2019 (12.7.2019).</w:t>
        </w:r>
      </w:hyperlink>
      <w:r w:rsidRPr="00104AEE">
        <w:rPr>
          <w:lang w:val="en-US"/>
        </w:rPr>
        <w:t>See e.g.</w:t>
      </w:r>
      <w:r w:rsidRPr="00104AEE">
        <w:rPr>
          <w:rFonts w:eastAsia="Times New Roman"/>
          <w:lang w:val="en-US"/>
        </w:rPr>
        <w:t xml:space="preserve"> </w:t>
      </w:r>
    </w:p>
  </w:footnote>
  <w:footnote w:id="163">
    <w:p w14:paraId="044815C2" w14:textId="77777777" w:rsidR="00D739C9" w:rsidRPr="00104AEE" w:rsidRDefault="00D739C9" w:rsidP="0002338D">
      <w:pPr>
        <w:pStyle w:val="Fussnote"/>
        <w:rPr>
          <w:lang w:val="en-US"/>
        </w:rPr>
      </w:pPr>
      <w:r w:rsidRPr="00527230">
        <w:rPr>
          <w:rStyle w:val="FootnoteReference"/>
        </w:rPr>
        <w:footnoteRef/>
      </w:r>
      <w:r w:rsidRPr="00104AEE">
        <w:rPr>
          <w:lang w:val="en-US"/>
        </w:rPr>
        <w:t xml:space="preserve"> Survey of housing options, pp. 16, IX f., VII. However, at the end of 2019, only a total of 13 cantons had certain contributions for outpatient services in place.</w:t>
      </w:r>
    </w:p>
  </w:footnote>
  <w:footnote w:id="164">
    <w:p w14:paraId="5C7756D7" w14:textId="77777777" w:rsidR="00D739C9" w:rsidRPr="00104AEE" w:rsidRDefault="00D739C9" w:rsidP="0002338D">
      <w:pPr>
        <w:pStyle w:val="Fussnote"/>
        <w:rPr>
          <w:lang w:val="en-US"/>
        </w:rPr>
      </w:pPr>
      <w:r w:rsidRPr="00527230">
        <w:rPr>
          <w:rStyle w:val="FootnoteReference"/>
        </w:rPr>
        <w:footnoteRef/>
      </w:r>
      <w:r w:rsidRPr="00104AEE">
        <w:rPr>
          <w:lang w:val="en-US"/>
        </w:rPr>
        <w:t xml:space="preserve"> See e.g. para. 17 (mandatory “package solutions”), 21 (persons requiring high demands for personal service), 60 f. (4 A’s; eligibility criteria), 63 (assessment), 64 (information), 65 (training), 68 (family carers), </w:t>
      </w:r>
    </w:p>
  </w:footnote>
  <w:footnote w:id="165">
    <w:p w14:paraId="694B6C1E" w14:textId="77777777" w:rsidR="00D739C9" w:rsidRPr="00104AEE" w:rsidRDefault="00D739C9" w:rsidP="0002338D">
      <w:pPr>
        <w:pStyle w:val="Fussnote"/>
        <w:rPr>
          <w:lang w:val="en-US"/>
        </w:rPr>
      </w:pPr>
      <w:r w:rsidRPr="00527230">
        <w:rPr>
          <w:rStyle w:val="FootnoteReference"/>
        </w:rPr>
        <w:footnoteRef/>
      </w:r>
      <w:r w:rsidRPr="00104AEE">
        <w:rPr>
          <w:lang w:val="en-US"/>
        </w:rPr>
        <w:t xml:space="preserve"> Survey of housing options, p. VII.</w:t>
      </w:r>
    </w:p>
  </w:footnote>
  <w:footnote w:id="166">
    <w:p w14:paraId="0D7F97F6" w14:textId="77777777" w:rsidR="00D739C9" w:rsidRPr="00104AEE" w:rsidRDefault="00D739C9" w:rsidP="0002338D">
      <w:pPr>
        <w:pStyle w:val="Fussnote"/>
        <w:rPr>
          <w:lang w:val="en-US"/>
        </w:rPr>
      </w:pPr>
      <w:r w:rsidRPr="00527230">
        <w:rPr>
          <w:rStyle w:val="FootnoteReference"/>
        </w:rPr>
        <w:footnoteRef/>
      </w:r>
      <w:r w:rsidRPr="00104AEE">
        <w:rPr>
          <w:lang w:val="en-US"/>
        </w:rPr>
        <w:t xml:space="preserve"> Survey of housing options, p. 61.</w:t>
      </w:r>
    </w:p>
  </w:footnote>
  <w:footnote w:id="167">
    <w:p w14:paraId="72F582C5" w14:textId="0FDEDB24" w:rsidR="00D739C9" w:rsidRPr="00104AEE" w:rsidRDefault="00D739C9" w:rsidP="0002338D">
      <w:pPr>
        <w:pStyle w:val="Fussnote"/>
      </w:pPr>
      <w:r w:rsidRPr="00527230">
        <w:rPr>
          <w:rStyle w:val="FootnoteReference"/>
        </w:rPr>
        <w:footnoteRef/>
      </w:r>
      <w:r w:rsidRPr="001C1A91">
        <w:rPr>
          <w:lang w:val="en-US"/>
        </w:rPr>
        <w:t xml:space="preserve"> </w:t>
      </w:r>
      <w:hyperlink r:id="rId120" w:anchor="pubdb" w:history="1">
        <w:r w:rsidRPr="001C1A91">
          <w:rPr>
            <w:rStyle w:val="Hyperlink"/>
            <w:smallCaps/>
            <w:lang w:val="en-US"/>
          </w:rPr>
          <w:t>BASS</w:t>
        </w:r>
        <w:r w:rsidRPr="001C1A91">
          <w:rPr>
            <w:rStyle w:val="Hyperlink"/>
            <w:lang w:val="en-US"/>
          </w:rPr>
          <w:t>, Bericht im Rahmen des FoP3-IV: Evaluation Assistenzbeitrag 2012–2019 [Report in the context of FoP3-IV: Evaluation assistance contribution 2012-2019], Final Report, September 2020</w:t>
        </w:r>
      </w:hyperlink>
      <w:r w:rsidRPr="001C1A91">
        <w:rPr>
          <w:lang w:val="en-US"/>
        </w:rPr>
        <w:t xml:space="preserve">, pp. </w:t>
      </w:r>
      <w:r w:rsidRPr="00104AEE">
        <w:t>III – VIII, p. 8.</w:t>
      </w:r>
    </w:p>
  </w:footnote>
  <w:footnote w:id="168">
    <w:p w14:paraId="4FA6A791" w14:textId="7389B676" w:rsidR="00D739C9" w:rsidRPr="001C1A91" w:rsidRDefault="00D739C9" w:rsidP="0002338D">
      <w:pPr>
        <w:pStyle w:val="Fussnote"/>
        <w:rPr>
          <w:lang w:val="en-US"/>
        </w:rPr>
      </w:pPr>
      <w:r w:rsidRPr="00527230">
        <w:rPr>
          <w:rStyle w:val="FootnoteReference"/>
        </w:rPr>
        <w:footnoteRef/>
      </w:r>
      <w:r w:rsidRPr="00527230">
        <w:t xml:space="preserve"> The Lohr Initiative of 14.3.2012 is intended to change this; see </w:t>
      </w:r>
      <w:hyperlink r:id="rId121" w:history="1">
        <w:r w:rsidRPr="00527230">
          <w:rPr>
            <w:rStyle w:val="Hyperlink"/>
            <w:lang w:val="de-DE"/>
          </w:rPr>
          <w:t>Entschädigung von Hilfeleistungen von Angehörigen im Rahmen des Assistenzbeitrages</w:t>
        </w:r>
      </w:hyperlink>
      <w:r w:rsidRPr="00527230">
        <w:t xml:space="preserve">. </w:t>
      </w:r>
      <w:r w:rsidRPr="001C1A91">
        <w:rPr>
          <w:lang w:val="en-US"/>
        </w:rPr>
        <w:t xml:space="preserve">A draft bill is to be prepared within the next two years. </w:t>
      </w:r>
    </w:p>
  </w:footnote>
  <w:footnote w:id="169">
    <w:p w14:paraId="47774403" w14:textId="77777777" w:rsidR="00D739C9" w:rsidRPr="001C1A91" w:rsidRDefault="00D739C9" w:rsidP="0002338D">
      <w:pPr>
        <w:pStyle w:val="Fussnote"/>
        <w:rPr>
          <w:lang w:val="en-US"/>
        </w:rPr>
      </w:pPr>
      <w:r w:rsidRPr="00527230">
        <w:rPr>
          <w:rStyle w:val="FootnoteReference"/>
        </w:rPr>
        <w:footnoteRef/>
      </w:r>
      <w:r w:rsidRPr="001C1A91">
        <w:rPr>
          <w:lang w:val="en-US"/>
        </w:rPr>
        <w:t xml:space="preserve"> For example, a person having a visual impairment acquired in old age must pay out of pocket for their mobility training.</w:t>
      </w:r>
    </w:p>
  </w:footnote>
  <w:footnote w:id="170">
    <w:p w14:paraId="4578F4DE" w14:textId="77777777" w:rsidR="00D739C9" w:rsidRPr="00FF0E19" w:rsidRDefault="00D739C9" w:rsidP="0002338D">
      <w:pPr>
        <w:pStyle w:val="Fussnote"/>
        <w:rPr>
          <w:lang w:val="en-US"/>
        </w:rPr>
      </w:pPr>
      <w:r w:rsidRPr="00FF0E19">
        <w:rPr>
          <w:rStyle w:val="FootnoteReference"/>
        </w:rPr>
        <w:footnoteRef/>
      </w:r>
      <w:r w:rsidRPr="00FF0E19">
        <w:rPr>
          <w:lang w:val="en-US"/>
        </w:rPr>
        <w:t xml:space="preserve"> Bestandesaufnahme Wohnangebot [Survey of housing options] (fn. 154), Section VIII.</w:t>
      </w:r>
    </w:p>
  </w:footnote>
  <w:footnote w:id="171">
    <w:p w14:paraId="4C56B0F4" w14:textId="2F4B41AF" w:rsidR="00D739C9" w:rsidRPr="00FF0E19" w:rsidRDefault="00D739C9" w:rsidP="0002338D">
      <w:pPr>
        <w:pStyle w:val="Fussnote"/>
        <w:rPr>
          <w:lang w:val="en-US"/>
        </w:rPr>
      </w:pPr>
      <w:r w:rsidRPr="00FF0E19">
        <w:rPr>
          <w:rStyle w:val="FootnoteReference"/>
        </w:rPr>
        <w:footnoteRef/>
      </w:r>
      <w:r w:rsidRPr="00FF0E19">
        <w:rPr>
          <w:lang w:val="en-US"/>
        </w:rPr>
        <w:t xml:space="preserve"> See the associations </w:t>
      </w:r>
      <w:hyperlink r:id="rId122" w:history="1">
        <w:r w:rsidRPr="00FF0E19">
          <w:rPr>
            <w:rStyle w:val="Hyperlink"/>
            <w:lang w:val="en-US"/>
          </w:rPr>
          <w:t>InVIEdual</w:t>
        </w:r>
      </w:hyperlink>
      <w:r w:rsidRPr="00FF0E19">
        <w:rPr>
          <w:lang w:val="en-US"/>
        </w:rPr>
        <w:t xml:space="preserve"> and </w:t>
      </w:r>
      <w:hyperlink r:id="rId123" w:history="1">
        <w:r w:rsidRPr="00FF0E19">
          <w:rPr>
            <w:rStyle w:val="Hyperlink"/>
            <w:lang w:val="en-US"/>
          </w:rPr>
          <w:t>Tatkraft</w:t>
        </w:r>
      </w:hyperlink>
      <w:r w:rsidRPr="00FF0E19">
        <w:rPr>
          <w:lang w:val="en-US"/>
        </w:rPr>
        <w:t xml:space="preserve">. The latter plans to launch a public initiative for a significant expansion of </w:t>
      </w:r>
      <w:r>
        <w:rPr>
          <w:lang w:val="en-US"/>
        </w:rPr>
        <w:t xml:space="preserve">personal </w:t>
      </w:r>
      <w:r w:rsidRPr="00FF0E19">
        <w:rPr>
          <w:lang w:val="en-US"/>
        </w:rPr>
        <w:t>assistance.</w:t>
      </w:r>
    </w:p>
  </w:footnote>
  <w:footnote w:id="172">
    <w:p w14:paraId="3D0BDDFA" w14:textId="7523A998" w:rsidR="00D739C9" w:rsidRPr="00527230" w:rsidRDefault="00D739C9" w:rsidP="0002338D">
      <w:pPr>
        <w:pStyle w:val="Fussnote"/>
      </w:pPr>
      <w:r w:rsidRPr="00FF0E19">
        <w:rPr>
          <w:rStyle w:val="FootnoteReference"/>
        </w:rPr>
        <w:footnoteRef/>
      </w:r>
      <w:r w:rsidRPr="00FF0E19">
        <w:t xml:space="preserve"> </w:t>
      </w:r>
      <w:hyperlink r:id="rId124" w:history="1">
        <w:r w:rsidRPr="00FF0E19">
          <w:rPr>
            <w:rStyle w:val="Hyperlink"/>
            <w:smallCaps/>
          </w:rPr>
          <w:t>Comparis</w:t>
        </w:r>
        <w:r w:rsidRPr="00FF0E19">
          <w:rPr>
            <w:rStyle w:val="Hyperlink"/>
          </w:rPr>
          <w:t>, Kaum eine Stadtwohnung ist rollstuhlgängig, 27.7.2017</w:t>
        </w:r>
      </w:hyperlink>
      <w:r w:rsidRPr="00527230">
        <w:t>.</w:t>
      </w:r>
    </w:p>
  </w:footnote>
  <w:footnote w:id="173">
    <w:p w14:paraId="3C8E4506" w14:textId="742E0FF2" w:rsidR="00D739C9" w:rsidRPr="001C1A91" w:rsidRDefault="00D739C9" w:rsidP="0002338D">
      <w:pPr>
        <w:pStyle w:val="Fussnote"/>
        <w:rPr>
          <w:lang w:val="en-US"/>
        </w:rPr>
      </w:pPr>
      <w:r w:rsidRPr="00527230">
        <w:rPr>
          <w:rStyle w:val="FootnoteReference"/>
        </w:rPr>
        <w:footnoteRef/>
      </w:r>
      <w:r w:rsidRPr="001C1A91">
        <w:rPr>
          <w:lang w:val="en-US"/>
        </w:rPr>
        <w:t xml:space="preserve"> To be inferred from the Survey of housing options</w:t>
      </w:r>
      <w:r w:rsidRPr="004413D0">
        <w:rPr>
          <w:lang w:val="en-US"/>
        </w:rPr>
        <w:t>, Tables Z, 1, 4 and 5, as</w:t>
      </w:r>
      <w:r w:rsidRPr="001C1A91">
        <w:rPr>
          <w:lang w:val="en-US"/>
        </w:rPr>
        <w:t xml:space="preserve"> well as </w:t>
      </w:r>
      <w:hyperlink r:id="rId125" w:history="1">
        <w:r w:rsidRPr="001C1A91">
          <w:rPr>
            <w:rStyle w:val="Hyperlink"/>
            <w:lang w:val="en-US"/>
          </w:rPr>
          <w:t>BFS, Anzahl Menschen mit Behinderungen 2015</w:t>
        </w:r>
      </w:hyperlink>
      <w:r w:rsidRPr="001C1A91">
        <w:rPr>
          <w:lang w:val="en-US"/>
        </w:rPr>
        <w:t>. The data also shows the increase in the number of PWD living in institutions between 2007 and 2015.</w:t>
      </w:r>
    </w:p>
  </w:footnote>
  <w:footnote w:id="174">
    <w:p w14:paraId="38FAD823" w14:textId="2626AE20" w:rsidR="00D739C9" w:rsidRPr="00527230" w:rsidRDefault="00D739C9" w:rsidP="0002338D">
      <w:pPr>
        <w:pStyle w:val="Fussnote"/>
      </w:pPr>
      <w:r w:rsidRPr="00527230">
        <w:rPr>
          <w:rStyle w:val="FootnoteReference"/>
        </w:rPr>
        <w:footnoteRef/>
      </w:r>
      <w:r w:rsidRPr="00527230">
        <w:t xml:space="preserve"> See </w:t>
      </w:r>
      <w:hyperlink r:id="rId126" w:history="1">
        <w:r w:rsidRPr="00527230">
          <w:rPr>
            <w:rStyle w:val="Hyperlink"/>
          </w:rPr>
          <w:t>BFS, 5% der Kinder leben mit einer Behinderung, 1% ist stark eingeschränkt, 2.12.2019</w:t>
        </w:r>
      </w:hyperlink>
      <w:r w:rsidRPr="00527230">
        <w:t xml:space="preserve">. </w:t>
      </w:r>
    </w:p>
  </w:footnote>
  <w:footnote w:id="175">
    <w:p w14:paraId="0A429235" w14:textId="77777777" w:rsidR="00D739C9" w:rsidRPr="001C1A91" w:rsidRDefault="00D739C9" w:rsidP="0002338D">
      <w:pPr>
        <w:pStyle w:val="Fussnote"/>
        <w:rPr>
          <w:lang w:val="en-US"/>
        </w:rPr>
      </w:pPr>
      <w:r w:rsidRPr="00527230">
        <w:rPr>
          <w:rStyle w:val="FootnoteReference"/>
        </w:rPr>
        <w:footnoteRef/>
      </w:r>
      <w:r w:rsidRPr="001C1A91">
        <w:rPr>
          <w:lang w:val="en-US"/>
        </w:rPr>
        <w:t xml:space="preserve"> In absolute figures: 24,732 vs. 23,780 persons; see Survey of housing options, p. V.</w:t>
      </w:r>
    </w:p>
  </w:footnote>
  <w:footnote w:id="176">
    <w:p w14:paraId="36EFA66A" w14:textId="77777777" w:rsidR="00D739C9" w:rsidRPr="001C1A91" w:rsidRDefault="00D739C9" w:rsidP="0002338D">
      <w:pPr>
        <w:pStyle w:val="Fussnote"/>
        <w:rPr>
          <w:lang w:val="en-US"/>
        </w:rPr>
      </w:pPr>
      <w:r w:rsidRPr="00527230">
        <w:rPr>
          <w:rStyle w:val="FootnoteReference"/>
        </w:rPr>
        <w:footnoteRef/>
      </w:r>
      <w:r w:rsidRPr="001C1A91">
        <w:rPr>
          <w:lang w:val="en-US"/>
        </w:rPr>
        <w:t xml:space="preserve"> An increase of 4.8% versus 20.5%; see Survey of housing options, p. V.</w:t>
      </w:r>
    </w:p>
  </w:footnote>
  <w:footnote w:id="177">
    <w:p w14:paraId="22CFFBF6" w14:textId="77777777" w:rsidR="00D739C9" w:rsidRPr="001C1A91" w:rsidRDefault="00D739C9" w:rsidP="0002338D">
      <w:pPr>
        <w:pStyle w:val="Fussnote"/>
        <w:rPr>
          <w:lang w:val="en-US"/>
        </w:rPr>
      </w:pPr>
      <w:r w:rsidRPr="00527230">
        <w:rPr>
          <w:rStyle w:val="FootnoteReference"/>
        </w:rPr>
        <w:footnoteRef/>
      </w:r>
      <w:r w:rsidRPr="001C1A91">
        <w:rPr>
          <w:lang w:val="en-US"/>
        </w:rPr>
        <w:t xml:space="preserve"> Survey of housing options, p. 49.</w:t>
      </w:r>
    </w:p>
  </w:footnote>
  <w:footnote w:id="178">
    <w:p w14:paraId="2001E2D6" w14:textId="77777777" w:rsidR="00D739C9" w:rsidRPr="001C1A91" w:rsidRDefault="00D739C9" w:rsidP="0002338D">
      <w:pPr>
        <w:pStyle w:val="Fussnote"/>
        <w:rPr>
          <w:lang w:val="en-US"/>
        </w:rPr>
      </w:pPr>
      <w:r w:rsidRPr="00527230">
        <w:rPr>
          <w:rStyle w:val="FootnoteReference"/>
        </w:rPr>
        <w:footnoteRef/>
      </w:r>
      <w:r w:rsidRPr="001C1A91">
        <w:rPr>
          <w:lang w:val="en-US"/>
        </w:rPr>
        <w:t xml:space="preserve"> Survey of housing options, p. VII.</w:t>
      </w:r>
    </w:p>
  </w:footnote>
  <w:footnote w:id="179">
    <w:p w14:paraId="564D640E" w14:textId="34F2DB2A" w:rsidR="00D739C9" w:rsidRPr="00104AEE" w:rsidRDefault="00D739C9" w:rsidP="007D0141">
      <w:pPr>
        <w:pStyle w:val="Fussnote"/>
        <w:rPr>
          <w:lang w:val="en-US"/>
        </w:rPr>
      </w:pPr>
      <w:r w:rsidRPr="00527230">
        <w:rPr>
          <w:rStyle w:val="FootnoteReference"/>
        </w:rPr>
        <w:footnoteRef/>
      </w:r>
      <w:r w:rsidRPr="00104AEE">
        <w:rPr>
          <w:lang w:val="en-US"/>
        </w:rPr>
        <w:t xml:space="preserve"> See also </w:t>
      </w:r>
      <w:hyperlink r:id="rId127" w:history="1">
        <w:r w:rsidRPr="00527230">
          <w:rPr>
            <w:rStyle w:val="Hyperlink"/>
            <w:lang w:val="en-US"/>
          </w:rPr>
          <w:t>Andrey's question of 16.3.2021</w:t>
        </w:r>
      </w:hyperlink>
      <w:r w:rsidRPr="00104AEE">
        <w:rPr>
          <w:lang w:val="en-US"/>
        </w:rPr>
        <w:t>.</w:t>
      </w:r>
    </w:p>
  </w:footnote>
  <w:footnote w:id="180">
    <w:p w14:paraId="72045E60" w14:textId="2692E4B6" w:rsidR="00D739C9" w:rsidRPr="00104AEE" w:rsidRDefault="00D739C9" w:rsidP="007D0141">
      <w:pPr>
        <w:pStyle w:val="Fussnote"/>
        <w:rPr>
          <w:lang w:val="en-US"/>
        </w:rPr>
      </w:pPr>
      <w:r w:rsidRPr="00527230">
        <w:rPr>
          <w:rStyle w:val="FootnoteReference"/>
        </w:rPr>
        <w:footnoteRef/>
      </w:r>
      <w:r w:rsidRPr="00104AEE">
        <w:rPr>
          <w:lang w:val="en-US"/>
        </w:rPr>
        <w:t xml:space="preserve"> </w:t>
      </w:r>
      <w:hyperlink r:id="rId128" w:history="1">
        <w:r w:rsidRPr="00527230">
          <w:rPr>
            <w:rStyle w:val="Hyperlink"/>
            <w:lang w:val="en-US"/>
          </w:rPr>
          <w:t>FBED, Focus E-Accessibility</w:t>
        </w:r>
      </w:hyperlink>
      <w:r w:rsidRPr="00104AEE">
        <w:rPr>
          <w:lang w:val="en-US"/>
        </w:rPr>
        <w:t xml:space="preserve"> as well as the opinion of the Federal Council on Andrey's question of 12.5.2021 (fn. </w:t>
      </w:r>
      <w:r w:rsidRPr="00527230">
        <w:fldChar w:fldCharType="begin"/>
      </w:r>
      <w:r w:rsidRPr="00104AEE">
        <w:rPr>
          <w:lang w:val="en-US"/>
        </w:rPr>
        <w:instrText xml:space="preserve"> NOTEREF _Ref94458014 \h  \* MERGEFORMAT </w:instrText>
      </w:r>
      <w:r w:rsidRPr="00527230">
        <w:fldChar w:fldCharType="separate"/>
      </w:r>
      <w:r>
        <w:rPr>
          <w:lang w:val="en-US"/>
        </w:rPr>
        <w:t>179</w:t>
      </w:r>
      <w:r w:rsidRPr="00527230">
        <w:fldChar w:fldCharType="end"/>
      </w:r>
      <w:r w:rsidRPr="00104AEE">
        <w:rPr>
          <w:lang w:val="en-US"/>
        </w:rPr>
        <w:t xml:space="preserve">), with reference to the </w:t>
      </w:r>
      <w:hyperlink r:id="rId129" w:history="1">
        <w:r w:rsidRPr="00527230">
          <w:rPr>
            <w:rStyle w:val="Hyperlink"/>
            <w:lang w:val="en-US"/>
          </w:rPr>
          <w:t>eCH Standard 0059 for Internet accessibility</w:t>
        </w:r>
      </w:hyperlink>
      <w:r w:rsidRPr="00104AEE">
        <w:rPr>
          <w:lang w:val="en-US"/>
        </w:rPr>
        <w:t xml:space="preserve"> eCH association adopted on 25.6.2020, which is addressed to the authorities, and now provides for periodic monitoring of the accessibility of federal, cantonal and municipal websites (Section 3). </w:t>
      </w:r>
    </w:p>
  </w:footnote>
  <w:footnote w:id="181">
    <w:p w14:paraId="2CA57B4B" w14:textId="4CD7B009" w:rsidR="00D739C9" w:rsidRPr="00527230" w:rsidRDefault="00D739C9" w:rsidP="007D0141">
      <w:pPr>
        <w:pStyle w:val="Fussnote"/>
      </w:pPr>
      <w:r w:rsidRPr="00527230">
        <w:rPr>
          <w:rStyle w:val="FootnoteReference"/>
        </w:rPr>
        <w:footnoteRef/>
      </w:r>
      <w:r w:rsidRPr="00527230">
        <w:t xml:space="preserve"> </w:t>
      </w:r>
      <w:hyperlink r:id="rId130" w:history="1">
        <w:r w:rsidRPr="00527230">
          <w:rPr>
            <w:rStyle w:val="Hyperlink"/>
            <w:smallCaps/>
          </w:rPr>
          <w:t>Dungga Angelina/Weissenfeld Katinka</w:t>
        </w:r>
        <w:r w:rsidRPr="00527230">
          <w:rPr>
            <w:rStyle w:val="Hyperlink"/>
          </w:rPr>
          <w:t>, Evaluationsbericht Aktionsplan E-Accessibility 2015-2017, of 30.6.2018</w:t>
        </w:r>
      </w:hyperlink>
      <w:r w:rsidRPr="00527230">
        <w:t>, p. 4.</w:t>
      </w:r>
    </w:p>
  </w:footnote>
  <w:footnote w:id="182">
    <w:p w14:paraId="6377ADCE" w14:textId="411C9CD0" w:rsidR="00D739C9" w:rsidRPr="008823EA" w:rsidRDefault="00D739C9" w:rsidP="007D0141">
      <w:pPr>
        <w:pStyle w:val="Fussnote"/>
        <w:rPr>
          <w:lang w:val="en-US"/>
        </w:rPr>
      </w:pPr>
      <w:r w:rsidRPr="00527230">
        <w:rPr>
          <w:rStyle w:val="FootnoteReference"/>
        </w:rPr>
        <w:footnoteRef/>
      </w:r>
      <w:r w:rsidRPr="00104AEE">
        <w:rPr>
          <w:lang w:val="en-US"/>
        </w:rPr>
        <w:t xml:space="preserve"> See Article 9 CRPD, p. </w:t>
      </w:r>
      <w:r>
        <w:rPr>
          <w:lang w:val="en-US"/>
        </w:rPr>
        <w:fldChar w:fldCharType="begin"/>
      </w:r>
      <w:r>
        <w:rPr>
          <w:lang w:val="en-US"/>
        </w:rPr>
        <w:instrText xml:space="preserve"> PAGEREF _Ref95643090 \h </w:instrText>
      </w:r>
      <w:r>
        <w:rPr>
          <w:lang w:val="en-US"/>
        </w:rPr>
      </w:r>
      <w:r>
        <w:rPr>
          <w:lang w:val="en-US"/>
        </w:rPr>
        <w:fldChar w:fldCharType="separate"/>
      </w:r>
      <w:r>
        <w:rPr>
          <w:noProof/>
          <w:lang w:val="en-US"/>
        </w:rPr>
        <w:t>15</w:t>
      </w:r>
      <w:r>
        <w:rPr>
          <w:lang w:val="en-US"/>
        </w:rPr>
        <w:fldChar w:fldCharType="end"/>
      </w:r>
      <w:r>
        <w:rPr>
          <w:lang w:val="en-US"/>
        </w:rPr>
        <w:t xml:space="preserve"> </w:t>
      </w:r>
      <w:r w:rsidRPr="008823EA">
        <w:rPr>
          <w:lang w:val="en-US"/>
        </w:rPr>
        <w:t>ff.</w:t>
      </w:r>
    </w:p>
  </w:footnote>
  <w:footnote w:id="183">
    <w:p w14:paraId="0153B592" w14:textId="47FAEBAE" w:rsidR="00D739C9" w:rsidRPr="00104AEE" w:rsidRDefault="00D739C9" w:rsidP="007D0141">
      <w:pPr>
        <w:pStyle w:val="Fussnote"/>
        <w:rPr>
          <w:lang w:val="en-US"/>
        </w:rPr>
      </w:pPr>
      <w:r w:rsidRPr="00527230">
        <w:rPr>
          <w:rStyle w:val="FootnoteReference"/>
        </w:rPr>
        <w:footnoteRef/>
      </w:r>
      <w:r w:rsidRPr="00104AEE">
        <w:rPr>
          <w:lang w:val="en-US"/>
        </w:rPr>
        <w:t xml:space="preserve"> Exceptions to date are the cantons of Basel-Stadt (Section 6 BRG [fn.</w:t>
      </w:r>
      <w:r>
        <w:rPr>
          <w:lang w:val="en-US"/>
        </w:rPr>
        <w:t xml:space="preserve"> </w:t>
      </w:r>
      <w:r>
        <w:rPr>
          <w:lang w:val="en-US"/>
        </w:rPr>
        <w:fldChar w:fldCharType="begin"/>
      </w:r>
      <w:r>
        <w:rPr>
          <w:lang w:val="en-US"/>
        </w:rPr>
        <w:instrText xml:space="preserve"> NOTEREF _Ref95643117 \h </w:instrText>
      </w:r>
      <w:r>
        <w:rPr>
          <w:lang w:val="en-US"/>
        </w:rPr>
      </w:r>
      <w:r>
        <w:rPr>
          <w:lang w:val="en-US"/>
        </w:rPr>
        <w:fldChar w:fldCharType="separate"/>
      </w:r>
      <w:r>
        <w:rPr>
          <w:lang w:val="en-US"/>
        </w:rPr>
        <w:t>6</w:t>
      </w:r>
      <w:r>
        <w:rPr>
          <w:lang w:val="en-US"/>
        </w:rPr>
        <w:fldChar w:fldCharType="end"/>
      </w:r>
      <w:r w:rsidRPr="008823EA">
        <w:rPr>
          <w:lang w:val="en-US"/>
        </w:rPr>
        <w:t>]), Valais (Article 35c GRIMB [fn.</w:t>
      </w:r>
      <w:r>
        <w:rPr>
          <w:lang w:val="en-US"/>
        </w:rPr>
        <w:t xml:space="preserve"> </w:t>
      </w:r>
      <w:r>
        <w:rPr>
          <w:lang w:val="en-US"/>
        </w:rPr>
        <w:fldChar w:fldCharType="begin"/>
      </w:r>
      <w:r>
        <w:rPr>
          <w:lang w:val="en-US"/>
        </w:rPr>
        <w:instrText xml:space="preserve"> NOTEREF _Ref95643132 \h </w:instrText>
      </w:r>
      <w:r>
        <w:rPr>
          <w:lang w:val="en-US"/>
        </w:rPr>
      </w:r>
      <w:r>
        <w:rPr>
          <w:lang w:val="en-US"/>
        </w:rPr>
        <w:fldChar w:fldCharType="separate"/>
      </w:r>
      <w:r>
        <w:rPr>
          <w:lang w:val="en-US"/>
        </w:rPr>
        <w:t>7</w:t>
      </w:r>
      <w:r>
        <w:rPr>
          <w:lang w:val="en-US"/>
        </w:rPr>
        <w:fldChar w:fldCharType="end"/>
      </w:r>
      <w:r w:rsidRPr="00104AEE">
        <w:rPr>
          <w:lang w:val="en-US"/>
        </w:rPr>
        <w:t>]) and Geneva (Article 16 paras. 12 and 3 KV/GE).</w:t>
      </w:r>
    </w:p>
  </w:footnote>
  <w:footnote w:id="184">
    <w:p w14:paraId="477C85A2" w14:textId="77777777" w:rsidR="00D739C9" w:rsidRPr="00104AEE" w:rsidRDefault="00D739C9" w:rsidP="007D0141">
      <w:pPr>
        <w:pStyle w:val="Fussnote"/>
        <w:rPr>
          <w:lang w:val="en-US"/>
        </w:rPr>
      </w:pPr>
      <w:r w:rsidRPr="00527230">
        <w:rPr>
          <w:rStyle w:val="FootnoteReference"/>
        </w:rPr>
        <w:footnoteRef/>
      </w:r>
      <w:r w:rsidRPr="00104AEE">
        <w:rPr>
          <w:lang w:val="en-US"/>
        </w:rPr>
        <w:t xml:space="preserve"> For example, data on income and financial circumstances, housing situation and health.</w:t>
      </w:r>
    </w:p>
  </w:footnote>
  <w:footnote w:id="185">
    <w:p w14:paraId="0F1F846D" w14:textId="39406FD2" w:rsidR="00D739C9" w:rsidRPr="00104AEE" w:rsidRDefault="00D739C9" w:rsidP="007D0141">
      <w:pPr>
        <w:pStyle w:val="Fussnote"/>
        <w:rPr>
          <w:lang w:val="en-US"/>
        </w:rPr>
      </w:pPr>
      <w:r w:rsidRPr="00527230">
        <w:rPr>
          <w:rStyle w:val="FootnoteReference"/>
        </w:rPr>
        <w:footnoteRef/>
      </w:r>
      <w:r w:rsidRPr="00104AEE">
        <w:rPr>
          <w:lang w:val="en-US"/>
        </w:rPr>
        <w:t xml:space="preserve"> This is denied by Switzerland, </w:t>
      </w:r>
      <w:r>
        <w:rPr>
          <w:lang w:val="en-US"/>
        </w:rPr>
        <w:t>ISR</w:t>
      </w:r>
      <w:r w:rsidRPr="00104AEE">
        <w:rPr>
          <w:lang w:val="en-US"/>
        </w:rPr>
        <w:t>, para. 120 ff.</w:t>
      </w:r>
    </w:p>
  </w:footnote>
  <w:footnote w:id="186">
    <w:p w14:paraId="472804A4" w14:textId="1D8B8AFB" w:rsidR="00D739C9" w:rsidRPr="00104AEE" w:rsidRDefault="00D739C9" w:rsidP="007D0141">
      <w:pPr>
        <w:pStyle w:val="Fussnote"/>
        <w:rPr>
          <w:lang w:val="en-US"/>
        </w:rPr>
      </w:pPr>
      <w:r w:rsidRPr="00527230">
        <w:rPr>
          <w:rStyle w:val="FootnoteReference"/>
        </w:rPr>
        <w:footnoteRef/>
      </w:r>
      <w:r w:rsidRPr="00104AEE">
        <w:rPr>
          <w:lang w:val="en-US"/>
        </w:rPr>
        <w:t xml:space="preserve"> </w:t>
      </w:r>
      <w:r w:rsidRPr="00F342C8">
        <w:rPr>
          <w:rStyle w:val="Strong"/>
          <w:rFonts w:eastAsia="MS Gothic"/>
          <w:b w:val="0"/>
          <w:lang w:val="en-US"/>
        </w:rPr>
        <w:t xml:space="preserve">Thus, for example, in the application procedure for early </w:t>
      </w:r>
      <w:r w:rsidR="00770D23">
        <w:rPr>
          <w:rStyle w:val="Strong"/>
          <w:rFonts w:eastAsia="MS Gothic"/>
          <w:b w:val="0"/>
          <w:lang w:val="en-US"/>
        </w:rPr>
        <w:t>special</w:t>
      </w:r>
      <w:r w:rsidRPr="00F342C8">
        <w:rPr>
          <w:rStyle w:val="Strong"/>
          <w:rFonts w:eastAsia="MS Gothic"/>
          <w:b w:val="0"/>
          <w:lang w:val="en-US"/>
        </w:rPr>
        <w:t xml:space="preserve"> education measures in the Canton of Zurich, personal data is collected that goes far beyond what is necessary to provide information in order to verify entitlement. </w:t>
      </w:r>
      <w:r w:rsidRPr="00F342C8">
        <w:rPr>
          <w:lang w:val="en-US"/>
        </w:rPr>
        <w:t>I</w:t>
      </w:r>
      <w:r w:rsidRPr="005E7C0E">
        <w:rPr>
          <w:lang w:val="en-US"/>
        </w:rPr>
        <w:t>n the specific case, the information provided to the data subjects about the further</w:t>
      </w:r>
      <w:r w:rsidRPr="00104AEE">
        <w:rPr>
          <w:lang w:val="en-US"/>
        </w:rPr>
        <w:t xml:space="preserve"> use of their data in the context of a research project was also insufficient.</w:t>
      </w:r>
    </w:p>
  </w:footnote>
  <w:footnote w:id="187">
    <w:p w14:paraId="25C16494" w14:textId="34105BC1" w:rsidR="00D739C9" w:rsidRPr="00104AEE" w:rsidRDefault="00D739C9" w:rsidP="007D0141">
      <w:pPr>
        <w:pStyle w:val="Fussnote"/>
        <w:rPr>
          <w:lang w:val="en-US"/>
        </w:rPr>
      </w:pPr>
      <w:r w:rsidRPr="00527230">
        <w:rPr>
          <w:rStyle w:val="FootnoteReference"/>
        </w:rPr>
        <w:footnoteRef/>
      </w:r>
      <w:r w:rsidRPr="00104AEE">
        <w:rPr>
          <w:lang w:val="en-US"/>
        </w:rPr>
        <w:t xml:space="preserve"> Since 1.1.2018: Article 42ter(3) InvIA: Increase in the supplementary intensive care benefit for the care of children in severe need of care, Article 42sexies(1)(a) InvIA: no deduction of the intensive care benefit when calculating the assistance contribution. Since 1.1.2021 Article 42bis(4) InvIA: Continued payment of the helplessness allowance and the supplementary intensive care benefit for minors during hospitalisation. Since 1.7.2021: Article 16n ff</w:t>
      </w:r>
      <w:r w:rsidRPr="00F342C8">
        <w:rPr>
          <w:lang w:val="en-US"/>
        </w:rPr>
        <w:t>. LECA and</w:t>
      </w:r>
      <w:r w:rsidRPr="00104AEE">
        <w:rPr>
          <w:lang w:val="en-US"/>
        </w:rPr>
        <w:t xml:space="preserve"> Article 329i CO: Carer</w:t>
      </w:r>
      <w:r>
        <w:rPr>
          <w:lang w:val="en-US"/>
        </w:rPr>
        <w:t>’</w:t>
      </w:r>
      <w:r w:rsidRPr="00104AEE">
        <w:rPr>
          <w:lang w:val="en-US"/>
        </w:rPr>
        <w:t>s leave for parents.</w:t>
      </w:r>
    </w:p>
  </w:footnote>
  <w:footnote w:id="188">
    <w:p w14:paraId="073C57B6" w14:textId="7FD84AF1" w:rsidR="00D739C9" w:rsidRPr="00104AEE" w:rsidRDefault="00D739C9" w:rsidP="007D0141">
      <w:pPr>
        <w:pStyle w:val="Fussnote"/>
        <w:rPr>
          <w:lang w:val="en-US"/>
        </w:rPr>
      </w:pPr>
      <w:r w:rsidRPr="00527230">
        <w:rPr>
          <w:rStyle w:val="FootnoteReference"/>
        </w:rPr>
        <w:footnoteRef/>
      </w:r>
      <w:r w:rsidRPr="00104AEE">
        <w:rPr>
          <w:lang w:val="en-US"/>
        </w:rPr>
        <w:t xml:space="preserve"> </w:t>
      </w:r>
      <w:hyperlink r:id="rId131" w:history="1">
        <w:r w:rsidRPr="001C1A91">
          <w:rPr>
            <w:rStyle w:val="Hyperlink"/>
            <w:lang w:val="en-US"/>
          </w:rPr>
          <w:t>Inclusion Handicap, Handicap und Recht, "Erhöhung des Intensivpflegezuschlags der IV ab 2018" [Disability and Law, "Increase of the IV supplementary care benefit starting from 2018"], 10.10.2017</w:t>
        </w:r>
      </w:hyperlink>
      <w:r w:rsidRPr="00104AEE">
        <w:rPr>
          <w:lang w:val="en-US"/>
        </w:rPr>
        <w:t xml:space="preserve">, </w:t>
      </w:r>
      <w:hyperlink r:id="rId132" w:history="1">
        <w:r w:rsidRPr="001C1A91">
          <w:rPr>
            <w:rStyle w:val="Hyperlink"/>
            <w:lang w:val="en-US"/>
          </w:rPr>
          <w:t>Press release of Inclusion Handicap, 4.12.2019</w:t>
        </w:r>
      </w:hyperlink>
      <w:r w:rsidRPr="00104AEE">
        <w:rPr>
          <w:lang w:val="en-US"/>
        </w:rPr>
        <w:t>.</w:t>
      </w:r>
    </w:p>
  </w:footnote>
  <w:footnote w:id="189">
    <w:p w14:paraId="30FDA1B5" w14:textId="27BFF2F1" w:rsidR="00D739C9" w:rsidRPr="00104AEE" w:rsidRDefault="00D739C9" w:rsidP="007D0141">
      <w:pPr>
        <w:pStyle w:val="Fussnote"/>
        <w:rPr>
          <w:lang w:val="en-US"/>
        </w:rPr>
      </w:pPr>
      <w:r w:rsidRPr="00527230">
        <w:rPr>
          <w:rStyle w:val="FootnoteReference"/>
        </w:rPr>
        <w:footnoteRef/>
      </w:r>
      <w:r w:rsidRPr="001C1A91">
        <w:rPr>
          <w:rStyle w:val="FootnoteReference"/>
          <w:lang w:val="en-US"/>
        </w:rPr>
        <w:t xml:space="preserve"> </w:t>
      </w:r>
      <w:r w:rsidRPr="00104AEE">
        <w:rPr>
          <w:lang w:val="en-US"/>
        </w:rPr>
        <w:t xml:space="preserve">In many places, services are lacking, and the funding of the additional costs is often not regulated; see the national study by Procap Switzerland: </w:t>
      </w:r>
      <w:hyperlink r:id="rId133" w:history="1">
        <w:r w:rsidRPr="001C1A91">
          <w:rPr>
            <w:rStyle w:val="Hyperlink"/>
            <w:lang w:val="en-US"/>
          </w:rPr>
          <w:t>www.procap.ch/kita</w:t>
        </w:r>
      </w:hyperlink>
      <w:r w:rsidRPr="00104AEE">
        <w:rPr>
          <w:lang w:val="en-US"/>
        </w:rPr>
        <w:t xml:space="preserve">. </w:t>
      </w:r>
    </w:p>
  </w:footnote>
  <w:footnote w:id="190">
    <w:p w14:paraId="0D316643" w14:textId="56D14CAE" w:rsidR="00D739C9" w:rsidRPr="00104AEE" w:rsidRDefault="00D739C9" w:rsidP="007D0141">
      <w:pPr>
        <w:pStyle w:val="Fussnote"/>
        <w:rPr>
          <w:lang w:val="en-US"/>
        </w:rPr>
      </w:pPr>
      <w:r w:rsidRPr="00527230">
        <w:rPr>
          <w:rStyle w:val="FootnoteReference"/>
        </w:rPr>
        <w:footnoteRef/>
      </w:r>
      <w:r w:rsidRPr="00104AEE">
        <w:rPr>
          <w:lang w:val="en-US"/>
        </w:rPr>
        <w:t xml:space="preserve"> See Article </w:t>
      </w:r>
      <w:r w:rsidRPr="00F342C8">
        <w:rPr>
          <w:lang w:val="en-US"/>
        </w:rPr>
        <w:t xml:space="preserve">25 CRPD, p. </w:t>
      </w:r>
      <w:r w:rsidRPr="00F342C8">
        <w:rPr>
          <w:lang w:val="en-US"/>
        </w:rPr>
        <w:fldChar w:fldCharType="begin"/>
      </w:r>
      <w:r w:rsidRPr="00F342C8">
        <w:rPr>
          <w:lang w:val="en-US"/>
        </w:rPr>
        <w:instrText xml:space="preserve"> PAGEREF _Ref95643309 \h </w:instrText>
      </w:r>
      <w:r w:rsidRPr="00F342C8">
        <w:rPr>
          <w:lang w:val="en-US"/>
        </w:rPr>
      </w:r>
      <w:r w:rsidRPr="00F342C8">
        <w:rPr>
          <w:lang w:val="en-US"/>
        </w:rPr>
        <w:fldChar w:fldCharType="separate"/>
      </w:r>
      <w:r>
        <w:rPr>
          <w:noProof/>
          <w:lang w:val="en-US"/>
        </w:rPr>
        <w:t>47</w:t>
      </w:r>
      <w:r w:rsidRPr="00F342C8">
        <w:rPr>
          <w:lang w:val="en-US"/>
        </w:rPr>
        <w:fldChar w:fldCharType="end"/>
      </w:r>
      <w:r w:rsidRPr="00F342C8">
        <w:rPr>
          <w:lang w:val="en-US"/>
        </w:rPr>
        <w:t xml:space="preserve"> ff.</w:t>
      </w:r>
    </w:p>
  </w:footnote>
  <w:footnote w:id="191">
    <w:p w14:paraId="3B2CD316" w14:textId="4F19A11B" w:rsidR="00D739C9" w:rsidRPr="00104AEE" w:rsidRDefault="00D739C9" w:rsidP="007D0141">
      <w:pPr>
        <w:pStyle w:val="Fussnote"/>
        <w:rPr>
          <w:lang w:val="en-US"/>
        </w:rPr>
      </w:pPr>
      <w:r w:rsidRPr="00527230">
        <w:rPr>
          <w:rStyle w:val="FootnoteReference"/>
        </w:rPr>
        <w:footnoteRef/>
      </w:r>
      <w:r w:rsidRPr="00104AEE">
        <w:rPr>
          <w:lang w:val="en-US"/>
        </w:rPr>
        <w:t xml:space="preserve"> See Article </w:t>
      </w:r>
      <w:r w:rsidRPr="00F342C8">
        <w:rPr>
          <w:lang w:val="en-US"/>
        </w:rPr>
        <w:t xml:space="preserve">19 CRPD, p. </w:t>
      </w:r>
      <w:r w:rsidRPr="00F342C8">
        <w:rPr>
          <w:lang w:val="en-US"/>
        </w:rPr>
        <w:fldChar w:fldCharType="begin"/>
      </w:r>
      <w:r w:rsidRPr="00F342C8">
        <w:rPr>
          <w:lang w:val="en-US"/>
        </w:rPr>
        <w:instrText xml:space="preserve"> PAGEREF _Ref95643338 \h </w:instrText>
      </w:r>
      <w:r w:rsidRPr="00F342C8">
        <w:rPr>
          <w:lang w:val="en-US"/>
        </w:rPr>
      </w:r>
      <w:r w:rsidRPr="00F342C8">
        <w:rPr>
          <w:lang w:val="en-US"/>
        </w:rPr>
        <w:fldChar w:fldCharType="separate"/>
      </w:r>
      <w:r>
        <w:rPr>
          <w:noProof/>
          <w:lang w:val="en-US"/>
        </w:rPr>
        <w:t>35</w:t>
      </w:r>
      <w:r w:rsidRPr="00F342C8">
        <w:rPr>
          <w:lang w:val="en-US"/>
        </w:rPr>
        <w:fldChar w:fldCharType="end"/>
      </w:r>
      <w:r>
        <w:rPr>
          <w:lang w:val="en-US"/>
        </w:rPr>
        <w:t xml:space="preserve"> ff</w:t>
      </w:r>
      <w:r w:rsidRPr="00F342C8">
        <w:rPr>
          <w:lang w:val="en-US"/>
        </w:rPr>
        <w:t>.</w:t>
      </w:r>
    </w:p>
  </w:footnote>
  <w:footnote w:id="192">
    <w:p w14:paraId="41AAB60E" w14:textId="40D56FB2" w:rsidR="00D739C9" w:rsidRPr="00104AEE" w:rsidRDefault="00D739C9" w:rsidP="007D0141">
      <w:pPr>
        <w:pStyle w:val="Fussnote"/>
        <w:rPr>
          <w:lang w:val="en-US"/>
        </w:rPr>
      </w:pPr>
      <w:r w:rsidRPr="00527230">
        <w:rPr>
          <w:rStyle w:val="FootnoteReference"/>
        </w:rPr>
        <w:footnoteRef/>
      </w:r>
      <w:r w:rsidRPr="00104AEE">
        <w:rPr>
          <w:lang w:val="en-US"/>
        </w:rPr>
        <w:t xml:space="preserve"> Some examples of a targeted and open approach to the issue are the </w:t>
      </w:r>
      <w:hyperlink r:id="rId134" w:history="1">
        <w:r w:rsidRPr="001C1A91">
          <w:rPr>
            <w:rStyle w:val="Hyperlink"/>
            <w:lang w:val="en-US"/>
          </w:rPr>
          <w:t>“airAmour”</w:t>
        </w:r>
      </w:hyperlink>
      <w:r w:rsidRPr="00104AEE">
        <w:rPr>
          <w:lang w:val="en-US"/>
        </w:rPr>
        <w:t xml:space="preserve"> of the organisation insieme, </w:t>
      </w:r>
      <w:hyperlink r:id="rId135" w:history="1">
        <w:r w:rsidRPr="001C1A91">
          <w:rPr>
            <w:rStyle w:val="Hyperlink"/>
            <w:lang w:val="en-US"/>
          </w:rPr>
          <w:t>Fachstelle Lebensräume [Habitats Unit]</w:t>
        </w:r>
      </w:hyperlink>
      <w:r w:rsidRPr="00104AEE">
        <w:rPr>
          <w:lang w:val="en-US"/>
        </w:rPr>
        <w:t xml:space="preserve"> from the Basel Forum for Disabled Persons and the </w:t>
      </w:r>
      <w:hyperlink r:id="rId136" w:history="1">
        <w:r w:rsidRPr="001C1A91">
          <w:rPr>
            <w:rStyle w:val="Hyperlink"/>
            <w:lang w:val="en-US"/>
          </w:rPr>
          <w:t>Conference on Sexuality, Family and Disability</w:t>
        </w:r>
      </w:hyperlink>
      <w:r w:rsidRPr="00104AEE">
        <w:rPr>
          <w:lang w:val="en-US"/>
        </w:rPr>
        <w:t xml:space="preserve"> organised by the FBED, the Faculty of Law of the University of Basel and Inclusion Handicap at the end of 2021.</w:t>
      </w:r>
    </w:p>
  </w:footnote>
  <w:footnote w:id="193">
    <w:p w14:paraId="4D17005E" w14:textId="77777777" w:rsidR="00D739C9" w:rsidRPr="00104AEE" w:rsidRDefault="00D739C9" w:rsidP="007D0141">
      <w:pPr>
        <w:pStyle w:val="Fussnote"/>
        <w:rPr>
          <w:lang w:val="en-US"/>
        </w:rPr>
      </w:pPr>
      <w:r w:rsidRPr="00527230">
        <w:rPr>
          <w:rStyle w:val="FootnoteReference"/>
        </w:rPr>
        <w:footnoteRef/>
      </w:r>
      <w:r w:rsidRPr="00104AEE">
        <w:rPr>
          <w:lang w:val="en-US"/>
        </w:rPr>
        <w:t xml:space="preserve"> In the event of a deterioration in the state of health, illness or accident of a family member, gainfully employed persons are only entitled to continued payment of salary from their employer for a maximum of three days per event or a maximum of ten days per year: Article 329h CO (inserted by Section II 1 of the FA of 20 Dec. 2019 on Improving the Compatibility of Employment and Caring for Family Members, in force since 1 Jan. 2021). </w:t>
      </w:r>
    </w:p>
  </w:footnote>
  <w:footnote w:id="194">
    <w:p w14:paraId="50A090C7" w14:textId="77777777" w:rsidR="00D739C9" w:rsidRPr="00104AEE" w:rsidRDefault="00D739C9" w:rsidP="007D0141">
      <w:pPr>
        <w:pStyle w:val="Fussnote"/>
        <w:rPr>
          <w:lang w:val="en-US"/>
        </w:rPr>
      </w:pPr>
      <w:r w:rsidRPr="00527230">
        <w:rPr>
          <w:rStyle w:val="FootnoteReference"/>
          <w:rFonts w:eastAsia="Times New Roman"/>
        </w:rPr>
        <w:footnoteRef/>
      </w:r>
      <w:r w:rsidRPr="00104AEE">
        <w:rPr>
          <w:lang w:val="en-US"/>
        </w:rPr>
        <w:t xml:space="preserve"> For an overview of the Swiss education system, see Common core document forming part of the reports of States parties, Switzerland, 16 June 2017, UN Doc. HRI/CORE/CHE/2017, paras. 26 – 31.</w:t>
      </w:r>
    </w:p>
  </w:footnote>
  <w:footnote w:id="195">
    <w:p w14:paraId="2367D048" w14:textId="569E7FEF" w:rsidR="00D739C9" w:rsidRPr="00104AEE" w:rsidRDefault="00D739C9" w:rsidP="007D0141">
      <w:pPr>
        <w:pStyle w:val="Fussnote"/>
        <w:rPr>
          <w:lang w:val="en-US"/>
        </w:rPr>
      </w:pPr>
      <w:r w:rsidRPr="00527230">
        <w:rPr>
          <w:rStyle w:val="FootnoteReference"/>
          <w:rFonts w:eastAsia="Times New Roman"/>
        </w:rPr>
        <w:footnoteRef/>
      </w:r>
      <w:r w:rsidRPr="00104AEE">
        <w:rPr>
          <w:lang w:val="en-US"/>
        </w:rPr>
        <w:t xml:space="preserve"> See Articles 48a(1)(i) and 62(3) Cst. and Kronenberg (fn. </w:t>
      </w:r>
      <w:r>
        <w:fldChar w:fldCharType="begin"/>
      </w:r>
      <w:r>
        <w:rPr>
          <w:lang w:val="en-US"/>
        </w:rPr>
        <w:instrText xml:space="preserve"> NOTEREF _Ref95643391 \h </w:instrText>
      </w:r>
      <w:r>
        <w:fldChar w:fldCharType="separate"/>
      </w:r>
      <w:r>
        <w:rPr>
          <w:lang w:val="en-US"/>
        </w:rPr>
        <w:t>47</w:t>
      </w:r>
      <w:r>
        <w:fldChar w:fldCharType="end"/>
      </w:r>
      <w:r w:rsidRPr="00104AEE">
        <w:rPr>
          <w:lang w:val="en-US"/>
        </w:rPr>
        <w:t>), p. 70.</w:t>
      </w:r>
    </w:p>
  </w:footnote>
  <w:footnote w:id="196">
    <w:p w14:paraId="60AE1D71" w14:textId="70A0F560" w:rsidR="00D739C9" w:rsidRPr="00104AEE" w:rsidRDefault="00D739C9" w:rsidP="007D0141">
      <w:pPr>
        <w:pStyle w:val="Fussnote"/>
        <w:rPr>
          <w:lang w:val="en-US"/>
        </w:rPr>
      </w:pPr>
      <w:r w:rsidRPr="00527230">
        <w:rPr>
          <w:rStyle w:val="FootnoteReference"/>
          <w:rFonts w:eastAsia="Times New Roman"/>
        </w:rPr>
        <w:footnoteRef/>
      </w:r>
      <w:r w:rsidRPr="00104AEE">
        <w:rPr>
          <w:lang w:val="en-US"/>
        </w:rPr>
        <w:t xml:space="preserve"> </w:t>
      </w:r>
      <w:hyperlink r:id="rId137" w:history="1">
        <w:r w:rsidRPr="00527230">
          <w:rPr>
            <w:rStyle w:val="Hyperlink"/>
            <w:rFonts w:cstheme="minorBidi"/>
            <w:lang w:val="en-US"/>
          </w:rPr>
          <w:t>Inter-cantonal Agreement on Cooperation in the Area of Special Education of 25 October 2007</w:t>
        </w:r>
      </w:hyperlink>
      <w:r w:rsidRPr="00104AEE">
        <w:rPr>
          <w:lang w:val="en-US"/>
        </w:rPr>
        <w:t xml:space="preserve">. </w:t>
      </w:r>
    </w:p>
  </w:footnote>
  <w:footnote w:id="197">
    <w:p w14:paraId="12AC563D" w14:textId="4DE13181" w:rsidR="00D739C9" w:rsidRPr="00104AEE" w:rsidRDefault="00D739C9" w:rsidP="007D0141">
      <w:pPr>
        <w:pStyle w:val="Fussnote"/>
        <w:rPr>
          <w:lang w:val="en-US"/>
        </w:rPr>
      </w:pPr>
      <w:r w:rsidRPr="00527230">
        <w:rPr>
          <w:rStyle w:val="FootnoteReference"/>
          <w:rFonts w:eastAsia="Times New Roman"/>
        </w:rPr>
        <w:footnoteRef/>
      </w:r>
      <w:r w:rsidRPr="00104AEE">
        <w:rPr>
          <w:lang w:val="en-US"/>
        </w:rPr>
        <w:t xml:space="preserve"> </w:t>
      </w:r>
      <w:hyperlink r:id="rId138" w:history="1">
        <w:r w:rsidRPr="00DF2884">
          <w:rPr>
            <w:rStyle w:val="Hyperlink"/>
            <w:lang w:val="en-US"/>
          </w:rPr>
          <w:t>Accession to the SoPädK: currently 16 cantons, from mid-2022 also Canton of Bern, development of special pedagogical policy: 25 Cantons</w:t>
        </w:r>
      </w:hyperlink>
      <w:r w:rsidRPr="00DF2884">
        <w:rPr>
          <w:rStyle w:val="Hyperlink"/>
          <w:u w:val="none"/>
          <w:lang w:val="en-US"/>
        </w:rPr>
        <w:t>. The special pedagogical policies of the cantons that have not yet joined the</w:t>
      </w:r>
      <w:r w:rsidRPr="00DF2884">
        <w:rPr>
          <w:rStyle w:val="Hyperlink"/>
          <w:lang w:val="en-US"/>
        </w:rPr>
        <w:t xml:space="preserve"> </w:t>
      </w:r>
      <w:r w:rsidRPr="00DF2884">
        <w:rPr>
          <w:lang w:val="en-US"/>
        </w:rPr>
        <w:t>SoPädK are not radically different from this one in terms of their principles.</w:t>
      </w:r>
      <w:r w:rsidRPr="00104AEE">
        <w:rPr>
          <w:lang w:val="en-US"/>
        </w:rPr>
        <w:t xml:space="preserve"> </w:t>
      </w:r>
    </w:p>
  </w:footnote>
  <w:footnote w:id="198">
    <w:p w14:paraId="787521FF" w14:textId="77777777" w:rsidR="00D739C9" w:rsidRPr="00104AEE" w:rsidRDefault="00D739C9" w:rsidP="007D0141">
      <w:pPr>
        <w:pStyle w:val="Fussnote"/>
        <w:rPr>
          <w:lang w:val="en-US"/>
        </w:rPr>
      </w:pPr>
      <w:r w:rsidRPr="00527230">
        <w:rPr>
          <w:rStyle w:val="FootnoteReference"/>
          <w:rFonts w:eastAsia="Times New Roman"/>
        </w:rPr>
        <w:footnoteRef/>
      </w:r>
      <w:r w:rsidRPr="00104AEE">
        <w:rPr>
          <w:lang w:val="en-US"/>
        </w:rPr>
        <w:t xml:space="preserve"> CRPD Committee, </w:t>
      </w:r>
      <w:bookmarkStart w:id="120" w:name="_Toc489455373"/>
      <w:r w:rsidRPr="00104AEE">
        <w:rPr>
          <w:lang w:val="en-US"/>
        </w:rPr>
        <w:t>Inquiry concerning Spain carried out by the Committee under article 6 of the Optional Protocol to the Convention</w:t>
      </w:r>
      <w:bookmarkEnd w:id="120"/>
      <w:r w:rsidRPr="00104AEE">
        <w:rPr>
          <w:lang w:val="en-US"/>
        </w:rPr>
        <w:t>, 4 June 2018, UN Doc. CRPD/C/20/3, in particular paras. 23 – 29; paras. 38 – 40.</w:t>
      </w:r>
    </w:p>
  </w:footnote>
  <w:footnote w:id="199">
    <w:p w14:paraId="40A62A8C" w14:textId="04C933ED" w:rsidR="00D739C9" w:rsidRPr="00104AEE" w:rsidRDefault="00D739C9" w:rsidP="007D0141">
      <w:pPr>
        <w:pStyle w:val="Fussnote"/>
        <w:rPr>
          <w:lang w:val="en-US"/>
        </w:rPr>
      </w:pPr>
      <w:r w:rsidRPr="00527230">
        <w:rPr>
          <w:rStyle w:val="FootnoteReference"/>
          <w:rFonts w:eastAsia="Times New Roman"/>
        </w:rPr>
        <w:footnoteRef/>
      </w:r>
      <w:r w:rsidRPr="00104AEE">
        <w:rPr>
          <w:lang w:val="en-US"/>
        </w:rPr>
        <w:t xml:space="preserve"> </w:t>
      </w:r>
      <w:r w:rsidR="00B7328B">
        <w:rPr>
          <w:lang w:val="en-US"/>
        </w:rPr>
        <w:t>S</w:t>
      </w:r>
      <w:r w:rsidRPr="00104AEE">
        <w:rPr>
          <w:lang w:val="en-US"/>
        </w:rPr>
        <w:t xml:space="preserve">ee e.g. </w:t>
      </w:r>
      <w:hyperlink r:id="rId139" w:history="1">
        <w:r w:rsidRPr="00527230">
          <w:rPr>
            <w:rStyle w:val="Hyperlink"/>
            <w:lang w:val="en-US"/>
          </w:rPr>
          <w:t>Judgement 2C_154/2017</w:t>
        </w:r>
      </w:hyperlink>
      <w:r w:rsidRPr="00104AEE">
        <w:rPr>
          <w:lang w:val="en-US"/>
        </w:rPr>
        <w:t xml:space="preserve"> of 23 May 2017 of the Federal Supreme Court. A concrete cost comparison of integrative and separate special training is scarcely carried out and, given the rigid structures and financial flows, it is probably also difficult to carry out.</w:t>
      </w:r>
    </w:p>
  </w:footnote>
  <w:footnote w:id="200">
    <w:p w14:paraId="41BB20E4" w14:textId="1E2A716D" w:rsidR="00D739C9" w:rsidRPr="00104AEE" w:rsidRDefault="00D739C9" w:rsidP="007D0141">
      <w:pPr>
        <w:pStyle w:val="Fussnote"/>
        <w:rPr>
          <w:lang w:val="en-US"/>
        </w:rPr>
      </w:pPr>
      <w:r w:rsidRPr="00527230">
        <w:rPr>
          <w:rStyle w:val="FootnoteReference"/>
          <w:rFonts w:eastAsia="Times New Roman"/>
        </w:rPr>
        <w:footnoteRef/>
      </w:r>
      <w:r w:rsidRPr="00104AEE">
        <w:rPr>
          <w:lang w:val="en-US"/>
        </w:rPr>
        <w:t xml:space="preserve"> See </w:t>
      </w:r>
      <w:r w:rsidRPr="00104AEE">
        <w:rPr>
          <w:smallCaps/>
          <w:lang w:val="en-US"/>
        </w:rPr>
        <w:t>Kronenberg</w:t>
      </w:r>
      <w:r w:rsidRPr="00104AEE">
        <w:rPr>
          <w:lang w:val="en-US"/>
        </w:rPr>
        <w:t xml:space="preserve"> (fn. </w:t>
      </w:r>
      <w:r>
        <w:fldChar w:fldCharType="begin"/>
      </w:r>
      <w:r>
        <w:rPr>
          <w:lang w:val="en-US"/>
        </w:rPr>
        <w:instrText xml:space="preserve"> NOTEREF _Ref95643391 \h </w:instrText>
      </w:r>
      <w:r>
        <w:fldChar w:fldCharType="separate"/>
      </w:r>
      <w:r>
        <w:rPr>
          <w:lang w:val="en-US"/>
        </w:rPr>
        <w:t>47</w:t>
      </w:r>
      <w:r>
        <w:fldChar w:fldCharType="end"/>
      </w:r>
      <w:r w:rsidRPr="00104AEE">
        <w:rPr>
          <w:lang w:val="en-US"/>
        </w:rPr>
        <w:t xml:space="preserve">), pp. 135, 140. It was more likely that </w:t>
      </w:r>
      <w:r w:rsidR="00B7328B">
        <w:rPr>
          <w:lang w:val="en-US"/>
        </w:rPr>
        <w:t xml:space="preserve">children from </w:t>
      </w:r>
      <w:r w:rsidRPr="00104AEE">
        <w:rPr>
          <w:lang w:val="en-US"/>
        </w:rPr>
        <w:t xml:space="preserve">special </w:t>
      </w:r>
      <w:r w:rsidRPr="00104AEE">
        <w:rPr>
          <w:i/>
          <w:lang w:val="en-US"/>
        </w:rPr>
        <w:t xml:space="preserve">classes </w:t>
      </w:r>
      <w:r w:rsidRPr="00104AEE">
        <w:rPr>
          <w:lang w:val="en-US"/>
        </w:rPr>
        <w:t>were integrated.</w:t>
      </w:r>
    </w:p>
  </w:footnote>
  <w:footnote w:id="201">
    <w:p w14:paraId="0B5845A3" w14:textId="5EC0A92E" w:rsidR="00D739C9" w:rsidRPr="00104AEE" w:rsidRDefault="00D739C9" w:rsidP="007D0141">
      <w:pPr>
        <w:pStyle w:val="Fussnote"/>
        <w:rPr>
          <w:szCs w:val="18"/>
          <w:lang w:val="en-US"/>
        </w:rPr>
      </w:pPr>
      <w:r w:rsidRPr="00527230">
        <w:rPr>
          <w:rStyle w:val="FootnoteReference"/>
          <w:szCs w:val="18"/>
        </w:rPr>
        <w:footnoteRef/>
      </w:r>
      <w:r w:rsidRPr="00104AEE">
        <w:rPr>
          <w:szCs w:val="18"/>
          <w:lang w:val="en-US"/>
        </w:rPr>
        <w:t xml:space="preserve"> See e.g. the Federal Supreme Court</w:t>
      </w:r>
      <w:r>
        <w:rPr>
          <w:szCs w:val="18"/>
          <w:lang w:val="en-US"/>
        </w:rPr>
        <w:t>’</w:t>
      </w:r>
      <w:r w:rsidRPr="00104AEE">
        <w:rPr>
          <w:szCs w:val="18"/>
          <w:lang w:val="en-US"/>
        </w:rPr>
        <w:t xml:space="preserve">s </w:t>
      </w:r>
      <w:hyperlink r:id="rId140" w:history="1">
        <w:r w:rsidRPr="00527230">
          <w:rPr>
            <w:rStyle w:val="Hyperlink"/>
            <w:szCs w:val="18"/>
            <w:lang w:val="en-US"/>
          </w:rPr>
          <w:t>Judgement 2C_154/2017</w:t>
        </w:r>
      </w:hyperlink>
      <w:r w:rsidRPr="00104AEE">
        <w:rPr>
          <w:szCs w:val="18"/>
          <w:lang w:val="en-US"/>
        </w:rPr>
        <w:t xml:space="preserve"> dated 23 May 2017, in which the separate schooling of a child with trisomy 21 was approved. </w:t>
      </w:r>
    </w:p>
  </w:footnote>
  <w:footnote w:id="202">
    <w:p w14:paraId="0863E7D2" w14:textId="481B2B46" w:rsidR="00D739C9" w:rsidRPr="003159B8" w:rsidRDefault="00D739C9" w:rsidP="007D0141">
      <w:pPr>
        <w:pStyle w:val="Fussnote"/>
        <w:rPr>
          <w:lang w:val="en-US"/>
        </w:rPr>
      </w:pPr>
      <w:r w:rsidRPr="00527230">
        <w:rPr>
          <w:rStyle w:val="FootnoteReference"/>
          <w:rFonts w:eastAsia="Times New Roman"/>
        </w:rPr>
        <w:footnoteRef/>
      </w:r>
      <w:r w:rsidRPr="00104AEE">
        <w:rPr>
          <w:lang w:val="en-US"/>
        </w:rPr>
        <w:t xml:space="preserve"> </w:t>
      </w:r>
      <w:hyperlink r:id="rId141" w:history="1">
        <w:r w:rsidRPr="003159B8">
          <w:rPr>
            <w:rStyle w:val="Hyperlink"/>
            <w:lang w:val="en-US"/>
          </w:rPr>
          <w:t>Integras, Professional Association f</w:t>
        </w:r>
        <w:r w:rsidR="00EF3E0E">
          <w:rPr>
            <w:rStyle w:val="Hyperlink"/>
            <w:lang w:val="en-US"/>
          </w:rPr>
          <w:t xml:space="preserve">or Social and Special Education, </w:t>
        </w:r>
        <w:r w:rsidRPr="003159B8">
          <w:rPr>
            <w:rStyle w:val="Hyperlink"/>
            <w:lang w:val="en-US"/>
          </w:rPr>
          <w:t>Standards Inclusive School, March 2019</w:t>
        </w:r>
      </w:hyperlink>
      <w:r>
        <w:rPr>
          <w:lang w:val="en-US"/>
        </w:rPr>
        <w:t>.</w:t>
      </w:r>
    </w:p>
  </w:footnote>
  <w:footnote w:id="203">
    <w:p w14:paraId="7BC12440" w14:textId="2E9E00E2" w:rsidR="00D739C9" w:rsidRPr="003159B8" w:rsidRDefault="00D739C9" w:rsidP="007D0141">
      <w:pPr>
        <w:pStyle w:val="Fussnote"/>
        <w:rPr>
          <w:lang w:val="en-US"/>
        </w:rPr>
      </w:pPr>
      <w:r w:rsidRPr="00527230">
        <w:rPr>
          <w:rStyle w:val="FootnoteReference"/>
          <w:rFonts w:eastAsia="Times New Roman"/>
        </w:rPr>
        <w:footnoteRef/>
      </w:r>
      <w:r w:rsidRPr="003159B8">
        <w:rPr>
          <w:lang w:val="en-US"/>
        </w:rPr>
        <w:t xml:space="preserve"> See </w:t>
      </w:r>
      <w:hyperlink r:id="rId142" w:history="1">
        <w:r w:rsidRPr="004B31E2">
          <w:rPr>
            <w:rStyle w:val="Hyperlink"/>
            <w:szCs w:val="18"/>
            <w:lang w:val="en-US"/>
          </w:rPr>
          <w:t>Press release Freiwillige Schulsynode Basel-Stadt (FSS), Berufsverband der Basler Lehr-, Fach- und Leitungspersonen FSS unterstützt “Förderklassen-Initiative” [Professional Association of Basel Teachers, Specialists and Managers FSS Supports “Support Classes Initiative”], 20.1.2022</w:t>
        </w:r>
      </w:hyperlink>
      <w:r w:rsidRPr="003159B8">
        <w:rPr>
          <w:lang w:val="en-US"/>
        </w:rPr>
        <w:t>.</w:t>
      </w:r>
    </w:p>
  </w:footnote>
  <w:footnote w:id="204">
    <w:p w14:paraId="3B989799" w14:textId="4C61C883" w:rsidR="00D739C9" w:rsidRPr="00527230" w:rsidRDefault="00D739C9" w:rsidP="007D0141">
      <w:pPr>
        <w:pStyle w:val="Fussnote"/>
      </w:pPr>
      <w:r w:rsidRPr="00527230">
        <w:rPr>
          <w:rStyle w:val="FootnoteReference"/>
          <w:rFonts w:eastAsia="Times New Roman"/>
        </w:rPr>
        <w:footnoteRef/>
      </w:r>
      <w:r w:rsidRPr="00527230">
        <w:t xml:space="preserve"> See e.g. </w:t>
      </w:r>
      <w:hyperlink r:id="rId143" w:history="1">
        <w:r w:rsidRPr="00527230">
          <w:rPr>
            <w:rStyle w:val="Hyperlink"/>
            <w:rFonts w:cstheme="minorBidi"/>
          </w:rPr>
          <w:t>Berner Zeitung of 25 October 2017, Berufsverband Bildung warnt vor Sparmassnahmen</w:t>
        </w:r>
      </w:hyperlink>
      <w:r w:rsidRPr="00527230">
        <w:t>.</w:t>
      </w:r>
    </w:p>
  </w:footnote>
  <w:footnote w:id="205">
    <w:p w14:paraId="67FC953B" w14:textId="77777777" w:rsidR="00D739C9" w:rsidRPr="00527230" w:rsidRDefault="00D739C9" w:rsidP="007D0141">
      <w:pPr>
        <w:pStyle w:val="Fussnote"/>
        <w:rPr>
          <w:szCs w:val="18"/>
          <w:lang w:val="en-US"/>
        </w:rPr>
      </w:pPr>
      <w:r w:rsidRPr="00527230">
        <w:rPr>
          <w:rStyle w:val="FootnoteReference"/>
          <w:szCs w:val="18"/>
        </w:rPr>
        <w:footnoteRef/>
      </w:r>
      <w:r w:rsidRPr="00527230">
        <w:rPr>
          <w:szCs w:val="18"/>
          <w:lang w:val="en-US"/>
        </w:rPr>
        <w:t xml:space="preserve"> Answer of the Federal Council of 18.11.29 to the question posed by Thomas Ammann, Section 4.</w:t>
      </w:r>
    </w:p>
  </w:footnote>
  <w:footnote w:id="206">
    <w:p w14:paraId="5FF5F1AA" w14:textId="659A6806" w:rsidR="00D739C9" w:rsidRPr="00527230" w:rsidRDefault="00D739C9" w:rsidP="007D0141">
      <w:pPr>
        <w:pStyle w:val="Fussnote"/>
        <w:rPr>
          <w:lang w:val="en-US"/>
        </w:rPr>
      </w:pPr>
      <w:r w:rsidRPr="00527230">
        <w:rPr>
          <w:rStyle w:val="FootnoteReference"/>
          <w:rFonts w:eastAsia="Times New Roman"/>
        </w:rPr>
        <w:footnoteRef/>
      </w:r>
      <w:r w:rsidRPr="00527230">
        <w:rPr>
          <w:lang w:val="en-US"/>
        </w:rPr>
        <w:t xml:space="preserve"> As to the </w:t>
      </w:r>
      <w:hyperlink r:id="rId144" w:history="1">
        <w:r w:rsidRPr="00527230">
          <w:rPr>
            <w:rStyle w:val="Hyperlink"/>
            <w:rFonts w:cstheme="minorBidi"/>
            <w:lang w:val="en-US"/>
          </w:rPr>
          <w:t>educational cooperation between the Confederation and the cantons</w:t>
        </w:r>
      </w:hyperlink>
      <w:r w:rsidRPr="00527230">
        <w:rPr>
          <w:lang w:val="en-US"/>
        </w:rPr>
        <w:t xml:space="preserve">; regarding the in-depth report Sonderpädagogik [Special Pedagogy] fn. </w:t>
      </w:r>
      <w:r w:rsidRPr="00527230">
        <w:fldChar w:fldCharType="begin"/>
      </w:r>
      <w:r w:rsidRPr="00527230">
        <w:rPr>
          <w:lang w:val="en-US"/>
        </w:rPr>
        <w:instrText xml:space="preserve"> NOTEREF _Ref89074984 \h  \* MERGEFORMAT </w:instrText>
      </w:r>
      <w:r w:rsidRPr="00527230">
        <w:fldChar w:fldCharType="separate"/>
      </w:r>
      <w:r>
        <w:rPr>
          <w:lang w:val="en-US"/>
        </w:rPr>
        <w:t>194</w:t>
      </w:r>
      <w:r w:rsidRPr="00527230">
        <w:fldChar w:fldCharType="end"/>
      </w:r>
      <w:r w:rsidRPr="00527230">
        <w:rPr>
          <w:lang w:val="en-US"/>
        </w:rPr>
        <w:t>.</w:t>
      </w:r>
    </w:p>
  </w:footnote>
  <w:footnote w:id="207">
    <w:p w14:paraId="379713DB" w14:textId="2EF78961" w:rsidR="00D739C9" w:rsidRPr="00527230" w:rsidRDefault="00D739C9" w:rsidP="007D0141">
      <w:pPr>
        <w:pStyle w:val="Fussnote"/>
        <w:rPr>
          <w:lang w:val="en-US"/>
        </w:rPr>
      </w:pPr>
      <w:r w:rsidRPr="00527230">
        <w:rPr>
          <w:rStyle w:val="FootnoteReference"/>
          <w:rFonts w:eastAsia="Times New Roman"/>
        </w:rPr>
        <w:footnoteRef/>
      </w:r>
      <w:r w:rsidRPr="00527230">
        <w:rPr>
          <w:lang w:val="en-US"/>
        </w:rPr>
        <w:t xml:space="preserve"> Repl</w:t>
      </w:r>
      <w:r>
        <w:rPr>
          <w:lang w:val="en-US"/>
        </w:rPr>
        <w:t>y</w:t>
      </w:r>
      <w:r w:rsidRPr="00527230">
        <w:rPr>
          <w:lang w:val="en-US"/>
        </w:rPr>
        <w:t xml:space="preserve"> to LoI, para. 65. According to the </w:t>
      </w:r>
      <w:hyperlink r:id="rId145" w:history="1">
        <w:r w:rsidRPr="003159B8">
          <w:rPr>
            <w:rStyle w:val="Hyperlink"/>
            <w:lang w:val="en-US"/>
          </w:rPr>
          <w:t>most recent statistics for special education</w:t>
        </w:r>
      </w:hyperlink>
      <w:r>
        <w:rPr>
          <w:lang w:val="en-US"/>
        </w:rPr>
        <w:t xml:space="preserve"> (2017-18 school year</w:t>
      </w:r>
      <w:r w:rsidRPr="00527230">
        <w:rPr>
          <w:lang w:val="en-US"/>
        </w:rPr>
        <w:t>), only 53.2% attended a regular class, 40.8% attended a special school and 6% attended a special class.</w:t>
      </w:r>
    </w:p>
  </w:footnote>
  <w:footnote w:id="208">
    <w:p w14:paraId="39E19339" w14:textId="69897438" w:rsidR="00D739C9" w:rsidRPr="00BD6E82" w:rsidRDefault="00D739C9" w:rsidP="007D0141">
      <w:pPr>
        <w:pStyle w:val="Fussnote"/>
        <w:rPr>
          <w:lang w:val="en-US"/>
        </w:rPr>
      </w:pPr>
      <w:r w:rsidRPr="00527230">
        <w:rPr>
          <w:rStyle w:val="FootnoteReference"/>
          <w:rFonts w:eastAsia="Times New Roman"/>
        </w:rPr>
        <w:footnoteRef/>
      </w:r>
      <w:r w:rsidRPr="00F412A7">
        <w:t xml:space="preserve"> </w:t>
      </w:r>
      <w:hyperlink r:id="rId146" w:history="1">
        <w:r w:rsidRPr="00F412A7">
          <w:rPr>
            <w:rStyle w:val="Hyperlink"/>
          </w:rPr>
          <w:t xml:space="preserve">Regierungsrat des Kantons Bern, Sonderpädagogik: Bericht des Regierungsrates an den Grossen Rat, Sitzung vom 9. </w:t>
        </w:r>
        <w:r w:rsidRPr="00BD6E82">
          <w:rPr>
            <w:rStyle w:val="Hyperlink"/>
            <w:lang w:val="en-US"/>
          </w:rPr>
          <w:t>Januar 2018</w:t>
        </w:r>
      </w:hyperlink>
      <w:r w:rsidRPr="00BD6E82">
        <w:rPr>
          <w:lang w:val="en-US"/>
        </w:rPr>
        <w:t xml:space="preserve">, p. 4 f. </w:t>
      </w:r>
    </w:p>
  </w:footnote>
  <w:footnote w:id="209">
    <w:p w14:paraId="1DD9C34E" w14:textId="57001472" w:rsidR="00D739C9" w:rsidRPr="00527230" w:rsidRDefault="00D739C9" w:rsidP="007D0141">
      <w:pPr>
        <w:pStyle w:val="Fussnote"/>
        <w:rPr>
          <w:bCs/>
          <w:szCs w:val="18"/>
          <w:lang w:val="en-US"/>
        </w:rPr>
      </w:pPr>
      <w:r w:rsidRPr="00527230">
        <w:rPr>
          <w:rStyle w:val="FootnoteReference"/>
          <w:rFonts w:eastAsia="Calibri"/>
          <w:szCs w:val="18"/>
        </w:rPr>
        <w:footnoteRef/>
      </w:r>
      <w:r w:rsidRPr="00BD6E82">
        <w:rPr>
          <w:szCs w:val="18"/>
          <w:lang w:val="en-US"/>
        </w:rPr>
        <w:t xml:space="preserve"> See </w:t>
      </w:r>
      <w:r w:rsidRPr="00BD6E82">
        <w:rPr>
          <w:smallCaps/>
          <w:szCs w:val="18"/>
          <w:lang w:val="en-US"/>
        </w:rPr>
        <w:t xml:space="preserve">Kronenberg </w:t>
      </w:r>
      <w:r w:rsidRPr="00BD6E82">
        <w:rPr>
          <w:szCs w:val="18"/>
          <w:lang w:val="en-US"/>
        </w:rPr>
        <w:t>(</w:t>
      </w:r>
      <w:r w:rsidRPr="00BD6E82">
        <w:rPr>
          <w:bCs/>
          <w:szCs w:val="18"/>
          <w:lang w:val="en-US"/>
        </w:rPr>
        <w:t>fn.</w:t>
      </w:r>
      <w:r w:rsidRPr="00BD6E82">
        <w:rPr>
          <w:szCs w:val="18"/>
          <w:lang w:val="en-US"/>
        </w:rPr>
        <w:t xml:space="preserve"> </w:t>
      </w:r>
      <w:r>
        <w:fldChar w:fldCharType="begin"/>
      </w:r>
      <w:r>
        <w:rPr>
          <w:lang w:val="en-US"/>
        </w:rPr>
        <w:instrText xml:space="preserve"> NOTEREF _Ref95643391 \h </w:instrText>
      </w:r>
      <w:r>
        <w:fldChar w:fldCharType="separate"/>
      </w:r>
      <w:r>
        <w:rPr>
          <w:lang w:val="en-US"/>
        </w:rPr>
        <w:t>47</w:t>
      </w:r>
      <w:r>
        <w:fldChar w:fldCharType="end"/>
      </w:r>
      <w:r w:rsidRPr="00BD6E82">
        <w:rPr>
          <w:szCs w:val="18"/>
          <w:lang w:val="en-US"/>
        </w:rPr>
        <w:t xml:space="preserve">), </w:t>
      </w:r>
      <w:r w:rsidRPr="00BD6E82">
        <w:rPr>
          <w:bCs/>
          <w:szCs w:val="18"/>
          <w:lang w:val="en-US"/>
        </w:rPr>
        <w:t xml:space="preserve">p. 71 f., 135. </w:t>
      </w:r>
      <w:r w:rsidRPr="00527230">
        <w:rPr>
          <w:bCs/>
          <w:szCs w:val="18"/>
          <w:lang w:val="en-US"/>
        </w:rPr>
        <w:t xml:space="preserve">Distinguishing criteria between simple and enhanced measures: duration, intensity, degree of specialisation of the specialists, extent of the consequences on the social environment and curriculum vitae (e.g. distance from place of residence, possible restriction of subsequent choice of profession). Attendance at a special school is always regarded as an enhanced measure. </w:t>
      </w:r>
    </w:p>
  </w:footnote>
  <w:footnote w:id="210">
    <w:p w14:paraId="462659C2" w14:textId="77777777" w:rsidR="00D739C9" w:rsidRPr="00104AEE" w:rsidRDefault="00D739C9" w:rsidP="00A20EF3">
      <w:pPr>
        <w:pStyle w:val="Fussnote"/>
        <w:rPr>
          <w:lang w:val="en-US"/>
        </w:rPr>
      </w:pPr>
      <w:r w:rsidRPr="00527230">
        <w:rPr>
          <w:rStyle w:val="FootnoteReference"/>
          <w:rFonts w:eastAsia="Times New Roman"/>
        </w:rPr>
        <w:footnoteRef/>
      </w:r>
      <w:r w:rsidRPr="00104AEE">
        <w:rPr>
          <w:lang w:val="en-US"/>
        </w:rPr>
        <w:t xml:space="preserve"> See e.g. BGE 141 I 9 of 4 December 2014 (particularly consid. 4): Ultimately, the hours of assistance for a child with Asperger syndrome in regular school had to be financed by the canton.</w:t>
      </w:r>
    </w:p>
  </w:footnote>
  <w:footnote w:id="211">
    <w:p w14:paraId="484E39D3" w14:textId="2F1EE37A" w:rsidR="00D739C9" w:rsidRPr="00104AEE" w:rsidRDefault="00D739C9" w:rsidP="00A20EF3">
      <w:pPr>
        <w:pStyle w:val="Fussnote"/>
        <w:rPr>
          <w:lang w:val="en-US"/>
        </w:rPr>
      </w:pPr>
      <w:r w:rsidRPr="00527230">
        <w:rPr>
          <w:rStyle w:val="FootnoteReference"/>
          <w:rFonts w:eastAsia="Times New Roman"/>
        </w:rPr>
        <w:footnoteRef/>
      </w:r>
      <w:r w:rsidRPr="00527230">
        <w:t xml:space="preserve"> See </w:t>
      </w:r>
      <w:r w:rsidRPr="00527230">
        <w:rPr>
          <w:smallCaps/>
        </w:rPr>
        <w:t xml:space="preserve">Kronenberg </w:t>
      </w:r>
      <w:r w:rsidRPr="00527230">
        <w:t xml:space="preserve">(fn. </w:t>
      </w:r>
      <w:r>
        <w:fldChar w:fldCharType="begin"/>
      </w:r>
      <w:r w:rsidRPr="00ED1A8F">
        <w:instrText xml:space="preserve"> NOTEREF _Ref95643391 \h </w:instrText>
      </w:r>
      <w:r>
        <w:fldChar w:fldCharType="separate"/>
      </w:r>
      <w:r w:rsidRPr="00ED1A8F">
        <w:t>47</w:t>
      </w:r>
      <w:r>
        <w:fldChar w:fldCharType="end"/>
      </w:r>
      <w:r w:rsidRPr="00527230">
        <w:t xml:space="preserve">), pp. 71 f., 83 ff., 134. </w:t>
      </w:r>
      <w:r w:rsidRPr="00104AEE">
        <w:rPr>
          <w:lang w:val="en-US"/>
        </w:rPr>
        <w:t xml:space="preserve">The support ratio can only be calculated based on the available figures for pupils as a whole, broken down by regular and special schools. </w:t>
      </w:r>
    </w:p>
  </w:footnote>
  <w:footnote w:id="212">
    <w:p w14:paraId="7C0D1F07" w14:textId="032121D5" w:rsidR="00D739C9" w:rsidRPr="00ED1A8F" w:rsidRDefault="00D739C9" w:rsidP="00A20EF3">
      <w:pPr>
        <w:pStyle w:val="Fussnote"/>
        <w:rPr>
          <w:lang w:val="en-US"/>
        </w:rPr>
      </w:pPr>
      <w:r w:rsidRPr="00527230">
        <w:rPr>
          <w:rStyle w:val="FootnoteReference"/>
          <w:rFonts w:eastAsia="Times New Roman"/>
        </w:rPr>
        <w:footnoteRef/>
      </w:r>
      <w:r w:rsidRPr="00ED1A8F">
        <w:rPr>
          <w:lang w:val="en-US"/>
        </w:rPr>
        <w:t xml:space="preserve"> See e.g. </w:t>
      </w:r>
      <w:hyperlink r:id="rId147" w:history="1">
        <w:r w:rsidRPr="00ED1A8F">
          <w:rPr>
            <w:rStyle w:val="Hyperlink"/>
            <w:szCs w:val="18"/>
            <w:lang w:val="en-US"/>
          </w:rPr>
          <w:t>NZZ, Hochschulen müssen Studienanwärter abweisen [Universities must turn away prospective students], 17.4.2017</w:t>
        </w:r>
      </w:hyperlink>
      <w:r w:rsidRPr="00ED1A8F">
        <w:rPr>
          <w:lang w:val="en-US"/>
        </w:rPr>
        <w:t xml:space="preserve"> </w:t>
      </w:r>
      <w:hyperlink r:id="rId148" w:history="1">
        <w:r w:rsidRPr="00ED1A8F">
          <w:rPr>
            <w:rStyle w:val="Hyperlink"/>
            <w:lang w:val="en-US"/>
          </w:rPr>
          <w:t>https://www.nzz.ch/schweiz/zu-wenig-studienplaetze-fuer-heilpaedagogen-hochschulen-muessen-studienanwaerter-abweisen-ld.1287279</w:t>
        </w:r>
      </w:hyperlink>
      <w:r w:rsidRPr="00ED1A8F">
        <w:rPr>
          <w:lang w:val="en-US"/>
        </w:rPr>
        <w:t>.</w:t>
      </w:r>
    </w:p>
  </w:footnote>
  <w:footnote w:id="213">
    <w:p w14:paraId="1E6C4568" w14:textId="3DF50F30" w:rsidR="00D739C9" w:rsidRPr="00104AEE" w:rsidRDefault="00D739C9" w:rsidP="00A20EF3">
      <w:pPr>
        <w:pStyle w:val="Fussnote"/>
        <w:rPr>
          <w:lang w:val="en-US"/>
        </w:rPr>
      </w:pPr>
      <w:r w:rsidRPr="00527230">
        <w:rPr>
          <w:rStyle w:val="FootnoteReference"/>
          <w:rFonts w:eastAsia="Times New Roman"/>
        </w:rPr>
        <w:footnoteRef/>
      </w:r>
      <w:r w:rsidRPr="00104AEE">
        <w:rPr>
          <w:smallCaps/>
          <w:lang w:val="en-US"/>
        </w:rPr>
        <w:t xml:space="preserve"> Kronenberg </w:t>
      </w:r>
      <w:r w:rsidRPr="00104AEE">
        <w:rPr>
          <w:lang w:val="en-US"/>
        </w:rPr>
        <w:t xml:space="preserve">(fn. </w:t>
      </w:r>
      <w:r>
        <w:fldChar w:fldCharType="begin"/>
      </w:r>
      <w:r>
        <w:rPr>
          <w:lang w:val="en-US"/>
        </w:rPr>
        <w:instrText xml:space="preserve"> NOTEREF _Ref95643391 \h </w:instrText>
      </w:r>
      <w:r>
        <w:fldChar w:fldCharType="separate"/>
      </w:r>
      <w:r>
        <w:rPr>
          <w:lang w:val="en-US"/>
        </w:rPr>
        <w:t>47</w:t>
      </w:r>
      <w:r>
        <w:fldChar w:fldCharType="end"/>
      </w:r>
      <w:r w:rsidRPr="00104AEE">
        <w:rPr>
          <w:lang w:val="en-US"/>
        </w:rPr>
        <w:t>), pp. 86, 140, with references to research projects.</w:t>
      </w:r>
    </w:p>
  </w:footnote>
  <w:footnote w:id="214">
    <w:p w14:paraId="274B1AC5" w14:textId="01718487" w:rsidR="00D739C9" w:rsidRPr="00104AEE" w:rsidRDefault="00D739C9" w:rsidP="00A20EF3">
      <w:pPr>
        <w:pStyle w:val="Fussnote"/>
        <w:rPr>
          <w:lang w:val="en-US"/>
        </w:rPr>
      </w:pPr>
      <w:r w:rsidRPr="00527230">
        <w:rPr>
          <w:rStyle w:val="FootnoteReference"/>
          <w:rFonts w:eastAsia="Times New Roman"/>
        </w:rPr>
        <w:footnoteRef/>
      </w:r>
      <w:r w:rsidRPr="00104AEE">
        <w:rPr>
          <w:lang w:val="en-US"/>
        </w:rPr>
        <w:t xml:space="preserve"> See </w:t>
      </w:r>
      <w:hyperlink r:id="rId149" w:history="1">
        <w:r w:rsidRPr="00527230">
          <w:rPr>
            <w:rStyle w:val="Hyperlink"/>
            <w:rFonts w:cstheme="minorBidi"/>
            <w:lang w:val="en-US"/>
          </w:rPr>
          <w:t>SERI Division of work and association partnership</w:t>
        </w:r>
      </w:hyperlink>
      <w:r w:rsidRPr="00104AEE">
        <w:rPr>
          <w:lang w:val="en-US"/>
        </w:rPr>
        <w:t xml:space="preserve">. </w:t>
      </w:r>
    </w:p>
  </w:footnote>
  <w:footnote w:id="215">
    <w:p w14:paraId="074ED049" w14:textId="7AF5D900" w:rsidR="00D739C9" w:rsidRPr="00104AEE" w:rsidRDefault="00D739C9" w:rsidP="00A20EF3">
      <w:pPr>
        <w:pStyle w:val="Fussnote"/>
        <w:rPr>
          <w:lang w:val="en-US"/>
        </w:rPr>
      </w:pPr>
      <w:r w:rsidRPr="00527230">
        <w:rPr>
          <w:rStyle w:val="FootnoteReference"/>
          <w:rFonts w:eastAsia="Times New Roman"/>
        </w:rPr>
        <w:footnoteRef/>
      </w:r>
      <w:r w:rsidRPr="00104AEE">
        <w:rPr>
          <w:lang w:val="en-US"/>
        </w:rPr>
        <w:t xml:space="preserve"> </w:t>
      </w:r>
      <w:hyperlink r:id="rId150" w:history="1">
        <w:r w:rsidRPr="00527230">
          <w:rPr>
            <w:rStyle w:val="Hyperlink"/>
            <w:rFonts w:cstheme="minorBidi"/>
            <w:lang w:val="en-US"/>
          </w:rPr>
          <w:t>Vocational Education and Training Steering Committee 2030, Systematisation of the Vocational Education and Training Committee structure, 9.11.2020</w:t>
        </w:r>
      </w:hyperlink>
      <w:r w:rsidRPr="00104AEE">
        <w:rPr>
          <w:lang w:val="en-US"/>
        </w:rPr>
        <w:t>.</w:t>
      </w:r>
    </w:p>
  </w:footnote>
  <w:footnote w:id="216">
    <w:p w14:paraId="75993664" w14:textId="77777777" w:rsidR="00D739C9" w:rsidRPr="00104AEE" w:rsidRDefault="00D739C9" w:rsidP="00A20EF3">
      <w:pPr>
        <w:pStyle w:val="Fussnote"/>
        <w:rPr>
          <w:lang w:val="en-US"/>
        </w:rPr>
      </w:pPr>
      <w:r w:rsidRPr="00527230">
        <w:rPr>
          <w:rStyle w:val="FootnoteReference"/>
          <w:rFonts w:eastAsia="Times New Roman"/>
        </w:rPr>
        <w:footnoteRef/>
      </w:r>
      <w:r w:rsidRPr="00104AEE">
        <w:rPr>
          <w:lang w:val="en-US"/>
        </w:rPr>
        <w:t xml:space="preserve"> DDA Assessment, p. 152.</w:t>
      </w:r>
    </w:p>
  </w:footnote>
  <w:footnote w:id="217">
    <w:p w14:paraId="11C88B2C" w14:textId="4492CA6A" w:rsidR="00D739C9" w:rsidRPr="00104AEE" w:rsidRDefault="00D739C9" w:rsidP="00A20EF3">
      <w:pPr>
        <w:pStyle w:val="Fussnote"/>
        <w:rPr>
          <w:lang w:val="en-US"/>
        </w:rPr>
      </w:pPr>
      <w:r w:rsidRPr="00527230">
        <w:rPr>
          <w:rStyle w:val="FootnoteReference"/>
          <w:rFonts w:eastAsia="Times New Roman"/>
        </w:rPr>
        <w:footnoteRef/>
      </w:r>
      <w:r w:rsidRPr="00104AEE">
        <w:rPr>
          <w:lang w:val="en-US"/>
        </w:rPr>
        <w:t xml:space="preserve"> See also </w:t>
      </w:r>
      <w:hyperlink r:id="rId151" w:history="1">
        <w:r w:rsidRPr="00527230">
          <w:rPr>
            <w:rStyle w:val="Hyperlink"/>
            <w:rFonts w:cstheme="minorBidi"/>
            <w:lang w:val="en-US"/>
          </w:rPr>
          <w:t>Recommendation No. 7 of the Conference of the Swiss Vocational Education and Training Offices on the compensation of discrimination</w:t>
        </w:r>
      </w:hyperlink>
      <w:r w:rsidRPr="00104AEE">
        <w:rPr>
          <w:lang w:val="en-US"/>
        </w:rPr>
        <w:t>.</w:t>
      </w:r>
    </w:p>
  </w:footnote>
  <w:footnote w:id="218">
    <w:p w14:paraId="558FDFBD" w14:textId="77777777" w:rsidR="00D739C9" w:rsidRPr="00104AEE" w:rsidRDefault="00D739C9" w:rsidP="00A20EF3">
      <w:pPr>
        <w:pStyle w:val="Fussnote"/>
        <w:rPr>
          <w:lang w:val="en-US"/>
        </w:rPr>
      </w:pPr>
      <w:r w:rsidRPr="00527230">
        <w:rPr>
          <w:rStyle w:val="FootnoteReference"/>
          <w:rFonts w:eastAsia="Times New Roman"/>
        </w:rPr>
        <w:footnoteRef/>
      </w:r>
      <w:r w:rsidRPr="00104AEE">
        <w:rPr>
          <w:lang w:val="en-US"/>
        </w:rPr>
        <w:t xml:space="preserve"> Even Switzerland finally admits this in para. 142 of the Initial Report. </w:t>
      </w:r>
    </w:p>
  </w:footnote>
  <w:footnote w:id="219">
    <w:p w14:paraId="0B873DD0" w14:textId="2D777BBA" w:rsidR="00D739C9" w:rsidRPr="00527230" w:rsidRDefault="00D739C9" w:rsidP="00A20EF3">
      <w:pPr>
        <w:pStyle w:val="Fussnote"/>
        <w:rPr>
          <w:szCs w:val="18"/>
          <w:lang w:val="en-US"/>
        </w:rPr>
      </w:pPr>
      <w:r w:rsidRPr="00527230">
        <w:rPr>
          <w:rStyle w:val="FootnoteReference"/>
          <w:szCs w:val="18"/>
        </w:rPr>
        <w:footnoteRef/>
      </w:r>
      <w:r w:rsidRPr="00527230">
        <w:rPr>
          <w:smallCaps/>
          <w:szCs w:val="18"/>
          <w:lang w:val="en-US"/>
        </w:rPr>
        <w:t xml:space="preserve"> Kronenberg </w:t>
      </w:r>
      <w:r w:rsidRPr="00527230">
        <w:rPr>
          <w:szCs w:val="18"/>
          <w:lang w:val="en-US"/>
        </w:rPr>
        <w:t xml:space="preserve">(fn. </w:t>
      </w:r>
      <w:r w:rsidRPr="00527230">
        <w:rPr>
          <w:szCs w:val="18"/>
        </w:rPr>
        <w:fldChar w:fldCharType="begin"/>
      </w:r>
      <w:r w:rsidRPr="00527230">
        <w:rPr>
          <w:szCs w:val="18"/>
          <w:lang w:val="en-US"/>
        </w:rPr>
        <w:instrText xml:space="preserve"> NOTEREF _Ref88555766 \h  \* MERGEFORMAT </w:instrText>
      </w:r>
      <w:r w:rsidRPr="00527230">
        <w:rPr>
          <w:szCs w:val="18"/>
        </w:rPr>
      </w:r>
      <w:r w:rsidRPr="00527230">
        <w:rPr>
          <w:szCs w:val="18"/>
        </w:rPr>
        <w:fldChar w:fldCharType="separate"/>
      </w:r>
      <w:r>
        <w:rPr>
          <w:szCs w:val="18"/>
          <w:lang w:val="en-US"/>
        </w:rPr>
        <w:t>195</w:t>
      </w:r>
      <w:r w:rsidRPr="00527230">
        <w:rPr>
          <w:szCs w:val="18"/>
        </w:rPr>
        <w:fldChar w:fldCharType="end"/>
      </w:r>
      <w:r w:rsidRPr="00527230">
        <w:rPr>
          <w:szCs w:val="18"/>
          <w:lang w:val="en-US"/>
        </w:rPr>
        <w:t xml:space="preserve">), p. 90 ff., based on the education statistics for leavers: Between 2012 and 2015, </w:t>
      </w:r>
      <w:hyperlink r:id="rId152" w:history="1">
        <w:r w:rsidRPr="00527230">
          <w:rPr>
            <w:rStyle w:val="Hyperlink"/>
            <w:rFonts w:eastAsia="MS Gothic" w:cstheme="minorBidi"/>
            <w:szCs w:val="18"/>
            <w:lang w:val="en-US"/>
          </w:rPr>
          <w:t>is statistically proven</w:t>
        </w:r>
      </w:hyperlink>
      <w:r w:rsidRPr="00527230">
        <w:rPr>
          <w:szCs w:val="18"/>
          <w:lang w:val="en-US"/>
        </w:rPr>
        <w:t xml:space="preserve"> even the lower number of secondary education graduations for PWD: </w:t>
      </w:r>
    </w:p>
  </w:footnote>
  <w:footnote w:id="220">
    <w:p w14:paraId="5E5B1A78" w14:textId="06834A66" w:rsidR="00D739C9" w:rsidRPr="00527230" w:rsidRDefault="00D739C9" w:rsidP="00A20EF3">
      <w:pPr>
        <w:pStyle w:val="Fussnote"/>
        <w:rPr>
          <w:lang w:val="en-US"/>
        </w:rPr>
      </w:pPr>
      <w:r w:rsidRPr="00527230">
        <w:rPr>
          <w:rStyle w:val="FootnoteReference"/>
          <w:rFonts w:eastAsia="Times New Roman"/>
        </w:rPr>
        <w:footnoteRef/>
      </w:r>
      <w:r w:rsidRPr="00527230">
        <w:rPr>
          <w:lang w:val="en-US"/>
        </w:rPr>
        <w:t xml:space="preserve"> The institutions, for example, introduced the </w:t>
      </w:r>
      <w:hyperlink r:id="rId153" w:history="1">
        <w:r w:rsidRPr="00527230">
          <w:rPr>
            <w:rStyle w:val="Hyperlink"/>
            <w:rFonts w:cstheme="minorBidi"/>
            <w:lang w:val="en-US"/>
          </w:rPr>
          <w:t>Practical training PrA</w:t>
        </w:r>
      </w:hyperlink>
      <w:r w:rsidRPr="00527230">
        <w:rPr>
          <w:lang w:val="en-US"/>
        </w:rPr>
        <w:t xml:space="preserve"> for </w:t>
      </w:r>
      <w:r w:rsidR="00AF697E">
        <w:rPr>
          <w:lang w:val="en-US"/>
        </w:rPr>
        <w:t>persons</w:t>
      </w:r>
      <w:r w:rsidRPr="00527230">
        <w:rPr>
          <w:lang w:val="en-US"/>
        </w:rPr>
        <w:t xml:space="preserve"> in need of support who are not yet able to complete basic vocational training with a federal vocational certificate (EBA).</w:t>
      </w:r>
    </w:p>
  </w:footnote>
  <w:footnote w:id="221">
    <w:p w14:paraId="6813597D" w14:textId="2D678A95" w:rsidR="00D739C9" w:rsidRPr="00527230" w:rsidRDefault="00D739C9" w:rsidP="00A20EF3">
      <w:pPr>
        <w:pStyle w:val="Fussnote"/>
        <w:rPr>
          <w:smallCaps/>
          <w:lang w:val="en-US"/>
        </w:rPr>
      </w:pPr>
      <w:r w:rsidRPr="00527230">
        <w:rPr>
          <w:rStyle w:val="FootnoteReference"/>
          <w:rFonts w:eastAsia="Times New Roman"/>
        </w:rPr>
        <w:footnoteRef/>
      </w:r>
      <w:r w:rsidRPr="00527230">
        <w:rPr>
          <w:lang w:val="en-US"/>
        </w:rPr>
        <w:t xml:space="preserve"> See Article 16(2)(a) InvIA, and on the previous apprenticeship according to the VPETA, </w:t>
      </w:r>
      <w:r w:rsidRPr="00527230">
        <w:rPr>
          <w:smallCaps/>
          <w:lang w:val="en-US"/>
        </w:rPr>
        <w:t>Kronenberg (</w:t>
      </w:r>
      <w:r w:rsidRPr="00527230">
        <w:rPr>
          <w:lang w:val="en-US"/>
        </w:rPr>
        <w:t>fn.</w:t>
      </w:r>
      <w:r w:rsidRPr="00527230">
        <w:rPr>
          <w:smallCaps/>
          <w:lang w:val="en-US"/>
        </w:rPr>
        <w:t xml:space="preserve"> </w:t>
      </w:r>
      <w:r>
        <w:fldChar w:fldCharType="begin"/>
      </w:r>
      <w:r>
        <w:rPr>
          <w:lang w:val="en-US"/>
        </w:rPr>
        <w:instrText xml:space="preserve"> NOTEREF _Ref95643391 \h </w:instrText>
      </w:r>
      <w:r>
        <w:fldChar w:fldCharType="separate"/>
      </w:r>
      <w:r>
        <w:rPr>
          <w:lang w:val="en-US"/>
        </w:rPr>
        <w:t>47</w:t>
      </w:r>
      <w:r>
        <w:fldChar w:fldCharType="end"/>
      </w:r>
      <w:r w:rsidRPr="00527230">
        <w:rPr>
          <w:smallCaps/>
          <w:lang w:val="en-US"/>
        </w:rPr>
        <w:t xml:space="preserve">), </w:t>
      </w:r>
      <w:r w:rsidRPr="00527230">
        <w:rPr>
          <w:lang w:val="en-US"/>
        </w:rPr>
        <w:t>p.</w:t>
      </w:r>
      <w:r w:rsidRPr="00527230">
        <w:rPr>
          <w:smallCaps/>
          <w:lang w:val="en-US"/>
        </w:rPr>
        <w:t xml:space="preserve"> 101. </w:t>
      </w:r>
    </w:p>
  </w:footnote>
  <w:footnote w:id="222">
    <w:p w14:paraId="495CFFD4" w14:textId="3BC67AEC" w:rsidR="00D739C9" w:rsidRPr="00527230" w:rsidRDefault="00D739C9" w:rsidP="00A20EF3">
      <w:pPr>
        <w:pStyle w:val="Fussnote"/>
        <w:rPr>
          <w:lang w:val="en-US"/>
        </w:rPr>
      </w:pPr>
      <w:r w:rsidRPr="00527230">
        <w:rPr>
          <w:rStyle w:val="FootnoteReference"/>
          <w:rFonts w:eastAsia="Times New Roman"/>
        </w:rPr>
        <w:footnoteRef/>
      </w:r>
      <w:r w:rsidRPr="00527230">
        <w:rPr>
          <w:smallCaps/>
          <w:lang w:val="en-US"/>
        </w:rPr>
        <w:t xml:space="preserve"> Kronenberg </w:t>
      </w:r>
      <w:r w:rsidRPr="00527230">
        <w:rPr>
          <w:lang w:val="en-US"/>
        </w:rPr>
        <w:t xml:space="preserve">(fn. </w:t>
      </w:r>
      <w:r>
        <w:fldChar w:fldCharType="begin"/>
      </w:r>
      <w:r>
        <w:rPr>
          <w:lang w:val="en-US"/>
        </w:rPr>
        <w:instrText xml:space="preserve"> NOTEREF _Ref95643391 \h </w:instrText>
      </w:r>
      <w:r>
        <w:fldChar w:fldCharType="separate"/>
      </w:r>
      <w:r>
        <w:rPr>
          <w:lang w:val="en-US"/>
        </w:rPr>
        <w:t>47</w:t>
      </w:r>
      <w:r>
        <w:fldChar w:fldCharType="end"/>
      </w:r>
      <w:r w:rsidRPr="00527230">
        <w:rPr>
          <w:lang w:val="en-US"/>
        </w:rPr>
        <w:t>), pp. 98 and 102.</w:t>
      </w:r>
    </w:p>
  </w:footnote>
  <w:footnote w:id="223">
    <w:p w14:paraId="0FCF45AE" w14:textId="24BCD7EE" w:rsidR="00D739C9" w:rsidRDefault="00D739C9" w:rsidP="00A20EF3">
      <w:pPr>
        <w:pStyle w:val="Fussnote"/>
        <w:rPr>
          <w:lang w:val="en-US"/>
        </w:rPr>
      </w:pPr>
      <w:r>
        <w:rPr>
          <w:rStyle w:val="FootnoteReference"/>
          <w:rFonts w:eastAsia="Times New Roman"/>
        </w:rPr>
        <w:footnoteRef/>
      </w:r>
      <w:r>
        <w:rPr>
          <w:lang w:val="en-US"/>
        </w:rPr>
        <w:t xml:space="preserve"> For example, the principle that first-time vocational training should take place “where possible in the first labour market” (Article 16(2) InvIA); under no circumstances should this be interpreted as meaning that an apprenticeship in the open labour market would be a </w:t>
      </w:r>
      <w:r>
        <w:rPr>
          <w:i/>
          <w:lang w:val="en-US"/>
        </w:rPr>
        <w:t xml:space="preserve">prerequisite </w:t>
      </w:r>
      <w:r>
        <w:rPr>
          <w:lang w:val="en-US"/>
        </w:rPr>
        <w:t>for the financing of training. The expansion of advice and support is also welcome.</w:t>
      </w:r>
    </w:p>
  </w:footnote>
  <w:footnote w:id="224">
    <w:p w14:paraId="7BFFCFC7" w14:textId="21371863" w:rsidR="00D739C9" w:rsidRDefault="00D739C9" w:rsidP="00A20EF3">
      <w:pPr>
        <w:pStyle w:val="Fussnote"/>
        <w:rPr>
          <w:lang w:val="en-US"/>
        </w:rPr>
      </w:pPr>
      <w:r>
        <w:rPr>
          <w:rStyle w:val="FootnoteReference"/>
          <w:rFonts w:eastAsia="Times New Roman"/>
        </w:rPr>
        <w:footnoteRef/>
      </w:r>
      <w:r>
        <w:rPr>
          <w:smallCaps/>
          <w:lang w:val="en-US"/>
        </w:rPr>
        <w:t xml:space="preserve"> Kronenberg </w:t>
      </w:r>
      <w:r>
        <w:rPr>
          <w:lang w:val="en-US"/>
        </w:rPr>
        <w:t xml:space="preserve">(fn. </w:t>
      </w:r>
      <w:r>
        <w:fldChar w:fldCharType="begin"/>
      </w:r>
      <w:r>
        <w:rPr>
          <w:lang w:val="en-US"/>
        </w:rPr>
        <w:instrText xml:space="preserve"> NOTEREF _Ref95643391 \h </w:instrText>
      </w:r>
      <w:r>
        <w:fldChar w:fldCharType="separate"/>
      </w:r>
      <w:r>
        <w:rPr>
          <w:lang w:val="en-US"/>
        </w:rPr>
        <w:t>47</w:t>
      </w:r>
      <w:r>
        <w:fldChar w:fldCharType="end"/>
      </w:r>
      <w:r>
        <w:rPr>
          <w:lang w:val="en-US"/>
        </w:rPr>
        <w:t>), p. 136, with a reference to FSO statistics 2018, p. 17.</w:t>
      </w:r>
    </w:p>
  </w:footnote>
  <w:footnote w:id="225">
    <w:p w14:paraId="0097B91B" w14:textId="4FE32D88" w:rsidR="00D739C9" w:rsidRDefault="00D739C9" w:rsidP="00A20EF3">
      <w:pPr>
        <w:pStyle w:val="Fussnote"/>
        <w:rPr>
          <w:szCs w:val="18"/>
          <w:lang w:val="en-US"/>
        </w:rPr>
      </w:pPr>
      <w:r>
        <w:rPr>
          <w:rStyle w:val="FootnoteReference"/>
          <w:rFonts w:eastAsia="Calibri"/>
          <w:szCs w:val="18"/>
        </w:rPr>
        <w:footnoteRef/>
      </w:r>
      <w:r>
        <w:rPr>
          <w:szCs w:val="18"/>
          <w:lang w:val="en-US"/>
        </w:rPr>
        <w:t xml:space="preserve"> See the recommendation of the CRC Committee to Switzerland, UN Doc. CRC/C/CHE/CO/5-6 of 22.10.2021, para. 34.a). Unfortunately, K</w:t>
      </w:r>
      <w:r>
        <w:rPr>
          <w:smallCaps/>
          <w:szCs w:val="18"/>
          <w:lang w:val="en-US"/>
        </w:rPr>
        <w:t xml:space="preserve">ronenberg </w:t>
      </w:r>
      <w:r>
        <w:rPr>
          <w:szCs w:val="18"/>
          <w:lang w:val="en-US"/>
        </w:rPr>
        <w:t xml:space="preserve">(fn. </w:t>
      </w:r>
      <w:r>
        <w:rPr>
          <w:szCs w:val="18"/>
        </w:rPr>
        <w:fldChar w:fldCharType="begin"/>
      </w:r>
      <w:r>
        <w:rPr>
          <w:szCs w:val="18"/>
          <w:lang w:val="en-US"/>
        </w:rPr>
        <w:instrText xml:space="preserve"> NOTEREF _Ref95643391 \h </w:instrText>
      </w:r>
      <w:r>
        <w:rPr>
          <w:szCs w:val="18"/>
        </w:rPr>
      </w:r>
      <w:r>
        <w:rPr>
          <w:szCs w:val="18"/>
        </w:rPr>
        <w:fldChar w:fldCharType="separate"/>
      </w:r>
      <w:r>
        <w:rPr>
          <w:szCs w:val="18"/>
          <w:lang w:val="en-US"/>
        </w:rPr>
        <w:t>47</w:t>
      </w:r>
      <w:r>
        <w:rPr>
          <w:szCs w:val="18"/>
        </w:rPr>
        <w:fldChar w:fldCharType="end"/>
      </w:r>
      <w:r>
        <w:rPr>
          <w:szCs w:val="18"/>
          <w:lang w:val="en-US"/>
        </w:rPr>
        <w:t>, p. 33 f.) overlo</w:t>
      </w:r>
      <w:r>
        <w:rPr>
          <w:i/>
          <w:szCs w:val="18"/>
          <w:lang w:val="en-US"/>
        </w:rPr>
        <w:t xml:space="preserve">oks </w:t>
      </w:r>
      <w:r>
        <w:rPr>
          <w:szCs w:val="18"/>
          <w:lang w:val="en-US"/>
        </w:rPr>
        <w:t xml:space="preserve">the </w:t>
      </w:r>
      <w:r>
        <w:rPr>
          <w:i/>
          <w:szCs w:val="18"/>
          <w:lang w:val="en-US"/>
        </w:rPr>
        <w:t xml:space="preserve">legally binding </w:t>
      </w:r>
      <w:r>
        <w:rPr>
          <w:szCs w:val="18"/>
          <w:lang w:val="en-US"/>
        </w:rPr>
        <w:t xml:space="preserve">nature of all obligations under the CRPD – including those to be fulfilled gradually – and fatally equates </w:t>
      </w:r>
      <w:r>
        <w:rPr>
          <w:i/>
          <w:iCs/>
          <w:szCs w:val="18"/>
          <w:lang w:val="en-US"/>
        </w:rPr>
        <w:t>“p</w:t>
      </w:r>
      <w:r>
        <w:rPr>
          <w:i/>
          <w:szCs w:val="18"/>
          <w:lang w:val="en-US"/>
        </w:rPr>
        <w:t xml:space="preserve">rogrammatic” </w:t>
      </w:r>
      <w:r>
        <w:rPr>
          <w:szCs w:val="18"/>
          <w:lang w:val="en-US"/>
        </w:rPr>
        <w:t xml:space="preserve">obligations with purely declaratory ones. In contrast, for a very sophisticated assessment, see </w:t>
      </w:r>
      <w:r>
        <w:rPr>
          <w:smallCaps/>
          <w:szCs w:val="18"/>
          <w:lang w:val="en-US"/>
        </w:rPr>
        <w:t>Kälin et al.</w:t>
      </w:r>
      <w:r>
        <w:rPr>
          <w:szCs w:val="18"/>
          <w:lang w:val="en-US"/>
        </w:rPr>
        <w:t>, Mögliche Konsequenzen einer Ratifizierung der UN-BRK durch die Schweiz [Possible consequences of a ratification of the UN CRPD by Switzerland], 2008, p. 17 ff.</w:t>
      </w:r>
    </w:p>
  </w:footnote>
  <w:footnote w:id="226">
    <w:p w14:paraId="57A4E5E6" w14:textId="77777777" w:rsidR="00D739C9" w:rsidRPr="00104AEE" w:rsidRDefault="00D739C9" w:rsidP="00A20EF3">
      <w:pPr>
        <w:pStyle w:val="Fussnote"/>
        <w:rPr>
          <w:lang w:val="en-US"/>
        </w:rPr>
      </w:pPr>
      <w:r>
        <w:rPr>
          <w:rStyle w:val="FootnoteReference"/>
          <w:rFonts w:eastAsia="Times New Roman"/>
        </w:rPr>
        <w:footnoteRef/>
      </w:r>
      <w:r w:rsidRPr="00104AEE">
        <w:rPr>
          <w:lang w:val="en-US"/>
        </w:rPr>
        <w:t xml:space="preserve"> See the recommendation of the CESCR Committee to Switzerland, UN Doc. E/C.12/CHE/CO/4 of 18.11.2019, para. 53.d), and of the CRC Committee, para. 34.b).</w:t>
      </w:r>
    </w:p>
  </w:footnote>
  <w:footnote w:id="227">
    <w:p w14:paraId="6C147F05" w14:textId="77777777" w:rsidR="00D739C9" w:rsidRPr="00104AEE" w:rsidRDefault="00D739C9" w:rsidP="00A20EF3">
      <w:pPr>
        <w:pStyle w:val="Fussnote"/>
        <w:rPr>
          <w:lang w:val="en-US"/>
        </w:rPr>
      </w:pPr>
      <w:r>
        <w:rPr>
          <w:rStyle w:val="FootnoteReference"/>
          <w:rFonts w:eastAsia="Times New Roman"/>
        </w:rPr>
        <w:footnoteRef/>
      </w:r>
      <w:r w:rsidRPr="00104AEE">
        <w:rPr>
          <w:lang w:val="en-US"/>
        </w:rPr>
        <w:t xml:space="preserve"> See also the recommendation of the CRC Committee, para. 34.c).</w:t>
      </w:r>
    </w:p>
  </w:footnote>
  <w:footnote w:id="228">
    <w:p w14:paraId="536E6C27" w14:textId="19F6B3BC" w:rsidR="00D739C9" w:rsidRPr="00104AEE" w:rsidRDefault="00D739C9" w:rsidP="00A20EF3">
      <w:pPr>
        <w:pStyle w:val="Fussnote"/>
        <w:rPr>
          <w:lang w:val="en-US"/>
        </w:rPr>
      </w:pPr>
      <w:r>
        <w:rPr>
          <w:rStyle w:val="FootnoteReference"/>
        </w:rPr>
        <w:footnoteRef/>
      </w:r>
      <w:r w:rsidRPr="00104AEE">
        <w:rPr>
          <w:lang w:val="en-US"/>
        </w:rPr>
        <w:t xml:space="preserve"> Regarding the Swiss health system, see </w:t>
      </w:r>
      <w:hyperlink r:id="rId154" w:history="1">
        <w:r w:rsidRPr="00FB1E5B">
          <w:rPr>
            <w:rStyle w:val="Hyperlink"/>
            <w:lang w:val="en-US"/>
          </w:rPr>
          <w:t>WHO, Switzerland: Health system review, 2015</w:t>
        </w:r>
      </w:hyperlink>
      <w:r w:rsidRPr="00104AEE">
        <w:rPr>
          <w:lang w:val="en-US"/>
        </w:rPr>
        <w:t>, p. xxi ff.</w:t>
      </w:r>
    </w:p>
  </w:footnote>
  <w:footnote w:id="229">
    <w:p w14:paraId="4E380010" w14:textId="285A0126" w:rsidR="00D739C9" w:rsidRPr="00104AEE" w:rsidRDefault="00D739C9" w:rsidP="00A20EF3">
      <w:pPr>
        <w:pStyle w:val="Fussnote"/>
        <w:rPr>
          <w:b/>
          <w:lang w:val="en-US"/>
        </w:rPr>
      </w:pPr>
      <w:r>
        <w:rPr>
          <w:rStyle w:val="FootnoteReference"/>
        </w:rPr>
        <w:footnoteRef/>
      </w:r>
      <w:r w:rsidRPr="00104AEE">
        <w:rPr>
          <w:lang w:val="en-US"/>
        </w:rPr>
        <w:t xml:space="preserve"> </w:t>
      </w:r>
      <w:hyperlink r:id="rId155" w:history="1">
        <w:r w:rsidRPr="00FB1E5B">
          <w:rPr>
            <w:rStyle w:val="Hyperlink"/>
            <w:lang w:val="en-US"/>
          </w:rPr>
          <w:t xml:space="preserve">SGB magazine No. 5, Winter 2020 </w:t>
        </w:r>
      </w:hyperlink>
      <w:r w:rsidRPr="00104AEE">
        <w:rPr>
          <w:lang w:val="en-US"/>
        </w:rPr>
        <w:t>, p. 22 ff. The rate of premature deaths and the risk of misdiagnosis and over-/undermedication are also increased.</w:t>
      </w:r>
    </w:p>
  </w:footnote>
  <w:footnote w:id="230">
    <w:p w14:paraId="5567553B" w14:textId="1FEADE15" w:rsidR="00D739C9" w:rsidRPr="00D72E50" w:rsidRDefault="00D739C9" w:rsidP="00A20EF3">
      <w:pPr>
        <w:pStyle w:val="Fussnote"/>
      </w:pPr>
      <w:r>
        <w:rPr>
          <w:rStyle w:val="FootnoteReference"/>
        </w:rPr>
        <w:footnoteRef/>
      </w:r>
      <w:r>
        <w:t xml:space="preserve"> </w:t>
      </w:r>
      <w:hyperlink r:id="rId156" w:history="1">
        <w:r>
          <w:rPr>
            <w:rStyle w:val="Hyperlink"/>
          </w:rPr>
          <w:t>Obsan, Psychische Gesundheit in der Schweiz [Psychosocial health in Switzerland], Monitoring 2020</w:t>
        </w:r>
      </w:hyperlink>
      <w:r>
        <w:t>, p. 11.</w:t>
      </w:r>
    </w:p>
  </w:footnote>
  <w:footnote w:id="231">
    <w:p w14:paraId="783D9617" w14:textId="105685DA" w:rsidR="00D739C9" w:rsidRPr="00104AEE" w:rsidRDefault="00D739C9" w:rsidP="00A20EF3">
      <w:pPr>
        <w:pStyle w:val="Fussnote"/>
        <w:rPr>
          <w:lang w:val="en-US"/>
        </w:rPr>
      </w:pPr>
      <w:r>
        <w:rPr>
          <w:rStyle w:val="FootnoteReference"/>
        </w:rPr>
        <w:footnoteRef/>
      </w:r>
      <w:r w:rsidRPr="00104AEE">
        <w:rPr>
          <w:lang w:val="en-US"/>
        </w:rPr>
        <w:t xml:space="preserve"> The focus is on occupational health protection and environmental protection (which is understood as promotion of health); see </w:t>
      </w:r>
      <w:hyperlink r:id="rId157" w:history="1">
        <w:r w:rsidRPr="00FB1E5B">
          <w:rPr>
            <w:rStyle w:val="Hyperlink"/>
            <w:lang w:val="en-US"/>
          </w:rPr>
          <w:t>FOPH, Health Strategy 2030, Dec. 2019</w:t>
        </w:r>
      </w:hyperlink>
      <w:r w:rsidRPr="00104AEE">
        <w:rPr>
          <w:lang w:val="en-US"/>
        </w:rPr>
        <w:t xml:space="preserve">, chapter 6.4. </w:t>
      </w:r>
    </w:p>
  </w:footnote>
  <w:footnote w:id="232">
    <w:p w14:paraId="6DB3F281" w14:textId="6259B4D7" w:rsidR="00D739C9" w:rsidRPr="00104AEE" w:rsidRDefault="00D739C9" w:rsidP="00A20EF3">
      <w:pPr>
        <w:pStyle w:val="Fussnote"/>
        <w:rPr>
          <w:lang w:val="en-US"/>
        </w:rPr>
      </w:pPr>
      <w:r>
        <w:rPr>
          <w:rStyle w:val="FootnoteReference"/>
        </w:rPr>
        <w:footnoteRef/>
      </w:r>
      <w:r w:rsidRPr="00104AEE">
        <w:rPr>
          <w:lang w:val="en-US"/>
        </w:rPr>
        <w:t xml:space="preserve"> </w:t>
      </w:r>
      <w:hyperlink r:id="rId158" w:history="1">
        <w:r w:rsidRPr="00FB1E5B">
          <w:rPr>
            <w:rStyle w:val="Hyperlink"/>
            <w:lang w:val="en-US"/>
          </w:rPr>
          <w:t>FOPH, Report on</w:t>
        </w:r>
        <w:r>
          <w:rPr>
            <w:rStyle w:val="Hyperlink"/>
            <w:lang w:val="en-US"/>
          </w:rPr>
          <w:t xml:space="preserve"> parliamentary</w:t>
        </w:r>
        <w:r w:rsidRPr="00FB1E5B">
          <w:rPr>
            <w:rStyle w:val="Hyperlink"/>
            <w:lang w:val="en-US"/>
          </w:rPr>
          <w:t xml:space="preserve"> </w:t>
        </w:r>
        <w:r>
          <w:rPr>
            <w:rStyle w:val="Hyperlink"/>
            <w:lang w:val="en-US"/>
          </w:rPr>
          <w:t>postulates</w:t>
        </w:r>
        <w:r w:rsidRPr="00FB1E5B">
          <w:rPr>
            <w:rStyle w:val="Hyperlink"/>
            <w:lang w:val="en-US"/>
          </w:rPr>
          <w:t>: Improved care and treatment of people at the end of life, 18.9.2020</w:t>
        </w:r>
      </w:hyperlink>
      <w:r w:rsidRPr="00104AEE">
        <w:rPr>
          <w:lang w:val="en-US"/>
        </w:rPr>
        <w:t xml:space="preserve">, particularly p. 68 ff. </w:t>
      </w:r>
    </w:p>
  </w:footnote>
  <w:footnote w:id="233">
    <w:p w14:paraId="2B6B2C56" w14:textId="6C4CDB04" w:rsidR="00D739C9" w:rsidRPr="00104AEE" w:rsidRDefault="00D739C9" w:rsidP="00A20EF3">
      <w:pPr>
        <w:pStyle w:val="Fussnote"/>
        <w:rPr>
          <w:lang w:val="en-US"/>
        </w:rPr>
      </w:pPr>
      <w:r>
        <w:rPr>
          <w:rStyle w:val="FootnoteReference"/>
        </w:rPr>
        <w:footnoteRef/>
      </w:r>
      <w:r w:rsidRPr="00104AEE">
        <w:rPr>
          <w:lang w:val="en-US"/>
        </w:rPr>
        <w:t xml:space="preserve"> It has been found, for instance, that life-sustaining measures are rare for </w:t>
      </w:r>
      <w:r w:rsidR="00AF697E">
        <w:rPr>
          <w:lang w:val="en-US"/>
        </w:rPr>
        <w:t>persons</w:t>
      </w:r>
      <w:r w:rsidRPr="00104AEE">
        <w:rPr>
          <w:lang w:val="en-US"/>
        </w:rPr>
        <w:t xml:space="preserve"> with intellectual disabilities who live in residential homes and that their right of independence is not respected (virtually no inclusion, substituted decision-making). See </w:t>
      </w:r>
      <w:hyperlink r:id="rId159" w:history="1">
        <w:r w:rsidRPr="00FB1E5B">
          <w:rPr>
            <w:rStyle w:val="Hyperlink"/>
            <w:lang w:val="en-US"/>
          </w:rPr>
          <w:t xml:space="preserve">HFH, Palliative Care for </w:t>
        </w:r>
        <w:r w:rsidR="00AF697E">
          <w:rPr>
            <w:rStyle w:val="Hyperlink"/>
            <w:lang w:val="en-US"/>
          </w:rPr>
          <w:t>Persons</w:t>
        </w:r>
        <w:r w:rsidRPr="00FB1E5B">
          <w:rPr>
            <w:rStyle w:val="Hyperlink"/>
            <w:lang w:val="en-US"/>
          </w:rPr>
          <w:t xml:space="preserve"> with Intellectual Disabilities, Report commissioned by the FOPH, 3.3.2015</w:t>
        </w:r>
      </w:hyperlink>
      <w:r w:rsidRPr="00ED1A8F">
        <w:rPr>
          <w:lang w:val="en-US"/>
        </w:rPr>
        <w:t>, pp. 8 and 11.</w:t>
      </w:r>
      <w:r w:rsidRPr="00FB1E5B">
        <w:rPr>
          <w:rStyle w:val="FootnoteTextChar"/>
          <w:lang w:val="en-US"/>
        </w:rPr>
        <w:t xml:space="preserve"> </w:t>
      </w:r>
    </w:p>
  </w:footnote>
  <w:footnote w:id="234">
    <w:p w14:paraId="4990A141" w14:textId="6B400160" w:rsidR="00D739C9" w:rsidRPr="00104AEE" w:rsidRDefault="00D739C9" w:rsidP="00A20EF3">
      <w:pPr>
        <w:pStyle w:val="Fussnote"/>
        <w:rPr>
          <w:lang w:val="en-US"/>
        </w:rPr>
      </w:pPr>
      <w:r>
        <w:rPr>
          <w:rStyle w:val="FootnoteReference"/>
        </w:rPr>
        <w:footnoteRef/>
      </w:r>
      <w:r w:rsidRPr="00104AEE">
        <w:rPr>
          <w:lang w:val="en-US"/>
        </w:rPr>
        <w:t xml:space="preserve"> </w:t>
      </w:r>
      <w:hyperlink r:id="rId160" w:history="1">
        <w:r w:rsidRPr="00FB1E5B">
          <w:rPr>
            <w:rStyle w:val="Hyperlink"/>
            <w:lang w:val="en-US"/>
          </w:rPr>
          <w:t>https://www.plattform-palliativecare.ch/blog/postulatsbericht-zu-palliative-care-stand-der-arbeiten</w:t>
        </w:r>
      </w:hyperlink>
      <w:r w:rsidRPr="00104AEE">
        <w:rPr>
          <w:lang w:val="en-US"/>
        </w:rPr>
        <w:t>.</w:t>
      </w:r>
    </w:p>
  </w:footnote>
  <w:footnote w:id="235">
    <w:p w14:paraId="2732FD4E" w14:textId="1181A7F4" w:rsidR="00D739C9" w:rsidRPr="00104AEE" w:rsidRDefault="00D739C9" w:rsidP="00F85268">
      <w:pPr>
        <w:pStyle w:val="Fussnote"/>
        <w:rPr>
          <w:lang w:val="en-US"/>
        </w:rPr>
      </w:pPr>
      <w:r>
        <w:rPr>
          <w:rStyle w:val="FootnoteReference"/>
        </w:rPr>
        <w:footnoteRef/>
      </w:r>
      <w:r w:rsidRPr="00104AEE">
        <w:rPr>
          <w:lang w:val="en-US"/>
        </w:rPr>
        <w:t xml:space="preserve"> See </w:t>
      </w:r>
      <w:hyperlink r:id="rId161" w:history="1">
        <w:r w:rsidRPr="00FB1E5B">
          <w:rPr>
            <w:rStyle w:val="Hyperlink"/>
            <w:lang w:val="en-US"/>
          </w:rPr>
          <w:t>Tages-Anzeiger of 31.1.2022, Swiss health emergency: Children and young people with psychosocial disorders wait months for treatment</w:t>
        </w:r>
      </w:hyperlink>
      <w:r w:rsidRPr="00104AEE">
        <w:rPr>
          <w:lang w:val="en-US"/>
        </w:rPr>
        <w:t>.</w:t>
      </w:r>
    </w:p>
  </w:footnote>
  <w:footnote w:id="236">
    <w:p w14:paraId="1E504FAE" w14:textId="3614FAA8" w:rsidR="00D739C9" w:rsidRPr="00D72E50" w:rsidRDefault="00D739C9" w:rsidP="00A20EF3">
      <w:pPr>
        <w:pStyle w:val="Fussnote"/>
      </w:pPr>
      <w:r>
        <w:rPr>
          <w:rStyle w:val="FootnoteReference"/>
        </w:rPr>
        <w:footnoteRef/>
      </w:r>
      <w:r w:rsidRPr="00FB1E5B">
        <w:rPr>
          <w:lang w:val="en-US"/>
        </w:rPr>
        <w:t xml:space="preserve"> ibid. Depression, self-aggression and suicidal thoughts/attempts have increased sharply, see e.g. </w:t>
      </w:r>
      <w:hyperlink r:id="rId162" w:history="1">
        <w:r>
          <w:rPr>
            <w:rStyle w:val="Hyperlink"/>
            <w:smallCaps/>
          </w:rPr>
          <w:t>BASS/ B&amp;A</w:t>
        </w:r>
        <w:r>
          <w:rPr>
            <w:rStyle w:val="Hyperlink"/>
          </w:rPr>
          <w:t>, Der Einfluss der COVID-19-Pandemie auf die psychische Gesundheit der Schweizer Bevölkerung und die psychiatrisch-psychotherapeutische Versorgung in der Schweiz, Schlussbericht im Auftrag des BAG [The impact of the COVID-19 pandemic on the mental health of the Swiss population and psychiatric/psychotherapeutic care in Switzerland, Final Report commissioned by the FOPH], 12.7.2021</w:t>
        </w:r>
      </w:hyperlink>
      <w:r>
        <w:t>, pp. 63, 77.</w:t>
      </w:r>
    </w:p>
  </w:footnote>
  <w:footnote w:id="237">
    <w:p w14:paraId="0A0D8B60" w14:textId="5DE0CFA7" w:rsidR="00D739C9" w:rsidRPr="00CD6616" w:rsidRDefault="00D739C9" w:rsidP="00A20EF3">
      <w:pPr>
        <w:pStyle w:val="Fussnote"/>
        <w:rPr>
          <w:lang w:val="en-US"/>
        </w:rPr>
      </w:pPr>
      <w:r>
        <w:rPr>
          <w:rStyle w:val="FootnoteReference"/>
        </w:rPr>
        <w:footnoteRef/>
      </w:r>
      <w:r w:rsidRPr="00CD6616">
        <w:rPr>
          <w:lang w:val="en-US"/>
        </w:rPr>
        <w:t xml:space="preserve"> </w:t>
      </w:r>
      <w:r w:rsidRPr="00CD6616">
        <w:rPr>
          <w:smallCaps/>
          <w:lang w:val="en-US"/>
        </w:rPr>
        <w:t>De Quervain et al.,</w:t>
      </w:r>
      <w:hyperlink r:id="rId163" w:history="1">
        <w:r w:rsidRPr="00CD6616">
          <w:rPr>
            <w:rStyle w:val="Hyperlink"/>
            <w:lang w:val="en-US"/>
          </w:rPr>
          <w:t>Swiss Corona Stress Study: November 2021</w:t>
        </w:r>
      </w:hyperlink>
      <w:r w:rsidRPr="00CD6616">
        <w:rPr>
          <w:lang w:val="en-US"/>
        </w:rPr>
        <w:t>.</w:t>
      </w:r>
    </w:p>
  </w:footnote>
  <w:footnote w:id="238">
    <w:p w14:paraId="44A88817" w14:textId="77CEC5FA" w:rsidR="00D739C9" w:rsidRPr="001C1A91" w:rsidRDefault="00D739C9" w:rsidP="00A20EF3">
      <w:pPr>
        <w:pStyle w:val="Fussnote"/>
        <w:rPr>
          <w:lang w:val="en-US"/>
        </w:rPr>
      </w:pPr>
      <w:r>
        <w:rPr>
          <w:rStyle w:val="FootnoteReference"/>
        </w:rPr>
        <w:footnoteRef/>
      </w:r>
      <w:r w:rsidRPr="00FB1E5B">
        <w:rPr>
          <w:lang w:val="en-US"/>
        </w:rPr>
        <w:t xml:space="preserve"> </w:t>
      </w:r>
      <w:r w:rsidRPr="00FB1E5B">
        <w:rPr>
          <w:smallCaps/>
          <w:lang w:val="en-US"/>
        </w:rPr>
        <w:t>BASS/ B&amp;A</w:t>
      </w:r>
      <w:r w:rsidRPr="00FB1E5B">
        <w:rPr>
          <w:lang w:val="en-US"/>
        </w:rPr>
        <w:t>, Final Report (fn.</w:t>
      </w:r>
      <w:r>
        <w:rPr>
          <w:lang w:val="en-US"/>
        </w:rPr>
        <w:t xml:space="preserve"> </w:t>
      </w:r>
      <w:r>
        <w:rPr>
          <w:lang w:val="en-US"/>
        </w:rPr>
        <w:fldChar w:fldCharType="begin"/>
      </w:r>
      <w:r>
        <w:rPr>
          <w:lang w:val="en-US"/>
        </w:rPr>
        <w:instrText xml:space="preserve"> NOTEREF _Ref94558188 \h </w:instrText>
      </w:r>
      <w:r>
        <w:rPr>
          <w:lang w:val="en-US"/>
        </w:rPr>
      </w:r>
      <w:r>
        <w:rPr>
          <w:lang w:val="en-US"/>
        </w:rPr>
        <w:fldChar w:fldCharType="separate"/>
      </w:r>
      <w:r>
        <w:rPr>
          <w:lang w:val="en-US"/>
        </w:rPr>
        <w:t>236</w:t>
      </w:r>
      <w:r>
        <w:rPr>
          <w:lang w:val="en-US"/>
        </w:rPr>
        <w:fldChar w:fldCharType="end"/>
      </w:r>
      <w:r w:rsidRPr="001C1A91">
        <w:rPr>
          <w:lang w:val="en-US"/>
        </w:rPr>
        <w:t>), p. 58.</w:t>
      </w:r>
    </w:p>
  </w:footnote>
  <w:footnote w:id="239">
    <w:p w14:paraId="1079A643" w14:textId="77777777" w:rsidR="00D739C9" w:rsidRPr="00FB1E5B" w:rsidRDefault="00D739C9" w:rsidP="00A20EF3">
      <w:pPr>
        <w:pStyle w:val="Fussnote"/>
        <w:rPr>
          <w:lang w:val="en-US"/>
        </w:rPr>
      </w:pPr>
      <w:r>
        <w:rPr>
          <w:rStyle w:val="FootnoteReference"/>
        </w:rPr>
        <w:footnoteRef/>
      </w:r>
      <w:r w:rsidRPr="00FB1E5B">
        <w:rPr>
          <w:lang w:val="en-US"/>
        </w:rPr>
        <w:t xml:space="preserve"> Until now, psychotherapy provided by psychologists has only been remunerated by the compulsory health insurance if they are employed and supervised by a physician; from July 2022, a doctor’s order will suffice. </w:t>
      </w:r>
    </w:p>
  </w:footnote>
  <w:footnote w:id="240">
    <w:p w14:paraId="25EC0BE4" w14:textId="627309F8" w:rsidR="00D739C9" w:rsidRPr="00BD6E82" w:rsidRDefault="00D739C9" w:rsidP="00A20EF3">
      <w:pPr>
        <w:pStyle w:val="Fussnote"/>
        <w:rPr>
          <w:lang w:val="en-US"/>
        </w:rPr>
      </w:pPr>
      <w:r>
        <w:rPr>
          <w:rStyle w:val="FootnoteReference"/>
        </w:rPr>
        <w:footnoteRef/>
      </w:r>
      <w:r w:rsidRPr="00BD6E82">
        <w:rPr>
          <w:lang w:val="en-US"/>
        </w:rPr>
        <w:t xml:space="preserve"> </w:t>
      </w:r>
      <w:hyperlink r:id="rId164" w:history="1">
        <w:r w:rsidRPr="00C97C0A">
          <w:rPr>
            <w:rStyle w:val="Hyperlink"/>
            <w:lang w:val="en-US"/>
          </w:rPr>
          <w:t>Socialdesign</w:t>
        </w:r>
        <w:r w:rsidRPr="00BD6E82">
          <w:rPr>
            <w:rStyle w:val="Hyperlink"/>
            <w:lang w:val="en-US"/>
          </w:rPr>
          <w:t xml:space="preserve">, Koordinierte Versorgung für psychisch erkrankte Personen an der Schnittstelle </w:t>
        </w:r>
        <w:r w:rsidR="0040659F">
          <w:rPr>
            <w:rStyle w:val="Hyperlink"/>
            <w:lang w:val="en-US"/>
          </w:rPr>
          <w:t>“</w:t>
        </w:r>
        <w:r w:rsidRPr="00BD6E82">
          <w:rPr>
            <w:rStyle w:val="Hyperlink"/>
            <w:lang w:val="en-US"/>
          </w:rPr>
          <w:t xml:space="preserve">Akutsomatik – Psychiatrie </w:t>
        </w:r>
        <w:r w:rsidRPr="0049152C">
          <w:rPr>
            <w:rStyle w:val="Hyperlink"/>
            <w:lang w:val="en-US"/>
          </w:rPr>
          <w:t>resp. psychiatrische Klinik</w:t>
        </w:r>
        <w:r w:rsidR="0040659F">
          <w:rPr>
            <w:rStyle w:val="Hyperlink"/>
            <w:lang w:val="en-US"/>
          </w:rPr>
          <w:t>”</w:t>
        </w:r>
        <w:r w:rsidRPr="0049152C">
          <w:rPr>
            <w:rStyle w:val="Hyperlink"/>
            <w:lang w:val="en-US"/>
          </w:rPr>
          <w:t xml:space="preserve"> [Coordinated care for persons </w:t>
        </w:r>
        <w:r w:rsidR="00AF697E">
          <w:rPr>
            <w:rStyle w:val="Hyperlink"/>
            <w:lang w:val="en-US"/>
          </w:rPr>
          <w:t xml:space="preserve">with psychosocial disabilities </w:t>
        </w:r>
        <w:r w:rsidRPr="0049152C">
          <w:rPr>
            <w:rStyle w:val="Hyperlink"/>
            <w:lang w:val="en-US"/>
          </w:rPr>
          <w:t>at the interface of “acute somatic psychiatry and psychiatric hospitals”]: Situationsanalyse und Handlungsbedarf im Auftrag des BAG [Situation analysis and need for action, commissione</w:t>
        </w:r>
        <w:r w:rsidRPr="003D2F0B">
          <w:rPr>
            <w:rStyle w:val="Hyperlink"/>
            <w:lang w:val="en-US"/>
          </w:rPr>
          <w:t>d by the FOPH], 2017</w:t>
        </w:r>
      </w:hyperlink>
      <w:r w:rsidRPr="00BD6E82">
        <w:rPr>
          <w:lang w:val="en-US"/>
        </w:rPr>
        <w:t>, p. 4.</w:t>
      </w:r>
    </w:p>
  </w:footnote>
  <w:footnote w:id="241">
    <w:p w14:paraId="6B910277" w14:textId="29FF8C28" w:rsidR="00D739C9" w:rsidRPr="00C73121" w:rsidRDefault="00D739C9" w:rsidP="00A20EF3">
      <w:pPr>
        <w:pStyle w:val="Fussnote"/>
        <w:rPr>
          <w:lang w:val="en-US"/>
        </w:rPr>
      </w:pPr>
      <w:r>
        <w:rPr>
          <w:rStyle w:val="FootnoteReference"/>
        </w:rPr>
        <w:footnoteRef/>
      </w:r>
      <w:r w:rsidRPr="00FB1E5B">
        <w:rPr>
          <w:lang w:val="en-US"/>
        </w:rPr>
        <w:t xml:space="preserve"> See </w:t>
      </w:r>
      <w:hyperlink r:id="rId165" w:history="1">
        <w:r w:rsidRPr="00FB1E5B">
          <w:rPr>
            <w:rStyle w:val="Hyperlink"/>
            <w:lang w:val="en-US"/>
          </w:rPr>
          <w:t>FOPH, National Rare Disease Policy, 2014</w:t>
        </w:r>
      </w:hyperlink>
      <w:r w:rsidRPr="00FB1E5B">
        <w:rPr>
          <w:lang w:val="en-US"/>
        </w:rPr>
        <w:t xml:space="preserve">; Package of measures for PWD, Palliative Care Programme of the Canton of Vaud, mentioned in FOPH, Report on parliamentary postulates (fn. </w:t>
      </w:r>
      <w:r w:rsidRPr="00F0276C">
        <w:fldChar w:fldCharType="begin"/>
      </w:r>
      <w:r w:rsidRPr="00FB1E5B">
        <w:rPr>
          <w:lang w:val="en-US"/>
        </w:rPr>
        <w:instrText xml:space="preserve"> NOTEREF _Ref93334798 \h  \* MERGEFORMAT </w:instrText>
      </w:r>
      <w:r w:rsidRPr="00F0276C">
        <w:fldChar w:fldCharType="separate"/>
      </w:r>
      <w:r>
        <w:rPr>
          <w:lang w:val="en-US"/>
        </w:rPr>
        <w:t>232</w:t>
      </w:r>
      <w:r w:rsidRPr="00F0276C">
        <w:fldChar w:fldCharType="end"/>
      </w:r>
      <w:r w:rsidRPr="00C73121">
        <w:rPr>
          <w:lang w:val="en-US"/>
        </w:rPr>
        <w:t>), p. 50.</w:t>
      </w:r>
    </w:p>
  </w:footnote>
  <w:footnote w:id="242">
    <w:p w14:paraId="35188ADD" w14:textId="547D5843" w:rsidR="00D739C9" w:rsidRPr="001C1A91" w:rsidRDefault="00D739C9" w:rsidP="00A20EF3">
      <w:pPr>
        <w:pStyle w:val="Fussnote"/>
        <w:rPr>
          <w:szCs w:val="18"/>
          <w:highlight w:val="yellow"/>
          <w:lang w:val="en-US"/>
        </w:rPr>
      </w:pPr>
      <w:r>
        <w:rPr>
          <w:rStyle w:val="FootnoteReference"/>
          <w:szCs w:val="18"/>
        </w:rPr>
        <w:footnoteRef/>
      </w:r>
      <w:r w:rsidRPr="00FB1E5B">
        <w:rPr>
          <w:szCs w:val="18"/>
          <w:lang w:val="en-US"/>
        </w:rPr>
        <w:t xml:space="preserve"> For example, surgery hours in sign language at the University Hospital Lausanne, SGB-Magazin (fn. </w:t>
      </w:r>
      <w:r w:rsidRPr="00BE63BA">
        <w:rPr>
          <w:szCs w:val="18"/>
        </w:rPr>
        <w:fldChar w:fldCharType="begin"/>
      </w:r>
      <w:r w:rsidRPr="00FB1E5B">
        <w:rPr>
          <w:szCs w:val="18"/>
          <w:lang w:val="en-US"/>
        </w:rPr>
        <w:instrText xml:space="preserve"> NOTEREF _Ref93332272 \h  \* MERGEFORMAT </w:instrText>
      </w:r>
      <w:r w:rsidRPr="00BE63BA">
        <w:rPr>
          <w:szCs w:val="18"/>
        </w:rPr>
      </w:r>
      <w:r w:rsidRPr="00BE63BA">
        <w:rPr>
          <w:szCs w:val="18"/>
        </w:rPr>
        <w:fldChar w:fldCharType="separate"/>
      </w:r>
      <w:r>
        <w:rPr>
          <w:szCs w:val="18"/>
          <w:lang w:val="en-US"/>
        </w:rPr>
        <w:t>229</w:t>
      </w:r>
      <w:r w:rsidRPr="00BE63BA">
        <w:rPr>
          <w:szCs w:val="18"/>
        </w:rPr>
        <w:fldChar w:fldCharType="end"/>
      </w:r>
      <w:r w:rsidRPr="001C1A91">
        <w:rPr>
          <w:szCs w:val="18"/>
          <w:lang w:val="en-US"/>
        </w:rPr>
        <w:t xml:space="preserve">), p. 24. </w:t>
      </w:r>
    </w:p>
  </w:footnote>
  <w:footnote w:id="243">
    <w:p w14:paraId="09940F0A" w14:textId="791A133B" w:rsidR="00D739C9" w:rsidRPr="00FB1E5B" w:rsidRDefault="00D739C9" w:rsidP="00A20EF3">
      <w:pPr>
        <w:pStyle w:val="Fussnote"/>
        <w:rPr>
          <w:lang w:val="en-US"/>
        </w:rPr>
      </w:pPr>
      <w:r>
        <w:rPr>
          <w:rStyle w:val="FootnoteReference"/>
        </w:rPr>
        <w:footnoteRef/>
      </w:r>
      <w:r w:rsidRPr="00FB1E5B">
        <w:rPr>
          <w:lang w:val="en-US"/>
        </w:rPr>
        <w:t xml:space="preserve"> See </w:t>
      </w:r>
      <w:hyperlink r:id="rId166" w:history="1">
        <w:r w:rsidRPr="00FB1E5B">
          <w:rPr>
            <w:rStyle w:val="Hyperlink"/>
            <w:lang w:val="en-US"/>
          </w:rPr>
          <w:t xml:space="preserve">Analysis of good care models for </w:t>
        </w:r>
        <w:r w:rsidR="00AF697E">
          <w:rPr>
            <w:rStyle w:val="Hyperlink"/>
            <w:lang w:val="en-US"/>
          </w:rPr>
          <w:t>persons</w:t>
        </w:r>
        <w:r w:rsidRPr="00FB1E5B">
          <w:rPr>
            <w:rStyle w:val="Hyperlink"/>
            <w:lang w:val="en-US"/>
          </w:rPr>
          <w:t xml:space="preserve"> with psychosocial disabilities and somatic diseases</w:t>
        </w:r>
      </w:hyperlink>
      <w:r w:rsidRPr="00FB1E5B">
        <w:rPr>
          <w:lang w:val="en-US"/>
        </w:rPr>
        <w:t xml:space="preserve"> and </w:t>
      </w:r>
      <w:hyperlink r:id="rId167" w:history="1">
        <w:r w:rsidRPr="00FB1E5B">
          <w:rPr>
            <w:rStyle w:val="Hyperlink"/>
            <w:lang w:val="en-US"/>
          </w:rPr>
          <w:t xml:space="preserve">Specialised Department of Psychiatric Services of Aargau for </w:t>
        </w:r>
        <w:r w:rsidR="00AF697E">
          <w:rPr>
            <w:rStyle w:val="Hyperlink"/>
            <w:lang w:val="en-US"/>
          </w:rPr>
          <w:t>persons</w:t>
        </w:r>
        <w:r w:rsidRPr="00FB1E5B">
          <w:rPr>
            <w:rStyle w:val="Hyperlink"/>
            <w:lang w:val="en-US"/>
          </w:rPr>
          <w:t xml:space="preserve"> with intellectual disabilities</w:t>
        </w:r>
      </w:hyperlink>
      <w:r w:rsidRPr="00FB1E5B">
        <w:rPr>
          <w:lang w:val="en-US"/>
        </w:rPr>
        <w:t>.</w:t>
      </w:r>
    </w:p>
  </w:footnote>
  <w:footnote w:id="244">
    <w:p w14:paraId="1011A271" w14:textId="743B10E0" w:rsidR="00D739C9" w:rsidRPr="00FB1E5B" w:rsidRDefault="00D739C9" w:rsidP="00A20EF3">
      <w:pPr>
        <w:pStyle w:val="Fussnote"/>
        <w:rPr>
          <w:lang w:val="en-US"/>
        </w:rPr>
      </w:pPr>
      <w:r>
        <w:rPr>
          <w:rStyle w:val="FootnoteReference"/>
        </w:rPr>
        <w:footnoteRef/>
      </w:r>
      <w:r w:rsidRPr="00FB1E5B">
        <w:rPr>
          <w:lang w:val="en-US"/>
        </w:rPr>
        <w:t xml:space="preserve"> For example, the University of Lausanne is currently developing a </w:t>
      </w:r>
      <w:hyperlink r:id="rId168" w:history="1">
        <w:r w:rsidRPr="00FB1E5B">
          <w:rPr>
            <w:rStyle w:val="Hyperlink"/>
            <w:lang w:val="en-US"/>
          </w:rPr>
          <w:t xml:space="preserve">Training/awareness-raising of nursing staff in dealing with </w:t>
        </w:r>
        <w:r w:rsidR="00AF697E">
          <w:rPr>
            <w:rStyle w:val="Hyperlink"/>
            <w:lang w:val="en-US"/>
          </w:rPr>
          <w:t xml:space="preserve">persons who are </w:t>
        </w:r>
        <w:r w:rsidRPr="00FB1E5B">
          <w:rPr>
            <w:rStyle w:val="Hyperlink"/>
            <w:lang w:val="en-US"/>
          </w:rPr>
          <w:t xml:space="preserve">deaf </w:t>
        </w:r>
        <w:r w:rsidR="00AF697E">
          <w:rPr>
            <w:rStyle w:val="Hyperlink"/>
            <w:lang w:val="en-US"/>
          </w:rPr>
          <w:t xml:space="preserve">or </w:t>
        </w:r>
        <w:r w:rsidRPr="00FB1E5B">
          <w:rPr>
            <w:rStyle w:val="Hyperlink"/>
            <w:lang w:val="en-US"/>
          </w:rPr>
          <w:t>hearing-impaired</w:t>
        </w:r>
      </w:hyperlink>
      <w:r w:rsidRPr="00FB1E5B">
        <w:rPr>
          <w:lang w:val="en-US"/>
        </w:rPr>
        <w:t xml:space="preserve">, while the SSHID is developing an interdisciplinary continuing education curriculum for the medical treatment of </w:t>
      </w:r>
      <w:r w:rsidR="00AF697E" w:rsidRPr="00D739C9">
        <w:rPr>
          <w:lang w:val="en-GB"/>
        </w:rPr>
        <w:t>persons</w:t>
      </w:r>
      <w:r w:rsidRPr="00FB1E5B">
        <w:rPr>
          <w:lang w:val="en-US"/>
        </w:rPr>
        <w:t xml:space="preserve"> with intellectual developmental disorders.</w:t>
      </w:r>
    </w:p>
  </w:footnote>
  <w:footnote w:id="245">
    <w:p w14:paraId="470CECD9" w14:textId="4C23CFC1" w:rsidR="00D739C9" w:rsidRPr="00104AEE" w:rsidRDefault="00D739C9" w:rsidP="00A20EF3">
      <w:pPr>
        <w:pStyle w:val="Fussnote"/>
        <w:rPr>
          <w:lang w:val="en-US"/>
        </w:rPr>
      </w:pPr>
      <w:r w:rsidRPr="00527230">
        <w:rPr>
          <w:rStyle w:val="FootnoteReference"/>
        </w:rPr>
        <w:footnoteRef/>
      </w:r>
      <w:r w:rsidRPr="00104AEE">
        <w:rPr>
          <w:lang w:val="en-US"/>
        </w:rPr>
        <w:t xml:space="preserve"> </w:t>
      </w:r>
      <w:hyperlink r:id="rId169" w:history="1">
        <w:r w:rsidRPr="00527230">
          <w:rPr>
            <w:rStyle w:val="Hyperlink"/>
            <w:lang w:val="en-US"/>
          </w:rPr>
          <w:t>INSOS, Annual Report 2020</w:t>
        </w:r>
      </w:hyperlink>
      <w:r w:rsidRPr="00104AEE">
        <w:rPr>
          <w:lang w:val="en-US"/>
        </w:rPr>
        <w:t xml:space="preserve">, p. 8. Not all institutions are members of INSOS. </w:t>
      </w:r>
    </w:p>
  </w:footnote>
  <w:footnote w:id="246">
    <w:p w14:paraId="55E7210A" w14:textId="77777777" w:rsidR="00D739C9" w:rsidRPr="00104AEE" w:rsidRDefault="00D739C9" w:rsidP="00A20EF3">
      <w:pPr>
        <w:pStyle w:val="Fussnote"/>
        <w:rPr>
          <w:b/>
          <w:lang w:val="en-US"/>
        </w:rPr>
      </w:pPr>
      <w:r w:rsidRPr="00527230">
        <w:rPr>
          <w:rStyle w:val="FootnoteReference"/>
        </w:rPr>
        <w:footnoteRef/>
      </w:r>
      <w:r w:rsidRPr="00104AEE">
        <w:rPr>
          <w:lang w:val="en-US"/>
        </w:rPr>
        <w:t xml:space="preserve"> Article 319 ff. CO and EmpA (provisions on health protection, </w:t>
      </w:r>
      <w:r w:rsidRPr="00FA404D">
        <w:rPr>
          <w:lang w:val="en-US"/>
        </w:rPr>
        <w:t>working hours and rest periods). In terms of the payment of a wage by the employer, the Act merely prescribes that the wage must be assessed based on the amount of time worked or on the tasks performed (Article 319(1) CO) and must be of a type and amount that is “agreed or fixed by standard employment contract or collective employment contract” (Article 322(1) CO).</w:t>
      </w:r>
      <w:r w:rsidRPr="00104AEE">
        <w:rPr>
          <w:lang w:val="en-US"/>
        </w:rPr>
        <w:t xml:space="preserve"> </w:t>
      </w:r>
    </w:p>
  </w:footnote>
  <w:footnote w:id="247">
    <w:p w14:paraId="1EEB5F2A" w14:textId="14E6070B" w:rsidR="00D739C9" w:rsidRPr="00104AEE" w:rsidRDefault="00D739C9" w:rsidP="00A20EF3">
      <w:pPr>
        <w:pStyle w:val="Fussnote"/>
        <w:rPr>
          <w:highlight w:val="yellow"/>
          <w:lang w:val="en-US"/>
        </w:rPr>
      </w:pPr>
      <w:r w:rsidRPr="00527230">
        <w:rPr>
          <w:rStyle w:val="FootnoteReference"/>
        </w:rPr>
        <w:footnoteRef/>
      </w:r>
      <w:r w:rsidRPr="00104AEE">
        <w:rPr>
          <w:lang w:val="en-US"/>
        </w:rPr>
        <w:t xml:space="preserve"> On the compatibility with Article 41, para. 1(d) </w:t>
      </w:r>
      <w:hyperlink r:id="rId170" w:history="1">
        <w:r w:rsidRPr="00527230">
          <w:rPr>
            <w:rStyle w:val="Hyperlink"/>
            <w:color w:val="000000" w:themeColor="text1"/>
            <w:lang w:val="en-US"/>
          </w:rPr>
          <w:t>FBED, Work and Equality for PWD: Overview of legislation, 2017</w:t>
        </w:r>
      </w:hyperlink>
      <w:r w:rsidRPr="00104AEE">
        <w:rPr>
          <w:color w:val="000000" w:themeColor="text1"/>
          <w:lang w:val="en-US"/>
        </w:rPr>
        <w:t>,</w:t>
      </w:r>
      <w:r w:rsidRPr="00104AEE">
        <w:rPr>
          <w:lang w:val="en-US"/>
        </w:rPr>
        <w:t xml:space="preserve"> p. 12. With regard to the capacity to work, see Article 7(1) GSSLA. </w:t>
      </w:r>
    </w:p>
  </w:footnote>
  <w:footnote w:id="248">
    <w:p w14:paraId="46AEA2A1" w14:textId="57A8E200" w:rsidR="00D739C9" w:rsidRPr="000E67CF" w:rsidRDefault="00D739C9" w:rsidP="00A20EF3">
      <w:pPr>
        <w:pStyle w:val="Fussnote"/>
        <w:rPr>
          <w:lang w:val="fr-CH"/>
        </w:rPr>
      </w:pPr>
      <w:r w:rsidRPr="00527230">
        <w:rPr>
          <w:rStyle w:val="FootnoteReference"/>
        </w:rPr>
        <w:footnoteRef/>
      </w:r>
      <w:r w:rsidRPr="00104AEE">
        <w:rPr>
          <w:lang w:val="en-US"/>
        </w:rPr>
        <w:t xml:space="preserve"> It is set by the </w:t>
      </w:r>
      <w:r w:rsidRPr="005636A4">
        <w:rPr>
          <w:lang w:val="en-US"/>
        </w:rPr>
        <w:t>institutions particularly based on performance and productivity as well as according to cantonal regulations and is subject t</w:t>
      </w:r>
      <w:r w:rsidRPr="00104AEE">
        <w:rPr>
          <w:lang w:val="en-US"/>
        </w:rPr>
        <w:t xml:space="preserve">o change accordingly. </w:t>
      </w:r>
      <w:r w:rsidRPr="00527230">
        <w:rPr>
          <w:lang w:val="fr-CH"/>
        </w:rPr>
        <w:t xml:space="preserve">See </w:t>
      </w:r>
      <w:hyperlink r:id="rId171" w:history="1">
        <w:r w:rsidRPr="00527230">
          <w:rPr>
            <w:rStyle w:val="Hyperlink"/>
            <w:smallCaps/>
            <w:lang w:val="fr-CH"/>
          </w:rPr>
          <w:t>Benelli/Greppi/Kuehni/Streckeisen/Zurbuchen,</w:t>
        </w:r>
        <w:r w:rsidRPr="00527230">
          <w:rPr>
            <w:rStyle w:val="Hyperlink"/>
            <w:lang w:val="fr-CH"/>
          </w:rPr>
          <w:t xml:space="preserve"> Conditions de travail dans les ateliers pour personnes en situation de handicap</w:t>
        </w:r>
      </w:hyperlink>
      <w:r w:rsidRPr="00527230">
        <w:rPr>
          <w:lang w:val="fr-CH"/>
        </w:rPr>
        <w:t xml:space="preserve">, p. 12 f. </w:t>
      </w:r>
    </w:p>
  </w:footnote>
  <w:footnote w:id="249">
    <w:p w14:paraId="34A1C232" w14:textId="531BFB70" w:rsidR="00D739C9" w:rsidRPr="00104AEE" w:rsidRDefault="00D739C9" w:rsidP="00A20EF3">
      <w:pPr>
        <w:pStyle w:val="Fussnote"/>
        <w:rPr>
          <w:lang w:val="en-US"/>
        </w:rPr>
      </w:pPr>
      <w:r w:rsidRPr="00527230">
        <w:rPr>
          <w:rStyle w:val="FootnoteReference"/>
        </w:rPr>
        <w:footnoteRef/>
      </w:r>
      <w:r w:rsidRPr="00104AEE">
        <w:rPr>
          <w:lang w:val="en-US"/>
        </w:rPr>
        <w:t xml:space="preserve"> In Switzerland, minimum wages can be found in </w:t>
      </w:r>
      <w:r w:rsidRPr="00FA404D">
        <w:rPr>
          <w:lang w:val="en-US"/>
        </w:rPr>
        <w:t>collective employment contract</w:t>
      </w:r>
      <w:r>
        <w:rPr>
          <w:lang w:val="en-US"/>
        </w:rPr>
        <w:t>s</w:t>
      </w:r>
      <w:r w:rsidRPr="00104AEE">
        <w:rPr>
          <w:lang w:val="en-US"/>
        </w:rPr>
        <w:t xml:space="preserve"> as well as in some cantonal legislation. </w:t>
      </w:r>
    </w:p>
  </w:footnote>
  <w:footnote w:id="250">
    <w:p w14:paraId="3CA3CB7C" w14:textId="60D53FED" w:rsidR="00D739C9" w:rsidRPr="00104AEE" w:rsidRDefault="00D739C9" w:rsidP="00A20EF3">
      <w:pPr>
        <w:pStyle w:val="Fussnote"/>
        <w:rPr>
          <w:lang w:val="en-US"/>
        </w:rPr>
      </w:pPr>
      <w:r w:rsidRPr="00527230">
        <w:rPr>
          <w:rStyle w:val="FootnoteReference"/>
        </w:rPr>
        <w:footnoteRef/>
      </w:r>
      <w:r w:rsidRPr="00104AEE">
        <w:rPr>
          <w:lang w:val="en-US"/>
        </w:rPr>
        <w:t xml:space="preserve"> </w:t>
      </w:r>
      <w:r w:rsidRPr="00E95A9D">
        <w:rPr>
          <w:smallCaps/>
          <w:lang w:val="en-US"/>
        </w:rPr>
        <w:t>Benelli et al.</w:t>
      </w:r>
      <w:r w:rsidRPr="00104AEE">
        <w:rPr>
          <w:lang w:val="en-US"/>
        </w:rPr>
        <w:t xml:space="preserve"> (fn. </w:t>
      </w:r>
      <w:r w:rsidRPr="00527230">
        <w:fldChar w:fldCharType="begin"/>
      </w:r>
      <w:r w:rsidRPr="00104AEE">
        <w:rPr>
          <w:lang w:val="en-US"/>
        </w:rPr>
        <w:instrText xml:space="preserve"> NOTEREF _Ref94591004 \h  \* MERGEFORMAT </w:instrText>
      </w:r>
      <w:r w:rsidRPr="00527230">
        <w:fldChar w:fldCharType="separate"/>
      </w:r>
      <w:r>
        <w:rPr>
          <w:lang w:val="en-US"/>
        </w:rPr>
        <w:t>248</w:t>
      </w:r>
      <w:r w:rsidRPr="00527230">
        <w:fldChar w:fldCharType="end"/>
      </w:r>
      <w:r w:rsidRPr="00104AEE">
        <w:rPr>
          <w:lang w:val="en-US"/>
        </w:rPr>
        <w:t>), p. 12 f., as well as votes by self-advocates, e.g. at a network meeting (see below).</w:t>
      </w:r>
    </w:p>
  </w:footnote>
  <w:footnote w:id="251">
    <w:p w14:paraId="72C22D49" w14:textId="77777777" w:rsidR="00D739C9" w:rsidRPr="000E67CF" w:rsidRDefault="00D739C9" w:rsidP="00A20EF3">
      <w:pPr>
        <w:pStyle w:val="Fussnote"/>
        <w:rPr>
          <w:lang w:val="it-CH"/>
        </w:rPr>
      </w:pPr>
      <w:r w:rsidRPr="00527230">
        <w:rPr>
          <w:rStyle w:val="FootnoteReference"/>
        </w:rPr>
        <w:footnoteRef/>
      </w:r>
      <w:r w:rsidRPr="00104AEE">
        <w:rPr>
          <w:lang w:val="en-US"/>
        </w:rPr>
        <w:t xml:space="preserve"> CESCR, Concluding observations on the fourth periodic report of Switzerland, 18.11.2019, UN Doc. </w:t>
      </w:r>
      <w:r w:rsidRPr="000E67CF">
        <w:rPr>
          <w:lang w:val="it-CH"/>
        </w:rPr>
        <w:t xml:space="preserve">E/C.12/CHE/CO/4, para. 24. </w:t>
      </w:r>
    </w:p>
  </w:footnote>
  <w:footnote w:id="252">
    <w:p w14:paraId="1E50302C" w14:textId="21346C5A" w:rsidR="00D739C9" w:rsidRPr="000E67CF" w:rsidRDefault="00D739C9" w:rsidP="00A20EF3">
      <w:pPr>
        <w:pStyle w:val="Fussnote"/>
        <w:rPr>
          <w:lang w:val="it-CH"/>
        </w:rPr>
      </w:pPr>
      <w:r w:rsidRPr="00527230">
        <w:rPr>
          <w:rStyle w:val="FootnoteReference"/>
        </w:rPr>
        <w:footnoteRef/>
      </w:r>
      <w:r w:rsidRPr="000E67CF">
        <w:rPr>
          <w:lang w:val="it-CH"/>
        </w:rPr>
        <w:t xml:space="preserve"> </w:t>
      </w:r>
      <w:r w:rsidRPr="00E95A9D">
        <w:rPr>
          <w:smallCaps/>
          <w:lang w:val="it-CH"/>
        </w:rPr>
        <w:t>Benelli et al.</w:t>
      </w:r>
      <w:r w:rsidRPr="000E67CF">
        <w:rPr>
          <w:lang w:val="it-CH"/>
        </w:rPr>
        <w:t xml:space="preserve"> (fn. </w:t>
      </w:r>
      <w:r w:rsidRPr="00527230">
        <w:fldChar w:fldCharType="begin"/>
      </w:r>
      <w:r w:rsidRPr="000E67CF">
        <w:rPr>
          <w:lang w:val="it-CH"/>
        </w:rPr>
        <w:instrText xml:space="preserve"> NOTEREF _Ref94591004 \h  \* MERGEFORMAT </w:instrText>
      </w:r>
      <w:r w:rsidRPr="00527230">
        <w:fldChar w:fldCharType="separate"/>
      </w:r>
      <w:r>
        <w:rPr>
          <w:lang w:val="it-CH"/>
        </w:rPr>
        <w:t>248</w:t>
      </w:r>
      <w:r w:rsidRPr="00527230">
        <w:fldChar w:fldCharType="end"/>
      </w:r>
      <w:r w:rsidRPr="000E67CF">
        <w:rPr>
          <w:lang w:val="it-CH"/>
        </w:rPr>
        <w:t xml:space="preserve">), p. </w:t>
      </w:r>
      <w:r w:rsidRPr="00ED1853">
        <w:rPr>
          <w:lang w:val="it-CH"/>
        </w:rPr>
        <w:t>12.</w:t>
      </w:r>
    </w:p>
  </w:footnote>
  <w:footnote w:id="253">
    <w:p w14:paraId="0554DC22" w14:textId="77777777" w:rsidR="00D739C9" w:rsidRPr="000E67CF" w:rsidRDefault="00D739C9" w:rsidP="00A20EF3">
      <w:pPr>
        <w:pStyle w:val="Fussnote"/>
        <w:rPr>
          <w:lang w:val="it-CH"/>
        </w:rPr>
      </w:pPr>
      <w:r w:rsidRPr="00527230">
        <w:rPr>
          <w:rStyle w:val="FootnoteReference"/>
        </w:rPr>
        <w:footnoteRef/>
      </w:r>
      <w:r w:rsidRPr="000E67CF">
        <w:rPr>
          <w:lang w:val="it-CH"/>
        </w:rPr>
        <w:t xml:space="preserve"> ibid., p. 18 f. </w:t>
      </w:r>
    </w:p>
  </w:footnote>
  <w:footnote w:id="254">
    <w:p w14:paraId="238DB728" w14:textId="3A9294FC" w:rsidR="00D739C9" w:rsidRPr="000E67CF" w:rsidRDefault="00D739C9" w:rsidP="00A20EF3">
      <w:pPr>
        <w:pStyle w:val="Fussnote"/>
        <w:rPr>
          <w:szCs w:val="18"/>
          <w:lang w:val="it-CH"/>
        </w:rPr>
      </w:pPr>
      <w:r w:rsidRPr="00527230">
        <w:rPr>
          <w:rStyle w:val="FootnoteReference"/>
          <w:szCs w:val="18"/>
        </w:rPr>
        <w:footnoteRef/>
      </w:r>
      <w:r w:rsidRPr="000E67CF">
        <w:rPr>
          <w:szCs w:val="18"/>
          <w:lang w:val="it-CH"/>
        </w:rPr>
        <w:t xml:space="preserve"> See </w:t>
      </w:r>
      <w:hyperlink r:id="rId172" w:history="1">
        <w:r w:rsidRPr="000E67CF">
          <w:rPr>
            <w:rStyle w:val="Hyperlink"/>
            <w:rFonts w:eastAsia="MS Gothic"/>
            <w:szCs w:val="18"/>
            <w:lang w:val="it-CH"/>
          </w:rPr>
          <w:t>FSO, Beteiligung am Arbeitsmarkt von Menschen mit und ohne Behinderungen [Labour Market Participation of People with and without Disabilities], 2019</w:t>
        </w:r>
      </w:hyperlink>
      <w:r w:rsidRPr="000E67CF">
        <w:rPr>
          <w:szCs w:val="18"/>
          <w:lang w:val="it-CH"/>
        </w:rPr>
        <w:t xml:space="preserve">. </w:t>
      </w:r>
    </w:p>
  </w:footnote>
  <w:footnote w:id="255">
    <w:p w14:paraId="0EB832DB" w14:textId="246A4D02" w:rsidR="00D739C9" w:rsidRPr="000E67CF" w:rsidRDefault="00D739C9" w:rsidP="00A20EF3">
      <w:pPr>
        <w:pStyle w:val="Fussnote"/>
        <w:rPr>
          <w:lang w:val="it-CH"/>
        </w:rPr>
      </w:pPr>
      <w:r w:rsidRPr="00527230">
        <w:rPr>
          <w:rStyle w:val="FootnoteReference"/>
        </w:rPr>
        <w:footnoteRef/>
      </w:r>
      <w:r w:rsidRPr="000E67CF">
        <w:rPr>
          <w:lang w:val="it-CH"/>
        </w:rPr>
        <w:t xml:space="preserve"> </w:t>
      </w:r>
      <w:hyperlink r:id="rId173" w:history="1">
        <w:r w:rsidRPr="000E67CF">
          <w:rPr>
            <w:rStyle w:val="Hyperlink"/>
            <w:smallCaps/>
            <w:lang w:val="it-CH"/>
          </w:rPr>
          <w:t>Eckert/Liesen/Thommen/Zbinden Sapin</w:t>
        </w:r>
        <w:r w:rsidRPr="000E67CF">
          <w:rPr>
            <w:rStyle w:val="Hyperlink"/>
            <w:lang w:val="it-CH"/>
          </w:rPr>
          <w:t>, Kinder, Jugendliche und junge Erwachsene: Frühkindliche Entwicklungsstörungen und Invalidität [Children, teenagers and young adults: Early childhood development disorders and invalidity], FoP3-IV Report No. 8/15, 2015</w:t>
        </w:r>
      </w:hyperlink>
      <w:r w:rsidRPr="000E67CF">
        <w:rPr>
          <w:lang w:val="it-CH"/>
        </w:rPr>
        <w:t xml:space="preserve">, p. 53. </w:t>
      </w:r>
    </w:p>
  </w:footnote>
  <w:footnote w:id="256">
    <w:p w14:paraId="723500BF" w14:textId="35BA6AAF" w:rsidR="00D739C9" w:rsidRPr="00104AEE" w:rsidRDefault="00D739C9" w:rsidP="00A20EF3">
      <w:pPr>
        <w:pStyle w:val="Fussnote"/>
        <w:rPr>
          <w:lang w:val="en-US"/>
        </w:rPr>
      </w:pPr>
      <w:r w:rsidRPr="00527230">
        <w:rPr>
          <w:rStyle w:val="FootnoteReference"/>
        </w:rPr>
        <w:footnoteRef/>
      </w:r>
      <w:r w:rsidRPr="00104AEE">
        <w:rPr>
          <w:lang w:val="en-US"/>
        </w:rPr>
        <w:t xml:space="preserve"> See </w:t>
      </w:r>
      <w:r w:rsidRPr="00104AEE">
        <w:rPr>
          <w:smallCaps/>
          <w:lang w:val="en-US"/>
        </w:rPr>
        <w:t>Kronenberg</w:t>
      </w:r>
      <w:r>
        <w:rPr>
          <w:smallCaps/>
          <w:lang w:val="en-US"/>
        </w:rPr>
        <w:t xml:space="preserve"> </w:t>
      </w:r>
      <w:r>
        <w:rPr>
          <w:lang w:val="en-US"/>
        </w:rPr>
        <w:t xml:space="preserve">(fn. </w:t>
      </w:r>
      <w:r>
        <w:rPr>
          <w:lang w:val="en-US"/>
        </w:rPr>
        <w:fldChar w:fldCharType="begin"/>
      </w:r>
      <w:r>
        <w:rPr>
          <w:lang w:val="en-US"/>
        </w:rPr>
        <w:instrText xml:space="preserve"> NOTEREF _Ref95643391 \h </w:instrText>
      </w:r>
      <w:r>
        <w:rPr>
          <w:lang w:val="en-US"/>
        </w:rPr>
      </w:r>
      <w:r>
        <w:rPr>
          <w:lang w:val="en-US"/>
        </w:rPr>
        <w:fldChar w:fldCharType="separate"/>
      </w:r>
      <w:r>
        <w:rPr>
          <w:lang w:val="en-US"/>
        </w:rPr>
        <w:t>47</w:t>
      </w:r>
      <w:r>
        <w:rPr>
          <w:lang w:val="en-US"/>
        </w:rPr>
        <w:fldChar w:fldCharType="end"/>
      </w:r>
      <w:r>
        <w:rPr>
          <w:lang w:val="en-US"/>
        </w:rPr>
        <w:t>)</w:t>
      </w:r>
      <w:r w:rsidRPr="00104AEE">
        <w:rPr>
          <w:lang w:val="en-US"/>
        </w:rPr>
        <w:t>, p. 126 and NFE Dispatch, p. 6206.</w:t>
      </w:r>
    </w:p>
  </w:footnote>
  <w:footnote w:id="257">
    <w:p w14:paraId="766A8D01" w14:textId="12983AAD" w:rsidR="00D739C9" w:rsidRPr="00104AEE" w:rsidRDefault="00D739C9" w:rsidP="00A20EF3">
      <w:pPr>
        <w:pStyle w:val="Fussnote"/>
        <w:rPr>
          <w:lang w:val="en-US"/>
        </w:rPr>
      </w:pPr>
      <w:r w:rsidRPr="00527230">
        <w:rPr>
          <w:rStyle w:val="FootnoteReference"/>
        </w:rPr>
        <w:footnoteRef/>
      </w:r>
      <w:r w:rsidRPr="00104AEE">
        <w:rPr>
          <w:lang w:val="en-US"/>
        </w:rPr>
        <w:t xml:space="preserve"> See Art. 8a InvIA on the suitability of measures to improve the ability to</w:t>
      </w:r>
      <w:r>
        <w:rPr>
          <w:lang w:val="en-US"/>
        </w:rPr>
        <w:t xml:space="preserve"> pursue a gainful activity</w:t>
      </w:r>
      <w:r w:rsidRPr="00104AEE">
        <w:rPr>
          <w:lang w:val="en-US"/>
        </w:rPr>
        <w:t xml:space="preserve">. </w:t>
      </w:r>
    </w:p>
  </w:footnote>
  <w:footnote w:id="258">
    <w:p w14:paraId="70B055AC" w14:textId="1D1907D1" w:rsidR="00D739C9" w:rsidRPr="00104AEE" w:rsidRDefault="00D739C9" w:rsidP="00A20EF3">
      <w:pPr>
        <w:pStyle w:val="Fussnote"/>
        <w:rPr>
          <w:lang w:val="en-US"/>
        </w:rPr>
      </w:pPr>
      <w:r w:rsidRPr="00527230">
        <w:rPr>
          <w:rStyle w:val="FootnoteReference"/>
        </w:rPr>
        <w:footnoteRef/>
      </w:r>
      <w:r w:rsidRPr="00104AEE">
        <w:rPr>
          <w:lang w:val="en-US"/>
        </w:rPr>
        <w:t xml:space="preserve"> See IVSK [Swiss Conference of Invalidity Insurance Offices], </w:t>
      </w:r>
      <w:hyperlink r:id="rId174" w:anchor="a-2452" w:history="1">
        <w:r w:rsidRPr="00527230">
          <w:rPr>
            <w:rStyle w:val="Hyperlink"/>
            <w:lang w:val="en-US"/>
          </w:rPr>
          <w:t>Press releases</w:t>
        </w:r>
      </w:hyperlink>
      <w:r w:rsidRPr="00104AEE">
        <w:rPr>
          <w:lang w:val="en-US"/>
        </w:rPr>
        <w:t xml:space="preserve"> on annual job placements by invalidity insurance offices.</w:t>
      </w:r>
    </w:p>
  </w:footnote>
  <w:footnote w:id="259">
    <w:p w14:paraId="37D3A07F" w14:textId="644D9858" w:rsidR="00D739C9" w:rsidRPr="00104AEE" w:rsidRDefault="00D739C9" w:rsidP="00B205C7">
      <w:pPr>
        <w:pStyle w:val="Fussnote"/>
        <w:rPr>
          <w:lang w:val="en-US"/>
        </w:rPr>
      </w:pPr>
      <w:r w:rsidRPr="00527230">
        <w:rPr>
          <w:rStyle w:val="FootnoteReference"/>
        </w:rPr>
        <w:footnoteRef/>
      </w:r>
      <w:r w:rsidRPr="00104AEE">
        <w:rPr>
          <w:lang w:val="en-US"/>
        </w:rPr>
        <w:t xml:space="preserve"> </w:t>
      </w:r>
      <w:hyperlink r:id="rId175" w:history="1">
        <w:r w:rsidRPr="00527230">
          <w:rPr>
            <w:rStyle w:val="Hyperlink"/>
            <w:smallCaps/>
            <w:lang w:val="en-US"/>
          </w:rPr>
          <w:t>Baer/Frick/Besse/Cuonz/Matt</w:t>
        </w:r>
        <w:r w:rsidRPr="00527230">
          <w:rPr>
            <w:rStyle w:val="Hyperlink"/>
            <w:lang w:val="en-US"/>
          </w:rPr>
          <w:t>, Beruflich-soziale Eingliederung aus Perspektive von IV-Versicherten: Erfolgsfaktoren, Verlauf und Zufriedenheit [Occupational and social integration from the perspective of persons on invalidity benefit: Factors for success, progress and satisfaction], FoP3-IV Report No. 8/18, April 2018</w:t>
        </w:r>
      </w:hyperlink>
      <w:r w:rsidRPr="00104AEE">
        <w:rPr>
          <w:lang w:val="en-US"/>
        </w:rPr>
        <w:t xml:space="preserve">. </w:t>
      </w:r>
    </w:p>
  </w:footnote>
  <w:footnote w:id="260">
    <w:p w14:paraId="4CC0E919" w14:textId="50F9F133" w:rsidR="00D739C9" w:rsidRPr="00104AEE" w:rsidRDefault="00D739C9" w:rsidP="00B205C7">
      <w:pPr>
        <w:pStyle w:val="Fussnote"/>
        <w:rPr>
          <w:lang w:val="en-US"/>
        </w:rPr>
      </w:pPr>
      <w:r w:rsidRPr="00527230">
        <w:rPr>
          <w:rStyle w:val="FootnoteReference"/>
        </w:rPr>
        <w:footnoteRef/>
      </w:r>
      <w:r w:rsidRPr="00104AEE">
        <w:rPr>
          <w:lang w:val="en-US"/>
        </w:rPr>
        <w:t xml:space="preserve"> It has been proven that rehabilitation measures funded by invalidity insurance are seldom used in </w:t>
      </w:r>
      <w:r w:rsidR="00AF697E" w:rsidRPr="00D739C9">
        <w:rPr>
          <w:lang w:val="en-GB"/>
        </w:rPr>
        <w:t>persons</w:t>
      </w:r>
      <w:r w:rsidRPr="00104AEE">
        <w:rPr>
          <w:lang w:val="en-US"/>
        </w:rPr>
        <w:t xml:space="preserve"> with early childhood autism, but more often in </w:t>
      </w:r>
      <w:r w:rsidR="00AF697E" w:rsidRPr="00D739C9">
        <w:rPr>
          <w:lang w:val="en-GB"/>
        </w:rPr>
        <w:t>persons</w:t>
      </w:r>
      <w:r w:rsidRPr="00104AEE">
        <w:rPr>
          <w:lang w:val="en-US"/>
        </w:rPr>
        <w:t xml:space="preserve"> with Asperger syndrome or high-functioning autism; see </w:t>
      </w:r>
      <w:r w:rsidRPr="00104AEE">
        <w:rPr>
          <w:smallCaps/>
          <w:lang w:val="en-US"/>
        </w:rPr>
        <w:t xml:space="preserve">Eckert </w:t>
      </w:r>
      <w:r w:rsidRPr="00104AEE">
        <w:rPr>
          <w:lang w:val="en-US"/>
        </w:rPr>
        <w:t xml:space="preserve">et al., p. 53 f. </w:t>
      </w:r>
    </w:p>
  </w:footnote>
  <w:footnote w:id="261">
    <w:p w14:paraId="67730C8A" w14:textId="21F7D717" w:rsidR="00D739C9" w:rsidRPr="00104AEE" w:rsidRDefault="00D739C9" w:rsidP="00B205C7">
      <w:pPr>
        <w:pStyle w:val="Fussnote"/>
        <w:rPr>
          <w:lang w:val="en-US"/>
        </w:rPr>
      </w:pPr>
      <w:r w:rsidRPr="00527230">
        <w:rPr>
          <w:rStyle w:val="FootnoteReference"/>
        </w:rPr>
        <w:footnoteRef/>
      </w:r>
      <w:r w:rsidRPr="00104AEE">
        <w:rPr>
          <w:lang w:val="en-US"/>
        </w:rPr>
        <w:t xml:space="preserve"> See the </w:t>
      </w:r>
      <w:r>
        <w:rPr>
          <w:lang w:val="en-US"/>
        </w:rPr>
        <w:t>“</w:t>
      </w:r>
      <w:r w:rsidRPr="00104AEE">
        <w:rPr>
          <w:lang w:val="en-US"/>
        </w:rPr>
        <w:t>Living Independently</w:t>
      </w:r>
      <w:r>
        <w:rPr>
          <w:lang w:val="en-US"/>
        </w:rPr>
        <w:t>”</w:t>
      </w:r>
      <w:r w:rsidRPr="00104AEE">
        <w:rPr>
          <w:lang w:val="en-US"/>
        </w:rPr>
        <w:t xml:space="preserve"> programme, 2018, p. 8.</w:t>
      </w:r>
    </w:p>
  </w:footnote>
  <w:footnote w:id="262">
    <w:p w14:paraId="43B50457" w14:textId="2ACB54AA" w:rsidR="00D739C9" w:rsidRPr="001C1A91" w:rsidRDefault="00D739C9" w:rsidP="00B205C7">
      <w:pPr>
        <w:pStyle w:val="Fussnote"/>
        <w:rPr>
          <w:lang w:val="it-CH"/>
        </w:rPr>
      </w:pPr>
      <w:r w:rsidRPr="00527230">
        <w:rPr>
          <w:rStyle w:val="FootnoteReference"/>
        </w:rPr>
        <w:footnoteRef/>
      </w:r>
      <w:r w:rsidRPr="001C1A91">
        <w:rPr>
          <w:lang w:val="it-CH"/>
        </w:rPr>
        <w:t xml:space="preserve"> </w:t>
      </w:r>
      <w:r w:rsidRPr="00AE6458">
        <w:rPr>
          <w:smallCaps/>
          <w:lang w:val="it-CH"/>
        </w:rPr>
        <w:t>Benelli et al.</w:t>
      </w:r>
      <w:r w:rsidRPr="001C1A91">
        <w:rPr>
          <w:lang w:val="it-CH"/>
        </w:rPr>
        <w:t xml:space="preserve"> (fn. </w:t>
      </w:r>
      <w:r w:rsidRPr="00527230">
        <w:fldChar w:fldCharType="begin"/>
      </w:r>
      <w:r w:rsidRPr="00527230">
        <w:rPr>
          <w:lang w:val="it-IT"/>
        </w:rPr>
        <w:instrText xml:space="preserve"> NOTEREF _Ref94591004 \h  \* MERGEFORMAT </w:instrText>
      </w:r>
      <w:r w:rsidRPr="00527230">
        <w:fldChar w:fldCharType="separate"/>
      </w:r>
      <w:r w:rsidRPr="00C97C0A">
        <w:rPr>
          <w:lang w:val="it-CH"/>
        </w:rPr>
        <w:t>248</w:t>
      </w:r>
      <w:r w:rsidRPr="00527230">
        <w:fldChar w:fldCharType="end"/>
      </w:r>
      <w:r w:rsidRPr="001C1A91">
        <w:rPr>
          <w:lang w:val="it-CH"/>
        </w:rPr>
        <w:t>), p. 22.</w:t>
      </w:r>
    </w:p>
  </w:footnote>
  <w:footnote w:id="263">
    <w:p w14:paraId="12746143" w14:textId="1AFFBB1C" w:rsidR="00D739C9" w:rsidRPr="00104AEE" w:rsidRDefault="00D739C9" w:rsidP="00B205C7">
      <w:pPr>
        <w:pStyle w:val="Fussnote"/>
        <w:rPr>
          <w:lang w:val="en-US"/>
        </w:rPr>
      </w:pPr>
      <w:r w:rsidRPr="00527230">
        <w:rPr>
          <w:rStyle w:val="FootnoteReference"/>
        </w:rPr>
        <w:footnoteRef/>
      </w:r>
      <w:r w:rsidRPr="00104AEE">
        <w:rPr>
          <w:lang w:val="en-US"/>
        </w:rPr>
        <w:t xml:space="preserve"> </w:t>
      </w:r>
      <w:hyperlink r:id="rId176" w:history="1">
        <w:r w:rsidRPr="00527230">
          <w:rPr>
            <w:rStyle w:val="Hyperlink"/>
            <w:lang w:val="en-US"/>
          </w:rPr>
          <w:t>UN CRPD Action Plan</w:t>
        </w:r>
      </w:hyperlink>
      <w:r w:rsidRPr="00104AEE">
        <w:rPr>
          <w:lang w:val="en-US"/>
        </w:rPr>
        <w:t xml:space="preserve">, </w:t>
      </w:r>
      <w:r w:rsidRPr="00527230">
        <w:rPr>
          <w:rStyle w:val="Hyperlink"/>
          <w:lang w:val="en-US"/>
        </w:rPr>
        <w:t xml:space="preserve">particularly objective </w:t>
      </w:r>
      <w:r w:rsidRPr="00565971">
        <w:rPr>
          <w:rStyle w:val="Hyperlink"/>
          <w:lang w:val="en-US"/>
        </w:rPr>
        <w:t>10. One project is also devoted to the issue of new wage models.</w:t>
      </w:r>
    </w:p>
  </w:footnote>
  <w:footnote w:id="264">
    <w:p w14:paraId="15C41126" w14:textId="342F15BF" w:rsidR="00D739C9" w:rsidRPr="00104AEE" w:rsidRDefault="00D739C9" w:rsidP="00B205C7">
      <w:pPr>
        <w:pStyle w:val="Fussnote"/>
        <w:rPr>
          <w:lang w:val="en-US"/>
        </w:rPr>
      </w:pPr>
      <w:r w:rsidRPr="00527230">
        <w:rPr>
          <w:rStyle w:val="FootnoteReference"/>
        </w:rPr>
        <w:footnoteRef/>
      </w:r>
      <w:r w:rsidRPr="00104AEE">
        <w:rPr>
          <w:lang w:val="en-US"/>
        </w:rPr>
        <w:t xml:space="preserve"> </w:t>
      </w:r>
      <w:r>
        <w:rPr>
          <w:lang w:val="en-US"/>
        </w:rPr>
        <w:t>“</w:t>
      </w:r>
      <w:r w:rsidRPr="00104AEE">
        <w:rPr>
          <w:lang w:val="en-US"/>
        </w:rPr>
        <w:t>Living Independently</w:t>
      </w:r>
      <w:r>
        <w:rPr>
          <w:lang w:val="en-US"/>
        </w:rPr>
        <w:t>”</w:t>
      </w:r>
      <w:r w:rsidRPr="00104AEE">
        <w:rPr>
          <w:lang w:val="en-US"/>
        </w:rPr>
        <w:t xml:space="preserve"> programme, p. 8; e.g. Basel-Stadt, Basel-Landschaft, Bern, Lucerne, St. Gallen and Zug. Support is also provided for the creation of inclusive jobs that are not primarily aimed at reducing pensions. </w:t>
      </w:r>
    </w:p>
  </w:footnote>
  <w:footnote w:id="265">
    <w:p w14:paraId="1DD28F10" w14:textId="768FFC71" w:rsidR="00D739C9" w:rsidRPr="00104AEE" w:rsidRDefault="00D739C9" w:rsidP="00B205C7">
      <w:pPr>
        <w:pStyle w:val="Fussnote"/>
        <w:rPr>
          <w:smallCaps/>
          <w:lang w:val="en-US"/>
        </w:rPr>
      </w:pPr>
      <w:r w:rsidRPr="00527230">
        <w:rPr>
          <w:rStyle w:val="FootnoteReference"/>
          <w:szCs w:val="18"/>
        </w:rPr>
        <w:footnoteRef/>
      </w:r>
      <w:r w:rsidRPr="00104AEE">
        <w:rPr>
          <w:lang w:val="en-US"/>
        </w:rPr>
        <w:t xml:space="preserve"> See </w:t>
      </w:r>
      <w:hyperlink r:id="rId177" w:history="1">
        <w:r w:rsidRPr="00527230">
          <w:rPr>
            <w:rStyle w:val="Hyperlink"/>
            <w:rFonts w:eastAsia="MS Gothic"/>
            <w:szCs w:val="18"/>
            <w:lang w:val="en-US"/>
          </w:rPr>
          <w:t>Wirkungsbericht Behindertenpolitik im Kanton St. Gallen [Impact Report on Disability Policy in the Canton of St. Gallen], 2018</w:t>
        </w:r>
      </w:hyperlink>
      <w:r w:rsidRPr="00104AEE">
        <w:rPr>
          <w:lang w:val="en-US"/>
        </w:rPr>
        <w:t xml:space="preserve">, p. 52 f.; </w:t>
      </w:r>
      <w:hyperlink r:id="rId178" w:history="1">
        <w:r w:rsidRPr="00527230">
          <w:rPr>
            <w:rStyle w:val="Hyperlink"/>
            <w:rFonts w:eastAsia="MS Gothic"/>
            <w:smallCaps/>
            <w:szCs w:val="18"/>
            <w:lang w:val="en-US"/>
          </w:rPr>
          <w:t xml:space="preserve">ZHAW, </w:t>
        </w:r>
        <w:r w:rsidRPr="00527230">
          <w:rPr>
            <w:rStyle w:val="Hyperlink"/>
            <w:rFonts w:eastAsia="MS Gothic"/>
            <w:szCs w:val="18"/>
            <w:lang w:val="en-US"/>
          </w:rPr>
          <w:t>Handlungsbedarf aufgrund der UNO-Behindertenrechtskonvention im Kanton Zürich [Need for Action Based on the UN Convention on the Rights of the Disabled in the Canton of Zurich], July 2018</w:t>
        </w:r>
      </w:hyperlink>
      <w:r w:rsidRPr="00104AEE">
        <w:rPr>
          <w:lang w:val="en-US"/>
        </w:rPr>
        <w:t xml:space="preserve">, p. 72. </w:t>
      </w:r>
    </w:p>
  </w:footnote>
  <w:footnote w:id="266">
    <w:p w14:paraId="31C70B64" w14:textId="0CD462AE" w:rsidR="00D739C9" w:rsidRPr="00104AEE" w:rsidRDefault="00D739C9" w:rsidP="00B205C7">
      <w:pPr>
        <w:pStyle w:val="Fussnote"/>
        <w:rPr>
          <w:lang w:val="en-US"/>
        </w:rPr>
      </w:pPr>
      <w:r w:rsidRPr="00527230">
        <w:rPr>
          <w:rStyle w:val="FootnoteReference"/>
        </w:rPr>
        <w:footnoteRef/>
      </w:r>
      <w:r w:rsidRPr="00104AEE">
        <w:rPr>
          <w:lang w:val="en-US"/>
        </w:rPr>
        <w:t xml:space="preserve"> </w:t>
      </w:r>
      <w:hyperlink r:id="rId179" w:history="1">
        <w:r w:rsidRPr="00527230">
          <w:rPr>
            <w:rStyle w:val="Hyperlink"/>
            <w:lang w:val="en-US"/>
          </w:rPr>
          <w:t>INSOS, Annual Report 2020</w:t>
        </w:r>
      </w:hyperlink>
      <w:r w:rsidRPr="00104AEE">
        <w:rPr>
          <w:lang w:val="en-US"/>
        </w:rPr>
        <w:t>, p. 5.</w:t>
      </w:r>
    </w:p>
  </w:footnote>
  <w:footnote w:id="267">
    <w:p w14:paraId="6707CB6D" w14:textId="4ADA68C7" w:rsidR="00D739C9" w:rsidRPr="00104AEE" w:rsidRDefault="00D739C9" w:rsidP="00B205C7">
      <w:pPr>
        <w:pStyle w:val="Fussnote"/>
        <w:rPr>
          <w:lang w:val="en-US"/>
        </w:rPr>
      </w:pPr>
      <w:r w:rsidRPr="00527230">
        <w:rPr>
          <w:rStyle w:val="FootnoteReference"/>
        </w:rPr>
        <w:footnoteRef/>
      </w:r>
      <w:r w:rsidRPr="00104AEE">
        <w:rPr>
          <w:lang w:val="en-US"/>
        </w:rPr>
        <w:t xml:space="preserve"> See, in particular, </w:t>
      </w:r>
      <w:hyperlink r:id="rId180" w:history="1">
        <w:r w:rsidRPr="00527230">
          <w:rPr>
            <w:rStyle w:val="Hyperlink"/>
            <w:lang w:val="en-US"/>
          </w:rPr>
          <w:t>https://www.compasso.ch/</w:t>
        </w:r>
      </w:hyperlink>
      <w:r w:rsidRPr="00104AEE">
        <w:rPr>
          <w:lang w:val="en-US"/>
        </w:rPr>
        <w:t>.</w:t>
      </w:r>
    </w:p>
  </w:footnote>
  <w:footnote w:id="268">
    <w:p w14:paraId="3114031E" w14:textId="37F283A5" w:rsidR="00D739C9" w:rsidRPr="00527230" w:rsidRDefault="00D739C9" w:rsidP="00B205C7">
      <w:pPr>
        <w:pStyle w:val="Fussnote"/>
      </w:pPr>
      <w:r w:rsidRPr="00527230">
        <w:rPr>
          <w:rStyle w:val="FootnoteReference"/>
        </w:rPr>
        <w:footnoteRef/>
      </w:r>
      <w:r w:rsidRPr="00527230">
        <w:t xml:space="preserve"> </w:t>
      </w:r>
      <w:hyperlink r:id="rId181" w:history="1">
        <w:r w:rsidRPr="00527230">
          <w:rPr>
            <w:rStyle w:val="Hyperlink"/>
            <w:smallCaps/>
          </w:rPr>
          <w:t>Regina Knöpfel</w:t>
        </w:r>
        <w:r w:rsidRPr="00527230">
          <w:rPr>
            <w:rStyle w:val="Hyperlink"/>
          </w:rPr>
          <w:t>, Jung und beeinträchtigt – ein erfolgreicher Weg in die Arbeitswelt: Bestandsaufnahme, Handlungsansätze und Massnahmen zur Weiterentwicklung der erstmaligen beruflichen Eingliederung Jugendlicher und junger Erwachsener mit Beeinträchtigungen, 2018</w:t>
        </w:r>
      </w:hyperlink>
      <w:r w:rsidRPr="00527230">
        <w:t>, p. 52.</w:t>
      </w:r>
    </w:p>
  </w:footnote>
  <w:footnote w:id="269">
    <w:p w14:paraId="67C86CAA" w14:textId="6DB11340" w:rsidR="00D739C9" w:rsidRPr="00104AEE" w:rsidRDefault="00D739C9" w:rsidP="00B205C7">
      <w:pPr>
        <w:pStyle w:val="Fussnote"/>
        <w:rPr>
          <w:lang w:val="en-US"/>
        </w:rPr>
      </w:pPr>
      <w:r w:rsidRPr="00527230">
        <w:rPr>
          <w:rStyle w:val="FootnoteReference"/>
        </w:rPr>
        <w:footnoteRef/>
      </w:r>
      <w:r w:rsidRPr="00104AEE">
        <w:rPr>
          <w:lang w:val="en-US"/>
        </w:rPr>
        <w:t xml:space="preserve"> Indeed, it fell from 1.4% to 1.3%. See </w:t>
      </w:r>
      <w:hyperlink r:id="rId182" w:history="1">
        <w:r w:rsidRPr="00527230">
          <w:rPr>
            <w:rStyle w:val="Hyperlink"/>
            <w:lang w:val="en-US"/>
          </w:rPr>
          <w:t>FC, Reporting Personnel Management 2020, March 2021</w:t>
        </w:r>
      </w:hyperlink>
      <w:r w:rsidRPr="00104AEE">
        <w:rPr>
          <w:lang w:val="en-US"/>
        </w:rPr>
        <w:t>, p. 22 f.</w:t>
      </w:r>
    </w:p>
  </w:footnote>
  <w:footnote w:id="270">
    <w:p w14:paraId="0EFD9CA3" w14:textId="3D3C74F0" w:rsidR="00D739C9" w:rsidRPr="0040614B" w:rsidRDefault="00D739C9" w:rsidP="00B205C7">
      <w:pPr>
        <w:pStyle w:val="Fussnote"/>
        <w:rPr>
          <w:lang w:val="en-US"/>
        </w:rPr>
      </w:pPr>
      <w:r w:rsidRPr="00527230">
        <w:rPr>
          <w:rStyle w:val="FootnoteReference"/>
        </w:rPr>
        <w:footnoteRef/>
      </w:r>
      <w:r w:rsidRPr="00104AEE">
        <w:rPr>
          <w:lang w:val="en-US"/>
        </w:rPr>
        <w:t xml:space="preserve"> “Equality and Work” programme, section </w:t>
      </w:r>
      <w:r w:rsidRPr="0040614B">
        <w:rPr>
          <w:lang w:val="en-US"/>
        </w:rPr>
        <w:t xml:space="preserve">4.2.1 Disability Policy Report (fn. 3), and </w:t>
      </w:r>
      <w:hyperlink r:id="rId183" w:history="1">
        <w:r w:rsidRPr="0040614B">
          <w:rPr>
            <w:rStyle w:val="Hyperlink"/>
            <w:lang w:val="en-US"/>
          </w:rPr>
          <w:t>Petition Youth Session 2017</w:t>
        </w:r>
      </w:hyperlink>
      <w:r w:rsidRPr="0040614B">
        <w:rPr>
          <w:lang w:val="en-US"/>
        </w:rPr>
        <w:t>.</w:t>
      </w:r>
    </w:p>
  </w:footnote>
  <w:footnote w:id="271">
    <w:p w14:paraId="5B39FE1E" w14:textId="77777777" w:rsidR="00D739C9" w:rsidRPr="0040614B" w:rsidRDefault="00D739C9" w:rsidP="00B205C7">
      <w:pPr>
        <w:pStyle w:val="Fussnote"/>
        <w:rPr>
          <w:lang w:val="en-US"/>
        </w:rPr>
      </w:pPr>
      <w:r w:rsidRPr="0040614B">
        <w:rPr>
          <w:rStyle w:val="FootnoteReference"/>
        </w:rPr>
        <w:footnoteRef/>
      </w:r>
      <w:r w:rsidRPr="0040614B">
        <w:rPr>
          <w:lang w:val="en-US"/>
        </w:rPr>
        <w:t xml:space="preserve"> Disability Policy Report (fn. 3), p. 48.</w:t>
      </w:r>
    </w:p>
  </w:footnote>
  <w:footnote w:id="272">
    <w:p w14:paraId="5AD6AA0D" w14:textId="535EEA3C" w:rsidR="00D739C9" w:rsidRPr="0040614B" w:rsidRDefault="00D739C9" w:rsidP="00B205C7">
      <w:pPr>
        <w:pStyle w:val="Fussnote"/>
        <w:rPr>
          <w:lang w:val="en-US"/>
        </w:rPr>
      </w:pPr>
      <w:r w:rsidRPr="0040614B">
        <w:rPr>
          <w:rStyle w:val="FootnoteReference"/>
          <w:szCs w:val="18"/>
        </w:rPr>
        <w:footnoteRef/>
      </w:r>
      <w:r w:rsidRPr="0040614B">
        <w:rPr>
          <w:lang w:val="en-US"/>
        </w:rPr>
        <w:t xml:space="preserve"> See DDA Evaluation (fn. 2), p. 340 as well as consultancy practice, e.g. SGB </w:t>
      </w:r>
      <w:hyperlink r:id="rId184" w:history="1">
        <w:r w:rsidRPr="0040614B">
          <w:rPr>
            <w:rStyle w:val="Hyperlink"/>
            <w:szCs w:val="18"/>
            <w:lang w:val="en-US"/>
          </w:rPr>
          <w:t>Discrimination reports in the year 2021, p. 7</w:t>
        </w:r>
      </w:hyperlink>
      <w:r w:rsidRPr="0040614B">
        <w:rPr>
          <w:lang w:val="en-US"/>
        </w:rPr>
        <w:t xml:space="preserve">. </w:t>
      </w:r>
    </w:p>
  </w:footnote>
  <w:footnote w:id="273">
    <w:p w14:paraId="7846A244" w14:textId="51E68A1D" w:rsidR="00D739C9" w:rsidRPr="00104AEE" w:rsidRDefault="00D739C9" w:rsidP="00B205C7">
      <w:pPr>
        <w:pStyle w:val="Fussnote"/>
        <w:rPr>
          <w:lang w:val="en-US"/>
        </w:rPr>
      </w:pPr>
      <w:r w:rsidRPr="0040614B">
        <w:rPr>
          <w:rStyle w:val="FootnoteReference"/>
        </w:rPr>
        <w:footnoteRef/>
      </w:r>
      <w:r w:rsidRPr="0040614B">
        <w:rPr>
          <w:lang w:val="en-US"/>
        </w:rPr>
        <w:t xml:space="preserve"> See </w:t>
      </w:r>
      <w:hyperlink r:id="rId185" w:history="1">
        <w:r w:rsidRPr="0040614B">
          <w:rPr>
            <w:rStyle w:val="Hyperlink"/>
            <w:lang w:val="en-US"/>
          </w:rPr>
          <w:t>FSO, Persons with disabilities are less satisfied with quality of life at work, 2019</w:t>
        </w:r>
      </w:hyperlink>
      <w:r w:rsidRPr="0040614B">
        <w:rPr>
          <w:lang w:val="en-US"/>
        </w:rPr>
        <w:t xml:space="preserve">, as well as </w:t>
      </w:r>
      <w:hyperlink r:id="rId186" w:history="1">
        <w:r w:rsidRPr="0040614B">
          <w:rPr>
            <w:rStyle w:val="Hyperlink"/>
            <w:lang w:val="en-US"/>
          </w:rPr>
          <w:t>FSO, Workplace discrimination and violence against persons with and without disabilities, 2017</w:t>
        </w:r>
      </w:hyperlink>
      <w:r w:rsidRPr="0040614B">
        <w:rPr>
          <w:lang w:val="en-US"/>
        </w:rPr>
        <w:t>.</w:t>
      </w:r>
      <w:r w:rsidRPr="00104AEE">
        <w:rPr>
          <w:lang w:val="en-US"/>
        </w:rPr>
        <w:t xml:space="preserve"> </w:t>
      </w:r>
    </w:p>
  </w:footnote>
  <w:footnote w:id="274">
    <w:p w14:paraId="48CBF9F9" w14:textId="144D5F9E" w:rsidR="00D739C9" w:rsidRPr="00104AEE" w:rsidRDefault="00D739C9" w:rsidP="00B205C7">
      <w:pPr>
        <w:pStyle w:val="Fussnote"/>
        <w:rPr>
          <w:lang w:val="en-US"/>
        </w:rPr>
      </w:pPr>
      <w:r w:rsidRPr="00527230">
        <w:rPr>
          <w:rStyle w:val="FootnoteReference"/>
        </w:rPr>
        <w:footnoteRef/>
      </w:r>
      <w:r w:rsidRPr="00104AEE">
        <w:rPr>
          <w:lang w:val="en-US"/>
        </w:rPr>
        <w:t xml:space="preserve"> See </w:t>
      </w:r>
      <w:hyperlink r:id="rId187" w:history="1">
        <w:r w:rsidRPr="00527230">
          <w:rPr>
            <w:rStyle w:val="Hyperlink"/>
            <w:lang w:val="en-US"/>
          </w:rPr>
          <w:t>FSO, Working conditions for persons with and without disabilities, 2014</w:t>
        </w:r>
      </w:hyperlink>
      <w:r w:rsidRPr="00104AEE">
        <w:rPr>
          <w:lang w:val="en-US"/>
        </w:rPr>
        <w:t>.</w:t>
      </w:r>
    </w:p>
  </w:footnote>
  <w:footnote w:id="275">
    <w:p w14:paraId="7DDABA39" w14:textId="48A5E9BC" w:rsidR="00D739C9" w:rsidRPr="00F70B27" w:rsidRDefault="00D739C9" w:rsidP="00B205C7">
      <w:pPr>
        <w:pStyle w:val="Fussnote"/>
        <w:rPr>
          <w:lang w:val="en-US"/>
        </w:rPr>
      </w:pPr>
      <w:r w:rsidRPr="00F70B27">
        <w:rPr>
          <w:rStyle w:val="FootnoteReference"/>
        </w:rPr>
        <w:footnoteRef/>
      </w:r>
      <w:r w:rsidRPr="00F70B27">
        <w:rPr>
          <w:lang w:val="en-US"/>
        </w:rPr>
        <w:t xml:space="preserve"> Article 14quater (3) and (4) InvIA.</w:t>
      </w:r>
    </w:p>
  </w:footnote>
  <w:footnote w:id="276">
    <w:p w14:paraId="4B270B73" w14:textId="6C1FF66F" w:rsidR="00D739C9" w:rsidRPr="00016CF8" w:rsidRDefault="00D739C9" w:rsidP="00B205C7">
      <w:pPr>
        <w:pStyle w:val="Fussnote"/>
        <w:rPr>
          <w:lang w:val="en-GB"/>
        </w:rPr>
      </w:pPr>
      <w:r w:rsidRPr="00F70B27">
        <w:rPr>
          <w:rStyle w:val="FootnoteReference"/>
        </w:rPr>
        <w:footnoteRef/>
      </w:r>
      <w:r w:rsidRPr="00F70B27">
        <w:rPr>
          <w:lang w:val="en-US"/>
        </w:rPr>
        <w:t xml:space="preserve"> </w:t>
      </w:r>
      <w:r w:rsidRPr="00F70B27">
        <w:rPr>
          <w:lang w:val="en-GB"/>
        </w:rPr>
        <w:t>In practice, a sort of “special agreement” is regularly concluded with employees who, because of their disability, have a higher workload for a certain service than employees without a disability. For instance, the parties agree to 80% attendance time, during which a performance of 60% is remunerated at a wage of 60%. There is no state wage cost subsidy to offset the 20% loss of wage, and any invalidity insurance pension covers only part of the lost wage.</w:t>
      </w:r>
    </w:p>
  </w:footnote>
  <w:footnote w:id="277">
    <w:p w14:paraId="19B057C1" w14:textId="6C83CD37" w:rsidR="00D739C9" w:rsidRPr="003950DD" w:rsidRDefault="00D739C9" w:rsidP="00B205C7">
      <w:pPr>
        <w:pStyle w:val="Fussnote"/>
        <w:rPr>
          <w:lang w:val="en-US"/>
        </w:rPr>
      </w:pPr>
      <w:r w:rsidRPr="00527230">
        <w:rPr>
          <w:rStyle w:val="FootnoteReference"/>
        </w:rPr>
        <w:footnoteRef/>
      </w:r>
      <w:r w:rsidRPr="00104AEE">
        <w:rPr>
          <w:lang w:val="en-US"/>
        </w:rPr>
        <w:t xml:space="preserve"> See </w:t>
      </w:r>
      <w:r w:rsidRPr="003950DD">
        <w:rPr>
          <w:lang w:val="en-US"/>
        </w:rPr>
        <w:t xml:space="preserve">FSO, </w:t>
      </w:r>
      <w:hyperlink r:id="rId188" w:history="1">
        <w:r w:rsidRPr="00C97C0A">
          <w:rPr>
            <w:rStyle w:val="Hyperlink"/>
            <w:lang w:val="en-US"/>
          </w:rPr>
          <w:t>Labour-market participation of persons with and without disabilities</w:t>
        </w:r>
      </w:hyperlink>
      <w:r>
        <w:rPr>
          <w:lang w:val="en-US"/>
        </w:rPr>
        <w:t xml:space="preserve">: </w:t>
      </w:r>
      <w:r w:rsidRPr="003950DD">
        <w:rPr>
          <w:lang w:val="en-US"/>
        </w:rPr>
        <w:t xml:space="preserve">2019: 68%, 78% and 83% respectively. </w:t>
      </w:r>
    </w:p>
  </w:footnote>
  <w:footnote w:id="278">
    <w:p w14:paraId="1D2354D1" w14:textId="622A570D" w:rsidR="00D739C9" w:rsidRPr="003950DD" w:rsidRDefault="00D739C9" w:rsidP="00B205C7">
      <w:pPr>
        <w:pStyle w:val="Fussnote"/>
        <w:rPr>
          <w:lang w:val="en-US"/>
        </w:rPr>
      </w:pPr>
      <w:r w:rsidRPr="003950DD">
        <w:rPr>
          <w:rStyle w:val="FootnoteReference"/>
          <w:szCs w:val="18"/>
        </w:rPr>
        <w:footnoteRef/>
      </w:r>
      <w:r>
        <w:rPr>
          <w:lang w:val="en-US"/>
        </w:rPr>
        <w:t xml:space="preserve"> I</w:t>
      </w:r>
      <w:r w:rsidRPr="003950DD">
        <w:rPr>
          <w:lang w:val="en-US"/>
        </w:rPr>
        <w:t xml:space="preserve">bid. In </w:t>
      </w:r>
      <w:r w:rsidRPr="003950DD">
        <w:rPr>
          <w:bCs/>
          <w:lang w:val="en-US"/>
        </w:rPr>
        <w:t>2019</w:t>
      </w:r>
      <w:r w:rsidRPr="003950DD">
        <w:rPr>
          <w:lang w:val="en-US"/>
        </w:rPr>
        <w:t xml:space="preserve">, 37% of women with disabilities had full-time jobs, compared to 71% of men with disabilities and 46% of women without disabilities. </w:t>
      </w:r>
    </w:p>
  </w:footnote>
  <w:footnote w:id="279">
    <w:p w14:paraId="6F799743" w14:textId="6DAC71BD" w:rsidR="00D739C9" w:rsidRPr="003950DD" w:rsidRDefault="00D739C9" w:rsidP="00B205C7">
      <w:pPr>
        <w:pStyle w:val="Fussnote"/>
        <w:rPr>
          <w:lang w:val="en-US"/>
        </w:rPr>
      </w:pPr>
      <w:r w:rsidRPr="003950DD">
        <w:rPr>
          <w:rStyle w:val="FootnoteReference"/>
        </w:rPr>
        <w:footnoteRef/>
      </w:r>
      <w:r w:rsidRPr="003950DD">
        <w:rPr>
          <w:lang w:val="en-US"/>
        </w:rPr>
        <w:t xml:space="preserve"> FSO, </w:t>
      </w:r>
      <w:hyperlink r:id="rId189" w:history="1">
        <w:r w:rsidRPr="00C97C0A">
          <w:rPr>
            <w:rStyle w:val="Hyperlink"/>
            <w:lang w:val="en-US"/>
          </w:rPr>
          <w:t>Working conditions of persons with and without disabilities</w:t>
        </w:r>
      </w:hyperlink>
      <w:r w:rsidRPr="00AE6458">
        <w:rPr>
          <w:lang w:val="en-US"/>
        </w:rPr>
        <w:t>, 2014</w:t>
      </w:r>
      <w:r w:rsidRPr="003950DD">
        <w:rPr>
          <w:lang w:val="en-US"/>
        </w:rPr>
        <w:t>.</w:t>
      </w:r>
    </w:p>
  </w:footnote>
  <w:footnote w:id="280">
    <w:p w14:paraId="26ACCE2B" w14:textId="7324C2FC" w:rsidR="00D739C9" w:rsidRPr="003950DD" w:rsidRDefault="00D739C9" w:rsidP="00B205C7">
      <w:pPr>
        <w:pStyle w:val="Fussnote"/>
        <w:rPr>
          <w:lang w:val="en-US"/>
        </w:rPr>
      </w:pPr>
      <w:r w:rsidRPr="003950DD">
        <w:rPr>
          <w:rStyle w:val="FootnoteReference"/>
        </w:rPr>
        <w:footnoteRef/>
      </w:r>
      <w:r w:rsidRPr="003950DD">
        <w:rPr>
          <w:lang w:val="en-US"/>
        </w:rPr>
        <w:t xml:space="preserve"> FSO, </w:t>
      </w:r>
      <w:hyperlink r:id="rId190" w:history="1">
        <w:r w:rsidRPr="003950DD">
          <w:rPr>
            <w:rStyle w:val="Hyperlink"/>
            <w:lang w:val="en-US"/>
          </w:rPr>
          <w:t>Workplace discrimination and violence against persons with and without disabilities</w:t>
        </w:r>
      </w:hyperlink>
      <w:r w:rsidRPr="003950DD">
        <w:rPr>
          <w:lang w:val="en-US"/>
        </w:rPr>
        <w:t xml:space="preserve">, 2017. </w:t>
      </w:r>
    </w:p>
  </w:footnote>
  <w:footnote w:id="281">
    <w:p w14:paraId="4E6DFF98" w14:textId="4677696F" w:rsidR="00D739C9" w:rsidRPr="003950DD" w:rsidRDefault="00D739C9" w:rsidP="00B205C7">
      <w:pPr>
        <w:pStyle w:val="Fussnote"/>
        <w:rPr>
          <w:lang w:val="en-US"/>
        </w:rPr>
      </w:pPr>
      <w:r w:rsidRPr="003950DD">
        <w:rPr>
          <w:rStyle w:val="FootnoteReference"/>
        </w:rPr>
        <w:footnoteRef/>
      </w:r>
      <w:r w:rsidRPr="003950DD">
        <w:rPr>
          <w:lang w:val="en-US"/>
        </w:rPr>
        <w:t xml:space="preserve"> FBED, </w:t>
      </w:r>
      <w:r>
        <w:rPr>
          <w:lang w:val="en-US"/>
        </w:rPr>
        <w:t xml:space="preserve">issue </w:t>
      </w:r>
      <w:r w:rsidRPr="003950DD">
        <w:rPr>
          <w:lang w:val="en-US"/>
        </w:rPr>
        <w:t>dossier Women with Disabilities (fn. 133)</w:t>
      </w:r>
      <w:r>
        <w:rPr>
          <w:lang w:val="en-US"/>
        </w:rPr>
        <w:t>,</w:t>
      </w:r>
      <w:r w:rsidRPr="003950DD">
        <w:rPr>
          <w:lang w:val="en-US"/>
        </w:rPr>
        <w:t xml:space="preserve"> p. 17.</w:t>
      </w:r>
    </w:p>
  </w:footnote>
  <w:footnote w:id="282">
    <w:p w14:paraId="6CF337FE" w14:textId="64592745" w:rsidR="00D739C9" w:rsidRPr="003950DD" w:rsidRDefault="00D739C9" w:rsidP="00B205C7">
      <w:pPr>
        <w:pStyle w:val="Fussnote"/>
        <w:rPr>
          <w:lang w:val="en-US"/>
        </w:rPr>
      </w:pPr>
      <w:r w:rsidRPr="003950DD">
        <w:rPr>
          <w:rStyle w:val="FootnoteReference"/>
        </w:rPr>
        <w:footnoteRef/>
      </w:r>
      <w:r w:rsidRPr="003950DD">
        <w:rPr>
          <w:lang w:val="en-US"/>
        </w:rPr>
        <w:t xml:space="preserve"> </w:t>
      </w:r>
      <w:r w:rsidRPr="003950DD">
        <w:rPr>
          <w:smallCaps/>
          <w:lang w:val="en-US"/>
        </w:rPr>
        <w:t>FSO</w:t>
      </w:r>
      <w:r w:rsidRPr="003950DD">
        <w:rPr>
          <w:lang w:val="en-US"/>
        </w:rPr>
        <w:t xml:space="preserve">, </w:t>
      </w:r>
      <w:hyperlink r:id="rId191" w:history="1">
        <w:r w:rsidRPr="00CE2F83">
          <w:rPr>
            <w:rStyle w:val="Hyperlink"/>
            <w:lang w:val="en-US"/>
          </w:rPr>
          <w:t>Estimated percentage of PWD by gender and age, 2019</w:t>
        </w:r>
      </w:hyperlink>
      <w:r w:rsidRPr="003950DD">
        <w:rPr>
          <w:lang w:val="en-US"/>
        </w:rPr>
        <w:t xml:space="preserve">. </w:t>
      </w:r>
    </w:p>
  </w:footnote>
  <w:footnote w:id="283">
    <w:p w14:paraId="49B7F9F1" w14:textId="1E029158" w:rsidR="00D739C9" w:rsidRPr="003950DD" w:rsidRDefault="00D739C9" w:rsidP="00B205C7">
      <w:pPr>
        <w:pStyle w:val="Fussnote"/>
        <w:rPr>
          <w:lang w:val="en-US"/>
        </w:rPr>
      </w:pPr>
      <w:r w:rsidRPr="003950DD">
        <w:rPr>
          <w:rStyle w:val="FootnoteReference"/>
        </w:rPr>
        <w:footnoteRef/>
      </w:r>
      <w:r w:rsidRPr="003950DD">
        <w:rPr>
          <w:lang w:val="en-US"/>
        </w:rPr>
        <w:t xml:space="preserve"> See FBED, issue dossier Women with Disabilities (fn. 133), p. 32.</w:t>
      </w:r>
    </w:p>
  </w:footnote>
  <w:footnote w:id="284">
    <w:p w14:paraId="31FC7755" w14:textId="38B521AE" w:rsidR="00D739C9" w:rsidRPr="00FB1E5B" w:rsidRDefault="00D739C9" w:rsidP="00C149D9">
      <w:pPr>
        <w:pStyle w:val="Fussnote"/>
        <w:jc w:val="both"/>
        <w:rPr>
          <w:lang w:val="en-US"/>
        </w:rPr>
      </w:pPr>
      <w:r w:rsidRPr="003950DD">
        <w:rPr>
          <w:rStyle w:val="FootnoteReference"/>
          <w:szCs w:val="18"/>
        </w:rPr>
        <w:footnoteRef/>
      </w:r>
      <w:r w:rsidRPr="003950DD">
        <w:rPr>
          <w:lang w:val="en-US"/>
        </w:rPr>
        <w:t xml:space="preserve"> In vocational training, for example, the difference amounts to CHF 170 million per year (223 vs. 390 million); see FSIO, </w:t>
      </w:r>
      <w:r w:rsidRPr="00CE2F83">
        <w:rPr>
          <w:rStyle w:val="Hyperlink"/>
          <w:rFonts w:eastAsia="MS Gothic"/>
          <w:szCs w:val="18"/>
          <w:u w:val="none"/>
          <w:lang w:val="en-US"/>
        </w:rPr>
        <w:t>IV-Statistik</w:t>
      </w:r>
      <w:r w:rsidRPr="003950DD">
        <w:rPr>
          <w:rStyle w:val="Hyperlink"/>
          <w:rFonts w:eastAsia="MS Gothic"/>
          <w:szCs w:val="18"/>
          <w:lang w:val="en-US"/>
        </w:rPr>
        <w:t xml:space="preserve"> [</w:t>
      </w:r>
      <w:r w:rsidRPr="00CE2F83">
        <w:rPr>
          <w:rFonts w:eastAsia="MS Gothic"/>
          <w:szCs w:val="18"/>
          <w:lang w:val="en-US"/>
        </w:rPr>
        <w:t xml:space="preserve">Invalidity Insurance Statistics] 2018, T3.2.5, </w:t>
      </w:r>
      <w:r w:rsidRPr="003950DD">
        <w:rPr>
          <w:lang w:val="en-US"/>
        </w:rPr>
        <w:t>Mesures de réadaptation et mesures d’instruction AI en 2018, Montant de prestations par genre (not available online).</w:t>
      </w:r>
    </w:p>
  </w:footnote>
  <w:footnote w:id="285">
    <w:p w14:paraId="3D7AB71E" w14:textId="4B44674B" w:rsidR="00D739C9" w:rsidRPr="00527230" w:rsidRDefault="00D739C9" w:rsidP="00B205C7">
      <w:pPr>
        <w:pStyle w:val="Fussnote"/>
        <w:rPr>
          <w:lang w:val="en-US"/>
        </w:rPr>
      </w:pPr>
      <w:r w:rsidRPr="00527230">
        <w:rPr>
          <w:rStyle w:val="FootnoteReference"/>
        </w:rPr>
        <w:footnoteRef/>
      </w:r>
      <w:r w:rsidRPr="00C149D9">
        <w:rPr>
          <w:lang w:val="en-US"/>
        </w:rPr>
        <w:t xml:space="preserve"> </w:t>
      </w:r>
      <w:hyperlink r:id="rId192" w:history="1">
        <w:r w:rsidRPr="00527230">
          <w:rPr>
            <w:rStyle w:val="Hyperlink"/>
            <w:smallCaps/>
            <w:lang w:val="en-US"/>
          </w:rPr>
          <w:t>FOGE, E</w:t>
        </w:r>
        <w:r w:rsidRPr="00527230">
          <w:rPr>
            <w:rStyle w:val="Hyperlink"/>
            <w:lang w:val="en-US"/>
          </w:rPr>
          <w:t>quality between Women and Men: Action Plan of Switzerland, 1999</w:t>
        </w:r>
      </w:hyperlink>
      <w:r>
        <w:rPr>
          <w:lang w:val="en-US"/>
        </w:rPr>
        <w:t>, m</w:t>
      </w:r>
      <w:r w:rsidRPr="00527230">
        <w:rPr>
          <w:lang w:val="en-US"/>
        </w:rPr>
        <w:t xml:space="preserve">easures 33, 42 and 44. </w:t>
      </w:r>
    </w:p>
  </w:footnote>
  <w:footnote w:id="286">
    <w:p w14:paraId="27CFDF6E" w14:textId="1A3B914C" w:rsidR="00D739C9" w:rsidRPr="00527230" w:rsidRDefault="00D739C9" w:rsidP="00B205C7">
      <w:pPr>
        <w:pStyle w:val="Fussnote"/>
        <w:rPr>
          <w:lang w:val="en-US"/>
        </w:rPr>
      </w:pPr>
      <w:r w:rsidRPr="00527230">
        <w:rPr>
          <w:rStyle w:val="FootnoteReference"/>
        </w:rPr>
        <w:footnoteRef/>
      </w:r>
      <w:r w:rsidRPr="00527230">
        <w:rPr>
          <w:lang w:val="en-US"/>
        </w:rPr>
        <w:t xml:space="preserve"> </w:t>
      </w:r>
      <w:hyperlink r:id="rId193" w:history="1">
        <w:r w:rsidRPr="00527230">
          <w:rPr>
            <w:rStyle w:val="Hyperlink"/>
            <w:lang w:val="en-US"/>
          </w:rPr>
          <w:t>avanti donne, Education without barriers</w:t>
        </w:r>
      </w:hyperlink>
      <w:r w:rsidRPr="00527230">
        <w:rPr>
          <w:lang w:val="en-US"/>
        </w:rPr>
        <w:t>.</w:t>
      </w:r>
    </w:p>
  </w:footnote>
  <w:footnote w:id="287">
    <w:p w14:paraId="11BC5CB2" w14:textId="77777777" w:rsidR="00D739C9" w:rsidRPr="00104AEE" w:rsidRDefault="00D739C9" w:rsidP="00B205C7">
      <w:pPr>
        <w:pStyle w:val="Fussnote"/>
        <w:rPr>
          <w:lang w:val="en-US"/>
        </w:rPr>
      </w:pPr>
      <w:r w:rsidRPr="00527230">
        <w:rPr>
          <w:rStyle w:val="FootnoteReference"/>
        </w:rPr>
        <w:footnoteRef/>
      </w:r>
      <w:r w:rsidRPr="00104AEE">
        <w:rPr>
          <w:lang w:val="en-US"/>
        </w:rPr>
        <w:t xml:space="preserve"> As part of the supplementary benefits for OASI and invalidity insurance, it is the cantons that currently determine the amount for personal expenses incurred by care home residents. The cantons have put in place highly disparate rules. Amounts for monthly personal expenses vary between CHF 190 (= CHF 6.25 francs per day) and CHF 536 (= CHF 17.60 per day). This makes it impossible for care home residents to meet their basic needs and participate appropriately in social life.</w:t>
      </w:r>
    </w:p>
  </w:footnote>
  <w:footnote w:id="288">
    <w:p w14:paraId="023CCDF1" w14:textId="77777777" w:rsidR="00D739C9" w:rsidRPr="00104AEE" w:rsidRDefault="00D739C9" w:rsidP="00B205C7">
      <w:pPr>
        <w:pStyle w:val="Fussnote"/>
        <w:rPr>
          <w:lang w:val="en-US"/>
        </w:rPr>
      </w:pPr>
      <w:r w:rsidRPr="00527230">
        <w:rPr>
          <w:rStyle w:val="FootnoteReference"/>
        </w:rPr>
        <w:footnoteRef/>
      </w:r>
      <w:r w:rsidRPr="00104AEE">
        <w:rPr>
          <w:lang w:val="en-US"/>
        </w:rPr>
        <w:t xml:space="preserve"> Often 3-5 years. Even if pension payments are then made retroactively, the individuals concerned are often required to claim social assistance benefits during the intervening period and thus to expose themselves to a degrading stigma within the social environment.</w:t>
      </w:r>
    </w:p>
  </w:footnote>
  <w:footnote w:id="289">
    <w:p w14:paraId="71B54FA5" w14:textId="77777777" w:rsidR="00D739C9" w:rsidRPr="00104AEE" w:rsidRDefault="00D739C9" w:rsidP="00B205C7">
      <w:pPr>
        <w:pStyle w:val="Fussnote"/>
        <w:rPr>
          <w:lang w:val="en-US"/>
        </w:rPr>
      </w:pPr>
      <w:r w:rsidRPr="00527230">
        <w:rPr>
          <w:rStyle w:val="FootnoteReference"/>
        </w:rPr>
        <w:footnoteRef/>
      </w:r>
      <w:r w:rsidRPr="00104AEE">
        <w:rPr>
          <w:lang w:val="en-US"/>
        </w:rPr>
        <w:t xml:space="preserve"> The risk-of-poverty threshold is set at 60 percent of the disposable median equivalent income of the household.</w:t>
      </w:r>
    </w:p>
  </w:footnote>
  <w:footnote w:id="290">
    <w:p w14:paraId="53BD5684" w14:textId="7A41DD68" w:rsidR="00D739C9" w:rsidRPr="00104AEE" w:rsidRDefault="00D739C9" w:rsidP="00B205C7">
      <w:pPr>
        <w:pStyle w:val="Fussnote"/>
      </w:pPr>
      <w:r w:rsidRPr="00527230">
        <w:rPr>
          <w:rStyle w:val="FootnoteReference"/>
        </w:rPr>
        <w:footnoteRef/>
      </w:r>
      <w:r w:rsidRPr="00104AEE">
        <w:rPr>
          <w:lang w:val="en-US"/>
        </w:rPr>
        <w:t xml:space="preserve"> Between 2013 and 2015, the risk of poverty for PWD in in Switzerland was between 3.6% and 5.4% higher than that of persons without disabilities. The risk for “severely impaired” PWD was even between 11.4% and 14.5% higher than that of persons without disabilities and is therefore more than twice as high. </w:t>
      </w:r>
      <w:hyperlink r:id="rId194" w:history="1">
        <w:r w:rsidRPr="00104AEE">
          <w:rPr>
            <w:rStyle w:val="Hyperlink"/>
          </w:rPr>
          <w:t>FSO, Lebensstandard von Menschen mit und ohne Behinderungen [Standard of Living of People with and without Disabilities], 2017</w:t>
        </w:r>
      </w:hyperlink>
      <w:r w:rsidRPr="00104AEE">
        <w:rPr>
          <w:rStyle w:val="FootnoteTextChar"/>
          <w:lang w:val="de-CH"/>
        </w:rPr>
        <w:t>.</w:t>
      </w:r>
    </w:p>
  </w:footnote>
  <w:footnote w:id="291">
    <w:p w14:paraId="21ACF42D" w14:textId="53007558" w:rsidR="00D739C9" w:rsidRPr="00104AEE" w:rsidRDefault="00D739C9" w:rsidP="00B205C7">
      <w:pPr>
        <w:pStyle w:val="Fussnote"/>
      </w:pPr>
      <w:r w:rsidRPr="00527230">
        <w:rPr>
          <w:rStyle w:val="FootnoteReference"/>
        </w:rPr>
        <w:footnoteRef/>
      </w:r>
      <w:r w:rsidRPr="00104AEE">
        <w:t xml:space="preserve"> </w:t>
      </w:r>
      <w:hyperlink r:id="rId195" w:history="1">
        <w:r w:rsidRPr="00104AEE">
          <w:rPr>
            <w:rStyle w:val="Hyperlink"/>
          </w:rPr>
          <w:t xml:space="preserve">Federal Council, Opinion on the question </w:t>
        </w:r>
        <w:r w:rsidRPr="0021718C">
          <w:rPr>
            <w:rStyle w:val="Hyperlink"/>
          </w:rPr>
          <w:t>“</w:t>
        </w:r>
        <w:r w:rsidRPr="00104AEE">
          <w:rPr>
            <w:rStyle w:val="Hyperlink"/>
          </w:rPr>
          <w:t>Alarmierende Zunahme der Armutsbetroffenheit von Menschen mit Behinderungen [Alarming increase in the incidence of poverty among PWD]</w:t>
        </w:r>
        <w:r w:rsidRPr="0021718C">
          <w:rPr>
            <w:rStyle w:val="Hyperlink"/>
          </w:rPr>
          <w:t>”</w:t>
        </w:r>
        <w:r w:rsidRPr="00104AEE">
          <w:rPr>
            <w:rStyle w:val="Hyperlink"/>
          </w:rPr>
          <w:t>, 20.11.2017</w:t>
        </w:r>
      </w:hyperlink>
      <w:r w:rsidRPr="00104AEE">
        <w:rPr>
          <w:rStyle w:val="Hyperlink"/>
        </w:rPr>
        <w:t>.</w:t>
      </w:r>
    </w:p>
  </w:footnote>
  <w:footnote w:id="292">
    <w:p w14:paraId="03201D3F" w14:textId="349D8F31" w:rsidR="00D739C9" w:rsidRPr="00104AEE" w:rsidRDefault="00D739C9" w:rsidP="00B205C7">
      <w:pPr>
        <w:pStyle w:val="Fussnote"/>
        <w:rPr>
          <w:lang w:val="en-US"/>
        </w:rPr>
      </w:pPr>
      <w:r w:rsidRPr="00527230">
        <w:rPr>
          <w:rStyle w:val="FootnoteReference"/>
        </w:rPr>
        <w:footnoteRef/>
      </w:r>
      <w:r w:rsidRPr="00104AEE">
        <w:rPr>
          <w:lang w:val="en-US"/>
        </w:rPr>
        <w:t xml:space="preserve"> </w:t>
      </w:r>
      <w:hyperlink r:id="rId196" w:history="1">
        <w:r w:rsidRPr="00527230">
          <w:rPr>
            <w:rStyle w:val="Hyperlink"/>
            <w:lang w:val="en-US"/>
          </w:rPr>
          <w:t>Federal Social Insurance Office (FSIO), implementation concept “National platform against poverty”: Poverty prevention measures 2019-2024</w:t>
        </w:r>
      </w:hyperlink>
      <w:r w:rsidRPr="00104AEE">
        <w:rPr>
          <w:lang w:val="en-US"/>
        </w:rPr>
        <w:t>.</w:t>
      </w:r>
    </w:p>
  </w:footnote>
  <w:footnote w:id="293">
    <w:p w14:paraId="020EA486" w14:textId="1B8B2491" w:rsidR="00D739C9" w:rsidRPr="00104AEE" w:rsidRDefault="00D739C9" w:rsidP="00B205C7">
      <w:pPr>
        <w:pStyle w:val="Fussnote"/>
        <w:rPr>
          <w:lang w:val="en-US"/>
        </w:rPr>
      </w:pPr>
      <w:r w:rsidRPr="00527230">
        <w:rPr>
          <w:rStyle w:val="FootnoteReference"/>
        </w:rPr>
        <w:footnoteRef/>
      </w:r>
      <w:r w:rsidRPr="00104AEE">
        <w:rPr>
          <w:lang w:val="en-US"/>
        </w:rPr>
        <w:t xml:space="preserve"> </w:t>
      </w:r>
      <w:hyperlink r:id="rId197" w:history="1">
        <w:r w:rsidRPr="00527230">
          <w:rPr>
            <w:rStyle w:val="Hyperlink"/>
            <w:lang w:val="en-US"/>
          </w:rPr>
          <w:t>Federal Council, Evaluation und Reformvorschläge zur Taggeldversicherung bei Krankheit [Assessment and proposals for reform concerning daily benefits insurance in the event of illness], 30.9.2009, p. 26 ff.</w:t>
        </w:r>
      </w:hyperlink>
    </w:p>
  </w:footnote>
  <w:footnote w:id="294">
    <w:p w14:paraId="06CA69B9" w14:textId="77777777" w:rsidR="00D739C9" w:rsidRPr="003D2F0B" w:rsidRDefault="00D739C9" w:rsidP="00B205C7">
      <w:pPr>
        <w:pStyle w:val="Fussnote"/>
      </w:pPr>
      <w:r w:rsidRPr="00527230">
        <w:rPr>
          <w:rStyle w:val="FootnoteReference"/>
        </w:rPr>
        <w:footnoteRef/>
      </w:r>
      <w:r w:rsidRPr="003D2F0B">
        <w:t xml:space="preserve"> Article 7 Occupational Pensions Act (OPA) and Article 4 Occupational Pension Ordinance (OPO 2).</w:t>
      </w:r>
    </w:p>
  </w:footnote>
  <w:footnote w:id="295">
    <w:p w14:paraId="1E469BCC" w14:textId="77777777" w:rsidR="00D739C9" w:rsidRPr="00527230" w:rsidRDefault="00D739C9" w:rsidP="00B205C7">
      <w:pPr>
        <w:pStyle w:val="Fussnote"/>
      </w:pPr>
      <w:r w:rsidRPr="00527230">
        <w:rPr>
          <w:rStyle w:val="FootnoteReference"/>
        </w:rPr>
        <w:footnoteRef/>
      </w:r>
      <w:r w:rsidRPr="00527230">
        <w:t xml:space="preserve"> Article 36(1) InvIA.</w:t>
      </w:r>
    </w:p>
  </w:footnote>
  <w:footnote w:id="296">
    <w:p w14:paraId="15D398CD" w14:textId="77777777" w:rsidR="00D739C9" w:rsidRPr="00527230" w:rsidRDefault="00D739C9" w:rsidP="00B205C7">
      <w:pPr>
        <w:pStyle w:val="Fussnote"/>
      </w:pPr>
      <w:r w:rsidRPr="00527230">
        <w:rPr>
          <w:rStyle w:val="FootnoteReference"/>
        </w:rPr>
        <w:footnoteRef/>
      </w:r>
      <w:r w:rsidRPr="00527230">
        <w:t xml:space="preserve"> Article 6 Ordinance 883/04.</w:t>
      </w:r>
    </w:p>
  </w:footnote>
  <w:footnote w:id="297">
    <w:p w14:paraId="2CBF7998" w14:textId="77777777" w:rsidR="00D739C9" w:rsidRPr="00527230" w:rsidRDefault="00D739C9" w:rsidP="00B205C7">
      <w:pPr>
        <w:pStyle w:val="Fussnote"/>
      </w:pPr>
      <w:r w:rsidRPr="00527230">
        <w:rPr>
          <w:rStyle w:val="FootnoteReference"/>
          <w:rFonts w:eastAsiaTheme="majorEastAsia"/>
        </w:rPr>
        <w:footnoteRef/>
      </w:r>
      <w:r w:rsidRPr="00527230">
        <w:t xml:space="preserve"> </w:t>
      </w:r>
      <w:r w:rsidRPr="00527230">
        <w:rPr>
          <w:smallCaps/>
        </w:rPr>
        <w:t>Christa Tobler</w:t>
      </w:r>
      <w:r w:rsidRPr="00527230">
        <w:t>, Gleichstellung und politische Rechte: auf dem Weg zu einer integrativen Demokratie, Schweizerischer Juristentag 2021: Gleichstellung neu interpretiert, Zeitschrift für Schweizerisches Recht 140 (2021) II, 277-375, p. 329 ff.</w:t>
      </w:r>
    </w:p>
  </w:footnote>
  <w:footnote w:id="298">
    <w:p w14:paraId="48A887F9" w14:textId="77777777" w:rsidR="00D739C9" w:rsidRPr="00104AEE" w:rsidRDefault="00D739C9" w:rsidP="00B205C7">
      <w:pPr>
        <w:pStyle w:val="Fussnote"/>
        <w:rPr>
          <w:szCs w:val="18"/>
          <w:lang w:val="en-US"/>
        </w:rPr>
      </w:pPr>
      <w:r w:rsidRPr="00527230">
        <w:rPr>
          <w:rStyle w:val="FootnoteReference"/>
          <w:szCs w:val="18"/>
        </w:rPr>
        <w:footnoteRef/>
      </w:r>
      <w:r w:rsidRPr="00104AEE">
        <w:rPr>
          <w:rFonts w:eastAsiaTheme="majorEastAsia"/>
          <w:bCs/>
          <w:szCs w:val="18"/>
          <w:lang w:val="en-US"/>
        </w:rPr>
        <w:t xml:space="preserve"> Article 2 PRA.</w:t>
      </w:r>
    </w:p>
  </w:footnote>
  <w:footnote w:id="299">
    <w:p w14:paraId="04752770" w14:textId="6C0DD8CB" w:rsidR="00D739C9" w:rsidRPr="00104AEE" w:rsidRDefault="00D739C9" w:rsidP="00B205C7">
      <w:pPr>
        <w:pStyle w:val="Fussnote"/>
        <w:rPr>
          <w:lang w:val="en-US"/>
        </w:rPr>
      </w:pPr>
      <w:r w:rsidRPr="00527230">
        <w:rPr>
          <w:rStyle w:val="FootnoteReference"/>
          <w:rFonts w:eastAsiaTheme="majorEastAsia"/>
        </w:rPr>
        <w:footnoteRef/>
      </w:r>
      <w:r w:rsidRPr="00104AEE">
        <w:rPr>
          <w:lang w:val="en-US"/>
        </w:rPr>
        <w:t xml:space="preserve"> Disability Policy Report (fn. </w:t>
      </w:r>
      <w:r w:rsidRPr="00527230">
        <w:fldChar w:fldCharType="begin"/>
      </w:r>
      <w:r w:rsidRPr="00104AEE">
        <w:rPr>
          <w:lang w:val="en-US"/>
        </w:rPr>
        <w:instrText xml:space="preserve"> NOTEREF _Ref15242908 \h  \* MERGEFORMAT </w:instrText>
      </w:r>
      <w:r w:rsidRPr="00527230">
        <w:fldChar w:fldCharType="separate"/>
      </w:r>
      <w:r>
        <w:rPr>
          <w:lang w:val="en-US"/>
        </w:rPr>
        <w:t>3</w:t>
      </w:r>
      <w:r w:rsidRPr="00527230">
        <w:fldChar w:fldCharType="end"/>
      </w:r>
      <w:r w:rsidRPr="00104AEE">
        <w:rPr>
          <w:lang w:val="en-US"/>
        </w:rPr>
        <w:t>), p. 35 f.</w:t>
      </w:r>
    </w:p>
  </w:footnote>
  <w:footnote w:id="300">
    <w:p w14:paraId="1D76AE35" w14:textId="7464C299" w:rsidR="00D739C9" w:rsidRPr="00104AEE" w:rsidRDefault="00D739C9" w:rsidP="00B205C7">
      <w:pPr>
        <w:pStyle w:val="Fussnote"/>
        <w:rPr>
          <w:lang w:val="en-US"/>
        </w:rPr>
      </w:pPr>
      <w:r w:rsidRPr="00527230">
        <w:rPr>
          <w:rStyle w:val="FootnoteReference"/>
          <w:rFonts w:eastAsiaTheme="majorEastAsia"/>
        </w:rPr>
        <w:footnoteRef/>
      </w:r>
      <w:r w:rsidRPr="00104AEE">
        <w:rPr>
          <w:lang w:val="en-US"/>
        </w:rPr>
        <w:t xml:space="preserve"> </w:t>
      </w:r>
      <w:hyperlink r:id="rId198" w:history="1">
        <w:r w:rsidRPr="00527230">
          <w:rPr>
            <w:rStyle w:val="Hyperlink"/>
            <w:lang w:val="en-US"/>
          </w:rPr>
          <w:t>Statistics for 2020</w:t>
        </w:r>
      </w:hyperlink>
      <w:r w:rsidRPr="00104AEE">
        <w:rPr>
          <w:lang w:val="en-US"/>
        </w:rPr>
        <w:t>.</w:t>
      </w:r>
    </w:p>
  </w:footnote>
  <w:footnote w:id="301">
    <w:p w14:paraId="6D05FBC5" w14:textId="77777777" w:rsidR="00D739C9" w:rsidRPr="00104AEE" w:rsidRDefault="00D739C9" w:rsidP="00B205C7">
      <w:pPr>
        <w:pStyle w:val="Fussnote"/>
        <w:rPr>
          <w:lang w:val="en-US"/>
        </w:rPr>
      </w:pPr>
      <w:r w:rsidRPr="00527230">
        <w:rPr>
          <w:rStyle w:val="FootnoteReference"/>
          <w:rFonts w:eastAsiaTheme="majorEastAsia"/>
        </w:rPr>
        <w:footnoteRef/>
      </w:r>
      <w:r w:rsidRPr="00104AEE">
        <w:rPr>
          <w:lang w:val="en-US"/>
        </w:rPr>
        <w:t xml:space="preserve"> For example, the Canton of Vaud (799,145 residents in 2019): 3,799 persons subject to a general deputyship in 2020. Canton of Bern (1.035 million residents in 2019): 661 persons subject to a general deputyship in 2020.</w:t>
      </w:r>
    </w:p>
  </w:footnote>
  <w:footnote w:id="302">
    <w:p w14:paraId="1998B093" w14:textId="2853DBDA" w:rsidR="00D739C9" w:rsidRPr="00104AEE" w:rsidRDefault="00D739C9" w:rsidP="00B205C7">
      <w:pPr>
        <w:pStyle w:val="Fussnote"/>
        <w:rPr>
          <w:lang w:val="en-US"/>
        </w:rPr>
      </w:pPr>
      <w:r w:rsidRPr="00527230">
        <w:rPr>
          <w:rStyle w:val="FootnoteReference"/>
          <w:rFonts w:eastAsiaTheme="majorEastAsia"/>
        </w:rPr>
        <w:footnoteRef/>
      </w:r>
      <w:r w:rsidRPr="00104AEE">
        <w:rPr>
          <w:lang w:val="en-US"/>
        </w:rPr>
        <w:t xml:space="preserve"> </w:t>
      </w:r>
      <w:r w:rsidRPr="00433554">
        <w:rPr>
          <w:lang w:val="en-US"/>
        </w:rPr>
        <w:t xml:space="preserve">Cantons of </w:t>
      </w:r>
      <w:hyperlink r:id="rId199" w:history="1">
        <w:r w:rsidRPr="00433554">
          <w:rPr>
            <w:rStyle w:val="Hyperlink"/>
            <w:lang w:val="en-US"/>
          </w:rPr>
          <w:t>Basel-Stadt</w:t>
        </w:r>
      </w:hyperlink>
      <w:r w:rsidRPr="00433554">
        <w:rPr>
          <w:lang w:val="en-US"/>
        </w:rPr>
        <w:t xml:space="preserve"> and </w:t>
      </w:r>
      <w:hyperlink r:id="rId200" w:history="1">
        <w:r w:rsidRPr="00433554">
          <w:rPr>
            <w:rStyle w:val="Hyperlink"/>
            <w:lang w:val="en-US"/>
          </w:rPr>
          <w:t>Basel-Landschaft</w:t>
        </w:r>
      </w:hyperlink>
      <w:r w:rsidRPr="00104AEE">
        <w:rPr>
          <w:lang w:val="en-US"/>
        </w:rPr>
        <w:t xml:space="preserve">; </w:t>
      </w:r>
      <w:hyperlink r:id="rId201" w:history="1">
        <w:r w:rsidRPr="00527230">
          <w:rPr>
            <w:rStyle w:val="Hyperlink"/>
            <w:lang w:val="en-US"/>
          </w:rPr>
          <w:t>Canton of Neuchâtel</w:t>
        </w:r>
      </w:hyperlink>
      <w:r w:rsidRPr="00104AEE">
        <w:rPr>
          <w:lang w:val="en-US"/>
        </w:rPr>
        <w:t xml:space="preserve">; </w:t>
      </w:r>
      <w:hyperlink r:id="rId202" w:history="1">
        <w:r w:rsidRPr="00527230">
          <w:rPr>
            <w:rStyle w:val="Hyperlink"/>
            <w:lang w:val="en-US"/>
          </w:rPr>
          <w:t>Canton of Vaud</w:t>
        </w:r>
      </w:hyperlink>
      <w:r w:rsidRPr="00104AEE">
        <w:rPr>
          <w:lang w:val="en-US"/>
        </w:rPr>
        <w:t xml:space="preserve">. As part of the current </w:t>
      </w:r>
      <w:hyperlink r:id="rId203" w:history="1">
        <w:r w:rsidRPr="00527230">
          <w:rPr>
            <w:rStyle w:val="Hyperlink"/>
            <w:lang w:val="en-US"/>
          </w:rPr>
          <w:t>revision of the Constitution of Valais</w:t>
        </w:r>
      </w:hyperlink>
      <w:r w:rsidRPr="00104AEE">
        <w:rPr>
          <w:lang w:val="en-US"/>
        </w:rPr>
        <w:t>, it is also proposed that the political rights of all PWD be guaranteed.</w:t>
      </w:r>
    </w:p>
  </w:footnote>
  <w:footnote w:id="303">
    <w:p w14:paraId="11BAC28F" w14:textId="2EB6EA2D" w:rsidR="00D739C9" w:rsidRPr="00104AEE" w:rsidRDefault="00D739C9" w:rsidP="00B205C7">
      <w:pPr>
        <w:pStyle w:val="Fussnote"/>
        <w:rPr>
          <w:lang w:val="en-US"/>
        </w:rPr>
      </w:pPr>
      <w:r w:rsidRPr="00527230">
        <w:rPr>
          <w:rStyle w:val="FootnoteReference"/>
          <w:rFonts w:eastAsiaTheme="majorEastAsia"/>
        </w:rPr>
        <w:footnoteRef/>
      </w:r>
      <w:r w:rsidRPr="00104AEE">
        <w:rPr>
          <w:lang w:val="en-US"/>
        </w:rPr>
        <w:t xml:space="preserve"> </w:t>
      </w:r>
      <w:hyperlink r:id="rId204" w:history="1">
        <w:r w:rsidRPr="00527230">
          <w:rPr>
            <w:rStyle w:val="Hyperlink"/>
            <w:lang w:val="en-US"/>
          </w:rPr>
          <w:t>Carobbio's parliamentary postulate of 18.3.2021</w:t>
        </w:r>
      </w:hyperlink>
      <w:r w:rsidRPr="00104AEE">
        <w:rPr>
          <w:lang w:val="en-US"/>
        </w:rPr>
        <w:t xml:space="preserve">; </w:t>
      </w:r>
      <w:hyperlink r:id="rId205" w:history="1">
        <w:r w:rsidRPr="00527230">
          <w:rPr>
            <w:rStyle w:val="Hyperlink"/>
            <w:lang w:val="en-US"/>
          </w:rPr>
          <w:t>Baume-Schneider's interpellation of 18.3.2021</w:t>
        </w:r>
      </w:hyperlink>
      <w:r w:rsidRPr="00104AEE">
        <w:rPr>
          <w:lang w:val="en-US"/>
        </w:rPr>
        <w:t>.</w:t>
      </w:r>
    </w:p>
  </w:footnote>
  <w:footnote w:id="304">
    <w:p w14:paraId="77B9CD64" w14:textId="7E4B9370" w:rsidR="00D739C9" w:rsidRPr="00104AEE" w:rsidRDefault="00D739C9" w:rsidP="00B205C7">
      <w:pPr>
        <w:pStyle w:val="Fussnote"/>
        <w:rPr>
          <w:szCs w:val="18"/>
          <w:lang w:val="en-US"/>
        </w:rPr>
      </w:pPr>
      <w:r w:rsidRPr="00527230">
        <w:rPr>
          <w:rStyle w:val="FootnoteReference"/>
          <w:szCs w:val="18"/>
        </w:rPr>
        <w:footnoteRef/>
      </w:r>
      <w:r w:rsidRPr="00104AEE">
        <w:rPr>
          <w:rFonts w:eastAsiaTheme="majorEastAsia"/>
          <w:bCs/>
          <w:szCs w:val="18"/>
          <w:lang w:val="en-US"/>
        </w:rPr>
        <w:t xml:space="preserve"> Disability Policy Report (fn. </w:t>
      </w:r>
      <w:r w:rsidRPr="00527230">
        <w:rPr>
          <w:rFonts w:eastAsiaTheme="majorEastAsia"/>
          <w:bCs/>
          <w:szCs w:val="18"/>
        </w:rPr>
        <w:fldChar w:fldCharType="begin"/>
      </w:r>
      <w:r w:rsidRPr="00104AEE">
        <w:rPr>
          <w:rFonts w:eastAsiaTheme="majorEastAsia"/>
          <w:bCs/>
          <w:szCs w:val="18"/>
          <w:lang w:val="en-US" w:eastAsia="fr-FR"/>
        </w:rPr>
        <w:instrText xml:space="preserve"> NOTEREF _Ref15242908 \h  \* MERGEFORMAT </w:instrText>
      </w:r>
      <w:r w:rsidRPr="00527230">
        <w:rPr>
          <w:rFonts w:eastAsiaTheme="majorEastAsia"/>
          <w:bCs/>
          <w:szCs w:val="18"/>
        </w:rPr>
      </w:r>
      <w:r w:rsidRPr="00527230">
        <w:rPr>
          <w:rFonts w:eastAsiaTheme="majorEastAsia"/>
          <w:bCs/>
          <w:szCs w:val="18"/>
        </w:rPr>
        <w:fldChar w:fldCharType="separate"/>
      </w:r>
      <w:r>
        <w:rPr>
          <w:rFonts w:eastAsiaTheme="majorEastAsia"/>
          <w:bCs/>
          <w:szCs w:val="18"/>
          <w:lang w:val="en-US" w:eastAsia="fr-FR"/>
        </w:rPr>
        <w:t>3</w:t>
      </w:r>
      <w:r w:rsidRPr="00527230">
        <w:rPr>
          <w:rFonts w:eastAsiaTheme="majorEastAsia"/>
          <w:bCs/>
          <w:szCs w:val="18"/>
          <w:lang w:eastAsia="fr-FR"/>
        </w:rPr>
        <w:fldChar w:fldCharType="end"/>
      </w:r>
      <w:r w:rsidRPr="00104AEE">
        <w:rPr>
          <w:rFonts w:eastAsiaTheme="majorEastAsia"/>
          <w:bCs/>
          <w:szCs w:val="18"/>
          <w:lang w:val="en-US"/>
        </w:rPr>
        <w:t xml:space="preserve">), p. 36. The Federal Chancellery is currently developing election templates in collaboration with organisations </w:t>
      </w:r>
      <w:r w:rsidR="00282A84">
        <w:rPr>
          <w:rFonts w:eastAsiaTheme="majorEastAsia"/>
          <w:bCs/>
          <w:szCs w:val="18"/>
          <w:lang w:val="en-US"/>
        </w:rPr>
        <w:t xml:space="preserve">of </w:t>
      </w:r>
      <w:r w:rsidRPr="00104AEE">
        <w:rPr>
          <w:rFonts w:eastAsiaTheme="majorEastAsia"/>
          <w:bCs/>
          <w:szCs w:val="18"/>
          <w:lang w:val="en-US"/>
        </w:rPr>
        <w:t>visually impaired and blind</w:t>
      </w:r>
      <w:r w:rsidR="00282A84">
        <w:rPr>
          <w:rFonts w:eastAsiaTheme="majorEastAsia"/>
          <w:bCs/>
          <w:szCs w:val="18"/>
          <w:lang w:val="en-US"/>
        </w:rPr>
        <w:t xml:space="preserve"> persons</w:t>
      </w:r>
      <w:r w:rsidRPr="00104AEE">
        <w:rPr>
          <w:rFonts w:eastAsiaTheme="majorEastAsia"/>
          <w:bCs/>
          <w:szCs w:val="18"/>
          <w:lang w:val="en-US"/>
        </w:rPr>
        <w:t>.</w:t>
      </w:r>
    </w:p>
  </w:footnote>
  <w:footnote w:id="305">
    <w:p w14:paraId="2E096665" w14:textId="0758FA0D" w:rsidR="00D739C9" w:rsidRPr="00104AEE" w:rsidRDefault="00D739C9" w:rsidP="00B205C7">
      <w:pPr>
        <w:pStyle w:val="Fussnote"/>
        <w:rPr>
          <w:lang w:val="en-US"/>
        </w:rPr>
      </w:pPr>
      <w:r w:rsidRPr="00527230">
        <w:rPr>
          <w:rStyle w:val="FootnoteReference"/>
          <w:rFonts w:eastAsiaTheme="majorEastAsia"/>
        </w:rPr>
        <w:footnoteRef/>
      </w:r>
      <w:r w:rsidRPr="00104AEE">
        <w:rPr>
          <w:lang w:val="en-US"/>
        </w:rPr>
        <w:t xml:space="preserve"> </w:t>
      </w:r>
      <w:hyperlink r:id="rId206" w:history="1">
        <w:r w:rsidRPr="00527230">
          <w:rPr>
            <w:rStyle w:val="Hyperlink"/>
            <w:lang w:val="en-US"/>
          </w:rPr>
          <w:t>Website of the Federal Chancellery on e-voting</w:t>
        </w:r>
      </w:hyperlink>
      <w:r w:rsidRPr="00104AEE">
        <w:rPr>
          <w:lang w:val="en-US"/>
        </w:rPr>
        <w:t>, with the current status of the project.</w:t>
      </w:r>
    </w:p>
  </w:footnote>
  <w:footnote w:id="306">
    <w:p w14:paraId="39AA0E47" w14:textId="0E1E21DF" w:rsidR="00D739C9" w:rsidRPr="00104AEE" w:rsidRDefault="00D739C9" w:rsidP="00B205C7">
      <w:pPr>
        <w:pStyle w:val="Fussnote"/>
        <w:rPr>
          <w:i/>
          <w:lang w:val="en-US"/>
        </w:rPr>
      </w:pPr>
      <w:r w:rsidRPr="00527230">
        <w:rPr>
          <w:rStyle w:val="FootnoteReference"/>
          <w:rFonts w:eastAsiaTheme="majorEastAsia"/>
        </w:rPr>
        <w:footnoteRef/>
      </w:r>
      <w:r w:rsidR="00282A84" w:rsidRPr="00282A84">
        <w:rPr>
          <w:lang w:val="en-US"/>
        </w:rPr>
        <w:t xml:space="preserve"> </w:t>
      </w:r>
      <w:hyperlink r:id="rId207" w:history="1">
        <w:r w:rsidRPr="00527230">
          <w:rPr>
            <w:rStyle w:val="Hyperlink"/>
            <w:lang w:val="en-US"/>
          </w:rPr>
          <w:t>Consultation documents on e-voting</w:t>
        </w:r>
      </w:hyperlink>
      <w:r w:rsidRPr="00104AEE">
        <w:rPr>
          <w:lang w:val="en-US"/>
        </w:rPr>
        <w:t xml:space="preserve"> (Amendment of the Ordinance on Political Rights and the Federal Chancellery</w:t>
      </w:r>
      <w:r>
        <w:rPr>
          <w:lang w:val="en-US"/>
        </w:rPr>
        <w:t>’</w:t>
      </w:r>
      <w:r w:rsidRPr="00104AEE">
        <w:rPr>
          <w:lang w:val="en-US"/>
        </w:rPr>
        <w:t xml:space="preserve">s Ordinance on Electronic Voting; </w:t>
      </w:r>
      <w:hyperlink r:id="rId208" w:history="1">
        <w:r w:rsidRPr="00527230">
          <w:rPr>
            <w:rStyle w:val="Hyperlink"/>
            <w:lang w:val="en-US"/>
          </w:rPr>
          <w:t>Statement of Inclusion Handicap in the consultation process, August 2021</w:t>
        </w:r>
      </w:hyperlink>
      <w:r w:rsidRPr="00104AEE">
        <w:rPr>
          <w:lang w:val="en-US"/>
        </w:rPr>
        <w:t xml:space="preserve">, which was expressly mentioned in the </w:t>
      </w:r>
      <w:hyperlink r:id="rId209" w:history="1">
        <w:r w:rsidRPr="00527230">
          <w:rPr>
            <w:rStyle w:val="Hyperlink"/>
            <w:lang w:val="en-US"/>
          </w:rPr>
          <w:t>Consultation report</w:t>
        </w:r>
      </w:hyperlink>
      <w:r w:rsidRPr="00104AEE">
        <w:rPr>
          <w:lang w:val="en-US"/>
        </w:rPr>
        <w:t xml:space="preserve"> dated 1.12.2021 (p. 12).</w:t>
      </w:r>
    </w:p>
  </w:footnote>
  <w:footnote w:id="307">
    <w:p w14:paraId="4BF28E9D" w14:textId="0B43920E" w:rsidR="00D739C9" w:rsidRPr="00104AEE" w:rsidRDefault="00D739C9" w:rsidP="00B205C7">
      <w:pPr>
        <w:pStyle w:val="Fussnote"/>
        <w:rPr>
          <w:lang w:val="en-US"/>
        </w:rPr>
      </w:pPr>
      <w:r w:rsidRPr="00527230">
        <w:rPr>
          <w:rStyle w:val="FootnoteReference"/>
          <w:rFonts w:eastAsiaTheme="majorEastAsia"/>
        </w:rPr>
        <w:footnoteRef/>
      </w:r>
      <w:r w:rsidRPr="00104AEE">
        <w:rPr>
          <w:lang w:val="en-US"/>
        </w:rPr>
        <w:t xml:space="preserve"> See </w:t>
      </w:r>
      <w:hyperlink r:id="rId210" w:history="1">
        <w:r w:rsidRPr="00527230">
          <w:rPr>
            <w:rStyle w:val="Hyperlink"/>
            <w:bCs/>
            <w:lang w:val="en-US"/>
          </w:rPr>
          <w:t>Rytz</w:t>
        </w:r>
        <w:r>
          <w:rPr>
            <w:rStyle w:val="Hyperlink"/>
            <w:bCs/>
            <w:lang w:val="en-US"/>
          </w:rPr>
          <w:t>’</w:t>
        </w:r>
        <w:r w:rsidRPr="00527230">
          <w:rPr>
            <w:rStyle w:val="Hyperlink"/>
            <w:bCs/>
            <w:lang w:val="en-US"/>
          </w:rPr>
          <w:t xml:space="preserve">s motion </w:t>
        </w:r>
        <w:r w:rsidRPr="00527230">
          <w:rPr>
            <w:rStyle w:val="Hyperlink"/>
            <w:lang w:val="en-US"/>
          </w:rPr>
          <w:t>of</w:t>
        </w:r>
        <w:r w:rsidRPr="00527230">
          <w:rPr>
            <w:rStyle w:val="Hyperlink"/>
            <w:bCs/>
            <w:lang w:val="en-US"/>
          </w:rPr>
          <w:t xml:space="preserve"> 14.12.2018</w:t>
        </w:r>
      </w:hyperlink>
      <w:r w:rsidRPr="00104AEE">
        <w:rPr>
          <w:lang w:val="en-US"/>
        </w:rPr>
        <w:t xml:space="preserve">. However, the Federal Council intends to examine which information on political issues it could offer in </w:t>
      </w:r>
      <w:r w:rsidR="00282A84">
        <w:rPr>
          <w:lang w:val="en-US"/>
        </w:rPr>
        <w:t>plain</w:t>
      </w:r>
      <w:r w:rsidRPr="00104AEE">
        <w:rPr>
          <w:lang w:val="en-US"/>
        </w:rPr>
        <w:t xml:space="preserve"> language.</w:t>
      </w:r>
    </w:p>
  </w:footnote>
  <w:footnote w:id="308">
    <w:p w14:paraId="697B5D1F" w14:textId="77777777"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At present, there is only one assembly member with a visible disability in the Federal Parliament. </w:t>
      </w:r>
    </w:p>
  </w:footnote>
  <w:footnote w:id="309">
    <w:p w14:paraId="3CB04ACC" w14:textId="1B0D20EC"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The study was commissioned by the </w:t>
      </w:r>
      <w:hyperlink r:id="rId211" w:history="1">
        <w:r w:rsidRPr="00527230">
          <w:rPr>
            <w:rStyle w:val="Hyperlink"/>
            <w:lang w:val="en-US"/>
          </w:rPr>
          <w:t>Verein Tatkraft</w:t>
        </w:r>
      </w:hyperlink>
      <w:r w:rsidRPr="00104AEE">
        <w:rPr>
          <w:lang w:val="en-US"/>
        </w:rPr>
        <w:t xml:space="preserve"> and funded by the FBED. In this project, the </w:t>
      </w:r>
      <w:hyperlink r:id="rId212" w:history="1">
        <w:r w:rsidRPr="00527230">
          <w:rPr>
            <w:rStyle w:val="Hyperlink"/>
            <w:lang w:val="en-US"/>
          </w:rPr>
          <w:t>ZHAW/Institut für Sozialrecht</w:t>
        </w:r>
      </w:hyperlink>
      <w:r w:rsidRPr="00104AEE">
        <w:rPr>
          <w:lang w:val="en-US"/>
        </w:rPr>
        <w:t xml:space="preserve"> examines the legal frameworks as well as practical tools for eliminating discrimination against PWD in politics.</w:t>
      </w:r>
    </w:p>
  </w:footnote>
  <w:footnote w:id="310">
    <w:p w14:paraId="52325A76" w14:textId="77777777" w:rsidR="00D739C9" w:rsidRPr="003D2F0B" w:rsidRDefault="00D739C9" w:rsidP="00D616B2">
      <w:pPr>
        <w:pStyle w:val="Fussnote"/>
        <w:rPr>
          <w:lang w:val="en-US"/>
        </w:rPr>
      </w:pPr>
      <w:r w:rsidRPr="00527230">
        <w:rPr>
          <w:rStyle w:val="FootnoteReference"/>
          <w:rFonts w:eastAsiaTheme="majorEastAsia"/>
        </w:rPr>
        <w:footnoteRef/>
      </w:r>
      <w:r w:rsidRPr="00BD6E82">
        <w:rPr>
          <w:lang w:val="en-US"/>
        </w:rPr>
        <w:t xml:space="preserve"> </w:t>
      </w:r>
      <w:r w:rsidRPr="0049152C">
        <w:rPr>
          <w:smallCaps/>
          <w:lang w:val="en-US"/>
        </w:rPr>
        <w:t>Ingeborg Hedderich, Claudia Spiess, Manuel Zanardini, Annina Fantoni, Melike Hocaoglu, Valentina Conca, Tarek Naguib</w:t>
      </w:r>
      <w:r w:rsidRPr="0049152C">
        <w:rPr>
          <w:lang w:val="en-US"/>
        </w:rPr>
        <w:t>, Forschungsbericht zum Projekt Disabled in Politics – Eine qualitative Unter</w:t>
      </w:r>
      <w:r w:rsidRPr="003D2F0B">
        <w:rPr>
          <w:lang w:val="en-US"/>
        </w:rPr>
        <w:t>suchung und eine juristische Beurteilung zur Situation von Politiker:innen mit Behinderung in der Schweiz, p. 42 ff. With regard to the proposed measures, see p. 125 ff.</w:t>
      </w:r>
    </w:p>
  </w:footnote>
  <w:footnote w:id="311">
    <w:p w14:paraId="1510D1DC" w14:textId="7C89F0E5" w:rsidR="00D739C9" w:rsidRPr="00167731" w:rsidRDefault="00D739C9" w:rsidP="00D616B2">
      <w:pPr>
        <w:pStyle w:val="Fussnote"/>
        <w:rPr>
          <w:lang w:val="en-US"/>
        </w:rPr>
      </w:pPr>
      <w:r>
        <w:rPr>
          <w:rStyle w:val="FootnoteReference"/>
          <w:rFonts w:eastAsiaTheme="majorEastAsia"/>
        </w:rPr>
        <w:footnoteRef/>
      </w:r>
      <w:r w:rsidRPr="00167731">
        <w:rPr>
          <w:lang w:val="en-US"/>
        </w:rPr>
        <w:t xml:space="preserve"> </w:t>
      </w:r>
      <w:hyperlink r:id="rId213" w:history="1">
        <w:r w:rsidRPr="00F40C4D">
          <w:rPr>
            <w:rStyle w:val="Hyperlink"/>
            <w:lang w:val="en-US"/>
          </w:rPr>
          <w:t>Report Recognition Sign Languages</w:t>
        </w:r>
      </w:hyperlink>
      <w:r w:rsidRPr="00167731">
        <w:rPr>
          <w:lang w:val="en-US"/>
        </w:rPr>
        <w:t>.</w:t>
      </w:r>
      <w:r>
        <w:rPr>
          <w:lang w:val="en-US"/>
        </w:rPr>
        <w:t xml:space="preserve">(fn. </w:t>
      </w:r>
      <w:r>
        <w:rPr>
          <w:lang w:val="en-US"/>
        </w:rPr>
        <w:fldChar w:fldCharType="begin"/>
      </w:r>
      <w:r>
        <w:rPr>
          <w:lang w:val="en-US"/>
        </w:rPr>
        <w:instrText xml:space="preserve"> NOTEREF _Ref95644605 \h </w:instrText>
      </w:r>
      <w:r>
        <w:rPr>
          <w:lang w:val="en-US"/>
        </w:rPr>
      </w:r>
      <w:r>
        <w:rPr>
          <w:lang w:val="en-US"/>
        </w:rPr>
        <w:fldChar w:fldCharType="separate"/>
      </w:r>
      <w:r>
        <w:rPr>
          <w:lang w:val="en-US"/>
        </w:rPr>
        <w:t>75</w:t>
      </w:r>
      <w:r>
        <w:rPr>
          <w:lang w:val="en-US"/>
        </w:rPr>
        <w:fldChar w:fldCharType="end"/>
      </w:r>
      <w:r>
        <w:rPr>
          <w:lang w:val="en-US"/>
        </w:rPr>
        <w:t xml:space="preserve">). </w:t>
      </w:r>
    </w:p>
  </w:footnote>
  <w:footnote w:id="312">
    <w:p w14:paraId="414FA24A" w14:textId="37505522" w:rsidR="00D739C9" w:rsidRDefault="00D739C9" w:rsidP="00D616B2">
      <w:pPr>
        <w:pStyle w:val="Fussnote"/>
        <w:rPr>
          <w:lang w:val="en-US"/>
        </w:rPr>
      </w:pPr>
      <w:r>
        <w:rPr>
          <w:rStyle w:val="FootnoteReference"/>
          <w:rFonts w:eastAsiaTheme="majorEastAsia"/>
        </w:rPr>
        <w:footnoteRef/>
      </w:r>
      <w:r>
        <w:rPr>
          <w:lang w:val="en-US"/>
        </w:rPr>
        <w:t xml:space="preserve"> Report of the Federal Council (fn. </w:t>
      </w:r>
      <w:r>
        <w:fldChar w:fldCharType="begin"/>
      </w:r>
      <w:r>
        <w:rPr>
          <w:lang w:val="en-US"/>
        </w:rPr>
        <w:instrText xml:space="preserve"> NOTEREF _Ref94020234 \h </w:instrText>
      </w:r>
      <w:r w:rsidRPr="00104AEE">
        <w:rPr>
          <w:lang w:val="en-US"/>
        </w:rPr>
        <w:instrText xml:space="preserve"> \* MERGEFORMAT </w:instrText>
      </w:r>
      <w:r>
        <w:fldChar w:fldCharType="separate"/>
      </w:r>
      <w:r>
        <w:rPr>
          <w:lang w:val="en-US"/>
        </w:rPr>
        <w:t>311</w:t>
      </w:r>
      <w:r>
        <w:fldChar w:fldCharType="end"/>
      </w:r>
      <w:r>
        <w:rPr>
          <w:lang w:val="en-US"/>
        </w:rPr>
        <w:t>), p. 33.</w:t>
      </w:r>
    </w:p>
  </w:footnote>
  <w:footnote w:id="313">
    <w:p w14:paraId="2711C1A8" w14:textId="402A7095" w:rsidR="00D739C9" w:rsidRDefault="00D739C9" w:rsidP="00D616B2">
      <w:pPr>
        <w:pStyle w:val="Fussnote"/>
        <w:rPr>
          <w:lang w:val="en-US"/>
        </w:rPr>
      </w:pPr>
      <w:r>
        <w:rPr>
          <w:rStyle w:val="FootnoteReference"/>
          <w:rFonts w:eastAsiaTheme="majorEastAsia"/>
        </w:rPr>
        <w:footnoteRef/>
      </w:r>
      <w:r>
        <w:rPr>
          <w:lang w:val="en-US"/>
        </w:rPr>
        <w:t xml:space="preserve"> Every year, the Gehörlosenbund [Swiss Association of the Deaf] lists these instances of discrimination in its </w:t>
      </w:r>
      <w:hyperlink r:id="rId214" w:history="1">
        <w:r w:rsidRPr="00766A9A">
          <w:rPr>
            <w:rStyle w:val="Hyperlink"/>
            <w:lang w:val="en-US"/>
          </w:rPr>
          <w:t>discrimination report</w:t>
        </w:r>
      </w:hyperlink>
      <w:r>
        <w:rPr>
          <w:lang w:val="en-US"/>
        </w:rPr>
        <w:t xml:space="preserve"> (more than two cases a week in 2020).</w:t>
      </w:r>
    </w:p>
  </w:footnote>
  <w:footnote w:id="314">
    <w:p w14:paraId="0CDFCDB0" w14:textId="77777777"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Disability Policy Report, p. 18.</w:t>
      </w:r>
    </w:p>
  </w:footnote>
  <w:footnote w:id="315">
    <w:p w14:paraId="00E29722" w14:textId="77777777"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Pursuant to Article 3(2)(d) FStatA, federal statistics also serve the “assessment of the fulfilment of the constitutional mandate to establish equal opportunities for men and women and for disabled and non-disabled people”.</w:t>
      </w:r>
    </w:p>
  </w:footnote>
  <w:footnote w:id="316">
    <w:p w14:paraId="0FCCA931" w14:textId="77777777"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Federal Council, Report on the Development of Disability Policy of 11.1.2017, </w:t>
      </w:r>
      <w:r w:rsidRPr="00104AEE">
        <w:rPr>
          <w:rFonts w:eastAsia="Times New Roman"/>
          <w:lang w:val="en-US"/>
        </w:rPr>
        <w:t>p. 17, emphasis added.</w:t>
      </w:r>
    </w:p>
  </w:footnote>
  <w:footnote w:id="317">
    <w:p w14:paraId="3983709E" w14:textId="77777777"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Ibid., p. 27.</w:t>
      </w:r>
    </w:p>
  </w:footnote>
  <w:footnote w:id="318">
    <w:p w14:paraId="02842063" w14:textId="77777777"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Disability Policy Report, p. 57 f.</w:t>
      </w:r>
    </w:p>
  </w:footnote>
  <w:footnote w:id="319">
    <w:p w14:paraId="21DB3847" w14:textId="1B524876"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See </w:t>
      </w:r>
      <w:hyperlink r:id="rId215" w:history="1">
        <w:r w:rsidRPr="00527230">
          <w:rPr>
            <w:rStyle w:val="Hyperlink"/>
            <w:lang w:val="en-US"/>
          </w:rPr>
          <w:t>OHCHR, Human Rights Indicators. A Guide to Measurement and Implementation, 2012</w:t>
        </w:r>
      </w:hyperlink>
      <w:r w:rsidRPr="00104AEE">
        <w:rPr>
          <w:lang w:val="en-US"/>
        </w:rPr>
        <w:t>.</w:t>
      </w:r>
    </w:p>
  </w:footnote>
  <w:footnote w:id="320">
    <w:p w14:paraId="720ACC1E" w14:textId="77777777"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“Persons with a permanent health problem and who are restricted (severely or somewhat) in their normal daily activities.”</w:t>
      </w:r>
    </w:p>
  </w:footnote>
  <w:footnote w:id="321">
    <w:p w14:paraId="234580F4" w14:textId="77777777" w:rsidR="00D739C9" w:rsidRPr="00104AEE" w:rsidRDefault="00D739C9" w:rsidP="00D616B2">
      <w:pPr>
        <w:pStyle w:val="Fussnote"/>
        <w:rPr>
          <w:lang w:val="en-US"/>
        </w:rPr>
      </w:pPr>
      <w:r w:rsidRPr="00527230">
        <w:rPr>
          <w:rStyle w:val="FootnoteReference"/>
          <w:rFonts w:eastAsiaTheme="majorEastAsia"/>
        </w:rPr>
        <w:footnoteRef/>
      </w:r>
      <w:r w:rsidRPr="00104AEE">
        <w:rPr>
          <w:lang w:val="en-US"/>
        </w:rPr>
        <w:t xml:space="preserve"> See, in particular, IV statistics. In addition, the “Child” category often refers to the age of 0-14 years (instead of 18 according to the CRC).</w:t>
      </w:r>
    </w:p>
  </w:footnote>
  <w:footnote w:id="322">
    <w:p w14:paraId="3C70D367" w14:textId="3EB29DAD" w:rsidR="00D739C9" w:rsidRPr="00527230" w:rsidRDefault="00D739C9" w:rsidP="00D616B2">
      <w:pPr>
        <w:pStyle w:val="Fussnote"/>
        <w:rPr>
          <w:lang w:val="en-US"/>
        </w:rPr>
      </w:pPr>
      <w:r w:rsidRPr="00527230">
        <w:rPr>
          <w:rStyle w:val="FootnoteReference"/>
          <w:rFonts w:eastAsiaTheme="majorEastAsia"/>
        </w:rPr>
        <w:footnoteRef/>
      </w:r>
      <w:r w:rsidRPr="00527230">
        <w:rPr>
          <w:lang w:val="en-US"/>
        </w:rPr>
        <w:t xml:space="preserve"> Recently, the estimated total number of disabled children up to 14 years of age was simply cut in half on account of a correction “owing to previous methodological errors”: </w:t>
      </w:r>
      <w:hyperlink r:id="rId216" w:history="1">
        <w:r w:rsidRPr="00527230">
          <w:rPr>
            <w:rStyle w:val="Hyperlink"/>
            <w:rFonts w:cstheme="minorBidi"/>
            <w:lang w:val="en-US"/>
          </w:rPr>
          <w:t>FSO, Children and Disabilities 2017, Dec 2019</w:t>
        </w:r>
      </w:hyperlink>
      <w:r w:rsidRPr="00527230">
        <w:rPr>
          <w:lang w:val="en-US"/>
        </w:rPr>
        <w:t>, p. 2.</w:t>
      </w:r>
    </w:p>
  </w:footnote>
  <w:footnote w:id="323">
    <w:p w14:paraId="4F6AEA30" w14:textId="6557C246" w:rsidR="00D739C9" w:rsidRPr="00527230" w:rsidRDefault="00D739C9" w:rsidP="00D616B2">
      <w:pPr>
        <w:pStyle w:val="Fussnote"/>
        <w:rPr>
          <w:lang w:val="en-US"/>
        </w:rPr>
      </w:pPr>
      <w:r w:rsidRPr="00527230">
        <w:rPr>
          <w:rStyle w:val="FootnoteReference"/>
          <w:rFonts w:eastAsiaTheme="majorEastAsia"/>
        </w:rPr>
        <w:footnoteRef/>
      </w:r>
      <w:r w:rsidRPr="00527230">
        <w:rPr>
          <w:lang w:val="en-US"/>
        </w:rPr>
        <w:t xml:space="preserve"> For example, </w:t>
      </w:r>
      <w:hyperlink r:id="rId217" w:history="1">
        <w:r w:rsidRPr="00527230">
          <w:rPr>
            <w:rStyle w:val="Hyperlink"/>
            <w:rFonts w:cstheme="minorBidi"/>
            <w:lang w:val="en-US"/>
          </w:rPr>
          <w:t>Discrimination and violence at the workplace of PWD</w:t>
        </w:r>
      </w:hyperlink>
      <w:r w:rsidRPr="00527230">
        <w:rPr>
          <w:lang w:val="en-US"/>
        </w:rPr>
        <w:t xml:space="preserve"> is published only every five years since it is based on the SGB.</w:t>
      </w:r>
    </w:p>
  </w:footnote>
  <w:footnote w:id="324">
    <w:p w14:paraId="68E441D3" w14:textId="3EA71B05" w:rsidR="00D739C9" w:rsidRPr="00104AEE" w:rsidRDefault="00D739C9" w:rsidP="00D616B2">
      <w:pPr>
        <w:pStyle w:val="Fussnote"/>
        <w:rPr>
          <w:lang w:val="en-US"/>
        </w:rPr>
      </w:pPr>
      <w:r w:rsidRPr="00527230">
        <w:rPr>
          <w:rStyle w:val="FootnoteReference"/>
        </w:rPr>
        <w:footnoteRef/>
      </w:r>
      <w:r w:rsidRPr="00104AEE">
        <w:rPr>
          <w:lang w:val="en-US"/>
        </w:rPr>
        <w:t xml:space="preserve"> See Disability Policy Report (fn. </w:t>
      </w:r>
      <w:r w:rsidRPr="00527230">
        <w:fldChar w:fldCharType="begin"/>
      </w:r>
      <w:r w:rsidRPr="00104AEE">
        <w:rPr>
          <w:lang w:val="en-US"/>
        </w:rPr>
        <w:instrText xml:space="preserve"> NOTEREF _Ref15242908 \h  \* MERGEFORMAT </w:instrText>
      </w:r>
      <w:r w:rsidRPr="00527230">
        <w:fldChar w:fldCharType="separate"/>
      </w:r>
      <w:r>
        <w:rPr>
          <w:lang w:val="en-US"/>
        </w:rPr>
        <w:t>3</w:t>
      </w:r>
      <w:r w:rsidRPr="00527230">
        <w:fldChar w:fldCharType="end"/>
      </w:r>
      <w:r w:rsidRPr="00104AEE">
        <w:rPr>
          <w:lang w:val="en-US"/>
        </w:rPr>
        <w:t xml:space="preserve">), para. 4.1.2. </w:t>
      </w:r>
    </w:p>
  </w:footnote>
  <w:footnote w:id="325">
    <w:p w14:paraId="17BE26BA" w14:textId="0AD9B5E5" w:rsidR="00D739C9" w:rsidRPr="00104AEE" w:rsidRDefault="00D739C9" w:rsidP="00D616B2">
      <w:pPr>
        <w:pStyle w:val="Fussnote"/>
        <w:rPr>
          <w:lang w:val="en-US"/>
        </w:rPr>
      </w:pPr>
      <w:r w:rsidRPr="00527230">
        <w:rPr>
          <w:rStyle w:val="FootnoteReference"/>
        </w:rPr>
        <w:footnoteRef/>
      </w:r>
      <w:r w:rsidRPr="00104AEE">
        <w:rPr>
          <w:lang w:val="en-US"/>
        </w:rPr>
        <w:t xml:space="preserve"> </w:t>
      </w:r>
      <w:hyperlink r:id="rId218" w:history="1">
        <w:r w:rsidRPr="001C1A91">
          <w:rPr>
            <w:rStyle w:val="Hyperlink"/>
            <w:lang w:val="en-US"/>
          </w:rPr>
          <w:t>FBED, Focus Living indipendently</w:t>
        </w:r>
      </w:hyperlink>
      <w:r w:rsidRPr="00104AEE">
        <w:rPr>
          <w:lang w:val="en-US"/>
        </w:rPr>
        <w:t>.</w:t>
      </w:r>
    </w:p>
  </w:footnote>
  <w:footnote w:id="326">
    <w:p w14:paraId="74E076B3" w14:textId="42D88679" w:rsidR="00D739C9" w:rsidRPr="00104AEE" w:rsidRDefault="00D739C9" w:rsidP="00D616B2">
      <w:pPr>
        <w:pStyle w:val="Fussnote"/>
        <w:rPr>
          <w:lang w:val="en-US"/>
        </w:rPr>
      </w:pPr>
      <w:r w:rsidRPr="00527230">
        <w:rPr>
          <w:rStyle w:val="FootnoteReference"/>
        </w:rPr>
        <w:footnoteRef/>
      </w:r>
      <w:r w:rsidRPr="00104AEE">
        <w:rPr>
          <w:lang w:val="en-US"/>
        </w:rPr>
        <w:t xml:space="preserve"> Together with the Faculty of Law of the University of Basel and Inclusion Handicap, the FBED organises and finances e.g. </w:t>
      </w:r>
      <w:hyperlink r:id="rId219" w:history="1">
        <w:r w:rsidRPr="001C1A91">
          <w:rPr>
            <w:rStyle w:val="Hyperlink"/>
            <w:lang w:val="en-US"/>
          </w:rPr>
          <w:t>annual meetings on disability equality law</w:t>
        </w:r>
      </w:hyperlink>
      <w:r w:rsidRPr="00104AEE">
        <w:rPr>
          <w:lang w:val="en-US"/>
        </w:rPr>
        <w:t xml:space="preserve">, which focus on the CRPD. The EBGB also financed the </w:t>
      </w:r>
      <w:hyperlink r:id="rId220" w:history="1">
        <w:r w:rsidRPr="001C1A91">
          <w:rPr>
            <w:rStyle w:val="Hyperlink"/>
            <w:lang w:val="en-US"/>
          </w:rPr>
          <w:t>Inclusion Handicap project “Reporter:innen ohne Barrieren”</w:t>
        </w:r>
      </w:hyperlink>
      <w:r w:rsidRPr="00104AEE">
        <w:rPr>
          <w:lang w:val="en-US"/>
        </w:rPr>
        <w:t xml:space="preserve"> and a guide on the implementation of the CRPD by the cantons, drawn up by the Faculty of Law of the University of Basel (to be published in 2022). </w:t>
      </w:r>
    </w:p>
  </w:footnote>
  <w:footnote w:id="327">
    <w:p w14:paraId="623695A7" w14:textId="2AD590D9" w:rsidR="00D739C9" w:rsidRPr="00104AEE" w:rsidRDefault="00D739C9" w:rsidP="00D616B2">
      <w:pPr>
        <w:pStyle w:val="Fussnote"/>
        <w:rPr>
          <w:lang w:val="en-US"/>
        </w:rPr>
      </w:pPr>
      <w:r w:rsidRPr="00527230">
        <w:rPr>
          <w:rStyle w:val="FootnoteReference"/>
        </w:rPr>
        <w:footnoteRef/>
      </w:r>
      <w:r w:rsidRPr="00104AEE">
        <w:rPr>
          <w:lang w:val="en-US"/>
        </w:rPr>
        <w:t xml:space="preserve"> This is despite the fact that, in its </w:t>
      </w:r>
      <w:hyperlink r:id="rId221" w:history="1">
        <w:r w:rsidRPr="001C1A91">
          <w:rPr>
            <w:rStyle w:val="Hyperlink"/>
            <w:lang w:val="en-US"/>
          </w:rPr>
          <w:t>Disability Policy Report of 2017</w:t>
        </w:r>
      </w:hyperlink>
      <w:r w:rsidRPr="00104AEE">
        <w:rPr>
          <w:lang w:val="en-US"/>
        </w:rPr>
        <w:t xml:space="preserve">, the Department of Home Affairs (FDHA) itself acknowledged the importance of a steering instrument with priorities and indicators for a proactive disability policy (p. 26, measure 9). As to the absence of a CRPD implementation action plan, see General Provisions, with corresponding proposals for recommendations, p. </w:t>
      </w:r>
      <w:r>
        <w:rPr>
          <w:lang w:val="en-US"/>
        </w:rPr>
        <w:fldChar w:fldCharType="begin"/>
      </w:r>
      <w:r>
        <w:rPr>
          <w:lang w:val="en-US"/>
        </w:rPr>
        <w:instrText xml:space="preserve"> PAGEREF _Ref95644700 \h </w:instrText>
      </w:r>
      <w:r>
        <w:rPr>
          <w:lang w:val="en-US"/>
        </w:rPr>
      </w:r>
      <w:r>
        <w:rPr>
          <w:lang w:val="en-US"/>
        </w:rPr>
        <w:fldChar w:fldCharType="separate"/>
      </w:r>
      <w:r>
        <w:rPr>
          <w:noProof/>
          <w:lang w:val="en-US"/>
        </w:rPr>
        <w:t>6</w:t>
      </w:r>
      <w:r>
        <w:rPr>
          <w:lang w:val="en-US"/>
        </w:rPr>
        <w:fldChar w:fldCharType="end"/>
      </w:r>
      <w:r>
        <w:rPr>
          <w:lang w:val="en-US"/>
        </w:rPr>
        <w:t xml:space="preserve"> </w:t>
      </w:r>
      <w:r w:rsidRPr="00104AEE">
        <w:rPr>
          <w:lang w:val="en-US"/>
        </w:rPr>
        <w:t>ff.</w:t>
      </w:r>
    </w:p>
  </w:footnote>
  <w:footnote w:id="328">
    <w:p w14:paraId="631825C5" w14:textId="729F7925" w:rsidR="00D739C9" w:rsidRPr="00104AEE" w:rsidRDefault="00D739C9" w:rsidP="00D616B2">
      <w:pPr>
        <w:pStyle w:val="Fussnote"/>
        <w:rPr>
          <w:lang w:val="en-US"/>
        </w:rPr>
      </w:pPr>
      <w:r w:rsidRPr="00527230">
        <w:rPr>
          <w:rStyle w:val="FootnoteReference"/>
        </w:rPr>
        <w:footnoteRef/>
      </w:r>
      <w:r w:rsidRPr="00104AEE">
        <w:rPr>
          <w:lang w:val="en-US"/>
        </w:rPr>
        <w:t xml:space="preserve"> DDA Assessment (fn. </w:t>
      </w:r>
      <w:r w:rsidRPr="00527230">
        <w:fldChar w:fldCharType="begin"/>
      </w:r>
      <w:r w:rsidRPr="00104AEE">
        <w:rPr>
          <w:lang w:val="en-US"/>
        </w:rPr>
        <w:instrText xml:space="preserve"> NOTEREF _Ref477517014 \h  \* MERGEFORMAT </w:instrText>
      </w:r>
      <w:r w:rsidRPr="00527230">
        <w:fldChar w:fldCharType="separate"/>
      </w:r>
      <w:r>
        <w:rPr>
          <w:lang w:val="en-US"/>
        </w:rPr>
        <w:t>2</w:t>
      </w:r>
      <w:r w:rsidRPr="00527230">
        <w:fldChar w:fldCharType="end"/>
      </w:r>
      <w:r w:rsidRPr="00104AEE">
        <w:rPr>
          <w:lang w:val="en-US"/>
        </w:rPr>
        <w:t>), p. 51, p. 381 ff.</w:t>
      </w:r>
    </w:p>
  </w:footnote>
  <w:footnote w:id="329">
    <w:p w14:paraId="306DEB4E" w14:textId="286B9323" w:rsidR="00D739C9" w:rsidRPr="00104AEE" w:rsidRDefault="00D739C9" w:rsidP="00D616B2">
      <w:pPr>
        <w:pStyle w:val="Fussnote"/>
        <w:rPr>
          <w:lang w:val="en-US"/>
        </w:rPr>
      </w:pPr>
      <w:r w:rsidRPr="00527230">
        <w:rPr>
          <w:rStyle w:val="FootnoteReference"/>
        </w:rPr>
        <w:footnoteRef/>
      </w:r>
      <w:r w:rsidRPr="00104AEE">
        <w:rPr>
          <w:lang w:val="en-US"/>
        </w:rPr>
        <w:t xml:space="preserve"> </w:t>
      </w:r>
      <w:hyperlink r:id="rId222" w:history="1">
        <w:r w:rsidRPr="001C1A91">
          <w:rPr>
            <w:rStyle w:val="Hyperlink"/>
            <w:lang w:val="en-US"/>
          </w:rPr>
          <w:t>Canton of Basel-Stadt Specialist Unit</w:t>
        </w:r>
      </w:hyperlink>
      <w:r w:rsidRPr="00104AEE">
        <w:rPr>
          <w:lang w:val="en-US"/>
        </w:rPr>
        <w:t xml:space="preserve">; </w:t>
      </w:r>
      <w:hyperlink r:id="rId223" w:history="1">
        <w:r w:rsidRPr="001C1A91">
          <w:rPr>
            <w:rStyle w:val="Hyperlink"/>
            <w:lang w:val="en-US"/>
          </w:rPr>
          <w:t xml:space="preserve">Canton of Zurich Coordination Office </w:t>
        </w:r>
      </w:hyperlink>
      <w:r w:rsidRPr="00104AEE">
        <w:rPr>
          <w:lang w:val="en-US"/>
        </w:rPr>
        <w:t>.</w:t>
      </w:r>
    </w:p>
  </w:footnote>
  <w:footnote w:id="330">
    <w:p w14:paraId="03E8E907" w14:textId="56B4A310" w:rsidR="00D739C9" w:rsidRPr="00104AEE" w:rsidRDefault="00D739C9" w:rsidP="00D616B2">
      <w:pPr>
        <w:pStyle w:val="Fussnote"/>
        <w:rPr>
          <w:lang w:val="en-US"/>
        </w:rPr>
      </w:pPr>
      <w:r w:rsidRPr="00527230">
        <w:rPr>
          <w:rStyle w:val="FootnoteReference"/>
        </w:rPr>
        <w:footnoteRef/>
      </w:r>
      <w:r w:rsidRPr="00104AEE">
        <w:rPr>
          <w:lang w:val="en-US"/>
        </w:rPr>
        <w:t xml:space="preserve"> Valais: Article 36c of the act (fn.</w:t>
      </w:r>
      <w:r>
        <w:rPr>
          <w:lang w:val="en-US"/>
        </w:rPr>
        <w:t xml:space="preserve"> </w:t>
      </w:r>
      <w:r>
        <w:rPr>
          <w:lang w:val="en-US"/>
        </w:rPr>
        <w:fldChar w:fldCharType="begin"/>
      </w:r>
      <w:r>
        <w:rPr>
          <w:lang w:val="en-US"/>
        </w:rPr>
        <w:instrText xml:space="preserve"> NOTEREF _Ref95643132 \h </w:instrText>
      </w:r>
      <w:r>
        <w:rPr>
          <w:lang w:val="en-US"/>
        </w:rPr>
      </w:r>
      <w:r>
        <w:rPr>
          <w:lang w:val="en-US"/>
        </w:rPr>
        <w:fldChar w:fldCharType="separate"/>
      </w:r>
      <w:r>
        <w:rPr>
          <w:lang w:val="en-US"/>
        </w:rPr>
        <w:t>7</w:t>
      </w:r>
      <w:r>
        <w:rPr>
          <w:lang w:val="en-US"/>
        </w:rPr>
        <w:fldChar w:fldCharType="end"/>
      </w:r>
      <w:r w:rsidRPr="00104AEE">
        <w:rPr>
          <w:lang w:val="en-US"/>
        </w:rPr>
        <w:t>) provides for the creation of an office for the rights of PWD. Neuchâtel: Article 9 of the act (fn.</w:t>
      </w:r>
      <w:r>
        <w:rPr>
          <w:lang w:val="en-US"/>
        </w:rPr>
        <w:t xml:space="preserve"> </w:t>
      </w:r>
      <w:r>
        <w:rPr>
          <w:lang w:val="en-US"/>
        </w:rPr>
        <w:fldChar w:fldCharType="begin"/>
      </w:r>
      <w:r>
        <w:rPr>
          <w:lang w:val="en-US"/>
        </w:rPr>
        <w:instrText xml:space="preserve"> NOTEREF _Ref95644751 \h </w:instrText>
      </w:r>
      <w:r>
        <w:rPr>
          <w:lang w:val="en-US"/>
        </w:rPr>
      </w:r>
      <w:r>
        <w:rPr>
          <w:lang w:val="en-US"/>
        </w:rPr>
        <w:fldChar w:fldCharType="separate"/>
      </w:r>
      <w:r>
        <w:rPr>
          <w:lang w:val="en-US"/>
        </w:rPr>
        <w:t>9</w:t>
      </w:r>
      <w:r>
        <w:rPr>
          <w:lang w:val="en-US"/>
        </w:rPr>
        <w:fldChar w:fldCharType="end"/>
      </w:r>
      <w:r w:rsidRPr="00104AEE">
        <w:rPr>
          <w:lang w:val="en-US"/>
        </w:rPr>
        <w:t>) provides for the establishing a delegated person for the integration.</w:t>
      </w:r>
    </w:p>
  </w:footnote>
  <w:footnote w:id="331">
    <w:p w14:paraId="19407548" w14:textId="481B2964" w:rsidR="00D739C9" w:rsidRPr="00104AEE" w:rsidRDefault="00D739C9" w:rsidP="00D616B2">
      <w:pPr>
        <w:pStyle w:val="Fussnote"/>
        <w:rPr>
          <w:lang w:val="en-US"/>
        </w:rPr>
      </w:pPr>
      <w:r w:rsidRPr="00527230">
        <w:rPr>
          <w:rStyle w:val="FootnoteReference"/>
        </w:rPr>
        <w:footnoteRef/>
      </w:r>
      <w:r w:rsidRPr="00104AEE">
        <w:rPr>
          <w:lang w:val="en-US"/>
        </w:rPr>
        <w:t xml:space="preserve"> </w:t>
      </w:r>
      <w:hyperlink r:id="rId224" w:history="1">
        <w:r w:rsidRPr="001C1A91">
          <w:rPr>
            <w:rStyle w:val="Hyperlink"/>
            <w:lang w:val="en-US"/>
          </w:rPr>
          <w:t>City of Bern Specialist Unit</w:t>
        </w:r>
      </w:hyperlink>
      <w:r w:rsidRPr="00104AEE">
        <w:rPr>
          <w:lang w:val="en-US"/>
        </w:rPr>
        <w:t xml:space="preserve">; </w:t>
      </w:r>
      <w:hyperlink r:id="rId225" w:history="1">
        <w:r w:rsidRPr="001C1A91">
          <w:rPr>
            <w:rStyle w:val="Hyperlink"/>
            <w:lang w:val="en-US"/>
          </w:rPr>
          <w:t>City of Zurich Specialist Unit</w:t>
        </w:r>
      </w:hyperlink>
      <w:r w:rsidRPr="00104AEE">
        <w:rPr>
          <w:lang w:val="en-US"/>
        </w:rPr>
        <w:t>.</w:t>
      </w:r>
    </w:p>
  </w:footnote>
  <w:footnote w:id="332">
    <w:p w14:paraId="6174E8F5" w14:textId="57418CA8" w:rsidR="00D739C9" w:rsidRPr="00104AEE" w:rsidRDefault="00D739C9" w:rsidP="00D616B2">
      <w:pPr>
        <w:pStyle w:val="Fussnote"/>
        <w:rPr>
          <w:lang w:val="en-US"/>
        </w:rPr>
      </w:pPr>
      <w:r w:rsidRPr="00527230">
        <w:rPr>
          <w:rStyle w:val="FootnoteReference"/>
        </w:rPr>
        <w:footnoteRef/>
      </w:r>
      <w:r w:rsidRPr="00104AEE">
        <w:rPr>
          <w:lang w:val="en-US"/>
        </w:rPr>
        <w:t xml:space="preserve"> </w:t>
      </w:r>
      <w:hyperlink r:id="rId226" w:history="1">
        <w:r w:rsidRPr="001C1A91">
          <w:rPr>
            <w:rStyle w:val="Hyperlink"/>
            <w:lang w:val="en-US"/>
          </w:rPr>
          <w:t>Dispatch of 13 December 2019, supplementing the Federal Act on Measures pertaining to Civil Peace Support and the Promotion of Human Rights (SR 193.9) for the Creation of a National Human Rights Institution (NHRI), Federal Gazette 2020 513</w:t>
        </w:r>
      </w:hyperlink>
      <w:r w:rsidRPr="00104AEE">
        <w:rPr>
          <w:lang w:val="en-US"/>
        </w:rPr>
        <w:t xml:space="preserve">; </w:t>
      </w:r>
      <w:hyperlink r:id="rId227" w:history="1">
        <w:r w:rsidRPr="001C1A91">
          <w:rPr>
            <w:rStyle w:val="Hyperlink"/>
            <w:lang w:val="en-US"/>
          </w:rPr>
          <w:t>Documents pertaining to the deliberation in Parliament</w:t>
        </w:r>
      </w:hyperlink>
      <w:r w:rsidRPr="00104AEE">
        <w:rPr>
          <w:lang w:val="en-US"/>
        </w:rPr>
        <w:t>.</w:t>
      </w:r>
    </w:p>
  </w:footnote>
  <w:footnote w:id="333">
    <w:p w14:paraId="6138A20F" w14:textId="77777777" w:rsidR="002C7F77" w:rsidRPr="00104AEE" w:rsidRDefault="002C7F77" w:rsidP="002C7F77">
      <w:pPr>
        <w:pStyle w:val="Fussnote"/>
        <w:rPr>
          <w:lang w:val="en-US"/>
        </w:rPr>
      </w:pPr>
      <w:r w:rsidRPr="00527230">
        <w:rPr>
          <w:rStyle w:val="FootnoteReference"/>
        </w:rPr>
        <w:footnoteRef/>
      </w:r>
      <w:r w:rsidRPr="00104AEE">
        <w:rPr>
          <w:lang w:val="en-US"/>
        </w:rPr>
        <w:t xml:space="preserve"> A government contribution of around EUR 5 million per year is estimated for the NHRI in Sweden, which is to be established in 2022.</w:t>
      </w:r>
    </w:p>
  </w:footnote>
  <w:footnote w:id="334">
    <w:p w14:paraId="476F1C4D" w14:textId="7AD75299" w:rsidR="00D739C9" w:rsidRPr="001C1A91" w:rsidRDefault="00D739C9" w:rsidP="00E66775">
      <w:pPr>
        <w:pStyle w:val="Fussnote"/>
        <w:rPr>
          <w:lang w:val="en-US"/>
        </w:rPr>
      </w:pPr>
      <w:r w:rsidRPr="00527230">
        <w:rPr>
          <w:rStyle w:val="FootnoteReference"/>
        </w:rPr>
        <w:footnoteRef/>
      </w:r>
      <w:r w:rsidRPr="001C1A91">
        <w:rPr>
          <w:lang w:val="en-US"/>
        </w:rPr>
        <w:t xml:space="preserve"> </w:t>
      </w:r>
      <w:hyperlink r:id="rId228" w:history="1">
        <w:r w:rsidRPr="001C1A91">
          <w:rPr>
            <w:rStyle w:val="Hyperlink"/>
            <w:lang w:val="en-US"/>
          </w:rPr>
          <w:t>CERD Recommendations of 3.12. 2021</w:t>
        </w:r>
      </w:hyperlink>
      <w:r w:rsidRPr="001C1A91">
        <w:rPr>
          <w:lang w:val="en-US"/>
        </w:rPr>
        <w:t xml:space="preserve">; </w:t>
      </w:r>
      <w:hyperlink r:id="rId229" w:history="1">
        <w:r w:rsidRPr="001C1A91">
          <w:rPr>
            <w:rStyle w:val="Hyperlink"/>
            <w:lang w:val="en-US"/>
          </w:rPr>
          <w:t>CRC Recommendations of 27.9.2021</w:t>
        </w:r>
      </w:hyperlink>
      <w:r w:rsidRPr="001C1A91">
        <w:rPr>
          <w:lang w:val="en-US"/>
        </w:rPr>
        <w:t xml:space="preserve">. </w:t>
      </w:r>
    </w:p>
  </w:footnote>
  <w:footnote w:id="335">
    <w:p w14:paraId="0C9D7F68" w14:textId="77777777" w:rsidR="00D739C9" w:rsidRPr="001C1A91" w:rsidRDefault="00D739C9" w:rsidP="00E66775">
      <w:pPr>
        <w:pStyle w:val="Fussnote"/>
        <w:rPr>
          <w:lang w:val="en-US"/>
        </w:rPr>
      </w:pPr>
      <w:r w:rsidRPr="00527230">
        <w:rPr>
          <w:rStyle w:val="FootnoteReference"/>
        </w:rPr>
        <w:footnoteRef/>
      </w:r>
      <w:r w:rsidRPr="001C1A91">
        <w:rPr>
          <w:lang w:val="en-US"/>
        </w:rPr>
        <w:t xml:space="preserve"> At present, there does not appear to be any provision for the FBED to be represented in the federal working group on the establishment of the NHRI. However, representation of Inclusion Handicap is planned.</w:t>
      </w:r>
    </w:p>
  </w:footnote>
  <w:footnote w:id="336">
    <w:p w14:paraId="112D6C8F" w14:textId="06D3EE64" w:rsidR="00D739C9" w:rsidRPr="001C1A91" w:rsidRDefault="00D739C9" w:rsidP="00E66775">
      <w:pPr>
        <w:pStyle w:val="Fussnote"/>
        <w:rPr>
          <w:lang w:val="en-US"/>
        </w:rPr>
      </w:pPr>
      <w:r w:rsidRPr="00527230">
        <w:rPr>
          <w:rStyle w:val="FootnoteReference"/>
        </w:rPr>
        <w:footnoteRef/>
      </w:r>
      <w:r w:rsidRPr="001C1A91">
        <w:rPr>
          <w:lang w:val="en-US"/>
        </w:rPr>
        <w:t xml:space="preserve"> See </w:t>
      </w:r>
      <w:hyperlink r:id="rId230" w:history="1">
        <w:r w:rsidRPr="001C1A91">
          <w:rPr>
            <w:rStyle w:val="Hyperlink"/>
            <w:lang w:val="en-US"/>
          </w:rPr>
          <w:t>Suter</w:t>
        </w:r>
        <w:r>
          <w:rPr>
            <w:rStyle w:val="Hyperlink"/>
            <w:lang w:val="en-US"/>
          </w:rPr>
          <w:t>’</w:t>
        </w:r>
        <w:r w:rsidRPr="001C1A91">
          <w:rPr>
            <w:rStyle w:val="Hyperlink"/>
            <w:lang w:val="en-US"/>
          </w:rPr>
          <w:t xml:space="preserve">s motion of 21.12.2021 </w:t>
        </w:r>
        <w:r>
          <w:rPr>
            <w:rStyle w:val="Hyperlink"/>
            <w:lang w:val="en-US"/>
          </w:rPr>
          <w:t>“</w:t>
        </w:r>
        <w:r w:rsidRPr="001C1A91">
          <w:rPr>
            <w:rStyle w:val="Hyperlink"/>
            <w:lang w:val="en-US"/>
          </w:rPr>
          <w:t>Monitoringstelle Umsetzung Behindertenrechtskonvention schaffen [Create monitoring unit for implementation CRPD]</w:t>
        </w:r>
        <w:r>
          <w:rPr>
            <w:rStyle w:val="Hyperlink"/>
            <w:lang w:val="en-US"/>
          </w:rPr>
          <w:t>”</w:t>
        </w:r>
      </w:hyperlink>
      <w:r w:rsidRPr="001C1A91">
        <w:rPr>
          <w:lang w:val="en-US"/>
        </w:rPr>
        <w:t>, with a reference to the NHRI.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2675A" w14:textId="77777777" w:rsidR="00D739C9" w:rsidRPr="008E260B" w:rsidRDefault="00D739C9" w:rsidP="003640E6">
    <w:pPr>
      <w:pStyle w:val="Header"/>
      <w:pBdr>
        <w:bottom w:val="none" w:sz="0" w:space="0" w:color="auto"/>
      </w:pBdr>
      <w:jc w:val="left"/>
      <w:rPr>
        <w:sz w:val="20"/>
        <w:szCs w:val="20"/>
        <w:lang w:val="en-GB"/>
      </w:rPr>
    </w:pPr>
    <w:r w:rsidRPr="008E260B">
      <w:rPr>
        <w:sz w:val="20"/>
        <w:szCs w:val="20"/>
        <w:lang w:val="en-GB"/>
      </w:rPr>
      <w:t>UN CRPD</w:t>
    </w:r>
  </w:p>
  <w:p w14:paraId="4D13AE21" w14:textId="77777777" w:rsidR="00D739C9" w:rsidRPr="008E260B" w:rsidRDefault="00D739C9" w:rsidP="003640E6">
    <w:pPr>
      <w:pStyle w:val="Header"/>
      <w:pBdr>
        <w:bottom w:val="single" w:sz="4" w:space="1" w:color="auto"/>
      </w:pBdr>
      <w:jc w:val="left"/>
      <w:rPr>
        <w:sz w:val="20"/>
        <w:szCs w:val="20"/>
        <w:lang w:val="en-GB"/>
      </w:rPr>
    </w:pPr>
    <w:r w:rsidRPr="008E260B">
      <w:rPr>
        <w:sz w:val="20"/>
        <w:szCs w:val="20"/>
        <w:lang w:val="en-GB"/>
      </w:rPr>
      <w:t>Updated Shadow Report, February 2022, Inclusion Handicap, Switzerland</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384C1" w14:textId="77777777" w:rsidR="00D739C9" w:rsidRPr="00104AEE" w:rsidRDefault="00D739C9" w:rsidP="00102996">
    <w:pPr>
      <w:pStyle w:val="Header"/>
      <w:pBdr>
        <w:bottom w:val="single" w:sz="4" w:space="1" w:color="auto"/>
      </w:pBdr>
      <w:jc w:val="right"/>
      <w:rPr>
        <w:sz w:val="20"/>
        <w:szCs w:val="20"/>
        <w:lang w:val="en-US"/>
      </w:rPr>
    </w:pPr>
    <w:r w:rsidRPr="00104AEE">
      <w:rPr>
        <w:sz w:val="20"/>
        <w:szCs w:val="20"/>
        <w:lang w:val="en-US"/>
      </w:rPr>
      <w:t>UN CRPD</w:t>
    </w:r>
  </w:p>
  <w:p w14:paraId="6078E6C2" w14:textId="77777777" w:rsidR="00D739C9" w:rsidRPr="00104AEE" w:rsidRDefault="00D739C9" w:rsidP="008E260B">
    <w:pPr>
      <w:pStyle w:val="Header"/>
      <w:pBdr>
        <w:bottom w:val="single" w:sz="4" w:space="1" w:color="auto"/>
      </w:pBdr>
      <w:jc w:val="right"/>
      <w:rPr>
        <w:sz w:val="20"/>
        <w:szCs w:val="20"/>
        <w:lang w:val="en-US"/>
      </w:rPr>
    </w:pPr>
    <w:r w:rsidRPr="00104AEE">
      <w:rPr>
        <w:sz w:val="20"/>
        <w:szCs w:val="20"/>
        <w:lang w:val="en-US"/>
      </w:rPr>
      <w:t xml:space="preserve">Updated Shadow Report, </w:t>
    </w:r>
    <w:r w:rsidRPr="005D3D06">
      <w:rPr>
        <w:sz w:val="20"/>
        <w:szCs w:val="20"/>
        <w:lang w:val="en-GB"/>
      </w:rPr>
      <w:t>February</w:t>
    </w:r>
    <w:r w:rsidRPr="00104AEE">
      <w:rPr>
        <w:sz w:val="20"/>
        <w:szCs w:val="20"/>
        <w:lang w:val="en-US"/>
      </w:rPr>
      <w:t xml:space="preserve"> 2022, Inclusion Handicap, Switzerland</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20EE7" w14:textId="77777777" w:rsidR="00D739C9" w:rsidRPr="00CA6202" w:rsidRDefault="00D739C9" w:rsidP="00CA620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3EA"/>
    <w:multiLevelType w:val="hybridMultilevel"/>
    <w:tmpl w:val="140080E4"/>
    <w:lvl w:ilvl="0" w:tplc="CCBE16B6">
      <w:numFmt w:val="bullet"/>
      <w:lvlText w:val="-"/>
      <w:lvlJc w:val="left"/>
      <w:pPr>
        <w:ind w:left="360" w:hanging="360"/>
      </w:pPr>
      <w:rPr>
        <w:rFonts w:ascii="Arial" w:eastAsia="Cambria"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4293C7E"/>
    <w:multiLevelType w:val="hybridMultilevel"/>
    <w:tmpl w:val="DFF2F898"/>
    <w:lvl w:ilvl="0" w:tplc="0807000B">
      <w:start w:val="1"/>
      <w:numFmt w:val="bullet"/>
      <w:lvlText w:val=""/>
      <w:lvlJc w:val="left"/>
      <w:pPr>
        <w:ind w:left="1060" w:hanging="360"/>
      </w:pPr>
      <w:rPr>
        <w:rFonts w:ascii="Wingdings" w:hAnsi="Wingdings" w:hint="default"/>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2" w15:restartNumberingAfterBreak="0">
    <w:nsid w:val="08DE6E0F"/>
    <w:multiLevelType w:val="hybridMultilevel"/>
    <w:tmpl w:val="0DBAE8E8"/>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 w15:restartNumberingAfterBreak="0">
    <w:nsid w:val="0A4E0587"/>
    <w:multiLevelType w:val="hybridMultilevel"/>
    <w:tmpl w:val="78BAE792"/>
    <w:lvl w:ilvl="0" w:tplc="CCBE16B6">
      <w:numFmt w:val="bullet"/>
      <w:lvlText w:val="-"/>
      <w:lvlJc w:val="left"/>
      <w:pPr>
        <w:ind w:left="1060" w:hanging="360"/>
      </w:pPr>
      <w:rPr>
        <w:rFonts w:ascii="Arial" w:eastAsia="Cambria" w:hAnsi="Arial" w:cs="Arial" w:hint="default"/>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4" w15:restartNumberingAfterBreak="0">
    <w:nsid w:val="0C740143"/>
    <w:multiLevelType w:val="hybridMultilevel"/>
    <w:tmpl w:val="2CEA6F38"/>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14C3594"/>
    <w:multiLevelType w:val="multilevel"/>
    <w:tmpl w:val="1F24FE9C"/>
    <w:lvl w:ilvl="0">
      <w:start w:val="1"/>
      <w:numFmt w:val="bullet"/>
      <w:pStyle w:val="ListBullet"/>
      <w:lvlText w:val="■"/>
      <w:lvlJc w:val="left"/>
      <w:pPr>
        <w:ind w:left="340" w:hanging="340"/>
      </w:pPr>
      <w:rPr>
        <w:rFonts w:ascii="Arial" w:hAnsi="Arial" w:hint="default"/>
        <w:sz w:val="20"/>
      </w:rPr>
    </w:lvl>
    <w:lvl w:ilvl="1">
      <w:start w:val="1"/>
      <w:numFmt w:val="bullet"/>
      <w:lvlRestart w:val="0"/>
      <w:pStyle w:val="ListBullet2"/>
      <w:lvlText w:val="−"/>
      <w:lvlJc w:val="left"/>
      <w:pPr>
        <w:ind w:left="680" w:hanging="340"/>
      </w:pPr>
      <w:rPr>
        <w:rFonts w:ascii="Arial" w:hAnsi="Arial" w:hint="default"/>
        <w:color w:val="auto"/>
      </w:rPr>
    </w:lvl>
    <w:lvl w:ilvl="2">
      <w:start w:val="1"/>
      <w:numFmt w:val="bullet"/>
      <w:lvlRestart w:val="0"/>
      <w:pStyle w:val="ListBullet3"/>
      <w:lvlText w:val="●"/>
      <w:lvlJc w:val="left"/>
      <w:pPr>
        <w:ind w:left="1021" w:hanging="341"/>
      </w:pPr>
      <w:rPr>
        <w:rFonts w:ascii="Arial" w:hAnsi="Arial" w:hint="default"/>
      </w:rPr>
    </w:lvl>
    <w:lvl w:ilvl="3">
      <w:start w:val="1"/>
      <w:numFmt w:val="bullet"/>
      <w:lvlRestart w:val="0"/>
      <w:pStyle w:val="ListBullet4"/>
      <w:lvlText w:val="○"/>
      <w:lvlJc w:val="left"/>
      <w:pPr>
        <w:ind w:left="1361" w:hanging="340"/>
      </w:pPr>
      <w:rPr>
        <w:rFonts w:ascii="Arial" w:hAnsi="Arial" w:hint="default"/>
        <w:color w:val="auto"/>
      </w:rPr>
    </w:lvl>
    <w:lvl w:ilvl="4">
      <w:start w:val="1"/>
      <w:numFmt w:val="bullet"/>
      <w:lvlRestart w:val="0"/>
      <w:pStyle w:val="ListBullet5"/>
      <w:lvlText w:val="♦"/>
      <w:lvlJc w:val="left"/>
      <w:pPr>
        <w:ind w:left="1701" w:hanging="340"/>
      </w:pPr>
      <w:rPr>
        <w:rFonts w:ascii="Arial" w:hAnsi="Arial" w:hint="default"/>
        <w:color w:val="auto"/>
      </w:rPr>
    </w:lvl>
    <w:lvl w:ilvl="5">
      <w:start w:val="1"/>
      <w:numFmt w:val="lowerRoman"/>
      <w:lvlText w:val="(%6)"/>
      <w:lvlJc w:val="left"/>
      <w:pPr>
        <w:ind w:left="2041" w:hanging="340"/>
      </w:pPr>
      <w:rPr>
        <w:rFonts w:hint="default"/>
      </w:rPr>
    </w:lvl>
    <w:lvl w:ilvl="6">
      <w:start w:val="1"/>
      <w:numFmt w:val="decimal"/>
      <w:lvlText w:val="%7."/>
      <w:lvlJc w:val="left"/>
      <w:pPr>
        <w:ind w:left="2381" w:hanging="34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22B2FDC"/>
    <w:multiLevelType w:val="hybridMultilevel"/>
    <w:tmpl w:val="9312B2FC"/>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15:restartNumberingAfterBreak="0">
    <w:nsid w:val="13AE356A"/>
    <w:multiLevelType w:val="hybridMultilevel"/>
    <w:tmpl w:val="E7729A82"/>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14E00D7F"/>
    <w:multiLevelType w:val="hybridMultilevel"/>
    <w:tmpl w:val="F78EA8A4"/>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164218AD"/>
    <w:multiLevelType w:val="hybridMultilevel"/>
    <w:tmpl w:val="D722BA40"/>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0" w15:restartNumberingAfterBreak="0">
    <w:nsid w:val="189079A6"/>
    <w:multiLevelType w:val="hybridMultilevel"/>
    <w:tmpl w:val="3DB0EFEA"/>
    <w:lvl w:ilvl="0" w:tplc="CCBE16B6">
      <w:numFmt w:val="bullet"/>
      <w:lvlText w:val="-"/>
      <w:lvlJc w:val="left"/>
      <w:pPr>
        <w:ind w:left="1060" w:hanging="360"/>
      </w:pPr>
      <w:rPr>
        <w:rFonts w:ascii="Arial" w:eastAsia="Cambria" w:hAnsi="Arial" w:cs="Arial" w:hint="default"/>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11" w15:restartNumberingAfterBreak="0">
    <w:nsid w:val="197F55D5"/>
    <w:multiLevelType w:val="hybridMultilevel"/>
    <w:tmpl w:val="4CCEF9E6"/>
    <w:lvl w:ilvl="0" w:tplc="CCBE16B6">
      <w:numFmt w:val="bullet"/>
      <w:lvlText w:val="-"/>
      <w:lvlJc w:val="left"/>
      <w:pPr>
        <w:ind w:left="1060" w:hanging="360"/>
      </w:pPr>
      <w:rPr>
        <w:rFonts w:ascii="Arial" w:eastAsia="Cambria" w:hAnsi="Arial" w:cs="Arial" w:hint="default"/>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12" w15:restartNumberingAfterBreak="0">
    <w:nsid w:val="1B50095E"/>
    <w:multiLevelType w:val="multilevel"/>
    <w:tmpl w:val="8384CC36"/>
    <w:lvl w:ilvl="0">
      <w:start w:val="1"/>
      <w:numFmt w:val="none"/>
      <w:pStyle w:val="ListContinue"/>
      <w:lvlText w:val=""/>
      <w:lvlJc w:val="left"/>
      <w:pPr>
        <w:ind w:left="360" w:hanging="360"/>
      </w:pPr>
      <w:rPr>
        <w:rFonts w:hint="default"/>
      </w:rPr>
    </w:lvl>
    <w:lvl w:ilvl="1">
      <w:start w:val="1"/>
      <w:numFmt w:val="none"/>
      <w:lvlRestart w:val="0"/>
      <w:pStyle w:val="ListContinue2"/>
      <w:lvlText w:val=""/>
      <w:lvlJc w:val="left"/>
      <w:pPr>
        <w:ind w:left="720" w:hanging="360"/>
      </w:pPr>
      <w:rPr>
        <w:rFonts w:hint="default"/>
      </w:rPr>
    </w:lvl>
    <w:lvl w:ilvl="2">
      <w:start w:val="1"/>
      <w:numFmt w:val="none"/>
      <w:lvlRestart w:val="0"/>
      <w:pStyle w:val="ListContinue3"/>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pStyle w:val="ListContinue5"/>
      <w:lvlText w:val=""/>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FA25218"/>
    <w:multiLevelType w:val="hybridMultilevel"/>
    <w:tmpl w:val="4A0285BA"/>
    <w:lvl w:ilvl="0" w:tplc="C2DC1AEC">
      <w:start w:val="1"/>
      <w:numFmt w:val="bullet"/>
      <w:pStyle w:val="SBEmpfehlungen"/>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1FCA320E"/>
    <w:multiLevelType w:val="hybridMultilevel"/>
    <w:tmpl w:val="E05814C6"/>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25EB6175"/>
    <w:multiLevelType w:val="hybridMultilevel"/>
    <w:tmpl w:val="11621C9A"/>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6" w15:restartNumberingAfterBreak="0">
    <w:nsid w:val="288D5660"/>
    <w:multiLevelType w:val="hybridMultilevel"/>
    <w:tmpl w:val="DB62F052"/>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2C3B1013"/>
    <w:multiLevelType w:val="hybridMultilevel"/>
    <w:tmpl w:val="F82E9EF8"/>
    <w:lvl w:ilvl="0" w:tplc="0B9EFF0E">
      <w:start w:val="1"/>
      <w:numFmt w:val="bullet"/>
      <w:lvlText w:val="-"/>
      <w:lvlJc w:val="left"/>
      <w:pPr>
        <w:ind w:left="720" w:hanging="360"/>
      </w:pPr>
      <w:rPr>
        <w:rFonts w:ascii="Calibri Light" w:hAnsi="Calibri Light"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18" w15:restartNumberingAfterBreak="0">
    <w:nsid w:val="2C55770E"/>
    <w:multiLevelType w:val="hybridMultilevel"/>
    <w:tmpl w:val="C3983CD8"/>
    <w:lvl w:ilvl="0" w:tplc="A3405C4E">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390655F0"/>
    <w:multiLevelType w:val="hybridMultilevel"/>
    <w:tmpl w:val="C1E874B4"/>
    <w:lvl w:ilvl="0" w:tplc="A8C4E4AE">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3BB974F4"/>
    <w:multiLevelType w:val="hybridMultilevel"/>
    <w:tmpl w:val="1A963E4E"/>
    <w:lvl w:ilvl="0" w:tplc="B394BA0A">
      <w:start w:val="1"/>
      <w:numFmt w:val="bullet"/>
      <w:pStyle w:val="SBAufzhlung"/>
      <w:lvlText w:val=""/>
      <w:lvlJc w:val="left"/>
      <w:pPr>
        <w:ind w:left="360" w:hanging="360"/>
      </w:pPr>
      <w:rPr>
        <w:rFonts w:ascii="Symbol" w:hAnsi="Symbol" w:hint="default"/>
        <w:sz w:val="24"/>
        <w:szCs w:val="24"/>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1" w15:restartNumberingAfterBreak="0">
    <w:nsid w:val="3C1A0163"/>
    <w:multiLevelType w:val="hybridMultilevel"/>
    <w:tmpl w:val="B0A8CD42"/>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2" w15:restartNumberingAfterBreak="0">
    <w:nsid w:val="421B59F7"/>
    <w:multiLevelType w:val="hybridMultilevel"/>
    <w:tmpl w:val="2A6AA04C"/>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3" w15:restartNumberingAfterBreak="0">
    <w:nsid w:val="4380473A"/>
    <w:multiLevelType w:val="hybridMultilevel"/>
    <w:tmpl w:val="60B43EE8"/>
    <w:lvl w:ilvl="0" w:tplc="BE8A38CA">
      <w:numFmt w:val="bullet"/>
      <w:pStyle w:val="BaukastenAufzaehlung"/>
      <w:lvlText w:val="-"/>
      <w:lvlJc w:val="left"/>
      <w:pPr>
        <w:ind w:left="360" w:hanging="360"/>
      </w:pPr>
      <w:rPr>
        <w:rFonts w:ascii="Arial" w:eastAsia="Cambria"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4" w15:restartNumberingAfterBreak="0">
    <w:nsid w:val="44A22C5C"/>
    <w:multiLevelType w:val="hybridMultilevel"/>
    <w:tmpl w:val="27DECFFA"/>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45B857DA"/>
    <w:multiLevelType w:val="hybridMultilevel"/>
    <w:tmpl w:val="2C203588"/>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15:restartNumberingAfterBreak="0">
    <w:nsid w:val="480D59D1"/>
    <w:multiLevelType w:val="hybridMultilevel"/>
    <w:tmpl w:val="6FDA829E"/>
    <w:lvl w:ilvl="0" w:tplc="E5CA34C6">
      <w:start w:val="1"/>
      <w:numFmt w:val="bullet"/>
      <w:lvlText w:val=""/>
      <w:lvlJc w:val="left"/>
      <w:pPr>
        <w:ind w:left="2061" w:hanging="360"/>
      </w:pPr>
      <w:rPr>
        <w:rFonts w:ascii="Wingdings" w:hAnsi="Wingdings" w:hint="default"/>
      </w:rPr>
    </w:lvl>
    <w:lvl w:ilvl="1" w:tplc="519EAD80">
      <w:start w:val="1"/>
      <w:numFmt w:val="bullet"/>
      <w:lvlText w:val="o"/>
      <w:lvlJc w:val="left"/>
      <w:pPr>
        <w:ind w:left="2856" w:hanging="360"/>
      </w:pPr>
      <w:rPr>
        <w:rFonts w:ascii="Courier New" w:hAnsi="Courier New" w:cs="Courier New" w:hint="default"/>
      </w:rPr>
    </w:lvl>
    <w:lvl w:ilvl="2" w:tplc="08070005" w:tentative="1">
      <w:start w:val="1"/>
      <w:numFmt w:val="bullet"/>
      <w:lvlText w:val=""/>
      <w:lvlJc w:val="left"/>
      <w:pPr>
        <w:ind w:left="3576" w:hanging="360"/>
      </w:pPr>
      <w:rPr>
        <w:rFonts w:ascii="Wingdings" w:hAnsi="Wingdings" w:hint="default"/>
      </w:rPr>
    </w:lvl>
    <w:lvl w:ilvl="3" w:tplc="08070001" w:tentative="1">
      <w:start w:val="1"/>
      <w:numFmt w:val="bullet"/>
      <w:lvlText w:val=""/>
      <w:lvlJc w:val="left"/>
      <w:pPr>
        <w:ind w:left="4296" w:hanging="360"/>
      </w:pPr>
      <w:rPr>
        <w:rFonts w:ascii="Symbol" w:hAnsi="Symbol" w:hint="default"/>
      </w:rPr>
    </w:lvl>
    <w:lvl w:ilvl="4" w:tplc="08070003" w:tentative="1">
      <w:start w:val="1"/>
      <w:numFmt w:val="bullet"/>
      <w:lvlText w:val="o"/>
      <w:lvlJc w:val="left"/>
      <w:pPr>
        <w:ind w:left="5016" w:hanging="360"/>
      </w:pPr>
      <w:rPr>
        <w:rFonts w:ascii="Courier New" w:hAnsi="Courier New" w:cs="Courier New" w:hint="default"/>
      </w:rPr>
    </w:lvl>
    <w:lvl w:ilvl="5" w:tplc="08070005" w:tentative="1">
      <w:start w:val="1"/>
      <w:numFmt w:val="bullet"/>
      <w:lvlText w:val=""/>
      <w:lvlJc w:val="left"/>
      <w:pPr>
        <w:ind w:left="5736" w:hanging="360"/>
      </w:pPr>
      <w:rPr>
        <w:rFonts w:ascii="Wingdings" w:hAnsi="Wingdings" w:hint="default"/>
      </w:rPr>
    </w:lvl>
    <w:lvl w:ilvl="6" w:tplc="08070001" w:tentative="1">
      <w:start w:val="1"/>
      <w:numFmt w:val="bullet"/>
      <w:lvlText w:val=""/>
      <w:lvlJc w:val="left"/>
      <w:pPr>
        <w:ind w:left="6456" w:hanging="360"/>
      </w:pPr>
      <w:rPr>
        <w:rFonts w:ascii="Symbol" w:hAnsi="Symbol" w:hint="default"/>
      </w:rPr>
    </w:lvl>
    <w:lvl w:ilvl="7" w:tplc="08070003" w:tentative="1">
      <w:start w:val="1"/>
      <w:numFmt w:val="bullet"/>
      <w:lvlText w:val="o"/>
      <w:lvlJc w:val="left"/>
      <w:pPr>
        <w:ind w:left="7176" w:hanging="360"/>
      </w:pPr>
      <w:rPr>
        <w:rFonts w:ascii="Courier New" w:hAnsi="Courier New" w:cs="Courier New" w:hint="default"/>
      </w:rPr>
    </w:lvl>
    <w:lvl w:ilvl="8" w:tplc="08070005" w:tentative="1">
      <w:start w:val="1"/>
      <w:numFmt w:val="bullet"/>
      <w:lvlText w:val=""/>
      <w:lvlJc w:val="left"/>
      <w:pPr>
        <w:ind w:left="7896" w:hanging="360"/>
      </w:pPr>
      <w:rPr>
        <w:rFonts w:ascii="Wingdings" w:hAnsi="Wingdings" w:hint="default"/>
      </w:rPr>
    </w:lvl>
  </w:abstractNum>
  <w:abstractNum w:abstractNumId="27" w15:restartNumberingAfterBreak="0">
    <w:nsid w:val="49EE6A75"/>
    <w:multiLevelType w:val="hybridMultilevel"/>
    <w:tmpl w:val="82429B36"/>
    <w:lvl w:ilvl="0" w:tplc="CCBE16B6">
      <w:numFmt w:val="bullet"/>
      <w:lvlText w:val="-"/>
      <w:lvlJc w:val="left"/>
      <w:pPr>
        <w:ind w:left="720" w:hanging="360"/>
      </w:pPr>
      <w:rPr>
        <w:rFonts w:ascii="Arial" w:eastAsia="Cambria"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15:restartNumberingAfterBreak="0">
    <w:nsid w:val="4E310145"/>
    <w:multiLevelType w:val="hybridMultilevel"/>
    <w:tmpl w:val="E91EA6F0"/>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9" w15:restartNumberingAfterBreak="0">
    <w:nsid w:val="523A386F"/>
    <w:multiLevelType w:val="hybridMultilevel"/>
    <w:tmpl w:val="9702D38E"/>
    <w:lvl w:ilvl="0" w:tplc="CCBE16B6">
      <w:numFmt w:val="bullet"/>
      <w:lvlText w:val="-"/>
      <w:lvlJc w:val="left"/>
      <w:pPr>
        <w:ind w:left="360" w:hanging="360"/>
      </w:pPr>
      <w:rPr>
        <w:rFonts w:ascii="Arial" w:eastAsia="Cambria"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0" w15:restartNumberingAfterBreak="0">
    <w:nsid w:val="523B7A77"/>
    <w:multiLevelType w:val="hybridMultilevel"/>
    <w:tmpl w:val="E9BEBB3A"/>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1" w15:restartNumberingAfterBreak="0">
    <w:nsid w:val="55AC7DA5"/>
    <w:multiLevelType w:val="hybridMultilevel"/>
    <w:tmpl w:val="1102E94E"/>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2" w15:restartNumberingAfterBreak="0">
    <w:nsid w:val="578A0EB4"/>
    <w:multiLevelType w:val="hybridMultilevel"/>
    <w:tmpl w:val="A202D390"/>
    <w:lvl w:ilvl="0" w:tplc="536A5F18">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3" w15:restartNumberingAfterBreak="0">
    <w:nsid w:val="59D87B2E"/>
    <w:multiLevelType w:val="hybridMultilevel"/>
    <w:tmpl w:val="B98A81D4"/>
    <w:lvl w:ilvl="0" w:tplc="CCBE16B6">
      <w:numFmt w:val="bullet"/>
      <w:lvlText w:val="-"/>
      <w:lvlJc w:val="left"/>
      <w:pPr>
        <w:ind w:left="1060" w:hanging="360"/>
      </w:pPr>
      <w:rPr>
        <w:rFonts w:ascii="Arial" w:eastAsia="Cambria" w:hAnsi="Arial" w:cs="Arial" w:hint="default"/>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34" w15:restartNumberingAfterBreak="0">
    <w:nsid w:val="5CD5204C"/>
    <w:multiLevelType w:val="hybridMultilevel"/>
    <w:tmpl w:val="6158DFB4"/>
    <w:lvl w:ilvl="0" w:tplc="CCBE16B6">
      <w:numFmt w:val="bullet"/>
      <w:lvlText w:val="-"/>
      <w:lvlJc w:val="left"/>
      <w:pPr>
        <w:ind w:left="360" w:hanging="360"/>
      </w:pPr>
      <w:rPr>
        <w:rFonts w:ascii="Arial" w:eastAsia="Cambria"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5" w15:restartNumberingAfterBreak="0">
    <w:nsid w:val="5E58291E"/>
    <w:multiLevelType w:val="hybridMultilevel"/>
    <w:tmpl w:val="1DFCC590"/>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15:restartNumberingAfterBreak="0">
    <w:nsid w:val="5FF61CAA"/>
    <w:multiLevelType w:val="hybridMultilevel"/>
    <w:tmpl w:val="D56C0BE0"/>
    <w:lvl w:ilvl="0" w:tplc="CCBE16B6">
      <w:numFmt w:val="bullet"/>
      <w:lvlText w:val="-"/>
      <w:lvlJc w:val="left"/>
      <w:pPr>
        <w:ind w:left="360" w:hanging="360"/>
      </w:pPr>
      <w:rPr>
        <w:rFonts w:ascii="Arial" w:eastAsia="Cambria"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7" w15:restartNumberingAfterBreak="0">
    <w:nsid w:val="61AF3B83"/>
    <w:multiLevelType w:val="hybridMultilevel"/>
    <w:tmpl w:val="C066843A"/>
    <w:lvl w:ilvl="0" w:tplc="9E5804BC">
      <w:start w:val="1"/>
      <w:numFmt w:val="bullet"/>
      <w:lvlText w:val="-"/>
      <w:lvlJc w:val="left"/>
      <w:pPr>
        <w:ind w:left="720" w:hanging="360"/>
      </w:pPr>
      <w:rPr>
        <w:rFonts w:ascii="Calibri Light" w:hAnsi="Calibri Light"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8" w15:restartNumberingAfterBreak="0">
    <w:nsid w:val="6341751A"/>
    <w:multiLevelType w:val="multilevel"/>
    <w:tmpl w:val="B8DE9626"/>
    <w:lvl w:ilvl="0">
      <w:start w:val="1"/>
      <w:numFmt w:val="upperLetter"/>
      <w:pStyle w:val="Heading1"/>
      <w:suff w:val="space"/>
      <w:lvlText w:val="%1"/>
      <w:lvlJc w:val="left"/>
      <w:pPr>
        <w:ind w:left="340" w:hanging="340"/>
      </w:pPr>
      <w:rPr>
        <w:rFonts w:hint="default"/>
      </w:rPr>
    </w:lvl>
    <w:lvl w:ilvl="1">
      <w:start w:val="1"/>
      <w:numFmt w:val="decimal"/>
      <w:pStyle w:val="Heading2"/>
      <w:suff w:val="space"/>
      <w:lvlText w:val="%2."/>
      <w:lvlJc w:val="left"/>
      <w:pPr>
        <w:ind w:left="340" w:hanging="340"/>
      </w:pPr>
      <w:rPr>
        <w:rFonts w:hint="default"/>
        <w:i w:val="0"/>
      </w:rPr>
    </w:lvl>
    <w:lvl w:ilvl="2">
      <w:start w:val="1"/>
      <w:numFmt w:val="decimal"/>
      <w:pStyle w:val="Heading3"/>
      <w:suff w:val="space"/>
      <w:lvlText w:val="%2.%3."/>
      <w:lvlJc w:val="left"/>
      <w:pPr>
        <w:ind w:left="737" w:hanging="737"/>
      </w:pPr>
      <w:rPr>
        <w:rFonts w:hint="default"/>
      </w:rPr>
    </w:lvl>
    <w:lvl w:ilvl="3">
      <w:start w:val="1"/>
      <w:numFmt w:val="decimal"/>
      <w:pStyle w:val="Heading4"/>
      <w:suff w:val="space"/>
      <w:lvlText w:val="%2.%3.%4."/>
      <w:lvlJc w:val="left"/>
      <w:pPr>
        <w:ind w:left="1134" w:hanging="1134"/>
      </w:pPr>
      <w:rPr>
        <w:rFonts w:hint="default"/>
      </w:rPr>
    </w:lvl>
    <w:lvl w:ilvl="4">
      <w:start w:val="1"/>
      <w:numFmt w:val="decimal"/>
      <w:pStyle w:val="Heading5"/>
      <w:suff w:val="space"/>
      <w:lvlText w:val="%2.%3.%4.%5."/>
      <w:lvlJc w:val="left"/>
      <w:pPr>
        <w:ind w:left="1418" w:hanging="1418"/>
      </w:pPr>
      <w:rPr>
        <w:rFonts w:hint="default"/>
      </w:rPr>
    </w:lvl>
    <w:lvl w:ilvl="5">
      <w:start w:val="1"/>
      <w:numFmt w:val="decimal"/>
      <w:pStyle w:val="Heading6"/>
      <w:suff w:val="space"/>
      <w:lvlText w:val="%2.%3.%4.%5.%6."/>
      <w:lvlJc w:val="left"/>
      <w:pPr>
        <w:ind w:left="1134" w:hanging="1134"/>
      </w:pPr>
      <w:rPr>
        <w:rFonts w:hint="default"/>
      </w:rPr>
    </w:lvl>
    <w:lvl w:ilvl="6">
      <w:start w:val="1"/>
      <w:numFmt w:val="decimal"/>
      <w:pStyle w:val="Heading7"/>
      <w:suff w:val="space"/>
      <w:lvlText w:val="%2.%3.%4.%5.%6.%7."/>
      <w:lvlJc w:val="left"/>
      <w:pPr>
        <w:ind w:left="3572" w:hanging="3572"/>
      </w:pPr>
      <w:rPr>
        <w:rFonts w:hint="default"/>
      </w:rPr>
    </w:lvl>
    <w:lvl w:ilvl="7">
      <w:start w:val="1"/>
      <w:numFmt w:val="decimal"/>
      <w:pStyle w:val="Heading8"/>
      <w:suff w:val="space"/>
      <w:lvlText w:val="%2.%3.%4.%5.%6.%7.%8."/>
      <w:lvlJc w:val="left"/>
      <w:pPr>
        <w:ind w:left="2325" w:hanging="2325"/>
      </w:pPr>
      <w:rPr>
        <w:rFonts w:hint="default"/>
      </w:rPr>
    </w:lvl>
    <w:lvl w:ilvl="8">
      <w:start w:val="1"/>
      <w:numFmt w:val="decimal"/>
      <w:pStyle w:val="Heading9"/>
      <w:suff w:val="space"/>
      <w:lvlText w:val="%2.%3.%4.%5.%6.%7.%8.%9."/>
      <w:lvlJc w:val="left"/>
      <w:pPr>
        <w:ind w:left="2722" w:hanging="2722"/>
      </w:pPr>
      <w:rPr>
        <w:rFonts w:hint="default"/>
      </w:rPr>
    </w:lvl>
  </w:abstractNum>
  <w:abstractNum w:abstractNumId="39" w15:restartNumberingAfterBreak="0">
    <w:nsid w:val="65F9424E"/>
    <w:multiLevelType w:val="hybridMultilevel"/>
    <w:tmpl w:val="460EEDB6"/>
    <w:lvl w:ilvl="0" w:tplc="E716C292">
      <w:numFmt w:val="bullet"/>
      <w:lvlText w:val="-"/>
      <w:lvlJc w:val="left"/>
      <w:pPr>
        <w:ind w:left="360" w:hanging="360"/>
      </w:pPr>
      <w:rPr>
        <w:rFonts w:ascii="Arial" w:eastAsia="Cambria"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0" w15:restartNumberingAfterBreak="0">
    <w:nsid w:val="67E802F1"/>
    <w:multiLevelType w:val="hybridMultilevel"/>
    <w:tmpl w:val="F7EE13CE"/>
    <w:lvl w:ilvl="0" w:tplc="1362F19A">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1" w15:restartNumberingAfterBreak="0">
    <w:nsid w:val="68D448D2"/>
    <w:multiLevelType w:val="hybridMultilevel"/>
    <w:tmpl w:val="DF1A735E"/>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2" w15:restartNumberingAfterBreak="0">
    <w:nsid w:val="69302969"/>
    <w:multiLevelType w:val="hybridMultilevel"/>
    <w:tmpl w:val="B9546594"/>
    <w:lvl w:ilvl="0" w:tplc="CCBE16B6">
      <w:numFmt w:val="bullet"/>
      <w:lvlText w:val="-"/>
      <w:lvlJc w:val="left"/>
      <w:pPr>
        <w:ind w:left="360" w:hanging="360"/>
      </w:pPr>
      <w:rPr>
        <w:rFonts w:ascii="Arial" w:eastAsia="Cambria"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3" w15:restartNumberingAfterBreak="0">
    <w:nsid w:val="6CD2766F"/>
    <w:multiLevelType w:val="hybridMultilevel"/>
    <w:tmpl w:val="94D2DACE"/>
    <w:lvl w:ilvl="0" w:tplc="1362F19A">
      <w:start w:val="1"/>
      <w:numFmt w:val="bullet"/>
      <w:lvlText w:val=""/>
      <w:lvlJc w:val="left"/>
      <w:pPr>
        <w:ind w:left="1060" w:hanging="360"/>
      </w:pPr>
      <w:rPr>
        <w:rFonts w:ascii="Symbol" w:hAnsi="Symbol" w:hint="default"/>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44" w15:restartNumberingAfterBreak="0">
    <w:nsid w:val="71E815C6"/>
    <w:multiLevelType w:val="hybridMultilevel"/>
    <w:tmpl w:val="F39425C8"/>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5" w15:restartNumberingAfterBreak="0">
    <w:nsid w:val="7341534B"/>
    <w:multiLevelType w:val="hybridMultilevel"/>
    <w:tmpl w:val="5FE68A88"/>
    <w:lvl w:ilvl="0" w:tplc="E6F61A18">
      <w:numFmt w:val="bullet"/>
      <w:lvlText w:val="-"/>
      <w:lvlJc w:val="left"/>
      <w:pPr>
        <w:ind w:left="720" w:hanging="360"/>
      </w:pPr>
      <w:rPr>
        <w:rFonts w:ascii="Arial" w:eastAsia="Cambria"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6" w15:restartNumberingAfterBreak="0">
    <w:nsid w:val="7826167F"/>
    <w:multiLevelType w:val="hybridMultilevel"/>
    <w:tmpl w:val="88D48F98"/>
    <w:lvl w:ilvl="0" w:tplc="CCBE16B6">
      <w:numFmt w:val="bullet"/>
      <w:lvlText w:val="-"/>
      <w:lvlJc w:val="left"/>
      <w:pPr>
        <w:ind w:left="1060" w:hanging="360"/>
      </w:pPr>
      <w:rPr>
        <w:rFonts w:ascii="Arial" w:eastAsia="Cambria" w:hAnsi="Arial" w:cs="Arial" w:hint="default"/>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47" w15:restartNumberingAfterBreak="0">
    <w:nsid w:val="78B80C43"/>
    <w:multiLevelType w:val="hybridMultilevel"/>
    <w:tmpl w:val="1F4054DC"/>
    <w:lvl w:ilvl="0" w:tplc="9E5804BC">
      <w:start w:val="1"/>
      <w:numFmt w:val="bullet"/>
      <w:lvlText w:val="-"/>
      <w:lvlJc w:val="left"/>
      <w:pPr>
        <w:ind w:left="360" w:hanging="360"/>
      </w:pPr>
      <w:rPr>
        <w:rFonts w:ascii="Calibri Light" w:hAnsi="Calibri Light"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8" w15:restartNumberingAfterBreak="0">
    <w:nsid w:val="79A74CFD"/>
    <w:multiLevelType w:val="multilevel"/>
    <w:tmpl w:val="9DC661B4"/>
    <w:lvl w:ilvl="0">
      <w:start w:val="1"/>
      <w:numFmt w:val="ordinal"/>
      <w:pStyle w:val="ListNumber"/>
      <w:isLgl/>
      <w:lvlText w:val="%1"/>
      <w:lvlJc w:val="left"/>
      <w:pPr>
        <w:ind w:left="340" w:hanging="340"/>
      </w:pPr>
      <w:rPr>
        <w:rFonts w:hint="default"/>
        <w:color w:val="auto"/>
      </w:rPr>
    </w:lvl>
    <w:lvl w:ilvl="1">
      <w:start w:val="1"/>
      <w:numFmt w:val="lowerLetter"/>
      <w:pStyle w:val="ListNumber2"/>
      <w:lvlText w:val="%2)"/>
      <w:lvlJc w:val="left"/>
      <w:pPr>
        <w:ind w:left="680" w:hanging="340"/>
      </w:pPr>
      <w:rPr>
        <w:rFonts w:hint="default"/>
      </w:rPr>
    </w:lvl>
    <w:lvl w:ilvl="2">
      <w:start w:val="1"/>
      <w:numFmt w:val="lowerRoman"/>
      <w:pStyle w:val="ListNumber3"/>
      <w:lvlText w:val="%3)"/>
      <w:lvlJc w:val="left"/>
      <w:pPr>
        <w:ind w:left="1021" w:hanging="341"/>
      </w:pPr>
      <w:rPr>
        <w:rFonts w:hint="default"/>
      </w:rPr>
    </w:lvl>
    <w:lvl w:ilvl="3">
      <w:start w:val="1"/>
      <w:numFmt w:val="upperRoman"/>
      <w:pStyle w:val="ListNumber4"/>
      <w:lvlText w:val="(%4)"/>
      <w:lvlJc w:val="left"/>
      <w:pPr>
        <w:ind w:left="1361" w:hanging="340"/>
      </w:pPr>
      <w:rPr>
        <w:rFonts w:hint="default"/>
      </w:rPr>
    </w:lvl>
    <w:lvl w:ilvl="4">
      <w:start w:val="1"/>
      <w:numFmt w:val="decimal"/>
      <w:pStyle w:val="ListNumber5"/>
      <w:lvlText w:val="(%5)"/>
      <w:lvlJc w:val="left"/>
      <w:pPr>
        <w:ind w:left="1701" w:hanging="340"/>
      </w:pPr>
      <w:rPr>
        <w:rFonts w:hint="default"/>
      </w:rPr>
    </w:lvl>
    <w:lvl w:ilvl="5">
      <w:start w:val="1"/>
      <w:numFmt w:val="lowerRoman"/>
      <w:lvlText w:val="(%6)"/>
      <w:lvlJc w:val="left"/>
      <w:pPr>
        <w:ind w:left="2724" w:hanging="454"/>
      </w:pPr>
      <w:rPr>
        <w:rFonts w:hint="default"/>
      </w:rPr>
    </w:lvl>
    <w:lvl w:ilvl="6">
      <w:start w:val="1"/>
      <w:numFmt w:val="decimal"/>
      <w:lvlText w:val="%7."/>
      <w:lvlJc w:val="left"/>
      <w:pPr>
        <w:ind w:left="3178" w:hanging="454"/>
      </w:pPr>
      <w:rPr>
        <w:rFonts w:hint="default"/>
      </w:rPr>
    </w:lvl>
    <w:lvl w:ilvl="7">
      <w:start w:val="1"/>
      <w:numFmt w:val="lowerLetter"/>
      <w:lvlText w:val="%8."/>
      <w:lvlJc w:val="left"/>
      <w:pPr>
        <w:ind w:left="3632" w:hanging="454"/>
      </w:pPr>
      <w:rPr>
        <w:rFonts w:hint="default"/>
      </w:rPr>
    </w:lvl>
    <w:lvl w:ilvl="8">
      <w:start w:val="1"/>
      <w:numFmt w:val="lowerRoman"/>
      <w:lvlText w:val="%9."/>
      <w:lvlJc w:val="left"/>
      <w:pPr>
        <w:ind w:left="4086" w:hanging="454"/>
      </w:pPr>
      <w:rPr>
        <w:rFonts w:hint="default"/>
      </w:rPr>
    </w:lvl>
  </w:abstractNum>
  <w:abstractNum w:abstractNumId="49" w15:restartNumberingAfterBreak="0">
    <w:nsid w:val="7CCE34B2"/>
    <w:multiLevelType w:val="hybridMultilevel"/>
    <w:tmpl w:val="99DE4A90"/>
    <w:lvl w:ilvl="0" w:tplc="9E5804BC">
      <w:start w:val="1"/>
      <w:numFmt w:val="bullet"/>
      <w:lvlText w:val="-"/>
      <w:lvlJc w:val="left"/>
      <w:pPr>
        <w:ind w:left="1080" w:hanging="360"/>
      </w:pPr>
      <w:rPr>
        <w:rFonts w:ascii="Calibri Light" w:hAnsi="Calibri Light"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50" w15:restartNumberingAfterBreak="0">
    <w:nsid w:val="7DF43B95"/>
    <w:multiLevelType w:val="hybridMultilevel"/>
    <w:tmpl w:val="250A6030"/>
    <w:lvl w:ilvl="0" w:tplc="CCBE16B6">
      <w:numFmt w:val="bullet"/>
      <w:lvlText w:val="-"/>
      <w:lvlJc w:val="left"/>
      <w:pPr>
        <w:ind w:left="1060" w:hanging="360"/>
      </w:pPr>
      <w:rPr>
        <w:rFonts w:ascii="Arial" w:eastAsia="Cambria" w:hAnsi="Arial" w:cs="Arial" w:hint="default"/>
      </w:rPr>
    </w:lvl>
    <w:lvl w:ilvl="1" w:tplc="08070003" w:tentative="1">
      <w:start w:val="1"/>
      <w:numFmt w:val="bullet"/>
      <w:lvlText w:val="o"/>
      <w:lvlJc w:val="left"/>
      <w:pPr>
        <w:ind w:left="1780" w:hanging="360"/>
      </w:pPr>
      <w:rPr>
        <w:rFonts w:ascii="Courier New" w:hAnsi="Courier New" w:cs="Courier New" w:hint="default"/>
      </w:rPr>
    </w:lvl>
    <w:lvl w:ilvl="2" w:tplc="08070005" w:tentative="1">
      <w:start w:val="1"/>
      <w:numFmt w:val="bullet"/>
      <w:lvlText w:val=""/>
      <w:lvlJc w:val="left"/>
      <w:pPr>
        <w:ind w:left="2500" w:hanging="360"/>
      </w:pPr>
      <w:rPr>
        <w:rFonts w:ascii="Wingdings" w:hAnsi="Wingdings" w:hint="default"/>
      </w:rPr>
    </w:lvl>
    <w:lvl w:ilvl="3" w:tplc="08070001" w:tentative="1">
      <w:start w:val="1"/>
      <w:numFmt w:val="bullet"/>
      <w:lvlText w:val=""/>
      <w:lvlJc w:val="left"/>
      <w:pPr>
        <w:ind w:left="3220" w:hanging="360"/>
      </w:pPr>
      <w:rPr>
        <w:rFonts w:ascii="Symbol" w:hAnsi="Symbol" w:hint="default"/>
      </w:rPr>
    </w:lvl>
    <w:lvl w:ilvl="4" w:tplc="08070003" w:tentative="1">
      <w:start w:val="1"/>
      <w:numFmt w:val="bullet"/>
      <w:lvlText w:val="o"/>
      <w:lvlJc w:val="left"/>
      <w:pPr>
        <w:ind w:left="3940" w:hanging="360"/>
      </w:pPr>
      <w:rPr>
        <w:rFonts w:ascii="Courier New" w:hAnsi="Courier New" w:cs="Courier New" w:hint="default"/>
      </w:rPr>
    </w:lvl>
    <w:lvl w:ilvl="5" w:tplc="08070005" w:tentative="1">
      <w:start w:val="1"/>
      <w:numFmt w:val="bullet"/>
      <w:lvlText w:val=""/>
      <w:lvlJc w:val="left"/>
      <w:pPr>
        <w:ind w:left="4660" w:hanging="360"/>
      </w:pPr>
      <w:rPr>
        <w:rFonts w:ascii="Wingdings" w:hAnsi="Wingdings" w:hint="default"/>
      </w:rPr>
    </w:lvl>
    <w:lvl w:ilvl="6" w:tplc="08070001" w:tentative="1">
      <w:start w:val="1"/>
      <w:numFmt w:val="bullet"/>
      <w:lvlText w:val=""/>
      <w:lvlJc w:val="left"/>
      <w:pPr>
        <w:ind w:left="5380" w:hanging="360"/>
      </w:pPr>
      <w:rPr>
        <w:rFonts w:ascii="Symbol" w:hAnsi="Symbol" w:hint="default"/>
      </w:rPr>
    </w:lvl>
    <w:lvl w:ilvl="7" w:tplc="08070003" w:tentative="1">
      <w:start w:val="1"/>
      <w:numFmt w:val="bullet"/>
      <w:lvlText w:val="o"/>
      <w:lvlJc w:val="left"/>
      <w:pPr>
        <w:ind w:left="6100" w:hanging="360"/>
      </w:pPr>
      <w:rPr>
        <w:rFonts w:ascii="Courier New" w:hAnsi="Courier New" w:cs="Courier New" w:hint="default"/>
      </w:rPr>
    </w:lvl>
    <w:lvl w:ilvl="8" w:tplc="08070005" w:tentative="1">
      <w:start w:val="1"/>
      <w:numFmt w:val="bullet"/>
      <w:lvlText w:val=""/>
      <w:lvlJc w:val="left"/>
      <w:pPr>
        <w:ind w:left="6820" w:hanging="360"/>
      </w:pPr>
      <w:rPr>
        <w:rFonts w:ascii="Wingdings" w:hAnsi="Wingdings" w:hint="default"/>
      </w:rPr>
    </w:lvl>
  </w:abstractNum>
  <w:abstractNum w:abstractNumId="51" w15:restartNumberingAfterBreak="0">
    <w:nsid w:val="7E014351"/>
    <w:multiLevelType w:val="hybridMultilevel"/>
    <w:tmpl w:val="A62EDE0E"/>
    <w:lvl w:ilvl="0" w:tplc="3DA8C36E">
      <w:numFmt w:val="bullet"/>
      <w:lvlText w:val="-"/>
      <w:lvlJc w:val="left"/>
      <w:pPr>
        <w:ind w:left="1080" w:hanging="360"/>
      </w:pPr>
      <w:rPr>
        <w:rFonts w:ascii="Arial" w:eastAsia="Cambria" w:hAnsi="Arial" w:cs="Aria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52" w15:restartNumberingAfterBreak="0">
    <w:nsid w:val="7FA24C4A"/>
    <w:multiLevelType w:val="hybridMultilevel"/>
    <w:tmpl w:val="01F68D6A"/>
    <w:lvl w:ilvl="0" w:tplc="CCBE16B6">
      <w:numFmt w:val="bullet"/>
      <w:lvlText w:val="-"/>
      <w:lvlJc w:val="left"/>
      <w:pPr>
        <w:ind w:left="360" w:hanging="360"/>
      </w:pPr>
      <w:rPr>
        <w:rFonts w:ascii="Arial" w:eastAsia="Cambria"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num w:numId="1">
    <w:abstractNumId w:val="5"/>
  </w:num>
  <w:num w:numId="2">
    <w:abstractNumId w:val="12"/>
  </w:num>
  <w:num w:numId="3">
    <w:abstractNumId w:val="48"/>
  </w:num>
  <w:num w:numId="4">
    <w:abstractNumId w:val="38"/>
  </w:num>
  <w:num w:numId="5">
    <w:abstractNumId w:val="0"/>
  </w:num>
  <w:num w:numId="6">
    <w:abstractNumId w:val="23"/>
  </w:num>
  <w:num w:numId="7">
    <w:abstractNumId w:val="20"/>
  </w:num>
  <w:num w:numId="8">
    <w:abstractNumId w:val="13"/>
  </w:num>
  <w:num w:numId="9">
    <w:abstractNumId w:val="26"/>
  </w:num>
  <w:num w:numId="10">
    <w:abstractNumId w:val="42"/>
  </w:num>
  <w:num w:numId="11">
    <w:abstractNumId w:val="51"/>
  </w:num>
  <w:num w:numId="12">
    <w:abstractNumId w:val="52"/>
  </w:num>
  <w:num w:numId="13">
    <w:abstractNumId w:val="18"/>
  </w:num>
  <w:num w:numId="14">
    <w:abstractNumId w:val="19"/>
  </w:num>
  <w:num w:numId="15">
    <w:abstractNumId w:val="1"/>
  </w:num>
  <w:num w:numId="16">
    <w:abstractNumId w:val="43"/>
  </w:num>
  <w:num w:numId="17">
    <w:abstractNumId w:val="33"/>
  </w:num>
  <w:num w:numId="18">
    <w:abstractNumId w:val="3"/>
  </w:num>
  <w:num w:numId="19">
    <w:abstractNumId w:val="50"/>
  </w:num>
  <w:num w:numId="20">
    <w:abstractNumId w:val="10"/>
  </w:num>
  <w:num w:numId="21">
    <w:abstractNumId w:val="46"/>
  </w:num>
  <w:num w:numId="22">
    <w:abstractNumId w:val="11"/>
  </w:num>
  <w:num w:numId="23">
    <w:abstractNumId w:val="29"/>
  </w:num>
  <w:num w:numId="24">
    <w:abstractNumId w:val="9"/>
  </w:num>
  <w:num w:numId="25">
    <w:abstractNumId w:val="22"/>
  </w:num>
  <w:num w:numId="26">
    <w:abstractNumId w:val="27"/>
  </w:num>
  <w:num w:numId="27">
    <w:abstractNumId w:val="36"/>
  </w:num>
  <w:num w:numId="28">
    <w:abstractNumId w:val="6"/>
  </w:num>
  <w:num w:numId="29">
    <w:abstractNumId w:val="15"/>
  </w:num>
  <w:num w:numId="30">
    <w:abstractNumId w:val="2"/>
  </w:num>
  <w:num w:numId="31">
    <w:abstractNumId w:val="31"/>
  </w:num>
  <w:num w:numId="32">
    <w:abstractNumId w:val="34"/>
  </w:num>
  <w:num w:numId="33">
    <w:abstractNumId w:val="16"/>
  </w:num>
  <w:num w:numId="34">
    <w:abstractNumId w:val="32"/>
  </w:num>
  <w:num w:numId="35">
    <w:abstractNumId w:val="25"/>
  </w:num>
  <w:num w:numId="36">
    <w:abstractNumId w:val="49"/>
  </w:num>
  <w:num w:numId="37">
    <w:abstractNumId w:val="21"/>
  </w:num>
  <w:num w:numId="38">
    <w:abstractNumId w:val="44"/>
  </w:num>
  <w:num w:numId="39">
    <w:abstractNumId w:val="41"/>
  </w:num>
  <w:num w:numId="40">
    <w:abstractNumId w:val="8"/>
  </w:num>
  <w:num w:numId="41">
    <w:abstractNumId w:val="17"/>
  </w:num>
  <w:num w:numId="42">
    <w:abstractNumId w:val="30"/>
  </w:num>
  <w:num w:numId="43">
    <w:abstractNumId w:val="47"/>
  </w:num>
  <w:num w:numId="44">
    <w:abstractNumId w:val="28"/>
  </w:num>
  <w:num w:numId="45">
    <w:abstractNumId w:val="39"/>
  </w:num>
  <w:num w:numId="46">
    <w:abstractNumId w:val="24"/>
  </w:num>
  <w:num w:numId="47">
    <w:abstractNumId w:val="35"/>
  </w:num>
  <w:num w:numId="48">
    <w:abstractNumId w:val="7"/>
  </w:num>
  <w:num w:numId="49">
    <w:abstractNumId w:val="40"/>
  </w:num>
  <w:num w:numId="50">
    <w:abstractNumId w:val="4"/>
  </w:num>
  <w:num w:numId="51">
    <w:abstractNumId w:val="45"/>
  </w:num>
  <w:num w:numId="52">
    <w:abstractNumId w:val="37"/>
  </w:num>
  <w:num w:numId="53">
    <w:abstractNumId w:val="1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de-CH" w:vendorID="64" w:dllVersion="131078" w:nlCheck="1" w:checkStyle="0"/>
  <w:activeWritingStyle w:appName="MSWord" w:lang="en-US" w:vendorID="64" w:dllVersion="131078" w:nlCheck="1" w:checkStyle="1"/>
  <w:activeWritingStyle w:appName="MSWord" w:lang="fr-FR" w:vendorID="64" w:dllVersion="131078" w:nlCheck="1" w:checkStyle="0"/>
  <w:activeWritingStyle w:appName="MSWord" w:lang="de-DE" w:vendorID="64" w:dllVersion="131078" w:nlCheck="1" w:checkStyle="0"/>
  <w:activeWritingStyle w:appName="MSWord" w:lang="it-IT" w:vendorID="64" w:dllVersion="131078" w:nlCheck="1" w:checkStyle="0"/>
  <w:activeWritingStyle w:appName="MSWord" w:lang="en-GB" w:vendorID="64" w:dllVersion="131078" w:nlCheck="1" w:checkStyle="0"/>
  <w:activeWritingStyle w:appName="MSWord" w:lang="fr-CH" w:vendorID="64" w:dllVersion="131078" w:nlCheck="1" w:checkStyle="0"/>
  <w:activeWritingStyle w:appName="MSWord" w:lang="it-CH" w:vendorID="64" w:dllVersion="131078" w:nlCheck="1" w:checkStyle="0"/>
  <w:attachedTemplate r:id="rId1"/>
  <w:documentProtection w:formatting="1" w:enforcement="0"/>
  <w:defaultTabStop w:val="709"/>
  <w:autoHyphenation/>
  <w:hyphenationZone w:val="425"/>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60B"/>
    <w:rsid w:val="0001096E"/>
    <w:rsid w:val="00016CF8"/>
    <w:rsid w:val="00017681"/>
    <w:rsid w:val="0002275A"/>
    <w:rsid w:val="0002338D"/>
    <w:rsid w:val="00026ECE"/>
    <w:rsid w:val="00036D1C"/>
    <w:rsid w:val="00042324"/>
    <w:rsid w:val="00043373"/>
    <w:rsid w:val="00047DC7"/>
    <w:rsid w:val="00051048"/>
    <w:rsid w:val="0006109B"/>
    <w:rsid w:val="00063CD7"/>
    <w:rsid w:val="00064995"/>
    <w:rsid w:val="00080991"/>
    <w:rsid w:val="00082D01"/>
    <w:rsid w:val="000A6B5C"/>
    <w:rsid w:val="000A6C33"/>
    <w:rsid w:val="000A71E3"/>
    <w:rsid w:val="000B10DD"/>
    <w:rsid w:val="000B1A6A"/>
    <w:rsid w:val="000B4CF8"/>
    <w:rsid w:val="000C1AE5"/>
    <w:rsid w:val="000C2221"/>
    <w:rsid w:val="000C4036"/>
    <w:rsid w:val="000C4453"/>
    <w:rsid w:val="000C511C"/>
    <w:rsid w:val="000C5392"/>
    <w:rsid w:val="000C6BE6"/>
    <w:rsid w:val="000D5C19"/>
    <w:rsid w:val="000E19F0"/>
    <w:rsid w:val="000E67CF"/>
    <w:rsid w:val="000F12AD"/>
    <w:rsid w:val="000F5736"/>
    <w:rsid w:val="000F5B6F"/>
    <w:rsid w:val="000F7A75"/>
    <w:rsid w:val="00102996"/>
    <w:rsid w:val="00104AEE"/>
    <w:rsid w:val="00110895"/>
    <w:rsid w:val="00126BDC"/>
    <w:rsid w:val="001317F7"/>
    <w:rsid w:val="00137B44"/>
    <w:rsid w:val="00147ED9"/>
    <w:rsid w:val="00150661"/>
    <w:rsid w:val="0015489B"/>
    <w:rsid w:val="00157299"/>
    <w:rsid w:val="00161F1C"/>
    <w:rsid w:val="0016752E"/>
    <w:rsid w:val="0017517D"/>
    <w:rsid w:val="00177CEC"/>
    <w:rsid w:val="0018091D"/>
    <w:rsid w:val="00180F50"/>
    <w:rsid w:val="0018236C"/>
    <w:rsid w:val="00182987"/>
    <w:rsid w:val="00186780"/>
    <w:rsid w:val="00193DFD"/>
    <w:rsid w:val="00194E86"/>
    <w:rsid w:val="00197341"/>
    <w:rsid w:val="001A6855"/>
    <w:rsid w:val="001A6D6C"/>
    <w:rsid w:val="001B020C"/>
    <w:rsid w:val="001B0C01"/>
    <w:rsid w:val="001B1900"/>
    <w:rsid w:val="001B7AA1"/>
    <w:rsid w:val="001C6097"/>
    <w:rsid w:val="001D0B11"/>
    <w:rsid w:val="001D0DCC"/>
    <w:rsid w:val="001D2BFE"/>
    <w:rsid w:val="001D7D8C"/>
    <w:rsid w:val="001E446A"/>
    <w:rsid w:val="001E787F"/>
    <w:rsid w:val="001F20AA"/>
    <w:rsid w:val="001F5569"/>
    <w:rsid w:val="001F59DA"/>
    <w:rsid w:val="001F7066"/>
    <w:rsid w:val="001F7CC7"/>
    <w:rsid w:val="00202EA2"/>
    <w:rsid w:val="00202F1D"/>
    <w:rsid w:val="00214ECD"/>
    <w:rsid w:val="0021718C"/>
    <w:rsid w:val="002237FB"/>
    <w:rsid w:val="002254D4"/>
    <w:rsid w:val="00226B02"/>
    <w:rsid w:val="00226E90"/>
    <w:rsid w:val="0023390F"/>
    <w:rsid w:val="00241E1F"/>
    <w:rsid w:val="002442D5"/>
    <w:rsid w:val="00244568"/>
    <w:rsid w:val="00253F19"/>
    <w:rsid w:val="00255DD4"/>
    <w:rsid w:val="00277971"/>
    <w:rsid w:val="00282A84"/>
    <w:rsid w:val="002839E5"/>
    <w:rsid w:val="002849BA"/>
    <w:rsid w:val="00291221"/>
    <w:rsid w:val="00292E4E"/>
    <w:rsid w:val="002B5DC1"/>
    <w:rsid w:val="002C68A8"/>
    <w:rsid w:val="002C7F77"/>
    <w:rsid w:val="002E03C3"/>
    <w:rsid w:val="002E205B"/>
    <w:rsid w:val="002E4D6E"/>
    <w:rsid w:val="002F25B8"/>
    <w:rsid w:val="002F6827"/>
    <w:rsid w:val="00305C86"/>
    <w:rsid w:val="003159B8"/>
    <w:rsid w:val="0032197D"/>
    <w:rsid w:val="00322CC6"/>
    <w:rsid w:val="0032578A"/>
    <w:rsid w:val="003305A6"/>
    <w:rsid w:val="003341FB"/>
    <w:rsid w:val="003365FB"/>
    <w:rsid w:val="003417A5"/>
    <w:rsid w:val="003468E7"/>
    <w:rsid w:val="0035153F"/>
    <w:rsid w:val="003640E6"/>
    <w:rsid w:val="00364B02"/>
    <w:rsid w:val="00365785"/>
    <w:rsid w:val="00370CDB"/>
    <w:rsid w:val="00382CB8"/>
    <w:rsid w:val="00383A2D"/>
    <w:rsid w:val="003848C7"/>
    <w:rsid w:val="00394B3D"/>
    <w:rsid w:val="003950DD"/>
    <w:rsid w:val="003979FB"/>
    <w:rsid w:val="003A40A8"/>
    <w:rsid w:val="003B0C23"/>
    <w:rsid w:val="003B65A8"/>
    <w:rsid w:val="003C2BD6"/>
    <w:rsid w:val="003D036C"/>
    <w:rsid w:val="003D2F0B"/>
    <w:rsid w:val="003D5394"/>
    <w:rsid w:val="003D5FE1"/>
    <w:rsid w:val="003E302A"/>
    <w:rsid w:val="003F7745"/>
    <w:rsid w:val="0040614B"/>
    <w:rsid w:val="0040659F"/>
    <w:rsid w:val="0041288F"/>
    <w:rsid w:val="0041432A"/>
    <w:rsid w:val="00430A29"/>
    <w:rsid w:val="00433554"/>
    <w:rsid w:val="004371FB"/>
    <w:rsid w:val="004413D0"/>
    <w:rsid w:val="00443210"/>
    <w:rsid w:val="0045190F"/>
    <w:rsid w:val="00453053"/>
    <w:rsid w:val="00466205"/>
    <w:rsid w:val="004704DF"/>
    <w:rsid w:val="004735D9"/>
    <w:rsid w:val="0049152C"/>
    <w:rsid w:val="004924A8"/>
    <w:rsid w:val="00493848"/>
    <w:rsid w:val="00494B45"/>
    <w:rsid w:val="004A0DC7"/>
    <w:rsid w:val="004B0FA9"/>
    <w:rsid w:val="004B1B13"/>
    <w:rsid w:val="004B5F98"/>
    <w:rsid w:val="004C5F27"/>
    <w:rsid w:val="004D1E66"/>
    <w:rsid w:val="004D63C3"/>
    <w:rsid w:val="004E1D7D"/>
    <w:rsid w:val="004E32E8"/>
    <w:rsid w:val="004E3650"/>
    <w:rsid w:val="004E3835"/>
    <w:rsid w:val="004E5A76"/>
    <w:rsid w:val="004E5C3D"/>
    <w:rsid w:val="00502C8A"/>
    <w:rsid w:val="005033A4"/>
    <w:rsid w:val="00504FE1"/>
    <w:rsid w:val="0051415B"/>
    <w:rsid w:val="005313EE"/>
    <w:rsid w:val="00532E74"/>
    <w:rsid w:val="00533BE9"/>
    <w:rsid w:val="005341C2"/>
    <w:rsid w:val="00541DC3"/>
    <w:rsid w:val="0055143B"/>
    <w:rsid w:val="005568B0"/>
    <w:rsid w:val="005603E9"/>
    <w:rsid w:val="005636A4"/>
    <w:rsid w:val="00563AF6"/>
    <w:rsid w:val="00564158"/>
    <w:rsid w:val="00565971"/>
    <w:rsid w:val="00565996"/>
    <w:rsid w:val="00565E74"/>
    <w:rsid w:val="00574550"/>
    <w:rsid w:val="00581A4C"/>
    <w:rsid w:val="00585414"/>
    <w:rsid w:val="00592C09"/>
    <w:rsid w:val="005A5EBA"/>
    <w:rsid w:val="005A7B6B"/>
    <w:rsid w:val="005B4044"/>
    <w:rsid w:val="005B5851"/>
    <w:rsid w:val="005B6E73"/>
    <w:rsid w:val="005C1BAB"/>
    <w:rsid w:val="005C3C2F"/>
    <w:rsid w:val="005D3D06"/>
    <w:rsid w:val="005E5D37"/>
    <w:rsid w:val="005E7C0E"/>
    <w:rsid w:val="005F6CE6"/>
    <w:rsid w:val="006066DC"/>
    <w:rsid w:val="006077B1"/>
    <w:rsid w:val="0061524A"/>
    <w:rsid w:val="00615913"/>
    <w:rsid w:val="00630816"/>
    <w:rsid w:val="006403E4"/>
    <w:rsid w:val="00641E14"/>
    <w:rsid w:val="00641EF5"/>
    <w:rsid w:val="0065329D"/>
    <w:rsid w:val="006539CC"/>
    <w:rsid w:val="006543E0"/>
    <w:rsid w:val="00654776"/>
    <w:rsid w:val="006551AD"/>
    <w:rsid w:val="0065723E"/>
    <w:rsid w:val="00661EAD"/>
    <w:rsid w:val="00671C4E"/>
    <w:rsid w:val="00675F1D"/>
    <w:rsid w:val="00681CD7"/>
    <w:rsid w:val="006868AE"/>
    <w:rsid w:val="006A104D"/>
    <w:rsid w:val="006B6396"/>
    <w:rsid w:val="006C3171"/>
    <w:rsid w:val="006C359A"/>
    <w:rsid w:val="006C6090"/>
    <w:rsid w:val="006D1EEF"/>
    <w:rsid w:val="006E7687"/>
    <w:rsid w:val="0070242E"/>
    <w:rsid w:val="007178C6"/>
    <w:rsid w:val="00733D47"/>
    <w:rsid w:val="007343F2"/>
    <w:rsid w:val="00735596"/>
    <w:rsid w:val="007433D0"/>
    <w:rsid w:val="007455D5"/>
    <w:rsid w:val="00746A76"/>
    <w:rsid w:val="00751A52"/>
    <w:rsid w:val="007520DF"/>
    <w:rsid w:val="00755F3F"/>
    <w:rsid w:val="00755FE5"/>
    <w:rsid w:val="00766777"/>
    <w:rsid w:val="00766A9A"/>
    <w:rsid w:val="00770D23"/>
    <w:rsid w:val="0077167B"/>
    <w:rsid w:val="00771ADD"/>
    <w:rsid w:val="007826B2"/>
    <w:rsid w:val="0078374B"/>
    <w:rsid w:val="007B05FC"/>
    <w:rsid w:val="007B4FEB"/>
    <w:rsid w:val="007C0D74"/>
    <w:rsid w:val="007C5489"/>
    <w:rsid w:val="007D0141"/>
    <w:rsid w:val="007D36C0"/>
    <w:rsid w:val="007D4ACD"/>
    <w:rsid w:val="007D5B09"/>
    <w:rsid w:val="007E540D"/>
    <w:rsid w:val="007F7AE4"/>
    <w:rsid w:val="008034B0"/>
    <w:rsid w:val="008117CC"/>
    <w:rsid w:val="00815092"/>
    <w:rsid w:val="00816F90"/>
    <w:rsid w:val="008176A5"/>
    <w:rsid w:val="008236A9"/>
    <w:rsid w:val="0083198B"/>
    <w:rsid w:val="00850223"/>
    <w:rsid w:val="00854851"/>
    <w:rsid w:val="00856ED4"/>
    <w:rsid w:val="00867476"/>
    <w:rsid w:val="00873B00"/>
    <w:rsid w:val="008756B0"/>
    <w:rsid w:val="00880E0A"/>
    <w:rsid w:val="008823EA"/>
    <w:rsid w:val="00883722"/>
    <w:rsid w:val="008865E7"/>
    <w:rsid w:val="008A003E"/>
    <w:rsid w:val="008A0578"/>
    <w:rsid w:val="008B1494"/>
    <w:rsid w:val="008B4A1A"/>
    <w:rsid w:val="008B7941"/>
    <w:rsid w:val="008C290F"/>
    <w:rsid w:val="008C2ED6"/>
    <w:rsid w:val="008C5072"/>
    <w:rsid w:val="008D20FE"/>
    <w:rsid w:val="008E260B"/>
    <w:rsid w:val="008E44FF"/>
    <w:rsid w:val="008E4658"/>
    <w:rsid w:val="008E6B31"/>
    <w:rsid w:val="00900057"/>
    <w:rsid w:val="00900AD3"/>
    <w:rsid w:val="0091195F"/>
    <w:rsid w:val="00912079"/>
    <w:rsid w:val="009159FD"/>
    <w:rsid w:val="00915CF3"/>
    <w:rsid w:val="00924B3D"/>
    <w:rsid w:val="00934BCD"/>
    <w:rsid w:val="00937D46"/>
    <w:rsid w:val="0094135C"/>
    <w:rsid w:val="00947FF6"/>
    <w:rsid w:val="00953BFA"/>
    <w:rsid w:val="009543A2"/>
    <w:rsid w:val="00957EE9"/>
    <w:rsid w:val="009632D4"/>
    <w:rsid w:val="0096584B"/>
    <w:rsid w:val="0096766E"/>
    <w:rsid w:val="00974B14"/>
    <w:rsid w:val="009802BB"/>
    <w:rsid w:val="009848A9"/>
    <w:rsid w:val="00986822"/>
    <w:rsid w:val="0098717A"/>
    <w:rsid w:val="00990DFF"/>
    <w:rsid w:val="00992D2C"/>
    <w:rsid w:val="00994FD0"/>
    <w:rsid w:val="00997A2D"/>
    <w:rsid w:val="009A37D8"/>
    <w:rsid w:val="009A4704"/>
    <w:rsid w:val="009A78B4"/>
    <w:rsid w:val="009B00B0"/>
    <w:rsid w:val="009B075F"/>
    <w:rsid w:val="009B0968"/>
    <w:rsid w:val="009B7113"/>
    <w:rsid w:val="009B7514"/>
    <w:rsid w:val="009C274A"/>
    <w:rsid w:val="009C5D87"/>
    <w:rsid w:val="009D0AEB"/>
    <w:rsid w:val="009D0B96"/>
    <w:rsid w:val="009F00BE"/>
    <w:rsid w:val="009F1243"/>
    <w:rsid w:val="009F5C4B"/>
    <w:rsid w:val="009F6640"/>
    <w:rsid w:val="009F740A"/>
    <w:rsid w:val="00A014D9"/>
    <w:rsid w:val="00A20EF3"/>
    <w:rsid w:val="00A21F26"/>
    <w:rsid w:val="00A30C19"/>
    <w:rsid w:val="00A31E05"/>
    <w:rsid w:val="00A3499C"/>
    <w:rsid w:val="00A429E8"/>
    <w:rsid w:val="00A523DA"/>
    <w:rsid w:val="00A573C2"/>
    <w:rsid w:val="00A576CD"/>
    <w:rsid w:val="00A57EC2"/>
    <w:rsid w:val="00A62383"/>
    <w:rsid w:val="00A63987"/>
    <w:rsid w:val="00A65A81"/>
    <w:rsid w:val="00A65DBE"/>
    <w:rsid w:val="00A7258A"/>
    <w:rsid w:val="00A8205E"/>
    <w:rsid w:val="00A97250"/>
    <w:rsid w:val="00AA0F94"/>
    <w:rsid w:val="00AB0B6F"/>
    <w:rsid w:val="00AB496C"/>
    <w:rsid w:val="00AC73B6"/>
    <w:rsid w:val="00AC7C71"/>
    <w:rsid w:val="00AD6133"/>
    <w:rsid w:val="00AE6458"/>
    <w:rsid w:val="00AF0343"/>
    <w:rsid w:val="00AF697E"/>
    <w:rsid w:val="00B00843"/>
    <w:rsid w:val="00B009DC"/>
    <w:rsid w:val="00B01188"/>
    <w:rsid w:val="00B027C8"/>
    <w:rsid w:val="00B077B3"/>
    <w:rsid w:val="00B205C7"/>
    <w:rsid w:val="00B26E69"/>
    <w:rsid w:val="00B30BCF"/>
    <w:rsid w:val="00B318CA"/>
    <w:rsid w:val="00B33AE3"/>
    <w:rsid w:val="00B35310"/>
    <w:rsid w:val="00B54597"/>
    <w:rsid w:val="00B5787C"/>
    <w:rsid w:val="00B66575"/>
    <w:rsid w:val="00B7328B"/>
    <w:rsid w:val="00B852A0"/>
    <w:rsid w:val="00B8736A"/>
    <w:rsid w:val="00B9176C"/>
    <w:rsid w:val="00B93050"/>
    <w:rsid w:val="00BA7E32"/>
    <w:rsid w:val="00BB6C76"/>
    <w:rsid w:val="00BB7C87"/>
    <w:rsid w:val="00BC49E0"/>
    <w:rsid w:val="00BD6E82"/>
    <w:rsid w:val="00BD786B"/>
    <w:rsid w:val="00BE57FB"/>
    <w:rsid w:val="00BF1D04"/>
    <w:rsid w:val="00BF54EE"/>
    <w:rsid w:val="00C1158C"/>
    <w:rsid w:val="00C12E4A"/>
    <w:rsid w:val="00C1475D"/>
    <w:rsid w:val="00C149D9"/>
    <w:rsid w:val="00C177BB"/>
    <w:rsid w:val="00C20600"/>
    <w:rsid w:val="00C22C90"/>
    <w:rsid w:val="00C25235"/>
    <w:rsid w:val="00C2554B"/>
    <w:rsid w:val="00C31E99"/>
    <w:rsid w:val="00C32AEE"/>
    <w:rsid w:val="00C409DF"/>
    <w:rsid w:val="00C4474D"/>
    <w:rsid w:val="00C514A9"/>
    <w:rsid w:val="00C52530"/>
    <w:rsid w:val="00C56617"/>
    <w:rsid w:val="00C61379"/>
    <w:rsid w:val="00C655D5"/>
    <w:rsid w:val="00C71D65"/>
    <w:rsid w:val="00C72D66"/>
    <w:rsid w:val="00C73C8B"/>
    <w:rsid w:val="00C92163"/>
    <w:rsid w:val="00C97C0A"/>
    <w:rsid w:val="00CA6202"/>
    <w:rsid w:val="00CB06B8"/>
    <w:rsid w:val="00CB19F9"/>
    <w:rsid w:val="00CB2976"/>
    <w:rsid w:val="00CC1E4C"/>
    <w:rsid w:val="00CC6502"/>
    <w:rsid w:val="00CC6722"/>
    <w:rsid w:val="00CC7B2F"/>
    <w:rsid w:val="00CD6616"/>
    <w:rsid w:val="00CE2F83"/>
    <w:rsid w:val="00D018D0"/>
    <w:rsid w:val="00D05EAA"/>
    <w:rsid w:val="00D06E91"/>
    <w:rsid w:val="00D15DF3"/>
    <w:rsid w:val="00D21FAC"/>
    <w:rsid w:val="00D30079"/>
    <w:rsid w:val="00D30EE3"/>
    <w:rsid w:val="00D37DE5"/>
    <w:rsid w:val="00D40994"/>
    <w:rsid w:val="00D410D9"/>
    <w:rsid w:val="00D43D8D"/>
    <w:rsid w:val="00D460AF"/>
    <w:rsid w:val="00D4689A"/>
    <w:rsid w:val="00D46AEF"/>
    <w:rsid w:val="00D50E04"/>
    <w:rsid w:val="00D57FC2"/>
    <w:rsid w:val="00D616B2"/>
    <w:rsid w:val="00D65CB1"/>
    <w:rsid w:val="00D66CCC"/>
    <w:rsid w:val="00D739C9"/>
    <w:rsid w:val="00D73BEF"/>
    <w:rsid w:val="00D76F96"/>
    <w:rsid w:val="00D8058B"/>
    <w:rsid w:val="00D8175E"/>
    <w:rsid w:val="00D857C2"/>
    <w:rsid w:val="00D91486"/>
    <w:rsid w:val="00D93FD4"/>
    <w:rsid w:val="00DB2EE2"/>
    <w:rsid w:val="00DC405E"/>
    <w:rsid w:val="00DD12AA"/>
    <w:rsid w:val="00DE1CDB"/>
    <w:rsid w:val="00DF2884"/>
    <w:rsid w:val="00DF7F33"/>
    <w:rsid w:val="00E02DFD"/>
    <w:rsid w:val="00E03C83"/>
    <w:rsid w:val="00E06509"/>
    <w:rsid w:val="00E173A8"/>
    <w:rsid w:val="00E448CB"/>
    <w:rsid w:val="00E44AB9"/>
    <w:rsid w:val="00E461C3"/>
    <w:rsid w:val="00E554BA"/>
    <w:rsid w:val="00E60EB6"/>
    <w:rsid w:val="00E66775"/>
    <w:rsid w:val="00E756FC"/>
    <w:rsid w:val="00E81FDC"/>
    <w:rsid w:val="00E85C3C"/>
    <w:rsid w:val="00E86B4A"/>
    <w:rsid w:val="00E9103B"/>
    <w:rsid w:val="00E95A9D"/>
    <w:rsid w:val="00E96D52"/>
    <w:rsid w:val="00EB40FD"/>
    <w:rsid w:val="00EC48EF"/>
    <w:rsid w:val="00EC4FF4"/>
    <w:rsid w:val="00EC542A"/>
    <w:rsid w:val="00EC663E"/>
    <w:rsid w:val="00EC73F0"/>
    <w:rsid w:val="00ED1853"/>
    <w:rsid w:val="00ED1A8F"/>
    <w:rsid w:val="00ED3979"/>
    <w:rsid w:val="00ED3CB8"/>
    <w:rsid w:val="00EE7F01"/>
    <w:rsid w:val="00EF3E0E"/>
    <w:rsid w:val="00EF5DB7"/>
    <w:rsid w:val="00EF73AE"/>
    <w:rsid w:val="00F052F2"/>
    <w:rsid w:val="00F05643"/>
    <w:rsid w:val="00F11B89"/>
    <w:rsid w:val="00F1374A"/>
    <w:rsid w:val="00F17FEC"/>
    <w:rsid w:val="00F20E7E"/>
    <w:rsid w:val="00F233E7"/>
    <w:rsid w:val="00F259DF"/>
    <w:rsid w:val="00F342C8"/>
    <w:rsid w:val="00F35508"/>
    <w:rsid w:val="00F40C4D"/>
    <w:rsid w:val="00F412A7"/>
    <w:rsid w:val="00F44B13"/>
    <w:rsid w:val="00F45C90"/>
    <w:rsid w:val="00F60804"/>
    <w:rsid w:val="00F61F09"/>
    <w:rsid w:val="00F70B27"/>
    <w:rsid w:val="00F769B6"/>
    <w:rsid w:val="00F80162"/>
    <w:rsid w:val="00F85268"/>
    <w:rsid w:val="00FA0C39"/>
    <w:rsid w:val="00FA404D"/>
    <w:rsid w:val="00FA741B"/>
    <w:rsid w:val="00FB0164"/>
    <w:rsid w:val="00FB490F"/>
    <w:rsid w:val="00FD59E2"/>
    <w:rsid w:val="00FE18AF"/>
    <w:rsid w:val="00FE29BD"/>
    <w:rsid w:val="00FE3E0B"/>
    <w:rsid w:val="00FE40BC"/>
    <w:rsid w:val="00FE44A6"/>
    <w:rsid w:val="00FE4D0E"/>
    <w:rsid w:val="00FE68CE"/>
    <w:rsid w:val="00FF1BB2"/>
    <w:rsid w:val="00FF453D"/>
    <w:rsid w:val="00FF5ECB"/>
    <w:rsid w:val="00FF6B6B"/>
    <w:rsid w:val="00FF72D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9D8C049"/>
  <w15:chartTrackingRefBased/>
  <w15:docId w15:val="{5B703F1A-9E25-4925-8DEE-31E62C27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de-CH" w:eastAsia="en-US" w:bidi="ar-SA"/>
      </w:rPr>
    </w:rPrDefault>
    <w:pPrDefault>
      <w:pPr>
        <w:spacing w:after="120"/>
      </w:pPr>
    </w:pPrDefault>
  </w:docDefaults>
  <w:latentStyles w:defLockedState="1" w:defUIPriority="99" w:defSemiHidden="0" w:defUnhideWhenUsed="0" w:defQFormat="0" w:count="371">
    <w:lsdException w:name="Normal" w:locked="0"/>
    <w:lsdException w:name="heading 1" w:locked="0" w:uiPriority="1" w:qFormat="1"/>
    <w:lsdException w:name="heading 2" w:locked="0" w:semiHidden="1" w:uiPriority="1" w:unhideWhenUsed="1" w:qFormat="1"/>
    <w:lsdException w:name="heading 3" w:locked="0" w:semiHidden="1" w:uiPriority="1" w:unhideWhenUsed="1" w:qFormat="1"/>
    <w:lsdException w:name="heading 4" w:locked="0" w:semiHidden="1" w:uiPriority="9" w:unhideWhenUsed="1" w:qFormat="1"/>
    <w:lsdException w:name="heading 5" w:locked="0" w:semiHidden="1" w:uiPriority="80" w:unhideWhenUsed="1" w:qFormat="1"/>
    <w:lsdException w:name="heading 6" w:locked="0" w:semiHidden="1" w:uiPriority="80" w:unhideWhenUsed="1" w:qFormat="1"/>
    <w:lsdException w:name="heading 7" w:locked="0" w:semiHidden="1" w:uiPriority="80" w:unhideWhenUsed="1" w:qFormat="1"/>
    <w:lsdException w:name="heading 8" w:locked="0" w:semiHidden="1" w:uiPriority="80" w:unhideWhenUsed="1" w:qFormat="1"/>
    <w:lsdException w:name="heading 9" w:locked="0" w:semiHidden="1" w:uiPriority="80" w:unhideWhenUsed="1" w:qFormat="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locked="0" w:semiHidden="1" w:unhideWhenUsed="1"/>
    <w:lsdException w:name="footnote text" w:locked="0" w:semiHidden="1" w:unhideWhenUsed="1" w:qFormat="1"/>
    <w:lsdException w:name="annotation text" w:locked="0" w:semiHidden="1" w:unhideWhenUsed="1"/>
    <w:lsdException w:name="header" w:locked="0" w:semiHidden="1" w:unhideWhenUsed="1" w:qFormat="1"/>
    <w:lsdException w:name="footer" w:locked="0" w:semiHidden="1" w:unhideWhenUsed="1" w:qFormat="1"/>
    <w:lsdException w:name="index heading" w:locked="0" w:semiHidden="1" w:unhideWhenUsed="1"/>
    <w:lsdException w:name="caption" w:locked="0" w:semiHidden="1" w:uiPriority="28" w:unhideWhenUsed="1" w:qFormat="1"/>
    <w:lsdException w:name="table of figures" w:locked="0" w:semiHidden="1" w:uiPriority="97" w:unhideWhenUsed="1"/>
    <w:lsdException w:name="envelope address" w:locked="0" w:semiHidden="1" w:unhideWhenUsed="1"/>
    <w:lsdException w:name="envelope return" w:locked="0" w:semiHidden="1" w:unhideWhenUsed="1"/>
    <w:lsdException w:name="footnote reference" w:locked="0" w:semiHidden="1" w:unhideWhenUsed="1" w:qFormat="1"/>
    <w:lsdException w:name="annotation reference" w:locked="0" w:qFormat="1"/>
    <w:lsdException w:name="line number" w:locked="0" w:semiHidden="1" w:unhideWhenUsed="1"/>
    <w:lsdException w:name="page number" w:locked="0" w:semiHidden="1" w:unhideWhenUsed="1"/>
    <w:lsdException w:name="endnote reference" w:locked="0" w:semiHidden="1" w:uiPriority="96" w:unhideWhenUsed="1"/>
    <w:lsdException w:name="endnote text" w:locked="0" w:semiHidden="1" w:uiPriority="96" w:unhideWhenUsed="1"/>
    <w:lsdException w:name="table of authorities" w:locked="0" w:semiHidden="1" w:unhideWhenUsed="1"/>
    <w:lsdException w:name="macro" w:locked="0" w:semiHidden="1" w:unhideWhenUsed="1"/>
    <w:lsdException w:name="toa heading" w:locked="0" w:semiHidden="1" w:unhideWhenUsed="1"/>
    <w:lsdException w:name="List" w:locked="0" w:semiHidden="1" w:unhideWhenUsed="1"/>
    <w:lsdException w:name="List Bullet" w:locked="0" w:semiHidden="1" w:uiPriority="9" w:unhideWhenUsed="1" w:qFormat="1"/>
    <w:lsdException w:name="List Number" w:locked="0" w:semiHidden="1" w:uiPriority="8" w:unhideWhenUsed="1" w:qFormat="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iPriority="9" w:unhideWhenUsed="1"/>
    <w:lsdException w:name="List Bullet 3" w:locked="0" w:semiHidden="1" w:uiPriority="9" w:unhideWhenUsed="1"/>
    <w:lsdException w:name="List Bullet 4" w:locked="0" w:semiHidden="1" w:uiPriority="9" w:unhideWhenUsed="1"/>
    <w:lsdException w:name="List Bullet 5" w:locked="0" w:semiHidden="1" w:uiPriority="9" w:unhideWhenUsed="1"/>
    <w:lsdException w:name="List Number 2" w:locked="0" w:semiHidden="1" w:uiPriority="8" w:unhideWhenUsed="1"/>
    <w:lsdException w:name="List Number 3" w:locked="0" w:semiHidden="1" w:uiPriority="8" w:unhideWhenUsed="1"/>
    <w:lsdException w:name="List Number 4" w:locked="0" w:semiHidden="1" w:uiPriority="8" w:unhideWhenUsed="1"/>
    <w:lsdException w:name="List Number 5" w:locked="0" w:semiHidden="1" w:uiPriority="8" w:unhideWhenUsed="1"/>
    <w:lsdException w:name="Title" w:locked="0" w:uiPriority="25" w:qFormat="1"/>
    <w:lsdException w:name="Closing" w:locked="0" w:semiHidden="1" w:unhideWhenUsed="1"/>
    <w:lsdException w:name="Signature" w:locked="0" w:semiHidden="1" w:unhideWhenUsed="1"/>
    <w:lsdException w:name="Default Paragraph Font" w:locked="0" w:semiHidden="1" w:uiPriority="1" w:unhideWhenUsed="1"/>
    <w:lsdException w:name="Body Text" w:locked="0" w:semiHidden="1" w:uiPriority="0" w:unhideWhenUsed="1" w:qFormat="1"/>
    <w:lsdException w:name="Body Text Indent" w:locked="0" w:uiPriority="19" w:qFormat="1"/>
    <w:lsdException w:name="List Continue" w:locked="0" w:semiHidden="1" w:uiPriority="0"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locked="0" w:semiHidden="1" w:unhideWhenUsed="1"/>
    <w:lsdException w:name="Subtitle" w:locked="0" w:uiPriority="11" w:qFormat="1"/>
    <w:lsdException w:name="Salutation" w:locked="0" w:semiHidden="1" w:unhideWhenUsed="1"/>
    <w:lsdException w:name="Date" w:locked="0" w:semiHidden="1" w:uiPriority="22" w:unhideWhenUsed="1" w:qFormat="1"/>
    <w:lsdException w:name="Body Text First Indent" w:locked="0" w:uiPriority="21" w:qFormat="1"/>
    <w:lsdException w:name="Body Text First Indent 2" w:locked="0" w:uiPriority="24" w:qFormat="1"/>
    <w:lsdException w:name="Note Heading" w:locked="0" w:semiHidden="1" w:uiPriority="96" w:unhideWhenUsed="1"/>
    <w:lsdException w:name="Body Text 2" w:locked="0" w:semiHidden="1" w:uiPriority="17" w:unhideWhenUsed="1" w:qFormat="1"/>
    <w:lsdException w:name="Body Text 3" w:locked="0" w:semiHidden="1" w:uiPriority="18" w:unhideWhenUsed="1" w:qFormat="1"/>
    <w:lsdException w:name="Body Text Indent 2" w:locked="0" w:uiPriority="23" w:qFormat="1"/>
    <w:lsdException w:name="Body Text Indent 3" w:locked="0" w:uiPriority="20" w:qFormat="1"/>
    <w:lsdException w:name="Block Text" w:locked="0" w:semiHidden="1" w:uiPriority="11" w:unhideWhenUsed="1" w:qFormat="1"/>
    <w:lsdException w:name="Hyperlink" w:locked="0" w:semiHidden="1" w:unhideWhenUsed="1" w:qFormat="1"/>
    <w:lsdException w:name="FollowedHyperlink" w:locked="0" w:semiHidden="1" w:uiPriority="34" w:unhideWhenUsed="1"/>
    <w:lsdException w:name="Strong" w:locked="0" w:uiPriority="22" w:qFormat="1"/>
    <w:lsdException w:name="Emphasis" w:locked="0" w:uiPriority="20" w:qFormat="1"/>
    <w:lsdException w:name="Document Map" w:locked="0" w:semiHidden="1" w:uiPriority="15" w:unhideWhenUsed="1" w:qFormat="1"/>
    <w:lsdException w:name="Plain Text" w:locked="0" w:uiPriority="16" w:qFormat="1"/>
    <w:lsdException w:name="E-mail Signature" w:locked="0" w:semiHidden="1" w:uiPriority="98"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uiPriority="92"/>
    <w:lsdException w:name="HTML Address" w:locked="0" w:uiPriority="92" w:qFormat="1"/>
    <w:lsdException w:name="HTML Cite" w:locked="0" w:semiHidden="1" w:unhideWhenUsed="1"/>
    <w:lsdException w:name="HTML Code" w:locked="0" w:uiPriority="92" w:qFormat="1"/>
    <w:lsdException w:name="HTML Definition" w:locked="0" w:semiHidden="1" w:unhideWhenUsed="1"/>
    <w:lsdException w:name="HTML Keyboard" w:locked="0" w:semiHidden="1" w:unhideWhenUsed="1"/>
    <w:lsdException w:name="HTML Preformatted" w:locked="0" w:semiHidden="1" w:unhideWhenUsed="1"/>
    <w:lsdException w:name="HTML Sample" w:locked="0" w:uiPriority="50"/>
    <w:lsdException w:name="HTML Typewriter" w:locked="0" w:semiHidden="1" w:unhideWhenUsed="1"/>
    <w:lsdException w:name="HTML Variable" w:locked="0"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uiPriority="12" w:qFormat="1"/>
    <w:lsdException w:name="Table Grid" w:locked="0" w:uiPriority="39"/>
    <w:lsdException w:name="Table Theme" w:semiHidden="1" w:unhideWhenUsed="1"/>
    <w:lsdException w:name="Placeholder Text" w:locked="0" w:semiHidden="1"/>
    <w:lsdException w:name="No Spacing" w:lock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14" w:qFormat="1"/>
    <w:lsdException w:name="Intense Quote" w:locked="0" w:uiPriority="1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7" w:qFormat="1"/>
    <w:lsdException w:name="Intense Emphasis" w:locked="0" w:uiPriority="4" w:qFormat="1"/>
    <w:lsdException w:name="Subtle Reference" w:locked="0" w:uiPriority="4" w:qFormat="1"/>
    <w:lsdException w:name="Intense Reference" w:locked="0" w:uiPriority="6" w:qFormat="1"/>
    <w:lsdException w:name="Book Title" w:locked="0" w:uiPriority="10" w:qFormat="1"/>
    <w:lsdException w:name="Bibliography" w:locked="0" w:semiHidden="1"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semiHidden/>
    <w:rsid w:val="00585414"/>
    <w:pPr>
      <w:jc w:val="both"/>
    </w:pPr>
    <w:rPr>
      <w:sz w:val="24"/>
      <w:lang w:val="fr-CH"/>
    </w:rPr>
  </w:style>
  <w:style w:type="paragraph" w:styleId="Heading1">
    <w:name w:val="heading 1"/>
    <w:basedOn w:val="Normal"/>
    <w:next w:val="BodyText"/>
    <w:link w:val="Heading1Char"/>
    <w:uiPriority w:val="1"/>
    <w:qFormat/>
    <w:rsid w:val="00585414"/>
    <w:pPr>
      <w:keepNext/>
      <w:keepLines/>
      <w:numPr>
        <w:numId w:val="4"/>
      </w:numPr>
      <w:suppressAutoHyphens/>
      <w:spacing w:before="840"/>
      <w:jc w:val="left"/>
      <w:outlineLvl w:val="0"/>
    </w:pPr>
    <w:rPr>
      <w:rFonts w:eastAsiaTheme="majorEastAsia" w:cstheme="majorBidi"/>
      <w:b/>
      <w:bCs/>
      <w:color w:val="B0050D"/>
      <w:sz w:val="28"/>
      <w:szCs w:val="28"/>
      <w:lang w:eastAsia="de-CH"/>
    </w:rPr>
  </w:style>
  <w:style w:type="paragraph" w:styleId="Heading2">
    <w:name w:val="heading 2"/>
    <w:basedOn w:val="Normal"/>
    <w:next w:val="BodyText"/>
    <w:link w:val="Heading2Char"/>
    <w:uiPriority w:val="1"/>
    <w:qFormat/>
    <w:rsid w:val="00585414"/>
    <w:pPr>
      <w:keepNext/>
      <w:keepLines/>
      <w:numPr>
        <w:ilvl w:val="1"/>
        <w:numId w:val="4"/>
      </w:numPr>
      <w:suppressAutoHyphens/>
      <w:spacing w:before="600"/>
      <w:jc w:val="left"/>
      <w:outlineLvl w:val="1"/>
    </w:pPr>
    <w:rPr>
      <w:rFonts w:eastAsiaTheme="majorEastAsia" w:cstheme="majorBidi"/>
      <w:b/>
      <w:bCs/>
      <w:sz w:val="28"/>
      <w:szCs w:val="26"/>
      <w:lang w:eastAsia="de-CH"/>
    </w:rPr>
  </w:style>
  <w:style w:type="paragraph" w:styleId="Heading3">
    <w:name w:val="heading 3"/>
    <w:basedOn w:val="Normal"/>
    <w:next w:val="BodyText"/>
    <w:link w:val="Heading3Char"/>
    <w:uiPriority w:val="1"/>
    <w:qFormat/>
    <w:rsid w:val="00924B3D"/>
    <w:pPr>
      <w:keepNext/>
      <w:keepLines/>
      <w:numPr>
        <w:ilvl w:val="2"/>
        <w:numId w:val="4"/>
      </w:numPr>
      <w:suppressAutoHyphens/>
      <w:spacing w:before="240"/>
      <w:jc w:val="left"/>
      <w:outlineLvl w:val="2"/>
    </w:pPr>
    <w:rPr>
      <w:rFonts w:eastAsiaTheme="majorEastAsia" w:cstheme="majorBidi"/>
      <w:b/>
      <w:bCs/>
      <w:szCs w:val="20"/>
      <w:lang w:eastAsia="de-CH"/>
    </w:rPr>
  </w:style>
  <w:style w:type="paragraph" w:styleId="Heading4">
    <w:name w:val="heading 4"/>
    <w:basedOn w:val="Normal"/>
    <w:next w:val="BodyText"/>
    <w:link w:val="Heading4Char"/>
    <w:uiPriority w:val="9"/>
    <w:qFormat/>
    <w:rsid w:val="00585414"/>
    <w:pPr>
      <w:keepNext/>
      <w:keepLines/>
      <w:numPr>
        <w:ilvl w:val="3"/>
        <w:numId w:val="4"/>
      </w:numPr>
      <w:suppressAutoHyphens/>
      <w:spacing w:before="360" w:after="40"/>
      <w:jc w:val="left"/>
      <w:outlineLvl w:val="3"/>
    </w:pPr>
    <w:rPr>
      <w:rFonts w:eastAsiaTheme="majorEastAsia" w:cstheme="majorBidi"/>
      <w:b/>
      <w:bCs/>
      <w:i/>
      <w:iCs/>
      <w:szCs w:val="20"/>
      <w:lang w:val="en-US" w:eastAsia="de-CH"/>
    </w:rPr>
  </w:style>
  <w:style w:type="paragraph" w:styleId="Heading5">
    <w:name w:val="heading 5"/>
    <w:basedOn w:val="Normal"/>
    <w:next w:val="BodyText"/>
    <w:link w:val="Heading5Char"/>
    <w:uiPriority w:val="80"/>
    <w:qFormat/>
    <w:rsid w:val="00585414"/>
    <w:pPr>
      <w:keepNext/>
      <w:keepLines/>
      <w:numPr>
        <w:ilvl w:val="4"/>
        <w:numId w:val="4"/>
      </w:numPr>
      <w:suppressAutoHyphens/>
      <w:spacing w:before="240" w:after="40"/>
      <w:jc w:val="left"/>
      <w:outlineLvl w:val="4"/>
    </w:pPr>
    <w:rPr>
      <w:rFonts w:eastAsiaTheme="majorEastAsia" w:cstheme="majorBidi"/>
      <w:i/>
      <w:iCs/>
      <w:szCs w:val="24"/>
    </w:rPr>
  </w:style>
  <w:style w:type="paragraph" w:styleId="Heading6">
    <w:name w:val="heading 6"/>
    <w:basedOn w:val="Normal"/>
    <w:next w:val="BodyText"/>
    <w:link w:val="Heading6Char"/>
    <w:uiPriority w:val="80"/>
    <w:qFormat/>
    <w:rsid w:val="00585414"/>
    <w:pPr>
      <w:keepNext/>
      <w:keepLines/>
      <w:numPr>
        <w:ilvl w:val="5"/>
        <w:numId w:val="4"/>
      </w:numPr>
      <w:spacing w:before="240" w:after="40"/>
      <w:jc w:val="left"/>
      <w:outlineLvl w:val="5"/>
    </w:pPr>
    <w:rPr>
      <w:rFonts w:eastAsiaTheme="majorEastAsia" w:cstheme="majorBidi"/>
      <w:b/>
      <w:color w:val="1F4D78" w:themeColor="accent1" w:themeShade="7F"/>
    </w:rPr>
  </w:style>
  <w:style w:type="paragraph" w:styleId="Heading7">
    <w:name w:val="heading 7"/>
    <w:basedOn w:val="Normal"/>
    <w:next w:val="BodyText"/>
    <w:link w:val="Heading7Char"/>
    <w:uiPriority w:val="80"/>
    <w:qFormat/>
    <w:rsid w:val="002F6827"/>
    <w:pPr>
      <w:keepNext/>
      <w:keepLines/>
      <w:numPr>
        <w:ilvl w:val="6"/>
        <w:numId w:val="4"/>
      </w:numPr>
      <w:spacing w:before="240" w:after="40"/>
      <w:outlineLvl w:val="6"/>
    </w:pPr>
    <w:rPr>
      <w:rFonts w:eastAsiaTheme="majorEastAsia" w:cstheme="majorBidi"/>
      <w:i/>
      <w:iCs/>
    </w:rPr>
  </w:style>
  <w:style w:type="paragraph" w:styleId="Heading8">
    <w:name w:val="heading 8"/>
    <w:basedOn w:val="Normal"/>
    <w:next w:val="BodyText"/>
    <w:link w:val="Heading8Char"/>
    <w:uiPriority w:val="80"/>
    <w:qFormat/>
    <w:rsid w:val="00585414"/>
    <w:pPr>
      <w:keepNext/>
      <w:keepLines/>
      <w:numPr>
        <w:ilvl w:val="7"/>
        <w:numId w:val="4"/>
      </w:numPr>
      <w:spacing w:before="240" w:after="40"/>
      <w:jc w:val="left"/>
      <w:outlineLvl w:val="7"/>
    </w:pPr>
    <w:rPr>
      <w:rFonts w:eastAsiaTheme="majorEastAsia" w:cstheme="majorBidi"/>
      <w:i/>
      <w:color w:val="144766"/>
      <w:szCs w:val="21"/>
    </w:rPr>
  </w:style>
  <w:style w:type="paragraph" w:styleId="Heading9">
    <w:name w:val="heading 9"/>
    <w:basedOn w:val="Normal"/>
    <w:next w:val="BodyText"/>
    <w:link w:val="Heading9Char"/>
    <w:uiPriority w:val="80"/>
    <w:qFormat/>
    <w:rsid w:val="00585414"/>
    <w:pPr>
      <w:keepNext/>
      <w:keepLines/>
      <w:numPr>
        <w:ilvl w:val="8"/>
        <w:numId w:val="4"/>
      </w:numPr>
      <w:spacing w:before="240" w:after="40"/>
      <w:jc w:val="left"/>
      <w:outlineLvl w:val="8"/>
    </w:pPr>
    <w:rPr>
      <w:rFonts w:eastAsiaTheme="majorEastAsia" w:cstheme="majorBidi"/>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Heading">
    <w:name w:val="Note Heading"/>
    <w:basedOn w:val="Normal"/>
    <w:next w:val="Normal"/>
    <w:link w:val="NoteHeadingChar"/>
    <w:uiPriority w:val="96"/>
    <w:semiHidden/>
    <w:rsid w:val="002F6827"/>
    <w:pPr>
      <w:spacing w:after="0"/>
    </w:pPr>
  </w:style>
  <w:style w:type="paragraph" w:styleId="NoSpacing">
    <w:name w:val="No Spacing"/>
    <w:link w:val="NoSpacingChar"/>
    <w:uiPriority w:val="99"/>
    <w:semiHidden/>
    <w:qFormat/>
    <w:rsid w:val="002F6827"/>
  </w:style>
  <w:style w:type="character" w:styleId="BookTitle">
    <w:name w:val="Book Title"/>
    <w:aliases w:val="Blauer HG"/>
    <w:basedOn w:val="DefaultParagraphFont"/>
    <w:uiPriority w:val="10"/>
    <w:qFormat/>
    <w:rsid w:val="002F6827"/>
    <w:rPr>
      <w:b/>
      <w:bCs/>
      <w:i w:val="0"/>
      <w:iCs/>
      <w:spacing w:val="5"/>
      <w:bdr w:val="none" w:sz="0" w:space="0" w:color="auto"/>
      <w:shd w:val="clear" w:color="auto" w:fill="144766"/>
    </w:rPr>
  </w:style>
  <w:style w:type="paragraph" w:styleId="TableofFigures">
    <w:name w:val="table of figures"/>
    <w:basedOn w:val="Normal"/>
    <w:next w:val="Normal"/>
    <w:uiPriority w:val="97"/>
    <w:semiHidden/>
    <w:rsid w:val="002F6827"/>
    <w:pPr>
      <w:spacing w:after="0"/>
    </w:pPr>
  </w:style>
  <w:style w:type="paragraph" w:styleId="Salutation">
    <w:name w:val="Salutation"/>
    <w:basedOn w:val="Normal"/>
    <w:next w:val="Normal"/>
    <w:link w:val="SalutationChar"/>
    <w:uiPriority w:val="99"/>
    <w:semiHidden/>
    <w:rsid w:val="003D5394"/>
  </w:style>
  <w:style w:type="character" w:customStyle="1" w:styleId="SalutationChar">
    <w:name w:val="Salutation Char"/>
    <w:basedOn w:val="DefaultParagraphFont"/>
    <w:link w:val="Salutation"/>
    <w:uiPriority w:val="99"/>
    <w:semiHidden/>
    <w:rsid w:val="00C4474D"/>
    <w:rPr>
      <w:sz w:val="24"/>
    </w:rPr>
  </w:style>
  <w:style w:type="paragraph" w:styleId="ListBullet">
    <w:name w:val="List Bullet"/>
    <w:basedOn w:val="Normal"/>
    <w:uiPriority w:val="9"/>
    <w:qFormat/>
    <w:rsid w:val="002F6827"/>
    <w:pPr>
      <w:numPr>
        <w:numId w:val="1"/>
      </w:numPr>
    </w:pPr>
  </w:style>
  <w:style w:type="paragraph" w:styleId="ListBullet2">
    <w:name w:val="List Bullet 2"/>
    <w:basedOn w:val="Normal"/>
    <w:uiPriority w:val="9"/>
    <w:rsid w:val="002F6827"/>
    <w:pPr>
      <w:numPr>
        <w:ilvl w:val="1"/>
        <w:numId w:val="1"/>
      </w:numPr>
    </w:pPr>
  </w:style>
  <w:style w:type="paragraph" w:styleId="ListBullet3">
    <w:name w:val="List Bullet 3"/>
    <w:basedOn w:val="Normal"/>
    <w:uiPriority w:val="9"/>
    <w:rsid w:val="002F6827"/>
    <w:pPr>
      <w:numPr>
        <w:ilvl w:val="2"/>
        <w:numId w:val="1"/>
      </w:numPr>
    </w:pPr>
  </w:style>
  <w:style w:type="paragraph" w:styleId="ListBullet4">
    <w:name w:val="List Bullet 4"/>
    <w:basedOn w:val="Normal"/>
    <w:uiPriority w:val="9"/>
    <w:rsid w:val="002F6827"/>
    <w:pPr>
      <w:numPr>
        <w:ilvl w:val="3"/>
        <w:numId w:val="1"/>
      </w:numPr>
    </w:pPr>
  </w:style>
  <w:style w:type="paragraph" w:styleId="ListBullet5">
    <w:name w:val="List Bullet 5"/>
    <w:basedOn w:val="Normal"/>
    <w:uiPriority w:val="9"/>
    <w:rsid w:val="002F6827"/>
    <w:pPr>
      <w:numPr>
        <w:ilvl w:val="4"/>
        <w:numId w:val="1"/>
      </w:numPr>
    </w:pPr>
  </w:style>
  <w:style w:type="paragraph" w:styleId="Caption">
    <w:name w:val="caption"/>
    <w:basedOn w:val="Normal"/>
    <w:next w:val="BodyText"/>
    <w:uiPriority w:val="28"/>
    <w:qFormat/>
    <w:rsid w:val="002F6827"/>
    <w:pPr>
      <w:spacing w:after="200"/>
    </w:pPr>
    <w:rPr>
      <w:i/>
      <w:iCs/>
      <w:sz w:val="20"/>
      <w:szCs w:val="18"/>
    </w:rPr>
  </w:style>
  <w:style w:type="character" w:styleId="FollowedHyperlink">
    <w:name w:val="FollowedHyperlink"/>
    <w:basedOn w:val="DefaultParagraphFont"/>
    <w:uiPriority w:val="34"/>
    <w:unhideWhenUsed/>
    <w:rsid w:val="002F6827"/>
    <w:rPr>
      <w:color w:val="144766"/>
      <w:u w:val="single"/>
    </w:rPr>
  </w:style>
  <w:style w:type="character" w:styleId="Hyperlink">
    <w:name w:val="Hyperlink"/>
    <w:basedOn w:val="DefaultParagraphFont"/>
    <w:uiPriority w:val="99"/>
    <w:qFormat/>
    <w:rsid w:val="00CB19F9"/>
    <w:rPr>
      <w:color w:val="auto"/>
      <w:u w:val="single"/>
    </w:rPr>
  </w:style>
  <w:style w:type="paragraph" w:styleId="BlockText">
    <w:name w:val="Block Text"/>
    <w:aliases w:val="Blaue Box"/>
    <w:basedOn w:val="Normal"/>
    <w:next w:val="BodyText"/>
    <w:uiPriority w:val="11"/>
    <w:qFormat/>
    <w:rsid w:val="002F6827"/>
    <w:pPr>
      <w:pBdr>
        <w:top w:val="single" w:sz="2" w:space="10" w:color="auto"/>
        <w:left w:val="single" w:sz="2" w:space="10" w:color="auto"/>
        <w:bottom w:val="single" w:sz="2" w:space="10" w:color="auto"/>
        <w:right w:val="single" w:sz="2" w:space="10" w:color="auto"/>
      </w:pBdr>
      <w:spacing w:before="240" w:after="480"/>
      <w:ind w:left="1361" w:right="1361"/>
    </w:pPr>
    <w:rPr>
      <w:rFonts w:eastAsiaTheme="minorEastAsia" w:cstheme="minorBidi"/>
      <w:i/>
      <w:iCs/>
      <w:color w:val="144766"/>
    </w:rPr>
  </w:style>
  <w:style w:type="character" w:styleId="EndnoteReference">
    <w:name w:val="endnote reference"/>
    <w:basedOn w:val="DefaultParagraphFont"/>
    <w:uiPriority w:val="96"/>
    <w:semiHidden/>
    <w:rsid w:val="002F6827"/>
    <w:rPr>
      <w:vertAlign w:val="superscript"/>
    </w:rPr>
  </w:style>
  <w:style w:type="paragraph" w:styleId="BodyText">
    <w:name w:val="Body Text"/>
    <w:aliases w:val="Stand."/>
    <w:basedOn w:val="Normal"/>
    <w:link w:val="BodyTextChar"/>
    <w:qFormat/>
    <w:rsid w:val="006551AD"/>
  </w:style>
  <w:style w:type="character" w:customStyle="1" w:styleId="BodyTextChar">
    <w:name w:val="Body Text Char"/>
    <w:aliases w:val="Stand. Char"/>
    <w:basedOn w:val="DefaultParagraphFont"/>
    <w:link w:val="BodyText"/>
    <w:rsid w:val="006551AD"/>
    <w:rPr>
      <w:sz w:val="24"/>
    </w:rPr>
  </w:style>
  <w:style w:type="paragraph" w:styleId="EndnoteText">
    <w:name w:val="endnote text"/>
    <w:basedOn w:val="Normal"/>
    <w:link w:val="EndnoteTextChar"/>
    <w:uiPriority w:val="96"/>
    <w:semiHidden/>
    <w:rsid w:val="002F6827"/>
    <w:pPr>
      <w:spacing w:after="0"/>
    </w:pPr>
    <w:rPr>
      <w:szCs w:val="20"/>
    </w:rPr>
  </w:style>
  <w:style w:type="character" w:customStyle="1" w:styleId="EndnoteTextChar">
    <w:name w:val="Endnote Text Char"/>
    <w:basedOn w:val="DefaultParagraphFont"/>
    <w:link w:val="EndnoteText"/>
    <w:uiPriority w:val="96"/>
    <w:semiHidden/>
    <w:rsid w:val="002F6827"/>
    <w:rPr>
      <w:sz w:val="24"/>
      <w:szCs w:val="20"/>
    </w:rPr>
  </w:style>
  <w:style w:type="paragraph" w:styleId="Date">
    <w:name w:val="Date"/>
    <w:basedOn w:val="Normal"/>
    <w:next w:val="BodyText"/>
    <w:link w:val="DateChar"/>
    <w:uiPriority w:val="26"/>
    <w:qFormat/>
    <w:rsid w:val="00B66575"/>
    <w:pPr>
      <w:spacing w:before="1440"/>
      <w:jc w:val="center"/>
    </w:pPr>
  </w:style>
  <w:style w:type="character" w:customStyle="1" w:styleId="DateChar">
    <w:name w:val="Date Char"/>
    <w:basedOn w:val="DefaultParagraphFont"/>
    <w:link w:val="Date"/>
    <w:uiPriority w:val="26"/>
    <w:rsid w:val="00C1475D"/>
    <w:rPr>
      <w:sz w:val="24"/>
    </w:rPr>
  </w:style>
  <w:style w:type="paragraph" w:styleId="E-mailSignature">
    <w:name w:val="E-mail Signature"/>
    <w:basedOn w:val="Normal"/>
    <w:link w:val="E-mailSignatureChar"/>
    <w:uiPriority w:val="98"/>
    <w:semiHidden/>
    <w:rsid w:val="002F6827"/>
    <w:pPr>
      <w:spacing w:after="0"/>
    </w:pPr>
  </w:style>
  <w:style w:type="character" w:customStyle="1" w:styleId="E-mailSignatureChar">
    <w:name w:val="E-mail Signature Char"/>
    <w:basedOn w:val="DefaultParagraphFont"/>
    <w:link w:val="E-mailSignature"/>
    <w:uiPriority w:val="98"/>
    <w:semiHidden/>
    <w:rsid w:val="002F6827"/>
    <w:rPr>
      <w:sz w:val="24"/>
    </w:rPr>
  </w:style>
  <w:style w:type="paragraph" w:styleId="DocumentMap">
    <w:name w:val="Document Map"/>
    <w:aliases w:val="Klein"/>
    <w:basedOn w:val="Normal"/>
    <w:next w:val="BodyText"/>
    <w:link w:val="DocumentMapChar"/>
    <w:uiPriority w:val="15"/>
    <w:qFormat/>
    <w:rsid w:val="002F6827"/>
    <w:pPr>
      <w:spacing w:before="240" w:after="240"/>
    </w:pPr>
    <w:rPr>
      <w:rFonts w:cs="Segoe UI"/>
      <w:sz w:val="20"/>
      <w:szCs w:val="16"/>
    </w:rPr>
  </w:style>
  <w:style w:type="character" w:customStyle="1" w:styleId="DocumentMapChar">
    <w:name w:val="Document Map Char"/>
    <w:aliases w:val="Klein Char"/>
    <w:basedOn w:val="DefaultParagraphFont"/>
    <w:link w:val="DocumentMap"/>
    <w:uiPriority w:val="15"/>
    <w:rsid w:val="002F6827"/>
    <w:rPr>
      <w:rFonts w:cs="Segoe UI"/>
      <w:sz w:val="20"/>
      <w:szCs w:val="16"/>
    </w:rPr>
  </w:style>
  <w:style w:type="character" w:customStyle="1" w:styleId="NoteHeadingChar">
    <w:name w:val="Note Heading Char"/>
    <w:basedOn w:val="DefaultParagraphFont"/>
    <w:link w:val="NoteHeading"/>
    <w:uiPriority w:val="96"/>
    <w:semiHidden/>
    <w:rsid w:val="002F6827"/>
    <w:rPr>
      <w:sz w:val="24"/>
    </w:rPr>
  </w:style>
  <w:style w:type="paragraph" w:styleId="Closing">
    <w:name w:val="Closing"/>
    <w:basedOn w:val="Normal"/>
    <w:next w:val="BodyText"/>
    <w:link w:val="ClosingChar"/>
    <w:uiPriority w:val="99"/>
    <w:semiHidden/>
    <w:rsid w:val="002F6827"/>
    <w:pPr>
      <w:spacing w:before="720" w:after="240"/>
    </w:pPr>
  </w:style>
  <w:style w:type="character" w:customStyle="1" w:styleId="ClosingChar">
    <w:name w:val="Closing Char"/>
    <w:basedOn w:val="DefaultParagraphFont"/>
    <w:link w:val="Closing"/>
    <w:uiPriority w:val="99"/>
    <w:semiHidden/>
    <w:rsid w:val="002F6827"/>
    <w:rPr>
      <w:sz w:val="24"/>
    </w:rPr>
  </w:style>
  <w:style w:type="character" w:styleId="Strong">
    <w:name w:val="Strong"/>
    <w:basedOn w:val="DefaultParagraphFont"/>
    <w:uiPriority w:val="22"/>
    <w:qFormat/>
    <w:rsid w:val="002F6827"/>
    <w:rPr>
      <w:b/>
      <w:bCs/>
    </w:rPr>
  </w:style>
  <w:style w:type="character" w:styleId="Emphasis">
    <w:name w:val="Emphasis"/>
    <w:aliases w:val="Kursiv"/>
    <w:basedOn w:val="DefaultParagraphFont"/>
    <w:uiPriority w:val="20"/>
    <w:qFormat/>
    <w:rsid w:val="002F6827"/>
    <w:rPr>
      <w:i/>
      <w:iCs/>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w:basedOn w:val="Normal"/>
    <w:link w:val="FootnoteTextChar"/>
    <w:uiPriority w:val="99"/>
    <w:unhideWhenUsed/>
    <w:qFormat/>
    <w:rsid w:val="00B9176C"/>
    <w:pPr>
      <w:spacing w:after="0"/>
    </w:pPr>
    <w:rPr>
      <w:sz w:val="18"/>
      <w:szCs w:val="20"/>
      <w:vertAlign w:val="superscript"/>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basedOn w:val="DefaultParagraphFont"/>
    <w:link w:val="FootnoteText"/>
    <w:uiPriority w:val="99"/>
    <w:rsid w:val="00B9176C"/>
    <w:rPr>
      <w:sz w:val="18"/>
      <w:szCs w:val="20"/>
      <w:vertAlign w:val="superscript"/>
      <w:lang w:val="fr-CH"/>
    </w:rPr>
  </w:style>
  <w:style w:type="paragraph" w:customStyle="1" w:styleId="Fussnote">
    <w:name w:val="Fussnote"/>
    <w:basedOn w:val="Normal"/>
    <w:next w:val="FootnoteText"/>
    <w:link w:val="FussnoteZchn"/>
    <w:uiPriority w:val="99"/>
    <w:qFormat/>
    <w:rsid w:val="004D1E66"/>
    <w:pPr>
      <w:spacing w:before="40" w:after="40"/>
      <w:jc w:val="left"/>
    </w:pPr>
    <w:rPr>
      <w:rFonts w:eastAsia="Cambria"/>
      <w:sz w:val="18"/>
      <w:lang w:val="de-CH"/>
    </w:rPr>
  </w:style>
  <w:style w:type="paragraph" w:styleId="Footer">
    <w:name w:val="footer"/>
    <w:basedOn w:val="Normal"/>
    <w:link w:val="FooterChar"/>
    <w:uiPriority w:val="99"/>
    <w:qFormat/>
    <w:rsid w:val="002F6827"/>
    <w:pPr>
      <w:tabs>
        <w:tab w:val="center" w:pos="4703"/>
        <w:tab w:val="right" w:pos="9406"/>
      </w:tabs>
      <w:spacing w:before="120"/>
    </w:pPr>
    <w:rPr>
      <w:color w:val="666666"/>
    </w:rPr>
  </w:style>
  <w:style w:type="character" w:customStyle="1" w:styleId="FooterChar">
    <w:name w:val="Footer Char"/>
    <w:basedOn w:val="DefaultParagraphFont"/>
    <w:link w:val="Footer"/>
    <w:uiPriority w:val="99"/>
    <w:rsid w:val="002F6827"/>
    <w:rPr>
      <w:color w:val="666666"/>
      <w:sz w:val="24"/>
    </w:rPr>
  </w:style>
  <w:style w:type="paragraph" w:styleId="Index1">
    <w:name w:val="index 1"/>
    <w:basedOn w:val="Normal"/>
    <w:next w:val="Normal"/>
    <w:autoRedefine/>
    <w:uiPriority w:val="99"/>
    <w:semiHidden/>
    <w:rsid w:val="002F6827"/>
    <w:pPr>
      <w:spacing w:after="0"/>
      <w:ind w:left="220" w:hanging="220"/>
    </w:pPr>
  </w:style>
  <w:style w:type="paragraph" w:styleId="Index2">
    <w:name w:val="index 2"/>
    <w:basedOn w:val="Normal"/>
    <w:next w:val="Normal"/>
    <w:autoRedefine/>
    <w:uiPriority w:val="99"/>
    <w:semiHidden/>
    <w:rsid w:val="002F6827"/>
    <w:pPr>
      <w:spacing w:after="0"/>
      <w:ind w:left="440" w:hanging="220"/>
    </w:pPr>
  </w:style>
  <w:style w:type="paragraph" w:styleId="Index3">
    <w:name w:val="index 3"/>
    <w:basedOn w:val="Normal"/>
    <w:next w:val="Normal"/>
    <w:autoRedefine/>
    <w:uiPriority w:val="99"/>
    <w:semiHidden/>
    <w:rsid w:val="002F6827"/>
    <w:pPr>
      <w:spacing w:after="0"/>
      <w:ind w:left="660" w:hanging="220"/>
    </w:pPr>
  </w:style>
  <w:style w:type="paragraph" w:styleId="IndexHeading">
    <w:name w:val="index heading"/>
    <w:basedOn w:val="Normal"/>
    <w:next w:val="Index1"/>
    <w:uiPriority w:val="99"/>
    <w:semiHidden/>
    <w:rsid w:val="002F6827"/>
    <w:rPr>
      <w:rFonts w:eastAsiaTheme="majorEastAsia" w:cstheme="majorBidi"/>
      <w:b/>
      <w:bCs/>
      <w:color w:val="B0050D"/>
    </w:rPr>
  </w:style>
  <w:style w:type="character" w:customStyle="1" w:styleId="Heading1Char">
    <w:name w:val="Heading 1 Char"/>
    <w:basedOn w:val="DefaultParagraphFont"/>
    <w:link w:val="Heading1"/>
    <w:uiPriority w:val="1"/>
    <w:rsid w:val="00585414"/>
    <w:rPr>
      <w:rFonts w:eastAsiaTheme="majorEastAsia" w:cstheme="majorBidi"/>
      <w:b/>
      <w:bCs/>
      <w:color w:val="B0050D"/>
      <w:sz w:val="28"/>
      <w:szCs w:val="28"/>
      <w:lang w:eastAsia="de-CH"/>
    </w:rPr>
  </w:style>
  <w:style w:type="paragraph" w:styleId="TOCHeading">
    <w:name w:val="TOC Heading"/>
    <w:basedOn w:val="Heading1"/>
    <w:next w:val="BodyText"/>
    <w:uiPriority w:val="39"/>
    <w:qFormat/>
    <w:rsid w:val="007343F2"/>
    <w:pPr>
      <w:numPr>
        <w:numId w:val="0"/>
      </w:numPr>
      <w:spacing w:before="480" w:after="240" w:line="276" w:lineRule="auto"/>
      <w:outlineLvl w:val="1"/>
    </w:pPr>
    <w:rPr>
      <w:bCs w:val="0"/>
      <w:color w:val="auto"/>
    </w:rPr>
  </w:style>
  <w:style w:type="character" w:styleId="IntenseEmphasis">
    <w:name w:val="Intense Emphasis"/>
    <w:aliases w:val="Rot Fett,IH-Rot Fett"/>
    <w:basedOn w:val="DefaultParagraphFont"/>
    <w:uiPriority w:val="4"/>
    <w:qFormat/>
    <w:rsid w:val="002F6827"/>
    <w:rPr>
      <w:b/>
      <w:i w:val="0"/>
      <w:iCs/>
      <w:color w:val="B0050D"/>
    </w:rPr>
  </w:style>
  <w:style w:type="paragraph" w:styleId="ListParagraph">
    <w:name w:val="List Paragraph"/>
    <w:aliases w:val="Liste Std,liste de points,SB_Aufzählung"/>
    <w:basedOn w:val="Normal"/>
    <w:link w:val="ListParagraphChar"/>
    <w:uiPriority w:val="34"/>
    <w:qFormat/>
    <w:rsid w:val="002F6827"/>
    <w:pPr>
      <w:ind w:left="720"/>
      <w:contextualSpacing/>
    </w:pPr>
  </w:style>
  <w:style w:type="character" w:styleId="IntenseReference">
    <w:name w:val="Intense Reference"/>
    <w:aliases w:val="Blau Fett"/>
    <w:basedOn w:val="DefaultParagraphFont"/>
    <w:uiPriority w:val="6"/>
    <w:qFormat/>
    <w:rsid w:val="00883722"/>
    <w:rPr>
      <w:b/>
      <w:bCs/>
      <w:caps w:val="0"/>
      <w:smallCaps w:val="0"/>
      <w:color w:val="auto"/>
      <w:spacing w:val="5"/>
      <w:bdr w:val="none" w:sz="0" w:space="0" w:color="auto"/>
      <w:shd w:val="clear" w:color="auto" w:fill="D9D9D9" w:themeFill="background1" w:themeFillShade="D9"/>
    </w:rPr>
  </w:style>
  <w:style w:type="paragraph" w:styleId="IntenseQuote">
    <w:name w:val="Intense Quote"/>
    <w:aliases w:val="Position"/>
    <w:basedOn w:val="Normal"/>
    <w:next w:val="BodyText"/>
    <w:link w:val="IntenseQuoteChar"/>
    <w:uiPriority w:val="13"/>
    <w:qFormat/>
    <w:rsid w:val="00FF6B6B"/>
    <w:pPr>
      <w:tabs>
        <w:tab w:val="left" w:pos="426"/>
      </w:tabs>
      <w:spacing w:before="240" w:after="240"/>
      <w:ind w:left="426" w:right="-2"/>
    </w:pPr>
    <w:rPr>
      <w:b/>
      <w:iCs/>
      <w:noProof/>
      <w:color w:val="B0050D"/>
    </w:rPr>
  </w:style>
  <w:style w:type="character" w:customStyle="1" w:styleId="IntenseQuoteChar">
    <w:name w:val="Intense Quote Char"/>
    <w:aliases w:val="Position Char"/>
    <w:basedOn w:val="DefaultParagraphFont"/>
    <w:link w:val="IntenseQuote"/>
    <w:uiPriority w:val="13"/>
    <w:rsid w:val="00FF6B6B"/>
    <w:rPr>
      <w:b/>
      <w:iCs/>
      <w:noProof/>
      <w:color w:val="B0050D"/>
      <w:sz w:val="24"/>
    </w:rPr>
  </w:style>
  <w:style w:type="paragraph" w:styleId="Header">
    <w:name w:val="header"/>
    <w:basedOn w:val="Normal"/>
    <w:link w:val="HeaderChar"/>
    <w:uiPriority w:val="99"/>
    <w:qFormat/>
    <w:rsid w:val="002F6827"/>
    <w:pPr>
      <w:pBdr>
        <w:bottom w:val="single" w:sz="2" w:space="16" w:color="666666"/>
      </w:pBdr>
      <w:tabs>
        <w:tab w:val="right" w:pos="9406"/>
      </w:tabs>
      <w:spacing w:after="0"/>
    </w:pPr>
    <w:rPr>
      <w:i/>
      <w:color w:val="666666"/>
    </w:rPr>
  </w:style>
  <w:style w:type="character" w:customStyle="1" w:styleId="HeaderChar">
    <w:name w:val="Header Char"/>
    <w:basedOn w:val="DefaultParagraphFont"/>
    <w:link w:val="Header"/>
    <w:uiPriority w:val="99"/>
    <w:rsid w:val="002F6827"/>
    <w:rPr>
      <w:i/>
      <w:color w:val="666666"/>
      <w:sz w:val="24"/>
    </w:rPr>
  </w:style>
  <w:style w:type="paragraph" w:styleId="List">
    <w:name w:val="List"/>
    <w:basedOn w:val="Normal"/>
    <w:uiPriority w:val="99"/>
    <w:semiHidden/>
    <w:rsid w:val="002F6827"/>
    <w:pPr>
      <w:ind w:left="284" w:hanging="284"/>
    </w:pPr>
  </w:style>
  <w:style w:type="paragraph" w:styleId="List2">
    <w:name w:val="List 2"/>
    <w:basedOn w:val="Normal"/>
    <w:uiPriority w:val="99"/>
    <w:semiHidden/>
    <w:rsid w:val="002F6827"/>
    <w:pPr>
      <w:ind w:left="566" w:hanging="283"/>
      <w:contextualSpacing/>
    </w:pPr>
  </w:style>
  <w:style w:type="paragraph" w:styleId="List3">
    <w:name w:val="List 3"/>
    <w:basedOn w:val="Normal"/>
    <w:uiPriority w:val="99"/>
    <w:semiHidden/>
    <w:rsid w:val="002F6827"/>
    <w:pPr>
      <w:ind w:left="851" w:hanging="284"/>
    </w:pPr>
  </w:style>
  <w:style w:type="paragraph" w:styleId="ListNumber">
    <w:name w:val="List Number"/>
    <w:basedOn w:val="Normal"/>
    <w:uiPriority w:val="8"/>
    <w:qFormat/>
    <w:rsid w:val="002F6827"/>
    <w:pPr>
      <w:numPr>
        <w:numId w:val="3"/>
      </w:numPr>
    </w:pPr>
  </w:style>
  <w:style w:type="paragraph" w:styleId="ListNumber2">
    <w:name w:val="List Number 2"/>
    <w:basedOn w:val="Normal"/>
    <w:uiPriority w:val="8"/>
    <w:rsid w:val="002F6827"/>
    <w:pPr>
      <w:numPr>
        <w:ilvl w:val="1"/>
        <w:numId w:val="3"/>
      </w:numPr>
    </w:pPr>
  </w:style>
  <w:style w:type="paragraph" w:styleId="ListNumber3">
    <w:name w:val="List Number 3"/>
    <w:basedOn w:val="Normal"/>
    <w:uiPriority w:val="8"/>
    <w:rsid w:val="002F6827"/>
    <w:pPr>
      <w:numPr>
        <w:ilvl w:val="2"/>
        <w:numId w:val="3"/>
      </w:numPr>
    </w:pPr>
  </w:style>
  <w:style w:type="paragraph" w:styleId="List4">
    <w:name w:val="List 4"/>
    <w:basedOn w:val="Normal"/>
    <w:uiPriority w:val="99"/>
    <w:semiHidden/>
    <w:rsid w:val="002F6827"/>
    <w:pPr>
      <w:ind w:left="1132" w:hanging="283"/>
      <w:contextualSpacing/>
    </w:pPr>
  </w:style>
  <w:style w:type="paragraph" w:styleId="List5">
    <w:name w:val="List 5"/>
    <w:basedOn w:val="Normal"/>
    <w:uiPriority w:val="99"/>
    <w:semiHidden/>
    <w:rsid w:val="002F6827"/>
    <w:pPr>
      <w:ind w:left="1415" w:hanging="283"/>
      <w:contextualSpacing/>
    </w:pPr>
  </w:style>
  <w:style w:type="paragraph" w:styleId="ListContinue5">
    <w:name w:val="List Continue 5"/>
    <w:basedOn w:val="Normal"/>
    <w:uiPriority w:val="99"/>
    <w:semiHidden/>
    <w:rsid w:val="002F6827"/>
    <w:pPr>
      <w:numPr>
        <w:ilvl w:val="4"/>
        <w:numId w:val="2"/>
      </w:numPr>
      <w:contextualSpacing/>
    </w:pPr>
  </w:style>
  <w:style w:type="paragraph" w:styleId="ListContinue2">
    <w:name w:val="List Continue 2"/>
    <w:basedOn w:val="Normal"/>
    <w:uiPriority w:val="99"/>
    <w:semiHidden/>
    <w:rsid w:val="002F6827"/>
    <w:pPr>
      <w:numPr>
        <w:ilvl w:val="1"/>
        <w:numId w:val="2"/>
      </w:numPr>
      <w:contextualSpacing/>
    </w:pPr>
  </w:style>
  <w:style w:type="paragraph" w:styleId="ListContinue">
    <w:name w:val="List Continue"/>
    <w:basedOn w:val="Normal"/>
    <w:rsid w:val="002F6827"/>
    <w:pPr>
      <w:numPr>
        <w:numId w:val="2"/>
      </w:numPr>
      <w:contextualSpacing/>
    </w:pPr>
  </w:style>
  <w:style w:type="paragraph" w:styleId="ListContinue3">
    <w:name w:val="List Continue 3"/>
    <w:basedOn w:val="Normal"/>
    <w:uiPriority w:val="99"/>
    <w:semiHidden/>
    <w:rsid w:val="002F6827"/>
    <w:pPr>
      <w:numPr>
        <w:ilvl w:val="2"/>
        <w:numId w:val="2"/>
      </w:numPr>
      <w:contextualSpacing/>
    </w:pPr>
  </w:style>
  <w:style w:type="paragraph" w:styleId="ListContinue4">
    <w:name w:val="List Continue 4"/>
    <w:basedOn w:val="Normal"/>
    <w:uiPriority w:val="99"/>
    <w:semiHidden/>
    <w:rsid w:val="002F6827"/>
    <w:pPr>
      <w:ind w:left="1446"/>
      <w:contextualSpacing/>
    </w:pPr>
  </w:style>
  <w:style w:type="paragraph" w:styleId="ListNumber4">
    <w:name w:val="List Number 4"/>
    <w:basedOn w:val="Normal"/>
    <w:uiPriority w:val="8"/>
    <w:rsid w:val="002F6827"/>
    <w:pPr>
      <w:numPr>
        <w:ilvl w:val="3"/>
        <w:numId w:val="3"/>
      </w:numPr>
    </w:pPr>
  </w:style>
  <w:style w:type="paragraph" w:styleId="ListNumber5">
    <w:name w:val="List Number 5"/>
    <w:basedOn w:val="Normal"/>
    <w:uiPriority w:val="8"/>
    <w:rsid w:val="002F6827"/>
    <w:pPr>
      <w:numPr>
        <w:ilvl w:val="4"/>
        <w:numId w:val="3"/>
      </w:numPr>
    </w:pPr>
  </w:style>
  <w:style w:type="paragraph" w:styleId="Bibliography">
    <w:name w:val="Bibliography"/>
    <w:basedOn w:val="Normal"/>
    <w:next w:val="Normal"/>
    <w:uiPriority w:val="99"/>
    <w:semiHidden/>
    <w:rsid w:val="002F6827"/>
    <w:pPr>
      <w:spacing w:before="240"/>
    </w:pPr>
    <w:rPr>
      <w:b/>
      <w:color w:val="C00000"/>
    </w:rPr>
  </w:style>
  <w:style w:type="paragraph" w:styleId="TableofAuthorities">
    <w:name w:val="table of authorities"/>
    <w:basedOn w:val="Normal"/>
    <w:next w:val="Normal"/>
    <w:uiPriority w:val="99"/>
    <w:semiHidden/>
    <w:rsid w:val="00937D46"/>
    <w:pPr>
      <w:spacing w:before="240"/>
      <w:ind w:left="221" w:hanging="221"/>
    </w:pPr>
    <w:rPr>
      <w:b/>
      <w:color w:val="C00000"/>
    </w:rPr>
  </w:style>
  <w:style w:type="character" w:styleId="SubtleEmphasis">
    <w:name w:val="Subtle Emphasis"/>
    <w:aliases w:val="Rot"/>
    <w:basedOn w:val="DefaultParagraphFont"/>
    <w:uiPriority w:val="7"/>
    <w:qFormat/>
    <w:rsid w:val="002F6827"/>
    <w:rPr>
      <w:i w:val="0"/>
      <w:iCs/>
      <w:color w:val="B0050D"/>
    </w:rPr>
  </w:style>
  <w:style w:type="character" w:styleId="SubtleReference">
    <w:name w:val="Subtle Reference"/>
    <w:aliases w:val="Unterstrichen"/>
    <w:basedOn w:val="DefaultParagraphFont"/>
    <w:uiPriority w:val="4"/>
    <w:qFormat/>
    <w:rsid w:val="002F6827"/>
    <w:rPr>
      <w:caps w:val="0"/>
      <w:smallCaps w:val="0"/>
      <w:color w:val="auto"/>
      <w:u w:val="single"/>
    </w:rPr>
  </w:style>
  <w:style w:type="paragraph" w:styleId="NormalIndent">
    <w:name w:val="Normal Indent"/>
    <w:basedOn w:val="Normal"/>
    <w:uiPriority w:val="99"/>
    <w:semiHidden/>
    <w:rsid w:val="002F6827"/>
    <w:pPr>
      <w:ind w:left="708"/>
    </w:pPr>
  </w:style>
  <w:style w:type="paragraph" w:styleId="BodyText2">
    <w:name w:val="Body Text 2"/>
    <w:aliases w:val="Abstand Textkörper"/>
    <w:basedOn w:val="Normal"/>
    <w:next w:val="BodyText"/>
    <w:link w:val="BodyText2Char"/>
    <w:uiPriority w:val="17"/>
    <w:qFormat/>
    <w:rsid w:val="002F6827"/>
    <w:pPr>
      <w:spacing w:before="480"/>
    </w:pPr>
  </w:style>
  <w:style w:type="character" w:customStyle="1" w:styleId="BodyText2Char">
    <w:name w:val="Body Text 2 Char"/>
    <w:aliases w:val="Abstand Textkörper Char"/>
    <w:basedOn w:val="DefaultParagraphFont"/>
    <w:link w:val="BodyText2"/>
    <w:uiPriority w:val="17"/>
    <w:rsid w:val="002F6827"/>
    <w:rPr>
      <w:sz w:val="24"/>
    </w:rPr>
  </w:style>
  <w:style w:type="paragraph" w:styleId="BodyText3">
    <w:name w:val="Body Text 3"/>
    <w:aliases w:val="Gr. Abstand"/>
    <w:basedOn w:val="Normal"/>
    <w:next w:val="BodyText"/>
    <w:link w:val="BodyText3Char"/>
    <w:uiPriority w:val="18"/>
    <w:qFormat/>
    <w:rsid w:val="002F6827"/>
    <w:pPr>
      <w:spacing w:before="1080"/>
    </w:pPr>
    <w:rPr>
      <w:szCs w:val="16"/>
    </w:rPr>
  </w:style>
  <w:style w:type="character" w:customStyle="1" w:styleId="BodyText3Char">
    <w:name w:val="Body Text 3 Char"/>
    <w:aliases w:val="Gr. Abstand Char"/>
    <w:basedOn w:val="DefaultParagraphFont"/>
    <w:link w:val="BodyText3"/>
    <w:uiPriority w:val="18"/>
    <w:rsid w:val="002F6827"/>
    <w:rPr>
      <w:sz w:val="24"/>
      <w:szCs w:val="16"/>
    </w:rPr>
  </w:style>
  <w:style w:type="paragraph" w:styleId="Title">
    <w:name w:val="Title"/>
    <w:basedOn w:val="Normal"/>
    <w:next w:val="Subtitle"/>
    <w:link w:val="TitleChar"/>
    <w:uiPriority w:val="25"/>
    <w:qFormat/>
    <w:rsid w:val="007D36C0"/>
    <w:pPr>
      <w:widowControl w:val="0"/>
      <w:pBdr>
        <w:bottom w:val="single" w:sz="4" w:space="1" w:color="auto"/>
      </w:pBdr>
      <w:suppressAutoHyphens/>
      <w:spacing w:before="2040" w:after="240"/>
      <w:contextualSpacing/>
      <w:jc w:val="center"/>
      <w:outlineLvl w:val="0"/>
    </w:pPr>
    <w:rPr>
      <w:rFonts w:eastAsiaTheme="majorEastAsia" w:cstheme="majorBidi"/>
      <w:b/>
      <w:smallCaps/>
      <w:color w:val="B0050D"/>
      <w:spacing w:val="10"/>
      <w:kern w:val="28"/>
      <w:sz w:val="44"/>
      <w:szCs w:val="56"/>
    </w:rPr>
  </w:style>
  <w:style w:type="character" w:customStyle="1" w:styleId="TitleChar">
    <w:name w:val="Title Char"/>
    <w:basedOn w:val="DefaultParagraphFont"/>
    <w:link w:val="Title"/>
    <w:uiPriority w:val="25"/>
    <w:rsid w:val="007D36C0"/>
    <w:rPr>
      <w:rFonts w:eastAsiaTheme="majorEastAsia" w:cstheme="majorBidi"/>
      <w:b/>
      <w:smallCaps/>
      <w:color w:val="B0050D"/>
      <w:spacing w:val="10"/>
      <w:kern w:val="28"/>
      <w:sz w:val="44"/>
      <w:szCs w:val="56"/>
    </w:rPr>
  </w:style>
  <w:style w:type="character" w:styleId="LineNumber">
    <w:name w:val="line number"/>
    <w:basedOn w:val="DefaultParagraphFont"/>
    <w:uiPriority w:val="99"/>
    <w:semiHidden/>
    <w:rsid w:val="002F6827"/>
  </w:style>
  <w:style w:type="paragraph" w:styleId="Subtitle">
    <w:name w:val="Subtitle"/>
    <w:basedOn w:val="Normal"/>
    <w:next w:val="Normal"/>
    <w:link w:val="SubtitleChar"/>
    <w:uiPriority w:val="11"/>
    <w:qFormat/>
    <w:rsid w:val="005D3D06"/>
    <w:p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uppressAutoHyphens/>
      <w:spacing w:before="240"/>
      <w:jc w:val="left"/>
    </w:pPr>
    <w:rPr>
      <w:rFonts w:eastAsiaTheme="majorEastAsia" w:cstheme="majorBidi"/>
      <w:b/>
      <w:iCs/>
      <w:spacing w:val="10"/>
      <w:szCs w:val="28"/>
    </w:rPr>
  </w:style>
  <w:style w:type="character" w:customStyle="1" w:styleId="SubtitleChar">
    <w:name w:val="Subtitle Char"/>
    <w:basedOn w:val="DefaultParagraphFont"/>
    <w:link w:val="Subtitle"/>
    <w:uiPriority w:val="11"/>
    <w:rsid w:val="005D3D06"/>
    <w:rPr>
      <w:rFonts w:eastAsiaTheme="majorEastAsia" w:cstheme="majorBidi"/>
      <w:b/>
      <w:iCs/>
      <w:spacing w:val="10"/>
      <w:sz w:val="24"/>
      <w:szCs w:val="28"/>
      <w:lang w:val="fr-CH"/>
    </w:rPr>
  </w:style>
  <w:style w:type="character" w:customStyle="1" w:styleId="Heading2Char">
    <w:name w:val="Heading 2 Char"/>
    <w:basedOn w:val="DefaultParagraphFont"/>
    <w:link w:val="Heading2"/>
    <w:uiPriority w:val="1"/>
    <w:rsid w:val="00585414"/>
    <w:rPr>
      <w:rFonts w:eastAsiaTheme="majorEastAsia" w:cstheme="majorBidi"/>
      <w:b/>
      <w:bCs/>
      <w:sz w:val="28"/>
      <w:szCs w:val="26"/>
      <w:lang w:eastAsia="de-CH"/>
    </w:rPr>
  </w:style>
  <w:style w:type="character" w:customStyle="1" w:styleId="Heading3Char">
    <w:name w:val="Heading 3 Char"/>
    <w:basedOn w:val="DefaultParagraphFont"/>
    <w:link w:val="Heading3"/>
    <w:uiPriority w:val="1"/>
    <w:rsid w:val="00924B3D"/>
    <w:rPr>
      <w:rFonts w:eastAsiaTheme="majorEastAsia" w:cstheme="majorBidi"/>
      <w:b/>
      <w:bCs/>
      <w:sz w:val="24"/>
      <w:szCs w:val="20"/>
      <w:lang w:val="fr-CH" w:eastAsia="de-CH"/>
    </w:rPr>
  </w:style>
  <w:style w:type="character" w:customStyle="1" w:styleId="Heading4Char">
    <w:name w:val="Heading 4 Char"/>
    <w:basedOn w:val="DefaultParagraphFont"/>
    <w:link w:val="Heading4"/>
    <w:uiPriority w:val="1"/>
    <w:rsid w:val="00585414"/>
    <w:rPr>
      <w:rFonts w:eastAsiaTheme="majorEastAsia" w:cstheme="majorBidi"/>
      <w:b/>
      <w:bCs/>
      <w:i/>
      <w:iCs/>
      <w:sz w:val="24"/>
      <w:szCs w:val="20"/>
      <w:lang w:val="en-US" w:eastAsia="de-CH"/>
    </w:rPr>
  </w:style>
  <w:style w:type="character" w:customStyle="1" w:styleId="Heading5Char">
    <w:name w:val="Heading 5 Char"/>
    <w:basedOn w:val="DefaultParagraphFont"/>
    <w:link w:val="Heading5"/>
    <w:uiPriority w:val="80"/>
    <w:rsid w:val="00585414"/>
    <w:rPr>
      <w:rFonts w:eastAsiaTheme="majorEastAsia" w:cstheme="majorBidi"/>
      <w:i/>
      <w:iCs/>
      <w:sz w:val="24"/>
      <w:szCs w:val="24"/>
    </w:rPr>
  </w:style>
  <w:style w:type="paragraph" w:styleId="TOC1">
    <w:name w:val="toc 1"/>
    <w:basedOn w:val="Normal"/>
    <w:next w:val="Normal"/>
    <w:autoRedefine/>
    <w:uiPriority w:val="39"/>
    <w:unhideWhenUsed/>
    <w:rsid w:val="002F6827"/>
    <w:pPr>
      <w:tabs>
        <w:tab w:val="left" w:pos="440"/>
        <w:tab w:val="right" w:leader="dot" w:pos="9062"/>
      </w:tabs>
      <w:spacing w:before="240"/>
      <w:ind w:left="425" w:hanging="425"/>
    </w:pPr>
    <w:rPr>
      <w:b/>
      <w:color w:val="B0050D"/>
    </w:rPr>
  </w:style>
  <w:style w:type="paragraph" w:styleId="TOC2">
    <w:name w:val="toc 2"/>
    <w:basedOn w:val="Normal"/>
    <w:next w:val="Normal"/>
    <w:autoRedefine/>
    <w:uiPriority w:val="39"/>
    <w:unhideWhenUsed/>
    <w:rsid w:val="002F6827"/>
    <w:pPr>
      <w:tabs>
        <w:tab w:val="left" w:pos="442"/>
        <w:tab w:val="left" w:pos="567"/>
        <w:tab w:val="right" w:leader="dot" w:pos="9062"/>
      </w:tabs>
      <w:spacing w:before="120" w:after="60"/>
      <w:ind w:left="425" w:hanging="425"/>
    </w:pPr>
    <w:rPr>
      <w:b/>
      <w:noProof/>
    </w:rPr>
  </w:style>
  <w:style w:type="paragraph" w:styleId="TOC3">
    <w:name w:val="toc 3"/>
    <w:basedOn w:val="Normal"/>
    <w:next w:val="Normal"/>
    <w:autoRedefine/>
    <w:uiPriority w:val="39"/>
    <w:unhideWhenUsed/>
    <w:rsid w:val="001F59DA"/>
    <w:pPr>
      <w:tabs>
        <w:tab w:val="left" w:pos="1100"/>
        <w:tab w:val="right" w:leader="dot" w:pos="9070"/>
      </w:tabs>
      <w:spacing w:before="60" w:after="60"/>
      <w:ind w:left="1843" w:hanging="1418"/>
    </w:pPr>
  </w:style>
  <w:style w:type="character" w:customStyle="1" w:styleId="Heading6Char">
    <w:name w:val="Heading 6 Char"/>
    <w:basedOn w:val="DefaultParagraphFont"/>
    <w:link w:val="Heading6"/>
    <w:uiPriority w:val="9"/>
    <w:rsid w:val="00585414"/>
    <w:rPr>
      <w:rFonts w:eastAsiaTheme="majorEastAsia" w:cstheme="majorBidi"/>
      <w:b/>
      <w:color w:val="1F4D78" w:themeColor="accent1" w:themeShade="7F"/>
      <w:sz w:val="24"/>
    </w:rPr>
  </w:style>
  <w:style w:type="character" w:customStyle="1" w:styleId="Heading7Char">
    <w:name w:val="Heading 7 Char"/>
    <w:basedOn w:val="DefaultParagraphFont"/>
    <w:link w:val="Heading7"/>
    <w:uiPriority w:val="80"/>
    <w:rsid w:val="002F6827"/>
    <w:rPr>
      <w:rFonts w:eastAsiaTheme="majorEastAsia" w:cstheme="majorBidi"/>
      <w:i/>
      <w:iCs/>
      <w:sz w:val="24"/>
    </w:rPr>
  </w:style>
  <w:style w:type="character" w:customStyle="1" w:styleId="Heading8Char">
    <w:name w:val="Heading 8 Char"/>
    <w:basedOn w:val="DefaultParagraphFont"/>
    <w:link w:val="Heading8"/>
    <w:uiPriority w:val="80"/>
    <w:rsid w:val="00585414"/>
    <w:rPr>
      <w:rFonts w:eastAsiaTheme="majorEastAsia" w:cstheme="majorBidi"/>
      <w:i/>
      <w:color w:val="144766"/>
      <w:sz w:val="24"/>
      <w:szCs w:val="21"/>
    </w:rPr>
  </w:style>
  <w:style w:type="character" w:customStyle="1" w:styleId="Heading9Char">
    <w:name w:val="Heading 9 Char"/>
    <w:basedOn w:val="DefaultParagraphFont"/>
    <w:link w:val="Heading9"/>
    <w:uiPriority w:val="80"/>
    <w:rsid w:val="00585414"/>
    <w:rPr>
      <w:rFonts w:eastAsiaTheme="majorEastAsia" w:cstheme="majorBidi"/>
      <w:iCs/>
      <w:sz w:val="24"/>
      <w:szCs w:val="21"/>
    </w:rPr>
  </w:style>
  <w:style w:type="paragraph" w:styleId="TOC4">
    <w:name w:val="toc 4"/>
    <w:basedOn w:val="Normal"/>
    <w:next w:val="Normal"/>
    <w:autoRedefine/>
    <w:uiPriority w:val="39"/>
    <w:unhideWhenUsed/>
    <w:rsid w:val="002F6827"/>
    <w:pPr>
      <w:tabs>
        <w:tab w:val="left" w:pos="1540"/>
        <w:tab w:val="right" w:leader="dot" w:pos="9070"/>
      </w:tabs>
      <w:spacing w:after="100"/>
      <w:ind w:left="1560" w:hanging="851"/>
    </w:pPr>
    <w:rPr>
      <w:i/>
    </w:rPr>
  </w:style>
  <w:style w:type="paragraph" w:styleId="TOC5">
    <w:name w:val="toc 5"/>
    <w:basedOn w:val="Normal"/>
    <w:next w:val="Normal"/>
    <w:autoRedefine/>
    <w:uiPriority w:val="39"/>
    <w:unhideWhenUsed/>
    <w:rsid w:val="002F6827"/>
    <w:pPr>
      <w:spacing w:after="100"/>
      <w:ind w:left="880"/>
    </w:pPr>
  </w:style>
  <w:style w:type="paragraph" w:styleId="TOC6">
    <w:name w:val="toc 6"/>
    <w:basedOn w:val="Normal"/>
    <w:next w:val="Normal"/>
    <w:autoRedefine/>
    <w:uiPriority w:val="39"/>
    <w:unhideWhenUsed/>
    <w:rsid w:val="002F6827"/>
    <w:pPr>
      <w:spacing w:after="100"/>
      <w:ind w:left="1100"/>
    </w:pPr>
  </w:style>
  <w:style w:type="paragraph" w:styleId="TOC7">
    <w:name w:val="toc 7"/>
    <w:basedOn w:val="Normal"/>
    <w:next w:val="Normal"/>
    <w:autoRedefine/>
    <w:uiPriority w:val="39"/>
    <w:unhideWhenUsed/>
    <w:rsid w:val="002F6827"/>
    <w:pPr>
      <w:spacing w:after="100"/>
      <w:ind w:left="1320"/>
    </w:pPr>
  </w:style>
  <w:style w:type="paragraph" w:styleId="TOC8">
    <w:name w:val="toc 8"/>
    <w:basedOn w:val="Normal"/>
    <w:next w:val="Normal"/>
    <w:autoRedefine/>
    <w:uiPriority w:val="39"/>
    <w:unhideWhenUsed/>
    <w:rsid w:val="002F6827"/>
    <w:pPr>
      <w:spacing w:after="100"/>
      <w:ind w:left="1540"/>
    </w:pPr>
  </w:style>
  <w:style w:type="paragraph" w:styleId="TOC9">
    <w:name w:val="toc 9"/>
    <w:basedOn w:val="Normal"/>
    <w:next w:val="Normal"/>
    <w:autoRedefine/>
    <w:uiPriority w:val="39"/>
    <w:unhideWhenUsed/>
    <w:rsid w:val="002F6827"/>
    <w:pPr>
      <w:spacing w:after="100"/>
      <w:ind w:left="1760"/>
    </w:pPr>
  </w:style>
  <w:style w:type="table" w:styleId="PlainTable5">
    <w:name w:val="Plain Table 5"/>
    <w:aliases w:val="Tabelle IH"/>
    <w:basedOn w:val="TableNormal"/>
    <w:uiPriority w:val="45"/>
    <w:locked/>
    <w:rsid w:val="002F6827"/>
    <w:pPr>
      <w:spacing w:after="0"/>
      <w:jc w:val="right"/>
    </w:pPr>
    <w:tblPr>
      <w:tblStyleRowBandSize w:val="1"/>
      <w:tblStyleColBandSize w:val="1"/>
    </w:tblPr>
    <w:tcPr>
      <w:vAlign w:val="center"/>
    </w:tcPr>
    <w:tblStylePr w:type="firstRow">
      <w:rPr>
        <w:rFonts w:ascii="Arial" w:eastAsiaTheme="majorEastAsia" w:hAnsi="Arial" w:cstheme="majorBidi"/>
        <w:i w:val="0"/>
        <w:iCs/>
        <w:sz w:val="22"/>
      </w:rPr>
      <w:tblPr/>
      <w:tcPr>
        <w:shd w:val="clear" w:color="auto" w:fill="144766"/>
      </w:tcPr>
    </w:tblStylePr>
    <w:tblStylePr w:type="lastRow">
      <w:pPr>
        <w:jc w:val="right"/>
      </w:pPr>
      <w:rPr>
        <w:rFonts w:ascii="Arial" w:eastAsiaTheme="majorEastAsia" w:hAnsi="Arial" w:cstheme="majorBidi"/>
        <w:i w:val="0"/>
        <w:iCs/>
        <w:sz w:val="22"/>
      </w:rPr>
      <w:tblPr/>
      <w:tcPr>
        <w:shd w:val="clear" w:color="auto" w:fill="B0050D"/>
        <w:vAlign w:val="center"/>
      </w:tcPr>
    </w:tblStylePr>
    <w:tblStylePr w:type="firstCol">
      <w:pPr>
        <w:jc w:val="left"/>
      </w:pPr>
      <w:rPr>
        <w:rFonts w:ascii="Arial" w:eastAsiaTheme="majorEastAsia" w:hAnsi="Arial" w:cstheme="majorBidi"/>
        <w:i/>
        <w:iCs/>
        <w:sz w:val="22"/>
      </w:rPr>
      <w:tblPr/>
      <w:tcPr>
        <w:tcBorders>
          <w:right w:val="single" w:sz="4" w:space="0" w:color="7F7F7F" w:themeColor="text1" w:themeTint="80"/>
        </w:tcBorders>
        <w:shd w:val="clear" w:color="auto" w:fill="FFFFFF" w:themeFill="background1"/>
      </w:tcPr>
    </w:tblStylePr>
    <w:tblStylePr w:type="lastCol">
      <w:rPr>
        <w:rFonts w:ascii="Arial" w:eastAsiaTheme="majorEastAsia" w:hAnsi="Arial" w:cstheme="majorBidi"/>
        <w:i w:val="0"/>
        <w:iCs/>
        <w:sz w:val="22"/>
      </w:rPr>
      <w:tblPr/>
      <w:tcPr>
        <w:shd w:val="clear" w:color="auto" w:fill="B0050D"/>
      </w:tcPr>
    </w:tblStylePr>
    <w:tblStylePr w:type="band1Vert">
      <w:tblPr/>
      <w:tcPr>
        <w:shd w:val="clear" w:color="auto" w:fill="F2F2F2" w:themeFill="background1" w:themeFillShade="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pPr>
        <w:jc w:val="left"/>
      </w:pPr>
      <w:rPr>
        <w:i/>
      </w:rPr>
      <w:tblPr/>
      <w:tcPr>
        <w:tcBorders>
          <w:right w:val="nil"/>
        </w:tcBorders>
        <w:vAlign w:val="top"/>
      </w:tcPr>
    </w:tblStylePr>
  </w:style>
  <w:style w:type="paragraph" w:styleId="Quote">
    <w:name w:val="Quote"/>
    <w:basedOn w:val="Normal"/>
    <w:next w:val="BodyText"/>
    <w:link w:val="QuoteChar"/>
    <w:uiPriority w:val="14"/>
    <w:qFormat/>
    <w:rsid w:val="002F6827"/>
    <w:pPr>
      <w:spacing w:before="200" w:after="160"/>
      <w:ind w:left="1021" w:right="1021"/>
      <w:jc w:val="center"/>
    </w:pPr>
    <w:rPr>
      <w:i/>
      <w:iCs/>
      <w:color w:val="000000" w:themeColor="text1"/>
    </w:rPr>
  </w:style>
  <w:style w:type="character" w:customStyle="1" w:styleId="QuoteChar">
    <w:name w:val="Quote Char"/>
    <w:basedOn w:val="DefaultParagraphFont"/>
    <w:link w:val="Quote"/>
    <w:uiPriority w:val="14"/>
    <w:rsid w:val="002F6827"/>
    <w:rPr>
      <w:i/>
      <w:iCs/>
      <w:color w:val="000000" w:themeColor="text1"/>
      <w:sz w:val="24"/>
    </w:rPr>
  </w:style>
  <w:style w:type="paragraph" w:styleId="PlainText">
    <w:name w:val="Plain Text"/>
    <w:aliases w:val="Klein Kursiv Einzug"/>
    <w:basedOn w:val="Normal"/>
    <w:next w:val="BodyText"/>
    <w:link w:val="PlainTextChar"/>
    <w:uiPriority w:val="16"/>
    <w:qFormat/>
    <w:rsid w:val="002F6827"/>
    <w:pPr>
      <w:spacing w:before="240" w:after="240"/>
      <w:ind w:left="340" w:right="340"/>
    </w:pPr>
    <w:rPr>
      <w:rFonts w:cs="Consolas"/>
      <w:i/>
      <w:sz w:val="20"/>
      <w:szCs w:val="21"/>
    </w:rPr>
  </w:style>
  <w:style w:type="character" w:customStyle="1" w:styleId="PlainTextChar">
    <w:name w:val="Plain Text Char"/>
    <w:aliases w:val="Klein Kursiv Einzug Char"/>
    <w:basedOn w:val="DefaultParagraphFont"/>
    <w:link w:val="PlainText"/>
    <w:uiPriority w:val="16"/>
    <w:rsid w:val="002F6827"/>
    <w:rPr>
      <w:rFonts w:cs="Consolas"/>
      <w:i/>
      <w:sz w:val="20"/>
      <w:szCs w:val="21"/>
    </w:rPr>
  </w:style>
  <w:style w:type="character" w:styleId="CommentReference">
    <w:name w:val="annotation reference"/>
    <w:aliases w:val="Blau"/>
    <w:basedOn w:val="DefaultParagraphFont"/>
    <w:uiPriority w:val="99"/>
    <w:qFormat/>
    <w:rsid w:val="002F6827"/>
    <w:rPr>
      <w:caps w:val="0"/>
      <w:smallCaps w:val="0"/>
      <w:strike w:val="0"/>
      <w:dstrike w:val="0"/>
      <w:vanish w:val="0"/>
      <w:color w:val="144766"/>
      <w:szCs w:val="16"/>
      <w:u w:color="144766"/>
      <w:vertAlign w:val="baseline"/>
    </w:rPr>
  </w:style>
  <w:style w:type="paragraph" w:styleId="BalloonText">
    <w:name w:val="Balloon Text"/>
    <w:aliases w:val="Box"/>
    <w:basedOn w:val="Normal"/>
    <w:next w:val="BodyText"/>
    <w:link w:val="BalloonTextChar"/>
    <w:uiPriority w:val="12"/>
    <w:qFormat/>
    <w:rsid w:val="00EF5DB7"/>
    <w:pPr>
      <w:keepLines/>
      <w:shd w:val="clear" w:color="auto" w:fill="D9D9D9" w:themeFill="background1" w:themeFillShade="D9"/>
      <w:suppressAutoHyphens/>
      <w:spacing w:before="240" w:after="240"/>
      <w:ind w:left="340" w:right="567"/>
      <w:textboxTightWrap w:val="allLines"/>
    </w:pPr>
    <w:rPr>
      <w:rFonts w:cs="Segoe UI"/>
      <w:sz w:val="21"/>
      <w:szCs w:val="18"/>
    </w:rPr>
  </w:style>
  <w:style w:type="character" w:customStyle="1" w:styleId="BalloonTextChar">
    <w:name w:val="Balloon Text Char"/>
    <w:aliases w:val="Box Char"/>
    <w:basedOn w:val="DefaultParagraphFont"/>
    <w:link w:val="BalloonText"/>
    <w:uiPriority w:val="12"/>
    <w:rsid w:val="00EF5DB7"/>
    <w:rPr>
      <w:rFonts w:cs="Segoe UI"/>
      <w:sz w:val="21"/>
      <w:szCs w:val="18"/>
      <w:shd w:val="clear" w:color="auto" w:fill="D9D9D9" w:themeFill="background1" w:themeFillShade="D9"/>
      <w:lang w:val="fr-CH"/>
    </w:rPr>
  </w:style>
  <w:style w:type="paragraph" w:styleId="BodyTextIndent">
    <w:name w:val="Body Text Indent"/>
    <w:aliases w:val="Einzug"/>
    <w:basedOn w:val="Normal"/>
    <w:next w:val="BodyText"/>
    <w:link w:val="BodyTextIndentChar"/>
    <w:uiPriority w:val="19"/>
    <w:qFormat/>
    <w:rsid w:val="002F6827"/>
    <w:pPr>
      <w:ind w:left="340"/>
    </w:pPr>
  </w:style>
  <w:style w:type="character" w:customStyle="1" w:styleId="BodyTextIndentChar">
    <w:name w:val="Body Text Indent Char"/>
    <w:aliases w:val="Einzug Char"/>
    <w:basedOn w:val="DefaultParagraphFont"/>
    <w:link w:val="BodyTextIndent"/>
    <w:uiPriority w:val="19"/>
    <w:rsid w:val="002F6827"/>
    <w:rPr>
      <w:sz w:val="24"/>
    </w:rPr>
  </w:style>
  <w:style w:type="paragraph" w:styleId="BodyTextIndent3">
    <w:name w:val="Body Text Indent 3"/>
    <w:aliases w:val="Einzug links rechts"/>
    <w:basedOn w:val="Normal"/>
    <w:next w:val="BodyText"/>
    <w:link w:val="BodyTextIndent3Char"/>
    <w:uiPriority w:val="20"/>
    <w:qFormat/>
    <w:rsid w:val="002F6827"/>
    <w:pPr>
      <w:ind w:left="340" w:right="567"/>
    </w:pPr>
    <w:rPr>
      <w:szCs w:val="16"/>
    </w:rPr>
  </w:style>
  <w:style w:type="character" w:customStyle="1" w:styleId="BodyTextIndent3Char">
    <w:name w:val="Body Text Indent 3 Char"/>
    <w:aliases w:val="Einzug links rechts Char"/>
    <w:basedOn w:val="DefaultParagraphFont"/>
    <w:link w:val="BodyTextIndent3"/>
    <w:uiPriority w:val="20"/>
    <w:rsid w:val="002F6827"/>
    <w:rPr>
      <w:sz w:val="24"/>
      <w:szCs w:val="16"/>
    </w:rPr>
  </w:style>
  <w:style w:type="paragraph" w:styleId="BodyTextFirstIndent">
    <w:name w:val="Body Text First Indent"/>
    <w:aliases w:val="Erstzeileneinzug klein"/>
    <w:basedOn w:val="BodyText"/>
    <w:next w:val="BodyText"/>
    <w:link w:val="BodyTextFirstIndentChar"/>
    <w:uiPriority w:val="21"/>
    <w:qFormat/>
    <w:rsid w:val="002F6827"/>
    <w:pPr>
      <w:ind w:firstLine="340"/>
    </w:pPr>
  </w:style>
  <w:style w:type="character" w:customStyle="1" w:styleId="BodyTextFirstIndentChar">
    <w:name w:val="Body Text First Indent Char"/>
    <w:aliases w:val="Erstzeileneinzug klein Char"/>
    <w:basedOn w:val="BodyTextChar"/>
    <w:link w:val="BodyTextFirstIndent"/>
    <w:uiPriority w:val="21"/>
    <w:rsid w:val="002F6827"/>
    <w:rPr>
      <w:sz w:val="24"/>
    </w:rPr>
  </w:style>
  <w:style w:type="paragraph" w:styleId="BodyTextFirstIndent2">
    <w:name w:val="Body Text First Indent 2"/>
    <w:basedOn w:val="BodyText"/>
    <w:next w:val="Date"/>
    <w:link w:val="BodyTextFirstIndent2Char"/>
    <w:uiPriority w:val="24"/>
    <w:qFormat/>
    <w:rsid w:val="002F6827"/>
    <w:pPr>
      <w:tabs>
        <w:tab w:val="left" w:pos="2410"/>
      </w:tabs>
      <w:ind w:left="2410" w:hanging="2410"/>
    </w:pPr>
  </w:style>
  <w:style w:type="character" w:customStyle="1" w:styleId="BodyTextFirstIndent2Char">
    <w:name w:val="Body Text First Indent 2 Char"/>
    <w:basedOn w:val="BodyTextIndentChar"/>
    <w:link w:val="BodyTextFirstIndent2"/>
    <w:uiPriority w:val="24"/>
    <w:rsid w:val="002F6827"/>
    <w:rPr>
      <w:sz w:val="24"/>
    </w:rPr>
  </w:style>
  <w:style w:type="character" w:styleId="HTMLSample">
    <w:name w:val="HTML Sample"/>
    <w:uiPriority w:val="50"/>
    <w:semiHidden/>
    <w:rsid w:val="009632D4"/>
    <w:rPr>
      <w:rFonts w:eastAsiaTheme="majorEastAsia" w:cstheme="majorBidi"/>
      <w:iCs/>
    </w:rPr>
  </w:style>
  <w:style w:type="table" w:styleId="PlainTable4">
    <w:name w:val="Plain Table 4"/>
    <w:basedOn w:val="TableNormal"/>
    <w:uiPriority w:val="44"/>
    <w:locked/>
    <w:rsid w:val="002F6827"/>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locked/>
    <w:rsid w:val="002F6827"/>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locked/>
    <w:rsid w:val="002F6827"/>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locked/>
    <w:rsid w:val="002F6827"/>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locked/>
    <w:rsid w:val="002F682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aliases w:val="Tab_Erste Spalte"/>
    <w:uiPriority w:val="92"/>
    <w:semiHidden/>
    <w:rsid w:val="002F6827"/>
    <w:rPr>
      <w:rFonts w:eastAsiaTheme="majorEastAsia" w:cstheme="majorBidi"/>
      <w:i/>
      <w:iCs/>
    </w:rPr>
  </w:style>
  <w:style w:type="paragraph" w:styleId="HTMLAddress">
    <w:name w:val="HTML Address"/>
    <w:aliases w:val="Tab_Kopfzeile"/>
    <w:basedOn w:val="BodyText"/>
    <w:link w:val="HTMLAddressChar"/>
    <w:uiPriority w:val="92"/>
    <w:qFormat/>
    <w:rsid w:val="002F6827"/>
    <w:pPr>
      <w:spacing w:after="0"/>
    </w:pPr>
  </w:style>
  <w:style w:type="character" w:customStyle="1" w:styleId="HTMLAddressChar">
    <w:name w:val="HTML Address Char"/>
    <w:aliases w:val="Tab_Kopfzeile Char"/>
    <w:basedOn w:val="DefaultParagraphFont"/>
    <w:link w:val="HTMLAddress"/>
    <w:uiPriority w:val="92"/>
    <w:rsid w:val="002F6827"/>
    <w:rPr>
      <w:sz w:val="24"/>
    </w:rPr>
  </w:style>
  <w:style w:type="character" w:styleId="HTMLCode">
    <w:name w:val="HTML Code"/>
    <w:aliases w:val="Tab_Letzte Spalte"/>
    <w:uiPriority w:val="92"/>
    <w:semiHidden/>
    <w:qFormat/>
    <w:rsid w:val="002F6827"/>
  </w:style>
  <w:style w:type="character" w:customStyle="1" w:styleId="NoSpacingChar">
    <w:name w:val="No Spacing Char"/>
    <w:basedOn w:val="DefaultParagraphFont"/>
    <w:link w:val="NoSpacing"/>
    <w:uiPriority w:val="99"/>
    <w:semiHidden/>
    <w:rsid w:val="002F6827"/>
  </w:style>
  <w:style w:type="character" w:styleId="PlaceholderText">
    <w:name w:val="Placeholder Text"/>
    <w:basedOn w:val="DefaultParagraphFont"/>
    <w:uiPriority w:val="99"/>
    <w:semiHidden/>
    <w:rsid w:val="002F6827"/>
    <w:rPr>
      <w:color w:val="808080"/>
    </w:rPr>
  </w:style>
  <w:style w:type="paragraph" w:styleId="BodyTextIndent2">
    <w:name w:val="Body Text Indent 2"/>
    <w:aliases w:val="Zentriert"/>
    <w:basedOn w:val="Normal"/>
    <w:next w:val="BodyText"/>
    <w:link w:val="BodyTextIndent2Char"/>
    <w:uiPriority w:val="23"/>
    <w:qFormat/>
    <w:rsid w:val="002F6827"/>
    <w:pPr>
      <w:suppressAutoHyphens/>
      <w:spacing w:before="240"/>
      <w:jc w:val="center"/>
    </w:pPr>
  </w:style>
  <w:style w:type="character" w:customStyle="1" w:styleId="BodyTextIndent2Char">
    <w:name w:val="Body Text Indent 2 Char"/>
    <w:aliases w:val="Zentriert Char"/>
    <w:basedOn w:val="DefaultParagraphFont"/>
    <w:link w:val="BodyTextIndent2"/>
    <w:uiPriority w:val="23"/>
    <w:rsid w:val="002F6827"/>
    <w:rPr>
      <w:sz w:val="24"/>
    </w:rPr>
  </w:style>
  <w:style w:type="table" w:styleId="TableGrid">
    <w:name w:val="Table Grid"/>
    <w:basedOn w:val="TableNormal"/>
    <w:uiPriority w:val="39"/>
    <w:locked/>
    <w:rsid w:val="002F682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ukastenAufzaehlung">
    <w:name w:val="Baukasten_Aufzaehlung"/>
    <w:basedOn w:val="Normal"/>
    <w:link w:val="BaukastenAufzaehlungZchn"/>
    <w:autoRedefine/>
    <w:rsid w:val="003640E6"/>
    <w:pPr>
      <w:numPr>
        <w:numId w:val="6"/>
      </w:numPr>
      <w:spacing w:before="60" w:after="60" w:line="240" w:lineRule="exact"/>
      <w:jc w:val="left"/>
    </w:pPr>
    <w:rPr>
      <w:rFonts w:eastAsia="MS Gothic"/>
      <w:szCs w:val="24"/>
      <w:lang w:val="de-CH"/>
    </w:rPr>
  </w:style>
  <w:style w:type="character" w:customStyle="1" w:styleId="BaukastenAufzaehlungZchn">
    <w:name w:val="Baukasten_Aufzaehlung Zchn"/>
    <w:basedOn w:val="DefaultParagraphFont"/>
    <w:link w:val="BaukastenAufzaehlung"/>
    <w:rsid w:val="003640E6"/>
    <w:rPr>
      <w:rFonts w:eastAsia="MS Gothic"/>
      <w:sz w:val="24"/>
      <w:szCs w:val="24"/>
    </w:rPr>
  </w:style>
  <w:style w:type="paragraph" w:customStyle="1" w:styleId="SBAufzhlung">
    <w:name w:val="SB Aufzählung"/>
    <w:basedOn w:val="Normal"/>
    <w:link w:val="SBAufzhlungZchn"/>
    <w:autoRedefine/>
    <w:uiPriority w:val="99"/>
    <w:qFormat/>
    <w:rsid w:val="00FE29BD"/>
    <w:pPr>
      <w:numPr>
        <w:numId w:val="7"/>
      </w:numPr>
      <w:tabs>
        <w:tab w:val="left" w:pos="0"/>
      </w:tabs>
      <w:spacing w:after="0"/>
      <w:ind w:left="357" w:hanging="357"/>
      <w:jc w:val="left"/>
    </w:pPr>
    <w:rPr>
      <w:rFonts w:eastAsia="MS Gothic"/>
      <w:szCs w:val="20"/>
      <w:lang w:val="de-CH"/>
    </w:rPr>
  </w:style>
  <w:style w:type="character" w:customStyle="1" w:styleId="SBAufzhlungZchn">
    <w:name w:val="SB Aufzählung Zchn"/>
    <w:basedOn w:val="DefaultParagraphFont"/>
    <w:link w:val="SBAufzhlung"/>
    <w:uiPriority w:val="99"/>
    <w:rsid w:val="00FE29BD"/>
    <w:rPr>
      <w:rFonts w:eastAsia="MS Gothic"/>
      <w:sz w:val="24"/>
      <w:szCs w:val="20"/>
    </w:rPr>
  </w:style>
  <w:style w:type="paragraph" w:customStyle="1" w:styleId="SBEmpfehlungen">
    <w:name w:val="SB Empfehlungen"/>
    <w:basedOn w:val="ListParagraph"/>
    <w:link w:val="SBEmpfehlungenZchn"/>
    <w:uiPriority w:val="6"/>
    <w:qFormat/>
    <w:rsid w:val="00B205C7"/>
    <w:pPr>
      <w:numPr>
        <w:numId w:val="8"/>
      </w:numPr>
      <w:shd w:val="clear" w:color="auto" w:fill="FFFFCC"/>
      <w:spacing w:before="60" w:after="60" w:line="280" w:lineRule="exact"/>
      <w:ind w:left="357" w:hanging="357"/>
      <w:contextualSpacing w:val="0"/>
    </w:pPr>
    <w:rPr>
      <w:rFonts w:eastAsia="Cambria"/>
      <w:szCs w:val="24"/>
      <w:lang w:val="en-GB"/>
    </w:rPr>
  </w:style>
  <w:style w:type="character" w:customStyle="1" w:styleId="SBEmpfehlungenZchn">
    <w:name w:val="SB Empfehlungen Zchn"/>
    <w:basedOn w:val="DefaultParagraphFont"/>
    <w:link w:val="SBEmpfehlungen"/>
    <w:uiPriority w:val="6"/>
    <w:rsid w:val="00B205C7"/>
    <w:rPr>
      <w:rFonts w:eastAsia="Cambria"/>
      <w:sz w:val="24"/>
      <w:szCs w:val="24"/>
      <w:shd w:val="clear" w:color="auto" w:fill="FFFFCC"/>
      <w:lang w:val="en-GB"/>
    </w:rPr>
  </w:style>
  <w:style w:type="paragraph" w:styleId="CommentText">
    <w:name w:val="annotation text"/>
    <w:basedOn w:val="Normal"/>
    <w:link w:val="CommentTextChar"/>
    <w:uiPriority w:val="99"/>
    <w:unhideWhenUsed/>
    <w:rsid w:val="00924B3D"/>
    <w:rPr>
      <w:sz w:val="20"/>
      <w:szCs w:val="20"/>
    </w:rPr>
  </w:style>
  <w:style w:type="character" w:customStyle="1" w:styleId="CommentTextChar">
    <w:name w:val="Comment Text Char"/>
    <w:basedOn w:val="DefaultParagraphFont"/>
    <w:link w:val="CommentText"/>
    <w:uiPriority w:val="99"/>
    <w:rsid w:val="00924B3D"/>
    <w:rPr>
      <w:sz w:val="20"/>
      <w:szCs w:val="20"/>
      <w:lang w:val="fr-CH"/>
    </w:rPr>
  </w:style>
  <w:style w:type="paragraph" w:styleId="CommentSubject">
    <w:name w:val="annotation subject"/>
    <w:basedOn w:val="CommentText"/>
    <w:next w:val="CommentText"/>
    <w:link w:val="CommentSubjectChar"/>
    <w:uiPriority w:val="99"/>
    <w:semiHidden/>
    <w:unhideWhenUsed/>
    <w:rsid w:val="00924B3D"/>
    <w:rPr>
      <w:b/>
      <w:bCs/>
    </w:rPr>
  </w:style>
  <w:style w:type="character" w:customStyle="1" w:styleId="CommentSubjectChar">
    <w:name w:val="Comment Subject Char"/>
    <w:basedOn w:val="CommentTextChar"/>
    <w:link w:val="CommentSubject"/>
    <w:uiPriority w:val="99"/>
    <w:semiHidden/>
    <w:rsid w:val="00924B3D"/>
    <w:rPr>
      <w:b/>
      <w:bCs/>
      <w:sz w:val="20"/>
      <w:szCs w:val="20"/>
      <w:lang w:val="fr-CH"/>
    </w:rPr>
  </w:style>
  <w:style w:type="paragraph" w:customStyle="1" w:styleId="Listenabsatzroterrahmen">
    <w:name w:val="Listenabsatz_roterrahmen"/>
    <w:basedOn w:val="ListParagraph"/>
    <w:rsid w:val="00924B3D"/>
    <w:pPr>
      <w:shd w:val="clear" w:color="auto" w:fill="144766"/>
      <w:spacing w:before="240" w:after="60" w:line="280" w:lineRule="exact"/>
      <w:ind w:left="357" w:hanging="357"/>
      <w:contextualSpacing w:val="0"/>
    </w:pPr>
    <w:rPr>
      <w:rFonts w:eastAsia="Cambria"/>
      <w:szCs w:val="24"/>
      <w:lang w:val="de-CH"/>
    </w:rPr>
  </w:style>
  <w:style w:type="paragraph" w:customStyle="1" w:styleId="UntertitelSB">
    <w:name w:val="Untertitel SB"/>
    <w:basedOn w:val="ListParagraph"/>
    <w:link w:val="UntertitelSBZchn"/>
    <w:autoRedefine/>
    <w:rsid w:val="00C177BB"/>
    <w:pPr>
      <w:shd w:val="clear" w:color="auto" w:fill="E26C60"/>
      <w:spacing w:before="240" w:after="60" w:line="280" w:lineRule="exact"/>
      <w:ind w:left="0"/>
      <w:contextualSpacing w:val="0"/>
    </w:pPr>
    <w:rPr>
      <w:rFonts w:eastAsia="MS Gothic"/>
      <w:b/>
      <w:szCs w:val="24"/>
      <w:lang w:val="de-CH"/>
    </w:rPr>
  </w:style>
  <w:style w:type="character" w:customStyle="1" w:styleId="UntertitelSBZchn">
    <w:name w:val="Untertitel SB Zchn"/>
    <w:basedOn w:val="DefaultParagraphFont"/>
    <w:link w:val="UntertitelSB"/>
    <w:rsid w:val="00C177BB"/>
    <w:rPr>
      <w:rFonts w:eastAsia="MS Gothic"/>
      <w:b/>
      <w:sz w:val="24"/>
      <w:szCs w:val="24"/>
      <w:shd w:val="clear" w:color="auto" w:fill="E26C60"/>
    </w:rPr>
  </w:style>
  <w:style w:type="character" w:customStyle="1" w:styleId="ListParagraphChar">
    <w:name w:val="List Paragraph Char"/>
    <w:aliases w:val="Liste Std Char,liste de points Char,SB_Aufzählung Char"/>
    <w:link w:val="ListParagraph"/>
    <w:uiPriority w:val="34"/>
    <w:rsid w:val="00C177BB"/>
    <w:rPr>
      <w:sz w:val="24"/>
      <w:lang w:val="fr-CH"/>
    </w:rPr>
  </w:style>
  <w:style w:type="paragraph" w:customStyle="1" w:styleId="Default">
    <w:name w:val="Default"/>
    <w:rsid w:val="00B30BCF"/>
    <w:pPr>
      <w:autoSpaceDE w:val="0"/>
      <w:autoSpaceDN w:val="0"/>
      <w:adjustRightInd w:val="0"/>
      <w:spacing w:after="0"/>
    </w:pPr>
    <w:rPr>
      <w:color w:val="000000"/>
      <w:sz w:val="24"/>
      <w:szCs w:val="24"/>
    </w:rPr>
  </w:style>
  <w:style w:type="paragraph" w:customStyle="1" w:styleId="NummerierterText">
    <w:name w:val="Nummerierter Text"/>
    <w:basedOn w:val="BaukastenAufzaehlung"/>
    <w:link w:val="NummerierterTextZchn"/>
    <w:autoRedefine/>
    <w:uiPriority w:val="99"/>
    <w:rsid w:val="00B30BCF"/>
    <w:pPr>
      <w:numPr>
        <w:numId w:val="0"/>
      </w:numPr>
      <w:tabs>
        <w:tab w:val="left" w:pos="0"/>
      </w:tabs>
      <w:spacing w:before="0"/>
      <w:jc w:val="both"/>
    </w:pPr>
    <w:rPr>
      <w:szCs w:val="20"/>
    </w:rPr>
  </w:style>
  <w:style w:type="character" w:customStyle="1" w:styleId="NummerierterTextZchn">
    <w:name w:val="Nummerierter Text Zchn"/>
    <w:basedOn w:val="BaukastenAufzaehlungZchn"/>
    <w:link w:val="NummerierterText"/>
    <w:uiPriority w:val="99"/>
    <w:rsid w:val="00B30BCF"/>
    <w:rPr>
      <w:rFonts w:eastAsia="MS Gothic"/>
      <w:sz w:val="24"/>
      <w:szCs w:val="20"/>
    </w:rPr>
  </w:style>
  <w:style w:type="character" w:customStyle="1" w:styleId="tgc">
    <w:name w:val="_tgc"/>
    <w:basedOn w:val="DefaultParagraphFont"/>
    <w:rsid w:val="00B30BCF"/>
  </w:style>
  <w:style w:type="character" w:customStyle="1" w:styleId="st">
    <w:name w:val="st"/>
    <w:basedOn w:val="DefaultParagraphFont"/>
    <w:rsid w:val="00B30BCF"/>
  </w:style>
  <w:style w:type="paragraph" w:customStyle="1" w:styleId="Untertitel2">
    <w:name w:val="Untertitel 2"/>
    <w:basedOn w:val="Subtitle"/>
    <w:link w:val="Untertitel2Zchn"/>
    <w:uiPriority w:val="99"/>
    <w:qFormat/>
    <w:rsid w:val="00B30BCF"/>
    <w:pPr>
      <w:pBdr>
        <w:top w:val="none" w:sz="0" w:space="0" w:color="auto"/>
        <w:left w:val="none" w:sz="0" w:space="0" w:color="auto"/>
        <w:bottom w:val="none" w:sz="0" w:space="0" w:color="auto"/>
        <w:right w:val="none" w:sz="0" w:space="0" w:color="auto"/>
      </w:pBdr>
      <w:spacing w:before="600"/>
      <w:jc w:val="center"/>
    </w:pPr>
    <w:rPr>
      <w:rFonts w:eastAsia="MS Gothic"/>
      <w:szCs w:val="24"/>
      <w:lang w:val="de-CH"/>
    </w:rPr>
  </w:style>
  <w:style w:type="character" w:customStyle="1" w:styleId="FussnoteZchn">
    <w:name w:val="Fussnote Zchn"/>
    <w:basedOn w:val="DefaultParagraphFont"/>
    <w:link w:val="Fussnote"/>
    <w:uiPriority w:val="99"/>
    <w:rsid w:val="004D1E66"/>
    <w:rPr>
      <w:rFonts w:eastAsia="Cambria"/>
      <w:sz w:val="18"/>
    </w:rPr>
  </w:style>
  <w:style w:type="character" w:customStyle="1" w:styleId="Untertitel2Zchn">
    <w:name w:val="Untertitel 2 Zchn"/>
    <w:basedOn w:val="SubtitleChar"/>
    <w:link w:val="Untertitel2"/>
    <w:uiPriority w:val="99"/>
    <w:rsid w:val="00B30BCF"/>
    <w:rPr>
      <w:rFonts w:eastAsia="MS Gothic" w:cstheme="majorBidi"/>
      <w:b/>
      <w:iCs/>
      <w:spacing w:val="10"/>
      <w:sz w:val="24"/>
      <w:szCs w:val="24"/>
      <w:shd w:val="clear" w:color="auto" w:fill="FF8585"/>
      <w:lang w:val="fr-CH"/>
    </w:rPr>
  </w:style>
  <w:style w:type="character" w:styleId="FootnoteReference">
    <w:name w:val="footnote reference"/>
    <w:aliases w:val="4_G,Footnote number,4_G Char Char Char Char,Footnotes refss Char Char Char Char,ftref Char Char Char Char,BVI fnr Char Char Char Char,BVI fnr Car Car Char Char Char Char,BVI fnr Car Char Char Char Char,Footnotes refss,Footnote,NO"/>
    <w:basedOn w:val="DefaultParagraphFont"/>
    <w:link w:val="4GCharCharChar"/>
    <w:uiPriority w:val="99"/>
    <w:unhideWhenUsed/>
    <w:qFormat/>
    <w:rsid w:val="006066DC"/>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8E260B"/>
    <w:pPr>
      <w:spacing w:before="120" w:after="160" w:line="240" w:lineRule="exact"/>
    </w:pPr>
    <w:rPr>
      <w:sz w:val="22"/>
      <w:vertAlign w:val="superscript"/>
      <w:lang w:val="de-CH"/>
    </w:rPr>
  </w:style>
  <w:style w:type="table" w:customStyle="1" w:styleId="Tabellenraster1">
    <w:name w:val="Tabellenraster1"/>
    <w:basedOn w:val="TableNormal"/>
    <w:next w:val="TableGrid"/>
    <w:uiPriority w:val="39"/>
    <w:rsid w:val="00B8736A"/>
    <w:pPr>
      <w:suppressAutoHyphens/>
      <w:spacing w:after="0" w:line="240" w:lineRule="atLeast"/>
    </w:pPr>
    <w:rPr>
      <w:rFonts w:asciiTheme="minorHAnsi" w:hAnsiTheme="minorHAnsi" w:cstheme="minorBidi"/>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
    <w:name w:val="Aufzählung"/>
    <w:basedOn w:val="ListParagraph"/>
    <w:link w:val="AufzhlungZchn"/>
    <w:uiPriority w:val="6"/>
    <w:qFormat/>
    <w:rsid w:val="0001096E"/>
    <w:pPr>
      <w:shd w:val="clear" w:color="auto" w:fill="FFFFFF" w:themeFill="background1"/>
      <w:suppressAutoHyphens/>
      <w:spacing w:before="60" w:after="60" w:line="280" w:lineRule="exact"/>
      <w:ind w:left="357" w:hanging="357"/>
      <w:contextualSpacing w:val="0"/>
    </w:pPr>
    <w:rPr>
      <w:rFonts w:eastAsia="Cambria"/>
      <w:szCs w:val="24"/>
      <w:lang w:val="en-GB" w:eastAsia="de-CH"/>
    </w:rPr>
  </w:style>
  <w:style w:type="character" w:customStyle="1" w:styleId="AufzhlungZchn">
    <w:name w:val="Aufzählung Zchn"/>
    <w:basedOn w:val="DefaultParagraphFont"/>
    <w:link w:val="Aufzhlung"/>
    <w:uiPriority w:val="6"/>
    <w:rsid w:val="005D3D06"/>
    <w:rPr>
      <w:rFonts w:eastAsia="Cambria"/>
      <w:sz w:val="24"/>
      <w:szCs w:val="24"/>
      <w:shd w:val="clear" w:color="auto" w:fill="FFFFFF" w:themeFill="background1"/>
      <w:lang w:val="en-GB" w:eastAsia="de-CH"/>
    </w:rPr>
  </w:style>
  <w:style w:type="paragraph" w:customStyle="1" w:styleId="SBEmpfehlungen0">
    <w:name w:val="SB_Empfehlungen"/>
    <w:basedOn w:val="NummerierterText"/>
    <w:link w:val="SBEmpfehlungenZchn0"/>
    <w:autoRedefine/>
    <w:uiPriority w:val="99"/>
    <w:qFormat/>
    <w:rsid w:val="005D3D06"/>
    <w:pPr>
      <w:shd w:val="clear" w:color="auto" w:fill="FFFF99"/>
      <w:spacing w:before="60" w:line="280" w:lineRule="exact"/>
      <w:ind w:left="357" w:hanging="357"/>
    </w:pPr>
    <w:rPr>
      <w:lang w:eastAsia="de-CH"/>
    </w:rPr>
  </w:style>
  <w:style w:type="character" w:customStyle="1" w:styleId="SBEmpfehlungenZchn0">
    <w:name w:val="SB_Empfehlungen Zchn"/>
    <w:basedOn w:val="NummerierterTextZchn"/>
    <w:link w:val="SBEmpfehlungen0"/>
    <w:uiPriority w:val="99"/>
    <w:rsid w:val="005D3D06"/>
    <w:rPr>
      <w:rFonts w:eastAsia="MS Gothic"/>
      <w:sz w:val="24"/>
      <w:szCs w:val="20"/>
      <w:shd w:val="clear" w:color="auto" w:fill="FFFF99"/>
      <w:lang w:eastAsia="de-CH"/>
    </w:rPr>
  </w:style>
  <w:style w:type="paragraph" w:styleId="Revision">
    <w:name w:val="Revision"/>
    <w:hidden/>
    <w:uiPriority w:val="99"/>
    <w:semiHidden/>
    <w:rsid w:val="00A20EF3"/>
    <w:pPr>
      <w:spacing w:after="0"/>
    </w:pPr>
    <w:rPr>
      <w:sz w:val="24"/>
      <w:lang w:val="fr-CH"/>
    </w:rPr>
  </w:style>
  <w:style w:type="paragraph" w:customStyle="1" w:styleId="Standard1">
    <w:name w:val="Standard 1"/>
    <w:basedOn w:val="Normal"/>
    <w:link w:val="Standard1Zchn"/>
    <w:qFormat/>
    <w:rsid w:val="00D616B2"/>
    <w:pPr>
      <w:spacing w:before="120" w:after="240" w:line="280" w:lineRule="exact"/>
    </w:pPr>
    <w:rPr>
      <w:rFonts w:cstheme="minorBidi"/>
      <w:szCs w:val="24"/>
      <w:lang w:val="de-CH" w:eastAsia="de-CH"/>
    </w:rPr>
  </w:style>
  <w:style w:type="character" w:customStyle="1" w:styleId="Standard1Zchn">
    <w:name w:val="Standard 1 Zchn"/>
    <w:basedOn w:val="DefaultParagraphFont"/>
    <w:link w:val="Standard1"/>
    <w:rsid w:val="00D616B2"/>
    <w:rPr>
      <w:rFonts w:cstheme="minorBidi"/>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663504">
      <w:bodyDiv w:val="1"/>
      <w:marLeft w:val="0"/>
      <w:marRight w:val="0"/>
      <w:marTop w:val="0"/>
      <w:marBottom w:val="0"/>
      <w:divBdr>
        <w:top w:val="none" w:sz="0" w:space="0" w:color="auto"/>
        <w:left w:val="none" w:sz="0" w:space="0" w:color="auto"/>
        <w:bottom w:val="none" w:sz="0" w:space="0" w:color="auto"/>
        <w:right w:val="none" w:sz="0" w:space="0" w:color="auto"/>
      </w:divBdr>
    </w:div>
    <w:div w:id="1246036309">
      <w:bodyDiv w:val="1"/>
      <w:marLeft w:val="0"/>
      <w:marRight w:val="0"/>
      <w:marTop w:val="0"/>
      <w:marBottom w:val="0"/>
      <w:divBdr>
        <w:top w:val="none" w:sz="0" w:space="0" w:color="auto"/>
        <w:left w:val="none" w:sz="0" w:space="0" w:color="auto"/>
        <w:bottom w:val="none" w:sz="0" w:space="0" w:color="auto"/>
        <w:right w:val="none" w:sz="0" w:space="0" w:color="auto"/>
      </w:divBdr>
    </w:div>
    <w:div w:id="186983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utismusschweiz.ch" TargetMode="External"/><Relationship Id="rId18" Type="http://schemas.openxmlformats.org/officeDocument/2006/relationships/hyperlink" Target="http://www.plusport.ch/en" TargetMode="External"/><Relationship Id="rId26" Type="http://schemas.openxmlformats.org/officeDocument/2006/relationships/hyperlink" Target="https://www.snab.ch/snab" TargetMode="External"/><Relationship Id="rId39" Type="http://schemas.openxmlformats.org/officeDocument/2006/relationships/customXml" Target="../customXml/item4.xml"/><Relationship Id="rId21" Type="http://schemas.openxmlformats.org/officeDocument/2006/relationships/hyperlink" Target="http://www.proinfirmis.ch/de/home.html"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srim.ch/" TargetMode="External"/><Relationship Id="rId17" Type="http://schemas.openxmlformats.org/officeDocument/2006/relationships/hyperlink" Target="http://insieme.ch" TargetMode="External"/><Relationship Id="rId25" Type="http://schemas.openxmlformats.org/officeDocument/2006/relationships/hyperlink" Target="http://www.sgb-fss.ch" TargetMode="External"/><Relationship Id="rId33" Type="http://schemas.openxmlformats.org/officeDocument/2006/relationships/footer" Target="footer2.xml"/><Relationship Id="rId38"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hyperlink" Target="http://www.inclusione-andicap-ticino.ch/" TargetMode="External"/><Relationship Id="rId20" Type="http://schemas.openxmlformats.org/officeDocument/2006/relationships/hyperlink" Target="http://www.procap.ch/Home.20.0.html" TargetMode="External"/><Relationship Id="rId29" Type="http://schemas.openxmlformats.org/officeDocument/2006/relationships/hyperlink" Target="http://www.vereinigung-cerebral.ch/d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sbv-fsa.ch/de" TargetMode="External"/><Relationship Id="rId32" Type="http://schemas.openxmlformats.org/officeDocument/2006/relationships/footer" Target="footer1.xml"/><Relationship Id="rId37" Type="http://schemas.openxmlformats.org/officeDocument/2006/relationships/theme" Target="theme/theme1.xml"/><Relationship Id="rId40" Type="http://schemas.openxmlformats.org/officeDocument/2006/relationships/customXml" Target="../customXml/item5.xml"/><Relationship Id="rId5" Type="http://schemas.openxmlformats.org/officeDocument/2006/relationships/settings" Target="settings.xml"/><Relationship Id="rId15" Type="http://schemas.openxmlformats.org/officeDocument/2006/relationships/hyperlink" Target="http://www.geliko.ch/de/" TargetMode="External"/><Relationship Id="rId23" Type="http://schemas.openxmlformats.org/officeDocument/2006/relationships/hyperlink" Target="https://www.multiplesklerose.ch/de/" TargetMode="External"/><Relationship Id="rId28" Type="http://schemas.openxmlformats.org/officeDocument/2006/relationships/hyperlink" Target="https://www.verband-dyslexie.ch/" TargetMode="Externa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www.pro-audito.ch"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fragile.ch/en" TargetMode="External"/><Relationship Id="rId22" Type="http://schemas.openxmlformats.org/officeDocument/2006/relationships/hyperlink" Target="http://www.promentesana.ch" TargetMode="External"/><Relationship Id="rId27" Type="http://schemas.openxmlformats.org/officeDocument/2006/relationships/hyperlink" Target="http://www.spv.ch/en"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_rels/footnotes.xml.rels><?xml version="1.0" encoding="UTF-8" standalone="yes"?>
<Relationships xmlns="http://schemas.openxmlformats.org/package/2006/relationships"><Relationship Id="rId117" Type="http://schemas.openxmlformats.org/officeDocument/2006/relationships/hyperlink" Target="https://ch-sodk.s3.amazonaws.com/media/files/a32d4b1b/d32b/4cd1/a4fd/5f0e86635a57/2021.01.22_Vision_bbW_de.pdf" TargetMode="External"/><Relationship Id="rId21" Type="http://schemas.openxmlformats.org/officeDocument/2006/relationships/hyperlink" Target="https://bit.ly/33EJKPV" TargetMode="External"/><Relationship Id="rId42" Type="http://schemas.openxmlformats.org/officeDocument/2006/relationships/hyperlink" Target="https://bit.ly/3AnF24O" TargetMode="External"/><Relationship Id="rId63" Type="http://schemas.openxmlformats.org/officeDocument/2006/relationships/hyperlink" Target="https://bit.ly/3rV5KxU" TargetMode="External"/><Relationship Id="rId84" Type="http://schemas.openxmlformats.org/officeDocument/2006/relationships/hyperlink" Target="https://www.zora.uzh.ch/id/eprint/151067/1/FU_2018_SAEZ_05935.pdf" TargetMode="External"/><Relationship Id="rId138" Type="http://schemas.openxmlformats.org/officeDocument/2006/relationships/hyperlink" Target="https://www.szh.ch/themen-der-heil-und-sonderpaedagogik/recht-und-finanzierung/kantonale-konzepte" TargetMode="External"/><Relationship Id="rId159" Type="http://schemas.openxmlformats.org/officeDocument/2006/relationships/hyperlink" Target="https://goo.gl/IPaQCD" TargetMode="External"/><Relationship Id="rId170" Type="http://schemas.openxmlformats.org/officeDocument/2006/relationships/hyperlink" Target="https://www.edi.admin.ch/dam/edi/de/dokumente/gleichstellung/bericht/SPP_Egalit%C3%A9%20et%20travail_BFEH_DE.pdf.download.pdf/SPP_Egalit%C3%A9%20et%20travail_BFEH_DE.pdf" TargetMode="External"/><Relationship Id="rId191" Type="http://schemas.openxmlformats.org/officeDocument/2006/relationships/hyperlink" Target="https://www.bfs.admin.ch/bfsstatic/dam/assets/19644555/master" TargetMode="External"/><Relationship Id="rId205" Type="http://schemas.openxmlformats.org/officeDocument/2006/relationships/hyperlink" Target="https://bit.ly/3nOcOv5" TargetMode="External"/><Relationship Id="rId226" Type="http://schemas.openxmlformats.org/officeDocument/2006/relationships/hyperlink" Target="https://www.fedlex.admin.ch/eli/fga/2020/56/de" TargetMode="External"/><Relationship Id="rId107" Type="http://schemas.openxmlformats.org/officeDocument/2006/relationships/hyperlink" Target="https://www.edi.admin.ch/dam/edi/de/dokumente/gleichstellung/broschuere/gleichstellung_vonfrauenmitbehinderungen.pdf.download.pdf/gleichstellung_vonfrauenmitbehinderungen.pdf" TargetMode="External"/><Relationship Id="rId11" Type="http://schemas.openxmlformats.org/officeDocument/2006/relationships/hyperlink" Target="https://bit.ly/3IGao9M" TargetMode="External"/><Relationship Id="rId32" Type="http://schemas.openxmlformats.org/officeDocument/2006/relationships/hyperlink" Target="https://goo.gl/WROiZ8" TargetMode="External"/><Relationship Id="rId53" Type="http://schemas.openxmlformats.org/officeDocument/2006/relationships/hyperlink" Target="https://bit.ly/3tTlm7Q" TargetMode="External"/><Relationship Id="rId74" Type="http://schemas.openxmlformats.org/officeDocument/2006/relationships/hyperlink" Target="https://www.inclusion-handicap.ch/admin/data/files/asset/file_de/333/vla_bgg-revision_28022016.pdf?lm=1493573636" TargetMode="External"/><Relationship Id="rId128" Type="http://schemas.openxmlformats.org/officeDocument/2006/relationships/hyperlink" Target="https://www.edi.admin.ch/edi/de/home/fachstellen/ebgb/themen-der-gleichstellung/e-accessibility-.html" TargetMode="External"/><Relationship Id="rId149" Type="http://schemas.openxmlformats.org/officeDocument/2006/relationships/hyperlink" Target="https://www.sbfi.admin.ch/sbfi/de/home/bildung/berufsbildungssteuerung-und--politik/verbundpartnerschaft.html" TargetMode="External"/><Relationship Id="rId5" Type="http://schemas.openxmlformats.org/officeDocument/2006/relationships/hyperlink" Target="https://www.gesetzessammlung.bs.ch/app/de/texts_of_law/140.500" TargetMode="External"/><Relationship Id="rId95" Type="http://schemas.openxmlformats.org/officeDocument/2006/relationships/hyperlink" Target="https://www.google.com/url?sa=t&amp;rct=j&amp;q=&amp;esrc=s&amp;source=web&amp;cd=&amp;ved=2ahUKEwi0rYW7wtb1AhXJif0HHeq0BmoQFnoECA4QAQ&amp;url=https%3A%2F%2Fwww.nkvf.admin.ch%2Fdam%2Fnkvf%2Fde%2Fdata%2FBerichte%2Ftaetigkeitsberichte%2Ftaetigkeitsbericht-2020-d.pdf.download.pdf%2Ftaetigkeitsbericht-2020-d.pdf&amp;usg=AOvVaw2OaeRnUmuAHyW-LCMZiP9M" TargetMode="External"/><Relationship Id="rId160" Type="http://schemas.openxmlformats.org/officeDocument/2006/relationships/hyperlink" Target="https://www.plattform-palliativecare.ch/blog/postulatsbericht-zu-palliative-care-stand-der-arbeiten" TargetMode="External"/><Relationship Id="rId181" Type="http://schemas.openxmlformats.org/officeDocument/2006/relationships/hyperlink" Target="https://www.compasso.ch/fileadmin/user_upload/systempartner/schnittstellen_arbeitnehmende/bestandsaufnahme_ersteingliederung_jung_und_beeintraechtigt.pdf" TargetMode="External"/><Relationship Id="rId216" Type="http://schemas.openxmlformats.org/officeDocument/2006/relationships/hyperlink" Target="https://www.bfs.admin.ch/bfsstatic/dam/assets/11387131/master" TargetMode="External"/><Relationship Id="rId22" Type="http://schemas.openxmlformats.org/officeDocument/2006/relationships/hyperlink" Target="https://www.parlament.ch/de/ratsbetrieb/suche-curia-vista/geschaeft?AffairId=20194424" TargetMode="External"/><Relationship Id="rId27" Type="http://schemas.openxmlformats.org/officeDocument/2006/relationships/hyperlink" Target="https://bit.ly/33YDp1C" TargetMode="External"/><Relationship Id="rId43" Type="http://schemas.openxmlformats.org/officeDocument/2006/relationships/hyperlink" Target="https://bit.ly/3KBV6oz" TargetMode="External"/><Relationship Id="rId48" Type="http://schemas.openxmlformats.org/officeDocument/2006/relationships/hyperlink" Target="https://www.bvger.ch/bvger/en/home/judgments/entscheiddatenbank-bvger.html" TargetMode="External"/><Relationship Id="rId64" Type="http://schemas.openxmlformats.org/officeDocument/2006/relationships/hyperlink" Target="https://bit.ly/3IEoFDV" TargetMode="External"/><Relationship Id="rId69" Type="http://schemas.openxmlformats.org/officeDocument/2006/relationships/hyperlink" Target="https://www.unhcr.org/dach/wp-content/uploads/sites/27/2020/08/Besondere-Beduerfnisse-im-Asylverfahren.pdf" TargetMode="External"/><Relationship Id="rId113" Type="http://schemas.openxmlformats.org/officeDocument/2006/relationships/hyperlink" Target="https://www.parlament.ch/de/ratsbetrieb/suche-curia-vista/geschaeft?AffairId=20204386" TargetMode="External"/><Relationship Id="rId118" Type="http://schemas.openxmlformats.org/officeDocument/2006/relationships/hyperlink" Target="https://www.aktionsplan-un-brk.ch/" TargetMode="External"/><Relationship Id="rId134" Type="http://schemas.openxmlformats.org/officeDocument/2006/relationships/hyperlink" Target="https://www.airamour.ch/" TargetMode="External"/><Relationship Id="rId139" Type="http://schemas.openxmlformats.org/officeDocument/2006/relationships/hyperlink" Target="https://www.bger.ch/ext/eurospider/live/de/php/aza/http/index.php?highlight_docid=aza%3A%2F%2F23-05-2017-2C_154-2017&amp;lang=de&amp;type=show_document&amp;zoom=YES&amp;" TargetMode="External"/><Relationship Id="rId80" Type="http://schemas.openxmlformats.org/officeDocument/2006/relationships/hyperlink" Target="https://www.tagesanzeiger.ch/sonntagszeitung/aerzte-sperren-14000-psychisch-kranke-weg/story/25335609" TargetMode="External"/><Relationship Id="rId85" Type="http://schemas.openxmlformats.org/officeDocument/2006/relationships/hyperlink" Target="https://www.seval.ch/app/uploads/2020/07/Projektausschreibung-Evaluation-der-Bestimmungen-zur-f%C3%BCrsorgerischen-Unterbringung-FU-Art.-426-ff.-ZGB.pdf" TargetMode="External"/><Relationship Id="rId150" Type="http://schemas.openxmlformats.org/officeDocument/2006/relationships/hyperlink" Target="https://berufsbildung2030.ch/images/_pdf_de_en/20201109_D_Umsetzungskonzept.pdf" TargetMode="External"/><Relationship Id="rId155" Type="http://schemas.openxmlformats.org/officeDocument/2006/relationships/hyperlink" Target="https://www.sgb-fss.ch/product/magazin-ausgabe-gesundheit-1-2020/" TargetMode="External"/><Relationship Id="rId171" Type="http://schemas.openxmlformats.org/officeDocument/2006/relationships/hyperlink" Target="https://www.marchecomplementaire.ch/wp-content/uploads/2019/10/Atelier_Handicap_Rapport-long-.pdf" TargetMode="External"/><Relationship Id="rId176" Type="http://schemas.openxmlformats.org/officeDocument/2006/relationships/hyperlink" Target="https://www.plandaction-cdph.ch/de/aktionsplan-un-brk-11.html" TargetMode="External"/><Relationship Id="rId192" Type="http://schemas.openxmlformats.org/officeDocument/2006/relationships/hyperlink" Target="https://www.ebg.admin.ch/dam/ebg/de/dokumente/recht/aktionsplan_schweiz_1999.pdf.download.pdf/Aktionsplan%20der%20Schweiz.pdf" TargetMode="External"/><Relationship Id="rId197" Type="http://schemas.openxmlformats.org/officeDocument/2006/relationships/hyperlink" Target="https://bit.ly/3rCpw1h" TargetMode="External"/><Relationship Id="rId206" Type="http://schemas.openxmlformats.org/officeDocument/2006/relationships/hyperlink" Target="https://www.bk.admin.ch/bk/en/home/politische-rechte/e-voting.html" TargetMode="External"/><Relationship Id="rId227" Type="http://schemas.openxmlformats.org/officeDocument/2006/relationships/hyperlink" Target="https://www.parlament.ch/de/ratsbetrieb/suche-curia-vista/geschaeft?AffairId=20190073" TargetMode="External"/><Relationship Id="rId201" Type="http://schemas.openxmlformats.org/officeDocument/2006/relationships/hyperlink" Target="https://bit.ly/3AlMiOJ" TargetMode="External"/><Relationship Id="rId222" Type="http://schemas.openxmlformats.org/officeDocument/2006/relationships/hyperlink" Target="https://www.entwicklung.bs.ch/ueber-uns/organisation-fachstellen/fachstelle-behindertenrechte.html" TargetMode="External"/><Relationship Id="rId12" Type="http://schemas.openxmlformats.org/officeDocument/2006/relationships/hyperlink" Target="https://bit.ly/3AlLBFd" TargetMode="External"/><Relationship Id="rId17" Type="http://schemas.openxmlformats.org/officeDocument/2006/relationships/hyperlink" Target="https://bit.ly/3qQA6Tb" TargetMode="External"/><Relationship Id="rId33" Type="http://schemas.openxmlformats.org/officeDocument/2006/relationships/hyperlink" Target="https://www.admin.ch/gov/en/start/documentation/media-releases.msg-id-83294.html" TargetMode="External"/><Relationship Id="rId38" Type="http://schemas.openxmlformats.org/officeDocument/2006/relationships/hyperlink" Target="https://www.skmr.ch/cms/upload/pdf/2020/200902_Umsetzung_Art_12_KRK.pdf" TargetMode="External"/><Relationship Id="rId59" Type="http://schemas.openxmlformats.org/officeDocument/2006/relationships/hyperlink" Target="https://www.parlament.ch/de/ratsbetrieb/suche-curia-vista/geschaeft?AffairId=20214152" TargetMode="External"/><Relationship Id="rId103" Type="http://schemas.openxmlformats.org/officeDocument/2006/relationships/hyperlink" Target="https://www.researchgate.net/profile/Susanna-Nie-haus/publication/274510487_Zur_Situation_geistig_behinderter_Opfer_sexueller_Gewalt_im_Strafverfahren_Unwissen_erschwert_die_juristische_Arbeit/links/5d5be7e2a6fdcc55e819c59c/Zur-Situation-geistig-behinderter-Opfer-sexueller-Gewalt-im-Strafverfahren-Unwissen-erschwert-die-juristische-Arbeit.pdf" TargetMode="External"/><Relationship Id="rId108" Type="http://schemas.openxmlformats.org/officeDocument/2006/relationships/hyperlink" Target="https://www.edi.admin.ch/dam/edi/de/dokumente/gleichstellung/broschuere/gleichstellung_vonfrauenmitbehinderungen.pdf.download.pdf/gleichstellung_vonfrauenmitbehinderungen.pdf" TargetMode="External"/><Relationship Id="rId124" Type="http://schemas.openxmlformats.org/officeDocument/2006/relationships/hyperlink" Target="https://www.comparis.ch/-/media/files/mediencorner/medienmitteilungen/2017/immobilien/behindertengerechtes-wohnen/mm-rollstuhlgaengige-wohnungen-comparis.pdf" TargetMode="External"/><Relationship Id="rId129" Type="http://schemas.openxmlformats.org/officeDocument/2006/relationships/hyperlink" Target="https://www.ech.ch/de/dokument/0cc5c3bb-4d7f-45d7-af4a-1340e50ce540" TargetMode="External"/><Relationship Id="rId54" Type="http://schemas.openxmlformats.org/officeDocument/2006/relationships/hyperlink" Target="https://bit.ly/33V2wlZ" TargetMode="External"/><Relationship Id="rId70" Type="http://schemas.openxmlformats.org/officeDocument/2006/relationships/hyperlink" Target="https://bit.ly/3rV5KxU" TargetMode="External"/><Relationship Id="rId75" Type="http://schemas.openxmlformats.org/officeDocument/2006/relationships/hyperlink" Target="https://bit.ly/3Ailwa6" TargetMode="External"/><Relationship Id="rId91" Type="http://schemas.openxmlformats.org/officeDocument/2006/relationships/hyperlink" Target="https://www.nkvf.admin.ch/dam/nkvf/de/data/Berichte/taetigkeitsberichte/2016/taetigkeitsbericht-2016-d.pdf.download.pdf/taetigkeitsbericht-2016-d.pdf" TargetMode="External"/><Relationship Id="rId96" Type="http://schemas.openxmlformats.org/officeDocument/2006/relationships/hyperlink" Target="https://www.bag.admin.ch/dam/bag/de/dokumente/biomed/forschung-am-menschen/evaluationhfg/evaluation-hfg-bericht-bag.pdf.download.pdf/Bericht_des_BAG_Ergebnisse_und_Empfehlungen_EvalHFG_d.pdf" TargetMode="External"/><Relationship Id="rId140" Type="http://schemas.openxmlformats.org/officeDocument/2006/relationships/hyperlink" Target="https://www.bger.ch/ext/eurospider/live/de/php/aza/http/index.php?highlight_docid=aza%3A%2F%2F23-05-2017-2C_154-2017&amp;lang=de&amp;type=show_document&amp;zoom=YES&amp;" TargetMode="External"/><Relationship Id="rId145" Type="http://schemas.openxmlformats.org/officeDocument/2006/relationships/hyperlink" Target="http://www.bfs.admin.ch/bfsstatic/dam/assets/10227899/master" TargetMode="External"/><Relationship Id="rId161" Type="http://schemas.openxmlformats.org/officeDocument/2006/relationships/hyperlink" Target="https://www.tagesanzeiger.ch/verzweifelte-familien-denen-man-nicht-helfen-kann-852153245258" TargetMode="External"/><Relationship Id="rId166" Type="http://schemas.openxmlformats.org/officeDocument/2006/relationships/hyperlink" Target="https://www.bag.admin.ch/dam/bag/de/dokumente/nat-gesundheitspolitik/koordinierte_versorgung/kov-patientengruppe-psych-somat-bericht-modelle.pdf.download.pdf/181018_BAG_akutpsy_Schlussbericht_definitiv.pdf" TargetMode="External"/><Relationship Id="rId182" Type="http://schemas.openxmlformats.org/officeDocument/2006/relationships/hyperlink" Target="https://www.epa.admin.ch/dam/epa/de/dokumente/themen/personalpolitik/21020_reporting_personalmanagement.pdf.download.pdf/21020_reporting_personalmanagement_2020_d.pdf" TargetMode="External"/><Relationship Id="rId187" Type="http://schemas.openxmlformats.org/officeDocument/2006/relationships/hyperlink" Target="https://www.bfs.admin.ch/bfsstatic/dam/assets/1646354/master" TargetMode="External"/><Relationship Id="rId217" Type="http://schemas.openxmlformats.org/officeDocument/2006/relationships/hyperlink" Target="https://www.bfs.admin.ch/bfsstatic/dam/assets/19644562/master" TargetMode="External"/><Relationship Id="rId1" Type="http://schemas.openxmlformats.org/officeDocument/2006/relationships/hyperlink" Target="https://www.fedlex.admin.ch/eli/fga/2013/126/de" TargetMode="External"/><Relationship Id="rId6" Type="http://schemas.openxmlformats.org/officeDocument/2006/relationships/hyperlink" Target="https://www.grosserrat.bs.ch/dokumente/100389/000000389029.pdf" TargetMode="External"/><Relationship Id="rId212" Type="http://schemas.openxmlformats.org/officeDocument/2006/relationships/hyperlink" Target="https://www.zhaw.ch/en/sml/institutes-centres/zsr/" TargetMode="External"/><Relationship Id="rId23" Type="http://schemas.openxmlformats.org/officeDocument/2006/relationships/hyperlink" Target="https://bit.ly/3FN2Q3q" TargetMode="External"/><Relationship Id="rId28" Type="http://schemas.openxmlformats.org/officeDocument/2006/relationships/hyperlink" Target="https://bit.ly/3fIZa8j" TargetMode="External"/><Relationship Id="rId49" Type="http://schemas.openxmlformats.org/officeDocument/2006/relationships/hyperlink" Target="https://bit.ly/3g6jGzX" TargetMode="External"/><Relationship Id="rId114" Type="http://schemas.openxmlformats.org/officeDocument/2006/relationships/hyperlink" Target="https://istanbulkonvention.ch/assets/images/elements/Alternativbericht_Netzwerk_Istanbul_Konvention_Schweiz.pdf" TargetMode="External"/><Relationship Id="rId119" Type="http://schemas.openxmlformats.org/officeDocument/2006/relationships/hyperlink" Target="https://www.inclusion-handicap.ch/admin/data/files/asset/file_de/540/handicap-und-recht_08_2019_12072019.pdf?lm=1572883100" TargetMode="External"/><Relationship Id="rId44" Type="http://schemas.openxmlformats.org/officeDocument/2006/relationships/hyperlink" Target="https://bit.ly/3GONU65" TargetMode="External"/><Relationship Id="rId60" Type="http://schemas.openxmlformats.org/officeDocument/2006/relationships/hyperlink" Target="https://www.babs.admin.ch/de/publikservice/information/mitteilungen.detail.news.html/babs-internet/2016/20160629a.html" TargetMode="External"/><Relationship Id="rId65" Type="http://schemas.openxmlformats.org/officeDocument/2006/relationships/hyperlink" Target="https://bit.ly/3o3vC9N" TargetMode="External"/><Relationship Id="rId81" Type="http://schemas.openxmlformats.org/officeDocument/2006/relationships/hyperlink" Target="https://www.nzz.ch/zuerich/die-zwangseinweisung-in-die-psychiatrie-ist-keine-disziplinarische-massnahme-ld.1392512" TargetMode="External"/><Relationship Id="rId86" Type="http://schemas.openxmlformats.org/officeDocument/2006/relationships/hyperlink" Target="https://www.skmr.ch/de/themenbereiche/justiz/artikel/fuersorgerische-unterbringung.html" TargetMode="External"/><Relationship Id="rId130" Type="http://schemas.openxmlformats.org/officeDocument/2006/relationships/hyperlink" Target="https://bit.ly/32jfWHO" TargetMode="External"/><Relationship Id="rId135" Type="http://schemas.openxmlformats.org/officeDocument/2006/relationships/hyperlink" Target="https://insieme.ch/unsere-aktivitaeten/psychologische-fachstelle/" TargetMode="External"/><Relationship Id="rId151" Type="http://schemas.openxmlformats.org/officeDocument/2006/relationships/hyperlink" Target="https://edudoc.ch/record/216981/files/empf_nachteilsausgleich_d.pdf" TargetMode="External"/><Relationship Id="rId156" Type="http://schemas.openxmlformats.org/officeDocument/2006/relationships/hyperlink" Target="https://www.obsan.admin.ch/de/publikationen/psychische-gesundheit-der-schweiz-3" TargetMode="External"/><Relationship Id="rId177" Type="http://schemas.openxmlformats.org/officeDocument/2006/relationships/hyperlink" Target="https://www.sg.ch/gesundheit-soziales/soziales/behinderung/behindertenpolitik/_jcr_content/Par/sgch_downloadlist/DownloadListPar/sgch_download.ocFile/Wirkungsbericht%20Behindertenpolitik.pdf" TargetMode="External"/><Relationship Id="rId198" Type="http://schemas.openxmlformats.org/officeDocument/2006/relationships/hyperlink" Target="https://bit.ly/3IqW3xS" TargetMode="External"/><Relationship Id="rId172" Type="http://schemas.openxmlformats.org/officeDocument/2006/relationships/hyperlink" Target="https://www.bfs.admin.ch/bfsstatic/dam/assets/19644549/master" TargetMode="External"/><Relationship Id="rId193" Type="http://schemas.openxmlformats.org/officeDocument/2006/relationships/hyperlink" Target="https://www.mein-beruf.ch" TargetMode="External"/><Relationship Id="rId202" Type="http://schemas.openxmlformats.org/officeDocument/2006/relationships/hyperlink" Target="https://bit.ly/3FO6lqe" TargetMode="External"/><Relationship Id="rId207" Type="http://schemas.openxmlformats.org/officeDocument/2006/relationships/hyperlink" Target="https://www.fedlex.admin.ch/de/consultation-procedures/ended/2021" TargetMode="External"/><Relationship Id="rId223" Type="http://schemas.openxmlformats.org/officeDocument/2006/relationships/hyperlink" Target="https://www.zh.ch/de/soziales/leben-mit-behinderung.html" TargetMode="External"/><Relationship Id="rId228" Type="http://schemas.openxmlformats.org/officeDocument/2006/relationships/hyperlink" Target="https://tbinternet.ohchr.org/Treaties/CERD/Shared%20Documents/CHE/CERD_C_CHE_CO_10-12_47278_F.pdf" TargetMode="External"/><Relationship Id="rId13" Type="http://schemas.openxmlformats.org/officeDocument/2006/relationships/hyperlink" Target="https://bit.ly/34Zbgb1" TargetMode="External"/><Relationship Id="rId18" Type="http://schemas.openxmlformats.org/officeDocument/2006/relationships/hyperlink" Target="https://bit.ly/3GQ2rP3" TargetMode="External"/><Relationship Id="rId39" Type="http://schemas.openxmlformats.org/officeDocument/2006/relationships/hyperlink" Target="https://bit.ly/3IEesaB" TargetMode="External"/><Relationship Id="rId109" Type="http://schemas.openxmlformats.org/officeDocument/2006/relationships/hyperlink" Target="https://www.ejpd.admin.ch/dam/bj/de/data/gesellschaft/haeusliche-gewalt/strategischer-dialog/raodmap-bund-kantone.pdf.download.pdf/raodmap-bund-kantone-d.pdf" TargetMode="External"/><Relationship Id="rId34" Type="http://schemas.openxmlformats.org/officeDocument/2006/relationships/hyperlink" Target="https://www.google.com/url?sa=t&amp;rct=j&amp;q=&amp;esrc=s&amp;source=web&amp;cd=&amp;cad=rja&amp;uact=8&amp;ved=2ahUKEwiwybmpqfz1AhUigv0HHdk9BPEQFnoECA0QAQ&amp;url=https%3A%2F%2Fwww.postbeijing.ch%2Fcms%2Fupload%2Fpdf%2FCEDAW_Schattenbericht_20210614_final.pdf&amp;usg=AOvVaw2VWeUXPZTjhCiLxVznLjYU" TargetMode="External"/><Relationship Id="rId50" Type="http://schemas.openxmlformats.org/officeDocument/2006/relationships/hyperlink" Target="https://bit.ly/3g1jEJD" TargetMode="External"/><Relationship Id="rId55" Type="http://schemas.openxmlformats.org/officeDocument/2006/relationships/hyperlink" Target="https://bit.ly/3qThoKD" TargetMode="External"/><Relationship Id="rId76" Type="http://schemas.openxmlformats.org/officeDocument/2006/relationships/hyperlink" Target="https://bit.ly/3GSLrra" TargetMode="External"/><Relationship Id="rId97" Type="http://schemas.openxmlformats.org/officeDocument/2006/relationships/hyperlink" Target="https://istanbulkonvention.ch/assets/images/elements/Alternativbericht_Netzwerk_Istanbul_Konvention_Schweiz.pdf" TargetMode="External"/><Relationship Id="rId104" Type="http://schemas.openxmlformats.org/officeDocument/2006/relationships/hyperlink" Target="https://www.parlament.ch/de/ratsbetrieb/suche-curia-vista/geschaeft?AffairId=20204451" TargetMode="External"/><Relationship Id="rId120" Type="http://schemas.openxmlformats.org/officeDocument/2006/relationships/hyperlink" Target="https://www.bsv.admin.ch/bsv/de/home/publikationen-und-service/forschung/forschungspublikationen.exturl.html?lang=de&amp;lnr=16/20" TargetMode="External"/><Relationship Id="rId125" Type="http://schemas.openxmlformats.org/officeDocument/2006/relationships/hyperlink" Target="https://www.bfs.admin.ch/bfs/en/home/statistics/economic-social-situation-population/equality-people-disabilities/disabilities.html" TargetMode="External"/><Relationship Id="rId141" Type="http://schemas.openxmlformats.org/officeDocument/2006/relationships/hyperlink" Target="https://www.integras.ch/images/_pdf/servicemenu/tagungen/sonderpaedagogik/Referate_Sonderpaedagogik_2019/A5_Integras_Standards_inklusiveSchule_D_Web.pdf" TargetMode="External"/><Relationship Id="rId146" Type="http://schemas.openxmlformats.org/officeDocument/2006/relationships/hyperlink" Target="https://edudoc.ch/record/130124" TargetMode="External"/><Relationship Id="rId167" Type="http://schemas.openxmlformats.org/officeDocument/2006/relationships/hyperlink" Target="https://www.pdag.ch/kliniken/klinik-fuer-konsiliar-alters-und-neuropsychiatrie/zentrum-fuer-neuropsychiatrie-intellektuelle-entwicklungsstoerungen-znp/" TargetMode="External"/><Relationship Id="rId188" Type="http://schemas.openxmlformats.org/officeDocument/2006/relationships/hyperlink" Target="https://www.bfs.admin.ch/bfsstatic/dam/assets/19644549/master" TargetMode="External"/><Relationship Id="rId7" Type="http://schemas.openxmlformats.org/officeDocument/2006/relationships/hyperlink" Target="https://bit.ly/3Kw7XZq" TargetMode="External"/><Relationship Id="rId71" Type="http://schemas.openxmlformats.org/officeDocument/2006/relationships/hyperlink" Target="https://bit.ly/3IG1l99" TargetMode="External"/><Relationship Id="rId92" Type="http://schemas.openxmlformats.org/officeDocument/2006/relationships/hyperlink" Target="https://www.nkvf.admin.ch/dam/nkvf/de/data/Berichte/taetigkeitsberichte/2018/taetigkeitsbericht-2018-d.pdf.download.pdf/taetigkeitsbericht-2018-d.pdf" TargetMode="External"/><Relationship Id="rId162" Type="http://schemas.openxmlformats.org/officeDocument/2006/relationships/hyperlink" Target="https://www.bag.admin.ch/dam/bag/de/dokumente/psychische-gesundheit/covid-19/covid-19-psychische-gesundheit-schlussbericht.pdf.download.pdf/covid-19-psychische-gesundheit-schlussbericht.pdf" TargetMode="External"/><Relationship Id="rId183" Type="http://schemas.openxmlformats.org/officeDocument/2006/relationships/hyperlink" Target="https://www.parlament.ch/de/ratsbetrieb/suche-curia-vista/geschaeft?AffairId=20182004" TargetMode="External"/><Relationship Id="rId213" Type="http://schemas.openxmlformats.org/officeDocument/2006/relationships/hyperlink" Target="https://bit.ly/3FSWOy6" TargetMode="External"/><Relationship Id="rId218" Type="http://schemas.openxmlformats.org/officeDocument/2006/relationships/hyperlink" Target="https://www.edi.admin.ch/edi/de/home/fachstellen/ebgb/themen-der-gleichstellung/selbstbestimmtes-leben/themenschwerpunkt--selbstbestimmtes-leben-.html" TargetMode="External"/><Relationship Id="rId2" Type="http://schemas.openxmlformats.org/officeDocument/2006/relationships/hyperlink" Target="https://www.edi.admin.ch/dam/edi/de/dokumente/gleichstellung/bericht/Initialstaatenbericht%20BRK.pdf.download.pdf/Initialstaatenbericht_BRK_v1.0.pdf" TargetMode="External"/><Relationship Id="rId29" Type="http://schemas.openxmlformats.org/officeDocument/2006/relationships/hyperlink" Target="https://bit.ly/3rEyATi" TargetMode="External"/><Relationship Id="rId24" Type="http://schemas.openxmlformats.org/officeDocument/2006/relationships/hyperlink" Target="https://www.samw.ch/en.html" TargetMode="External"/><Relationship Id="rId40" Type="http://schemas.openxmlformats.org/officeDocument/2006/relationships/hyperlink" Target="https://3b62ac0e-0297-4a41-a9db-7f9e2910c308.usrfiles.com/ugd/3b62ac_ef3024e61cd64d5692694fd37d9fde9a.pdf" TargetMode="External"/><Relationship Id="rId45" Type="http://schemas.openxmlformats.org/officeDocument/2006/relationships/hyperlink" Target="https://goo.gl/rH5ISX" TargetMode="External"/><Relationship Id="rId66" Type="http://schemas.openxmlformats.org/officeDocument/2006/relationships/hyperlink" Target="https://www.woz.ch/-a652" TargetMode="External"/><Relationship Id="rId87" Type="http://schemas.openxmlformats.org/officeDocument/2006/relationships/hyperlink" Target="https://ind.obsan.admin.ch/de/indicator/obsan/fuersorgerische-unterbringung-in-schweizer-psychiatrien" TargetMode="External"/><Relationship Id="rId110" Type="http://schemas.openxmlformats.org/officeDocument/2006/relationships/hyperlink" Target="https://www.parlament.ch/de/ratsbetrieb/suche-curia-vista/geschaeft?AffairId=20204386" TargetMode="External"/><Relationship Id="rId115" Type="http://schemas.openxmlformats.org/officeDocument/2006/relationships/hyperlink" Target="https://ch-sodk.s3.amazonaws.com/media/files/2018.06.22_Programm_Selbstbestimmtes_Leben.pdf" TargetMode="External"/><Relationship Id="rId131" Type="http://schemas.openxmlformats.org/officeDocument/2006/relationships/hyperlink" Target="https://www.inclusion-handicap.ch/admin/data/files/asset/file_de/437/handicap-und-recht_11_2017.pdf?lm=1572882465" TargetMode="External"/><Relationship Id="rId136" Type="http://schemas.openxmlformats.org/officeDocument/2006/relationships/hyperlink" Target="https://behindertenrecht.ius.unibas.ch/?page_id=1960" TargetMode="External"/><Relationship Id="rId157" Type="http://schemas.openxmlformats.org/officeDocument/2006/relationships/hyperlink" Target="https://www.bag.admin.ch/dam/bag/de/dokumente/nat-gesundheitsstrategien/gesundheit-2030/strategie-gesundheit2030.pdf.download.pdf/strategie-gesundheit-2030.pdf" TargetMode="External"/><Relationship Id="rId178" Type="http://schemas.openxmlformats.org/officeDocument/2006/relationships/hyperlink" Target="https://www.bkz.ch/fileadmin/bkz.ch/public/UNO-BRK/BRK_Studie_ZH_Schlussbericht.pdf" TargetMode="External"/><Relationship Id="rId61" Type="http://schemas.openxmlformats.org/officeDocument/2006/relationships/hyperlink" Target="https://www.parlament.ch/de/ratsbetrieb/suche-curia-vista/geschaeft?AffairId=20213065" TargetMode="External"/><Relationship Id="rId82" Type="http://schemas.openxmlformats.org/officeDocument/2006/relationships/hyperlink" Target="https://www.nzz.ch/zuerich/fu-in-der-psychiatrie-in-zuerich-mit-handschellen-in-die-klinik-ld.1607531" TargetMode="External"/><Relationship Id="rId152" Type="http://schemas.openxmlformats.org/officeDocument/2006/relationships/hyperlink" Target="https://www.bfs.admin.ch/bfs/de/home/statistiken/wirtschaftliche-soziale-situation-bevoelkerung/gleichstellung-menschen-behinderungen/bildung.html" TargetMode="External"/><Relationship Id="rId173" Type="http://schemas.openxmlformats.org/officeDocument/2006/relationships/hyperlink" Target="https://www.hfh.ch/sites/default/files/documents/8_15d_ebericht.pdf" TargetMode="External"/><Relationship Id="rId194" Type="http://schemas.openxmlformats.org/officeDocument/2006/relationships/hyperlink" Target="https://bit.ly/3tO9kfY" TargetMode="External"/><Relationship Id="rId199" Type="http://schemas.openxmlformats.org/officeDocument/2006/relationships/hyperlink" Target="https://www.grosserrat.bs.ch/dokumente/100394/000000394677.pdf" TargetMode="External"/><Relationship Id="rId203" Type="http://schemas.openxmlformats.org/officeDocument/2006/relationships/hyperlink" Target="https://bit.ly/3tQZDgL" TargetMode="External"/><Relationship Id="rId208" Type="http://schemas.openxmlformats.org/officeDocument/2006/relationships/hyperlink" Target="https://www.inclusion-handicap.ch/de/medien/medienmitteilungen/2021/e-voting-eine-notwendigkeit-zur-ueberwindung-gewisser-huerden-611.html" TargetMode="External"/><Relationship Id="rId229" Type="http://schemas.openxmlformats.org/officeDocument/2006/relationships/hyperlink" Target="https://www.netzwerk-kinderrechte.ch/resources/CRC_C_CHE_CO_5-6_46870_E.pdf" TargetMode="External"/><Relationship Id="rId19" Type="http://schemas.openxmlformats.org/officeDocument/2006/relationships/hyperlink" Target="https://www.sg.ch/news/sgch_allgemein/2022/01/kantonales-behindertengesetz-wird-ueberarbeitet.html" TargetMode="External"/><Relationship Id="rId224" Type="http://schemas.openxmlformats.org/officeDocument/2006/relationships/hyperlink" Target="https://www.bern.ch/politik-und-verwaltung/stadtverwaltung/bss/alters-und-versicherungsamt/fachstelle-gleichstellung-von-menschen-mit" TargetMode="External"/><Relationship Id="rId14" Type="http://schemas.openxmlformats.org/officeDocument/2006/relationships/hyperlink" Target="https://bit.ly/33SB1cz" TargetMode="External"/><Relationship Id="rId30" Type="http://schemas.openxmlformats.org/officeDocument/2006/relationships/hyperlink" Target="https://bit.ly/3FNTwfB" TargetMode="External"/><Relationship Id="rId35" Type="http://schemas.openxmlformats.org/officeDocument/2006/relationships/hyperlink" Target="https://istanbulkonvention.ch/assets/images/elements/Alternativbericht_Netzwerk_Istanbul_Konvention_Schweiz.pdf" TargetMode="External"/><Relationship Id="rId56" Type="http://schemas.openxmlformats.org/officeDocument/2006/relationships/hyperlink" Target="https://bit.ly/33Jjdku" TargetMode="External"/><Relationship Id="rId77" Type="http://schemas.openxmlformats.org/officeDocument/2006/relationships/hyperlink" Target="https://www.inclusion-handicap.ch/admin/data/files/asset/file_de/411/vla_atsg-revision_22052017.pdf?lm=1495628501" TargetMode="External"/><Relationship Id="rId100" Type="http://schemas.openxmlformats.org/officeDocument/2006/relationships/hyperlink" Target="https://www.edi.admin.ch/dam/edi/de/dokumente/gleichstellung/broschuere/gleichstellung_vonfrauenmitbehinderungen.pdf.download.pdf/gleichstellung_vonfrauenmitbehinderungen.pdf" TargetMode="External"/><Relationship Id="rId105" Type="http://schemas.openxmlformats.org/officeDocument/2006/relationships/hyperlink" Target="https://www.parlament.ch/de/ratsbetrieb/suche-curia-vista/geschaeft?AffairId=20204452" TargetMode="External"/><Relationship Id="rId126" Type="http://schemas.openxmlformats.org/officeDocument/2006/relationships/hyperlink" Target="https://www.bfs.admin.ch/bfs/de/home/statistiken/wirtschaftliche-soziale-situation-bevoelkerung.assetdetail.11027355.html" TargetMode="External"/><Relationship Id="rId147" Type="http://schemas.openxmlformats.org/officeDocument/2006/relationships/hyperlink" Target="file://\\x112202601\ih$\08_L_Politik_Themen\02_UNOBRK\05_Schattenberichte\01_Schattenberichte_CH\5_Update%20erster%20Schattenbericht\MASTERDOKUMENT\Englisch\Formatiert\NZZ,%20Hochschulen%20m&#252;ssen%20Studienanw&#228;rter%20abweisen%20%5bUniversities%20must%20turn%20away%20prospective%20students%5d,%2017.4.2017" TargetMode="External"/><Relationship Id="rId168" Type="http://schemas.openxmlformats.org/officeDocument/2006/relationships/hyperlink" Target="https://www.unisante.ch/fr/formation-recherche/recherche/projets-etudes/projet-surdite-malentendance" TargetMode="External"/><Relationship Id="rId8" Type="http://schemas.openxmlformats.org/officeDocument/2006/relationships/hyperlink" Target="https://bit.ly/32jdq4k" TargetMode="External"/><Relationship Id="rId51" Type="http://schemas.openxmlformats.org/officeDocument/2006/relationships/hyperlink" Target="https://bit.ly/3qPUlA4" TargetMode="External"/><Relationship Id="rId72" Type="http://schemas.openxmlformats.org/officeDocument/2006/relationships/hyperlink" Target="https://bit.ly/3IqW3xS" TargetMode="External"/><Relationship Id="rId93" Type="http://schemas.openxmlformats.org/officeDocument/2006/relationships/hyperlink" Target="https://www.nkvf.admin.ch/dam/nkvf/de/data/Berichte/taetigkeitsberichte/2018/taetigkeitsbericht-2018-d.pdf.download.pdf/taetigkeitsbericht-2018-d.pdf" TargetMode="External"/><Relationship Id="rId98" Type="http://schemas.openxmlformats.org/officeDocument/2006/relationships/hyperlink" Target="https://www.parlament.ch/de/ratsbetrieb/suche-curia-vista/geschaeft?AffairId=20203886" TargetMode="External"/><Relationship Id="rId121" Type="http://schemas.openxmlformats.org/officeDocument/2006/relationships/hyperlink" Target="https://www.parlament.ch/de/ratsbetrieb/suche-curia-vista/geschaeft?AffairId=20120409" TargetMode="External"/><Relationship Id="rId142" Type="http://schemas.openxmlformats.org/officeDocument/2006/relationships/hyperlink" Target="file://\\x112202601\ih$\08_L_Politik_Themen\02_UNOBRK\05_Schattenberichte\01_Schattenberichte_CH\5_Update%20erster%20Schattenbericht\MASTERDOKUMENT\Englisch\Formatiert\Press%20release%20Freiwillige%20Schulsynode%20Basel-Stadt%20(FSS),%20Berufsverband%20der%20Basler%20Lehr-,%20Fach-%20und%20Leitungspersonen%20FSS%20unterst&#252;tzt" TargetMode="External"/><Relationship Id="rId163" Type="http://schemas.openxmlformats.org/officeDocument/2006/relationships/hyperlink" Target="https://osf.io/x6zu7/" TargetMode="External"/><Relationship Id="rId184" Type="http://schemas.openxmlformats.org/officeDocument/2006/relationships/hyperlink" Target="https://www.sgb-fss.ch/wp-content/uploads/2022/01/Diskriminierungsbericht-2021-d-0015499.pdf" TargetMode="External"/><Relationship Id="rId189" Type="http://schemas.openxmlformats.org/officeDocument/2006/relationships/hyperlink" Target="https://www.bfs.admin.ch/bfsstatic/dam/assets/1646354/master" TargetMode="External"/><Relationship Id="rId219" Type="http://schemas.openxmlformats.org/officeDocument/2006/relationships/hyperlink" Target="https://behindertenrecht.ius.unibas.ch/" TargetMode="External"/><Relationship Id="rId3" Type="http://schemas.openxmlformats.org/officeDocument/2006/relationships/hyperlink" Target="https://www.edi.admin.ch/dam/edi/de/dokumente/gleichstellung/evaluationsberichtintegralefassung.pdf.download.pdf/evaluationsberichtintegralefassung.pdf" TargetMode="External"/><Relationship Id="rId214" Type="http://schemas.openxmlformats.org/officeDocument/2006/relationships/hyperlink" Target="https://bit.ly/3AkfKEQ" TargetMode="External"/><Relationship Id="rId230" Type="http://schemas.openxmlformats.org/officeDocument/2006/relationships/hyperlink" Target="https://www.parlament.ch/de/ratsbetrieb/suche-curia-vista/geschaeft?AffairId=20214604" TargetMode="External"/><Relationship Id="rId25" Type="http://schemas.openxmlformats.org/officeDocument/2006/relationships/hyperlink" Target="https://bit.ly/3tK18NR" TargetMode="External"/><Relationship Id="rId46" Type="http://schemas.openxmlformats.org/officeDocument/2006/relationships/hyperlink" Target="https://goo.gl/Kv1tnx" TargetMode="External"/><Relationship Id="rId67" Type="http://schemas.openxmlformats.org/officeDocument/2006/relationships/hyperlink" Target="https://www.nkvf.admin.ch/dam/nkvf/de/data/Berichte/2020/baz/ber-baz-de.pdf.download.pdf/ber-baz-de.pdf" TargetMode="External"/><Relationship Id="rId116" Type="http://schemas.openxmlformats.org/officeDocument/2006/relationships/hyperlink" Target="https://www.bsv.admin.ch/bsv/de/home/publikationen-und-service/forschung/forschungspublikationen.exturl.html?lang=de&amp;lnr=07/19" TargetMode="External"/><Relationship Id="rId137" Type="http://schemas.openxmlformats.org/officeDocument/2006/relationships/hyperlink" Target="http://edudoc.ch/record/87689/files/Sonderpaed_d.pdf" TargetMode="External"/><Relationship Id="rId158" Type="http://schemas.openxmlformats.org/officeDocument/2006/relationships/hyperlink" Target="https://www.bag.admin.ch/dam/bag/de/dokumente/nat-gesundheitsstrategien/strategie-palliative-care/postulatsbericht-lebensende.pdf.download.pdf/200918_Bericht_DE_Po_183384_Lebensende.pdf" TargetMode="External"/><Relationship Id="rId20" Type="http://schemas.openxmlformats.org/officeDocument/2006/relationships/hyperlink" Target="https://www.parlament.ch/en/ratsbetrieb/suche-curia-vista/geschaeft?AffairId=20134245" TargetMode="External"/><Relationship Id="rId41" Type="http://schemas.openxmlformats.org/officeDocument/2006/relationships/hyperlink" Target="https://bit.ly/3GOGPm1" TargetMode="External"/><Relationship Id="rId62" Type="http://schemas.openxmlformats.org/officeDocument/2006/relationships/hyperlink" Target="https://www.interface-pol.ch/app/uploads/2020/06/Be_Asylsuchende_psychische_Gesundheit_d.pdf" TargetMode="External"/><Relationship Id="rId83" Type="http://schemas.openxmlformats.org/officeDocument/2006/relationships/hyperlink" Target="https://www.promentesana.ch/selbstbestimmt-genesen/klinikaufenthalt-und-selbstbestimmung/vertrauensperson-finden" TargetMode="External"/><Relationship Id="rId88" Type="http://schemas.openxmlformats.org/officeDocument/2006/relationships/hyperlink" Target="https://szsa.ch/ojs/index.php/szsa-rsts/article/view/235" TargetMode="External"/><Relationship Id="rId111" Type="http://schemas.openxmlformats.org/officeDocument/2006/relationships/hyperlink" Target="https://www.ebg.admin.ch/dam/ebg/de/dokumente/cedaw/cedaw_6_report.pdf.download.pdf/CEDEF_Sixi%C3%A8me_Rapport_Suisse_Nov2020.pdf" TargetMode="External"/><Relationship Id="rId132" Type="http://schemas.openxmlformats.org/officeDocument/2006/relationships/hyperlink" Target="https://www.inclusion-handicap.ch/de/aktuelles/news/news-archiv/2019-news/wichtige-korrektur-bei-den-el-und-kleine-verbesserungen-fuer-pflegende-angehoerige-451.html" TargetMode="External"/><Relationship Id="rId153" Type="http://schemas.openxmlformats.org/officeDocument/2006/relationships/hyperlink" Target="https://insos.ch/ausbildung-pra/" TargetMode="External"/><Relationship Id="rId174" Type="http://schemas.openxmlformats.org/officeDocument/2006/relationships/hyperlink" Target="https://www.ivsk.ch/de/informationen/medienmitteilungen" TargetMode="External"/><Relationship Id="rId179" Type="http://schemas.openxmlformats.org/officeDocument/2006/relationships/hyperlink" Target="file:///\\srvdc01.lawtank.local\lawtank\Daten\LT_OFFICE\3_Produkte\3.1_Auftr&#228;ge\16_Non-Profit_(N)\Verb&#228;nde\Inclusion%20Handicap\Q-211200139_EN\1.%20Original%20DE.ch\einzelne%20Artikel\,%20https:\insos.ch\assets\Dateien-Publikationen\INSOS-Jahresbericht-2020.pdf" TargetMode="External"/><Relationship Id="rId195" Type="http://schemas.openxmlformats.org/officeDocument/2006/relationships/hyperlink" Target="https://bit.ly/3KHU9v1" TargetMode="External"/><Relationship Id="rId209" Type="http://schemas.openxmlformats.org/officeDocument/2006/relationships/hyperlink" Target="https://www.fedlex.admin.ch/filestore/fedlex.data.admin.ch/eli/dl/proj/2021/61/cons_1/doc_9/de/pdf-a/fedlex-data-admin-ch-eli-dl-proj-2021-61-cons_1-doc_9-de-pdf-a.pdf" TargetMode="External"/><Relationship Id="rId190" Type="http://schemas.openxmlformats.org/officeDocument/2006/relationships/hyperlink" Target="https://www.bfs.admin.ch/bfsstatic/dam/assets/19644562/master" TargetMode="External"/><Relationship Id="rId204" Type="http://schemas.openxmlformats.org/officeDocument/2006/relationships/hyperlink" Target="https://bit.ly/3qLz7nc" TargetMode="External"/><Relationship Id="rId220" Type="http://schemas.openxmlformats.org/officeDocument/2006/relationships/hyperlink" Target="https://www.inclusion-handicap.ch/de/projekte/reporterinnen-ohne-barrieren-636.html" TargetMode="External"/><Relationship Id="rId225" Type="http://schemas.openxmlformats.org/officeDocument/2006/relationships/hyperlink" Target="https://www.stadt-zuerich.ch/portal/de/index/politik_u_recht/stadtrat/weitere-politikfelder/behinderung.html" TargetMode="External"/><Relationship Id="rId15" Type="http://schemas.openxmlformats.org/officeDocument/2006/relationships/hyperlink" Target="https://bit.ly/3rA7f4t" TargetMode="External"/><Relationship Id="rId36" Type="http://schemas.openxmlformats.org/officeDocument/2006/relationships/hyperlink" Target="https://edudoc.ch/record/221116/files/Sonderpaedagogik_Schweiz.pdf" TargetMode="External"/><Relationship Id="rId57" Type="http://schemas.openxmlformats.org/officeDocument/2006/relationships/hyperlink" Target="https://bit.ly/3FNX2Xi" TargetMode="External"/><Relationship Id="rId106" Type="http://schemas.openxmlformats.org/officeDocument/2006/relationships/hyperlink" Target="https://www.parlament.ch/de/ratsbetrieb/suche-curia-vista/geschaeft?AffairId=20204463" TargetMode="External"/><Relationship Id="rId127" Type="http://schemas.openxmlformats.org/officeDocument/2006/relationships/hyperlink" Target="https://www.parlament.ch/de/ratsbetrieb/suche-curia-vista/geschaeft?AffairId=20213185" TargetMode="External"/><Relationship Id="rId10" Type="http://schemas.openxmlformats.org/officeDocument/2006/relationships/hyperlink" Target="https://bit.ly/3fI92iD" TargetMode="External"/><Relationship Id="rId31" Type="http://schemas.openxmlformats.org/officeDocument/2006/relationships/hyperlink" Target="https://bit.ly/3tMP91O" TargetMode="External"/><Relationship Id="rId52" Type="http://schemas.openxmlformats.org/officeDocument/2006/relationships/hyperlink" Target="https://bit.ly/3ApM7SA" TargetMode="External"/><Relationship Id="rId73" Type="http://schemas.openxmlformats.org/officeDocument/2006/relationships/hyperlink" Target="https://www.bj.admin.ch/bj/de/home/staat/gesetzgebung/archiv/bundesgerichtsgesetz.html" TargetMode="External"/><Relationship Id="rId78" Type="http://schemas.openxmlformats.org/officeDocument/2006/relationships/hyperlink" Target="https://www.srf.ch/news/schweiz/wegen-mehrkosten-fuer-kanton-beeintraechtigter-darf-nicht-in-die-naehe-der-schwester-ziehen" TargetMode="External"/><Relationship Id="rId94" Type="http://schemas.openxmlformats.org/officeDocument/2006/relationships/hyperlink" Target="https://www.nkvf.admin.ch/dam/nkvf/de/data/Berichte/taetigkeitsberichte/2016/taetigkeitsbericht-2016-d.pdf.download.pdf/taetigkeitsbericht-2016-d.pdf" TargetMode="External"/><Relationship Id="rId99" Type="http://schemas.openxmlformats.org/officeDocument/2006/relationships/hyperlink" Target="https://www.ebg.admin.ch/dam/ebg/de/dokumente/publikationen_gleichstellung_allgemein/aktionsplan_gleichstellungsstrategie_2030.pdf.download.pdf/Aktionsplan%20Gleichstellungsstrategie%202030.pdf" TargetMode="External"/><Relationship Id="rId101" Type="http://schemas.openxmlformats.org/officeDocument/2006/relationships/hyperlink" Target="https://www.ebg.admin.ch/dam/ebg/de/dokumente/publikationen_gleichstellung_allgemein/aktionsplan_gleichstellungsstrategie_2030.pdf.download.pdf/Aktionsplan%20Gleichstellungsstrategie%202030.pdf" TargetMode="External"/><Relationship Id="rId122" Type="http://schemas.openxmlformats.org/officeDocument/2006/relationships/hyperlink" Target="https://www.inviedual.ch/" TargetMode="External"/><Relationship Id="rId143" Type="http://schemas.openxmlformats.org/officeDocument/2006/relationships/hyperlink" Target="https://www.bernerzeitung.ch/region/kanton-bern/berufsverband-bildung-warnt-vor-sparmassnahmen/story/31327005" TargetMode="External"/><Relationship Id="rId148" Type="http://schemas.openxmlformats.org/officeDocument/2006/relationships/hyperlink" Target="https://www.nzz.ch/schweiz/zu-wenig-studienplaetze-fuer-heilpaedagogen-hochschulen-muessen-studienanwaerter-abweisen-ld.1287279" TargetMode="External"/><Relationship Id="rId164" Type="http://schemas.openxmlformats.org/officeDocument/2006/relationships/hyperlink" Target="https://www.npg-rsp.ch/fileadmin/npg-rsp/Themen/BAG_2017_Koord_Versorgung_Somatik-Psy.pdf" TargetMode="External"/><Relationship Id="rId169" Type="http://schemas.openxmlformats.org/officeDocument/2006/relationships/hyperlink" Target="https://insos.ch/assets/Dateien-Publikationen/INSOS-Jahresbericht-2020.pdf" TargetMode="External"/><Relationship Id="rId185" Type="http://schemas.openxmlformats.org/officeDocument/2006/relationships/hyperlink" Target="https://www.bfs.admin.ch/bfs/de/home/statistiken/wirtschaftliche-soziale-situation-bevoelkerung/gleichstellung-menschen-behinderungen.assetdetail.19464130.html" TargetMode="External"/><Relationship Id="rId4" Type="http://schemas.openxmlformats.org/officeDocument/2006/relationships/hyperlink" Target="https://bit.ly/3FODUID" TargetMode="External"/><Relationship Id="rId9" Type="http://schemas.openxmlformats.org/officeDocument/2006/relationships/hyperlink" Target="https://www.rtn.ch/rtn/Actualite/Region/20211102-Vers-une-meilleure-inclusion-des-personnes-vivant-avec-un-handicap.html" TargetMode="External"/><Relationship Id="rId180" Type="http://schemas.openxmlformats.org/officeDocument/2006/relationships/hyperlink" Target="https://www.compasso.ch/" TargetMode="External"/><Relationship Id="rId210" Type="http://schemas.openxmlformats.org/officeDocument/2006/relationships/hyperlink" Target="https://bit.ly/3KtMCQ5" TargetMode="External"/><Relationship Id="rId215" Type="http://schemas.openxmlformats.org/officeDocument/2006/relationships/hyperlink" Target="https://www.ohchr.org/Documents/Publications/Human_rights_indicators_en.pdf" TargetMode="External"/><Relationship Id="rId26" Type="http://schemas.openxmlformats.org/officeDocument/2006/relationships/hyperlink" Target="file:///C:\Users\eliane.scheibler_IH\AppData\Local\Microsoft\Windows\INetCache\Content.Outlook\6UNBLBHS\1%20BvR%201541\20,%20https:\bit.ly\3GT1029" TargetMode="External"/><Relationship Id="rId47" Type="http://schemas.openxmlformats.org/officeDocument/2006/relationships/hyperlink" Target="https://bit.ly/33G6E9z" TargetMode="External"/><Relationship Id="rId68" Type="http://schemas.openxmlformats.org/officeDocument/2006/relationships/hyperlink" Target="https://www.woz.ch/-9eeb" TargetMode="External"/><Relationship Id="rId89" Type="http://schemas.openxmlformats.org/officeDocument/2006/relationships/hyperlink" Target="https://www.rheinleben.ch/" TargetMode="External"/><Relationship Id="rId112" Type="http://schemas.openxmlformats.org/officeDocument/2006/relationships/hyperlink" Target="https://www.samw.ch/dam/jcr:a5ab67f8-89fc-40de-8edc-4ad876bcf823/richtlinien_samw_betreuung_behinderung.pdf" TargetMode="External"/><Relationship Id="rId133" Type="http://schemas.openxmlformats.org/officeDocument/2006/relationships/hyperlink" Target="http://www.procap.ch/kita" TargetMode="External"/><Relationship Id="rId154" Type="http://schemas.openxmlformats.org/officeDocument/2006/relationships/hyperlink" Target="https://apps.who.int/iris/bitstream/handle/10665/330252/HiT-17-4-2015-eng.pdf?sequence=5&amp;isAllowed=y" TargetMode="External"/><Relationship Id="rId175" Type="http://schemas.openxmlformats.org/officeDocument/2006/relationships/hyperlink" Target="https://www.bsv.admin.ch/bsv/de/home/publikationen-und-service/forschung/forschungspublikationen.exturl.html?lang=de&amp;lnr=08/18" TargetMode="External"/><Relationship Id="rId196" Type="http://schemas.openxmlformats.org/officeDocument/2006/relationships/hyperlink" Target="https://bit.ly/33yv5Wy" TargetMode="External"/><Relationship Id="rId200" Type="http://schemas.openxmlformats.org/officeDocument/2006/relationships/hyperlink" Target="https://www.baselland.ch/politik-und-behorden/landrat-parlament/geschafte/neueste-geschaefte/" TargetMode="External"/><Relationship Id="rId16" Type="http://schemas.openxmlformats.org/officeDocument/2006/relationships/hyperlink" Target="https://bit.ly/3IotKAm" TargetMode="External"/><Relationship Id="rId221" Type="http://schemas.openxmlformats.org/officeDocument/2006/relationships/hyperlink" Target="https://www.edi.admin.ch/dam/edi/de/dokumente/gleichstellung/publikation/Bericht%20Entwicklung%20Behindertenpolitik.pdf.download.pdf/Bericht_zur_Entwicklung_der_Behindertenpolitik.pdf" TargetMode="External"/><Relationship Id="rId37" Type="http://schemas.openxmlformats.org/officeDocument/2006/relationships/hyperlink" Target="https://www.unige.ch/cide/files/3015/4453/5951/BrochuresActes_droits_enfant_situations_migration_en_Suisse.pdf" TargetMode="External"/><Relationship Id="rId58" Type="http://schemas.openxmlformats.org/officeDocument/2006/relationships/hyperlink" Target="http://daccess-ods.un.org/access.nsf/Get?Open&amp;DS=CAT/C/CHE/CO/7&amp;Lang=E" TargetMode="External"/><Relationship Id="rId79" Type="http://schemas.openxmlformats.org/officeDocument/2006/relationships/hyperlink" Target="https://www.srf.ch/news/schweiz/die-schweiz-hat-ein-hohes-ordnungsbeduerfnis-in-der-gesellschaft" TargetMode="External"/><Relationship Id="rId102" Type="http://schemas.openxmlformats.org/officeDocument/2006/relationships/hyperlink" Target="https://istanbulkonvention.ch/assets/images/elements/Alternativbericht_Netzwerk_Istanbul_Konvention_Schweiz.pdf" TargetMode="External"/><Relationship Id="rId123" Type="http://schemas.openxmlformats.org/officeDocument/2006/relationships/hyperlink" Target="https://tatkraft.org/" TargetMode="External"/><Relationship Id="rId144" Type="http://schemas.openxmlformats.org/officeDocument/2006/relationships/hyperlink" Target="https://www.sbfi.admin.ch/sbfi/de/home/bildung/bildungsraum-schweiz/bildungszusammenarbeit-bund-kantone/gemeinsame-grundlagen.html" TargetMode="External"/><Relationship Id="rId90" Type="http://schemas.openxmlformats.org/officeDocument/2006/relationships/hyperlink" Target="https://www.nkvf.admin.ch/nkvf/de/home/thematische-schwerpunkte/zivilrechtlicher-freiheitsentzug/freiheitsbeschraenkende-massnahmen.html" TargetMode="External"/><Relationship Id="rId165" Type="http://schemas.openxmlformats.org/officeDocument/2006/relationships/hyperlink" Target="https://www.bag.admin.ch/bag/en/home/strategie-und-politik/politische-auftraege-und-aktionsplaene/nationales-konzept-seltene-krankheiten.html" TargetMode="External"/><Relationship Id="rId186" Type="http://schemas.openxmlformats.org/officeDocument/2006/relationships/hyperlink" Target="https://www.bfs.admin.ch/bfsstatic/dam/assets/19644562/master" TargetMode="External"/><Relationship Id="rId211" Type="http://schemas.openxmlformats.org/officeDocument/2006/relationships/hyperlink" Target="https://behindertenpolitik.ch/projek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08_L_Politik_Themen\02_UNOBRK\05_Schattenberichte\01_Schattenberichte_CH\5_Update%20erster%20Schattenbericht\MASTERDOKUMENT\Deutsch\Vorlage_MAHE\VORL_SB%20andere%20Sprachen_0802202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19103E0E4F6404DADED79868E0D5E23"/>
        <w:category>
          <w:name w:val="Allgemein"/>
          <w:gallery w:val="placeholder"/>
        </w:category>
        <w:types>
          <w:type w:val="bbPlcHdr"/>
        </w:types>
        <w:behaviors>
          <w:behavior w:val="content"/>
        </w:behaviors>
        <w:guid w:val="{9CAC3C82-1525-4BEF-AF9E-BB22E06BB187}"/>
      </w:docPartPr>
      <w:docPartBody>
        <w:p w:rsidR="009D3E2D" w:rsidRDefault="009D3E2D">
          <w:pPr>
            <w:pStyle w:val="119103E0E4F6404DADED79868E0D5E23"/>
          </w:pPr>
          <w:r w:rsidRPr="00310A8F">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Rotis Sans Serif Std">
    <w:altName w:val="Rotis Sans Serif Std"/>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E2D"/>
    <w:rsid w:val="000A0A56"/>
    <w:rsid w:val="004C0B4B"/>
    <w:rsid w:val="00852290"/>
    <w:rsid w:val="0093262D"/>
    <w:rsid w:val="009D3E2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19103E0E4F6404DADED79868E0D5E23">
    <w:name w:val="119103E0E4F6404DADED79868E0D5E23"/>
  </w:style>
  <w:style w:type="paragraph" w:customStyle="1" w:styleId="3EC051ED9251492B9FA64451FA71CBED">
    <w:name w:val="3EC051ED9251492B9FA64451FA71CB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IH_Kapitel_Linksbündig">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rgbClr val="B0050D"/>
        </a:solidFill>
        <a:ln w="6350">
          <a:noFill/>
        </a:ln>
      </a:spPr>
      <a:bodyPr wrap="square" rtlCol="0" anchor="ctr" anchorCtr="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configuration xmlns:c="http://ns.axespdf.com/word/configuration">
  <c:group id="Styles">
    <c:group id="__HtmlAddress">
      <c:property id="RoleID" type="string">ParagraphHeaderCell</c:property>
      <c:property id="Scope" type="integer">1</c:property>
    </c:group>
  </c:group>
  <c:group id="Content">
    <c:group id="3916114611">
      <c:property id="RoleID" type="string">TableTable</c:property>
    </c:group>
    <c:group id="3153397164">
      <c:property id="RoleID" type="string">FigureArtifact</c:property>
    </c:group>
    <c:group id="2">
      <c:property id="RoleID" type="string">Textbox</c:property>
    </c:group>
    <c:group id="3718143725">
      <c:property id="RoleID" type="string">FigureArtifact</c:property>
    </c:group>
    <c:group id="4174199398">
      <c:property id="RoleID" type="string">TableTable</c:property>
    </c:group>
  </c:group>
  <c:group id="InitialView">
    <c:property id="MagnificationFactor" type="float">100</c:property>
  </c:group>
</c:configura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D73556-4D3A-47BA-8FAF-2DCFFA826006}">
  <ds:schemaRefs>
    <ds:schemaRef ds:uri="http://ns.axespdf.com/word/configuration"/>
  </ds:schemaRefs>
</ds:datastoreItem>
</file>

<file path=customXml/itemProps2.xml><?xml version="1.0" encoding="utf-8"?>
<ds:datastoreItem xmlns:ds="http://schemas.openxmlformats.org/officeDocument/2006/customXml" ds:itemID="{770B0CAE-B702-4612-8323-5447FF1F5C89}">
  <ds:schemaRefs>
    <ds:schemaRef ds:uri="http://schemas.openxmlformats.org/officeDocument/2006/bibliography"/>
  </ds:schemaRefs>
</ds:datastoreItem>
</file>

<file path=customXml/itemProps3.xml><?xml version="1.0" encoding="utf-8"?>
<ds:datastoreItem xmlns:ds="http://schemas.openxmlformats.org/officeDocument/2006/customXml" ds:itemID="{57AE4D80-BFF4-4831-8908-EDCEA54357E4}"/>
</file>

<file path=customXml/itemProps4.xml><?xml version="1.0" encoding="utf-8"?>
<ds:datastoreItem xmlns:ds="http://schemas.openxmlformats.org/officeDocument/2006/customXml" ds:itemID="{ED20A781-EB62-49B7-AB2B-892268037C01}"/>
</file>

<file path=customXml/itemProps5.xml><?xml version="1.0" encoding="utf-8"?>
<ds:datastoreItem xmlns:ds="http://schemas.openxmlformats.org/officeDocument/2006/customXml" ds:itemID="{0079524C-3039-4A98-A5D0-675D80269181}"/>
</file>

<file path=docProps/app.xml><?xml version="1.0" encoding="utf-8"?>
<Properties xmlns="http://schemas.openxmlformats.org/officeDocument/2006/extended-properties" xmlns:vt="http://schemas.openxmlformats.org/officeDocument/2006/docPropsVTypes">
  <Template>VORL_SB andere Sprachen_08022022.dotx</Template>
  <TotalTime>4</TotalTime>
  <Pages>41</Pages>
  <Words>24875</Words>
  <Characters>142328</Characters>
  <Application>Microsoft Office Word</Application>
  <DocSecurity>4</DocSecurity>
  <Lines>1186</Lines>
  <Paragraphs>333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Hermann</dc:creator>
  <cp:keywords/>
  <dc:description/>
  <cp:lastModifiedBy>OUKO Robert</cp:lastModifiedBy>
  <cp:revision>2</cp:revision>
  <cp:lastPrinted>2020-05-08T17:18:00Z</cp:lastPrinted>
  <dcterms:created xsi:type="dcterms:W3CDTF">2022-02-15T16:55:00Z</dcterms:created>
  <dcterms:modified xsi:type="dcterms:W3CDTF">2022-02-15T16:55:00Z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