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86EF8A" w14:textId="77777777" w:rsidR="004F12D2" w:rsidRDefault="004F12D2" w:rsidP="00EC4AA3">
      <w:pPr>
        <w:pStyle w:val="Title"/>
      </w:pPr>
      <w:bookmarkStart w:id="0" w:name="_GoBack"/>
      <w:bookmarkEnd w:id="0"/>
    </w:p>
    <w:p w14:paraId="72A03967" w14:textId="33B39220" w:rsidR="00C94330" w:rsidRPr="00EC4AA3" w:rsidRDefault="00F0009D" w:rsidP="00C94330">
      <w:pPr>
        <w:pStyle w:val="Title"/>
        <w:jc w:val="center"/>
        <w:rPr>
          <w:sz w:val="36"/>
          <w:szCs w:val="36"/>
        </w:rPr>
      </w:pPr>
      <w:bookmarkStart w:id="1" w:name="_Toc12626226"/>
      <w:bookmarkStart w:id="2" w:name="_Toc23330162"/>
      <w:bookmarkStart w:id="3" w:name="_Hlk55551521"/>
      <w:r>
        <w:rPr>
          <w:sz w:val="36"/>
          <w:szCs w:val="36"/>
        </w:rPr>
        <w:t>Cyprus</w:t>
      </w:r>
      <w:r w:rsidR="006D3E1B">
        <w:rPr>
          <w:sz w:val="36"/>
          <w:szCs w:val="36"/>
        </w:rPr>
        <w:t>:</w:t>
      </w:r>
      <w:r w:rsidR="004F12D2" w:rsidRPr="00EC4AA3">
        <w:rPr>
          <w:sz w:val="36"/>
          <w:szCs w:val="36"/>
        </w:rPr>
        <w:t xml:space="preserve"> </w:t>
      </w:r>
      <w:bookmarkEnd w:id="1"/>
      <w:bookmarkEnd w:id="2"/>
      <w:r w:rsidR="00CF6259" w:rsidRPr="00EC4AA3">
        <w:rPr>
          <w:sz w:val="36"/>
          <w:szCs w:val="36"/>
        </w:rPr>
        <w:t>A Brief on</w:t>
      </w:r>
    </w:p>
    <w:p w14:paraId="07C70E12" w14:textId="2EE5423F" w:rsidR="004F12D2" w:rsidRDefault="00CF6259" w:rsidP="00EC4AA3">
      <w:pPr>
        <w:pStyle w:val="Title"/>
        <w:jc w:val="center"/>
        <w:rPr>
          <w:sz w:val="36"/>
          <w:szCs w:val="36"/>
        </w:rPr>
      </w:pPr>
      <w:r w:rsidRPr="00EC4AA3">
        <w:rPr>
          <w:sz w:val="36"/>
          <w:szCs w:val="36"/>
        </w:rPr>
        <w:t xml:space="preserve">Constitutional Guarantees to </w:t>
      </w:r>
      <w:r w:rsidR="008A6EA3">
        <w:rPr>
          <w:sz w:val="36"/>
          <w:szCs w:val="36"/>
        </w:rPr>
        <w:t xml:space="preserve">Equality and </w:t>
      </w:r>
      <w:r w:rsidRPr="00EC4AA3">
        <w:rPr>
          <w:sz w:val="36"/>
          <w:szCs w:val="36"/>
        </w:rPr>
        <w:t>Non-Discrimination</w:t>
      </w:r>
      <w:r w:rsidR="00771E00">
        <w:rPr>
          <w:sz w:val="36"/>
          <w:szCs w:val="36"/>
        </w:rPr>
        <w:t xml:space="preserve"> </w:t>
      </w:r>
    </w:p>
    <w:p w14:paraId="2C2B4268" w14:textId="129F6042" w:rsidR="0066528C" w:rsidRPr="0066528C" w:rsidRDefault="0066528C" w:rsidP="0066528C">
      <w:pPr>
        <w:keepNext/>
        <w:keepLines/>
        <w:spacing w:before="0" w:after="10"/>
        <w:jc w:val="center"/>
        <w:outlineLvl w:val="0"/>
        <w:rPr>
          <w:rFonts w:asciiTheme="majorHAnsi" w:eastAsiaTheme="majorEastAsia" w:hAnsiTheme="majorHAnsi" w:cstheme="majorBidi"/>
          <w:iCs/>
          <w:color w:val="4A66AC" w:themeColor="accent1"/>
          <w:sz w:val="28"/>
          <w:szCs w:val="28"/>
        </w:rPr>
      </w:pPr>
      <w:r w:rsidRPr="0066528C">
        <w:rPr>
          <w:rFonts w:asciiTheme="majorHAnsi" w:eastAsiaTheme="majorEastAsia" w:hAnsiTheme="majorHAnsi" w:cstheme="majorBidi"/>
          <w:iCs/>
          <w:color w:val="4A66AC" w:themeColor="accent1"/>
          <w:sz w:val="28"/>
          <w:szCs w:val="28"/>
        </w:rPr>
        <w:t>(Article 2, General Comment No. 5)</w:t>
      </w:r>
    </w:p>
    <w:bookmarkEnd w:id="3"/>
    <w:p w14:paraId="7A738082" w14:textId="77777777" w:rsidR="004F12D2" w:rsidRPr="0024558B" w:rsidRDefault="004F12D2" w:rsidP="00437B1F">
      <w:pPr>
        <w:rPr>
          <w:color w:val="253356" w:themeColor="accent1" w:themeShade="80"/>
        </w:rPr>
      </w:pPr>
    </w:p>
    <w:p w14:paraId="3C15EF5E" w14:textId="77777777" w:rsidR="0024558B" w:rsidRPr="0024558B" w:rsidRDefault="0024558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4" w:name="_Toc12626227"/>
      <w:bookmarkStart w:id="5" w:name="_Toc23330163"/>
      <w:bookmarkStart w:id="6" w:name="_Toc56080001"/>
      <w:bookmarkStart w:id="7" w:name="_Toc56080051"/>
      <w:bookmarkStart w:id="8" w:name="_Toc84593416"/>
      <w:bookmarkStart w:id="9"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4"/>
      <w:bookmarkEnd w:id="5"/>
      <w:bookmarkEnd w:id="6"/>
      <w:bookmarkEnd w:id="7"/>
      <w:bookmarkEnd w:id="8"/>
    </w:p>
    <w:p w14:paraId="308CB19B" w14:textId="372760A1" w:rsidR="004F12D2" w:rsidRPr="0024558B" w:rsidRDefault="00112EB2" w:rsidP="00112EB2">
      <w:pPr>
        <w:jc w:val="center"/>
        <w:rPr>
          <w:color w:val="4A66AC" w:themeColor="accent1"/>
        </w:rPr>
      </w:pPr>
      <w:bookmarkStart w:id="10" w:name="_Toc104489993"/>
      <w:bookmarkStart w:id="11" w:name="_Toc77768587"/>
      <w:bookmarkStart w:id="12" w:name="_Toc56080052"/>
      <w:bookmarkStart w:id="13" w:name="_Toc56080002"/>
      <w:bookmarkStart w:id="14" w:name="_Toc23330164"/>
      <w:bookmarkStart w:id="15" w:name="_Toc12626228"/>
      <w:bookmarkStart w:id="16" w:name="_Hlk107576030"/>
      <w:bookmarkEnd w:id="9"/>
      <w:r>
        <w:rPr>
          <w:rFonts w:asciiTheme="majorHAnsi" w:eastAsiaTheme="majorEastAsia" w:hAnsiTheme="majorHAnsi" w:cstheme="majorBidi"/>
          <w:i/>
          <w:iCs/>
          <w:color w:val="4A66AC" w:themeColor="accent1"/>
          <w:sz w:val="24"/>
          <w:szCs w:val="24"/>
        </w:rPr>
        <w:t>7</w:t>
      </w:r>
      <w:r w:rsidR="005C6D44">
        <w:rPr>
          <w:rFonts w:asciiTheme="majorHAnsi" w:eastAsiaTheme="majorEastAsia" w:hAnsiTheme="majorHAnsi" w:cstheme="majorBidi"/>
          <w:i/>
          <w:iCs/>
          <w:color w:val="4A66AC" w:themeColor="accent1"/>
          <w:sz w:val="24"/>
          <w:szCs w:val="24"/>
        </w:rPr>
        <w:t>1</w:t>
      </w:r>
      <w:r w:rsidR="005C6D44" w:rsidRPr="005C6D44">
        <w:rPr>
          <w:rFonts w:asciiTheme="majorHAnsi" w:eastAsiaTheme="majorEastAsia" w:hAnsiTheme="majorHAnsi" w:cstheme="majorBidi"/>
          <w:i/>
          <w:iCs/>
          <w:color w:val="4A66AC" w:themeColor="accent1"/>
          <w:sz w:val="24"/>
          <w:szCs w:val="24"/>
          <w:vertAlign w:val="superscript"/>
        </w:rPr>
        <w:t>st</w:t>
      </w:r>
      <w:r w:rsidR="005C6D44">
        <w:rPr>
          <w:rFonts w:asciiTheme="majorHAnsi" w:eastAsiaTheme="majorEastAsia" w:hAnsiTheme="majorHAnsi" w:cstheme="majorBidi"/>
          <w:i/>
          <w:iCs/>
          <w:color w:val="4A66AC" w:themeColor="accent1"/>
          <w:sz w:val="24"/>
          <w:szCs w:val="24"/>
        </w:rPr>
        <w:t xml:space="preserve"> </w:t>
      </w:r>
      <w:r>
        <w:rPr>
          <w:rFonts w:asciiTheme="majorHAnsi" w:eastAsiaTheme="majorEastAsia" w:hAnsiTheme="majorHAnsi" w:cstheme="majorBidi"/>
          <w:i/>
          <w:iCs/>
          <w:color w:val="4A66AC" w:themeColor="accent1"/>
          <w:sz w:val="24"/>
          <w:szCs w:val="24"/>
        </w:rPr>
        <w:t>Pre-Session</w:t>
      </w:r>
      <w:r w:rsidR="005C6D44">
        <w:rPr>
          <w:rFonts w:asciiTheme="majorHAnsi" w:eastAsiaTheme="majorEastAsia" w:hAnsiTheme="majorHAnsi" w:cstheme="majorBidi"/>
          <w:i/>
          <w:iCs/>
          <w:color w:val="4A66AC" w:themeColor="accent1"/>
          <w:sz w:val="24"/>
          <w:szCs w:val="24"/>
        </w:rPr>
        <w:t>al</w:t>
      </w:r>
      <w:r>
        <w:rPr>
          <w:rFonts w:asciiTheme="majorHAnsi" w:eastAsiaTheme="majorEastAsia" w:hAnsiTheme="majorHAnsi" w:cstheme="majorBidi"/>
          <w:i/>
          <w:iCs/>
          <w:color w:val="4A66AC" w:themeColor="accent1"/>
          <w:sz w:val="24"/>
          <w:szCs w:val="24"/>
        </w:rPr>
        <w:t xml:space="preserve"> Working Group, </w:t>
      </w:r>
      <w:bookmarkEnd w:id="10"/>
      <w:bookmarkEnd w:id="11"/>
      <w:bookmarkEnd w:id="12"/>
      <w:bookmarkEnd w:id="13"/>
      <w:bookmarkEnd w:id="14"/>
      <w:bookmarkEnd w:id="15"/>
      <w:r>
        <w:rPr>
          <w:rFonts w:asciiTheme="majorHAnsi" w:eastAsiaTheme="majorEastAsia" w:hAnsiTheme="majorHAnsi" w:cstheme="majorBidi"/>
          <w:i/>
          <w:iCs/>
          <w:color w:val="4A66AC" w:themeColor="accent1"/>
          <w:sz w:val="24"/>
          <w:szCs w:val="24"/>
        </w:rPr>
        <w:t>September 2022</w:t>
      </w:r>
    </w:p>
    <w:bookmarkEnd w:id="16"/>
    <w:p w14:paraId="20865396" w14:textId="77777777" w:rsidR="00EC2807" w:rsidRDefault="00EC2807" w:rsidP="003F1428">
      <w:pPr>
        <w:rPr>
          <w:color w:val="4A66AC" w:themeColor="accent1"/>
        </w:rPr>
      </w:pPr>
    </w:p>
    <w:p w14:paraId="5C4177E2" w14:textId="77777777" w:rsidR="00EC4AA3" w:rsidRDefault="00EC4AA3" w:rsidP="003F1428">
      <w:pPr>
        <w:rPr>
          <w:color w:val="4A66AC" w:themeColor="accent1"/>
        </w:rPr>
      </w:pPr>
    </w:p>
    <w:p w14:paraId="56A10380" w14:textId="77777777" w:rsidR="00EC4AA3" w:rsidRDefault="00EC4AA3" w:rsidP="003F1428">
      <w:pPr>
        <w:rPr>
          <w:color w:val="4A66AC" w:themeColor="accent1"/>
        </w:rPr>
      </w:pPr>
    </w:p>
    <w:p w14:paraId="7A101CA3" w14:textId="77777777" w:rsidR="00EC4AA3" w:rsidRDefault="00EC4AA3" w:rsidP="003F1428">
      <w:pPr>
        <w:rPr>
          <w:color w:val="4A66AC" w:themeColor="accent1"/>
        </w:rPr>
      </w:pPr>
    </w:p>
    <w:p w14:paraId="5727A2EF" w14:textId="77777777" w:rsidR="00EC4AA3" w:rsidRDefault="00EC4AA3" w:rsidP="003F1428">
      <w:pPr>
        <w:rPr>
          <w:color w:val="4A66AC" w:themeColor="accent1"/>
        </w:rPr>
      </w:pPr>
    </w:p>
    <w:p w14:paraId="26A27F45" w14:textId="77777777" w:rsidR="00EC4AA3" w:rsidRDefault="00EC4AA3" w:rsidP="003F1428">
      <w:pPr>
        <w:rPr>
          <w:color w:val="4A66AC" w:themeColor="accent1"/>
        </w:rPr>
      </w:pPr>
    </w:p>
    <w:p w14:paraId="42F948BE" w14:textId="77777777" w:rsidR="00EC4AA3" w:rsidRDefault="00EC4AA3" w:rsidP="003F1428">
      <w:pPr>
        <w:rPr>
          <w:color w:val="4A66AC" w:themeColor="accent1"/>
        </w:rPr>
      </w:pPr>
    </w:p>
    <w:p w14:paraId="70687038" w14:textId="77777777" w:rsidR="00EC4AA3" w:rsidRDefault="00EC4AA3" w:rsidP="003F1428">
      <w:pPr>
        <w:rPr>
          <w:color w:val="4A66AC" w:themeColor="accent1"/>
        </w:rPr>
      </w:pPr>
    </w:p>
    <w:p w14:paraId="71A61452" w14:textId="77777777" w:rsidR="00EC4AA3" w:rsidRDefault="00EC4AA3" w:rsidP="003F1428">
      <w:pPr>
        <w:rPr>
          <w:color w:val="4A66AC" w:themeColor="accent1"/>
        </w:rPr>
      </w:pPr>
    </w:p>
    <w:p w14:paraId="0B6670EC" w14:textId="77777777" w:rsidR="00EC4AA3" w:rsidRDefault="00EC4AA3" w:rsidP="003F1428">
      <w:pPr>
        <w:rPr>
          <w:color w:val="4A66AC" w:themeColor="accent1"/>
        </w:rPr>
      </w:pPr>
    </w:p>
    <w:p w14:paraId="7406CD32" w14:textId="77777777" w:rsidR="00EC4AA3" w:rsidRDefault="00EC4AA3" w:rsidP="003F1428">
      <w:pPr>
        <w:rPr>
          <w:color w:val="4A66AC" w:themeColor="accent1"/>
        </w:rPr>
      </w:pPr>
    </w:p>
    <w:p w14:paraId="43FAF199" w14:textId="77777777" w:rsidR="00EC4AA3" w:rsidRDefault="00EC4AA3" w:rsidP="003F1428">
      <w:pPr>
        <w:rPr>
          <w:color w:val="4A66AC" w:themeColor="accent1"/>
        </w:rPr>
      </w:pPr>
    </w:p>
    <w:p w14:paraId="0D134CEF"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7" w:name="_Toc53065025"/>
      <w:bookmarkStart w:id="18" w:name="_Toc53065047"/>
      <w:bookmarkStart w:id="19" w:name="_Toc53065076"/>
      <w:bookmarkStart w:id="20" w:name="_Toc53066332"/>
      <w:bookmarkStart w:id="21" w:name="_Toc53066387"/>
      <w:bookmarkStart w:id="22" w:name="_Toc56080003"/>
      <w:bookmarkStart w:id="23" w:name="_Toc56080053"/>
      <w:bookmarkStart w:id="24" w:name="_Toc84593418"/>
      <w:r w:rsidRPr="0024558B">
        <w:rPr>
          <w:rFonts w:asciiTheme="majorHAnsi" w:eastAsiaTheme="majorEastAsia" w:hAnsiTheme="majorHAnsi" w:cstheme="majorBidi"/>
          <w:b/>
          <w:iCs/>
          <w:color w:val="4A66AC" w:themeColor="accent1"/>
          <w:sz w:val="24"/>
          <w:szCs w:val="24"/>
        </w:rPr>
        <w:t>Submitted By</w:t>
      </w:r>
      <w:bookmarkEnd w:id="17"/>
      <w:bookmarkEnd w:id="18"/>
      <w:bookmarkEnd w:id="19"/>
      <w:bookmarkEnd w:id="20"/>
      <w:bookmarkEnd w:id="21"/>
      <w:bookmarkEnd w:id="22"/>
      <w:bookmarkEnd w:id="23"/>
      <w:bookmarkEnd w:id="24"/>
    </w:p>
    <w:p w14:paraId="387B11D7"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5" w:name="_Toc53065026"/>
      <w:bookmarkStart w:id="26" w:name="_Toc53065048"/>
      <w:bookmarkStart w:id="27" w:name="_Toc53065077"/>
      <w:bookmarkStart w:id="28" w:name="_Toc53066333"/>
      <w:bookmarkStart w:id="29" w:name="_Toc53066388"/>
      <w:bookmarkStart w:id="30" w:name="_Toc56080004"/>
      <w:bookmarkStart w:id="31" w:name="_Toc56080054"/>
      <w:bookmarkStart w:id="32" w:name="_Toc84593419"/>
      <w:r w:rsidRPr="0024558B">
        <w:rPr>
          <w:rFonts w:asciiTheme="majorHAnsi" w:eastAsiaTheme="majorEastAsia" w:hAnsiTheme="majorHAnsi" w:cstheme="majorBidi"/>
          <w:iCs/>
          <w:color w:val="4A66AC" w:themeColor="accent1"/>
          <w:sz w:val="24"/>
          <w:szCs w:val="24"/>
        </w:rPr>
        <w:t>The WORLD Policy Analysis Center</w:t>
      </w:r>
      <w:bookmarkEnd w:id="25"/>
      <w:bookmarkEnd w:id="26"/>
      <w:bookmarkEnd w:id="27"/>
      <w:bookmarkEnd w:id="28"/>
      <w:bookmarkEnd w:id="29"/>
      <w:bookmarkEnd w:id="30"/>
      <w:bookmarkEnd w:id="31"/>
      <w:bookmarkEnd w:id="32"/>
    </w:p>
    <w:p w14:paraId="6468349A"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3" w:name="_Toc53065027"/>
      <w:bookmarkStart w:id="34" w:name="_Toc53065049"/>
      <w:bookmarkStart w:id="35" w:name="_Toc53065078"/>
      <w:bookmarkStart w:id="36" w:name="_Toc53066334"/>
      <w:bookmarkStart w:id="37" w:name="_Toc53066389"/>
      <w:bookmarkStart w:id="38" w:name="_Toc56080005"/>
      <w:bookmarkStart w:id="39" w:name="_Toc56080055"/>
      <w:bookmarkStart w:id="40" w:name="_Toc84593420"/>
      <w:r w:rsidRPr="0024558B">
        <w:rPr>
          <w:rFonts w:asciiTheme="majorHAnsi" w:eastAsiaTheme="majorEastAsia" w:hAnsiTheme="majorHAnsi" w:cstheme="majorBidi"/>
          <w:iCs/>
          <w:color w:val="4A66AC" w:themeColor="accent1"/>
          <w:sz w:val="24"/>
          <w:szCs w:val="24"/>
        </w:rPr>
        <w:t>University of California, Los Angeles</w:t>
      </w:r>
      <w:bookmarkEnd w:id="33"/>
      <w:bookmarkEnd w:id="34"/>
      <w:bookmarkEnd w:id="35"/>
      <w:bookmarkEnd w:id="36"/>
      <w:bookmarkEnd w:id="37"/>
      <w:bookmarkEnd w:id="38"/>
      <w:bookmarkEnd w:id="39"/>
      <w:bookmarkEnd w:id="40"/>
      <w:r w:rsidRPr="0024558B">
        <w:rPr>
          <w:rFonts w:asciiTheme="majorHAnsi" w:eastAsiaTheme="majorEastAsia" w:hAnsiTheme="majorHAnsi" w:cstheme="majorBidi"/>
          <w:iCs/>
          <w:color w:val="4A66AC" w:themeColor="accent1"/>
          <w:sz w:val="24"/>
          <w:szCs w:val="24"/>
        </w:rPr>
        <w:t xml:space="preserve"> </w:t>
      </w:r>
    </w:p>
    <w:p w14:paraId="0CB6ED70" w14:textId="77777777" w:rsidR="00EC4AA3" w:rsidRDefault="00EC4AA3" w:rsidP="003F1428">
      <w:pPr>
        <w:rPr>
          <w:color w:val="4A66AC" w:themeColor="accent1"/>
        </w:rPr>
      </w:pPr>
    </w:p>
    <w:p w14:paraId="60BF8DF8" w14:textId="77777777" w:rsidR="00EC4AA3" w:rsidRDefault="00EC4AA3" w:rsidP="003F1428">
      <w:pPr>
        <w:rPr>
          <w:color w:val="4A66AC" w:themeColor="accent1"/>
        </w:rPr>
      </w:pPr>
    </w:p>
    <w:p w14:paraId="2FB64A59" w14:textId="77777777" w:rsidR="00112EB2" w:rsidRDefault="00112EB2" w:rsidP="003F1428">
      <w:pPr>
        <w:rPr>
          <w:color w:val="4A66AC" w:themeColor="accent1"/>
        </w:rPr>
      </w:pPr>
    </w:p>
    <w:p w14:paraId="7F4EF758" w14:textId="77777777" w:rsidR="00EC4AA3" w:rsidRDefault="00EC4AA3" w:rsidP="003F1428">
      <w:pPr>
        <w:rPr>
          <w:color w:val="4A66AC" w:themeColor="accent1"/>
        </w:rPr>
      </w:pPr>
    </w:p>
    <w:sdt>
      <w:sdtPr>
        <w:rPr>
          <w:caps w:val="0"/>
          <w:color w:val="auto"/>
          <w:spacing w:val="0"/>
          <w:sz w:val="20"/>
          <w:szCs w:val="20"/>
        </w:rPr>
        <w:id w:val="-1484310887"/>
        <w:docPartObj>
          <w:docPartGallery w:val="Table of Contents"/>
          <w:docPartUnique/>
        </w:docPartObj>
      </w:sdtPr>
      <w:sdtEndPr>
        <w:rPr>
          <w:b/>
          <w:bCs/>
          <w:noProof/>
        </w:rPr>
      </w:sdtEndPr>
      <w:sdtContent>
        <w:p w14:paraId="1373E1F5" w14:textId="77777777" w:rsidR="00BA7235" w:rsidRDefault="00BA7235">
          <w:pPr>
            <w:pStyle w:val="TOCHeading"/>
          </w:pPr>
          <w:r>
            <w:t>Contents</w:t>
          </w:r>
        </w:p>
        <w:p w14:paraId="5FB03890" w14:textId="23252822" w:rsidR="00CD1254" w:rsidRDefault="00BA7235">
          <w:pPr>
            <w:pStyle w:val="TOC1"/>
            <w:tabs>
              <w:tab w:val="right" w:leader="dot" w:pos="9350"/>
            </w:tabs>
            <w:rPr>
              <w:noProof/>
            </w:rPr>
          </w:pPr>
          <w:r>
            <w:fldChar w:fldCharType="begin"/>
          </w:r>
          <w:r>
            <w:instrText xml:space="preserve"> TOC \o "1-3" \h \z \u </w:instrText>
          </w:r>
          <w:r>
            <w:fldChar w:fldCharType="separate"/>
          </w:r>
          <w:hyperlink w:anchor="_Toc84593421" w:history="1">
            <w:r w:rsidR="00CD1254" w:rsidRPr="00676C8D">
              <w:rPr>
                <w:rStyle w:val="Hyperlink"/>
                <w:b/>
                <w:noProof/>
              </w:rPr>
              <w:t>Introduction</w:t>
            </w:r>
            <w:r w:rsidR="00CD1254">
              <w:rPr>
                <w:noProof/>
                <w:webHidden/>
              </w:rPr>
              <w:tab/>
            </w:r>
            <w:r w:rsidR="00782BBE">
              <w:rPr>
                <w:noProof/>
                <w:webHidden/>
              </w:rPr>
              <w:t>2</w:t>
            </w:r>
          </w:hyperlink>
        </w:p>
        <w:p w14:paraId="63815E9D" w14:textId="77777777" w:rsidR="005C1770" w:rsidRPr="005C1770" w:rsidRDefault="005C1770" w:rsidP="005C1770"/>
        <w:p w14:paraId="0676CDDF" w14:textId="77777777" w:rsidR="00CD1254" w:rsidRDefault="00544F67">
          <w:pPr>
            <w:pStyle w:val="TOC1"/>
            <w:tabs>
              <w:tab w:val="right" w:leader="dot" w:pos="9350"/>
            </w:tabs>
            <w:rPr>
              <w:bCs w:val="0"/>
              <w:noProof/>
              <w:sz w:val="22"/>
              <w:szCs w:val="22"/>
            </w:rPr>
          </w:pPr>
          <w:hyperlink w:anchor="_Toc84593422" w:history="1">
            <w:r w:rsidR="00CD1254" w:rsidRPr="00676C8D">
              <w:rPr>
                <w:rStyle w:val="Hyperlink"/>
                <w:rFonts w:eastAsia="Times New Roman"/>
                <w:b/>
                <w:noProof/>
              </w:rPr>
              <w:t>Summary of Findings and Recommendations</w:t>
            </w:r>
            <w:r w:rsidR="00CD1254">
              <w:rPr>
                <w:noProof/>
                <w:webHidden/>
              </w:rPr>
              <w:tab/>
            </w:r>
            <w:r w:rsidR="00782BBE">
              <w:rPr>
                <w:noProof/>
                <w:webHidden/>
              </w:rPr>
              <w:t>3</w:t>
            </w:r>
          </w:hyperlink>
        </w:p>
        <w:p w14:paraId="16C4AA86" w14:textId="6B8A4CB0" w:rsidR="00CD1254" w:rsidRDefault="00544F67">
          <w:pPr>
            <w:pStyle w:val="TOC2"/>
            <w:rPr>
              <w:noProof/>
            </w:rPr>
          </w:pPr>
          <w:hyperlink w:anchor="_Toc84593423" w:history="1">
            <w:r w:rsidR="00CD1254" w:rsidRPr="00676C8D">
              <w:rPr>
                <w:rStyle w:val="Hyperlink"/>
                <w:rFonts w:ascii="Calibri Light" w:eastAsia="Times New Roman" w:hAnsi="Calibri Light" w:cs="Times New Roman"/>
                <w:bCs/>
                <w:noProof/>
              </w:rPr>
              <w:t>1.</w:t>
            </w:r>
            <w:r w:rsidR="00CD1254">
              <w:rPr>
                <w:noProof/>
                <w:sz w:val="22"/>
                <w:szCs w:val="22"/>
              </w:rPr>
              <w:tab/>
            </w:r>
            <w:r w:rsidR="00CD1254" w:rsidRPr="00676C8D">
              <w:rPr>
                <w:rStyle w:val="Hyperlink"/>
                <w:rFonts w:ascii="Calibri Light" w:eastAsia="Times New Roman" w:hAnsi="Calibri Light" w:cs="Times New Roman"/>
                <w:bCs/>
                <w:noProof/>
              </w:rPr>
              <w:t>Equality and Non-Discrimination (Article 2, General Comment No. 5)</w:t>
            </w:r>
            <w:r w:rsidR="00CD1254">
              <w:rPr>
                <w:noProof/>
                <w:webHidden/>
              </w:rPr>
              <w:tab/>
            </w:r>
            <w:r w:rsidR="00782BBE">
              <w:rPr>
                <w:noProof/>
                <w:webHidden/>
              </w:rPr>
              <w:t>3</w:t>
            </w:r>
          </w:hyperlink>
        </w:p>
        <w:p w14:paraId="33ACDE65" w14:textId="77777777" w:rsidR="005C1770" w:rsidRPr="005C1770" w:rsidRDefault="005C1770" w:rsidP="005C1770"/>
        <w:p w14:paraId="3B26D73F" w14:textId="1709DDD3" w:rsidR="00CD1254" w:rsidRDefault="00544F67">
          <w:pPr>
            <w:pStyle w:val="TOC1"/>
            <w:tabs>
              <w:tab w:val="right" w:leader="dot" w:pos="9350"/>
            </w:tabs>
            <w:rPr>
              <w:bCs w:val="0"/>
              <w:noProof/>
              <w:sz w:val="22"/>
              <w:szCs w:val="22"/>
            </w:rPr>
          </w:pPr>
          <w:hyperlink w:anchor="_Toc84593425" w:history="1">
            <w:r w:rsidR="00CD1254" w:rsidRPr="00676C8D">
              <w:rPr>
                <w:rStyle w:val="Hyperlink"/>
                <w:rFonts w:eastAsia="Times New Roman"/>
                <w:b/>
                <w:noProof/>
              </w:rPr>
              <w:t>Detail of Constitutional Findings</w:t>
            </w:r>
            <w:r w:rsidR="00CD1254">
              <w:rPr>
                <w:noProof/>
                <w:webHidden/>
              </w:rPr>
              <w:tab/>
            </w:r>
            <w:r w:rsidR="005C1770">
              <w:rPr>
                <w:noProof/>
                <w:webHidden/>
              </w:rPr>
              <w:t>3</w:t>
            </w:r>
          </w:hyperlink>
        </w:p>
        <w:p w14:paraId="5C1C6C8B" w14:textId="52D9F4A8" w:rsidR="00CD1254" w:rsidRDefault="00544F67">
          <w:pPr>
            <w:pStyle w:val="TOC2"/>
            <w:rPr>
              <w:noProof/>
              <w:sz w:val="22"/>
              <w:szCs w:val="22"/>
            </w:rPr>
          </w:pPr>
          <w:hyperlink w:anchor="_Toc84593426" w:history="1">
            <w:r w:rsidR="00CD1254" w:rsidRPr="00676C8D">
              <w:rPr>
                <w:rStyle w:val="Hyperlink"/>
                <w:rFonts w:ascii="Calibri Light" w:eastAsia="Times New Roman" w:hAnsi="Calibri Light" w:cs="Times New Roman"/>
                <w:bCs/>
                <w:noProof/>
              </w:rPr>
              <w:t>1.</w:t>
            </w:r>
            <w:r w:rsidR="00CD1254">
              <w:rPr>
                <w:noProof/>
                <w:sz w:val="22"/>
                <w:szCs w:val="22"/>
              </w:rPr>
              <w:tab/>
            </w:r>
            <w:r w:rsidR="00CD1254" w:rsidRPr="00676C8D">
              <w:rPr>
                <w:rStyle w:val="Hyperlink"/>
                <w:rFonts w:ascii="Calibri Light" w:eastAsia="Times New Roman" w:hAnsi="Calibri Light" w:cs="Times New Roman"/>
                <w:bCs/>
                <w:noProof/>
              </w:rPr>
              <w:t>Equality and Non-Discrimination (Article 2, General Comment No. 5)</w:t>
            </w:r>
            <w:r w:rsidR="00CD1254">
              <w:rPr>
                <w:noProof/>
                <w:webHidden/>
              </w:rPr>
              <w:tab/>
            </w:r>
            <w:r w:rsidR="005C1770">
              <w:rPr>
                <w:noProof/>
                <w:webHidden/>
              </w:rPr>
              <w:t>3</w:t>
            </w:r>
          </w:hyperlink>
        </w:p>
        <w:p w14:paraId="5A0861F6" w14:textId="77777777" w:rsidR="00BA7235" w:rsidRDefault="00BA7235">
          <w:r>
            <w:rPr>
              <w:b/>
              <w:bCs/>
              <w:noProof/>
            </w:rPr>
            <w:fldChar w:fldCharType="end"/>
          </w:r>
        </w:p>
      </w:sdtContent>
    </w:sdt>
    <w:p w14:paraId="0EA30AB0" w14:textId="77777777" w:rsidR="00EC4AA3" w:rsidRDefault="00EC4AA3" w:rsidP="003F1428">
      <w:pPr>
        <w:rPr>
          <w:color w:val="4A66AC" w:themeColor="accent1"/>
        </w:rPr>
      </w:pPr>
    </w:p>
    <w:p w14:paraId="1FDDC021" w14:textId="77777777" w:rsidR="00140CAB" w:rsidRDefault="00140CAB" w:rsidP="003F1428">
      <w:pPr>
        <w:rPr>
          <w:color w:val="4A66AC" w:themeColor="accent1"/>
        </w:rPr>
      </w:pPr>
    </w:p>
    <w:p w14:paraId="192082B0" w14:textId="77777777" w:rsidR="00BA7235" w:rsidRDefault="00BA7235" w:rsidP="003F1428">
      <w:pPr>
        <w:rPr>
          <w:color w:val="4A66AC" w:themeColor="accent1"/>
        </w:rPr>
      </w:pPr>
    </w:p>
    <w:p w14:paraId="0F426578" w14:textId="77777777" w:rsidR="00BA7235" w:rsidRDefault="00BA7235" w:rsidP="003F1428">
      <w:pPr>
        <w:rPr>
          <w:color w:val="4A66AC" w:themeColor="accent1"/>
        </w:rPr>
      </w:pPr>
    </w:p>
    <w:p w14:paraId="013B63AC" w14:textId="77777777" w:rsidR="00BA7235" w:rsidRDefault="00BA7235" w:rsidP="003F1428">
      <w:pPr>
        <w:rPr>
          <w:color w:val="4A66AC" w:themeColor="accent1"/>
        </w:rPr>
      </w:pPr>
    </w:p>
    <w:p w14:paraId="5E6B5E00" w14:textId="77777777" w:rsidR="00BA7235" w:rsidRDefault="00BA7235" w:rsidP="003F1428">
      <w:pPr>
        <w:rPr>
          <w:color w:val="4A66AC" w:themeColor="accent1"/>
        </w:rPr>
      </w:pPr>
    </w:p>
    <w:p w14:paraId="58021FC2" w14:textId="77777777" w:rsidR="00BA7235" w:rsidRDefault="00BA7235" w:rsidP="003F1428">
      <w:pPr>
        <w:rPr>
          <w:color w:val="4A66AC" w:themeColor="accent1"/>
        </w:rPr>
      </w:pPr>
    </w:p>
    <w:p w14:paraId="64894126" w14:textId="77777777" w:rsidR="00BA7235" w:rsidRDefault="00BA7235" w:rsidP="003F1428">
      <w:pPr>
        <w:rPr>
          <w:color w:val="4A66AC" w:themeColor="accent1"/>
        </w:rPr>
      </w:pPr>
    </w:p>
    <w:p w14:paraId="00952952" w14:textId="77777777" w:rsidR="00BA7235" w:rsidRDefault="00BA7235" w:rsidP="003F1428">
      <w:pPr>
        <w:rPr>
          <w:color w:val="4A66AC" w:themeColor="accent1"/>
        </w:rPr>
      </w:pPr>
    </w:p>
    <w:p w14:paraId="755EF272" w14:textId="77777777" w:rsidR="00BA7235" w:rsidRDefault="00BA7235" w:rsidP="003F1428">
      <w:pPr>
        <w:rPr>
          <w:color w:val="4A66AC" w:themeColor="accent1"/>
        </w:rPr>
      </w:pPr>
    </w:p>
    <w:p w14:paraId="56880071" w14:textId="77777777" w:rsidR="00BA7235" w:rsidRDefault="00BA7235" w:rsidP="003F1428">
      <w:pPr>
        <w:rPr>
          <w:color w:val="4A66AC" w:themeColor="accent1"/>
        </w:rPr>
      </w:pPr>
    </w:p>
    <w:p w14:paraId="3A85CC30" w14:textId="77777777" w:rsidR="00BA7235" w:rsidRDefault="00BA7235" w:rsidP="003F1428">
      <w:pPr>
        <w:rPr>
          <w:color w:val="4A66AC" w:themeColor="accent1"/>
        </w:rPr>
      </w:pPr>
    </w:p>
    <w:p w14:paraId="39F71ECF" w14:textId="77777777" w:rsidR="00BA7235" w:rsidRDefault="00BA7235" w:rsidP="003F1428">
      <w:pPr>
        <w:rPr>
          <w:color w:val="4A66AC" w:themeColor="accent1"/>
        </w:rPr>
      </w:pPr>
    </w:p>
    <w:p w14:paraId="5865CF14" w14:textId="77777777" w:rsidR="00BA7235" w:rsidRDefault="00BA7235" w:rsidP="003F1428">
      <w:pPr>
        <w:rPr>
          <w:color w:val="4A66AC" w:themeColor="accent1"/>
        </w:rPr>
      </w:pPr>
    </w:p>
    <w:p w14:paraId="54C610F9" w14:textId="77777777" w:rsidR="006F6178" w:rsidRDefault="006F6178" w:rsidP="003F1428">
      <w:pPr>
        <w:rPr>
          <w:color w:val="4A66AC" w:themeColor="accent1"/>
        </w:rPr>
      </w:pPr>
    </w:p>
    <w:p w14:paraId="4D861113" w14:textId="77777777" w:rsidR="006F6178" w:rsidRDefault="006F6178" w:rsidP="003F1428">
      <w:pPr>
        <w:rPr>
          <w:color w:val="4A66AC" w:themeColor="accent1"/>
        </w:rPr>
      </w:pPr>
    </w:p>
    <w:p w14:paraId="2B49DFF8" w14:textId="77777777" w:rsidR="006F6178" w:rsidRDefault="006F6178" w:rsidP="003F1428">
      <w:pPr>
        <w:rPr>
          <w:color w:val="4A66AC" w:themeColor="accent1"/>
        </w:rPr>
      </w:pPr>
    </w:p>
    <w:p w14:paraId="4C99BCBA" w14:textId="36D5CD0D" w:rsidR="00C94330" w:rsidRDefault="00C94330">
      <w:pPr>
        <w:rPr>
          <w:b/>
          <w:bCs/>
          <w:caps/>
          <w:color w:val="FFFFFF" w:themeColor="background1"/>
          <w:spacing w:val="15"/>
          <w:sz w:val="22"/>
          <w:szCs w:val="22"/>
        </w:rPr>
      </w:pPr>
      <w:bookmarkStart w:id="41" w:name="_Toc84593421"/>
      <w:bookmarkStart w:id="42" w:name="_Hlk52631114"/>
    </w:p>
    <w:p w14:paraId="40E9FAEB" w14:textId="77777777" w:rsidR="00EC4AA3" w:rsidRPr="00BA7235" w:rsidRDefault="00BA7235" w:rsidP="00BA7235">
      <w:pPr>
        <w:pStyle w:val="Heading1"/>
        <w:rPr>
          <w:b/>
          <w:bCs/>
        </w:rPr>
      </w:pPr>
      <w:r w:rsidRPr="00BA7235">
        <w:rPr>
          <w:b/>
          <w:bCs/>
        </w:rPr>
        <w:lastRenderedPageBreak/>
        <w:t>Introduction</w:t>
      </w:r>
      <w:bookmarkEnd w:id="41"/>
      <w:r w:rsidRPr="00BA7235">
        <w:rPr>
          <w:b/>
          <w:bCs/>
        </w:rPr>
        <w:tab/>
      </w:r>
    </w:p>
    <w:bookmarkEnd w:id="42"/>
    <w:p w14:paraId="6B4BF0EB" w14:textId="3D21EAC6" w:rsidR="00437B1F" w:rsidRPr="00EC4AA3" w:rsidRDefault="00437B1F" w:rsidP="00437B1F">
      <w:pPr>
        <w:rPr>
          <w:sz w:val="22"/>
          <w:szCs w:val="22"/>
        </w:rPr>
      </w:pPr>
      <w:r w:rsidRPr="00EC4AA3">
        <w:rPr>
          <w:sz w:val="22"/>
          <w:szCs w:val="22"/>
        </w:rPr>
        <w:t xml:space="preserve">The WORLD Policy Analysis Center, based at the University of California, Los Angeles, captures </w:t>
      </w:r>
      <w:r w:rsidRPr="00EC4AA3">
        <w:rPr>
          <w:rFonts w:ascii="Calibri" w:hAnsi="Calibri"/>
          <w:sz w:val="22"/>
          <w:szCs w:val="22"/>
        </w:rPr>
        <w:t>quantitative policy data on more than 2,000 indicators that matter to equality, health, and well-being. We</w:t>
      </w:r>
      <w:r w:rsidRPr="00EC4AA3">
        <w:rPr>
          <w:sz w:val="22"/>
          <w:szCs w:val="22"/>
        </w:rPr>
        <w:t xml:space="preserve"> strive to improve the quantity and quality of globally comparative data available to policymakers, citizens, national governments, intergovernmental organizations, civil society, and researchers for all 193 UN member states.</w:t>
      </w:r>
      <w:r w:rsidR="004B412B" w:rsidRPr="00EC4AA3">
        <w:rPr>
          <w:sz w:val="22"/>
          <w:szCs w:val="22"/>
        </w:rPr>
        <w:t xml:space="preserve"> We submit the following brief in advance of the </w:t>
      </w:r>
      <w:r w:rsidR="00DE3A32">
        <w:rPr>
          <w:sz w:val="22"/>
          <w:szCs w:val="22"/>
        </w:rPr>
        <w:t>7</w:t>
      </w:r>
      <w:r w:rsidR="005C6D44">
        <w:rPr>
          <w:sz w:val="22"/>
          <w:szCs w:val="22"/>
        </w:rPr>
        <w:t>1</w:t>
      </w:r>
      <w:r w:rsidR="005C6D44" w:rsidRPr="005C6D44">
        <w:rPr>
          <w:sz w:val="22"/>
          <w:szCs w:val="22"/>
          <w:vertAlign w:val="superscript"/>
        </w:rPr>
        <w:t>st</w:t>
      </w:r>
      <w:r w:rsidR="005C6D44">
        <w:rPr>
          <w:sz w:val="22"/>
          <w:szCs w:val="22"/>
        </w:rPr>
        <w:t xml:space="preserve"> </w:t>
      </w:r>
      <w:r w:rsidR="004B412B" w:rsidRPr="00EC4AA3">
        <w:rPr>
          <w:sz w:val="22"/>
          <w:szCs w:val="22"/>
        </w:rPr>
        <w:t xml:space="preserve">Pre-Sessional Working Group of the Committee on </w:t>
      </w:r>
      <w:r w:rsidR="0008349B" w:rsidRPr="00EC4AA3">
        <w:rPr>
          <w:sz w:val="22"/>
          <w:szCs w:val="22"/>
        </w:rPr>
        <w:t>Economic, Social, and Cultural Rights</w:t>
      </w:r>
      <w:r w:rsidR="004B412B" w:rsidRPr="00EC4AA3">
        <w:rPr>
          <w:sz w:val="22"/>
          <w:szCs w:val="22"/>
        </w:rPr>
        <w:t xml:space="preserve">. </w:t>
      </w:r>
    </w:p>
    <w:p w14:paraId="5B66689F" w14:textId="0E9290FE" w:rsidR="0008349B" w:rsidRPr="00EC4AA3" w:rsidRDefault="0008349B" w:rsidP="0008349B">
      <w:pPr>
        <w:rPr>
          <w:sz w:val="22"/>
          <w:szCs w:val="22"/>
        </w:rPr>
      </w:pPr>
      <w:r w:rsidRPr="00EC4AA3">
        <w:rPr>
          <w:sz w:val="22"/>
          <w:szCs w:val="22"/>
        </w:rPr>
        <w:t xml:space="preserve">This brief will focus on the following </w:t>
      </w:r>
      <w:r w:rsidR="00112EB2">
        <w:rPr>
          <w:sz w:val="22"/>
          <w:szCs w:val="22"/>
        </w:rPr>
        <w:t>area:</w:t>
      </w:r>
    </w:p>
    <w:p w14:paraId="02C88258" w14:textId="77777777" w:rsidR="0008349B" w:rsidRPr="00EC4AA3" w:rsidRDefault="0008349B" w:rsidP="0008349B">
      <w:pPr>
        <w:pStyle w:val="ListParagraph"/>
        <w:numPr>
          <w:ilvl w:val="0"/>
          <w:numId w:val="26"/>
        </w:numPr>
        <w:rPr>
          <w:sz w:val="22"/>
          <w:szCs w:val="22"/>
        </w:rPr>
      </w:pPr>
      <w:r w:rsidRPr="00EC4AA3">
        <w:rPr>
          <w:rFonts w:ascii="Calibri" w:hAnsi="Calibri" w:cs="Calibri"/>
          <w:sz w:val="22"/>
          <w:szCs w:val="22"/>
        </w:rPr>
        <w:t xml:space="preserve">Equality and non-discrimination (Article 2, General Comment No. 5) </w:t>
      </w:r>
    </w:p>
    <w:p w14:paraId="613D10A1" w14:textId="77777777" w:rsidR="00F42DA9" w:rsidRPr="00EC4AA3" w:rsidRDefault="00F42DA9" w:rsidP="00F42DA9">
      <w:pPr>
        <w:rPr>
          <w:sz w:val="22"/>
          <w:szCs w:val="22"/>
        </w:rPr>
      </w:pPr>
      <w:r w:rsidRPr="00EC4AA3">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7EB3E633" w14:textId="6DA05FED" w:rsidR="00EC4AA3" w:rsidRPr="00EC4AA3" w:rsidRDefault="00EC4AA3" w:rsidP="00EC4AA3">
      <w:pPr>
        <w:rPr>
          <w:sz w:val="22"/>
          <w:szCs w:val="22"/>
        </w:rPr>
      </w:pPr>
      <w:r w:rsidRPr="00EC4AA3">
        <w:rPr>
          <w:sz w:val="22"/>
          <w:szCs w:val="22"/>
        </w:rPr>
        <w:t>In this report we</w:t>
      </w:r>
      <w:r w:rsidR="0071197E">
        <w:rPr>
          <w:sz w:val="22"/>
          <w:szCs w:val="22"/>
        </w:rPr>
        <w:t xml:space="preserve"> first</w:t>
      </w:r>
      <w:r w:rsidRPr="00EC4AA3">
        <w:rPr>
          <w:sz w:val="22"/>
          <w:szCs w:val="22"/>
        </w:rPr>
        <w:t xml:space="preserve"> provide </w:t>
      </w:r>
      <w:r w:rsidR="0071197E">
        <w:rPr>
          <w:sz w:val="22"/>
          <w:szCs w:val="22"/>
        </w:rPr>
        <w:t xml:space="preserve">a summary of our constitutional findings, as well as suggested questions for the Committee to ask </w:t>
      </w:r>
      <w:r w:rsidR="00F0009D">
        <w:rPr>
          <w:sz w:val="22"/>
          <w:szCs w:val="22"/>
        </w:rPr>
        <w:t>Cyprus</w:t>
      </w:r>
      <w:r w:rsidR="0071197E">
        <w:rPr>
          <w:sz w:val="22"/>
          <w:szCs w:val="22"/>
        </w:rPr>
        <w:t xml:space="preserve"> and topics we hope the Committee will address in its concluding observations. This summary is followed by detailed constitutional excerpts documenting our findings. </w:t>
      </w:r>
      <w:r w:rsidRPr="00EC4AA3">
        <w:rPr>
          <w:sz w:val="22"/>
          <w:szCs w:val="22"/>
        </w:rPr>
        <w:t xml:space="preserve">We hope the Committee will recommend that </w:t>
      </w:r>
      <w:r w:rsidR="00F0009D">
        <w:rPr>
          <w:sz w:val="22"/>
          <w:szCs w:val="22"/>
        </w:rPr>
        <w:t>Cyprus</w:t>
      </w:r>
      <w:r w:rsidRPr="00EC4AA3">
        <w:rPr>
          <w:sz w:val="22"/>
          <w:szCs w:val="22"/>
        </w:rPr>
        <w:t xml:space="preserve"> address any gaps in consultation and collaboration with relevant stakeholders, including civil society organizations. </w:t>
      </w:r>
      <w:r w:rsidR="00667844" w:rsidRPr="00EC4AA3">
        <w:rPr>
          <w:color w:val="000000" w:themeColor="text1"/>
          <w:sz w:val="22"/>
          <w:szCs w:val="22"/>
        </w:rPr>
        <w:t>We also recognize that while having strong</w:t>
      </w:r>
      <w:r w:rsidR="00112EB2">
        <w:rPr>
          <w:color w:val="000000" w:themeColor="text1"/>
          <w:sz w:val="22"/>
          <w:szCs w:val="22"/>
        </w:rPr>
        <w:t xml:space="preserve"> constitutions,</w:t>
      </w:r>
      <w:r w:rsidR="00667844" w:rsidRPr="00EC4AA3">
        <w:rPr>
          <w:color w:val="000000" w:themeColor="text1"/>
          <w:sz w:val="22"/>
          <w:szCs w:val="22"/>
        </w:rPr>
        <w:t xml:space="preserve"> laws and policies in place are necessary first steps, implementation is also of paramount importance. In areas where we have commended </w:t>
      </w:r>
      <w:r w:rsidR="00F0009D">
        <w:rPr>
          <w:color w:val="000000" w:themeColor="text1"/>
          <w:sz w:val="22"/>
          <w:szCs w:val="22"/>
        </w:rPr>
        <w:t>Cyprus</w:t>
      </w:r>
      <w:r w:rsidR="00667844" w:rsidRPr="00EC4AA3">
        <w:rPr>
          <w:color w:val="000000" w:themeColor="text1"/>
          <w:sz w:val="22"/>
          <w:szCs w:val="22"/>
        </w:rPr>
        <w:t xml:space="preserve"> for having provisions in place, we hope the Committee will recommend that </w:t>
      </w:r>
      <w:r w:rsidR="00F0009D">
        <w:rPr>
          <w:color w:val="000000" w:themeColor="text1"/>
          <w:sz w:val="22"/>
          <w:szCs w:val="22"/>
        </w:rPr>
        <w:t>Cyprus</w:t>
      </w:r>
      <w:r w:rsidR="00B7146B">
        <w:rPr>
          <w:color w:val="000000" w:themeColor="text1"/>
          <w:sz w:val="22"/>
          <w:szCs w:val="22"/>
        </w:rPr>
        <w:t xml:space="preserve"> </w:t>
      </w:r>
      <w:r w:rsidR="00667844" w:rsidRPr="00EC4AA3">
        <w:rPr>
          <w:color w:val="000000" w:themeColor="text1"/>
          <w:sz w:val="22"/>
          <w:szCs w:val="22"/>
        </w:rPr>
        <w:t>work with stakeholders to overcome any obstacles in implementing these provisions.</w:t>
      </w:r>
    </w:p>
    <w:p w14:paraId="56933115" w14:textId="77777777" w:rsidR="00231FF8" w:rsidRPr="00EC4AA3" w:rsidRDefault="00231FF8" w:rsidP="00231FF8">
      <w:pPr>
        <w:rPr>
          <w:rFonts w:ascii="Calibri" w:eastAsiaTheme="majorEastAsia" w:hAnsi="Calibri" w:cs="Calibri"/>
          <w:color w:val="3405DF"/>
          <w:sz w:val="22"/>
          <w:szCs w:val="22"/>
        </w:rPr>
      </w:pPr>
    </w:p>
    <w:p w14:paraId="67CEC486" w14:textId="77777777" w:rsidR="00F71D82" w:rsidRDefault="00F71D82" w:rsidP="003F1428">
      <w:pPr>
        <w:spacing w:after="0"/>
        <w:rPr>
          <w:b/>
          <w:i/>
        </w:rPr>
      </w:pPr>
    </w:p>
    <w:p w14:paraId="025636FA" w14:textId="77777777" w:rsidR="007C5F61" w:rsidRDefault="007C5F61" w:rsidP="003F1428">
      <w:pPr>
        <w:spacing w:after="0"/>
        <w:rPr>
          <w:b/>
          <w:i/>
        </w:rPr>
      </w:pPr>
    </w:p>
    <w:p w14:paraId="4087D6AF" w14:textId="77777777" w:rsidR="004E16A9" w:rsidRDefault="004E16A9">
      <w:pPr>
        <w:spacing w:after="0"/>
        <w:rPr>
          <w:b/>
          <w:i/>
        </w:rPr>
      </w:pPr>
      <w:r>
        <w:rPr>
          <w:b/>
          <w:i/>
        </w:rPr>
        <w:br w:type="page"/>
      </w:r>
    </w:p>
    <w:p w14:paraId="3643C474" w14:textId="77777777" w:rsidR="00CF6B5F" w:rsidRDefault="00CF6B5F" w:rsidP="00CF6B5F">
      <w:pPr>
        <w:pStyle w:val="Heading1"/>
        <w:rPr>
          <w:rFonts w:eastAsia="Times New Roman"/>
          <w:b/>
          <w:bCs/>
        </w:rPr>
      </w:pPr>
      <w:bookmarkStart w:id="43" w:name="_Toc56070607"/>
      <w:bookmarkStart w:id="44" w:name="_Toc56071653"/>
      <w:bookmarkStart w:id="45" w:name="_Toc56080007"/>
      <w:bookmarkStart w:id="46" w:name="_Toc84593422"/>
      <w:r>
        <w:rPr>
          <w:rFonts w:eastAsia="Times New Roman"/>
          <w:b/>
          <w:bCs/>
        </w:rPr>
        <w:lastRenderedPageBreak/>
        <w:t>Summary of Findings and Recommendations</w:t>
      </w:r>
      <w:bookmarkEnd w:id="43"/>
      <w:bookmarkEnd w:id="44"/>
      <w:bookmarkEnd w:id="45"/>
      <w:bookmarkEnd w:id="46"/>
    </w:p>
    <w:p w14:paraId="60D46E8E" w14:textId="77777777" w:rsidR="00CF6B5F" w:rsidRPr="00CF6B5F" w:rsidRDefault="00CF6B5F" w:rsidP="00CF6B5F">
      <w:pPr>
        <w:pStyle w:val="NoSpacing"/>
      </w:pPr>
    </w:p>
    <w:p w14:paraId="50A22450" w14:textId="77777777" w:rsidR="00CF6B5F" w:rsidRPr="00140CAB" w:rsidRDefault="00CF6B5F" w:rsidP="00CF6B5F">
      <w:pPr>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7" w:name="_Toc56080008"/>
      <w:bookmarkStart w:id="48" w:name="_Toc84593423"/>
      <w:r w:rsidRPr="00140CAB">
        <w:rPr>
          <w:rFonts w:ascii="Calibri Light" w:eastAsia="Times New Roman" w:hAnsi="Calibri Light" w:cs="Times New Roman"/>
          <w:bCs/>
          <w:color w:val="2E74B5"/>
          <w:sz w:val="26"/>
          <w:szCs w:val="26"/>
        </w:rPr>
        <w:t>Equality and Non-Discrimination (Article</w:t>
      </w:r>
      <w:r w:rsidR="00140CAB" w:rsidRPr="00140CAB">
        <w:rPr>
          <w:rFonts w:ascii="Calibri Light" w:eastAsia="Times New Roman" w:hAnsi="Calibri Light" w:cs="Times New Roman"/>
          <w:bCs/>
          <w:color w:val="2E74B5"/>
          <w:sz w:val="26"/>
          <w:szCs w:val="26"/>
        </w:rPr>
        <w:t xml:space="preserve"> </w:t>
      </w:r>
      <w:r w:rsidRPr="00140CAB">
        <w:rPr>
          <w:rFonts w:ascii="Calibri Light" w:eastAsia="Times New Roman" w:hAnsi="Calibri Light" w:cs="Times New Roman"/>
          <w:bCs/>
          <w:color w:val="2E74B5"/>
          <w:sz w:val="26"/>
          <w:szCs w:val="26"/>
        </w:rPr>
        <w:t>2, General Comment No. 5)</w:t>
      </w:r>
      <w:bookmarkEnd w:id="47"/>
      <w:bookmarkEnd w:id="48"/>
    </w:p>
    <w:p w14:paraId="03068FA7" w14:textId="09DC963F" w:rsidR="00112EB2" w:rsidRDefault="00F415C7" w:rsidP="00F415C7">
      <w:pPr>
        <w:spacing w:after="0"/>
        <w:rPr>
          <w:sz w:val="22"/>
          <w:szCs w:val="22"/>
        </w:rPr>
      </w:pPr>
      <w:r w:rsidRPr="00A47BFB">
        <w:rPr>
          <w:sz w:val="22"/>
          <w:szCs w:val="22"/>
        </w:rPr>
        <w:t>Based on our review of full-text national constitutions</w:t>
      </w:r>
      <w:r w:rsidR="00397422">
        <w:rPr>
          <w:sz w:val="22"/>
          <w:szCs w:val="22"/>
        </w:rPr>
        <w:t>,</w:t>
      </w:r>
      <w:r>
        <w:rPr>
          <w:sz w:val="22"/>
          <w:szCs w:val="22"/>
        </w:rPr>
        <w:t xml:space="preserve"> we find that </w:t>
      </w:r>
      <w:r w:rsidR="00F0009D">
        <w:rPr>
          <w:sz w:val="22"/>
          <w:szCs w:val="22"/>
        </w:rPr>
        <w:t>Cyprus</w:t>
      </w:r>
      <w:r w:rsidR="00DA3417">
        <w:rPr>
          <w:sz w:val="22"/>
          <w:szCs w:val="22"/>
        </w:rPr>
        <w:t xml:space="preserve">’s </w:t>
      </w:r>
      <w:r>
        <w:rPr>
          <w:sz w:val="22"/>
          <w:szCs w:val="22"/>
        </w:rPr>
        <w:t xml:space="preserve">constitution </w:t>
      </w:r>
      <w:r w:rsidR="00DA3417">
        <w:rPr>
          <w:sz w:val="22"/>
          <w:szCs w:val="22"/>
        </w:rPr>
        <w:t xml:space="preserve">guarantees equality </w:t>
      </w:r>
      <w:r w:rsidR="00A30BD4">
        <w:rPr>
          <w:sz w:val="22"/>
          <w:szCs w:val="22"/>
        </w:rPr>
        <w:t xml:space="preserve">on the basis of </w:t>
      </w:r>
      <w:r w:rsidR="00583013">
        <w:rPr>
          <w:sz w:val="22"/>
          <w:szCs w:val="22"/>
        </w:rPr>
        <w:t xml:space="preserve">nearly all groups and statuses cited in the Covenant, including “on any ground whatsoever”. </w:t>
      </w:r>
      <w:r w:rsidR="00583013" w:rsidRPr="005C1770">
        <w:rPr>
          <w:b/>
          <w:sz w:val="22"/>
          <w:szCs w:val="22"/>
        </w:rPr>
        <w:t>The constitution does not, however, explicitly protect against discrimination on the basis of disability.</w:t>
      </w:r>
    </w:p>
    <w:p w14:paraId="38B125B8" w14:textId="6E7CA249" w:rsidR="00CF6B5F" w:rsidRPr="005C1770" w:rsidRDefault="00112EB2" w:rsidP="003F1428">
      <w:pPr>
        <w:spacing w:after="0"/>
        <w:rPr>
          <w:sz w:val="22"/>
          <w:szCs w:val="22"/>
        </w:rPr>
      </w:pPr>
      <w:r>
        <w:rPr>
          <w:noProof/>
          <w:color w:val="000000" w:themeColor="text1"/>
          <w:sz w:val="22"/>
          <w:szCs w:val="22"/>
          <w:lang w:val="en-GB" w:eastAsia="en-GB"/>
        </w:rPr>
        <mc:AlternateContent>
          <mc:Choice Requires="wps">
            <w:drawing>
              <wp:inline distT="0" distB="0" distL="0" distR="0" wp14:anchorId="38C67C76" wp14:editId="47C6BA48">
                <wp:extent cx="5876925" cy="2667000"/>
                <wp:effectExtent l="38100" t="38100" r="123825" b="114300"/>
                <wp:docPr id="1" name="Text Box 1"/>
                <wp:cNvGraphicFramePr/>
                <a:graphic xmlns:a="http://schemas.openxmlformats.org/drawingml/2006/main">
                  <a:graphicData uri="http://schemas.microsoft.com/office/word/2010/wordprocessingShape">
                    <wps:wsp>
                      <wps:cNvSpPr txBox="1"/>
                      <wps:spPr>
                        <a:xfrm>
                          <a:off x="0" y="0"/>
                          <a:ext cx="5876925" cy="266700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09098FA9" w14:textId="77777777" w:rsidR="00112EB2" w:rsidRPr="00072ECE" w:rsidRDefault="00112EB2" w:rsidP="00112EB2">
                            <w:pPr>
                              <w:pStyle w:val="Heading2"/>
                              <w:jc w:val="center"/>
                              <w:rPr>
                                <w:b/>
                              </w:rPr>
                            </w:pPr>
                            <w:r w:rsidRPr="00072ECE">
                              <w:rPr>
                                <w:b/>
                              </w:rPr>
                              <w:t>Recommended</w:t>
                            </w:r>
                            <w:r>
                              <w:rPr>
                                <w:b/>
                              </w:rPr>
                              <w:t xml:space="preserve"> questions for the list of issues and </w:t>
                            </w:r>
                            <w:r w:rsidRPr="00072ECE">
                              <w:rPr>
                                <w:b/>
                              </w:rPr>
                              <w:t>Concluding Observation</w:t>
                            </w:r>
                          </w:p>
                          <w:p w14:paraId="4ED9070F" w14:textId="77777777" w:rsidR="00112EB2" w:rsidRDefault="00112EB2" w:rsidP="00112EB2">
                            <w:pPr>
                              <w:spacing w:before="0" w:after="0"/>
                              <w:rPr>
                                <w:rFonts w:eastAsia="Times New Roman"/>
                                <w:bCs/>
                                <w:sz w:val="22"/>
                                <w:szCs w:val="22"/>
                              </w:rPr>
                            </w:pPr>
                          </w:p>
                          <w:p w14:paraId="76F09AEB" w14:textId="77777777" w:rsidR="00112EB2" w:rsidRPr="00112EB2" w:rsidRDefault="00112EB2" w:rsidP="00112EB2">
                            <w:pPr>
                              <w:spacing w:before="0" w:after="0"/>
                              <w:rPr>
                                <w:rFonts w:eastAsia="Times New Roman"/>
                                <w:bCs/>
                                <w:sz w:val="22"/>
                                <w:szCs w:val="22"/>
                              </w:rPr>
                            </w:pPr>
                            <w:r w:rsidRPr="00112EB2">
                              <w:rPr>
                                <w:rFonts w:eastAsia="Times New Roman"/>
                                <w:bCs/>
                                <w:sz w:val="22"/>
                                <w:szCs w:val="22"/>
                              </w:rPr>
                              <w:t>We hope the Committee will:</w:t>
                            </w:r>
                          </w:p>
                          <w:p w14:paraId="07742CB9" w14:textId="08A86891" w:rsidR="00112EB2" w:rsidRPr="00112EB2" w:rsidRDefault="00112EB2" w:rsidP="00112EB2">
                            <w:pPr>
                              <w:pStyle w:val="ListParagraph"/>
                              <w:numPr>
                                <w:ilvl w:val="0"/>
                                <w:numId w:val="32"/>
                              </w:numPr>
                              <w:spacing w:before="0" w:after="0"/>
                              <w:rPr>
                                <w:bCs/>
                                <w:iCs/>
                                <w:sz w:val="22"/>
                                <w:szCs w:val="22"/>
                              </w:rPr>
                            </w:pPr>
                            <w:r w:rsidRPr="00112EB2">
                              <w:rPr>
                                <w:bCs/>
                                <w:iCs/>
                                <w:sz w:val="22"/>
                                <w:szCs w:val="22"/>
                              </w:rPr>
                              <w:t xml:space="preserve">In its list of issues, ask </w:t>
                            </w:r>
                            <w:r w:rsidR="00F0009D">
                              <w:rPr>
                                <w:bCs/>
                                <w:iCs/>
                                <w:sz w:val="22"/>
                                <w:szCs w:val="22"/>
                              </w:rPr>
                              <w:t>Cyprus</w:t>
                            </w:r>
                            <w:r w:rsidRPr="00112EB2">
                              <w:rPr>
                                <w:bCs/>
                                <w:iCs/>
                                <w:sz w:val="22"/>
                                <w:szCs w:val="22"/>
                              </w:rPr>
                              <w:t xml:space="preserve">: Can </w:t>
                            </w:r>
                            <w:r w:rsidR="00F0009D">
                              <w:rPr>
                                <w:bCs/>
                                <w:iCs/>
                                <w:sz w:val="22"/>
                                <w:szCs w:val="22"/>
                              </w:rPr>
                              <w:t>Cyprus</w:t>
                            </w:r>
                            <w:r w:rsidRPr="00112EB2">
                              <w:rPr>
                                <w:bCs/>
                                <w:iCs/>
                                <w:sz w:val="22"/>
                                <w:szCs w:val="22"/>
                              </w:rPr>
                              <w:t xml:space="preserve"> demonstrate whether the constitutional right to equality on the basis of “</w:t>
                            </w:r>
                            <w:r w:rsidR="00583013">
                              <w:rPr>
                                <w:bCs/>
                                <w:iCs/>
                                <w:sz w:val="22"/>
                                <w:szCs w:val="22"/>
                              </w:rPr>
                              <w:t>any ground whatsoever</w:t>
                            </w:r>
                            <w:r w:rsidRPr="00112EB2">
                              <w:rPr>
                                <w:bCs/>
                                <w:iCs/>
                                <w:sz w:val="22"/>
                                <w:szCs w:val="22"/>
                              </w:rPr>
                              <w:t>” has been interpreted through case law or other policies to apply to persons with disabilities</w:t>
                            </w:r>
                            <w:r w:rsidR="00246BA2">
                              <w:rPr>
                                <w:bCs/>
                                <w:iCs/>
                                <w:sz w:val="22"/>
                                <w:szCs w:val="22"/>
                              </w:rPr>
                              <w:t>, consistent with commitments made through General Comment No. 5</w:t>
                            </w:r>
                            <w:r w:rsidRPr="00112EB2">
                              <w:rPr>
                                <w:bCs/>
                                <w:iCs/>
                                <w:sz w:val="22"/>
                                <w:szCs w:val="22"/>
                              </w:rPr>
                              <w:t xml:space="preserve">? </w:t>
                            </w:r>
                          </w:p>
                          <w:p w14:paraId="0EE478B9" w14:textId="3E5AF602" w:rsidR="00112EB2" w:rsidRPr="00112EB2" w:rsidRDefault="00112EB2" w:rsidP="00112EB2">
                            <w:pPr>
                              <w:pStyle w:val="ListParagraph"/>
                              <w:numPr>
                                <w:ilvl w:val="1"/>
                                <w:numId w:val="32"/>
                              </w:numPr>
                              <w:spacing w:before="0" w:after="0"/>
                              <w:rPr>
                                <w:i/>
                                <w:sz w:val="22"/>
                                <w:szCs w:val="22"/>
                              </w:rPr>
                            </w:pPr>
                            <w:r w:rsidRPr="00112EB2">
                              <w:rPr>
                                <w:bCs/>
                                <w:iCs/>
                                <w:sz w:val="22"/>
                                <w:szCs w:val="22"/>
                              </w:rPr>
                              <w:t xml:space="preserve">If </w:t>
                            </w:r>
                            <w:r w:rsidR="00F0009D">
                              <w:rPr>
                                <w:bCs/>
                                <w:iCs/>
                                <w:sz w:val="22"/>
                                <w:szCs w:val="22"/>
                              </w:rPr>
                              <w:t>Cyprus</w:t>
                            </w:r>
                            <w:r w:rsidRPr="00112EB2">
                              <w:rPr>
                                <w:bCs/>
                                <w:iCs/>
                                <w:sz w:val="22"/>
                                <w:szCs w:val="22"/>
                              </w:rPr>
                              <w:t xml:space="preserve"> cannot demonstrate that this constitutional universal protection is inclusive of persons with disabilities, </w:t>
                            </w:r>
                            <w:r w:rsidRPr="00112EB2">
                              <w:rPr>
                                <w:rFonts w:eastAsia="Times New Roman"/>
                                <w:sz w:val="22"/>
                                <w:szCs w:val="22"/>
                              </w:rPr>
                              <w:t xml:space="preserve">recommend in its concluding observations that </w:t>
                            </w:r>
                            <w:r w:rsidR="00F0009D">
                              <w:rPr>
                                <w:rFonts w:eastAsia="Times New Roman"/>
                                <w:sz w:val="22"/>
                                <w:szCs w:val="22"/>
                              </w:rPr>
                              <w:t>Cyprus</w:t>
                            </w:r>
                            <w:r w:rsidRPr="00112EB2">
                              <w:rPr>
                                <w:rFonts w:eastAsia="Times New Roman"/>
                                <w:sz w:val="22"/>
                                <w:szCs w:val="22"/>
                              </w:rPr>
                              <w:t xml:space="preserve"> amend the constitution </w:t>
                            </w:r>
                            <w:r w:rsidRPr="00112EB2">
                              <w:rPr>
                                <w:rFonts w:eastAsia="Times New Roman"/>
                                <w:bCs/>
                                <w:sz w:val="22"/>
                                <w:szCs w:val="22"/>
                              </w:rPr>
                              <w:t>to add explicit guarantees of equality and non-discrimination based on disability</w:t>
                            </w:r>
                            <w:r w:rsidRPr="00112EB2">
                              <w:rPr>
                                <w:rFonts w:eastAsia="Times New Roman"/>
                                <w:sz w:val="22"/>
                                <w:szCs w:val="22"/>
                              </w:rPr>
                              <w:t xml:space="preserve">. These provisions could be added to Article </w:t>
                            </w:r>
                            <w:r w:rsidR="00583013">
                              <w:rPr>
                                <w:rFonts w:eastAsia="Times New Roman"/>
                                <w:sz w:val="22"/>
                                <w:szCs w:val="22"/>
                              </w:rPr>
                              <w:t>28</w:t>
                            </w:r>
                            <w:r w:rsidR="00583013" w:rsidRPr="00112EB2">
                              <w:rPr>
                                <w:rFonts w:eastAsia="Times New Roman"/>
                                <w:sz w:val="22"/>
                                <w:szCs w:val="22"/>
                              </w:rPr>
                              <w:t xml:space="preserve"> </w:t>
                            </w:r>
                            <w:r w:rsidRPr="00112EB2">
                              <w:rPr>
                                <w:rFonts w:eastAsia="Times New Roman"/>
                                <w:sz w:val="22"/>
                                <w:szCs w:val="22"/>
                              </w:rPr>
                              <w:t xml:space="preserve">of the constitution, which already lists </w:t>
                            </w:r>
                            <w:r w:rsidR="00A81429">
                              <w:rPr>
                                <w:rFonts w:eastAsia="Times New Roman"/>
                                <w:sz w:val="22"/>
                                <w:szCs w:val="22"/>
                              </w:rPr>
                              <w:t xml:space="preserve">all other </w:t>
                            </w:r>
                            <w:r w:rsidR="00246BA2">
                              <w:rPr>
                                <w:rFonts w:eastAsia="Times New Roman"/>
                                <w:sz w:val="22"/>
                                <w:szCs w:val="22"/>
                              </w:rPr>
                              <w:t>Covenant</w:t>
                            </w:r>
                            <w:r w:rsidR="00246BA2" w:rsidRPr="00112EB2">
                              <w:rPr>
                                <w:rFonts w:eastAsia="Times New Roman"/>
                                <w:sz w:val="22"/>
                                <w:szCs w:val="22"/>
                              </w:rPr>
                              <w:t xml:space="preserve"> </w:t>
                            </w:r>
                            <w:r w:rsidRPr="00112EB2">
                              <w:rPr>
                                <w:rFonts w:eastAsia="Times New Roman"/>
                                <w:sz w:val="22"/>
                                <w:szCs w:val="22"/>
                              </w:rPr>
                              <w:t xml:space="preserve">grounds and statuses. </w:t>
                            </w:r>
                          </w:p>
                          <w:p w14:paraId="6DF7F791" w14:textId="77777777" w:rsidR="00112EB2" w:rsidRDefault="00112EB2" w:rsidP="00112E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8C67C76" id="_x0000_t202" coordsize="21600,21600" o:spt="202" path="m,l,21600r21600,l21600,xe">
                <v:stroke joinstyle="miter"/>
                <v:path gradientshapeok="t" o:connecttype="rect"/>
              </v:shapetype>
              <v:shape id="Text Box 1" o:spid="_x0000_s1026" type="#_x0000_t202" style="width:462.75pt;height:21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" fillcolor="white [3201]" strokeweight=".5pt">
                <v:shadow on="t" color="black" opacity="26214f" origin="-.5,-.5" offset=".74836mm,.74836mm"/>
                <v:textbox>
                  <w:txbxContent>
                    <w:p w14:paraId="09098FA9" w14:textId="77777777" w:rsidR="00112EB2" w:rsidRPr="00072ECE" w:rsidRDefault="00112EB2" w:rsidP="00112EB2">
                      <w:pPr>
                        <w:pStyle w:val="Heading2"/>
                        <w:jc w:val="center"/>
                        <w:rPr>
                          <w:b/>
                        </w:rPr>
                      </w:pPr>
                      <w:r w:rsidRPr="00072ECE">
                        <w:rPr>
                          <w:b/>
                        </w:rPr>
                        <w:t>Recommended</w:t>
                      </w:r>
                      <w:r>
                        <w:rPr>
                          <w:b/>
                        </w:rPr>
                        <w:t xml:space="preserve"> questions for the list of issues and </w:t>
                      </w:r>
                      <w:r w:rsidRPr="00072ECE">
                        <w:rPr>
                          <w:b/>
                        </w:rPr>
                        <w:t>Concluding Observation</w:t>
                      </w:r>
                    </w:p>
                    <w:p w14:paraId="4ED9070F" w14:textId="77777777" w:rsidR="00112EB2" w:rsidRDefault="00112EB2" w:rsidP="00112EB2">
                      <w:pPr>
                        <w:spacing w:before="0" w:after="0"/>
                        <w:rPr>
                          <w:rFonts w:eastAsia="Times New Roman"/>
                          <w:bCs/>
                          <w:sz w:val="22"/>
                          <w:szCs w:val="22"/>
                        </w:rPr>
                      </w:pPr>
                    </w:p>
                    <w:p w14:paraId="76F09AEB" w14:textId="77777777" w:rsidR="00112EB2" w:rsidRPr="00112EB2" w:rsidRDefault="00112EB2" w:rsidP="00112EB2">
                      <w:pPr>
                        <w:spacing w:before="0" w:after="0"/>
                        <w:rPr>
                          <w:rFonts w:eastAsia="Times New Roman"/>
                          <w:bCs/>
                          <w:sz w:val="22"/>
                          <w:szCs w:val="22"/>
                        </w:rPr>
                      </w:pPr>
                      <w:r w:rsidRPr="00112EB2">
                        <w:rPr>
                          <w:rFonts w:eastAsia="Times New Roman"/>
                          <w:bCs/>
                          <w:sz w:val="22"/>
                          <w:szCs w:val="22"/>
                        </w:rPr>
                        <w:t>We hope the Committee will:</w:t>
                      </w:r>
                    </w:p>
                    <w:p w14:paraId="07742CB9" w14:textId="08A86891" w:rsidR="00112EB2" w:rsidRPr="00112EB2" w:rsidRDefault="00112EB2" w:rsidP="00112EB2">
                      <w:pPr>
                        <w:pStyle w:val="ListParagraph"/>
                        <w:numPr>
                          <w:ilvl w:val="0"/>
                          <w:numId w:val="32"/>
                        </w:numPr>
                        <w:spacing w:before="0" w:after="0"/>
                        <w:rPr>
                          <w:bCs/>
                          <w:iCs/>
                          <w:sz w:val="22"/>
                          <w:szCs w:val="22"/>
                        </w:rPr>
                      </w:pPr>
                      <w:r w:rsidRPr="00112EB2">
                        <w:rPr>
                          <w:bCs/>
                          <w:iCs/>
                          <w:sz w:val="22"/>
                          <w:szCs w:val="22"/>
                        </w:rPr>
                        <w:t xml:space="preserve">In its list of issues, ask </w:t>
                      </w:r>
                      <w:r w:rsidR="00F0009D">
                        <w:rPr>
                          <w:bCs/>
                          <w:iCs/>
                          <w:sz w:val="22"/>
                          <w:szCs w:val="22"/>
                        </w:rPr>
                        <w:t>Cyprus</w:t>
                      </w:r>
                      <w:r w:rsidRPr="00112EB2">
                        <w:rPr>
                          <w:bCs/>
                          <w:iCs/>
                          <w:sz w:val="22"/>
                          <w:szCs w:val="22"/>
                        </w:rPr>
                        <w:t xml:space="preserve">: Can </w:t>
                      </w:r>
                      <w:r w:rsidR="00F0009D">
                        <w:rPr>
                          <w:bCs/>
                          <w:iCs/>
                          <w:sz w:val="22"/>
                          <w:szCs w:val="22"/>
                        </w:rPr>
                        <w:t>Cyprus</w:t>
                      </w:r>
                      <w:r w:rsidRPr="00112EB2">
                        <w:rPr>
                          <w:bCs/>
                          <w:iCs/>
                          <w:sz w:val="22"/>
                          <w:szCs w:val="22"/>
                        </w:rPr>
                        <w:t xml:space="preserve"> demonstrate whether the constitutional right to equality on the basis of “</w:t>
                      </w:r>
                      <w:r w:rsidR="00583013">
                        <w:rPr>
                          <w:bCs/>
                          <w:iCs/>
                          <w:sz w:val="22"/>
                          <w:szCs w:val="22"/>
                        </w:rPr>
                        <w:t>any ground whatsoever</w:t>
                      </w:r>
                      <w:r w:rsidRPr="00112EB2">
                        <w:rPr>
                          <w:bCs/>
                          <w:iCs/>
                          <w:sz w:val="22"/>
                          <w:szCs w:val="22"/>
                        </w:rPr>
                        <w:t>” has been interpreted through case law or other policies to apply to persons with disabilities</w:t>
                      </w:r>
                      <w:r w:rsidR="00246BA2">
                        <w:rPr>
                          <w:bCs/>
                          <w:iCs/>
                          <w:sz w:val="22"/>
                          <w:szCs w:val="22"/>
                        </w:rPr>
                        <w:t>, consistent with commitments made through General Comment No. 5</w:t>
                      </w:r>
                      <w:r w:rsidRPr="00112EB2">
                        <w:rPr>
                          <w:bCs/>
                          <w:iCs/>
                          <w:sz w:val="22"/>
                          <w:szCs w:val="22"/>
                        </w:rPr>
                        <w:t xml:space="preserve">? </w:t>
                      </w:r>
                    </w:p>
                    <w:p w14:paraId="0EE478B9" w14:textId="3E5AF602" w:rsidR="00112EB2" w:rsidRPr="00112EB2" w:rsidRDefault="00112EB2" w:rsidP="00112EB2">
                      <w:pPr>
                        <w:pStyle w:val="ListParagraph"/>
                        <w:numPr>
                          <w:ilvl w:val="1"/>
                          <w:numId w:val="32"/>
                        </w:numPr>
                        <w:spacing w:before="0" w:after="0"/>
                        <w:rPr>
                          <w:i/>
                          <w:sz w:val="22"/>
                          <w:szCs w:val="22"/>
                        </w:rPr>
                      </w:pPr>
                      <w:r w:rsidRPr="00112EB2">
                        <w:rPr>
                          <w:bCs/>
                          <w:iCs/>
                          <w:sz w:val="22"/>
                          <w:szCs w:val="22"/>
                        </w:rPr>
                        <w:t xml:space="preserve">If </w:t>
                      </w:r>
                      <w:r w:rsidR="00F0009D">
                        <w:rPr>
                          <w:bCs/>
                          <w:iCs/>
                          <w:sz w:val="22"/>
                          <w:szCs w:val="22"/>
                        </w:rPr>
                        <w:t>Cyprus</w:t>
                      </w:r>
                      <w:r w:rsidRPr="00112EB2">
                        <w:rPr>
                          <w:bCs/>
                          <w:iCs/>
                          <w:sz w:val="22"/>
                          <w:szCs w:val="22"/>
                        </w:rPr>
                        <w:t xml:space="preserve"> cannot demonstrate that this constitutional universal protection is inclusive of persons with disabilities, </w:t>
                      </w:r>
                      <w:r w:rsidRPr="00112EB2">
                        <w:rPr>
                          <w:rFonts w:eastAsia="Times New Roman"/>
                          <w:sz w:val="22"/>
                          <w:szCs w:val="22"/>
                        </w:rPr>
                        <w:t xml:space="preserve">recommend in its concluding observations that </w:t>
                      </w:r>
                      <w:r w:rsidR="00F0009D">
                        <w:rPr>
                          <w:rFonts w:eastAsia="Times New Roman"/>
                          <w:sz w:val="22"/>
                          <w:szCs w:val="22"/>
                        </w:rPr>
                        <w:t>Cyprus</w:t>
                      </w:r>
                      <w:r w:rsidRPr="00112EB2">
                        <w:rPr>
                          <w:rFonts w:eastAsia="Times New Roman"/>
                          <w:sz w:val="22"/>
                          <w:szCs w:val="22"/>
                        </w:rPr>
                        <w:t xml:space="preserve"> amend the constitution </w:t>
                      </w:r>
                      <w:r w:rsidRPr="00112EB2">
                        <w:rPr>
                          <w:rFonts w:eastAsia="Times New Roman"/>
                          <w:bCs/>
                          <w:sz w:val="22"/>
                          <w:szCs w:val="22"/>
                        </w:rPr>
                        <w:t>to add explicit guarantees of equality and non-discrimination based on disability</w:t>
                      </w:r>
                      <w:r w:rsidRPr="00112EB2">
                        <w:rPr>
                          <w:rFonts w:eastAsia="Times New Roman"/>
                          <w:sz w:val="22"/>
                          <w:szCs w:val="22"/>
                        </w:rPr>
                        <w:t xml:space="preserve">. These provisions could be added to Article </w:t>
                      </w:r>
                      <w:r w:rsidR="00583013">
                        <w:rPr>
                          <w:rFonts w:eastAsia="Times New Roman"/>
                          <w:sz w:val="22"/>
                          <w:szCs w:val="22"/>
                        </w:rPr>
                        <w:t>28</w:t>
                      </w:r>
                      <w:r w:rsidR="00583013" w:rsidRPr="00112EB2">
                        <w:rPr>
                          <w:rFonts w:eastAsia="Times New Roman"/>
                          <w:sz w:val="22"/>
                          <w:szCs w:val="22"/>
                        </w:rPr>
                        <w:t xml:space="preserve"> </w:t>
                      </w:r>
                      <w:r w:rsidRPr="00112EB2">
                        <w:rPr>
                          <w:rFonts w:eastAsia="Times New Roman"/>
                          <w:sz w:val="22"/>
                          <w:szCs w:val="22"/>
                        </w:rPr>
                        <w:t xml:space="preserve">of the constitution, which already lists </w:t>
                      </w:r>
                      <w:r w:rsidR="00A81429">
                        <w:rPr>
                          <w:rFonts w:eastAsia="Times New Roman"/>
                          <w:sz w:val="22"/>
                          <w:szCs w:val="22"/>
                        </w:rPr>
                        <w:t xml:space="preserve">all other </w:t>
                      </w:r>
                      <w:r w:rsidR="00246BA2">
                        <w:rPr>
                          <w:rFonts w:eastAsia="Times New Roman"/>
                          <w:sz w:val="22"/>
                          <w:szCs w:val="22"/>
                        </w:rPr>
                        <w:t>Covenant</w:t>
                      </w:r>
                      <w:r w:rsidR="00246BA2" w:rsidRPr="00112EB2">
                        <w:rPr>
                          <w:rFonts w:eastAsia="Times New Roman"/>
                          <w:sz w:val="22"/>
                          <w:szCs w:val="22"/>
                        </w:rPr>
                        <w:t xml:space="preserve"> </w:t>
                      </w:r>
                      <w:r w:rsidRPr="00112EB2">
                        <w:rPr>
                          <w:rFonts w:eastAsia="Times New Roman"/>
                          <w:sz w:val="22"/>
                          <w:szCs w:val="22"/>
                        </w:rPr>
                        <w:t xml:space="preserve">grounds and statuses. </w:t>
                      </w:r>
                    </w:p>
                    <w:p w14:paraId="6DF7F791" w14:textId="77777777" w:rsidR="00112EB2" w:rsidRDefault="00112EB2" w:rsidP="00112EB2"/>
                  </w:txbxContent>
                </v:textbox>
                <w10:anchorlock/>
              </v:shape>
            </w:pict>
          </mc:Fallback>
        </mc:AlternateContent>
      </w:r>
      <w:r w:rsidR="00E83B15">
        <w:rPr>
          <w:sz w:val="22"/>
          <w:szCs w:val="22"/>
        </w:rPr>
        <w:br/>
      </w:r>
    </w:p>
    <w:p w14:paraId="7F00C51A" w14:textId="3E6ABB96" w:rsidR="00EC4AA3" w:rsidRPr="00EC4AA3" w:rsidRDefault="00EC4AA3" w:rsidP="00EC4AA3">
      <w:pPr>
        <w:pStyle w:val="Heading1"/>
        <w:rPr>
          <w:rFonts w:eastAsia="Times New Roman"/>
          <w:b/>
          <w:bCs/>
        </w:rPr>
      </w:pPr>
      <w:bookmarkStart w:id="49" w:name="_Toc56080013"/>
      <w:bookmarkStart w:id="50" w:name="_Toc84593425"/>
      <w:r w:rsidRPr="00EC4AA3">
        <w:rPr>
          <w:rFonts w:eastAsia="Times New Roman"/>
          <w:b/>
          <w:bCs/>
        </w:rPr>
        <w:t xml:space="preserve">Detail </w:t>
      </w:r>
      <w:bookmarkEnd w:id="49"/>
      <w:bookmarkEnd w:id="50"/>
    </w:p>
    <w:p w14:paraId="5B967EAA" w14:textId="77777777" w:rsidR="00910870" w:rsidRDefault="00910870" w:rsidP="003F1428">
      <w:pPr>
        <w:spacing w:after="0"/>
        <w:rPr>
          <w:b/>
          <w:i/>
        </w:rPr>
      </w:pPr>
    </w:p>
    <w:p w14:paraId="3786224A" w14:textId="77777777" w:rsidR="003F7B4B" w:rsidRPr="00140CAB" w:rsidRDefault="00EC4AA3" w:rsidP="00CF6B5F">
      <w:pPr>
        <w:pStyle w:val="ListParagraph"/>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1" w:name="_Toc56080014"/>
      <w:bookmarkStart w:id="52" w:name="_Toc84593426"/>
      <w:r w:rsidRPr="00140CAB">
        <w:rPr>
          <w:rFonts w:ascii="Calibri Light" w:eastAsia="Times New Roman" w:hAnsi="Calibri Light" w:cs="Times New Roman"/>
          <w:bCs/>
          <w:color w:val="2E74B5"/>
          <w:sz w:val="26"/>
          <w:szCs w:val="26"/>
        </w:rPr>
        <w:t>Equality and Non-Discrimination (Article 2, General Comment No. 5)</w:t>
      </w:r>
      <w:bookmarkEnd w:id="51"/>
      <w:bookmarkEnd w:id="52"/>
    </w:p>
    <w:p w14:paraId="2FDE4541" w14:textId="77777777" w:rsidR="00231FF8" w:rsidRPr="00EC4AA3" w:rsidRDefault="00C22851" w:rsidP="00EC4AA3">
      <w:pPr>
        <w:rPr>
          <w:sz w:val="22"/>
          <w:szCs w:val="22"/>
        </w:rPr>
      </w:pPr>
      <w:r w:rsidRPr="00EC4AA3">
        <w:rPr>
          <w:sz w:val="22"/>
          <w:szCs w:val="22"/>
        </w:rPr>
        <w:t xml:space="preserve">Article </w:t>
      </w:r>
      <w:r w:rsidR="004A2C19" w:rsidRPr="00EC4AA3">
        <w:rPr>
          <w:sz w:val="22"/>
          <w:szCs w:val="22"/>
        </w:rPr>
        <w:t>2</w:t>
      </w:r>
      <w:r w:rsidR="000E5FB7" w:rsidRPr="00EC4AA3">
        <w:rPr>
          <w:sz w:val="22"/>
          <w:szCs w:val="22"/>
        </w:rPr>
        <w:t xml:space="preserve"> (2)</w:t>
      </w:r>
      <w:r w:rsidR="004A2C19" w:rsidRPr="00EC4AA3">
        <w:rPr>
          <w:sz w:val="22"/>
          <w:szCs w:val="22"/>
        </w:rPr>
        <w:t xml:space="preserve"> </w:t>
      </w:r>
      <w:r w:rsidR="00D23173" w:rsidRPr="00EC4AA3">
        <w:rPr>
          <w:sz w:val="22"/>
          <w:szCs w:val="22"/>
        </w:rPr>
        <w:t xml:space="preserve">of </w:t>
      </w:r>
      <w:r w:rsidR="00573459" w:rsidRPr="00EC4AA3">
        <w:rPr>
          <w:sz w:val="22"/>
          <w:szCs w:val="22"/>
        </w:rPr>
        <w:t xml:space="preserve">The </w:t>
      </w:r>
      <w:r w:rsidR="00F93A51" w:rsidRPr="00EC4AA3">
        <w:rPr>
          <w:sz w:val="22"/>
          <w:szCs w:val="22"/>
        </w:rPr>
        <w:t xml:space="preserve">Covenant </w:t>
      </w:r>
      <w:r w:rsidR="00D23173" w:rsidRPr="00EC4AA3">
        <w:rPr>
          <w:sz w:val="22"/>
          <w:szCs w:val="22"/>
        </w:rPr>
        <w:t>states that:</w:t>
      </w:r>
    </w:p>
    <w:p w14:paraId="7D139651" w14:textId="77777777" w:rsidR="00231FF8" w:rsidRPr="00EC4AA3" w:rsidRDefault="004A2C19" w:rsidP="00EC4AA3">
      <w:pPr>
        <w:ind w:left="720"/>
        <w:rPr>
          <w:i/>
        </w:rPr>
      </w:pPr>
      <w:r w:rsidRPr="00EC4AA3">
        <w:rPr>
          <w:i/>
          <w:sz w:val="22"/>
          <w:szCs w:val="22"/>
        </w:rPr>
        <w:t xml:space="preserve">The States Parties to the present Covenant undertake to guarantee that the rights enunciated in the present Covenant will be exercised without discrimination of any kind as to </w:t>
      </w:r>
      <w:bookmarkStart w:id="53" w:name="_Hlk106307980"/>
      <w:r w:rsidRPr="00EC4AA3">
        <w:rPr>
          <w:i/>
          <w:sz w:val="22"/>
          <w:szCs w:val="22"/>
        </w:rPr>
        <w:t>race, colour, sex, language, religion, political or other opinion, national or social origin, property, birth or other status</w:t>
      </w:r>
      <w:r w:rsidRPr="00EC4AA3">
        <w:rPr>
          <w:i/>
        </w:rPr>
        <w:t>.</w:t>
      </w:r>
    </w:p>
    <w:bookmarkEnd w:id="53"/>
    <w:p w14:paraId="737A9B1B" w14:textId="77777777" w:rsidR="00231FF8" w:rsidRPr="00EC4AA3" w:rsidRDefault="000E5FB7" w:rsidP="00EC4AA3">
      <w:pPr>
        <w:rPr>
          <w:sz w:val="22"/>
          <w:szCs w:val="22"/>
        </w:rPr>
      </w:pPr>
      <w:r w:rsidRPr="00EC4AA3">
        <w:rPr>
          <w:sz w:val="22"/>
          <w:szCs w:val="22"/>
        </w:rPr>
        <w:t xml:space="preserve">Furthermore, General Comment No. 5, explicitly addresses non-discrimination of persons with disabilities by stating: </w:t>
      </w:r>
    </w:p>
    <w:p w14:paraId="419D5A69" w14:textId="77777777" w:rsidR="00F42DA9" w:rsidRPr="00EC4AA3" w:rsidRDefault="000E5FB7" w:rsidP="00EC4AA3">
      <w:pPr>
        <w:ind w:left="720"/>
        <w:rPr>
          <w:i/>
          <w:sz w:val="22"/>
          <w:szCs w:val="22"/>
        </w:rPr>
      </w:pPr>
      <w:r w:rsidRPr="00EC4AA3">
        <w:rPr>
          <w:i/>
          <w:sz w:val="22"/>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4CA254DF" w14:textId="77777777" w:rsidR="00EC4AA3" w:rsidRPr="00EC4AA3" w:rsidRDefault="00EC4AA3" w:rsidP="00EC4AA3">
      <w:pPr>
        <w:rPr>
          <w:color w:val="3405DF"/>
          <w:sz w:val="22"/>
          <w:szCs w:val="22"/>
        </w:rPr>
      </w:pPr>
      <w:bookmarkStart w:id="54" w:name="_Hlk55551037"/>
      <w:r w:rsidRPr="00EC4AA3">
        <w:rPr>
          <w:sz w:val="22"/>
          <w:szCs w:val="22"/>
        </w:rPr>
        <w:lastRenderedPageBreak/>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bookmarkEnd w:id="54"/>
    <w:p w14:paraId="0A9EC9FA" w14:textId="77777777" w:rsidR="00EC4AA3" w:rsidRPr="00EC4AA3" w:rsidRDefault="00033457" w:rsidP="00EC4AA3">
      <w:pPr>
        <w:rPr>
          <w:sz w:val="22"/>
          <w:szCs w:val="22"/>
        </w:rPr>
      </w:pPr>
      <w:r w:rsidRPr="00EC4AA3">
        <w:rPr>
          <w:sz w:val="22"/>
          <w:szCs w:val="22"/>
        </w:rPr>
        <w:t xml:space="preserve">We reviewed full text constitutions for all 193 UN member states available from official government sources to determine whether the constitution took any approach to equality across the grounds listed in Article 2.2 and General Comment No. 5 of the </w:t>
      </w:r>
      <w:r w:rsidR="0028336A">
        <w:rPr>
          <w:sz w:val="22"/>
          <w:szCs w:val="22"/>
        </w:rPr>
        <w:t>Covenant</w:t>
      </w:r>
      <w:r w:rsidRPr="00EC4AA3">
        <w:rPr>
          <w:sz w:val="22"/>
          <w:szCs w:val="22"/>
        </w:rPr>
        <w:t xml:space="preserve"> by prohibiting discrimination based on each specific status, guaranteeing equal rights, guaranteeing equality before the law, or guaranteeing overall equality or equal opportunities. </w:t>
      </w:r>
    </w:p>
    <w:p w14:paraId="08B742EE" w14:textId="1C9F15CD" w:rsidR="00EC4AA3" w:rsidRPr="00EC4AA3" w:rsidRDefault="00F0009D" w:rsidP="00EC4AA3">
      <w:pPr>
        <w:keepNext/>
        <w:keepLines/>
        <w:spacing w:before="40" w:afterLines="100" w:after="240"/>
        <w:outlineLvl w:val="3"/>
        <w:rPr>
          <w:rFonts w:ascii="Calibri Light" w:eastAsia="Times New Roman" w:hAnsi="Calibri Light" w:cs="Times New Roman"/>
          <w:i/>
          <w:iCs/>
          <w:color w:val="2E74B5"/>
          <w:sz w:val="22"/>
          <w:szCs w:val="22"/>
        </w:rPr>
      </w:pPr>
      <w:bookmarkStart w:id="55" w:name="_Hlk55550922"/>
      <w:r>
        <w:rPr>
          <w:rFonts w:ascii="Calibri Light" w:eastAsia="Times New Roman" w:hAnsi="Calibri Light" w:cs="Times New Roman"/>
          <w:i/>
          <w:iCs/>
          <w:color w:val="2E74B5"/>
          <w:sz w:val="22"/>
          <w:szCs w:val="22"/>
        </w:rPr>
        <w:t>CYPRUS</w:t>
      </w:r>
      <w:r w:rsidR="00EC4AA3" w:rsidRPr="00E630F9">
        <w:rPr>
          <w:rFonts w:ascii="Calibri Light" w:eastAsia="Times New Roman" w:hAnsi="Calibri Light" w:cs="Times New Roman"/>
          <w:i/>
          <w:iCs/>
          <w:color w:val="2E74B5"/>
          <w:sz w:val="22"/>
          <w:szCs w:val="22"/>
        </w:rPr>
        <w:t>’</w:t>
      </w:r>
      <w:r w:rsidR="00EC4AA3" w:rsidRPr="00EC4AA3">
        <w:rPr>
          <w:rFonts w:ascii="Calibri Light" w:eastAsia="Times New Roman" w:hAnsi="Calibri Light" w:cs="Times New Roman"/>
          <w:i/>
          <w:iCs/>
          <w:color w:val="2E74B5"/>
          <w:sz w:val="22"/>
          <w:szCs w:val="22"/>
        </w:rPr>
        <w:t xml:space="preserve">S CONSTITUTIONAL PROVISIONS: </w:t>
      </w:r>
      <w:r w:rsidR="00F415C7" w:rsidRPr="000539DC">
        <w:rPr>
          <w:rFonts w:ascii="Calibri Light" w:eastAsia="Times New Roman" w:hAnsi="Calibri Light" w:cs="Times New Roman"/>
          <w:i/>
          <w:iCs/>
          <w:color w:val="2E74B5"/>
          <w:sz w:val="21"/>
          <w:szCs w:val="21"/>
        </w:rPr>
        <w:t>MISSING EXPLICIT GUARANTEES OF EQUALITY AND NON-DISCRIMINATION</w:t>
      </w:r>
      <w:r w:rsidR="00C94330">
        <w:rPr>
          <w:rFonts w:ascii="Calibri Light" w:eastAsia="Times New Roman" w:hAnsi="Calibri Light" w:cs="Times New Roman"/>
          <w:i/>
          <w:iCs/>
          <w:color w:val="2E74B5"/>
          <w:sz w:val="21"/>
          <w:szCs w:val="21"/>
        </w:rPr>
        <w:t xml:space="preserve"> FOR PERSONS WITH DISABILITIES</w:t>
      </w:r>
    </w:p>
    <w:p w14:paraId="0D582AE7" w14:textId="2DE53420" w:rsidR="005F04D8" w:rsidRPr="00583013" w:rsidRDefault="00F160D0" w:rsidP="005F04D8">
      <w:pPr>
        <w:spacing w:after="0"/>
        <w:rPr>
          <w:sz w:val="22"/>
          <w:szCs w:val="22"/>
        </w:rPr>
      </w:pPr>
      <w:bookmarkStart w:id="56" w:name="_Hlk55551043"/>
      <w:bookmarkEnd w:id="55"/>
      <w:r w:rsidRPr="00583013">
        <w:rPr>
          <w:sz w:val="22"/>
          <w:szCs w:val="22"/>
        </w:rPr>
        <w:t xml:space="preserve">Article </w:t>
      </w:r>
      <w:r w:rsidR="00583013" w:rsidRPr="00583013">
        <w:rPr>
          <w:sz w:val="22"/>
          <w:szCs w:val="22"/>
        </w:rPr>
        <w:t xml:space="preserve">28 </w:t>
      </w:r>
      <w:r w:rsidRPr="00583013">
        <w:rPr>
          <w:sz w:val="22"/>
          <w:szCs w:val="22"/>
        </w:rPr>
        <w:t xml:space="preserve">of </w:t>
      </w:r>
      <w:r w:rsidR="00F0009D" w:rsidRPr="00583013">
        <w:rPr>
          <w:sz w:val="22"/>
          <w:szCs w:val="22"/>
        </w:rPr>
        <w:t>Cyprus</w:t>
      </w:r>
      <w:r w:rsidRPr="00583013">
        <w:rPr>
          <w:sz w:val="22"/>
          <w:szCs w:val="22"/>
        </w:rPr>
        <w:t xml:space="preserve">’s constitution </w:t>
      </w:r>
      <w:r w:rsidR="00583013" w:rsidRPr="00583013">
        <w:rPr>
          <w:sz w:val="22"/>
          <w:szCs w:val="22"/>
        </w:rPr>
        <w:t>prohibits discrimination against nearl</w:t>
      </w:r>
      <w:r w:rsidR="00583013">
        <w:rPr>
          <w:sz w:val="22"/>
          <w:szCs w:val="22"/>
        </w:rPr>
        <w:t>y all of the groups and statuses cited in the Covenant.</w:t>
      </w:r>
    </w:p>
    <w:p w14:paraId="0A729D4A" w14:textId="713CA7DD" w:rsidR="00F415C7" w:rsidRPr="00C94330" w:rsidRDefault="00F415C7" w:rsidP="00EC4AA3">
      <w:pPr>
        <w:rPr>
          <w:b/>
          <w:bCs/>
        </w:rPr>
      </w:pPr>
      <w:r w:rsidRPr="00583013">
        <w:rPr>
          <w:b/>
          <w:bCs/>
          <w:i/>
          <w:iCs/>
          <w:sz w:val="22"/>
          <w:szCs w:val="22"/>
        </w:rPr>
        <w:tab/>
      </w:r>
      <w:r w:rsidRPr="00C94330">
        <w:rPr>
          <w:b/>
          <w:bCs/>
          <w:sz w:val="22"/>
          <w:szCs w:val="22"/>
        </w:rPr>
        <w:t xml:space="preserve">Constitution of </w:t>
      </w:r>
      <w:r w:rsidR="00F0009D">
        <w:rPr>
          <w:b/>
          <w:bCs/>
          <w:sz w:val="22"/>
          <w:szCs w:val="22"/>
        </w:rPr>
        <w:t>Cyprus</w:t>
      </w:r>
      <w:r w:rsidRPr="00C94330">
        <w:rPr>
          <w:b/>
          <w:bCs/>
          <w:sz w:val="22"/>
          <w:szCs w:val="22"/>
        </w:rPr>
        <w:t xml:space="preserve"> </w:t>
      </w:r>
    </w:p>
    <w:bookmarkEnd w:id="56"/>
    <w:p w14:paraId="450C1AC0" w14:textId="77777777" w:rsidR="00F0009D" w:rsidRPr="00F0009D" w:rsidRDefault="00F0009D" w:rsidP="00F0009D">
      <w:pPr>
        <w:ind w:left="720"/>
        <w:rPr>
          <w:i/>
          <w:iCs/>
        </w:rPr>
      </w:pPr>
      <w:r w:rsidRPr="00F0009D">
        <w:rPr>
          <w:i/>
          <w:iCs/>
        </w:rPr>
        <w:t xml:space="preserve">Article 28 </w:t>
      </w:r>
    </w:p>
    <w:p w14:paraId="2C076EE2" w14:textId="77777777" w:rsidR="00F0009D" w:rsidRPr="00F0009D" w:rsidRDefault="00F0009D" w:rsidP="00F0009D">
      <w:pPr>
        <w:ind w:left="720"/>
        <w:rPr>
          <w:i/>
          <w:iCs/>
        </w:rPr>
      </w:pPr>
      <w:r w:rsidRPr="00F0009D">
        <w:rPr>
          <w:i/>
          <w:iCs/>
        </w:rPr>
        <w:t xml:space="preserve">1. All persons are equal before the law, the administration and justice and are entitled to equal protection thereof and treatment thereby. </w:t>
      </w:r>
    </w:p>
    <w:p w14:paraId="57CCDCF2" w14:textId="77777777" w:rsidR="00F0009D" w:rsidRPr="00F0009D" w:rsidRDefault="00F0009D" w:rsidP="00F0009D">
      <w:pPr>
        <w:ind w:left="720"/>
        <w:rPr>
          <w:i/>
          <w:iCs/>
        </w:rPr>
      </w:pPr>
      <w:r w:rsidRPr="00F0009D">
        <w:rPr>
          <w:i/>
          <w:iCs/>
        </w:rPr>
        <w:t xml:space="preserve">2. Every person shall enjoy all the rights and liberties provided for in this Constitution without any direct or indirect discrimination against any person on the ground of his community, race, religion, language, sex, political or other convictions, national or social descent, birth, colour, wealth, social class, or on any ground whatsoever, unless there is express provision to the contrary in this Constitution. </w:t>
      </w:r>
    </w:p>
    <w:p w14:paraId="560D153C" w14:textId="2384563B" w:rsidR="00952977" w:rsidRPr="00F0009D" w:rsidRDefault="00F0009D" w:rsidP="00F0009D">
      <w:pPr>
        <w:ind w:left="720"/>
        <w:rPr>
          <w:i/>
          <w:iCs/>
          <w:sz w:val="22"/>
          <w:szCs w:val="22"/>
        </w:rPr>
      </w:pPr>
      <w:r w:rsidRPr="00F0009D">
        <w:rPr>
          <w:i/>
          <w:iCs/>
        </w:rPr>
        <w:t>(…)</w:t>
      </w:r>
    </w:p>
    <w:p w14:paraId="4EF4715E" w14:textId="60ECACC8" w:rsidR="00952977" w:rsidRPr="00EF20C5" w:rsidRDefault="004F6A15" w:rsidP="00583013">
      <w:pPr>
        <w:spacing w:after="0"/>
        <w:rPr>
          <w:sz w:val="22"/>
          <w:szCs w:val="22"/>
        </w:rPr>
      </w:pPr>
      <w:r>
        <w:rPr>
          <w:sz w:val="22"/>
          <w:szCs w:val="22"/>
        </w:rPr>
        <w:t xml:space="preserve">In parallel to </w:t>
      </w:r>
      <w:r w:rsidR="00583013">
        <w:rPr>
          <w:sz w:val="22"/>
          <w:szCs w:val="22"/>
        </w:rPr>
        <w:t>the Covenant, the constitution includes protection for “any ground whatsoever”</w:t>
      </w:r>
      <w:r w:rsidR="00E759B4" w:rsidRPr="00542522">
        <w:rPr>
          <w:sz w:val="22"/>
          <w:szCs w:val="22"/>
        </w:rPr>
        <w:t xml:space="preserve">, </w:t>
      </w:r>
      <w:r>
        <w:rPr>
          <w:sz w:val="22"/>
          <w:szCs w:val="22"/>
        </w:rPr>
        <w:t>However,</w:t>
      </w:r>
      <w:r w:rsidR="00E00B5F">
        <w:rPr>
          <w:sz w:val="22"/>
          <w:szCs w:val="22"/>
        </w:rPr>
        <w:t xml:space="preserve"> </w:t>
      </w:r>
      <w:r>
        <w:rPr>
          <w:sz w:val="22"/>
          <w:szCs w:val="22"/>
        </w:rPr>
        <w:t xml:space="preserve">Cyprus’s constitution, despite </w:t>
      </w:r>
      <w:r w:rsidRPr="00542522">
        <w:rPr>
          <w:sz w:val="22"/>
          <w:szCs w:val="22"/>
        </w:rPr>
        <w:t>General Comment No. 5</w:t>
      </w:r>
      <w:r>
        <w:rPr>
          <w:sz w:val="22"/>
          <w:szCs w:val="22"/>
        </w:rPr>
        <w:t xml:space="preserve"> which </w:t>
      </w:r>
      <w:r w:rsidRPr="00EC4AA3">
        <w:rPr>
          <w:sz w:val="22"/>
          <w:szCs w:val="22"/>
        </w:rPr>
        <w:t>explicitly addresses non-discrimination of persons with disabilities</w:t>
      </w:r>
      <w:r w:rsidRPr="00542522">
        <w:rPr>
          <w:sz w:val="22"/>
          <w:szCs w:val="22"/>
        </w:rPr>
        <w:t xml:space="preserve">, </w:t>
      </w:r>
      <w:r w:rsidRPr="000353E5">
        <w:rPr>
          <w:b/>
          <w:bCs/>
          <w:sz w:val="22"/>
          <w:szCs w:val="22"/>
        </w:rPr>
        <w:t xml:space="preserve"> </w:t>
      </w:r>
      <w:r w:rsidR="000353E5" w:rsidRPr="000353E5">
        <w:rPr>
          <w:b/>
          <w:bCs/>
          <w:sz w:val="22"/>
          <w:szCs w:val="22"/>
        </w:rPr>
        <w:t>does not explicitly guarantee equality for persons with disabilities.</w:t>
      </w:r>
      <w:r w:rsidR="005F7B0E">
        <w:rPr>
          <w:b/>
          <w:bCs/>
          <w:sz w:val="22"/>
          <w:szCs w:val="22"/>
        </w:rPr>
        <w:t xml:space="preserve"> </w:t>
      </w:r>
      <w:r w:rsidR="00EF20C5">
        <w:rPr>
          <w:sz w:val="22"/>
          <w:szCs w:val="22"/>
        </w:rPr>
        <w:t>Our research has shown that</w:t>
      </w:r>
      <w:r w:rsidR="00CD353E">
        <w:rPr>
          <w:sz w:val="22"/>
          <w:szCs w:val="22"/>
        </w:rPr>
        <w:t xml:space="preserve"> these protections are becoming increasingly common</w:t>
      </w:r>
      <w:r w:rsidR="00EE0E58">
        <w:rPr>
          <w:sz w:val="22"/>
          <w:szCs w:val="22"/>
        </w:rPr>
        <w:t>:</w:t>
      </w:r>
      <w:r w:rsidR="00EF20C5">
        <w:rPr>
          <w:sz w:val="22"/>
          <w:szCs w:val="22"/>
        </w:rPr>
        <w:t xml:space="preserve"> </w:t>
      </w:r>
      <w:r w:rsidR="00EE0E58">
        <w:rPr>
          <w:sz w:val="22"/>
          <w:szCs w:val="22"/>
        </w:rPr>
        <w:t>W</w:t>
      </w:r>
      <w:r w:rsidR="00EF20C5">
        <w:rPr>
          <w:sz w:val="22"/>
          <w:szCs w:val="22"/>
        </w:rPr>
        <w:t>hile only 1</w:t>
      </w:r>
      <w:r w:rsidR="007E74BD">
        <w:rPr>
          <w:sz w:val="22"/>
          <w:szCs w:val="22"/>
        </w:rPr>
        <w:t>2</w:t>
      </w:r>
      <w:r w:rsidR="00EF20C5">
        <w:rPr>
          <w:sz w:val="22"/>
          <w:szCs w:val="22"/>
        </w:rPr>
        <w:t>% of current constitutions that were passed before 1990</w:t>
      </w:r>
      <w:r w:rsidR="00583013">
        <w:rPr>
          <w:sz w:val="22"/>
          <w:szCs w:val="22"/>
        </w:rPr>
        <w:t xml:space="preserve"> explicitly</w:t>
      </w:r>
      <w:r w:rsidR="00EF20C5">
        <w:rPr>
          <w:sz w:val="22"/>
          <w:szCs w:val="22"/>
        </w:rPr>
        <w:t xml:space="preserve"> protect equality for persons with disabilities, </w:t>
      </w:r>
      <w:r w:rsidR="00652920">
        <w:rPr>
          <w:sz w:val="22"/>
          <w:szCs w:val="22"/>
        </w:rPr>
        <w:t>69</w:t>
      </w:r>
      <w:r w:rsidR="00EF20C5">
        <w:rPr>
          <w:sz w:val="22"/>
          <w:szCs w:val="22"/>
        </w:rPr>
        <w:t>% of those passed since 2010 do</w:t>
      </w:r>
      <w:r w:rsidR="007E74BD">
        <w:rPr>
          <w:sz w:val="22"/>
          <w:szCs w:val="22"/>
        </w:rPr>
        <w:t>.</w:t>
      </w:r>
      <w:r w:rsidR="00EF20C5">
        <w:rPr>
          <w:sz w:val="22"/>
          <w:szCs w:val="22"/>
        </w:rPr>
        <w:t xml:space="preserve"> </w:t>
      </w:r>
    </w:p>
    <w:p w14:paraId="12AE036F" w14:textId="77777777" w:rsidR="000E0BE3" w:rsidRPr="00C60115" w:rsidRDefault="00514114" w:rsidP="000D0E9B">
      <w:pPr>
        <w:pStyle w:val="Heading4"/>
        <w:rPr>
          <w:rStyle w:val="IntenseEmphasis"/>
          <w:color w:val="3405DF"/>
        </w:rPr>
      </w:pPr>
      <w:r w:rsidRPr="000E03A6">
        <w:rPr>
          <w:i/>
          <w:sz w:val="18"/>
          <w:szCs w:val="18"/>
        </w:rPr>
        <w:t>Briefing prepared by the WORLD Policy Analysis Center, University of California, Los Angeles</w:t>
      </w:r>
    </w:p>
    <w:sectPr w:rsidR="000E0BE3" w:rsidRPr="00C60115" w:rsidSect="00782BBE">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62064" w16cex:dateUtc="2022-06-17T01:3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EF0559" w14:textId="77777777" w:rsidR="001C2332" w:rsidRDefault="001C2332" w:rsidP="00263795">
      <w:pPr>
        <w:spacing w:after="0" w:line="240" w:lineRule="auto"/>
      </w:pPr>
      <w:r>
        <w:separator/>
      </w:r>
    </w:p>
  </w:endnote>
  <w:endnote w:type="continuationSeparator" w:id="0">
    <w:p w14:paraId="5C1E9D28" w14:textId="77777777" w:rsidR="001C2332" w:rsidRDefault="001C2332"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750507"/>
      <w:docPartObj>
        <w:docPartGallery w:val="Page Numbers (Bottom of Page)"/>
        <w:docPartUnique/>
      </w:docPartObj>
    </w:sdtPr>
    <w:sdtEndPr>
      <w:rPr>
        <w:color w:val="7F7F7F" w:themeColor="background1" w:themeShade="7F"/>
        <w:spacing w:val="60"/>
      </w:rPr>
    </w:sdtEndPr>
    <w:sdtContent>
      <w:p w14:paraId="5C4BEF2E" w14:textId="035F97CD" w:rsidR="009F0937" w:rsidRDefault="009F0937">
        <w:pPr>
          <w:pStyle w:val="Footer"/>
          <w:pBdr>
            <w:top w:val="single" w:sz="4" w:space="1" w:color="D9D9D9" w:themeColor="background1" w:themeShade="D9"/>
          </w:pBdr>
          <w:jc w:val="right"/>
        </w:pPr>
        <w:r>
          <w:fldChar w:fldCharType="begin"/>
        </w:r>
        <w:r>
          <w:instrText xml:space="preserve"> PAGE   \* MERGEFORMAT </w:instrText>
        </w:r>
        <w:r>
          <w:fldChar w:fldCharType="separate"/>
        </w:r>
        <w:r w:rsidR="00544F67">
          <w:rPr>
            <w:noProof/>
          </w:rPr>
          <w:t>3</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7B808D" w14:textId="77777777" w:rsidR="001C2332" w:rsidRDefault="001C2332" w:rsidP="00263795">
      <w:pPr>
        <w:spacing w:after="0" w:line="240" w:lineRule="auto"/>
      </w:pPr>
      <w:r>
        <w:separator/>
      </w:r>
    </w:p>
  </w:footnote>
  <w:footnote w:type="continuationSeparator" w:id="0">
    <w:p w14:paraId="3C78FD6A" w14:textId="77777777" w:rsidR="001C2332" w:rsidRDefault="001C2332"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2FA09" w14:textId="40953317" w:rsidR="009F0937" w:rsidRPr="001D42D7" w:rsidRDefault="009F0937" w:rsidP="005B7FB6">
    <w:pPr>
      <w:pStyle w:val="Header"/>
      <w:jc w:val="right"/>
      <w:rPr>
        <w:i/>
        <w:color w:val="FF0000"/>
      </w:rPr>
    </w:pPr>
    <w:r w:rsidRPr="00F42DA9">
      <w:rPr>
        <w:i/>
        <w:noProof/>
        <w:color w:val="FF0000"/>
        <w:highlight w:val="yellow"/>
        <w:lang w:val="en-GB" w:eastAsia="en-GB"/>
      </w:rPr>
      <w:drawing>
        <wp:anchor distT="0" distB="0" distL="114300" distR="114300" simplePos="0" relativeHeight="251658240" behindDoc="1" locked="0" layoutInCell="1" allowOverlap="1" wp14:anchorId="30D448FC" wp14:editId="5B00A83D">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221B42" w:rsidRPr="00221B42">
      <w:t xml:space="preserve"> </w:t>
    </w:r>
    <w:r w:rsidR="00E84E19">
      <w:t>Ju</w:t>
    </w:r>
    <w:r w:rsidR="00927227">
      <w:t>ly 1</w:t>
    </w:r>
    <w:r w:rsidR="00E84E19">
      <w:t>, 2022</w:t>
    </w:r>
    <w:r w:rsidR="00221B42" w:rsidRPr="002D5385">
      <w:t xml:space="preserve"> </w:t>
    </w:r>
    <w:r w:rsidR="00250846" w:rsidRPr="001D42D7">
      <w:rPr>
        <w:i/>
        <w:color w:val="FF0000"/>
      </w:rPr>
      <w:t xml:space="preserve"> </w:t>
    </w:r>
  </w:p>
  <w:p w14:paraId="5DBEDF31" w14:textId="77777777" w:rsidR="009F0937" w:rsidRDefault="009F0937"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EEDB7" w14:textId="48D4D56A" w:rsidR="00221B42" w:rsidRDefault="00927227" w:rsidP="00112EB2">
    <w:pPr>
      <w:pStyle w:val="Header"/>
      <w:jc w:val="right"/>
    </w:pPr>
    <w:r>
      <w:t>July 1</w:t>
    </w:r>
    <w:r w:rsidR="00112EB2">
      <w:t>, 2022</w:t>
    </w:r>
    <w:r w:rsidR="00112EB2">
      <w:rPr>
        <w:noProof/>
        <w:lang w:val="en-GB" w:eastAsia="en-GB"/>
      </w:rPr>
      <w:drawing>
        <wp:anchor distT="0" distB="0" distL="114300" distR="114300" simplePos="0" relativeHeight="251660288" behindDoc="1" locked="0" layoutInCell="1" allowOverlap="1" wp14:anchorId="43430AF2" wp14:editId="7E07B722">
          <wp:simplePos x="0" y="0"/>
          <wp:positionH relativeFrom="column">
            <wp:posOffset>-676275</wp:posOffset>
          </wp:positionH>
          <wp:positionV relativeFrom="paragraph">
            <wp:posOffset>-314325</wp:posOffset>
          </wp:positionV>
          <wp:extent cx="2743200" cy="633095"/>
          <wp:effectExtent l="0" t="0" r="0" b="0"/>
          <wp:wrapTight wrapText="bothSides">
            <wp:wrapPolygon edited="0">
              <wp:start x="3300" y="0"/>
              <wp:lineTo x="450" y="3250"/>
              <wp:lineTo x="300" y="7149"/>
              <wp:lineTo x="2400" y="11699"/>
              <wp:lineTo x="2550" y="20798"/>
              <wp:lineTo x="3450" y="20798"/>
              <wp:lineTo x="20700" y="18199"/>
              <wp:lineTo x="21300" y="12349"/>
              <wp:lineTo x="20550" y="10399"/>
              <wp:lineTo x="20100" y="3900"/>
              <wp:lineTo x="4200" y="0"/>
              <wp:lineTo x="330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6330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A0727"/>
    <w:multiLevelType w:val="hybridMultilevel"/>
    <w:tmpl w:val="BD2E2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09574D"/>
    <w:multiLevelType w:val="hybridMultilevel"/>
    <w:tmpl w:val="B970AB76"/>
    <w:lvl w:ilvl="0" w:tplc="DD76726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BB7059"/>
    <w:multiLevelType w:val="hybridMultilevel"/>
    <w:tmpl w:val="899ED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8" w15:restartNumberingAfterBreak="0">
    <w:nsid w:val="700C4E66"/>
    <w:multiLevelType w:val="hybridMultilevel"/>
    <w:tmpl w:val="317E36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6"/>
  </w:num>
  <w:num w:numId="4">
    <w:abstractNumId w:val="22"/>
  </w:num>
  <w:num w:numId="5">
    <w:abstractNumId w:val="1"/>
  </w:num>
  <w:num w:numId="6">
    <w:abstractNumId w:val="16"/>
  </w:num>
  <w:num w:numId="7">
    <w:abstractNumId w:val="10"/>
  </w:num>
  <w:num w:numId="8">
    <w:abstractNumId w:val="5"/>
  </w:num>
  <w:num w:numId="9">
    <w:abstractNumId w:val="26"/>
  </w:num>
  <w:num w:numId="10">
    <w:abstractNumId w:val="29"/>
  </w:num>
  <w:num w:numId="11">
    <w:abstractNumId w:val="31"/>
  </w:num>
  <w:num w:numId="12">
    <w:abstractNumId w:val="33"/>
  </w:num>
  <w:num w:numId="13">
    <w:abstractNumId w:val="30"/>
  </w:num>
  <w:num w:numId="14">
    <w:abstractNumId w:val="15"/>
  </w:num>
  <w:num w:numId="15">
    <w:abstractNumId w:val="13"/>
  </w:num>
  <w:num w:numId="16">
    <w:abstractNumId w:val="12"/>
  </w:num>
  <w:num w:numId="17">
    <w:abstractNumId w:val="21"/>
  </w:num>
  <w:num w:numId="18">
    <w:abstractNumId w:val="2"/>
  </w:num>
  <w:num w:numId="19">
    <w:abstractNumId w:val="27"/>
  </w:num>
  <w:num w:numId="20">
    <w:abstractNumId w:val="18"/>
  </w:num>
  <w:num w:numId="21">
    <w:abstractNumId w:val="0"/>
  </w:num>
  <w:num w:numId="22">
    <w:abstractNumId w:val="24"/>
  </w:num>
  <w:num w:numId="23">
    <w:abstractNumId w:val="17"/>
  </w:num>
  <w:num w:numId="24">
    <w:abstractNumId w:val="11"/>
  </w:num>
  <w:num w:numId="25">
    <w:abstractNumId w:val="8"/>
  </w:num>
  <w:num w:numId="26">
    <w:abstractNumId w:val="3"/>
  </w:num>
  <w:num w:numId="27">
    <w:abstractNumId w:val="23"/>
  </w:num>
  <w:num w:numId="28">
    <w:abstractNumId w:val="25"/>
  </w:num>
  <w:num w:numId="29">
    <w:abstractNumId w:val="19"/>
  </w:num>
  <w:num w:numId="30">
    <w:abstractNumId w:val="32"/>
  </w:num>
  <w:num w:numId="31">
    <w:abstractNumId w:val="20"/>
  </w:num>
  <w:num w:numId="32">
    <w:abstractNumId w:val="4"/>
  </w:num>
  <w:num w:numId="33">
    <w:abstractNumId w:val="28"/>
  </w:num>
  <w:num w:numId="34">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view w:val="normal"/>
  <w:zoom w:percent="100"/>
  <w:hideSpellingErrors/>
  <w:hideGrammaticalError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3F3F"/>
    <w:rsid w:val="00004C6B"/>
    <w:rsid w:val="00005342"/>
    <w:rsid w:val="00010F66"/>
    <w:rsid w:val="000115C9"/>
    <w:rsid w:val="00015AF4"/>
    <w:rsid w:val="00016069"/>
    <w:rsid w:val="00021FBA"/>
    <w:rsid w:val="000237F2"/>
    <w:rsid w:val="000257A1"/>
    <w:rsid w:val="00027A33"/>
    <w:rsid w:val="00027C47"/>
    <w:rsid w:val="00033457"/>
    <w:rsid w:val="000353E5"/>
    <w:rsid w:val="000365E8"/>
    <w:rsid w:val="00040181"/>
    <w:rsid w:val="00041A53"/>
    <w:rsid w:val="00043EE6"/>
    <w:rsid w:val="0004640A"/>
    <w:rsid w:val="00047F6B"/>
    <w:rsid w:val="00054A9A"/>
    <w:rsid w:val="0005538C"/>
    <w:rsid w:val="00055D03"/>
    <w:rsid w:val="0006644E"/>
    <w:rsid w:val="000676FE"/>
    <w:rsid w:val="0007134E"/>
    <w:rsid w:val="000753D3"/>
    <w:rsid w:val="00075804"/>
    <w:rsid w:val="00076542"/>
    <w:rsid w:val="00076E69"/>
    <w:rsid w:val="00081CB9"/>
    <w:rsid w:val="0008349B"/>
    <w:rsid w:val="000835E9"/>
    <w:rsid w:val="00087AC9"/>
    <w:rsid w:val="000A17BA"/>
    <w:rsid w:val="000A18FD"/>
    <w:rsid w:val="000A21B5"/>
    <w:rsid w:val="000A46FF"/>
    <w:rsid w:val="000B2CBC"/>
    <w:rsid w:val="000B5F58"/>
    <w:rsid w:val="000C1C9E"/>
    <w:rsid w:val="000C38B1"/>
    <w:rsid w:val="000D0E9B"/>
    <w:rsid w:val="000D58F3"/>
    <w:rsid w:val="000E0BE3"/>
    <w:rsid w:val="000E5FB7"/>
    <w:rsid w:val="000F1FC4"/>
    <w:rsid w:val="000F4CDB"/>
    <w:rsid w:val="000F5C02"/>
    <w:rsid w:val="000F63F9"/>
    <w:rsid w:val="000F7D43"/>
    <w:rsid w:val="0010092B"/>
    <w:rsid w:val="0010334A"/>
    <w:rsid w:val="00104146"/>
    <w:rsid w:val="00110604"/>
    <w:rsid w:val="00112EB2"/>
    <w:rsid w:val="00112EC9"/>
    <w:rsid w:val="00113913"/>
    <w:rsid w:val="00121A28"/>
    <w:rsid w:val="00131DB1"/>
    <w:rsid w:val="00140CAB"/>
    <w:rsid w:val="00142CD4"/>
    <w:rsid w:val="00146C2C"/>
    <w:rsid w:val="00162979"/>
    <w:rsid w:val="0016482B"/>
    <w:rsid w:val="00167021"/>
    <w:rsid w:val="00167795"/>
    <w:rsid w:val="00170358"/>
    <w:rsid w:val="00173FE4"/>
    <w:rsid w:val="00175C10"/>
    <w:rsid w:val="00182E96"/>
    <w:rsid w:val="00186A0B"/>
    <w:rsid w:val="001910A5"/>
    <w:rsid w:val="001A0BE9"/>
    <w:rsid w:val="001A2E34"/>
    <w:rsid w:val="001B6472"/>
    <w:rsid w:val="001C2332"/>
    <w:rsid w:val="001C4F65"/>
    <w:rsid w:val="001C6765"/>
    <w:rsid w:val="001D1C9A"/>
    <w:rsid w:val="001D42D7"/>
    <w:rsid w:val="001D6139"/>
    <w:rsid w:val="001E0AB3"/>
    <w:rsid w:val="001E205C"/>
    <w:rsid w:val="001F0EE8"/>
    <w:rsid w:val="001F129D"/>
    <w:rsid w:val="001F1A7A"/>
    <w:rsid w:val="001F37DD"/>
    <w:rsid w:val="001F6FEE"/>
    <w:rsid w:val="00215540"/>
    <w:rsid w:val="00216A01"/>
    <w:rsid w:val="00216F3A"/>
    <w:rsid w:val="00217985"/>
    <w:rsid w:val="00221B42"/>
    <w:rsid w:val="00224C9F"/>
    <w:rsid w:val="00225A6E"/>
    <w:rsid w:val="00231CFA"/>
    <w:rsid w:val="00231DD4"/>
    <w:rsid w:val="00231FF8"/>
    <w:rsid w:val="0023280B"/>
    <w:rsid w:val="00233C05"/>
    <w:rsid w:val="00235AE7"/>
    <w:rsid w:val="00235B98"/>
    <w:rsid w:val="002363A5"/>
    <w:rsid w:val="002447D6"/>
    <w:rsid w:val="0024557C"/>
    <w:rsid w:val="0024558B"/>
    <w:rsid w:val="00246BA2"/>
    <w:rsid w:val="00246DE7"/>
    <w:rsid w:val="00250846"/>
    <w:rsid w:val="00251BF0"/>
    <w:rsid w:val="002529A1"/>
    <w:rsid w:val="00262139"/>
    <w:rsid w:val="0026260D"/>
    <w:rsid w:val="00262B3E"/>
    <w:rsid w:val="00263394"/>
    <w:rsid w:val="00263795"/>
    <w:rsid w:val="00267D06"/>
    <w:rsid w:val="00270D67"/>
    <w:rsid w:val="00271160"/>
    <w:rsid w:val="00277988"/>
    <w:rsid w:val="00280964"/>
    <w:rsid w:val="002822B0"/>
    <w:rsid w:val="0028336A"/>
    <w:rsid w:val="002842F2"/>
    <w:rsid w:val="00285913"/>
    <w:rsid w:val="00293C07"/>
    <w:rsid w:val="002A27CB"/>
    <w:rsid w:val="002A409D"/>
    <w:rsid w:val="002A4E3E"/>
    <w:rsid w:val="002B3260"/>
    <w:rsid w:val="002C79FD"/>
    <w:rsid w:val="002D3475"/>
    <w:rsid w:val="002D3CE2"/>
    <w:rsid w:val="002E3152"/>
    <w:rsid w:val="002F1D49"/>
    <w:rsid w:val="002F2002"/>
    <w:rsid w:val="002F6E5A"/>
    <w:rsid w:val="003130C5"/>
    <w:rsid w:val="00313689"/>
    <w:rsid w:val="003205E2"/>
    <w:rsid w:val="0032490B"/>
    <w:rsid w:val="0032592A"/>
    <w:rsid w:val="00325AE2"/>
    <w:rsid w:val="003270AB"/>
    <w:rsid w:val="003271F0"/>
    <w:rsid w:val="00331DB8"/>
    <w:rsid w:val="00334069"/>
    <w:rsid w:val="00344630"/>
    <w:rsid w:val="00346925"/>
    <w:rsid w:val="0034764A"/>
    <w:rsid w:val="0035238B"/>
    <w:rsid w:val="00352BFF"/>
    <w:rsid w:val="00360485"/>
    <w:rsid w:val="0036092A"/>
    <w:rsid w:val="00363CED"/>
    <w:rsid w:val="003660C0"/>
    <w:rsid w:val="003723BD"/>
    <w:rsid w:val="00380186"/>
    <w:rsid w:val="00385C06"/>
    <w:rsid w:val="00386703"/>
    <w:rsid w:val="00391573"/>
    <w:rsid w:val="00392C2D"/>
    <w:rsid w:val="00395D4F"/>
    <w:rsid w:val="00397422"/>
    <w:rsid w:val="003A10F5"/>
    <w:rsid w:val="003A1FB1"/>
    <w:rsid w:val="003A4107"/>
    <w:rsid w:val="003A495A"/>
    <w:rsid w:val="003B6DD4"/>
    <w:rsid w:val="003C0D0F"/>
    <w:rsid w:val="003C6F66"/>
    <w:rsid w:val="003D0C2E"/>
    <w:rsid w:val="003D79EE"/>
    <w:rsid w:val="003E08C7"/>
    <w:rsid w:val="003E5444"/>
    <w:rsid w:val="003F0ACD"/>
    <w:rsid w:val="003F1428"/>
    <w:rsid w:val="003F7B4B"/>
    <w:rsid w:val="004033AC"/>
    <w:rsid w:val="00403572"/>
    <w:rsid w:val="00407785"/>
    <w:rsid w:val="004126B4"/>
    <w:rsid w:val="00416DA2"/>
    <w:rsid w:val="00416F1B"/>
    <w:rsid w:val="0041722A"/>
    <w:rsid w:val="00423808"/>
    <w:rsid w:val="00423CBE"/>
    <w:rsid w:val="004264A5"/>
    <w:rsid w:val="00426C4A"/>
    <w:rsid w:val="00431FB0"/>
    <w:rsid w:val="0043347C"/>
    <w:rsid w:val="00437B1F"/>
    <w:rsid w:val="00446391"/>
    <w:rsid w:val="00447DDB"/>
    <w:rsid w:val="00452B6A"/>
    <w:rsid w:val="00453198"/>
    <w:rsid w:val="0045756F"/>
    <w:rsid w:val="00457740"/>
    <w:rsid w:val="00465987"/>
    <w:rsid w:val="00466174"/>
    <w:rsid w:val="00470C88"/>
    <w:rsid w:val="00470F7F"/>
    <w:rsid w:val="00473A77"/>
    <w:rsid w:val="00473BDF"/>
    <w:rsid w:val="00484603"/>
    <w:rsid w:val="0048479D"/>
    <w:rsid w:val="00487C6E"/>
    <w:rsid w:val="00493010"/>
    <w:rsid w:val="004A1C51"/>
    <w:rsid w:val="004A2C19"/>
    <w:rsid w:val="004A4181"/>
    <w:rsid w:val="004B412B"/>
    <w:rsid w:val="004B4D32"/>
    <w:rsid w:val="004B5485"/>
    <w:rsid w:val="004B6971"/>
    <w:rsid w:val="004B6F48"/>
    <w:rsid w:val="004B7D6E"/>
    <w:rsid w:val="004C26E6"/>
    <w:rsid w:val="004D0347"/>
    <w:rsid w:val="004D1D1F"/>
    <w:rsid w:val="004D47C0"/>
    <w:rsid w:val="004D567D"/>
    <w:rsid w:val="004E16A9"/>
    <w:rsid w:val="004E65BF"/>
    <w:rsid w:val="004E7D61"/>
    <w:rsid w:val="004F12D2"/>
    <w:rsid w:val="004F12FC"/>
    <w:rsid w:val="004F6012"/>
    <w:rsid w:val="004F6A15"/>
    <w:rsid w:val="004F6CB6"/>
    <w:rsid w:val="004F7EDB"/>
    <w:rsid w:val="00502CB9"/>
    <w:rsid w:val="005110AF"/>
    <w:rsid w:val="00514114"/>
    <w:rsid w:val="00517C84"/>
    <w:rsid w:val="00520938"/>
    <w:rsid w:val="00520F0D"/>
    <w:rsid w:val="00525DC6"/>
    <w:rsid w:val="0053116B"/>
    <w:rsid w:val="00531558"/>
    <w:rsid w:val="005335E4"/>
    <w:rsid w:val="00533BCF"/>
    <w:rsid w:val="00533ED9"/>
    <w:rsid w:val="005359EF"/>
    <w:rsid w:val="00540E80"/>
    <w:rsid w:val="00542522"/>
    <w:rsid w:val="005430B4"/>
    <w:rsid w:val="00543280"/>
    <w:rsid w:val="00544913"/>
    <w:rsid w:val="00544F67"/>
    <w:rsid w:val="0054599A"/>
    <w:rsid w:val="005506E0"/>
    <w:rsid w:val="00551962"/>
    <w:rsid w:val="00562FEE"/>
    <w:rsid w:val="0056673C"/>
    <w:rsid w:val="00571F4B"/>
    <w:rsid w:val="00572361"/>
    <w:rsid w:val="00572A08"/>
    <w:rsid w:val="00573459"/>
    <w:rsid w:val="00582DB4"/>
    <w:rsid w:val="00583013"/>
    <w:rsid w:val="00585DF5"/>
    <w:rsid w:val="00586201"/>
    <w:rsid w:val="00592497"/>
    <w:rsid w:val="005940D1"/>
    <w:rsid w:val="005A1053"/>
    <w:rsid w:val="005A1810"/>
    <w:rsid w:val="005A54B4"/>
    <w:rsid w:val="005A770F"/>
    <w:rsid w:val="005B7FB6"/>
    <w:rsid w:val="005C1770"/>
    <w:rsid w:val="005C6D44"/>
    <w:rsid w:val="005D00FA"/>
    <w:rsid w:val="005D2DDE"/>
    <w:rsid w:val="005E1C2A"/>
    <w:rsid w:val="005E2D74"/>
    <w:rsid w:val="005E3766"/>
    <w:rsid w:val="005F04D8"/>
    <w:rsid w:val="005F228A"/>
    <w:rsid w:val="005F33AD"/>
    <w:rsid w:val="005F42FE"/>
    <w:rsid w:val="005F50CA"/>
    <w:rsid w:val="005F7B0E"/>
    <w:rsid w:val="00600C48"/>
    <w:rsid w:val="00600F19"/>
    <w:rsid w:val="00610BDB"/>
    <w:rsid w:val="006140D1"/>
    <w:rsid w:val="006200B3"/>
    <w:rsid w:val="00625F18"/>
    <w:rsid w:val="00636146"/>
    <w:rsid w:val="00644722"/>
    <w:rsid w:val="00645D74"/>
    <w:rsid w:val="00652920"/>
    <w:rsid w:val="006533BE"/>
    <w:rsid w:val="00655768"/>
    <w:rsid w:val="00656B5B"/>
    <w:rsid w:val="0065723F"/>
    <w:rsid w:val="00662B05"/>
    <w:rsid w:val="0066475A"/>
    <w:rsid w:val="0066528C"/>
    <w:rsid w:val="006652D1"/>
    <w:rsid w:val="006657E9"/>
    <w:rsid w:val="00667844"/>
    <w:rsid w:val="00680944"/>
    <w:rsid w:val="006818DE"/>
    <w:rsid w:val="0068670B"/>
    <w:rsid w:val="006905DF"/>
    <w:rsid w:val="006A4D85"/>
    <w:rsid w:val="006A5ACC"/>
    <w:rsid w:val="006A7993"/>
    <w:rsid w:val="006B0A03"/>
    <w:rsid w:val="006B0F03"/>
    <w:rsid w:val="006B3877"/>
    <w:rsid w:val="006B44D9"/>
    <w:rsid w:val="006C2730"/>
    <w:rsid w:val="006C616E"/>
    <w:rsid w:val="006C75D7"/>
    <w:rsid w:val="006D3E1B"/>
    <w:rsid w:val="006D4E5A"/>
    <w:rsid w:val="006D6FEB"/>
    <w:rsid w:val="006E2B6E"/>
    <w:rsid w:val="006E4F2D"/>
    <w:rsid w:val="006F6178"/>
    <w:rsid w:val="00703950"/>
    <w:rsid w:val="00710A71"/>
    <w:rsid w:val="007118BA"/>
    <w:rsid w:val="0071197E"/>
    <w:rsid w:val="0071584C"/>
    <w:rsid w:val="007237E3"/>
    <w:rsid w:val="00723CF9"/>
    <w:rsid w:val="00724A59"/>
    <w:rsid w:val="00725F4E"/>
    <w:rsid w:val="007335F6"/>
    <w:rsid w:val="0073432D"/>
    <w:rsid w:val="00734FE4"/>
    <w:rsid w:val="00735DD6"/>
    <w:rsid w:val="00740BB3"/>
    <w:rsid w:val="007418A9"/>
    <w:rsid w:val="00744566"/>
    <w:rsid w:val="00745FB9"/>
    <w:rsid w:val="007505FD"/>
    <w:rsid w:val="00752719"/>
    <w:rsid w:val="007531F9"/>
    <w:rsid w:val="00762D7F"/>
    <w:rsid w:val="00764084"/>
    <w:rsid w:val="0076474D"/>
    <w:rsid w:val="007654FC"/>
    <w:rsid w:val="007718E9"/>
    <w:rsid w:val="00771E00"/>
    <w:rsid w:val="00776BFA"/>
    <w:rsid w:val="007772D0"/>
    <w:rsid w:val="00780311"/>
    <w:rsid w:val="00782BBE"/>
    <w:rsid w:val="00787D3F"/>
    <w:rsid w:val="00791D51"/>
    <w:rsid w:val="007949D4"/>
    <w:rsid w:val="00795FF6"/>
    <w:rsid w:val="007974E4"/>
    <w:rsid w:val="007A7B6B"/>
    <w:rsid w:val="007B0784"/>
    <w:rsid w:val="007B4719"/>
    <w:rsid w:val="007C2046"/>
    <w:rsid w:val="007C25AA"/>
    <w:rsid w:val="007C5F61"/>
    <w:rsid w:val="007D7530"/>
    <w:rsid w:val="007E74BD"/>
    <w:rsid w:val="007F76B3"/>
    <w:rsid w:val="008033DD"/>
    <w:rsid w:val="0081407D"/>
    <w:rsid w:val="00820D97"/>
    <w:rsid w:val="0082449C"/>
    <w:rsid w:val="00826FE7"/>
    <w:rsid w:val="00831E58"/>
    <w:rsid w:val="00847DC2"/>
    <w:rsid w:val="00857EE2"/>
    <w:rsid w:val="008648F9"/>
    <w:rsid w:val="00866191"/>
    <w:rsid w:val="008665D9"/>
    <w:rsid w:val="0087578F"/>
    <w:rsid w:val="00875DD9"/>
    <w:rsid w:val="00881471"/>
    <w:rsid w:val="0088553C"/>
    <w:rsid w:val="00886BD7"/>
    <w:rsid w:val="00893624"/>
    <w:rsid w:val="00893C39"/>
    <w:rsid w:val="008952C8"/>
    <w:rsid w:val="008A116A"/>
    <w:rsid w:val="008A5F7D"/>
    <w:rsid w:val="008A6EA3"/>
    <w:rsid w:val="008C7413"/>
    <w:rsid w:val="008C7459"/>
    <w:rsid w:val="008D4CB1"/>
    <w:rsid w:val="008D53FD"/>
    <w:rsid w:val="008E34A4"/>
    <w:rsid w:val="008E4188"/>
    <w:rsid w:val="008E6427"/>
    <w:rsid w:val="008E6BE5"/>
    <w:rsid w:val="008F3122"/>
    <w:rsid w:val="008F5EC5"/>
    <w:rsid w:val="00910870"/>
    <w:rsid w:val="00911A05"/>
    <w:rsid w:val="00912519"/>
    <w:rsid w:val="009133AE"/>
    <w:rsid w:val="009238DC"/>
    <w:rsid w:val="00927227"/>
    <w:rsid w:val="0094183C"/>
    <w:rsid w:val="00945D7A"/>
    <w:rsid w:val="009518E1"/>
    <w:rsid w:val="00952977"/>
    <w:rsid w:val="00956B0A"/>
    <w:rsid w:val="00957756"/>
    <w:rsid w:val="00960BFC"/>
    <w:rsid w:val="00963799"/>
    <w:rsid w:val="00972640"/>
    <w:rsid w:val="00972E1B"/>
    <w:rsid w:val="00975893"/>
    <w:rsid w:val="009761DE"/>
    <w:rsid w:val="009768A5"/>
    <w:rsid w:val="00980DF4"/>
    <w:rsid w:val="009812AD"/>
    <w:rsid w:val="00995882"/>
    <w:rsid w:val="009A3D07"/>
    <w:rsid w:val="009B1E47"/>
    <w:rsid w:val="009B39AB"/>
    <w:rsid w:val="009B4122"/>
    <w:rsid w:val="009B46C8"/>
    <w:rsid w:val="009B61FB"/>
    <w:rsid w:val="009C161B"/>
    <w:rsid w:val="009D2F67"/>
    <w:rsid w:val="009D407C"/>
    <w:rsid w:val="009E2678"/>
    <w:rsid w:val="009E5C20"/>
    <w:rsid w:val="009E7E06"/>
    <w:rsid w:val="009F0937"/>
    <w:rsid w:val="009F0C73"/>
    <w:rsid w:val="009F0E0C"/>
    <w:rsid w:val="009F3E47"/>
    <w:rsid w:val="009F4B94"/>
    <w:rsid w:val="009F7774"/>
    <w:rsid w:val="00A0398B"/>
    <w:rsid w:val="00A04173"/>
    <w:rsid w:val="00A2004B"/>
    <w:rsid w:val="00A202A5"/>
    <w:rsid w:val="00A20A34"/>
    <w:rsid w:val="00A24FA5"/>
    <w:rsid w:val="00A30864"/>
    <w:rsid w:val="00A30BD4"/>
    <w:rsid w:val="00A31AF7"/>
    <w:rsid w:val="00A3212F"/>
    <w:rsid w:val="00A406C0"/>
    <w:rsid w:val="00A421AF"/>
    <w:rsid w:val="00A47B0E"/>
    <w:rsid w:val="00A5371B"/>
    <w:rsid w:val="00A54613"/>
    <w:rsid w:val="00A5461F"/>
    <w:rsid w:val="00A56206"/>
    <w:rsid w:val="00A56FC4"/>
    <w:rsid w:val="00A637E1"/>
    <w:rsid w:val="00A65C64"/>
    <w:rsid w:val="00A71CD1"/>
    <w:rsid w:val="00A751C6"/>
    <w:rsid w:val="00A75F80"/>
    <w:rsid w:val="00A7664F"/>
    <w:rsid w:val="00A805BB"/>
    <w:rsid w:val="00A81429"/>
    <w:rsid w:val="00A92EFA"/>
    <w:rsid w:val="00A949AD"/>
    <w:rsid w:val="00A94BC7"/>
    <w:rsid w:val="00A95328"/>
    <w:rsid w:val="00A95A17"/>
    <w:rsid w:val="00A95AC0"/>
    <w:rsid w:val="00AA32DA"/>
    <w:rsid w:val="00AA392A"/>
    <w:rsid w:val="00AC0211"/>
    <w:rsid w:val="00AC43DF"/>
    <w:rsid w:val="00AC4C1A"/>
    <w:rsid w:val="00AC703A"/>
    <w:rsid w:val="00AD3A22"/>
    <w:rsid w:val="00AD478D"/>
    <w:rsid w:val="00AD4BAC"/>
    <w:rsid w:val="00AE6594"/>
    <w:rsid w:val="00AE78BD"/>
    <w:rsid w:val="00AF47E4"/>
    <w:rsid w:val="00B009FE"/>
    <w:rsid w:val="00B03679"/>
    <w:rsid w:val="00B05810"/>
    <w:rsid w:val="00B1300D"/>
    <w:rsid w:val="00B200D6"/>
    <w:rsid w:val="00B20384"/>
    <w:rsid w:val="00B2114E"/>
    <w:rsid w:val="00B215BF"/>
    <w:rsid w:val="00B271F7"/>
    <w:rsid w:val="00B31D86"/>
    <w:rsid w:val="00B359E6"/>
    <w:rsid w:val="00B402B7"/>
    <w:rsid w:val="00B4416D"/>
    <w:rsid w:val="00B4650B"/>
    <w:rsid w:val="00B47EFF"/>
    <w:rsid w:val="00B5014D"/>
    <w:rsid w:val="00B535A1"/>
    <w:rsid w:val="00B55543"/>
    <w:rsid w:val="00B60393"/>
    <w:rsid w:val="00B6632A"/>
    <w:rsid w:val="00B66FE1"/>
    <w:rsid w:val="00B67FA2"/>
    <w:rsid w:val="00B70F5E"/>
    <w:rsid w:val="00B7146B"/>
    <w:rsid w:val="00B72DAF"/>
    <w:rsid w:val="00B740C9"/>
    <w:rsid w:val="00B75136"/>
    <w:rsid w:val="00B84294"/>
    <w:rsid w:val="00B94EB6"/>
    <w:rsid w:val="00BA17D9"/>
    <w:rsid w:val="00BA23F8"/>
    <w:rsid w:val="00BA51E9"/>
    <w:rsid w:val="00BA7235"/>
    <w:rsid w:val="00BB0A34"/>
    <w:rsid w:val="00BB64E6"/>
    <w:rsid w:val="00BB6C59"/>
    <w:rsid w:val="00BC0D20"/>
    <w:rsid w:val="00BC1939"/>
    <w:rsid w:val="00BC2209"/>
    <w:rsid w:val="00BC651C"/>
    <w:rsid w:val="00BD3C7A"/>
    <w:rsid w:val="00BD4234"/>
    <w:rsid w:val="00BE1C81"/>
    <w:rsid w:val="00BE75A0"/>
    <w:rsid w:val="00BE77AC"/>
    <w:rsid w:val="00BE790F"/>
    <w:rsid w:val="00BF388A"/>
    <w:rsid w:val="00C00413"/>
    <w:rsid w:val="00C024C5"/>
    <w:rsid w:val="00C12618"/>
    <w:rsid w:val="00C14A5E"/>
    <w:rsid w:val="00C1572B"/>
    <w:rsid w:val="00C164C0"/>
    <w:rsid w:val="00C22851"/>
    <w:rsid w:val="00C232AC"/>
    <w:rsid w:val="00C24A35"/>
    <w:rsid w:val="00C42A3E"/>
    <w:rsid w:val="00C46FCF"/>
    <w:rsid w:val="00C54C79"/>
    <w:rsid w:val="00C60115"/>
    <w:rsid w:val="00C65C72"/>
    <w:rsid w:val="00C72840"/>
    <w:rsid w:val="00C739CA"/>
    <w:rsid w:val="00C7613B"/>
    <w:rsid w:val="00C80973"/>
    <w:rsid w:val="00C80E4A"/>
    <w:rsid w:val="00C8296C"/>
    <w:rsid w:val="00C861CF"/>
    <w:rsid w:val="00C91199"/>
    <w:rsid w:val="00C93D2E"/>
    <w:rsid w:val="00C93F09"/>
    <w:rsid w:val="00C94330"/>
    <w:rsid w:val="00CA6E6C"/>
    <w:rsid w:val="00CB0973"/>
    <w:rsid w:val="00CB2298"/>
    <w:rsid w:val="00CC0DD3"/>
    <w:rsid w:val="00CC4242"/>
    <w:rsid w:val="00CC6606"/>
    <w:rsid w:val="00CC706A"/>
    <w:rsid w:val="00CD071B"/>
    <w:rsid w:val="00CD1254"/>
    <w:rsid w:val="00CD353E"/>
    <w:rsid w:val="00CF6259"/>
    <w:rsid w:val="00CF6B5F"/>
    <w:rsid w:val="00D01A42"/>
    <w:rsid w:val="00D02292"/>
    <w:rsid w:val="00D127DB"/>
    <w:rsid w:val="00D17BD9"/>
    <w:rsid w:val="00D20580"/>
    <w:rsid w:val="00D23173"/>
    <w:rsid w:val="00D23A66"/>
    <w:rsid w:val="00D262AA"/>
    <w:rsid w:val="00D27882"/>
    <w:rsid w:val="00D319AC"/>
    <w:rsid w:val="00D324BD"/>
    <w:rsid w:val="00D4291D"/>
    <w:rsid w:val="00D45CBC"/>
    <w:rsid w:val="00D50654"/>
    <w:rsid w:val="00D53CBF"/>
    <w:rsid w:val="00D56602"/>
    <w:rsid w:val="00D57D00"/>
    <w:rsid w:val="00D609FF"/>
    <w:rsid w:val="00D62E1E"/>
    <w:rsid w:val="00D66C06"/>
    <w:rsid w:val="00D71331"/>
    <w:rsid w:val="00D72C56"/>
    <w:rsid w:val="00D73014"/>
    <w:rsid w:val="00D73703"/>
    <w:rsid w:val="00D7552B"/>
    <w:rsid w:val="00D8218E"/>
    <w:rsid w:val="00D82FDA"/>
    <w:rsid w:val="00D86633"/>
    <w:rsid w:val="00D8684A"/>
    <w:rsid w:val="00D93BBC"/>
    <w:rsid w:val="00DA1D63"/>
    <w:rsid w:val="00DA3417"/>
    <w:rsid w:val="00DB0AD1"/>
    <w:rsid w:val="00DC6A87"/>
    <w:rsid w:val="00DD0C5C"/>
    <w:rsid w:val="00DD2FEA"/>
    <w:rsid w:val="00DE2A48"/>
    <w:rsid w:val="00DE3A32"/>
    <w:rsid w:val="00DF5CA1"/>
    <w:rsid w:val="00DF621A"/>
    <w:rsid w:val="00DF737B"/>
    <w:rsid w:val="00E00B5F"/>
    <w:rsid w:val="00E0349F"/>
    <w:rsid w:val="00E07BF3"/>
    <w:rsid w:val="00E123F4"/>
    <w:rsid w:val="00E14433"/>
    <w:rsid w:val="00E15F0E"/>
    <w:rsid w:val="00E1726A"/>
    <w:rsid w:val="00E22B53"/>
    <w:rsid w:val="00E26543"/>
    <w:rsid w:val="00E32410"/>
    <w:rsid w:val="00E32B6B"/>
    <w:rsid w:val="00E34925"/>
    <w:rsid w:val="00E5079A"/>
    <w:rsid w:val="00E5516F"/>
    <w:rsid w:val="00E57329"/>
    <w:rsid w:val="00E630F9"/>
    <w:rsid w:val="00E6566B"/>
    <w:rsid w:val="00E674E0"/>
    <w:rsid w:val="00E736C7"/>
    <w:rsid w:val="00E759B4"/>
    <w:rsid w:val="00E766E1"/>
    <w:rsid w:val="00E76E94"/>
    <w:rsid w:val="00E83B15"/>
    <w:rsid w:val="00E841F9"/>
    <w:rsid w:val="00E84E19"/>
    <w:rsid w:val="00E87E28"/>
    <w:rsid w:val="00E9264E"/>
    <w:rsid w:val="00E94851"/>
    <w:rsid w:val="00E95027"/>
    <w:rsid w:val="00E966FF"/>
    <w:rsid w:val="00EA03EE"/>
    <w:rsid w:val="00EC2807"/>
    <w:rsid w:val="00EC4AA3"/>
    <w:rsid w:val="00EE0E58"/>
    <w:rsid w:val="00EE2157"/>
    <w:rsid w:val="00EE3467"/>
    <w:rsid w:val="00EF20C5"/>
    <w:rsid w:val="00EF7398"/>
    <w:rsid w:val="00F0009D"/>
    <w:rsid w:val="00F03CDE"/>
    <w:rsid w:val="00F073DC"/>
    <w:rsid w:val="00F10066"/>
    <w:rsid w:val="00F115B1"/>
    <w:rsid w:val="00F1408D"/>
    <w:rsid w:val="00F15F63"/>
    <w:rsid w:val="00F160D0"/>
    <w:rsid w:val="00F22521"/>
    <w:rsid w:val="00F260A3"/>
    <w:rsid w:val="00F309D6"/>
    <w:rsid w:val="00F323AB"/>
    <w:rsid w:val="00F35C3E"/>
    <w:rsid w:val="00F40347"/>
    <w:rsid w:val="00F408E8"/>
    <w:rsid w:val="00F415C7"/>
    <w:rsid w:val="00F42DA9"/>
    <w:rsid w:val="00F44D67"/>
    <w:rsid w:val="00F4614B"/>
    <w:rsid w:val="00F51489"/>
    <w:rsid w:val="00F53098"/>
    <w:rsid w:val="00F567C8"/>
    <w:rsid w:val="00F61FDE"/>
    <w:rsid w:val="00F61FFE"/>
    <w:rsid w:val="00F63D87"/>
    <w:rsid w:val="00F71D82"/>
    <w:rsid w:val="00F72D15"/>
    <w:rsid w:val="00F93A51"/>
    <w:rsid w:val="00F9774B"/>
    <w:rsid w:val="00FB03F6"/>
    <w:rsid w:val="00FB2F21"/>
    <w:rsid w:val="00FB324F"/>
    <w:rsid w:val="00FB4D06"/>
    <w:rsid w:val="00FC2242"/>
    <w:rsid w:val="00FD3E6F"/>
    <w:rsid w:val="00FD4882"/>
    <w:rsid w:val="00FD4BF7"/>
    <w:rsid w:val="00FD55CD"/>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5BAE2"/>
  <w15:chartTrackingRefBased/>
  <w15:docId w15:val="{EC0A1596-A98C-4850-9CDA-48A56AF2E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583013"/>
    <w:pPr>
      <w:tabs>
        <w:tab w:val="left" w:pos="660"/>
        <w:tab w:val="right" w:leader="dot" w:pos="9350"/>
      </w:tabs>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112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CC205B-FC52-45C2-8312-FA85971BCE12}">
  <ds:schemaRefs>
    <ds:schemaRef ds:uri="http://schemas.openxmlformats.org/officeDocument/2006/bibliography"/>
  </ds:schemaRefs>
</ds:datastoreItem>
</file>

<file path=customXml/itemProps2.xml><?xml version="1.0" encoding="utf-8"?>
<ds:datastoreItem xmlns:ds="http://schemas.openxmlformats.org/officeDocument/2006/customXml" ds:itemID="{69BC4E15-30D9-4361-BB4D-BD24B809992F}"/>
</file>

<file path=customXml/itemProps3.xml><?xml version="1.0" encoding="utf-8"?>
<ds:datastoreItem xmlns:ds="http://schemas.openxmlformats.org/officeDocument/2006/customXml" ds:itemID="{5DD8D226-EF52-4B77-BC3C-324B3442D66D}"/>
</file>

<file path=customXml/itemProps4.xml><?xml version="1.0" encoding="utf-8"?>
<ds:datastoreItem xmlns:ds="http://schemas.openxmlformats.org/officeDocument/2006/customXml" ds:itemID="{331D63C0-0B37-41E0-967F-F7746F46B0D5}"/>
</file>

<file path=docProps/app.xml><?xml version="1.0" encoding="utf-8"?>
<Properties xmlns="http://schemas.openxmlformats.org/officeDocument/2006/extended-properties" xmlns:vt="http://schemas.openxmlformats.org/officeDocument/2006/docPropsVTypes">
  <Template>Normal.dotm</Template>
  <TotalTime>1</TotalTime>
  <Pages>9</Pages>
  <Words>1072</Words>
  <Characters>6111</Characters>
  <Application>Microsoft Office Word</Application>
  <DocSecurity>6</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REYNAUD Céline</cp:lastModifiedBy>
  <cp:revision>2</cp:revision>
  <cp:lastPrinted>2019-02-08T19:26:00Z</cp:lastPrinted>
  <dcterms:created xsi:type="dcterms:W3CDTF">2022-07-15T12:09:00Z</dcterms:created>
  <dcterms:modified xsi:type="dcterms:W3CDTF">2022-07-15T12:09:00Z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