
<file path=[Content_Types].xml><?xml version="1.0" encoding="utf-8"?>
<Types xmlns="http://schemas.openxmlformats.org/package/2006/content-types">
  <Default Extension="emf" ContentType="image/x-emf"/>
  <Default Extension="gif" ContentType="image/gif"/>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8F25DB" w14:textId="77777777" w:rsidR="007866A4" w:rsidRDefault="007866A4">
      <w:pPr>
        <w:spacing w:after="160"/>
        <w:jc w:val="center"/>
        <w:rPr>
          <w:b/>
          <w:bCs/>
          <w:sz w:val="32"/>
          <w:szCs w:val="32"/>
          <w:u w:val="single"/>
        </w:rPr>
      </w:pPr>
    </w:p>
    <w:p w14:paraId="6E01287E" w14:textId="0DAFDBC7" w:rsidR="007458D8" w:rsidRDefault="007866A4">
      <w:pPr>
        <w:spacing w:after="160"/>
        <w:jc w:val="center"/>
        <w:rPr>
          <w:b/>
          <w:bCs/>
          <w:sz w:val="32"/>
          <w:szCs w:val="32"/>
          <w:u w:val="single"/>
        </w:rPr>
      </w:pPr>
      <w:r w:rsidRPr="007866A4">
        <w:rPr>
          <w:noProof/>
        </w:rPr>
        <w:drawing>
          <wp:inline distT="0" distB="0" distL="0" distR="0" wp14:anchorId="2A12FD35" wp14:editId="0A4B4316">
            <wp:extent cx="5943600" cy="6635115"/>
            <wp:effectExtent l="0" t="0" r="0" b="0"/>
            <wp:docPr id="7811045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6635115"/>
                    </a:xfrm>
                    <a:prstGeom prst="rect">
                      <a:avLst/>
                    </a:prstGeom>
                    <a:noFill/>
                    <a:ln>
                      <a:noFill/>
                    </a:ln>
                  </pic:spPr>
                </pic:pic>
              </a:graphicData>
            </a:graphic>
          </wp:inline>
        </w:drawing>
      </w:r>
    </w:p>
    <w:p w14:paraId="7F59C980" w14:textId="77777777" w:rsidR="007508D7" w:rsidRDefault="007508D7">
      <w:pPr>
        <w:spacing w:after="80"/>
        <w:jc w:val="both"/>
        <w:rPr>
          <w:b/>
          <w:bCs/>
          <w:sz w:val="32"/>
          <w:szCs w:val="32"/>
          <w:u w:val="single"/>
        </w:rPr>
      </w:pPr>
    </w:p>
    <w:p w14:paraId="04372DD8" w14:textId="77777777" w:rsidR="007458D8" w:rsidRDefault="007458D8">
      <w:pPr>
        <w:spacing w:after="80"/>
        <w:jc w:val="both"/>
        <w:rPr>
          <w:b/>
          <w:bCs/>
          <w:sz w:val="32"/>
          <w:szCs w:val="32"/>
          <w:u w:val="single"/>
        </w:rPr>
      </w:pPr>
    </w:p>
    <w:p w14:paraId="15329BA0" w14:textId="77777777" w:rsidR="007866A4" w:rsidRDefault="007866A4">
      <w:pPr>
        <w:spacing w:after="80"/>
        <w:jc w:val="both"/>
        <w:rPr>
          <w:b/>
          <w:bCs/>
        </w:rPr>
      </w:pPr>
    </w:p>
    <w:p w14:paraId="3294343A" w14:textId="77777777" w:rsidR="007508D7" w:rsidRDefault="00000000">
      <w:pPr>
        <w:pStyle w:val="Heading1"/>
        <w:keepNext w:val="0"/>
        <w:keepLines w:val="0"/>
        <w:spacing w:before="320" w:after="160"/>
        <w:jc w:val="both"/>
        <w:rPr>
          <w:b/>
          <w:bCs/>
          <w:sz w:val="22"/>
          <w:szCs w:val="22"/>
        </w:rPr>
      </w:pPr>
      <w:bookmarkStart w:id="0" w:name="_zjifrz84shi" w:colFirst="0" w:colLast="0"/>
      <w:bookmarkEnd w:id="0"/>
      <w:r>
        <w:rPr>
          <w:b/>
          <w:bCs/>
          <w:sz w:val="22"/>
          <w:szCs w:val="22"/>
        </w:rPr>
        <w:lastRenderedPageBreak/>
        <w:t>A</w:t>
      </w:r>
      <w:r>
        <w:rPr>
          <w:rFonts w:ascii="Times New Roman" w:eastAsia="Times New Roman" w:hAnsi="Times New Roman" w:cs="Times New Roman"/>
          <w:sz w:val="14"/>
          <w:szCs w:val="14"/>
        </w:rPr>
        <w:t xml:space="preserve">.  </w:t>
      </w:r>
      <w:r>
        <w:rPr>
          <w:b/>
          <w:bCs/>
          <w:sz w:val="22"/>
          <w:szCs w:val="22"/>
        </w:rPr>
        <w:t>Introduction</w:t>
      </w:r>
    </w:p>
    <w:p w14:paraId="7AA4714E" w14:textId="77777777" w:rsidR="007508D7" w:rsidRDefault="00000000">
      <w:pPr>
        <w:spacing w:after="160"/>
        <w:jc w:val="both"/>
      </w:pPr>
      <w:r>
        <w:t xml:space="preserve">This submission complements the </w:t>
      </w:r>
      <w:hyperlink r:id="rId9">
        <w:r w:rsidR="007508D7">
          <w:rPr>
            <w:color w:val="1155CC"/>
            <w:u w:val="single"/>
          </w:rPr>
          <w:t>Civil Society Thematic Report on Early Childhood Care and Education (ECCE) in Tanzania</w:t>
        </w:r>
      </w:hyperlink>
      <w:r>
        <w:t xml:space="preserve"> submitted in 2025 by the Tanzania Early Childhood Development Network (TECDEN) and the Tanzania Child Rights Forum (TCRF) to the United Nations Committee on the Rights of the Child (the Committee). It does not repeat the findings of that report.</w:t>
      </w:r>
    </w:p>
    <w:p w14:paraId="119BAE2E" w14:textId="77777777" w:rsidR="007508D7" w:rsidRDefault="00000000">
      <w:pPr>
        <w:spacing w:after="160"/>
        <w:jc w:val="both"/>
      </w:pPr>
      <w:r>
        <w:t xml:space="preserve">Following the Committee’s adoption of the List of Issues for the sixth periodic report of the United Republic of Tanzania (CRC/C/TZA/Q/6) on 22 October 2025, this submission provides updated evidence on six paragraphs: 3(c), 8(b), 9(c), 9(e), 13(b) and 17. </w:t>
      </w:r>
    </w:p>
    <w:p w14:paraId="1C75E378" w14:textId="134CF45B" w:rsidR="007508D7" w:rsidRDefault="00000000">
      <w:pPr>
        <w:spacing w:after="160"/>
        <w:jc w:val="both"/>
      </w:pPr>
      <w:r>
        <w:t xml:space="preserve">While welcoming new initiatives, including the National Multisectoral Strategy to End Female Genital Mutilation and new national menstrual hygiene guidelines, this submission highlights </w:t>
      </w:r>
      <w:r w:rsidR="007458D8">
        <w:t>persistent gaps</w:t>
      </w:r>
      <w:r>
        <w:t xml:space="preserve"> in financing, data and implementation that continue to affect the </w:t>
      </w:r>
      <w:proofErr w:type="spellStart"/>
      <w:r>
        <w:t>realisation</w:t>
      </w:r>
      <w:proofErr w:type="spellEnd"/>
      <w:r>
        <w:t xml:space="preserve"> </w:t>
      </w:r>
      <w:r w:rsidR="007458D8">
        <w:t>of early</w:t>
      </w:r>
      <w:r>
        <w:t xml:space="preserve"> childhood rights. </w:t>
      </w:r>
    </w:p>
    <w:p w14:paraId="71A43461" w14:textId="34A774FF" w:rsidR="007508D7" w:rsidRDefault="00000000" w:rsidP="007458D8">
      <w:pPr>
        <w:pStyle w:val="Heading1"/>
        <w:keepNext w:val="0"/>
        <w:keepLines w:val="0"/>
        <w:numPr>
          <w:ilvl w:val="0"/>
          <w:numId w:val="2"/>
        </w:numPr>
        <w:spacing w:before="320" w:after="160"/>
        <w:jc w:val="both"/>
        <w:rPr>
          <w:b/>
          <w:bCs/>
          <w:sz w:val="22"/>
          <w:szCs w:val="22"/>
        </w:rPr>
      </w:pPr>
      <w:bookmarkStart w:id="1" w:name="_vq39abz1a1ot" w:colFirst="0" w:colLast="0"/>
      <w:bookmarkEnd w:id="1"/>
      <w:r>
        <w:rPr>
          <w:b/>
          <w:bCs/>
          <w:sz w:val="22"/>
          <w:szCs w:val="22"/>
        </w:rPr>
        <w:t>Resource Allocation for Children (List of Issues paras. 3(c) and 17)</w:t>
      </w:r>
    </w:p>
    <w:p w14:paraId="47C8BC33" w14:textId="42B7645B" w:rsidR="007508D7" w:rsidRDefault="005558BA">
      <w:pPr>
        <w:spacing w:after="160"/>
        <w:jc w:val="both"/>
        <w:rPr>
          <w:b/>
          <w:bCs/>
        </w:rPr>
      </w:pPr>
      <w:r w:rsidRPr="005558BA">
        <w:rPr>
          <w:noProof/>
        </w:rPr>
        <w:drawing>
          <wp:inline distT="0" distB="0" distL="0" distR="0" wp14:anchorId="37B4F204" wp14:editId="65595532">
            <wp:extent cx="5943600" cy="876300"/>
            <wp:effectExtent l="0" t="0" r="0" b="0"/>
            <wp:docPr id="3531885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876300"/>
                    </a:xfrm>
                    <a:prstGeom prst="rect">
                      <a:avLst/>
                    </a:prstGeom>
                    <a:noFill/>
                    <a:ln>
                      <a:noFill/>
                    </a:ln>
                  </pic:spPr>
                </pic:pic>
              </a:graphicData>
            </a:graphic>
          </wp:inline>
        </w:drawing>
      </w:r>
      <w:r>
        <w:t>Tanzania's total national budget rose from TZS 49.35 trillion in 2024/25 to TZS 56.49 trillion in 2025/26, an 11.6% increase, with domestic revenue targeted at 16.7% of GDP. Sector allocations, however, remain well below the benchmarks referenced in the List of Issues.</w:t>
      </w:r>
      <w:r>
        <w:rPr>
          <w:vertAlign w:val="superscript"/>
        </w:rPr>
        <w:footnoteReference w:id="1"/>
      </w:r>
    </w:p>
    <w:p w14:paraId="7AE8C08C" w14:textId="77777777" w:rsidR="007508D7" w:rsidRDefault="00000000">
      <w:pPr>
        <w:spacing w:after="160"/>
        <w:jc w:val="both"/>
        <w:rPr>
          <w:b/>
          <w:bCs/>
        </w:rPr>
      </w:pPr>
      <w:r>
        <w:rPr>
          <w:b/>
          <w:bCs/>
        </w:rPr>
        <w:t>Education</w:t>
      </w:r>
    </w:p>
    <w:p w14:paraId="4E2FBAC3" w14:textId="0C316482" w:rsidR="007508D7" w:rsidRDefault="00000000">
      <w:pPr>
        <w:spacing w:after="160"/>
        <w:jc w:val="both"/>
        <w:rPr>
          <w:highlight w:val="white"/>
        </w:rPr>
      </w:pPr>
      <w:r>
        <w:rPr>
          <w:highlight w:val="white"/>
        </w:rPr>
        <w:t xml:space="preserve">Mainland Tanzania’s education budget has increased in nominal terms, but it remains below international financing benchmarks and lacks a clear, protected </w:t>
      </w:r>
      <w:r w:rsidR="00BC6408">
        <w:rPr>
          <w:highlight w:val="white"/>
        </w:rPr>
        <w:t>pre-primary</w:t>
      </w:r>
      <w:r>
        <w:rPr>
          <w:highlight w:val="white"/>
        </w:rPr>
        <w:t xml:space="preserve"> allocation.</w:t>
      </w:r>
      <w:r>
        <w:rPr>
          <w:highlight w:val="white"/>
          <w:vertAlign w:val="superscript"/>
        </w:rPr>
        <w:footnoteReference w:id="2"/>
      </w:r>
      <w:r>
        <w:rPr>
          <w:highlight w:val="white"/>
        </w:rPr>
        <w:t xml:space="preserve"> The sector budget rose from TZS 5.732 trillion in FY 2022/23 to TZS 5.969 trillion in FY 2023/24 and TZS 6.166 trillion in FY 2024/25, representing 12.5% of the national budget of TZS 49.365 trillion. However, the education budget share fell from 14.9% in FY 2022/23 to 13.5% in FY 2023/24 and 12.5% in FY 2024/25, still below the 20% international benchmark and Tanzania’s 21.3% aspiration by 2025. Projections show a drop to about TZS 2.39 trillion in FY 2026/27, a 61.2% decrease from FY 2024/25, raising concerns for foundational learning and equitable access.</w:t>
      </w:r>
      <w:r>
        <w:rPr>
          <w:highlight w:val="white"/>
          <w:vertAlign w:val="superscript"/>
        </w:rPr>
        <w:footnoteReference w:id="3"/>
      </w:r>
    </w:p>
    <w:p w14:paraId="181CA714" w14:textId="103B70C2" w:rsidR="007508D7" w:rsidRDefault="00000000">
      <w:pPr>
        <w:spacing w:before="240" w:after="240"/>
        <w:jc w:val="both"/>
        <w:rPr>
          <w:highlight w:val="white"/>
        </w:rPr>
      </w:pPr>
      <w:r>
        <w:rPr>
          <w:highlight w:val="white"/>
        </w:rPr>
        <w:t xml:space="preserve">Despite these allocations, UNICEF (2025) notes that Tanzania has no dedicated ECCE or pre-primary budget line, so the actual level of government investment for children aged 0–8 years </w:t>
      </w:r>
      <w:r>
        <w:rPr>
          <w:highlight w:val="white"/>
        </w:rPr>
        <w:lastRenderedPageBreak/>
        <w:t xml:space="preserve">cannot be determined. Early learning financing is embedded in broader basic education spending, limiting accountability for pre-primary teachers, learning materials, child friendly infrastructure, play based learning and school readiness </w:t>
      </w:r>
      <w:proofErr w:type="spellStart"/>
      <w:r>
        <w:rPr>
          <w:highlight w:val="white"/>
        </w:rPr>
        <w:t>programmes</w:t>
      </w:r>
      <w:proofErr w:type="spellEnd"/>
      <w:r>
        <w:rPr>
          <w:highlight w:val="white"/>
        </w:rPr>
        <w:t xml:space="preserve">. Although basic education received about 74.8% of the education budget in 2025/26, it covers a broad age range of roughly 3–16 years, so spending specifically reaching early learners remains unclear. At local government level, councils are expected to allocate at least 3% of their budgets to social welfare </w:t>
      </w:r>
      <w:proofErr w:type="spellStart"/>
      <w:r>
        <w:rPr>
          <w:highlight w:val="white"/>
        </w:rPr>
        <w:t>programmes</w:t>
      </w:r>
      <w:proofErr w:type="spellEnd"/>
      <w:r>
        <w:rPr>
          <w:highlight w:val="white"/>
        </w:rPr>
        <w:t>, including ECCE, but implementation is inconsistent, leading to unequal financing and varying ECCE quality across councils.</w:t>
      </w:r>
      <w:r>
        <w:rPr>
          <w:highlight w:val="white"/>
          <w:vertAlign w:val="superscript"/>
        </w:rPr>
        <w:footnoteReference w:id="4"/>
      </w:r>
    </w:p>
    <w:p w14:paraId="1E4274BF" w14:textId="77777777" w:rsidR="007508D7" w:rsidRDefault="00000000">
      <w:pPr>
        <w:spacing w:before="240" w:after="240"/>
        <w:jc w:val="both"/>
        <w:rPr>
          <w:highlight w:val="white"/>
        </w:rPr>
      </w:pPr>
      <w:r>
        <w:rPr>
          <w:highlight w:val="white"/>
        </w:rPr>
        <w:t>The financing gap is also shown by education expenditure as a share of GDP, which fell from 4.3% in 2023/24 to 4.1% in 2025/26 and is projected to drop further to 4.0% in 2026/27. This threatens investment in foundational learning, despite Tanzania Development Vision 2050 recognizing early childhood (0–8 years) as the foundation for human capital development, with 90% of brain development occurring during this critical period.</w:t>
      </w:r>
      <w:r>
        <w:rPr>
          <w:highlight w:val="white"/>
          <w:vertAlign w:val="superscript"/>
        </w:rPr>
        <w:footnoteReference w:id="5"/>
      </w:r>
      <w:r>
        <w:rPr>
          <w:highlight w:val="white"/>
        </w:rPr>
        <w:t xml:space="preserve">  </w:t>
      </w:r>
    </w:p>
    <w:p w14:paraId="76858BFD" w14:textId="034C3949" w:rsidR="007508D7" w:rsidRDefault="00ED7AC2">
      <w:pPr>
        <w:spacing w:before="240" w:after="240"/>
        <w:jc w:val="both"/>
        <w:rPr>
          <w:highlight w:val="white"/>
        </w:rPr>
      </w:pPr>
      <w:r w:rsidRPr="00ED7AC2">
        <w:rPr>
          <w:highlight w:val="white"/>
        </w:rPr>
        <w:t xml:space="preserve">To advance Tanzania's long-term development goals, the Government should establish a </w:t>
      </w:r>
      <w:r w:rsidRPr="00ED7AC2">
        <w:rPr>
          <w:b/>
          <w:bCs/>
          <w:highlight w:val="white"/>
        </w:rPr>
        <w:t>dedicated ECCE budget line, and separately earmark funding for the pre-primary education component, enforce the 3% local government allocation for social welfare and strengthen ECCE expenditure tracking.</w:t>
      </w:r>
      <w:r w:rsidR="00BC6408">
        <w:rPr>
          <w:noProof/>
        </w:rPr>
        <mc:AlternateContent>
          <mc:Choice Requires="wpi">
            <w:drawing>
              <wp:anchor distT="0" distB="0" distL="114300" distR="114300" simplePos="0" relativeHeight="251659264" behindDoc="0" locked="0" layoutInCell="1" allowOverlap="1" wp14:anchorId="32016868" wp14:editId="35BA6692">
                <wp:simplePos x="0" y="0"/>
                <wp:positionH relativeFrom="column">
                  <wp:posOffset>3370670</wp:posOffset>
                </wp:positionH>
                <wp:positionV relativeFrom="paragraph">
                  <wp:posOffset>251610</wp:posOffset>
                </wp:positionV>
                <wp:extent cx="14760" cy="14040"/>
                <wp:effectExtent l="38100" t="57150" r="42545" b="43180"/>
                <wp:wrapNone/>
                <wp:docPr id="905133544" name="Ink 1"/>
                <wp:cNvGraphicFramePr/>
                <a:graphic xmlns:a="http://schemas.openxmlformats.org/drawingml/2006/main">
                  <a:graphicData uri="http://schemas.microsoft.com/office/word/2010/wordprocessingInk">
                    <w14:contentPart bwMode="auto" r:id="rId11">
                      <w14:nvContentPartPr>
                        <w14:cNvContentPartPr/>
                      </w14:nvContentPartPr>
                      <w14:xfrm>
                        <a:off x="0" y="0"/>
                        <a:ext cx="14760" cy="14040"/>
                      </w14:xfrm>
                    </w14:contentPart>
                  </a:graphicData>
                </a:graphic>
              </wp:anchor>
            </w:drawing>
          </mc:Choice>
          <mc:Fallback>
            <w:pict>
              <v:shapetype w14:anchorId="314476D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264.7pt;margin-top:19.1pt;width:2.55pt;height:2.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">
                <v:imagedata r:id="rId12" o:title=""/>
              </v:shape>
            </w:pict>
          </mc:Fallback>
        </mc:AlternateContent>
      </w:r>
      <w:r>
        <w:rPr>
          <w:b/>
          <w:bCs/>
          <w:highlight w:val="white"/>
        </w:rPr>
        <w:t xml:space="preserve"> </w:t>
      </w:r>
      <w:r>
        <w:rPr>
          <w:highlight w:val="white"/>
        </w:rPr>
        <w:t>Expanding investment in early childhood education is essential to improve learning outcomes, reduce inequalities and achieve the human capital goals of The Tanzania Development Vision (</w:t>
      </w:r>
      <w:hyperlink r:id="rId13">
        <w:r w:rsidR="007508D7">
          <w:rPr>
            <w:color w:val="1155CC"/>
            <w:highlight w:val="white"/>
            <w:u w:val="single"/>
          </w:rPr>
          <w:t>DIRA 2050</w:t>
        </w:r>
      </w:hyperlink>
      <w:r>
        <w:rPr>
          <w:highlight w:val="white"/>
        </w:rPr>
        <w:t xml:space="preserve">). </w:t>
      </w:r>
    </w:p>
    <w:p w14:paraId="7C58697C" w14:textId="77777777" w:rsidR="007508D7" w:rsidRDefault="00000000">
      <w:pPr>
        <w:pStyle w:val="Heading2"/>
        <w:keepNext w:val="0"/>
        <w:keepLines w:val="0"/>
        <w:spacing w:before="120" w:after="40"/>
        <w:jc w:val="center"/>
        <w:rPr>
          <w:rFonts w:ascii="Calibri" w:eastAsia="Calibri" w:hAnsi="Calibri" w:cs="Calibri"/>
          <w:b/>
          <w:bCs/>
          <w:sz w:val="19"/>
          <w:szCs w:val="19"/>
          <w:highlight w:val="white"/>
        </w:rPr>
      </w:pPr>
      <w:r>
        <w:rPr>
          <w:rFonts w:ascii="Calibri" w:eastAsia="Calibri" w:hAnsi="Calibri" w:cs="Calibri"/>
          <w:b/>
          <w:bCs/>
          <w:sz w:val="19"/>
          <w:szCs w:val="19"/>
          <w:highlight w:val="white"/>
        </w:rPr>
        <w:t>Figure 1: Health Budget Trend by Financial Year, 2022/23–2026/27 (TZS Trillion)</w:t>
      </w:r>
    </w:p>
    <w:p w14:paraId="66D3AE8F" w14:textId="77777777" w:rsidR="007508D7" w:rsidRDefault="00000000">
      <w:pPr>
        <w:pStyle w:val="Heading2"/>
        <w:keepNext w:val="0"/>
        <w:keepLines w:val="0"/>
        <w:spacing w:before="0" w:after="100"/>
        <w:jc w:val="center"/>
        <w:rPr>
          <w:rFonts w:ascii="Calibri" w:eastAsia="Calibri" w:hAnsi="Calibri" w:cs="Calibri"/>
          <w:b/>
          <w:bCs/>
          <w:sz w:val="19"/>
          <w:szCs w:val="19"/>
          <w:highlight w:val="white"/>
        </w:rPr>
      </w:pPr>
      <w:r>
        <w:rPr>
          <w:rFonts w:ascii="Calibri" w:eastAsia="Calibri" w:hAnsi="Calibri" w:cs="Calibri"/>
          <w:b/>
          <w:bCs/>
          <w:noProof/>
          <w:sz w:val="19"/>
          <w:szCs w:val="19"/>
          <w:highlight w:val="white"/>
        </w:rPr>
        <w:drawing>
          <wp:inline distT="114300" distB="114300" distL="114300" distR="114300" wp14:anchorId="49A63EED" wp14:editId="09C8E79D">
            <wp:extent cx="3238500" cy="1955800"/>
            <wp:effectExtent l="0" t="0" r="0" b="0"/>
            <wp:docPr id="1" name="image2.gif"/>
            <wp:cNvGraphicFramePr/>
            <a:graphic xmlns:a="http://schemas.openxmlformats.org/drawingml/2006/main">
              <a:graphicData uri="http://schemas.openxmlformats.org/drawingml/2006/picture">
                <pic:pic xmlns:pic="http://schemas.openxmlformats.org/drawingml/2006/picture">
                  <pic:nvPicPr>
                    <pic:cNvPr id="0" name="image2.gif"/>
                    <pic:cNvPicPr preferRelativeResize="0"/>
                  </pic:nvPicPr>
                  <pic:blipFill>
                    <a:blip r:embed="rId14"/>
                    <a:srcRect/>
                    <a:stretch>
                      <a:fillRect/>
                    </a:stretch>
                  </pic:blipFill>
                  <pic:spPr>
                    <a:xfrm>
                      <a:off x="0" y="0"/>
                      <a:ext cx="3238500" cy="1955800"/>
                    </a:xfrm>
                    <a:prstGeom prst="rect">
                      <a:avLst/>
                    </a:prstGeom>
                    <a:ln/>
                  </pic:spPr>
                </pic:pic>
              </a:graphicData>
            </a:graphic>
          </wp:inline>
        </w:drawing>
      </w:r>
    </w:p>
    <w:p w14:paraId="61DC8F2B" w14:textId="282FDB87" w:rsidR="007508D7" w:rsidRDefault="005558BA">
      <w:pPr>
        <w:pStyle w:val="Heading2"/>
        <w:keepNext w:val="0"/>
        <w:keepLines w:val="0"/>
        <w:spacing w:before="0" w:after="260"/>
        <w:jc w:val="center"/>
        <w:rPr>
          <w:rFonts w:ascii="Calibri" w:eastAsia="Calibri" w:hAnsi="Calibri" w:cs="Calibri"/>
          <w:i/>
          <w:iCs/>
          <w:color w:val="555555"/>
          <w:sz w:val="18"/>
          <w:szCs w:val="18"/>
          <w:highlight w:val="white"/>
        </w:rPr>
      </w:pPr>
      <w:r w:rsidRPr="005558BA">
        <w:rPr>
          <w:noProof/>
          <w:highlight w:val="white"/>
        </w:rPr>
        <w:drawing>
          <wp:inline distT="0" distB="0" distL="0" distR="0" wp14:anchorId="66ABF277" wp14:editId="534B8FC6">
            <wp:extent cx="5943600" cy="647700"/>
            <wp:effectExtent l="0" t="0" r="0" b="0"/>
            <wp:docPr id="207262706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647700"/>
                    </a:xfrm>
                    <a:prstGeom prst="rect">
                      <a:avLst/>
                    </a:prstGeom>
                    <a:noFill/>
                    <a:ln>
                      <a:noFill/>
                    </a:ln>
                  </pic:spPr>
                </pic:pic>
              </a:graphicData>
            </a:graphic>
          </wp:inline>
        </w:drawing>
      </w:r>
      <w:r>
        <w:rPr>
          <w:rFonts w:ascii="Calibri" w:eastAsia="Calibri" w:hAnsi="Calibri" w:cs="Calibri"/>
          <w:i/>
          <w:iCs/>
          <w:color w:val="555555"/>
          <w:sz w:val="18"/>
          <w:szCs w:val="18"/>
          <w:highlight w:val="white"/>
        </w:rPr>
        <w:t xml:space="preserve"> </w:t>
      </w:r>
    </w:p>
    <w:p w14:paraId="656D620D" w14:textId="77777777" w:rsidR="007508D7" w:rsidRDefault="007508D7"/>
    <w:p w14:paraId="3057691C" w14:textId="77777777" w:rsidR="007508D7" w:rsidRDefault="007508D7"/>
    <w:p w14:paraId="24682F97" w14:textId="77777777" w:rsidR="007508D7" w:rsidRDefault="007508D7"/>
    <w:p w14:paraId="4BF67438" w14:textId="166E5860" w:rsidR="007508D7" w:rsidRDefault="005558BA">
      <w:pPr>
        <w:pStyle w:val="Heading2"/>
        <w:keepNext w:val="0"/>
        <w:keepLines w:val="0"/>
        <w:spacing w:before="120" w:after="40"/>
        <w:jc w:val="center"/>
        <w:rPr>
          <w:rFonts w:ascii="Calibri" w:eastAsia="Calibri" w:hAnsi="Calibri" w:cs="Calibri"/>
          <w:b/>
          <w:bCs/>
          <w:sz w:val="19"/>
          <w:szCs w:val="19"/>
          <w:highlight w:val="white"/>
        </w:rPr>
      </w:pPr>
      <w:r w:rsidRPr="005558BA">
        <w:rPr>
          <w:noProof/>
          <w:highlight w:val="white"/>
        </w:rPr>
        <w:drawing>
          <wp:inline distT="0" distB="0" distL="0" distR="0" wp14:anchorId="4EE3C79D" wp14:editId="64A7DA4B">
            <wp:extent cx="5943600" cy="273050"/>
            <wp:effectExtent l="0" t="0" r="0" b="0"/>
            <wp:docPr id="110829672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273050"/>
                    </a:xfrm>
                    <a:prstGeom prst="rect">
                      <a:avLst/>
                    </a:prstGeom>
                    <a:noFill/>
                    <a:ln>
                      <a:noFill/>
                    </a:ln>
                  </pic:spPr>
                </pic:pic>
              </a:graphicData>
            </a:graphic>
          </wp:inline>
        </w:drawing>
      </w:r>
      <w:r w:rsidRPr="005558BA">
        <w:rPr>
          <w:rFonts w:ascii="Calibri" w:eastAsia="Calibri" w:hAnsi="Calibri" w:cs="Calibri"/>
          <w:b/>
          <w:bCs/>
          <w:sz w:val="19"/>
          <w:szCs w:val="19"/>
          <w:highlight w:val="white"/>
        </w:rPr>
        <w:t xml:space="preserve"> </w:t>
      </w:r>
    </w:p>
    <w:p w14:paraId="3D4F94CF" w14:textId="31E08E66" w:rsidR="007508D7" w:rsidRPr="005558BA" w:rsidRDefault="00000000" w:rsidP="005558BA">
      <w:pPr>
        <w:pStyle w:val="Heading2"/>
        <w:keepNext w:val="0"/>
        <w:keepLines w:val="0"/>
        <w:spacing w:before="0" w:after="100"/>
        <w:jc w:val="center"/>
        <w:rPr>
          <w:rFonts w:ascii="Calibri" w:eastAsia="Calibri" w:hAnsi="Calibri" w:cs="Calibri"/>
          <w:b/>
          <w:bCs/>
          <w:sz w:val="19"/>
          <w:szCs w:val="19"/>
          <w:highlight w:val="white"/>
        </w:rPr>
      </w:pPr>
      <w:bookmarkStart w:id="2" w:name="_l6usxjrhgada" w:colFirst="0" w:colLast="0"/>
      <w:bookmarkEnd w:id="2"/>
      <w:r>
        <w:rPr>
          <w:rFonts w:ascii="Calibri" w:eastAsia="Calibri" w:hAnsi="Calibri" w:cs="Calibri"/>
          <w:b/>
          <w:bCs/>
          <w:noProof/>
          <w:sz w:val="19"/>
          <w:szCs w:val="19"/>
          <w:highlight w:val="white"/>
        </w:rPr>
        <w:drawing>
          <wp:inline distT="114300" distB="114300" distL="114300" distR="114300" wp14:anchorId="7B6A1985" wp14:editId="3061F8F5">
            <wp:extent cx="3619500" cy="2413000"/>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7"/>
                    <a:srcRect/>
                    <a:stretch>
                      <a:fillRect/>
                    </a:stretch>
                  </pic:blipFill>
                  <pic:spPr>
                    <a:xfrm>
                      <a:off x="0" y="0"/>
                      <a:ext cx="3619500" cy="2413000"/>
                    </a:xfrm>
                    <a:prstGeom prst="rect">
                      <a:avLst/>
                    </a:prstGeom>
                    <a:ln/>
                  </pic:spPr>
                </pic:pic>
              </a:graphicData>
            </a:graphic>
          </wp:inline>
        </w:drawing>
      </w:r>
      <w:bookmarkStart w:id="3" w:name="_qlhval863cz6" w:colFirst="0" w:colLast="0"/>
      <w:bookmarkEnd w:id="3"/>
      <w:r w:rsidR="005558BA" w:rsidRPr="005558BA">
        <w:rPr>
          <w:noProof/>
          <w:highlight w:val="white"/>
        </w:rPr>
        <w:drawing>
          <wp:inline distT="0" distB="0" distL="0" distR="0" wp14:anchorId="020FA850" wp14:editId="0A054CAD">
            <wp:extent cx="5943600" cy="812800"/>
            <wp:effectExtent l="0" t="0" r="0" b="0"/>
            <wp:docPr id="118495472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812800"/>
                    </a:xfrm>
                    <a:prstGeom prst="rect">
                      <a:avLst/>
                    </a:prstGeom>
                    <a:noFill/>
                    <a:ln>
                      <a:noFill/>
                    </a:ln>
                  </pic:spPr>
                </pic:pic>
              </a:graphicData>
            </a:graphic>
          </wp:inline>
        </w:drawing>
      </w:r>
    </w:p>
    <w:p w14:paraId="310C8B23" w14:textId="77777777" w:rsidR="007508D7" w:rsidRDefault="00000000">
      <w:pPr>
        <w:pStyle w:val="Heading2"/>
        <w:keepNext w:val="0"/>
        <w:keepLines w:val="0"/>
        <w:spacing w:after="160"/>
        <w:jc w:val="both"/>
        <w:rPr>
          <w:b/>
          <w:bCs/>
          <w:sz w:val="22"/>
          <w:szCs w:val="22"/>
          <w:highlight w:val="white"/>
        </w:rPr>
      </w:pPr>
      <w:bookmarkStart w:id="4" w:name="_fanothhz2c4y" w:colFirst="0" w:colLast="0"/>
      <w:bookmarkEnd w:id="4"/>
      <w:r>
        <w:rPr>
          <w:b/>
          <w:bCs/>
          <w:sz w:val="22"/>
          <w:szCs w:val="22"/>
          <w:highlight w:val="white"/>
        </w:rPr>
        <w:t>Health</w:t>
      </w:r>
    </w:p>
    <w:p w14:paraId="4942918F" w14:textId="77777777" w:rsidR="007508D7" w:rsidRDefault="00000000">
      <w:pPr>
        <w:spacing w:after="160"/>
        <w:jc w:val="both"/>
        <w:rPr>
          <w:b/>
          <w:bCs/>
        </w:rPr>
      </w:pPr>
      <w:r>
        <w:rPr>
          <w:highlight w:val="white"/>
        </w:rPr>
        <w:t>Alongside education, health remains a critical public investment area. In the 2022/23 and 2023/24 budget periods, Mainland Tanzania’s Ministry of Health allocated resources to maternal and child health, immunization, nutrition and community health services, mainly benefiting children under five.</w:t>
      </w:r>
      <w:r>
        <w:rPr>
          <w:highlight w:val="white"/>
          <w:vertAlign w:val="superscript"/>
        </w:rPr>
        <w:footnoteReference w:id="6"/>
      </w:r>
      <w:r>
        <w:rPr>
          <w:highlight w:val="white"/>
        </w:rPr>
        <w:t xml:space="preserve"> </w:t>
      </w:r>
      <w:r>
        <w:rPr>
          <w:b/>
          <w:bCs/>
          <w:highlight w:val="white"/>
        </w:rPr>
        <w:t xml:space="preserve">However, there is no dedicated budget framework for the full 0–8 years age group, leaving gaps in financing for integrated ECD, including nurturing care, developmental screening, disability services, parenting support and school readiness. </w:t>
      </w:r>
      <w:r>
        <w:rPr>
          <w:highlight w:val="white"/>
        </w:rPr>
        <w:t xml:space="preserve">The budget also lacks child-specific expenditure tracking and monitoring, making it difficult to confirm whether funds reach children aged 0–8 years. </w:t>
      </w:r>
      <w:r>
        <w:rPr>
          <w:b/>
          <w:bCs/>
          <w:highlight w:val="white"/>
        </w:rPr>
        <w:t xml:space="preserve">These challenges are compounded by health sector underfunding: health received only 5.5% of the national budget in 2023/24, far below the 15% Abuja Declaration target, limiting comprehensive and equitable services for young children. </w:t>
      </w:r>
    </w:p>
    <w:p w14:paraId="19D6FE9B" w14:textId="77777777" w:rsidR="007508D7" w:rsidRDefault="00000000">
      <w:pPr>
        <w:pStyle w:val="Heading1"/>
        <w:keepNext w:val="0"/>
        <w:keepLines w:val="0"/>
        <w:spacing w:before="320" w:after="160"/>
        <w:jc w:val="both"/>
        <w:rPr>
          <w:b/>
          <w:bCs/>
          <w:sz w:val="22"/>
          <w:szCs w:val="22"/>
        </w:rPr>
      </w:pPr>
      <w:bookmarkStart w:id="5" w:name="_9sc79xn2maov" w:colFirst="0" w:colLast="0"/>
      <w:bookmarkEnd w:id="5"/>
      <w:r>
        <w:rPr>
          <w:b/>
          <w:bCs/>
          <w:sz w:val="22"/>
          <w:szCs w:val="22"/>
        </w:rPr>
        <w:t>2. Corporal Punishment (List of Issues para. 8(b))</w:t>
      </w:r>
    </w:p>
    <w:p w14:paraId="55121127" w14:textId="1470DEC0" w:rsidR="007508D7" w:rsidRDefault="005558BA">
      <w:pPr>
        <w:spacing w:before="240" w:after="240"/>
        <w:jc w:val="both"/>
      </w:pPr>
      <w:r w:rsidRPr="005558BA">
        <w:rPr>
          <w:noProof/>
        </w:rPr>
        <w:drawing>
          <wp:inline distT="0" distB="0" distL="0" distR="0" wp14:anchorId="77C8ED53" wp14:editId="7CF5034A">
            <wp:extent cx="5943600" cy="508000"/>
            <wp:effectExtent l="0" t="0" r="0" b="0"/>
            <wp:docPr id="3898191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508000"/>
                    </a:xfrm>
                    <a:prstGeom prst="rect">
                      <a:avLst/>
                    </a:prstGeom>
                    <a:noFill/>
                    <a:ln>
                      <a:noFill/>
                    </a:ln>
                  </pic:spPr>
                </pic:pic>
              </a:graphicData>
            </a:graphic>
          </wp:inline>
        </w:drawing>
      </w:r>
      <w:r>
        <w:t xml:space="preserve">Corporal punishment remains lawful in the home, day-care </w:t>
      </w:r>
      <w:proofErr w:type="spellStart"/>
      <w:r>
        <w:t>centres</w:t>
      </w:r>
      <w:proofErr w:type="spellEnd"/>
      <w:r>
        <w:t xml:space="preserve">, schools, certain alternative care and penal institutions, and as a judicial sentence for males. Although Article 13 of the Law </w:t>
      </w:r>
      <w:r>
        <w:lastRenderedPageBreak/>
        <w:t xml:space="preserve">of the Child Act 2009 prohibits torture and cruel treatment, the Education (Corporal </w:t>
      </w:r>
      <w:proofErr w:type="gramStart"/>
      <w:r>
        <w:t>Punishment)  Regulations</w:t>
      </w:r>
      <w:proofErr w:type="gramEnd"/>
      <w:r>
        <w:t xml:space="preserve"> 2002 permit head teachers to administer up to four strokes of the cane. Similar provisions exist in the Retention Homes Rules 2012 and the Approved Schools Rules 2011.</w:t>
      </w:r>
      <w:r>
        <w:rPr>
          <w:vertAlign w:val="superscript"/>
        </w:rPr>
        <w:footnoteReference w:id="7"/>
      </w:r>
    </w:p>
    <w:p w14:paraId="3128DE1C" w14:textId="77777777" w:rsidR="007508D7" w:rsidRDefault="00000000">
      <w:pPr>
        <w:spacing w:before="240" w:after="240"/>
        <w:jc w:val="both"/>
      </w:pPr>
      <w:r>
        <w:t>The C-SEMA helpline recorded 169 child abuse cases in January and February 2025, including 52 cases of severe physical punishment. In March 2025, a coalition</w:t>
      </w:r>
      <w:r>
        <w:rPr>
          <w:vertAlign w:val="superscript"/>
        </w:rPr>
        <w:footnoteReference w:id="8"/>
      </w:r>
      <w:r>
        <w:t xml:space="preserve">  of child rights </w:t>
      </w:r>
      <w:proofErr w:type="spellStart"/>
      <w:r>
        <w:t>organisations</w:t>
      </w:r>
      <w:proofErr w:type="spellEnd"/>
      <w:r>
        <w:t xml:space="preserve"> called for the repeal of the corporal punishment provisions in the 2002 Regulations and the Education Act of 1978. In response, the Education Commissioner stated that corporal punishment "cannot be entirely abolished" and </w:t>
      </w:r>
      <w:proofErr w:type="spellStart"/>
      <w:r>
        <w:t>emphasised</w:t>
      </w:r>
      <w:proofErr w:type="spellEnd"/>
      <w:r>
        <w:t xml:space="preserve"> stronger monitoring within existing guidelines. Although the Education Act is due for review in 2026/27 and the Technical Working Group on Ending Corporal Punishment renewed its call for a complete ban in April 2026</w:t>
      </w:r>
      <w:r>
        <w:rPr>
          <w:vertAlign w:val="superscript"/>
        </w:rPr>
        <w:footnoteReference w:id="9"/>
      </w:r>
      <w:r>
        <w:t xml:space="preserve">, current initiatives continue to </w:t>
      </w:r>
      <w:proofErr w:type="spellStart"/>
      <w:r>
        <w:t>prioritise</w:t>
      </w:r>
      <w:proofErr w:type="spellEnd"/>
      <w:r>
        <w:t xml:space="preserve"> institutional reform over legislative prohibition.</w:t>
      </w:r>
    </w:p>
    <w:p w14:paraId="07DDA2F4" w14:textId="77777777" w:rsidR="007508D7" w:rsidRDefault="00000000">
      <w:pPr>
        <w:spacing w:before="240" w:after="240"/>
        <w:jc w:val="both"/>
      </w:pPr>
      <w:r>
        <w:t>In 2024, the Government conducted the second Violence Against Children and Youth Survey (VACS), the first since 2009, and trained 174 Social Welfare Officers in case management, exceeding its target. The survey revealed that 31.1% of young women and 29.0% of young men considered corporal punishment by parents necessary, while 42.1% and 43.7%, respectively, supported its use by teachers.</w:t>
      </w:r>
      <w:r>
        <w:rPr>
          <w:vertAlign w:val="superscript"/>
        </w:rPr>
        <w:footnoteReference w:id="10"/>
      </w:r>
      <w:r>
        <w:t xml:space="preserve"> Although these findings informed the National Plan of Action to End Violence Against Women and Children II (2024/25–2028/29), </w:t>
      </w:r>
      <w:r>
        <w:rPr>
          <w:b/>
          <w:bCs/>
        </w:rPr>
        <w:t xml:space="preserve">the plan continues to </w:t>
      </w:r>
      <w:proofErr w:type="spellStart"/>
      <w:r>
        <w:rPr>
          <w:b/>
          <w:bCs/>
        </w:rPr>
        <w:t>emphasise</w:t>
      </w:r>
      <w:proofErr w:type="spellEnd"/>
      <w:r>
        <w:rPr>
          <w:b/>
          <w:bCs/>
        </w:rPr>
        <w:t xml:space="preserve"> ‘positive discipline’ rather than a legal ban on corporal punishment</w:t>
      </w:r>
      <w:r>
        <w:t>.</w:t>
      </w:r>
      <w:r>
        <w:rPr>
          <w:vertAlign w:val="superscript"/>
        </w:rPr>
        <w:footnoteReference w:id="11"/>
      </w:r>
    </w:p>
    <w:p w14:paraId="5CC128C1" w14:textId="77777777" w:rsidR="007508D7" w:rsidRDefault="00000000">
      <w:pPr>
        <w:pStyle w:val="Heading1"/>
        <w:keepNext w:val="0"/>
        <w:keepLines w:val="0"/>
        <w:spacing w:before="320" w:after="160"/>
        <w:jc w:val="both"/>
        <w:rPr>
          <w:b/>
          <w:bCs/>
          <w:sz w:val="22"/>
          <w:szCs w:val="22"/>
        </w:rPr>
      </w:pPr>
      <w:bookmarkStart w:id="6" w:name="_rxfwu32eysvj" w:colFirst="0" w:colLast="0"/>
      <w:bookmarkEnd w:id="6"/>
      <w:r>
        <w:rPr>
          <w:b/>
          <w:bCs/>
          <w:sz w:val="22"/>
          <w:szCs w:val="22"/>
        </w:rPr>
        <w:t xml:space="preserve">3. Alternative Care and Children Incarcerated with their </w:t>
      </w:r>
      <w:proofErr w:type="gramStart"/>
      <w:r>
        <w:rPr>
          <w:b/>
          <w:bCs/>
          <w:sz w:val="22"/>
          <w:szCs w:val="22"/>
        </w:rPr>
        <w:t>Mothers</w:t>
      </w:r>
      <w:proofErr w:type="gramEnd"/>
      <w:r>
        <w:rPr>
          <w:b/>
          <w:bCs/>
          <w:sz w:val="22"/>
          <w:szCs w:val="22"/>
        </w:rPr>
        <w:t xml:space="preserve"> (List of Issues paras. 9(c) and 9(e))</w:t>
      </w:r>
    </w:p>
    <w:p w14:paraId="762214E6" w14:textId="312289FF" w:rsidR="007508D7" w:rsidRDefault="005558BA">
      <w:pPr>
        <w:spacing w:after="160"/>
        <w:jc w:val="both"/>
      </w:pPr>
      <w:r w:rsidRPr="005558BA">
        <w:rPr>
          <w:noProof/>
        </w:rPr>
        <w:drawing>
          <wp:inline distT="0" distB="0" distL="0" distR="0" wp14:anchorId="083B7124" wp14:editId="1853A5EF">
            <wp:extent cx="5943600" cy="692150"/>
            <wp:effectExtent l="0" t="0" r="0" b="0"/>
            <wp:docPr id="76450763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692150"/>
                    </a:xfrm>
                    <a:prstGeom prst="rect">
                      <a:avLst/>
                    </a:prstGeom>
                    <a:noFill/>
                    <a:ln>
                      <a:noFill/>
                    </a:ln>
                  </pic:spPr>
                </pic:pic>
              </a:graphicData>
            </a:graphic>
          </wp:inline>
        </w:drawing>
      </w:r>
      <w:r>
        <w:rPr>
          <w:b/>
          <w:bCs/>
        </w:rPr>
        <w:t>LOI 9(c)</w:t>
      </w:r>
      <w:r>
        <w:t xml:space="preserve"> </w:t>
      </w:r>
    </w:p>
    <w:p w14:paraId="1488BF0F" w14:textId="77777777" w:rsidR="007508D7" w:rsidRDefault="00000000">
      <w:pPr>
        <w:spacing w:after="160"/>
        <w:jc w:val="both"/>
      </w:pPr>
      <w:r>
        <w:t xml:space="preserve">The Government has strengthened the regulation of children's institutions and alternative care through the Law of the Child Act and the 2024 National Guidelines for Children's Homes, which require the registration and inspection of approved homes, day-care </w:t>
      </w:r>
      <w:proofErr w:type="spellStart"/>
      <w:r>
        <w:t>centres</w:t>
      </w:r>
      <w:proofErr w:type="spellEnd"/>
      <w:r>
        <w:t xml:space="preserve"> and crèches.</w:t>
      </w:r>
      <w:r>
        <w:rPr>
          <w:vertAlign w:val="superscript"/>
        </w:rPr>
        <w:footnoteReference w:id="12"/>
      </w:r>
      <w:r>
        <w:t xml:space="preserve"> </w:t>
      </w:r>
      <w:r>
        <w:lastRenderedPageBreak/>
        <w:t xml:space="preserve">Family-based care has also been promoted through the National Child Care Reform Strategy (2020–2025) and the National Guidelines on Children's Reintegration with Families (2019), which </w:t>
      </w:r>
      <w:proofErr w:type="spellStart"/>
      <w:r>
        <w:t>prioritise</w:t>
      </w:r>
      <w:proofErr w:type="spellEnd"/>
      <w:r>
        <w:t xml:space="preserve"> reintegration, kinship care and foster care. In 2026, the expansion of the School Information System to ECD </w:t>
      </w:r>
      <w:proofErr w:type="spellStart"/>
      <w:r>
        <w:t>centres</w:t>
      </w:r>
      <w:proofErr w:type="spellEnd"/>
      <w:r>
        <w:t xml:space="preserve"> further improved the monitoring of daycare and pre-primary institutions.</w:t>
      </w:r>
      <w:r>
        <w:rPr>
          <w:vertAlign w:val="superscript"/>
        </w:rPr>
        <w:footnoteReference w:id="13"/>
      </w:r>
    </w:p>
    <w:p w14:paraId="5D164D88" w14:textId="77777777" w:rsidR="007508D7" w:rsidRDefault="00000000">
      <w:pPr>
        <w:spacing w:before="240" w:after="240"/>
        <w:jc w:val="both"/>
        <w:rPr>
          <w:b/>
          <w:bCs/>
        </w:rPr>
      </w:pPr>
      <w:r>
        <w:t xml:space="preserve">Despite these efforts, significant gaps persist in monitoring informal family-based care, unregistered children's homes and community-based care settings in both rural and urban areas. </w:t>
      </w:r>
      <w:r>
        <w:rPr>
          <w:b/>
          <w:bCs/>
        </w:rPr>
        <w:t>Children in kinship care and other informal arrangements are often not captured in administrative systems, limiting effective monitoring and evidence-based planning by Social Welfare Officers.</w:t>
      </w:r>
      <w:r>
        <w:rPr>
          <w:b/>
          <w:bCs/>
          <w:vertAlign w:val="superscript"/>
        </w:rPr>
        <w:footnoteReference w:id="14"/>
      </w:r>
    </w:p>
    <w:p w14:paraId="3BA94541" w14:textId="1A55B988" w:rsidR="007508D7" w:rsidRDefault="00000000">
      <w:pPr>
        <w:spacing w:before="240" w:after="240"/>
        <w:jc w:val="both"/>
        <w:rPr>
          <w:b/>
          <w:bCs/>
        </w:rPr>
      </w:pPr>
      <w:r>
        <w:t xml:space="preserve">While pre-primary education for children aged 5–6 is primarily provided through state-run primary schools, childcare services for children below five are largely delivered by non-governmental </w:t>
      </w:r>
      <w:proofErr w:type="spellStart"/>
      <w:r>
        <w:t>organisations</w:t>
      </w:r>
      <w:proofErr w:type="spellEnd"/>
      <w:r>
        <w:t xml:space="preserve"> (NGOs) and private providers.</w:t>
      </w:r>
      <w:r>
        <w:rPr>
          <w:b/>
          <w:bCs/>
        </w:rPr>
        <w:t xml:space="preserve"> Although the law requires registration, compliance remains weak, with many </w:t>
      </w:r>
      <w:proofErr w:type="spellStart"/>
      <w:r>
        <w:rPr>
          <w:b/>
          <w:bCs/>
        </w:rPr>
        <w:t>centres</w:t>
      </w:r>
      <w:proofErr w:type="spellEnd"/>
      <w:r>
        <w:rPr>
          <w:b/>
          <w:bCs/>
        </w:rPr>
        <w:t xml:space="preserve"> operating without official registration, </w:t>
      </w:r>
      <w:r w:rsidR="007458D8">
        <w:rPr>
          <w:b/>
          <w:bCs/>
        </w:rPr>
        <w:t>undocumented, raising</w:t>
      </w:r>
      <w:r>
        <w:rPr>
          <w:b/>
          <w:bCs/>
        </w:rPr>
        <w:t xml:space="preserve"> concerns about regulation and quality.</w:t>
      </w:r>
      <w:r>
        <w:rPr>
          <w:b/>
          <w:bCs/>
          <w:vertAlign w:val="superscript"/>
        </w:rPr>
        <w:footnoteReference w:id="15"/>
      </w:r>
    </w:p>
    <w:p w14:paraId="67D2A933" w14:textId="77777777" w:rsidR="007508D7" w:rsidRDefault="00000000">
      <w:pPr>
        <w:spacing w:after="160"/>
        <w:jc w:val="both"/>
      </w:pPr>
      <w:r>
        <w:rPr>
          <w:b/>
          <w:bCs/>
        </w:rPr>
        <w:t>LOI 9(e)</w:t>
      </w:r>
      <w:r>
        <w:t xml:space="preserve"> Tanzania has established legal safeguards for children accompanying their mothers in prison under </w:t>
      </w:r>
      <w:r>
        <w:rPr>
          <w:b/>
          <w:bCs/>
        </w:rPr>
        <w:t>Section 145 of the Law of the Child Act, Cap. 13 (R.E. 2023)</w:t>
      </w:r>
      <w:r>
        <w:t>.</w:t>
      </w:r>
      <w:r>
        <w:rPr>
          <w:vertAlign w:val="superscript"/>
        </w:rPr>
        <w:footnoteReference w:id="16"/>
      </w:r>
      <w:r>
        <w:t xml:space="preserve"> The Act requires prison authorities to ensure adequate nutrition, healthcare, immunization and childcare, and to notify the District Social Welfare Officer when a child stops breastfeeding so that family based alternative care or placement in an approved residential home may be arranged where necessary. </w:t>
      </w:r>
    </w:p>
    <w:p w14:paraId="17B1FA86" w14:textId="77777777" w:rsidR="007508D7" w:rsidRDefault="00000000">
      <w:pPr>
        <w:spacing w:after="160"/>
        <w:jc w:val="both"/>
      </w:pPr>
      <w:r>
        <w:t xml:space="preserve">According to the </w:t>
      </w:r>
      <w:r>
        <w:rPr>
          <w:b/>
          <w:bCs/>
        </w:rPr>
        <w:t>Prisoners Statistics Report Tanzania Mainland 2025, 36 women</w:t>
      </w:r>
      <w:r>
        <w:t xml:space="preserve"> entered prison while pregnant (16 convicted and 20 remand prisoners), and 77 women entered prison with </w:t>
      </w:r>
      <w:r>
        <w:rPr>
          <w:b/>
          <w:bCs/>
        </w:rPr>
        <w:t>81 children</w:t>
      </w:r>
      <w:r>
        <w:t xml:space="preserve"> (29 convicted women with 31 children and 48 remand women with 50 children).</w:t>
      </w:r>
      <w:r>
        <w:rPr>
          <w:vertAlign w:val="superscript"/>
        </w:rPr>
        <w:footnoteReference w:id="17"/>
      </w:r>
      <w:r>
        <w:t xml:space="preserve"> These figures show that children continue to live with their mothers in correctional facilities and that the Government maintains administrative data on this population. </w:t>
      </w:r>
    </w:p>
    <w:p w14:paraId="21E496DC" w14:textId="77777777" w:rsidR="007508D7" w:rsidRDefault="00000000">
      <w:pPr>
        <w:spacing w:before="240" w:after="240"/>
        <w:jc w:val="both"/>
      </w:pPr>
      <w:r>
        <w:t>According to the Minister for Home Affairs, pregnant women and children living in prison receive healthcare, nutrition and accommodation.</w:t>
      </w:r>
      <w:r>
        <w:rPr>
          <w:vertAlign w:val="superscript"/>
        </w:rPr>
        <w:footnoteReference w:id="18"/>
      </w:r>
      <w:r>
        <w:t xml:space="preserve"> However, there is no publicly available evidence of </w:t>
      </w:r>
      <w:r>
        <w:lastRenderedPageBreak/>
        <w:t xml:space="preserve">dedicated mother-and-child units or separate facilities for the developmental needs of young children. Existing legal provisions and policies mainly address children’s welfare and alternative care after breastfeeding, rather than enabling child friendly living environments, early childhood development services or age appropriate stimulation in prison. </w:t>
      </w:r>
    </w:p>
    <w:p w14:paraId="597C47E4" w14:textId="77777777" w:rsidR="007508D7" w:rsidRDefault="00000000">
      <w:pPr>
        <w:spacing w:before="240" w:after="240"/>
        <w:jc w:val="both"/>
      </w:pPr>
      <w:bookmarkStart w:id="7" w:name="_c84dj39z7ree" w:colFirst="0" w:colLast="0"/>
      <w:bookmarkEnd w:id="7"/>
      <w:r>
        <w:t>Further, data on children's length of stay, developmental outcomes, access to early learning and psychosocial support, and placement in alternative care remain limited, hindering effective monitoring of their well-being.</w:t>
      </w:r>
    </w:p>
    <w:p w14:paraId="0FDEEB18" w14:textId="65BB647B" w:rsidR="007508D7" w:rsidRDefault="00000000">
      <w:pPr>
        <w:pStyle w:val="Heading1"/>
        <w:keepNext w:val="0"/>
        <w:keepLines w:val="0"/>
        <w:spacing w:before="320" w:after="160"/>
        <w:jc w:val="both"/>
        <w:rPr>
          <w:b/>
          <w:bCs/>
          <w:sz w:val="22"/>
          <w:szCs w:val="22"/>
        </w:rPr>
      </w:pPr>
      <w:r>
        <w:rPr>
          <w:b/>
          <w:bCs/>
          <w:sz w:val="22"/>
          <w:szCs w:val="22"/>
        </w:rPr>
        <w:t>4. Nutrition for children in schools and low income families (List of Issues para 11(c) and 13(b))</w:t>
      </w:r>
    </w:p>
    <w:p w14:paraId="3B573D1E" w14:textId="4232D518" w:rsidR="007508D7" w:rsidRDefault="005558BA">
      <w:pPr>
        <w:spacing w:before="240" w:after="240"/>
        <w:jc w:val="both"/>
      </w:pPr>
      <w:r w:rsidRPr="005558BA">
        <w:rPr>
          <w:noProof/>
        </w:rPr>
        <w:drawing>
          <wp:inline distT="0" distB="0" distL="0" distR="0" wp14:anchorId="1B0296DA" wp14:editId="2D8030EF">
            <wp:extent cx="5943600" cy="692150"/>
            <wp:effectExtent l="0" t="0" r="0" b="0"/>
            <wp:docPr id="22932406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692150"/>
                    </a:xfrm>
                    <a:prstGeom prst="rect">
                      <a:avLst/>
                    </a:prstGeom>
                    <a:noFill/>
                    <a:ln>
                      <a:noFill/>
                    </a:ln>
                  </pic:spPr>
                </pic:pic>
              </a:graphicData>
            </a:graphic>
          </wp:inline>
        </w:drawing>
      </w:r>
      <w:r>
        <w:t xml:space="preserve">Malnutrition remains a major barrier to children's survival, development and learning in Tanzania, despite progress over the past decade. According to the Tanzania Demographic and Health Survey and Malaria Indicator Survey (TDHS-MIS 2022), 30% of children under five are stunted, 3% are wasted, 11% are underweight, and 31% of children aged 6–59 months are </w:t>
      </w:r>
      <w:proofErr w:type="spellStart"/>
      <w:r>
        <w:t>anaemic</w:t>
      </w:r>
      <w:proofErr w:type="spellEnd"/>
      <w:r>
        <w:t>.</w:t>
      </w:r>
      <w:r>
        <w:rPr>
          <w:vertAlign w:val="superscript"/>
        </w:rPr>
        <w:footnoteReference w:id="19"/>
      </w:r>
      <w:r>
        <w:t xml:space="preserve"> </w:t>
      </w:r>
    </w:p>
    <w:p w14:paraId="1CD08C3B" w14:textId="77777777" w:rsidR="007508D7" w:rsidRDefault="00000000">
      <w:pPr>
        <w:spacing w:before="240" w:after="240"/>
        <w:jc w:val="both"/>
      </w:pPr>
      <w:r>
        <w:rPr>
          <w:b/>
          <w:bCs/>
        </w:rPr>
        <w:t>Micronutrient deficiencies continue to affect young children, particularly in rural, low-income and food-insecure households, undermining cognitive development, school readiness and long-term productivity</w:t>
      </w:r>
      <w:r>
        <w:t>. Although Tanzania has adopted the National Multisectoral Nutrition Action Plan (NMNAP II 2021/22–2025/26) and the National School Feeding Guidelines (2023), implementation remains uneven due to inadequate State funding, limited institutional capacity and reliance on local governments, development partners and communities for financing.</w:t>
      </w:r>
      <w:r>
        <w:rPr>
          <w:vertAlign w:val="superscript"/>
        </w:rPr>
        <w:footnoteReference w:id="20"/>
      </w:r>
    </w:p>
    <w:p w14:paraId="07A06F3B" w14:textId="77777777" w:rsidR="007508D7" w:rsidRDefault="00000000">
      <w:pPr>
        <w:spacing w:before="240" w:after="240"/>
        <w:jc w:val="both"/>
        <w:rPr>
          <w:b/>
          <w:bCs/>
        </w:rPr>
      </w:pPr>
      <w:r>
        <w:rPr>
          <w:b/>
          <w:bCs/>
        </w:rPr>
        <w:t xml:space="preserve">School feeding </w:t>
      </w:r>
      <w:proofErr w:type="spellStart"/>
      <w:r>
        <w:rPr>
          <w:b/>
          <w:bCs/>
        </w:rPr>
        <w:t>programmes</w:t>
      </w:r>
      <w:proofErr w:type="spellEnd"/>
      <w:r>
        <w:rPr>
          <w:b/>
          <w:bCs/>
        </w:rPr>
        <w:t xml:space="preserve"> are not universally available, especially in public pre-primary schools, community-based ECCE </w:t>
      </w:r>
      <w:proofErr w:type="spellStart"/>
      <w:r>
        <w:rPr>
          <w:b/>
          <w:bCs/>
        </w:rPr>
        <w:t>centres</w:t>
      </w:r>
      <w:proofErr w:type="spellEnd"/>
      <w:r>
        <w:rPr>
          <w:b/>
          <w:bCs/>
        </w:rPr>
        <w:t xml:space="preserve"> and informal day-care </w:t>
      </w:r>
      <w:proofErr w:type="spellStart"/>
      <w:r>
        <w:rPr>
          <w:b/>
          <w:bCs/>
        </w:rPr>
        <w:t>centres</w:t>
      </w:r>
      <w:proofErr w:type="spellEnd"/>
      <w:r>
        <w:rPr>
          <w:b/>
          <w:bCs/>
        </w:rPr>
        <w:t>. Where they exist, they often depend on parental contributions, excluding the poorest children and exacerbating inequalities in attendance, learning outcomes and retention.</w:t>
      </w:r>
      <w:r>
        <w:rPr>
          <w:b/>
          <w:bCs/>
          <w:vertAlign w:val="superscript"/>
        </w:rPr>
        <w:footnoteReference w:id="21"/>
      </w:r>
    </w:p>
    <w:p w14:paraId="30D7DBF6" w14:textId="77777777" w:rsidR="007508D7" w:rsidRDefault="00000000">
      <w:pPr>
        <w:spacing w:before="240" w:after="240"/>
        <w:jc w:val="both"/>
      </w:pPr>
      <w:r>
        <w:t xml:space="preserve">The </w:t>
      </w:r>
      <w:r>
        <w:rPr>
          <w:b/>
          <w:bCs/>
        </w:rPr>
        <w:t>absence of a dedicated ECCE budget line makes sustainable financing for integrated nutrition interventions difficult</w:t>
      </w:r>
      <w:r>
        <w:t xml:space="preserve">. Consequently, growth monitoring, nutrition education, deworming, micronutrient supplementation and healthy school meals are delivered inconsistently, </w:t>
      </w:r>
      <w:r>
        <w:lastRenderedPageBreak/>
        <w:t>particularly in rural areas, undermining Tanzania's commitments under Articles 24, 27 and 28 of the Convention on the Rights of the Child.</w:t>
      </w:r>
    </w:p>
    <w:p w14:paraId="78D70CA8" w14:textId="610AA6DC" w:rsidR="007508D7" w:rsidRDefault="00000000">
      <w:pPr>
        <w:spacing w:before="240" w:after="240"/>
        <w:jc w:val="both"/>
      </w:pPr>
      <w:r>
        <w:t>Although the Productive Social Safety Net (PSSN) has strengthened household resilience, its coverage remains insufficient to meet the nutritional needs of vulnerable families with young children.</w:t>
      </w:r>
    </w:p>
    <w:p w14:paraId="6D0D73E0" w14:textId="77777777" w:rsidR="007508D7" w:rsidRDefault="00000000">
      <w:pPr>
        <w:pStyle w:val="Heading1"/>
        <w:keepNext w:val="0"/>
        <w:keepLines w:val="0"/>
        <w:spacing w:before="320" w:after="160"/>
        <w:jc w:val="both"/>
        <w:rPr>
          <w:b/>
          <w:bCs/>
          <w:sz w:val="22"/>
          <w:szCs w:val="22"/>
        </w:rPr>
      </w:pPr>
      <w:bookmarkStart w:id="8" w:name="_v8qkjm5y9jv4" w:colFirst="0" w:colLast="0"/>
      <w:bookmarkEnd w:id="8"/>
      <w:r>
        <w:rPr>
          <w:b/>
          <w:bCs/>
          <w:sz w:val="22"/>
          <w:szCs w:val="22"/>
        </w:rPr>
        <w:t>5. Qualified Teachers: Pre-Primary to Secondary (List of Issues para. 13(b))</w:t>
      </w:r>
    </w:p>
    <w:p w14:paraId="3F2C75F6" w14:textId="66643E66" w:rsidR="007508D7" w:rsidRDefault="005558BA">
      <w:pPr>
        <w:spacing w:before="240" w:after="240"/>
        <w:jc w:val="both"/>
      </w:pPr>
      <w:r w:rsidRPr="005558BA">
        <w:rPr>
          <w:noProof/>
        </w:rPr>
        <w:drawing>
          <wp:inline distT="0" distB="0" distL="0" distR="0" wp14:anchorId="585B7B38" wp14:editId="06ACA905">
            <wp:extent cx="5943600" cy="508000"/>
            <wp:effectExtent l="0" t="0" r="0" b="0"/>
            <wp:docPr id="97830604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508000"/>
                    </a:xfrm>
                    <a:prstGeom prst="rect">
                      <a:avLst/>
                    </a:prstGeom>
                    <a:noFill/>
                    <a:ln>
                      <a:noFill/>
                    </a:ln>
                  </pic:spPr>
                </pic:pic>
              </a:graphicData>
            </a:graphic>
          </wp:inline>
        </w:drawing>
      </w:r>
      <w:r>
        <w:t>The 2025 thematic report submitted by TECDEN and the Tanzania Child Rights Forum to the Committee highlighted the challenges faced by trained pre-primary teachers and caregivers. Building on that analysis, this submission focuses on the shortage of qualified teachers across pre-primary, primary and secondary education.</w:t>
      </w:r>
    </w:p>
    <w:p w14:paraId="27B633A3" w14:textId="77777777" w:rsidR="007508D7" w:rsidRDefault="00000000">
      <w:pPr>
        <w:spacing w:before="240" w:after="240"/>
        <w:jc w:val="both"/>
      </w:pPr>
      <w:r>
        <w:t>According to a 2024 PO-RALG report presented to Parliament's Education Committee, Tanzania faces a shortage of 268,902 teachers: 61,559 at pre-primary, 124,826 at primary and 82,517 at secondary level. The primary and secondary deficit alone (207,343 teachers) is more than three times the pre-primary shortage.</w:t>
      </w:r>
    </w:p>
    <w:p w14:paraId="13E7C2D1" w14:textId="77777777" w:rsidR="007508D7" w:rsidRDefault="00000000">
      <w:pPr>
        <w:spacing w:before="240" w:after="240"/>
        <w:jc w:val="both"/>
      </w:pPr>
      <w:r>
        <w:t xml:space="preserve">Although Parliament increased the Ministry of Education budget from TZS 1.97 trillion in 2024/25 to TZS 2.4 trillion in 2025/26, no costed and time-bound plan has been adopted to address the shortage. While around 29,000 teachers were recruited in 2025, more than 300,000 qualified teachers remained unemployed, highlighting persistent budgetary and administrative constraints. In addition, nearly 14,000 serving teachers were required to sit new qualification examinations, a measure </w:t>
      </w:r>
      <w:proofErr w:type="spellStart"/>
      <w:r>
        <w:t>criticised</w:t>
      </w:r>
      <w:proofErr w:type="spellEnd"/>
      <w:r>
        <w:t xml:space="preserve"> for potentially disrupting the teaching workforce.</w:t>
      </w:r>
    </w:p>
    <w:p w14:paraId="3D299428" w14:textId="77777777" w:rsidR="007508D7" w:rsidRDefault="00000000">
      <w:pPr>
        <w:pStyle w:val="Heading1"/>
        <w:keepNext w:val="0"/>
        <w:keepLines w:val="0"/>
        <w:spacing w:before="320" w:after="160"/>
        <w:jc w:val="both"/>
        <w:rPr>
          <w:b/>
          <w:bCs/>
          <w:sz w:val="22"/>
          <w:szCs w:val="22"/>
        </w:rPr>
      </w:pPr>
      <w:bookmarkStart w:id="9" w:name="_ab239mp04oxz" w:colFirst="0" w:colLast="0"/>
      <w:bookmarkEnd w:id="9"/>
      <w:r>
        <w:rPr>
          <w:b/>
          <w:bCs/>
          <w:sz w:val="22"/>
          <w:szCs w:val="22"/>
        </w:rPr>
        <w:t>Recommendations</w:t>
      </w:r>
    </w:p>
    <w:p w14:paraId="7168E533" w14:textId="77777777" w:rsidR="0019504C" w:rsidRPr="0019504C" w:rsidRDefault="0019504C" w:rsidP="0019504C">
      <w:pPr>
        <w:spacing w:after="160"/>
        <w:jc w:val="both"/>
        <w:rPr>
          <w:lang w:val="en-US"/>
        </w:rPr>
      </w:pPr>
      <w:r w:rsidRPr="0019504C">
        <w:rPr>
          <w:lang w:val="en-US"/>
        </w:rPr>
        <w:t>In light of the foregoing, we encourage the Committee to invite the State Party to:</w:t>
      </w:r>
    </w:p>
    <w:p w14:paraId="602DD880" w14:textId="77777777" w:rsidR="0019504C" w:rsidRPr="0019504C" w:rsidRDefault="0019504C" w:rsidP="0019504C">
      <w:pPr>
        <w:numPr>
          <w:ilvl w:val="0"/>
          <w:numId w:val="3"/>
        </w:numPr>
        <w:spacing w:after="160"/>
        <w:jc w:val="both"/>
        <w:rPr>
          <w:lang w:val="en-US"/>
        </w:rPr>
      </w:pPr>
      <w:r w:rsidRPr="0019504C">
        <w:rPr>
          <w:lang w:val="en-US"/>
        </w:rPr>
        <w:t xml:space="preserve">Adopt comprehensive legislation on early childhood care and education (ECCE) that guarantees free and compulsory pre-primary education, establishes clear institutional responsibilities and covers all ECCE settings, including home and community-based </w:t>
      </w:r>
      <w:proofErr w:type="spellStart"/>
      <w:r w:rsidRPr="0019504C">
        <w:rPr>
          <w:lang w:val="en-US"/>
        </w:rPr>
        <w:t>centres</w:t>
      </w:r>
      <w:proofErr w:type="spellEnd"/>
      <w:r w:rsidRPr="0019504C">
        <w:rPr>
          <w:lang w:val="en-US"/>
        </w:rPr>
        <w:t>.</w:t>
      </w:r>
    </w:p>
    <w:p w14:paraId="59D793D2" w14:textId="77777777" w:rsidR="0019504C" w:rsidRPr="0019504C" w:rsidRDefault="0019504C" w:rsidP="0019504C">
      <w:pPr>
        <w:numPr>
          <w:ilvl w:val="0"/>
          <w:numId w:val="3"/>
        </w:numPr>
        <w:spacing w:after="160"/>
        <w:jc w:val="both"/>
        <w:rPr>
          <w:lang w:val="en-US"/>
        </w:rPr>
      </w:pPr>
      <w:r w:rsidRPr="0019504C">
        <w:rPr>
          <w:lang w:val="en-US"/>
        </w:rPr>
        <w:t xml:space="preserve">Increase budget allocations to education, particularly to Early Childhood Care and Education (ECCE), by establishing a dedicated budget line for pre-primary education within the education budget and ensuring that at least 3 per cent of local council budgets is allocated to childcare </w:t>
      </w:r>
      <w:proofErr w:type="spellStart"/>
      <w:r w:rsidRPr="0019504C">
        <w:rPr>
          <w:lang w:val="en-US"/>
        </w:rPr>
        <w:t>programmes</w:t>
      </w:r>
      <w:proofErr w:type="spellEnd"/>
    </w:p>
    <w:p w14:paraId="3E4EB9A7" w14:textId="2F29BF96" w:rsidR="0019504C" w:rsidRPr="0019504C" w:rsidRDefault="0019504C" w:rsidP="0019504C">
      <w:pPr>
        <w:numPr>
          <w:ilvl w:val="0"/>
          <w:numId w:val="3"/>
        </w:numPr>
        <w:spacing w:after="160"/>
        <w:jc w:val="both"/>
        <w:rPr>
          <w:lang w:val="en-US"/>
        </w:rPr>
      </w:pPr>
      <w:r w:rsidRPr="0019504C">
        <w:rPr>
          <w:lang w:val="en-US"/>
        </w:rPr>
        <w:t xml:space="preserve">Ensure equitable access to quality ECCE services for all children, particularly children in rural and remote areas, children with disabilities and children from </w:t>
      </w:r>
      <w:proofErr w:type="gramStart"/>
      <w:r w:rsidRPr="0019504C">
        <w:rPr>
          <w:lang w:val="en-US"/>
        </w:rPr>
        <w:t>low income</w:t>
      </w:r>
      <w:proofErr w:type="gramEnd"/>
      <w:r w:rsidRPr="0019504C">
        <w:rPr>
          <w:lang w:val="en-US"/>
        </w:rPr>
        <w:t xml:space="preserve"> households, by strengthening intersectoral coordination, reforming school feeding </w:t>
      </w:r>
      <w:proofErr w:type="spellStart"/>
      <w:r w:rsidRPr="0019504C">
        <w:rPr>
          <w:lang w:val="en-US"/>
        </w:rPr>
        <w:t>programmes</w:t>
      </w:r>
      <w:proofErr w:type="spellEnd"/>
      <w:r w:rsidRPr="0019504C">
        <w:rPr>
          <w:lang w:val="en-US"/>
        </w:rPr>
        <w:t xml:space="preserve"> and enhancing monitoring and accountability mechanisms.</w:t>
      </w:r>
    </w:p>
    <w:p w14:paraId="6D3517C1" w14:textId="77777777" w:rsidR="0019504C" w:rsidRPr="0019504C" w:rsidRDefault="0019504C" w:rsidP="0019504C">
      <w:pPr>
        <w:numPr>
          <w:ilvl w:val="0"/>
          <w:numId w:val="3"/>
        </w:numPr>
        <w:spacing w:after="160"/>
        <w:jc w:val="both"/>
        <w:rPr>
          <w:lang w:val="en-US"/>
        </w:rPr>
      </w:pPr>
      <w:r w:rsidRPr="0019504C">
        <w:rPr>
          <w:lang w:val="en-US"/>
        </w:rPr>
        <w:lastRenderedPageBreak/>
        <w:t>Strengthen the legal and institutional framework for child protection and alternative care by:</w:t>
      </w:r>
    </w:p>
    <w:p w14:paraId="28DD2A05" w14:textId="77777777" w:rsidR="0019504C" w:rsidRPr="0019504C" w:rsidRDefault="0019504C" w:rsidP="0019504C">
      <w:pPr>
        <w:pStyle w:val="ListParagraph"/>
        <w:numPr>
          <w:ilvl w:val="0"/>
          <w:numId w:val="9"/>
        </w:numPr>
        <w:spacing w:after="160"/>
        <w:jc w:val="both"/>
        <w:rPr>
          <w:lang w:val="en-US"/>
        </w:rPr>
      </w:pPr>
      <w:r w:rsidRPr="0019504C">
        <w:rPr>
          <w:lang w:val="en-US"/>
        </w:rPr>
        <w:t>Explicitly prohibiting corporal punishment in all settings and repealing all laws and regulations that permit or tolerate it;</w:t>
      </w:r>
    </w:p>
    <w:p w14:paraId="47A1D2AA" w14:textId="77777777" w:rsidR="0019504C" w:rsidRPr="0019504C" w:rsidRDefault="0019504C" w:rsidP="0019504C">
      <w:pPr>
        <w:pStyle w:val="ListParagraph"/>
        <w:numPr>
          <w:ilvl w:val="0"/>
          <w:numId w:val="9"/>
        </w:numPr>
        <w:spacing w:after="160"/>
        <w:jc w:val="both"/>
        <w:rPr>
          <w:lang w:val="en-US"/>
        </w:rPr>
      </w:pPr>
      <w:r w:rsidRPr="0019504C">
        <w:rPr>
          <w:lang w:val="en-US"/>
        </w:rPr>
        <w:t>Ensuring effective prevention, reporting, investigation and accountability for all forms of violence against children;</w:t>
      </w:r>
    </w:p>
    <w:p w14:paraId="261B9D39" w14:textId="77777777" w:rsidR="0019504C" w:rsidRPr="0019504C" w:rsidRDefault="0019504C" w:rsidP="0019504C">
      <w:pPr>
        <w:pStyle w:val="ListParagraph"/>
        <w:numPr>
          <w:ilvl w:val="0"/>
          <w:numId w:val="9"/>
        </w:numPr>
        <w:spacing w:after="160"/>
        <w:jc w:val="both"/>
        <w:rPr>
          <w:lang w:val="en-US"/>
        </w:rPr>
      </w:pPr>
      <w:r w:rsidRPr="0019504C">
        <w:rPr>
          <w:lang w:val="en-US"/>
        </w:rPr>
        <w:t>Establishing a national register and regular inspection mechanisms for formal and informal alternative care institutions; and</w:t>
      </w:r>
    </w:p>
    <w:p w14:paraId="0C6B68E7" w14:textId="77777777" w:rsidR="0019504C" w:rsidRPr="0019504C" w:rsidRDefault="0019504C" w:rsidP="0019504C">
      <w:pPr>
        <w:pStyle w:val="ListParagraph"/>
        <w:numPr>
          <w:ilvl w:val="0"/>
          <w:numId w:val="9"/>
        </w:numPr>
        <w:spacing w:after="160"/>
        <w:jc w:val="both"/>
        <w:rPr>
          <w:lang w:val="en-US"/>
        </w:rPr>
      </w:pPr>
      <w:r w:rsidRPr="0019504C">
        <w:rPr>
          <w:lang w:val="en-US"/>
        </w:rPr>
        <w:t>Collecting and publishing disaggregated data on children in alternative care and children living with incarcerated mothers.</w:t>
      </w:r>
    </w:p>
    <w:p w14:paraId="0FA42D8D" w14:textId="77777777" w:rsidR="0019504C" w:rsidRPr="0019504C" w:rsidRDefault="0019504C" w:rsidP="0019504C">
      <w:pPr>
        <w:numPr>
          <w:ilvl w:val="0"/>
          <w:numId w:val="3"/>
        </w:numPr>
        <w:spacing w:after="160"/>
        <w:jc w:val="both"/>
        <w:rPr>
          <w:lang w:val="en-US"/>
        </w:rPr>
      </w:pPr>
      <w:r w:rsidRPr="0019504C">
        <w:rPr>
          <w:lang w:val="en-US"/>
        </w:rPr>
        <w:t xml:space="preserve">Strengthen the regulation of private education providers by ensuring that all pre-primary schools and day care </w:t>
      </w:r>
      <w:proofErr w:type="spellStart"/>
      <w:r w:rsidRPr="0019504C">
        <w:rPr>
          <w:lang w:val="en-US"/>
        </w:rPr>
        <w:t>centres</w:t>
      </w:r>
      <w:proofErr w:type="spellEnd"/>
      <w:r w:rsidRPr="0019504C">
        <w:rPr>
          <w:lang w:val="en-US"/>
        </w:rPr>
        <w:t xml:space="preserve"> are licensed, registered, affordable and regularly monitored for compliance with national laws and quality standards.</w:t>
      </w:r>
    </w:p>
    <w:p w14:paraId="28744694" w14:textId="77777777" w:rsidR="0019504C" w:rsidRPr="0019504C" w:rsidRDefault="0019504C" w:rsidP="0019504C">
      <w:pPr>
        <w:numPr>
          <w:ilvl w:val="0"/>
          <w:numId w:val="3"/>
        </w:numPr>
        <w:spacing w:after="160"/>
        <w:jc w:val="both"/>
        <w:rPr>
          <w:lang w:val="en-US"/>
        </w:rPr>
      </w:pPr>
      <w:r w:rsidRPr="0019504C">
        <w:rPr>
          <w:lang w:val="en-US"/>
        </w:rPr>
        <w:t>Adopt and implement a costed and time bound plan to address shortages in the education workforce, including teachers and caregivers at pre-primary, primary and secondary levels, while ensuring fair remuneration, social protection and continuous professional development, particularly in remote areas.</w:t>
      </w:r>
    </w:p>
    <w:p w14:paraId="0FC452C4" w14:textId="77777777" w:rsidR="0019504C" w:rsidRPr="0019504C" w:rsidRDefault="0019504C" w:rsidP="0019504C">
      <w:pPr>
        <w:numPr>
          <w:ilvl w:val="0"/>
          <w:numId w:val="3"/>
        </w:numPr>
        <w:spacing w:after="160"/>
        <w:jc w:val="both"/>
        <w:rPr>
          <w:lang w:val="en-US"/>
        </w:rPr>
      </w:pPr>
      <w:r w:rsidRPr="0019504C">
        <w:rPr>
          <w:lang w:val="en-US"/>
        </w:rPr>
        <w:t xml:space="preserve">Strengthen ECCE data systems by establishing a </w:t>
      </w:r>
      <w:proofErr w:type="spellStart"/>
      <w:r w:rsidRPr="0019504C">
        <w:rPr>
          <w:lang w:val="en-US"/>
        </w:rPr>
        <w:t>centralised</w:t>
      </w:r>
      <w:proofErr w:type="spellEnd"/>
      <w:r w:rsidRPr="0019504C">
        <w:rPr>
          <w:lang w:val="en-US"/>
        </w:rPr>
        <w:t xml:space="preserve"> and interoperable information system that generates disaggregated data to support evidence-based policymaking and reduce inequalities.</w:t>
      </w:r>
    </w:p>
    <w:p w14:paraId="23E48734" w14:textId="77777777" w:rsidR="0019504C" w:rsidRDefault="0019504C">
      <w:pPr>
        <w:spacing w:after="160"/>
        <w:jc w:val="both"/>
      </w:pPr>
    </w:p>
    <w:p w14:paraId="5FFAA70F" w14:textId="77777777" w:rsidR="007508D7" w:rsidRDefault="007508D7"/>
    <w:sectPr w:rsidR="007508D7" w:rsidSect="00227B73">
      <w:footerReference w:type="default" r:id="rId23"/>
      <w:pgSz w:w="12240" w:h="15840"/>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903FF5" w14:textId="77777777" w:rsidR="00B011DD" w:rsidRDefault="00B011DD">
      <w:pPr>
        <w:spacing w:line="240" w:lineRule="auto"/>
      </w:pPr>
      <w:r>
        <w:separator/>
      </w:r>
    </w:p>
  </w:endnote>
  <w:endnote w:type="continuationSeparator" w:id="0">
    <w:p w14:paraId="76DF22C3" w14:textId="77777777" w:rsidR="00B011DD" w:rsidRDefault="00B011D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embedRegular r:id="rId1" w:fontKey="{B9588010-D0E5-4A2D-84C5-BEDD0F6B4884}"/>
  </w:font>
  <w:font w:name="Calibri">
    <w:panose1 w:val="020F0502020204030204"/>
    <w:charset w:val="00"/>
    <w:family w:val="swiss"/>
    <w:pitch w:val="variable"/>
    <w:sig w:usb0="E4002EFF" w:usb1="C200247B" w:usb2="00000009" w:usb3="00000000" w:csb0="000001FF" w:csb1="00000000"/>
    <w:embedRegular r:id="rId2" w:fontKey="{BEFCCDA9-88F5-4ABB-875A-E9AB4A6D95FD}"/>
    <w:embedBold r:id="rId3" w:fontKey="{F7AABB32-73A2-487A-B99B-CD572215ABC7}"/>
    <w:embedItalic r:id="rId4" w:fontKey="{4C5E3A07-A783-4FB4-B998-C6386B4F2F29}"/>
  </w:font>
  <w:font w:name="Cambria">
    <w:panose1 w:val="02040503050406030204"/>
    <w:charset w:val="00"/>
    <w:family w:val="roman"/>
    <w:pitch w:val="variable"/>
    <w:sig w:usb0="E00006FF" w:usb1="420024FF" w:usb2="02000000" w:usb3="00000000" w:csb0="0000019F" w:csb1="00000000"/>
    <w:embedRegular r:id="rId5" w:fontKey="{B4A42500-1775-4C56-99E1-301DFC1233C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8297009"/>
      <w:docPartObj>
        <w:docPartGallery w:val="Page Numbers (Bottom of Page)"/>
        <w:docPartUnique/>
      </w:docPartObj>
    </w:sdtPr>
    <w:sdtEndPr>
      <w:rPr>
        <w:noProof/>
      </w:rPr>
    </w:sdtEndPr>
    <w:sdtContent>
      <w:p w14:paraId="63EC254E" w14:textId="5B07F595" w:rsidR="00227B73" w:rsidRDefault="00227B7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F692983" w14:textId="77777777" w:rsidR="00227B73" w:rsidRDefault="00227B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6C0052" w14:textId="77777777" w:rsidR="00B011DD" w:rsidRDefault="00B011DD">
      <w:pPr>
        <w:spacing w:line="240" w:lineRule="auto"/>
      </w:pPr>
      <w:r>
        <w:separator/>
      </w:r>
    </w:p>
  </w:footnote>
  <w:footnote w:type="continuationSeparator" w:id="0">
    <w:p w14:paraId="22B67392" w14:textId="77777777" w:rsidR="00B011DD" w:rsidRDefault="00B011DD">
      <w:pPr>
        <w:spacing w:line="240" w:lineRule="auto"/>
      </w:pPr>
      <w:r>
        <w:continuationSeparator/>
      </w:r>
    </w:p>
  </w:footnote>
  <w:footnote w:id="1">
    <w:p w14:paraId="49C93B97" w14:textId="53453E79" w:rsidR="007508D7" w:rsidRDefault="00000000">
      <w:pPr>
        <w:spacing w:line="240" w:lineRule="auto"/>
        <w:jc w:val="both"/>
        <w:rPr>
          <w:sz w:val="18"/>
          <w:szCs w:val="18"/>
        </w:rPr>
      </w:pPr>
      <w:r>
        <w:rPr>
          <w:vertAlign w:val="superscript"/>
        </w:rPr>
        <w:footnoteRef/>
      </w:r>
      <w:r>
        <w:rPr>
          <w:sz w:val="20"/>
          <w:szCs w:val="20"/>
        </w:rPr>
        <w:t xml:space="preserve"> </w:t>
      </w:r>
      <w:r>
        <w:rPr>
          <w:sz w:val="18"/>
          <w:szCs w:val="18"/>
        </w:rPr>
        <w:t xml:space="preserve">TICGL (Tanzania Investment and Consultant Group Ltd), "Tanzania's 2025/26 Budget Rises to TZS 56.49 trillion Targeting 6.0% Growth and TZS 29.17 trillion Tax Revenue," published 13 November 2025, </w:t>
      </w:r>
      <w:hyperlink r:id="rId1">
        <w:r w:rsidR="007508D7" w:rsidRPr="005558BA">
          <w:rPr>
            <w:color w:val="0070C0"/>
            <w:sz w:val="18"/>
            <w:szCs w:val="18"/>
          </w:rPr>
          <w:t>https://ticgl.com/tanzanias-2025-26-budget-rises-to-tzs-56-49-trillion-targeting-6-0-growth-and-tzs-29-17-trillion-tax-revenue/</w:t>
        </w:r>
      </w:hyperlink>
      <w:r w:rsidR="005558BA">
        <w:t xml:space="preserve"> </w:t>
      </w:r>
    </w:p>
  </w:footnote>
  <w:footnote w:id="2">
    <w:p w14:paraId="47FFDF21" w14:textId="77777777" w:rsidR="007508D7" w:rsidRDefault="00000000">
      <w:pPr>
        <w:spacing w:line="240" w:lineRule="auto"/>
        <w:rPr>
          <w:sz w:val="18"/>
          <w:szCs w:val="18"/>
        </w:rPr>
      </w:pPr>
      <w:r>
        <w:rPr>
          <w:vertAlign w:val="superscript"/>
        </w:rPr>
        <w:footnoteRef/>
      </w:r>
      <w:r>
        <w:rPr>
          <w:sz w:val="20"/>
          <w:szCs w:val="20"/>
        </w:rPr>
        <w:t xml:space="preserve"> </w:t>
      </w:r>
      <w:r>
        <w:rPr>
          <w:sz w:val="18"/>
          <w:szCs w:val="18"/>
        </w:rPr>
        <w:t>See also Tanzania ECCE Thematic Report, paragraph 5.1.</w:t>
      </w:r>
    </w:p>
  </w:footnote>
  <w:footnote w:id="3">
    <w:p w14:paraId="3E1FD592" w14:textId="77777777" w:rsidR="007508D7" w:rsidRDefault="00000000">
      <w:pPr>
        <w:spacing w:line="240" w:lineRule="auto"/>
        <w:jc w:val="both"/>
        <w:rPr>
          <w:sz w:val="20"/>
          <w:szCs w:val="20"/>
        </w:rPr>
      </w:pPr>
      <w:r>
        <w:rPr>
          <w:vertAlign w:val="superscript"/>
        </w:rPr>
        <w:footnoteRef/>
      </w:r>
      <w:r>
        <w:rPr>
          <w:sz w:val="20"/>
          <w:szCs w:val="20"/>
        </w:rPr>
        <w:t xml:space="preserve"> </w:t>
      </w:r>
      <w:r>
        <w:rPr>
          <w:sz w:val="18"/>
          <w:szCs w:val="18"/>
        </w:rPr>
        <w:t>Building the Foundations, Executive Summary, p. 3 (pre-primary education spending is not reported as a distinct budget line and is subsumed within the primary education allocation, making actual ECCE specific expenditure unverifiable).</w:t>
      </w:r>
    </w:p>
  </w:footnote>
  <w:footnote w:id="4">
    <w:p w14:paraId="6651210C" w14:textId="77777777" w:rsidR="007508D7" w:rsidRPr="007458D8" w:rsidRDefault="00000000">
      <w:pPr>
        <w:spacing w:line="240" w:lineRule="auto"/>
        <w:jc w:val="both"/>
        <w:rPr>
          <w:sz w:val="20"/>
          <w:szCs w:val="20"/>
        </w:rPr>
      </w:pPr>
      <w:r>
        <w:rPr>
          <w:vertAlign w:val="superscript"/>
        </w:rPr>
        <w:footnoteRef/>
      </w:r>
      <w:r>
        <w:rPr>
          <w:sz w:val="20"/>
          <w:szCs w:val="20"/>
        </w:rPr>
        <w:t xml:space="preserve"> </w:t>
      </w:r>
      <w:r>
        <w:rPr>
          <w:rFonts w:ascii="Roboto" w:eastAsia="Roboto" w:hAnsi="Roboto" w:cs="Roboto"/>
          <w:sz w:val="18"/>
          <w:szCs w:val="18"/>
        </w:rPr>
        <w:t xml:space="preserve"> </w:t>
      </w:r>
      <w:r w:rsidRPr="007458D8">
        <w:rPr>
          <w:rFonts w:eastAsia="Roboto"/>
          <w:sz w:val="18"/>
          <w:szCs w:val="18"/>
        </w:rPr>
        <w:t xml:space="preserve">United Republic of Tanzania and United Nations Children's Fund (UNICEF), Building the Foundations: An Investment Case for Early Childhood Development in Mainland Tanzania (Dar es Salaam: UNICEF Tanzania, February 2025), available at: </w:t>
      </w:r>
      <w:hyperlink r:id="rId2">
        <w:r w:rsidR="007508D7" w:rsidRPr="005558BA">
          <w:rPr>
            <w:rFonts w:eastAsia="Roboto"/>
            <w:color w:val="0070C0"/>
            <w:sz w:val="18"/>
            <w:szCs w:val="18"/>
          </w:rPr>
          <w:t>https://www.unicef.org/tanzania/reports/building-foundations</w:t>
        </w:r>
      </w:hyperlink>
      <w:r w:rsidRPr="005558BA">
        <w:rPr>
          <w:rFonts w:eastAsia="Roboto"/>
          <w:color w:val="0070C0"/>
          <w:sz w:val="18"/>
          <w:szCs w:val="18"/>
        </w:rPr>
        <w:t>.</w:t>
      </w:r>
    </w:p>
  </w:footnote>
  <w:footnote w:id="5">
    <w:p w14:paraId="516DAF7C" w14:textId="77777777" w:rsidR="007508D7" w:rsidRDefault="00000000">
      <w:pPr>
        <w:spacing w:line="240" w:lineRule="auto"/>
        <w:rPr>
          <w:sz w:val="18"/>
          <w:szCs w:val="18"/>
        </w:rPr>
      </w:pPr>
      <w:r w:rsidRPr="007458D8">
        <w:rPr>
          <w:vertAlign w:val="superscript"/>
        </w:rPr>
        <w:footnoteRef/>
      </w:r>
      <w:r w:rsidRPr="007458D8">
        <w:rPr>
          <w:sz w:val="18"/>
          <w:szCs w:val="18"/>
        </w:rPr>
        <w:t xml:space="preserve"> Ibid.</w:t>
      </w:r>
    </w:p>
  </w:footnote>
  <w:footnote w:id="6">
    <w:p w14:paraId="77F217FD" w14:textId="77777777" w:rsidR="007508D7" w:rsidRDefault="00000000">
      <w:pPr>
        <w:spacing w:line="240" w:lineRule="auto"/>
        <w:rPr>
          <w:sz w:val="18"/>
          <w:szCs w:val="18"/>
        </w:rPr>
      </w:pPr>
      <w:r>
        <w:rPr>
          <w:vertAlign w:val="superscript"/>
        </w:rPr>
        <w:footnoteRef/>
      </w:r>
      <w:r>
        <w:rPr>
          <w:sz w:val="20"/>
          <w:szCs w:val="20"/>
        </w:rPr>
        <w:t xml:space="preserve"> </w:t>
      </w:r>
      <w:r>
        <w:rPr>
          <w:sz w:val="18"/>
          <w:szCs w:val="18"/>
        </w:rPr>
        <w:t>See also Tanzania Thematic Report, paragraph 4.1</w:t>
      </w:r>
    </w:p>
  </w:footnote>
  <w:footnote w:id="7">
    <w:p w14:paraId="1D8F2CFD" w14:textId="77777777" w:rsidR="007508D7" w:rsidRPr="007458D8" w:rsidRDefault="00000000">
      <w:pPr>
        <w:spacing w:line="240" w:lineRule="auto"/>
        <w:jc w:val="both"/>
        <w:rPr>
          <w:sz w:val="18"/>
          <w:szCs w:val="18"/>
        </w:rPr>
      </w:pPr>
      <w:r w:rsidRPr="007458D8">
        <w:rPr>
          <w:sz w:val="18"/>
          <w:szCs w:val="18"/>
          <w:vertAlign w:val="superscript"/>
        </w:rPr>
        <w:footnoteRef/>
      </w:r>
      <w:r w:rsidRPr="007458D8">
        <w:rPr>
          <w:sz w:val="18"/>
          <w:szCs w:val="18"/>
        </w:rPr>
        <w:t xml:space="preserve"> End Corporal Punishment of Children, </w:t>
      </w:r>
      <w:r w:rsidRPr="007458D8">
        <w:rPr>
          <w:i/>
          <w:iCs/>
          <w:sz w:val="18"/>
          <w:szCs w:val="18"/>
        </w:rPr>
        <w:t>United Republic of Tanzania</w:t>
      </w:r>
      <w:r w:rsidRPr="007458D8">
        <w:rPr>
          <w:sz w:val="18"/>
          <w:szCs w:val="18"/>
        </w:rPr>
        <w:t xml:space="preserve"> (country report, updated January 2025), legality of corporal punishment; </w:t>
      </w:r>
      <w:proofErr w:type="spellStart"/>
      <w:r w:rsidRPr="007458D8">
        <w:rPr>
          <w:sz w:val="18"/>
          <w:szCs w:val="18"/>
        </w:rPr>
        <w:t>Masath</w:t>
      </w:r>
      <w:proofErr w:type="spellEnd"/>
      <w:r w:rsidRPr="007458D8">
        <w:rPr>
          <w:sz w:val="18"/>
          <w:szCs w:val="18"/>
        </w:rPr>
        <w:t xml:space="preserve">, </w:t>
      </w:r>
      <w:proofErr w:type="spellStart"/>
      <w:r w:rsidRPr="007458D8">
        <w:rPr>
          <w:sz w:val="18"/>
          <w:szCs w:val="18"/>
        </w:rPr>
        <w:t>Nkuba</w:t>
      </w:r>
      <w:proofErr w:type="spellEnd"/>
      <w:r w:rsidRPr="007458D8">
        <w:rPr>
          <w:sz w:val="18"/>
          <w:szCs w:val="18"/>
        </w:rPr>
        <w:t xml:space="preserve"> and Hecker, “Prevalence of and factors contributing to violent discipline in families and its association with violent discipline by teachers and peer violence,” </w:t>
      </w:r>
      <w:r w:rsidRPr="007458D8">
        <w:rPr>
          <w:i/>
          <w:iCs/>
          <w:sz w:val="18"/>
          <w:szCs w:val="18"/>
        </w:rPr>
        <w:t>Child Abuse Review</w:t>
      </w:r>
      <w:r w:rsidRPr="007458D8">
        <w:rPr>
          <w:sz w:val="18"/>
          <w:szCs w:val="18"/>
        </w:rPr>
        <w:t xml:space="preserve"> (2022), e2799. </w:t>
      </w:r>
    </w:p>
  </w:footnote>
  <w:footnote w:id="8">
    <w:p w14:paraId="18BDA4ED" w14:textId="77777777" w:rsidR="007508D7" w:rsidRPr="007458D8" w:rsidRDefault="00000000">
      <w:pPr>
        <w:spacing w:line="240" w:lineRule="auto"/>
        <w:rPr>
          <w:sz w:val="18"/>
          <w:szCs w:val="18"/>
        </w:rPr>
      </w:pPr>
      <w:r w:rsidRPr="007458D8">
        <w:rPr>
          <w:sz w:val="18"/>
          <w:szCs w:val="18"/>
          <w:vertAlign w:val="superscript"/>
        </w:rPr>
        <w:footnoteRef/>
      </w:r>
      <w:r w:rsidRPr="007458D8">
        <w:rPr>
          <w:sz w:val="18"/>
          <w:szCs w:val="18"/>
        </w:rPr>
        <w:t xml:space="preserve"> </w:t>
      </w:r>
      <w:proofErr w:type="spellStart"/>
      <w:r w:rsidRPr="007458D8">
        <w:rPr>
          <w:sz w:val="18"/>
          <w:szCs w:val="18"/>
        </w:rPr>
        <w:t>HakiElimu</w:t>
      </w:r>
      <w:proofErr w:type="spellEnd"/>
      <w:r w:rsidRPr="007458D8">
        <w:rPr>
          <w:sz w:val="18"/>
          <w:szCs w:val="18"/>
        </w:rPr>
        <w:t xml:space="preserve">, </w:t>
      </w:r>
      <w:proofErr w:type="spellStart"/>
      <w:r w:rsidRPr="007458D8">
        <w:rPr>
          <w:sz w:val="18"/>
          <w:szCs w:val="18"/>
        </w:rPr>
        <w:t>Msichana</w:t>
      </w:r>
      <w:proofErr w:type="spellEnd"/>
      <w:r w:rsidRPr="007458D8">
        <w:rPr>
          <w:sz w:val="18"/>
          <w:szCs w:val="18"/>
        </w:rPr>
        <w:t xml:space="preserve"> Initiative, Save the Children, Children Dignity Forum, Shule Direct, Children in Crossfire and Tanzania Child Rights Forum.</w:t>
      </w:r>
    </w:p>
  </w:footnote>
  <w:footnote w:id="9">
    <w:p w14:paraId="3E6CE8B9" w14:textId="77777777" w:rsidR="007508D7" w:rsidRPr="007458D8" w:rsidRDefault="00000000">
      <w:pPr>
        <w:spacing w:line="240" w:lineRule="auto"/>
        <w:jc w:val="both"/>
        <w:rPr>
          <w:sz w:val="18"/>
          <w:szCs w:val="18"/>
        </w:rPr>
      </w:pPr>
      <w:r w:rsidRPr="007458D8">
        <w:rPr>
          <w:sz w:val="18"/>
          <w:szCs w:val="18"/>
          <w:vertAlign w:val="superscript"/>
        </w:rPr>
        <w:footnoteRef/>
      </w:r>
      <w:r w:rsidRPr="007458D8">
        <w:rPr>
          <w:sz w:val="18"/>
          <w:szCs w:val="18"/>
        </w:rPr>
        <w:t xml:space="preserve"> Legal and Human Rights Centre (LHRC) and Tanzania Education Network (TEN/MET), joint press statement (11 March 2025); </w:t>
      </w:r>
      <w:r w:rsidRPr="007458D8">
        <w:rPr>
          <w:i/>
          <w:iCs/>
          <w:sz w:val="18"/>
          <w:szCs w:val="18"/>
        </w:rPr>
        <w:t>The Citizen</w:t>
      </w:r>
      <w:r w:rsidRPr="007458D8">
        <w:rPr>
          <w:sz w:val="18"/>
          <w:szCs w:val="18"/>
        </w:rPr>
        <w:t xml:space="preserve"> (8 March 2025); </w:t>
      </w:r>
      <w:r w:rsidRPr="007458D8">
        <w:rPr>
          <w:i/>
          <w:iCs/>
          <w:sz w:val="18"/>
          <w:szCs w:val="18"/>
        </w:rPr>
        <w:t>Tanzania Insight</w:t>
      </w:r>
      <w:r w:rsidRPr="007458D8">
        <w:rPr>
          <w:sz w:val="18"/>
          <w:szCs w:val="18"/>
        </w:rPr>
        <w:t xml:space="preserve"> (30 April 2026); </w:t>
      </w:r>
      <w:r w:rsidRPr="007458D8">
        <w:rPr>
          <w:i/>
          <w:iCs/>
          <w:sz w:val="18"/>
          <w:szCs w:val="18"/>
        </w:rPr>
        <w:t>The Citizen</w:t>
      </w:r>
      <w:r w:rsidRPr="007458D8">
        <w:rPr>
          <w:sz w:val="18"/>
          <w:szCs w:val="18"/>
        </w:rPr>
        <w:t xml:space="preserve"> (1 May 2026). </w:t>
      </w:r>
    </w:p>
  </w:footnote>
  <w:footnote w:id="10">
    <w:p w14:paraId="7328C5C3" w14:textId="77777777" w:rsidR="007508D7" w:rsidRPr="007458D8" w:rsidRDefault="00000000">
      <w:pPr>
        <w:spacing w:line="240" w:lineRule="auto"/>
        <w:jc w:val="both"/>
        <w:rPr>
          <w:sz w:val="18"/>
          <w:szCs w:val="18"/>
        </w:rPr>
      </w:pPr>
      <w:r w:rsidRPr="007458D8">
        <w:rPr>
          <w:sz w:val="18"/>
          <w:szCs w:val="18"/>
          <w:vertAlign w:val="superscript"/>
        </w:rPr>
        <w:footnoteRef/>
      </w:r>
      <w:r w:rsidRPr="007458D8">
        <w:rPr>
          <w:sz w:val="18"/>
          <w:szCs w:val="18"/>
        </w:rPr>
        <w:t xml:space="preserve"> Ministry of Community Development, Gender, Women and Special Groups et al., Tanzania VACS 2024: Discipline and Social Norms Findings and Executive Summary (2025/26). </w:t>
      </w:r>
    </w:p>
  </w:footnote>
  <w:footnote w:id="11">
    <w:p w14:paraId="7E37D1C2" w14:textId="77777777" w:rsidR="007508D7" w:rsidRPr="007458D8" w:rsidRDefault="00000000">
      <w:pPr>
        <w:spacing w:line="240" w:lineRule="auto"/>
        <w:jc w:val="both"/>
        <w:rPr>
          <w:sz w:val="18"/>
          <w:szCs w:val="18"/>
        </w:rPr>
      </w:pPr>
      <w:r w:rsidRPr="007458D8">
        <w:rPr>
          <w:sz w:val="18"/>
          <w:szCs w:val="18"/>
          <w:vertAlign w:val="superscript"/>
        </w:rPr>
        <w:footnoteRef/>
      </w:r>
      <w:r w:rsidRPr="007458D8">
        <w:rPr>
          <w:sz w:val="18"/>
          <w:szCs w:val="18"/>
        </w:rPr>
        <w:t xml:space="preserve"> United Republic of Tanzania, National Plan of Action to End Violence Against Women and Children II (2024/25–2028/29); UNDP Multi-Partner Trust Fund Office, Strengthening the National and Development Partner Gender Equality and Women’s Empowerment Coordination Mechanisms – Annual </w:t>
      </w:r>
      <w:proofErr w:type="spellStart"/>
      <w:r w:rsidRPr="007458D8">
        <w:rPr>
          <w:sz w:val="18"/>
          <w:szCs w:val="18"/>
        </w:rPr>
        <w:t>Programme</w:t>
      </w:r>
      <w:proofErr w:type="spellEnd"/>
      <w:r w:rsidRPr="007458D8">
        <w:rPr>
          <w:sz w:val="18"/>
          <w:szCs w:val="18"/>
        </w:rPr>
        <w:t xml:space="preserve"> Narrative Progress Report (1 Jan–31 Dec 2025), pp. 8–9. </w:t>
      </w:r>
    </w:p>
  </w:footnote>
  <w:footnote w:id="12">
    <w:p w14:paraId="3E76EC7F" w14:textId="77777777" w:rsidR="007508D7" w:rsidRDefault="00000000">
      <w:pPr>
        <w:spacing w:line="240" w:lineRule="auto"/>
        <w:jc w:val="both"/>
        <w:rPr>
          <w:sz w:val="18"/>
          <w:szCs w:val="18"/>
          <w:highlight w:val="yellow"/>
        </w:rPr>
      </w:pPr>
      <w:r w:rsidRPr="007458D8">
        <w:rPr>
          <w:sz w:val="18"/>
          <w:szCs w:val="18"/>
          <w:vertAlign w:val="superscript"/>
        </w:rPr>
        <w:footnoteRef/>
      </w:r>
      <w:r w:rsidRPr="007458D8">
        <w:rPr>
          <w:sz w:val="18"/>
          <w:szCs w:val="18"/>
        </w:rPr>
        <w:t xml:space="preserve"> Ministry of Community Development, Gender, Women and Special Groups (</w:t>
      </w:r>
      <w:proofErr w:type="spellStart"/>
      <w:r w:rsidRPr="007458D8">
        <w:rPr>
          <w:sz w:val="18"/>
          <w:szCs w:val="18"/>
        </w:rPr>
        <w:t>MoCDGWSG</w:t>
      </w:r>
      <w:proofErr w:type="spellEnd"/>
      <w:r w:rsidRPr="007458D8">
        <w:rPr>
          <w:sz w:val="18"/>
          <w:szCs w:val="18"/>
        </w:rPr>
        <w:t xml:space="preserve">), National Bureau of Statistics (NBS), Office of the Chief Government Statistician (OCGS), CDC, THPS and UNICEF, </w:t>
      </w:r>
      <w:r w:rsidRPr="007458D8">
        <w:rPr>
          <w:i/>
          <w:iCs/>
          <w:sz w:val="18"/>
          <w:szCs w:val="18"/>
        </w:rPr>
        <w:t>Tanzania Violence Against Children and Youth Survey (VACS) 2024/2025/26: Discipline and Social Norms Findings and Executive Summary</w:t>
      </w:r>
      <w:r w:rsidRPr="007458D8">
        <w:rPr>
          <w:sz w:val="18"/>
          <w:szCs w:val="18"/>
        </w:rPr>
        <w:t xml:space="preserve">. </w:t>
      </w:r>
    </w:p>
  </w:footnote>
  <w:footnote w:id="13">
    <w:p w14:paraId="735BA910" w14:textId="77777777" w:rsidR="007508D7" w:rsidRDefault="00000000">
      <w:pPr>
        <w:spacing w:line="240" w:lineRule="auto"/>
        <w:jc w:val="both"/>
        <w:rPr>
          <w:sz w:val="18"/>
          <w:szCs w:val="18"/>
        </w:rPr>
      </w:pPr>
      <w:r>
        <w:rPr>
          <w:vertAlign w:val="superscript"/>
        </w:rPr>
        <w:footnoteRef/>
      </w:r>
      <w:r>
        <w:rPr>
          <w:sz w:val="18"/>
          <w:szCs w:val="18"/>
        </w:rPr>
        <w:t xml:space="preserve"> United Republic of Tanzania, </w:t>
      </w:r>
      <w:r>
        <w:rPr>
          <w:i/>
          <w:iCs/>
          <w:sz w:val="18"/>
          <w:szCs w:val="18"/>
        </w:rPr>
        <w:t>National Plan of Action to End Violence Against Women and Children II</w:t>
      </w:r>
      <w:r>
        <w:rPr>
          <w:sz w:val="18"/>
          <w:szCs w:val="18"/>
        </w:rPr>
        <w:t xml:space="preserve"> (2024/25–2028/29); UNDP Multi-Partner Trust Fund Office, </w:t>
      </w:r>
      <w:r>
        <w:rPr>
          <w:i/>
          <w:iCs/>
          <w:sz w:val="18"/>
          <w:szCs w:val="18"/>
        </w:rPr>
        <w:t xml:space="preserve">Strengthening the National and Development Partner Gender Equality and Women’s Empowerment Coordination Mechanisms – Annual </w:t>
      </w:r>
      <w:proofErr w:type="spellStart"/>
      <w:r>
        <w:rPr>
          <w:i/>
          <w:iCs/>
          <w:sz w:val="18"/>
          <w:szCs w:val="18"/>
        </w:rPr>
        <w:t>Programme</w:t>
      </w:r>
      <w:proofErr w:type="spellEnd"/>
      <w:r>
        <w:rPr>
          <w:i/>
          <w:iCs/>
          <w:sz w:val="18"/>
          <w:szCs w:val="18"/>
        </w:rPr>
        <w:t xml:space="preserve"> Narrative Progress Report</w:t>
      </w:r>
      <w:r>
        <w:rPr>
          <w:sz w:val="18"/>
          <w:szCs w:val="18"/>
        </w:rPr>
        <w:t xml:space="preserve"> (1 Jan–31 Dec 2025), pp. 8–9. </w:t>
      </w:r>
    </w:p>
  </w:footnote>
  <w:footnote w:id="14">
    <w:p w14:paraId="1E71BE5B" w14:textId="77777777" w:rsidR="007508D7" w:rsidRDefault="00000000">
      <w:pPr>
        <w:spacing w:line="240" w:lineRule="auto"/>
        <w:jc w:val="both"/>
        <w:rPr>
          <w:sz w:val="18"/>
          <w:szCs w:val="18"/>
        </w:rPr>
      </w:pPr>
      <w:r>
        <w:rPr>
          <w:vertAlign w:val="superscript"/>
        </w:rPr>
        <w:footnoteRef/>
      </w:r>
      <w:r>
        <w:rPr>
          <w:sz w:val="18"/>
          <w:szCs w:val="18"/>
        </w:rPr>
        <w:t xml:space="preserve"> United Republic of Tanzania, </w:t>
      </w:r>
      <w:r>
        <w:rPr>
          <w:i/>
          <w:iCs/>
          <w:sz w:val="18"/>
          <w:szCs w:val="18"/>
        </w:rPr>
        <w:t>Sixth Periodic Report to the Committee on the Rights of the Child</w:t>
      </w:r>
      <w:r>
        <w:rPr>
          <w:sz w:val="18"/>
          <w:szCs w:val="18"/>
        </w:rPr>
        <w:t xml:space="preserve"> (submitted 2022), para. 38. </w:t>
      </w:r>
    </w:p>
  </w:footnote>
  <w:footnote w:id="15">
    <w:p w14:paraId="0CA06022" w14:textId="77777777" w:rsidR="007508D7" w:rsidRDefault="00000000">
      <w:pPr>
        <w:spacing w:line="240" w:lineRule="auto"/>
        <w:jc w:val="both"/>
        <w:rPr>
          <w:sz w:val="18"/>
          <w:szCs w:val="18"/>
        </w:rPr>
      </w:pPr>
      <w:r>
        <w:rPr>
          <w:vertAlign w:val="superscript"/>
        </w:rPr>
        <w:footnoteRef/>
      </w:r>
      <w:r>
        <w:rPr>
          <w:sz w:val="20"/>
          <w:szCs w:val="20"/>
        </w:rPr>
        <w:t xml:space="preserve"> </w:t>
      </w:r>
      <w:r>
        <w:rPr>
          <w:sz w:val="18"/>
          <w:szCs w:val="18"/>
        </w:rPr>
        <w:t xml:space="preserve">Children in Crossfire, </w:t>
      </w:r>
      <w:hyperlink r:id="rId3">
        <w:r w:rsidR="007508D7">
          <w:rPr>
            <w:color w:val="1155CC"/>
            <w:sz w:val="18"/>
            <w:szCs w:val="18"/>
            <w:u w:val="single"/>
          </w:rPr>
          <w:t>Dar Urban Daycare Brief (2024)</w:t>
        </w:r>
      </w:hyperlink>
      <w:r>
        <w:rPr>
          <w:sz w:val="18"/>
          <w:szCs w:val="18"/>
        </w:rPr>
        <w:t xml:space="preserve">, reporting that 82% of daycare </w:t>
      </w:r>
      <w:proofErr w:type="spellStart"/>
      <w:r>
        <w:rPr>
          <w:sz w:val="18"/>
          <w:szCs w:val="18"/>
        </w:rPr>
        <w:t>centres</w:t>
      </w:r>
      <w:proofErr w:type="spellEnd"/>
      <w:r>
        <w:rPr>
          <w:sz w:val="18"/>
          <w:szCs w:val="18"/>
        </w:rPr>
        <w:t xml:space="preserve"> in Dar es Salaam were unregistered.</w:t>
      </w:r>
    </w:p>
  </w:footnote>
  <w:footnote w:id="16">
    <w:p w14:paraId="7F94BF3B" w14:textId="77777777" w:rsidR="007508D7" w:rsidRDefault="00000000">
      <w:pPr>
        <w:spacing w:line="240" w:lineRule="auto"/>
        <w:jc w:val="both"/>
        <w:rPr>
          <w:sz w:val="20"/>
          <w:szCs w:val="20"/>
        </w:rPr>
      </w:pPr>
      <w:r>
        <w:rPr>
          <w:vertAlign w:val="superscript"/>
        </w:rPr>
        <w:footnoteRef/>
      </w:r>
      <w:r>
        <w:rPr>
          <w:sz w:val="20"/>
          <w:szCs w:val="20"/>
        </w:rPr>
        <w:t xml:space="preserve"> </w:t>
      </w:r>
      <w:r>
        <w:rPr>
          <w:sz w:val="18"/>
          <w:szCs w:val="18"/>
        </w:rPr>
        <w:t xml:space="preserve">United Republic of Tanzania, </w:t>
      </w:r>
      <w:r>
        <w:rPr>
          <w:i/>
          <w:iCs/>
          <w:sz w:val="18"/>
          <w:szCs w:val="18"/>
        </w:rPr>
        <w:t>Law of the Child Act</w:t>
      </w:r>
      <w:r>
        <w:rPr>
          <w:sz w:val="18"/>
          <w:szCs w:val="18"/>
        </w:rPr>
        <w:t xml:space="preserve">, Cap. 13 (R.E. 2023), s. 145. </w:t>
      </w:r>
    </w:p>
  </w:footnote>
  <w:footnote w:id="17">
    <w:p w14:paraId="08793432" w14:textId="77777777" w:rsidR="007508D7" w:rsidRDefault="00000000">
      <w:pPr>
        <w:spacing w:line="240" w:lineRule="auto"/>
        <w:jc w:val="both"/>
        <w:rPr>
          <w:sz w:val="20"/>
          <w:szCs w:val="20"/>
        </w:rPr>
      </w:pPr>
      <w:r>
        <w:rPr>
          <w:vertAlign w:val="superscript"/>
        </w:rPr>
        <w:footnoteRef/>
      </w:r>
      <w:r>
        <w:rPr>
          <w:sz w:val="20"/>
          <w:szCs w:val="20"/>
        </w:rPr>
        <w:t xml:space="preserve"> </w:t>
      </w:r>
      <w:r>
        <w:rPr>
          <w:sz w:val="18"/>
          <w:szCs w:val="18"/>
        </w:rPr>
        <w:t xml:space="preserve">Tanzania Prisons Service and National Bureau of Statistics, </w:t>
      </w:r>
      <w:r>
        <w:rPr>
          <w:i/>
          <w:iCs/>
          <w:sz w:val="18"/>
          <w:szCs w:val="18"/>
        </w:rPr>
        <w:t>Prisoners Statistics Report Tanzania Mainland 2025</w:t>
      </w:r>
      <w:r>
        <w:rPr>
          <w:sz w:val="18"/>
          <w:szCs w:val="18"/>
        </w:rPr>
        <w:t xml:space="preserve"> (published 2026), Table 2.8, “Pregnant Offenders and Offenders with Children.” </w:t>
      </w:r>
    </w:p>
  </w:footnote>
  <w:footnote w:id="18">
    <w:p w14:paraId="2CD41C16" w14:textId="77777777" w:rsidR="007508D7" w:rsidRDefault="00000000">
      <w:pPr>
        <w:spacing w:line="240" w:lineRule="auto"/>
        <w:jc w:val="both"/>
        <w:rPr>
          <w:sz w:val="16"/>
          <w:szCs w:val="16"/>
        </w:rPr>
      </w:pPr>
      <w:r>
        <w:rPr>
          <w:vertAlign w:val="superscript"/>
        </w:rPr>
        <w:footnoteRef/>
      </w:r>
      <w:r>
        <w:rPr>
          <w:sz w:val="20"/>
          <w:szCs w:val="20"/>
        </w:rPr>
        <w:t xml:space="preserve"> </w:t>
      </w:r>
      <w:r>
        <w:rPr>
          <w:sz w:val="18"/>
          <w:szCs w:val="18"/>
        </w:rPr>
        <w:t xml:space="preserve">United Republic of Tanzania, Parliament, </w:t>
      </w:r>
      <w:r>
        <w:rPr>
          <w:i/>
          <w:iCs/>
          <w:sz w:val="18"/>
          <w:szCs w:val="18"/>
        </w:rPr>
        <w:t>Hansard</w:t>
      </w:r>
      <w:r>
        <w:rPr>
          <w:sz w:val="18"/>
          <w:szCs w:val="18"/>
        </w:rPr>
        <w:t xml:space="preserve"> (2025), Minister for Home Affairs statement on services for pregnant women and children residing with incarcerated mothers. Specific Hansard date/column not independently verified this session.</w:t>
      </w:r>
    </w:p>
  </w:footnote>
  <w:footnote w:id="19">
    <w:p w14:paraId="60463B20" w14:textId="77777777" w:rsidR="007508D7" w:rsidRDefault="00000000">
      <w:pPr>
        <w:spacing w:line="240" w:lineRule="auto"/>
        <w:jc w:val="both"/>
        <w:rPr>
          <w:sz w:val="20"/>
          <w:szCs w:val="20"/>
        </w:rPr>
      </w:pPr>
      <w:r>
        <w:rPr>
          <w:vertAlign w:val="superscript"/>
        </w:rPr>
        <w:footnoteRef/>
      </w:r>
      <w:r>
        <w:rPr>
          <w:sz w:val="20"/>
          <w:szCs w:val="20"/>
        </w:rPr>
        <w:t xml:space="preserve"> </w:t>
      </w:r>
      <w:r>
        <w:rPr>
          <w:sz w:val="18"/>
          <w:szCs w:val="18"/>
        </w:rPr>
        <w:t xml:space="preserve">Ministry of Health, NBS, OCGS and ICF, </w:t>
      </w:r>
      <w:r>
        <w:rPr>
          <w:i/>
          <w:iCs/>
          <w:sz w:val="18"/>
          <w:szCs w:val="18"/>
        </w:rPr>
        <w:t>Tanzania Demographic and Health Survey and Malaria Indicator Survey (TDHS-MIS) 2022: Key Indicators Report</w:t>
      </w:r>
      <w:r>
        <w:rPr>
          <w:sz w:val="18"/>
          <w:szCs w:val="18"/>
        </w:rPr>
        <w:t xml:space="preserve"> (2023). </w:t>
      </w:r>
    </w:p>
  </w:footnote>
  <w:footnote w:id="20">
    <w:p w14:paraId="0157313E" w14:textId="77777777" w:rsidR="007508D7" w:rsidRDefault="00000000">
      <w:pPr>
        <w:spacing w:line="240" w:lineRule="auto"/>
        <w:rPr>
          <w:sz w:val="18"/>
          <w:szCs w:val="18"/>
        </w:rPr>
      </w:pPr>
      <w:r>
        <w:rPr>
          <w:vertAlign w:val="superscript"/>
        </w:rPr>
        <w:footnoteRef/>
      </w:r>
      <w:r>
        <w:rPr>
          <w:sz w:val="20"/>
          <w:szCs w:val="20"/>
        </w:rPr>
        <w:t xml:space="preserve"> </w:t>
      </w:r>
      <w:r>
        <w:rPr>
          <w:sz w:val="18"/>
          <w:szCs w:val="18"/>
        </w:rPr>
        <w:t xml:space="preserve">United Republic of Tanzania, </w:t>
      </w:r>
      <w:r>
        <w:rPr>
          <w:i/>
          <w:iCs/>
          <w:sz w:val="18"/>
          <w:szCs w:val="18"/>
        </w:rPr>
        <w:t>National Multisectoral Nutrition Action Plan (NMNAP II) 2021/22–2025/26</w:t>
      </w:r>
      <w:r>
        <w:rPr>
          <w:sz w:val="18"/>
          <w:szCs w:val="18"/>
        </w:rPr>
        <w:t xml:space="preserve">; </w:t>
      </w:r>
      <w:r>
        <w:rPr>
          <w:i/>
          <w:iCs/>
          <w:sz w:val="18"/>
          <w:szCs w:val="18"/>
        </w:rPr>
        <w:t>Tanzania National School Feeding Guidelines</w:t>
      </w:r>
      <w:r>
        <w:rPr>
          <w:sz w:val="18"/>
          <w:szCs w:val="18"/>
        </w:rPr>
        <w:t xml:space="preserve"> (2023). </w:t>
      </w:r>
    </w:p>
  </w:footnote>
  <w:footnote w:id="21">
    <w:p w14:paraId="0908B93F" w14:textId="77777777" w:rsidR="007508D7" w:rsidRDefault="00000000">
      <w:pPr>
        <w:spacing w:line="240" w:lineRule="auto"/>
        <w:rPr>
          <w:sz w:val="18"/>
          <w:szCs w:val="18"/>
        </w:rPr>
      </w:pPr>
      <w:r>
        <w:rPr>
          <w:vertAlign w:val="superscript"/>
        </w:rPr>
        <w:footnoteRef/>
      </w:r>
      <w:r>
        <w:rPr>
          <w:sz w:val="20"/>
          <w:szCs w:val="20"/>
        </w:rPr>
        <w:t xml:space="preserve"> </w:t>
      </w:r>
      <w:r>
        <w:rPr>
          <w:sz w:val="18"/>
          <w:szCs w:val="18"/>
        </w:rPr>
        <w:t xml:space="preserve">Sando D, Sachin S, Moshi G, Sando MM, Yussuf M, </w:t>
      </w:r>
      <w:proofErr w:type="spellStart"/>
      <w:r>
        <w:rPr>
          <w:sz w:val="18"/>
          <w:szCs w:val="18"/>
        </w:rPr>
        <w:t>Mwakitalima</w:t>
      </w:r>
      <w:proofErr w:type="spellEnd"/>
      <w:r>
        <w:rPr>
          <w:sz w:val="18"/>
          <w:szCs w:val="18"/>
        </w:rPr>
        <w:t xml:space="preserve"> A, Fawzi W. </w:t>
      </w:r>
      <w:r>
        <w:rPr>
          <w:i/>
          <w:iCs/>
          <w:sz w:val="18"/>
          <w:szCs w:val="18"/>
        </w:rPr>
        <w:t xml:space="preserve">School health and nutrition services for children and adolescents in Tanzania: A review of policies and </w:t>
      </w:r>
      <w:proofErr w:type="spellStart"/>
      <w:r>
        <w:rPr>
          <w:i/>
          <w:iCs/>
          <w:sz w:val="18"/>
          <w:szCs w:val="18"/>
        </w:rPr>
        <w:t>programmes</w:t>
      </w:r>
      <w:proofErr w:type="spellEnd"/>
      <w:r>
        <w:rPr>
          <w:i/>
          <w:iCs/>
          <w:sz w:val="18"/>
          <w:szCs w:val="18"/>
        </w:rPr>
        <w:t>.</w:t>
      </w:r>
      <w:r>
        <w:rPr>
          <w:sz w:val="18"/>
          <w:szCs w:val="18"/>
        </w:rPr>
        <w:t xml:space="preserve"> Matern Child </w:t>
      </w:r>
      <w:proofErr w:type="spellStart"/>
      <w:r>
        <w:rPr>
          <w:sz w:val="18"/>
          <w:szCs w:val="18"/>
        </w:rPr>
        <w:t>Nutr</w:t>
      </w:r>
      <w:proofErr w:type="spellEnd"/>
      <w:r>
        <w:rPr>
          <w:sz w:val="18"/>
          <w:szCs w:val="18"/>
        </w:rPr>
        <w:t>. 2025 Jul;21 Suppl 1(Suppl 1</w:t>
      </w:r>
      <w:proofErr w:type="gramStart"/>
      <w:r>
        <w:rPr>
          <w:sz w:val="18"/>
          <w:szCs w:val="18"/>
        </w:rPr>
        <w:t>):e</w:t>
      </w:r>
      <w:proofErr w:type="gramEnd"/>
      <w:r>
        <w:rPr>
          <w:sz w:val="18"/>
          <w:szCs w:val="18"/>
        </w:rPr>
        <w:t xml:space="preserve">13544. </w:t>
      </w:r>
      <w:proofErr w:type="spellStart"/>
      <w:r>
        <w:rPr>
          <w:sz w:val="18"/>
          <w:szCs w:val="18"/>
        </w:rPr>
        <w:t>doi</w:t>
      </w:r>
      <w:proofErr w:type="spellEnd"/>
      <w:r>
        <w:rPr>
          <w:sz w:val="18"/>
          <w:szCs w:val="18"/>
        </w:rPr>
        <w:t xml:space="preserve">: 10.1111/mcn.13544. </w:t>
      </w:r>
      <w:proofErr w:type="spellStart"/>
      <w:r>
        <w:rPr>
          <w:sz w:val="18"/>
          <w:szCs w:val="18"/>
        </w:rPr>
        <w:t>Epub</w:t>
      </w:r>
      <w:proofErr w:type="spellEnd"/>
      <w:r>
        <w:rPr>
          <w:sz w:val="18"/>
          <w:szCs w:val="18"/>
        </w:rPr>
        <w:t xml:space="preserve"> 2024 Aug 2. PMID: 39094059; PMCID: PMC12208912.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756478"/>
    <w:multiLevelType w:val="hybridMultilevel"/>
    <w:tmpl w:val="4C3E48C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41187CA9"/>
    <w:multiLevelType w:val="multilevel"/>
    <w:tmpl w:val="7918F24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3E86E78"/>
    <w:multiLevelType w:val="hybridMultilevel"/>
    <w:tmpl w:val="22601AD4"/>
    <w:lvl w:ilvl="0" w:tplc="04090017">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 w15:restartNumberingAfterBreak="0">
    <w:nsid w:val="5D9B3B22"/>
    <w:multiLevelType w:val="hybridMultilevel"/>
    <w:tmpl w:val="0DAA727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771F25D4"/>
    <w:multiLevelType w:val="multilevel"/>
    <w:tmpl w:val="4D3ED2C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929266652">
    <w:abstractNumId w:val="4"/>
  </w:num>
  <w:num w:numId="2" w16cid:durableId="554656477">
    <w:abstractNumId w:val="3"/>
  </w:num>
  <w:num w:numId="3" w16cid:durableId="1418021425">
    <w:abstractNumId w:val="1"/>
  </w:num>
  <w:num w:numId="4" w16cid:durableId="668485583">
    <w:abstractNumId w:val="1"/>
    <w:lvlOverride w:ilvl="1">
      <w:lvl w:ilvl="1">
        <w:numFmt w:val="lowerLetter"/>
        <w:lvlText w:val="%2."/>
        <w:lvlJc w:val="left"/>
      </w:lvl>
    </w:lvlOverride>
  </w:num>
  <w:num w:numId="5" w16cid:durableId="564485558">
    <w:abstractNumId w:val="1"/>
    <w:lvlOverride w:ilvl="1">
      <w:lvl w:ilvl="1">
        <w:numFmt w:val="lowerLetter"/>
        <w:lvlText w:val="%2."/>
        <w:lvlJc w:val="left"/>
      </w:lvl>
    </w:lvlOverride>
  </w:num>
  <w:num w:numId="6" w16cid:durableId="847793227">
    <w:abstractNumId w:val="1"/>
    <w:lvlOverride w:ilvl="1">
      <w:lvl w:ilvl="1">
        <w:numFmt w:val="lowerLetter"/>
        <w:lvlText w:val="%2."/>
        <w:lvlJc w:val="left"/>
      </w:lvl>
    </w:lvlOverride>
  </w:num>
  <w:num w:numId="7" w16cid:durableId="761537522">
    <w:abstractNumId w:val="1"/>
    <w:lvlOverride w:ilvl="1">
      <w:lvl w:ilvl="1">
        <w:numFmt w:val="lowerLetter"/>
        <w:lvlText w:val="%2."/>
        <w:lvlJc w:val="left"/>
      </w:lvl>
    </w:lvlOverride>
  </w:num>
  <w:num w:numId="8" w16cid:durableId="1300498372">
    <w:abstractNumId w:val="0"/>
  </w:num>
  <w:num w:numId="9" w16cid:durableId="114231378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08D7"/>
    <w:rsid w:val="000C0609"/>
    <w:rsid w:val="0019504C"/>
    <w:rsid w:val="00227B73"/>
    <w:rsid w:val="0023285A"/>
    <w:rsid w:val="005558BA"/>
    <w:rsid w:val="0057146B"/>
    <w:rsid w:val="007239AC"/>
    <w:rsid w:val="007458D8"/>
    <w:rsid w:val="007508D7"/>
    <w:rsid w:val="007866A4"/>
    <w:rsid w:val="008E6CE8"/>
    <w:rsid w:val="0094615B"/>
    <w:rsid w:val="00AA1119"/>
    <w:rsid w:val="00AA5E18"/>
    <w:rsid w:val="00AB0EA2"/>
    <w:rsid w:val="00B011DD"/>
    <w:rsid w:val="00BC6408"/>
    <w:rsid w:val="00CD325B"/>
    <w:rsid w:val="00EB4E16"/>
    <w:rsid w:val="00ED7AC2"/>
    <w:rsid w:val="00F069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042EB2"/>
  <w15:docId w15:val="{155052DC-134E-4944-A613-A51AC9697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227B73"/>
    <w:pPr>
      <w:tabs>
        <w:tab w:val="center" w:pos="4680"/>
        <w:tab w:val="right" w:pos="9360"/>
      </w:tabs>
      <w:spacing w:line="240" w:lineRule="auto"/>
    </w:pPr>
  </w:style>
  <w:style w:type="character" w:customStyle="1" w:styleId="HeaderChar">
    <w:name w:val="Header Char"/>
    <w:basedOn w:val="DefaultParagraphFont"/>
    <w:link w:val="Header"/>
    <w:uiPriority w:val="99"/>
    <w:rsid w:val="00227B73"/>
  </w:style>
  <w:style w:type="paragraph" w:styleId="Footer">
    <w:name w:val="footer"/>
    <w:basedOn w:val="Normal"/>
    <w:link w:val="FooterChar"/>
    <w:uiPriority w:val="99"/>
    <w:unhideWhenUsed/>
    <w:rsid w:val="00227B73"/>
    <w:pPr>
      <w:tabs>
        <w:tab w:val="center" w:pos="4680"/>
        <w:tab w:val="right" w:pos="9360"/>
      </w:tabs>
      <w:spacing w:line="240" w:lineRule="auto"/>
    </w:pPr>
  </w:style>
  <w:style w:type="character" w:customStyle="1" w:styleId="FooterChar">
    <w:name w:val="Footer Char"/>
    <w:basedOn w:val="DefaultParagraphFont"/>
    <w:link w:val="Footer"/>
    <w:uiPriority w:val="99"/>
    <w:rsid w:val="00227B73"/>
  </w:style>
  <w:style w:type="paragraph" w:styleId="ListParagraph">
    <w:name w:val="List Paragraph"/>
    <w:basedOn w:val="Normal"/>
    <w:uiPriority w:val="34"/>
    <w:qFormat/>
    <w:rsid w:val="0019504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www.planning.go.tz/uploads/documents/en-1752762713-THE%20TANZANIA%20DEVELOPMENT%20VISION%202050.pdf" TargetMode="External"/><Relationship Id="rId18" Type="http://schemas.openxmlformats.org/officeDocument/2006/relationships/image" Target="media/image7.emf"/><Relationship Id="rId3" Type="http://schemas.openxmlformats.org/officeDocument/2006/relationships/styles" Target="styles.xml"/><Relationship Id="rId21" Type="http://schemas.openxmlformats.org/officeDocument/2006/relationships/image" Target="media/image10.emf"/><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6.jp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image" Target="media/image9.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ink/ink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4.emf"/><Relationship Id="rId23" Type="http://schemas.openxmlformats.org/officeDocument/2006/relationships/footer" Target="footer1.xml"/><Relationship Id="rId10" Type="http://schemas.openxmlformats.org/officeDocument/2006/relationships/image" Target="media/image2.emf"/><Relationship Id="rId19" Type="http://schemas.openxmlformats.org/officeDocument/2006/relationships/image" Target="media/image8.emf"/><Relationship Id="rId4" Type="http://schemas.openxmlformats.org/officeDocument/2006/relationships/settings" Target="settings.xml"/><Relationship Id="rId9" Type="http://schemas.openxmlformats.org/officeDocument/2006/relationships/hyperlink" Target="https://tbinternet.ohchr.org/_layouts/15/treatybodyexternal/Download.aspx?symbolno=INT%2FCRC%2FNGO%2FTZA%2F69640&amp;Lang=en" TargetMode="External"/><Relationship Id="rId14" Type="http://schemas.openxmlformats.org/officeDocument/2006/relationships/image" Target="media/image3.gif"/><Relationship Id="rId22" Type="http://schemas.openxmlformats.org/officeDocument/2006/relationships/image" Target="media/image11.emf"/></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3" Type="http://schemas.openxmlformats.org/officeDocument/2006/relationships/hyperlink" Target="https://www.childrenincrossfire.org/wp-content/uploads/2024/03/CiC-Brief-Dar-Urban-Daycare-2024-FINAL-FOR-PRINT.pdf" TargetMode="External"/><Relationship Id="rId2" Type="http://schemas.openxmlformats.org/officeDocument/2006/relationships/hyperlink" Target="https://www.unicef.org/tanzania/reports/building-foundations" TargetMode="External"/><Relationship Id="rId1" Type="http://schemas.openxmlformats.org/officeDocument/2006/relationships/hyperlink" Target="https://ticgl.com/tanzanias-2025-26-budget-rises-to-tzs-56-49-trillion-targeting-6-0-growth-and-tzs-29-17-trillion-tax-revenue/"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8-01T15:24:31.427"/>
    </inkml:context>
    <inkml:brush xml:id="br0">
      <inkml:brushProperty name="width" value="0.05" units="cm"/>
      <inkml:brushProperty name="height" value="0.05" units="cm"/>
    </inkml:brush>
  </inkml:definitions>
  <inkml:trace contextRef="#ctx0" brushRef="#br0">0 38 9538,'4'-15'1448,"4"0"585,3 7-3265,0 9-1625,-4 3 48</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E3713E-7A88-4EB6-8C6B-B9E598112C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9</Pages>
  <Words>2356</Words>
  <Characters>13434</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Alicia Keria</cp:lastModifiedBy>
  <cp:revision>30</cp:revision>
  <dcterms:created xsi:type="dcterms:W3CDTF">2026-08-01T11:29:00Z</dcterms:created>
  <dcterms:modified xsi:type="dcterms:W3CDTF">2026-08-01T16:20:00Z</dcterms:modified>
</cp:coreProperties>
</file>