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66DA3E" w14:textId="77777777" w:rsidR="00063B5D" w:rsidRPr="0077273E" w:rsidRDefault="00063B5D" w:rsidP="00050E2E">
      <w:pPr>
        <w:pStyle w:val="Header"/>
        <w:jc w:val="center"/>
        <w:rPr>
          <w:rFonts w:cs="Tahoma"/>
        </w:rPr>
      </w:pPr>
      <w:r w:rsidRPr="0077273E">
        <w:rPr>
          <w:rFonts w:cs="Tahoma"/>
          <w:noProof/>
          <w:lang w:eastAsia="fr-CH"/>
        </w:rPr>
        <w:drawing>
          <wp:inline distT="0" distB="0" distL="0" distR="0" wp14:anchorId="34F10089" wp14:editId="1CAE5AA5">
            <wp:extent cx="1625600" cy="787400"/>
            <wp:effectExtent l="19050" t="0" r="0" b="0"/>
            <wp:docPr id="1" name="officeArt object" descr="karama logo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karama logo 800"/>
                    <pic:cNvPicPr>
                      <a:picLocks noChangeAspect="1" noChangeArrowheads="1"/>
                    </pic:cNvPicPr>
                  </pic:nvPicPr>
                  <pic:blipFill>
                    <a:blip r:embed="rId8" cstate="print"/>
                    <a:srcRect/>
                    <a:stretch>
                      <a:fillRect/>
                    </a:stretch>
                  </pic:blipFill>
                  <pic:spPr bwMode="auto">
                    <a:xfrm>
                      <a:off x="0" y="0"/>
                      <a:ext cx="1625600" cy="787400"/>
                    </a:xfrm>
                    <a:prstGeom prst="rect">
                      <a:avLst/>
                    </a:prstGeom>
                    <a:noFill/>
                    <a:ln w="9525">
                      <a:noFill/>
                      <a:miter lim="800000"/>
                      <a:headEnd/>
                      <a:tailEnd/>
                    </a:ln>
                  </pic:spPr>
                </pic:pic>
              </a:graphicData>
            </a:graphic>
          </wp:inline>
        </w:drawing>
      </w:r>
    </w:p>
    <w:p w14:paraId="7A491715" w14:textId="77777777" w:rsidR="00063B5D" w:rsidRPr="0077273E" w:rsidRDefault="00063B5D" w:rsidP="00A72838">
      <w:pPr>
        <w:pStyle w:val="Body"/>
        <w:spacing w:before="120" w:after="100" w:afterAutospacing="1"/>
      </w:pPr>
    </w:p>
    <w:p w14:paraId="610774EA" w14:textId="77777777" w:rsidR="00063B5D" w:rsidRPr="0077273E" w:rsidRDefault="00063B5D" w:rsidP="00A72838">
      <w:pPr>
        <w:pStyle w:val="Body"/>
        <w:spacing w:before="120" w:after="100" w:afterAutospacing="1"/>
      </w:pPr>
    </w:p>
    <w:p w14:paraId="761D319C" w14:textId="77777777" w:rsidR="00063B5D" w:rsidRPr="0077273E" w:rsidRDefault="00063B5D" w:rsidP="00A72838">
      <w:pPr>
        <w:pStyle w:val="Body"/>
        <w:spacing w:before="120" w:after="100" w:afterAutospacing="1"/>
      </w:pPr>
    </w:p>
    <w:p w14:paraId="5905307F" w14:textId="77777777" w:rsidR="00063B5D" w:rsidRPr="0077273E" w:rsidRDefault="00063B5D" w:rsidP="00A72838">
      <w:pPr>
        <w:pStyle w:val="Body"/>
        <w:spacing w:before="120" w:after="100" w:afterAutospacing="1"/>
      </w:pPr>
    </w:p>
    <w:p w14:paraId="372257AC" w14:textId="77777777" w:rsidR="00063B5D" w:rsidRPr="0077273E" w:rsidRDefault="00063B5D" w:rsidP="00A72838">
      <w:pPr>
        <w:pStyle w:val="Body"/>
        <w:spacing w:before="120" w:after="100" w:afterAutospacing="1"/>
        <w:ind w:left="198"/>
        <w:jc w:val="center"/>
        <w:rPr>
          <w:b/>
          <w:bCs/>
          <w:sz w:val="32"/>
          <w:szCs w:val="32"/>
        </w:rPr>
      </w:pPr>
      <w:r w:rsidRPr="0077273E">
        <w:rPr>
          <w:b/>
          <w:bCs/>
          <w:sz w:val="40"/>
          <w:szCs w:val="40"/>
        </w:rPr>
        <w:t>Maroc</w:t>
      </w:r>
    </w:p>
    <w:p w14:paraId="3B8A2BAA" w14:textId="77777777" w:rsidR="00063B5D" w:rsidRPr="0077273E" w:rsidRDefault="00063B5D" w:rsidP="00A72838">
      <w:pPr>
        <w:pStyle w:val="Body"/>
        <w:spacing w:before="120" w:after="100" w:afterAutospacing="1"/>
        <w:ind w:left="198"/>
        <w:jc w:val="center"/>
        <w:rPr>
          <w:b/>
          <w:bCs/>
          <w:sz w:val="32"/>
          <w:szCs w:val="32"/>
        </w:rPr>
      </w:pPr>
    </w:p>
    <w:p w14:paraId="3EB9EBDB" w14:textId="77777777" w:rsidR="00063B5D" w:rsidRPr="0077273E" w:rsidRDefault="00063B5D" w:rsidP="00A72838">
      <w:pPr>
        <w:pStyle w:val="Body"/>
        <w:spacing w:before="120" w:after="100" w:afterAutospacing="1"/>
        <w:ind w:left="198"/>
        <w:jc w:val="center"/>
        <w:rPr>
          <w:b/>
          <w:bCs/>
          <w:sz w:val="32"/>
          <w:szCs w:val="32"/>
        </w:rPr>
      </w:pPr>
    </w:p>
    <w:p w14:paraId="10BEC8DF" w14:textId="77777777" w:rsidR="00773632" w:rsidRPr="0077273E" w:rsidRDefault="00773632" w:rsidP="00A72838">
      <w:pPr>
        <w:pStyle w:val="Body"/>
        <w:spacing w:before="120" w:after="100" w:afterAutospacing="1"/>
        <w:ind w:left="198"/>
        <w:jc w:val="center"/>
        <w:rPr>
          <w:b/>
          <w:bCs/>
          <w:sz w:val="32"/>
          <w:szCs w:val="32"/>
        </w:rPr>
      </w:pPr>
    </w:p>
    <w:p w14:paraId="7D99F4E4" w14:textId="433AE35A" w:rsidR="00063B5D" w:rsidRPr="0077273E" w:rsidRDefault="00063B5D" w:rsidP="00880015">
      <w:pPr>
        <w:pStyle w:val="Body"/>
        <w:spacing w:before="120" w:after="100" w:afterAutospacing="1"/>
        <w:ind w:left="198"/>
        <w:jc w:val="center"/>
        <w:rPr>
          <w:b/>
          <w:bCs/>
          <w:sz w:val="28"/>
          <w:szCs w:val="28"/>
        </w:rPr>
      </w:pPr>
      <w:r w:rsidRPr="0077273E">
        <w:rPr>
          <w:b/>
          <w:bCs/>
          <w:sz w:val="28"/>
          <w:szCs w:val="28"/>
        </w:rPr>
        <w:t xml:space="preserve">Rapport soumis au Comité des Droits de l’Homme dans le cadre du </w:t>
      </w:r>
      <w:r w:rsidR="00DB0B82">
        <w:rPr>
          <w:b/>
          <w:bCs/>
          <w:sz w:val="28"/>
          <w:szCs w:val="28"/>
        </w:rPr>
        <w:t>sixième</w:t>
      </w:r>
      <w:r w:rsidRPr="0077273E">
        <w:rPr>
          <w:b/>
          <w:bCs/>
          <w:sz w:val="28"/>
          <w:szCs w:val="28"/>
        </w:rPr>
        <w:t xml:space="preserve"> examen périodique du Maroc</w:t>
      </w:r>
    </w:p>
    <w:p w14:paraId="1654C1D9" w14:textId="77777777" w:rsidR="00063B5D" w:rsidRPr="0077273E" w:rsidRDefault="00063B5D" w:rsidP="00A72838">
      <w:pPr>
        <w:pStyle w:val="Body"/>
        <w:spacing w:before="120" w:after="100" w:afterAutospacing="1"/>
        <w:jc w:val="center"/>
        <w:rPr>
          <w:b/>
          <w:bCs/>
          <w:sz w:val="28"/>
          <w:szCs w:val="28"/>
        </w:rPr>
      </w:pPr>
    </w:p>
    <w:p w14:paraId="4C9D4E6A" w14:textId="77777777" w:rsidR="00063B5D" w:rsidRPr="0077273E" w:rsidRDefault="00063B5D" w:rsidP="00A72838">
      <w:pPr>
        <w:pStyle w:val="Body"/>
        <w:spacing w:before="120" w:after="100" w:afterAutospacing="1"/>
        <w:jc w:val="center"/>
        <w:rPr>
          <w:b/>
          <w:bCs/>
          <w:sz w:val="28"/>
          <w:szCs w:val="28"/>
        </w:rPr>
      </w:pPr>
      <w:bookmarkStart w:id="0" w:name="_GoBack"/>
      <w:bookmarkEnd w:id="0"/>
    </w:p>
    <w:p w14:paraId="49D61545" w14:textId="77777777" w:rsidR="00063B5D" w:rsidRPr="0077273E" w:rsidRDefault="00063B5D" w:rsidP="00A72838">
      <w:pPr>
        <w:pStyle w:val="Body"/>
        <w:spacing w:before="120" w:after="100" w:afterAutospacing="1"/>
        <w:jc w:val="center"/>
        <w:rPr>
          <w:b/>
          <w:bCs/>
          <w:sz w:val="28"/>
          <w:szCs w:val="28"/>
        </w:rPr>
      </w:pPr>
    </w:p>
    <w:p w14:paraId="34FACCF6" w14:textId="77777777" w:rsidR="00063B5D" w:rsidRPr="0077273E" w:rsidRDefault="00063B5D" w:rsidP="00A72838">
      <w:pPr>
        <w:pStyle w:val="Body"/>
        <w:spacing w:before="120" w:after="100" w:afterAutospacing="1"/>
        <w:jc w:val="center"/>
        <w:rPr>
          <w:b/>
          <w:bCs/>
          <w:sz w:val="28"/>
          <w:szCs w:val="28"/>
        </w:rPr>
      </w:pPr>
    </w:p>
    <w:p w14:paraId="5D6542C1" w14:textId="77777777" w:rsidR="00773632" w:rsidRPr="0077273E" w:rsidRDefault="00773632" w:rsidP="00A72838">
      <w:pPr>
        <w:pStyle w:val="Body"/>
        <w:spacing w:before="120" w:after="100" w:afterAutospacing="1"/>
        <w:jc w:val="center"/>
        <w:rPr>
          <w:b/>
          <w:bCs/>
          <w:sz w:val="28"/>
          <w:szCs w:val="28"/>
        </w:rPr>
      </w:pPr>
    </w:p>
    <w:p w14:paraId="1495CB7E" w14:textId="0CE30C16" w:rsidR="00063B5D" w:rsidRPr="0077273E" w:rsidRDefault="003B118B" w:rsidP="00DB0B82">
      <w:pPr>
        <w:pStyle w:val="Body"/>
        <w:spacing w:before="120" w:after="100" w:afterAutospacing="1"/>
        <w:jc w:val="center"/>
        <w:rPr>
          <w:b/>
          <w:bCs/>
        </w:rPr>
      </w:pPr>
      <w:r w:rsidRPr="0077273E">
        <w:rPr>
          <w:b/>
          <w:bCs/>
        </w:rPr>
        <w:t>Fondation Alkarama</w:t>
      </w:r>
      <w:r w:rsidR="00063B5D" w:rsidRPr="0077273E">
        <w:rPr>
          <w:b/>
          <w:bCs/>
        </w:rPr>
        <w:t xml:space="preserve"> – </w:t>
      </w:r>
      <w:r w:rsidR="00601977">
        <w:rPr>
          <w:b/>
          <w:bCs/>
        </w:rPr>
        <w:t>23</w:t>
      </w:r>
      <w:r w:rsidR="00DB0B82">
        <w:rPr>
          <w:b/>
          <w:bCs/>
        </w:rPr>
        <w:t xml:space="preserve"> septembre</w:t>
      </w:r>
      <w:r w:rsidR="00A60888" w:rsidRPr="0077273E">
        <w:rPr>
          <w:b/>
          <w:bCs/>
        </w:rPr>
        <w:t xml:space="preserve"> 2016</w:t>
      </w:r>
    </w:p>
    <w:p w14:paraId="51AC573F" w14:textId="77777777" w:rsidR="00063B5D" w:rsidRPr="0077273E" w:rsidRDefault="00063B5D" w:rsidP="00A72838">
      <w:pPr>
        <w:pStyle w:val="Body"/>
        <w:spacing w:before="120" w:after="100" w:afterAutospacing="1"/>
        <w:jc w:val="center"/>
        <w:rPr>
          <w:b/>
          <w:bCs/>
        </w:rPr>
      </w:pPr>
    </w:p>
    <w:p w14:paraId="5B9BE7BF" w14:textId="77777777" w:rsidR="00063B5D" w:rsidRPr="0077273E" w:rsidRDefault="00063B5D" w:rsidP="00A72838">
      <w:pPr>
        <w:pStyle w:val="Heading"/>
        <w:spacing w:before="120" w:after="100" w:afterAutospacing="1"/>
        <w:ind w:left="0" w:firstLine="0"/>
      </w:pPr>
      <w:r w:rsidRPr="0077273E">
        <w:br w:type="page"/>
      </w:r>
    </w:p>
    <w:p w14:paraId="07167EC1" w14:textId="77777777" w:rsidR="00063B5D" w:rsidRPr="0077273E" w:rsidRDefault="00063B5D" w:rsidP="00D759A0">
      <w:pPr>
        <w:spacing w:after="0"/>
        <w:rPr>
          <w:rFonts w:cs="Tahoma"/>
          <w:b/>
          <w:bCs/>
          <w:sz w:val="24"/>
          <w:szCs w:val="24"/>
        </w:rPr>
      </w:pPr>
      <w:r w:rsidRPr="0077273E">
        <w:rPr>
          <w:rFonts w:cs="Tahoma"/>
          <w:b/>
          <w:bCs/>
          <w:sz w:val="24"/>
          <w:szCs w:val="24"/>
        </w:rPr>
        <w:lastRenderedPageBreak/>
        <w:t>Table des matières</w:t>
      </w:r>
    </w:p>
    <w:p w14:paraId="050968F7" w14:textId="77777777" w:rsidR="00063B5D" w:rsidRPr="0077273E" w:rsidRDefault="00063B5D" w:rsidP="00D759A0">
      <w:pPr>
        <w:pStyle w:val="Body"/>
        <w:jc w:val="left"/>
        <w:rPr>
          <w:rFonts w:eastAsia="Calibri"/>
          <w:sz w:val="22"/>
          <w:szCs w:val="22"/>
        </w:rPr>
      </w:pPr>
    </w:p>
    <w:p w14:paraId="4EE9B2C5" w14:textId="77777777" w:rsidR="00214E10" w:rsidRDefault="00B900EF">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r w:rsidRPr="0077273E">
        <w:rPr>
          <w:rFonts w:ascii="Tahoma" w:hAnsi="Tahoma" w:cs="Tahoma"/>
        </w:rPr>
        <w:fldChar w:fldCharType="begin"/>
      </w:r>
      <w:r w:rsidR="00063B5D" w:rsidRPr="0077273E">
        <w:rPr>
          <w:rFonts w:ascii="Tahoma" w:hAnsi="Tahoma" w:cs="Tahoma"/>
        </w:rPr>
        <w:instrText xml:space="preserve"> TOC \o "1-3" \h \z \u </w:instrText>
      </w:r>
      <w:r w:rsidRPr="0077273E">
        <w:rPr>
          <w:rFonts w:ascii="Tahoma" w:hAnsi="Tahoma" w:cs="Tahoma"/>
        </w:rPr>
        <w:fldChar w:fldCharType="separate"/>
      </w:r>
      <w:hyperlink w:anchor="_Toc462396080" w:history="1">
        <w:r w:rsidR="00214E10" w:rsidRPr="001713B1">
          <w:rPr>
            <w:rStyle w:val="Hyperlink"/>
            <w:noProof/>
          </w:rPr>
          <w:t>1.</w:t>
        </w:r>
        <w:r w:rsidR="00214E10">
          <w:rPr>
            <w:rFonts w:asciiTheme="minorHAnsi" w:eastAsiaTheme="minorEastAsia" w:hAnsiTheme="minorHAnsi" w:cstheme="minorBidi"/>
            <w:b w:val="0"/>
            <w:bCs w:val="0"/>
            <w:caps w:val="0"/>
            <w:noProof/>
            <w:sz w:val="22"/>
            <w:szCs w:val="22"/>
            <w:lang w:eastAsia="fr-CH"/>
          </w:rPr>
          <w:tab/>
        </w:r>
        <w:r w:rsidR="00214E10" w:rsidRPr="001713B1">
          <w:rPr>
            <w:rStyle w:val="Hyperlink"/>
            <w:noProof/>
          </w:rPr>
          <w:t>Introduction</w:t>
        </w:r>
        <w:r w:rsidR="00214E10">
          <w:rPr>
            <w:noProof/>
            <w:webHidden/>
          </w:rPr>
          <w:tab/>
        </w:r>
        <w:r w:rsidR="00214E10">
          <w:rPr>
            <w:noProof/>
            <w:webHidden/>
          </w:rPr>
          <w:fldChar w:fldCharType="begin"/>
        </w:r>
        <w:r w:rsidR="00214E10">
          <w:rPr>
            <w:noProof/>
            <w:webHidden/>
          </w:rPr>
          <w:instrText xml:space="preserve"> PAGEREF _Toc462396080 \h </w:instrText>
        </w:r>
        <w:r w:rsidR="00214E10">
          <w:rPr>
            <w:noProof/>
            <w:webHidden/>
          </w:rPr>
        </w:r>
        <w:r w:rsidR="00214E10">
          <w:rPr>
            <w:noProof/>
            <w:webHidden/>
          </w:rPr>
          <w:fldChar w:fldCharType="separate"/>
        </w:r>
        <w:r w:rsidR="006E747B">
          <w:rPr>
            <w:noProof/>
            <w:webHidden/>
          </w:rPr>
          <w:t>4</w:t>
        </w:r>
        <w:r w:rsidR="00214E10">
          <w:rPr>
            <w:noProof/>
            <w:webHidden/>
          </w:rPr>
          <w:fldChar w:fldCharType="end"/>
        </w:r>
      </w:hyperlink>
    </w:p>
    <w:p w14:paraId="767C1A00"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081" w:history="1">
        <w:r w:rsidRPr="001713B1">
          <w:rPr>
            <w:rStyle w:val="Hyperlink"/>
            <w:noProof/>
          </w:rPr>
          <w:t>2.</w:t>
        </w:r>
        <w:r>
          <w:rPr>
            <w:rFonts w:asciiTheme="minorHAnsi" w:eastAsiaTheme="minorEastAsia" w:hAnsiTheme="minorHAnsi" w:cstheme="minorBidi"/>
            <w:b w:val="0"/>
            <w:bCs w:val="0"/>
            <w:caps w:val="0"/>
            <w:noProof/>
            <w:sz w:val="22"/>
            <w:szCs w:val="22"/>
            <w:lang w:eastAsia="fr-CH"/>
          </w:rPr>
          <w:tab/>
        </w:r>
        <w:r w:rsidRPr="001713B1">
          <w:rPr>
            <w:rStyle w:val="Hyperlink"/>
            <w:noProof/>
          </w:rPr>
          <w:t>Contexte général</w:t>
        </w:r>
        <w:r>
          <w:rPr>
            <w:noProof/>
            <w:webHidden/>
          </w:rPr>
          <w:tab/>
        </w:r>
        <w:r>
          <w:rPr>
            <w:noProof/>
            <w:webHidden/>
          </w:rPr>
          <w:fldChar w:fldCharType="begin"/>
        </w:r>
        <w:r>
          <w:rPr>
            <w:noProof/>
            <w:webHidden/>
          </w:rPr>
          <w:instrText xml:space="preserve"> PAGEREF _Toc462396081 \h </w:instrText>
        </w:r>
        <w:r>
          <w:rPr>
            <w:noProof/>
            <w:webHidden/>
          </w:rPr>
        </w:r>
        <w:r>
          <w:rPr>
            <w:noProof/>
            <w:webHidden/>
          </w:rPr>
          <w:fldChar w:fldCharType="separate"/>
        </w:r>
        <w:r w:rsidR="006E747B">
          <w:rPr>
            <w:noProof/>
            <w:webHidden/>
          </w:rPr>
          <w:t>4</w:t>
        </w:r>
        <w:r>
          <w:rPr>
            <w:noProof/>
            <w:webHidden/>
          </w:rPr>
          <w:fldChar w:fldCharType="end"/>
        </w:r>
      </w:hyperlink>
    </w:p>
    <w:p w14:paraId="11FE76C7"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082" w:history="1">
        <w:r w:rsidRPr="001713B1">
          <w:rPr>
            <w:rStyle w:val="Hyperlink"/>
            <w:noProof/>
          </w:rPr>
          <w:t>3.</w:t>
        </w:r>
        <w:r>
          <w:rPr>
            <w:rFonts w:asciiTheme="minorHAnsi" w:eastAsiaTheme="minorEastAsia" w:hAnsiTheme="minorHAnsi" w:cstheme="minorBidi"/>
            <w:b w:val="0"/>
            <w:bCs w:val="0"/>
            <w:caps w:val="0"/>
            <w:noProof/>
            <w:sz w:val="22"/>
            <w:szCs w:val="22"/>
            <w:lang w:eastAsia="fr-CH"/>
          </w:rPr>
          <w:tab/>
        </w:r>
        <w:r w:rsidRPr="001713B1">
          <w:rPr>
            <w:rStyle w:val="Hyperlink"/>
            <w:noProof/>
          </w:rPr>
          <w:t>Cadre constitutionnel et législatif</w:t>
        </w:r>
        <w:r>
          <w:rPr>
            <w:noProof/>
            <w:webHidden/>
          </w:rPr>
          <w:tab/>
        </w:r>
        <w:r>
          <w:rPr>
            <w:noProof/>
            <w:webHidden/>
          </w:rPr>
          <w:fldChar w:fldCharType="begin"/>
        </w:r>
        <w:r>
          <w:rPr>
            <w:noProof/>
            <w:webHidden/>
          </w:rPr>
          <w:instrText xml:space="preserve"> PAGEREF _Toc462396082 \h </w:instrText>
        </w:r>
        <w:r>
          <w:rPr>
            <w:noProof/>
            <w:webHidden/>
          </w:rPr>
        </w:r>
        <w:r>
          <w:rPr>
            <w:noProof/>
            <w:webHidden/>
          </w:rPr>
          <w:fldChar w:fldCharType="separate"/>
        </w:r>
        <w:r w:rsidR="006E747B">
          <w:rPr>
            <w:noProof/>
            <w:webHidden/>
          </w:rPr>
          <w:t>4</w:t>
        </w:r>
        <w:r>
          <w:rPr>
            <w:noProof/>
            <w:webHidden/>
          </w:rPr>
          <w:fldChar w:fldCharType="end"/>
        </w:r>
      </w:hyperlink>
    </w:p>
    <w:p w14:paraId="6A1F5EAC"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083" w:history="1">
        <w:r w:rsidRPr="001713B1">
          <w:rPr>
            <w:rStyle w:val="Hyperlink"/>
            <w:noProof/>
            <w14:scene3d>
              <w14:camera w14:prst="orthographicFront"/>
              <w14:lightRig w14:rig="threePt" w14:dir="t">
                <w14:rot w14:lat="0" w14:lon="0" w14:rev="0"/>
              </w14:lightRig>
            </w14:scene3d>
          </w:rPr>
          <w:t>3.1.</w:t>
        </w:r>
        <w:r>
          <w:rPr>
            <w:rFonts w:asciiTheme="minorHAnsi" w:eastAsiaTheme="minorEastAsia" w:hAnsiTheme="minorHAnsi" w:cstheme="minorBidi"/>
            <w:smallCaps w:val="0"/>
            <w:noProof/>
            <w:sz w:val="22"/>
            <w:szCs w:val="22"/>
            <w:lang w:eastAsia="fr-CH"/>
          </w:rPr>
          <w:tab/>
        </w:r>
        <w:r w:rsidRPr="001713B1">
          <w:rPr>
            <w:rStyle w:val="Hyperlink"/>
            <w:noProof/>
          </w:rPr>
          <w:t>Adoption d’une nouvelle Constitution en 2011 et réforme du cadre institutionnel</w:t>
        </w:r>
        <w:r>
          <w:rPr>
            <w:noProof/>
            <w:webHidden/>
          </w:rPr>
          <w:tab/>
        </w:r>
        <w:r>
          <w:rPr>
            <w:noProof/>
            <w:webHidden/>
          </w:rPr>
          <w:fldChar w:fldCharType="begin"/>
        </w:r>
        <w:r>
          <w:rPr>
            <w:noProof/>
            <w:webHidden/>
          </w:rPr>
          <w:instrText xml:space="preserve"> PAGEREF _Toc462396083 \h </w:instrText>
        </w:r>
        <w:r>
          <w:rPr>
            <w:noProof/>
            <w:webHidden/>
          </w:rPr>
        </w:r>
        <w:r>
          <w:rPr>
            <w:noProof/>
            <w:webHidden/>
          </w:rPr>
          <w:fldChar w:fldCharType="separate"/>
        </w:r>
        <w:r w:rsidR="006E747B">
          <w:rPr>
            <w:noProof/>
            <w:webHidden/>
          </w:rPr>
          <w:t>4</w:t>
        </w:r>
        <w:r>
          <w:rPr>
            <w:noProof/>
            <w:webHidden/>
          </w:rPr>
          <w:fldChar w:fldCharType="end"/>
        </w:r>
      </w:hyperlink>
    </w:p>
    <w:p w14:paraId="507FD708"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84" w:history="1">
        <w:r w:rsidRPr="001713B1">
          <w:rPr>
            <w:rStyle w:val="Hyperlink"/>
            <w:rFonts w:cs="Tahoma"/>
            <w:noProof/>
          </w:rPr>
          <w:t>3.1.1.</w:t>
        </w:r>
        <w:r>
          <w:rPr>
            <w:rFonts w:asciiTheme="minorHAnsi" w:eastAsiaTheme="minorEastAsia" w:hAnsiTheme="minorHAnsi" w:cstheme="minorBidi"/>
            <w:i w:val="0"/>
            <w:iCs w:val="0"/>
            <w:noProof/>
            <w:sz w:val="22"/>
            <w:szCs w:val="22"/>
            <w:lang w:eastAsia="fr-CH"/>
          </w:rPr>
          <w:tab/>
        </w:r>
        <w:r w:rsidRPr="001713B1">
          <w:rPr>
            <w:rStyle w:val="Hyperlink"/>
            <w:rFonts w:cs="Tahoma"/>
            <w:noProof/>
          </w:rPr>
          <w:t>Pouvoir exécutif et attributs royaux</w:t>
        </w:r>
        <w:r>
          <w:rPr>
            <w:noProof/>
            <w:webHidden/>
          </w:rPr>
          <w:tab/>
        </w:r>
        <w:r>
          <w:rPr>
            <w:noProof/>
            <w:webHidden/>
          </w:rPr>
          <w:fldChar w:fldCharType="begin"/>
        </w:r>
        <w:r>
          <w:rPr>
            <w:noProof/>
            <w:webHidden/>
          </w:rPr>
          <w:instrText xml:space="preserve"> PAGEREF _Toc462396084 \h </w:instrText>
        </w:r>
        <w:r>
          <w:rPr>
            <w:noProof/>
            <w:webHidden/>
          </w:rPr>
        </w:r>
        <w:r>
          <w:rPr>
            <w:noProof/>
            <w:webHidden/>
          </w:rPr>
          <w:fldChar w:fldCharType="separate"/>
        </w:r>
        <w:r w:rsidR="006E747B">
          <w:rPr>
            <w:noProof/>
            <w:webHidden/>
          </w:rPr>
          <w:t>4</w:t>
        </w:r>
        <w:r>
          <w:rPr>
            <w:noProof/>
            <w:webHidden/>
          </w:rPr>
          <w:fldChar w:fldCharType="end"/>
        </w:r>
      </w:hyperlink>
    </w:p>
    <w:p w14:paraId="536932FC"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85" w:history="1">
        <w:r w:rsidRPr="001713B1">
          <w:rPr>
            <w:rStyle w:val="Hyperlink"/>
            <w:rFonts w:cs="Tahoma"/>
            <w:noProof/>
            <w:u w:color="000000"/>
            <w:bdr w:val="nil"/>
          </w:rPr>
          <w:t>3.1.2.</w:t>
        </w:r>
        <w:r>
          <w:rPr>
            <w:rFonts w:asciiTheme="minorHAnsi" w:eastAsiaTheme="minorEastAsia" w:hAnsiTheme="minorHAnsi" w:cstheme="minorBidi"/>
            <w:i w:val="0"/>
            <w:iCs w:val="0"/>
            <w:noProof/>
            <w:sz w:val="22"/>
            <w:szCs w:val="22"/>
            <w:lang w:eastAsia="fr-CH"/>
          </w:rPr>
          <w:tab/>
        </w:r>
        <w:r w:rsidRPr="001713B1">
          <w:rPr>
            <w:rStyle w:val="Hyperlink"/>
            <w:rFonts w:cs="Tahoma"/>
            <w:noProof/>
            <w:u w:color="000000"/>
            <w:bdr w:val="nil"/>
          </w:rPr>
          <w:t>Réforme du pouvoir législatif</w:t>
        </w:r>
        <w:r>
          <w:rPr>
            <w:noProof/>
            <w:webHidden/>
          </w:rPr>
          <w:tab/>
        </w:r>
        <w:r>
          <w:rPr>
            <w:noProof/>
            <w:webHidden/>
          </w:rPr>
          <w:fldChar w:fldCharType="begin"/>
        </w:r>
        <w:r>
          <w:rPr>
            <w:noProof/>
            <w:webHidden/>
          </w:rPr>
          <w:instrText xml:space="preserve"> PAGEREF _Toc462396085 \h </w:instrText>
        </w:r>
        <w:r>
          <w:rPr>
            <w:noProof/>
            <w:webHidden/>
          </w:rPr>
        </w:r>
        <w:r>
          <w:rPr>
            <w:noProof/>
            <w:webHidden/>
          </w:rPr>
          <w:fldChar w:fldCharType="separate"/>
        </w:r>
        <w:r w:rsidR="006E747B">
          <w:rPr>
            <w:noProof/>
            <w:webHidden/>
          </w:rPr>
          <w:t>5</w:t>
        </w:r>
        <w:r>
          <w:rPr>
            <w:noProof/>
            <w:webHidden/>
          </w:rPr>
          <w:fldChar w:fldCharType="end"/>
        </w:r>
      </w:hyperlink>
    </w:p>
    <w:p w14:paraId="05D5C8AA"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86" w:history="1">
        <w:r w:rsidRPr="001713B1">
          <w:rPr>
            <w:rStyle w:val="Hyperlink"/>
            <w:rFonts w:cs="Tahoma"/>
            <w:noProof/>
            <w:u w:color="000000"/>
            <w:bdr w:val="nil"/>
          </w:rPr>
          <w:t>3.1.3.</w:t>
        </w:r>
        <w:r>
          <w:rPr>
            <w:rFonts w:asciiTheme="minorHAnsi" w:eastAsiaTheme="minorEastAsia" w:hAnsiTheme="minorHAnsi" w:cstheme="minorBidi"/>
            <w:i w:val="0"/>
            <w:iCs w:val="0"/>
            <w:noProof/>
            <w:sz w:val="22"/>
            <w:szCs w:val="22"/>
            <w:lang w:eastAsia="fr-CH"/>
          </w:rPr>
          <w:tab/>
        </w:r>
        <w:r w:rsidRPr="001713B1">
          <w:rPr>
            <w:rStyle w:val="Hyperlink"/>
            <w:rFonts w:cs="Tahoma"/>
            <w:noProof/>
            <w:u w:color="000000"/>
            <w:bdr w:val="nil"/>
          </w:rPr>
          <w:t>L’institution Nationale des Droits de l’homme</w:t>
        </w:r>
        <w:r>
          <w:rPr>
            <w:noProof/>
            <w:webHidden/>
          </w:rPr>
          <w:tab/>
        </w:r>
        <w:r>
          <w:rPr>
            <w:noProof/>
            <w:webHidden/>
          </w:rPr>
          <w:fldChar w:fldCharType="begin"/>
        </w:r>
        <w:r>
          <w:rPr>
            <w:noProof/>
            <w:webHidden/>
          </w:rPr>
          <w:instrText xml:space="preserve"> PAGEREF _Toc462396086 \h </w:instrText>
        </w:r>
        <w:r>
          <w:rPr>
            <w:noProof/>
            <w:webHidden/>
          </w:rPr>
        </w:r>
        <w:r>
          <w:rPr>
            <w:noProof/>
            <w:webHidden/>
          </w:rPr>
          <w:fldChar w:fldCharType="separate"/>
        </w:r>
        <w:r w:rsidR="006E747B">
          <w:rPr>
            <w:noProof/>
            <w:webHidden/>
          </w:rPr>
          <w:t>5</w:t>
        </w:r>
        <w:r>
          <w:rPr>
            <w:noProof/>
            <w:webHidden/>
          </w:rPr>
          <w:fldChar w:fldCharType="end"/>
        </w:r>
      </w:hyperlink>
    </w:p>
    <w:p w14:paraId="757FD06F"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087" w:history="1">
        <w:r w:rsidRPr="001713B1">
          <w:rPr>
            <w:rStyle w:val="Hyperlink"/>
            <w:noProof/>
            <w14:scene3d>
              <w14:camera w14:prst="orthographicFront"/>
              <w14:lightRig w14:rig="threePt" w14:dir="t">
                <w14:rot w14:lat="0" w14:lon="0" w14:rev="0"/>
              </w14:lightRig>
            </w14:scene3d>
          </w:rPr>
          <w:t>3.2.</w:t>
        </w:r>
        <w:r>
          <w:rPr>
            <w:rFonts w:asciiTheme="minorHAnsi" w:eastAsiaTheme="minorEastAsia" w:hAnsiTheme="minorHAnsi" w:cstheme="minorBidi"/>
            <w:smallCaps w:val="0"/>
            <w:noProof/>
            <w:sz w:val="22"/>
            <w:szCs w:val="22"/>
            <w:lang w:eastAsia="fr-CH"/>
          </w:rPr>
          <w:tab/>
        </w:r>
        <w:r w:rsidRPr="001713B1">
          <w:rPr>
            <w:rStyle w:val="Hyperlink"/>
            <w:noProof/>
          </w:rPr>
          <w:t>Réformes législatives et adhésion aux instruments de protection des droits de l’homme</w:t>
        </w:r>
        <w:r>
          <w:rPr>
            <w:noProof/>
            <w:webHidden/>
          </w:rPr>
          <w:tab/>
        </w:r>
        <w:r>
          <w:rPr>
            <w:noProof/>
            <w:webHidden/>
          </w:rPr>
          <w:fldChar w:fldCharType="begin"/>
        </w:r>
        <w:r>
          <w:rPr>
            <w:noProof/>
            <w:webHidden/>
          </w:rPr>
          <w:instrText xml:space="preserve"> PAGEREF _Toc462396087 \h </w:instrText>
        </w:r>
        <w:r>
          <w:rPr>
            <w:noProof/>
            <w:webHidden/>
          </w:rPr>
        </w:r>
        <w:r>
          <w:rPr>
            <w:noProof/>
            <w:webHidden/>
          </w:rPr>
          <w:fldChar w:fldCharType="separate"/>
        </w:r>
        <w:r w:rsidR="006E747B">
          <w:rPr>
            <w:noProof/>
            <w:webHidden/>
          </w:rPr>
          <w:t>6</w:t>
        </w:r>
        <w:r>
          <w:rPr>
            <w:noProof/>
            <w:webHidden/>
          </w:rPr>
          <w:fldChar w:fldCharType="end"/>
        </w:r>
      </w:hyperlink>
    </w:p>
    <w:p w14:paraId="436C38BF"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089" w:history="1">
        <w:r w:rsidRPr="001713B1">
          <w:rPr>
            <w:rStyle w:val="Hyperlink"/>
            <w:noProof/>
            <w:u w:color="000000"/>
            <w:bdr w:val="nil"/>
          </w:rPr>
          <w:t>4.</w:t>
        </w:r>
        <w:r>
          <w:rPr>
            <w:rFonts w:asciiTheme="minorHAnsi" w:eastAsiaTheme="minorEastAsia" w:hAnsiTheme="minorHAnsi" w:cstheme="minorBidi"/>
            <w:b w:val="0"/>
            <w:bCs w:val="0"/>
            <w:caps w:val="0"/>
            <w:noProof/>
            <w:sz w:val="22"/>
            <w:szCs w:val="22"/>
            <w:lang w:eastAsia="fr-CH"/>
          </w:rPr>
          <w:tab/>
        </w:r>
        <w:r w:rsidRPr="001713B1">
          <w:rPr>
            <w:rStyle w:val="Hyperlink"/>
            <w:noProof/>
            <w:u w:color="000000"/>
            <w:bdr w:val="nil"/>
          </w:rPr>
          <w:t>Indépendance de la justice</w:t>
        </w:r>
        <w:r>
          <w:rPr>
            <w:noProof/>
            <w:webHidden/>
          </w:rPr>
          <w:tab/>
        </w:r>
        <w:r>
          <w:rPr>
            <w:noProof/>
            <w:webHidden/>
          </w:rPr>
          <w:fldChar w:fldCharType="begin"/>
        </w:r>
        <w:r>
          <w:rPr>
            <w:noProof/>
            <w:webHidden/>
          </w:rPr>
          <w:instrText xml:space="preserve"> PAGEREF _Toc462396089 \h </w:instrText>
        </w:r>
        <w:r>
          <w:rPr>
            <w:noProof/>
            <w:webHidden/>
          </w:rPr>
        </w:r>
        <w:r>
          <w:rPr>
            <w:noProof/>
            <w:webHidden/>
          </w:rPr>
          <w:fldChar w:fldCharType="separate"/>
        </w:r>
        <w:r w:rsidR="006E747B">
          <w:rPr>
            <w:noProof/>
            <w:webHidden/>
          </w:rPr>
          <w:t>6</w:t>
        </w:r>
        <w:r>
          <w:rPr>
            <w:noProof/>
            <w:webHidden/>
          </w:rPr>
          <w:fldChar w:fldCharType="end"/>
        </w:r>
      </w:hyperlink>
    </w:p>
    <w:p w14:paraId="29C9CC22"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090" w:history="1">
        <w:r w:rsidRPr="001713B1">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smallCaps w:val="0"/>
            <w:noProof/>
            <w:sz w:val="22"/>
            <w:szCs w:val="22"/>
            <w:lang w:eastAsia="fr-CH"/>
          </w:rPr>
          <w:tab/>
        </w:r>
        <w:r w:rsidRPr="001713B1">
          <w:rPr>
            <w:rStyle w:val="Hyperlink"/>
            <w:noProof/>
          </w:rPr>
          <w:t>Cadre général</w:t>
        </w:r>
        <w:r>
          <w:rPr>
            <w:noProof/>
            <w:webHidden/>
          </w:rPr>
          <w:tab/>
        </w:r>
        <w:r>
          <w:rPr>
            <w:noProof/>
            <w:webHidden/>
          </w:rPr>
          <w:fldChar w:fldCharType="begin"/>
        </w:r>
        <w:r>
          <w:rPr>
            <w:noProof/>
            <w:webHidden/>
          </w:rPr>
          <w:instrText xml:space="preserve"> PAGEREF _Toc462396090 \h </w:instrText>
        </w:r>
        <w:r>
          <w:rPr>
            <w:noProof/>
            <w:webHidden/>
          </w:rPr>
        </w:r>
        <w:r>
          <w:rPr>
            <w:noProof/>
            <w:webHidden/>
          </w:rPr>
          <w:fldChar w:fldCharType="separate"/>
        </w:r>
        <w:r w:rsidR="006E747B">
          <w:rPr>
            <w:noProof/>
            <w:webHidden/>
          </w:rPr>
          <w:t>6</w:t>
        </w:r>
        <w:r>
          <w:rPr>
            <w:noProof/>
            <w:webHidden/>
          </w:rPr>
          <w:fldChar w:fldCharType="end"/>
        </w:r>
      </w:hyperlink>
    </w:p>
    <w:p w14:paraId="3DA8F889"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091" w:history="1">
        <w:r w:rsidRPr="001713B1">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smallCaps w:val="0"/>
            <w:noProof/>
            <w:sz w:val="22"/>
            <w:szCs w:val="22"/>
            <w:lang w:eastAsia="fr-CH"/>
          </w:rPr>
          <w:tab/>
        </w:r>
        <w:r w:rsidRPr="001713B1">
          <w:rPr>
            <w:rStyle w:val="Hyperlink"/>
            <w:noProof/>
          </w:rPr>
          <w:t>Réforme du secteur judicaire</w:t>
        </w:r>
        <w:r>
          <w:rPr>
            <w:noProof/>
            <w:webHidden/>
          </w:rPr>
          <w:tab/>
        </w:r>
        <w:r>
          <w:rPr>
            <w:noProof/>
            <w:webHidden/>
          </w:rPr>
          <w:fldChar w:fldCharType="begin"/>
        </w:r>
        <w:r>
          <w:rPr>
            <w:noProof/>
            <w:webHidden/>
          </w:rPr>
          <w:instrText xml:space="preserve"> PAGEREF _Toc462396091 \h </w:instrText>
        </w:r>
        <w:r>
          <w:rPr>
            <w:noProof/>
            <w:webHidden/>
          </w:rPr>
        </w:r>
        <w:r>
          <w:rPr>
            <w:noProof/>
            <w:webHidden/>
          </w:rPr>
          <w:fldChar w:fldCharType="separate"/>
        </w:r>
        <w:r w:rsidR="006E747B">
          <w:rPr>
            <w:noProof/>
            <w:webHidden/>
          </w:rPr>
          <w:t>7</w:t>
        </w:r>
        <w:r>
          <w:rPr>
            <w:noProof/>
            <w:webHidden/>
          </w:rPr>
          <w:fldChar w:fldCharType="end"/>
        </w:r>
      </w:hyperlink>
    </w:p>
    <w:p w14:paraId="165384DA"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92" w:history="1">
        <w:r w:rsidRPr="001713B1">
          <w:rPr>
            <w:rStyle w:val="Hyperlink"/>
            <w:rFonts w:cs="Tahoma"/>
            <w:noProof/>
          </w:rPr>
          <w:t>4.2.1.</w:t>
        </w:r>
        <w:r>
          <w:rPr>
            <w:rFonts w:asciiTheme="minorHAnsi" w:eastAsiaTheme="minorEastAsia" w:hAnsiTheme="minorHAnsi" w:cstheme="minorBidi"/>
            <w:i w:val="0"/>
            <w:iCs w:val="0"/>
            <w:noProof/>
            <w:sz w:val="22"/>
            <w:szCs w:val="22"/>
            <w:lang w:eastAsia="fr-CH"/>
          </w:rPr>
          <w:tab/>
        </w:r>
        <w:r w:rsidRPr="001713B1">
          <w:rPr>
            <w:rStyle w:val="Hyperlink"/>
            <w:rFonts w:cs="Tahoma"/>
            <w:noProof/>
          </w:rPr>
          <w:t>Le Conseil supérieur du pouvoir judiciaire (CSPJ)</w:t>
        </w:r>
        <w:r>
          <w:rPr>
            <w:noProof/>
            <w:webHidden/>
          </w:rPr>
          <w:tab/>
        </w:r>
        <w:r>
          <w:rPr>
            <w:noProof/>
            <w:webHidden/>
          </w:rPr>
          <w:fldChar w:fldCharType="begin"/>
        </w:r>
        <w:r>
          <w:rPr>
            <w:noProof/>
            <w:webHidden/>
          </w:rPr>
          <w:instrText xml:space="preserve"> PAGEREF _Toc462396092 \h </w:instrText>
        </w:r>
        <w:r>
          <w:rPr>
            <w:noProof/>
            <w:webHidden/>
          </w:rPr>
        </w:r>
        <w:r>
          <w:rPr>
            <w:noProof/>
            <w:webHidden/>
          </w:rPr>
          <w:fldChar w:fldCharType="separate"/>
        </w:r>
        <w:r w:rsidR="006E747B">
          <w:rPr>
            <w:noProof/>
            <w:webHidden/>
          </w:rPr>
          <w:t>7</w:t>
        </w:r>
        <w:r>
          <w:rPr>
            <w:noProof/>
            <w:webHidden/>
          </w:rPr>
          <w:fldChar w:fldCharType="end"/>
        </w:r>
      </w:hyperlink>
    </w:p>
    <w:p w14:paraId="1D1C53F3"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93" w:history="1">
        <w:r w:rsidRPr="001713B1">
          <w:rPr>
            <w:rStyle w:val="Hyperlink"/>
            <w:rFonts w:cs="Tahoma"/>
            <w:noProof/>
          </w:rPr>
          <w:t>4.2.2.</w:t>
        </w:r>
        <w:r>
          <w:rPr>
            <w:rFonts w:asciiTheme="minorHAnsi" w:eastAsiaTheme="minorEastAsia" w:hAnsiTheme="minorHAnsi" w:cstheme="minorBidi"/>
            <w:i w:val="0"/>
            <w:iCs w:val="0"/>
            <w:noProof/>
            <w:sz w:val="22"/>
            <w:szCs w:val="22"/>
            <w:lang w:eastAsia="fr-CH"/>
          </w:rPr>
          <w:tab/>
        </w:r>
        <w:r w:rsidRPr="001713B1">
          <w:rPr>
            <w:rStyle w:val="Hyperlink"/>
            <w:rFonts w:cs="Tahoma"/>
            <w:noProof/>
          </w:rPr>
          <w:t>Le statut de la magistrature</w:t>
        </w:r>
        <w:r>
          <w:rPr>
            <w:noProof/>
            <w:webHidden/>
          </w:rPr>
          <w:tab/>
        </w:r>
        <w:r>
          <w:rPr>
            <w:noProof/>
            <w:webHidden/>
          </w:rPr>
          <w:fldChar w:fldCharType="begin"/>
        </w:r>
        <w:r>
          <w:rPr>
            <w:noProof/>
            <w:webHidden/>
          </w:rPr>
          <w:instrText xml:space="preserve"> PAGEREF _Toc462396093 \h </w:instrText>
        </w:r>
        <w:r>
          <w:rPr>
            <w:noProof/>
            <w:webHidden/>
          </w:rPr>
        </w:r>
        <w:r>
          <w:rPr>
            <w:noProof/>
            <w:webHidden/>
          </w:rPr>
          <w:fldChar w:fldCharType="separate"/>
        </w:r>
        <w:r w:rsidR="006E747B">
          <w:rPr>
            <w:noProof/>
            <w:webHidden/>
          </w:rPr>
          <w:t>8</w:t>
        </w:r>
        <w:r>
          <w:rPr>
            <w:noProof/>
            <w:webHidden/>
          </w:rPr>
          <w:fldChar w:fldCharType="end"/>
        </w:r>
      </w:hyperlink>
    </w:p>
    <w:p w14:paraId="62CD3FF5"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094" w:history="1">
        <w:r w:rsidRPr="001713B1">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smallCaps w:val="0"/>
            <w:noProof/>
            <w:sz w:val="22"/>
            <w:szCs w:val="22"/>
            <w:lang w:eastAsia="fr-CH"/>
          </w:rPr>
          <w:tab/>
        </w:r>
        <w:r w:rsidRPr="001713B1">
          <w:rPr>
            <w:rStyle w:val="Hyperlink"/>
            <w:noProof/>
          </w:rPr>
          <w:t>Révocations abusives de magistrats</w:t>
        </w:r>
        <w:r>
          <w:rPr>
            <w:noProof/>
            <w:webHidden/>
          </w:rPr>
          <w:tab/>
        </w:r>
        <w:r>
          <w:rPr>
            <w:noProof/>
            <w:webHidden/>
          </w:rPr>
          <w:fldChar w:fldCharType="begin"/>
        </w:r>
        <w:r>
          <w:rPr>
            <w:noProof/>
            <w:webHidden/>
          </w:rPr>
          <w:instrText xml:space="preserve"> PAGEREF _Toc462396094 \h </w:instrText>
        </w:r>
        <w:r>
          <w:rPr>
            <w:noProof/>
            <w:webHidden/>
          </w:rPr>
        </w:r>
        <w:r>
          <w:rPr>
            <w:noProof/>
            <w:webHidden/>
          </w:rPr>
          <w:fldChar w:fldCharType="separate"/>
        </w:r>
        <w:r w:rsidR="006E747B">
          <w:rPr>
            <w:noProof/>
            <w:webHidden/>
          </w:rPr>
          <w:t>9</w:t>
        </w:r>
        <w:r>
          <w:rPr>
            <w:noProof/>
            <w:webHidden/>
          </w:rPr>
          <w:fldChar w:fldCharType="end"/>
        </w:r>
      </w:hyperlink>
    </w:p>
    <w:p w14:paraId="771B7A0F"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095" w:history="1">
        <w:r w:rsidRPr="001713B1">
          <w:rPr>
            <w:rStyle w:val="Hyperlink"/>
            <w:noProof/>
          </w:rPr>
          <w:t>5.</w:t>
        </w:r>
        <w:r>
          <w:rPr>
            <w:rFonts w:asciiTheme="minorHAnsi" w:eastAsiaTheme="minorEastAsia" w:hAnsiTheme="minorHAnsi" w:cstheme="minorBidi"/>
            <w:b w:val="0"/>
            <w:bCs w:val="0"/>
            <w:caps w:val="0"/>
            <w:noProof/>
            <w:sz w:val="22"/>
            <w:szCs w:val="22"/>
            <w:lang w:eastAsia="fr-CH"/>
          </w:rPr>
          <w:tab/>
        </w:r>
        <w:r w:rsidRPr="001713B1">
          <w:rPr>
            <w:rStyle w:val="Hyperlink"/>
            <w:noProof/>
          </w:rPr>
          <w:t>Garanties fondamentales et droit au procès équitable</w:t>
        </w:r>
        <w:r>
          <w:rPr>
            <w:noProof/>
            <w:webHidden/>
          </w:rPr>
          <w:tab/>
        </w:r>
        <w:r>
          <w:rPr>
            <w:noProof/>
            <w:webHidden/>
          </w:rPr>
          <w:fldChar w:fldCharType="begin"/>
        </w:r>
        <w:r>
          <w:rPr>
            <w:noProof/>
            <w:webHidden/>
          </w:rPr>
          <w:instrText xml:space="preserve"> PAGEREF _Toc462396095 \h </w:instrText>
        </w:r>
        <w:r>
          <w:rPr>
            <w:noProof/>
            <w:webHidden/>
          </w:rPr>
        </w:r>
        <w:r>
          <w:rPr>
            <w:noProof/>
            <w:webHidden/>
          </w:rPr>
          <w:fldChar w:fldCharType="separate"/>
        </w:r>
        <w:r w:rsidR="006E747B">
          <w:rPr>
            <w:noProof/>
            <w:webHidden/>
          </w:rPr>
          <w:t>9</w:t>
        </w:r>
        <w:r>
          <w:rPr>
            <w:noProof/>
            <w:webHidden/>
          </w:rPr>
          <w:fldChar w:fldCharType="end"/>
        </w:r>
      </w:hyperlink>
    </w:p>
    <w:p w14:paraId="74268C67"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097" w:history="1">
        <w:r w:rsidRPr="001713B1">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smallCaps w:val="0"/>
            <w:noProof/>
            <w:sz w:val="22"/>
            <w:szCs w:val="22"/>
            <w:lang w:eastAsia="fr-CH"/>
          </w:rPr>
          <w:tab/>
        </w:r>
        <w:r w:rsidRPr="001713B1">
          <w:rPr>
            <w:rStyle w:val="Hyperlink"/>
            <w:noProof/>
            <w:shd w:val="clear" w:color="auto" w:fill="FFFFFF"/>
          </w:rPr>
          <w:t>Régime</w:t>
        </w:r>
        <w:r w:rsidRPr="001713B1">
          <w:rPr>
            <w:rStyle w:val="Hyperlink"/>
            <w:noProof/>
          </w:rPr>
          <w:t xml:space="preserve"> de la garde à vue</w:t>
        </w:r>
        <w:r>
          <w:rPr>
            <w:noProof/>
            <w:webHidden/>
          </w:rPr>
          <w:tab/>
        </w:r>
        <w:r>
          <w:rPr>
            <w:noProof/>
            <w:webHidden/>
          </w:rPr>
          <w:fldChar w:fldCharType="begin"/>
        </w:r>
        <w:r>
          <w:rPr>
            <w:noProof/>
            <w:webHidden/>
          </w:rPr>
          <w:instrText xml:space="preserve"> PAGEREF _Toc462396097 \h </w:instrText>
        </w:r>
        <w:r>
          <w:rPr>
            <w:noProof/>
            <w:webHidden/>
          </w:rPr>
        </w:r>
        <w:r>
          <w:rPr>
            <w:noProof/>
            <w:webHidden/>
          </w:rPr>
          <w:fldChar w:fldCharType="separate"/>
        </w:r>
        <w:r w:rsidR="006E747B">
          <w:rPr>
            <w:noProof/>
            <w:webHidden/>
          </w:rPr>
          <w:t>10</w:t>
        </w:r>
        <w:r>
          <w:rPr>
            <w:noProof/>
            <w:webHidden/>
          </w:rPr>
          <w:fldChar w:fldCharType="end"/>
        </w:r>
      </w:hyperlink>
    </w:p>
    <w:p w14:paraId="05E54E79"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98" w:history="1">
        <w:r w:rsidRPr="001713B1">
          <w:rPr>
            <w:rStyle w:val="Hyperlink"/>
            <w:rFonts w:cs="Tahoma"/>
            <w:noProof/>
          </w:rPr>
          <w:t>5.1.1.</w:t>
        </w:r>
        <w:r>
          <w:rPr>
            <w:rFonts w:asciiTheme="minorHAnsi" w:eastAsiaTheme="minorEastAsia" w:hAnsiTheme="minorHAnsi" w:cstheme="minorBidi"/>
            <w:i w:val="0"/>
            <w:iCs w:val="0"/>
            <w:noProof/>
            <w:sz w:val="22"/>
            <w:szCs w:val="22"/>
            <w:lang w:eastAsia="fr-CH"/>
          </w:rPr>
          <w:tab/>
        </w:r>
        <w:r w:rsidRPr="001713B1">
          <w:rPr>
            <w:rStyle w:val="Hyperlink"/>
            <w:rFonts w:cs="Tahoma"/>
            <w:noProof/>
          </w:rPr>
          <w:t>La réforme du régime de la garde à vue</w:t>
        </w:r>
        <w:r>
          <w:rPr>
            <w:noProof/>
            <w:webHidden/>
          </w:rPr>
          <w:tab/>
        </w:r>
        <w:r>
          <w:rPr>
            <w:noProof/>
            <w:webHidden/>
          </w:rPr>
          <w:fldChar w:fldCharType="begin"/>
        </w:r>
        <w:r>
          <w:rPr>
            <w:noProof/>
            <w:webHidden/>
          </w:rPr>
          <w:instrText xml:space="preserve"> PAGEREF _Toc462396098 \h </w:instrText>
        </w:r>
        <w:r>
          <w:rPr>
            <w:noProof/>
            <w:webHidden/>
          </w:rPr>
        </w:r>
        <w:r>
          <w:rPr>
            <w:noProof/>
            <w:webHidden/>
          </w:rPr>
          <w:fldChar w:fldCharType="separate"/>
        </w:r>
        <w:r w:rsidR="006E747B">
          <w:rPr>
            <w:noProof/>
            <w:webHidden/>
          </w:rPr>
          <w:t>10</w:t>
        </w:r>
        <w:r>
          <w:rPr>
            <w:noProof/>
            <w:webHidden/>
          </w:rPr>
          <w:fldChar w:fldCharType="end"/>
        </w:r>
      </w:hyperlink>
    </w:p>
    <w:p w14:paraId="49001F98"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099" w:history="1">
        <w:r w:rsidRPr="001713B1">
          <w:rPr>
            <w:rStyle w:val="Hyperlink"/>
            <w:rFonts w:cs="Tahoma"/>
            <w:noProof/>
          </w:rPr>
          <w:t>5.1.2.</w:t>
        </w:r>
        <w:r>
          <w:rPr>
            <w:rFonts w:asciiTheme="minorHAnsi" w:eastAsiaTheme="minorEastAsia" w:hAnsiTheme="minorHAnsi" w:cstheme="minorBidi"/>
            <w:i w:val="0"/>
            <w:iCs w:val="0"/>
            <w:noProof/>
            <w:sz w:val="22"/>
            <w:szCs w:val="22"/>
            <w:lang w:eastAsia="fr-CH"/>
          </w:rPr>
          <w:tab/>
        </w:r>
        <w:r w:rsidRPr="001713B1">
          <w:rPr>
            <w:rStyle w:val="Hyperlink"/>
            <w:rFonts w:cs="Tahoma"/>
            <w:noProof/>
          </w:rPr>
          <w:t>La durée légale de la garde à vue</w:t>
        </w:r>
        <w:r>
          <w:rPr>
            <w:noProof/>
            <w:webHidden/>
          </w:rPr>
          <w:tab/>
        </w:r>
        <w:r>
          <w:rPr>
            <w:noProof/>
            <w:webHidden/>
          </w:rPr>
          <w:fldChar w:fldCharType="begin"/>
        </w:r>
        <w:r>
          <w:rPr>
            <w:noProof/>
            <w:webHidden/>
          </w:rPr>
          <w:instrText xml:space="preserve"> PAGEREF _Toc462396099 \h </w:instrText>
        </w:r>
        <w:r>
          <w:rPr>
            <w:noProof/>
            <w:webHidden/>
          </w:rPr>
        </w:r>
        <w:r>
          <w:rPr>
            <w:noProof/>
            <w:webHidden/>
          </w:rPr>
          <w:fldChar w:fldCharType="separate"/>
        </w:r>
        <w:r w:rsidR="006E747B">
          <w:rPr>
            <w:noProof/>
            <w:webHidden/>
          </w:rPr>
          <w:t>10</w:t>
        </w:r>
        <w:r>
          <w:rPr>
            <w:noProof/>
            <w:webHidden/>
          </w:rPr>
          <w:fldChar w:fldCharType="end"/>
        </w:r>
      </w:hyperlink>
    </w:p>
    <w:p w14:paraId="24C8E76E"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00" w:history="1">
        <w:r w:rsidRPr="001713B1">
          <w:rPr>
            <w:rStyle w:val="Hyperlink"/>
            <w:rFonts w:cs="Tahoma"/>
            <w:noProof/>
          </w:rPr>
          <w:t>5.1.3.</w:t>
        </w:r>
        <w:r>
          <w:rPr>
            <w:rFonts w:asciiTheme="minorHAnsi" w:eastAsiaTheme="minorEastAsia" w:hAnsiTheme="minorHAnsi" w:cstheme="minorBidi"/>
            <w:i w:val="0"/>
            <w:iCs w:val="0"/>
            <w:noProof/>
            <w:sz w:val="22"/>
            <w:szCs w:val="22"/>
            <w:lang w:eastAsia="fr-CH"/>
          </w:rPr>
          <w:tab/>
        </w:r>
        <w:r w:rsidRPr="001713B1">
          <w:rPr>
            <w:rStyle w:val="Hyperlink"/>
            <w:rFonts w:cs="Tahoma"/>
            <w:noProof/>
          </w:rPr>
          <w:t>Le droit d’accès à un avocat</w:t>
        </w:r>
        <w:r>
          <w:rPr>
            <w:noProof/>
            <w:webHidden/>
          </w:rPr>
          <w:tab/>
        </w:r>
        <w:r>
          <w:rPr>
            <w:noProof/>
            <w:webHidden/>
          </w:rPr>
          <w:fldChar w:fldCharType="begin"/>
        </w:r>
        <w:r>
          <w:rPr>
            <w:noProof/>
            <w:webHidden/>
          </w:rPr>
          <w:instrText xml:space="preserve"> PAGEREF _Toc462396100 \h </w:instrText>
        </w:r>
        <w:r>
          <w:rPr>
            <w:noProof/>
            <w:webHidden/>
          </w:rPr>
        </w:r>
        <w:r>
          <w:rPr>
            <w:noProof/>
            <w:webHidden/>
          </w:rPr>
          <w:fldChar w:fldCharType="separate"/>
        </w:r>
        <w:r w:rsidR="006E747B">
          <w:rPr>
            <w:noProof/>
            <w:webHidden/>
          </w:rPr>
          <w:t>10</w:t>
        </w:r>
        <w:r>
          <w:rPr>
            <w:noProof/>
            <w:webHidden/>
          </w:rPr>
          <w:fldChar w:fldCharType="end"/>
        </w:r>
      </w:hyperlink>
    </w:p>
    <w:p w14:paraId="4A633F4D"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01" w:history="1">
        <w:r w:rsidRPr="001713B1">
          <w:rPr>
            <w:rStyle w:val="Hyperlink"/>
            <w:rFonts w:cs="Tahoma"/>
            <w:noProof/>
          </w:rPr>
          <w:t>5.1.4.</w:t>
        </w:r>
        <w:r>
          <w:rPr>
            <w:rFonts w:asciiTheme="minorHAnsi" w:eastAsiaTheme="minorEastAsia" w:hAnsiTheme="minorHAnsi" w:cstheme="minorBidi"/>
            <w:i w:val="0"/>
            <w:iCs w:val="0"/>
            <w:noProof/>
            <w:sz w:val="22"/>
            <w:szCs w:val="22"/>
            <w:lang w:eastAsia="fr-CH"/>
          </w:rPr>
          <w:tab/>
        </w:r>
        <w:r w:rsidRPr="001713B1">
          <w:rPr>
            <w:rStyle w:val="Hyperlink"/>
            <w:rFonts w:cs="Tahoma"/>
            <w:noProof/>
          </w:rPr>
          <w:t>Le droit à un examen médical</w:t>
        </w:r>
        <w:r>
          <w:rPr>
            <w:noProof/>
            <w:webHidden/>
          </w:rPr>
          <w:tab/>
        </w:r>
        <w:r>
          <w:rPr>
            <w:noProof/>
            <w:webHidden/>
          </w:rPr>
          <w:fldChar w:fldCharType="begin"/>
        </w:r>
        <w:r>
          <w:rPr>
            <w:noProof/>
            <w:webHidden/>
          </w:rPr>
          <w:instrText xml:space="preserve"> PAGEREF _Toc462396101 \h </w:instrText>
        </w:r>
        <w:r>
          <w:rPr>
            <w:noProof/>
            <w:webHidden/>
          </w:rPr>
        </w:r>
        <w:r>
          <w:rPr>
            <w:noProof/>
            <w:webHidden/>
          </w:rPr>
          <w:fldChar w:fldCharType="separate"/>
        </w:r>
        <w:r w:rsidR="006E747B">
          <w:rPr>
            <w:noProof/>
            <w:webHidden/>
          </w:rPr>
          <w:t>11</w:t>
        </w:r>
        <w:r>
          <w:rPr>
            <w:noProof/>
            <w:webHidden/>
          </w:rPr>
          <w:fldChar w:fldCharType="end"/>
        </w:r>
      </w:hyperlink>
    </w:p>
    <w:p w14:paraId="5C804CBB"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02" w:history="1">
        <w:r w:rsidRPr="001713B1">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smallCaps w:val="0"/>
            <w:noProof/>
            <w:sz w:val="22"/>
            <w:szCs w:val="22"/>
            <w:lang w:eastAsia="fr-CH"/>
          </w:rPr>
          <w:tab/>
        </w:r>
        <w:r w:rsidRPr="001713B1">
          <w:rPr>
            <w:rStyle w:val="Hyperlink"/>
            <w:noProof/>
          </w:rPr>
          <w:t>Recours excessif à la détention préventive</w:t>
        </w:r>
        <w:r>
          <w:rPr>
            <w:noProof/>
            <w:webHidden/>
          </w:rPr>
          <w:tab/>
        </w:r>
        <w:r>
          <w:rPr>
            <w:noProof/>
            <w:webHidden/>
          </w:rPr>
          <w:fldChar w:fldCharType="begin"/>
        </w:r>
        <w:r>
          <w:rPr>
            <w:noProof/>
            <w:webHidden/>
          </w:rPr>
          <w:instrText xml:space="preserve"> PAGEREF _Toc462396102 \h </w:instrText>
        </w:r>
        <w:r>
          <w:rPr>
            <w:noProof/>
            <w:webHidden/>
          </w:rPr>
        </w:r>
        <w:r>
          <w:rPr>
            <w:noProof/>
            <w:webHidden/>
          </w:rPr>
          <w:fldChar w:fldCharType="separate"/>
        </w:r>
        <w:r w:rsidR="006E747B">
          <w:rPr>
            <w:noProof/>
            <w:webHidden/>
          </w:rPr>
          <w:t>12</w:t>
        </w:r>
        <w:r>
          <w:rPr>
            <w:noProof/>
            <w:webHidden/>
          </w:rPr>
          <w:fldChar w:fldCharType="end"/>
        </w:r>
      </w:hyperlink>
    </w:p>
    <w:p w14:paraId="410C8105"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03" w:history="1">
        <w:r w:rsidRPr="001713B1">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smallCaps w:val="0"/>
            <w:noProof/>
            <w:sz w:val="22"/>
            <w:szCs w:val="22"/>
            <w:lang w:eastAsia="fr-CH"/>
          </w:rPr>
          <w:tab/>
        </w:r>
        <w:r w:rsidRPr="001713B1">
          <w:rPr>
            <w:rStyle w:val="Hyperlink"/>
            <w:noProof/>
          </w:rPr>
          <w:t>Procès inéquitables</w:t>
        </w:r>
        <w:r>
          <w:rPr>
            <w:noProof/>
            <w:webHidden/>
          </w:rPr>
          <w:tab/>
        </w:r>
        <w:r>
          <w:rPr>
            <w:noProof/>
            <w:webHidden/>
          </w:rPr>
          <w:fldChar w:fldCharType="begin"/>
        </w:r>
        <w:r>
          <w:rPr>
            <w:noProof/>
            <w:webHidden/>
          </w:rPr>
          <w:instrText xml:space="preserve"> PAGEREF _Toc462396103 \h </w:instrText>
        </w:r>
        <w:r>
          <w:rPr>
            <w:noProof/>
            <w:webHidden/>
          </w:rPr>
        </w:r>
        <w:r>
          <w:rPr>
            <w:noProof/>
            <w:webHidden/>
          </w:rPr>
          <w:fldChar w:fldCharType="separate"/>
        </w:r>
        <w:r w:rsidR="006E747B">
          <w:rPr>
            <w:noProof/>
            <w:webHidden/>
          </w:rPr>
          <w:t>12</w:t>
        </w:r>
        <w:r>
          <w:rPr>
            <w:noProof/>
            <w:webHidden/>
          </w:rPr>
          <w:fldChar w:fldCharType="end"/>
        </w:r>
      </w:hyperlink>
    </w:p>
    <w:p w14:paraId="17BE638D"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04" w:history="1">
        <w:r w:rsidRPr="001713B1">
          <w:rPr>
            <w:rStyle w:val="Hyperlink"/>
            <w:rFonts w:cs="Tahoma"/>
            <w:noProof/>
          </w:rPr>
          <w:t>5.3.1.</w:t>
        </w:r>
        <w:r>
          <w:rPr>
            <w:rFonts w:asciiTheme="minorHAnsi" w:eastAsiaTheme="minorEastAsia" w:hAnsiTheme="minorHAnsi" w:cstheme="minorBidi"/>
            <w:i w:val="0"/>
            <w:iCs w:val="0"/>
            <w:noProof/>
            <w:sz w:val="22"/>
            <w:szCs w:val="22"/>
            <w:lang w:eastAsia="fr-CH"/>
          </w:rPr>
          <w:tab/>
        </w:r>
        <w:r w:rsidRPr="001713B1">
          <w:rPr>
            <w:rStyle w:val="Hyperlink"/>
            <w:rFonts w:cs="Tahoma"/>
            <w:noProof/>
          </w:rPr>
          <w:t>Utilisation d’aveux obtenus sous la torture lors de procès</w:t>
        </w:r>
        <w:r>
          <w:rPr>
            <w:noProof/>
            <w:webHidden/>
          </w:rPr>
          <w:tab/>
        </w:r>
        <w:r>
          <w:rPr>
            <w:noProof/>
            <w:webHidden/>
          </w:rPr>
          <w:fldChar w:fldCharType="begin"/>
        </w:r>
        <w:r>
          <w:rPr>
            <w:noProof/>
            <w:webHidden/>
          </w:rPr>
          <w:instrText xml:space="preserve"> PAGEREF _Toc462396104 \h </w:instrText>
        </w:r>
        <w:r>
          <w:rPr>
            <w:noProof/>
            <w:webHidden/>
          </w:rPr>
        </w:r>
        <w:r>
          <w:rPr>
            <w:noProof/>
            <w:webHidden/>
          </w:rPr>
          <w:fldChar w:fldCharType="separate"/>
        </w:r>
        <w:r w:rsidR="006E747B">
          <w:rPr>
            <w:noProof/>
            <w:webHidden/>
          </w:rPr>
          <w:t>12</w:t>
        </w:r>
        <w:r>
          <w:rPr>
            <w:noProof/>
            <w:webHidden/>
          </w:rPr>
          <w:fldChar w:fldCharType="end"/>
        </w:r>
      </w:hyperlink>
    </w:p>
    <w:p w14:paraId="7DFDDDAD"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05" w:history="1">
        <w:r w:rsidRPr="001713B1">
          <w:rPr>
            <w:rStyle w:val="Hyperlink"/>
            <w:rFonts w:cs="Tahoma"/>
            <w:noProof/>
          </w:rPr>
          <w:t>5.3.2.</w:t>
        </w:r>
        <w:r>
          <w:rPr>
            <w:rFonts w:asciiTheme="minorHAnsi" w:eastAsiaTheme="minorEastAsia" w:hAnsiTheme="minorHAnsi" w:cstheme="minorBidi"/>
            <w:i w:val="0"/>
            <w:iCs w:val="0"/>
            <w:noProof/>
            <w:sz w:val="22"/>
            <w:szCs w:val="22"/>
            <w:lang w:eastAsia="fr-CH"/>
          </w:rPr>
          <w:tab/>
        </w:r>
        <w:r w:rsidRPr="001713B1">
          <w:rPr>
            <w:rStyle w:val="Hyperlink"/>
            <w:rFonts w:cs="Tahoma"/>
            <w:noProof/>
          </w:rPr>
          <w:t>Compétence des tribunaux militaires</w:t>
        </w:r>
        <w:r>
          <w:rPr>
            <w:noProof/>
            <w:webHidden/>
          </w:rPr>
          <w:tab/>
        </w:r>
        <w:r>
          <w:rPr>
            <w:noProof/>
            <w:webHidden/>
          </w:rPr>
          <w:fldChar w:fldCharType="begin"/>
        </w:r>
        <w:r>
          <w:rPr>
            <w:noProof/>
            <w:webHidden/>
          </w:rPr>
          <w:instrText xml:space="preserve"> PAGEREF _Toc462396105 \h </w:instrText>
        </w:r>
        <w:r>
          <w:rPr>
            <w:noProof/>
            <w:webHidden/>
          </w:rPr>
        </w:r>
        <w:r>
          <w:rPr>
            <w:noProof/>
            <w:webHidden/>
          </w:rPr>
          <w:fldChar w:fldCharType="separate"/>
        </w:r>
        <w:r w:rsidR="006E747B">
          <w:rPr>
            <w:noProof/>
            <w:webHidden/>
          </w:rPr>
          <w:t>13</w:t>
        </w:r>
        <w:r>
          <w:rPr>
            <w:noProof/>
            <w:webHidden/>
          </w:rPr>
          <w:fldChar w:fldCharType="end"/>
        </w:r>
      </w:hyperlink>
    </w:p>
    <w:p w14:paraId="0F2E44AA"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106" w:history="1">
        <w:r w:rsidRPr="001713B1">
          <w:rPr>
            <w:rStyle w:val="Hyperlink"/>
            <w:noProof/>
          </w:rPr>
          <w:t>6.</w:t>
        </w:r>
        <w:r>
          <w:rPr>
            <w:rFonts w:asciiTheme="minorHAnsi" w:eastAsiaTheme="minorEastAsia" w:hAnsiTheme="minorHAnsi" w:cstheme="minorBidi"/>
            <w:b w:val="0"/>
            <w:bCs w:val="0"/>
            <w:caps w:val="0"/>
            <w:noProof/>
            <w:sz w:val="22"/>
            <w:szCs w:val="22"/>
            <w:lang w:eastAsia="fr-CH"/>
          </w:rPr>
          <w:tab/>
        </w:r>
        <w:r w:rsidRPr="001713B1">
          <w:rPr>
            <w:rStyle w:val="Hyperlink"/>
            <w:noProof/>
          </w:rPr>
          <w:t>Torture et traitement cruels inhumains et dégradants</w:t>
        </w:r>
        <w:r>
          <w:rPr>
            <w:noProof/>
            <w:webHidden/>
          </w:rPr>
          <w:tab/>
        </w:r>
        <w:r>
          <w:rPr>
            <w:noProof/>
            <w:webHidden/>
          </w:rPr>
          <w:fldChar w:fldCharType="begin"/>
        </w:r>
        <w:r>
          <w:rPr>
            <w:noProof/>
            <w:webHidden/>
          </w:rPr>
          <w:instrText xml:space="preserve"> PAGEREF _Toc462396106 \h </w:instrText>
        </w:r>
        <w:r>
          <w:rPr>
            <w:noProof/>
            <w:webHidden/>
          </w:rPr>
        </w:r>
        <w:r>
          <w:rPr>
            <w:noProof/>
            <w:webHidden/>
          </w:rPr>
          <w:fldChar w:fldCharType="separate"/>
        </w:r>
        <w:r w:rsidR="006E747B">
          <w:rPr>
            <w:noProof/>
            <w:webHidden/>
          </w:rPr>
          <w:t>14</w:t>
        </w:r>
        <w:r>
          <w:rPr>
            <w:noProof/>
            <w:webHidden/>
          </w:rPr>
          <w:fldChar w:fldCharType="end"/>
        </w:r>
      </w:hyperlink>
    </w:p>
    <w:p w14:paraId="7D0CE953"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08" w:history="1">
        <w:r w:rsidRPr="001713B1">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smallCaps w:val="0"/>
            <w:noProof/>
            <w:sz w:val="22"/>
            <w:szCs w:val="22"/>
            <w:lang w:eastAsia="fr-CH"/>
          </w:rPr>
          <w:tab/>
        </w:r>
        <w:r w:rsidRPr="001713B1">
          <w:rPr>
            <w:rStyle w:val="Hyperlink"/>
            <w:noProof/>
          </w:rPr>
          <w:t>Définition et incrimination de la torture</w:t>
        </w:r>
        <w:r>
          <w:rPr>
            <w:noProof/>
            <w:webHidden/>
          </w:rPr>
          <w:tab/>
        </w:r>
        <w:r>
          <w:rPr>
            <w:noProof/>
            <w:webHidden/>
          </w:rPr>
          <w:fldChar w:fldCharType="begin"/>
        </w:r>
        <w:r>
          <w:rPr>
            <w:noProof/>
            <w:webHidden/>
          </w:rPr>
          <w:instrText xml:space="preserve"> PAGEREF _Toc462396108 \h </w:instrText>
        </w:r>
        <w:r>
          <w:rPr>
            <w:noProof/>
            <w:webHidden/>
          </w:rPr>
        </w:r>
        <w:r>
          <w:rPr>
            <w:noProof/>
            <w:webHidden/>
          </w:rPr>
          <w:fldChar w:fldCharType="separate"/>
        </w:r>
        <w:r w:rsidR="006E747B">
          <w:rPr>
            <w:noProof/>
            <w:webHidden/>
          </w:rPr>
          <w:t>14</w:t>
        </w:r>
        <w:r>
          <w:rPr>
            <w:noProof/>
            <w:webHidden/>
          </w:rPr>
          <w:fldChar w:fldCharType="end"/>
        </w:r>
      </w:hyperlink>
    </w:p>
    <w:p w14:paraId="735FFE80"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09" w:history="1">
        <w:r w:rsidRPr="001713B1">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smallCaps w:val="0"/>
            <w:noProof/>
            <w:sz w:val="22"/>
            <w:szCs w:val="22"/>
            <w:lang w:eastAsia="fr-CH"/>
          </w:rPr>
          <w:tab/>
        </w:r>
        <w:r w:rsidRPr="001713B1">
          <w:rPr>
            <w:rStyle w:val="Hyperlink"/>
            <w:noProof/>
          </w:rPr>
          <w:t>Obligation d’enquête et de poursuite des auteurs d’actes de torture</w:t>
        </w:r>
        <w:r>
          <w:rPr>
            <w:noProof/>
            <w:webHidden/>
          </w:rPr>
          <w:tab/>
        </w:r>
        <w:r>
          <w:rPr>
            <w:noProof/>
            <w:webHidden/>
          </w:rPr>
          <w:fldChar w:fldCharType="begin"/>
        </w:r>
        <w:r>
          <w:rPr>
            <w:noProof/>
            <w:webHidden/>
          </w:rPr>
          <w:instrText xml:space="preserve"> PAGEREF _Toc462396109 \h </w:instrText>
        </w:r>
        <w:r>
          <w:rPr>
            <w:noProof/>
            <w:webHidden/>
          </w:rPr>
        </w:r>
        <w:r>
          <w:rPr>
            <w:noProof/>
            <w:webHidden/>
          </w:rPr>
          <w:fldChar w:fldCharType="separate"/>
        </w:r>
        <w:r w:rsidR="006E747B">
          <w:rPr>
            <w:noProof/>
            <w:webHidden/>
          </w:rPr>
          <w:t>15</w:t>
        </w:r>
        <w:r>
          <w:rPr>
            <w:noProof/>
            <w:webHidden/>
          </w:rPr>
          <w:fldChar w:fldCharType="end"/>
        </w:r>
      </w:hyperlink>
    </w:p>
    <w:p w14:paraId="44B35D53"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10" w:history="1">
        <w:r w:rsidRPr="001713B1">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smallCaps w:val="0"/>
            <w:noProof/>
            <w:sz w:val="22"/>
            <w:szCs w:val="22"/>
            <w:lang w:eastAsia="fr-CH"/>
          </w:rPr>
          <w:tab/>
        </w:r>
        <w:r w:rsidRPr="001713B1">
          <w:rPr>
            <w:rStyle w:val="Hyperlink"/>
            <w:noProof/>
          </w:rPr>
          <w:t>Prévention de la torture et conditions de détention</w:t>
        </w:r>
        <w:r>
          <w:rPr>
            <w:noProof/>
            <w:webHidden/>
          </w:rPr>
          <w:tab/>
        </w:r>
        <w:r>
          <w:rPr>
            <w:noProof/>
            <w:webHidden/>
          </w:rPr>
          <w:fldChar w:fldCharType="begin"/>
        </w:r>
        <w:r>
          <w:rPr>
            <w:noProof/>
            <w:webHidden/>
          </w:rPr>
          <w:instrText xml:space="preserve"> PAGEREF _Toc462396110 \h </w:instrText>
        </w:r>
        <w:r>
          <w:rPr>
            <w:noProof/>
            <w:webHidden/>
          </w:rPr>
        </w:r>
        <w:r>
          <w:rPr>
            <w:noProof/>
            <w:webHidden/>
          </w:rPr>
          <w:fldChar w:fldCharType="separate"/>
        </w:r>
        <w:r w:rsidR="006E747B">
          <w:rPr>
            <w:noProof/>
            <w:webHidden/>
          </w:rPr>
          <w:t>15</w:t>
        </w:r>
        <w:r>
          <w:rPr>
            <w:noProof/>
            <w:webHidden/>
          </w:rPr>
          <w:fldChar w:fldCharType="end"/>
        </w:r>
      </w:hyperlink>
    </w:p>
    <w:p w14:paraId="3010177D"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11" w:history="1">
        <w:r w:rsidRPr="001713B1">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smallCaps w:val="0"/>
            <w:noProof/>
            <w:sz w:val="22"/>
            <w:szCs w:val="22"/>
            <w:lang w:eastAsia="fr-CH"/>
          </w:rPr>
          <w:tab/>
        </w:r>
        <w:r w:rsidRPr="001713B1">
          <w:rPr>
            <w:rStyle w:val="Hyperlink"/>
            <w:noProof/>
          </w:rPr>
          <w:t>Expertises médicales</w:t>
        </w:r>
        <w:r>
          <w:rPr>
            <w:noProof/>
            <w:webHidden/>
          </w:rPr>
          <w:tab/>
        </w:r>
        <w:r>
          <w:rPr>
            <w:noProof/>
            <w:webHidden/>
          </w:rPr>
          <w:fldChar w:fldCharType="begin"/>
        </w:r>
        <w:r>
          <w:rPr>
            <w:noProof/>
            <w:webHidden/>
          </w:rPr>
          <w:instrText xml:space="preserve"> PAGEREF _Toc462396111 \h </w:instrText>
        </w:r>
        <w:r>
          <w:rPr>
            <w:noProof/>
            <w:webHidden/>
          </w:rPr>
        </w:r>
        <w:r>
          <w:rPr>
            <w:noProof/>
            <w:webHidden/>
          </w:rPr>
          <w:fldChar w:fldCharType="separate"/>
        </w:r>
        <w:r w:rsidR="006E747B">
          <w:rPr>
            <w:noProof/>
            <w:webHidden/>
          </w:rPr>
          <w:t>16</w:t>
        </w:r>
        <w:r>
          <w:rPr>
            <w:noProof/>
            <w:webHidden/>
          </w:rPr>
          <w:fldChar w:fldCharType="end"/>
        </w:r>
      </w:hyperlink>
    </w:p>
    <w:p w14:paraId="77122A6D"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16" w:history="1">
        <w:r w:rsidRPr="001713B1">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smallCaps w:val="0"/>
            <w:noProof/>
            <w:sz w:val="22"/>
            <w:szCs w:val="22"/>
            <w:lang w:eastAsia="fr-CH"/>
          </w:rPr>
          <w:tab/>
        </w:r>
        <w:r w:rsidRPr="001713B1">
          <w:rPr>
            <w:rStyle w:val="Hyperlink"/>
            <w:noProof/>
          </w:rPr>
          <w:t>Représailles contre les victimes de torture et droit au recours effectif</w:t>
        </w:r>
        <w:r>
          <w:rPr>
            <w:noProof/>
            <w:webHidden/>
          </w:rPr>
          <w:tab/>
        </w:r>
        <w:r>
          <w:rPr>
            <w:noProof/>
            <w:webHidden/>
          </w:rPr>
          <w:fldChar w:fldCharType="begin"/>
        </w:r>
        <w:r>
          <w:rPr>
            <w:noProof/>
            <w:webHidden/>
          </w:rPr>
          <w:instrText xml:space="preserve"> PAGEREF _Toc462396116 \h </w:instrText>
        </w:r>
        <w:r>
          <w:rPr>
            <w:noProof/>
            <w:webHidden/>
          </w:rPr>
        </w:r>
        <w:r>
          <w:rPr>
            <w:noProof/>
            <w:webHidden/>
          </w:rPr>
          <w:fldChar w:fldCharType="separate"/>
        </w:r>
        <w:r w:rsidR="006E747B">
          <w:rPr>
            <w:noProof/>
            <w:webHidden/>
          </w:rPr>
          <w:t>17</w:t>
        </w:r>
        <w:r>
          <w:rPr>
            <w:noProof/>
            <w:webHidden/>
          </w:rPr>
          <w:fldChar w:fldCharType="end"/>
        </w:r>
      </w:hyperlink>
    </w:p>
    <w:p w14:paraId="0EF29C86"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117" w:history="1">
        <w:r w:rsidRPr="001713B1">
          <w:rPr>
            <w:rStyle w:val="Hyperlink"/>
            <w:noProof/>
          </w:rPr>
          <w:t>7.</w:t>
        </w:r>
        <w:r>
          <w:rPr>
            <w:rFonts w:asciiTheme="minorHAnsi" w:eastAsiaTheme="minorEastAsia" w:hAnsiTheme="minorHAnsi" w:cstheme="minorBidi"/>
            <w:b w:val="0"/>
            <w:bCs w:val="0"/>
            <w:caps w:val="0"/>
            <w:noProof/>
            <w:sz w:val="22"/>
            <w:szCs w:val="22"/>
            <w:lang w:eastAsia="fr-CH"/>
          </w:rPr>
          <w:tab/>
        </w:r>
        <w:r w:rsidRPr="001713B1">
          <w:rPr>
            <w:rStyle w:val="Hyperlink"/>
            <w:noProof/>
          </w:rPr>
          <w:t>Disparitions forcées</w:t>
        </w:r>
        <w:r>
          <w:rPr>
            <w:noProof/>
            <w:webHidden/>
          </w:rPr>
          <w:tab/>
        </w:r>
        <w:r>
          <w:rPr>
            <w:noProof/>
            <w:webHidden/>
          </w:rPr>
          <w:fldChar w:fldCharType="begin"/>
        </w:r>
        <w:r>
          <w:rPr>
            <w:noProof/>
            <w:webHidden/>
          </w:rPr>
          <w:instrText xml:space="preserve"> PAGEREF _Toc462396117 \h </w:instrText>
        </w:r>
        <w:r>
          <w:rPr>
            <w:noProof/>
            <w:webHidden/>
          </w:rPr>
        </w:r>
        <w:r>
          <w:rPr>
            <w:noProof/>
            <w:webHidden/>
          </w:rPr>
          <w:fldChar w:fldCharType="separate"/>
        </w:r>
        <w:r w:rsidR="006E747B">
          <w:rPr>
            <w:noProof/>
            <w:webHidden/>
          </w:rPr>
          <w:t>17</w:t>
        </w:r>
        <w:r>
          <w:rPr>
            <w:noProof/>
            <w:webHidden/>
          </w:rPr>
          <w:fldChar w:fldCharType="end"/>
        </w:r>
      </w:hyperlink>
    </w:p>
    <w:p w14:paraId="0C6B7D26"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118" w:history="1">
        <w:r w:rsidRPr="001713B1">
          <w:rPr>
            <w:rStyle w:val="Hyperlink"/>
            <w:noProof/>
          </w:rPr>
          <w:t>8.</w:t>
        </w:r>
        <w:r>
          <w:rPr>
            <w:rFonts w:asciiTheme="minorHAnsi" w:eastAsiaTheme="minorEastAsia" w:hAnsiTheme="minorHAnsi" w:cstheme="minorBidi"/>
            <w:b w:val="0"/>
            <w:bCs w:val="0"/>
            <w:caps w:val="0"/>
            <w:noProof/>
            <w:sz w:val="22"/>
            <w:szCs w:val="22"/>
            <w:lang w:eastAsia="fr-CH"/>
          </w:rPr>
          <w:tab/>
        </w:r>
        <w:r w:rsidRPr="001713B1">
          <w:rPr>
            <w:rStyle w:val="Hyperlink"/>
            <w:noProof/>
          </w:rPr>
          <w:t>Peine de mort</w:t>
        </w:r>
        <w:r>
          <w:rPr>
            <w:noProof/>
            <w:webHidden/>
          </w:rPr>
          <w:tab/>
        </w:r>
        <w:r>
          <w:rPr>
            <w:noProof/>
            <w:webHidden/>
          </w:rPr>
          <w:fldChar w:fldCharType="begin"/>
        </w:r>
        <w:r>
          <w:rPr>
            <w:noProof/>
            <w:webHidden/>
          </w:rPr>
          <w:instrText xml:space="preserve"> PAGEREF _Toc462396118 \h </w:instrText>
        </w:r>
        <w:r>
          <w:rPr>
            <w:noProof/>
            <w:webHidden/>
          </w:rPr>
        </w:r>
        <w:r>
          <w:rPr>
            <w:noProof/>
            <w:webHidden/>
          </w:rPr>
          <w:fldChar w:fldCharType="separate"/>
        </w:r>
        <w:r w:rsidR="006E747B">
          <w:rPr>
            <w:noProof/>
            <w:webHidden/>
          </w:rPr>
          <w:t>19</w:t>
        </w:r>
        <w:r>
          <w:rPr>
            <w:noProof/>
            <w:webHidden/>
          </w:rPr>
          <w:fldChar w:fldCharType="end"/>
        </w:r>
      </w:hyperlink>
    </w:p>
    <w:p w14:paraId="12ACE4B0" w14:textId="77777777" w:rsidR="00214E10" w:rsidRDefault="00214E10">
      <w:pPr>
        <w:pStyle w:val="TOC1"/>
        <w:tabs>
          <w:tab w:val="left" w:pos="400"/>
          <w:tab w:val="right" w:leader="dot" w:pos="9062"/>
        </w:tabs>
        <w:rPr>
          <w:rFonts w:asciiTheme="minorHAnsi" w:eastAsiaTheme="minorEastAsia" w:hAnsiTheme="minorHAnsi" w:cstheme="minorBidi"/>
          <w:b w:val="0"/>
          <w:bCs w:val="0"/>
          <w:caps w:val="0"/>
          <w:noProof/>
          <w:sz w:val="22"/>
          <w:szCs w:val="22"/>
          <w:lang w:eastAsia="fr-CH"/>
        </w:rPr>
      </w:pPr>
      <w:hyperlink w:anchor="_Toc462396119" w:history="1">
        <w:r w:rsidRPr="001713B1">
          <w:rPr>
            <w:rStyle w:val="Hyperlink"/>
            <w:noProof/>
          </w:rPr>
          <w:t>9.</w:t>
        </w:r>
        <w:r>
          <w:rPr>
            <w:rFonts w:asciiTheme="minorHAnsi" w:eastAsiaTheme="minorEastAsia" w:hAnsiTheme="minorHAnsi" w:cstheme="minorBidi"/>
            <w:b w:val="0"/>
            <w:bCs w:val="0"/>
            <w:caps w:val="0"/>
            <w:noProof/>
            <w:sz w:val="22"/>
            <w:szCs w:val="22"/>
            <w:lang w:eastAsia="fr-CH"/>
          </w:rPr>
          <w:tab/>
        </w:r>
        <w:r w:rsidRPr="001713B1">
          <w:rPr>
            <w:rStyle w:val="Hyperlink"/>
            <w:noProof/>
          </w:rPr>
          <w:t>Droits de l’homme dans la lutte contre le terrorisme</w:t>
        </w:r>
        <w:r>
          <w:rPr>
            <w:noProof/>
            <w:webHidden/>
          </w:rPr>
          <w:tab/>
        </w:r>
        <w:r>
          <w:rPr>
            <w:noProof/>
            <w:webHidden/>
          </w:rPr>
          <w:fldChar w:fldCharType="begin"/>
        </w:r>
        <w:r>
          <w:rPr>
            <w:noProof/>
            <w:webHidden/>
          </w:rPr>
          <w:instrText xml:space="preserve"> PAGEREF _Toc462396119 \h </w:instrText>
        </w:r>
        <w:r>
          <w:rPr>
            <w:noProof/>
            <w:webHidden/>
          </w:rPr>
        </w:r>
        <w:r>
          <w:rPr>
            <w:noProof/>
            <w:webHidden/>
          </w:rPr>
          <w:fldChar w:fldCharType="separate"/>
        </w:r>
        <w:r w:rsidR="006E747B">
          <w:rPr>
            <w:noProof/>
            <w:webHidden/>
          </w:rPr>
          <w:t>19</w:t>
        </w:r>
        <w:r>
          <w:rPr>
            <w:noProof/>
            <w:webHidden/>
          </w:rPr>
          <w:fldChar w:fldCharType="end"/>
        </w:r>
      </w:hyperlink>
    </w:p>
    <w:p w14:paraId="0DCDEB2A"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23" w:history="1">
        <w:r w:rsidRPr="001713B1">
          <w:rPr>
            <w:rStyle w:val="Hyperlink"/>
            <w:noProof/>
            <w14:scene3d>
              <w14:camera w14:prst="orthographicFront"/>
              <w14:lightRig w14:rig="threePt" w14:dir="t">
                <w14:rot w14:lat="0" w14:lon="0" w14:rev="0"/>
              </w14:lightRig>
            </w14:scene3d>
          </w:rPr>
          <w:t>9.1.</w:t>
        </w:r>
        <w:r>
          <w:rPr>
            <w:rFonts w:asciiTheme="minorHAnsi" w:eastAsiaTheme="minorEastAsia" w:hAnsiTheme="minorHAnsi" w:cstheme="minorBidi"/>
            <w:smallCaps w:val="0"/>
            <w:noProof/>
            <w:sz w:val="22"/>
            <w:szCs w:val="22"/>
            <w:lang w:eastAsia="fr-CH"/>
          </w:rPr>
          <w:tab/>
        </w:r>
        <w:r w:rsidRPr="001713B1">
          <w:rPr>
            <w:rStyle w:val="Hyperlink"/>
            <w:noProof/>
          </w:rPr>
          <w:t>Cadre juridique</w:t>
        </w:r>
        <w:r>
          <w:rPr>
            <w:noProof/>
            <w:webHidden/>
          </w:rPr>
          <w:tab/>
        </w:r>
        <w:r>
          <w:rPr>
            <w:noProof/>
            <w:webHidden/>
          </w:rPr>
          <w:fldChar w:fldCharType="begin"/>
        </w:r>
        <w:r>
          <w:rPr>
            <w:noProof/>
            <w:webHidden/>
          </w:rPr>
          <w:instrText xml:space="preserve"> PAGEREF _Toc462396123 \h </w:instrText>
        </w:r>
        <w:r>
          <w:rPr>
            <w:noProof/>
            <w:webHidden/>
          </w:rPr>
        </w:r>
        <w:r>
          <w:rPr>
            <w:noProof/>
            <w:webHidden/>
          </w:rPr>
          <w:fldChar w:fldCharType="separate"/>
        </w:r>
        <w:r w:rsidR="006E747B">
          <w:rPr>
            <w:noProof/>
            <w:webHidden/>
          </w:rPr>
          <w:t>19</w:t>
        </w:r>
        <w:r>
          <w:rPr>
            <w:noProof/>
            <w:webHidden/>
          </w:rPr>
          <w:fldChar w:fldCharType="end"/>
        </w:r>
      </w:hyperlink>
    </w:p>
    <w:p w14:paraId="2FC358B7"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24" w:history="1">
        <w:r w:rsidRPr="001713B1">
          <w:rPr>
            <w:rStyle w:val="Hyperlink"/>
            <w:noProof/>
            <w14:scene3d>
              <w14:camera w14:prst="orthographicFront"/>
              <w14:lightRig w14:rig="threePt" w14:dir="t">
                <w14:rot w14:lat="0" w14:lon="0" w14:rev="0"/>
              </w14:lightRig>
            </w14:scene3d>
          </w:rPr>
          <w:t>9.2.</w:t>
        </w:r>
        <w:r>
          <w:rPr>
            <w:rFonts w:asciiTheme="minorHAnsi" w:eastAsiaTheme="minorEastAsia" w:hAnsiTheme="minorHAnsi" w:cstheme="minorBidi"/>
            <w:smallCaps w:val="0"/>
            <w:noProof/>
            <w:sz w:val="22"/>
            <w:szCs w:val="22"/>
            <w:lang w:eastAsia="fr-CH"/>
          </w:rPr>
          <w:tab/>
        </w:r>
        <w:r w:rsidRPr="001713B1">
          <w:rPr>
            <w:rStyle w:val="Hyperlink"/>
            <w:noProof/>
          </w:rPr>
          <w:t>Garanties fondamentales et droit au procès équitable</w:t>
        </w:r>
        <w:r>
          <w:rPr>
            <w:noProof/>
            <w:webHidden/>
          </w:rPr>
          <w:tab/>
        </w:r>
        <w:r>
          <w:rPr>
            <w:noProof/>
            <w:webHidden/>
          </w:rPr>
          <w:fldChar w:fldCharType="begin"/>
        </w:r>
        <w:r>
          <w:rPr>
            <w:noProof/>
            <w:webHidden/>
          </w:rPr>
          <w:instrText xml:space="preserve"> PAGEREF _Toc462396124 \h </w:instrText>
        </w:r>
        <w:r>
          <w:rPr>
            <w:noProof/>
            <w:webHidden/>
          </w:rPr>
        </w:r>
        <w:r>
          <w:rPr>
            <w:noProof/>
            <w:webHidden/>
          </w:rPr>
          <w:fldChar w:fldCharType="separate"/>
        </w:r>
        <w:r w:rsidR="006E747B">
          <w:rPr>
            <w:noProof/>
            <w:webHidden/>
          </w:rPr>
          <w:t>20</w:t>
        </w:r>
        <w:r>
          <w:rPr>
            <w:noProof/>
            <w:webHidden/>
          </w:rPr>
          <w:fldChar w:fldCharType="end"/>
        </w:r>
      </w:hyperlink>
    </w:p>
    <w:p w14:paraId="742F2FA1"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25" w:history="1">
        <w:r w:rsidRPr="001713B1">
          <w:rPr>
            <w:rStyle w:val="Hyperlink"/>
            <w:rFonts w:cs="Tahoma"/>
            <w:noProof/>
          </w:rPr>
          <w:t>9.2.1.</w:t>
        </w:r>
        <w:r>
          <w:rPr>
            <w:rFonts w:asciiTheme="minorHAnsi" w:eastAsiaTheme="minorEastAsia" w:hAnsiTheme="minorHAnsi" w:cstheme="minorBidi"/>
            <w:i w:val="0"/>
            <w:iCs w:val="0"/>
            <w:noProof/>
            <w:sz w:val="22"/>
            <w:szCs w:val="22"/>
            <w:lang w:eastAsia="fr-CH"/>
          </w:rPr>
          <w:tab/>
        </w:r>
        <w:r w:rsidRPr="001713B1">
          <w:rPr>
            <w:rStyle w:val="Hyperlink"/>
            <w:rFonts w:cs="Tahoma"/>
            <w:noProof/>
          </w:rPr>
          <w:t>Durée légale de la garde à vue en matière de terrorisme</w:t>
        </w:r>
        <w:r>
          <w:rPr>
            <w:noProof/>
            <w:webHidden/>
          </w:rPr>
          <w:tab/>
        </w:r>
        <w:r>
          <w:rPr>
            <w:noProof/>
            <w:webHidden/>
          </w:rPr>
          <w:fldChar w:fldCharType="begin"/>
        </w:r>
        <w:r>
          <w:rPr>
            <w:noProof/>
            <w:webHidden/>
          </w:rPr>
          <w:instrText xml:space="preserve"> PAGEREF _Toc462396125 \h </w:instrText>
        </w:r>
        <w:r>
          <w:rPr>
            <w:noProof/>
            <w:webHidden/>
          </w:rPr>
        </w:r>
        <w:r>
          <w:rPr>
            <w:noProof/>
            <w:webHidden/>
          </w:rPr>
          <w:fldChar w:fldCharType="separate"/>
        </w:r>
        <w:r w:rsidR="006E747B">
          <w:rPr>
            <w:noProof/>
            <w:webHidden/>
          </w:rPr>
          <w:t>20</w:t>
        </w:r>
        <w:r>
          <w:rPr>
            <w:noProof/>
            <w:webHidden/>
          </w:rPr>
          <w:fldChar w:fldCharType="end"/>
        </w:r>
      </w:hyperlink>
    </w:p>
    <w:p w14:paraId="51433ACF"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26" w:history="1">
        <w:r w:rsidRPr="001713B1">
          <w:rPr>
            <w:rStyle w:val="Hyperlink"/>
            <w:rFonts w:cs="Tahoma"/>
            <w:noProof/>
          </w:rPr>
          <w:t>9.2.2.</w:t>
        </w:r>
        <w:r>
          <w:rPr>
            <w:rFonts w:asciiTheme="minorHAnsi" w:eastAsiaTheme="minorEastAsia" w:hAnsiTheme="minorHAnsi" w:cstheme="minorBidi"/>
            <w:i w:val="0"/>
            <w:iCs w:val="0"/>
            <w:noProof/>
            <w:sz w:val="22"/>
            <w:szCs w:val="22"/>
            <w:lang w:eastAsia="fr-CH"/>
          </w:rPr>
          <w:tab/>
        </w:r>
        <w:r w:rsidRPr="001713B1">
          <w:rPr>
            <w:rStyle w:val="Hyperlink"/>
            <w:rFonts w:cs="Tahoma"/>
            <w:noProof/>
          </w:rPr>
          <w:t>Détention au secret</w:t>
        </w:r>
        <w:r>
          <w:rPr>
            <w:noProof/>
            <w:webHidden/>
          </w:rPr>
          <w:tab/>
        </w:r>
        <w:r>
          <w:rPr>
            <w:noProof/>
            <w:webHidden/>
          </w:rPr>
          <w:fldChar w:fldCharType="begin"/>
        </w:r>
        <w:r>
          <w:rPr>
            <w:noProof/>
            <w:webHidden/>
          </w:rPr>
          <w:instrText xml:space="preserve"> PAGEREF _Toc462396126 \h </w:instrText>
        </w:r>
        <w:r>
          <w:rPr>
            <w:noProof/>
            <w:webHidden/>
          </w:rPr>
        </w:r>
        <w:r>
          <w:rPr>
            <w:noProof/>
            <w:webHidden/>
          </w:rPr>
          <w:fldChar w:fldCharType="separate"/>
        </w:r>
        <w:r w:rsidR="006E747B">
          <w:rPr>
            <w:noProof/>
            <w:webHidden/>
          </w:rPr>
          <w:t>21</w:t>
        </w:r>
        <w:r>
          <w:rPr>
            <w:noProof/>
            <w:webHidden/>
          </w:rPr>
          <w:fldChar w:fldCharType="end"/>
        </w:r>
      </w:hyperlink>
    </w:p>
    <w:p w14:paraId="1B33F2D7" w14:textId="77777777" w:rsidR="00214E10" w:rsidRDefault="00214E10">
      <w:pPr>
        <w:pStyle w:val="TOC2"/>
        <w:tabs>
          <w:tab w:val="left" w:pos="800"/>
          <w:tab w:val="right" w:leader="dot" w:pos="9062"/>
        </w:tabs>
        <w:rPr>
          <w:rFonts w:asciiTheme="minorHAnsi" w:eastAsiaTheme="minorEastAsia" w:hAnsiTheme="minorHAnsi" w:cstheme="minorBidi"/>
          <w:smallCaps w:val="0"/>
          <w:noProof/>
          <w:sz w:val="22"/>
          <w:szCs w:val="22"/>
          <w:lang w:eastAsia="fr-CH"/>
        </w:rPr>
      </w:pPr>
      <w:hyperlink w:anchor="_Toc462396127" w:history="1">
        <w:r w:rsidRPr="001713B1">
          <w:rPr>
            <w:rStyle w:val="Hyperlink"/>
            <w:noProof/>
            <w14:scene3d>
              <w14:camera w14:prst="orthographicFront"/>
              <w14:lightRig w14:rig="threePt" w14:dir="t">
                <w14:rot w14:lat="0" w14:lon="0" w14:rev="0"/>
              </w14:lightRig>
            </w14:scene3d>
          </w:rPr>
          <w:t>9.3.</w:t>
        </w:r>
        <w:r>
          <w:rPr>
            <w:rFonts w:asciiTheme="minorHAnsi" w:eastAsiaTheme="minorEastAsia" w:hAnsiTheme="minorHAnsi" w:cstheme="minorBidi"/>
            <w:smallCaps w:val="0"/>
            <w:noProof/>
            <w:sz w:val="22"/>
            <w:szCs w:val="22"/>
            <w:lang w:eastAsia="fr-CH"/>
          </w:rPr>
          <w:tab/>
        </w:r>
        <w:r w:rsidRPr="001713B1">
          <w:rPr>
            <w:rStyle w:val="Hyperlink"/>
            <w:noProof/>
          </w:rPr>
          <w:t>Torture et lutte antiterroriste</w:t>
        </w:r>
        <w:r>
          <w:rPr>
            <w:noProof/>
            <w:webHidden/>
          </w:rPr>
          <w:tab/>
        </w:r>
        <w:r>
          <w:rPr>
            <w:noProof/>
            <w:webHidden/>
          </w:rPr>
          <w:fldChar w:fldCharType="begin"/>
        </w:r>
        <w:r>
          <w:rPr>
            <w:noProof/>
            <w:webHidden/>
          </w:rPr>
          <w:instrText xml:space="preserve"> PAGEREF _Toc462396127 \h </w:instrText>
        </w:r>
        <w:r>
          <w:rPr>
            <w:noProof/>
            <w:webHidden/>
          </w:rPr>
        </w:r>
        <w:r>
          <w:rPr>
            <w:noProof/>
            <w:webHidden/>
          </w:rPr>
          <w:fldChar w:fldCharType="separate"/>
        </w:r>
        <w:r w:rsidR="006E747B">
          <w:rPr>
            <w:noProof/>
            <w:webHidden/>
          </w:rPr>
          <w:t>21</w:t>
        </w:r>
        <w:r>
          <w:rPr>
            <w:noProof/>
            <w:webHidden/>
          </w:rPr>
          <w:fldChar w:fldCharType="end"/>
        </w:r>
      </w:hyperlink>
    </w:p>
    <w:p w14:paraId="32F7DB34"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28" w:history="1">
        <w:r w:rsidRPr="001713B1">
          <w:rPr>
            <w:rStyle w:val="Hyperlink"/>
            <w:noProof/>
          </w:rPr>
          <w:t>9.3.1.</w:t>
        </w:r>
        <w:r>
          <w:rPr>
            <w:rFonts w:asciiTheme="minorHAnsi" w:eastAsiaTheme="minorEastAsia" w:hAnsiTheme="minorHAnsi" w:cstheme="minorBidi"/>
            <w:i w:val="0"/>
            <w:iCs w:val="0"/>
            <w:noProof/>
            <w:sz w:val="22"/>
            <w:szCs w:val="22"/>
            <w:lang w:eastAsia="fr-CH"/>
          </w:rPr>
          <w:tab/>
        </w:r>
        <w:r w:rsidRPr="001713B1">
          <w:rPr>
            <w:rStyle w:val="Hyperlink"/>
            <w:noProof/>
          </w:rPr>
          <w:t>La pratique de la torture</w:t>
        </w:r>
        <w:r>
          <w:rPr>
            <w:noProof/>
            <w:webHidden/>
          </w:rPr>
          <w:tab/>
        </w:r>
        <w:r>
          <w:rPr>
            <w:noProof/>
            <w:webHidden/>
          </w:rPr>
          <w:fldChar w:fldCharType="begin"/>
        </w:r>
        <w:r>
          <w:rPr>
            <w:noProof/>
            <w:webHidden/>
          </w:rPr>
          <w:instrText xml:space="preserve"> PAGEREF _Toc462396128 \h </w:instrText>
        </w:r>
        <w:r>
          <w:rPr>
            <w:noProof/>
            <w:webHidden/>
          </w:rPr>
        </w:r>
        <w:r>
          <w:rPr>
            <w:noProof/>
            <w:webHidden/>
          </w:rPr>
          <w:fldChar w:fldCharType="separate"/>
        </w:r>
        <w:r w:rsidR="006E747B">
          <w:rPr>
            <w:noProof/>
            <w:webHidden/>
          </w:rPr>
          <w:t>21</w:t>
        </w:r>
        <w:r>
          <w:rPr>
            <w:noProof/>
            <w:webHidden/>
          </w:rPr>
          <w:fldChar w:fldCharType="end"/>
        </w:r>
      </w:hyperlink>
    </w:p>
    <w:p w14:paraId="69A11D19"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29" w:history="1">
        <w:r w:rsidRPr="001713B1">
          <w:rPr>
            <w:rStyle w:val="Hyperlink"/>
            <w:noProof/>
          </w:rPr>
          <w:t>9.3.2.</w:t>
        </w:r>
        <w:r>
          <w:rPr>
            <w:rFonts w:asciiTheme="minorHAnsi" w:eastAsiaTheme="minorEastAsia" w:hAnsiTheme="minorHAnsi" w:cstheme="minorBidi"/>
            <w:i w:val="0"/>
            <w:iCs w:val="0"/>
            <w:noProof/>
            <w:sz w:val="22"/>
            <w:szCs w:val="22"/>
            <w:lang w:eastAsia="fr-CH"/>
          </w:rPr>
          <w:tab/>
        </w:r>
        <w:r w:rsidRPr="001713B1">
          <w:rPr>
            <w:rStyle w:val="Hyperlink"/>
            <w:noProof/>
          </w:rPr>
          <w:t>Traitements cruels, inhumains et dégradants en détention</w:t>
        </w:r>
        <w:r>
          <w:rPr>
            <w:noProof/>
            <w:webHidden/>
          </w:rPr>
          <w:tab/>
        </w:r>
        <w:r>
          <w:rPr>
            <w:noProof/>
            <w:webHidden/>
          </w:rPr>
          <w:fldChar w:fldCharType="begin"/>
        </w:r>
        <w:r>
          <w:rPr>
            <w:noProof/>
            <w:webHidden/>
          </w:rPr>
          <w:instrText xml:space="preserve"> PAGEREF _Toc462396129 \h </w:instrText>
        </w:r>
        <w:r>
          <w:rPr>
            <w:noProof/>
            <w:webHidden/>
          </w:rPr>
        </w:r>
        <w:r>
          <w:rPr>
            <w:noProof/>
            <w:webHidden/>
          </w:rPr>
          <w:fldChar w:fldCharType="separate"/>
        </w:r>
        <w:r w:rsidR="006E747B">
          <w:rPr>
            <w:noProof/>
            <w:webHidden/>
          </w:rPr>
          <w:t>22</w:t>
        </w:r>
        <w:r>
          <w:rPr>
            <w:noProof/>
            <w:webHidden/>
          </w:rPr>
          <w:fldChar w:fldCharType="end"/>
        </w:r>
      </w:hyperlink>
    </w:p>
    <w:p w14:paraId="64E645A9" w14:textId="77777777" w:rsidR="00214E10" w:rsidRDefault="00214E10">
      <w:pPr>
        <w:pStyle w:val="TOC1"/>
        <w:tabs>
          <w:tab w:val="left" w:pos="600"/>
          <w:tab w:val="right" w:leader="dot" w:pos="9062"/>
        </w:tabs>
        <w:rPr>
          <w:rFonts w:asciiTheme="minorHAnsi" w:eastAsiaTheme="minorEastAsia" w:hAnsiTheme="minorHAnsi" w:cstheme="minorBidi"/>
          <w:b w:val="0"/>
          <w:bCs w:val="0"/>
          <w:caps w:val="0"/>
          <w:noProof/>
          <w:sz w:val="22"/>
          <w:szCs w:val="22"/>
          <w:lang w:eastAsia="fr-CH"/>
        </w:rPr>
      </w:pPr>
      <w:hyperlink w:anchor="_Toc462396130" w:history="1">
        <w:r w:rsidRPr="001713B1">
          <w:rPr>
            <w:rStyle w:val="Hyperlink"/>
            <w:noProof/>
          </w:rPr>
          <w:t>10.</w:t>
        </w:r>
        <w:r>
          <w:rPr>
            <w:rFonts w:asciiTheme="minorHAnsi" w:eastAsiaTheme="minorEastAsia" w:hAnsiTheme="minorHAnsi" w:cstheme="minorBidi"/>
            <w:b w:val="0"/>
            <w:bCs w:val="0"/>
            <w:caps w:val="0"/>
            <w:noProof/>
            <w:sz w:val="22"/>
            <w:szCs w:val="22"/>
            <w:lang w:eastAsia="fr-CH"/>
          </w:rPr>
          <w:tab/>
        </w:r>
        <w:r w:rsidRPr="001713B1">
          <w:rPr>
            <w:rStyle w:val="Hyperlink"/>
            <w:noProof/>
          </w:rPr>
          <w:t>Liberté d’opinion et d’expression, liberté d’association et de réunion pacifique</w:t>
        </w:r>
        <w:r>
          <w:rPr>
            <w:noProof/>
            <w:webHidden/>
          </w:rPr>
          <w:tab/>
        </w:r>
        <w:r>
          <w:rPr>
            <w:noProof/>
            <w:webHidden/>
          </w:rPr>
          <w:fldChar w:fldCharType="begin"/>
        </w:r>
        <w:r>
          <w:rPr>
            <w:noProof/>
            <w:webHidden/>
          </w:rPr>
          <w:instrText xml:space="preserve"> PAGEREF _Toc462396130 \h </w:instrText>
        </w:r>
        <w:r>
          <w:rPr>
            <w:noProof/>
            <w:webHidden/>
          </w:rPr>
        </w:r>
        <w:r>
          <w:rPr>
            <w:noProof/>
            <w:webHidden/>
          </w:rPr>
          <w:fldChar w:fldCharType="separate"/>
        </w:r>
        <w:r w:rsidR="006E747B">
          <w:rPr>
            <w:noProof/>
            <w:webHidden/>
          </w:rPr>
          <w:t>22</w:t>
        </w:r>
        <w:r>
          <w:rPr>
            <w:noProof/>
            <w:webHidden/>
          </w:rPr>
          <w:fldChar w:fldCharType="end"/>
        </w:r>
      </w:hyperlink>
    </w:p>
    <w:p w14:paraId="710B4EB7" w14:textId="77777777" w:rsidR="00214E10" w:rsidRDefault="00214E10">
      <w:pPr>
        <w:pStyle w:val="TOC2"/>
        <w:tabs>
          <w:tab w:val="left" w:pos="1000"/>
          <w:tab w:val="right" w:leader="dot" w:pos="9062"/>
        </w:tabs>
        <w:rPr>
          <w:rFonts w:asciiTheme="minorHAnsi" w:eastAsiaTheme="minorEastAsia" w:hAnsiTheme="minorHAnsi" w:cstheme="minorBidi"/>
          <w:smallCaps w:val="0"/>
          <w:noProof/>
          <w:sz w:val="22"/>
          <w:szCs w:val="22"/>
          <w:lang w:eastAsia="fr-CH"/>
        </w:rPr>
      </w:pPr>
      <w:hyperlink w:anchor="_Toc462396132" w:history="1">
        <w:r w:rsidRPr="001713B1">
          <w:rPr>
            <w:rStyle w:val="Hyperlink"/>
            <w:noProof/>
            <w14:scene3d>
              <w14:camera w14:prst="orthographicFront"/>
              <w14:lightRig w14:rig="threePt" w14:dir="t">
                <w14:rot w14:lat="0" w14:lon="0" w14:rev="0"/>
              </w14:lightRig>
            </w14:scene3d>
          </w:rPr>
          <w:t>10.1.</w:t>
        </w:r>
        <w:r>
          <w:rPr>
            <w:rFonts w:asciiTheme="minorHAnsi" w:eastAsiaTheme="minorEastAsia" w:hAnsiTheme="minorHAnsi" w:cstheme="minorBidi"/>
            <w:smallCaps w:val="0"/>
            <w:noProof/>
            <w:sz w:val="22"/>
            <w:szCs w:val="22"/>
            <w:lang w:eastAsia="fr-CH"/>
          </w:rPr>
          <w:tab/>
        </w:r>
        <w:r w:rsidRPr="001713B1">
          <w:rPr>
            <w:rStyle w:val="Hyperlink"/>
            <w:noProof/>
          </w:rPr>
          <w:t>Liberté d’opinion et d’expression</w:t>
        </w:r>
        <w:r>
          <w:rPr>
            <w:noProof/>
            <w:webHidden/>
          </w:rPr>
          <w:tab/>
        </w:r>
        <w:r>
          <w:rPr>
            <w:noProof/>
            <w:webHidden/>
          </w:rPr>
          <w:fldChar w:fldCharType="begin"/>
        </w:r>
        <w:r>
          <w:rPr>
            <w:noProof/>
            <w:webHidden/>
          </w:rPr>
          <w:instrText xml:space="preserve"> PAGEREF _Toc462396132 \h </w:instrText>
        </w:r>
        <w:r>
          <w:rPr>
            <w:noProof/>
            <w:webHidden/>
          </w:rPr>
        </w:r>
        <w:r>
          <w:rPr>
            <w:noProof/>
            <w:webHidden/>
          </w:rPr>
          <w:fldChar w:fldCharType="separate"/>
        </w:r>
        <w:r w:rsidR="006E747B">
          <w:rPr>
            <w:noProof/>
            <w:webHidden/>
          </w:rPr>
          <w:t>23</w:t>
        </w:r>
        <w:r>
          <w:rPr>
            <w:noProof/>
            <w:webHidden/>
          </w:rPr>
          <w:fldChar w:fldCharType="end"/>
        </w:r>
      </w:hyperlink>
    </w:p>
    <w:p w14:paraId="59D7B904"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33" w:history="1">
        <w:r w:rsidRPr="001713B1">
          <w:rPr>
            <w:rStyle w:val="Hyperlink"/>
            <w:rFonts w:cs="Tahoma"/>
            <w:noProof/>
          </w:rPr>
          <w:t>10.1.1.</w:t>
        </w:r>
        <w:r>
          <w:rPr>
            <w:rFonts w:asciiTheme="minorHAnsi" w:eastAsiaTheme="minorEastAsia" w:hAnsiTheme="minorHAnsi" w:cstheme="minorBidi"/>
            <w:i w:val="0"/>
            <w:iCs w:val="0"/>
            <w:noProof/>
            <w:sz w:val="22"/>
            <w:szCs w:val="22"/>
            <w:lang w:eastAsia="fr-CH"/>
          </w:rPr>
          <w:tab/>
        </w:r>
        <w:r w:rsidRPr="001713B1">
          <w:rPr>
            <w:rStyle w:val="Hyperlink"/>
            <w:rFonts w:cs="Tahoma"/>
            <w:noProof/>
          </w:rPr>
          <w:t>Violations du droit à la liberté d’expression et à la liberté de la presse</w:t>
        </w:r>
        <w:r>
          <w:rPr>
            <w:noProof/>
            <w:webHidden/>
          </w:rPr>
          <w:tab/>
        </w:r>
        <w:r>
          <w:rPr>
            <w:noProof/>
            <w:webHidden/>
          </w:rPr>
          <w:fldChar w:fldCharType="begin"/>
        </w:r>
        <w:r>
          <w:rPr>
            <w:noProof/>
            <w:webHidden/>
          </w:rPr>
          <w:instrText xml:space="preserve"> PAGEREF _Toc462396133 \h </w:instrText>
        </w:r>
        <w:r>
          <w:rPr>
            <w:noProof/>
            <w:webHidden/>
          </w:rPr>
        </w:r>
        <w:r>
          <w:rPr>
            <w:noProof/>
            <w:webHidden/>
          </w:rPr>
          <w:fldChar w:fldCharType="separate"/>
        </w:r>
        <w:r w:rsidR="006E747B">
          <w:rPr>
            <w:noProof/>
            <w:webHidden/>
          </w:rPr>
          <w:t>23</w:t>
        </w:r>
        <w:r>
          <w:rPr>
            <w:noProof/>
            <w:webHidden/>
          </w:rPr>
          <w:fldChar w:fldCharType="end"/>
        </w:r>
      </w:hyperlink>
    </w:p>
    <w:p w14:paraId="43E1B614"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35" w:history="1">
        <w:r w:rsidRPr="001713B1">
          <w:rPr>
            <w:rStyle w:val="Hyperlink"/>
            <w:noProof/>
          </w:rPr>
          <w:t>10.1.2.</w:t>
        </w:r>
        <w:r>
          <w:rPr>
            <w:rFonts w:asciiTheme="minorHAnsi" w:eastAsiaTheme="minorEastAsia" w:hAnsiTheme="minorHAnsi" w:cstheme="minorBidi"/>
            <w:i w:val="0"/>
            <w:iCs w:val="0"/>
            <w:noProof/>
            <w:sz w:val="22"/>
            <w:szCs w:val="22"/>
            <w:lang w:eastAsia="fr-CH"/>
          </w:rPr>
          <w:tab/>
        </w:r>
        <w:r w:rsidRPr="001713B1">
          <w:rPr>
            <w:rStyle w:val="Hyperlink"/>
            <w:noProof/>
          </w:rPr>
          <w:t>Adoption d’un nouveau Code de la presse</w:t>
        </w:r>
        <w:r>
          <w:rPr>
            <w:noProof/>
            <w:webHidden/>
          </w:rPr>
          <w:tab/>
        </w:r>
        <w:r>
          <w:rPr>
            <w:noProof/>
            <w:webHidden/>
          </w:rPr>
          <w:fldChar w:fldCharType="begin"/>
        </w:r>
        <w:r>
          <w:rPr>
            <w:noProof/>
            <w:webHidden/>
          </w:rPr>
          <w:instrText xml:space="preserve"> PAGEREF _Toc462396135 \h </w:instrText>
        </w:r>
        <w:r>
          <w:rPr>
            <w:noProof/>
            <w:webHidden/>
          </w:rPr>
        </w:r>
        <w:r>
          <w:rPr>
            <w:noProof/>
            <w:webHidden/>
          </w:rPr>
          <w:fldChar w:fldCharType="separate"/>
        </w:r>
        <w:r w:rsidR="006E747B">
          <w:rPr>
            <w:noProof/>
            <w:webHidden/>
          </w:rPr>
          <w:t>24</w:t>
        </w:r>
        <w:r>
          <w:rPr>
            <w:noProof/>
            <w:webHidden/>
          </w:rPr>
          <w:fldChar w:fldCharType="end"/>
        </w:r>
      </w:hyperlink>
    </w:p>
    <w:p w14:paraId="4512FF1F" w14:textId="77777777" w:rsidR="00214E10" w:rsidRDefault="00214E10">
      <w:pPr>
        <w:pStyle w:val="TOC3"/>
        <w:tabs>
          <w:tab w:val="left" w:pos="1200"/>
          <w:tab w:val="right" w:leader="dot" w:pos="9062"/>
        </w:tabs>
        <w:rPr>
          <w:rFonts w:asciiTheme="minorHAnsi" w:eastAsiaTheme="minorEastAsia" w:hAnsiTheme="minorHAnsi" w:cstheme="minorBidi"/>
          <w:i w:val="0"/>
          <w:iCs w:val="0"/>
          <w:noProof/>
          <w:sz w:val="22"/>
          <w:szCs w:val="22"/>
          <w:lang w:eastAsia="fr-CH"/>
        </w:rPr>
      </w:pPr>
      <w:hyperlink w:anchor="_Toc462396136" w:history="1">
        <w:r w:rsidRPr="001713B1">
          <w:rPr>
            <w:rStyle w:val="Hyperlink"/>
            <w:rFonts w:cs="Tahoma"/>
            <w:noProof/>
          </w:rPr>
          <w:t>10.1.3.</w:t>
        </w:r>
        <w:r>
          <w:rPr>
            <w:rFonts w:asciiTheme="minorHAnsi" w:eastAsiaTheme="minorEastAsia" w:hAnsiTheme="minorHAnsi" w:cstheme="minorBidi"/>
            <w:i w:val="0"/>
            <w:iCs w:val="0"/>
            <w:noProof/>
            <w:sz w:val="22"/>
            <w:szCs w:val="22"/>
            <w:lang w:eastAsia="fr-CH"/>
          </w:rPr>
          <w:tab/>
        </w:r>
        <w:r w:rsidRPr="001713B1">
          <w:rPr>
            <w:rStyle w:val="Hyperlink"/>
            <w:rFonts w:cs="Tahoma"/>
            <w:noProof/>
          </w:rPr>
          <w:t>Atteintes au droit à la liberté d’expression dans le cadre de la lutte antiterroriste</w:t>
        </w:r>
        <w:r>
          <w:rPr>
            <w:noProof/>
            <w:webHidden/>
          </w:rPr>
          <w:tab/>
        </w:r>
        <w:r>
          <w:rPr>
            <w:noProof/>
            <w:webHidden/>
          </w:rPr>
          <w:fldChar w:fldCharType="begin"/>
        </w:r>
        <w:r>
          <w:rPr>
            <w:noProof/>
            <w:webHidden/>
          </w:rPr>
          <w:instrText xml:space="preserve"> PAGEREF _Toc462396136 \h </w:instrText>
        </w:r>
        <w:r>
          <w:rPr>
            <w:noProof/>
            <w:webHidden/>
          </w:rPr>
        </w:r>
        <w:r>
          <w:rPr>
            <w:noProof/>
            <w:webHidden/>
          </w:rPr>
          <w:fldChar w:fldCharType="separate"/>
        </w:r>
        <w:r w:rsidR="006E747B">
          <w:rPr>
            <w:noProof/>
            <w:webHidden/>
          </w:rPr>
          <w:t>24</w:t>
        </w:r>
        <w:r>
          <w:rPr>
            <w:noProof/>
            <w:webHidden/>
          </w:rPr>
          <w:fldChar w:fldCharType="end"/>
        </w:r>
      </w:hyperlink>
    </w:p>
    <w:p w14:paraId="04D22AA6" w14:textId="77777777" w:rsidR="00214E10" w:rsidRDefault="00214E10">
      <w:pPr>
        <w:pStyle w:val="TOC2"/>
        <w:tabs>
          <w:tab w:val="left" w:pos="1000"/>
          <w:tab w:val="right" w:leader="dot" w:pos="9062"/>
        </w:tabs>
        <w:rPr>
          <w:rFonts w:asciiTheme="minorHAnsi" w:eastAsiaTheme="minorEastAsia" w:hAnsiTheme="minorHAnsi" w:cstheme="minorBidi"/>
          <w:smallCaps w:val="0"/>
          <w:noProof/>
          <w:sz w:val="22"/>
          <w:szCs w:val="22"/>
          <w:lang w:eastAsia="fr-CH"/>
        </w:rPr>
      </w:pPr>
      <w:hyperlink w:anchor="_Toc462396137" w:history="1">
        <w:r w:rsidRPr="001713B1">
          <w:rPr>
            <w:rStyle w:val="Hyperlink"/>
            <w:noProof/>
            <w14:scene3d>
              <w14:camera w14:prst="orthographicFront"/>
              <w14:lightRig w14:rig="threePt" w14:dir="t">
                <w14:rot w14:lat="0" w14:lon="0" w14:rev="0"/>
              </w14:lightRig>
            </w14:scene3d>
          </w:rPr>
          <w:t>10.2.</w:t>
        </w:r>
        <w:r>
          <w:rPr>
            <w:rFonts w:asciiTheme="minorHAnsi" w:eastAsiaTheme="minorEastAsia" w:hAnsiTheme="minorHAnsi" w:cstheme="minorBidi"/>
            <w:smallCaps w:val="0"/>
            <w:noProof/>
            <w:sz w:val="22"/>
            <w:szCs w:val="22"/>
            <w:lang w:eastAsia="fr-CH"/>
          </w:rPr>
          <w:tab/>
        </w:r>
        <w:r w:rsidRPr="001713B1">
          <w:rPr>
            <w:rStyle w:val="Hyperlink"/>
            <w:noProof/>
          </w:rPr>
          <w:t>Le droit d’association et de réunion pacifique</w:t>
        </w:r>
        <w:r>
          <w:rPr>
            <w:noProof/>
            <w:webHidden/>
          </w:rPr>
          <w:tab/>
        </w:r>
        <w:r>
          <w:rPr>
            <w:noProof/>
            <w:webHidden/>
          </w:rPr>
          <w:fldChar w:fldCharType="begin"/>
        </w:r>
        <w:r>
          <w:rPr>
            <w:noProof/>
            <w:webHidden/>
          </w:rPr>
          <w:instrText xml:space="preserve"> PAGEREF _Toc462396137 \h </w:instrText>
        </w:r>
        <w:r>
          <w:rPr>
            <w:noProof/>
            <w:webHidden/>
          </w:rPr>
        </w:r>
        <w:r>
          <w:rPr>
            <w:noProof/>
            <w:webHidden/>
          </w:rPr>
          <w:fldChar w:fldCharType="separate"/>
        </w:r>
        <w:r w:rsidR="006E747B">
          <w:rPr>
            <w:noProof/>
            <w:webHidden/>
          </w:rPr>
          <w:t>25</w:t>
        </w:r>
        <w:r>
          <w:rPr>
            <w:noProof/>
            <w:webHidden/>
          </w:rPr>
          <w:fldChar w:fldCharType="end"/>
        </w:r>
      </w:hyperlink>
    </w:p>
    <w:p w14:paraId="0DBAC261" w14:textId="77777777" w:rsidR="00214E10" w:rsidRDefault="00214E10">
      <w:pPr>
        <w:pStyle w:val="TOC2"/>
        <w:tabs>
          <w:tab w:val="left" w:pos="1000"/>
          <w:tab w:val="right" w:leader="dot" w:pos="9062"/>
        </w:tabs>
        <w:rPr>
          <w:rFonts w:asciiTheme="minorHAnsi" w:eastAsiaTheme="minorEastAsia" w:hAnsiTheme="minorHAnsi" w:cstheme="minorBidi"/>
          <w:smallCaps w:val="0"/>
          <w:noProof/>
          <w:sz w:val="22"/>
          <w:szCs w:val="22"/>
          <w:lang w:eastAsia="fr-CH"/>
        </w:rPr>
      </w:pPr>
      <w:hyperlink w:anchor="_Toc462396138" w:history="1">
        <w:r w:rsidRPr="001713B1">
          <w:rPr>
            <w:rStyle w:val="Hyperlink"/>
            <w:noProof/>
            <w14:scene3d>
              <w14:camera w14:prst="orthographicFront"/>
              <w14:lightRig w14:rig="threePt" w14:dir="t">
                <w14:rot w14:lat="0" w14:lon="0" w14:rev="0"/>
              </w14:lightRig>
            </w14:scene3d>
          </w:rPr>
          <w:t>10.3.</w:t>
        </w:r>
        <w:r>
          <w:rPr>
            <w:rFonts w:asciiTheme="minorHAnsi" w:eastAsiaTheme="minorEastAsia" w:hAnsiTheme="minorHAnsi" w:cstheme="minorBidi"/>
            <w:smallCaps w:val="0"/>
            <w:noProof/>
            <w:sz w:val="22"/>
            <w:szCs w:val="22"/>
            <w:lang w:eastAsia="fr-CH"/>
          </w:rPr>
          <w:tab/>
        </w:r>
        <w:r w:rsidRPr="001713B1">
          <w:rPr>
            <w:rStyle w:val="Hyperlink"/>
            <w:noProof/>
          </w:rPr>
          <w:t>Situation des défenseurs des droits de l’homme</w:t>
        </w:r>
        <w:r>
          <w:rPr>
            <w:noProof/>
            <w:webHidden/>
          </w:rPr>
          <w:tab/>
        </w:r>
        <w:r>
          <w:rPr>
            <w:noProof/>
            <w:webHidden/>
          </w:rPr>
          <w:fldChar w:fldCharType="begin"/>
        </w:r>
        <w:r>
          <w:rPr>
            <w:noProof/>
            <w:webHidden/>
          </w:rPr>
          <w:instrText xml:space="preserve"> PAGEREF _Toc462396138 \h </w:instrText>
        </w:r>
        <w:r>
          <w:rPr>
            <w:noProof/>
            <w:webHidden/>
          </w:rPr>
        </w:r>
        <w:r>
          <w:rPr>
            <w:noProof/>
            <w:webHidden/>
          </w:rPr>
          <w:fldChar w:fldCharType="separate"/>
        </w:r>
        <w:r w:rsidR="006E747B">
          <w:rPr>
            <w:noProof/>
            <w:webHidden/>
          </w:rPr>
          <w:t>25</w:t>
        </w:r>
        <w:r>
          <w:rPr>
            <w:noProof/>
            <w:webHidden/>
          </w:rPr>
          <w:fldChar w:fldCharType="end"/>
        </w:r>
      </w:hyperlink>
    </w:p>
    <w:p w14:paraId="50BFACD3" w14:textId="77777777" w:rsidR="00214E10" w:rsidRDefault="00214E10">
      <w:pPr>
        <w:pStyle w:val="TOC1"/>
        <w:tabs>
          <w:tab w:val="left" w:pos="600"/>
          <w:tab w:val="right" w:leader="dot" w:pos="9062"/>
        </w:tabs>
        <w:rPr>
          <w:rFonts w:asciiTheme="minorHAnsi" w:eastAsiaTheme="minorEastAsia" w:hAnsiTheme="minorHAnsi" w:cstheme="minorBidi"/>
          <w:b w:val="0"/>
          <w:bCs w:val="0"/>
          <w:caps w:val="0"/>
          <w:noProof/>
          <w:sz w:val="22"/>
          <w:szCs w:val="22"/>
          <w:lang w:eastAsia="fr-CH"/>
        </w:rPr>
      </w:pPr>
      <w:hyperlink w:anchor="_Toc462396139" w:history="1">
        <w:r w:rsidRPr="001713B1">
          <w:rPr>
            <w:rStyle w:val="Hyperlink"/>
            <w:noProof/>
          </w:rPr>
          <w:t>11.</w:t>
        </w:r>
        <w:r>
          <w:rPr>
            <w:rFonts w:asciiTheme="minorHAnsi" w:eastAsiaTheme="minorEastAsia" w:hAnsiTheme="minorHAnsi" w:cstheme="minorBidi"/>
            <w:b w:val="0"/>
            <w:bCs w:val="0"/>
            <w:caps w:val="0"/>
            <w:noProof/>
            <w:sz w:val="22"/>
            <w:szCs w:val="22"/>
            <w:lang w:eastAsia="fr-CH"/>
          </w:rPr>
          <w:tab/>
        </w:r>
        <w:r w:rsidRPr="001713B1">
          <w:rPr>
            <w:rStyle w:val="Hyperlink"/>
            <w:noProof/>
          </w:rPr>
          <w:t>Justice transitionnelle</w:t>
        </w:r>
        <w:r>
          <w:rPr>
            <w:noProof/>
            <w:webHidden/>
          </w:rPr>
          <w:tab/>
        </w:r>
        <w:r>
          <w:rPr>
            <w:noProof/>
            <w:webHidden/>
          </w:rPr>
          <w:fldChar w:fldCharType="begin"/>
        </w:r>
        <w:r>
          <w:rPr>
            <w:noProof/>
            <w:webHidden/>
          </w:rPr>
          <w:instrText xml:space="preserve"> PAGEREF _Toc462396139 \h </w:instrText>
        </w:r>
        <w:r>
          <w:rPr>
            <w:noProof/>
            <w:webHidden/>
          </w:rPr>
        </w:r>
        <w:r>
          <w:rPr>
            <w:noProof/>
            <w:webHidden/>
          </w:rPr>
          <w:fldChar w:fldCharType="separate"/>
        </w:r>
        <w:r w:rsidR="006E747B">
          <w:rPr>
            <w:noProof/>
            <w:webHidden/>
          </w:rPr>
          <w:t>26</w:t>
        </w:r>
        <w:r>
          <w:rPr>
            <w:noProof/>
            <w:webHidden/>
          </w:rPr>
          <w:fldChar w:fldCharType="end"/>
        </w:r>
      </w:hyperlink>
    </w:p>
    <w:p w14:paraId="6455ED39" w14:textId="77777777" w:rsidR="00214E10" w:rsidRDefault="00214E10">
      <w:pPr>
        <w:pStyle w:val="TOC2"/>
        <w:tabs>
          <w:tab w:val="left" w:pos="1000"/>
          <w:tab w:val="right" w:leader="dot" w:pos="9062"/>
        </w:tabs>
        <w:rPr>
          <w:rFonts w:asciiTheme="minorHAnsi" w:eastAsiaTheme="minorEastAsia" w:hAnsiTheme="minorHAnsi" w:cstheme="minorBidi"/>
          <w:smallCaps w:val="0"/>
          <w:noProof/>
          <w:sz w:val="22"/>
          <w:szCs w:val="22"/>
          <w:lang w:eastAsia="fr-CH"/>
        </w:rPr>
      </w:pPr>
      <w:hyperlink w:anchor="_Toc462396141" w:history="1">
        <w:r w:rsidRPr="001713B1">
          <w:rPr>
            <w:rStyle w:val="Hyperlink"/>
            <w:noProof/>
            <w14:scene3d>
              <w14:camera w14:prst="orthographicFront"/>
              <w14:lightRig w14:rig="threePt" w14:dir="t">
                <w14:rot w14:lat="0" w14:lon="0" w14:rev="0"/>
              </w14:lightRig>
            </w14:scene3d>
          </w:rPr>
          <w:t>11.1.</w:t>
        </w:r>
        <w:r>
          <w:rPr>
            <w:rFonts w:asciiTheme="minorHAnsi" w:eastAsiaTheme="minorEastAsia" w:hAnsiTheme="minorHAnsi" w:cstheme="minorBidi"/>
            <w:smallCaps w:val="0"/>
            <w:noProof/>
            <w:sz w:val="22"/>
            <w:szCs w:val="22"/>
            <w:lang w:eastAsia="fr-CH"/>
          </w:rPr>
          <w:tab/>
        </w:r>
        <w:r w:rsidRPr="001713B1">
          <w:rPr>
            <w:rStyle w:val="Hyperlink"/>
            <w:noProof/>
          </w:rPr>
          <w:t>L’Instance Equité et Réconciliation et la problématique de l’impunité</w:t>
        </w:r>
        <w:r>
          <w:rPr>
            <w:noProof/>
            <w:webHidden/>
          </w:rPr>
          <w:tab/>
        </w:r>
        <w:r>
          <w:rPr>
            <w:noProof/>
            <w:webHidden/>
          </w:rPr>
          <w:fldChar w:fldCharType="begin"/>
        </w:r>
        <w:r>
          <w:rPr>
            <w:noProof/>
            <w:webHidden/>
          </w:rPr>
          <w:instrText xml:space="preserve"> PAGEREF _Toc462396141 \h </w:instrText>
        </w:r>
        <w:r>
          <w:rPr>
            <w:noProof/>
            <w:webHidden/>
          </w:rPr>
        </w:r>
        <w:r>
          <w:rPr>
            <w:noProof/>
            <w:webHidden/>
          </w:rPr>
          <w:fldChar w:fldCharType="separate"/>
        </w:r>
        <w:r w:rsidR="006E747B">
          <w:rPr>
            <w:noProof/>
            <w:webHidden/>
          </w:rPr>
          <w:t>26</w:t>
        </w:r>
        <w:r>
          <w:rPr>
            <w:noProof/>
            <w:webHidden/>
          </w:rPr>
          <w:fldChar w:fldCharType="end"/>
        </w:r>
      </w:hyperlink>
    </w:p>
    <w:p w14:paraId="4F7A83FD" w14:textId="77777777" w:rsidR="00214E10" w:rsidRDefault="00214E10">
      <w:pPr>
        <w:pStyle w:val="TOC2"/>
        <w:tabs>
          <w:tab w:val="left" w:pos="1000"/>
          <w:tab w:val="right" w:leader="dot" w:pos="9062"/>
        </w:tabs>
        <w:rPr>
          <w:rFonts w:asciiTheme="minorHAnsi" w:eastAsiaTheme="minorEastAsia" w:hAnsiTheme="minorHAnsi" w:cstheme="minorBidi"/>
          <w:smallCaps w:val="0"/>
          <w:noProof/>
          <w:sz w:val="22"/>
          <w:szCs w:val="22"/>
          <w:lang w:eastAsia="fr-CH"/>
        </w:rPr>
      </w:pPr>
      <w:hyperlink w:anchor="_Toc462396142" w:history="1">
        <w:r w:rsidRPr="001713B1">
          <w:rPr>
            <w:rStyle w:val="Hyperlink"/>
            <w:noProof/>
            <w14:scene3d>
              <w14:camera w14:prst="orthographicFront"/>
              <w14:lightRig w14:rig="threePt" w14:dir="t">
                <w14:rot w14:lat="0" w14:lon="0" w14:rev="0"/>
              </w14:lightRig>
            </w14:scene3d>
          </w:rPr>
          <w:t>11.2.</w:t>
        </w:r>
        <w:r>
          <w:rPr>
            <w:rFonts w:asciiTheme="minorHAnsi" w:eastAsiaTheme="minorEastAsia" w:hAnsiTheme="minorHAnsi" w:cstheme="minorBidi"/>
            <w:smallCaps w:val="0"/>
            <w:noProof/>
            <w:sz w:val="22"/>
            <w:szCs w:val="22"/>
            <w:lang w:eastAsia="fr-CH"/>
          </w:rPr>
          <w:tab/>
        </w:r>
        <w:r w:rsidRPr="001713B1">
          <w:rPr>
            <w:rStyle w:val="Hyperlink"/>
            <w:noProof/>
          </w:rPr>
          <w:t>Le passif des disparitions forcées</w:t>
        </w:r>
        <w:r>
          <w:rPr>
            <w:noProof/>
            <w:webHidden/>
          </w:rPr>
          <w:tab/>
        </w:r>
        <w:r>
          <w:rPr>
            <w:noProof/>
            <w:webHidden/>
          </w:rPr>
          <w:fldChar w:fldCharType="begin"/>
        </w:r>
        <w:r>
          <w:rPr>
            <w:noProof/>
            <w:webHidden/>
          </w:rPr>
          <w:instrText xml:space="preserve"> PAGEREF _Toc462396142 \h </w:instrText>
        </w:r>
        <w:r>
          <w:rPr>
            <w:noProof/>
            <w:webHidden/>
          </w:rPr>
        </w:r>
        <w:r>
          <w:rPr>
            <w:noProof/>
            <w:webHidden/>
          </w:rPr>
          <w:fldChar w:fldCharType="separate"/>
        </w:r>
        <w:r w:rsidR="006E747B">
          <w:rPr>
            <w:noProof/>
            <w:webHidden/>
          </w:rPr>
          <w:t>27</w:t>
        </w:r>
        <w:r>
          <w:rPr>
            <w:noProof/>
            <w:webHidden/>
          </w:rPr>
          <w:fldChar w:fldCharType="end"/>
        </w:r>
      </w:hyperlink>
    </w:p>
    <w:p w14:paraId="2A266A69" w14:textId="77777777" w:rsidR="00214E10" w:rsidRDefault="00214E10">
      <w:pPr>
        <w:pStyle w:val="TOC1"/>
        <w:tabs>
          <w:tab w:val="left" w:pos="600"/>
          <w:tab w:val="right" w:leader="dot" w:pos="9062"/>
        </w:tabs>
        <w:rPr>
          <w:rFonts w:asciiTheme="minorHAnsi" w:eastAsiaTheme="minorEastAsia" w:hAnsiTheme="minorHAnsi" w:cstheme="minorBidi"/>
          <w:b w:val="0"/>
          <w:bCs w:val="0"/>
          <w:caps w:val="0"/>
          <w:noProof/>
          <w:sz w:val="22"/>
          <w:szCs w:val="22"/>
          <w:lang w:eastAsia="fr-CH"/>
        </w:rPr>
      </w:pPr>
      <w:hyperlink w:anchor="_Toc462396143" w:history="1">
        <w:r w:rsidRPr="001713B1">
          <w:rPr>
            <w:rStyle w:val="Hyperlink"/>
            <w:noProof/>
          </w:rPr>
          <w:t>12.</w:t>
        </w:r>
        <w:r>
          <w:rPr>
            <w:rFonts w:asciiTheme="minorHAnsi" w:eastAsiaTheme="minorEastAsia" w:hAnsiTheme="minorHAnsi" w:cstheme="minorBidi"/>
            <w:b w:val="0"/>
            <w:bCs w:val="0"/>
            <w:caps w:val="0"/>
            <w:noProof/>
            <w:sz w:val="22"/>
            <w:szCs w:val="22"/>
            <w:lang w:eastAsia="fr-CH"/>
          </w:rPr>
          <w:tab/>
        </w:r>
        <w:r w:rsidRPr="001713B1">
          <w:rPr>
            <w:rStyle w:val="Hyperlink"/>
            <w:noProof/>
          </w:rPr>
          <w:t>Conclusion</w:t>
        </w:r>
        <w:r>
          <w:rPr>
            <w:noProof/>
            <w:webHidden/>
          </w:rPr>
          <w:tab/>
        </w:r>
        <w:r>
          <w:rPr>
            <w:noProof/>
            <w:webHidden/>
          </w:rPr>
          <w:fldChar w:fldCharType="begin"/>
        </w:r>
        <w:r>
          <w:rPr>
            <w:noProof/>
            <w:webHidden/>
          </w:rPr>
          <w:instrText xml:space="preserve"> PAGEREF _Toc462396143 \h </w:instrText>
        </w:r>
        <w:r>
          <w:rPr>
            <w:noProof/>
            <w:webHidden/>
          </w:rPr>
        </w:r>
        <w:r>
          <w:rPr>
            <w:noProof/>
            <w:webHidden/>
          </w:rPr>
          <w:fldChar w:fldCharType="separate"/>
        </w:r>
        <w:r w:rsidR="006E747B">
          <w:rPr>
            <w:noProof/>
            <w:webHidden/>
          </w:rPr>
          <w:t>27</w:t>
        </w:r>
        <w:r>
          <w:rPr>
            <w:noProof/>
            <w:webHidden/>
          </w:rPr>
          <w:fldChar w:fldCharType="end"/>
        </w:r>
      </w:hyperlink>
    </w:p>
    <w:p w14:paraId="7F9AF00B" w14:textId="77777777" w:rsidR="00063B5D" w:rsidRPr="0077273E" w:rsidRDefault="00B900EF" w:rsidP="00D759A0">
      <w:pPr>
        <w:spacing w:after="0"/>
        <w:rPr>
          <w:rFonts w:cs="Tahoma"/>
        </w:rPr>
      </w:pPr>
      <w:r w:rsidRPr="0077273E">
        <w:rPr>
          <w:rFonts w:cs="Tahoma"/>
        </w:rPr>
        <w:fldChar w:fldCharType="end"/>
      </w:r>
    </w:p>
    <w:p w14:paraId="75F7D273" w14:textId="77777777" w:rsidR="00063B5D" w:rsidRPr="0077273E" w:rsidRDefault="00063B5D" w:rsidP="00A72838">
      <w:pPr>
        <w:pStyle w:val="Body"/>
        <w:spacing w:before="120" w:after="100" w:afterAutospacing="1"/>
        <w:jc w:val="left"/>
        <w:rPr>
          <w:b/>
          <w:bCs/>
        </w:rPr>
      </w:pPr>
    </w:p>
    <w:p w14:paraId="7CC6E237" w14:textId="77777777" w:rsidR="00063B5D" w:rsidRDefault="00063B5D" w:rsidP="00A72838">
      <w:pPr>
        <w:pStyle w:val="Body"/>
        <w:spacing w:before="120" w:after="100" w:afterAutospacing="1"/>
        <w:jc w:val="left"/>
        <w:rPr>
          <w:b/>
          <w:bCs/>
        </w:rPr>
      </w:pPr>
    </w:p>
    <w:p w14:paraId="7E9A9BE6" w14:textId="77777777" w:rsidR="00AF7399" w:rsidRDefault="00AF7399" w:rsidP="00A72838">
      <w:pPr>
        <w:pStyle w:val="Body"/>
        <w:spacing w:before="120" w:after="100" w:afterAutospacing="1"/>
        <w:jc w:val="left"/>
        <w:rPr>
          <w:b/>
          <w:bCs/>
        </w:rPr>
      </w:pPr>
    </w:p>
    <w:p w14:paraId="1F5205CD" w14:textId="77777777" w:rsidR="00AF7399" w:rsidRDefault="00AF7399" w:rsidP="00A72838">
      <w:pPr>
        <w:pStyle w:val="Body"/>
        <w:spacing w:before="120" w:after="100" w:afterAutospacing="1"/>
        <w:jc w:val="left"/>
        <w:rPr>
          <w:b/>
          <w:bCs/>
        </w:rPr>
      </w:pPr>
    </w:p>
    <w:p w14:paraId="662D65F2" w14:textId="77777777" w:rsidR="00AF7399" w:rsidRDefault="00AF7399" w:rsidP="00A72838">
      <w:pPr>
        <w:pStyle w:val="Body"/>
        <w:spacing w:before="120" w:after="100" w:afterAutospacing="1"/>
        <w:jc w:val="left"/>
        <w:rPr>
          <w:b/>
          <w:bCs/>
        </w:rPr>
      </w:pPr>
    </w:p>
    <w:p w14:paraId="4A15FEDA" w14:textId="77777777" w:rsidR="00AF7399" w:rsidRDefault="00AF7399" w:rsidP="00A72838">
      <w:pPr>
        <w:pStyle w:val="Body"/>
        <w:spacing w:before="120" w:after="100" w:afterAutospacing="1"/>
        <w:jc w:val="left"/>
        <w:rPr>
          <w:b/>
          <w:bCs/>
        </w:rPr>
      </w:pPr>
    </w:p>
    <w:p w14:paraId="39578384" w14:textId="77777777" w:rsidR="00AF7399" w:rsidRDefault="00AF7399" w:rsidP="00A72838">
      <w:pPr>
        <w:pStyle w:val="Body"/>
        <w:spacing w:before="120" w:after="100" w:afterAutospacing="1"/>
        <w:jc w:val="left"/>
        <w:rPr>
          <w:b/>
          <w:bCs/>
        </w:rPr>
      </w:pPr>
    </w:p>
    <w:p w14:paraId="4D77341C" w14:textId="77777777" w:rsidR="00AF7399" w:rsidRDefault="00AF7399" w:rsidP="00A72838">
      <w:pPr>
        <w:pStyle w:val="Body"/>
        <w:spacing w:before="120" w:after="100" w:afterAutospacing="1"/>
        <w:jc w:val="left"/>
        <w:rPr>
          <w:b/>
          <w:bCs/>
        </w:rPr>
      </w:pPr>
    </w:p>
    <w:p w14:paraId="10174579" w14:textId="77777777" w:rsidR="00AF7399" w:rsidRDefault="00AF7399" w:rsidP="00A72838">
      <w:pPr>
        <w:pStyle w:val="Body"/>
        <w:spacing w:before="120" w:after="100" w:afterAutospacing="1"/>
        <w:jc w:val="left"/>
        <w:rPr>
          <w:b/>
          <w:bCs/>
        </w:rPr>
      </w:pPr>
    </w:p>
    <w:p w14:paraId="4EF1A457" w14:textId="77777777" w:rsidR="00AF7399" w:rsidRDefault="00AF7399" w:rsidP="00A72838">
      <w:pPr>
        <w:pStyle w:val="Body"/>
        <w:spacing w:before="120" w:after="100" w:afterAutospacing="1"/>
        <w:jc w:val="left"/>
        <w:rPr>
          <w:b/>
          <w:bCs/>
        </w:rPr>
      </w:pPr>
    </w:p>
    <w:p w14:paraId="36CEEED6" w14:textId="77777777" w:rsidR="0096667C" w:rsidRDefault="0096667C" w:rsidP="00A72838">
      <w:pPr>
        <w:pStyle w:val="Body"/>
        <w:spacing w:before="120" w:after="100" w:afterAutospacing="1"/>
        <w:jc w:val="left"/>
        <w:rPr>
          <w:b/>
          <w:bCs/>
        </w:rPr>
      </w:pPr>
    </w:p>
    <w:p w14:paraId="3BAD4722" w14:textId="77777777" w:rsidR="0096667C" w:rsidRDefault="0096667C" w:rsidP="00A72838">
      <w:pPr>
        <w:pStyle w:val="Body"/>
        <w:spacing w:before="120" w:after="100" w:afterAutospacing="1"/>
        <w:jc w:val="left"/>
        <w:rPr>
          <w:b/>
          <w:bCs/>
        </w:rPr>
      </w:pPr>
    </w:p>
    <w:p w14:paraId="018EB075" w14:textId="77777777" w:rsidR="0096667C" w:rsidRDefault="0096667C" w:rsidP="00A72838">
      <w:pPr>
        <w:pStyle w:val="Body"/>
        <w:spacing w:before="120" w:after="100" w:afterAutospacing="1"/>
        <w:jc w:val="left"/>
        <w:rPr>
          <w:b/>
          <w:bCs/>
        </w:rPr>
      </w:pPr>
    </w:p>
    <w:p w14:paraId="64252A74" w14:textId="77777777" w:rsidR="00AF7399" w:rsidRPr="0077273E" w:rsidRDefault="00AF7399" w:rsidP="00A72838">
      <w:pPr>
        <w:pStyle w:val="Body"/>
        <w:spacing w:before="120" w:after="100" w:afterAutospacing="1"/>
        <w:jc w:val="left"/>
        <w:rPr>
          <w:b/>
          <w:bCs/>
        </w:rPr>
      </w:pPr>
    </w:p>
    <w:p w14:paraId="02D2EB35" w14:textId="17333F84" w:rsidR="00063B5D" w:rsidRPr="0077273E" w:rsidRDefault="00063B5D" w:rsidP="00DD12D7">
      <w:pPr>
        <w:pStyle w:val="Heading1"/>
        <w:rPr>
          <w:lang w:val="fr-CH"/>
        </w:rPr>
      </w:pPr>
      <w:bookmarkStart w:id="1" w:name="_Toc461806418"/>
      <w:bookmarkStart w:id="2" w:name="_Toc461809651"/>
      <w:bookmarkStart w:id="3" w:name="_Toc461806419"/>
      <w:bookmarkStart w:id="4" w:name="_Toc461809652"/>
      <w:bookmarkStart w:id="5" w:name="_Toc461806420"/>
      <w:bookmarkStart w:id="6" w:name="_Toc461809653"/>
      <w:bookmarkStart w:id="7" w:name="_Toc461806421"/>
      <w:bookmarkStart w:id="8" w:name="_Toc461809654"/>
      <w:bookmarkStart w:id="9" w:name="_Toc461806422"/>
      <w:bookmarkStart w:id="10" w:name="_Toc461809655"/>
      <w:bookmarkStart w:id="11" w:name="_Toc461806423"/>
      <w:bookmarkStart w:id="12" w:name="_Toc461809656"/>
      <w:bookmarkStart w:id="13" w:name="_Toc461806424"/>
      <w:bookmarkStart w:id="14" w:name="_Toc461809657"/>
      <w:bookmarkStart w:id="15" w:name="_Toc461806425"/>
      <w:bookmarkStart w:id="16" w:name="_Toc461809658"/>
      <w:bookmarkStart w:id="17" w:name="_Toc46239608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Pr="0077273E">
        <w:rPr>
          <w:lang w:val="fr-CH"/>
        </w:rPr>
        <w:lastRenderedPageBreak/>
        <w:t>Introduction</w:t>
      </w:r>
      <w:bookmarkEnd w:id="17"/>
    </w:p>
    <w:p w14:paraId="6D75FE54" w14:textId="39E7FE68" w:rsidR="00F97406" w:rsidRPr="0077273E" w:rsidRDefault="00F97406" w:rsidP="00DB0B82">
      <w:r w:rsidRPr="0077273E">
        <w:t>Le présent rapport a pour objet la situation des droits de l</w:t>
      </w:r>
      <w:r w:rsidR="003931E2" w:rsidRPr="0077273E">
        <w:t>’homme dans le pays depuis 2004</w:t>
      </w:r>
      <w:r w:rsidRPr="0077273E">
        <w:t xml:space="preserve"> et a été élaboré en coopération </w:t>
      </w:r>
      <w:r w:rsidR="00064928">
        <w:t xml:space="preserve">et </w:t>
      </w:r>
      <w:r w:rsidRPr="0077273E">
        <w:t xml:space="preserve">avec la participation des acteurs locaux, dont les organisations non-gouvernementales (ONG) œuvrant pour la promotion et la protection des droits de l’homme, les victimes de violations, leurs familles ainsi que leurs avocats. Il se fonde sur l’ensemble du travail effectué par Alkarama </w:t>
      </w:r>
      <w:r w:rsidR="00064928">
        <w:t xml:space="preserve">sur </w:t>
      </w:r>
      <w:r w:rsidRPr="0077273E">
        <w:t>l’Etat partie</w:t>
      </w:r>
      <w:r w:rsidR="00064928">
        <w:t>, e</w:t>
      </w:r>
      <w:r w:rsidR="00DB0B82">
        <w:t>t notamment la documentation de</w:t>
      </w:r>
      <w:r w:rsidR="00064928">
        <w:t xml:space="preserve"> cas individuels de violations </w:t>
      </w:r>
      <w:r w:rsidRPr="0077273E">
        <w:t xml:space="preserve"> à l’attention des mécanismes de protection des droits de l’homme des Nations Unies</w:t>
      </w:r>
      <w:r w:rsidR="003931E2" w:rsidRPr="0077273E">
        <w:t>,</w:t>
      </w:r>
      <w:r w:rsidRPr="0077273E">
        <w:t xml:space="preserve"> </w:t>
      </w:r>
      <w:r w:rsidR="003931E2" w:rsidRPr="0077273E">
        <w:t>l’</w:t>
      </w:r>
      <w:r w:rsidRPr="0077273E">
        <w:t>analyse du cadre juridi</w:t>
      </w:r>
      <w:r w:rsidR="008801FE" w:rsidRPr="0077273E">
        <w:t>que et institutionnel</w:t>
      </w:r>
      <w:r w:rsidR="003931E2" w:rsidRPr="0077273E">
        <w:t>, le</w:t>
      </w:r>
      <w:r w:rsidR="008801FE" w:rsidRPr="0077273E">
        <w:t xml:space="preserve"> rapport soumis par </w:t>
      </w:r>
      <w:r w:rsidR="00D759A0">
        <w:t>l’E</w:t>
      </w:r>
      <w:r w:rsidR="003931E2" w:rsidRPr="0077273E">
        <w:t>tat partie dans le cadre du présent cycle</w:t>
      </w:r>
      <w:r w:rsidR="00064928">
        <w:t xml:space="preserve"> d’examen et l</w:t>
      </w:r>
      <w:r w:rsidR="008801FE" w:rsidRPr="0077273E">
        <w:t xml:space="preserve">es réponses apportées </w:t>
      </w:r>
      <w:r w:rsidR="003931E2" w:rsidRPr="0077273E">
        <w:t xml:space="preserve">par celui-ci </w:t>
      </w:r>
      <w:r w:rsidR="008801FE" w:rsidRPr="0077273E">
        <w:t xml:space="preserve">à la liste des points à traiter établie par les </w:t>
      </w:r>
      <w:r w:rsidR="00064928">
        <w:t xml:space="preserve">experts </w:t>
      </w:r>
      <w:r w:rsidR="008801FE" w:rsidRPr="0077273E">
        <w:t>du Comité.</w:t>
      </w:r>
    </w:p>
    <w:p w14:paraId="455F1704" w14:textId="77777777" w:rsidR="00063B5D" w:rsidRPr="0077273E" w:rsidRDefault="00F97406" w:rsidP="003562EE">
      <w:r w:rsidRPr="0077273E">
        <w:t xml:space="preserve">Il convient de noter que le Maroc a présenté son troisième rapport périodique au Comité des </w:t>
      </w:r>
      <w:r w:rsidR="003562EE">
        <w:t>droits de l’h</w:t>
      </w:r>
      <w:r w:rsidRPr="0077273E">
        <w:t>omme en juin 2015, avec un retard de sept ans. Ce rapport sera examiné au cours de sa 118</w:t>
      </w:r>
      <w:r w:rsidRPr="0077273E">
        <w:rPr>
          <w:vertAlign w:val="superscript"/>
        </w:rPr>
        <w:t>e</w:t>
      </w:r>
      <w:r w:rsidRPr="0077273E">
        <w:t xml:space="preserve"> session, qui se tiendra du 17 octobre au 4 novembre 2016.</w:t>
      </w:r>
    </w:p>
    <w:p w14:paraId="0F883EDF" w14:textId="1E0E34AC" w:rsidR="008E641F" w:rsidRPr="008E641F" w:rsidRDefault="00063B5D" w:rsidP="008E641F">
      <w:pPr>
        <w:pStyle w:val="Heading1"/>
        <w:rPr>
          <w:lang w:val="fr-CH"/>
        </w:rPr>
      </w:pPr>
      <w:bookmarkStart w:id="18" w:name="_Toc462396081"/>
      <w:r w:rsidRPr="0077273E">
        <w:rPr>
          <w:lang w:val="fr-CH"/>
        </w:rPr>
        <w:t>Context</w:t>
      </w:r>
      <w:r w:rsidR="00D16038" w:rsidRPr="0077273E">
        <w:rPr>
          <w:lang w:val="fr-CH"/>
        </w:rPr>
        <w:t>e</w:t>
      </w:r>
      <w:r w:rsidR="009A1648" w:rsidRPr="0077273E">
        <w:rPr>
          <w:lang w:val="fr-CH"/>
        </w:rPr>
        <w:t xml:space="preserve"> général</w:t>
      </w:r>
      <w:bookmarkEnd w:id="18"/>
    </w:p>
    <w:p w14:paraId="275DFCB6" w14:textId="07DA5562" w:rsidR="003931E2" w:rsidRPr="0077273E" w:rsidRDefault="007A2D9D" w:rsidP="00A202CA">
      <w:pPr>
        <w:rPr>
          <w:rFonts w:cs="Tahoma"/>
        </w:rPr>
      </w:pPr>
      <w:r w:rsidRPr="0077273E">
        <w:rPr>
          <w:rFonts w:cs="Tahoma"/>
        </w:rPr>
        <w:t xml:space="preserve">La situation des droits de l’homme au Maroc est aujourd’hui </w:t>
      </w:r>
      <w:r w:rsidR="00A202CA">
        <w:rPr>
          <w:rFonts w:cs="Tahoma"/>
        </w:rPr>
        <w:t>se caractérise par deux tendances contraires</w:t>
      </w:r>
      <w:r w:rsidRPr="0077273E">
        <w:rPr>
          <w:rFonts w:cs="Tahoma"/>
        </w:rPr>
        <w:t> : si</w:t>
      </w:r>
      <w:r w:rsidR="001E6AEF" w:rsidRPr="0077273E">
        <w:rPr>
          <w:rFonts w:cs="Tahoma"/>
        </w:rPr>
        <w:t>,</w:t>
      </w:r>
      <w:r w:rsidRPr="0077273E">
        <w:rPr>
          <w:rFonts w:cs="Tahoma"/>
        </w:rPr>
        <w:t xml:space="preserve"> d’un côté, </w:t>
      </w:r>
      <w:r w:rsidR="003E64BC" w:rsidRPr="0077273E">
        <w:rPr>
          <w:rFonts w:cs="Tahoma"/>
        </w:rPr>
        <w:t>l’initiation de profondes réformes</w:t>
      </w:r>
      <w:r w:rsidR="00A94325" w:rsidRPr="0077273E">
        <w:rPr>
          <w:rFonts w:cs="Tahoma"/>
        </w:rPr>
        <w:t xml:space="preserve"> a</w:t>
      </w:r>
      <w:r w:rsidRPr="0077273E">
        <w:rPr>
          <w:rFonts w:cs="Tahoma"/>
        </w:rPr>
        <w:t xml:space="preserve"> </w:t>
      </w:r>
      <w:r w:rsidR="00405D6D" w:rsidRPr="0077273E">
        <w:rPr>
          <w:rFonts w:cs="Tahoma"/>
        </w:rPr>
        <w:t>contribué</w:t>
      </w:r>
      <w:r w:rsidRPr="0077273E">
        <w:rPr>
          <w:rFonts w:cs="Tahoma"/>
        </w:rPr>
        <w:t xml:space="preserve"> à une plus grande conformité du droit </w:t>
      </w:r>
      <w:r w:rsidR="00A94325" w:rsidRPr="0077273E">
        <w:rPr>
          <w:rFonts w:cs="Tahoma"/>
        </w:rPr>
        <w:t xml:space="preserve">interne </w:t>
      </w:r>
      <w:r w:rsidRPr="0077273E">
        <w:rPr>
          <w:rFonts w:cs="Tahoma"/>
        </w:rPr>
        <w:t>aux engagements inte</w:t>
      </w:r>
      <w:r w:rsidR="003931E2" w:rsidRPr="0077273E">
        <w:rPr>
          <w:rFonts w:cs="Tahoma"/>
        </w:rPr>
        <w:t>rnationaux du Maroc, de l’autre,</w:t>
      </w:r>
      <w:r w:rsidRPr="0077273E">
        <w:rPr>
          <w:rFonts w:cs="Tahoma"/>
        </w:rPr>
        <w:t xml:space="preserve"> </w:t>
      </w:r>
      <w:r w:rsidR="00A94325" w:rsidRPr="0077273E">
        <w:rPr>
          <w:rFonts w:cs="Tahoma"/>
        </w:rPr>
        <w:t xml:space="preserve">certaines </w:t>
      </w:r>
      <w:r w:rsidR="001E6AEF" w:rsidRPr="0077273E">
        <w:rPr>
          <w:rFonts w:cs="Tahoma"/>
        </w:rPr>
        <w:t>violations</w:t>
      </w:r>
      <w:r w:rsidR="003931E2" w:rsidRPr="0077273E">
        <w:rPr>
          <w:rFonts w:cs="Tahoma"/>
        </w:rPr>
        <w:t xml:space="preserve"> persistent, </w:t>
      </w:r>
      <w:r w:rsidR="00A94325" w:rsidRPr="0077273E">
        <w:rPr>
          <w:rFonts w:cs="Tahoma"/>
        </w:rPr>
        <w:t>en particulier</w:t>
      </w:r>
      <w:r w:rsidR="001E6AEF" w:rsidRPr="0077273E">
        <w:rPr>
          <w:rFonts w:cs="Tahoma"/>
        </w:rPr>
        <w:t xml:space="preserve"> dans le cadre de la lutte antiterroriste engagée durant les années 2000.</w:t>
      </w:r>
    </w:p>
    <w:p w14:paraId="4F10CBA4" w14:textId="49F6EE82" w:rsidR="00250619" w:rsidRPr="0077273E" w:rsidRDefault="003931E2" w:rsidP="009F78AC">
      <w:pPr>
        <w:rPr>
          <w:rFonts w:cs="Tahoma"/>
        </w:rPr>
      </w:pPr>
      <w:r w:rsidRPr="0077273E">
        <w:rPr>
          <w:rFonts w:cs="Tahoma"/>
        </w:rPr>
        <w:t>Le</w:t>
      </w:r>
      <w:r w:rsidR="00250619" w:rsidRPr="0077273E">
        <w:rPr>
          <w:rFonts w:cs="Tahoma"/>
        </w:rPr>
        <w:t xml:space="preserve">s attentats </w:t>
      </w:r>
      <w:r w:rsidR="009F78AC">
        <w:rPr>
          <w:rFonts w:cs="Tahoma"/>
        </w:rPr>
        <w:t>de Casablanca du</w:t>
      </w:r>
      <w:r w:rsidR="00A202CA">
        <w:rPr>
          <w:rFonts w:cs="Tahoma"/>
        </w:rPr>
        <w:t xml:space="preserve"> 16 mai 2003</w:t>
      </w:r>
      <w:r w:rsidRPr="0077273E">
        <w:rPr>
          <w:rFonts w:cs="Tahoma"/>
        </w:rPr>
        <w:t xml:space="preserve"> ont eu pour conséquence un renforcement de </w:t>
      </w:r>
      <w:r w:rsidR="009F78AC">
        <w:rPr>
          <w:rFonts w:cs="Tahoma"/>
        </w:rPr>
        <w:t>la politique répressive du pays</w:t>
      </w:r>
      <w:r w:rsidRPr="0077273E">
        <w:rPr>
          <w:rFonts w:cs="Tahoma"/>
        </w:rPr>
        <w:t xml:space="preserve"> au détriment du respect de certains droits fondamentaux.</w:t>
      </w:r>
      <w:r w:rsidR="00250619" w:rsidRPr="0077273E">
        <w:rPr>
          <w:rFonts w:cs="Tahoma"/>
        </w:rPr>
        <w:t xml:space="preserve"> Le</w:t>
      </w:r>
      <w:r w:rsidR="009F78AC">
        <w:rPr>
          <w:rFonts w:cs="Tahoma"/>
        </w:rPr>
        <w:t xml:space="preserve"> </w:t>
      </w:r>
      <w:r w:rsidR="003A0458" w:rsidRPr="0077273E">
        <w:rPr>
          <w:rFonts w:cs="Tahoma"/>
        </w:rPr>
        <w:t xml:space="preserve">roi </w:t>
      </w:r>
      <w:r w:rsidR="00250619" w:rsidRPr="0077273E">
        <w:rPr>
          <w:rFonts w:cs="Tahoma"/>
        </w:rPr>
        <w:t xml:space="preserve">Mohammed VI, dans une interview au journal espagnol </w:t>
      </w:r>
      <w:r w:rsidR="00250619" w:rsidRPr="0077273E">
        <w:rPr>
          <w:rFonts w:cs="Tahoma"/>
          <w:i/>
          <w:iCs/>
        </w:rPr>
        <w:t>El Pais</w:t>
      </w:r>
      <w:r w:rsidR="00250619" w:rsidRPr="0077273E">
        <w:rPr>
          <w:rFonts w:cs="Tahoma"/>
        </w:rPr>
        <w:t xml:space="preserve"> en 2005, avait reconnu </w:t>
      </w:r>
      <w:r w:rsidR="00A94325" w:rsidRPr="0077273E">
        <w:rPr>
          <w:rFonts w:cs="Tahoma"/>
        </w:rPr>
        <w:t xml:space="preserve">lui-même </w:t>
      </w:r>
      <w:r w:rsidR="00250619" w:rsidRPr="0077273E">
        <w:rPr>
          <w:rFonts w:cs="Tahoma"/>
        </w:rPr>
        <w:t>des abus des servi</w:t>
      </w:r>
      <w:r w:rsidRPr="0077273E">
        <w:rPr>
          <w:rFonts w:cs="Tahoma"/>
        </w:rPr>
        <w:t>ces de sécurité au lendemain de ces</w:t>
      </w:r>
      <w:r w:rsidR="00250619" w:rsidRPr="0077273E">
        <w:rPr>
          <w:rFonts w:cs="Tahoma"/>
        </w:rPr>
        <w:t xml:space="preserve"> attentats</w:t>
      </w:r>
      <w:r w:rsidR="00A202CA">
        <w:rPr>
          <w:rFonts w:cs="Tahoma"/>
        </w:rPr>
        <w:t>,</w:t>
      </w:r>
      <w:r w:rsidR="00250619" w:rsidRPr="0077273E">
        <w:rPr>
          <w:rFonts w:cs="Tahoma"/>
        </w:rPr>
        <w:t xml:space="preserve"> mais cela n’a pas pour autant</w:t>
      </w:r>
      <w:r w:rsidR="002A5DCC" w:rsidRPr="0077273E">
        <w:rPr>
          <w:rFonts w:cs="Tahoma"/>
        </w:rPr>
        <w:t xml:space="preserve"> contribué à en réparer les conséquences</w:t>
      </w:r>
      <w:r w:rsidRPr="0077273E">
        <w:rPr>
          <w:rFonts w:cs="Tahoma"/>
        </w:rPr>
        <w:t>,</w:t>
      </w:r>
      <w:r w:rsidR="002A5DCC" w:rsidRPr="0077273E">
        <w:rPr>
          <w:rFonts w:cs="Tahoma"/>
        </w:rPr>
        <w:t xml:space="preserve"> ni </w:t>
      </w:r>
      <w:r w:rsidRPr="0077273E">
        <w:rPr>
          <w:rFonts w:cs="Tahoma"/>
        </w:rPr>
        <w:t xml:space="preserve">à y mettre </w:t>
      </w:r>
      <w:r w:rsidR="00250619" w:rsidRPr="0077273E">
        <w:rPr>
          <w:rFonts w:cs="Tahoma"/>
        </w:rPr>
        <w:t xml:space="preserve">un terme </w:t>
      </w:r>
      <w:r w:rsidR="002A5DCC" w:rsidRPr="0077273E">
        <w:rPr>
          <w:rFonts w:cs="Tahoma"/>
        </w:rPr>
        <w:t>définitif</w:t>
      </w:r>
      <w:r w:rsidR="00250619" w:rsidRPr="0077273E">
        <w:rPr>
          <w:rStyle w:val="FootnoteReference"/>
          <w:rFonts w:eastAsia="Arial Unicode MS" w:cs="Tahoma"/>
          <w:color w:val="000000"/>
          <w:szCs w:val="20"/>
          <w:u w:color="000000"/>
          <w:bdr w:val="nil"/>
          <w:lang w:eastAsia="fr-CH"/>
        </w:rPr>
        <w:footnoteReference w:id="1"/>
      </w:r>
      <w:r w:rsidR="00AD0495" w:rsidRPr="0077273E">
        <w:rPr>
          <w:rFonts w:cs="Tahoma"/>
        </w:rPr>
        <w:t>.</w:t>
      </w:r>
    </w:p>
    <w:p w14:paraId="4610A994" w14:textId="5C930539" w:rsidR="00250619" w:rsidRPr="0077273E" w:rsidRDefault="00250619" w:rsidP="003931E2">
      <w:pPr>
        <w:rPr>
          <w:rFonts w:eastAsia="Arial Unicode MS" w:cs="Tahoma"/>
          <w:color w:val="000000"/>
          <w:szCs w:val="20"/>
          <w:u w:color="000000"/>
          <w:bdr w:val="nil"/>
          <w:lang w:eastAsia="fr-CH"/>
        </w:rPr>
      </w:pPr>
      <w:r w:rsidRPr="0077273E">
        <w:rPr>
          <w:rFonts w:cs="Tahoma"/>
        </w:rPr>
        <w:t xml:space="preserve">Le contrôle </w:t>
      </w:r>
      <w:r w:rsidR="003931E2" w:rsidRPr="0077273E">
        <w:rPr>
          <w:rFonts w:cs="Tahoma"/>
        </w:rPr>
        <w:t xml:space="preserve">exercé </w:t>
      </w:r>
      <w:r w:rsidRPr="0077273E">
        <w:rPr>
          <w:rFonts w:cs="Tahoma"/>
        </w:rPr>
        <w:t xml:space="preserve">par le </w:t>
      </w:r>
      <w:r w:rsidR="003931E2" w:rsidRPr="0077273E">
        <w:rPr>
          <w:rFonts w:cs="Tahoma"/>
        </w:rPr>
        <w:t>pouvoir royal</w:t>
      </w:r>
      <w:r w:rsidR="00A600E7" w:rsidRPr="0077273E">
        <w:rPr>
          <w:rFonts w:cs="Tahoma"/>
        </w:rPr>
        <w:t xml:space="preserve"> </w:t>
      </w:r>
      <w:r w:rsidRPr="0077273E">
        <w:rPr>
          <w:rFonts w:cs="Tahoma"/>
        </w:rPr>
        <w:t xml:space="preserve">s’étend </w:t>
      </w:r>
      <w:r w:rsidR="00A94325" w:rsidRPr="0077273E">
        <w:rPr>
          <w:rFonts w:cs="Tahoma"/>
        </w:rPr>
        <w:t xml:space="preserve">à </w:t>
      </w:r>
      <w:r w:rsidRPr="0077273E">
        <w:rPr>
          <w:rFonts w:cs="Tahoma"/>
        </w:rPr>
        <w:t xml:space="preserve">toutes les institutions et les partis politiques d’opposition ne disposent que d’une marge de manœuvre </w:t>
      </w:r>
      <w:r w:rsidR="007D7933">
        <w:rPr>
          <w:rFonts w:cs="Tahoma"/>
        </w:rPr>
        <w:t xml:space="preserve">relativement </w:t>
      </w:r>
      <w:r w:rsidRPr="0077273E">
        <w:rPr>
          <w:rFonts w:cs="Tahoma"/>
        </w:rPr>
        <w:t xml:space="preserve">restreinte. </w:t>
      </w:r>
      <w:r w:rsidR="00C8729E" w:rsidRPr="0077273E">
        <w:rPr>
          <w:rFonts w:cs="Tahoma"/>
        </w:rPr>
        <w:t>L</w:t>
      </w:r>
      <w:r w:rsidRPr="0077273E">
        <w:rPr>
          <w:rFonts w:cs="Tahoma"/>
        </w:rPr>
        <w:t xml:space="preserve">a naissance du </w:t>
      </w:r>
      <w:r w:rsidR="00D759A0">
        <w:rPr>
          <w:rFonts w:cs="Tahoma"/>
        </w:rPr>
        <w:t>« </w:t>
      </w:r>
      <w:r w:rsidRPr="0077273E">
        <w:rPr>
          <w:rFonts w:cs="Tahoma"/>
        </w:rPr>
        <w:t>Mouvement du 20 Février</w:t>
      </w:r>
      <w:r w:rsidR="00D759A0">
        <w:rPr>
          <w:rFonts w:cs="Tahoma"/>
        </w:rPr>
        <w:t> »</w:t>
      </w:r>
      <w:r w:rsidRPr="0077273E">
        <w:rPr>
          <w:rFonts w:cs="Tahoma"/>
        </w:rPr>
        <w:t xml:space="preserve"> </w:t>
      </w:r>
      <w:r w:rsidR="00C8729E" w:rsidRPr="0077273E">
        <w:rPr>
          <w:rFonts w:cs="Tahoma"/>
        </w:rPr>
        <w:t>en 2011</w:t>
      </w:r>
      <w:r w:rsidR="000B6C2A" w:rsidRPr="0077273E">
        <w:rPr>
          <w:rFonts w:cs="Tahoma"/>
        </w:rPr>
        <w:t xml:space="preserve"> </w:t>
      </w:r>
      <w:r w:rsidR="00405D6D" w:rsidRPr="0077273E">
        <w:rPr>
          <w:rFonts w:cs="Tahoma"/>
        </w:rPr>
        <w:t>a</w:t>
      </w:r>
      <w:r w:rsidRPr="0077273E">
        <w:rPr>
          <w:rFonts w:cs="Tahoma"/>
        </w:rPr>
        <w:t xml:space="preserve"> néanmoins </w:t>
      </w:r>
      <w:r w:rsidR="00C8729E" w:rsidRPr="0077273E">
        <w:rPr>
          <w:rFonts w:cs="Tahoma"/>
        </w:rPr>
        <w:t>contribué</w:t>
      </w:r>
      <w:r w:rsidRPr="0077273E">
        <w:rPr>
          <w:rFonts w:cs="Tahoma"/>
        </w:rPr>
        <w:t xml:space="preserve"> à ce que </w:t>
      </w:r>
      <w:r w:rsidR="003931E2" w:rsidRPr="0077273E">
        <w:rPr>
          <w:rFonts w:cs="Tahoma"/>
        </w:rPr>
        <w:t>certaines</w:t>
      </w:r>
      <w:r w:rsidRPr="0077273E">
        <w:rPr>
          <w:rFonts w:cs="Tahoma"/>
        </w:rPr>
        <w:t xml:space="preserve"> revendications</w:t>
      </w:r>
      <w:r w:rsidR="00405D6D" w:rsidRPr="0077273E">
        <w:rPr>
          <w:rFonts w:cs="Tahoma"/>
        </w:rPr>
        <w:t xml:space="preserve"> politiques et sociales</w:t>
      </w:r>
      <w:r w:rsidR="003931E2" w:rsidRPr="0077273E">
        <w:rPr>
          <w:rFonts w:cs="Tahoma"/>
        </w:rPr>
        <w:t xml:space="preserve"> soient entendues.</w:t>
      </w:r>
    </w:p>
    <w:p w14:paraId="59AA2E2D" w14:textId="77777777" w:rsidR="003407E5" w:rsidRPr="0077273E" w:rsidRDefault="007A0F6C" w:rsidP="003931E2">
      <w:pPr>
        <w:rPr>
          <w:rFonts w:eastAsia="Tahoma" w:cs="Tahoma"/>
          <w:sz w:val="22"/>
          <w:u w:color="000000"/>
          <w:bdr w:val="nil"/>
          <w:lang w:eastAsia="fr-CH"/>
        </w:rPr>
      </w:pPr>
      <w:r w:rsidRPr="0077273E">
        <w:rPr>
          <w:rFonts w:cs="Tahoma"/>
          <w:u w:color="000000"/>
          <w:bdr w:val="nil"/>
          <w:lang w:eastAsia="fr-CH"/>
        </w:rPr>
        <w:t>A</w:t>
      </w:r>
      <w:r w:rsidR="001760CC" w:rsidRPr="0077273E">
        <w:rPr>
          <w:rFonts w:cs="Tahoma"/>
          <w:u w:color="000000"/>
          <w:bdr w:val="nil"/>
          <w:lang w:eastAsia="fr-CH"/>
        </w:rPr>
        <w:t>insi, a</w:t>
      </w:r>
      <w:r w:rsidRPr="0077273E">
        <w:rPr>
          <w:rFonts w:cs="Tahoma"/>
          <w:u w:color="000000"/>
          <w:bdr w:val="nil"/>
          <w:lang w:eastAsia="fr-CH"/>
        </w:rPr>
        <w:t>u cours des cinq dernières années, le cadre juridique relatif aux droits fondamentaux a fait l’objet d</w:t>
      </w:r>
      <w:r w:rsidR="00301352" w:rsidRPr="0077273E">
        <w:rPr>
          <w:rFonts w:cs="Tahoma"/>
          <w:u w:color="000000"/>
          <w:bdr w:val="nil"/>
          <w:lang w:eastAsia="fr-CH"/>
        </w:rPr>
        <w:t>’importantes réformes</w:t>
      </w:r>
      <w:r w:rsidR="002A5DCC" w:rsidRPr="0077273E">
        <w:rPr>
          <w:rFonts w:cs="Tahoma"/>
          <w:u w:color="000000"/>
          <w:bdr w:val="nil"/>
          <w:lang w:eastAsia="fr-CH"/>
        </w:rPr>
        <w:t xml:space="preserve"> </w:t>
      </w:r>
      <w:r w:rsidR="00301352" w:rsidRPr="0077273E">
        <w:rPr>
          <w:rFonts w:cs="Tahoma"/>
          <w:u w:color="000000"/>
          <w:bdr w:val="nil"/>
          <w:lang w:eastAsia="fr-CH"/>
        </w:rPr>
        <w:t>; le pays a connu une évolution tangible</w:t>
      </w:r>
      <w:r w:rsidR="003931E2" w:rsidRPr="0077273E">
        <w:rPr>
          <w:rFonts w:cs="Tahoma"/>
          <w:u w:color="000000"/>
          <w:bdr w:val="nil"/>
          <w:lang w:eastAsia="fr-CH"/>
        </w:rPr>
        <w:t>, quoiqu’insuffisante,</w:t>
      </w:r>
      <w:r w:rsidR="00301352" w:rsidRPr="0077273E">
        <w:rPr>
          <w:rFonts w:cs="Tahoma"/>
          <w:u w:color="000000"/>
          <w:bdr w:val="nil"/>
          <w:lang w:eastAsia="fr-CH"/>
        </w:rPr>
        <w:t xml:space="preserve"> en matière de protection et de promotion des droits de l’homme.</w:t>
      </w:r>
      <w:r w:rsidR="003407E5" w:rsidRPr="0077273E">
        <w:rPr>
          <w:rFonts w:cs="Tahoma"/>
          <w:u w:color="000000"/>
          <w:bdr w:val="nil"/>
          <w:lang w:eastAsia="fr-CH"/>
        </w:rPr>
        <w:t xml:space="preserve"> </w:t>
      </w:r>
    </w:p>
    <w:p w14:paraId="2A043036" w14:textId="3868732E" w:rsidR="006F4B26" w:rsidRPr="008E641F" w:rsidRDefault="00063B5D" w:rsidP="008E641F">
      <w:pPr>
        <w:pStyle w:val="Heading1"/>
        <w:rPr>
          <w:lang w:val="fr-CH"/>
        </w:rPr>
      </w:pPr>
      <w:bookmarkStart w:id="19" w:name="_Toc461804835"/>
      <w:bookmarkStart w:id="20" w:name="_Toc461806428"/>
      <w:bookmarkStart w:id="21" w:name="_Toc461809661"/>
      <w:bookmarkStart w:id="22" w:name="_Toc462396082"/>
      <w:bookmarkEnd w:id="19"/>
      <w:bookmarkEnd w:id="20"/>
      <w:bookmarkEnd w:id="21"/>
      <w:r w:rsidRPr="0077273E">
        <w:rPr>
          <w:lang w:val="fr-CH"/>
        </w:rPr>
        <w:t>C</w:t>
      </w:r>
      <w:r w:rsidR="00D16038" w:rsidRPr="0077273E">
        <w:rPr>
          <w:lang w:val="fr-CH"/>
        </w:rPr>
        <w:t>adre constitutionnel et législatif</w:t>
      </w:r>
      <w:bookmarkEnd w:id="22"/>
    </w:p>
    <w:p w14:paraId="21B1BB8D" w14:textId="46C16DD3" w:rsidR="00F63275" w:rsidRPr="0077273E" w:rsidRDefault="00F63275" w:rsidP="00050E2E">
      <w:pPr>
        <w:pStyle w:val="Heading2"/>
        <w:rPr>
          <w:lang w:val="fr-CH"/>
        </w:rPr>
      </w:pPr>
      <w:bookmarkStart w:id="23" w:name="_Toc462396083"/>
      <w:r w:rsidRPr="0077273E">
        <w:rPr>
          <w:lang w:val="fr-CH"/>
        </w:rPr>
        <w:t>Adoption d’une nouvelle Constitution en 2011</w:t>
      </w:r>
      <w:r w:rsidR="003407E5" w:rsidRPr="0077273E">
        <w:rPr>
          <w:lang w:val="fr-CH"/>
        </w:rPr>
        <w:t xml:space="preserve"> et réforme du cadre institutionnel</w:t>
      </w:r>
      <w:bookmarkEnd w:id="23"/>
      <w:r w:rsidR="003407E5" w:rsidRPr="0077273E">
        <w:rPr>
          <w:lang w:val="fr-CH"/>
        </w:rPr>
        <w:t xml:space="preserve"> </w:t>
      </w:r>
    </w:p>
    <w:p w14:paraId="059EFF70" w14:textId="24449A79" w:rsidR="003407E5" w:rsidRPr="0077273E" w:rsidRDefault="003407E5" w:rsidP="00050E2E">
      <w:pPr>
        <w:rPr>
          <w:rFonts w:cs="Tahoma"/>
          <w:highlight w:val="yellow"/>
          <w:u w:color="000000"/>
          <w:bdr w:val="nil"/>
          <w:lang w:eastAsia="fr-CH"/>
        </w:rPr>
      </w:pPr>
      <w:r w:rsidRPr="0077273E">
        <w:rPr>
          <w:rFonts w:cs="Tahoma"/>
        </w:rPr>
        <w:t xml:space="preserve">Le 1er juillet 2011, le projet de Constitution a été approuvé à 97,58 %. </w:t>
      </w:r>
      <w:r w:rsidRPr="0077273E">
        <w:rPr>
          <w:rFonts w:cs="Tahoma"/>
          <w:u w:color="000000"/>
          <w:bdr w:val="nil"/>
          <w:lang w:eastAsia="fr-CH"/>
        </w:rPr>
        <w:t>Le nouveau texte accorde une place importante à la protection des droits de l’homme.</w:t>
      </w:r>
      <w:r w:rsidRPr="0077273E">
        <w:rPr>
          <w:rFonts w:cs="Tahoma"/>
          <w:highlight w:val="yellow"/>
          <w:u w:color="000000"/>
          <w:bdr w:val="nil"/>
          <w:lang w:eastAsia="fr-CH"/>
        </w:rPr>
        <w:t xml:space="preserve"> </w:t>
      </w:r>
    </w:p>
    <w:p w14:paraId="52D5316F" w14:textId="721FB856" w:rsidR="003407E5" w:rsidRPr="0077273E" w:rsidRDefault="003407E5" w:rsidP="006F4B26">
      <w:pPr>
        <w:pStyle w:val="Heading3"/>
        <w:rPr>
          <w:rFonts w:cs="Tahoma"/>
          <w:lang w:val="fr-CH"/>
        </w:rPr>
      </w:pPr>
      <w:bookmarkStart w:id="24" w:name="_Toc462396084"/>
      <w:r w:rsidRPr="0077273E">
        <w:rPr>
          <w:rFonts w:cs="Tahoma"/>
          <w:lang w:val="fr-CH"/>
        </w:rPr>
        <w:t xml:space="preserve">Pouvoir exécutif et </w:t>
      </w:r>
      <w:r w:rsidR="006F4B26" w:rsidRPr="0077273E">
        <w:rPr>
          <w:rFonts w:cs="Tahoma"/>
          <w:lang w:val="fr-CH"/>
        </w:rPr>
        <w:t>attributs royaux</w:t>
      </w:r>
      <w:bookmarkEnd w:id="24"/>
    </w:p>
    <w:p w14:paraId="2679D528" w14:textId="783C597F" w:rsidR="00016B2F" w:rsidRPr="0077273E" w:rsidRDefault="00016B2F" w:rsidP="006F4B26">
      <w:pPr>
        <w:rPr>
          <w:rFonts w:cs="Tahoma"/>
        </w:rPr>
      </w:pPr>
      <w:r w:rsidRPr="0077273E">
        <w:rPr>
          <w:rFonts w:cs="Tahoma"/>
        </w:rPr>
        <w:t xml:space="preserve">Le système politique marocain a toujours été caractérisé par la primauté du pouvoir </w:t>
      </w:r>
      <w:r w:rsidR="006F4B26" w:rsidRPr="0077273E">
        <w:rPr>
          <w:rFonts w:cs="Tahoma"/>
        </w:rPr>
        <w:t>monarchique</w:t>
      </w:r>
      <w:r w:rsidRPr="0077273E">
        <w:rPr>
          <w:rFonts w:cs="Tahoma"/>
        </w:rPr>
        <w:t>, à t</w:t>
      </w:r>
      <w:r w:rsidR="006F4B26" w:rsidRPr="0077273E">
        <w:rPr>
          <w:rFonts w:cs="Tahoma"/>
        </w:rPr>
        <w:t>ravers notamment une mainmise du</w:t>
      </w:r>
      <w:r w:rsidR="007D7933">
        <w:rPr>
          <w:rFonts w:cs="Tahoma"/>
        </w:rPr>
        <w:t xml:space="preserve"> </w:t>
      </w:r>
      <w:r w:rsidR="003A0458" w:rsidRPr="0077273E">
        <w:rPr>
          <w:rFonts w:cs="Tahoma"/>
        </w:rPr>
        <w:t xml:space="preserve">roi </w:t>
      </w:r>
      <w:r w:rsidRPr="0077273E">
        <w:rPr>
          <w:rFonts w:cs="Tahoma"/>
        </w:rPr>
        <w:t>sur l’ensemble du système institutionnel, de</w:t>
      </w:r>
      <w:r w:rsidR="00405D6D" w:rsidRPr="0077273E">
        <w:rPr>
          <w:rFonts w:cs="Tahoma"/>
        </w:rPr>
        <w:t xml:space="preserve"> façon subtile ou plus affirmé</w:t>
      </w:r>
      <w:r w:rsidR="00774F01" w:rsidRPr="0077273E">
        <w:rPr>
          <w:rFonts w:cs="Tahoma"/>
        </w:rPr>
        <w:t>e</w:t>
      </w:r>
      <w:r w:rsidRPr="0077273E">
        <w:rPr>
          <w:rFonts w:cs="Tahoma"/>
        </w:rPr>
        <w:t xml:space="preserve">. </w:t>
      </w:r>
      <w:r w:rsidR="00405D6D" w:rsidRPr="0077273E">
        <w:rPr>
          <w:rFonts w:cs="Tahoma"/>
        </w:rPr>
        <w:t>La Constitution</w:t>
      </w:r>
      <w:r w:rsidRPr="0077273E">
        <w:rPr>
          <w:rFonts w:cs="Tahoma"/>
        </w:rPr>
        <w:t xml:space="preserve"> du 1</w:t>
      </w:r>
      <w:r w:rsidRPr="0077273E">
        <w:rPr>
          <w:rFonts w:cs="Tahoma"/>
          <w:vertAlign w:val="superscript"/>
        </w:rPr>
        <w:t>er</w:t>
      </w:r>
      <w:r w:rsidRPr="0077273E">
        <w:rPr>
          <w:rFonts w:cs="Tahoma"/>
        </w:rPr>
        <w:t xml:space="preserve"> juillet 2011 </w:t>
      </w:r>
      <w:r w:rsidR="00405D6D" w:rsidRPr="0077273E">
        <w:rPr>
          <w:rFonts w:cs="Tahoma"/>
        </w:rPr>
        <w:t xml:space="preserve">a </w:t>
      </w:r>
      <w:r w:rsidR="006F4B26" w:rsidRPr="0077273E">
        <w:rPr>
          <w:rFonts w:cs="Tahoma"/>
        </w:rPr>
        <w:t>tenté</w:t>
      </w:r>
      <w:r w:rsidR="00405D6D" w:rsidRPr="0077273E">
        <w:rPr>
          <w:rFonts w:cs="Tahoma"/>
        </w:rPr>
        <w:t xml:space="preserve"> </w:t>
      </w:r>
      <w:r w:rsidR="006F4B26" w:rsidRPr="0077273E">
        <w:rPr>
          <w:rFonts w:cs="Tahoma"/>
        </w:rPr>
        <w:t>de</w:t>
      </w:r>
      <w:r w:rsidRPr="0077273E">
        <w:rPr>
          <w:rFonts w:cs="Tahoma"/>
        </w:rPr>
        <w:t xml:space="preserve"> « moderniser » </w:t>
      </w:r>
      <w:r w:rsidR="0083211C" w:rsidRPr="0077273E">
        <w:rPr>
          <w:rFonts w:cs="Tahoma"/>
        </w:rPr>
        <w:t xml:space="preserve">le concept de l’autorité royale, </w:t>
      </w:r>
      <w:r w:rsidRPr="0077273E">
        <w:rPr>
          <w:rFonts w:cs="Tahoma"/>
        </w:rPr>
        <w:t>sans pour autant bouleverser la co</w:t>
      </w:r>
      <w:r w:rsidR="006F4B26" w:rsidRPr="0077273E">
        <w:rPr>
          <w:rFonts w:cs="Tahoma"/>
        </w:rPr>
        <w:t xml:space="preserve">nception première qui l’anime, celle-ci s’en trouvant </w:t>
      </w:r>
      <w:r w:rsidRPr="0077273E">
        <w:rPr>
          <w:rFonts w:cs="Tahoma"/>
        </w:rPr>
        <w:t>même</w:t>
      </w:r>
      <w:r w:rsidR="007D7933">
        <w:rPr>
          <w:rFonts w:cs="Tahoma"/>
        </w:rPr>
        <w:t>,</w:t>
      </w:r>
      <w:r w:rsidRPr="0077273E">
        <w:rPr>
          <w:rFonts w:cs="Tahoma"/>
        </w:rPr>
        <w:t xml:space="preserve"> paradoxalement</w:t>
      </w:r>
      <w:r w:rsidR="007D7933">
        <w:rPr>
          <w:rFonts w:cs="Tahoma"/>
        </w:rPr>
        <w:t>,</w:t>
      </w:r>
      <w:r w:rsidRPr="0077273E">
        <w:rPr>
          <w:rFonts w:cs="Tahoma"/>
        </w:rPr>
        <w:t xml:space="preserve"> renforcée.</w:t>
      </w:r>
    </w:p>
    <w:p w14:paraId="2814B8C9" w14:textId="3D9B84DA" w:rsidR="006F4B26" w:rsidRPr="0077273E" w:rsidRDefault="006F4B26" w:rsidP="008E641F">
      <w:r w:rsidRPr="0077273E">
        <w:t>En effet, bien que l’article 1</w:t>
      </w:r>
      <w:r w:rsidRPr="0077273E">
        <w:rPr>
          <w:vertAlign w:val="superscript"/>
        </w:rPr>
        <w:t xml:space="preserve">er </w:t>
      </w:r>
      <w:r w:rsidRPr="0077273E">
        <w:t>de la nouvelle Constitution dispose que le Maroc est une monarchie parlementaire, dans la réalité le</w:t>
      </w:r>
      <w:r w:rsidR="00B307A8" w:rsidRPr="0077273E">
        <w:t xml:space="preserve"> </w:t>
      </w:r>
      <w:r w:rsidR="003A0458" w:rsidRPr="0077273E">
        <w:t xml:space="preserve">roi </w:t>
      </w:r>
      <w:r w:rsidRPr="0077273E">
        <w:t xml:space="preserve">reste le chef de l’Etat et conserve toute une série de prérogatives </w:t>
      </w:r>
      <w:r w:rsidRPr="0077273E">
        <w:lastRenderedPageBreak/>
        <w:t>dévolues par l’article 42 de la Constitution</w:t>
      </w:r>
      <w:r w:rsidRPr="0077273E">
        <w:rPr>
          <w:rStyle w:val="Appelnotedebasdep4"/>
          <w:szCs w:val="20"/>
        </w:rPr>
        <w:footnoteReference w:id="2"/>
      </w:r>
      <w:r w:rsidRPr="0077273E">
        <w:t xml:space="preserve"> et </w:t>
      </w:r>
      <w:r w:rsidR="007D7933">
        <w:t xml:space="preserve">dont il peut user </w:t>
      </w:r>
      <w:r w:rsidRPr="0077273E">
        <w:t xml:space="preserve">sans le </w:t>
      </w:r>
      <w:r w:rsidRPr="004559AA">
        <w:t>contreseing ministériel,</w:t>
      </w:r>
      <w:r w:rsidRPr="0077273E">
        <w:t xml:space="preserve"> sous forme de </w:t>
      </w:r>
      <w:r w:rsidRPr="0077273E">
        <w:rPr>
          <w:i/>
          <w:iCs/>
        </w:rPr>
        <w:t>Dahirs</w:t>
      </w:r>
      <w:r w:rsidRPr="0077273E">
        <w:rPr>
          <w:rStyle w:val="Appelnotedebasdep3"/>
          <w:szCs w:val="20"/>
        </w:rPr>
        <w:footnoteReference w:id="3"/>
      </w:r>
      <w:r w:rsidRPr="0077273E">
        <w:t xml:space="preserve">. </w:t>
      </w:r>
    </w:p>
    <w:p w14:paraId="7254B62F" w14:textId="14710415" w:rsidR="006F4B26" w:rsidRPr="0077273E" w:rsidRDefault="006F4B26" w:rsidP="008E641F">
      <w:r w:rsidRPr="0077273E">
        <w:t>Cependant, l</w:t>
      </w:r>
      <w:r w:rsidR="00301352" w:rsidRPr="0077273E">
        <w:t xml:space="preserve">a </w:t>
      </w:r>
      <w:r w:rsidR="00405D6D" w:rsidRPr="0077273E">
        <w:t xml:space="preserve">Constitution de 2011 a </w:t>
      </w:r>
      <w:r w:rsidRPr="0077273E">
        <w:t xml:space="preserve">également </w:t>
      </w:r>
      <w:r w:rsidR="00405D6D" w:rsidRPr="0077273E">
        <w:t>renforcé</w:t>
      </w:r>
      <w:r w:rsidR="00D759A0">
        <w:t xml:space="preserve"> les pouvoirs du p</w:t>
      </w:r>
      <w:r w:rsidR="00301352" w:rsidRPr="0077273E">
        <w:t xml:space="preserve">remier ministre, qui devient </w:t>
      </w:r>
      <w:r w:rsidR="00405D6D" w:rsidRPr="0077273E">
        <w:t>chef du gouvernement, et élargi</w:t>
      </w:r>
      <w:r w:rsidR="007D7933">
        <w:t xml:space="preserve"> le champ de compétence</w:t>
      </w:r>
      <w:r w:rsidR="00301352" w:rsidRPr="0077273E">
        <w:t xml:space="preserve"> du Parlement. Le chef du gouvernement peut dissoudre la Chambre des représentants par décret pris en Conseil des ministres</w:t>
      </w:r>
      <w:r w:rsidR="007D7933">
        <w:t xml:space="preserve"> et le </w:t>
      </w:r>
      <w:r w:rsidR="003A0458" w:rsidRPr="0077273E">
        <w:t xml:space="preserve">roi </w:t>
      </w:r>
      <w:r w:rsidR="00301352" w:rsidRPr="0077273E">
        <w:t xml:space="preserve">est désormais tenu de </w:t>
      </w:r>
      <w:r w:rsidR="007D7933">
        <w:t xml:space="preserve">le </w:t>
      </w:r>
      <w:r w:rsidR="00301352" w:rsidRPr="0077273E">
        <w:t>nommer au sein du parti politique qui a obtenu le plus de voix aux élections</w:t>
      </w:r>
      <w:r w:rsidR="007D7933">
        <w:t xml:space="preserve"> législatives</w:t>
      </w:r>
      <w:r w:rsidR="00301352" w:rsidRPr="0077273E">
        <w:t xml:space="preserve">. </w:t>
      </w:r>
    </w:p>
    <w:p w14:paraId="75F9BE13" w14:textId="771E04F6" w:rsidR="00DD0E2D" w:rsidRPr="0077273E" w:rsidRDefault="00DD0E2D" w:rsidP="008E641F">
      <w:r w:rsidRPr="0077273E">
        <w:t>L’</w:t>
      </w:r>
      <w:r w:rsidR="0083211C" w:rsidRPr="0077273E">
        <w:t>architecture constitutionnelle</w:t>
      </w:r>
      <w:r w:rsidRPr="0077273E">
        <w:t xml:space="preserve"> actuelle</w:t>
      </w:r>
      <w:r w:rsidR="0083211C" w:rsidRPr="0077273E">
        <w:t xml:space="preserve"> envisage </w:t>
      </w:r>
      <w:r w:rsidR="007D7933">
        <w:t xml:space="preserve">donc </w:t>
      </w:r>
      <w:r w:rsidR="0083211C" w:rsidRPr="0077273E">
        <w:t>une nouvelle répartition des pouvoirs</w:t>
      </w:r>
      <w:r w:rsidRPr="0077273E">
        <w:t>, clarifie les</w:t>
      </w:r>
      <w:r w:rsidR="006F4B26" w:rsidRPr="0077273E">
        <w:t xml:space="preserve"> prérogatives</w:t>
      </w:r>
      <w:r w:rsidR="0083211C" w:rsidRPr="0077273E">
        <w:t xml:space="preserve"> </w:t>
      </w:r>
      <w:r w:rsidR="006F4B26" w:rsidRPr="0077273E">
        <w:t>de chacun d’eux</w:t>
      </w:r>
      <w:r w:rsidR="007D7933">
        <w:t xml:space="preserve"> et</w:t>
      </w:r>
      <w:r w:rsidR="0083211C" w:rsidRPr="0077273E">
        <w:t xml:space="preserve"> </w:t>
      </w:r>
      <w:r w:rsidRPr="0077273E">
        <w:t>élargit les pouvoirs</w:t>
      </w:r>
      <w:r w:rsidR="0083211C" w:rsidRPr="0077273E">
        <w:t xml:space="preserve"> </w:t>
      </w:r>
      <w:r w:rsidRPr="0077273E">
        <w:t>du</w:t>
      </w:r>
      <w:r w:rsidR="0083211C" w:rsidRPr="0077273E">
        <w:t xml:space="preserve"> gouvernement et </w:t>
      </w:r>
      <w:r w:rsidRPr="0077273E">
        <w:t>du</w:t>
      </w:r>
      <w:r w:rsidR="0083211C" w:rsidRPr="0077273E">
        <w:t xml:space="preserve"> parlement. </w:t>
      </w:r>
    </w:p>
    <w:p w14:paraId="4654D996" w14:textId="55016F84" w:rsidR="00190E56" w:rsidRPr="0077273E" w:rsidRDefault="006F4B26" w:rsidP="008E641F">
      <w:r w:rsidRPr="0077273E">
        <w:t>Les prérogatives principales du</w:t>
      </w:r>
      <w:r w:rsidR="00B307A8" w:rsidRPr="0077273E">
        <w:t xml:space="preserve"> </w:t>
      </w:r>
      <w:r w:rsidR="003A0458" w:rsidRPr="0077273E">
        <w:t xml:space="preserve">roi </w:t>
      </w:r>
      <w:r w:rsidRPr="0077273E">
        <w:t>sont clairement identifiées : il</w:t>
      </w:r>
      <w:r w:rsidR="00190E56" w:rsidRPr="0077273E">
        <w:t xml:space="preserve"> nom</w:t>
      </w:r>
      <w:r w:rsidRPr="0077273E">
        <w:t>me le chef du</w:t>
      </w:r>
      <w:r w:rsidR="00190E56" w:rsidRPr="0077273E">
        <w:t xml:space="preserve"> gouvernement </w:t>
      </w:r>
      <w:r w:rsidRPr="0077273E">
        <w:t>et peut le dé</w:t>
      </w:r>
      <w:r w:rsidR="00190E56" w:rsidRPr="0077273E">
        <w:t>mettre de ses fonctions</w:t>
      </w:r>
      <w:r w:rsidRPr="0077273E">
        <w:t xml:space="preserve"> (article 47, alinéas 1 et 6) ;</w:t>
      </w:r>
      <w:r w:rsidR="00190E56" w:rsidRPr="0077273E">
        <w:t xml:space="preserve"> </w:t>
      </w:r>
      <w:r w:rsidR="007D7933">
        <w:t xml:space="preserve">il </w:t>
      </w:r>
      <w:r w:rsidRPr="0077273E">
        <w:t xml:space="preserve">peut dissoudre </w:t>
      </w:r>
      <w:r w:rsidR="007D7933">
        <w:t>les deux chambres (article 51),</w:t>
      </w:r>
      <w:r w:rsidRPr="0077273E">
        <w:t xml:space="preserve"> approuve la nomination </w:t>
      </w:r>
      <w:r w:rsidR="00190E56" w:rsidRPr="0077273E">
        <w:t>des magistrats par le Conseil supérieur du pou</w:t>
      </w:r>
      <w:r w:rsidR="007D7933">
        <w:t>voir judiciaire (article 57),</w:t>
      </w:r>
      <w:r w:rsidR="00D21008" w:rsidRPr="0077273E">
        <w:t xml:space="preserve"> </w:t>
      </w:r>
      <w:r w:rsidRPr="0077273E">
        <w:t>prononce l’é</w:t>
      </w:r>
      <w:r w:rsidR="007D7933">
        <w:t>tat d’exception (article 59),</w:t>
      </w:r>
      <w:r w:rsidR="00190E56" w:rsidRPr="0077273E">
        <w:t xml:space="preserve"> nom</w:t>
      </w:r>
      <w:r w:rsidRPr="0077273E">
        <w:t xml:space="preserve">me les </w:t>
      </w:r>
      <w:r w:rsidR="008E641F">
        <w:t>six</w:t>
      </w:r>
      <w:r w:rsidR="00190E56" w:rsidRPr="0077273E">
        <w:t xml:space="preserve"> </w:t>
      </w:r>
      <w:r w:rsidR="00D21008" w:rsidRPr="0077273E">
        <w:t xml:space="preserve">des </w:t>
      </w:r>
      <w:r w:rsidR="00190E56" w:rsidRPr="0077273E">
        <w:t>12 membres de la Cour constitutionnelle (article 130 alinéa 1er)</w:t>
      </w:r>
      <w:r w:rsidR="007D7933">
        <w:t xml:space="preserve"> et enfin</w:t>
      </w:r>
      <w:r w:rsidR="003A1F4F" w:rsidRPr="0077273E">
        <w:t xml:space="preserve"> dispose du </w:t>
      </w:r>
      <w:r w:rsidR="00D21008" w:rsidRPr="0077273E">
        <w:t xml:space="preserve">pouvoir de </w:t>
      </w:r>
      <w:r w:rsidR="00190E56" w:rsidRPr="0077273E">
        <w:t>réviser la Constitution (article 174).</w:t>
      </w:r>
      <w:r w:rsidR="00D21008" w:rsidRPr="0077273E">
        <w:t xml:space="preserve"> </w:t>
      </w:r>
    </w:p>
    <w:p w14:paraId="124FBC19" w14:textId="039478E0" w:rsidR="00863360" w:rsidRPr="0077273E" w:rsidRDefault="00190E56" w:rsidP="008E641F">
      <w:r w:rsidRPr="0077273E">
        <w:t>Le</w:t>
      </w:r>
      <w:r w:rsidR="00B307A8" w:rsidRPr="0077273E">
        <w:t xml:space="preserve"> </w:t>
      </w:r>
      <w:r w:rsidR="003A0458" w:rsidRPr="0077273E">
        <w:t xml:space="preserve">roi </w:t>
      </w:r>
      <w:r w:rsidRPr="0077273E">
        <w:t xml:space="preserve">préside également le Conseil des ministres, le </w:t>
      </w:r>
      <w:r w:rsidR="00183A37" w:rsidRPr="0077273E">
        <w:t>Conseil supérieur du pouvoir judiciaire (CSPJ)</w:t>
      </w:r>
      <w:r w:rsidRPr="0077273E">
        <w:t xml:space="preserve"> qui remplace l’ancien Conseil supérieur de la magistrature et le nouveau Conseil supérieur de sécurité, instance </w:t>
      </w:r>
      <w:r w:rsidR="000C25E2">
        <w:t xml:space="preserve">consultative </w:t>
      </w:r>
      <w:r w:rsidRPr="0077273E">
        <w:t>sur les stratégies de sécurité intérieure et extérieure du pays et de gestion des situations de crise</w:t>
      </w:r>
      <w:r w:rsidR="000C25E2">
        <w:t>,</w:t>
      </w:r>
      <w:r w:rsidR="00183A37" w:rsidRPr="0077273E">
        <w:t xml:space="preserve"> </w:t>
      </w:r>
      <w:r w:rsidRPr="0077273E">
        <w:t>censé</w:t>
      </w:r>
      <w:r w:rsidR="000C25E2">
        <w:t>e</w:t>
      </w:r>
      <w:r w:rsidRPr="0077273E">
        <w:t xml:space="preserve"> veiller à l’institutionnalisation des normes d’une « bonne gouvernance sécuritaire ». </w:t>
      </w:r>
    </w:p>
    <w:p w14:paraId="40EDC44C" w14:textId="77777777" w:rsidR="00863360" w:rsidRPr="0077273E" w:rsidRDefault="004141FD" w:rsidP="008E641F">
      <w:r w:rsidRPr="0077273E">
        <w:t>Il a par ailleurs</w:t>
      </w:r>
      <w:r w:rsidR="00863360" w:rsidRPr="0077273E">
        <w:t xml:space="preserve"> conservé ses prérogatives illimitées en matière de droit de grâce</w:t>
      </w:r>
      <w:r w:rsidR="00863360" w:rsidRPr="0077273E">
        <w:rPr>
          <w:rStyle w:val="Appelnotedebasdep3"/>
          <w:szCs w:val="20"/>
        </w:rPr>
        <w:footnoteReference w:id="4"/>
      </w:r>
      <w:r w:rsidR="00863360" w:rsidRPr="0077273E">
        <w:t xml:space="preserve">, laquelle peut intervenir, selon la Loi du 6 avril 1953 amendée par la Loi du 8 octobre 1977, à n’importe quelle étape du processus judiciaire et même avant toute poursuite pénale. </w:t>
      </w:r>
    </w:p>
    <w:p w14:paraId="48BFDC5D" w14:textId="4A0C068B" w:rsidR="008D025B" w:rsidRPr="0077273E" w:rsidRDefault="008D025B" w:rsidP="00050E2E">
      <w:pPr>
        <w:pStyle w:val="Heading3"/>
        <w:rPr>
          <w:rFonts w:cs="Tahoma"/>
          <w:u w:color="000000"/>
          <w:bdr w:val="nil"/>
          <w:lang w:val="fr-CH"/>
        </w:rPr>
      </w:pPr>
      <w:bookmarkStart w:id="25" w:name="_Toc462396085"/>
      <w:r w:rsidRPr="0077273E">
        <w:rPr>
          <w:rFonts w:cs="Tahoma"/>
          <w:u w:color="000000"/>
          <w:bdr w:val="nil"/>
          <w:lang w:val="fr-CH"/>
        </w:rPr>
        <w:t>Réforme du pouvoir législatif</w:t>
      </w:r>
      <w:bookmarkEnd w:id="25"/>
      <w:r w:rsidRPr="0077273E">
        <w:rPr>
          <w:rFonts w:cs="Tahoma"/>
          <w:u w:color="000000"/>
          <w:bdr w:val="nil"/>
          <w:lang w:val="fr-CH"/>
        </w:rPr>
        <w:t xml:space="preserve"> </w:t>
      </w:r>
    </w:p>
    <w:p w14:paraId="6D386C0C" w14:textId="2249CB50" w:rsidR="00F63275" w:rsidRPr="0077273E" w:rsidRDefault="008E641F" w:rsidP="008E641F">
      <w:r>
        <w:t>L</w:t>
      </w:r>
      <w:r w:rsidR="00F63275" w:rsidRPr="0077273E">
        <w:t xml:space="preserve">e système des deux chambres </w:t>
      </w:r>
      <w:r w:rsidR="004141FD" w:rsidRPr="0077273E">
        <w:t>a été</w:t>
      </w:r>
      <w:r w:rsidR="00F63275" w:rsidRPr="0077273E">
        <w:t xml:space="preserve"> maintenu</w:t>
      </w:r>
      <w:r w:rsidR="004141FD" w:rsidRPr="0077273E">
        <w:t>,</w:t>
      </w:r>
      <w:r w:rsidR="00F63275" w:rsidRPr="0077273E">
        <w:t xml:space="preserve"> mais seule la Chambre des représentants, élue au suffrage universel direct, peut mettre en jeu la responsabilité du gouvernement</w:t>
      </w:r>
      <w:r w:rsidR="00F63275" w:rsidRPr="0077273E">
        <w:rPr>
          <w:rStyle w:val="Appelnotedebasdep4"/>
          <w:szCs w:val="20"/>
        </w:rPr>
        <w:footnoteReference w:id="5"/>
      </w:r>
      <w:r w:rsidR="00F63275" w:rsidRPr="0077273E">
        <w:t xml:space="preserve">. </w:t>
      </w:r>
      <w:r w:rsidR="004141FD" w:rsidRPr="0077273E">
        <w:t>L</w:t>
      </w:r>
      <w:r w:rsidR="000C25E2">
        <w:t xml:space="preserve">e fonctionnement des </w:t>
      </w:r>
      <w:r w:rsidR="00F63275" w:rsidRPr="0077273E">
        <w:t xml:space="preserve">mécanismes </w:t>
      </w:r>
      <w:r w:rsidR="003A1F4F" w:rsidRPr="0077273E">
        <w:t xml:space="preserve">de contrôle (motion de censure, commissions d'enquête, saisine de la Cour constitutionnelle, convocation d'une session extraordinaire) </w:t>
      </w:r>
      <w:r w:rsidR="000C25E2">
        <w:t>a été assoupli</w:t>
      </w:r>
      <w:r w:rsidR="00F63275" w:rsidRPr="0077273E">
        <w:t xml:space="preserve"> par le nouveau texte </w:t>
      </w:r>
      <w:r w:rsidR="00F63275" w:rsidRPr="0084571A">
        <w:t>constitutionnel.</w:t>
      </w:r>
    </w:p>
    <w:p w14:paraId="353C142D" w14:textId="77777777" w:rsidR="00F63275" w:rsidRPr="0077273E" w:rsidRDefault="00F63275" w:rsidP="008E641F">
      <w:r w:rsidRPr="0077273E">
        <w:t xml:space="preserve">L’article 71 de la nouvelle Constitution a </w:t>
      </w:r>
      <w:r w:rsidR="00080FEE">
        <w:t xml:space="preserve">également </w:t>
      </w:r>
      <w:r w:rsidRPr="0077273E">
        <w:t>élargi les domaines</w:t>
      </w:r>
      <w:r w:rsidR="00087ADA" w:rsidRPr="0077273E">
        <w:t xml:space="preserve"> de compétence du Parlement, </w:t>
      </w:r>
      <w:r w:rsidRPr="0077273E">
        <w:t>n</w:t>
      </w:r>
      <w:r w:rsidR="00AF61D7">
        <w:t>otamment en matière de garanties</w:t>
      </w:r>
      <w:r w:rsidRPr="0077273E">
        <w:t xml:space="preserve"> des droits et libertés, d'amnistie, de découpage électoral et sur plusieurs aspects de la vie civile, économique et sociale. Tous ces domaines relevaient auparavant exclusivement du pouvoir exécutif. </w:t>
      </w:r>
      <w:r w:rsidR="00087ADA" w:rsidRPr="0077273E">
        <w:t>La Cour constitutionnelle</w:t>
      </w:r>
      <w:r w:rsidR="00622C2A" w:rsidRPr="0077273E">
        <w:t>,</w:t>
      </w:r>
      <w:r w:rsidR="00087ADA" w:rsidRPr="0077273E">
        <w:t xml:space="preserve"> créée en 2011</w:t>
      </w:r>
      <w:r w:rsidR="00622C2A" w:rsidRPr="0077273E">
        <w:t>,</w:t>
      </w:r>
      <w:r w:rsidRPr="0077273E">
        <w:t xml:space="preserve"> </w:t>
      </w:r>
      <w:r w:rsidR="00087ADA" w:rsidRPr="0077273E">
        <w:t>contrôle</w:t>
      </w:r>
      <w:r w:rsidRPr="0077273E">
        <w:t xml:space="preserve"> cette répartition des domaines de compétences. </w:t>
      </w:r>
    </w:p>
    <w:p w14:paraId="66500371" w14:textId="6C26C544" w:rsidR="008D025B" w:rsidRPr="0077273E" w:rsidRDefault="008D025B" w:rsidP="00050E2E">
      <w:pPr>
        <w:pStyle w:val="Heading3"/>
        <w:rPr>
          <w:rFonts w:cs="Tahoma"/>
          <w:u w:color="000000"/>
          <w:bdr w:val="nil"/>
          <w:lang w:val="fr-CH"/>
        </w:rPr>
      </w:pPr>
      <w:bookmarkStart w:id="26" w:name="_Toc462396086"/>
      <w:r w:rsidRPr="0077273E">
        <w:rPr>
          <w:rFonts w:cs="Tahoma"/>
          <w:u w:color="000000"/>
          <w:bdr w:val="nil"/>
          <w:lang w:val="fr-CH"/>
        </w:rPr>
        <w:t>L’institution Nationale des Droits de l’homme</w:t>
      </w:r>
      <w:bookmarkEnd w:id="26"/>
      <w:r w:rsidRPr="0077273E">
        <w:rPr>
          <w:rFonts w:cs="Tahoma"/>
          <w:u w:color="000000"/>
          <w:bdr w:val="nil"/>
          <w:lang w:val="fr-CH"/>
        </w:rPr>
        <w:t xml:space="preserve"> </w:t>
      </w:r>
    </w:p>
    <w:p w14:paraId="1C7392AA" w14:textId="77777777" w:rsidR="008D025B" w:rsidRPr="004559AA" w:rsidRDefault="008D025B" w:rsidP="00050E2E">
      <w:pPr>
        <w:rPr>
          <w:rFonts w:cs="Tahoma"/>
        </w:rPr>
      </w:pPr>
      <w:r w:rsidRPr="004559AA">
        <w:rPr>
          <w:rFonts w:cs="Tahoma"/>
        </w:rPr>
        <w:t xml:space="preserve">Le mandat, la composition et le fonctionnement du Conseil national des droits de l’homme (CNDH) sont établis par un </w:t>
      </w:r>
      <w:r w:rsidRPr="004559AA">
        <w:rPr>
          <w:rFonts w:cs="Tahoma"/>
          <w:i/>
        </w:rPr>
        <w:t>dahir</w:t>
      </w:r>
      <w:r w:rsidRPr="004559AA">
        <w:rPr>
          <w:rFonts w:cs="Tahoma"/>
        </w:rPr>
        <w:t xml:space="preserve"> royal.</w:t>
      </w:r>
    </w:p>
    <w:p w14:paraId="18CE4C11" w14:textId="5E561727" w:rsidR="008D025B" w:rsidRPr="004559AA" w:rsidRDefault="008D025B" w:rsidP="00AF61D7">
      <w:pPr>
        <w:rPr>
          <w:rFonts w:cs="Tahoma"/>
        </w:rPr>
      </w:pPr>
      <w:r w:rsidRPr="004559AA">
        <w:rPr>
          <w:rFonts w:cs="Tahoma"/>
        </w:rPr>
        <w:t xml:space="preserve">Le règlement intérieur du CNDH, son ordre du jour et les résultats de ses travaux </w:t>
      </w:r>
      <w:r w:rsidR="003A0458" w:rsidRPr="004559AA">
        <w:rPr>
          <w:rFonts w:cs="Tahoma"/>
        </w:rPr>
        <w:t>sont soumis à l’approbation du</w:t>
      </w:r>
      <w:r w:rsidR="00AF61D7" w:rsidRPr="004559AA">
        <w:rPr>
          <w:rFonts w:cs="Tahoma"/>
        </w:rPr>
        <w:t xml:space="preserve"> </w:t>
      </w:r>
      <w:r w:rsidR="003A0458" w:rsidRPr="004559AA">
        <w:rPr>
          <w:rFonts w:cs="Tahoma"/>
        </w:rPr>
        <w:t xml:space="preserve">roi </w:t>
      </w:r>
      <w:r w:rsidRPr="004559AA">
        <w:rPr>
          <w:rFonts w:cs="Tahoma"/>
        </w:rPr>
        <w:t>; de même, ses rapports, avis, recommandations et propositions ne peuvent être publiés qu’après avoir é</w:t>
      </w:r>
      <w:r w:rsidR="003A0458" w:rsidRPr="004559AA">
        <w:rPr>
          <w:rFonts w:cs="Tahoma"/>
        </w:rPr>
        <w:t>té p</w:t>
      </w:r>
      <w:r w:rsidR="00AF61D7" w:rsidRPr="004559AA">
        <w:rPr>
          <w:rFonts w:cs="Tahoma"/>
        </w:rPr>
        <w:t>ortés à la connaissance du roi s</w:t>
      </w:r>
      <w:r w:rsidR="003A0458" w:rsidRPr="004559AA">
        <w:rPr>
          <w:rFonts w:cs="Tahoma"/>
        </w:rPr>
        <w:t>ans l’approbation du</w:t>
      </w:r>
      <w:r w:rsidR="00AF61D7" w:rsidRPr="004559AA">
        <w:rPr>
          <w:rFonts w:cs="Tahoma"/>
        </w:rPr>
        <w:t>quel</w:t>
      </w:r>
      <w:r w:rsidR="003A0458" w:rsidRPr="004559AA">
        <w:rPr>
          <w:rFonts w:cs="Tahoma"/>
        </w:rPr>
        <w:t xml:space="preserve"> le p</w:t>
      </w:r>
      <w:r w:rsidRPr="004559AA">
        <w:rPr>
          <w:rFonts w:cs="Tahoma"/>
        </w:rPr>
        <w:t xml:space="preserve">résident du CNDH ne peut proposer la création d’une commission </w:t>
      </w:r>
      <w:r w:rsidRPr="004559AA">
        <w:rPr>
          <w:rFonts w:cs="Tahoma"/>
          <w:i/>
        </w:rPr>
        <w:t>ad hoc</w:t>
      </w:r>
      <w:r w:rsidRPr="004559AA">
        <w:rPr>
          <w:rFonts w:cs="Tahoma"/>
        </w:rPr>
        <w:t xml:space="preserve"> pour l’examen d’une affaire donnée relevant de sa compétence ni déléguer une partie de ses attributions à des membres du Conseil.</w:t>
      </w:r>
    </w:p>
    <w:p w14:paraId="3D48E684" w14:textId="5ED41929" w:rsidR="008D025B" w:rsidRPr="0077273E" w:rsidRDefault="008D025B" w:rsidP="00050E2E">
      <w:pPr>
        <w:rPr>
          <w:rFonts w:cs="Tahoma"/>
        </w:rPr>
      </w:pPr>
      <w:r w:rsidRPr="0077273E">
        <w:rPr>
          <w:rFonts w:cs="Tahoma"/>
        </w:rPr>
        <w:lastRenderedPageBreak/>
        <w:t>Le CNDH ne peut pas davantage se pencher, de sa propre initiative, sur les situations de violations graves des droits de l’homme : ses activités sont donc systématiqueme</w:t>
      </w:r>
      <w:r w:rsidR="003A0458" w:rsidRPr="0077273E">
        <w:rPr>
          <w:rFonts w:cs="Tahoma"/>
        </w:rPr>
        <w:t>nt soumises à l’approbation du r</w:t>
      </w:r>
      <w:r w:rsidRPr="0077273E">
        <w:rPr>
          <w:rFonts w:cs="Tahoma"/>
        </w:rPr>
        <w:t>oi.</w:t>
      </w:r>
    </w:p>
    <w:p w14:paraId="30C03497" w14:textId="094DBAF9" w:rsidR="008D025B" w:rsidRPr="0077273E" w:rsidRDefault="008D025B" w:rsidP="00050E2E">
      <w:pPr>
        <w:rPr>
          <w:rFonts w:cs="Tahoma"/>
        </w:rPr>
      </w:pPr>
      <w:r w:rsidRPr="0077273E">
        <w:rPr>
          <w:rFonts w:cs="Tahoma"/>
        </w:rPr>
        <w:t>Les 13 présidents des commissions régionales, membres à part entière du Conseil, sont également nommés par le</w:t>
      </w:r>
      <w:r w:rsidR="003A0458" w:rsidRPr="0077273E">
        <w:rPr>
          <w:rFonts w:cs="Tahoma"/>
        </w:rPr>
        <w:t xml:space="preserve"> roi </w:t>
      </w:r>
      <w:r w:rsidRPr="0077273E">
        <w:rPr>
          <w:rFonts w:cs="Tahoma"/>
        </w:rPr>
        <w:t>sur proposition du président du CNDH après consultation du bureau de coordination.</w:t>
      </w:r>
    </w:p>
    <w:p w14:paraId="1E850614" w14:textId="77777777" w:rsidR="00FB382C" w:rsidRPr="0077273E" w:rsidRDefault="008D025B" w:rsidP="004559AA">
      <w:pPr>
        <w:rPr>
          <w:rFonts w:cs="Tahoma"/>
        </w:rPr>
      </w:pPr>
      <w:r w:rsidRPr="0077273E">
        <w:rPr>
          <w:rFonts w:cs="Tahoma"/>
        </w:rPr>
        <w:t xml:space="preserve">Il en découle un </w:t>
      </w:r>
      <w:r w:rsidR="004559AA">
        <w:rPr>
          <w:rFonts w:cs="Tahoma"/>
        </w:rPr>
        <w:t xml:space="preserve">déficit </w:t>
      </w:r>
      <w:r w:rsidRPr="0077273E">
        <w:rPr>
          <w:rFonts w:cs="Tahoma"/>
        </w:rPr>
        <w:t>d’i</w:t>
      </w:r>
      <w:r w:rsidR="003A0458" w:rsidRPr="0077273E">
        <w:rPr>
          <w:rFonts w:cs="Tahoma"/>
        </w:rPr>
        <w:t>ndépendance du CNDH vis-à-vis du pouvoir royal</w:t>
      </w:r>
      <w:r w:rsidRPr="0077273E">
        <w:rPr>
          <w:rFonts w:cs="Tahoma"/>
        </w:rPr>
        <w:t xml:space="preserve"> et, par conséquent, de conformité aux Principes de Paris</w:t>
      </w:r>
      <w:r w:rsidRPr="0077273E">
        <w:rPr>
          <w:rStyle w:val="FootnoteReference"/>
          <w:rFonts w:cs="Tahoma"/>
          <w:szCs w:val="20"/>
        </w:rPr>
        <w:footnoteReference w:id="6"/>
      </w:r>
      <w:r w:rsidRPr="0077273E">
        <w:rPr>
          <w:rFonts w:cs="Tahoma"/>
        </w:rPr>
        <w:t>. C’est pourquoi Alkarama avait préconisé, en août 2015, à l’occasion du dernier examen du CNDH par le sous-comité d’accréditation (SCA), que l’institution se voie accorder un statut B ; le SCA a néanmoins décidé de la ré-accréditer avec un statut A</w:t>
      </w:r>
      <w:r w:rsidRPr="0077273E">
        <w:rPr>
          <w:rStyle w:val="FootnoteReference"/>
          <w:rFonts w:cs="Tahoma"/>
          <w:szCs w:val="20"/>
        </w:rPr>
        <w:footnoteReference w:id="7"/>
      </w:r>
      <w:r w:rsidRPr="0077273E">
        <w:rPr>
          <w:rFonts w:cs="Tahoma"/>
        </w:rPr>
        <w:t>.</w:t>
      </w:r>
    </w:p>
    <w:p w14:paraId="0B792CE3" w14:textId="4882C821" w:rsidR="00F63275" w:rsidRPr="0077273E" w:rsidRDefault="008D025B" w:rsidP="003A0458">
      <w:pPr>
        <w:pStyle w:val="Heading2"/>
        <w:rPr>
          <w:lang w:val="fr-CH"/>
        </w:rPr>
      </w:pPr>
      <w:bookmarkStart w:id="27" w:name="_Toc462396087"/>
      <w:r w:rsidRPr="0077273E">
        <w:rPr>
          <w:lang w:val="fr-CH"/>
        </w:rPr>
        <w:t xml:space="preserve">Réformes législatives et </w:t>
      </w:r>
      <w:r w:rsidR="003A0458" w:rsidRPr="0077273E">
        <w:rPr>
          <w:lang w:val="fr-CH"/>
        </w:rPr>
        <w:t>adhésion</w:t>
      </w:r>
      <w:r w:rsidRPr="0077273E">
        <w:rPr>
          <w:lang w:val="fr-CH"/>
        </w:rPr>
        <w:t xml:space="preserve"> aux instruments de protection des droits de l’homme</w:t>
      </w:r>
      <w:bookmarkEnd w:id="27"/>
    </w:p>
    <w:p w14:paraId="490BDDD6" w14:textId="4A0DD2D3" w:rsidR="00301352" w:rsidRPr="0077273E" w:rsidRDefault="00B468CD" w:rsidP="00050E2E">
      <w:pPr>
        <w:rPr>
          <w:rFonts w:cs="Tahoma"/>
        </w:rPr>
      </w:pPr>
      <w:r w:rsidRPr="0077273E">
        <w:rPr>
          <w:rFonts w:cs="Tahoma"/>
        </w:rPr>
        <w:t xml:space="preserve">L’adoption de la nouvelle Constitution a été suivie de l’annonce de grands chantiers législatifs. En particulier, des réformes – dont la teneur sera examinée par le présent rapport – du système judiciaire, </w:t>
      </w:r>
      <w:r w:rsidR="00067D41" w:rsidRPr="0077273E">
        <w:rPr>
          <w:rFonts w:cs="Tahoma"/>
        </w:rPr>
        <w:t xml:space="preserve">du Code de justice militaire, </w:t>
      </w:r>
      <w:r w:rsidRPr="0077273E">
        <w:rPr>
          <w:rFonts w:cs="Tahoma"/>
        </w:rPr>
        <w:t>du Code de procédure pénale et du Code de la presse</w:t>
      </w:r>
      <w:r w:rsidR="003A0458" w:rsidRPr="0077273E">
        <w:rPr>
          <w:rFonts w:cs="Tahoma"/>
        </w:rPr>
        <w:t xml:space="preserve">, </w:t>
      </w:r>
      <w:r w:rsidR="00067D41" w:rsidRPr="0077273E">
        <w:rPr>
          <w:rFonts w:cs="Tahoma"/>
        </w:rPr>
        <w:t>ont été initiées au cours des dernières années.</w:t>
      </w:r>
      <w:r w:rsidR="00F109A9" w:rsidRPr="0077273E">
        <w:rPr>
          <w:rFonts w:cs="Tahoma"/>
        </w:rPr>
        <w:t xml:space="preserve"> Un projet de réforme du Code pénal, annoncé depuis plus de deux ans, a </w:t>
      </w:r>
      <w:r w:rsidR="00622C2A" w:rsidRPr="0077273E">
        <w:rPr>
          <w:rFonts w:cs="Tahoma"/>
        </w:rPr>
        <w:t xml:space="preserve">finalement </w:t>
      </w:r>
      <w:r w:rsidR="00F109A9" w:rsidRPr="0077273E">
        <w:rPr>
          <w:rFonts w:cs="Tahoma"/>
        </w:rPr>
        <w:t>été adopté en Conseil de gouvernement le 9 juin 2016</w:t>
      </w:r>
      <w:r w:rsidR="007E4CAE" w:rsidRPr="0077273E">
        <w:rPr>
          <w:rFonts w:cs="Tahoma"/>
        </w:rPr>
        <w:t xml:space="preserve"> </w:t>
      </w:r>
      <w:r w:rsidR="008D025B" w:rsidRPr="0077273E">
        <w:rPr>
          <w:rFonts w:cs="Tahoma"/>
        </w:rPr>
        <w:t>et a été présenté comme le résultat d’une volonté de mise en conformité du</w:t>
      </w:r>
      <w:r w:rsidR="007E4CAE" w:rsidRPr="0077273E">
        <w:rPr>
          <w:rFonts w:cs="Tahoma"/>
        </w:rPr>
        <w:t xml:space="preserve"> droit pénal avec la Constitution et les </w:t>
      </w:r>
      <w:r w:rsidR="00966EAF" w:rsidRPr="0077273E">
        <w:rPr>
          <w:rFonts w:cs="Tahoma"/>
        </w:rPr>
        <w:t>engagements internationaux du Maroc.</w:t>
      </w:r>
    </w:p>
    <w:p w14:paraId="4865EA73" w14:textId="0BD2CB5A" w:rsidR="00887D77" w:rsidRPr="0077273E" w:rsidRDefault="008D025B" w:rsidP="00050E2E">
      <w:pPr>
        <w:rPr>
          <w:rFonts w:cs="Tahoma"/>
          <w:u w:color="000000"/>
          <w:bdr w:val="nil"/>
          <w:lang w:eastAsia="fr-CH"/>
        </w:rPr>
      </w:pPr>
      <w:r w:rsidRPr="0077273E">
        <w:rPr>
          <w:rFonts w:cs="Tahoma"/>
          <w:u w:color="000000"/>
          <w:bdr w:val="nil"/>
          <w:lang w:eastAsia="fr-CH"/>
        </w:rPr>
        <w:t xml:space="preserve">L’adoption de la Constitution de 2011 a été suivie de la ratification, en 2013, de la Convention internationale pour la </w:t>
      </w:r>
      <w:r w:rsidRPr="0077273E">
        <w:rPr>
          <w:rFonts w:cs="Tahoma"/>
        </w:rPr>
        <w:t>protection</w:t>
      </w:r>
      <w:r w:rsidRPr="0077273E">
        <w:rPr>
          <w:rFonts w:cs="Tahoma"/>
          <w:u w:color="000000"/>
          <w:bdr w:val="nil"/>
          <w:lang w:eastAsia="fr-CH"/>
        </w:rPr>
        <w:t xml:space="preserve"> de toutes les personnes co</w:t>
      </w:r>
      <w:r w:rsidR="003A0458" w:rsidRPr="0077273E">
        <w:rPr>
          <w:rFonts w:cs="Tahoma"/>
          <w:u w:color="000000"/>
          <w:bdr w:val="nil"/>
          <w:lang w:eastAsia="fr-CH"/>
        </w:rPr>
        <w:t xml:space="preserve">ntre les disparitions forcées – </w:t>
      </w:r>
      <w:r w:rsidRPr="0077273E">
        <w:rPr>
          <w:rFonts w:cs="Tahoma"/>
        </w:rPr>
        <w:t xml:space="preserve">sans toutefois formuler de déclaration en vue de reconnaitre la compétence du Comité en vertu de l’article 31 – </w:t>
      </w:r>
      <w:r w:rsidRPr="0077273E">
        <w:rPr>
          <w:rFonts w:cs="Tahoma"/>
          <w:u w:color="000000"/>
          <w:bdr w:val="nil"/>
          <w:lang w:eastAsia="fr-CH"/>
        </w:rPr>
        <w:t>puis, en 2014, du Protocole facultatif se rapportant à la Convention contre la torture et autres peines ou traitements cruels, inhumains ou dégradants (OPCAT).</w:t>
      </w:r>
    </w:p>
    <w:p w14:paraId="05BEEC07" w14:textId="65ADC3B5" w:rsidR="007F462E" w:rsidRPr="0077273E" w:rsidRDefault="007F462E" w:rsidP="007F462E">
      <w:pPr>
        <w:rPr>
          <w:rFonts w:cs="Tahoma"/>
          <w:b/>
          <w:bCs/>
          <w:u w:color="000000"/>
          <w:bdr w:val="nil"/>
          <w:lang w:eastAsia="fr-CH"/>
        </w:rPr>
      </w:pPr>
      <w:r w:rsidRPr="0077273E">
        <w:rPr>
          <w:rFonts w:cs="Tahoma"/>
          <w:b/>
          <w:bCs/>
          <w:u w:color="000000"/>
          <w:bdr w:val="nil"/>
          <w:lang w:eastAsia="fr-CH"/>
        </w:rPr>
        <w:t>Recommandatio</w:t>
      </w:r>
      <w:r w:rsidR="00711C44">
        <w:rPr>
          <w:rFonts w:cs="Tahoma"/>
          <w:b/>
          <w:bCs/>
          <w:u w:color="000000"/>
          <w:bdr w:val="nil"/>
          <w:lang w:eastAsia="fr-CH"/>
        </w:rPr>
        <w:t>n :</w:t>
      </w:r>
      <w:r w:rsidRPr="0077273E">
        <w:rPr>
          <w:rFonts w:cs="Tahoma"/>
          <w:b/>
          <w:bCs/>
          <w:u w:color="000000"/>
          <w:bdr w:val="nil"/>
          <w:lang w:eastAsia="fr-CH"/>
        </w:rPr>
        <w:t xml:space="preserve"> </w:t>
      </w:r>
    </w:p>
    <w:p w14:paraId="6A56B55B" w14:textId="77777777" w:rsidR="00FB382C" w:rsidRPr="0077273E" w:rsidRDefault="00B307A8" w:rsidP="004559AA">
      <w:pPr>
        <w:numPr>
          <w:ilvl w:val="1"/>
          <w:numId w:val="11"/>
        </w:numPr>
        <w:ind w:left="567" w:hanging="477"/>
        <w:rPr>
          <w:rFonts w:eastAsia="Times New Roman" w:cs="Tahoma"/>
        </w:rPr>
      </w:pPr>
      <w:r w:rsidRPr="0077273E">
        <w:rPr>
          <w:rFonts w:eastAsia="Times New Roman" w:cs="Tahoma"/>
        </w:rPr>
        <w:t>E</w:t>
      </w:r>
      <w:r w:rsidRPr="0077273E">
        <w:rPr>
          <w:rFonts w:cs="Tahoma"/>
        </w:rPr>
        <w:t xml:space="preserve">tablir une Institution Nationale des droits de l’homme par une loi </w:t>
      </w:r>
      <w:r w:rsidR="004559AA">
        <w:rPr>
          <w:rFonts w:cs="Tahoma"/>
        </w:rPr>
        <w:t xml:space="preserve">formelle </w:t>
      </w:r>
      <w:r w:rsidRPr="0077273E">
        <w:rPr>
          <w:rFonts w:cs="Tahoma"/>
        </w:rPr>
        <w:t>adoptée par le parlement après consultation de la</w:t>
      </w:r>
      <w:r w:rsidR="004559AA">
        <w:rPr>
          <w:rFonts w:cs="Tahoma"/>
        </w:rPr>
        <w:t xml:space="preserve"> société civile et renforcer son i</w:t>
      </w:r>
      <w:r w:rsidRPr="0077273E">
        <w:rPr>
          <w:rFonts w:cs="Tahoma"/>
        </w:rPr>
        <w:t>ndépendance en garantissant à ses membres une stabilité et une immunité fonctionnelle.</w:t>
      </w:r>
    </w:p>
    <w:p w14:paraId="2A0A5F11" w14:textId="77777777" w:rsidR="00AC3039" w:rsidRPr="0077273E" w:rsidRDefault="00AC3039" w:rsidP="00AC3039">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highlight w:val="yellow"/>
          <w:u w:color="000000"/>
          <w:bdr w:val="nil"/>
        </w:rPr>
      </w:pPr>
      <w:bookmarkStart w:id="28" w:name="_Toc461815033"/>
      <w:bookmarkStart w:id="29" w:name="_Toc461815089"/>
      <w:bookmarkStart w:id="30" w:name="_Toc461815526"/>
      <w:bookmarkStart w:id="31" w:name="_Toc461820195"/>
      <w:bookmarkStart w:id="32" w:name="_Toc462042400"/>
      <w:bookmarkStart w:id="33" w:name="_Toc462150401"/>
      <w:bookmarkStart w:id="34" w:name="_Toc462330074"/>
      <w:bookmarkStart w:id="35" w:name="_Toc462330328"/>
      <w:bookmarkStart w:id="36" w:name="_Toc462396024"/>
      <w:bookmarkStart w:id="37" w:name="_Toc462396088"/>
      <w:bookmarkEnd w:id="28"/>
      <w:bookmarkEnd w:id="29"/>
      <w:bookmarkEnd w:id="30"/>
      <w:bookmarkEnd w:id="31"/>
      <w:bookmarkEnd w:id="32"/>
      <w:bookmarkEnd w:id="33"/>
      <w:bookmarkEnd w:id="34"/>
      <w:bookmarkEnd w:id="35"/>
      <w:bookmarkEnd w:id="36"/>
      <w:bookmarkEnd w:id="37"/>
    </w:p>
    <w:p w14:paraId="5AC984C2" w14:textId="2F559342" w:rsidR="00B307A8" w:rsidRPr="00711C44" w:rsidRDefault="00AC3039" w:rsidP="00711C44">
      <w:pPr>
        <w:pStyle w:val="Heading1"/>
        <w:rPr>
          <w:u w:color="000000"/>
          <w:bdr w:val="nil"/>
        </w:rPr>
      </w:pPr>
      <w:bookmarkStart w:id="38" w:name="_Toc462396089"/>
      <w:r w:rsidRPr="0077273E">
        <w:rPr>
          <w:u w:color="000000"/>
          <w:bdr w:val="nil"/>
          <w:lang w:val="fr-CH"/>
        </w:rPr>
        <w:t>Indépendance</w:t>
      </w:r>
      <w:r w:rsidRPr="0077273E">
        <w:rPr>
          <w:u w:color="000000"/>
          <w:bdr w:val="nil"/>
        </w:rPr>
        <w:t xml:space="preserve"> de la justice</w:t>
      </w:r>
      <w:bookmarkEnd w:id="38"/>
    </w:p>
    <w:p w14:paraId="5CF39AC1" w14:textId="77777777" w:rsidR="00BC3D2F" w:rsidRPr="0077273E" w:rsidRDefault="00BC3D2F" w:rsidP="00050E2E">
      <w:pPr>
        <w:pStyle w:val="Heading2"/>
      </w:pPr>
      <w:bookmarkStart w:id="39" w:name="_Toc462396090"/>
      <w:r w:rsidRPr="0077273E">
        <w:t>Cadre général</w:t>
      </w:r>
      <w:bookmarkEnd w:id="39"/>
      <w:r w:rsidRPr="0077273E">
        <w:t xml:space="preserve"> </w:t>
      </w:r>
    </w:p>
    <w:p w14:paraId="4ED04938" w14:textId="7FF6EA0D" w:rsidR="00C52EAF" w:rsidRPr="0077273E" w:rsidRDefault="00C52EAF" w:rsidP="00711C44">
      <w:r w:rsidRPr="0077273E">
        <w:t>L’indépendance du pouvoir judicaire est inscrite dans l’article 107 de la Constitution de 2011 :</w:t>
      </w:r>
    </w:p>
    <w:p w14:paraId="2795BE2A" w14:textId="0D5620AB" w:rsidR="00C52EAF" w:rsidRPr="00711C44" w:rsidRDefault="00C52EAF" w:rsidP="00711C44">
      <w:pPr>
        <w:ind w:left="284"/>
        <w:rPr>
          <w:sz w:val="18"/>
          <w:szCs w:val="18"/>
        </w:rPr>
      </w:pPr>
      <w:r w:rsidRPr="00711C44">
        <w:rPr>
          <w:sz w:val="18"/>
          <w:szCs w:val="18"/>
        </w:rPr>
        <w:t>«</w:t>
      </w:r>
      <w:r w:rsidR="00B307A8" w:rsidRPr="00711C44">
        <w:rPr>
          <w:sz w:val="18"/>
          <w:szCs w:val="18"/>
        </w:rPr>
        <w:t> Le</w:t>
      </w:r>
      <w:r w:rsidRPr="00711C44">
        <w:rPr>
          <w:sz w:val="18"/>
          <w:szCs w:val="18"/>
        </w:rPr>
        <w:t xml:space="preserve"> pouvoir judiciaire est indépendant du pouvoir législatif et du pouvoir exécutif.</w:t>
      </w:r>
    </w:p>
    <w:p w14:paraId="6DF06AE9" w14:textId="3B42674E" w:rsidR="00711C44" w:rsidRPr="00711C44" w:rsidRDefault="00C52EAF" w:rsidP="00711C44">
      <w:pPr>
        <w:ind w:left="284"/>
        <w:rPr>
          <w:sz w:val="18"/>
          <w:szCs w:val="18"/>
        </w:rPr>
      </w:pPr>
      <w:r w:rsidRPr="00711C44">
        <w:rPr>
          <w:sz w:val="18"/>
          <w:szCs w:val="18"/>
        </w:rPr>
        <w:t>Le</w:t>
      </w:r>
      <w:r w:rsidR="00B307A8" w:rsidRPr="00711C44">
        <w:rPr>
          <w:sz w:val="18"/>
          <w:szCs w:val="18"/>
        </w:rPr>
        <w:t xml:space="preserve"> R</w:t>
      </w:r>
      <w:r w:rsidR="003A0458" w:rsidRPr="00711C44">
        <w:rPr>
          <w:sz w:val="18"/>
          <w:szCs w:val="18"/>
        </w:rPr>
        <w:t xml:space="preserve">oi </w:t>
      </w:r>
      <w:r w:rsidRPr="00711C44">
        <w:rPr>
          <w:sz w:val="18"/>
          <w:szCs w:val="18"/>
        </w:rPr>
        <w:t>est le garant de l’ind</w:t>
      </w:r>
      <w:r w:rsidR="00B307A8" w:rsidRPr="00711C44">
        <w:rPr>
          <w:sz w:val="18"/>
          <w:szCs w:val="18"/>
        </w:rPr>
        <w:t>épendance du pouvoir judiciaire</w:t>
      </w:r>
      <w:r w:rsidRPr="00711C44">
        <w:rPr>
          <w:sz w:val="18"/>
          <w:szCs w:val="18"/>
        </w:rPr>
        <w:t> »</w:t>
      </w:r>
      <w:r w:rsidR="00B307A8" w:rsidRPr="00711C44">
        <w:rPr>
          <w:sz w:val="18"/>
          <w:szCs w:val="18"/>
        </w:rPr>
        <w:t>.</w:t>
      </w:r>
    </w:p>
    <w:p w14:paraId="42C39F20" w14:textId="21202B03" w:rsidR="00AC3039" w:rsidRPr="0077273E" w:rsidRDefault="00AC3039" w:rsidP="00711C44">
      <w:r w:rsidRPr="0077273E">
        <w:t xml:space="preserve">Lors du deuxième examen périodique du Maroc, le Comité des droits de l’homme avait relevé que l’indépendance des magistrats </w:t>
      </w:r>
      <w:r w:rsidR="00B307A8" w:rsidRPr="0077273E">
        <w:t>n’était pas pleinement garantie</w:t>
      </w:r>
      <w:r w:rsidRPr="0077273E">
        <w:t xml:space="preserve"> et </w:t>
      </w:r>
      <w:r w:rsidR="004559AA">
        <w:t xml:space="preserve">avait en conséquence </w:t>
      </w:r>
      <w:r w:rsidRPr="0077273E">
        <w:t>recommandé au Maroc de prendre les mesures nécessaires pour garantir leur ind</w:t>
      </w:r>
      <w:r w:rsidR="00704477" w:rsidRPr="0077273E">
        <w:t>épendance et leur impartialité, conformément à l’</w:t>
      </w:r>
      <w:r w:rsidRPr="0077273E">
        <w:t>article 14 du Pacte</w:t>
      </w:r>
      <w:r w:rsidRPr="0077273E">
        <w:rPr>
          <w:rStyle w:val="FootnoteReference"/>
          <w:rFonts w:cs="Tahoma"/>
          <w:szCs w:val="20"/>
        </w:rPr>
        <w:footnoteReference w:id="8"/>
      </w:r>
      <w:r w:rsidRPr="0077273E">
        <w:t>.</w:t>
      </w:r>
      <w:r w:rsidR="005901FE" w:rsidRPr="0077273E">
        <w:t xml:space="preserve"> </w:t>
      </w:r>
    </w:p>
    <w:p w14:paraId="19BAF880" w14:textId="75136019" w:rsidR="00C52EAF" w:rsidRPr="0077273E" w:rsidRDefault="00C52EAF" w:rsidP="00704477">
      <w:pPr>
        <w:rPr>
          <w:rFonts w:cs="Tahoma"/>
        </w:rPr>
      </w:pPr>
      <w:r w:rsidRPr="0077273E">
        <w:rPr>
          <w:rFonts w:cs="Tahoma"/>
        </w:rPr>
        <w:t xml:space="preserve">Si le rapport de l’Etat partie insiste sur les réformes </w:t>
      </w:r>
      <w:r w:rsidR="00E108F0">
        <w:rPr>
          <w:rFonts w:cs="Tahoma"/>
        </w:rPr>
        <w:t xml:space="preserve">en cours </w:t>
      </w:r>
      <w:r w:rsidRPr="0077273E">
        <w:rPr>
          <w:rFonts w:cs="Tahoma"/>
        </w:rPr>
        <w:t xml:space="preserve">du </w:t>
      </w:r>
      <w:r w:rsidR="00704477" w:rsidRPr="0077273E">
        <w:rPr>
          <w:rFonts w:cs="Tahoma"/>
        </w:rPr>
        <w:t xml:space="preserve">Code de Procédure Pénale (CPP) et du Code de </w:t>
      </w:r>
      <w:r w:rsidRPr="0077273E">
        <w:rPr>
          <w:rFonts w:cs="Tahoma"/>
        </w:rPr>
        <w:t xml:space="preserve">la justice militaire </w:t>
      </w:r>
      <w:r w:rsidR="00704477" w:rsidRPr="0077273E">
        <w:rPr>
          <w:rFonts w:cs="Tahoma"/>
        </w:rPr>
        <w:t>pour garantir l’</w:t>
      </w:r>
      <w:r w:rsidRPr="0077273E">
        <w:rPr>
          <w:rFonts w:cs="Tahoma"/>
        </w:rPr>
        <w:t>indépendance du pouvoir judiciaire</w:t>
      </w:r>
      <w:r w:rsidRPr="0077273E">
        <w:rPr>
          <w:rStyle w:val="FootnoteReference"/>
          <w:rFonts w:cs="Tahoma"/>
        </w:rPr>
        <w:footnoteReference w:id="9"/>
      </w:r>
      <w:r w:rsidRPr="0077273E">
        <w:rPr>
          <w:rFonts w:cs="Tahoma"/>
        </w:rPr>
        <w:t>, cette problématique demeure aujourd’hui un défi majeur au Maroc</w:t>
      </w:r>
      <w:r w:rsidR="00704477" w:rsidRPr="0077273E">
        <w:rPr>
          <w:rStyle w:val="FootnoteReference"/>
          <w:rFonts w:cs="Tahoma"/>
        </w:rPr>
        <w:footnoteReference w:id="10"/>
      </w:r>
      <w:r w:rsidRPr="0077273E">
        <w:rPr>
          <w:rFonts w:cs="Tahoma"/>
        </w:rPr>
        <w:t xml:space="preserve">. </w:t>
      </w:r>
    </w:p>
    <w:p w14:paraId="1A279E5D" w14:textId="5F043234" w:rsidR="004B124C" w:rsidRPr="0077273E" w:rsidRDefault="004B124C" w:rsidP="00704477">
      <w:pPr>
        <w:rPr>
          <w:rFonts w:cs="Tahoma"/>
        </w:rPr>
      </w:pPr>
      <w:r w:rsidRPr="0077273E">
        <w:rPr>
          <w:rFonts w:cs="Tahoma"/>
        </w:rPr>
        <w:lastRenderedPageBreak/>
        <w:t>C</w:t>
      </w:r>
      <w:r w:rsidR="00704477" w:rsidRPr="0077273E">
        <w:rPr>
          <w:rFonts w:cs="Tahoma"/>
        </w:rPr>
        <w:t xml:space="preserve">ette absence </w:t>
      </w:r>
      <w:r w:rsidRPr="0077273E">
        <w:rPr>
          <w:rFonts w:cs="Tahoma"/>
        </w:rPr>
        <w:t xml:space="preserve">d’indépendance </w:t>
      </w:r>
      <w:r w:rsidR="00704477" w:rsidRPr="0077273E">
        <w:rPr>
          <w:rFonts w:cs="Tahoma"/>
        </w:rPr>
        <w:t xml:space="preserve">entraîne des </w:t>
      </w:r>
      <w:r w:rsidRPr="0077273E">
        <w:rPr>
          <w:rFonts w:cs="Tahoma"/>
        </w:rPr>
        <w:t>conséquences</w:t>
      </w:r>
      <w:r w:rsidR="00704477" w:rsidRPr="0077273E">
        <w:rPr>
          <w:rFonts w:cs="Tahoma"/>
        </w:rPr>
        <w:t xml:space="preserve"> négatives, notamment en matière</w:t>
      </w:r>
      <w:r w:rsidRPr="0077273E">
        <w:rPr>
          <w:rFonts w:cs="Tahoma"/>
        </w:rPr>
        <w:t xml:space="preserve"> d’enquête sur les allégations de </w:t>
      </w:r>
      <w:r w:rsidR="00704477" w:rsidRPr="0077273E">
        <w:rPr>
          <w:rFonts w:cs="Tahoma"/>
        </w:rPr>
        <w:t>violation</w:t>
      </w:r>
      <w:r w:rsidR="00711C44">
        <w:rPr>
          <w:rFonts w:cs="Tahoma"/>
        </w:rPr>
        <w:t>s</w:t>
      </w:r>
      <w:r w:rsidR="00704477" w:rsidRPr="0077273E">
        <w:rPr>
          <w:rFonts w:cs="Tahoma"/>
        </w:rPr>
        <w:t xml:space="preserve"> des droits de l’homme commis</w:t>
      </w:r>
      <w:r w:rsidR="00711C44">
        <w:rPr>
          <w:rFonts w:cs="Tahoma"/>
        </w:rPr>
        <w:t>es</w:t>
      </w:r>
      <w:r w:rsidR="00704477" w:rsidRPr="0077273E">
        <w:rPr>
          <w:rFonts w:cs="Tahoma"/>
        </w:rPr>
        <w:t xml:space="preserve"> par des agents de l’Etat et favorise </w:t>
      </w:r>
      <w:r w:rsidRPr="0077273E">
        <w:rPr>
          <w:rFonts w:cs="Tahoma"/>
        </w:rPr>
        <w:t>l’impunité</w:t>
      </w:r>
      <w:r w:rsidR="00704477" w:rsidRPr="0077273E">
        <w:rPr>
          <w:rFonts w:cs="Tahoma"/>
        </w:rPr>
        <w:t>.</w:t>
      </w:r>
      <w:r w:rsidR="00C14DF3" w:rsidRPr="0077273E">
        <w:rPr>
          <w:rFonts w:cs="Tahoma"/>
        </w:rPr>
        <w:t xml:space="preserve"> </w:t>
      </w:r>
    </w:p>
    <w:p w14:paraId="54BB0FDA" w14:textId="77777777" w:rsidR="00AC3039" w:rsidRPr="0077273E" w:rsidRDefault="00704477" w:rsidP="00704477">
      <w:pPr>
        <w:rPr>
          <w:rFonts w:cs="Tahoma"/>
        </w:rPr>
      </w:pPr>
      <w:r w:rsidRPr="0077273E">
        <w:rPr>
          <w:rFonts w:cs="Tahoma"/>
        </w:rPr>
        <w:t>A titre d’exemple, l</w:t>
      </w:r>
      <w:r w:rsidR="00AC3039" w:rsidRPr="0077273E">
        <w:rPr>
          <w:rFonts w:cs="Tahoma"/>
        </w:rPr>
        <w:t xml:space="preserve">e 5 novembre 2015, </w:t>
      </w:r>
      <w:r w:rsidR="00AC3039" w:rsidRPr="0077273E">
        <w:rPr>
          <w:rFonts w:cs="Tahoma"/>
          <w:b/>
        </w:rPr>
        <w:t>Fatima Karmad</w:t>
      </w:r>
      <w:r w:rsidR="00AC3039" w:rsidRPr="0077273E">
        <w:rPr>
          <w:rFonts w:cs="Tahoma"/>
        </w:rPr>
        <w:t xml:space="preserve"> a été condamnée à un mois d’emprisonnement ferme</w:t>
      </w:r>
      <w:r w:rsidRPr="0077273E">
        <w:rPr>
          <w:rFonts w:cs="Tahoma"/>
        </w:rPr>
        <w:t xml:space="preserve"> </w:t>
      </w:r>
      <w:r w:rsidR="00AC3039" w:rsidRPr="0077273E">
        <w:rPr>
          <w:rFonts w:cs="Tahoma"/>
        </w:rPr>
        <w:t xml:space="preserve">par la Cour d’appel de Taza </w:t>
      </w:r>
      <w:r w:rsidRPr="0077273E">
        <w:rPr>
          <w:rFonts w:cs="Tahoma"/>
        </w:rPr>
        <w:t>et à l’issue d’un procès inéquitable</w:t>
      </w:r>
      <w:r w:rsidR="00AC3039" w:rsidRPr="0077273E">
        <w:rPr>
          <w:rFonts w:cs="Tahoma"/>
        </w:rPr>
        <w:t xml:space="preserve"> après avoir déposé une plainte contre le Caïd (représentant local de l’Etat) </w:t>
      </w:r>
      <w:r w:rsidRPr="0077273E">
        <w:rPr>
          <w:rFonts w:cs="Tahoma"/>
        </w:rPr>
        <w:t xml:space="preserve">pour </w:t>
      </w:r>
      <w:r w:rsidR="00AC3039" w:rsidRPr="0077273E">
        <w:rPr>
          <w:rFonts w:cs="Tahoma"/>
        </w:rPr>
        <w:t>violence</w:t>
      </w:r>
      <w:r w:rsidRPr="0077273E">
        <w:rPr>
          <w:rFonts w:cs="Tahoma"/>
        </w:rPr>
        <w:t>s</w:t>
      </w:r>
      <w:r w:rsidR="00AC3039" w:rsidRPr="0077273E">
        <w:rPr>
          <w:rFonts w:cs="Tahoma"/>
        </w:rPr>
        <w:t xml:space="preserve"> physique</w:t>
      </w:r>
      <w:r w:rsidRPr="0077273E">
        <w:rPr>
          <w:rFonts w:cs="Tahoma"/>
        </w:rPr>
        <w:t xml:space="preserve">. </w:t>
      </w:r>
      <w:r w:rsidR="00AC3039" w:rsidRPr="0077273E">
        <w:rPr>
          <w:rFonts w:cs="Tahoma"/>
        </w:rPr>
        <w:t xml:space="preserve">Alkarama </w:t>
      </w:r>
      <w:r w:rsidRPr="0077273E">
        <w:rPr>
          <w:rFonts w:cs="Tahoma"/>
        </w:rPr>
        <w:t xml:space="preserve">avait saisi la Rapporteuse spéciale des Nations unies sur l’indépendance des juges et des avocats (RS IJA) de ce cas du fait de l’absence d’indépendance </w:t>
      </w:r>
      <w:r w:rsidR="00E108F0">
        <w:rPr>
          <w:rFonts w:cs="Tahoma"/>
        </w:rPr>
        <w:t xml:space="preserve">avérée </w:t>
      </w:r>
      <w:r w:rsidRPr="0077273E">
        <w:rPr>
          <w:rFonts w:cs="Tahoma"/>
        </w:rPr>
        <w:t>du tribunal</w:t>
      </w:r>
      <w:r w:rsidR="00AC3039" w:rsidRPr="0077273E">
        <w:rPr>
          <w:rStyle w:val="FootnoteReference"/>
          <w:rFonts w:cs="Tahoma"/>
        </w:rPr>
        <w:footnoteReference w:id="11"/>
      </w:r>
      <w:r w:rsidR="00AC3039" w:rsidRPr="0077273E">
        <w:rPr>
          <w:rFonts w:cs="Tahoma"/>
        </w:rPr>
        <w:t>.</w:t>
      </w:r>
    </w:p>
    <w:p w14:paraId="0299908B" w14:textId="67EB2751" w:rsidR="000936AB" w:rsidRPr="0077273E" w:rsidRDefault="000936AB" w:rsidP="000936AB">
      <w:pPr>
        <w:pStyle w:val="Heading2"/>
      </w:pPr>
      <w:bookmarkStart w:id="40" w:name="_Toc462396091"/>
      <w:r w:rsidRPr="0077273E">
        <w:t>Réforme du secteur judicaire</w:t>
      </w:r>
      <w:bookmarkEnd w:id="40"/>
    </w:p>
    <w:p w14:paraId="0CC8F425" w14:textId="3F06D5D9" w:rsidR="00AC3039" w:rsidRPr="0077273E" w:rsidRDefault="00AC3039" w:rsidP="00E108F0">
      <w:pPr>
        <w:rPr>
          <w:rFonts w:cs="Tahoma"/>
        </w:rPr>
      </w:pPr>
      <w:r w:rsidRPr="0077273E">
        <w:rPr>
          <w:rFonts w:cs="Tahoma"/>
        </w:rPr>
        <w:t>Un « mémorandum pour la réforme de la justice » d’une centaine de pages avait été préparé et signé conjointement à Rabat le 7 avril 2009 par une dizaine d’associations de droits de l’homme</w:t>
      </w:r>
      <w:r w:rsidRPr="0077273E">
        <w:rPr>
          <w:rStyle w:val="Appelnotedebasdep3"/>
          <w:rFonts w:cs="Tahoma"/>
        </w:rPr>
        <w:footnoteReference w:id="12"/>
      </w:r>
      <w:r w:rsidRPr="0077273E">
        <w:rPr>
          <w:rFonts w:cs="Tahoma"/>
        </w:rPr>
        <w:t xml:space="preserve">. Celles-ci avaient tenu à demander formellement au gouvernement à être consultées dans le cadre de la réforme de la justice annoncée </w:t>
      </w:r>
      <w:r w:rsidR="00E108F0">
        <w:rPr>
          <w:rFonts w:cs="Tahoma"/>
        </w:rPr>
        <w:t xml:space="preserve">alors </w:t>
      </w:r>
      <w:r w:rsidRPr="0077273E">
        <w:rPr>
          <w:rFonts w:cs="Tahoma"/>
        </w:rPr>
        <w:t>par le Premier ministre M. Abbas El Fassi comme la « priorité du programme gouvernemental »</w:t>
      </w:r>
      <w:r w:rsidRPr="0077273E">
        <w:rPr>
          <w:rStyle w:val="Appelnotedebasdep3"/>
          <w:rFonts w:cs="Tahoma"/>
        </w:rPr>
        <w:footnoteReference w:id="13"/>
      </w:r>
      <w:r w:rsidRPr="0077273E">
        <w:rPr>
          <w:rFonts w:cs="Tahoma"/>
        </w:rPr>
        <w:t>.</w:t>
      </w:r>
      <w:r w:rsidRPr="0077273E">
        <w:rPr>
          <w:rStyle w:val="Appelnotedebasdep3"/>
          <w:rFonts w:cs="Tahoma"/>
        </w:rPr>
        <w:t xml:space="preserve"> </w:t>
      </w:r>
      <w:r w:rsidRPr="0077273E">
        <w:rPr>
          <w:rFonts w:cs="Tahoma"/>
        </w:rPr>
        <w:t>Ce projet de mémorandum s’attachait à dresser un diagnostic de la situation de la justice et des principaux problèmes auxquels elle fait face</w:t>
      </w:r>
      <w:r w:rsidRPr="0077273E">
        <w:rPr>
          <w:rStyle w:val="Appelnotedebasdep3"/>
          <w:rFonts w:cs="Tahoma"/>
        </w:rPr>
        <w:footnoteReference w:id="14"/>
      </w:r>
      <w:r w:rsidRPr="0077273E">
        <w:rPr>
          <w:rFonts w:cs="Tahoma"/>
        </w:rPr>
        <w:t xml:space="preserve">. </w:t>
      </w:r>
    </w:p>
    <w:p w14:paraId="020015D2" w14:textId="30449832" w:rsidR="00A972FF" w:rsidRPr="0077273E" w:rsidRDefault="00A972FF" w:rsidP="00FF496D">
      <w:pPr>
        <w:rPr>
          <w:rFonts w:cs="Tahoma"/>
        </w:rPr>
      </w:pPr>
      <w:r w:rsidRPr="0077273E">
        <w:rPr>
          <w:rFonts w:cs="Tahoma"/>
        </w:rPr>
        <w:t xml:space="preserve">Dès sa mise en place en 2011, le gouvernement a annoncé une série de réformes </w:t>
      </w:r>
      <w:r w:rsidR="00FF496D">
        <w:rPr>
          <w:rFonts w:cs="Tahoma"/>
        </w:rPr>
        <w:t xml:space="preserve">et a instauré </w:t>
      </w:r>
      <w:r w:rsidRPr="0077273E">
        <w:rPr>
          <w:rFonts w:cs="Tahoma"/>
        </w:rPr>
        <w:t>un d</w:t>
      </w:r>
      <w:r w:rsidR="00AC3039" w:rsidRPr="0077273E">
        <w:rPr>
          <w:rFonts w:cs="Tahoma"/>
        </w:rPr>
        <w:t xml:space="preserve">ialogue </w:t>
      </w:r>
      <w:r w:rsidRPr="0077273E">
        <w:rPr>
          <w:rFonts w:cs="Tahoma"/>
        </w:rPr>
        <w:t>avec la société civile qui a abouti à l’adoption en</w:t>
      </w:r>
      <w:r w:rsidR="00AC3039" w:rsidRPr="0077273E">
        <w:rPr>
          <w:rFonts w:cs="Tahoma"/>
        </w:rPr>
        <w:t xml:space="preserve"> 2013 </w:t>
      </w:r>
      <w:r w:rsidRPr="0077273E">
        <w:rPr>
          <w:rFonts w:cs="Tahoma"/>
        </w:rPr>
        <w:t>d’une « </w:t>
      </w:r>
      <w:r w:rsidR="00AC3039" w:rsidRPr="0077273E">
        <w:rPr>
          <w:rFonts w:cs="Tahoma"/>
        </w:rPr>
        <w:t>Charte nationale pour la réforme de la Justice</w:t>
      </w:r>
      <w:r w:rsidRPr="0077273E">
        <w:rPr>
          <w:rFonts w:cs="Tahoma"/>
        </w:rPr>
        <w:t> »</w:t>
      </w:r>
      <w:r w:rsidR="00AC3039" w:rsidRPr="0077273E">
        <w:rPr>
          <w:rStyle w:val="FootnoteReference"/>
          <w:rFonts w:cs="Tahoma"/>
          <w:szCs w:val="20"/>
        </w:rPr>
        <w:footnoteReference w:id="15"/>
      </w:r>
      <w:r w:rsidR="00AC3039" w:rsidRPr="0077273E">
        <w:rPr>
          <w:rFonts w:cs="Tahoma"/>
        </w:rPr>
        <w:t xml:space="preserve">. </w:t>
      </w:r>
      <w:r w:rsidRPr="0077273E">
        <w:rPr>
          <w:rFonts w:cs="Tahoma"/>
        </w:rPr>
        <w:t xml:space="preserve">Cette réforme </w:t>
      </w:r>
      <w:r w:rsidR="00AC3039" w:rsidRPr="0077273E">
        <w:rPr>
          <w:rFonts w:cs="Tahoma"/>
        </w:rPr>
        <w:t>s’articule autour de six objectifs : consolider l’ind</w:t>
      </w:r>
      <w:r w:rsidRPr="0077273E">
        <w:rPr>
          <w:rFonts w:cs="Tahoma"/>
        </w:rPr>
        <w:t>épendance du pouvoir judiciaire</w:t>
      </w:r>
      <w:r w:rsidR="00FF496D">
        <w:rPr>
          <w:rFonts w:cs="Tahoma"/>
        </w:rPr>
        <w:t xml:space="preserve">, </w:t>
      </w:r>
      <w:r w:rsidRPr="0077273E">
        <w:rPr>
          <w:rFonts w:cs="Tahoma"/>
        </w:rPr>
        <w:t>moraliser le système judiciaire</w:t>
      </w:r>
      <w:r w:rsidR="00FF496D">
        <w:rPr>
          <w:rFonts w:cs="Tahoma"/>
        </w:rPr>
        <w:t>,</w:t>
      </w:r>
      <w:r w:rsidR="00AC3039" w:rsidRPr="0077273E">
        <w:rPr>
          <w:rFonts w:cs="Tahoma"/>
        </w:rPr>
        <w:t xml:space="preserve"> renforcer la protection des droits</w:t>
      </w:r>
      <w:r w:rsidRPr="0077273E">
        <w:rPr>
          <w:rFonts w:cs="Tahoma"/>
        </w:rPr>
        <w:t xml:space="preserve"> et des libertés par la justice</w:t>
      </w:r>
      <w:r w:rsidR="00FF496D">
        <w:rPr>
          <w:rFonts w:cs="Tahoma"/>
        </w:rPr>
        <w:t>,</w:t>
      </w:r>
      <w:r w:rsidR="00AC3039" w:rsidRPr="0077273E">
        <w:rPr>
          <w:rFonts w:cs="Tahoma"/>
        </w:rPr>
        <w:t xml:space="preserve"> accroître l’efficacité et l’efficience d</w:t>
      </w:r>
      <w:r w:rsidRPr="0077273E">
        <w:rPr>
          <w:rFonts w:cs="Tahoma"/>
        </w:rPr>
        <w:t>e la justice</w:t>
      </w:r>
      <w:r w:rsidR="00FF496D">
        <w:rPr>
          <w:rFonts w:cs="Tahoma"/>
        </w:rPr>
        <w:t>,</w:t>
      </w:r>
      <w:r w:rsidR="00AC3039" w:rsidRPr="0077273E">
        <w:rPr>
          <w:rFonts w:cs="Tahoma"/>
        </w:rPr>
        <w:t xml:space="preserve"> développer les capacités institut</w:t>
      </w:r>
      <w:r w:rsidRPr="0077273E">
        <w:rPr>
          <w:rFonts w:cs="Tahoma"/>
        </w:rPr>
        <w:t>ionnelles du système judiciaire</w:t>
      </w:r>
      <w:r w:rsidR="00FF496D">
        <w:rPr>
          <w:rFonts w:cs="Tahoma"/>
        </w:rPr>
        <w:t>,</w:t>
      </w:r>
      <w:r w:rsidRPr="0077273E">
        <w:rPr>
          <w:rFonts w:cs="Tahoma"/>
        </w:rPr>
        <w:t xml:space="preserve"> </w:t>
      </w:r>
      <w:r w:rsidR="00AC3039" w:rsidRPr="0077273E">
        <w:rPr>
          <w:rFonts w:cs="Tahoma"/>
        </w:rPr>
        <w:t xml:space="preserve">moderniser l’administration judiciaire et </w:t>
      </w:r>
      <w:r w:rsidRPr="0077273E">
        <w:rPr>
          <w:rFonts w:cs="Tahoma"/>
        </w:rPr>
        <w:t xml:space="preserve">enfin </w:t>
      </w:r>
      <w:r w:rsidR="00AC3039" w:rsidRPr="0077273E">
        <w:rPr>
          <w:rFonts w:cs="Tahoma"/>
        </w:rPr>
        <w:t>renf</w:t>
      </w:r>
      <w:r w:rsidRPr="0077273E">
        <w:rPr>
          <w:rFonts w:cs="Tahoma"/>
        </w:rPr>
        <w:t>orcer sa gouvernance.</w:t>
      </w:r>
    </w:p>
    <w:p w14:paraId="436A6132" w14:textId="4A9C0371" w:rsidR="00A972FF" w:rsidRPr="0077273E" w:rsidRDefault="00A972FF" w:rsidP="00711C44">
      <w:pPr>
        <w:rPr>
          <w:rFonts w:cs="Tahoma"/>
        </w:rPr>
      </w:pPr>
      <w:r w:rsidRPr="0077273E">
        <w:rPr>
          <w:rFonts w:cs="Tahoma"/>
        </w:rPr>
        <w:t>En février 2016, la Chambre des conseillers a adopté, en séance plénière, deux projets de loi</w:t>
      </w:r>
      <w:r w:rsidR="00FF496D">
        <w:rPr>
          <w:rFonts w:cs="Tahoma"/>
        </w:rPr>
        <w:t>s</w:t>
      </w:r>
      <w:r w:rsidRPr="0077273E">
        <w:rPr>
          <w:rFonts w:cs="Tahoma"/>
        </w:rPr>
        <w:t xml:space="preserve"> organiques relatives au Conseil supérieur du pouvoir judiciaire</w:t>
      </w:r>
      <w:r w:rsidRPr="0077273E">
        <w:rPr>
          <w:rStyle w:val="FootnoteReference"/>
          <w:rFonts w:cs="Tahoma"/>
          <w:szCs w:val="20"/>
        </w:rPr>
        <w:footnoteReference w:id="16"/>
      </w:r>
      <w:r w:rsidRPr="0077273E">
        <w:rPr>
          <w:rFonts w:cs="Tahoma"/>
        </w:rPr>
        <w:t xml:space="preserve"> et au statut des magistrats</w:t>
      </w:r>
      <w:r w:rsidRPr="0077273E">
        <w:rPr>
          <w:rStyle w:val="FootnoteReference"/>
          <w:rFonts w:cs="Tahoma"/>
          <w:szCs w:val="20"/>
        </w:rPr>
        <w:footnoteReference w:id="17"/>
      </w:r>
      <w:r w:rsidRPr="0077273E">
        <w:rPr>
          <w:rFonts w:cs="Tahoma"/>
        </w:rPr>
        <w:t>, élaborés sur la base des recommandations de la Charte de 2013.</w:t>
      </w:r>
    </w:p>
    <w:p w14:paraId="19A46EC8" w14:textId="77777777" w:rsidR="00AC3039" w:rsidRPr="00FF496D" w:rsidRDefault="00AC3039" w:rsidP="00A972FF">
      <w:pPr>
        <w:pStyle w:val="Heading3"/>
        <w:rPr>
          <w:rFonts w:cs="Tahoma"/>
        </w:rPr>
      </w:pPr>
      <w:bookmarkStart w:id="41" w:name="_Toc462396092"/>
      <w:r w:rsidRPr="00FF496D">
        <w:rPr>
          <w:rFonts w:cs="Tahoma"/>
        </w:rPr>
        <w:t>Le Conseil supérieur du pouvoir judiciaire (CSPJ)</w:t>
      </w:r>
      <w:bookmarkEnd w:id="41"/>
    </w:p>
    <w:p w14:paraId="2576F131" w14:textId="13060803" w:rsidR="004B124C" w:rsidRPr="0077273E" w:rsidRDefault="00711C44" w:rsidP="00FF496D">
      <w:pPr>
        <w:spacing w:after="160" w:line="259" w:lineRule="auto"/>
        <w:rPr>
          <w:rFonts w:cs="Tahoma"/>
        </w:rPr>
      </w:pPr>
      <w:r>
        <w:rPr>
          <w:rFonts w:cs="Tahoma"/>
        </w:rPr>
        <w:t>Dans sa liste de questions, l</w:t>
      </w:r>
      <w:r w:rsidR="004B124C" w:rsidRPr="0077273E">
        <w:rPr>
          <w:rFonts w:cs="Tahoma"/>
        </w:rPr>
        <w:t>e Comité avait demandé à l’Etat partie si les projets de lois organiques relatives au CSPJ et au statut des magistrats garantiraient pleineme</w:t>
      </w:r>
      <w:r w:rsidR="00FF496D">
        <w:rPr>
          <w:rFonts w:cs="Tahoma"/>
        </w:rPr>
        <w:t>nt l’indépendance de la justice et</w:t>
      </w:r>
      <w:r w:rsidR="004B124C" w:rsidRPr="0077273E">
        <w:rPr>
          <w:rFonts w:cs="Tahoma"/>
        </w:rPr>
        <w:t xml:space="preserve"> quelles mesures avaient été prises pour garantir la pleine indépendance et </w:t>
      </w:r>
      <w:r w:rsidR="007D3902" w:rsidRPr="0077273E">
        <w:rPr>
          <w:rFonts w:cs="Tahoma"/>
        </w:rPr>
        <w:t>l’</w:t>
      </w:r>
      <w:r w:rsidR="004B124C" w:rsidRPr="0077273E">
        <w:rPr>
          <w:rFonts w:cs="Tahoma"/>
        </w:rPr>
        <w:t>impartialité des magistrats par rapport au pouvoir exécutif et prévenir toute interférence dans le travail des avocats et des juges</w:t>
      </w:r>
      <w:r w:rsidR="004B124C" w:rsidRPr="0077273E">
        <w:rPr>
          <w:rStyle w:val="FootnoteReference"/>
          <w:rFonts w:cs="Tahoma"/>
        </w:rPr>
        <w:footnoteReference w:id="18"/>
      </w:r>
      <w:r w:rsidR="004B124C" w:rsidRPr="0077273E">
        <w:rPr>
          <w:rFonts w:cs="Tahoma"/>
        </w:rPr>
        <w:t>.</w:t>
      </w:r>
    </w:p>
    <w:p w14:paraId="6C61765E" w14:textId="2A972774" w:rsidR="00AC3039" w:rsidRPr="0077273E" w:rsidRDefault="00AC3039" w:rsidP="00FF496D">
      <w:pPr>
        <w:rPr>
          <w:rFonts w:cs="Tahoma"/>
        </w:rPr>
      </w:pPr>
      <w:r w:rsidRPr="0077273E">
        <w:rPr>
          <w:rFonts w:cs="Tahoma"/>
        </w:rPr>
        <w:t>L’ancien Conseil Supérieur de la Magistrature (CSM), remplacé par le CSPJ, était présidé par le</w:t>
      </w:r>
      <w:r w:rsidR="007D3902" w:rsidRPr="0077273E">
        <w:rPr>
          <w:rFonts w:cs="Tahoma"/>
        </w:rPr>
        <w:t xml:space="preserve"> </w:t>
      </w:r>
      <w:r w:rsidR="003A0458" w:rsidRPr="0077273E">
        <w:rPr>
          <w:rFonts w:cs="Tahoma"/>
        </w:rPr>
        <w:t xml:space="preserve">roi </w:t>
      </w:r>
      <w:r w:rsidR="007D3902" w:rsidRPr="0077273E">
        <w:rPr>
          <w:rFonts w:cs="Tahoma"/>
        </w:rPr>
        <w:t>et le ministre de la j</w:t>
      </w:r>
      <w:r w:rsidRPr="0077273E">
        <w:rPr>
          <w:rFonts w:cs="Tahoma"/>
        </w:rPr>
        <w:t xml:space="preserve">ustice en était le vice-président. </w:t>
      </w:r>
      <w:r w:rsidR="00FF496D">
        <w:rPr>
          <w:rFonts w:cs="Tahoma"/>
        </w:rPr>
        <w:t>L</w:t>
      </w:r>
      <w:r w:rsidRPr="0077273E">
        <w:rPr>
          <w:rFonts w:cs="Tahoma"/>
        </w:rPr>
        <w:t xml:space="preserve">a sélection </w:t>
      </w:r>
      <w:r w:rsidR="007D3902" w:rsidRPr="0077273E">
        <w:rPr>
          <w:rFonts w:cs="Tahoma"/>
        </w:rPr>
        <w:t>des magistrats</w:t>
      </w:r>
      <w:r w:rsidR="00FF496D">
        <w:rPr>
          <w:rFonts w:cs="Tahoma"/>
        </w:rPr>
        <w:t>,</w:t>
      </w:r>
      <w:r w:rsidR="007D3902" w:rsidRPr="0077273E">
        <w:rPr>
          <w:rFonts w:cs="Tahoma"/>
        </w:rPr>
        <w:t xml:space="preserve"> la gestion de leurs carrières</w:t>
      </w:r>
      <w:r w:rsidR="00FF496D">
        <w:rPr>
          <w:rFonts w:cs="Tahoma"/>
        </w:rPr>
        <w:t>,</w:t>
      </w:r>
      <w:r w:rsidR="007D3902" w:rsidRPr="0077273E">
        <w:rPr>
          <w:rFonts w:cs="Tahoma"/>
        </w:rPr>
        <w:t xml:space="preserve"> ainsi que</w:t>
      </w:r>
      <w:r w:rsidRPr="0077273E">
        <w:rPr>
          <w:rFonts w:cs="Tahoma"/>
        </w:rPr>
        <w:t xml:space="preserve"> les procédures disciplinaires relevaient </w:t>
      </w:r>
      <w:r w:rsidR="00FF496D">
        <w:rPr>
          <w:rFonts w:cs="Tahoma"/>
        </w:rPr>
        <w:t xml:space="preserve">alors </w:t>
      </w:r>
      <w:r w:rsidRPr="0077273E">
        <w:rPr>
          <w:rFonts w:cs="Tahoma"/>
        </w:rPr>
        <w:t>de l’autorité du Ministre de la Justice</w:t>
      </w:r>
      <w:r w:rsidR="00FF496D">
        <w:rPr>
          <w:rFonts w:cs="Tahoma"/>
        </w:rPr>
        <w:t xml:space="preserve"> et l</w:t>
      </w:r>
      <w:r w:rsidRPr="0077273E">
        <w:rPr>
          <w:rFonts w:cs="Tahoma"/>
        </w:rPr>
        <w:t xml:space="preserve">e CSM </w:t>
      </w:r>
      <w:r w:rsidR="00FF496D">
        <w:rPr>
          <w:rFonts w:cs="Tahoma"/>
        </w:rPr>
        <w:lastRenderedPageBreak/>
        <w:t xml:space="preserve">ne </w:t>
      </w:r>
      <w:r w:rsidRPr="0077273E">
        <w:rPr>
          <w:rFonts w:cs="Tahoma"/>
        </w:rPr>
        <w:t xml:space="preserve">disposait sur ces questions </w:t>
      </w:r>
      <w:r w:rsidR="00FF496D">
        <w:rPr>
          <w:rFonts w:cs="Tahoma"/>
        </w:rPr>
        <w:t xml:space="preserve">que </w:t>
      </w:r>
      <w:r w:rsidRPr="0077273E">
        <w:rPr>
          <w:rFonts w:cs="Tahoma"/>
        </w:rPr>
        <w:t xml:space="preserve">d’un simple </w:t>
      </w:r>
      <w:r w:rsidR="007D3902" w:rsidRPr="0077273E">
        <w:rPr>
          <w:rFonts w:cs="Tahoma"/>
        </w:rPr>
        <w:t xml:space="preserve">rôle consultatif et ne pouvait en aucun cas jouer </w:t>
      </w:r>
      <w:r w:rsidRPr="0077273E">
        <w:rPr>
          <w:rFonts w:cs="Tahoma"/>
        </w:rPr>
        <w:t>le rôle de gardien de l’indépendance des magistrats. De même, les procédures disciplinaires engagées à l’encontre de</w:t>
      </w:r>
      <w:r w:rsidR="007D3902" w:rsidRPr="0077273E">
        <w:rPr>
          <w:rFonts w:cs="Tahoma"/>
        </w:rPr>
        <w:t>s</w:t>
      </w:r>
      <w:r w:rsidRPr="0077273E">
        <w:rPr>
          <w:rFonts w:cs="Tahoma"/>
        </w:rPr>
        <w:t xml:space="preserve"> magistrats étaient contrôlées par le pouvoir exécutif, puisque le conseil de discipline était présidé par le Ministre de la Justice</w:t>
      </w:r>
      <w:r w:rsidRPr="0077273E">
        <w:rPr>
          <w:rStyle w:val="FootnoteReference"/>
          <w:rFonts w:cs="Tahoma"/>
          <w:szCs w:val="20"/>
        </w:rPr>
        <w:footnoteReference w:id="19"/>
      </w:r>
      <w:r w:rsidRPr="0077273E">
        <w:rPr>
          <w:rFonts w:cs="Tahoma"/>
        </w:rPr>
        <w:t>.</w:t>
      </w:r>
    </w:p>
    <w:p w14:paraId="7206F6F8" w14:textId="3F13F4D9" w:rsidR="00AC3039" w:rsidRPr="0077273E" w:rsidRDefault="007D3902" w:rsidP="007D3902">
      <w:pPr>
        <w:rPr>
          <w:rFonts w:cs="Tahoma"/>
        </w:rPr>
      </w:pPr>
      <w:r w:rsidRPr="0077273E">
        <w:rPr>
          <w:rFonts w:cs="Tahoma"/>
        </w:rPr>
        <w:t xml:space="preserve">Depuis la </w:t>
      </w:r>
      <w:r w:rsidR="00AC3039" w:rsidRPr="0077273E">
        <w:rPr>
          <w:rFonts w:cs="Tahoma"/>
        </w:rPr>
        <w:t xml:space="preserve">Constitution de 2011, le </w:t>
      </w:r>
      <w:r w:rsidRPr="0077273E">
        <w:rPr>
          <w:rFonts w:cs="Tahoma"/>
        </w:rPr>
        <w:t xml:space="preserve">nouveau </w:t>
      </w:r>
      <w:r w:rsidR="00AC3039" w:rsidRPr="0077273E">
        <w:rPr>
          <w:rFonts w:cs="Tahoma"/>
        </w:rPr>
        <w:t xml:space="preserve">CSPJ </w:t>
      </w:r>
      <w:r w:rsidRPr="0077273E">
        <w:rPr>
          <w:rFonts w:cs="Tahoma"/>
        </w:rPr>
        <w:t>dispose de</w:t>
      </w:r>
      <w:r w:rsidR="00AC3039" w:rsidRPr="0077273E">
        <w:rPr>
          <w:rFonts w:cs="Tahoma"/>
        </w:rPr>
        <w:t xml:space="preserve"> compétences plus larges, </w:t>
      </w:r>
      <w:r w:rsidRPr="0077273E">
        <w:rPr>
          <w:rFonts w:cs="Tahoma"/>
        </w:rPr>
        <w:t>d’</w:t>
      </w:r>
      <w:r w:rsidR="00AC3039" w:rsidRPr="0077273E">
        <w:rPr>
          <w:rFonts w:cs="Tahoma"/>
        </w:rPr>
        <w:t xml:space="preserve">une autonomie administrative et financière et </w:t>
      </w:r>
      <w:r w:rsidRPr="0077273E">
        <w:rPr>
          <w:rFonts w:cs="Tahoma"/>
        </w:rPr>
        <w:t xml:space="preserve">a pour </w:t>
      </w:r>
      <w:r w:rsidR="00AC3039" w:rsidRPr="0077273E">
        <w:rPr>
          <w:rFonts w:cs="Tahoma"/>
        </w:rPr>
        <w:t xml:space="preserve">mission de superviser toutes les garanties relatives à l’indépendance des magistrats, </w:t>
      </w:r>
      <w:r w:rsidRPr="0077273E">
        <w:rPr>
          <w:rFonts w:cs="Tahoma"/>
        </w:rPr>
        <w:t xml:space="preserve">y compris les modalités de leur </w:t>
      </w:r>
      <w:r w:rsidR="00AC3039" w:rsidRPr="0077273E">
        <w:rPr>
          <w:rFonts w:cs="Tahoma"/>
        </w:rPr>
        <w:t xml:space="preserve">nomination, promotion, </w:t>
      </w:r>
      <w:r w:rsidRPr="0077273E">
        <w:rPr>
          <w:rFonts w:cs="Tahoma"/>
        </w:rPr>
        <w:t xml:space="preserve">départ à la retraite ainsi que </w:t>
      </w:r>
      <w:r w:rsidR="00AC3039" w:rsidRPr="0077273E">
        <w:rPr>
          <w:rFonts w:cs="Tahoma"/>
        </w:rPr>
        <w:t>les procédures disciplinaires</w:t>
      </w:r>
      <w:r w:rsidRPr="0077273E">
        <w:rPr>
          <w:rFonts w:cs="Tahoma"/>
        </w:rPr>
        <w:t xml:space="preserve"> à leur encontre</w:t>
      </w:r>
      <w:r w:rsidR="00AC3039" w:rsidRPr="0077273E">
        <w:rPr>
          <w:rFonts w:cs="Tahoma"/>
        </w:rPr>
        <w:t>. En vertu de l’article 116 de la Cons</w:t>
      </w:r>
      <w:r w:rsidRPr="0077273E">
        <w:rPr>
          <w:rFonts w:cs="Tahoma"/>
        </w:rPr>
        <w:t>titution de 2011, l’élection de</w:t>
      </w:r>
      <w:r w:rsidR="00AC3039" w:rsidRPr="0077273E">
        <w:rPr>
          <w:rFonts w:cs="Tahoma"/>
        </w:rPr>
        <w:t>s membres</w:t>
      </w:r>
      <w:r w:rsidRPr="0077273E">
        <w:rPr>
          <w:rFonts w:cs="Tahoma"/>
        </w:rPr>
        <w:t xml:space="preserve"> du CSJP</w:t>
      </w:r>
      <w:r w:rsidR="00AC3039" w:rsidRPr="0077273E">
        <w:rPr>
          <w:rFonts w:cs="Tahoma"/>
        </w:rPr>
        <w:t>, son organisation et son fo</w:t>
      </w:r>
      <w:r w:rsidRPr="0077273E">
        <w:rPr>
          <w:rFonts w:cs="Tahoma"/>
        </w:rPr>
        <w:t>nctionnement seront fixés par une</w:t>
      </w:r>
      <w:r w:rsidR="00AC3039" w:rsidRPr="0077273E">
        <w:rPr>
          <w:rFonts w:cs="Tahoma"/>
        </w:rPr>
        <w:t xml:space="preserve"> loi organique en cours d’adoption. Le Ministre de la Justice est désormais abse</w:t>
      </w:r>
      <w:r w:rsidRPr="0077273E">
        <w:rPr>
          <w:rFonts w:cs="Tahoma"/>
        </w:rPr>
        <w:t>nt de la composition du Conseil.</w:t>
      </w:r>
    </w:p>
    <w:p w14:paraId="247D1388" w14:textId="77777777" w:rsidR="00AC3039" w:rsidRPr="0077273E" w:rsidRDefault="00AC3039" w:rsidP="00A972FF">
      <w:pPr>
        <w:pStyle w:val="Heading3"/>
        <w:rPr>
          <w:rFonts w:cs="Tahoma"/>
        </w:rPr>
      </w:pPr>
      <w:bookmarkStart w:id="42" w:name="_Toc462396093"/>
      <w:r w:rsidRPr="0077273E">
        <w:rPr>
          <w:rFonts w:cs="Tahoma"/>
        </w:rPr>
        <w:t>Le statut de la magistrature</w:t>
      </w:r>
      <w:bookmarkEnd w:id="42"/>
    </w:p>
    <w:p w14:paraId="09EC05EC" w14:textId="77777777" w:rsidR="00A972FF" w:rsidRPr="0077273E" w:rsidRDefault="00A972FF" w:rsidP="00A972FF">
      <w:pPr>
        <w:rPr>
          <w:rFonts w:cs="Tahoma"/>
        </w:rPr>
      </w:pPr>
      <w:r w:rsidRPr="0077273E">
        <w:rPr>
          <w:rFonts w:cs="Tahoma"/>
        </w:rPr>
        <w:t>Le Comité des droits de l’homme a déjà eu l’occasion de préciser que les Etats parties au Pacte devaient protéger les juges de toute ingérence politique dans leurs décisions en fixant « des procédures claires et des critères objectifs en ce qui concerne la nomination, la rémunération, la durée du mandat, l’avancement, la suspension et la révocation des magistrats, ainsi que des mesures disciplinaires dont ils peuvent faire l’objet »</w:t>
      </w:r>
      <w:r w:rsidRPr="0077273E">
        <w:rPr>
          <w:rStyle w:val="FootnoteReference"/>
          <w:rFonts w:cs="Tahoma"/>
          <w:szCs w:val="20"/>
        </w:rPr>
        <w:footnoteReference w:id="20"/>
      </w:r>
      <w:r w:rsidRPr="0077273E">
        <w:rPr>
          <w:rFonts w:cs="Tahoma"/>
        </w:rPr>
        <w:t xml:space="preserve">. </w:t>
      </w:r>
    </w:p>
    <w:p w14:paraId="6D62FC1B" w14:textId="6C40B74F" w:rsidR="00AC3039" w:rsidRPr="0077273E" w:rsidRDefault="00AC3039" w:rsidP="007C6EDA">
      <w:pPr>
        <w:rPr>
          <w:rFonts w:cs="Tahoma"/>
        </w:rPr>
      </w:pPr>
      <w:r w:rsidRPr="0077273E">
        <w:rPr>
          <w:rFonts w:cs="Tahoma"/>
        </w:rPr>
        <w:t>L’indépendance du pouvoir judiciaire ne peut se concevoir sans la garantie que les juges puissent exercer leurs fonctions de manière indépendante et ne fassent l’objet d’aucune sorte de pression ou d’ingérence extérieure</w:t>
      </w:r>
      <w:r w:rsidRPr="0077273E">
        <w:rPr>
          <w:rStyle w:val="FootnoteReference"/>
          <w:rFonts w:cs="Tahoma"/>
          <w:szCs w:val="20"/>
        </w:rPr>
        <w:footnoteReference w:id="21"/>
      </w:r>
      <w:r w:rsidRPr="0077273E">
        <w:rPr>
          <w:rFonts w:cs="Tahoma"/>
        </w:rPr>
        <w:t>. La Constitution marocaine de 2011 garantit l’inamovibilité des magistrats du siège</w:t>
      </w:r>
      <w:r w:rsidRPr="0077273E">
        <w:rPr>
          <w:rStyle w:val="FootnoteReference"/>
          <w:rFonts w:cs="Tahoma"/>
          <w:szCs w:val="20"/>
        </w:rPr>
        <w:footnoteReference w:id="22"/>
      </w:r>
      <w:r w:rsidR="007D3902" w:rsidRPr="0077273E">
        <w:rPr>
          <w:rFonts w:cs="Tahoma"/>
        </w:rPr>
        <w:t>, leur liberté d’expression</w:t>
      </w:r>
      <w:r w:rsidRPr="0077273E">
        <w:rPr>
          <w:rFonts w:cs="Tahoma"/>
        </w:rPr>
        <w:t>, leur droit d’adhérer à des associations ou de créer des associations professionnelles</w:t>
      </w:r>
      <w:r w:rsidRPr="0077273E">
        <w:rPr>
          <w:rStyle w:val="FootnoteReference"/>
          <w:rFonts w:cs="Tahoma"/>
          <w:szCs w:val="20"/>
        </w:rPr>
        <w:footnoteReference w:id="23"/>
      </w:r>
      <w:r w:rsidRPr="0077273E">
        <w:rPr>
          <w:rFonts w:cs="Tahoma"/>
        </w:rPr>
        <w:t xml:space="preserve"> et interdit toute pression ou ingérence dans les affaires judiciaires</w:t>
      </w:r>
      <w:r w:rsidRPr="0077273E">
        <w:rPr>
          <w:rStyle w:val="FootnoteReference"/>
          <w:rFonts w:cs="Tahoma"/>
          <w:szCs w:val="20"/>
        </w:rPr>
        <w:footnoteReference w:id="24"/>
      </w:r>
      <w:r w:rsidRPr="0077273E">
        <w:rPr>
          <w:rFonts w:cs="Tahoma"/>
        </w:rPr>
        <w:t xml:space="preserve">. </w:t>
      </w:r>
    </w:p>
    <w:p w14:paraId="096E7E64" w14:textId="3B0F429F" w:rsidR="00AC3039" w:rsidRPr="0077273E" w:rsidRDefault="007C6EDA" w:rsidP="007C6EDA">
      <w:pPr>
        <w:rPr>
          <w:rFonts w:cs="Tahoma"/>
        </w:rPr>
      </w:pPr>
      <w:r>
        <w:rPr>
          <w:rFonts w:cs="Tahoma"/>
        </w:rPr>
        <w:t>J</w:t>
      </w:r>
      <w:r w:rsidR="00AC3039" w:rsidRPr="0077273E">
        <w:rPr>
          <w:rFonts w:cs="Tahoma"/>
        </w:rPr>
        <w:t xml:space="preserve">usqu’à l’entrée en vigueur de la loi organique relative au statut des magistrats, la procédure de sélection et la nomination des juges </w:t>
      </w:r>
      <w:r>
        <w:rPr>
          <w:rFonts w:cs="Tahoma"/>
        </w:rPr>
        <w:t xml:space="preserve">étaient </w:t>
      </w:r>
      <w:r w:rsidR="00AC3039" w:rsidRPr="0077273E">
        <w:rPr>
          <w:rFonts w:cs="Tahoma"/>
        </w:rPr>
        <w:t>définies par la loi du 11 novembre 1974</w:t>
      </w:r>
      <w:r w:rsidR="00AC3039" w:rsidRPr="0077273E">
        <w:rPr>
          <w:rStyle w:val="FootnoteReference"/>
          <w:rFonts w:cs="Tahoma"/>
          <w:szCs w:val="20"/>
        </w:rPr>
        <w:footnoteReference w:id="25"/>
      </w:r>
      <w:r w:rsidR="00AC3039" w:rsidRPr="0077273E">
        <w:rPr>
          <w:rFonts w:cs="Tahoma"/>
        </w:rPr>
        <w:t>, dont l’article 6 prévo</w:t>
      </w:r>
      <w:r>
        <w:rPr>
          <w:rFonts w:cs="Tahoma"/>
        </w:rPr>
        <w:t>ya</w:t>
      </w:r>
      <w:r w:rsidR="00AC3039" w:rsidRPr="0077273E">
        <w:rPr>
          <w:rFonts w:cs="Tahoma"/>
        </w:rPr>
        <w:t>it que les candidats reçus au concours de la magistrature</w:t>
      </w:r>
      <w:r>
        <w:rPr>
          <w:rFonts w:cs="Tahoma"/>
        </w:rPr>
        <w:t xml:space="preserve"> étaient</w:t>
      </w:r>
      <w:r w:rsidR="00AC3039" w:rsidRPr="0077273E">
        <w:rPr>
          <w:rFonts w:cs="Tahoma"/>
        </w:rPr>
        <w:t xml:space="preserve">, </w:t>
      </w:r>
      <w:r w:rsidR="00AC3039" w:rsidRPr="00D519F6">
        <w:rPr>
          <w:rFonts w:cs="Tahoma"/>
        </w:rPr>
        <w:t>« dans l’ordre de leur classement, nommés attachés de justice par arrêté du Ministre de la Justice »</w:t>
      </w:r>
      <w:r w:rsidR="00AC3039" w:rsidRPr="0077273E">
        <w:rPr>
          <w:rFonts w:cs="Tahoma"/>
        </w:rPr>
        <w:t>. L’article 23 de la loi de 1974 prévo</w:t>
      </w:r>
      <w:r>
        <w:rPr>
          <w:rFonts w:cs="Tahoma"/>
        </w:rPr>
        <w:t>ya</w:t>
      </w:r>
      <w:r w:rsidR="00AC3039" w:rsidRPr="0077273E">
        <w:rPr>
          <w:rFonts w:cs="Tahoma"/>
        </w:rPr>
        <w:t>it en outre que pou</w:t>
      </w:r>
      <w:r>
        <w:rPr>
          <w:rFonts w:cs="Tahoma"/>
        </w:rPr>
        <w:t>r être promus, les magistrats deva</w:t>
      </w:r>
      <w:r w:rsidR="00AC3039" w:rsidRPr="0077273E">
        <w:rPr>
          <w:rFonts w:cs="Tahoma"/>
        </w:rPr>
        <w:t>ient être placés sur une « liste d’aptitude » dressée et arrêtée par le Ministre de la Justice.</w:t>
      </w:r>
    </w:p>
    <w:p w14:paraId="6EF36910" w14:textId="3A47B3F0" w:rsidR="00AC3039" w:rsidRPr="0077273E" w:rsidRDefault="00D519F6" w:rsidP="00D519F6">
      <w:pPr>
        <w:rPr>
          <w:rFonts w:cs="Tahoma"/>
        </w:rPr>
      </w:pPr>
      <w:r>
        <w:rPr>
          <w:rFonts w:cs="Tahoma"/>
        </w:rPr>
        <w:t>D’après l</w:t>
      </w:r>
      <w:r w:rsidR="00924E5E">
        <w:rPr>
          <w:rFonts w:cs="Tahoma"/>
        </w:rPr>
        <w:t>a</w:t>
      </w:r>
      <w:r>
        <w:rPr>
          <w:rFonts w:cs="Tahoma"/>
        </w:rPr>
        <w:t xml:space="preserve"> R</w:t>
      </w:r>
      <w:r w:rsidR="00924E5E">
        <w:rPr>
          <w:rFonts w:cs="Tahoma"/>
        </w:rPr>
        <w:t>apporteuse</w:t>
      </w:r>
      <w:r w:rsidR="00AC3039" w:rsidRPr="0077273E">
        <w:rPr>
          <w:rFonts w:cs="Tahoma"/>
        </w:rPr>
        <w:t xml:space="preserve"> spécial</w:t>
      </w:r>
      <w:r w:rsidR="00924E5E">
        <w:rPr>
          <w:rFonts w:cs="Tahoma"/>
        </w:rPr>
        <w:t>e</w:t>
      </w:r>
      <w:r w:rsidR="00AC3039" w:rsidRPr="0077273E">
        <w:rPr>
          <w:rFonts w:cs="Tahoma"/>
        </w:rPr>
        <w:t xml:space="preserve"> sur l’indépendance des juges et des avocats, les juges et les procureurs doivent être sélectionnés et nommés selon des critères objectifs, des procédures claires et transparentes, dans le cadre d’un processus concurrentiel ouvert au public et exempt de toute influence politique ou économique ou d’autres ingérences extérieures, et en fonction de leur mérite</w:t>
      </w:r>
      <w:r w:rsidR="00AC3039" w:rsidRPr="0077273E">
        <w:rPr>
          <w:rStyle w:val="FootnoteReference"/>
          <w:rFonts w:cs="Tahoma"/>
          <w:szCs w:val="20"/>
        </w:rPr>
        <w:footnoteReference w:id="26"/>
      </w:r>
      <w:r w:rsidR="00AC3039" w:rsidRPr="0077273E">
        <w:rPr>
          <w:rFonts w:cs="Tahoma"/>
        </w:rPr>
        <w:t>. Le Comité des droits de l’homme considère quant à lui que le recrutement des juges et leur discipline d</w:t>
      </w:r>
      <w:r w:rsidR="005359E4" w:rsidRPr="0077273E">
        <w:rPr>
          <w:rFonts w:cs="Tahoma"/>
        </w:rPr>
        <w:t>oivent être pris en charge par</w:t>
      </w:r>
      <w:r w:rsidR="00AC3039" w:rsidRPr="0077273E">
        <w:rPr>
          <w:rFonts w:cs="Tahoma"/>
        </w:rPr>
        <w:t xml:space="preserve"> </w:t>
      </w:r>
      <w:r w:rsidR="005359E4" w:rsidRPr="0077273E">
        <w:rPr>
          <w:rFonts w:cs="Tahoma"/>
        </w:rPr>
        <w:t xml:space="preserve">un </w:t>
      </w:r>
      <w:r w:rsidR="00AC3039" w:rsidRPr="0077273E">
        <w:rPr>
          <w:rFonts w:cs="Tahoma"/>
        </w:rPr>
        <w:t>mécanisme indépendant, et être exempts de pressions et influences</w:t>
      </w:r>
      <w:r w:rsidR="005359E4" w:rsidRPr="0077273E">
        <w:rPr>
          <w:rFonts w:cs="Tahoma"/>
        </w:rPr>
        <w:t>, notamment du pouvoir exécutif</w:t>
      </w:r>
      <w:r w:rsidR="00AC3039" w:rsidRPr="0077273E">
        <w:rPr>
          <w:rStyle w:val="FootnoteReference"/>
          <w:rFonts w:cs="Tahoma"/>
          <w:szCs w:val="20"/>
        </w:rPr>
        <w:footnoteReference w:id="27"/>
      </w:r>
      <w:r w:rsidR="005359E4" w:rsidRPr="0077273E">
        <w:rPr>
          <w:rFonts w:cs="Tahoma"/>
        </w:rPr>
        <w:t>.</w:t>
      </w:r>
    </w:p>
    <w:p w14:paraId="59EF6686" w14:textId="1372CD7C" w:rsidR="004B124C" w:rsidRPr="0077273E" w:rsidRDefault="004B124C" w:rsidP="007C6EDA">
      <w:pPr>
        <w:rPr>
          <w:rFonts w:cs="Tahoma"/>
        </w:rPr>
      </w:pPr>
      <w:r w:rsidRPr="0077273E">
        <w:rPr>
          <w:rFonts w:cs="Tahoma"/>
        </w:rPr>
        <w:t>Dans sa réponse aux points soulevés par l</w:t>
      </w:r>
      <w:r w:rsidR="005359E4" w:rsidRPr="0077273E">
        <w:rPr>
          <w:rFonts w:cs="Tahoma"/>
        </w:rPr>
        <w:t xml:space="preserve">e Comité, le Maroc mentionne les </w:t>
      </w:r>
      <w:r w:rsidRPr="0077273E">
        <w:rPr>
          <w:rFonts w:cs="Tahoma"/>
        </w:rPr>
        <w:t>garanties prév</w:t>
      </w:r>
      <w:r w:rsidR="007C6EDA">
        <w:rPr>
          <w:rFonts w:cs="Tahoma"/>
        </w:rPr>
        <w:t>ues par les deux lois organiques</w:t>
      </w:r>
      <w:r w:rsidR="00D112EF">
        <w:rPr>
          <w:rFonts w:cs="Tahoma"/>
        </w:rPr>
        <w:t xml:space="preserve"> </w:t>
      </w:r>
      <w:r w:rsidRPr="0077273E">
        <w:rPr>
          <w:rFonts w:cs="Tahoma"/>
        </w:rPr>
        <w:t xml:space="preserve">publiées au Bulletin officiel le 14 avril 2016, en matière de nomination, </w:t>
      </w:r>
      <w:r w:rsidRPr="0077273E">
        <w:rPr>
          <w:rFonts w:cs="Tahoma"/>
        </w:rPr>
        <w:lastRenderedPageBreak/>
        <w:t xml:space="preserve">d’avancement, de mise à la retraite et de procédures disciplinaires des magistrats sans </w:t>
      </w:r>
      <w:r w:rsidR="005359E4" w:rsidRPr="0077273E">
        <w:rPr>
          <w:rFonts w:cs="Tahoma"/>
        </w:rPr>
        <w:t xml:space="preserve">toutefois </w:t>
      </w:r>
      <w:r w:rsidRPr="0077273E">
        <w:rPr>
          <w:rFonts w:cs="Tahoma"/>
        </w:rPr>
        <w:t>expliciter davan</w:t>
      </w:r>
      <w:r w:rsidR="00D519F6">
        <w:rPr>
          <w:rFonts w:cs="Tahoma"/>
        </w:rPr>
        <w:t>tage en quoi ces lois renforcent</w:t>
      </w:r>
      <w:r w:rsidRPr="0077273E">
        <w:rPr>
          <w:rFonts w:cs="Tahoma"/>
        </w:rPr>
        <w:t xml:space="preserve"> concrètement l’indépendance du pouvoir judiciaire</w:t>
      </w:r>
      <w:r w:rsidRPr="0077273E">
        <w:rPr>
          <w:rStyle w:val="FootnoteReference"/>
          <w:rFonts w:cs="Tahoma"/>
        </w:rPr>
        <w:footnoteReference w:id="28"/>
      </w:r>
      <w:r w:rsidRPr="0077273E">
        <w:rPr>
          <w:rFonts w:cs="Tahoma"/>
        </w:rPr>
        <w:t xml:space="preserve">. </w:t>
      </w:r>
    </w:p>
    <w:p w14:paraId="0B12877F" w14:textId="2E739D57" w:rsidR="00AC3039" w:rsidRPr="0077273E" w:rsidRDefault="00AC3039" w:rsidP="007C6EDA">
      <w:pPr>
        <w:rPr>
          <w:rFonts w:cs="Tahoma"/>
        </w:rPr>
      </w:pPr>
      <w:r w:rsidRPr="0077273E">
        <w:rPr>
          <w:rFonts w:cs="Tahoma"/>
        </w:rPr>
        <w:t>Aux termes de l’article 7 de</w:t>
      </w:r>
      <w:r w:rsidR="00D112EF">
        <w:rPr>
          <w:rFonts w:cs="Tahoma"/>
        </w:rPr>
        <w:t xml:space="preserve"> la</w:t>
      </w:r>
      <w:r w:rsidRPr="0077273E">
        <w:rPr>
          <w:rFonts w:cs="Tahoma"/>
        </w:rPr>
        <w:t xml:space="preserve"> loi organique sur le statut des magistrats</w:t>
      </w:r>
      <w:r w:rsidR="00D519F6">
        <w:rPr>
          <w:rFonts w:cs="Tahoma"/>
        </w:rPr>
        <w:t>,</w:t>
      </w:r>
      <w:r w:rsidRPr="0077273E">
        <w:rPr>
          <w:rFonts w:cs="Tahoma"/>
        </w:rPr>
        <w:t xml:space="preserve"> </w:t>
      </w:r>
      <w:r w:rsidR="00D112EF">
        <w:rPr>
          <w:rFonts w:cs="Tahoma"/>
        </w:rPr>
        <w:t xml:space="preserve">ceux-ci </w:t>
      </w:r>
      <w:r w:rsidR="007C6EDA">
        <w:rPr>
          <w:rFonts w:cs="Tahoma"/>
        </w:rPr>
        <w:t xml:space="preserve">sont </w:t>
      </w:r>
      <w:r w:rsidR="00D112EF">
        <w:rPr>
          <w:rFonts w:cs="Tahoma"/>
        </w:rPr>
        <w:t xml:space="preserve">désormais </w:t>
      </w:r>
      <w:r w:rsidR="00D112EF" w:rsidRPr="0077273E">
        <w:rPr>
          <w:rFonts w:cs="Tahoma"/>
        </w:rPr>
        <w:t>nommés</w:t>
      </w:r>
      <w:r w:rsidRPr="0077273E">
        <w:rPr>
          <w:rFonts w:cs="Tahoma"/>
        </w:rPr>
        <w:t xml:space="preserve"> parmi, notamment, les juges stagiaires ayant réussi l’examen à l’issue de leur formation à l’Institut de formation judiciaire (IFJ). Malheureusement, </w:t>
      </w:r>
      <w:r w:rsidR="007C6EDA" w:rsidRPr="007C6EDA">
        <w:rPr>
          <w:rFonts w:cs="Tahoma"/>
        </w:rPr>
        <w:t xml:space="preserve">la </w:t>
      </w:r>
      <w:r w:rsidR="00D519F6">
        <w:rPr>
          <w:rFonts w:cs="Tahoma"/>
        </w:rPr>
        <w:t>loi reste silencieuse</w:t>
      </w:r>
      <w:r w:rsidRPr="0077273E">
        <w:rPr>
          <w:rFonts w:cs="Tahoma"/>
        </w:rPr>
        <w:t xml:space="preserve"> quant aux critères et à la procédure </w:t>
      </w:r>
      <w:r w:rsidR="007C6EDA">
        <w:rPr>
          <w:rFonts w:cs="Tahoma"/>
        </w:rPr>
        <w:t xml:space="preserve">de </w:t>
      </w:r>
      <w:r w:rsidRPr="0077273E">
        <w:rPr>
          <w:rFonts w:cs="Tahoma"/>
        </w:rPr>
        <w:t>sélection des juges stagiaires. Actuellement, l’accès à l’IFJ et la sélection des juges stagiaires relèvent du Ministère de la Justice</w:t>
      </w:r>
      <w:r w:rsidRPr="0077273E">
        <w:rPr>
          <w:rStyle w:val="FootnoteReference"/>
          <w:rFonts w:cs="Tahoma"/>
          <w:szCs w:val="20"/>
        </w:rPr>
        <w:footnoteReference w:id="29"/>
      </w:r>
      <w:r w:rsidRPr="0077273E">
        <w:rPr>
          <w:rFonts w:cs="Tahoma"/>
        </w:rPr>
        <w:t xml:space="preserve">, qui supervise l’Institut supérieur de la magistrature, chargé de la formation des magistrats. </w:t>
      </w:r>
    </w:p>
    <w:p w14:paraId="60E4D034" w14:textId="2467D179" w:rsidR="00AC3039" w:rsidRPr="0077273E" w:rsidRDefault="00AC3039" w:rsidP="008A140C">
      <w:pPr>
        <w:rPr>
          <w:rFonts w:cs="Tahoma"/>
        </w:rPr>
      </w:pPr>
      <w:r w:rsidRPr="0077273E">
        <w:rPr>
          <w:rFonts w:cs="Tahoma"/>
        </w:rPr>
        <w:t>Les articles 11 et suivants de</w:t>
      </w:r>
      <w:r w:rsidR="007C6EDA">
        <w:rPr>
          <w:rFonts w:cs="Tahoma"/>
        </w:rPr>
        <w:t xml:space="preserve"> la</w:t>
      </w:r>
      <w:r w:rsidRPr="0077273E">
        <w:rPr>
          <w:rFonts w:cs="Tahoma"/>
        </w:rPr>
        <w:t xml:space="preserve"> loi prévoient la compétence exclusive du CSPJ pour nommer les juges et procureurs des tribunaux et cours du Maroc. La nomination du Président et du Procureur général de la Cour de cass</w:t>
      </w:r>
      <w:r w:rsidR="005359E4" w:rsidRPr="0077273E">
        <w:rPr>
          <w:rFonts w:cs="Tahoma"/>
        </w:rPr>
        <w:t>ation revien</w:t>
      </w:r>
      <w:r w:rsidR="008A140C">
        <w:rPr>
          <w:rFonts w:cs="Tahoma"/>
        </w:rPr>
        <w:t>t</w:t>
      </w:r>
      <w:r w:rsidR="005359E4" w:rsidRPr="0077273E">
        <w:rPr>
          <w:rFonts w:cs="Tahoma"/>
        </w:rPr>
        <w:t xml:space="preserve"> néanmoins au r</w:t>
      </w:r>
      <w:r w:rsidRPr="0077273E">
        <w:rPr>
          <w:rFonts w:cs="Tahoma"/>
        </w:rPr>
        <w:t>oi, le premier étant par ailleurs Président du CSPJ e</w:t>
      </w:r>
      <w:r w:rsidR="005359E4" w:rsidRPr="0077273E">
        <w:rPr>
          <w:rFonts w:cs="Tahoma"/>
        </w:rPr>
        <w:t>t le second à la tête du Ministère public</w:t>
      </w:r>
      <w:r w:rsidRPr="0077273E">
        <w:rPr>
          <w:rFonts w:cs="Tahoma"/>
        </w:rPr>
        <w:t xml:space="preserve">. </w:t>
      </w:r>
      <w:r w:rsidR="008A140C">
        <w:rPr>
          <w:rFonts w:cs="Tahoma"/>
        </w:rPr>
        <w:t>L</w:t>
      </w:r>
      <w:r w:rsidRPr="0077273E">
        <w:rPr>
          <w:rFonts w:cs="Tahoma"/>
        </w:rPr>
        <w:t>a nomination des mag</w:t>
      </w:r>
      <w:r w:rsidR="008A140C">
        <w:rPr>
          <w:rFonts w:cs="Tahoma"/>
        </w:rPr>
        <w:t>istrats du parquet ne relève</w:t>
      </w:r>
      <w:r w:rsidR="00D519F6">
        <w:rPr>
          <w:rFonts w:cs="Tahoma"/>
        </w:rPr>
        <w:t xml:space="preserve"> donc</w:t>
      </w:r>
      <w:r w:rsidRPr="0077273E">
        <w:rPr>
          <w:rFonts w:cs="Tahoma"/>
        </w:rPr>
        <w:t xml:space="preserve"> plus de la compétence du Ministre de la Justice comme c’</w:t>
      </w:r>
      <w:r w:rsidR="008A140C" w:rsidRPr="0077273E">
        <w:rPr>
          <w:rFonts w:cs="Tahoma"/>
        </w:rPr>
        <w:t>é</w:t>
      </w:r>
      <w:r w:rsidR="008A140C">
        <w:rPr>
          <w:rFonts w:cs="Tahoma"/>
        </w:rPr>
        <w:t>tait</w:t>
      </w:r>
      <w:r w:rsidRPr="0077273E">
        <w:rPr>
          <w:rFonts w:cs="Tahoma"/>
        </w:rPr>
        <w:t xml:space="preserve"> le cas, mais de celle du Procureur général </w:t>
      </w:r>
      <w:r w:rsidR="005359E4" w:rsidRPr="0077273E">
        <w:rPr>
          <w:rFonts w:cs="Tahoma"/>
        </w:rPr>
        <w:t>près</w:t>
      </w:r>
      <w:r w:rsidRPr="0077273E">
        <w:rPr>
          <w:rFonts w:cs="Tahoma"/>
        </w:rPr>
        <w:t xml:space="preserve"> la Cour de cassation. </w:t>
      </w:r>
    </w:p>
    <w:p w14:paraId="2889B457" w14:textId="76738A97" w:rsidR="007A7822" w:rsidRPr="0077273E" w:rsidRDefault="00AC3039" w:rsidP="008A140C">
      <w:pPr>
        <w:rPr>
          <w:rFonts w:cs="Tahoma"/>
        </w:rPr>
      </w:pPr>
      <w:r w:rsidRPr="0077273E">
        <w:rPr>
          <w:rFonts w:cs="Tahoma"/>
        </w:rPr>
        <w:t xml:space="preserve">Ces modes de nomination ne satisfont pas </w:t>
      </w:r>
      <w:r w:rsidR="005359E4" w:rsidRPr="0077273E">
        <w:rPr>
          <w:rFonts w:cs="Tahoma"/>
        </w:rPr>
        <w:t>aux</w:t>
      </w:r>
      <w:r w:rsidRPr="0077273E">
        <w:rPr>
          <w:rFonts w:cs="Tahoma"/>
        </w:rPr>
        <w:t xml:space="preserve"> exigences d’ind</w:t>
      </w:r>
      <w:r w:rsidR="005359E4" w:rsidRPr="0077273E">
        <w:rPr>
          <w:rFonts w:cs="Tahoma"/>
        </w:rPr>
        <w:t>épendance et de transparence dictées par les normes internationales précédemment évoquées. L</w:t>
      </w:r>
      <w:r w:rsidRPr="0077273E">
        <w:rPr>
          <w:rFonts w:cs="Tahoma"/>
        </w:rPr>
        <w:t xml:space="preserve">es avancées amorcées par la Constitution de 2011 restent </w:t>
      </w:r>
      <w:r w:rsidR="005359E4" w:rsidRPr="0077273E">
        <w:rPr>
          <w:rFonts w:cs="Tahoma"/>
        </w:rPr>
        <w:t xml:space="preserve">donc </w:t>
      </w:r>
      <w:r w:rsidRPr="0077273E">
        <w:rPr>
          <w:rFonts w:cs="Tahoma"/>
        </w:rPr>
        <w:t xml:space="preserve">insuffisantes </w:t>
      </w:r>
      <w:r w:rsidR="008A140C">
        <w:rPr>
          <w:rFonts w:cs="Tahoma"/>
        </w:rPr>
        <w:t xml:space="preserve">dans ce domaine </w:t>
      </w:r>
      <w:r w:rsidRPr="0077273E">
        <w:rPr>
          <w:rFonts w:cs="Tahoma"/>
        </w:rPr>
        <w:t>en raison de</w:t>
      </w:r>
      <w:r w:rsidR="005359E4" w:rsidRPr="0077273E">
        <w:rPr>
          <w:rFonts w:cs="Tahoma"/>
        </w:rPr>
        <w:t xml:space="preserve"> la persistance de</w:t>
      </w:r>
      <w:r w:rsidRPr="0077273E">
        <w:rPr>
          <w:rFonts w:cs="Tahoma"/>
        </w:rPr>
        <w:t xml:space="preserve"> l’immixtion des pouvoirs exécutif et royal dans </w:t>
      </w:r>
      <w:r w:rsidR="008A140C">
        <w:rPr>
          <w:rFonts w:cs="Tahoma"/>
        </w:rPr>
        <w:t xml:space="preserve">le </w:t>
      </w:r>
      <w:r w:rsidRPr="0077273E">
        <w:rPr>
          <w:rFonts w:cs="Tahoma"/>
        </w:rPr>
        <w:t xml:space="preserve">fonctionnement </w:t>
      </w:r>
      <w:r w:rsidR="008A140C">
        <w:rPr>
          <w:rFonts w:cs="Tahoma"/>
        </w:rPr>
        <w:t xml:space="preserve">de la justice et notamment </w:t>
      </w:r>
      <w:r w:rsidRPr="0077273E">
        <w:rPr>
          <w:rFonts w:cs="Tahoma"/>
        </w:rPr>
        <w:t xml:space="preserve">dans le processus de sélection et </w:t>
      </w:r>
      <w:r w:rsidR="007A7822" w:rsidRPr="0077273E">
        <w:rPr>
          <w:rFonts w:cs="Tahoma"/>
        </w:rPr>
        <w:t>de nomination des magistrats</w:t>
      </w:r>
      <w:r w:rsidRPr="0077273E">
        <w:rPr>
          <w:rFonts w:cs="Tahoma"/>
        </w:rPr>
        <w:t xml:space="preserve">. </w:t>
      </w:r>
    </w:p>
    <w:p w14:paraId="2B5EDE9F" w14:textId="77777777" w:rsidR="00AC3039" w:rsidRPr="0077273E" w:rsidRDefault="00AC3039" w:rsidP="00C14DF3">
      <w:pPr>
        <w:pStyle w:val="Heading2"/>
      </w:pPr>
      <w:bookmarkStart w:id="43" w:name="_Toc462396094"/>
      <w:r w:rsidRPr="0077273E">
        <w:t>Révocations abusives de magistrats</w:t>
      </w:r>
      <w:bookmarkEnd w:id="43"/>
    </w:p>
    <w:p w14:paraId="718F4F1A" w14:textId="77777777" w:rsidR="00AC3039" w:rsidRPr="0077273E" w:rsidRDefault="00AC3039" w:rsidP="00AC3039">
      <w:pPr>
        <w:rPr>
          <w:rFonts w:cs="Tahoma"/>
          <w:lang w:eastAsia="hi-IN" w:bidi="hi-IN"/>
        </w:rPr>
      </w:pPr>
      <w:r w:rsidRPr="0077273E">
        <w:rPr>
          <w:rFonts w:cs="Tahoma"/>
          <w:lang w:eastAsia="hi-IN" w:bidi="hi-IN"/>
        </w:rPr>
        <w:t>Les magistrats jouissent, en vertu de l’article 111 de la Constitution, de la liberté d’expression « en compatibilité avec leur devoir de réserve et l’éthique judiciaire » et du droit d’adhérer à des associations ou de créer des associations professionnelles « dans les respect des devoirs d’impartialité et d’indépendance de la justice et dans les conditions prévues par la loi ». Ils ne peuvent cependant pas adhérer à des organisations syndicales ou à des partis politiques.</w:t>
      </w:r>
    </w:p>
    <w:p w14:paraId="6D4D293D" w14:textId="1944B873" w:rsidR="00887D77" w:rsidRPr="0077273E" w:rsidRDefault="00AC3039" w:rsidP="00FF6F4F">
      <w:pPr>
        <w:rPr>
          <w:rFonts w:cs="Tahoma"/>
          <w:szCs w:val="20"/>
          <w:u w:color="000000"/>
          <w:bdr w:val="nil"/>
          <w:lang w:eastAsia="fr-CH"/>
        </w:rPr>
      </w:pPr>
      <w:r w:rsidRPr="0077273E">
        <w:rPr>
          <w:rFonts w:cs="Tahoma"/>
          <w:lang w:eastAsia="hi-IN" w:bidi="hi-IN"/>
        </w:rPr>
        <w:t>Alkarama craint que malgré les dispositions de l’article 111, certains magistrats ne fassent l’objet de représailles en raison de leurs activités associatives.</w:t>
      </w:r>
      <w:r w:rsidR="00FF6F4F">
        <w:rPr>
          <w:rFonts w:cs="Tahoma"/>
          <w:lang w:eastAsia="hi-IN" w:bidi="hi-IN"/>
        </w:rPr>
        <w:t xml:space="preserve"> A titre d’exemple, </w:t>
      </w:r>
      <w:r w:rsidR="007A7822" w:rsidRPr="0077273E">
        <w:rPr>
          <w:rFonts w:cs="Tahoma"/>
          <w:lang w:eastAsia="hi-IN" w:bidi="hi-IN"/>
        </w:rPr>
        <w:t>M.</w:t>
      </w:r>
      <w:r w:rsidRPr="0077273E">
        <w:rPr>
          <w:rFonts w:cs="Tahoma"/>
          <w:lang w:eastAsia="hi-IN" w:bidi="hi-IN"/>
        </w:rPr>
        <w:t xml:space="preserve"> </w:t>
      </w:r>
      <w:r w:rsidRPr="0077273E">
        <w:rPr>
          <w:rFonts w:cs="Tahoma"/>
          <w:b/>
          <w:lang w:eastAsia="hi-IN" w:bidi="hi-IN"/>
        </w:rPr>
        <w:t>Mohamed Anbar</w:t>
      </w:r>
      <w:r w:rsidRPr="0077273E">
        <w:rPr>
          <w:rStyle w:val="FootnoteReference"/>
          <w:rFonts w:eastAsia="DejaVu Sans" w:cs="Tahoma"/>
          <w:kern w:val="1"/>
          <w:lang w:eastAsia="hi-IN" w:bidi="hi-IN"/>
        </w:rPr>
        <w:footnoteReference w:id="30"/>
      </w:r>
      <w:r w:rsidRPr="0077273E">
        <w:rPr>
          <w:rFonts w:cs="Tahoma"/>
          <w:lang w:eastAsia="hi-IN" w:bidi="hi-IN"/>
        </w:rPr>
        <w:t>, vice-président du Club des magistrats du Maroc, une organisation professionnelle indépendante, et ancien président de chambre à la Cour de cassat</w:t>
      </w:r>
      <w:r w:rsidR="007A7822" w:rsidRPr="0077273E">
        <w:rPr>
          <w:rFonts w:cs="Tahoma"/>
          <w:lang w:eastAsia="hi-IN" w:bidi="hi-IN"/>
        </w:rPr>
        <w:t xml:space="preserve">ion de Rabat, a été </w:t>
      </w:r>
      <w:r w:rsidRPr="0077273E">
        <w:rPr>
          <w:rFonts w:cs="Tahoma"/>
          <w:lang w:eastAsia="hi-IN" w:bidi="hi-IN"/>
        </w:rPr>
        <w:t>révoqué de ses fonctions en octobre 2014, après avoir notamment critiqué l’interdiction de faire grève faite au magistrats au nom du « devoir de réserve » pesant sur eux en vertu de la Constitution et organisé un sit-in pacifique devant le Ministère de la Justice.</w:t>
      </w:r>
      <w:r w:rsidR="00924E5E">
        <w:rPr>
          <w:rFonts w:cs="Tahoma"/>
          <w:lang w:eastAsia="hi-IN" w:bidi="hi-IN"/>
        </w:rPr>
        <w:t xml:space="preserve"> Après avoir refusé sa mutation</w:t>
      </w:r>
      <w:r w:rsidR="007A7822" w:rsidRPr="0077273E">
        <w:rPr>
          <w:rFonts w:cs="Tahoma"/>
          <w:lang w:eastAsia="hi-IN" w:bidi="hi-IN"/>
        </w:rPr>
        <w:t xml:space="preserve"> </w:t>
      </w:r>
      <w:r w:rsidRPr="0077273E">
        <w:rPr>
          <w:rFonts w:cs="Tahoma"/>
          <w:lang w:eastAsia="hi-IN" w:bidi="hi-IN"/>
        </w:rPr>
        <w:t>au poste de procureur du</w:t>
      </w:r>
      <w:r w:rsidR="007A7822" w:rsidRPr="0077273E">
        <w:rPr>
          <w:rFonts w:cs="Tahoma"/>
          <w:lang w:eastAsia="hi-IN" w:bidi="hi-IN"/>
        </w:rPr>
        <w:t xml:space="preserve"> </w:t>
      </w:r>
      <w:r w:rsidR="003A0458" w:rsidRPr="0077273E">
        <w:rPr>
          <w:rFonts w:cs="Tahoma"/>
          <w:lang w:eastAsia="hi-IN" w:bidi="hi-IN"/>
        </w:rPr>
        <w:t xml:space="preserve">roi </w:t>
      </w:r>
      <w:r w:rsidRPr="0077273E">
        <w:rPr>
          <w:rFonts w:cs="Tahoma"/>
          <w:lang w:eastAsia="hi-IN" w:bidi="hi-IN"/>
        </w:rPr>
        <w:t>au tribunal de première instance de Bejaâd</w:t>
      </w:r>
      <w:r w:rsidR="007A7822" w:rsidRPr="0077273E">
        <w:rPr>
          <w:rFonts w:cs="Tahoma"/>
          <w:lang w:eastAsia="hi-IN" w:bidi="hi-IN"/>
        </w:rPr>
        <w:t xml:space="preserve">, puis sa réaffectation </w:t>
      </w:r>
      <w:r w:rsidRPr="0077273E">
        <w:rPr>
          <w:rFonts w:cs="Tahoma"/>
          <w:lang w:eastAsia="hi-IN" w:bidi="hi-IN"/>
        </w:rPr>
        <w:t>au parquet</w:t>
      </w:r>
      <w:r w:rsidR="007A7822" w:rsidRPr="0077273E">
        <w:rPr>
          <w:rFonts w:cs="Tahoma"/>
          <w:lang w:eastAsia="hi-IN" w:bidi="hi-IN"/>
        </w:rPr>
        <w:t xml:space="preserve"> de la Cour d’appel de Rabat, M.</w:t>
      </w:r>
      <w:r w:rsidRPr="0077273E">
        <w:rPr>
          <w:rFonts w:cs="Tahoma"/>
          <w:lang w:eastAsia="hi-IN" w:bidi="hi-IN"/>
        </w:rPr>
        <w:t xml:space="preserve"> Anbar a finalement été arrêté</w:t>
      </w:r>
      <w:r w:rsidR="000742F8">
        <w:rPr>
          <w:rFonts w:cs="Tahoma"/>
          <w:lang w:eastAsia="hi-IN" w:bidi="hi-IN"/>
        </w:rPr>
        <w:t xml:space="preserve"> par la police</w:t>
      </w:r>
      <w:r w:rsidRPr="0077273E">
        <w:rPr>
          <w:rFonts w:cs="Tahoma"/>
          <w:lang w:eastAsia="hi-IN" w:bidi="hi-IN"/>
        </w:rPr>
        <w:t xml:space="preserve">, sans mandat et sans que les motifs de l’arrestation ne lui soient communiqués, humilié pendant plusieurs heures, puis informé qu’il avait été relevé de ses fonctions. Préoccupée par </w:t>
      </w:r>
      <w:r w:rsidR="000742F8">
        <w:rPr>
          <w:rFonts w:cs="Tahoma"/>
          <w:lang w:eastAsia="hi-IN" w:bidi="hi-IN"/>
        </w:rPr>
        <w:t xml:space="preserve">le traitement réservé à ce magistrat et </w:t>
      </w:r>
      <w:r w:rsidRPr="0077273E">
        <w:rPr>
          <w:rFonts w:cs="Tahoma"/>
          <w:lang w:eastAsia="hi-IN" w:bidi="hi-IN"/>
        </w:rPr>
        <w:t xml:space="preserve">l’irrégularité </w:t>
      </w:r>
      <w:r w:rsidR="007A7822" w:rsidRPr="0077273E">
        <w:rPr>
          <w:rFonts w:cs="Tahoma"/>
          <w:lang w:eastAsia="hi-IN" w:bidi="hi-IN"/>
        </w:rPr>
        <w:t xml:space="preserve">apparente </w:t>
      </w:r>
      <w:r w:rsidRPr="0077273E">
        <w:rPr>
          <w:rFonts w:cs="Tahoma"/>
          <w:lang w:eastAsia="hi-IN" w:bidi="hi-IN"/>
        </w:rPr>
        <w:t xml:space="preserve">de sa radiation, </w:t>
      </w:r>
      <w:r w:rsidR="00924E5E">
        <w:rPr>
          <w:rFonts w:cs="Tahoma"/>
          <w:lang w:eastAsia="hi-IN" w:bidi="hi-IN"/>
        </w:rPr>
        <w:t>Alkarama avait demandé à la RS IJA</w:t>
      </w:r>
      <w:r w:rsidRPr="0077273E">
        <w:rPr>
          <w:rFonts w:cs="Tahoma"/>
          <w:lang w:eastAsia="hi-IN" w:bidi="hi-IN"/>
        </w:rPr>
        <w:t xml:space="preserve"> d’enjoin</w:t>
      </w:r>
      <w:r w:rsidR="007A7822" w:rsidRPr="0077273E">
        <w:rPr>
          <w:rFonts w:cs="Tahoma"/>
          <w:lang w:eastAsia="hi-IN" w:bidi="hi-IN"/>
        </w:rPr>
        <w:t>dre aux autorités de rétablir M.</w:t>
      </w:r>
      <w:r w:rsidRPr="0077273E">
        <w:rPr>
          <w:rFonts w:cs="Tahoma"/>
          <w:lang w:eastAsia="hi-IN" w:bidi="hi-IN"/>
        </w:rPr>
        <w:t xml:space="preserve"> Anbar dans ses fonctions et appelé les autorités marocaines à respecter l’indépendance des magistrats.</w:t>
      </w:r>
    </w:p>
    <w:p w14:paraId="68520E39" w14:textId="3052AFFC" w:rsidR="00887D77" w:rsidRPr="005C073A" w:rsidRDefault="00887D77" w:rsidP="00050E2E">
      <w:pPr>
        <w:pStyle w:val="Heading1"/>
        <w:rPr>
          <w:lang w:val="fr-CH"/>
        </w:rPr>
      </w:pPr>
      <w:bookmarkStart w:id="44" w:name="_Toc462396095"/>
      <w:r w:rsidRPr="005C073A">
        <w:rPr>
          <w:lang w:val="fr-CH"/>
        </w:rPr>
        <w:t>Garanties fondamentales et droit au procès équitable</w:t>
      </w:r>
      <w:bookmarkEnd w:id="44"/>
      <w:r w:rsidRPr="005C073A">
        <w:rPr>
          <w:lang w:val="fr-CH"/>
        </w:rPr>
        <w:t xml:space="preserve"> </w:t>
      </w:r>
    </w:p>
    <w:p w14:paraId="33111537" w14:textId="33146DA3" w:rsidR="004A3C52" w:rsidRPr="0077273E" w:rsidRDefault="009832D3" w:rsidP="003F048F">
      <w:pPr>
        <w:rPr>
          <w:rFonts w:cs="Tahoma"/>
          <w:lang w:eastAsia="fr-FR"/>
        </w:rPr>
      </w:pPr>
      <w:r w:rsidRPr="0077273E">
        <w:rPr>
          <w:rFonts w:cs="Tahoma"/>
          <w:lang w:eastAsia="fr-FR"/>
        </w:rPr>
        <w:t xml:space="preserve">Le rapport soumis au Comité </w:t>
      </w:r>
      <w:r w:rsidR="007A7822" w:rsidRPr="0077273E">
        <w:rPr>
          <w:rFonts w:cs="Tahoma"/>
          <w:lang w:eastAsia="fr-FR"/>
        </w:rPr>
        <w:t xml:space="preserve">par l’Etat partie </w:t>
      </w:r>
      <w:r w:rsidRPr="0077273E">
        <w:rPr>
          <w:rFonts w:cs="Tahoma"/>
          <w:lang w:eastAsia="fr-FR"/>
        </w:rPr>
        <w:t>fait état de l’existence de garanties accordées aux personnes arrêtées, dont le droit de garder le silence, d’être assisté par un avocat, d’aviser leurs familles et d’être informées des motifs de leur arrestation</w:t>
      </w:r>
      <w:r w:rsidR="007A7822" w:rsidRPr="0077273E">
        <w:rPr>
          <w:rFonts w:cs="Tahoma"/>
          <w:lang w:eastAsia="fr-FR"/>
        </w:rPr>
        <w:t xml:space="preserve">. Il est également fait mention </w:t>
      </w:r>
      <w:r w:rsidRPr="0077273E">
        <w:rPr>
          <w:rFonts w:cs="Tahoma"/>
          <w:lang w:eastAsia="fr-FR"/>
        </w:rPr>
        <w:t xml:space="preserve">du projet de réforme du Code de procédure pénale, plus protecteur pour les personnes </w:t>
      </w:r>
      <w:r w:rsidR="003F048F">
        <w:rPr>
          <w:rFonts w:cs="Tahoma"/>
          <w:lang w:eastAsia="fr-FR"/>
        </w:rPr>
        <w:t>placées en garde</w:t>
      </w:r>
      <w:r w:rsidRPr="0077273E">
        <w:rPr>
          <w:rFonts w:cs="Tahoma"/>
          <w:lang w:eastAsia="fr-FR"/>
        </w:rPr>
        <w:t xml:space="preserve"> à vue. </w:t>
      </w:r>
      <w:r w:rsidR="007A7822" w:rsidRPr="0077273E">
        <w:rPr>
          <w:rFonts w:cs="Tahoma"/>
          <w:lang w:eastAsia="fr-FR"/>
        </w:rPr>
        <w:t xml:space="preserve">Enfin, l’instauration de </w:t>
      </w:r>
      <w:r w:rsidRPr="0077273E">
        <w:rPr>
          <w:rFonts w:cs="Tahoma"/>
          <w:lang w:eastAsia="fr-FR"/>
        </w:rPr>
        <w:t>visites périodiques des locaux de garde à v</w:t>
      </w:r>
      <w:r w:rsidR="00FF6F4F">
        <w:rPr>
          <w:rFonts w:cs="Tahoma"/>
          <w:lang w:eastAsia="fr-FR"/>
        </w:rPr>
        <w:t>ue par le Parquet contribuerai</w:t>
      </w:r>
      <w:r w:rsidRPr="0077273E">
        <w:rPr>
          <w:rFonts w:cs="Tahoma"/>
          <w:lang w:eastAsia="fr-FR"/>
        </w:rPr>
        <w:t>t au respect de ces garanties</w:t>
      </w:r>
      <w:r w:rsidRPr="0077273E">
        <w:rPr>
          <w:rStyle w:val="FootnoteReference"/>
          <w:rFonts w:cs="Tahoma"/>
          <w:lang w:eastAsia="fr-FR"/>
        </w:rPr>
        <w:footnoteReference w:id="31"/>
      </w:r>
      <w:r w:rsidRPr="0077273E">
        <w:rPr>
          <w:rFonts w:cs="Tahoma"/>
          <w:lang w:eastAsia="fr-FR"/>
        </w:rPr>
        <w:t>.</w:t>
      </w:r>
    </w:p>
    <w:p w14:paraId="6096B11F" w14:textId="77777777" w:rsidR="00BC3D2F" w:rsidRPr="0077273E" w:rsidRDefault="00BC3D2F" w:rsidP="00BC3D2F">
      <w:pPr>
        <w:pStyle w:val="ListParagraph"/>
        <w:keepNext/>
        <w:numPr>
          <w:ilvl w:val="0"/>
          <w:numId w:val="16"/>
        </w:numPr>
        <w:shd w:val="clear" w:color="auto" w:fill="FFFFFF"/>
        <w:spacing w:after="0" w:line="240" w:lineRule="auto"/>
        <w:contextualSpacing w:val="0"/>
        <w:jc w:val="both"/>
        <w:outlineLvl w:val="1"/>
        <w:rPr>
          <w:rStyle w:val="Heading2Char"/>
          <w:rFonts w:eastAsia="Calibri"/>
          <w:iCs w:val="0"/>
          <w:vanish/>
          <w:highlight w:val="yellow"/>
          <w:lang w:val="fr-CH"/>
        </w:rPr>
      </w:pPr>
      <w:bookmarkStart w:id="45" w:name="_Toc461809672"/>
      <w:bookmarkStart w:id="46" w:name="_Toc461815040"/>
      <w:bookmarkStart w:id="47" w:name="_Toc461815096"/>
      <w:bookmarkStart w:id="48" w:name="_Toc461815532"/>
      <w:bookmarkStart w:id="49" w:name="_Toc461820201"/>
      <w:bookmarkStart w:id="50" w:name="_Toc462042406"/>
      <w:bookmarkStart w:id="51" w:name="_Toc462150409"/>
      <w:bookmarkStart w:id="52" w:name="_Toc462330082"/>
      <w:bookmarkStart w:id="53" w:name="_Toc462330336"/>
      <w:bookmarkStart w:id="54" w:name="_Toc462396032"/>
      <w:bookmarkStart w:id="55" w:name="_Toc462396096"/>
      <w:bookmarkEnd w:id="45"/>
      <w:bookmarkEnd w:id="46"/>
      <w:bookmarkEnd w:id="47"/>
      <w:bookmarkEnd w:id="48"/>
      <w:bookmarkEnd w:id="49"/>
      <w:bookmarkEnd w:id="50"/>
      <w:bookmarkEnd w:id="51"/>
      <w:bookmarkEnd w:id="52"/>
      <w:bookmarkEnd w:id="53"/>
      <w:bookmarkEnd w:id="54"/>
      <w:bookmarkEnd w:id="55"/>
    </w:p>
    <w:p w14:paraId="7C40E3AB" w14:textId="61EC63C5" w:rsidR="00C40C29" w:rsidRPr="00FF6F4F" w:rsidRDefault="00CA115A" w:rsidP="00FF6F4F">
      <w:pPr>
        <w:pStyle w:val="Heading2"/>
        <w:rPr>
          <w:lang w:val="fr-CH"/>
        </w:rPr>
      </w:pPr>
      <w:bookmarkStart w:id="56" w:name="_Toc462396097"/>
      <w:r w:rsidRPr="0077273E">
        <w:rPr>
          <w:rStyle w:val="Heading2Char"/>
          <w:b/>
          <w:bCs/>
          <w:lang w:val="fr-CH"/>
        </w:rPr>
        <w:t>Régime</w:t>
      </w:r>
      <w:r w:rsidRPr="0077273E">
        <w:rPr>
          <w:lang w:val="fr-CH"/>
        </w:rPr>
        <w:t xml:space="preserve"> de la g</w:t>
      </w:r>
      <w:r w:rsidR="00887D77" w:rsidRPr="0077273E">
        <w:rPr>
          <w:lang w:val="fr-CH"/>
        </w:rPr>
        <w:t>arde à vue</w:t>
      </w:r>
      <w:bookmarkEnd w:id="56"/>
      <w:r w:rsidR="00887D77" w:rsidRPr="0077273E">
        <w:rPr>
          <w:lang w:val="fr-CH"/>
        </w:rPr>
        <w:t xml:space="preserve"> </w:t>
      </w:r>
    </w:p>
    <w:p w14:paraId="7F8B92DF" w14:textId="6428CBD7" w:rsidR="00C40C29" w:rsidRPr="0077273E" w:rsidRDefault="00EF1CCC" w:rsidP="00EF1CCC">
      <w:pPr>
        <w:pStyle w:val="Heading3"/>
        <w:rPr>
          <w:rFonts w:cs="Tahoma"/>
        </w:rPr>
      </w:pPr>
      <w:bookmarkStart w:id="57" w:name="_Toc462396098"/>
      <w:r>
        <w:rPr>
          <w:rFonts w:cs="Tahoma"/>
          <w:lang w:val="fr-CH"/>
        </w:rPr>
        <w:t>La r</w:t>
      </w:r>
      <w:r w:rsidR="00C40C29" w:rsidRPr="0077273E">
        <w:rPr>
          <w:rFonts w:cs="Tahoma"/>
          <w:lang w:val="fr-CH"/>
        </w:rPr>
        <w:t>éforme du régime de la garde à vue</w:t>
      </w:r>
      <w:bookmarkEnd w:id="57"/>
      <w:r w:rsidR="00C40C29" w:rsidRPr="0077273E">
        <w:rPr>
          <w:rFonts w:cs="Tahoma"/>
          <w:lang w:val="fr-CH"/>
        </w:rPr>
        <w:t xml:space="preserve"> </w:t>
      </w:r>
    </w:p>
    <w:p w14:paraId="067FC4FB" w14:textId="0A1790C4" w:rsidR="009832D3" w:rsidRPr="0077273E" w:rsidRDefault="009832D3" w:rsidP="00C40C29">
      <w:pPr>
        <w:rPr>
          <w:rFonts w:cs="Tahoma"/>
        </w:rPr>
      </w:pPr>
      <w:r w:rsidRPr="0077273E">
        <w:rPr>
          <w:rFonts w:cs="Tahoma"/>
        </w:rPr>
        <w:t xml:space="preserve">Le Comité avait demandé à l’Etat partie d’indiquer si un amendement était envisagé afin d’assurer un accès à l’avocat, dès l’arrestation, sans que l’accord du Procureur </w:t>
      </w:r>
      <w:r w:rsidR="007A7822" w:rsidRPr="0077273E">
        <w:rPr>
          <w:rFonts w:cs="Tahoma"/>
        </w:rPr>
        <w:t>ne soit nécessaire</w:t>
      </w:r>
      <w:r w:rsidR="008C7D51">
        <w:rPr>
          <w:rFonts w:cs="Tahoma"/>
        </w:rPr>
        <w:t>,</w:t>
      </w:r>
      <w:r w:rsidR="007A7822" w:rsidRPr="0077273E">
        <w:rPr>
          <w:rFonts w:cs="Tahoma"/>
        </w:rPr>
        <w:t xml:space="preserve"> ainsi qu’à</w:t>
      </w:r>
      <w:r w:rsidRPr="0077273E">
        <w:rPr>
          <w:rFonts w:cs="Tahoma"/>
        </w:rPr>
        <w:t xml:space="preserve"> </w:t>
      </w:r>
      <w:r w:rsidR="007A7822" w:rsidRPr="0077273E">
        <w:rPr>
          <w:rFonts w:cs="Tahoma"/>
        </w:rPr>
        <w:t>un médecin indépendant. De même</w:t>
      </w:r>
      <w:r w:rsidR="00FF6F4F">
        <w:rPr>
          <w:rFonts w:cs="Tahoma"/>
        </w:rPr>
        <w:t>,</w:t>
      </w:r>
      <w:r w:rsidR="007A7822" w:rsidRPr="0077273E">
        <w:rPr>
          <w:rFonts w:cs="Tahoma"/>
        </w:rPr>
        <w:t xml:space="preserve"> le Comité avait souligné l’importance d’accorder aux personnes en garde à vue </w:t>
      </w:r>
      <w:r w:rsidRPr="0077273E">
        <w:rPr>
          <w:rFonts w:cs="Tahoma"/>
        </w:rPr>
        <w:t>la possibilité de contact</w:t>
      </w:r>
      <w:r w:rsidR="00C40C29" w:rsidRPr="0077273E">
        <w:rPr>
          <w:rFonts w:cs="Tahoma"/>
        </w:rPr>
        <w:t>er les membres de leurs</w:t>
      </w:r>
      <w:r w:rsidR="007A7822" w:rsidRPr="0077273E">
        <w:rPr>
          <w:rFonts w:cs="Tahoma"/>
        </w:rPr>
        <w:t xml:space="preserve"> famille</w:t>
      </w:r>
      <w:r w:rsidR="00C40C29" w:rsidRPr="0077273E">
        <w:rPr>
          <w:rFonts w:cs="Tahoma"/>
        </w:rPr>
        <w:t>s</w:t>
      </w:r>
      <w:r w:rsidR="007A7822" w:rsidRPr="0077273E">
        <w:rPr>
          <w:rFonts w:cs="Tahoma"/>
        </w:rPr>
        <w:t xml:space="preserve">, </w:t>
      </w:r>
      <w:r w:rsidR="00C40C29" w:rsidRPr="0077273E">
        <w:rPr>
          <w:rFonts w:cs="Tahoma"/>
        </w:rPr>
        <w:t>d’être informé</w:t>
      </w:r>
      <w:r w:rsidR="008C7D51">
        <w:rPr>
          <w:rFonts w:cs="Tahoma"/>
        </w:rPr>
        <w:t>es</w:t>
      </w:r>
      <w:r w:rsidR="00C40C29" w:rsidRPr="0077273E">
        <w:rPr>
          <w:rFonts w:cs="Tahoma"/>
        </w:rPr>
        <w:t xml:space="preserve"> de leurs </w:t>
      </w:r>
      <w:r w:rsidRPr="0077273E">
        <w:rPr>
          <w:rFonts w:cs="Tahoma"/>
        </w:rPr>
        <w:t>droits et des poursuites engagées</w:t>
      </w:r>
      <w:r w:rsidR="00C40C29" w:rsidRPr="0077273E">
        <w:rPr>
          <w:rFonts w:cs="Tahoma"/>
        </w:rPr>
        <w:t xml:space="preserve"> contre elles</w:t>
      </w:r>
      <w:r w:rsidRPr="0077273E">
        <w:rPr>
          <w:rFonts w:cs="Tahoma"/>
        </w:rPr>
        <w:t xml:space="preserve">, </w:t>
      </w:r>
      <w:r w:rsidR="00C40C29" w:rsidRPr="0077273E">
        <w:rPr>
          <w:rFonts w:cs="Tahoma"/>
        </w:rPr>
        <w:t>ainsi que</w:t>
      </w:r>
      <w:r w:rsidR="00FF6F4F">
        <w:rPr>
          <w:rFonts w:cs="Tahoma"/>
        </w:rPr>
        <w:t xml:space="preserve"> de</w:t>
      </w:r>
      <w:r w:rsidR="00C40C29" w:rsidRPr="0077273E">
        <w:rPr>
          <w:rFonts w:cs="Tahoma"/>
        </w:rPr>
        <w:t xml:space="preserve"> la nécessité d’une présentation prompte devant </w:t>
      </w:r>
      <w:r w:rsidRPr="0077273E">
        <w:rPr>
          <w:rFonts w:cs="Tahoma"/>
        </w:rPr>
        <w:t>un juge</w:t>
      </w:r>
      <w:r w:rsidRPr="0077273E">
        <w:rPr>
          <w:rStyle w:val="FootnoteReference"/>
          <w:rFonts w:cs="Tahoma"/>
        </w:rPr>
        <w:footnoteReference w:id="32"/>
      </w:r>
      <w:r w:rsidRPr="0077273E">
        <w:rPr>
          <w:rFonts w:cs="Tahoma"/>
        </w:rPr>
        <w:t>.</w:t>
      </w:r>
    </w:p>
    <w:p w14:paraId="4EDC2D96" w14:textId="2CF7718F" w:rsidR="009832D3" w:rsidRPr="0077273E" w:rsidRDefault="00C40C29" w:rsidP="009832D3">
      <w:pPr>
        <w:rPr>
          <w:rFonts w:cs="Tahoma"/>
        </w:rPr>
      </w:pPr>
      <w:r w:rsidRPr="0077273E">
        <w:rPr>
          <w:rFonts w:cs="Tahoma"/>
        </w:rPr>
        <w:t>Dans ses réponses</w:t>
      </w:r>
      <w:r w:rsidR="009832D3" w:rsidRPr="0077273E">
        <w:rPr>
          <w:rFonts w:cs="Tahoma"/>
        </w:rPr>
        <w:t>, le Maroc a souligné que les garanties d’examen médical, de contact avec la famille, d’information des droits et de présentation devant un juge étaient déjà prévues par le CPP, et ajouté que le projet de réforme du CPP introduirait de nouvelles dispositions relatives à l’accès à l’avocat, dès le début de la procédure et sans autorisation du parquet</w:t>
      </w:r>
      <w:r w:rsidR="009832D3" w:rsidRPr="0077273E">
        <w:rPr>
          <w:rStyle w:val="FootnoteReference"/>
          <w:rFonts w:cs="Tahoma"/>
        </w:rPr>
        <w:footnoteReference w:id="33"/>
      </w:r>
      <w:r w:rsidR="009832D3" w:rsidRPr="0077273E">
        <w:rPr>
          <w:rFonts w:cs="Tahoma"/>
        </w:rPr>
        <w:t>.</w:t>
      </w:r>
    </w:p>
    <w:p w14:paraId="4855F987" w14:textId="78C64C12" w:rsidR="00CA115A" w:rsidRPr="0077273E" w:rsidRDefault="00087244" w:rsidP="00FF6F4F">
      <w:pPr>
        <w:rPr>
          <w:rFonts w:cs="Tahoma"/>
        </w:rPr>
      </w:pPr>
      <w:r w:rsidRPr="0077273E">
        <w:rPr>
          <w:rFonts w:cs="Tahoma"/>
        </w:rPr>
        <w:t xml:space="preserve">En 2014 a été mise en place une commission spéciale, composée de 17 membres, </w:t>
      </w:r>
      <w:r w:rsidR="00C40C29" w:rsidRPr="0077273E">
        <w:rPr>
          <w:rFonts w:cs="Tahoma"/>
        </w:rPr>
        <w:t xml:space="preserve">dont des </w:t>
      </w:r>
      <w:r w:rsidRPr="0077273E">
        <w:rPr>
          <w:rFonts w:cs="Tahoma"/>
        </w:rPr>
        <w:t xml:space="preserve">représentants des ministères concernés, </w:t>
      </w:r>
      <w:r w:rsidR="00C40C29" w:rsidRPr="0077273E">
        <w:rPr>
          <w:rFonts w:cs="Tahoma"/>
        </w:rPr>
        <w:t>du procureur général ainsi que de la société civile. Cette Commission a</w:t>
      </w:r>
      <w:r w:rsidR="008C7D51">
        <w:rPr>
          <w:rFonts w:cs="Tahoma"/>
        </w:rPr>
        <w:t>vait</w:t>
      </w:r>
      <w:r w:rsidR="00C40C29" w:rsidRPr="0077273E">
        <w:rPr>
          <w:rFonts w:cs="Tahoma"/>
        </w:rPr>
        <w:t xml:space="preserve"> pour mission d’</w:t>
      </w:r>
      <w:r w:rsidRPr="0077273E">
        <w:rPr>
          <w:rFonts w:cs="Tahoma"/>
        </w:rPr>
        <w:t>élaborer un projet de loi modifiant le Code de procédure pénale qui mette le système judiciaire en conformité avec la Constitution de 2011 et les conventions internationales ratifiées par le Maroc. Le Ministère de la justice a publié son projet de réforme du Code de procédure pénale le 8 mai 2014</w:t>
      </w:r>
      <w:r w:rsidRPr="0077273E">
        <w:rPr>
          <w:rStyle w:val="FootnoteReference"/>
          <w:rFonts w:cs="Tahoma"/>
          <w:szCs w:val="20"/>
        </w:rPr>
        <w:footnoteReference w:id="34"/>
      </w:r>
      <w:r w:rsidRPr="0077273E">
        <w:rPr>
          <w:rFonts w:cs="Tahoma"/>
        </w:rPr>
        <w:t xml:space="preserve">. </w:t>
      </w:r>
      <w:r w:rsidR="00C40C29" w:rsidRPr="0077273E">
        <w:rPr>
          <w:rFonts w:cs="Tahoma"/>
        </w:rPr>
        <w:t xml:space="preserve">Le texte </w:t>
      </w:r>
      <w:r w:rsidRPr="0077273E">
        <w:rPr>
          <w:rFonts w:cs="Tahoma"/>
        </w:rPr>
        <w:t>p</w:t>
      </w:r>
      <w:r w:rsidR="00C40C29" w:rsidRPr="0077273E">
        <w:rPr>
          <w:rFonts w:cs="Tahoma"/>
        </w:rPr>
        <w:t>récise les</w:t>
      </w:r>
      <w:r w:rsidRPr="0077273E">
        <w:rPr>
          <w:rFonts w:cs="Tahoma"/>
        </w:rPr>
        <w:t xml:space="preserve"> conditions </w:t>
      </w:r>
      <w:r w:rsidR="00C40C29" w:rsidRPr="0077273E">
        <w:rPr>
          <w:rFonts w:cs="Tahoma"/>
        </w:rPr>
        <w:t>de la garde à vue et prévoit</w:t>
      </w:r>
      <w:r w:rsidRPr="0077273E">
        <w:rPr>
          <w:rFonts w:cs="Tahoma"/>
        </w:rPr>
        <w:t xml:space="preserve"> </w:t>
      </w:r>
      <w:r w:rsidR="00C40C29" w:rsidRPr="0077273E">
        <w:rPr>
          <w:rFonts w:cs="Tahoma"/>
        </w:rPr>
        <w:t xml:space="preserve">notamment </w:t>
      </w:r>
      <w:r w:rsidRPr="0077273E">
        <w:rPr>
          <w:rFonts w:cs="Tahoma"/>
        </w:rPr>
        <w:t xml:space="preserve">une obligation pour la police judiciaire de procéder à un enregistrement </w:t>
      </w:r>
      <w:r w:rsidR="00C40C29" w:rsidRPr="0077273E">
        <w:rPr>
          <w:rFonts w:cs="Tahoma"/>
        </w:rPr>
        <w:t>audiovisuel des interrogatoires ;</w:t>
      </w:r>
      <w:r w:rsidRPr="0077273E">
        <w:rPr>
          <w:rFonts w:cs="Tahoma"/>
        </w:rPr>
        <w:t xml:space="preserve"> </w:t>
      </w:r>
      <w:r w:rsidR="00C40C29" w:rsidRPr="0077273E">
        <w:rPr>
          <w:rFonts w:cs="Tahoma"/>
        </w:rPr>
        <w:t xml:space="preserve">il </w:t>
      </w:r>
      <w:r w:rsidRPr="0077273E">
        <w:rPr>
          <w:rFonts w:cs="Tahoma"/>
        </w:rPr>
        <w:t>affirme en outre le droit à l’assistance d’un avocat dès l</w:t>
      </w:r>
      <w:r w:rsidR="00C40C29" w:rsidRPr="0077273E">
        <w:rPr>
          <w:rFonts w:cs="Tahoma"/>
        </w:rPr>
        <w:t>a première heure de garde à vue ;</w:t>
      </w:r>
      <w:r w:rsidRPr="0077273E">
        <w:rPr>
          <w:rFonts w:cs="Tahoma"/>
        </w:rPr>
        <w:t xml:space="preserve"> </w:t>
      </w:r>
      <w:r w:rsidR="00C40C29" w:rsidRPr="0077273E">
        <w:rPr>
          <w:rFonts w:cs="Tahoma"/>
        </w:rPr>
        <w:t xml:space="preserve">il </w:t>
      </w:r>
      <w:r w:rsidRPr="0077273E">
        <w:rPr>
          <w:rFonts w:cs="Tahoma"/>
        </w:rPr>
        <w:t xml:space="preserve">instaure des mesures alternatives à la détention préventive, telles que le bracelet électronique et les travaux d’intérêt général pour les mineurs de plus de </w:t>
      </w:r>
      <w:r w:rsidR="00FF6F4F">
        <w:rPr>
          <w:rFonts w:cs="Tahoma"/>
        </w:rPr>
        <w:t>15</w:t>
      </w:r>
      <w:r w:rsidRPr="0077273E">
        <w:rPr>
          <w:rFonts w:cs="Tahoma"/>
        </w:rPr>
        <w:t xml:space="preserve"> ans.</w:t>
      </w:r>
    </w:p>
    <w:p w14:paraId="36EB5521" w14:textId="358E39C2" w:rsidR="00CA115A" w:rsidRPr="0077273E" w:rsidRDefault="00EF1CCC" w:rsidP="00EF1CCC">
      <w:pPr>
        <w:pStyle w:val="Heading3"/>
        <w:rPr>
          <w:rFonts w:cs="Tahoma"/>
          <w:lang w:val="fr-CH"/>
        </w:rPr>
      </w:pPr>
      <w:bookmarkStart w:id="58" w:name="_Toc462396099"/>
      <w:r>
        <w:rPr>
          <w:rFonts w:cs="Tahoma"/>
          <w:lang w:val="fr-CH"/>
        </w:rPr>
        <w:t>La d</w:t>
      </w:r>
      <w:r w:rsidR="00CA115A" w:rsidRPr="0077273E">
        <w:rPr>
          <w:rFonts w:cs="Tahoma"/>
          <w:lang w:val="fr-CH"/>
        </w:rPr>
        <w:t xml:space="preserve">urée légale </w:t>
      </w:r>
      <w:r w:rsidR="00087244" w:rsidRPr="0077273E">
        <w:rPr>
          <w:rFonts w:cs="Tahoma"/>
          <w:lang w:val="fr-CH"/>
        </w:rPr>
        <w:t>de la garde à vue</w:t>
      </w:r>
      <w:bookmarkEnd w:id="58"/>
    </w:p>
    <w:p w14:paraId="5AD5BBCD" w14:textId="2DDAE8E5" w:rsidR="00CA115A" w:rsidRPr="0077273E" w:rsidRDefault="00CA115A" w:rsidP="006E501F">
      <w:r w:rsidRPr="0077273E">
        <w:t xml:space="preserve">Le régime de la garde à vue est déterminé par les articles 66 et 80 du </w:t>
      </w:r>
      <w:r w:rsidR="006E501F">
        <w:t>CPP</w:t>
      </w:r>
      <w:r w:rsidRPr="0077273E">
        <w:t xml:space="preserve"> qui distingue entre les infractions flagrantes qui ne nécessitent pas d’autorisation préalable du parquet et les infractions ordinaires. Dans les deux cas cependant, la loi ne précise pas la nécessité d’un mandat écrit, sauf en cas de renouvellement de la mesure ; cela soulève la question de la preuve de son existence et </w:t>
      </w:r>
      <w:r w:rsidR="008C7D51">
        <w:t xml:space="preserve">celle de </w:t>
      </w:r>
      <w:r w:rsidRPr="0077273E">
        <w:t xml:space="preserve">la date exacte de l’arrestation. En tout état de cause, que l’infraction soit flagrante ou ordinaire, la garde à vue doit être limitée dans le temps et ne </w:t>
      </w:r>
      <w:r w:rsidR="008C7D51">
        <w:t xml:space="preserve">devrait pas </w:t>
      </w:r>
      <w:r w:rsidRPr="0077273E">
        <w:t xml:space="preserve">excéder 48 heures. </w:t>
      </w:r>
    </w:p>
    <w:p w14:paraId="65BE01E1" w14:textId="77777777" w:rsidR="00CA115A" w:rsidRPr="00EF1CCC" w:rsidRDefault="00CA115A" w:rsidP="00FF6F4F">
      <w:r w:rsidRPr="0077273E">
        <w:t>L’alinéa 1</w:t>
      </w:r>
      <w:r w:rsidRPr="0077273E">
        <w:rPr>
          <w:vertAlign w:val="superscript"/>
        </w:rPr>
        <w:t>er</w:t>
      </w:r>
      <w:r w:rsidRPr="0077273E">
        <w:t xml:space="preserve"> de l’article 80 précise que la personne gardée à vue doit obligatoirement être conduite devant le procureur avant l’expiration de ce délai. C’est seulement après son audition que ce dernier peut accorder l’autorisation écrite de prolonger la garde à vue pour une durée de 24 heures. En cas d’atteinte à la sécurité de l’Etat, la garde à vue est fixée à 96 heures, renouvelables une fois sur autorisation écrite </w:t>
      </w:r>
      <w:r w:rsidRPr="00EF1CCC">
        <w:t xml:space="preserve">du parquet. </w:t>
      </w:r>
    </w:p>
    <w:p w14:paraId="455B1384" w14:textId="36C4612D" w:rsidR="00CA115A" w:rsidRPr="0077273E" w:rsidRDefault="00CA115A" w:rsidP="00FF6F4F">
      <w:r w:rsidRPr="00EF1CCC">
        <w:t xml:space="preserve">Le Code de procédure pénale n’envisage pas expressément </w:t>
      </w:r>
      <w:r w:rsidR="001D496B" w:rsidRPr="00EF1CCC">
        <w:t xml:space="preserve">de sanctions dans </w:t>
      </w:r>
      <w:r w:rsidRPr="00EF1CCC">
        <w:t>l’hypothèse où les conditions légales de la garde à vue ne sont pas remplies, par exemple en cas de dépassement des délais. Les procès-verbaux établis par la police judiciaire lors de l’enquête préliminaire bénéficiant de la force probante en vertu de l’article 289 Code de procédure pénale, il sera ainsi difficile pour la défense de les remettre en cause deva</w:t>
      </w:r>
      <w:r w:rsidR="005C073A">
        <w:t>nt une juridiction de jugement.</w:t>
      </w:r>
    </w:p>
    <w:p w14:paraId="5BC4F8C4" w14:textId="270C4D99" w:rsidR="00CA115A" w:rsidRPr="0077273E" w:rsidRDefault="00EF1CCC" w:rsidP="00EF1CCC">
      <w:pPr>
        <w:pStyle w:val="Heading3"/>
        <w:rPr>
          <w:rFonts w:cs="Tahoma"/>
          <w:lang w:val="fr-CH"/>
        </w:rPr>
      </w:pPr>
      <w:bookmarkStart w:id="59" w:name="_Toc462396100"/>
      <w:r>
        <w:rPr>
          <w:rFonts w:cs="Tahoma"/>
          <w:lang w:val="fr-CH"/>
        </w:rPr>
        <w:t>Le droit d’a</w:t>
      </w:r>
      <w:r w:rsidR="00CA115A" w:rsidRPr="0077273E">
        <w:rPr>
          <w:rFonts w:cs="Tahoma"/>
          <w:lang w:val="fr-CH"/>
        </w:rPr>
        <w:t>ccès à un avocat</w:t>
      </w:r>
      <w:bookmarkEnd w:id="59"/>
      <w:r w:rsidR="00CA115A" w:rsidRPr="0077273E">
        <w:rPr>
          <w:rFonts w:cs="Tahoma"/>
          <w:lang w:val="fr-CH"/>
        </w:rPr>
        <w:t xml:space="preserve"> </w:t>
      </w:r>
    </w:p>
    <w:p w14:paraId="520895AE" w14:textId="77777777" w:rsidR="00CA115A" w:rsidRPr="0077273E" w:rsidRDefault="00CA115A" w:rsidP="00CA115A">
      <w:pPr>
        <w:rPr>
          <w:rFonts w:cs="Tahoma"/>
        </w:rPr>
      </w:pPr>
      <w:r w:rsidRPr="0077273E">
        <w:rPr>
          <w:rFonts w:cs="Tahoma"/>
        </w:rPr>
        <w:t xml:space="preserve">Dans l’affaire </w:t>
      </w:r>
      <w:r w:rsidRPr="0077273E">
        <w:rPr>
          <w:rFonts w:cs="Tahoma"/>
          <w:i/>
        </w:rPr>
        <w:t>Bondar c. Ouzbékistan</w:t>
      </w:r>
      <w:r w:rsidRPr="0077273E">
        <w:rPr>
          <w:rFonts w:cs="Tahoma"/>
        </w:rPr>
        <w:t xml:space="preserve">, le Comité des droits de l’homme a considéré que l’absence d’accès à un avocat durant la phase d’interrogatoire constituait une violation de l’article 14, paragraphe 3, alinéas </w:t>
      </w:r>
      <w:r w:rsidRPr="0077273E">
        <w:rPr>
          <w:rFonts w:cs="Tahoma"/>
          <w:i/>
          <w:iCs/>
        </w:rPr>
        <w:t>b</w:t>
      </w:r>
      <w:r w:rsidRPr="0077273E">
        <w:rPr>
          <w:rFonts w:cs="Tahoma"/>
        </w:rPr>
        <w:t xml:space="preserve"> et </w:t>
      </w:r>
      <w:r w:rsidRPr="0077273E">
        <w:rPr>
          <w:rFonts w:cs="Tahoma"/>
          <w:i/>
          <w:iCs/>
        </w:rPr>
        <w:t>d</w:t>
      </w:r>
      <w:r w:rsidRPr="0077273E">
        <w:rPr>
          <w:rFonts w:cs="Tahoma"/>
        </w:rPr>
        <w:t xml:space="preserve"> du Pacte</w:t>
      </w:r>
      <w:r w:rsidRPr="0077273E">
        <w:rPr>
          <w:rStyle w:val="FootnoteReference"/>
          <w:rFonts w:cs="Tahoma"/>
          <w:szCs w:val="20"/>
        </w:rPr>
        <w:footnoteReference w:id="35"/>
      </w:r>
      <w:r w:rsidRPr="0077273E">
        <w:rPr>
          <w:rFonts w:cs="Tahoma"/>
        </w:rPr>
        <w:t xml:space="preserve">. </w:t>
      </w:r>
    </w:p>
    <w:p w14:paraId="2C799352" w14:textId="62C8E6CC" w:rsidR="001D496B" w:rsidRPr="0077273E" w:rsidRDefault="00CA115A" w:rsidP="006E501F">
      <w:pPr>
        <w:rPr>
          <w:rFonts w:cs="Tahoma"/>
        </w:rPr>
      </w:pPr>
      <w:r w:rsidRPr="0077273E">
        <w:rPr>
          <w:rFonts w:cs="Tahoma"/>
        </w:rPr>
        <w:lastRenderedPageBreak/>
        <w:t xml:space="preserve">Pour les infractions de droit commun, </w:t>
      </w:r>
      <w:r w:rsidRPr="005C073A">
        <w:rPr>
          <w:rFonts w:cs="Tahoma"/>
        </w:rPr>
        <w:t xml:space="preserve">le Code de procédure pénale autorise un entretien de </w:t>
      </w:r>
      <w:r w:rsidR="006E501F">
        <w:rPr>
          <w:rFonts w:cs="Tahoma"/>
        </w:rPr>
        <w:t>30</w:t>
      </w:r>
      <w:r w:rsidRPr="005C073A">
        <w:rPr>
          <w:rFonts w:cs="Tahoma"/>
        </w:rPr>
        <w:t xml:space="preserve"> minutes entre la personne gardée à vue et son avocat pendant les </w:t>
      </w:r>
      <w:r w:rsidR="006E501F">
        <w:rPr>
          <w:rFonts w:cs="Tahoma"/>
        </w:rPr>
        <w:t>24</w:t>
      </w:r>
      <w:r w:rsidRPr="005C073A">
        <w:rPr>
          <w:rFonts w:cs="Tahoma"/>
        </w:rPr>
        <w:t xml:space="preserve"> heures suivant l’arrestation ; cette communication est néanmoins</w:t>
      </w:r>
      <w:r w:rsidRPr="0077273E">
        <w:rPr>
          <w:rFonts w:cs="Tahoma"/>
        </w:rPr>
        <w:t xml:space="preserve"> soumise à l’autori</w:t>
      </w:r>
      <w:r w:rsidR="001D496B" w:rsidRPr="0077273E">
        <w:rPr>
          <w:rFonts w:cs="Tahoma"/>
        </w:rPr>
        <w:t>sation du procureur général du r</w:t>
      </w:r>
      <w:r w:rsidRPr="0077273E">
        <w:rPr>
          <w:rFonts w:cs="Tahoma"/>
        </w:rPr>
        <w:t xml:space="preserve">oi. </w:t>
      </w:r>
    </w:p>
    <w:p w14:paraId="3C92D2DD" w14:textId="504B0C61" w:rsidR="001D496B" w:rsidRPr="0077273E" w:rsidRDefault="00CA115A" w:rsidP="00EF1CCC">
      <w:pPr>
        <w:rPr>
          <w:rFonts w:cs="Tahoma"/>
        </w:rPr>
      </w:pPr>
      <w:r w:rsidRPr="0077273E">
        <w:rPr>
          <w:rFonts w:cs="Tahoma"/>
        </w:rPr>
        <w:t>Dans son rapport</w:t>
      </w:r>
      <w:r w:rsidR="006E501F">
        <w:rPr>
          <w:rFonts w:cs="Tahoma"/>
        </w:rPr>
        <w:t xml:space="preserve"> étatique</w:t>
      </w:r>
      <w:r w:rsidRPr="0077273E">
        <w:rPr>
          <w:rFonts w:cs="Tahoma"/>
        </w:rPr>
        <w:t xml:space="preserve">, le Maroc affirmait que les personnes </w:t>
      </w:r>
      <w:r w:rsidR="00EF1CCC">
        <w:rPr>
          <w:rFonts w:cs="Tahoma"/>
        </w:rPr>
        <w:t xml:space="preserve">placées en garde </w:t>
      </w:r>
      <w:r w:rsidRPr="0077273E">
        <w:rPr>
          <w:rFonts w:cs="Tahoma"/>
        </w:rPr>
        <w:t>à vue se voyaient accorder des garanties procédurales telles que le droit d’être assistées par un avocat et d’aviser leurs familles</w:t>
      </w:r>
      <w:r w:rsidRPr="0077273E">
        <w:rPr>
          <w:rStyle w:val="FootnoteReference"/>
          <w:rFonts w:cs="Tahoma"/>
          <w:szCs w:val="20"/>
        </w:rPr>
        <w:footnoteReference w:id="36"/>
      </w:r>
      <w:r w:rsidRPr="0077273E">
        <w:rPr>
          <w:rFonts w:cs="Tahoma"/>
        </w:rPr>
        <w:t xml:space="preserve">. Or, dans la pratique, l’accès au client par l’avocat </w:t>
      </w:r>
      <w:r w:rsidR="001D496B" w:rsidRPr="0077273E">
        <w:rPr>
          <w:rFonts w:cs="Tahoma"/>
        </w:rPr>
        <w:t>n’est pas toujours</w:t>
      </w:r>
      <w:r w:rsidR="00EF1CCC">
        <w:rPr>
          <w:rFonts w:cs="Tahoma"/>
        </w:rPr>
        <w:t xml:space="preserve"> effectif</w:t>
      </w:r>
      <w:r w:rsidRPr="0077273E">
        <w:rPr>
          <w:rStyle w:val="FootnoteReference"/>
          <w:rFonts w:cs="Tahoma"/>
          <w:szCs w:val="20"/>
        </w:rPr>
        <w:footnoteReference w:id="37"/>
      </w:r>
      <w:r w:rsidRPr="0077273E">
        <w:rPr>
          <w:rFonts w:cs="Tahoma"/>
        </w:rPr>
        <w:t> ; dans certains cas, la date d’enregistrement d</w:t>
      </w:r>
      <w:r w:rsidR="00EF1CCC">
        <w:rPr>
          <w:rFonts w:cs="Tahoma"/>
        </w:rPr>
        <w:t>e l’arrestation du suspect est différée</w:t>
      </w:r>
      <w:r w:rsidRPr="0077273E">
        <w:rPr>
          <w:rFonts w:cs="Tahoma"/>
        </w:rPr>
        <w:t>, si bien que le premier entretien n’intervient général</w:t>
      </w:r>
      <w:r w:rsidR="00EF1CCC">
        <w:rPr>
          <w:rFonts w:cs="Tahoma"/>
        </w:rPr>
        <w:t>ement</w:t>
      </w:r>
      <w:r w:rsidRPr="0077273E">
        <w:rPr>
          <w:rFonts w:cs="Tahoma"/>
        </w:rPr>
        <w:t xml:space="preserve"> que lors de la première audience </w:t>
      </w:r>
      <w:r w:rsidR="00EF1CCC">
        <w:rPr>
          <w:rFonts w:cs="Tahoma"/>
        </w:rPr>
        <w:t xml:space="preserve">de comparution </w:t>
      </w:r>
      <w:r w:rsidRPr="0077273E">
        <w:rPr>
          <w:rFonts w:cs="Tahoma"/>
        </w:rPr>
        <w:t>devant l</w:t>
      </w:r>
      <w:r w:rsidR="00EF1CCC">
        <w:rPr>
          <w:rFonts w:cs="Tahoma"/>
        </w:rPr>
        <w:t>’autorité judiciaire</w:t>
      </w:r>
      <w:r w:rsidRPr="0077273E">
        <w:rPr>
          <w:rStyle w:val="FootnoteReference"/>
          <w:rFonts w:cs="Tahoma"/>
          <w:szCs w:val="20"/>
        </w:rPr>
        <w:footnoteReference w:id="38"/>
      </w:r>
      <w:r w:rsidRPr="0077273E">
        <w:rPr>
          <w:rFonts w:cs="Tahoma"/>
        </w:rPr>
        <w:t>.</w:t>
      </w:r>
    </w:p>
    <w:p w14:paraId="4E669353" w14:textId="1DB2B43B" w:rsidR="00CA115A" w:rsidRPr="005C073A" w:rsidRDefault="00EF1CCC" w:rsidP="00EF1CCC">
      <w:pPr>
        <w:pStyle w:val="Heading3"/>
        <w:rPr>
          <w:rFonts w:cs="Tahoma"/>
          <w:lang w:val="fr-CH"/>
        </w:rPr>
      </w:pPr>
      <w:bookmarkStart w:id="60" w:name="_Toc462396101"/>
      <w:r w:rsidRPr="005C073A">
        <w:rPr>
          <w:rFonts w:cs="Tahoma"/>
          <w:lang w:val="fr-CH"/>
        </w:rPr>
        <w:t>Le d</w:t>
      </w:r>
      <w:r w:rsidR="00CA115A" w:rsidRPr="005C073A">
        <w:rPr>
          <w:rFonts w:cs="Tahoma"/>
          <w:lang w:val="fr-CH"/>
        </w:rPr>
        <w:t>roit à un examen médical</w:t>
      </w:r>
      <w:bookmarkEnd w:id="60"/>
      <w:r w:rsidR="00CA115A" w:rsidRPr="005C073A">
        <w:rPr>
          <w:rFonts w:cs="Tahoma"/>
          <w:lang w:val="fr-CH"/>
        </w:rPr>
        <w:t xml:space="preserve"> </w:t>
      </w:r>
    </w:p>
    <w:p w14:paraId="7551E568" w14:textId="368A1802" w:rsidR="00CA115A" w:rsidRPr="0077273E" w:rsidRDefault="00CA115A" w:rsidP="006E501F">
      <w:pPr>
        <w:rPr>
          <w:rFonts w:cs="Tahoma"/>
        </w:rPr>
      </w:pPr>
      <w:r w:rsidRPr="0077273E">
        <w:rPr>
          <w:rFonts w:cs="Tahoma"/>
        </w:rPr>
        <w:t xml:space="preserve">Les articles 73 et 74 du </w:t>
      </w:r>
      <w:r w:rsidR="006E501F">
        <w:rPr>
          <w:rFonts w:cs="Tahoma"/>
        </w:rPr>
        <w:t>CPP</w:t>
      </w:r>
      <w:r w:rsidRPr="0077273E">
        <w:rPr>
          <w:rFonts w:cs="Tahoma"/>
        </w:rPr>
        <w:t xml:space="preserve"> permettent au procureur d’ordonner des examens médicaux si la personne gardée à vue en fait la demande ou s’il existe des signes apparents de sévices subis durant la garde à vue ; les mêmes droits sont garantis aux détenus par les articles 134 et 135 du même code. Aux termes de l’article 88 du C</w:t>
      </w:r>
      <w:r w:rsidR="001D496B" w:rsidRPr="0077273E">
        <w:rPr>
          <w:rFonts w:cs="Tahoma"/>
        </w:rPr>
        <w:t>PP</w:t>
      </w:r>
      <w:r w:rsidRPr="0077273E">
        <w:rPr>
          <w:rFonts w:cs="Tahoma"/>
        </w:rPr>
        <w:t>, tout refus doit être motivé.</w:t>
      </w:r>
      <w:r w:rsidR="00E97FB8" w:rsidRPr="0077273E">
        <w:rPr>
          <w:rFonts w:cs="Tahoma"/>
        </w:rPr>
        <w:t xml:space="preserve"> Toutefois</w:t>
      </w:r>
      <w:r w:rsidR="006E501F">
        <w:rPr>
          <w:rFonts w:cs="Tahoma"/>
        </w:rPr>
        <w:t>,</w:t>
      </w:r>
      <w:r w:rsidR="00E97FB8" w:rsidRPr="0077273E">
        <w:rPr>
          <w:rFonts w:cs="Tahoma"/>
        </w:rPr>
        <w:t xml:space="preserve"> ces dispositions ne sont pas effectivement mise</w:t>
      </w:r>
      <w:r w:rsidR="006E501F">
        <w:rPr>
          <w:rFonts w:cs="Tahoma"/>
        </w:rPr>
        <w:t>s</w:t>
      </w:r>
      <w:r w:rsidR="00E97FB8" w:rsidRPr="0077273E">
        <w:rPr>
          <w:rFonts w:cs="Tahoma"/>
        </w:rPr>
        <w:t xml:space="preserve"> en œuvre en pratique </w:t>
      </w:r>
      <w:r w:rsidR="00EF1CCC">
        <w:rPr>
          <w:rFonts w:cs="Tahoma"/>
        </w:rPr>
        <w:t xml:space="preserve">notamment </w:t>
      </w:r>
      <w:r w:rsidR="00E97FB8" w:rsidRPr="0077273E">
        <w:rPr>
          <w:rFonts w:cs="Tahoma"/>
        </w:rPr>
        <w:t xml:space="preserve">du fait </w:t>
      </w:r>
      <w:r w:rsidR="00150D5E" w:rsidRPr="0077273E">
        <w:rPr>
          <w:rFonts w:cs="Tahoma"/>
        </w:rPr>
        <w:t xml:space="preserve">du manque </w:t>
      </w:r>
      <w:r w:rsidR="00E97FB8" w:rsidRPr="0077273E">
        <w:rPr>
          <w:rFonts w:cs="Tahoma"/>
        </w:rPr>
        <w:t>de</w:t>
      </w:r>
      <w:r w:rsidR="001D496B" w:rsidRPr="0077273E">
        <w:rPr>
          <w:rFonts w:cs="Tahoma"/>
        </w:rPr>
        <w:t xml:space="preserve"> médecins légistes</w:t>
      </w:r>
      <w:r w:rsidR="00E97FB8" w:rsidRPr="0077273E">
        <w:rPr>
          <w:rFonts w:cs="Tahoma"/>
        </w:rPr>
        <w:t>.</w:t>
      </w:r>
    </w:p>
    <w:p w14:paraId="112B8FF9" w14:textId="03D15A17" w:rsidR="00CB1DCC" w:rsidRPr="0077273E" w:rsidRDefault="00CB1DCC" w:rsidP="008D77C6">
      <w:pPr>
        <w:rPr>
          <w:rFonts w:cs="Tahoma"/>
        </w:rPr>
      </w:pPr>
      <w:r w:rsidRPr="0077273E">
        <w:rPr>
          <w:rFonts w:cs="Tahoma"/>
        </w:rPr>
        <w:t>En effet, le Maroc fait face à une véritable pénurie d’experts en médecine légale. Dans un rapport publié en 2013, le CNDH faisait état de trois ense</w:t>
      </w:r>
      <w:r w:rsidR="006E501F">
        <w:rPr>
          <w:rFonts w:cs="Tahoma"/>
        </w:rPr>
        <w:t>ignants disponibles et de 13</w:t>
      </w:r>
      <w:r w:rsidRPr="0077273E">
        <w:rPr>
          <w:rFonts w:cs="Tahoma"/>
        </w:rPr>
        <w:t xml:space="preserve"> spécialistes en médecine légale formés par le service universitaire de médecine légale du CHU Ibn Rochd de Casablanca – le seul du pays – sur l’ensemble du territoire marocain</w:t>
      </w:r>
      <w:r w:rsidRPr="0077273E">
        <w:rPr>
          <w:rStyle w:val="FootnoteReference"/>
          <w:rFonts w:cs="Tahoma"/>
          <w:bCs/>
        </w:rPr>
        <w:footnoteReference w:id="39"/>
      </w:r>
      <w:r w:rsidRPr="0077273E">
        <w:rPr>
          <w:rFonts w:cs="Tahoma"/>
        </w:rPr>
        <w:t xml:space="preserve">. Le CNDH expliquait alors le peu d’attrait pour cette discipline par son absence de valorisation, </w:t>
      </w:r>
      <w:r w:rsidR="008D77C6" w:rsidRPr="0077273E">
        <w:rPr>
          <w:rFonts w:cs="Tahoma"/>
        </w:rPr>
        <w:t>en raison d’une</w:t>
      </w:r>
      <w:r w:rsidRPr="0077273E">
        <w:rPr>
          <w:rFonts w:cs="Tahoma"/>
        </w:rPr>
        <w:t xml:space="preserve"> rémunération</w:t>
      </w:r>
      <w:r w:rsidR="008D77C6" w:rsidRPr="0077273E">
        <w:rPr>
          <w:rFonts w:cs="Tahoma"/>
        </w:rPr>
        <w:t xml:space="preserve"> insatisfaisante et de</w:t>
      </w:r>
      <w:r w:rsidRPr="0077273E">
        <w:rPr>
          <w:rFonts w:cs="Tahoma"/>
        </w:rPr>
        <w:t xml:space="preserve"> conditions de travail </w:t>
      </w:r>
      <w:r w:rsidR="008D77C6" w:rsidRPr="0077273E">
        <w:rPr>
          <w:rFonts w:cs="Tahoma"/>
        </w:rPr>
        <w:t xml:space="preserve">difficiles </w:t>
      </w:r>
      <w:r w:rsidRPr="0077273E">
        <w:rPr>
          <w:rFonts w:cs="Tahoma"/>
        </w:rPr>
        <w:t>des médecins légistes, et préconisait une refonte du cadre législatif et réglementaire applicable à l’activité médico-légale</w:t>
      </w:r>
      <w:r w:rsidRPr="0077273E">
        <w:rPr>
          <w:rStyle w:val="FootnoteReference"/>
          <w:rFonts w:cs="Tahoma"/>
          <w:bCs/>
        </w:rPr>
        <w:footnoteReference w:id="40"/>
      </w:r>
      <w:r w:rsidRPr="0077273E">
        <w:rPr>
          <w:rFonts w:cs="Tahoma"/>
        </w:rPr>
        <w:t xml:space="preserve">. </w:t>
      </w:r>
    </w:p>
    <w:p w14:paraId="4F3EF50F" w14:textId="0E3DFA35" w:rsidR="00CB1DCC" w:rsidRPr="0077273E" w:rsidRDefault="00CB1DCC" w:rsidP="00921FDA">
      <w:pPr>
        <w:rPr>
          <w:rFonts w:cs="Tahoma"/>
        </w:rPr>
      </w:pPr>
      <w:r w:rsidRPr="0077273E">
        <w:rPr>
          <w:rFonts w:cs="Tahoma"/>
        </w:rPr>
        <w:t xml:space="preserve">L’encadrement institutionnel de la médecine légale figure parmi les objectifs </w:t>
      </w:r>
      <w:r w:rsidR="008D77C6" w:rsidRPr="0077273E">
        <w:rPr>
          <w:rFonts w:cs="Tahoma"/>
        </w:rPr>
        <w:t xml:space="preserve">de </w:t>
      </w:r>
      <w:r w:rsidR="00921FDA">
        <w:rPr>
          <w:rFonts w:cs="Tahoma"/>
        </w:rPr>
        <w:t xml:space="preserve">la </w:t>
      </w:r>
      <w:r w:rsidRPr="0077273E">
        <w:rPr>
          <w:rFonts w:cs="Tahoma"/>
        </w:rPr>
        <w:t>réforme de la justice récemment initié</w:t>
      </w:r>
      <w:r w:rsidR="00921FDA">
        <w:rPr>
          <w:rFonts w:cs="Tahoma"/>
        </w:rPr>
        <w:t>e</w:t>
      </w:r>
      <w:r w:rsidRPr="0077273E">
        <w:rPr>
          <w:rFonts w:cs="Tahoma"/>
        </w:rPr>
        <w:t xml:space="preserve"> au Maroc</w:t>
      </w:r>
      <w:r w:rsidRPr="0077273E">
        <w:rPr>
          <w:rStyle w:val="FootnoteReference"/>
          <w:rFonts w:cs="Tahoma"/>
          <w:szCs w:val="20"/>
        </w:rPr>
        <w:footnoteReference w:id="41"/>
      </w:r>
      <w:r w:rsidRPr="0077273E">
        <w:rPr>
          <w:rFonts w:cs="Tahoma"/>
        </w:rPr>
        <w:t>. Un projet de loi sur la médecine légale a été déposé au Secrétariat général du gouvernement en février 2014. Le texte prévoit la création d’un conseil national pour la médecine légale</w:t>
      </w:r>
      <w:r w:rsidR="00921FDA">
        <w:rPr>
          <w:rFonts w:cs="Tahoma"/>
        </w:rPr>
        <w:t>,</w:t>
      </w:r>
      <w:r w:rsidRPr="0077273E">
        <w:rPr>
          <w:rFonts w:cs="Tahoma"/>
        </w:rPr>
        <w:t xml:space="preserve"> </w:t>
      </w:r>
      <w:r w:rsidR="00921FDA" w:rsidRPr="0077273E">
        <w:rPr>
          <w:rFonts w:cs="Tahoma"/>
        </w:rPr>
        <w:t>doté de la personnalité morale et de l’autonomie financière</w:t>
      </w:r>
      <w:r w:rsidR="00921FDA">
        <w:rPr>
          <w:rFonts w:cs="Tahoma"/>
        </w:rPr>
        <w:t>,</w:t>
      </w:r>
      <w:r w:rsidR="00921FDA" w:rsidRPr="0077273E">
        <w:rPr>
          <w:rFonts w:cs="Tahoma"/>
        </w:rPr>
        <w:t xml:space="preserve"> </w:t>
      </w:r>
      <w:r w:rsidRPr="0077273E">
        <w:rPr>
          <w:rFonts w:cs="Tahoma"/>
        </w:rPr>
        <w:t>chargé d’encadrer la profession et d</w:t>
      </w:r>
      <w:r w:rsidR="00921FDA">
        <w:rPr>
          <w:rFonts w:cs="Tahoma"/>
        </w:rPr>
        <w:t xml:space="preserve">’établir </w:t>
      </w:r>
      <w:r w:rsidRPr="0077273E">
        <w:rPr>
          <w:rFonts w:cs="Tahoma"/>
        </w:rPr>
        <w:t>des rapports annuels sur la pratique</w:t>
      </w:r>
      <w:r w:rsidR="00921FDA">
        <w:rPr>
          <w:rFonts w:cs="Tahoma"/>
        </w:rPr>
        <w:t xml:space="preserve"> de la médecine légale dans le pays</w:t>
      </w:r>
      <w:r w:rsidRPr="0077273E">
        <w:rPr>
          <w:rFonts w:cs="Tahoma"/>
        </w:rPr>
        <w:t>.</w:t>
      </w:r>
    </w:p>
    <w:p w14:paraId="6209DCA5" w14:textId="3DFA9F60" w:rsidR="008D77C6" w:rsidRPr="0077273E" w:rsidRDefault="00CB1DCC" w:rsidP="00CB1DCC">
      <w:pPr>
        <w:rPr>
          <w:rFonts w:cs="Tahoma"/>
        </w:rPr>
      </w:pPr>
      <w:r w:rsidRPr="0077273E">
        <w:rPr>
          <w:rFonts w:cs="Tahoma"/>
        </w:rPr>
        <w:t>Suite à sa visite au Maroc</w:t>
      </w:r>
      <w:r w:rsidR="00931039">
        <w:rPr>
          <w:rFonts w:cs="Tahoma"/>
        </w:rPr>
        <w:t xml:space="preserve"> en 2012</w:t>
      </w:r>
      <w:r w:rsidRPr="0077273E">
        <w:rPr>
          <w:rFonts w:cs="Tahoma"/>
        </w:rPr>
        <w:t xml:space="preserve">, </w:t>
      </w:r>
      <w:r w:rsidR="008D77C6" w:rsidRPr="0077273E">
        <w:rPr>
          <w:rFonts w:cs="Tahoma"/>
        </w:rPr>
        <w:t>le</w:t>
      </w:r>
      <w:r w:rsidR="00012FB0">
        <w:rPr>
          <w:rFonts w:cs="Tahoma"/>
        </w:rPr>
        <w:t xml:space="preserve"> R</w:t>
      </w:r>
      <w:r w:rsidR="00DC131D">
        <w:rPr>
          <w:rFonts w:cs="Tahoma"/>
        </w:rPr>
        <w:t>apporteur</w:t>
      </w:r>
      <w:r w:rsidRPr="0077273E">
        <w:rPr>
          <w:rFonts w:cs="Tahoma"/>
        </w:rPr>
        <w:t xml:space="preserve"> spécial sur la torture </w:t>
      </w:r>
      <w:r w:rsidR="008D77C6" w:rsidRPr="0077273E">
        <w:rPr>
          <w:rFonts w:cs="Tahoma"/>
        </w:rPr>
        <w:t xml:space="preserve">(RST) </w:t>
      </w:r>
      <w:r w:rsidRPr="0077273E">
        <w:rPr>
          <w:rFonts w:cs="Tahoma"/>
        </w:rPr>
        <w:t>a souligné que les examens médicaux – dans les rares cas où les juges font droit aux demandes d’expertises – étaient trop souvent effectués par des cliniciens inexpérimentés en médecine légale et simplement inscrits sur les « listes d’experts » des tribunaux</w:t>
      </w:r>
      <w:r w:rsidRPr="0077273E">
        <w:rPr>
          <w:rStyle w:val="FootnoteReference"/>
          <w:rFonts w:cs="Tahoma"/>
          <w:szCs w:val="20"/>
        </w:rPr>
        <w:footnoteReference w:id="42"/>
      </w:r>
      <w:r w:rsidRPr="0077273E">
        <w:rPr>
          <w:rFonts w:cs="Tahoma"/>
        </w:rPr>
        <w:t>. En règle générale, le nombre d’examens médicaux pratiqués au moment du placement en détention reste faible et les médecins chargés de l’expertise médicale rendent souvent des rapports non conformes au Protocole d’Istanbul, qui prescrit la conduite d’investigations médicales efficaces et indépendantes, et recommande notamment que</w:t>
      </w:r>
      <w:r w:rsidR="00921FDA">
        <w:rPr>
          <w:rFonts w:cs="Tahoma"/>
        </w:rPr>
        <w:t>,</w:t>
      </w:r>
      <w:r w:rsidRPr="0077273E">
        <w:rPr>
          <w:rFonts w:cs="Tahoma"/>
        </w:rPr>
        <w:t xml:space="preserve"> face à des allégations de torture, les preuves médicales soient recueillies le plus rapidement possible</w:t>
      </w:r>
      <w:r w:rsidRPr="0077273E">
        <w:rPr>
          <w:rStyle w:val="FootnoteReference"/>
          <w:rFonts w:cs="Tahoma"/>
          <w:szCs w:val="20"/>
        </w:rPr>
        <w:footnoteReference w:id="43"/>
      </w:r>
      <w:r w:rsidRPr="0077273E">
        <w:rPr>
          <w:rFonts w:cs="Tahoma"/>
        </w:rPr>
        <w:t xml:space="preserve">. </w:t>
      </w:r>
    </w:p>
    <w:p w14:paraId="5969D81A" w14:textId="76195283" w:rsidR="00087244" w:rsidRPr="0077273E" w:rsidRDefault="008D77C6" w:rsidP="00931039">
      <w:pPr>
        <w:rPr>
          <w:rFonts w:cs="Tahoma"/>
        </w:rPr>
      </w:pPr>
      <w:r w:rsidRPr="0077273E">
        <w:rPr>
          <w:rFonts w:cs="Tahoma"/>
        </w:rPr>
        <w:t>Enfin, d</w:t>
      </w:r>
      <w:r w:rsidR="00CB1DCC" w:rsidRPr="0077273E">
        <w:rPr>
          <w:rFonts w:cs="Tahoma"/>
        </w:rPr>
        <w:t>ans la mesure où ces médecins sont des fonctionnaires relevant de la Délégation Générale de l’administration pénitentiaire et de la réinsertion</w:t>
      </w:r>
      <w:r w:rsidRPr="0077273E">
        <w:rPr>
          <w:rFonts w:cs="Tahoma"/>
        </w:rPr>
        <w:t xml:space="preserve"> – institutio</w:t>
      </w:r>
      <w:r w:rsidR="00921FDA">
        <w:rPr>
          <w:rFonts w:cs="Tahoma"/>
        </w:rPr>
        <w:t>n qui relève directement du roi</w:t>
      </w:r>
      <w:r w:rsidR="00084DEA">
        <w:rPr>
          <w:rFonts w:cs="Tahoma"/>
        </w:rPr>
        <w:t xml:space="preserve"> et non du M</w:t>
      </w:r>
      <w:r w:rsidR="00CB1DCC" w:rsidRPr="0077273E">
        <w:rPr>
          <w:rFonts w:cs="Tahoma"/>
        </w:rPr>
        <w:t>inistère de la santé</w:t>
      </w:r>
      <w:r w:rsidR="00931039">
        <w:rPr>
          <w:rFonts w:cs="Tahoma"/>
        </w:rPr>
        <w:t xml:space="preserve"> </w:t>
      </w:r>
      <w:r w:rsidR="00931039" w:rsidRPr="0077273E">
        <w:rPr>
          <w:rFonts w:cs="Tahoma"/>
        </w:rPr>
        <w:t>–</w:t>
      </w:r>
      <w:r w:rsidR="00CB1DCC" w:rsidRPr="0077273E">
        <w:rPr>
          <w:rFonts w:cs="Tahoma"/>
        </w:rPr>
        <w:t xml:space="preserve">, </w:t>
      </w:r>
      <w:r w:rsidR="00921FDA">
        <w:rPr>
          <w:rFonts w:cs="Tahoma"/>
        </w:rPr>
        <w:t xml:space="preserve">soulève la question de </w:t>
      </w:r>
      <w:r w:rsidR="00CB1DCC" w:rsidRPr="0077273E">
        <w:rPr>
          <w:rFonts w:cs="Tahoma"/>
        </w:rPr>
        <w:t xml:space="preserve">leur indépendance </w:t>
      </w:r>
      <w:r w:rsidR="00921FDA">
        <w:rPr>
          <w:rFonts w:cs="Tahoma"/>
        </w:rPr>
        <w:t xml:space="preserve">qui </w:t>
      </w:r>
      <w:r w:rsidRPr="0077273E">
        <w:rPr>
          <w:rFonts w:cs="Tahoma"/>
        </w:rPr>
        <w:t xml:space="preserve">est souvent remise en cause par les </w:t>
      </w:r>
      <w:r w:rsidR="00EF1CCC">
        <w:rPr>
          <w:rFonts w:cs="Tahoma"/>
        </w:rPr>
        <w:t>défenseurs des droits de l’homme, les victimes et leurs familles</w:t>
      </w:r>
      <w:r w:rsidR="00CB1DCC" w:rsidRPr="0077273E">
        <w:rPr>
          <w:rFonts w:cs="Tahoma"/>
        </w:rPr>
        <w:t>.</w:t>
      </w:r>
    </w:p>
    <w:p w14:paraId="48110646" w14:textId="3C91AACC" w:rsidR="00087244" w:rsidRPr="0077273E" w:rsidRDefault="00087244" w:rsidP="00050E2E">
      <w:pPr>
        <w:pStyle w:val="Heading2"/>
        <w:rPr>
          <w:lang w:val="fr-CH"/>
        </w:rPr>
      </w:pPr>
      <w:bookmarkStart w:id="61" w:name="_Toc462396102"/>
      <w:r w:rsidRPr="0077273E">
        <w:rPr>
          <w:lang w:val="fr-CH"/>
        </w:rPr>
        <w:lastRenderedPageBreak/>
        <w:t>Recours excessif à la détention préventive</w:t>
      </w:r>
      <w:bookmarkEnd w:id="61"/>
    </w:p>
    <w:p w14:paraId="502A809F" w14:textId="49A1C035" w:rsidR="00087244" w:rsidRPr="0077273E" w:rsidRDefault="00087244" w:rsidP="00150D5E">
      <w:pPr>
        <w:rPr>
          <w:rFonts w:cs="Tahoma"/>
        </w:rPr>
      </w:pPr>
      <w:r w:rsidRPr="0077273E">
        <w:rPr>
          <w:rFonts w:cs="Tahoma"/>
        </w:rPr>
        <w:t>Le troisième paragraphe de l’article 9 du P</w:t>
      </w:r>
      <w:r w:rsidR="00150D5E" w:rsidRPr="0077273E">
        <w:rPr>
          <w:rFonts w:cs="Tahoma"/>
        </w:rPr>
        <w:t>IDCP</w:t>
      </w:r>
      <w:r w:rsidRPr="0077273E">
        <w:rPr>
          <w:rFonts w:cs="Tahoma"/>
        </w:rPr>
        <w:t xml:space="preserve"> dispose que « </w:t>
      </w:r>
      <w:r w:rsidR="00931039">
        <w:rPr>
          <w:rFonts w:cs="Tahoma"/>
        </w:rPr>
        <w:t>[l]</w:t>
      </w:r>
      <w:r w:rsidRPr="0077273E">
        <w:rPr>
          <w:rFonts w:cs="Tahoma"/>
        </w:rPr>
        <w:t>a détention de personnes qui attendent de passer en jugement ne doit pas être de règle, mais la mise en liberté peut être subordonnée à des garanties assurant la comparution de l’intéressé à l’audience, à tous les autres actes de la procédure et, le cas échéant, pour l’exécution du jugement. »</w:t>
      </w:r>
    </w:p>
    <w:p w14:paraId="3E087BD4" w14:textId="7CB5972B" w:rsidR="00087244" w:rsidRPr="0077273E" w:rsidRDefault="00087244" w:rsidP="00931039">
      <w:pPr>
        <w:rPr>
          <w:rFonts w:cs="Tahoma"/>
        </w:rPr>
      </w:pPr>
      <w:r w:rsidRPr="0077273E">
        <w:rPr>
          <w:rFonts w:cs="Tahoma"/>
        </w:rPr>
        <w:t>Lors de sa visite au Maroc</w:t>
      </w:r>
      <w:r w:rsidR="00931039">
        <w:rPr>
          <w:rFonts w:cs="Tahoma"/>
        </w:rPr>
        <w:t xml:space="preserve"> en 2013, le Groupe de travail sur la</w:t>
      </w:r>
      <w:r w:rsidRPr="0077273E">
        <w:rPr>
          <w:rFonts w:cs="Tahoma"/>
        </w:rPr>
        <w:t xml:space="preserve"> détention arbitraire</w:t>
      </w:r>
      <w:r w:rsidR="00E12E87">
        <w:rPr>
          <w:rFonts w:cs="Tahoma"/>
        </w:rPr>
        <w:t xml:space="preserve"> (GTDA)</w:t>
      </w:r>
      <w:r w:rsidR="00931039">
        <w:rPr>
          <w:rFonts w:cs="Tahoma"/>
        </w:rPr>
        <w:t xml:space="preserve"> s’est dit préoccupé par le</w:t>
      </w:r>
      <w:r w:rsidRPr="0077273E">
        <w:rPr>
          <w:rFonts w:cs="Tahoma"/>
        </w:rPr>
        <w:t xml:space="preserve"> recours excessif à la détention préventive, notamment en ce que celle-ci favorise le surpeuplement dans les établissements pénitentiaires</w:t>
      </w:r>
      <w:r w:rsidRPr="0077273E">
        <w:rPr>
          <w:rStyle w:val="FootnoteReference"/>
          <w:rFonts w:cs="Tahoma"/>
          <w:szCs w:val="20"/>
        </w:rPr>
        <w:footnoteReference w:id="44"/>
      </w:r>
      <w:r w:rsidRPr="0077273E">
        <w:rPr>
          <w:rFonts w:cs="Tahoma"/>
        </w:rPr>
        <w:t>. Or, selon le Centre international d’études pénitentiaire</w:t>
      </w:r>
      <w:r w:rsidR="00931039">
        <w:rPr>
          <w:rFonts w:cs="Tahoma"/>
        </w:rPr>
        <w:t>s</w:t>
      </w:r>
      <w:r w:rsidRPr="0077273E">
        <w:rPr>
          <w:rFonts w:cs="Tahoma"/>
        </w:rPr>
        <w:t>, le nombre de personnes détenues dans les établissements pénitentiaires en avril 2015, y compris avant jugement dans le cadre de détention préventive, s’élevait à 76 000 pour une capacité totale d’environ 40 000 places constituant un taux d’occupation de 157%</w:t>
      </w:r>
      <w:r w:rsidRPr="0077273E">
        <w:rPr>
          <w:rStyle w:val="FootnoteReference"/>
          <w:rFonts w:cs="Tahoma"/>
          <w:szCs w:val="20"/>
        </w:rPr>
        <w:footnoteReference w:id="45"/>
      </w:r>
      <w:r w:rsidR="00931039">
        <w:rPr>
          <w:rFonts w:cs="Tahoma"/>
        </w:rPr>
        <w:t xml:space="preserve">. </w:t>
      </w:r>
      <w:r w:rsidRPr="0077273E">
        <w:rPr>
          <w:rFonts w:cs="Tahoma"/>
        </w:rPr>
        <w:t>Cette situation entrave lourdement l’accès aux soins, à la nourriture et aux services de réhabilitation pour les détenus</w:t>
      </w:r>
      <w:r w:rsidRPr="0077273E">
        <w:rPr>
          <w:rStyle w:val="FootnoteReference"/>
          <w:rFonts w:cs="Tahoma"/>
          <w:szCs w:val="20"/>
        </w:rPr>
        <w:footnoteReference w:id="46"/>
      </w:r>
      <w:r w:rsidRPr="0077273E">
        <w:rPr>
          <w:rFonts w:cs="Tahoma"/>
        </w:rPr>
        <w:t>.</w:t>
      </w:r>
    </w:p>
    <w:p w14:paraId="66835160" w14:textId="7F4FF4FD" w:rsidR="00087244" w:rsidRPr="0077273E" w:rsidRDefault="00087244" w:rsidP="00931039">
      <w:pPr>
        <w:rPr>
          <w:rFonts w:cs="Tahoma"/>
        </w:rPr>
      </w:pPr>
      <w:r w:rsidRPr="0077273E">
        <w:rPr>
          <w:rFonts w:cs="Tahoma"/>
        </w:rPr>
        <w:t xml:space="preserve">Par ailleurs, le Groupe de travail a relevé que les personnes détenues à titre préventif et les condamnés n’étaient pas toujours séparés. De même, de nombreux mineurs sont détenus dans des établissements pénitentiaires ordinaires, voire dans la même cellule que des détenus majeurs, alors même que l’article 460 du </w:t>
      </w:r>
      <w:r w:rsidR="00931039">
        <w:rPr>
          <w:rFonts w:cs="Tahoma"/>
        </w:rPr>
        <w:t>CPP</w:t>
      </w:r>
      <w:r w:rsidRPr="0077273E">
        <w:rPr>
          <w:rFonts w:cs="Tahoma"/>
        </w:rPr>
        <w:t xml:space="preserve"> prévoit le placement en détention des mineurs dans des lieux qui leur sont réservés</w:t>
      </w:r>
      <w:r w:rsidRPr="0077273E">
        <w:rPr>
          <w:rStyle w:val="FootnoteReference"/>
          <w:rFonts w:cs="Tahoma"/>
          <w:szCs w:val="20"/>
        </w:rPr>
        <w:footnoteReference w:id="47"/>
      </w:r>
      <w:r w:rsidRPr="0077273E">
        <w:rPr>
          <w:rFonts w:cs="Tahoma"/>
        </w:rPr>
        <w:t>.</w:t>
      </w:r>
    </w:p>
    <w:p w14:paraId="61FA010E" w14:textId="2FF50116" w:rsidR="00150D5E" w:rsidRPr="00931039" w:rsidRDefault="00887D77" w:rsidP="00931039">
      <w:pPr>
        <w:pStyle w:val="Heading2"/>
        <w:rPr>
          <w:lang w:val="fr-CH"/>
        </w:rPr>
      </w:pPr>
      <w:bookmarkStart w:id="62" w:name="_Toc462396103"/>
      <w:r w:rsidRPr="005C073A">
        <w:rPr>
          <w:lang w:val="fr-CH"/>
        </w:rPr>
        <w:t>Procès inéquitables</w:t>
      </w:r>
      <w:bookmarkEnd w:id="62"/>
      <w:r w:rsidRPr="005C073A">
        <w:rPr>
          <w:lang w:val="fr-CH"/>
        </w:rPr>
        <w:t xml:space="preserve"> </w:t>
      </w:r>
    </w:p>
    <w:p w14:paraId="5772C435" w14:textId="01FE90DF" w:rsidR="00C93F23" w:rsidRPr="0077273E" w:rsidRDefault="00C93F23" w:rsidP="00050E2E">
      <w:pPr>
        <w:pStyle w:val="Heading3"/>
        <w:rPr>
          <w:rFonts w:cs="Tahoma"/>
          <w:lang w:val="fr-CH"/>
        </w:rPr>
      </w:pPr>
      <w:bookmarkStart w:id="63" w:name="_Toc462396104"/>
      <w:r w:rsidRPr="0077273E">
        <w:rPr>
          <w:rFonts w:cs="Tahoma"/>
          <w:lang w:val="fr-CH"/>
        </w:rPr>
        <w:t>Utilisation d’aveux obtenus sous la torture lors de procès</w:t>
      </w:r>
      <w:bookmarkEnd w:id="63"/>
      <w:r w:rsidRPr="0077273E">
        <w:rPr>
          <w:rFonts w:cs="Tahoma"/>
          <w:lang w:val="fr-CH"/>
        </w:rPr>
        <w:t xml:space="preserve"> </w:t>
      </w:r>
    </w:p>
    <w:p w14:paraId="68DE0D41" w14:textId="77777777" w:rsidR="00C93F23" w:rsidRPr="0077273E" w:rsidRDefault="00C93F23" w:rsidP="00C93F23">
      <w:pPr>
        <w:rPr>
          <w:rFonts w:cs="Tahoma"/>
        </w:rPr>
      </w:pPr>
      <w:r w:rsidRPr="0077273E">
        <w:rPr>
          <w:rFonts w:cs="Tahoma"/>
        </w:rPr>
        <w:t>Selon le Code de procédure pénale, un aveu obtenu sous la torture ne peut constituer un moyen de preuve recevable</w:t>
      </w:r>
      <w:r w:rsidRPr="0077273E">
        <w:rPr>
          <w:rStyle w:val="FootnoteReference"/>
          <w:rFonts w:cs="Tahoma"/>
          <w:szCs w:val="20"/>
        </w:rPr>
        <w:footnoteReference w:id="48"/>
      </w:r>
      <w:r w:rsidRPr="0077273E">
        <w:rPr>
          <w:rFonts w:cs="Tahoma"/>
        </w:rPr>
        <w:t xml:space="preserve">. Or, non seulement les tribunaux marocains admettent comme moyens de preuve de tels aveux, mais de nombreuses condamnations reposent encore exclusivement sur ceux-ci, en l’absence de toute preuve matérielle. </w:t>
      </w:r>
    </w:p>
    <w:p w14:paraId="385AC484" w14:textId="4AA31C3E" w:rsidR="003168E9" w:rsidRPr="0077273E" w:rsidRDefault="003168E9" w:rsidP="00931039">
      <w:pPr>
        <w:rPr>
          <w:rFonts w:cs="Tahoma"/>
        </w:rPr>
      </w:pPr>
      <w:r w:rsidRPr="0077273E">
        <w:rPr>
          <w:rFonts w:cs="Tahoma"/>
        </w:rPr>
        <w:t xml:space="preserve">Selon le rapport </w:t>
      </w:r>
      <w:r w:rsidR="00931039">
        <w:rPr>
          <w:rFonts w:cs="Tahoma"/>
        </w:rPr>
        <w:t xml:space="preserve">national </w:t>
      </w:r>
      <w:r w:rsidRPr="0077273E">
        <w:rPr>
          <w:rFonts w:cs="Tahoma"/>
        </w:rPr>
        <w:t>du Maroc</w:t>
      </w:r>
      <w:r w:rsidRPr="00931039">
        <w:rPr>
          <w:rFonts w:cs="Tahoma"/>
        </w:rPr>
        <w:t xml:space="preserve">, les </w:t>
      </w:r>
      <w:r w:rsidR="00931039" w:rsidRPr="00931039">
        <w:rPr>
          <w:rFonts w:cs="Tahoma"/>
        </w:rPr>
        <w:t>officiers</w:t>
      </w:r>
      <w:r w:rsidR="00931039" w:rsidRPr="00E76A76">
        <w:rPr>
          <w:rFonts w:cs="Tahoma"/>
        </w:rPr>
        <w:t xml:space="preserve"> de police judiciaire</w:t>
      </w:r>
      <w:r w:rsidRPr="0077273E">
        <w:rPr>
          <w:rFonts w:cs="Tahoma"/>
        </w:rPr>
        <w:t xml:space="preserve"> seraient conscients que l’aveu ne constitue pas à lui-seul un moyen de preuve suffisant ; l’aveu spontané serait confronté à des éléments de preuve matériels, et le recours à la police scientifique, quasi systématique sur les scènes d’infraction, serait un moyen efficace de prévenir les condamnations fondées sur de seuls aveux</w:t>
      </w:r>
      <w:r w:rsidRPr="0077273E">
        <w:rPr>
          <w:rStyle w:val="FootnoteReference"/>
          <w:rFonts w:cs="Tahoma"/>
        </w:rPr>
        <w:footnoteReference w:id="49"/>
      </w:r>
      <w:r w:rsidRPr="0077273E">
        <w:rPr>
          <w:rFonts w:cs="Tahoma"/>
        </w:rPr>
        <w:t>.</w:t>
      </w:r>
    </w:p>
    <w:p w14:paraId="13E5D2F1" w14:textId="328F002F" w:rsidR="005B3976" w:rsidRPr="0077273E" w:rsidRDefault="00150D5E" w:rsidP="00931039">
      <w:pPr>
        <w:rPr>
          <w:rFonts w:cs="Tahoma"/>
        </w:rPr>
      </w:pPr>
      <w:r w:rsidRPr="0077273E">
        <w:rPr>
          <w:rFonts w:cs="Tahoma"/>
        </w:rPr>
        <w:t>Toutefois, s</w:t>
      </w:r>
      <w:r w:rsidR="00C93F23" w:rsidRPr="0077273E">
        <w:rPr>
          <w:rFonts w:cs="Tahoma"/>
        </w:rPr>
        <w:t xml:space="preserve">uite à sa visite au Maroc </w:t>
      </w:r>
      <w:r w:rsidR="00931039">
        <w:rPr>
          <w:rFonts w:cs="Tahoma"/>
        </w:rPr>
        <w:t>en</w:t>
      </w:r>
      <w:r w:rsidR="00C93F23" w:rsidRPr="0077273E">
        <w:rPr>
          <w:rFonts w:cs="Tahoma"/>
        </w:rPr>
        <w:t xml:space="preserve"> décembre 2013, le Groupe de travail sur la détention arbitraire a constaté que de nombreuses affaires soumises aux tribunaux, en particulier dans les affaires de terrorisme, reposaient entièrement sur les aveux des accusés, en l’absence de preuve matérielle</w:t>
      </w:r>
      <w:r w:rsidR="00C93F23" w:rsidRPr="0077273E">
        <w:rPr>
          <w:rStyle w:val="FootnoteReference"/>
          <w:rFonts w:cs="Tahoma"/>
        </w:rPr>
        <w:footnoteReference w:id="50"/>
      </w:r>
      <w:r w:rsidR="00C93F23" w:rsidRPr="0077273E">
        <w:rPr>
          <w:rFonts w:cs="Tahoma"/>
        </w:rPr>
        <w:t>, et rappelé qu’en vertu du droit international, les aveux obtenus en l’absence d’un avocat, notamment durant la garde à vue, n’étaient pas admissibles comme preuve dans une procédure pénale</w:t>
      </w:r>
      <w:r w:rsidR="00C93F23" w:rsidRPr="0077273E">
        <w:rPr>
          <w:rStyle w:val="FootnoteReference"/>
          <w:rFonts w:cs="Tahoma"/>
          <w:szCs w:val="20"/>
        </w:rPr>
        <w:footnoteReference w:id="51"/>
      </w:r>
      <w:r w:rsidR="005B3976" w:rsidRPr="0077273E">
        <w:rPr>
          <w:rFonts w:cs="Tahoma"/>
        </w:rPr>
        <w:t xml:space="preserve">. </w:t>
      </w:r>
    </w:p>
    <w:p w14:paraId="4C000E03" w14:textId="787B557C" w:rsidR="00150D5E" w:rsidRPr="0077273E" w:rsidRDefault="005B3976" w:rsidP="00875BA4">
      <w:pPr>
        <w:rPr>
          <w:rFonts w:cs="Tahoma"/>
        </w:rPr>
      </w:pPr>
      <w:r w:rsidRPr="0077273E">
        <w:rPr>
          <w:rFonts w:cs="Tahoma"/>
        </w:rPr>
        <w:t>A la suite des attentats de Casablanca</w:t>
      </w:r>
      <w:r w:rsidR="00931039">
        <w:rPr>
          <w:rFonts w:cs="Tahoma"/>
        </w:rPr>
        <w:t xml:space="preserve"> de 2003</w:t>
      </w:r>
      <w:r w:rsidRPr="0077273E">
        <w:rPr>
          <w:rFonts w:cs="Tahoma"/>
        </w:rPr>
        <w:t xml:space="preserve">, Alkarama a documenté de nombreux cas de </w:t>
      </w:r>
      <w:r w:rsidR="00C93F23" w:rsidRPr="0077273E">
        <w:rPr>
          <w:rFonts w:cs="Tahoma"/>
        </w:rPr>
        <w:t xml:space="preserve">condamnations </w:t>
      </w:r>
      <w:r w:rsidRPr="0077273E">
        <w:rPr>
          <w:rFonts w:cs="Tahoma"/>
        </w:rPr>
        <w:t xml:space="preserve">reposant exclusivement </w:t>
      </w:r>
      <w:r w:rsidR="00C93F23" w:rsidRPr="0077273E">
        <w:rPr>
          <w:rFonts w:cs="Tahoma"/>
        </w:rPr>
        <w:t xml:space="preserve">sur des aveux obtenus </w:t>
      </w:r>
      <w:r w:rsidRPr="0077273E">
        <w:rPr>
          <w:rFonts w:cs="Tahoma"/>
        </w:rPr>
        <w:t>sous la contrainte, alors même que l’accusé était détenu au secret</w:t>
      </w:r>
      <w:r w:rsidR="00C93F23" w:rsidRPr="004A1F37">
        <w:rPr>
          <w:rFonts w:cs="Tahoma"/>
        </w:rPr>
        <w:t xml:space="preserve">. </w:t>
      </w:r>
      <w:r w:rsidR="00150D5E" w:rsidRPr="004A1F37">
        <w:rPr>
          <w:rFonts w:cs="Tahoma"/>
        </w:rPr>
        <w:t>De plus, lorsque les prévenus, notamment lors de la première comparution devant le juge d’instruction, demandent à être confrontés à des témoins ou directement aux policiers qui leur ont infligé des actes de torture ou des mauvais traitements</w:t>
      </w:r>
      <w:r w:rsidR="00875BA4">
        <w:rPr>
          <w:rFonts w:cs="Tahoma"/>
        </w:rPr>
        <w:t>,</w:t>
      </w:r>
      <w:r w:rsidR="00150D5E" w:rsidRPr="004A1F37">
        <w:rPr>
          <w:rFonts w:cs="Tahoma"/>
        </w:rPr>
        <w:t xml:space="preserve"> </w:t>
      </w:r>
      <w:r w:rsidR="00875BA4">
        <w:rPr>
          <w:rFonts w:cs="Tahoma"/>
        </w:rPr>
        <w:t>le juge</w:t>
      </w:r>
      <w:r w:rsidRPr="004A1F37">
        <w:rPr>
          <w:rFonts w:cs="Tahoma"/>
        </w:rPr>
        <w:t xml:space="preserve"> écartait</w:t>
      </w:r>
      <w:r w:rsidR="00150D5E" w:rsidRPr="004A1F37">
        <w:rPr>
          <w:rFonts w:cs="Tahoma"/>
        </w:rPr>
        <w:t xml:space="preserve"> </w:t>
      </w:r>
      <w:r w:rsidR="00921FDA" w:rsidRPr="004A1F37">
        <w:rPr>
          <w:rFonts w:cs="Tahoma"/>
        </w:rPr>
        <w:t xml:space="preserve">totalement </w:t>
      </w:r>
      <w:r w:rsidR="00150D5E" w:rsidRPr="004A1F37">
        <w:rPr>
          <w:rFonts w:cs="Tahoma"/>
        </w:rPr>
        <w:t>cette possibilité</w:t>
      </w:r>
      <w:r w:rsidR="004A1F37" w:rsidRPr="004A1F37">
        <w:rPr>
          <w:rFonts w:cs="Tahoma"/>
        </w:rPr>
        <w:t>, tout en refusant à donner suite à leurs allégations</w:t>
      </w:r>
      <w:r w:rsidR="00150D5E" w:rsidRPr="004A1F37">
        <w:rPr>
          <w:rFonts w:cs="Tahoma"/>
        </w:rPr>
        <w:t>.</w:t>
      </w:r>
    </w:p>
    <w:p w14:paraId="1B3B5CA1" w14:textId="1B8948AB" w:rsidR="0039710B" w:rsidRPr="0077273E" w:rsidRDefault="00C93F23" w:rsidP="00E12E87">
      <w:pPr>
        <w:rPr>
          <w:rFonts w:cs="Tahoma"/>
        </w:rPr>
      </w:pPr>
      <w:r w:rsidRPr="0077273E">
        <w:rPr>
          <w:rFonts w:cs="Tahoma"/>
          <w:b/>
          <w:bCs/>
        </w:rPr>
        <w:t>Abdessamad Bettar</w:t>
      </w:r>
      <w:r w:rsidRPr="00E12E87">
        <w:rPr>
          <w:rFonts w:cs="Tahoma"/>
        </w:rPr>
        <w:t>,</w:t>
      </w:r>
      <w:r w:rsidRPr="0077273E">
        <w:rPr>
          <w:rFonts w:cs="Tahoma"/>
          <w:b/>
          <w:bCs/>
        </w:rPr>
        <w:t xml:space="preserve"> </w:t>
      </w:r>
      <w:r w:rsidRPr="0077273E">
        <w:rPr>
          <w:rFonts w:cs="Tahoma"/>
        </w:rPr>
        <w:t xml:space="preserve">accusé d’être impliqué dans l’attentat du Café Argana de Marrakech du 28 avril 2011, a été arrêté le 5 mai 2011 à Safi par </w:t>
      </w:r>
      <w:r w:rsidR="005B3976" w:rsidRPr="0077273E">
        <w:rPr>
          <w:rFonts w:cs="Tahoma"/>
        </w:rPr>
        <w:t xml:space="preserve">plusieurs agents de la </w:t>
      </w:r>
      <w:r w:rsidRPr="0077273E">
        <w:rPr>
          <w:rFonts w:cs="Tahoma"/>
        </w:rPr>
        <w:t>Direction de la Surveillance du Territoire (DST)</w:t>
      </w:r>
      <w:r w:rsidR="005B3976" w:rsidRPr="0077273E">
        <w:rPr>
          <w:rFonts w:cs="Tahoma"/>
        </w:rPr>
        <w:t xml:space="preserve"> en civil</w:t>
      </w:r>
      <w:r w:rsidRPr="0077273E">
        <w:rPr>
          <w:rFonts w:cs="Tahoma"/>
        </w:rPr>
        <w:t xml:space="preserve">, sans </w:t>
      </w:r>
      <w:r w:rsidR="005B3976" w:rsidRPr="0077273E">
        <w:rPr>
          <w:rFonts w:cs="Tahoma"/>
        </w:rPr>
        <w:t xml:space="preserve">que ceux-ci ne présentent de </w:t>
      </w:r>
      <w:r w:rsidRPr="0077273E">
        <w:rPr>
          <w:rFonts w:cs="Tahoma"/>
        </w:rPr>
        <w:t>mandat</w:t>
      </w:r>
      <w:r w:rsidR="005B3976" w:rsidRPr="0077273E">
        <w:rPr>
          <w:rFonts w:cs="Tahoma"/>
        </w:rPr>
        <w:t xml:space="preserve"> ou ne lui donnent les motifs de son arrestation</w:t>
      </w:r>
      <w:r w:rsidRPr="0077273E">
        <w:rPr>
          <w:rFonts w:cs="Tahoma"/>
        </w:rPr>
        <w:t xml:space="preserve">. </w:t>
      </w:r>
      <w:r w:rsidR="005B3976" w:rsidRPr="0077273E">
        <w:rPr>
          <w:rFonts w:cs="Tahoma"/>
        </w:rPr>
        <w:t xml:space="preserve">Il </w:t>
      </w:r>
      <w:r w:rsidRPr="0077273E">
        <w:rPr>
          <w:rFonts w:cs="Tahoma"/>
        </w:rPr>
        <w:t>n’a pas bén</w:t>
      </w:r>
      <w:r w:rsidR="005B3976" w:rsidRPr="0077273E">
        <w:rPr>
          <w:rFonts w:cs="Tahoma"/>
        </w:rPr>
        <w:t>éficié de la visite d’un avocat et sa famille ignorait</w:t>
      </w:r>
      <w:r w:rsidRPr="0077273E">
        <w:rPr>
          <w:rFonts w:cs="Tahoma"/>
        </w:rPr>
        <w:t xml:space="preserve"> alors tout de son sort. Il a rapporté avoir été torturé et contraint de signer des procès-verbaux sans les avoir lus au préalable. M. Bettar a été détenu dans ces conditions pendant </w:t>
      </w:r>
      <w:r w:rsidR="00E12E87">
        <w:rPr>
          <w:rFonts w:cs="Tahoma"/>
        </w:rPr>
        <w:t>12</w:t>
      </w:r>
      <w:r w:rsidRPr="0077273E">
        <w:rPr>
          <w:rFonts w:cs="Tahoma"/>
        </w:rPr>
        <w:t xml:space="preserve"> jours, durée maximale de la garde à vue,</w:t>
      </w:r>
      <w:r w:rsidR="005B3976" w:rsidRPr="0077273E">
        <w:rPr>
          <w:rFonts w:cs="Tahoma"/>
        </w:rPr>
        <w:t xml:space="preserve"> avant d’être déféré devant le p</w:t>
      </w:r>
      <w:r w:rsidRPr="0077273E">
        <w:rPr>
          <w:rFonts w:cs="Tahoma"/>
        </w:rPr>
        <w:t>rocureur du</w:t>
      </w:r>
      <w:r w:rsidR="005B3976" w:rsidRPr="0077273E">
        <w:rPr>
          <w:rFonts w:cs="Tahoma"/>
        </w:rPr>
        <w:t xml:space="preserve"> </w:t>
      </w:r>
      <w:r w:rsidR="003A0458" w:rsidRPr="0077273E">
        <w:rPr>
          <w:rFonts w:cs="Tahoma"/>
        </w:rPr>
        <w:t xml:space="preserve">roi </w:t>
      </w:r>
      <w:r w:rsidRPr="0077273E">
        <w:rPr>
          <w:rFonts w:cs="Tahoma"/>
        </w:rPr>
        <w:t xml:space="preserve">de Rabat le 17 mai 2011 </w:t>
      </w:r>
      <w:r w:rsidR="005B3976" w:rsidRPr="0077273E">
        <w:rPr>
          <w:rFonts w:cs="Tahoma"/>
        </w:rPr>
        <w:t>sous l’accusation « </w:t>
      </w:r>
      <w:r w:rsidRPr="0077273E">
        <w:rPr>
          <w:rFonts w:cs="Tahoma"/>
        </w:rPr>
        <w:t xml:space="preserve">d’avoir préparé et participé à </w:t>
      </w:r>
      <w:r w:rsidR="005B3976" w:rsidRPr="0077273E">
        <w:rPr>
          <w:rFonts w:cs="Tahoma"/>
        </w:rPr>
        <w:t xml:space="preserve">un </w:t>
      </w:r>
      <w:r w:rsidR="005B3976" w:rsidRPr="0077273E">
        <w:rPr>
          <w:rFonts w:cs="Tahoma"/>
        </w:rPr>
        <w:lastRenderedPageBreak/>
        <w:t>acte</w:t>
      </w:r>
      <w:r w:rsidRPr="0077273E">
        <w:rPr>
          <w:rFonts w:cs="Tahoma"/>
        </w:rPr>
        <w:t xml:space="preserve"> terroriste</w:t>
      </w:r>
      <w:r w:rsidR="005B3976" w:rsidRPr="0077273E">
        <w:rPr>
          <w:rFonts w:cs="Tahoma"/>
        </w:rPr>
        <w:t> »</w:t>
      </w:r>
      <w:r w:rsidR="004A1F37">
        <w:rPr>
          <w:rFonts w:cs="Tahoma"/>
        </w:rPr>
        <w:t xml:space="preserve">, </w:t>
      </w:r>
      <w:r w:rsidR="005B3976" w:rsidRPr="0077273E">
        <w:rPr>
          <w:rFonts w:cs="Tahoma"/>
        </w:rPr>
        <w:t>de « défaut de dénonciation d’un crime terroriste »</w:t>
      </w:r>
      <w:r w:rsidR="004A1F37">
        <w:rPr>
          <w:rFonts w:cs="Tahoma"/>
        </w:rPr>
        <w:t>,</w:t>
      </w:r>
      <w:r w:rsidR="005B3976" w:rsidRPr="0077273E">
        <w:rPr>
          <w:rFonts w:cs="Tahoma"/>
        </w:rPr>
        <w:t xml:space="preserve"> de « tenue de réunions publiques sans autorisation préalable » et </w:t>
      </w:r>
      <w:r w:rsidR="004A1F37">
        <w:rPr>
          <w:rFonts w:cs="Tahoma"/>
        </w:rPr>
        <w:t xml:space="preserve">enfin </w:t>
      </w:r>
      <w:r w:rsidR="005B3976" w:rsidRPr="0077273E">
        <w:rPr>
          <w:rFonts w:cs="Tahoma"/>
        </w:rPr>
        <w:t>d’« exercice d’activités dans une association non autorisée ».</w:t>
      </w:r>
      <w:r w:rsidR="00E12E87">
        <w:rPr>
          <w:rFonts w:cs="Tahoma"/>
        </w:rPr>
        <w:t xml:space="preserve"> Le 28 o</w:t>
      </w:r>
      <w:r w:rsidRPr="0077273E">
        <w:rPr>
          <w:rFonts w:cs="Tahoma"/>
        </w:rPr>
        <w:t xml:space="preserve">ctobre 2011 et à la suite d’une procédure d’instruction expéditive, </w:t>
      </w:r>
      <w:r w:rsidR="004A1F37">
        <w:rPr>
          <w:rFonts w:cs="Tahoma"/>
        </w:rPr>
        <w:t xml:space="preserve">il </w:t>
      </w:r>
      <w:r w:rsidR="005B3976" w:rsidRPr="0077273E">
        <w:rPr>
          <w:rFonts w:cs="Tahoma"/>
        </w:rPr>
        <w:t>a été</w:t>
      </w:r>
      <w:r w:rsidRPr="0077273E">
        <w:rPr>
          <w:rFonts w:cs="Tahoma"/>
        </w:rPr>
        <w:t xml:space="preserve"> condamné à quatr</w:t>
      </w:r>
      <w:r w:rsidR="005B3976" w:rsidRPr="0077273E">
        <w:rPr>
          <w:rFonts w:cs="Tahoma"/>
        </w:rPr>
        <w:t xml:space="preserve">e années d’emprisonnement ferme. Dans cette espèce, </w:t>
      </w:r>
      <w:r w:rsidR="005B3976" w:rsidRPr="0077273E">
        <w:rPr>
          <w:rFonts w:cs="Tahoma"/>
          <w:bCs/>
        </w:rPr>
        <w:t>l</w:t>
      </w:r>
      <w:r w:rsidRPr="0077273E">
        <w:rPr>
          <w:rFonts w:cs="Tahoma"/>
          <w:bCs/>
        </w:rPr>
        <w:t xml:space="preserve">e juge de première instance a </w:t>
      </w:r>
      <w:r w:rsidR="005B3976" w:rsidRPr="0077273E">
        <w:rPr>
          <w:rFonts w:cs="Tahoma"/>
          <w:bCs/>
        </w:rPr>
        <w:t>motivé sa décision en affirmant</w:t>
      </w:r>
      <w:r w:rsidRPr="0077273E">
        <w:rPr>
          <w:rFonts w:cs="Tahoma"/>
          <w:bCs/>
        </w:rPr>
        <w:t xml:space="preserve"> que les aveux contenus dans le procès-verbal de police, </w:t>
      </w:r>
      <w:r w:rsidRPr="0077273E">
        <w:rPr>
          <w:rFonts w:cs="Tahoma"/>
        </w:rPr>
        <w:t>« </w:t>
      </w:r>
      <w:r w:rsidRPr="00E12E87">
        <w:rPr>
          <w:rFonts w:cs="Tahoma"/>
          <w:iCs/>
        </w:rPr>
        <w:t xml:space="preserve">doivent être considérées comme un moyen de preuve suffisant </w:t>
      </w:r>
      <w:r w:rsidRPr="0077273E">
        <w:rPr>
          <w:rFonts w:cs="Tahoma"/>
        </w:rPr>
        <w:t>»</w:t>
      </w:r>
      <w:r w:rsidR="005B3976" w:rsidRPr="0077273E">
        <w:rPr>
          <w:rFonts w:cs="Tahoma"/>
        </w:rPr>
        <w:t>, et ce</w:t>
      </w:r>
      <w:r w:rsidR="004A1F37">
        <w:rPr>
          <w:rFonts w:cs="Tahoma"/>
        </w:rPr>
        <w:t>,</w:t>
      </w:r>
      <w:r w:rsidR="005B3976" w:rsidRPr="0077273E">
        <w:rPr>
          <w:rFonts w:cs="Tahoma"/>
        </w:rPr>
        <w:t xml:space="preserve"> en dépit d’absence de toute preuve matérielle et des allégations de torture formulées par l’accusé </w:t>
      </w:r>
      <w:r w:rsidR="004A1F37">
        <w:rPr>
          <w:rFonts w:cs="Tahoma"/>
        </w:rPr>
        <w:t xml:space="preserve">tout au long de la procédure et </w:t>
      </w:r>
      <w:r w:rsidR="005B3976" w:rsidRPr="0077273E">
        <w:rPr>
          <w:rFonts w:cs="Tahoma"/>
        </w:rPr>
        <w:t xml:space="preserve">au cours de l’audience. </w:t>
      </w:r>
      <w:r w:rsidRPr="0077273E">
        <w:rPr>
          <w:rFonts w:cs="Tahoma"/>
        </w:rPr>
        <w:t>Saisi par Alkarama, le Groupe de travail sur la détention arbitraire a reconnu en 2013 le caractère arbitraire de sa détention et demandé sa libération immédiate</w:t>
      </w:r>
      <w:r w:rsidRPr="0077273E">
        <w:rPr>
          <w:rStyle w:val="FootnoteReference"/>
          <w:rFonts w:cs="Tahoma"/>
        </w:rPr>
        <w:footnoteReference w:id="52"/>
      </w:r>
      <w:r w:rsidRPr="0077273E">
        <w:rPr>
          <w:rFonts w:cs="Tahoma"/>
        </w:rPr>
        <w:t>.</w:t>
      </w:r>
    </w:p>
    <w:p w14:paraId="257287FE" w14:textId="4EAACAC8" w:rsidR="00050E2E" w:rsidRPr="0077273E" w:rsidRDefault="005B3976" w:rsidP="004A1F37">
      <w:pPr>
        <w:rPr>
          <w:rFonts w:cs="Tahoma"/>
          <w:lang w:eastAsia="hi-IN" w:bidi="hi-IN"/>
        </w:rPr>
      </w:pPr>
      <w:r w:rsidRPr="0077273E">
        <w:rPr>
          <w:rFonts w:cs="Tahoma"/>
          <w:lang w:eastAsia="hi-IN" w:bidi="hi-IN"/>
        </w:rPr>
        <w:t>Dans sa liste de points à traiter, le</w:t>
      </w:r>
      <w:r w:rsidR="003168E9" w:rsidRPr="0077273E">
        <w:rPr>
          <w:rFonts w:cs="Tahoma"/>
          <w:lang w:eastAsia="hi-IN" w:bidi="hi-IN"/>
        </w:rPr>
        <w:t xml:space="preserve"> Comité a demandé </w:t>
      </w:r>
      <w:r w:rsidR="004A1F37">
        <w:rPr>
          <w:rFonts w:cs="Tahoma"/>
          <w:lang w:eastAsia="hi-IN" w:bidi="hi-IN"/>
        </w:rPr>
        <w:t xml:space="preserve">à l’Etat partie </w:t>
      </w:r>
      <w:r w:rsidR="003168E9" w:rsidRPr="0077273E">
        <w:rPr>
          <w:rFonts w:cs="Tahoma"/>
          <w:lang w:eastAsia="hi-IN" w:bidi="hi-IN"/>
        </w:rPr>
        <w:t xml:space="preserve">de </w:t>
      </w:r>
      <w:r w:rsidRPr="0077273E">
        <w:rPr>
          <w:rFonts w:cs="Tahoma"/>
          <w:lang w:eastAsia="hi-IN" w:bidi="hi-IN"/>
        </w:rPr>
        <w:t xml:space="preserve">fournir des explications </w:t>
      </w:r>
      <w:r w:rsidR="003168E9" w:rsidRPr="0077273E">
        <w:rPr>
          <w:rFonts w:cs="Tahoma"/>
          <w:lang w:eastAsia="hi-IN" w:bidi="hi-IN"/>
        </w:rPr>
        <w:t>quant aux allégations selon lesquelles des condamnations pénales ont été prononcées sur la base d’aveux sous la torture et d’indiquer les suites données aux appels du GTDA à libérer et assurer une réparation à MM. Mohamed Hajib, Abdessamad Bettar, Ali Aarrass, Mohamed Dihani et Rachid Ghribi Laroussi, détenus suite à des condamnations fondées sur des aveux obtenus sous la torture. Il l’a également prié d’indiquer les mesures prises pour éviter que de tels aveux ne soient utilisés comme moyens de preuve</w:t>
      </w:r>
      <w:r w:rsidR="003168E9" w:rsidRPr="0077273E">
        <w:rPr>
          <w:rStyle w:val="FootnoteReference"/>
          <w:rFonts w:cs="Tahoma"/>
          <w:lang w:eastAsia="hi-IN" w:bidi="hi-IN"/>
        </w:rPr>
        <w:footnoteReference w:id="53"/>
      </w:r>
      <w:r w:rsidR="003168E9" w:rsidRPr="0077273E">
        <w:rPr>
          <w:rFonts w:cs="Tahoma"/>
          <w:lang w:eastAsia="hi-IN" w:bidi="hi-IN"/>
        </w:rPr>
        <w:t>.</w:t>
      </w:r>
    </w:p>
    <w:p w14:paraId="43AE53C8" w14:textId="6736129D" w:rsidR="003168E9" w:rsidRPr="0077273E" w:rsidRDefault="00B52025" w:rsidP="00050E2E">
      <w:pPr>
        <w:rPr>
          <w:rFonts w:cs="Tahoma"/>
          <w:lang w:eastAsia="hi-IN" w:bidi="hi-IN"/>
        </w:rPr>
      </w:pPr>
      <w:r w:rsidRPr="0077273E">
        <w:rPr>
          <w:rFonts w:cs="Tahoma"/>
        </w:rPr>
        <w:t>L</w:t>
      </w:r>
      <w:r w:rsidR="003168E9" w:rsidRPr="0077273E">
        <w:rPr>
          <w:rFonts w:cs="Tahoma"/>
        </w:rPr>
        <w:t xml:space="preserve">e Maroc a </w:t>
      </w:r>
      <w:r w:rsidRPr="0077273E">
        <w:rPr>
          <w:rFonts w:cs="Tahoma"/>
        </w:rPr>
        <w:t xml:space="preserve">cependant </w:t>
      </w:r>
      <w:r w:rsidR="003168E9" w:rsidRPr="0077273E">
        <w:rPr>
          <w:rFonts w:cs="Tahoma"/>
        </w:rPr>
        <w:t>contesté fermement l’utilisation dans le cadre de procédures pénales d’aveux obtenus sous la torture, y compris dans les cas mentionnés par le Comité</w:t>
      </w:r>
      <w:r w:rsidR="003168E9" w:rsidRPr="0077273E">
        <w:rPr>
          <w:rStyle w:val="FootnoteReference"/>
          <w:rFonts w:cs="Tahoma"/>
        </w:rPr>
        <w:footnoteReference w:id="54"/>
      </w:r>
      <w:r w:rsidR="003168E9" w:rsidRPr="0077273E">
        <w:rPr>
          <w:rFonts w:cs="Tahoma"/>
        </w:rPr>
        <w:t>.</w:t>
      </w:r>
    </w:p>
    <w:p w14:paraId="35D7D56B" w14:textId="77777777" w:rsidR="00050E2E" w:rsidRPr="0077273E" w:rsidRDefault="00050E2E" w:rsidP="00050E2E">
      <w:pPr>
        <w:pStyle w:val="Heading3"/>
        <w:rPr>
          <w:rFonts w:cs="Tahoma"/>
        </w:rPr>
      </w:pPr>
      <w:bookmarkStart w:id="64" w:name="_Toc462396105"/>
      <w:r w:rsidRPr="0077273E">
        <w:rPr>
          <w:rFonts w:cs="Tahoma"/>
        </w:rPr>
        <w:t>Compétence des tribunaux militaires</w:t>
      </w:r>
      <w:bookmarkEnd w:id="64"/>
    </w:p>
    <w:p w14:paraId="342341EA" w14:textId="15B37C3D" w:rsidR="00050E2E" w:rsidRPr="0077273E" w:rsidRDefault="00050E2E" w:rsidP="001E6E2C">
      <w:r w:rsidRPr="0077273E">
        <w:t>D’après le Comité des droits de l’homme, « </w:t>
      </w:r>
      <w:r w:rsidRPr="00E12E87">
        <w:t>le jugement de civils par des tribunaux militaires ou d’exception peut soulever de graves problèmes s’agissant du caractère équitable, impartial et indépendant de l’administration de la justice</w:t>
      </w:r>
      <w:r w:rsidRPr="0077273E">
        <w:t> »</w:t>
      </w:r>
      <w:r w:rsidRPr="0077273E">
        <w:rPr>
          <w:rStyle w:val="FootnoteReference"/>
          <w:szCs w:val="20"/>
        </w:rPr>
        <w:footnoteReference w:id="55"/>
      </w:r>
      <w:r w:rsidRPr="0077273E">
        <w:t>. Le Comité contre la torture et le</w:t>
      </w:r>
      <w:r w:rsidR="00E12E87">
        <w:t xml:space="preserve"> R</w:t>
      </w:r>
      <w:r w:rsidR="00DC131D">
        <w:t>apporteur</w:t>
      </w:r>
      <w:r w:rsidRPr="0077273E">
        <w:t xml:space="preserve"> spécial sur la torture préconisent quant à eux que les procès relatifs à la torture soient conduits devant les tribunaux civils</w:t>
      </w:r>
      <w:r w:rsidRPr="0077273E">
        <w:rPr>
          <w:rStyle w:val="FootnoteReference"/>
          <w:szCs w:val="20"/>
        </w:rPr>
        <w:footnoteReference w:id="56"/>
      </w:r>
      <w:r w:rsidRPr="0077273E">
        <w:t>.</w:t>
      </w:r>
    </w:p>
    <w:p w14:paraId="47A471E5" w14:textId="069CCCAC" w:rsidR="00050E2E" w:rsidRPr="0077273E" w:rsidRDefault="00B52025" w:rsidP="00E12E87">
      <w:r w:rsidRPr="0077273E">
        <w:t xml:space="preserve">Le Code de justice militaire </w:t>
      </w:r>
      <w:r w:rsidR="00050E2E" w:rsidRPr="0077273E">
        <w:t xml:space="preserve">a été </w:t>
      </w:r>
      <w:r w:rsidRPr="0077273E">
        <w:t xml:space="preserve">promulgué par un </w:t>
      </w:r>
      <w:r w:rsidRPr="0077273E">
        <w:rPr>
          <w:i/>
        </w:rPr>
        <w:t>dahir</w:t>
      </w:r>
      <w:r w:rsidRPr="0077273E">
        <w:t xml:space="preserve"> de </w:t>
      </w:r>
      <w:r w:rsidR="00050E2E" w:rsidRPr="0077273E">
        <w:t>1956</w:t>
      </w:r>
      <w:r w:rsidR="00050E2E" w:rsidRPr="0077273E">
        <w:rPr>
          <w:rStyle w:val="FootnoteReference"/>
          <w:szCs w:val="20"/>
        </w:rPr>
        <w:footnoteReference w:id="57"/>
      </w:r>
      <w:r w:rsidRPr="0077273E">
        <w:t xml:space="preserve"> lequel, a</w:t>
      </w:r>
      <w:r w:rsidR="00050E2E" w:rsidRPr="0077273E">
        <w:t xml:space="preserve">ux termes de son article 3, </w:t>
      </w:r>
      <w:r w:rsidRPr="0077273E">
        <w:t>établit la compétence des tribunaux</w:t>
      </w:r>
      <w:r w:rsidR="00050E2E" w:rsidRPr="0077273E">
        <w:t xml:space="preserve"> militair</w:t>
      </w:r>
      <w:r w:rsidRPr="0077273E">
        <w:t>es</w:t>
      </w:r>
      <w:r w:rsidR="00050E2E" w:rsidRPr="0077273E">
        <w:t xml:space="preserve"> pour juger « toutes personnes, quelle que soit leur qualité, auteurs d’un fait, qualifié crime, commis au préjudice de membres des forces armées royales et assimilées ; et toutes personnes, quelle que soit leur qualité, auteurs d’un fait, qualifié crime, lorsque un ou plusieurs membres des forces armées royales sont coauteurs ou complices ». L’article 4 étendait la compétence du tribunal militaire à toute personne ayant commis une infraction qualifiée </w:t>
      </w:r>
      <w:r w:rsidR="004C164B">
        <w:t>« </w:t>
      </w:r>
      <w:r w:rsidR="00050E2E" w:rsidRPr="0077273E">
        <w:t>d’atteinte à la sûreté de l’Etat</w:t>
      </w:r>
      <w:r w:rsidR="004C164B">
        <w:t> » érigeant ainsi cette juridiction en juridiction d’exception en charge de réprimer les crimes et délits de caractère politique</w:t>
      </w:r>
      <w:r w:rsidR="00050E2E" w:rsidRPr="0077273E">
        <w:t xml:space="preserve">. </w:t>
      </w:r>
    </w:p>
    <w:p w14:paraId="14D099E5" w14:textId="7F52D69E" w:rsidR="004B124C" w:rsidRPr="0077273E" w:rsidRDefault="004C164B" w:rsidP="00E12E87">
      <w:r>
        <w:t>Dans la liste des points à traiter, l</w:t>
      </w:r>
      <w:r w:rsidR="004B124C" w:rsidRPr="0077273E">
        <w:t xml:space="preserve">e Comité a invité le Maroc à apporter des informations sur les suites données aux allégations </w:t>
      </w:r>
      <w:r w:rsidR="00893BA0" w:rsidRPr="0077273E">
        <w:t xml:space="preserve">de torture des civils </w:t>
      </w:r>
      <w:r w:rsidR="004B124C" w:rsidRPr="0077273E">
        <w:t>condamnés par un tribunal militaire suite aux événements de Gdeim Izik</w:t>
      </w:r>
      <w:r w:rsidR="004B124C" w:rsidRPr="0077273E">
        <w:rPr>
          <w:rStyle w:val="FootnoteReference"/>
          <w:szCs w:val="20"/>
        </w:rPr>
        <w:footnoteReference w:id="58"/>
      </w:r>
      <w:r w:rsidR="004B124C" w:rsidRPr="0077273E">
        <w:t xml:space="preserve">. </w:t>
      </w:r>
      <w:r w:rsidR="00EC6B79" w:rsidRPr="0077273E">
        <w:t>L’Etat partie avait</w:t>
      </w:r>
      <w:r w:rsidR="00893BA0" w:rsidRPr="0077273E">
        <w:t xml:space="preserve"> affirmé dans ses réponses que c</w:t>
      </w:r>
      <w:r w:rsidR="00EC6B79" w:rsidRPr="0077273E">
        <w:t xml:space="preserve">es personnes </w:t>
      </w:r>
      <w:r w:rsidR="00893BA0" w:rsidRPr="0077273E">
        <w:t>avaient</w:t>
      </w:r>
      <w:r w:rsidR="00EC6B79" w:rsidRPr="0077273E">
        <w:t xml:space="preserve"> bénéficié de l’ensemble des garanties légales et </w:t>
      </w:r>
      <w:r w:rsidR="00EF706F">
        <w:t>avaient</w:t>
      </w:r>
      <w:r w:rsidR="00893BA0" w:rsidRPr="0077273E">
        <w:t xml:space="preserve"> </w:t>
      </w:r>
      <w:r w:rsidR="00EC6B79" w:rsidRPr="0077273E">
        <w:t>été condamnées à l’issue d’un procès équitable</w:t>
      </w:r>
      <w:r w:rsidR="00EC6B79" w:rsidRPr="0077273E">
        <w:rPr>
          <w:rStyle w:val="FootnoteReference"/>
          <w:szCs w:val="20"/>
        </w:rPr>
        <w:footnoteReference w:id="59"/>
      </w:r>
      <w:r w:rsidR="00EC6B79" w:rsidRPr="0077273E">
        <w:t>.</w:t>
      </w:r>
    </w:p>
    <w:p w14:paraId="0AB22766" w14:textId="3B26EBDA" w:rsidR="00050E2E" w:rsidRPr="0077273E" w:rsidRDefault="00893BA0" w:rsidP="00EF706F">
      <w:r w:rsidRPr="0077273E">
        <w:t>L</w:t>
      </w:r>
      <w:r w:rsidR="004B124C" w:rsidRPr="0077273E">
        <w:t>e 17 février 2013</w:t>
      </w:r>
      <w:r w:rsidR="00EF706F">
        <w:t xml:space="preserve">, 25 </w:t>
      </w:r>
      <w:r w:rsidRPr="0077273E">
        <w:t>civils ont</w:t>
      </w:r>
      <w:r w:rsidR="00050E2E" w:rsidRPr="0077273E">
        <w:t xml:space="preserve"> été condamnés à des peines de prison – allant de deux ans à la perpétuité – par </w:t>
      </w:r>
      <w:r w:rsidRPr="0077273E">
        <w:t>le</w:t>
      </w:r>
      <w:r w:rsidR="00050E2E" w:rsidRPr="0077273E">
        <w:t xml:space="preserve"> tribunal militaire de Laâyoune</w:t>
      </w:r>
      <w:r w:rsidR="004B124C" w:rsidRPr="0077273E">
        <w:t>. M</w:t>
      </w:r>
      <w:r w:rsidR="00050E2E" w:rsidRPr="0077273E">
        <w:t>algré les allégations des accusés selon lesquelles ces aveux auraient été extraits sous la torture, le tribunal a rejeté toutes les demandes d’enquête et refusé d’ordonner des</w:t>
      </w:r>
      <w:r w:rsidR="004C164B">
        <w:t xml:space="preserve"> examens médicaux en lien avec c</w:t>
      </w:r>
      <w:r w:rsidR="00050E2E" w:rsidRPr="0077273E">
        <w:t>es allégations formulées par plusieurs</w:t>
      </w:r>
      <w:r w:rsidR="004C164B">
        <w:t xml:space="preserve"> accusés</w:t>
      </w:r>
      <w:r w:rsidR="00050E2E" w:rsidRPr="0077273E">
        <w:rPr>
          <w:rStyle w:val="FootnoteReference"/>
          <w:szCs w:val="20"/>
        </w:rPr>
        <w:footnoteReference w:id="60"/>
      </w:r>
      <w:r w:rsidR="00050E2E" w:rsidRPr="0077273E">
        <w:t>. Le Groupe de travail sur la détention arbitraire a recommandé l’examen des jugements rendus dans cette affaire par le tribunal militaire, et l’adoption du projet de réforme sur les tribunaux militaires</w:t>
      </w:r>
      <w:r w:rsidR="00050E2E" w:rsidRPr="0077273E">
        <w:rPr>
          <w:rStyle w:val="FootnoteReference"/>
          <w:szCs w:val="20"/>
        </w:rPr>
        <w:footnoteReference w:id="61"/>
      </w:r>
      <w:r w:rsidR="00050E2E" w:rsidRPr="0077273E">
        <w:t>.</w:t>
      </w:r>
    </w:p>
    <w:p w14:paraId="6F9E3949" w14:textId="44EB4F5C" w:rsidR="00050E2E" w:rsidRPr="0077273E" w:rsidRDefault="00893BA0" w:rsidP="00E12E87">
      <w:r w:rsidRPr="0077273E">
        <w:lastRenderedPageBreak/>
        <w:t>Le Maroc a finalement</w:t>
      </w:r>
      <w:r w:rsidR="00050E2E" w:rsidRPr="0077273E">
        <w:t xml:space="preserve"> </w:t>
      </w:r>
      <w:r w:rsidRPr="0077273E">
        <w:t>adopté une nouvelle législation mettant</w:t>
      </w:r>
      <w:r w:rsidR="00050E2E" w:rsidRPr="0077273E">
        <w:t xml:space="preserve"> fin aux poursuites de civils devant les tribunaux militaires en temps de paix</w:t>
      </w:r>
      <w:r w:rsidRPr="0077273E">
        <w:t xml:space="preserve"> par une loi votée par le parlement le 22 octobre </w:t>
      </w:r>
      <w:r w:rsidR="00B85F92">
        <w:t>2014 et entrée en vigueur le 1</w:t>
      </w:r>
      <w:r w:rsidR="00B85F92" w:rsidRPr="00B85F92">
        <w:rPr>
          <w:vertAlign w:val="superscript"/>
        </w:rPr>
        <w:t>er</w:t>
      </w:r>
      <w:r w:rsidRPr="0077273E">
        <w:t xml:space="preserve"> juillet 2015.</w:t>
      </w:r>
      <w:r w:rsidR="00050E2E" w:rsidRPr="0077273E">
        <w:t xml:space="preserve"> </w:t>
      </w:r>
      <w:r w:rsidRPr="0077273E">
        <w:t>Le tribunal militaire n’est en outre plus compétent pour juger les militaires et paramilitaires pour des infractions de droit commun</w:t>
      </w:r>
      <w:r w:rsidRPr="0077273E">
        <w:rPr>
          <w:rStyle w:val="FootnoteReference"/>
          <w:szCs w:val="20"/>
        </w:rPr>
        <w:footnoteReference w:id="62"/>
      </w:r>
      <w:r w:rsidRPr="0077273E">
        <w:t>. Son champ</w:t>
      </w:r>
      <w:r w:rsidR="00B85F92">
        <w:t xml:space="preserve"> de</w:t>
      </w:r>
      <w:r w:rsidRPr="0077273E">
        <w:t xml:space="preserve"> compétence se limite donc désormais aux infractions militaires et aux infractions commises en temps de guerre. </w:t>
      </w:r>
      <w:r w:rsidR="004C164B">
        <w:t xml:space="preserve">La nouvelle loi </w:t>
      </w:r>
      <w:r w:rsidRPr="0077273E">
        <w:t>prévoit que</w:t>
      </w:r>
      <w:r w:rsidR="00050E2E" w:rsidRPr="0077273E">
        <w:t xml:space="preserve"> </w:t>
      </w:r>
      <w:r w:rsidRPr="0077273E">
        <w:t xml:space="preserve">les </w:t>
      </w:r>
      <w:r w:rsidR="00050E2E" w:rsidRPr="0077273E">
        <w:t>civils poursuivis devant le tribunal militaire et non encore jugés doivent être renvoyés devant la juridiction de droit commun.</w:t>
      </w:r>
      <w:r w:rsidRPr="0077273E">
        <w:t xml:space="preserve"> </w:t>
      </w:r>
    </w:p>
    <w:p w14:paraId="2C62FECA" w14:textId="1C5B76FE" w:rsidR="00050E2E" w:rsidRPr="0077273E" w:rsidRDefault="00893BA0" w:rsidP="001C284B">
      <w:r w:rsidRPr="0077273E">
        <w:t>Le</w:t>
      </w:r>
      <w:r w:rsidR="007E576D">
        <w:t xml:space="preserve"> </w:t>
      </w:r>
      <w:r w:rsidR="004C164B">
        <w:t>26 juillet 2016</w:t>
      </w:r>
      <w:r w:rsidRPr="0077273E">
        <w:t xml:space="preserve">, la Cour de Cassation </w:t>
      </w:r>
      <w:r w:rsidR="004C164B">
        <w:t xml:space="preserve">de Rabat </w:t>
      </w:r>
      <w:r w:rsidRPr="0077273E">
        <w:t xml:space="preserve">a annulé la décision de condamnation rendue par le tribunal militaire de </w:t>
      </w:r>
      <w:r w:rsidR="001C284B" w:rsidRPr="0077273E">
        <w:t>Laâyoune</w:t>
      </w:r>
      <w:r w:rsidR="00316ABE">
        <w:t xml:space="preserve"> dans l’affaire de Gdim Izik</w:t>
      </w:r>
      <w:r w:rsidRPr="0077273E">
        <w:t xml:space="preserve"> et a renvoyé cette affaire devant la juridiction civile compétente</w:t>
      </w:r>
      <w:r w:rsidR="00316ABE">
        <w:t xml:space="preserve"> pour être rejugée</w:t>
      </w:r>
      <w:r w:rsidRPr="0077273E">
        <w:t xml:space="preserve">.  </w:t>
      </w:r>
    </w:p>
    <w:p w14:paraId="0C25935F" w14:textId="0C62B2EC" w:rsidR="0039710B" w:rsidRPr="00316ABE" w:rsidRDefault="00887D77" w:rsidP="00050E2E">
      <w:pPr>
        <w:rPr>
          <w:rFonts w:cs="Tahoma"/>
          <w:b/>
          <w:bCs/>
        </w:rPr>
      </w:pPr>
      <w:r w:rsidRPr="00316ABE">
        <w:rPr>
          <w:rFonts w:cs="Tahoma"/>
          <w:b/>
          <w:bCs/>
        </w:rPr>
        <w:t>Recommandations</w:t>
      </w:r>
      <w:r w:rsidR="007E576D">
        <w:rPr>
          <w:rFonts w:cs="Tahoma"/>
          <w:b/>
          <w:bCs/>
        </w:rPr>
        <w:t> :</w:t>
      </w:r>
      <w:r w:rsidRPr="00316ABE">
        <w:rPr>
          <w:rFonts w:cs="Tahoma"/>
          <w:b/>
          <w:bCs/>
        </w:rPr>
        <w:t xml:space="preserve"> </w:t>
      </w:r>
    </w:p>
    <w:p w14:paraId="77F2B1F4" w14:textId="77777777" w:rsidR="001C284B" w:rsidRDefault="00FB382C" w:rsidP="00E332A4">
      <w:pPr>
        <w:pStyle w:val="UPRparagraph"/>
        <w:numPr>
          <w:ilvl w:val="1"/>
          <w:numId w:val="11"/>
        </w:numPr>
        <w:spacing w:after="120"/>
        <w:ind w:left="567" w:hanging="425"/>
        <w:rPr>
          <w:rFonts w:cs="Tahoma"/>
        </w:rPr>
      </w:pPr>
      <w:r w:rsidRPr="0077273E">
        <w:rPr>
          <w:rFonts w:cs="Tahoma"/>
          <w:bCs/>
        </w:rPr>
        <w:t>Assurer en pratique le respect des garant</w:t>
      </w:r>
      <w:r w:rsidR="001C284B">
        <w:rPr>
          <w:rFonts w:cs="Tahoma"/>
          <w:bCs/>
        </w:rPr>
        <w:t xml:space="preserve">ies procédurales prévues par la </w:t>
      </w:r>
      <w:r w:rsidRPr="0077273E">
        <w:rPr>
          <w:rFonts w:cs="Tahoma"/>
          <w:bCs/>
        </w:rPr>
        <w:t>Constitution ;</w:t>
      </w:r>
    </w:p>
    <w:p w14:paraId="3BF82F9A" w14:textId="77777777" w:rsidR="001C284B" w:rsidRDefault="00FB382C" w:rsidP="00E332A4">
      <w:pPr>
        <w:pStyle w:val="UPRparagraph"/>
        <w:numPr>
          <w:ilvl w:val="1"/>
          <w:numId w:val="11"/>
        </w:numPr>
        <w:spacing w:after="120"/>
        <w:ind w:left="567" w:hanging="425"/>
        <w:rPr>
          <w:rFonts w:cs="Tahoma"/>
        </w:rPr>
      </w:pPr>
      <w:r w:rsidRPr="001C284B">
        <w:rPr>
          <w:rFonts w:cs="Tahoma"/>
        </w:rPr>
        <w:t xml:space="preserve">Mettre en œuvre tous les avis du GTDA et procéder à la libération de toutes les personnes arbitrairement privées de liberté à </w:t>
      </w:r>
      <w:r w:rsidR="00BB1870" w:rsidRPr="001C284B">
        <w:rPr>
          <w:rFonts w:cs="Tahoma"/>
        </w:rPr>
        <w:t>la suite de procès inéquitables ;</w:t>
      </w:r>
    </w:p>
    <w:p w14:paraId="3CBA4932" w14:textId="77777777" w:rsidR="001C284B" w:rsidRDefault="00316ABE" w:rsidP="00E332A4">
      <w:pPr>
        <w:pStyle w:val="UPRparagraph"/>
        <w:numPr>
          <w:ilvl w:val="1"/>
          <w:numId w:val="11"/>
        </w:numPr>
        <w:spacing w:after="120"/>
        <w:ind w:left="567" w:hanging="425"/>
        <w:rPr>
          <w:rFonts w:cs="Tahoma"/>
        </w:rPr>
      </w:pPr>
      <w:r w:rsidRPr="001C284B">
        <w:rPr>
          <w:rFonts w:cs="Tahoma"/>
        </w:rPr>
        <w:t>Annuler ou réviser l</w:t>
      </w:r>
      <w:r w:rsidR="00FB382C" w:rsidRPr="001C284B">
        <w:rPr>
          <w:rFonts w:cs="Tahoma"/>
        </w:rPr>
        <w:t xml:space="preserve">es condamnations pénales </w:t>
      </w:r>
      <w:r w:rsidRPr="001C284B">
        <w:rPr>
          <w:rFonts w:cs="Tahoma"/>
        </w:rPr>
        <w:t xml:space="preserve">devenues </w:t>
      </w:r>
      <w:r w:rsidR="00FB382C" w:rsidRPr="001C284B">
        <w:rPr>
          <w:rFonts w:cs="Tahoma"/>
        </w:rPr>
        <w:t>définitives rendues à la suite de procès inéquitables</w:t>
      </w:r>
      <w:r w:rsidRPr="001C284B">
        <w:rPr>
          <w:rFonts w:cs="Tahoma"/>
        </w:rPr>
        <w:t xml:space="preserve"> et prendre, le cas échéant,</w:t>
      </w:r>
      <w:r w:rsidR="00BB1870" w:rsidRPr="001C284B">
        <w:rPr>
          <w:rFonts w:cs="Tahoma"/>
        </w:rPr>
        <w:t xml:space="preserve"> des</w:t>
      </w:r>
      <w:r w:rsidRPr="001C284B">
        <w:rPr>
          <w:rFonts w:cs="Tahoma"/>
        </w:rPr>
        <w:t xml:space="preserve"> mesures de grâce ou d’amnistie</w:t>
      </w:r>
      <w:r w:rsidR="00BB1870" w:rsidRPr="001C284B">
        <w:rPr>
          <w:rFonts w:cs="Tahoma"/>
        </w:rPr>
        <w:t>;</w:t>
      </w:r>
    </w:p>
    <w:p w14:paraId="145F72E7" w14:textId="77777777" w:rsidR="001C284B" w:rsidRDefault="00FB382C" w:rsidP="00E332A4">
      <w:pPr>
        <w:pStyle w:val="UPRparagraph"/>
        <w:numPr>
          <w:ilvl w:val="1"/>
          <w:numId w:val="11"/>
        </w:numPr>
        <w:spacing w:after="120"/>
        <w:ind w:left="567" w:hanging="425"/>
        <w:rPr>
          <w:rFonts w:cs="Tahoma"/>
        </w:rPr>
      </w:pPr>
      <w:r w:rsidRPr="001C284B">
        <w:rPr>
          <w:rFonts w:cs="Tahoma"/>
        </w:rPr>
        <w:t>Lutter contre le surpeuplement carcéral en limitant le re</w:t>
      </w:r>
      <w:r w:rsidR="00BB1870" w:rsidRPr="001C284B">
        <w:rPr>
          <w:rFonts w:cs="Tahoma"/>
        </w:rPr>
        <w:t>cours à la détention provisoire ;</w:t>
      </w:r>
    </w:p>
    <w:p w14:paraId="02646710" w14:textId="18D85FC5" w:rsidR="00EC6B79" w:rsidRPr="00E332A4" w:rsidRDefault="00FB382C" w:rsidP="00E332A4">
      <w:pPr>
        <w:pStyle w:val="UPRparagraph"/>
        <w:numPr>
          <w:ilvl w:val="1"/>
          <w:numId w:val="11"/>
        </w:numPr>
        <w:spacing w:after="120"/>
        <w:ind w:left="567" w:hanging="425"/>
        <w:rPr>
          <w:rFonts w:cs="Tahoma"/>
        </w:rPr>
      </w:pPr>
      <w:r w:rsidRPr="001C284B">
        <w:rPr>
          <w:rFonts w:cs="Tahoma"/>
        </w:rPr>
        <w:t xml:space="preserve">Assurer </w:t>
      </w:r>
      <w:r w:rsidRPr="001C284B">
        <w:rPr>
          <w:rFonts w:cs="Tahoma"/>
          <w:bCs/>
        </w:rPr>
        <w:t>l’indépendance</w:t>
      </w:r>
      <w:r w:rsidRPr="001C284B">
        <w:rPr>
          <w:rFonts w:cs="Tahoma"/>
        </w:rPr>
        <w:t xml:space="preserve"> de l’administration pénitentiaire en plaçant la Délégation générale </w:t>
      </w:r>
      <w:r w:rsidR="00145D6A">
        <w:rPr>
          <w:rFonts w:cs="Tahoma"/>
        </w:rPr>
        <w:t>de</w:t>
      </w:r>
      <w:r w:rsidRPr="001C284B">
        <w:rPr>
          <w:rFonts w:cs="Tahoma"/>
        </w:rPr>
        <w:t xml:space="preserve"> l’administration pénitentiaire sous le contr</w:t>
      </w:r>
      <w:r w:rsidR="00BB1870" w:rsidRPr="001C284B">
        <w:rPr>
          <w:rFonts w:cs="Tahoma"/>
        </w:rPr>
        <w:t xml:space="preserve">ôle du Ministère de la justice. </w:t>
      </w:r>
    </w:p>
    <w:p w14:paraId="7D05573C" w14:textId="350A6F4E" w:rsidR="00887D77" w:rsidRPr="0077273E" w:rsidRDefault="00887D77" w:rsidP="00050E2E">
      <w:pPr>
        <w:pStyle w:val="Heading1"/>
        <w:rPr>
          <w:lang w:val="fr-CH"/>
        </w:rPr>
      </w:pPr>
      <w:bookmarkStart w:id="65" w:name="_Toc461809682"/>
      <w:bookmarkStart w:id="66" w:name="_Toc461809683"/>
      <w:bookmarkStart w:id="67" w:name="_Toc461809684"/>
      <w:bookmarkStart w:id="68" w:name="_Toc461809685"/>
      <w:bookmarkStart w:id="69" w:name="_Toc461809686"/>
      <w:bookmarkStart w:id="70" w:name="_Toc461809689"/>
      <w:bookmarkStart w:id="71" w:name="_Toc461809690"/>
      <w:bookmarkStart w:id="72" w:name="_Toc461809691"/>
      <w:bookmarkStart w:id="73" w:name="_Toc461809693"/>
      <w:bookmarkStart w:id="74" w:name="_Toc461809695"/>
      <w:bookmarkStart w:id="75" w:name="_Toc461809696"/>
      <w:bookmarkStart w:id="76" w:name="_Toc461809697"/>
      <w:bookmarkStart w:id="77" w:name="_Toc461809702"/>
      <w:bookmarkStart w:id="78" w:name="_Toc462396106"/>
      <w:bookmarkEnd w:id="65"/>
      <w:bookmarkEnd w:id="66"/>
      <w:bookmarkEnd w:id="67"/>
      <w:bookmarkEnd w:id="68"/>
      <w:bookmarkEnd w:id="69"/>
      <w:bookmarkEnd w:id="70"/>
      <w:bookmarkEnd w:id="71"/>
      <w:bookmarkEnd w:id="72"/>
      <w:bookmarkEnd w:id="73"/>
      <w:bookmarkEnd w:id="74"/>
      <w:bookmarkEnd w:id="75"/>
      <w:bookmarkEnd w:id="76"/>
      <w:bookmarkEnd w:id="77"/>
      <w:r w:rsidRPr="0077273E">
        <w:rPr>
          <w:lang w:val="fr-CH"/>
        </w:rPr>
        <w:t>Torture et traitement cruels inhumains et dégradants</w:t>
      </w:r>
      <w:bookmarkEnd w:id="78"/>
      <w:r w:rsidRPr="0077273E">
        <w:rPr>
          <w:lang w:val="fr-CH"/>
        </w:rPr>
        <w:t xml:space="preserve"> </w:t>
      </w:r>
    </w:p>
    <w:p w14:paraId="07881C49" w14:textId="00B13A04" w:rsidR="005850B0" w:rsidRPr="0077273E" w:rsidRDefault="007667FC" w:rsidP="00BB1870">
      <w:pPr>
        <w:rPr>
          <w:rFonts w:cs="Tahoma"/>
          <w:lang w:eastAsia="fr-FR"/>
        </w:rPr>
      </w:pPr>
      <w:r w:rsidRPr="0077273E">
        <w:rPr>
          <w:rFonts w:cs="Tahoma"/>
        </w:rPr>
        <w:t>En 2006, antérieureme</w:t>
      </w:r>
      <w:r w:rsidR="00145D6A">
        <w:rPr>
          <w:rFonts w:cs="Tahoma"/>
        </w:rPr>
        <w:t>nt à l’adoption de la nouvelle C</w:t>
      </w:r>
      <w:r w:rsidRPr="0077273E">
        <w:rPr>
          <w:rFonts w:cs="Tahoma"/>
        </w:rPr>
        <w:t>onstitution, de nouvelles dispositions relatives à la torture avai</w:t>
      </w:r>
      <w:r w:rsidR="00BB1870" w:rsidRPr="0077273E">
        <w:rPr>
          <w:rFonts w:cs="Tahoma"/>
        </w:rPr>
        <w:t>ent été intégrées au Code pénal</w:t>
      </w:r>
      <w:r w:rsidRPr="0077273E">
        <w:rPr>
          <w:rStyle w:val="FootnoteReference"/>
          <w:rFonts w:cs="Tahoma"/>
          <w:szCs w:val="20"/>
        </w:rPr>
        <w:footnoteReference w:id="63"/>
      </w:r>
      <w:r w:rsidRPr="0077273E">
        <w:rPr>
          <w:rFonts w:cs="Tahoma"/>
        </w:rPr>
        <w:t xml:space="preserve">, </w:t>
      </w:r>
      <w:r w:rsidR="00BB1870" w:rsidRPr="0077273E">
        <w:rPr>
          <w:rFonts w:cs="Tahoma"/>
        </w:rPr>
        <w:t xml:space="preserve">dont </w:t>
      </w:r>
      <w:r w:rsidRPr="0077273E">
        <w:rPr>
          <w:rFonts w:cs="Tahoma"/>
        </w:rPr>
        <w:t xml:space="preserve">une </w:t>
      </w:r>
      <w:r w:rsidR="00BB1870" w:rsidRPr="0077273E">
        <w:rPr>
          <w:rFonts w:cs="Tahoma"/>
        </w:rPr>
        <w:t xml:space="preserve">nouvelle </w:t>
      </w:r>
      <w:r w:rsidRPr="0077273E">
        <w:rPr>
          <w:rFonts w:cs="Tahoma"/>
        </w:rPr>
        <w:t>définition de la torture ainsi qu</w:t>
      </w:r>
      <w:r w:rsidR="00BB1870" w:rsidRPr="0077273E">
        <w:rPr>
          <w:rFonts w:cs="Tahoma"/>
        </w:rPr>
        <w:t>e des peines pénales</w:t>
      </w:r>
      <w:r w:rsidRPr="0077273E">
        <w:rPr>
          <w:rFonts w:cs="Tahoma"/>
        </w:rPr>
        <w:t>, plus ou moins lourdes selon les circonstances et la situation de la victime</w:t>
      </w:r>
      <w:r w:rsidRPr="0077273E">
        <w:rPr>
          <w:rStyle w:val="FootnoteReference"/>
          <w:rFonts w:cs="Tahoma"/>
          <w:szCs w:val="20"/>
        </w:rPr>
        <w:footnoteReference w:id="64"/>
      </w:r>
      <w:r w:rsidRPr="0077273E">
        <w:rPr>
          <w:rFonts w:cs="Tahoma"/>
        </w:rPr>
        <w:t>.</w:t>
      </w:r>
    </w:p>
    <w:p w14:paraId="2564F6A3" w14:textId="77777777" w:rsidR="005850B0" w:rsidRPr="0077273E" w:rsidRDefault="005850B0" w:rsidP="005850B0">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rPr>
      </w:pPr>
      <w:bookmarkStart w:id="79" w:name="_Toc461809704"/>
      <w:bookmarkStart w:id="80" w:name="_Toc461815049"/>
      <w:bookmarkStart w:id="81" w:name="_Toc461815105"/>
      <w:bookmarkStart w:id="82" w:name="_Toc461815542"/>
      <w:bookmarkStart w:id="83" w:name="_Toc461820211"/>
      <w:bookmarkStart w:id="84" w:name="_Toc462042416"/>
      <w:bookmarkStart w:id="85" w:name="_Toc462150420"/>
      <w:bookmarkStart w:id="86" w:name="_Toc462330093"/>
      <w:bookmarkStart w:id="87" w:name="_Toc462330347"/>
      <w:bookmarkStart w:id="88" w:name="_Toc462396043"/>
      <w:bookmarkStart w:id="89" w:name="_Toc462396107"/>
      <w:bookmarkEnd w:id="79"/>
      <w:bookmarkEnd w:id="80"/>
      <w:bookmarkEnd w:id="81"/>
      <w:bookmarkEnd w:id="82"/>
      <w:bookmarkEnd w:id="83"/>
      <w:bookmarkEnd w:id="84"/>
      <w:bookmarkEnd w:id="85"/>
      <w:bookmarkEnd w:id="86"/>
      <w:bookmarkEnd w:id="87"/>
      <w:bookmarkEnd w:id="88"/>
      <w:bookmarkEnd w:id="89"/>
    </w:p>
    <w:p w14:paraId="15148DBC" w14:textId="45DF5FA4" w:rsidR="00887D77" w:rsidRPr="0077273E" w:rsidRDefault="00887D77" w:rsidP="00050E2E">
      <w:pPr>
        <w:pStyle w:val="Heading2"/>
        <w:rPr>
          <w:lang w:val="fr-CH"/>
        </w:rPr>
      </w:pPr>
      <w:bookmarkStart w:id="90" w:name="_Toc462396108"/>
      <w:r w:rsidRPr="0077273E">
        <w:rPr>
          <w:lang w:val="fr-CH"/>
        </w:rPr>
        <w:t>Définition et incrimination de la torture</w:t>
      </w:r>
      <w:bookmarkEnd w:id="90"/>
      <w:r w:rsidRPr="0077273E">
        <w:rPr>
          <w:lang w:val="fr-CH"/>
        </w:rPr>
        <w:t xml:space="preserve"> </w:t>
      </w:r>
    </w:p>
    <w:p w14:paraId="74966C6D" w14:textId="0BCEF0E4" w:rsidR="00887D77" w:rsidRPr="0077273E" w:rsidRDefault="00145D6A" w:rsidP="00887D77">
      <w:pPr>
        <w:rPr>
          <w:rFonts w:cs="Tahoma"/>
        </w:rPr>
      </w:pPr>
      <w:r>
        <w:rPr>
          <w:rFonts w:cs="Tahoma"/>
        </w:rPr>
        <w:t>Depuis 2011, la C</w:t>
      </w:r>
      <w:r w:rsidR="00887D77" w:rsidRPr="0077273E">
        <w:rPr>
          <w:rFonts w:cs="Tahoma"/>
        </w:rPr>
        <w:t>onstitution garantit le droit de toute personne au respect de son intégrité physique dans les termes suivants :</w:t>
      </w:r>
    </w:p>
    <w:p w14:paraId="439098AE" w14:textId="00C1A2F3" w:rsidR="00887D77" w:rsidRPr="00145D6A" w:rsidRDefault="00887D77" w:rsidP="00BB1870">
      <w:pPr>
        <w:spacing w:after="0"/>
        <w:ind w:left="284"/>
        <w:rPr>
          <w:rFonts w:cs="Tahoma"/>
          <w:sz w:val="18"/>
          <w:szCs w:val="18"/>
        </w:rPr>
      </w:pPr>
      <w:r w:rsidRPr="00145D6A">
        <w:rPr>
          <w:rFonts w:cs="Tahoma"/>
          <w:sz w:val="18"/>
          <w:szCs w:val="18"/>
        </w:rPr>
        <w:t>« I</w:t>
      </w:r>
      <w:r w:rsidR="00BB1870" w:rsidRPr="00145D6A">
        <w:rPr>
          <w:rFonts w:cs="Tahoma"/>
          <w:sz w:val="18"/>
          <w:szCs w:val="18"/>
        </w:rPr>
        <w:t xml:space="preserve">l </w:t>
      </w:r>
      <w:r w:rsidRPr="00145D6A">
        <w:rPr>
          <w:rFonts w:cs="Tahoma"/>
          <w:sz w:val="18"/>
          <w:szCs w:val="18"/>
        </w:rPr>
        <w:t>ne peut être porté atteinte à l’intégrité physique ou morale de quiconque, en quelque circonstance que ce soit, et par quelque partie qu</w:t>
      </w:r>
      <w:r w:rsidR="00BB1870" w:rsidRPr="00145D6A">
        <w:rPr>
          <w:rFonts w:cs="Tahoma"/>
          <w:sz w:val="18"/>
          <w:szCs w:val="18"/>
        </w:rPr>
        <w:t>e ce soit, privée ou publique.</w:t>
      </w:r>
      <w:r w:rsidRPr="00145D6A">
        <w:rPr>
          <w:rFonts w:cs="Tahoma"/>
          <w:sz w:val="18"/>
          <w:szCs w:val="18"/>
        </w:rPr>
        <w:t xml:space="preserve"> </w:t>
      </w:r>
    </w:p>
    <w:p w14:paraId="2C770C59" w14:textId="1D3E28CC" w:rsidR="00887D77" w:rsidRPr="00145D6A" w:rsidRDefault="00887D77" w:rsidP="00BB1870">
      <w:pPr>
        <w:spacing w:after="0"/>
        <w:ind w:left="284"/>
        <w:rPr>
          <w:rFonts w:cs="Tahoma"/>
          <w:sz w:val="18"/>
          <w:szCs w:val="18"/>
        </w:rPr>
      </w:pPr>
      <w:r w:rsidRPr="00145D6A">
        <w:rPr>
          <w:rFonts w:cs="Tahoma"/>
          <w:sz w:val="18"/>
          <w:szCs w:val="18"/>
        </w:rPr>
        <w:t xml:space="preserve">Nul ne doit infliger à autrui, sous quelque prétexte que ce soit, des traitements cruels, inhumains, dégradants ou portant atteinte à la dignité humaine. </w:t>
      </w:r>
    </w:p>
    <w:p w14:paraId="22298B47" w14:textId="3255E8C0" w:rsidR="00BB1870" w:rsidRPr="00145D6A" w:rsidRDefault="00887D77" w:rsidP="00BB1870">
      <w:pPr>
        <w:spacing w:after="0"/>
        <w:ind w:left="284"/>
        <w:rPr>
          <w:rFonts w:cs="Tahoma"/>
          <w:sz w:val="18"/>
          <w:szCs w:val="18"/>
        </w:rPr>
      </w:pPr>
      <w:r w:rsidRPr="00145D6A">
        <w:rPr>
          <w:rFonts w:cs="Tahoma"/>
          <w:sz w:val="18"/>
          <w:szCs w:val="18"/>
        </w:rPr>
        <w:t>La pratique de la torture, sous toutes ses formes et par quiconque, est un crime puni par la loi »</w:t>
      </w:r>
      <w:r w:rsidRPr="00145D6A">
        <w:rPr>
          <w:rStyle w:val="FootnoteReference"/>
          <w:rFonts w:cs="Tahoma"/>
          <w:i/>
          <w:sz w:val="18"/>
          <w:szCs w:val="18"/>
        </w:rPr>
        <w:t xml:space="preserve"> </w:t>
      </w:r>
      <w:r w:rsidRPr="00145D6A">
        <w:rPr>
          <w:rStyle w:val="FootnoteReference"/>
          <w:rFonts w:cs="Tahoma"/>
          <w:sz w:val="18"/>
          <w:szCs w:val="18"/>
        </w:rPr>
        <w:footnoteReference w:id="65"/>
      </w:r>
      <w:r w:rsidR="00BB1870" w:rsidRPr="00145D6A">
        <w:rPr>
          <w:rFonts w:cs="Tahoma"/>
          <w:sz w:val="18"/>
          <w:szCs w:val="18"/>
        </w:rPr>
        <w:t>.</w:t>
      </w:r>
    </w:p>
    <w:p w14:paraId="24CEE65B" w14:textId="77777777" w:rsidR="00BB1870" w:rsidRPr="0077273E" w:rsidRDefault="00BB1870" w:rsidP="00BB1870">
      <w:pPr>
        <w:spacing w:after="0"/>
        <w:ind w:left="284"/>
        <w:rPr>
          <w:rFonts w:cs="Tahoma"/>
        </w:rPr>
      </w:pPr>
    </w:p>
    <w:p w14:paraId="4081359F" w14:textId="780ABD85" w:rsidR="005850B0" w:rsidRPr="0077273E" w:rsidRDefault="005850B0" w:rsidP="00DD12D7">
      <w:pPr>
        <w:rPr>
          <w:rFonts w:cs="Tahoma"/>
        </w:rPr>
      </w:pPr>
      <w:r w:rsidRPr="0077273E">
        <w:rPr>
          <w:rFonts w:cs="Tahoma"/>
        </w:rPr>
        <w:t xml:space="preserve">La torture est </w:t>
      </w:r>
      <w:r w:rsidR="00BB1870" w:rsidRPr="0077273E">
        <w:rPr>
          <w:rFonts w:cs="Tahoma"/>
        </w:rPr>
        <w:t xml:space="preserve">actuellement </w:t>
      </w:r>
      <w:r w:rsidRPr="0077273E">
        <w:rPr>
          <w:rFonts w:cs="Tahoma"/>
        </w:rPr>
        <w:t>définie dans l</w:t>
      </w:r>
      <w:r w:rsidR="00145D6A">
        <w:rPr>
          <w:rFonts w:cs="Tahoma"/>
        </w:rPr>
        <w:t>’a</w:t>
      </w:r>
      <w:r w:rsidRPr="0077273E">
        <w:rPr>
          <w:rFonts w:cs="Tahoma"/>
        </w:rPr>
        <w:t>rticle 231-1 du Code pénal de la manière suivante</w:t>
      </w:r>
      <w:r w:rsidR="00BB1870" w:rsidRPr="0077273E">
        <w:rPr>
          <w:rFonts w:cs="Tahoma"/>
        </w:rPr>
        <w:t xml:space="preserve"> </w:t>
      </w:r>
      <w:r w:rsidRPr="0077273E">
        <w:rPr>
          <w:rFonts w:cs="Tahoma"/>
        </w:rPr>
        <w:t xml:space="preserve">: </w:t>
      </w:r>
    </w:p>
    <w:p w14:paraId="1A97B987" w14:textId="2B44A6C0" w:rsidR="007E00FF" w:rsidRPr="00145D6A" w:rsidRDefault="00BB1870" w:rsidP="007E00FF">
      <w:pPr>
        <w:ind w:left="284"/>
        <w:rPr>
          <w:rFonts w:cs="Tahoma"/>
          <w:sz w:val="18"/>
          <w:szCs w:val="18"/>
        </w:rPr>
      </w:pPr>
      <w:r w:rsidRPr="00145D6A">
        <w:rPr>
          <w:rFonts w:cs="Tahoma"/>
          <w:sz w:val="18"/>
          <w:szCs w:val="18"/>
        </w:rPr>
        <w:t>« [t]</w:t>
      </w:r>
      <w:r w:rsidR="005850B0" w:rsidRPr="00145D6A">
        <w:rPr>
          <w:rFonts w:cs="Tahoma"/>
          <w:sz w:val="18"/>
          <w:szCs w:val="18"/>
        </w:rPr>
        <w:t>out fait qui cause une douleur ou une souffrance aiguë physique ou mentale, commis intentionnellement par un fonctionnaire public ou à son instigation ou avec son consentement exprès ou tacite, infligé à une personne aux fins de l’intimider ou de faire pression sur elle ou de faire pression sur une tierce personne, pour obtenir des renseignements ou des indications ou des aveux, pour la punir pour un acte qu’elle ou une tierce personne a commis ou est soupçonnée d’avoir commis ou lorsqu’une</w:t>
      </w:r>
      <w:r w:rsidR="007E00FF" w:rsidRPr="00145D6A">
        <w:rPr>
          <w:rFonts w:cs="Tahoma"/>
          <w:sz w:val="18"/>
          <w:szCs w:val="18"/>
        </w:rPr>
        <w:t xml:space="preserve"> telle douleur ou souffrance est infligée pour tout autre motif fondé sur une forme de discrimination quelle qu'elle soit .</w:t>
      </w:r>
    </w:p>
    <w:p w14:paraId="78FCCBE2" w14:textId="1008DA79" w:rsidR="005850B0" w:rsidRPr="00145D6A" w:rsidRDefault="007E00FF" w:rsidP="007E00FF">
      <w:pPr>
        <w:ind w:left="284"/>
        <w:rPr>
          <w:rFonts w:cs="Tahoma"/>
          <w:sz w:val="18"/>
          <w:szCs w:val="18"/>
        </w:rPr>
      </w:pPr>
      <w:r w:rsidRPr="00145D6A">
        <w:rPr>
          <w:rFonts w:cs="Tahoma"/>
          <w:sz w:val="18"/>
          <w:szCs w:val="18"/>
        </w:rPr>
        <w:t>Ce terme ne s'étend pas à la douleur ou aux souffrances résultant uniquement de sanctions légales ou occasionnées par ces sanctions ou qui leur sont inhérentes. »</w:t>
      </w:r>
    </w:p>
    <w:p w14:paraId="6920759C" w14:textId="5D54C9AD" w:rsidR="005850B0" w:rsidRPr="0077273E" w:rsidRDefault="007E00FF" w:rsidP="007E00FF">
      <w:pPr>
        <w:rPr>
          <w:rFonts w:cs="Tahoma"/>
        </w:rPr>
      </w:pPr>
      <w:r w:rsidRPr="0077273E">
        <w:rPr>
          <w:rFonts w:cs="Tahoma"/>
        </w:rPr>
        <w:t>Ainsi, la l</w:t>
      </w:r>
      <w:r w:rsidR="005850B0" w:rsidRPr="0077273E">
        <w:rPr>
          <w:rFonts w:cs="Tahoma"/>
        </w:rPr>
        <w:t xml:space="preserve">oi de 2006 </w:t>
      </w:r>
      <w:r w:rsidRPr="0077273E">
        <w:rPr>
          <w:rFonts w:cs="Tahoma"/>
        </w:rPr>
        <w:t>définit la torture de manière conforme à l’article 1 de la Convention contre la torture. Si le législateur</w:t>
      </w:r>
      <w:r w:rsidR="005850B0" w:rsidRPr="0077273E">
        <w:rPr>
          <w:rFonts w:cs="Tahoma"/>
        </w:rPr>
        <w:t xml:space="preserve"> </w:t>
      </w:r>
      <w:r w:rsidRPr="0077273E">
        <w:rPr>
          <w:rFonts w:cs="Tahoma"/>
        </w:rPr>
        <w:t>a établi</w:t>
      </w:r>
      <w:r w:rsidR="005850B0" w:rsidRPr="0077273E">
        <w:rPr>
          <w:rFonts w:cs="Tahoma"/>
        </w:rPr>
        <w:t xml:space="preserve"> un régime juridique spécifique à la torture en reliant directement la pratique de la torture aux abus d’autorité commis par des agents publics</w:t>
      </w:r>
      <w:r w:rsidR="00BB1870" w:rsidRPr="0077273E">
        <w:rPr>
          <w:rFonts w:cs="Tahoma"/>
        </w:rPr>
        <w:t xml:space="preserve"> contre des particuliers,</w:t>
      </w:r>
      <w:r w:rsidRPr="0077273E">
        <w:rPr>
          <w:rFonts w:cs="Tahoma"/>
        </w:rPr>
        <w:t xml:space="preserve"> il</w:t>
      </w:r>
      <w:r w:rsidR="00BB1870" w:rsidRPr="0077273E">
        <w:rPr>
          <w:rFonts w:cs="Tahoma"/>
        </w:rPr>
        <w:t xml:space="preserve"> </w:t>
      </w:r>
      <w:r w:rsidR="005850B0" w:rsidRPr="0077273E">
        <w:rPr>
          <w:rFonts w:cs="Tahoma"/>
        </w:rPr>
        <w:t xml:space="preserve">laisse </w:t>
      </w:r>
      <w:r w:rsidRPr="0077273E">
        <w:rPr>
          <w:rFonts w:cs="Tahoma"/>
        </w:rPr>
        <w:t xml:space="preserve">toutefois </w:t>
      </w:r>
      <w:r w:rsidR="005850B0" w:rsidRPr="0077273E">
        <w:rPr>
          <w:rFonts w:cs="Tahoma"/>
        </w:rPr>
        <w:t>subsister un</w:t>
      </w:r>
      <w:r w:rsidRPr="0077273E">
        <w:rPr>
          <w:rFonts w:cs="Tahoma"/>
        </w:rPr>
        <w:t>e</w:t>
      </w:r>
      <w:r w:rsidR="005850B0" w:rsidRPr="0077273E">
        <w:rPr>
          <w:rFonts w:cs="Tahoma"/>
        </w:rPr>
        <w:t xml:space="preserve"> certain</w:t>
      </w:r>
      <w:r w:rsidRPr="0077273E">
        <w:rPr>
          <w:rFonts w:cs="Tahoma"/>
        </w:rPr>
        <w:t>e ambiguïté</w:t>
      </w:r>
      <w:r w:rsidR="005850B0" w:rsidRPr="0077273E">
        <w:rPr>
          <w:rFonts w:cs="Tahoma"/>
        </w:rPr>
        <w:t xml:space="preserve"> autour de la notion même d’agent public. Le</w:t>
      </w:r>
      <w:r w:rsidR="005850B0" w:rsidRPr="0077273E">
        <w:rPr>
          <w:rFonts w:cs="Tahoma"/>
          <w:color w:val="FF0000"/>
        </w:rPr>
        <w:t xml:space="preserve"> </w:t>
      </w:r>
      <w:r w:rsidR="005850B0" w:rsidRPr="0077273E">
        <w:rPr>
          <w:rFonts w:cs="Tahoma"/>
        </w:rPr>
        <w:t xml:space="preserve">texte vise en effet la </w:t>
      </w:r>
      <w:r w:rsidR="005850B0" w:rsidRPr="0077273E">
        <w:rPr>
          <w:rFonts w:cs="Tahoma"/>
        </w:rPr>
        <w:lastRenderedPageBreak/>
        <w:t xml:space="preserve">responsabilité des fonctionnaires publics tels que les définit l’article 224 du Code pénal à savoir « </w:t>
      </w:r>
      <w:r w:rsidR="005850B0" w:rsidRPr="00145D6A">
        <w:rPr>
          <w:rFonts w:cs="Tahoma"/>
          <w:iCs/>
        </w:rPr>
        <w:t xml:space="preserve">toutes personnes qui, sous une dénomination et dans une mesure quelconques, sont investies d’une fonction ou d’un mandat même temporaires, rémunérés ou gratuits et concourent à ce titre, au service de l’Etat, des administrations publiques, des municipalités, des établissements publics ou à un service d’intérêt public </w:t>
      </w:r>
      <w:r w:rsidR="005850B0" w:rsidRPr="0077273E">
        <w:rPr>
          <w:rFonts w:cs="Tahoma"/>
        </w:rPr>
        <w:t xml:space="preserve">». Bien que cette définition semble large, elle n’est pas aussi extensive que celle prévue par l’article premier de la Convention contre la torture qui vise elle « </w:t>
      </w:r>
      <w:r w:rsidR="005850B0" w:rsidRPr="00145D6A">
        <w:rPr>
          <w:rFonts w:cs="Tahoma"/>
          <w:iCs/>
        </w:rPr>
        <w:t>un agent de la fonction publique ou toute autre personne agissant à titre officiel ou à son instigation ou avec son consentement exprès ou tacite </w:t>
      </w:r>
      <w:r w:rsidR="005850B0" w:rsidRPr="0077273E">
        <w:rPr>
          <w:rFonts w:cs="Tahoma"/>
        </w:rPr>
        <w:t xml:space="preserve">». Il persiste </w:t>
      </w:r>
      <w:r w:rsidR="00DD24E3">
        <w:rPr>
          <w:rFonts w:cs="Tahoma"/>
        </w:rPr>
        <w:t xml:space="preserve">donc </w:t>
      </w:r>
      <w:r w:rsidR="005850B0" w:rsidRPr="0077273E">
        <w:rPr>
          <w:rFonts w:cs="Tahoma"/>
        </w:rPr>
        <w:t>un risque non négligeable d’interpréter de façon restrictive la notion de fonctionnaire public.</w:t>
      </w:r>
    </w:p>
    <w:p w14:paraId="2E551044" w14:textId="7F326AFA" w:rsidR="007667FC" w:rsidRPr="0077273E" w:rsidRDefault="007667FC" w:rsidP="00145D6A">
      <w:pPr>
        <w:rPr>
          <w:rFonts w:cs="Tahoma"/>
        </w:rPr>
      </w:pPr>
      <w:r w:rsidRPr="0077273E">
        <w:rPr>
          <w:rFonts w:cs="Tahoma"/>
        </w:rPr>
        <w:t>A cet égard, suite à sa visite au Maroc en 2012, le</w:t>
      </w:r>
      <w:r w:rsidR="00145D6A">
        <w:rPr>
          <w:rFonts w:cs="Tahoma"/>
        </w:rPr>
        <w:t xml:space="preserve"> R</w:t>
      </w:r>
      <w:r w:rsidR="00DC131D">
        <w:rPr>
          <w:rFonts w:cs="Tahoma"/>
        </w:rPr>
        <w:t>apporteur</w:t>
      </w:r>
      <w:r w:rsidRPr="0077273E">
        <w:rPr>
          <w:rFonts w:cs="Tahoma"/>
        </w:rPr>
        <w:t xml:space="preserve"> spécial sur la torture a déploré que la nouvelle définition ne mentionne pas expressément ni n’érige en infraction la commission d’actes de torture par le biais de tierces personnes, conformément aux standards internationaux</w:t>
      </w:r>
      <w:r w:rsidRPr="0077273E">
        <w:rPr>
          <w:rStyle w:val="FootnoteReference"/>
          <w:rFonts w:cs="Tahoma"/>
          <w:szCs w:val="20"/>
        </w:rPr>
        <w:footnoteReference w:id="66"/>
      </w:r>
      <w:r w:rsidRPr="0077273E">
        <w:rPr>
          <w:rFonts w:cs="Tahoma"/>
        </w:rPr>
        <w:t xml:space="preserve">. </w:t>
      </w:r>
    </w:p>
    <w:p w14:paraId="62D8A6AF" w14:textId="320DB822" w:rsidR="007667FC" w:rsidRPr="0077273E" w:rsidRDefault="007667FC" w:rsidP="00050E2E">
      <w:pPr>
        <w:pStyle w:val="Heading2"/>
        <w:rPr>
          <w:lang w:val="fr-CH"/>
        </w:rPr>
      </w:pPr>
      <w:bookmarkStart w:id="91" w:name="_Toc462396109"/>
      <w:r w:rsidRPr="0077273E">
        <w:rPr>
          <w:lang w:val="fr-CH"/>
        </w:rPr>
        <w:t>Obligation d’enquête et de poursuite</w:t>
      </w:r>
      <w:r w:rsidR="007F462E" w:rsidRPr="0077273E">
        <w:rPr>
          <w:lang w:val="fr-CH"/>
        </w:rPr>
        <w:t xml:space="preserve"> d</w:t>
      </w:r>
      <w:r w:rsidRPr="0077273E">
        <w:rPr>
          <w:lang w:val="fr-CH"/>
        </w:rPr>
        <w:t>es auteurs d’actes de torture</w:t>
      </w:r>
      <w:bookmarkEnd w:id="91"/>
    </w:p>
    <w:p w14:paraId="08257983" w14:textId="0FAA3F0C" w:rsidR="007667FC" w:rsidRPr="0077273E" w:rsidRDefault="00CA115A" w:rsidP="00FC2016">
      <w:pPr>
        <w:rPr>
          <w:rFonts w:cs="Tahoma"/>
        </w:rPr>
      </w:pPr>
      <w:r w:rsidRPr="0077273E">
        <w:rPr>
          <w:rFonts w:cs="Tahoma"/>
        </w:rPr>
        <w:t>Lors de sa visite au Maroc, et sur la base de chiffres communiqués par le Gouvernement marocain, le</w:t>
      </w:r>
      <w:r w:rsidR="00145D6A">
        <w:rPr>
          <w:rFonts w:cs="Tahoma"/>
        </w:rPr>
        <w:t xml:space="preserve"> R</w:t>
      </w:r>
      <w:r w:rsidR="00DC131D">
        <w:rPr>
          <w:rFonts w:cs="Tahoma"/>
        </w:rPr>
        <w:t>apporteur</w:t>
      </w:r>
      <w:r w:rsidR="007667FC" w:rsidRPr="00DD24E3">
        <w:rPr>
          <w:rFonts w:cs="Tahoma"/>
        </w:rPr>
        <w:t xml:space="preserve"> spécial</w:t>
      </w:r>
      <w:r w:rsidR="007667FC" w:rsidRPr="0077273E">
        <w:rPr>
          <w:rFonts w:cs="Tahoma"/>
        </w:rPr>
        <w:t xml:space="preserve"> </w:t>
      </w:r>
      <w:r w:rsidR="00FC2016" w:rsidRPr="0077273E">
        <w:rPr>
          <w:rFonts w:cs="Tahoma"/>
        </w:rPr>
        <w:t xml:space="preserve">sur la torture </w:t>
      </w:r>
      <w:r w:rsidR="007667FC" w:rsidRPr="0077273E">
        <w:rPr>
          <w:rFonts w:cs="Tahoma"/>
        </w:rPr>
        <w:t xml:space="preserve">a </w:t>
      </w:r>
      <w:r w:rsidR="00FC2016" w:rsidRPr="0077273E">
        <w:rPr>
          <w:rFonts w:cs="Tahoma"/>
        </w:rPr>
        <w:t>relevé</w:t>
      </w:r>
      <w:r w:rsidR="007667FC" w:rsidRPr="0077273E">
        <w:rPr>
          <w:rFonts w:cs="Tahoma"/>
        </w:rPr>
        <w:t xml:space="preserve"> qu’entre 2009 et 2012, aucune poursuite ne semblait avoir été entreprise sur la base de l’article 231-1 du Code pénal à l’enc</w:t>
      </w:r>
      <w:r w:rsidR="00145D6A">
        <w:rPr>
          <w:rFonts w:cs="Tahoma"/>
        </w:rPr>
        <w:t>ontre des fonctionnaires de la g</w:t>
      </w:r>
      <w:r w:rsidR="007667FC" w:rsidRPr="0077273E">
        <w:rPr>
          <w:rFonts w:cs="Tahoma"/>
        </w:rPr>
        <w:t xml:space="preserve">endarmerie royale, de la police judiciaire et des services des douanes. Durant cette période, les rares fonctionnaires poursuivis </w:t>
      </w:r>
      <w:r w:rsidR="00DC131D">
        <w:rPr>
          <w:rFonts w:cs="Tahoma"/>
        </w:rPr>
        <w:t xml:space="preserve">en raison de mauvais traitements infligés à des personnes détenues </w:t>
      </w:r>
      <w:r w:rsidR="007667FC" w:rsidRPr="0077273E">
        <w:rPr>
          <w:rFonts w:cs="Tahoma"/>
        </w:rPr>
        <w:t xml:space="preserve">étaient accusés de coups et blessures. Les enquêtes, dans les très rares cas où elles aboutissent, ne donnent lieu qu’à des sanctions </w:t>
      </w:r>
      <w:r w:rsidR="00DC131D">
        <w:rPr>
          <w:rFonts w:cs="Tahoma"/>
        </w:rPr>
        <w:t xml:space="preserve">pénales ou administratives </w:t>
      </w:r>
      <w:r w:rsidR="007667FC" w:rsidRPr="0077273E">
        <w:rPr>
          <w:rFonts w:cs="Tahoma"/>
        </w:rPr>
        <w:t xml:space="preserve">légères, telles que des amendes ou </w:t>
      </w:r>
      <w:r w:rsidR="00DC131D">
        <w:rPr>
          <w:rFonts w:cs="Tahoma"/>
        </w:rPr>
        <w:t xml:space="preserve">des </w:t>
      </w:r>
      <w:r w:rsidR="007667FC" w:rsidRPr="0077273E">
        <w:rPr>
          <w:rFonts w:cs="Tahoma"/>
        </w:rPr>
        <w:t>suspensions</w:t>
      </w:r>
      <w:r w:rsidR="007667FC" w:rsidRPr="0077273E">
        <w:rPr>
          <w:rStyle w:val="FootnoteReference"/>
          <w:rFonts w:cs="Tahoma"/>
          <w:szCs w:val="20"/>
        </w:rPr>
        <w:footnoteReference w:id="67"/>
      </w:r>
      <w:r w:rsidR="007667FC" w:rsidRPr="0077273E">
        <w:rPr>
          <w:rFonts w:cs="Tahoma"/>
        </w:rPr>
        <w:t xml:space="preserve">. </w:t>
      </w:r>
    </w:p>
    <w:p w14:paraId="61250FEB" w14:textId="7570A093" w:rsidR="00FC2016" w:rsidRPr="0077273E" w:rsidRDefault="00145D6A" w:rsidP="005C073A">
      <w:pPr>
        <w:rPr>
          <w:rFonts w:cs="Tahoma"/>
        </w:rPr>
      </w:pPr>
      <w:r>
        <w:rPr>
          <w:rFonts w:cs="Tahoma"/>
        </w:rPr>
        <w:t>Dans son</w:t>
      </w:r>
      <w:r w:rsidR="007667FC" w:rsidRPr="00DC131D">
        <w:rPr>
          <w:rFonts w:cs="Tahoma"/>
        </w:rPr>
        <w:t xml:space="preserve"> rapport soumis au Comité en 2015, le Maroc mentionne en tout et pour tout deux cas de condamnations de fonctionnaires de police, remontant à 2007, pour coups et blessures ayant entraîné la mort sans intention de la donner, six autres cas de poursuites du chef d’actes de torture, viol et violences remontant à 2006 et cinq sur la base de l’article 231 du Code pénal en 2014, sans que les verdicts ni, le cas échéant, la nature des sanctions ne soient explicités</w:t>
      </w:r>
      <w:r w:rsidR="007667FC" w:rsidRPr="00DC131D">
        <w:rPr>
          <w:rStyle w:val="FootnoteReference"/>
          <w:rFonts w:cs="Tahoma"/>
          <w:szCs w:val="20"/>
        </w:rPr>
        <w:footnoteReference w:id="68"/>
      </w:r>
      <w:r w:rsidR="005C073A">
        <w:rPr>
          <w:rFonts w:cs="Tahoma"/>
        </w:rPr>
        <w:t xml:space="preserve">. </w:t>
      </w:r>
    </w:p>
    <w:p w14:paraId="43A0F2CA" w14:textId="1AD3DD2D" w:rsidR="003168E9" w:rsidRPr="0077273E" w:rsidRDefault="00FC2016" w:rsidP="00145D6A">
      <w:pPr>
        <w:rPr>
          <w:rFonts w:cs="Tahoma"/>
        </w:rPr>
      </w:pPr>
      <w:r w:rsidRPr="0077273E">
        <w:rPr>
          <w:rFonts w:cs="Tahoma"/>
        </w:rPr>
        <w:t>Enfin, s’il est admis que l’ordre d’un supérieur ou d’une autorité publique ne peut être invoqué pour justifier la torture, la loi de 2006 est restée silencieuse sur ce point et n’a pas réglé la question de l’exonération de la responsabilité des agents publics. L</w:t>
      </w:r>
      <w:r w:rsidRPr="0077273E">
        <w:rPr>
          <w:rFonts w:cs="Tahoma"/>
          <w:bCs/>
        </w:rPr>
        <w:t>e Code ne prévoit pas non plus d’exception explicite aux articles 49, 51, 53 et 54 qui font référence aux causes d’extinction, d’exemption ou de suspension des peines. Le législateur a omis à ce sujet de préciser expressément si le crime de torture était imprescriptible et ce, alors</w:t>
      </w:r>
      <w:r w:rsidR="00DC131D">
        <w:rPr>
          <w:rFonts w:cs="Tahoma"/>
          <w:bCs/>
        </w:rPr>
        <w:t xml:space="preserve"> même </w:t>
      </w:r>
      <w:r w:rsidRPr="0077273E">
        <w:rPr>
          <w:rFonts w:cs="Tahoma"/>
          <w:bCs/>
        </w:rPr>
        <w:t>que la Convention</w:t>
      </w:r>
      <w:r w:rsidR="00145D6A">
        <w:rPr>
          <w:rFonts w:cs="Tahoma"/>
          <w:bCs/>
        </w:rPr>
        <w:t xml:space="preserve"> contre la torture</w:t>
      </w:r>
      <w:r w:rsidRPr="0077273E">
        <w:rPr>
          <w:rFonts w:cs="Tahoma"/>
          <w:bCs/>
        </w:rPr>
        <w:t xml:space="preserve"> prévoit qu’ « aucune amnistie, aucun délai de prescription ne sont permis en ce qui concerne les crimes de la torture ».</w:t>
      </w:r>
      <w:r w:rsidRPr="0077273E">
        <w:rPr>
          <w:rFonts w:cs="Tahoma"/>
        </w:rPr>
        <w:t xml:space="preserve"> </w:t>
      </w:r>
      <w:r w:rsidRPr="0077273E">
        <w:rPr>
          <w:rFonts w:cs="Tahoma"/>
          <w:szCs w:val="20"/>
        </w:rPr>
        <w:t xml:space="preserve">En 2011, lors </w:t>
      </w:r>
      <w:r w:rsidR="00145D6A">
        <w:rPr>
          <w:rFonts w:cs="Tahoma"/>
          <w:szCs w:val="20"/>
        </w:rPr>
        <w:t>du quatrième examen périodique d</w:t>
      </w:r>
      <w:r w:rsidRPr="0077273E">
        <w:rPr>
          <w:rFonts w:cs="Tahoma"/>
          <w:szCs w:val="20"/>
        </w:rPr>
        <w:t>u Maroc, le Comité contre la torture avait regretté qu’aucune disposition du Code pénal ne rende imprescriptible le crime de torture</w:t>
      </w:r>
      <w:r w:rsidRPr="0077273E">
        <w:rPr>
          <w:rStyle w:val="FootnoteReference"/>
          <w:rFonts w:cs="Tahoma"/>
          <w:szCs w:val="20"/>
        </w:rPr>
        <w:footnoteReference w:id="69"/>
      </w:r>
      <w:r w:rsidRPr="0077273E">
        <w:rPr>
          <w:rFonts w:cs="Tahoma"/>
          <w:szCs w:val="20"/>
        </w:rPr>
        <w:t xml:space="preserve"> et que l’Etat marocain ait omis d’interdire toute amnistie éventuelle des crimes de torture et tout pardon en violation de la Convention</w:t>
      </w:r>
      <w:r w:rsidRPr="0077273E">
        <w:rPr>
          <w:rStyle w:val="FootnoteReference"/>
          <w:rFonts w:cs="Tahoma"/>
          <w:szCs w:val="20"/>
        </w:rPr>
        <w:footnoteReference w:id="70"/>
      </w:r>
      <w:r w:rsidRPr="0077273E">
        <w:rPr>
          <w:rFonts w:cs="Tahoma"/>
          <w:szCs w:val="20"/>
        </w:rPr>
        <w:t>.</w:t>
      </w:r>
      <w:r w:rsidRPr="0077273E">
        <w:rPr>
          <w:rFonts w:cs="Tahoma"/>
        </w:rPr>
        <w:t xml:space="preserve"> </w:t>
      </w:r>
      <w:r w:rsidR="007F462E" w:rsidRPr="0077273E">
        <w:rPr>
          <w:rFonts w:cs="Tahoma"/>
        </w:rPr>
        <w:t xml:space="preserve"> </w:t>
      </w:r>
    </w:p>
    <w:p w14:paraId="18FAEF8D" w14:textId="108F1510" w:rsidR="005850B0" w:rsidRPr="0077273E" w:rsidRDefault="007667FC" w:rsidP="003168E9">
      <w:pPr>
        <w:pStyle w:val="Heading2"/>
        <w:rPr>
          <w:lang w:val="fr-CH"/>
        </w:rPr>
      </w:pPr>
      <w:bookmarkStart w:id="92" w:name="_Toc462396110"/>
      <w:r w:rsidRPr="0077273E">
        <w:rPr>
          <w:lang w:val="fr-CH"/>
        </w:rPr>
        <w:t>Prévention de la torture et conditions de détention</w:t>
      </w:r>
      <w:bookmarkEnd w:id="92"/>
      <w:r w:rsidRPr="0077273E">
        <w:rPr>
          <w:lang w:val="fr-CH"/>
        </w:rPr>
        <w:t xml:space="preserve"> </w:t>
      </w:r>
    </w:p>
    <w:p w14:paraId="4742E5F5" w14:textId="340C921D" w:rsidR="00AC3039" w:rsidRPr="0077273E" w:rsidRDefault="005850B0" w:rsidP="00DE51A6">
      <w:pPr>
        <w:rPr>
          <w:rFonts w:cs="Tahoma"/>
        </w:rPr>
      </w:pPr>
      <w:r w:rsidRPr="0077273E">
        <w:rPr>
          <w:rFonts w:cs="Tahoma"/>
        </w:rPr>
        <w:t>Le 14 novembre 2014, le Maroc a ratifié le Protocole facultatif à la Convention contre la torture et autres peines ou traitements c</w:t>
      </w:r>
      <w:r w:rsidR="007468A0" w:rsidRPr="0077273E">
        <w:rPr>
          <w:rFonts w:cs="Tahoma"/>
        </w:rPr>
        <w:t>ruels, inhumains ou dégradants</w:t>
      </w:r>
      <w:r w:rsidRPr="0077273E">
        <w:rPr>
          <w:rFonts w:cs="Tahoma"/>
        </w:rPr>
        <w:t xml:space="preserve">. </w:t>
      </w:r>
      <w:r w:rsidR="00AC3039" w:rsidRPr="0077273E">
        <w:rPr>
          <w:rFonts w:cs="Tahoma"/>
        </w:rPr>
        <w:t xml:space="preserve">Il est indispensable que le contrôle des lieux de détention soit effectué par une institution pleinement indépendante. </w:t>
      </w:r>
    </w:p>
    <w:p w14:paraId="296E65BC" w14:textId="5A6F6658" w:rsidR="003168E9" w:rsidRPr="0077273E" w:rsidRDefault="003168E9" w:rsidP="00050E2E">
      <w:pPr>
        <w:rPr>
          <w:rFonts w:cs="Tahoma"/>
        </w:rPr>
      </w:pPr>
      <w:r w:rsidRPr="0077273E">
        <w:rPr>
          <w:rFonts w:cs="Tahoma"/>
        </w:rPr>
        <w:t>Le Maroc a souligné que la loi n°23/98 relative à l’organisation et au fonctionnement des établissements pénitentiaires et son décret d’application imposaient au personnel pénitentiaire de réserver aux détenus un bon traitement et que le CNDH pouvait effectuer des visites inopinées dans les lieux de détention afin de surveiller la situation des détenus et le traitement qui leur est réservé</w:t>
      </w:r>
      <w:r w:rsidRPr="0077273E">
        <w:rPr>
          <w:rStyle w:val="FootnoteReference"/>
          <w:rFonts w:cs="Tahoma"/>
        </w:rPr>
        <w:footnoteReference w:id="71"/>
      </w:r>
      <w:r w:rsidRPr="0077273E">
        <w:rPr>
          <w:rFonts w:cs="Tahoma"/>
        </w:rPr>
        <w:t>.</w:t>
      </w:r>
    </w:p>
    <w:p w14:paraId="6914AAF5" w14:textId="60CD3BAE" w:rsidR="007468A0" w:rsidRPr="0077273E" w:rsidRDefault="003168E9" w:rsidP="00C5090C">
      <w:pPr>
        <w:rPr>
          <w:rFonts w:cs="Tahoma"/>
        </w:rPr>
      </w:pPr>
      <w:r w:rsidRPr="0077273E">
        <w:rPr>
          <w:rFonts w:cs="Tahoma"/>
        </w:rPr>
        <w:t xml:space="preserve">Le Comité a souhaité savoir si, dans le souci de prévenir efficacement la torture et les mauvais traitements, les visites inopinées de lieux de détention pouvaient être effectuées par des organismes </w:t>
      </w:r>
      <w:r w:rsidRPr="0077273E">
        <w:rPr>
          <w:rFonts w:cs="Tahoma"/>
        </w:rPr>
        <w:lastRenderedPageBreak/>
        <w:t>indépendants</w:t>
      </w:r>
      <w:r w:rsidRPr="0077273E">
        <w:rPr>
          <w:rStyle w:val="FootnoteReference"/>
          <w:rFonts w:cs="Tahoma"/>
        </w:rPr>
        <w:footnoteReference w:id="72"/>
      </w:r>
      <w:r w:rsidRPr="0077273E">
        <w:rPr>
          <w:rFonts w:cs="Tahoma"/>
        </w:rPr>
        <w:t>.</w:t>
      </w:r>
      <w:r w:rsidR="007468A0" w:rsidRPr="0077273E">
        <w:rPr>
          <w:rFonts w:cs="Tahoma"/>
        </w:rPr>
        <w:t xml:space="preserve"> Actuellement, c’est le Conseil national des droits de l’homme qui est seul habilité à effectuer ces visites</w:t>
      </w:r>
      <w:r w:rsidR="007468A0" w:rsidRPr="0077273E">
        <w:rPr>
          <w:rStyle w:val="FootnoteReference"/>
          <w:rFonts w:cs="Tahoma"/>
          <w:szCs w:val="20"/>
        </w:rPr>
        <w:footnoteReference w:id="73"/>
      </w:r>
      <w:r w:rsidR="007468A0" w:rsidRPr="0077273E">
        <w:rPr>
          <w:rFonts w:cs="Tahoma"/>
        </w:rPr>
        <w:t xml:space="preserve">. Or, le </w:t>
      </w:r>
      <w:r w:rsidR="00C5090C">
        <w:rPr>
          <w:rFonts w:cs="Tahoma"/>
        </w:rPr>
        <w:t xml:space="preserve">déficit </w:t>
      </w:r>
      <w:r w:rsidR="007468A0" w:rsidRPr="0077273E">
        <w:rPr>
          <w:rFonts w:cs="Tahoma"/>
        </w:rPr>
        <w:t>d’indépendance du CNDH vis-à-vis de l’exécutif risque de compromettre l’impartialité du contrôle des lieux de privation de liberté.</w:t>
      </w:r>
    </w:p>
    <w:p w14:paraId="20BDFDF3" w14:textId="26085F11" w:rsidR="003168E9" w:rsidRPr="0077273E" w:rsidRDefault="007468A0" w:rsidP="003D3107">
      <w:pPr>
        <w:rPr>
          <w:rFonts w:cs="Tahoma"/>
        </w:rPr>
      </w:pPr>
      <w:r w:rsidRPr="0077273E">
        <w:rPr>
          <w:rFonts w:cs="Tahoma"/>
        </w:rPr>
        <w:t>Dans sa réponse au</w:t>
      </w:r>
      <w:r w:rsidR="003168E9" w:rsidRPr="0077273E">
        <w:rPr>
          <w:rFonts w:cs="Tahoma"/>
        </w:rPr>
        <w:t xml:space="preserve"> Comité, </w:t>
      </w:r>
      <w:r w:rsidRPr="0077273E">
        <w:rPr>
          <w:rFonts w:cs="Tahoma"/>
        </w:rPr>
        <w:t>l’Etat partie a fait état de son</w:t>
      </w:r>
      <w:r w:rsidR="003168E9" w:rsidRPr="0077273E">
        <w:rPr>
          <w:rFonts w:cs="Tahoma"/>
        </w:rPr>
        <w:t xml:space="preserve"> projet d’amender la loi n° 23/98 afin de permettre aux ONG </w:t>
      </w:r>
      <w:r w:rsidRPr="0077273E">
        <w:rPr>
          <w:rFonts w:cs="Tahoma"/>
        </w:rPr>
        <w:t xml:space="preserve">de visiter </w:t>
      </w:r>
      <w:r w:rsidR="003168E9" w:rsidRPr="0077273E">
        <w:rPr>
          <w:rFonts w:cs="Tahoma"/>
        </w:rPr>
        <w:t>les lieux de détention. Il n’a pour autant pas précisé quelles seraient les modalités de telles visites, et notamment si elles pourraient être inopinées ou seraient soumises à autorisation et contrôle</w:t>
      </w:r>
      <w:r w:rsidR="003168E9" w:rsidRPr="0077273E">
        <w:rPr>
          <w:rStyle w:val="FootnoteReference"/>
          <w:rFonts w:cs="Tahoma"/>
        </w:rPr>
        <w:footnoteReference w:id="74"/>
      </w:r>
      <w:r w:rsidR="003168E9" w:rsidRPr="0077273E">
        <w:rPr>
          <w:rFonts w:cs="Tahoma"/>
        </w:rPr>
        <w:t>.</w:t>
      </w:r>
    </w:p>
    <w:p w14:paraId="1CE8DDE8" w14:textId="2C95C8A0" w:rsidR="00A40598" w:rsidRPr="0077273E" w:rsidRDefault="00A40598" w:rsidP="007468A0">
      <w:pPr>
        <w:pStyle w:val="Heading2"/>
      </w:pPr>
      <w:bookmarkStart w:id="93" w:name="_Toc461809707"/>
      <w:bookmarkStart w:id="94" w:name="_Toc461809708"/>
      <w:bookmarkStart w:id="95" w:name="_Toc461809709"/>
      <w:bookmarkStart w:id="96" w:name="_Toc461809713"/>
      <w:bookmarkStart w:id="97" w:name="_Toc461809717"/>
      <w:bookmarkStart w:id="98" w:name="_Toc461809720"/>
      <w:bookmarkStart w:id="99" w:name="_Toc461809721"/>
      <w:bookmarkStart w:id="100" w:name="_Toc461809722"/>
      <w:bookmarkStart w:id="101" w:name="_Toc461809723"/>
      <w:bookmarkStart w:id="102" w:name="_Toc461809725"/>
      <w:bookmarkStart w:id="103" w:name="_Toc462396111"/>
      <w:bookmarkEnd w:id="93"/>
      <w:bookmarkEnd w:id="94"/>
      <w:bookmarkEnd w:id="95"/>
      <w:bookmarkEnd w:id="96"/>
      <w:bookmarkEnd w:id="97"/>
      <w:bookmarkEnd w:id="98"/>
      <w:bookmarkEnd w:id="99"/>
      <w:bookmarkEnd w:id="100"/>
      <w:bookmarkEnd w:id="101"/>
      <w:bookmarkEnd w:id="102"/>
      <w:r w:rsidRPr="0077273E">
        <w:t>Expertises médicales</w:t>
      </w:r>
      <w:bookmarkEnd w:id="103"/>
    </w:p>
    <w:p w14:paraId="7539BE26" w14:textId="11E0F9FB" w:rsidR="00765C1B" w:rsidRPr="0077273E" w:rsidRDefault="00CB1DCC" w:rsidP="00DE51A6">
      <w:pPr>
        <w:rPr>
          <w:rFonts w:cs="Tahoma"/>
          <w:bCs/>
        </w:rPr>
      </w:pPr>
      <w:r w:rsidRPr="0077273E">
        <w:rPr>
          <w:rFonts w:cs="Tahoma"/>
        </w:rPr>
        <w:t>En pratique, i</w:t>
      </w:r>
      <w:r w:rsidR="002300D7" w:rsidRPr="0077273E">
        <w:rPr>
          <w:rFonts w:cs="Tahoma"/>
        </w:rPr>
        <w:t>l est fréquent que l</w:t>
      </w:r>
      <w:r w:rsidR="004C13FB" w:rsidRPr="0077273E">
        <w:rPr>
          <w:rFonts w:cs="Tahoma"/>
          <w:bCs/>
        </w:rPr>
        <w:t xml:space="preserve">es demandes d’examens médicaux </w:t>
      </w:r>
      <w:r w:rsidR="007468A0" w:rsidRPr="0077273E">
        <w:rPr>
          <w:rFonts w:cs="Tahoma"/>
          <w:bCs/>
        </w:rPr>
        <w:t xml:space="preserve">formulées </w:t>
      </w:r>
      <w:r w:rsidR="004C13FB" w:rsidRPr="0077273E">
        <w:rPr>
          <w:rFonts w:cs="Tahoma"/>
          <w:bCs/>
        </w:rPr>
        <w:t>par les victi</w:t>
      </w:r>
      <w:r w:rsidR="002300D7" w:rsidRPr="0077273E">
        <w:rPr>
          <w:rFonts w:cs="Tahoma"/>
          <w:bCs/>
        </w:rPr>
        <w:t>mes</w:t>
      </w:r>
      <w:r w:rsidR="007468A0" w:rsidRPr="0077273E">
        <w:rPr>
          <w:rFonts w:cs="Tahoma"/>
          <w:bCs/>
        </w:rPr>
        <w:t xml:space="preserve"> ou leurs avocats</w:t>
      </w:r>
      <w:r w:rsidR="002300D7" w:rsidRPr="0077273E">
        <w:rPr>
          <w:rFonts w:cs="Tahoma"/>
          <w:bCs/>
        </w:rPr>
        <w:t xml:space="preserve"> au </w:t>
      </w:r>
      <w:r w:rsidR="00DE51A6">
        <w:rPr>
          <w:rFonts w:cs="Tahoma"/>
          <w:bCs/>
        </w:rPr>
        <w:t>juge</w:t>
      </w:r>
      <w:r w:rsidR="007468A0" w:rsidRPr="0077273E">
        <w:rPr>
          <w:rFonts w:cs="Tahoma"/>
          <w:bCs/>
        </w:rPr>
        <w:t xml:space="preserve"> </w:t>
      </w:r>
      <w:r w:rsidR="002300D7" w:rsidRPr="0077273E">
        <w:rPr>
          <w:rFonts w:cs="Tahoma"/>
          <w:bCs/>
        </w:rPr>
        <w:t>d’instruction ne soien</w:t>
      </w:r>
      <w:r w:rsidR="004C13FB" w:rsidRPr="0077273E">
        <w:rPr>
          <w:rFonts w:cs="Tahoma"/>
          <w:bCs/>
        </w:rPr>
        <w:t>t pas prises en compte</w:t>
      </w:r>
      <w:r w:rsidR="007468A0" w:rsidRPr="0077273E">
        <w:rPr>
          <w:rFonts w:cs="Tahoma"/>
          <w:bCs/>
        </w:rPr>
        <w:t>, alors même que celui-ci</w:t>
      </w:r>
      <w:r w:rsidR="004C13FB" w:rsidRPr="0077273E">
        <w:rPr>
          <w:rFonts w:cs="Tahoma"/>
          <w:bCs/>
        </w:rPr>
        <w:t xml:space="preserve"> peut constater </w:t>
      </w:r>
      <w:r w:rsidR="004C13FB" w:rsidRPr="0077273E">
        <w:rPr>
          <w:rFonts w:cs="Tahoma"/>
          <w:bCs/>
          <w:i/>
          <w:iCs/>
        </w:rPr>
        <w:t>de visu</w:t>
      </w:r>
      <w:r w:rsidR="004C13FB" w:rsidRPr="0077273E">
        <w:rPr>
          <w:rFonts w:cs="Tahoma"/>
          <w:bCs/>
        </w:rPr>
        <w:t xml:space="preserve"> les traces de tortures au moment de la comparution. Il arrive </w:t>
      </w:r>
      <w:r w:rsidR="007468A0" w:rsidRPr="0077273E">
        <w:rPr>
          <w:rFonts w:cs="Tahoma"/>
          <w:bCs/>
        </w:rPr>
        <w:t>également que ces magistrats</w:t>
      </w:r>
      <w:r w:rsidR="004C13FB" w:rsidRPr="0077273E">
        <w:rPr>
          <w:rFonts w:cs="Tahoma"/>
          <w:bCs/>
        </w:rPr>
        <w:t xml:space="preserve"> </w:t>
      </w:r>
      <w:r w:rsidR="007468A0" w:rsidRPr="0077273E">
        <w:rPr>
          <w:rFonts w:cs="Tahoma"/>
          <w:bCs/>
        </w:rPr>
        <w:t>ne</w:t>
      </w:r>
      <w:r w:rsidR="004C13FB" w:rsidRPr="0077273E">
        <w:rPr>
          <w:rFonts w:cs="Tahoma"/>
          <w:bCs/>
        </w:rPr>
        <w:t xml:space="preserve"> </w:t>
      </w:r>
      <w:r w:rsidR="00A03856">
        <w:rPr>
          <w:rFonts w:cs="Tahoma"/>
          <w:bCs/>
        </w:rPr>
        <w:t xml:space="preserve">donnent suite </w:t>
      </w:r>
      <w:r w:rsidR="004C13FB" w:rsidRPr="0077273E">
        <w:rPr>
          <w:rFonts w:cs="Tahoma"/>
          <w:bCs/>
        </w:rPr>
        <w:t xml:space="preserve">à </w:t>
      </w:r>
      <w:r w:rsidR="007468A0" w:rsidRPr="0077273E">
        <w:rPr>
          <w:rFonts w:cs="Tahoma"/>
          <w:bCs/>
        </w:rPr>
        <w:t xml:space="preserve">de telles </w:t>
      </w:r>
      <w:r w:rsidR="004C13FB" w:rsidRPr="0077273E">
        <w:rPr>
          <w:rFonts w:cs="Tahoma"/>
          <w:bCs/>
        </w:rPr>
        <w:t>demande</w:t>
      </w:r>
      <w:r w:rsidR="007468A0" w:rsidRPr="0077273E">
        <w:rPr>
          <w:rFonts w:cs="Tahoma"/>
          <w:bCs/>
        </w:rPr>
        <w:t>s</w:t>
      </w:r>
      <w:r w:rsidR="004C13FB" w:rsidRPr="0077273E">
        <w:rPr>
          <w:rFonts w:cs="Tahoma"/>
          <w:bCs/>
        </w:rPr>
        <w:t xml:space="preserve"> </w:t>
      </w:r>
      <w:r w:rsidR="007468A0" w:rsidRPr="0077273E">
        <w:rPr>
          <w:rFonts w:cs="Tahoma"/>
          <w:bCs/>
        </w:rPr>
        <w:t xml:space="preserve">que </w:t>
      </w:r>
      <w:r w:rsidR="004C13FB" w:rsidRPr="0077273E">
        <w:rPr>
          <w:rFonts w:cs="Tahoma"/>
          <w:bCs/>
        </w:rPr>
        <w:t>le plus tardivement possible</w:t>
      </w:r>
      <w:r w:rsidR="007468A0" w:rsidRPr="0077273E">
        <w:rPr>
          <w:rFonts w:cs="Tahoma"/>
          <w:bCs/>
        </w:rPr>
        <w:t>.</w:t>
      </w:r>
      <w:r w:rsidR="004C13FB" w:rsidRPr="0077273E">
        <w:rPr>
          <w:rFonts w:cs="Tahoma"/>
          <w:bCs/>
        </w:rPr>
        <w:t xml:space="preserve"> </w:t>
      </w:r>
    </w:p>
    <w:p w14:paraId="47A0B3B3" w14:textId="22F488C6" w:rsidR="00BE6936" w:rsidRPr="0077273E" w:rsidRDefault="00BE6936" w:rsidP="00BE6936">
      <w:pPr>
        <w:rPr>
          <w:rFonts w:cs="Tahoma"/>
        </w:rPr>
      </w:pPr>
      <w:r w:rsidRPr="0077273E">
        <w:rPr>
          <w:rFonts w:cs="Tahoma"/>
        </w:rPr>
        <w:t xml:space="preserve">Si les détenus bénéficient en principe d’une consultation médicale lors de leur admission en prison, les rapports établis par le médecin, s’ils existent, ne sont pas accessibles. </w:t>
      </w:r>
    </w:p>
    <w:p w14:paraId="0055B1E6" w14:textId="25E2F158" w:rsidR="004C13FB" w:rsidRPr="0077273E" w:rsidRDefault="004C13FB" w:rsidP="00A03856">
      <w:pPr>
        <w:rPr>
          <w:rFonts w:cs="Tahoma"/>
        </w:rPr>
      </w:pPr>
      <w:r w:rsidRPr="0077273E">
        <w:rPr>
          <w:rFonts w:cs="Tahoma"/>
        </w:rPr>
        <w:t xml:space="preserve">Ainsi, dans l’affaire des </w:t>
      </w:r>
      <w:r w:rsidR="00765C1B" w:rsidRPr="0077273E">
        <w:rPr>
          <w:rFonts w:cs="Tahoma"/>
          <w:b/>
        </w:rPr>
        <w:t>sept</w:t>
      </w:r>
      <w:r w:rsidRPr="0077273E">
        <w:rPr>
          <w:rFonts w:cs="Tahoma"/>
          <w:b/>
        </w:rPr>
        <w:t xml:space="preserve"> détenus d’Al-Adl Wal Ihssan</w:t>
      </w:r>
      <w:r w:rsidRPr="0077273E">
        <w:rPr>
          <w:rFonts w:cs="Tahoma"/>
        </w:rPr>
        <w:t xml:space="preserve"> qu’Alkarama a soumis</w:t>
      </w:r>
      <w:r w:rsidR="002300D7" w:rsidRPr="0077273E">
        <w:rPr>
          <w:rFonts w:cs="Tahoma"/>
        </w:rPr>
        <w:t>e</w:t>
      </w:r>
      <w:r w:rsidRPr="0077273E">
        <w:rPr>
          <w:rFonts w:cs="Tahoma"/>
        </w:rPr>
        <w:t xml:space="preserve"> au</w:t>
      </w:r>
      <w:r w:rsidR="00DE51A6">
        <w:rPr>
          <w:rFonts w:cs="Tahoma"/>
        </w:rPr>
        <w:t xml:space="preserve"> R</w:t>
      </w:r>
      <w:r w:rsidR="00DC131D">
        <w:rPr>
          <w:rFonts w:cs="Tahoma"/>
        </w:rPr>
        <w:t>apporteur</w:t>
      </w:r>
      <w:r w:rsidRPr="0077273E">
        <w:rPr>
          <w:rFonts w:cs="Tahoma"/>
        </w:rPr>
        <w:t xml:space="preserve"> spécial sur la torture en août 2010</w:t>
      </w:r>
      <w:r w:rsidR="00776D9A" w:rsidRPr="0077273E">
        <w:rPr>
          <w:rStyle w:val="FootnoteReference"/>
          <w:rFonts w:cs="Tahoma"/>
          <w:bCs/>
        </w:rPr>
        <w:footnoteReference w:id="75"/>
      </w:r>
      <w:r w:rsidRPr="0077273E">
        <w:rPr>
          <w:rFonts w:cs="Tahoma"/>
        </w:rPr>
        <w:t xml:space="preserve">, </w:t>
      </w:r>
      <w:r w:rsidR="00765C1B" w:rsidRPr="0077273E">
        <w:rPr>
          <w:rFonts w:cs="Tahoma"/>
        </w:rPr>
        <w:t>les personnes en cause</w:t>
      </w:r>
      <w:r w:rsidRPr="0077273E">
        <w:rPr>
          <w:rFonts w:cs="Tahoma"/>
        </w:rPr>
        <w:t xml:space="preserve"> avaient fait l’objet de graves sévices durant leur garde à vue. Lorsqu’elles ont demandé au juge d’instruction d’ordonner une expertise médicale en vue de faire </w:t>
      </w:r>
      <w:r w:rsidR="00765C1B" w:rsidRPr="0077273E">
        <w:rPr>
          <w:rFonts w:cs="Tahoma"/>
        </w:rPr>
        <w:t>constater</w:t>
      </w:r>
      <w:r w:rsidRPr="0077273E">
        <w:rPr>
          <w:rFonts w:cs="Tahoma"/>
        </w:rPr>
        <w:t xml:space="preserve"> les</w:t>
      </w:r>
      <w:r w:rsidR="00765C1B" w:rsidRPr="0077273E">
        <w:rPr>
          <w:rFonts w:cs="Tahoma"/>
        </w:rPr>
        <w:t xml:space="preserve"> mauvais traitements subis, cela ne leur </w:t>
      </w:r>
      <w:r w:rsidR="00E2415D">
        <w:rPr>
          <w:rFonts w:cs="Tahoma"/>
        </w:rPr>
        <w:t>a été accordé que 12</w:t>
      </w:r>
      <w:r w:rsidRPr="0077273E">
        <w:rPr>
          <w:rFonts w:cs="Tahoma"/>
        </w:rPr>
        <w:t xml:space="preserve"> jours plus tard.</w:t>
      </w:r>
    </w:p>
    <w:p w14:paraId="10ADFB07" w14:textId="77777777" w:rsidR="002F1D80" w:rsidRPr="0077273E" w:rsidRDefault="002F1D80" w:rsidP="00050E2E">
      <w:pPr>
        <w:rPr>
          <w:rFonts w:cs="Tahoma"/>
        </w:rPr>
      </w:pPr>
      <w:r w:rsidRPr="0077273E">
        <w:rPr>
          <w:rFonts w:cs="Tahoma"/>
        </w:rPr>
        <w:t xml:space="preserve">En règle générale, les demandes d’expertise adressées aux procureurs dans le but d’étayer des allégations de torture restent sans suite. </w:t>
      </w:r>
    </w:p>
    <w:p w14:paraId="01A0CB90" w14:textId="0778D1AF" w:rsidR="002F1D80" w:rsidRPr="0077273E" w:rsidRDefault="002F1D80" w:rsidP="00BE6936">
      <w:pPr>
        <w:rPr>
          <w:rFonts w:cs="Tahoma"/>
        </w:rPr>
      </w:pPr>
      <w:r w:rsidRPr="0077273E">
        <w:rPr>
          <w:rFonts w:cs="Tahoma"/>
          <w:b/>
          <w:bCs/>
        </w:rPr>
        <w:t>Mourad Aibous</w:t>
      </w:r>
      <w:r w:rsidRPr="0077273E">
        <w:rPr>
          <w:rFonts w:cs="Tahoma"/>
        </w:rPr>
        <w:t>, un étudiant âgé de 21 ans, a été arrêté chez lui la nuit du 1</w:t>
      </w:r>
      <w:r w:rsidRPr="0077273E">
        <w:rPr>
          <w:rFonts w:cs="Tahoma"/>
          <w:vertAlign w:val="superscript"/>
        </w:rPr>
        <w:t>er</w:t>
      </w:r>
      <w:r w:rsidRPr="0077273E">
        <w:rPr>
          <w:rFonts w:cs="Tahoma"/>
        </w:rPr>
        <w:t xml:space="preserve"> octobre 2011 par des agents de la brigade nationale de la police judiciaire, au motif qu’il </w:t>
      </w:r>
      <w:r w:rsidR="00E2415D">
        <w:rPr>
          <w:rFonts w:cs="Tahoma"/>
        </w:rPr>
        <w:t>« </w:t>
      </w:r>
      <w:r w:rsidRPr="0077273E">
        <w:rPr>
          <w:rFonts w:cs="Tahoma"/>
        </w:rPr>
        <w:t>fabriquait des explosifs artisanaux pour une organisation terroriste</w:t>
      </w:r>
      <w:r w:rsidR="00E2415D">
        <w:rPr>
          <w:rFonts w:cs="Tahoma"/>
        </w:rPr>
        <w:t> »</w:t>
      </w:r>
      <w:r w:rsidRPr="0077273E">
        <w:rPr>
          <w:rStyle w:val="FootnoteReference"/>
          <w:rFonts w:cs="Tahoma"/>
          <w:szCs w:val="20"/>
        </w:rPr>
        <w:footnoteReference w:id="76"/>
      </w:r>
      <w:r w:rsidRPr="0077273E">
        <w:rPr>
          <w:rFonts w:cs="Tahoma"/>
        </w:rPr>
        <w:t xml:space="preserve">. Durant sa garde à vue, il </w:t>
      </w:r>
      <w:r w:rsidR="00BE6936" w:rsidRPr="0077273E">
        <w:rPr>
          <w:rFonts w:cs="Tahoma"/>
        </w:rPr>
        <w:t xml:space="preserve">rapporte avoir </w:t>
      </w:r>
      <w:r w:rsidRPr="0077273E">
        <w:rPr>
          <w:rFonts w:cs="Tahoma"/>
        </w:rPr>
        <w:t>été insulté, déshabillé</w:t>
      </w:r>
      <w:r w:rsidR="00BE6936" w:rsidRPr="0077273E">
        <w:rPr>
          <w:rFonts w:cs="Tahoma"/>
        </w:rPr>
        <w:t xml:space="preserve">, sévèrement </w:t>
      </w:r>
      <w:r w:rsidRPr="0077273E">
        <w:rPr>
          <w:rFonts w:cs="Tahoma"/>
        </w:rPr>
        <w:t xml:space="preserve">battu et contraint de signer </w:t>
      </w:r>
      <w:r w:rsidR="00BE6936" w:rsidRPr="0077273E">
        <w:rPr>
          <w:rFonts w:cs="Tahoma"/>
        </w:rPr>
        <w:t xml:space="preserve">un </w:t>
      </w:r>
      <w:r w:rsidRPr="0077273E">
        <w:rPr>
          <w:rFonts w:cs="Tahoma"/>
        </w:rPr>
        <w:t>procès-verba</w:t>
      </w:r>
      <w:r w:rsidR="00BE6936" w:rsidRPr="0077273E">
        <w:rPr>
          <w:rFonts w:cs="Tahoma"/>
        </w:rPr>
        <w:t xml:space="preserve">l </w:t>
      </w:r>
      <w:r w:rsidRPr="0077273E">
        <w:rPr>
          <w:rFonts w:cs="Tahoma"/>
        </w:rPr>
        <w:t xml:space="preserve">attestant que les agents l’avaient arrêté en flagrant délit. Son avocat a par la suite, et alors que les séquelles des coups étaient encore visibles sur le corps de la victime, sollicité une expertise médicale. Le magistrat a </w:t>
      </w:r>
      <w:r w:rsidR="00BE6936" w:rsidRPr="0077273E">
        <w:rPr>
          <w:rFonts w:cs="Tahoma"/>
        </w:rPr>
        <w:t xml:space="preserve">toutefois </w:t>
      </w:r>
      <w:r w:rsidRPr="0077273E">
        <w:rPr>
          <w:rFonts w:cs="Tahoma"/>
        </w:rPr>
        <w:t>rejeté cette demande.</w:t>
      </w:r>
    </w:p>
    <w:p w14:paraId="575F4F39" w14:textId="0FD71474" w:rsidR="009010B6" w:rsidRPr="0077273E" w:rsidRDefault="009010B6" w:rsidP="00BE6936">
      <w:pPr>
        <w:rPr>
          <w:rFonts w:cs="Tahoma"/>
        </w:rPr>
      </w:pPr>
      <w:r w:rsidRPr="005C073A">
        <w:rPr>
          <w:rFonts w:cs="Tahoma"/>
          <w:b/>
        </w:rPr>
        <w:t>Ali Aarrass</w:t>
      </w:r>
      <w:r w:rsidRPr="005C073A">
        <w:rPr>
          <w:rFonts w:cs="Tahoma"/>
        </w:rPr>
        <w:t xml:space="preserve">, citoyen belge d’origine marocaine, a été arrêté en Espagne en 2008 puis extradé </w:t>
      </w:r>
      <w:r w:rsidR="00BE6936" w:rsidRPr="005C073A">
        <w:rPr>
          <w:rFonts w:cs="Tahoma"/>
        </w:rPr>
        <w:t>vers le Maroc en décembre 2010, en dépit d’une décision du Comité des droits de l’homme</w:t>
      </w:r>
      <w:r w:rsidR="00BE6936" w:rsidRPr="005C073A">
        <w:rPr>
          <w:rStyle w:val="FootnoteReference"/>
          <w:rFonts w:cs="Tahoma"/>
        </w:rPr>
        <w:footnoteReference w:id="77"/>
      </w:r>
      <w:r w:rsidR="00BE6936" w:rsidRPr="005C073A">
        <w:rPr>
          <w:rFonts w:cs="Tahoma"/>
        </w:rPr>
        <w:t xml:space="preserve">. </w:t>
      </w:r>
      <w:r w:rsidRPr="005C073A">
        <w:rPr>
          <w:rFonts w:cs="Tahoma"/>
        </w:rPr>
        <w:t xml:space="preserve"> </w:t>
      </w:r>
      <w:r w:rsidR="00BE6936" w:rsidRPr="005C073A">
        <w:rPr>
          <w:rFonts w:cs="Tahoma"/>
        </w:rPr>
        <w:t>Dé</w:t>
      </w:r>
      <w:r w:rsidRPr="005C073A">
        <w:rPr>
          <w:rFonts w:cs="Tahoma"/>
        </w:rPr>
        <w:t>tenu au secret pendant dix jours</w:t>
      </w:r>
      <w:r w:rsidR="00BE6936" w:rsidRPr="005C073A">
        <w:rPr>
          <w:rFonts w:cs="Tahoma"/>
        </w:rPr>
        <w:t xml:space="preserve">, il a été </w:t>
      </w:r>
      <w:r w:rsidRPr="005C073A">
        <w:rPr>
          <w:rFonts w:cs="Tahoma"/>
        </w:rPr>
        <w:t>gravement torturé</w:t>
      </w:r>
      <w:r w:rsidR="00BE6936" w:rsidRPr="005C073A">
        <w:rPr>
          <w:rFonts w:cs="Tahoma"/>
        </w:rPr>
        <w:t xml:space="preserve"> et forcé à</w:t>
      </w:r>
      <w:r w:rsidRPr="005C073A">
        <w:rPr>
          <w:rFonts w:cs="Tahoma"/>
        </w:rPr>
        <w:t xml:space="preserve"> signer des aveux </w:t>
      </w:r>
      <w:r w:rsidR="00BE6936" w:rsidRPr="005C073A">
        <w:rPr>
          <w:rFonts w:cs="Tahoma"/>
        </w:rPr>
        <w:t xml:space="preserve">rédigés </w:t>
      </w:r>
      <w:r w:rsidRPr="005C073A">
        <w:rPr>
          <w:rFonts w:cs="Tahoma"/>
        </w:rPr>
        <w:t xml:space="preserve">en arabe, langue qu’il ne lit pas. </w:t>
      </w:r>
      <w:r w:rsidR="00E972AB" w:rsidRPr="005C073A">
        <w:rPr>
          <w:rFonts w:cs="Tahoma"/>
        </w:rPr>
        <w:t>Suite à une</w:t>
      </w:r>
      <w:r w:rsidRPr="005C073A">
        <w:rPr>
          <w:rFonts w:cs="Tahoma"/>
        </w:rPr>
        <w:t xml:space="preserve"> saisine du Comité contre la torture, M. Aarrass a fait l’objet d’une </w:t>
      </w:r>
      <w:r w:rsidR="00BE6936" w:rsidRPr="005C073A">
        <w:rPr>
          <w:rFonts w:cs="Tahoma"/>
        </w:rPr>
        <w:t>expertise médicale pour établir c</w:t>
      </w:r>
      <w:r w:rsidRPr="005C073A">
        <w:rPr>
          <w:rFonts w:cs="Tahoma"/>
        </w:rPr>
        <w:t>es allégations. Les médecins, désignés par le Procureur général près la Cour de Rabat</w:t>
      </w:r>
      <w:r w:rsidR="00084DEA">
        <w:rPr>
          <w:rFonts w:cs="Tahoma"/>
        </w:rPr>
        <w:t>,</w:t>
      </w:r>
      <w:r w:rsidRPr="005C073A">
        <w:rPr>
          <w:rFonts w:cs="Tahoma"/>
        </w:rPr>
        <w:t xml:space="preserve"> ont conclu à l’absence de « traces pouvant être en rapport avec des actes de torture allégués »</w:t>
      </w:r>
      <w:r w:rsidR="00BE6936" w:rsidRPr="005C073A">
        <w:rPr>
          <w:rFonts w:cs="Tahoma"/>
        </w:rPr>
        <w:t>. Toutefois, un expert</w:t>
      </w:r>
      <w:r w:rsidRPr="005C073A">
        <w:rPr>
          <w:rFonts w:cs="Tahoma"/>
        </w:rPr>
        <w:t xml:space="preserve"> de l’International Reha</w:t>
      </w:r>
      <w:r w:rsidR="00084DEA">
        <w:rPr>
          <w:rFonts w:cs="Tahoma"/>
        </w:rPr>
        <w:t>bilitation Council for Torture V</w:t>
      </w:r>
      <w:r w:rsidRPr="005C073A">
        <w:rPr>
          <w:rFonts w:cs="Tahoma"/>
        </w:rPr>
        <w:t>ictims</w:t>
      </w:r>
      <w:r w:rsidR="001D555E" w:rsidRPr="005C073A">
        <w:rPr>
          <w:rFonts w:cs="Tahoma"/>
        </w:rPr>
        <w:t xml:space="preserve"> (IRCT)</w:t>
      </w:r>
      <w:r w:rsidR="00084DEA">
        <w:rPr>
          <w:rFonts w:cs="Tahoma"/>
        </w:rPr>
        <w:t>,</w:t>
      </w:r>
      <w:r w:rsidR="001D555E" w:rsidRPr="005C073A">
        <w:rPr>
          <w:rFonts w:cs="Tahoma"/>
        </w:rPr>
        <w:t xml:space="preserve"> </w:t>
      </w:r>
      <w:r w:rsidR="00BE6936" w:rsidRPr="005C073A">
        <w:rPr>
          <w:rFonts w:cs="Tahoma"/>
        </w:rPr>
        <w:t>qui a évalué l’expertise</w:t>
      </w:r>
      <w:r w:rsidR="00084DEA">
        <w:rPr>
          <w:rFonts w:cs="Tahoma"/>
        </w:rPr>
        <w:t>,</w:t>
      </w:r>
      <w:r w:rsidR="00BE6936" w:rsidRPr="005C073A">
        <w:rPr>
          <w:rFonts w:cs="Tahoma"/>
        </w:rPr>
        <w:t xml:space="preserve"> </w:t>
      </w:r>
      <w:r w:rsidR="001D555E" w:rsidRPr="005C073A">
        <w:rPr>
          <w:rFonts w:cs="Tahoma"/>
        </w:rPr>
        <w:t>a relevé de nomb</w:t>
      </w:r>
      <w:r w:rsidR="00BE6936" w:rsidRPr="005C073A">
        <w:rPr>
          <w:rFonts w:cs="Tahoma"/>
        </w:rPr>
        <w:t>reuses failles et insuffisances</w:t>
      </w:r>
      <w:r w:rsidR="001D555E" w:rsidRPr="005C073A">
        <w:rPr>
          <w:rFonts w:cs="Tahoma"/>
        </w:rPr>
        <w:t xml:space="preserve"> et souligné que le rapport était « bien en </w:t>
      </w:r>
      <w:r w:rsidR="00BE6936" w:rsidRPr="005C073A">
        <w:rPr>
          <w:rFonts w:cs="Tahoma"/>
        </w:rPr>
        <w:t>deçà</w:t>
      </w:r>
      <w:r w:rsidR="001D555E" w:rsidRPr="005C073A">
        <w:rPr>
          <w:rFonts w:cs="Tahoma"/>
        </w:rPr>
        <w:t xml:space="preserve"> des normes internationalement admises pour l’examen médical des victimes de torture » tels que défi</w:t>
      </w:r>
      <w:r w:rsidR="00BE6936" w:rsidRPr="005C073A">
        <w:rPr>
          <w:rFonts w:cs="Tahoma"/>
        </w:rPr>
        <w:t>nis par le Protocole d’Istanbul.</w:t>
      </w:r>
      <w:r w:rsidR="001D555E" w:rsidRPr="0077273E">
        <w:rPr>
          <w:rFonts w:cs="Tahoma"/>
        </w:rPr>
        <w:t xml:space="preserve"> </w:t>
      </w:r>
    </w:p>
    <w:p w14:paraId="5499C568" w14:textId="11237BF6" w:rsidR="00BE6936" w:rsidRPr="0077273E" w:rsidRDefault="00E972AB" w:rsidP="00084DEA">
      <w:pPr>
        <w:rPr>
          <w:rFonts w:cs="Tahoma"/>
        </w:rPr>
      </w:pPr>
      <w:r>
        <w:rPr>
          <w:rFonts w:cs="Tahoma"/>
        </w:rPr>
        <w:t>Il est à relever que l’</w:t>
      </w:r>
      <w:r w:rsidR="00BE6936" w:rsidRPr="0077273E">
        <w:rPr>
          <w:rFonts w:cs="Tahoma"/>
        </w:rPr>
        <w:t xml:space="preserve">Etat partie ne </w:t>
      </w:r>
      <w:r w:rsidR="00311554" w:rsidRPr="0077273E">
        <w:rPr>
          <w:rFonts w:cs="Tahoma"/>
        </w:rPr>
        <w:t xml:space="preserve">dispose par ailleurs d’aucune unité fonctionnelle pour accueillir </w:t>
      </w:r>
      <w:r w:rsidR="00BE6936" w:rsidRPr="0077273E">
        <w:rPr>
          <w:rFonts w:cs="Tahoma"/>
        </w:rPr>
        <w:t xml:space="preserve">et réhabiliter </w:t>
      </w:r>
      <w:r w:rsidR="00311554" w:rsidRPr="0077273E">
        <w:rPr>
          <w:rFonts w:cs="Tahoma"/>
        </w:rPr>
        <w:t>les victimes de torture. Seules quelques structures</w:t>
      </w:r>
      <w:r w:rsidR="00311554" w:rsidRPr="0077273E">
        <w:rPr>
          <w:rStyle w:val="Appelnotedebasdep4"/>
          <w:rFonts w:cs="Tahoma"/>
          <w:bCs/>
        </w:rPr>
        <w:footnoteReference w:id="78"/>
      </w:r>
      <w:r w:rsidR="00311554" w:rsidRPr="0077273E">
        <w:rPr>
          <w:rFonts w:cs="Tahoma"/>
        </w:rPr>
        <w:t xml:space="preserve"> aux moyens très limités créées par des militants des droits humains ou d’anciennes victimes de tortures </w:t>
      </w:r>
      <w:r w:rsidR="00084DEA">
        <w:rPr>
          <w:rFonts w:cs="Tahoma"/>
        </w:rPr>
        <w:t>existent</w:t>
      </w:r>
      <w:r w:rsidR="00311554" w:rsidRPr="0077273E">
        <w:rPr>
          <w:rFonts w:cs="Tahoma"/>
        </w:rPr>
        <w:t xml:space="preserve">. </w:t>
      </w:r>
    </w:p>
    <w:p w14:paraId="5F6FFD5A" w14:textId="77777777" w:rsidR="005C073A" w:rsidRPr="005C073A" w:rsidRDefault="005C073A" w:rsidP="005C073A">
      <w:pPr>
        <w:pStyle w:val="ListParagraph"/>
        <w:keepNext/>
        <w:numPr>
          <w:ilvl w:val="1"/>
          <w:numId w:val="27"/>
        </w:numPr>
        <w:shd w:val="clear" w:color="auto" w:fill="FFFFFF"/>
        <w:spacing w:after="0" w:line="240" w:lineRule="auto"/>
        <w:contextualSpacing w:val="0"/>
        <w:jc w:val="both"/>
        <w:outlineLvl w:val="1"/>
        <w:rPr>
          <w:rFonts w:ascii="Tahoma" w:eastAsia="Times New Roman" w:hAnsi="Tahoma" w:cs="Tahoma"/>
          <w:b/>
          <w:bCs/>
          <w:iCs/>
          <w:vanish/>
          <w:szCs w:val="28"/>
        </w:rPr>
      </w:pPr>
      <w:bookmarkStart w:id="104" w:name="_Toc461809729"/>
      <w:bookmarkStart w:id="105" w:name="_Toc461815053"/>
      <w:bookmarkStart w:id="106" w:name="_Toc461815109"/>
      <w:bookmarkStart w:id="107" w:name="_Toc461815546"/>
      <w:bookmarkStart w:id="108" w:name="_Toc461820216"/>
      <w:bookmarkStart w:id="109" w:name="_Toc462042421"/>
      <w:bookmarkStart w:id="110" w:name="_Toc462150425"/>
      <w:bookmarkStart w:id="111" w:name="_Toc462330352"/>
      <w:bookmarkStart w:id="112" w:name="_Toc462396112"/>
      <w:bookmarkEnd w:id="104"/>
      <w:bookmarkEnd w:id="105"/>
      <w:bookmarkEnd w:id="106"/>
      <w:bookmarkEnd w:id="107"/>
      <w:bookmarkEnd w:id="108"/>
      <w:bookmarkEnd w:id="109"/>
      <w:bookmarkEnd w:id="110"/>
      <w:bookmarkEnd w:id="111"/>
      <w:bookmarkEnd w:id="112"/>
    </w:p>
    <w:p w14:paraId="3C5B3A5F" w14:textId="77777777" w:rsidR="005C073A" w:rsidRPr="005C073A" w:rsidRDefault="005C073A" w:rsidP="005C073A">
      <w:pPr>
        <w:pStyle w:val="ListParagraph"/>
        <w:keepNext/>
        <w:numPr>
          <w:ilvl w:val="1"/>
          <w:numId w:val="27"/>
        </w:numPr>
        <w:shd w:val="clear" w:color="auto" w:fill="FFFFFF"/>
        <w:spacing w:after="0" w:line="240" w:lineRule="auto"/>
        <w:contextualSpacing w:val="0"/>
        <w:jc w:val="both"/>
        <w:outlineLvl w:val="1"/>
        <w:rPr>
          <w:rFonts w:ascii="Tahoma" w:eastAsia="Times New Roman" w:hAnsi="Tahoma" w:cs="Tahoma"/>
          <w:b/>
          <w:bCs/>
          <w:iCs/>
          <w:vanish/>
          <w:szCs w:val="28"/>
        </w:rPr>
      </w:pPr>
      <w:bookmarkStart w:id="113" w:name="_Toc462330353"/>
      <w:bookmarkStart w:id="114" w:name="_Toc462396113"/>
      <w:bookmarkEnd w:id="113"/>
      <w:bookmarkEnd w:id="114"/>
    </w:p>
    <w:p w14:paraId="7E348484" w14:textId="77777777" w:rsidR="005C073A" w:rsidRPr="005C073A" w:rsidRDefault="005C073A" w:rsidP="005C073A">
      <w:pPr>
        <w:pStyle w:val="ListParagraph"/>
        <w:keepNext/>
        <w:numPr>
          <w:ilvl w:val="1"/>
          <w:numId w:val="27"/>
        </w:numPr>
        <w:shd w:val="clear" w:color="auto" w:fill="FFFFFF"/>
        <w:spacing w:after="0" w:line="240" w:lineRule="auto"/>
        <w:contextualSpacing w:val="0"/>
        <w:jc w:val="both"/>
        <w:outlineLvl w:val="1"/>
        <w:rPr>
          <w:rFonts w:ascii="Tahoma" w:eastAsia="Times New Roman" w:hAnsi="Tahoma" w:cs="Tahoma"/>
          <w:b/>
          <w:bCs/>
          <w:iCs/>
          <w:vanish/>
          <w:szCs w:val="28"/>
        </w:rPr>
      </w:pPr>
      <w:bookmarkStart w:id="115" w:name="_Toc462330354"/>
      <w:bookmarkStart w:id="116" w:name="_Toc462396114"/>
      <w:bookmarkEnd w:id="115"/>
      <w:bookmarkEnd w:id="116"/>
    </w:p>
    <w:p w14:paraId="2D4C916B" w14:textId="77777777" w:rsidR="005C073A" w:rsidRPr="005C073A" w:rsidRDefault="005C073A" w:rsidP="005C073A">
      <w:pPr>
        <w:pStyle w:val="ListParagraph"/>
        <w:keepNext/>
        <w:numPr>
          <w:ilvl w:val="1"/>
          <w:numId w:val="27"/>
        </w:numPr>
        <w:shd w:val="clear" w:color="auto" w:fill="FFFFFF"/>
        <w:spacing w:after="0" w:line="240" w:lineRule="auto"/>
        <w:contextualSpacing w:val="0"/>
        <w:jc w:val="both"/>
        <w:outlineLvl w:val="1"/>
        <w:rPr>
          <w:rFonts w:ascii="Tahoma" w:eastAsia="Times New Roman" w:hAnsi="Tahoma" w:cs="Tahoma"/>
          <w:b/>
          <w:bCs/>
          <w:iCs/>
          <w:vanish/>
          <w:szCs w:val="28"/>
        </w:rPr>
      </w:pPr>
      <w:bookmarkStart w:id="117" w:name="_Toc462330355"/>
      <w:bookmarkStart w:id="118" w:name="_Toc462396115"/>
      <w:bookmarkEnd w:id="117"/>
      <w:bookmarkEnd w:id="118"/>
    </w:p>
    <w:p w14:paraId="261F29DA" w14:textId="3FCCC273" w:rsidR="007F462E" w:rsidRPr="005C073A" w:rsidRDefault="007F462E" w:rsidP="005C073A">
      <w:pPr>
        <w:pStyle w:val="Heading2"/>
        <w:numPr>
          <w:ilvl w:val="1"/>
          <w:numId w:val="27"/>
        </w:numPr>
        <w:rPr>
          <w:lang w:val="fr-CH"/>
        </w:rPr>
      </w:pPr>
      <w:bookmarkStart w:id="119" w:name="_Toc462396116"/>
      <w:r w:rsidRPr="005C073A">
        <w:rPr>
          <w:lang w:val="fr-CH"/>
        </w:rPr>
        <w:t xml:space="preserve">Représailles contre les victimes </w:t>
      </w:r>
      <w:r w:rsidR="003168E9" w:rsidRPr="005C073A">
        <w:rPr>
          <w:lang w:val="fr-CH"/>
        </w:rPr>
        <w:t>de torture et droit au recours effectif</w:t>
      </w:r>
      <w:bookmarkEnd w:id="119"/>
    </w:p>
    <w:p w14:paraId="2299FAC2" w14:textId="6F4872FC" w:rsidR="003168E9" w:rsidRPr="0077273E" w:rsidRDefault="003168E9" w:rsidP="0063215F">
      <w:pPr>
        <w:rPr>
          <w:rFonts w:cs="Tahoma"/>
        </w:rPr>
      </w:pPr>
      <w:r w:rsidRPr="0077273E">
        <w:rPr>
          <w:rFonts w:cs="Tahoma"/>
        </w:rPr>
        <w:t>Dans la liste de questions adressée</w:t>
      </w:r>
      <w:r w:rsidR="00084DEA">
        <w:rPr>
          <w:rFonts w:cs="Tahoma"/>
        </w:rPr>
        <w:t xml:space="preserve"> au Maroc, le Comité mentionne</w:t>
      </w:r>
      <w:r w:rsidRPr="0077273E">
        <w:rPr>
          <w:rFonts w:cs="Tahoma"/>
        </w:rPr>
        <w:t xml:space="preserve"> les actes d’intimidation et les poursuites à l’e</w:t>
      </w:r>
      <w:r w:rsidR="0063215F" w:rsidRPr="0077273E">
        <w:rPr>
          <w:rFonts w:cs="Tahoma"/>
        </w:rPr>
        <w:t xml:space="preserve">ncontre des victimes </w:t>
      </w:r>
      <w:r w:rsidRPr="0077273E">
        <w:rPr>
          <w:rFonts w:cs="Tahoma"/>
        </w:rPr>
        <w:t xml:space="preserve">portant </w:t>
      </w:r>
      <w:r w:rsidR="0063215F" w:rsidRPr="0077273E">
        <w:rPr>
          <w:rFonts w:cs="Tahoma"/>
        </w:rPr>
        <w:t>plainte pour d</w:t>
      </w:r>
      <w:r w:rsidRPr="0077273E">
        <w:rPr>
          <w:rFonts w:cs="Tahoma"/>
        </w:rPr>
        <w:t>es actes de torture</w:t>
      </w:r>
      <w:r w:rsidRPr="0077273E">
        <w:rPr>
          <w:rStyle w:val="FootnoteReference"/>
          <w:rFonts w:cs="Tahoma"/>
        </w:rPr>
        <w:footnoteReference w:id="79"/>
      </w:r>
      <w:r w:rsidRPr="0077273E">
        <w:rPr>
          <w:rFonts w:cs="Tahoma"/>
        </w:rPr>
        <w:t>, ce que le Maroc a contesté dans sa réponse, sans fournir davantage d’explications</w:t>
      </w:r>
      <w:r w:rsidRPr="0077273E">
        <w:rPr>
          <w:rStyle w:val="FootnoteReference"/>
          <w:rFonts w:cs="Tahoma"/>
        </w:rPr>
        <w:footnoteReference w:id="80"/>
      </w:r>
      <w:r w:rsidRPr="0077273E">
        <w:rPr>
          <w:rFonts w:cs="Tahoma"/>
        </w:rPr>
        <w:t xml:space="preserve">. Toutefois, Alkarama a documenté des cas de victimes </w:t>
      </w:r>
      <w:r w:rsidR="0063215F" w:rsidRPr="0077273E">
        <w:rPr>
          <w:rFonts w:cs="Tahoma"/>
        </w:rPr>
        <w:t xml:space="preserve">qui </w:t>
      </w:r>
      <w:r w:rsidRPr="0077273E">
        <w:rPr>
          <w:rFonts w:cs="Tahoma"/>
        </w:rPr>
        <w:t>ont f</w:t>
      </w:r>
      <w:r w:rsidR="0063215F" w:rsidRPr="0077273E">
        <w:rPr>
          <w:rFonts w:cs="Tahoma"/>
        </w:rPr>
        <w:t xml:space="preserve">ait l’objet d’intimidations et de </w:t>
      </w:r>
      <w:r w:rsidRPr="0077273E">
        <w:rPr>
          <w:rFonts w:cs="Tahoma"/>
        </w:rPr>
        <w:t xml:space="preserve">menaces </w:t>
      </w:r>
      <w:r w:rsidR="0063215F" w:rsidRPr="0077273E">
        <w:rPr>
          <w:rFonts w:cs="Tahoma"/>
        </w:rPr>
        <w:t>pour</w:t>
      </w:r>
      <w:r w:rsidRPr="0077273E">
        <w:rPr>
          <w:rFonts w:cs="Tahoma"/>
        </w:rPr>
        <w:t xml:space="preserve"> avoir</w:t>
      </w:r>
      <w:r w:rsidR="0063215F" w:rsidRPr="0077273E">
        <w:rPr>
          <w:rFonts w:cs="Tahoma"/>
        </w:rPr>
        <w:t xml:space="preserve"> témoigné des violations </w:t>
      </w:r>
      <w:r w:rsidRPr="0077273E">
        <w:rPr>
          <w:rFonts w:cs="Tahoma"/>
        </w:rPr>
        <w:t>subi</w:t>
      </w:r>
      <w:r w:rsidR="0063215F" w:rsidRPr="0077273E">
        <w:rPr>
          <w:rFonts w:cs="Tahoma"/>
        </w:rPr>
        <w:t>es</w:t>
      </w:r>
      <w:r w:rsidRPr="0077273E">
        <w:rPr>
          <w:rFonts w:cs="Tahoma"/>
        </w:rPr>
        <w:t xml:space="preserve">. </w:t>
      </w:r>
    </w:p>
    <w:p w14:paraId="3E20E5D8" w14:textId="6EEB7841" w:rsidR="007F462E" w:rsidRPr="0077273E" w:rsidRDefault="007F462E" w:rsidP="00084DEA">
      <w:pPr>
        <w:rPr>
          <w:rFonts w:cs="Tahoma"/>
        </w:rPr>
      </w:pPr>
      <w:r w:rsidRPr="0077273E">
        <w:rPr>
          <w:rFonts w:cs="Tahoma"/>
          <w:bCs/>
        </w:rPr>
        <w:t>Le cas d’</w:t>
      </w:r>
      <w:r w:rsidRPr="0077273E">
        <w:rPr>
          <w:rFonts w:cs="Tahoma"/>
          <w:b/>
          <w:bCs/>
        </w:rPr>
        <w:t xml:space="preserve">Ali Aarrass, </w:t>
      </w:r>
      <w:r w:rsidRPr="0077273E">
        <w:rPr>
          <w:rFonts w:cs="Tahoma"/>
          <w:bCs/>
        </w:rPr>
        <w:t>précédemment mentionné, constitue un exemple de ces pratiques.</w:t>
      </w:r>
      <w:r w:rsidR="0063215F" w:rsidRPr="0077273E">
        <w:rPr>
          <w:rFonts w:cs="Tahoma"/>
        </w:rPr>
        <w:t xml:space="preserve"> Après qu’il ait </w:t>
      </w:r>
      <w:r w:rsidRPr="0077273E">
        <w:rPr>
          <w:rFonts w:cs="Tahoma"/>
        </w:rPr>
        <w:t>dénoncé les actes de torture dont il avait été victime lors de sa détention au secret au centre de Témara et le caractère arbitraire</w:t>
      </w:r>
      <w:r w:rsidRPr="0077273E">
        <w:rPr>
          <w:rStyle w:val="FootnoteReference"/>
          <w:rFonts w:cs="Tahoma"/>
          <w:szCs w:val="20"/>
        </w:rPr>
        <w:footnoteReference w:id="81"/>
      </w:r>
      <w:r w:rsidR="0063215F" w:rsidRPr="0077273E">
        <w:rPr>
          <w:rFonts w:cs="Tahoma"/>
        </w:rPr>
        <w:t xml:space="preserve"> de </w:t>
      </w:r>
      <w:r w:rsidR="00084DEA">
        <w:rPr>
          <w:rFonts w:cs="Tahoma"/>
        </w:rPr>
        <w:t>sa</w:t>
      </w:r>
      <w:r w:rsidR="0063215F" w:rsidRPr="0077273E">
        <w:rPr>
          <w:rFonts w:cs="Tahoma"/>
        </w:rPr>
        <w:t xml:space="preserve"> détention, il a</w:t>
      </w:r>
      <w:r w:rsidRPr="0077273E">
        <w:rPr>
          <w:rFonts w:cs="Tahoma"/>
        </w:rPr>
        <w:t xml:space="preserve"> </w:t>
      </w:r>
      <w:r w:rsidR="00E972AB">
        <w:rPr>
          <w:rFonts w:cs="Tahoma"/>
        </w:rPr>
        <w:t xml:space="preserve">témoigné avoir été </w:t>
      </w:r>
      <w:r w:rsidRPr="0077273E">
        <w:rPr>
          <w:rFonts w:cs="Tahoma"/>
        </w:rPr>
        <w:t>violemment battu en représailles</w:t>
      </w:r>
      <w:r w:rsidRPr="0077273E">
        <w:rPr>
          <w:rStyle w:val="FootnoteReference"/>
          <w:rFonts w:cs="Tahoma"/>
          <w:szCs w:val="20"/>
        </w:rPr>
        <w:footnoteReference w:id="82"/>
      </w:r>
      <w:r w:rsidRPr="0077273E">
        <w:rPr>
          <w:rFonts w:cs="Tahoma"/>
        </w:rPr>
        <w:t>.</w:t>
      </w:r>
    </w:p>
    <w:p w14:paraId="0F1E730D" w14:textId="12AE1904" w:rsidR="007F462E" w:rsidRPr="0077273E" w:rsidRDefault="007F462E" w:rsidP="00084DEA">
      <w:pPr>
        <w:rPr>
          <w:rFonts w:cs="Tahoma"/>
        </w:rPr>
      </w:pPr>
      <w:r w:rsidRPr="0077273E">
        <w:rPr>
          <w:rFonts w:cs="Tahoma"/>
          <w:b/>
        </w:rPr>
        <w:t>Abdessamad Bettar</w:t>
      </w:r>
      <w:r w:rsidRPr="0077273E">
        <w:rPr>
          <w:rFonts w:cs="Tahoma"/>
        </w:rPr>
        <w:t>, arrêté suite à l’attentat de Marrakech du 28 avril 2011 puis condamné à dix ans de prison à la suite d’un procès manifestement inéquitable, avait entamé une grève de la faim et demandé sa libération conformément</w:t>
      </w:r>
      <w:r w:rsidR="0063215F" w:rsidRPr="0077273E">
        <w:rPr>
          <w:rFonts w:cs="Tahoma"/>
        </w:rPr>
        <w:t xml:space="preserve"> à l’avis rendu</w:t>
      </w:r>
      <w:r w:rsidRPr="0077273E">
        <w:rPr>
          <w:rFonts w:cs="Tahoma"/>
        </w:rPr>
        <w:t xml:space="preserve"> en 2013 par le Groupe de travail sur la détention arbitraire</w:t>
      </w:r>
      <w:r w:rsidRPr="0077273E">
        <w:rPr>
          <w:rStyle w:val="FootnoteReference"/>
          <w:rFonts w:cs="Tahoma"/>
          <w:szCs w:val="20"/>
        </w:rPr>
        <w:footnoteReference w:id="83"/>
      </w:r>
      <w:r w:rsidRPr="0077273E">
        <w:rPr>
          <w:rFonts w:cs="Tahoma"/>
        </w:rPr>
        <w:t>. Ses rev</w:t>
      </w:r>
      <w:r w:rsidR="00E972AB">
        <w:rPr>
          <w:rFonts w:cs="Tahoma"/>
        </w:rPr>
        <w:t xml:space="preserve">endications lui ont valu d’être </w:t>
      </w:r>
      <w:r w:rsidR="00E972AB" w:rsidRPr="0077273E">
        <w:rPr>
          <w:rFonts w:cs="Tahoma"/>
        </w:rPr>
        <w:t>transféré dans le quartier disciplinaire de la prison de Safi</w:t>
      </w:r>
      <w:r w:rsidR="00E972AB">
        <w:rPr>
          <w:rFonts w:cs="Tahoma"/>
        </w:rPr>
        <w:t xml:space="preserve"> et</w:t>
      </w:r>
      <w:r w:rsidR="00E972AB" w:rsidRPr="0077273E">
        <w:rPr>
          <w:rFonts w:cs="Tahoma"/>
        </w:rPr>
        <w:t xml:space="preserve"> </w:t>
      </w:r>
      <w:r w:rsidR="0063215F" w:rsidRPr="0077273E">
        <w:rPr>
          <w:rFonts w:cs="Tahoma"/>
        </w:rPr>
        <w:t>traité de m</w:t>
      </w:r>
      <w:r w:rsidR="00E972AB">
        <w:rPr>
          <w:rFonts w:cs="Tahoma"/>
        </w:rPr>
        <w:t>anière particulièrement cruelle, inhumaine et dégradante</w:t>
      </w:r>
      <w:r w:rsidRPr="0077273E">
        <w:rPr>
          <w:rStyle w:val="FootnoteReference"/>
          <w:rFonts w:cs="Tahoma"/>
          <w:szCs w:val="20"/>
        </w:rPr>
        <w:footnoteReference w:id="84"/>
      </w:r>
      <w:r w:rsidRPr="0077273E">
        <w:rPr>
          <w:rFonts w:cs="Tahoma"/>
        </w:rPr>
        <w:t>.</w:t>
      </w:r>
    </w:p>
    <w:p w14:paraId="27C9FB23" w14:textId="2D86DF4A" w:rsidR="003E607B" w:rsidRPr="0077273E" w:rsidRDefault="007F462E" w:rsidP="00E972AB">
      <w:pPr>
        <w:rPr>
          <w:rFonts w:cs="Tahoma"/>
        </w:rPr>
      </w:pPr>
      <w:r w:rsidRPr="0077273E">
        <w:rPr>
          <w:rFonts w:cs="Tahoma"/>
        </w:rPr>
        <w:t xml:space="preserve">De telles pratiques </w:t>
      </w:r>
      <w:r w:rsidR="00E972AB">
        <w:rPr>
          <w:rFonts w:cs="Tahoma"/>
        </w:rPr>
        <w:t xml:space="preserve">pourraient être de nature à </w:t>
      </w:r>
      <w:r w:rsidRPr="0077273E">
        <w:rPr>
          <w:rFonts w:cs="Tahoma"/>
        </w:rPr>
        <w:t>dissuader les détenus victimes de torture et de mauvais traitemen</w:t>
      </w:r>
      <w:r w:rsidR="00E972AB">
        <w:rPr>
          <w:rFonts w:cs="Tahoma"/>
        </w:rPr>
        <w:t>ts de dénoncer ces violations, contribua</w:t>
      </w:r>
      <w:r w:rsidRPr="0077273E">
        <w:rPr>
          <w:rFonts w:cs="Tahoma"/>
        </w:rPr>
        <w:t xml:space="preserve">nt </w:t>
      </w:r>
      <w:r w:rsidR="00E972AB">
        <w:rPr>
          <w:rFonts w:cs="Tahoma"/>
        </w:rPr>
        <w:t xml:space="preserve">ainsi </w:t>
      </w:r>
      <w:r w:rsidRPr="0077273E">
        <w:rPr>
          <w:rFonts w:cs="Tahoma"/>
        </w:rPr>
        <w:t xml:space="preserve">à perpétuer une culture d’impunité au sein des forces de sécurité. Couplées à la réticence des magistrats à enquêter sur les allégations de torture et à poursuivre les auteurs d’actes de torture, elles </w:t>
      </w:r>
      <w:r w:rsidR="00E972AB">
        <w:rPr>
          <w:rFonts w:cs="Tahoma"/>
        </w:rPr>
        <w:t xml:space="preserve">sont susceptibles de rendre totalement </w:t>
      </w:r>
      <w:r w:rsidRPr="0077273E">
        <w:rPr>
          <w:rFonts w:cs="Tahoma"/>
        </w:rPr>
        <w:t>inefficaces les mécanismes de plaintes pré</w:t>
      </w:r>
      <w:r w:rsidR="0063215F" w:rsidRPr="0077273E">
        <w:rPr>
          <w:rFonts w:cs="Tahoma"/>
        </w:rPr>
        <w:t>vus par la législation interne.</w:t>
      </w:r>
      <w:r w:rsidR="009832D3" w:rsidRPr="0077273E">
        <w:rPr>
          <w:rFonts w:cs="Tahoma"/>
        </w:rPr>
        <w:t xml:space="preserve"> </w:t>
      </w:r>
    </w:p>
    <w:p w14:paraId="0A8DEB12" w14:textId="46BFBE39" w:rsidR="003E607B" w:rsidRPr="0077273E" w:rsidRDefault="00FB382C" w:rsidP="007F462E">
      <w:pPr>
        <w:rPr>
          <w:rFonts w:cs="Tahoma"/>
        </w:rPr>
      </w:pPr>
      <w:r w:rsidRPr="0077273E">
        <w:rPr>
          <w:rFonts w:cs="Tahoma"/>
          <w:b/>
          <w:bCs/>
        </w:rPr>
        <w:t>Recommandations</w:t>
      </w:r>
      <w:r w:rsidR="00084DEA">
        <w:rPr>
          <w:rFonts w:cs="Tahoma"/>
          <w:b/>
          <w:bCs/>
        </w:rPr>
        <w:t> :</w:t>
      </w:r>
      <w:r w:rsidRPr="0077273E">
        <w:rPr>
          <w:rFonts w:cs="Tahoma"/>
        </w:rPr>
        <w:t xml:space="preserve"> </w:t>
      </w:r>
    </w:p>
    <w:p w14:paraId="1DED5ACE" w14:textId="77777777" w:rsidR="00084DEA" w:rsidRDefault="0063215F" w:rsidP="00E332A4">
      <w:pPr>
        <w:pStyle w:val="UPRparagraph"/>
        <w:numPr>
          <w:ilvl w:val="1"/>
          <w:numId w:val="11"/>
        </w:numPr>
        <w:spacing w:after="120"/>
        <w:ind w:left="567" w:hanging="425"/>
        <w:rPr>
          <w:rFonts w:cs="Tahoma"/>
        </w:rPr>
      </w:pPr>
      <w:r w:rsidRPr="00084DEA">
        <w:rPr>
          <w:rFonts w:cs="Tahoma"/>
        </w:rPr>
        <w:t xml:space="preserve">Compléter la définition de la torture </w:t>
      </w:r>
      <w:r w:rsidR="002D3062" w:rsidRPr="00084DEA">
        <w:rPr>
          <w:rFonts w:cs="Tahoma"/>
        </w:rPr>
        <w:t xml:space="preserve">en </w:t>
      </w:r>
      <w:r w:rsidRPr="00084DEA">
        <w:rPr>
          <w:rFonts w:cs="Tahoma"/>
        </w:rPr>
        <w:t>érige</w:t>
      </w:r>
      <w:r w:rsidR="002D3062" w:rsidRPr="00084DEA">
        <w:rPr>
          <w:rFonts w:cs="Tahoma"/>
        </w:rPr>
        <w:t xml:space="preserve">ant également </w:t>
      </w:r>
      <w:r w:rsidRPr="00084DEA">
        <w:rPr>
          <w:rFonts w:cs="Tahoma"/>
        </w:rPr>
        <w:t>en infraction la commission d’actes de torture par le biais de tierces personnes, conformément aux standards internationaux ;</w:t>
      </w:r>
    </w:p>
    <w:p w14:paraId="2F48B1D3" w14:textId="77777777" w:rsidR="00084DEA" w:rsidRDefault="00B87048" w:rsidP="00E332A4">
      <w:pPr>
        <w:pStyle w:val="UPRparagraph"/>
        <w:numPr>
          <w:ilvl w:val="1"/>
          <w:numId w:val="11"/>
        </w:numPr>
        <w:spacing w:after="120"/>
        <w:ind w:left="567" w:hanging="425"/>
        <w:rPr>
          <w:rFonts w:cs="Tahoma"/>
        </w:rPr>
      </w:pPr>
      <w:r w:rsidRPr="00084DEA">
        <w:rPr>
          <w:rFonts w:cs="Tahoma"/>
        </w:rPr>
        <w:t xml:space="preserve">S’assurer </w:t>
      </w:r>
      <w:r w:rsidR="00165E49" w:rsidRPr="00084DEA">
        <w:rPr>
          <w:rFonts w:cs="Tahoma"/>
        </w:rPr>
        <w:t xml:space="preserve">que toute allégation de torture devant une autorité judiciaire </w:t>
      </w:r>
      <w:r w:rsidRPr="00084DEA">
        <w:rPr>
          <w:rFonts w:cs="Tahoma"/>
        </w:rPr>
        <w:t xml:space="preserve">fasse l’objet d’une enquête prompte et impartiale ; </w:t>
      </w:r>
    </w:p>
    <w:p w14:paraId="6DD858E1" w14:textId="77777777" w:rsidR="00084DEA" w:rsidRDefault="00C5090C" w:rsidP="00E332A4">
      <w:pPr>
        <w:pStyle w:val="UPRparagraph"/>
        <w:numPr>
          <w:ilvl w:val="1"/>
          <w:numId w:val="11"/>
        </w:numPr>
        <w:spacing w:after="120"/>
        <w:ind w:left="567" w:hanging="425"/>
        <w:rPr>
          <w:rFonts w:cs="Tahoma"/>
        </w:rPr>
      </w:pPr>
      <w:r w:rsidRPr="00084DEA">
        <w:rPr>
          <w:rFonts w:cs="Tahoma"/>
        </w:rPr>
        <w:t>Préciser le projet d’amendement de la loi n° 23/98 qui permettra aux ONG de visiter les lieux de détention et notamment les modalités de visite envisagées ;</w:t>
      </w:r>
    </w:p>
    <w:p w14:paraId="4EAFD665" w14:textId="77777777" w:rsidR="00084DEA" w:rsidRDefault="00B87048" w:rsidP="00E332A4">
      <w:pPr>
        <w:pStyle w:val="UPRparagraph"/>
        <w:numPr>
          <w:ilvl w:val="1"/>
          <w:numId w:val="11"/>
        </w:numPr>
        <w:spacing w:after="120"/>
        <w:ind w:left="567" w:hanging="425"/>
        <w:rPr>
          <w:rFonts w:cs="Tahoma"/>
        </w:rPr>
      </w:pPr>
      <w:r w:rsidRPr="00084DEA">
        <w:rPr>
          <w:rFonts w:cs="Tahoma"/>
        </w:rPr>
        <w:t>S’assurer que les demandes d’expertises médicales sollicitées par les avocats et par les prévenus soient prises en compte dans les plus courts délais ;</w:t>
      </w:r>
    </w:p>
    <w:p w14:paraId="73B3FB22" w14:textId="041D14C5" w:rsidR="00FB382C" w:rsidRPr="00084DEA" w:rsidRDefault="00B87048" w:rsidP="00E332A4">
      <w:pPr>
        <w:pStyle w:val="UPRparagraph"/>
        <w:numPr>
          <w:ilvl w:val="1"/>
          <w:numId w:val="11"/>
        </w:numPr>
        <w:spacing w:after="120"/>
        <w:ind w:left="567" w:hanging="425"/>
        <w:rPr>
          <w:rFonts w:cs="Tahoma"/>
        </w:rPr>
      </w:pPr>
      <w:r w:rsidRPr="00084DEA">
        <w:rPr>
          <w:rFonts w:cs="Tahoma"/>
        </w:rPr>
        <w:t>Assurer une formation adéquate et garantir l’indépendance des médecins légistes, notamment en les plaçant sous l’aut</w:t>
      </w:r>
      <w:r w:rsidR="00084DEA">
        <w:rPr>
          <w:rFonts w:cs="Tahoma"/>
        </w:rPr>
        <w:t>orité du Ministère de la santé.</w:t>
      </w:r>
    </w:p>
    <w:p w14:paraId="005CF195" w14:textId="77777777" w:rsidR="000A1B1E" w:rsidRPr="0077273E" w:rsidRDefault="00A86743" w:rsidP="00050E2E">
      <w:pPr>
        <w:pStyle w:val="Heading1"/>
      </w:pPr>
      <w:bookmarkStart w:id="120" w:name="_Toc462396117"/>
      <w:r w:rsidRPr="0077273E">
        <w:t>Disparitions forcées</w:t>
      </w:r>
      <w:bookmarkEnd w:id="120"/>
    </w:p>
    <w:p w14:paraId="0FC771DA" w14:textId="191F86D4" w:rsidR="00084DEA" w:rsidRPr="0077273E" w:rsidRDefault="00084DEA" w:rsidP="00084DEA">
      <w:pPr>
        <w:rPr>
          <w:rFonts w:cs="Tahoma"/>
        </w:rPr>
      </w:pPr>
      <w:r w:rsidRPr="0077273E">
        <w:rPr>
          <w:rFonts w:cs="Tahoma"/>
        </w:rPr>
        <w:t xml:space="preserve">L’incrimination des disparitions forcées </w:t>
      </w:r>
      <w:r>
        <w:rPr>
          <w:rFonts w:cs="Tahoma"/>
        </w:rPr>
        <w:t>est prévue dans l’article 23 alinéa</w:t>
      </w:r>
      <w:r w:rsidRPr="0077273E">
        <w:rPr>
          <w:rFonts w:cs="Tahoma"/>
        </w:rPr>
        <w:t xml:space="preserve"> 2 de la Constitution et le Maroc a ratifié en 2013 la Convention internationale pour la protection de toutes les personnes contre la disparition forcée</w:t>
      </w:r>
      <w:r w:rsidRPr="0077273E">
        <w:rPr>
          <w:rStyle w:val="FootnoteReference"/>
        </w:rPr>
        <w:footnoteReference w:id="85"/>
      </w:r>
      <w:r w:rsidRPr="0077273E">
        <w:rPr>
          <w:rFonts w:cs="Tahoma"/>
        </w:rPr>
        <w:t>. Cette ratification a été suivie par l’annonce d’un projet d’amendement pour définir le crime dans son droit interne</w:t>
      </w:r>
      <w:r w:rsidRPr="0077273E">
        <w:rPr>
          <w:rStyle w:val="FootnoteReference"/>
          <w:szCs w:val="20"/>
        </w:rPr>
        <w:footnoteReference w:id="86"/>
      </w:r>
      <w:r w:rsidRPr="0077273E">
        <w:rPr>
          <w:rFonts w:cs="Tahoma"/>
        </w:rPr>
        <w:t xml:space="preserve"> et le Conseil de gouvernement a finalement adopté le projet de loi n°10-16 complétant les dispositions du Code pénal le 5 mai 2016 qui incrimine la disparition forcée.</w:t>
      </w:r>
    </w:p>
    <w:p w14:paraId="71676AC5" w14:textId="1217B4ED" w:rsidR="00084DEA" w:rsidRPr="0077273E" w:rsidRDefault="00084DEA" w:rsidP="00084DEA">
      <w:pPr>
        <w:rPr>
          <w:rFonts w:cs="Tahoma"/>
        </w:rPr>
      </w:pPr>
      <w:r w:rsidRPr="0077273E">
        <w:rPr>
          <w:rFonts w:cs="Tahoma"/>
        </w:rPr>
        <w:t xml:space="preserve">Alkarama a relevé que de fait, le phénomène des disparitions forcées est aujourd’hui quasi inexistant dans l’Etat partie, même si en 2015 elle a été saisi par la famille d’un jeune étudiant </w:t>
      </w:r>
      <w:r w:rsidRPr="0077273E">
        <w:rPr>
          <w:rFonts w:cs="Tahoma"/>
          <w:b/>
        </w:rPr>
        <w:t>Adnane Rahali</w:t>
      </w:r>
      <w:r w:rsidRPr="0077273E">
        <w:rPr>
          <w:rFonts w:cs="Tahoma"/>
        </w:rPr>
        <w:t xml:space="preserve"> à </w:t>
      </w:r>
      <w:r w:rsidRPr="0077273E">
        <w:rPr>
          <w:rFonts w:cs="Tahoma"/>
        </w:rPr>
        <w:lastRenderedPageBreak/>
        <w:t>Agadir de sa disparition en</w:t>
      </w:r>
      <w:r>
        <w:rPr>
          <w:rFonts w:cs="Tahoma"/>
        </w:rPr>
        <w:t xml:space="preserve"> date du </w:t>
      </w:r>
      <w:r>
        <w:t>17 décembre 2015</w:t>
      </w:r>
      <w:r w:rsidRPr="0077273E">
        <w:rPr>
          <w:rFonts w:cs="Tahoma"/>
        </w:rPr>
        <w:t xml:space="preserve">, cas référé alors au Comité </w:t>
      </w:r>
      <w:r>
        <w:rPr>
          <w:rFonts w:cs="Tahoma"/>
        </w:rPr>
        <w:t>des d</w:t>
      </w:r>
      <w:r w:rsidRPr="0077273E">
        <w:rPr>
          <w:rFonts w:cs="Tahoma"/>
        </w:rPr>
        <w:t>isparitions</w:t>
      </w:r>
      <w:r>
        <w:rPr>
          <w:rFonts w:cs="Tahoma"/>
        </w:rPr>
        <w:t xml:space="preserve"> forcées</w:t>
      </w:r>
      <w:r w:rsidRPr="0077273E">
        <w:rPr>
          <w:rFonts w:cs="Tahoma"/>
        </w:rPr>
        <w:t xml:space="preserve"> dans le cadre de la procédure d’action urgente prévu par l’article 30 de la Convention</w:t>
      </w:r>
      <w:r>
        <w:rPr>
          <w:rStyle w:val="FootnoteReference"/>
        </w:rPr>
        <w:footnoteReference w:id="87"/>
      </w:r>
      <w:r w:rsidRPr="0077273E">
        <w:rPr>
          <w:rFonts w:cs="Tahoma"/>
        </w:rPr>
        <w:t xml:space="preserve">.  </w:t>
      </w:r>
    </w:p>
    <w:p w14:paraId="2777F8B6" w14:textId="4ABD823D" w:rsidR="00084DEA" w:rsidRPr="0077273E" w:rsidRDefault="00084DEA" w:rsidP="00084DEA">
      <w:pPr>
        <w:rPr>
          <w:rFonts w:cs="Tahoma"/>
        </w:rPr>
      </w:pPr>
      <w:r>
        <w:rPr>
          <w:rFonts w:cs="Tahoma"/>
        </w:rPr>
        <w:t>Le 3 mai</w:t>
      </w:r>
      <w:r w:rsidRPr="0077273E">
        <w:rPr>
          <w:rFonts w:cs="Tahoma"/>
        </w:rPr>
        <w:t xml:space="preserve">, son corps sans vie a été retrouvé, </w:t>
      </w:r>
      <w:r>
        <w:rPr>
          <w:rFonts w:cs="Tahoma"/>
        </w:rPr>
        <w:t xml:space="preserve">presque </w:t>
      </w:r>
      <w:r w:rsidRPr="0077273E">
        <w:rPr>
          <w:rFonts w:cs="Tahoma"/>
        </w:rPr>
        <w:t>cinq mois après sa disparition, sur le campus de l’université Ibn Zhor d’Agadir</w:t>
      </w:r>
      <w:r>
        <w:rPr>
          <w:rStyle w:val="FootnoteReference"/>
        </w:rPr>
        <w:footnoteReference w:id="88"/>
      </w:r>
      <w:r w:rsidRPr="0077273E">
        <w:rPr>
          <w:rFonts w:cs="Tahoma"/>
        </w:rPr>
        <w:t xml:space="preserve">. Sa famille </w:t>
      </w:r>
      <w:r>
        <w:rPr>
          <w:rFonts w:cs="Tahoma"/>
        </w:rPr>
        <w:t>avait alors</w:t>
      </w:r>
      <w:r w:rsidRPr="0077273E">
        <w:rPr>
          <w:rFonts w:cs="Tahoma"/>
        </w:rPr>
        <w:t xml:space="preserve"> exprimé des doutes sur les causes de son décès, notamment du fait de son engagement</w:t>
      </w:r>
      <w:r>
        <w:rPr>
          <w:rFonts w:cs="Tahoma"/>
        </w:rPr>
        <w:t xml:space="preserve"> syndical et politique. Craignan</w:t>
      </w:r>
      <w:r w:rsidRPr="0077273E">
        <w:rPr>
          <w:rFonts w:cs="Tahoma"/>
        </w:rPr>
        <w:t>t qu’</w:t>
      </w:r>
      <w:r>
        <w:rPr>
          <w:rFonts w:cs="Tahoma"/>
        </w:rPr>
        <w:t>il n’</w:t>
      </w:r>
      <w:r w:rsidRPr="0077273E">
        <w:rPr>
          <w:rFonts w:cs="Tahoma"/>
        </w:rPr>
        <w:t xml:space="preserve">ait été victime d’une arrestation suivie d’une disparition forcée en raison de ses activités militantes, elle a sollicité l’ouverture d’une enquête et d’une expertise médico-légale. Toutefois, la famille a estimé les résultats de l’enquête peu concluants et le rapport d’expertise médico-légal totalement insuffisant. </w:t>
      </w:r>
      <w:r>
        <w:rPr>
          <w:rFonts w:cs="Tahoma"/>
        </w:rPr>
        <w:t>Ainsi, l</w:t>
      </w:r>
      <w:r w:rsidRPr="0077273E">
        <w:rPr>
          <w:rFonts w:cs="Tahoma"/>
        </w:rPr>
        <w:t xml:space="preserve">a famille avait d’abord refusé de faire enterrer le corps à la demande du procureur général avant qu’une seconde autopsie ne soit effectuée par des médecins légistes indépendants, contre-autopsie qui a été refusée par les autorités.  </w:t>
      </w:r>
    </w:p>
    <w:p w14:paraId="408D1C62" w14:textId="56D33341" w:rsidR="00084DEA" w:rsidRDefault="00FD63B8" w:rsidP="00084DEA">
      <w:pPr>
        <w:rPr>
          <w:rFonts w:cs="Tahoma"/>
          <w:lang w:val="fr-FR"/>
        </w:rPr>
      </w:pPr>
      <w:r>
        <w:rPr>
          <w:rFonts w:cs="Tahoma"/>
        </w:rPr>
        <w:t>L</w:t>
      </w:r>
      <w:r w:rsidR="00084DEA" w:rsidRPr="0077273E">
        <w:rPr>
          <w:rFonts w:cs="Tahoma"/>
        </w:rPr>
        <w:t>’autopsie effectuée par le médecin légiste et deux médecins urgentistes désignés par le procureur du roi près la Cour d’Agadir</w:t>
      </w:r>
      <w:r>
        <w:rPr>
          <w:rFonts w:cs="Tahoma"/>
        </w:rPr>
        <w:t xml:space="preserve"> </w:t>
      </w:r>
      <w:r w:rsidR="00084DEA" w:rsidRPr="0077273E">
        <w:rPr>
          <w:rFonts w:cs="Tahoma"/>
          <w:lang w:val="fr-FR"/>
        </w:rPr>
        <w:t>ne répond</w:t>
      </w:r>
      <w:r w:rsidR="00084DEA">
        <w:rPr>
          <w:rFonts w:cs="Tahoma"/>
          <w:lang w:val="fr-FR"/>
        </w:rPr>
        <w:t>ait</w:t>
      </w:r>
      <w:r w:rsidR="00084DEA" w:rsidRPr="0077273E">
        <w:rPr>
          <w:rFonts w:cs="Tahoma"/>
          <w:lang w:val="fr-FR"/>
        </w:rPr>
        <w:t xml:space="preserve"> pas aux normes les plus élémentaires relatives aux autopsies, et, en particulier, aux normes énoncées dans les cas d’allégations raisonnables de décès potentiellement suspects, y compris les norm</w:t>
      </w:r>
      <w:r w:rsidR="00084DEA">
        <w:rPr>
          <w:rFonts w:cs="Tahoma"/>
          <w:lang w:val="fr-FR"/>
        </w:rPr>
        <w:t>es définies dans le Protocole du</w:t>
      </w:r>
      <w:r w:rsidR="00084DEA" w:rsidRPr="0077273E">
        <w:rPr>
          <w:rFonts w:cs="Tahoma"/>
          <w:lang w:val="fr-FR"/>
        </w:rPr>
        <w:t xml:space="preserve"> Minnesota</w:t>
      </w:r>
      <w:r w:rsidR="00084DEA">
        <w:rPr>
          <w:rStyle w:val="FootnoteReference"/>
          <w:lang w:val="fr-FR"/>
        </w:rPr>
        <w:footnoteReference w:id="89"/>
      </w:r>
      <w:r w:rsidR="00084DEA" w:rsidRPr="0077273E">
        <w:rPr>
          <w:rFonts w:cs="Tahoma"/>
          <w:lang w:val="fr-FR"/>
        </w:rPr>
        <w:t xml:space="preserve">. </w:t>
      </w:r>
    </w:p>
    <w:p w14:paraId="23AF8654" w14:textId="2BE0DEEB" w:rsidR="003B3F00" w:rsidRDefault="00FD63B8" w:rsidP="00214E10">
      <w:pPr>
        <w:rPr>
          <w:rFonts w:cs="Tahoma"/>
          <w:lang w:val="fr-FR"/>
        </w:rPr>
      </w:pPr>
      <w:r>
        <w:rPr>
          <w:rFonts w:cs="Tahoma"/>
          <w:lang w:val="fr-FR"/>
        </w:rPr>
        <w:t>En particulier, aucune</w:t>
      </w:r>
      <w:r w:rsidR="00084DEA" w:rsidRPr="0077273E">
        <w:rPr>
          <w:rFonts w:cs="Tahoma"/>
          <w:lang w:val="fr-FR"/>
        </w:rPr>
        <w:t xml:space="preserve"> description des blessures ou d'organes, d’examen toxicologique et d’évaluation de la date du décès</w:t>
      </w:r>
      <w:r>
        <w:rPr>
          <w:rFonts w:cs="Tahoma"/>
          <w:lang w:val="fr-FR"/>
        </w:rPr>
        <w:t xml:space="preserve"> ne figure dans le rapport d’autopsie</w:t>
      </w:r>
      <w:r w:rsidR="00084DEA" w:rsidRPr="0077273E">
        <w:rPr>
          <w:rFonts w:cs="Tahoma"/>
          <w:lang w:val="fr-FR"/>
        </w:rPr>
        <w:t>.</w:t>
      </w:r>
      <w:r w:rsidR="00084DEA">
        <w:rPr>
          <w:rFonts w:cs="Tahoma"/>
          <w:lang w:val="fr-FR"/>
        </w:rPr>
        <w:t xml:space="preserve"> Selon ces observations préliminaires, l’autopsie ne décrit pas de manière satisfaisante les blessures et l’état des organes du défunt ; elle n’inclut pas de description de phénomène post-mortem</w:t>
      </w:r>
      <w:r w:rsidR="005F2C66">
        <w:rPr>
          <w:rFonts w:cs="Tahoma"/>
          <w:lang w:val="fr-FR"/>
        </w:rPr>
        <w:t>, si ce n’est une</w:t>
      </w:r>
      <w:r w:rsidR="00214E10">
        <w:rPr>
          <w:rFonts w:cs="Tahoma"/>
          <w:lang w:val="fr-FR"/>
        </w:rPr>
        <w:t xml:space="preserve"> brève</w:t>
      </w:r>
      <w:r w:rsidR="005F2C66">
        <w:rPr>
          <w:rFonts w:cs="Tahoma"/>
          <w:lang w:val="fr-FR"/>
        </w:rPr>
        <w:t xml:space="preserve"> référence à un « </w:t>
      </w:r>
      <w:r w:rsidR="005F2C66" w:rsidRPr="00214E10">
        <w:rPr>
          <w:rFonts w:cs="Tahoma"/>
          <w:iCs/>
          <w:lang w:val="fr-FR"/>
        </w:rPr>
        <w:t>état de décomposition avancée</w:t>
      </w:r>
      <w:r w:rsidR="005F2C66">
        <w:rPr>
          <w:rFonts w:cs="Tahoma"/>
          <w:lang w:val="fr-FR"/>
        </w:rPr>
        <w:t> »</w:t>
      </w:r>
      <w:r w:rsidR="00084DEA">
        <w:rPr>
          <w:rFonts w:cs="Tahoma"/>
          <w:lang w:val="fr-FR"/>
        </w:rPr>
        <w:t xml:space="preserve"> et d’éléments indiquant la date à laquelle la victime est </w:t>
      </w:r>
      <w:r w:rsidR="00084DEA">
        <w:rPr>
          <w:rFonts w:cs="Tahoma"/>
          <w:lang w:val="fr-FR"/>
        </w:rPr>
        <w:t>décédée</w:t>
      </w:r>
      <w:r w:rsidR="00214E10">
        <w:rPr>
          <w:rFonts w:cs="Tahoma"/>
          <w:lang w:val="fr-FR"/>
        </w:rPr>
        <w:t>, durant l</w:t>
      </w:r>
      <w:r w:rsidR="005F2C66">
        <w:rPr>
          <w:rFonts w:cs="Tahoma"/>
          <w:lang w:val="fr-FR"/>
        </w:rPr>
        <w:t>es six mois de disparition</w:t>
      </w:r>
      <w:r w:rsidR="00084DEA">
        <w:rPr>
          <w:rFonts w:cs="Tahoma"/>
          <w:lang w:val="fr-FR"/>
        </w:rPr>
        <w:t>.</w:t>
      </w:r>
      <w:r w:rsidR="005F2C66">
        <w:rPr>
          <w:rFonts w:cs="Tahoma"/>
          <w:lang w:val="fr-FR"/>
        </w:rPr>
        <w:t xml:space="preserve"> </w:t>
      </w:r>
      <w:r w:rsidR="0074276F">
        <w:rPr>
          <w:rFonts w:cs="Tahoma"/>
          <w:lang w:val="fr-FR"/>
        </w:rPr>
        <w:t>Le rapport d’autopsie affirme</w:t>
      </w:r>
      <w:r w:rsidR="005F2C66">
        <w:rPr>
          <w:rFonts w:cs="Tahoma"/>
          <w:lang w:val="fr-FR"/>
        </w:rPr>
        <w:t xml:space="preserve"> </w:t>
      </w:r>
      <w:r w:rsidR="0074276F">
        <w:rPr>
          <w:rFonts w:cs="Tahoma"/>
          <w:lang w:val="fr-FR"/>
        </w:rPr>
        <w:t>qu’</w:t>
      </w:r>
      <w:r w:rsidR="005F2C66">
        <w:rPr>
          <w:rFonts w:cs="Tahoma"/>
          <w:lang w:val="fr-FR"/>
        </w:rPr>
        <w:t>un test supplémentaire aurait été ordonné afin de déterminer la date du décès,</w:t>
      </w:r>
      <w:r w:rsidR="0074276F">
        <w:rPr>
          <w:rFonts w:cs="Tahoma"/>
          <w:lang w:val="fr-FR"/>
        </w:rPr>
        <w:t xml:space="preserve"> mais ne précise pas s’il a effectivement été réalisé ou non.</w:t>
      </w:r>
      <w:r w:rsidR="003B3F00">
        <w:rPr>
          <w:rFonts w:cs="Tahoma"/>
          <w:lang w:val="fr-FR"/>
        </w:rPr>
        <w:t xml:space="preserve"> La famille de M. Rahali a demandé des informations supplémentaires, qu’elle n’a pas obtenues.</w:t>
      </w:r>
      <w:r w:rsidR="00084DEA">
        <w:rPr>
          <w:rFonts w:cs="Tahoma"/>
          <w:lang w:val="fr-FR"/>
        </w:rPr>
        <w:t xml:space="preserve"> </w:t>
      </w:r>
    </w:p>
    <w:p w14:paraId="7B64E198" w14:textId="77777777" w:rsidR="00547FE4" w:rsidRDefault="00084DEA" w:rsidP="00084DEA">
      <w:pPr>
        <w:rPr>
          <w:rFonts w:cs="Tahoma"/>
          <w:lang w:val="fr-FR"/>
        </w:rPr>
      </w:pPr>
      <w:r>
        <w:rPr>
          <w:rFonts w:cs="Tahoma"/>
          <w:lang w:val="fr-FR"/>
        </w:rPr>
        <w:t xml:space="preserve">De plus, l’autopsie ne tente pas d’évaluer si l’endroit où le corps de la victime a été trouvé correspond effectivement à l’endroit où elle serait </w:t>
      </w:r>
      <w:r>
        <w:rPr>
          <w:rFonts w:cs="Tahoma"/>
          <w:lang w:val="fr-FR"/>
        </w:rPr>
        <w:t>décédée</w:t>
      </w:r>
      <w:r w:rsidR="003B3F00">
        <w:rPr>
          <w:rFonts w:cs="Tahoma"/>
          <w:lang w:val="fr-FR"/>
        </w:rPr>
        <w:t>, comme le préconise le Protocole du Minnesota</w:t>
      </w:r>
      <w:r>
        <w:rPr>
          <w:rFonts w:cs="Tahoma"/>
          <w:lang w:val="fr-FR"/>
        </w:rPr>
        <w:t xml:space="preserve">. </w:t>
      </w:r>
      <w:r w:rsidR="003B3F00">
        <w:rPr>
          <w:rFonts w:cs="Tahoma"/>
          <w:lang w:val="fr-FR"/>
        </w:rPr>
        <w:t xml:space="preserve">Le rapport d’autopsie lui-même conclut que les résultats de l’autopsie devraient être comparés avec les informations et données recueillies au cours de l’enquête et </w:t>
      </w:r>
      <w:r w:rsidR="00547FE4">
        <w:rPr>
          <w:rFonts w:cs="Tahoma"/>
          <w:lang w:val="fr-FR"/>
        </w:rPr>
        <w:t xml:space="preserve">lors du déplacement du corps. Là encore, le rapport n’indique pas si ces mesures ont été prises et les autorités ont refusé de communiquer des informations complémentaires à la famille. </w:t>
      </w:r>
    </w:p>
    <w:p w14:paraId="0086B346" w14:textId="6CD4ACF1" w:rsidR="00084DEA" w:rsidRDefault="00084DEA" w:rsidP="00084DEA">
      <w:pPr>
        <w:rPr>
          <w:rFonts w:cs="Tahoma"/>
          <w:lang w:val="fr-FR"/>
        </w:rPr>
      </w:pPr>
      <w:r>
        <w:rPr>
          <w:rFonts w:cs="Tahoma"/>
          <w:lang w:val="fr-FR"/>
        </w:rPr>
        <w:t>Enfin</w:t>
      </w:r>
      <w:r w:rsidR="004C3EF9">
        <w:rPr>
          <w:rFonts w:cs="Tahoma"/>
          <w:lang w:val="fr-FR"/>
        </w:rPr>
        <w:t>,</w:t>
      </w:r>
      <w:r>
        <w:rPr>
          <w:rFonts w:cs="Tahoma"/>
          <w:lang w:val="fr-FR"/>
        </w:rPr>
        <w:t xml:space="preserve"> l’IRCT souligne qu’aucune photographie, ni du lieu où la victime a été retrouvée, ni du corps de la victime durant le processus d’autopsie, n’a été incluse dans le rapport d’autopsie, tel que requis par les standards de base des autopsies médico-</w:t>
      </w:r>
      <w:r>
        <w:rPr>
          <w:rFonts w:cs="Tahoma"/>
          <w:lang w:val="fr-FR"/>
        </w:rPr>
        <w:t>légales</w:t>
      </w:r>
      <w:r>
        <w:rPr>
          <w:rStyle w:val="FootnoteReference"/>
          <w:lang w:val="fr-FR"/>
        </w:rPr>
        <w:footnoteReference w:id="90"/>
      </w:r>
      <w:r>
        <w:rPr>
          <w:rFonts w:cs="Tahoma"/>
          <w:lang w:val="fr-FR"/>
        </w:rPr>
        <w:t xml:space="preserve">. </w:t>
      </w:r>
      <w:r w:rsidR="00547FE4">
        <w:rPr>
          <w:rFonts w:cs="Tahoma"/>
          <w:lang w:val="fr-FR"/>
        </w:rPr>
        <w:t>Sur ce point, les demandes de la famille n’ont eu aucune suite.</w:t>
      </w:r>
    </w:p>
    <w:p w14:paraId="0A92835B" w14:textId="77777777" w:rsidR="00FD63B8" w:rsidRDefault="00084DEA" w:rsidP="00EF64D4">
      <w:pPr>
        <w:rPr>
          <w:rFonts w:cs="Tahoma"/>
          <w:lang w:val="fr-FR"/>
        </w:rPr>
      </w:pPr>
      <w:r>
        <w:rPr>
          <w:rFonts w:cs="Tahoma"/>
          <w:lang w:val="fr-FR"/>
        </w:rPr>
        <w:t>Il convient de même de noter qu’Alkarama avait alors conseillé à la famille de la victime de demander aux autorités compétentes de fournir des documents tels que le rapport de police décrivant la découverte du corps, de même que les photographies qui auraient pu être prises au moment de la découverte et de la levée du corps ainsi que celles prises durant l’autopsie. Toutefois, la famille de la victime a</w:t>
      </w:r>
      <w:r w:rsidR="004C3EF9">
        <w:rPr>
          <w:rFonts w:cs="Tahoma"/>
          <w:lang w:val="fr-FR"/>
        </w:rPr>
        <w:t xml:space="preserve"> rapporté que </w:t>
      </w:r>
      <w:r w:rsidR="00EF64D4">
        <w:rPr>
          <w:rFonts w:cs="Tahoma"/>
          <w:lang w:val="fr-FR"/>
        </w:rPr>
        <w:t>ses</w:t>
      </w:r>
      <w:r w:rsidR="004C3EF9">
        <w:rPr>
          <w:rFonts w:cs="Tahoma"/>
          <w:lang w:val="fr-FR"/>
        </w:rPr>
        <w:t xml:space="preserve"> demandes avaient</w:t>
      </w:r>
      <w:r>
        <w:rPr>
          <w:rFonts w:cs="Tahoma"/>
          <w:lang w:val="fr-FR"/>
        </w:rPr>
        <w:t xml:space="preserve"> été rejetées par les autorités. </w:t>
      </w:r>
    </w:p>
    <w:p w14:paraId="4A982579" w14:textId="5ED6440B" w:rsidR="00084DEA" w:rsidRPr="00A96597" w:rsidRDefault="00FD63B8" w:rsidP="00214E10">
      <w:pPr>
        <w:rPr>
          <w:rFonts w:cs="Tahoma"/>
          <w:lang w:val="fr-FR"/>
        </w:rPr>
      </w:pPr>
      <w:r w:rsidRPr="0077273E">
        <w:rPr>
          <w:rFonts w:cs="Tahoma"/>
        </w:rPr>
        <w:t xml:space="preserve">C’est </w:t>
      </w:r>
      <w:r w:rsidR="00214E10">
        <w:rPr>
          <w:rFonts w:cs="Tahoma"/>
        </w:rPr>
        <w:t>pour ces raisons</w:t>
      </w:r>
      <w:r w:rsidRPr="0077273E">
        <w:rPr>
          <w:rFonts w:cs="Tahoma"/>
        </w:rPr>
        <w:t xml:space="preserve"> qu’Alkarama a sollicité l’avis des experts en médecine légale de l’IRCT sur l’unique autopsie effectuée par les médecins du </w:t>
      </w:r>
      <w:r>
        <w:rPr>
          <w:rFonts w:cs="Tahoma"/>
        </w:rPr>
        <w:t>Centre Hospitalier Universitaire</w:t>
      </w:r>
      <w:r w:rsidRPr="0077273E">
        <w:rPr>
          <w:rFonts w:cs="Tahoma"/>
        </w:rPr>
        <w:t xml:space="preserve"> d’Agadir</w:t>
      </w:r>
      <w:r>
        <w:rPr>
          <w:rFonts w:cs="Tahoma"/>
        </w:rPr>
        <w:t xml:space="preserve"> au regard des standards et pratiques </w:t>
      </w:r>
      <w:r w:rsidR="00214E10">
        <w:rPr>
          <w:rFonts w:cs="Tahoma"/>
        </w:rPr>
        <w:t>établies dans</w:t>
      </w:r>
      <w:r>
        <w:rPr>
          <w:rFonts w:cs="Tahoma"/>
        </w:rPr>
        <w:t xml:space="preserve"> le Protocole du Minnesota</w:t>
      </w:r>
      <w:r w:rsidRPr="0077273E">
        <w:rPr>
          <w:rFonts w:cs="Tahoma"/>
        </w:rPr>
        <w:t>.</w:t>
      </w:r>
      <w:r>
        <w:rPr>
          <w:rFonts w:cs="Tahoma"/>
        </w:rPr>
        <w:t xml:space="preserve"> Alkarama </w:t>
      </w:r>
      <w:r w:rsidR="00214E10">
        <w:rPr>
          <w:rFonts w:cs="Tahoma"/>
        </w:rPr>
        <w:t>fournira au Comité</w:t>
      </w:r>
      <w:r>
        <w:rPr>
          <w:rFonts w:cs="Tahoma"/>
        </w:rPr>
        <w:t xml:space="preserve"> les conclusions de l’IRCT lorsque celles-ci lui seront transmises.</w:t>
      </w:r>
    </w:p>
    <w:p w14:paraId="49E270C5" w14:textId="77777777" w:rsidR="00084DEA" w:rsidRPr="0077273E" w:rsidRDefault="00084DEA" w:rsidP="00084DEA">
      <w:pPr>
        <w:rPr>
          <w:rFonts w:cs="Tahoma"/>
        </w:rPr>
      </w:pPr>
      <w:r w:rsidRPr="0077273E">
        <w:rPr>
          <w:rFonts w:cs="Tahoma"/>
        </w:rPr>
        <w:t xml:space="preserve">Il résulte de ces observations préliminaires que la qualité des expertises médico-légales dans l’Etat partie reste préoccupante, notamment en ne permettant pas de lever les doutes légitimes exprimés par les familles des victimes lors de décès suspects. De telles expertises ne sauraient par ailleurs être </w:t>
      </w:r>
      <w:r w:rsidRPr="0077273E">
        <w:rPr>
          <w:rFonts w:cs="Tahoma"/>
        </w:rPr>
        <w:lastRenderedPageBreak/>
        <w:t xml:space="preserve">considérées comme de nature à exonérer l’Etat partie de son obligation d’enquête et à assurer le respect du droit à un recours effectif de la famille, y compris son droit à la vérité. </w:t>
      </w:r>
    </w:p>
    <w:p w14:paraId="0F0D0465" w14:textId="6B6F497B" w:rsidR="00084DEA" w:rsidRPr="004C3EF9" w:rsidRDefault="00084DEA" w:rsidP="00084DEA">
      <w:pPr>
        <w:rPr>
          <w:rFonts w:cs="Tahoma"/>
          <w:b/>
          <w:bCs/>
          <w:szCs w:val="20"/>
        </w:rPr>
      </w:pPr>
      <w:r w:rsidRPr="004C3EF9">
        <w:rPr>
          <w:rFonts w:cs="Tahoma"/>
          <w:b/>
          <w:bCs/>
          <w:szCs w:val="20"/>
        </w:rPr>
        <w:t>Recommandations</w:t>
      </w:r>
      <w:r w:rsidR="004C3EF9" w:rsidRPr="004C3EF9">
        <w:rPr>
          <w:rFonts w:cs="Tahoma"/>
          <w:b/>
          <w:bCs/>
          <w:szCs w:val="20"/>
        </w:rPr>
        <w:t> :</w:t>
      </w:r>
      <w:r w:rsidRPr="004C3EF9">
        <w:rPr>
          <w:rFonts w:cs="Tahoma"/>
          <w:b/>
          <w:bCs/>
          <w:szCs w:val="20"/>
        </w:rPr>
        <w:t xml:space="preserve"> </w:t>
      </w:r>
    </w:p>
    <w:p w14:paraId="1985C16B" w14:textId="77777777" w:rsidR="004C3EF9" w:rsidRDefault="00084DEA" w:rsidP="00E332A4">
      <w:pPr>
        <w:pStyle w:val="UPRparagraph"/>
        <w:numPr>
          <w:ilvl w:val="1"/>
          <w:numId w:val="11"/>
        </w:numPr>
        <w:spacing w:after="120"/>
        <w:ind w:left="567" w:hanging="448"/>
        <w:rPr>
          <w:rFonts w:cs="Tahoma"/>
        </w:rPr>
      </w:pPr>
      <w:r w:rsidRPr="004C3EF9">
        <w:rPr>
          <w:rFonts w:cs="Tahoma"/>
        </w:rPr>
        <w:t>Reconnaitre la compétence du Comité sur les disparitions forcées en vertu de l’article 31 de la CIPPDF;</w:t>
      </w:r>
    </w:p>
    <w:p w14:paraId="0BCE2CE7" w14:textId="77777777" w:rsidR="000C5BAA" w:rsidRDefault="00084DEA" w:rsidP="00E332A4">
      <w:pPr>
        <w:pStyle w:val="UPRparagraph"/>
        <w:numPr>
          <w:ilvl w:val="1"/>
          <w:numId w:val="11"/>
        </w:numPr>
        <w:spacing w:after="120"/>
        <w:ind w:left="567" w:hanging="448"/>
        <w:rPr>
          <w:rFonts w:cs="Tahoma"/>
        </w:rPr>
      </w:pPr>
      <w:r w:rsidRPr="004C3EF9">
        <w:rPr>
          <w:rFonts w:cs="Tahoma"/>
        </w:rPr>
        <w:t>Mener une enquête exhaustive, impartiale et transparente sur le décès de M. Adnane Rahali</w:t>
      </w:r>
      <w:r w:rsidR="000C5BAA">
        <w:rPr>
          <w:rFonts w:cs="Tahoma"/>
        </w:rPr>
        <w:t>, sur la base du Protocole du Minnesota</w:t>
      </w:r>
      <w:r w:rsidRPr="004C3EF9">
        <w:rPr>
          <w:rFonts w:cs="Tahoma"/>
        </w:rPr>
        <w:t xml:space="preserve"> ; </w:t>
      </w:r>
    </w:p>
    <w:p w14:paraId="04685B1D" w14:textId="5CFD3FAC" w:rsidR="00290D63" w:rsidRPr="004C3EF9" w:rsidRDefault="000C5BAA" w:rsidP="00E332A4">
      <w:pPr>
        <w:pStyle w:val="UPRparagraph"/>
        <w:numPr>
          <w:ilvl w:val="1"/>
          <w:numId w:val="11"/>
        </w:numPr>
        <w:spacing w:after="120"/>
        <w:ind w:left="567" w:hanging="448"/>
        <w:rPr>
          <w:rFonts w:cs="Tahoma"/>
        </w:rPr>
      </w:pPr>
      <w:r>
        <w:rPr>
          <w:rFonts w:cs="Tahoma"/>
        </w:rPr>
        <w:t>T</w:t>
      </w:r>
      <w:r w:rsidR="00084DEA" w:rsidRPr="004C3EF9">
        <w:rPr>
          <w:rFonts w:cs="Tahoma"/>
        </w:rPr>
        <w:t xml:space="preserve">enir la famille informée du cours et du résultat de cette enquête et leur fournir l’ensemble des documents et photographies produits lors de l’enquête. </w:t>
      </w:r>
    </w:p>
    <w:p w14:paraId="3B52E926" w14:textId="73CD399D" w:rsidR="00AC3039" w:rsidRPr="0077273E" w:rsidRDefault="00AC3039" w:rsidP="00AC3039">
      <w:pPr>
        <w:pStyle w:val="Heading1"/>
        <w:rPr>
          <w:rStyle w:val="shorttext"/>
          <w:lang w:val="fr-CH"/>
        </w:rPr>
      </w:pPr>
      <w:bookmarkStart w:id="121" w:name="_Toc462396118"/>
      <w:r w:rsidRPr="0077273E">
        <w:rPr>
          <w:rStyle w:val="shorttext"/>
          <w:lang w:val="fr-CH"/>
        </w:rPr>
        <w:t>Peine de mort</w:t>
      </w:r>
      <w:bookmarkEnd w:id="121"/>
      <w:r w:rsidRPr="0077273E">
        <w:rPr>
          <w:rStyle w:val="shorttext"/>
          <w:lang w:val="fr-CH"/>
        </w:rPr>
        <w:t xml:space="preserve"> </w:t>
      </w:r>
    </w:p>
    <w:p w14:paraId="58BA287D" w14:textId="583F6C2F" w:rsidR="00EC7688" w:rsidRPr="0077273E" w:rsidRDefault="00AC3039" w:rsidP="004C3EF9">
      <w:r w:rsidRPr="0077273E">
        <w:t xml:space="preserve">La peine de mort continue de faire partie </w:t>
      </w:r>
      <w:r w:rsidR="00913089" w:rsidRPr="0077273E">
        <w:t xml:space="preserve">des sanctions légales prévues par la </w:t>
      </w:r>
      <w:r w:rsidRPr="0077273E">
        <w:t xml:space="preserve">législation </w:t>
      </w:r>
      <w:r w:rsidR="00913089" w:rsidRPr="0077273E">
        <w:t>interne</w:t>
      </w:r>
      <w:r w:rsidRPr="0077273E">
        <w:t>, l</w:t>
      </w:r>
      <w:r w:rsidR="00913089" w:rsidRPr="0077273E">
        <w:t xml:space="preserve">’Etat partie appliquant </w:t>
      </w:r>
      <w:r w:rsidRPr="0077273E">
        <w:t>néanmoins depuis 1993 un moratoire de fait sur l’</w:t>
      </w:r>
      <w:r w:rsidR="00913089" w:rsidRPr="0077273E">
        <w:t>exécution de la peine capitale</w:t>
      </w:r>
      <w:r w:rsidRPr="0077273E">
        <w:t>. Depuis son intronisation en 1999, le</w:t>
      </w:r>
      <w:r w:rsidR="00913089" w:rsidRPr="0077273E">
        <w:t xml:space="preserve"> </w:t>
      </w:r>
      <w:r w:rsidR="003A0458" w:rsidRPr="0077273E">
        <w:t xml:space="preserve">roi </w:t>
      </w:r>
      <w:r w:rsidRPr="0077273E">
        <w:t>Mohamed VI n’a jusqu’à présent signé aucun ordre d’exécution.</w:t>
      </w:r>
      <w:r w:rsidR="008E300B" w:rsidRPr="0077273E">
        <w:t xml:space="preserve"> Dans son rapport périodique, le Maroc a souligné que la peine capitale, bien qu’encore en vigueur, n’avait donné lieu à aucune exécution depuis 1993 et que le nombre de crimes passibles de la peine de mort était en train de significativement baisser, dans le cadre des réformes actuelles</w:t>
      </w:r>
      <w:r w:rsidR="008E300B" w:rsidRPr="0077273E">
        <w:rPr>
          <w:rStyle w:val="FootnoteReference"/>
          <w:szCs w:val="20"/>
        </w:rPr>
        <w:footnoteReference w:id="91"/>
      </w:r>
      <w:r w:rsidR="008E300B" w:rsidRPr="0077273E">
        <w:t>.</w:t>
      </w:r>
      <w:r w:rsidR="00EC7688" w:rsidRPr="0077273E">
        <w:t xml:space="preserve"> </w:t>
      </w:r>
      <w:r w:rsidR="00913089" w:rsidRPr="0077273E">
        <w:t xml:space="preserve">La peine capitale reste </w:t>
      </w:r>
      <w:r w:rsidRPr="0077273E">
        <w:t>encourue pour les crimes d’homicide aggravé, de torture, de vol à main armée, d’incendie criminel, de trahison, de désertion et d’attentat à la vie du</w:t>
      </w:r>
      <w:r w:rsidR="00913089" w:rsidRPr="0077273E">
        <w:t xml:space="preserve"> </w:t>
      </w:r>
      <w:r w:rsidR="003A0458" w:rsidRPr="0077273E">
        <w:t xml:space="preserve">roi </w:t>
      </w:r>
      <w:r w:rsidRPr="0077273E">
        <w:t>ou de tout membre de la famille royale.</w:t>
      </w:r>
    </w:p>
    <w:p w14:paraId="2B9BC988" w14:textId="6C425F43" w:rsidR="00EC7688" w:rsidRPr="004C3EF9" w:rsidRDefault="008E300B" w:rsidP="004C3EF9">
      <w:r w:rsidRPr="0077273E">
        <w:t xml:space="preserve">Le Comité a prié le Maroc de fournir des précisions quant aux nombres d’infractions passibles de la peine de mort, de personnes condamnées à mort, de condamnés à mort actuellement en détention, de préciser quelles mesures étaient prises pour commuer les peines de tous les condamnés à mort et d’adopter un moratoire </w:t>
      </w:r>
      <w:r w:rsidRPr="0077273E">
        <w:rPr>
          <w:i/>
          <w:iCs/>
        </w:rPr>
        <w:t>de jure</w:t>
      </w:r>
      <w:r w:rsidRPr="0077273E">
        <w:t xml:space="preserve"> sur la peine de mort, en attendant son abolition</w:t>
      </w:r>
      <w:r w:rsidRPr="0077273E">
        <w:rPr>
          <w:rStyle w:val="FootnoteReference"/>
          <w:bCs/>
          <w:szCs w:val="20"/>
        </w:rPr>
        <w:footnoteReference w:id="92"/>
      </w:r>
      <w:r w:rsidRPr="0077273E">
        <w:t xml:space="preserve">. </w:t>
      </w:r>
      <w:r w:rsidR="00E23547" w:rsidRPr="0077273E">
        <w:t xml:space="preserve">Selon les réponses apportées par l’Etat partie, </w:t>
      </w:r>
      <w:r w:rsidR="008E393D">
        <w:t>l</w:t>
      </w:r>
      <w:r w:rsidRPr="0077273E">
        <w:t xml:space="preserve">e Maroc compterait actuellement 124 personnes condamnées à mort et 93 </w:t>
      </w:r>
      <w:r w:rsidR="00B02D68">
        <w:t xml:space="preserve">peines capitales </w:t>
      </w:r>
      <w:r w:rsidRPr="0077273E">
        <w:t>auraient été prononcées depuis 2004. Le nombre de commutations en peines de prison s’élèverait à 73, dont 68 à des peines de prison à perpétuité</w:t>
      </w:r>
      <w:r w:rsidR="00E23547" w:rsidRPr="0077273E">
        <w:rPr>
          <w:rStyle w:val="FootnoteReference"/>
          <w:bCs/>
          <w:szCs w:val="20"/>
        </w:rPr>
        <w:footnoteReference w:id="93"/>
      </w:r>
      <w:r w:rsidRPr="0077273E">
        <w:t>. Néanmoins, le Maroc est resté évasif sur le nombre et la nature exacts des infractions passibles de la peine capitale.</w:t>
      </w:r>
    </w:p>
    <w:p w14:paraId="129AFA15" w14:textId="5379CA31" w:rsidR="00EC7688" w:rsidRPr="0077273E" w:rsidRDefault="004C3EF9" w:rsidP="004C3EF9">
      <w:pPr>
        <w:rPr>
          <w:rFonts w:cs="Tahoma"/>
          <w:b/>
          <w:bCs/>
        </w:rPr>
      </w:pPr>
      <w:r>
        <w:rPr>
          <w:rFonts w:cs="Tahoma"/>
          <w:b/>
          <w:bCs/>
        </w:rPr>
        <w:t>Recommandation :</w:t>
      </w:r>
    </w:p>
    <w:p w14:paraId="20E456ED" w14:textId="2743E9FB" w:rsidR="00AC3039" w:rsidRPr="004C3EF9" w:rsidRDefault="00EC7688" w:rsidP="004C3EF9">
      <w:pPr>
        <w:pStyle w:val="UPRparagraph"/>
        <w:numPr>
          <w:ilvl w:val="1"/>
          <w:numId w:val="11"/>
        </w:numPr>
        <w:ind w:left="567" w:hanging="425"/>
        <w:rPr>
          <w:rFonts w:cs="Tahoma"/>
        </w:rPr>
      </w:pPr>
      <w:r w:rsidRPr="004C3EF9">
        <w:rPr>
          <w:rFonts w:cs="Tahoma"/>
        </w:rPr>
        <w:t xml:space="preserve">Adopter un moratoire </w:t>
      </w:r>
      <w:r w:rsidRPr="004C3EF9">
        <w:rPr>
          <w:rFonts w:cs="Tahoma"/>
          <w:i/>
          <w:iCs/>
        </w:rPr>
        <w:t>de jure</w:t>
      </w:r>
      <w:r w:rsidRPr="004C3EF9">
        <w:rPr>
          <w:rFonts w:cs="Tahoma"/>
        </w:rPr>
        <w:t xml:space="preserve"> sur la peine de mort</w:t>
      </w:r>
      <w:r w:rsidR="004C3EF9">
        <w:rPr>
          <w:rFonts w:cs="Tahoma"/>
        </w:rPr>
        <w:t>.</w:t>
      </w:r>
    </w:p>
    <w:p w14:paraId="4F9AA740" w14:textId="494D7A36" w:rsidR="004F5CAB" w:rsidRPr="0077273E" w:rsidRDefault="00CA115A" w:rsidP="008E393D">
      <w:pPr>
        <w:pStyle w:val="Heading1"/>
        <w:rPr>
          <w:lang w:val="fr-CH"/>
        </w:rPr>
      </w:pPr>
      <w:bookmarkStart w:id="122" w:name="_Toc462396119"/>
      <w:r w:rsidRPr="0077273E">
        <w:rPr>
          <w:lang w:val="fr-CH"/>
        </w:rPr>
        <w:t>Droits de l’homme dans la lutte contre le terrorisme</w:t>
      </w:r>
      <w:bookmarkEnd w:id="122"/>
      <w:r w:rsidRPr="0077273E">
        <w:rPr>
          <w:lang w:val="fr-CH"/>
        </w:rPr>
        <w:t xml:space="preserve"> </w:t>
      </w:r>
    </w:p>
    <w:p w14:paraId="43BF2CBF" w14:textId="122E15F7" w:rsidR="0004193A" w:rsidRPr="0077273E" w:rsidRDefault="0004193A" w:rsidP="0004193A">
      <w:pPr>
        <w:rPr>
          <w:rFonts w:cs="Tahoma"/>
        </w:rPr>
      </w:pPr>
      <w:r w:rsidRPr="0077273E">
        <w:rPr>
          <w:rFonts w:cs="Tahoma"/>
        </w:rPr>
        <w:t>Bien que le droit interne de l’Etat partie tende vers une plus grande conformité au droit international depuis les récentes réformes, le régime dérogatoire adopté en matière de lutte contre le terrorisme reste au contraire de nature à favoriser les violations des droits de l’homme, comme l’a souligné le</w:t>
      </w:r>
      <w:r w:rsidR="00256219">
        <w:rPr>
          <w:rFonts w:cs="Tahoma"/>
        </w:rPr>
        <w:t xml:space="preserve"> R</w:t>
      </w:r>
      <w:r w:rsidR="00DC131D">
        <w:rPr>
          <w:rFonts w:cs="Tahoma"/>
        </w:rPr>
        <w:t>apporteur</w:t>
      </w:r>
      <w:r w:rsidRPr="0077273E">
        <w:rPr>
          <w:rFonts w:cs="Tahoma"/>
        </w:rPr>
        <w:t xml:space="preserve"> spécial sur la torture à l’issue de sa visite</w:t>
      </w:r>
      <w:r w:rsidRPr="0077273E">
        <w:rPr>
          <w:rStyle w:val="FootnoteReference"/>
          <w:rFonts w:cs="Tahoma"/>
          <w:szCs w:val="20"/>
        </w:rPr>
        <w:footnoteReference w:id="94"/>
      </w:r>
      <w:r w:rsidRPr="0077273E">
        <w:rPr>
          <w:rFonts w:cs="Tahoma"/>
        </w:rPr>
        <w:t>.</w:t>
      </w:r>
    </w:p>
    <w:p w14:paraId="664D893B" w14:textId="77777777" w:rsidR="007B5AA5" w:rsidRPr="0077273E" w:rsidRDefault="007B5AA5" w:rsidP="007B5AA5">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highlight w:val="yellow"/>
        </w:rPr>
      </w:pPr>
      <w:bookmarkStart w:id="123" w:name="_Toc461809733"/>
      <w:bookmarkStart w:id="124" w:name="_Toc461815060"/>
      <w:bookmarkStart w:id="125" w:name="_Toc461815116"/>
      <w:bookmarkStart w:id="126" w:name="_Toc461815553"/>
      <w:bookmarkStart w:id="127" w:name="_Toc461820223"/>
      <w:bookmarkStart w:id="128" w:name="_Toc462042428"/>
      <w:bookmarkStart w:id="129" w:name="_Toc462150431"/>
      <w:bookmarkStart w:id="130" w:name="_Toc462330106"/>
      <w:bookmarkStart w:id="131" w:name="_Toc462330360"/>
      <w:bookmarkStart w:id="132" w:name="_Toc462396056"/>
      <w:bookmarkStart w:id="133" w:name="_Toc462396120"/>
      <w:bookmarkEnd w:id="123"/>
      <w:bookmarkEnd w:id="124"/>
      <w:bookmarkEnd w:id="125"/>
      <w:bookmarkEnd w:id="126"/>
      <w:bookmarkEnd w:id="127"/>
      <w:bookmarkEnd w:id="128"/>
      <w:bookmarkEnd w:id="129"/>
      <w:bookmarkEnd w:id="130"/>
      <w:bookmarkEnd w:id="131"/>
      <w:bookmarkEnd w:id="132"/>
      <w:bookmarkEnd w:id="133"/>
    </w:p>
    <w:p w14:paraId="73BF9C07" w14:textId="77777777" w:rsidR="007B5AA5" w:rsidRPr="0077273E" w:rsidRDefault="007B5AA5" w:rsidP="007B5AA5">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highlight w:val="yellow"/>
        </w:rPr>
      </w:pPr>
      <w:bookmarkStart w:id="134" w:name="_Toc461815554"/>
      <w:bookmarkStart w:id="135" w:name="_Toc461820224"/>
      <w:bookmarkStart w:id="136" w:name="_Toc462042429"/>
      <w:bookmarkStart w:id="137" w:name="_Toc462150432"/>
      <w:bookmarkStart w:id="138" w:name="_Toc462330107"/>
      <w:bookmarkStart w:id="139" w:name="_Toc462330361"/>
      <w:bookmarkStart w:id="140" w:name="_Toc462396057"/>
      <w:bookmarkStart w:id="141" w:name="_Toc462396121"/>
      <w:bookmarkEnd w:id="134"/>
      <w:bookmarkEnd w:id="135"/>
      <w:bookmarkEnd w:id="136"/>
      <w:bookmarkEnd w:id="137"/>
      <w:bookmarkEnd w:id="138"/>
      <w:bookmarkEnd w:id="139"/>
      <w:bookmarkEnd w:id="140"/>
      <w:bookmarkEnd w:id="141"/>
    </w:p>
    <w:p w14:paraId="3F8F95CF" w14:textId="77777777" w:rsidR="007B5AA5" w:rsidRPr="0077273E" w:rsidRDefault="007B5AA5" w:rsidP="007B5AA5">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highlight w:val="yellow"/>
        </w:rPr>
      </w:pPr>
      <w:bookmarkStart w:id="142" w:name="_Toc461815555"/>
      <w:bookmarkStart w:id="143" w:name="_Toc461820225"/>
      <w:bookmarkStart w:id="144" w:name="_Toc462042430"/>
      <w:bookmarkStart w:id="145" w:name="_Toc462150433"/>
      <w:bookmarkStart w:id="146" w:name="_Toc462330108"/>
      <w:bookmarkStart w:id="147" w:name="_Toc462330362"/>
      <w:bookmarkStart w:id="148" w:name="_Toc462396058"/>
      <w:bookmarkStart w:id="149" w:name="_Toc462396122"/>
      <w:bookmarkEnd w:id="142"/>
      <w:bookmarkEnd w:id="143"/>
      <w:bookmarkEnd w:id="144"/>
      <w:bookmarkEnd w:id="145"/>
      <w:bookmarkEnd w:id="146"/>
      <w:bookmarkEnd w:id="147"/>
      <w:bookmarkEnd w:id="148"/>
      <w:bookmarkEnd w:id="149"/>
    </w:p>
    <w:p w14:paraId="459817A9" w14:textId="7DB388EC" w:rsidR="00705B0C" w:rsidRPr="00410D5D" w:rsidRDefault="00CA115A" w:rsidP="00705B0C">
      <w:pPr>
        <w:pStyle w:val="Heading2"/>
      </w:pPr>
      <w:bookmarkStart w:id="150" w:name="_Toc462396123"/>
      <w:r w:rsidRPr="00410D5D">
        <w:t>Cadre juridique</w:t>
      </w:r>
      <w:bookmarkEnd w:id="150"/>
    </w:p>
    <w:p w14:paraId="603C78C8" w14:textId="3C515CE4" w:rsidR="00CA115A" w:rsidRPr="00410D5D" w:rsidRDefault="00CA115A" w:rsidP="00256219">
      <w:pPr>
        <w:rPr>
          <w:rFonts w:cs="Tahoma"/>
        </w:rPr>
      </w:pPr>
      <w:r w:rsidRPr="00410D5D">
        <w:rPr>
          <w:rFonts w:cs="Tahoma"/>
        </w:rPr>
        <w:t xml:space="preserve">La loi n°03-03 contre le terrorisme, promulguée en 2003, a intégré au Code pénal et au Code de procédure pénale des dispositions </w:t>
      </w:r>
      <w:r w:rsidR="00B133E6" w:rsidRPr="00410D5D">
        <w:rPr>
          <w:rFonts w:cs="Tahoma"/>
        </w:rPr>
        <w:t xml:space="preserve">spécifiques </w:t>
      </w:r>
      <w:r w:rsidRPr="00410D5D">
        <w:rPr>
          <w:rFonts w:cs="Tahoma"/>
        </w:rPr>
        <w:t>en matière de lutte contre le terrorisme</w:t>
      </w:r>
      <w:r w:rsidRPr="00410D5D">
        <w:rPr>
          <w:rStyle w:val="FootnoteReference"/>
          <w:rFonts w:cs="Tahoma"/>
          <w:szCs w:val="20"/>
        </w:rPr>
        <w:footnoteReference w:id="95"/>
      </w:r>
      <w:r w:rsidRPr="00410D5D">
        <w:rPr>
          <w:rFonts w:cs="Tahoma"/>
        </w:rPr>
        <w:t>.</w:t>
      </w:r>
      <w:r w:rsidR="00B133E6" w:rsidRPr="00410D5D">
        <w:rPr>
          <w:rFonts w:cs="Tahoma"/>
        </w:rPr>
        <w:t xml:space="preserve"> C</w:t>
      </w:r>
      <w:r w:rsidRPr="00410D5D">
        <w:rPr>
          <w:rFonts w:cs="Tahoma"/>
        </w:rPr>
        <w:t>es dispositions dérogatoires au droit commun réduisent considérable</w:t>
      </w:r>
      <w:r w:rsidR="00B133E6" w:rsidRPr="00410D5D">
        <w:rPr>
          <w:rFonts w:cs="Tahoma"/>
        </w:rPr>
        <w:t>ment les garanties liées à un procès équitable</w:t>
      </w:r>
      <w:r w:rsidRPr="00410D5D">
        <w:rPr>
          <w:rFonts w:cs="Tahoma"/>
        </w:rPr>
        <w:t xml:space="preserve"> et ont ouvert la </w:t>
      </w:r>
      <w:r w:rsidR="00B133E6" w:rsidRPr="00410D5D">
        <w:rPr>
          <w:rFonts w:cs="Tahoma"/>
        </w:rPr>
        <w:t>voie, à la suite des attentats de Casablanca</w:t>
      </w:r>
      <w:r w:rsidR="00256219">
        <w:rPr>
          <w:rFonts w:cs="Tahoma"/>
        </w:rPr>
        <w:t xml:space="preserve"> de 2003</w:t>
      </w:r>
      <w:r w:rsidR="00B133E6" w:rsidRPr="00410D5D">
        <w:rPr>
          <w:rFonts w:cs="Tahoma"/>
        </w:rPr>
        <w:t xml:space="preserve">, </w:t>
      </w:r>
      <w:r w:rsidRPr="00410D5D">
        <w:rPr>
          <w:rFonts w:cs="Tahoma"/>
        </w:rPr>
        <w:t>à un usage systématique de la torture et des mauvais traitements. Ainsi, des milliers de personnes considérées comme</w:t>
      </w:r>
      <w:r w:rsidR="00037F76" w:rsidRPr="00410D5D">
        <w:rPr>
          <w:rFonts w:cs="Tahoma"/>
        </w:rPr>
        <w:t xml:space="preserve"> des</w:t>
      </w:r>
      <w:r w:rsidRPr="00410D5D">
        <w:rPr>
          <w:rFonts w:cs="Tahoma"/>
        </w:rPr>
        <w:t xml:space="preserve"> islamistes </w:t>
      </w:r>
      <w:r w:rsidR="00037F76" w:rsidRPr="00410D5D">
        <w:rPr>
          <w:rFonts w:cs="Tahoma"/>
        </w:rPr>
        <w:t>radicaux et qualifiées de « </w:t>
      </w:r>
      <w:r w:rsidR="00410D5D" w:rsidRPr="00410D5D">
        <w:rPr>
          <w:rFonts w:cs="Tahoma"/>
        </w:rPr>
        <w:t xml:space="preserve">salafistes </w:t>
      </w:r>
      <w:r w:rsidR="00256219">
        <w:rPr>
          <w:rFonts w:cs="Tahoma"/>
        </w:rPr>
        <w:t>d</w:t>
      </w:r>
      <w:r w:rsidR="00037F76" w:rsidRPr="00410D5D">
        <w:rPr>
          <w:rFonts w:cs="Tahoma"/>
        </w:rPr>
        <w:t>jihadi</w:t>
      </w:r>
      <w:r w:rsidR="00410D5D" w:rsidRPr="00410D5D">
        <w:rPr>
          <w:rFonts w:cs="Tahoma"/>
        </w:rPr>
        <w:t>stes</w:t>
      </w:r>
      <w:r w:rsidR="00037F76" w:rsidRPr="00410D5D">
        <w:rPr>
          <w:rFonts w:cs="Tahoma"/>
        </w:rPr>
        <w:t xml:space="preserve">» </w:t>
      </w:r>
      <w:r w:rsidR="00B133E6" w:rsidRPr="00410D5D">
        <w:rPr>
          <w:rFonts w:cs="Tahoma"/>
        </w:rPr>
        <w:t>ont été</w:t>
      </w:r>
      <w:r w:rsidRPr="00410D5D">
        <w:rPr>
          <w:rFonts w:cs="Tahoma"/>
        </w:rPr>
        <w:t xml:space="preserve"> arrêté</w:t>
      </w:r>
      <w:r w:rsidR="00037F76" w:rsidRPr="00410D5D">
        <w:rPr>
          <w:rFonts w:cs="Tahoma"/>
        </w:rPr>
        <w:t>e</w:t>
      </w:r>
      <w:r w:rsidRPr="00410D5D">
        <w:rPr>
          <w:rFonts w:cs="Tahoma"/>
        </w:rPr>
        <w:t xml:space="preserve">s </w:t>
      </w:r>
      <w:r w:rsidR="00B133E6" w:rsidRPr="00410D5D">
        <w:rPr>
          <w:rFonts w:cs="Tahoma"/>
        </w:rPr>
        <w:t xml:space="preserve">durant cette période, détenues au secret et </w:t>
      </w:r>
      <w:r w:rsidRPr="00410D5D">
        <w:rPr>
          <w:rFonts w:cs="Tahoma"/>
        </w:rPr>
        <w:t xml:space="preserve">condamnées à de lourdes peines </w:t>
      </w:r>
      <w:r w:rsidR="00410D5D" w:rsidRPr="00410D5D">
        <w:rPr>
          <w:rFonts w:cs="Tahoma"/>
        </w:rPr>
        <w:t xml:space="preserve">d’emprisonnement </w:t>
      </w:r>
      <w:r w:rsidRPr="00410D5D">
        <w:rPr>
          <w:rFonts w:cs="Tahoma"/>
        </w:rPr>
        <w:t>sur la base d’aveux extorqués sous la torture, à l’issue de procès expéditifs.</w:t>
      </w:r>
    </w:p>
    <w:p w14:paraId="5CF470B2" w14:textId="780C2478" w:rsidR="00705B0C" w:rsidRPr="0077273E" w:rsidRDefault="00705B0C" w:rsidP="00410D5D">
      <w:pPr>
        <w:rPr>
          <w:rFonts w:cs="Tahoma"/>
        </w:rPr>
      </w:pPr>
      <w:r w:rsidRPr="0077273E">
        <w:rPr>
          <w:rFonts w:cs="Tahoma"/>
        </w:rPr>
        <w:t xml:space="preserve">Le Comité a demandé </w:t>
      </w:r>
      <w:r w:rsidR="00410D5D">
        <w:rPr>
          <w:rFonts w:cs="Tahoma"/>
        </w:rPr>
        <w:t xml:space="preserve">à l’Etat partie s’il envisageait d’amender </w:t>
      </w:r>
      <w:r w:rsidRPr="0077273E">
        <w:rPr>
          <w:rFonts w:cs="Tahoma"/>
        </w:rPr>
        <w:t>la loi antiter</w:t>
      </w:r>
      <w:r w:rsidR="00B133E6" w:rsidRPr="0077273E">
        <w:rPr>
          <w:rFonts w:cs="Tahoma"/>
        </w:rPr>
        <w:t>roriste afin</w:t>
      </w:r>
      <w:r w:rsidRPr="0077273E">
        <w:rPr>
          <w:rFonts w:cs="Tahoma"/>
        </w:rPr>
        <w:t xml:space="preserve"> que soit définie de manière précise la notion de terrorisme</w:t>
      </w:r>
      <w:r w:rsidR="00B133E6" w:rsidRPr="0077273E">
        <w:rPr>
          <w:rStyle w:val="FootnoteReference"/>
          <w:rFonts w:cs="Tahoma"/>
        </w:rPr>
        <w:footnoteReference w:id="96"/>
      </w:r>
      <w:r w:rsidRPr="0077273E">
        <w:rPr>
          <w:rFonts w:cs="Tahoma"/>
        </w:rPr>
        <w:t xml:space="preserve"> et que la durée maximale de la garde à vue soit réduite en</w:t>
      </w:r>
      <w:r w:rsidR="006E7941">
        <w:rPr>
          <w:rFonts w:cs="Tahoma"/>
        </w:rPr>
        <w:t xml:space="preserve"> </w:t>
      </w:r>
      <w:r w:rsidRPr="0077273E">
        <w:rPr>
          <w:rFonts w:cs="Tahoma"/>
        </w:rPr>
        <w:lastRenderedPageBreak/>
        <w:t>matière d’infractions terroristes</w:t>
      </w:r>
      <w:r w:rsidRPr="0077273E">
        <w:rPr>
          <w:rStyle w:val="FootnoteReference"/>
          <w:rFonts w:cs="Tahoma"/>
        </w:rPr>
        <w:footnoteReference w:id="97"/>
      </w:r>
      <w:r w:rsidRPr="0077273E">
        <w:rPr>
          <w:rFonts w:cs="Tahoma"/>
        </w:rPr>
        <w:t>. L’Etat partie a répondu qu’à défaut de définir le terrorisme, la loi n° 03-03 identifiait une série d’a</w:t>
      </w:r>
      <w:r w:rsidR="00294225">
        <w:rPr>
          <w:rFonts w:cs="Tahoma"/>
        </w:rPr>
        <w:t>ctes constitutifs de terrorisme</w:t>
      </w:r>
      <w:r w:rsidRPr="0077273E">
        <w:rPr>
          <w:rFonts w:cs="Tahoma"/>
        </w:rPr>
        <w:t xml:space="preserve"> basés sur les instruments internationaux pertinents</w:t>
      </w:r>
      <w:r w:rsidRPr="0077273E">
        <w:rPr>
          <w:rStyle w:val="FootnoteReference"/>
          <w:rFonts w:cs="Tahoma"/>
        </w:rPr>
        <w:footnoteReference w:id="98"/>
      </w:r>
      <w:r w:rsidRPr="0077273E">
        <w:rPr>
          <w:rFonts w:cs="Tahoma"/>
        </w:rPr>
        <w:t xml:space="preserve">. Toutefois, il n’en demeure pas moins que le terrorisme </w:t>
      </w:r>
      <w:r w:rsidR="006E7941">
        <w:rPr>
          <w:rFonts w:cs="Tahoma"/>
        </w:rPr>
        <w:t>r</w:t>
      </w:r>
      <w:r w:rsidRPr="0077273E">
        <w:rPr>
          <w:rFonts w:cs="Tahoma"/>
        </w:rPr>
        <w:t>est</w:t>
      </w:r>
      <w:r w:rsidR="006E7941">
        <w:rPr>
          <w:rFonts w:cs="Tahoma"/>
        </w:rPr>
        <w:t>e</w:t>
      </w:r>
      <w:r w:rsidRPr="0077273E">
        <w:rPr>
          <w:rFonts w:cs="Tahoma"/>
        </w:rPr>
        <w:t xml:space="preserve"> défini</w:t>
      </w:r>
      <w:r w:rsidR="00B133E6" w:rsidRPr="0077273E">
        <w:rPr>
          <w:rFonts w:cs="Tahoma"/>
        </w:rPr>
        <w:t xml:space="preserve"> par l’article 118-1 du Code pénal</w:t>
      </w:r>
      <w:r w:rsidRPr="0077273E">
        <w:rPr>
          <w:rFonts w:cs="Tahoma"/>
        </w:rPr>
        <w:t xml:space="preserve"> de manière </w:t>
      </w:r>
      <w:r w:rsidR="00B133E6" w:rsidRPr="0077273E">
        <w:rPr>
          <w:rFonts w:cs="Tahoma"/>
        </w:rPr>
        <w:t xml:space="preserve">large et </w:t>
      </w:r>
      <w:r w:rsidRPr="0077273E">
        <w:rPr>
          <w:rFonts w:cs="Tahoma"/>
        </w:rPr>
        <w:t>imprécise.</w:t>
      </w:r>
    </w:p>
    <w:p w14:paraId="10FABB2A" w14:textId="41C59FCC" w:rsidR="00CA115A" w:rsidRPr="0077273E" w:rsidRDefault="00CA115A" w:rsidP="00CA115A">
      <w:pPr>
        <w:pStyle w:val="Heading2"/>
        <w:rPr>
          <w:lang w:val="fr-CH"/>
        </w:rPr>
      </w:pPr>
      <w:bookmarkStart w:id="151" w:name="_Toc462396124"/>
      <w:r w:rsidRPr="0077273E">
        <w:rPr>
          <w:lang w:val="fr-CH"/>
        </w:rPr>
        <w:t>G</w:t>
      </w:r>
      <w:r w:rsidR="006E7941">
        <w:rPr>
          <w:lang w:val="fr-CH"/>
        </w:rPr>
        <w:t>aranties fondamentales et droit</w:t>
      </w:r>
      <w:r w:rsidRPr="0077273E">
        <w:rPr>
          <w:lang w:val="fr-CH"/>
        </w:rPr>
        <w:t xml:space="preserve"> au procès équitable</w:t>
      </w:r>
      <w:bookmarkEnd w:id="151"/>
      <w:r w:rsidRPr="0077273E">
        <w:rPr>
          <w:lang w:val="fr-CH"/>
        </w:rPr>
        <w:t xml:space="preserve"> </w:t>
      </w:r>
    </w:p>
    <w:p w14:paraId="16BB44FB" w14:textId="31010845" w:rsidR="005A36B1" w:rsidRPr="0077273E" w:rsidRDefault="005A36B1" w:rsidP="00C71B30">
      <w:pPr>
        <w:rPr>
          <w:rFonts w:cs="Tahoma"/>
        </w:rPr>
      </w:pPr>
      <w:r w:rsidRPr="0077273E">
        <w:rPr>
          <w:rFonts w:cs="Tahoma"/>
        </w:rPr>
        <w:t>Le Maroc a ainsi été invité à commenter les informations selon lesquelles les personnes suspectées de terrorisme seraient privées de l’exercice des garanties juridiques fondamentales, et seraient notamment détenues pendant des semaines avant d’être présentées à un juge, sans contrôle judiciaire et sans que les familles n’en soient informées</w:t>
      </w:r>
      <w:r w:rsidRPr="0077273E">
        <w:rPr>
          <w:rStyle w:val="FootnoteReference"/>
          <w:rFonts w:cs="Tahoma"/>
        </w:rPr>
        <w:footnoteReference w:id="99"/>
      </w:r>
      <w:r w:rsidRPr="0077273E">
        <w:rPr>
          <w:rFonts w:cs="Tahoma"/>
        </w:rPr>
        <w:t xml:space="preserve">. </w:t>
      </w:r>
    </w:p>
    <w:p w14:paraId="3B471918" w14:textId="51F41834" w:rsidR="00CA115A" w:rsidRPr="0077273E" w:rsidRDefault="00CA115A" w:rsidP="00CA115A">
      <w:pPr>
        <w:pStyle w:val="Heading3"/>
        <w:rPr>
          <w:rFonts w:cs="Tahoma"/>
          <w:lang w:val="fr-CH"/>
        </w:rPr>
      </w:pPr>
      <w:bookmarkStart w:id="152" w:name="_Toc462396125"/>
      <w:r w:rsidRPr="0077273E">
        <w:rPr>
          <w:rFonts w:cs="Tahoma"/>
          <w:lang w:val="fr-CH"/>
        </w:rPr>
        <w:t>Durée légale de la garde à vue</w:t>
      </w:r>
      <w:r w:rsidR="0004193A" w:rsidRPr="0077273E">
        <w:rPr>
          <w:rFonts w:cs="Tahoma"/>
          <w:lang w:val="fr-CH"/>
        </w:rPr>
        <w:t xml:space="preserve"> en matière de terrorisme</w:t>
      </w:r>
      <w:bookmarkEnd w:id="152"/>
    </w:p>
    <w:p w14:paraId="319A8E4D" w14:textId="5D698650" w:rsidR="00CA115A" w:rsidRPr="0077273E" w:rsidRDefault="00CA115A" w:rsidP="00294225">
      <w:pPr>
        <w:rPr>
          <w:rFonts w:cs="Tahoma"/>
        </w:rPr>
      </w:pPr>
      <w:r w:rsidRPr="0077273E">
        <w:rPr>
          <w:rFonts w:cs="Tahoma"/>
        </w:rPr>
        <w:t>La durée légale de la garde à vue en matière de terrorisme instaurée par la loi n° 03-03 en matière d’infractions de terrorisme est manifestement excessive au regar</w:t>
      </w:r>
      <w:r w:rsidR="00C71B30" w:rsidRPr="0077273E">
        <w:rPr>
          <w:rFonts w:cs="Tahoma"/>
        </w:rPr>
        <w:t>d des standards internationaux</w:t>
      </w:r>
      <w:r w:rsidRPr="0077273E">
        <w:rPr>
          <w:rFonts w:cs="Tahoma"/>
        </w:rPr>
        <w:t>. En effet</w:t>
      </w:r>
      <w:r w:rsidR="00294225">
        <w:rPr>
          <w:rFonts w:cs="Tahoma"/>
        </w:rPr>
        <w:t>,</w:t>
      </w:r>
      <w:r w:rsidR="00C71B30" w:rsidRPr="0077273E">
        <w:rPr>
          <w:rFonts w:cs="Tahoma"/>
        </w:rPr>
        <w:t xml:space="preserve"> cette loi établi</w:t>
      </w:r>
      <w:r w:rsidR="006E7941">
        <w:rPr>
          <w:rFonts w:cs="Tahoma"/>
        </w:rPr>
        <w:t>t</w:t>
      </w:r>
      <w:r w:rsidRPr="0077273E">
        <w:rPr>
          <w:rFonts w:cs="Tahoma"/>
        </w:rPr>
        <w:t xml:space="preserve"> la durée ma</w:t>
      </w:r>
      <w:r w:rsidR="00294225">
        <w:rPr>
          <w:rFonts w:cs="Tahoma"/>
        </w:rPr>
        <w:t>ximale de la garde à vue à 12</w:t>
      </w:r>
      <w:r w:rsidRPr="0077273E">
        <w:rPr>
          <w:rFonts w:cs="Tahoma"/>
        </w:rPr>
        <w:t xml:space="preserve"> jours (</w:t>
      </w:r>
      <w:r w:rsidR="00294225">
        <w:rPr>
          <w:rFonts w:cs="Tahoma"/>
        </w:rPr>
        <w:t>96</w:t>
      </w:r>
      <w:r w:rsidRPr="0077273E">
        <w:rPr>
          <w:rFonts w:cs="Tahoma"/>
        </w:rPr>
        <w:t xml:space="preserve"> heures renouvelables deux fois sur autorisation du Ministère public)</w:t>
      </w:r>
      <w:r w:rsidRPr="0077273E">
        <w:rPr>
          <w:rStyle w:val="FootnoteReference"/>
          <w:rFonts w:cs="Tahoma"/>
          <w:szCs w:val="20"/>
        </w:rPr>
        <w:footnoteReference w:id="100"/>
      </w:r>
      <w:r w:rsidR="00C71B30" w:rsidRPr="0077273E">
        <w:rPr>
          <w:rFonts w:cs="Tahoma"/>
        </w:rPr>
        <w:t>. En pratique</w:t>
      </w:r>
      <w:r w:rsidR="006E7941">
        <w:rPr>
          <w:rFonts w:cs="Tahoma"/>
        </w:rPr>
        <w:t>,</w:t>
      </w:r>
      <w:r w:rsidRPr="0077273E">
        <w:rPr>
          <w:rFonts w:cs="Tahoma"/>
        </w:rPr>
        <w:t xml:space="preserve"> les renouvellements sont accordés de manière quasi systématique par le Ministère public. </w:t>
      </w:r>
      <w:r w:rsidR="005C073A">
        <w:rPr>
          <w:rFonts w:cs="Tahoma"/>
        </w:rPr>
        <w:t>De plus, l’accès à un avocat peut être repoussé à 48 heures après le premier renouvellement soit six jours au total</w:t>
      </w:r>
      <w:r w:rsidR="005C073A">
        <w:rPr>
          <w:rStyle w:val="FootnoteReference"/>
          <w:rFonts w:cs="Tahoma"/>
        </w:rPr>
        <w:footnoteReference w:id="101"/>
      </w:r>
      <w:r w:rsidR="005C073A">
        <w:rPr>
          <w:rFonts w:cs="Tahoma"/>
        </w:rPr>
        <w:t>.</w:t>
      </w:r>
    </w:p>
    <w:p w14:paraId="5B0414FD" w14:textId="290862D0" w:rsidR="00C71B30" w:rsidRPr="0077273E" w:rsidRDefault="005D6179" w:rsidP="006E7941">
      <w:pPr>
        <w:rPr>
          <w:rFonts w:cs="Tahoma"/>
        </w:rPr>
      </w:pPr>
      <w:r w:rsidRPr="0077273E">
        <w:rPr>
          <w:rFonts w:cs="Tahoma"/>
        </w:rPr>
        <w:t xml:space="preserve">Le Maroc a </w:t>
      </w:r>
      <w:r w:rsidR="00C71B30" w:rsidRPr="0077273E">
        <w:rPr>
          <w:rFonts w:cs="Tahoma"/>
        </w:rPr>
        <w:t>reconnu</w:t>
      </w:r>
      <w:r w:rsidRPr="0077273E">
        <w:rPr>
          <w:rFonts w:cs="Tahoma"/>
        </w:rPr>
        <w:t xml:space="preserve"> dans son rapport</w:t>
      </w:r>
      <w:r w:rsidR="00FC24D1">
        <w:rPr>
          <w:rFonts w:cs="Tahoma"/>
        </w:rPr>
        <w:t xml:space="preserve"> national</w:t>
      </w:r>
      <w:r w:rsidRPr="0077273E">
        <w:rPr>
          <w:rFonts w:cs="Tahoma"/>
        </w:rPr>
        <w:t xml:space="preserve"> l’existence d’un régime dérogatoire en matière d’infractions terroristes. Il a notamment justifié la </w:t>
      </w:r>
      <w:r w:rsidR="00C71B30" w:rsidRPr="0077273E">
        <w:rPr>
          <w:rFonts w:cs="Tahoma"/>
        </w:rPr>
        <w:t xml:space="preserve">durée légale </w:t>
      </w:r>
      <w:r w:rsidRPr="0077273E">
        <w:rPr>
          <w:rFonts w:cs="Tahoma"/>
        </w:rPr>
        <w:t>de garde à vue</w:t>
      </w:r>
      <w:r w:rsidR="00C71B30" w:rsidRPr="0077273E">
        <w:rPr>
          <w:rFonts w:cs="Tahoma"/>
        </w:rPr>
        <w:t xml:space="preserve"> </w:t>
      </w:r>
      <w:r w:rsidRPr="0077273E">
        <w:rPr>
          <w:rFonts w:cs="Tahoma"/>
        </w:rPr>
        <w:t>par la nécessité d’effectuer une enquête « pointilleuse »</w:t>
      </w:r>
      <w:r w:rsidRPr="0077273E">
        <w:rPr>
          <w:rStyle w:val="FootnoteReference"/>
          <w:rFonts w:cs="Tahoma"/>
        </w:rPr>
        <w:footnoteReference w:id="102"/>
      </w:r>
      <w:r w:rsidR="00C71B30" w:rsidRPr="0077273E">
        <w:rPr>
          <w:rFonts w:cs="Tahoma"/>
        </w:rPr>
        <w:t>, s</w:t>
      </w:r>
      <w:r w:rsidRPr="0077273E">
        <w:rPr>
          <w:rFonts w:cs="Tahoma"/>
        </w:rPr>
        <w:t xml:space="preserve">ans </w:t>
      </w:r>
      <w:r w:rsidR="00C71B30" w:rsidRPr="0077273E">
        <w:rPr>
          <w:rFonts w:cs="Tahoma"/>
        </w:rPr>
        <w:t xml:space="preserve">toutefois apporter de réponses aux </w:t>
      </w:r>
      <w:r w:rsidRPr="0077273E">
        <w:rPr>
          <w:rFonts w:cs="Tahoma"/>
        </w:rPr>
        <w:t>préoccupations du Comité</w:t>
      </w:r>
      <w:r w:rsidR="00C71B30" w:rsidRPr="0077273E">
        <w:rPr>
          <w:rFonts w:cs="Tahoma"/>
        </w:rPr>
        <w:t xml:space="preserve">. L’Etat partie s’était </w:t>
      </w:r>
      <w:r w:rsidR="006E7941">
        <w:rPr>
          <w:rFonts w:cs="Tahoma"/>
        </w:rPr>
        <w:t>suffi de</w:t>
      </w:r>
      <w:r w:rsidR="00C71B30" w:rsidRPr="0077273E">
        <w:rPr>
          <w:rFonts w:cs="Tahoma"/>
        </w:rPr>
        <w:t xml:space="preserve"> préciser que l’accès à un avocat en matière d’infraction terroriste pouvait exceptionnellement être retardé</w:t>
      </w:r>
      <w:r w:rsidR="00C71B30" w:rsidRPr="0077273E">
        <w:rPr>
          <w:rStyle w:val="FootnoteReference"/>
          <w:rFonts w:cs="Tahoma"/>
        </w:rPr>
        <w:footnoteReference w:id="103"/>
      </w:r>
      <w:r w:rsidR="00C71B30" w:rsidRPr="0077273E">
        <w:rPr>
          <w:rFonts w:cs="Tahoma"/>
        </w:rPr>
        <w:t>.</w:t>
      </w:r>
      <w:r w:rsidRPr="0077273E">
        <w:rPr>
          <w:rFonts w:cs="Tahoma"/>
        </w:rPr>
        <w:t xml:space="preserve"> </w:t>
      </w:r>
    </w:p>
    <w:p w14:paraId="2EFC1E13" w14:textId="221A62C9" w:rsidR="00422709" w:rsidRPr="0077273E" w:rsidRDefault="00C71B30" w:rsidP="00FC24D1">
      <w:pPr>
        <w:rPr>
          <w:rFonts w:cs="Tahoma"/>
        </w:rPr>
      </w:pPr>
      <w:r w:rsidRPr="0077273E">
        <w:rPr>
          <w:rFonts w:cs="Tahoma"/>
        </w:rPr>
        <w:t>C</w:t>
      </w:r>
      <w:r w:rsidR="00CA115A" w:rsidRPr="0077273E">
        <w:rPr>
          <w:rFonts w:cs="Tahoma"/>
        </w:rPr>
        <w:t>e</w:t>
      </w:r>
      <w:r w:rsidR="006E7941">
        <w:rPr>
          <w:rFonts w:cs="Tahoma"/>
        </w:rPr>
        <w:t xml:space="preserve"> régime dérogatoire </w:t>
      </w:r>
      <w:r w:rsidRPr="0077273E">
        <w:rPr>
          <w:rFonts w:cs="Tahoma"/>
        </w:rPr>
        <w:t>est</w:t>
      </w:r>
      <w:r w:rsidR="00DE2495">
        <w:rPr>
          <w:rFonts w:cs="Tahoma"/>
        </w:rPr>
        <w:t xml:space="preserve"> contraire</w:t>
      </w:r>
      <w:r w:rsidR="006E7941">
        <w:rPr>
          <w:rFonts w:cs="Tahoma"/>
        </w:rPr>
        <w:t xml:space="preserve"> au principe établi</w:t>
      </w:r>
      <w:r w:rsidRPr="0077273E">
        <w:rPr>
          <w:rFonts w:cs="Tahoma"/>
        </w:rPr>
        <w:t xml:space="preserve"> par l</w:t>
      </w:r>
      <w:r w:rsidR="00CA115A" w:rsidRPr="0077273E">
        <w:rPr>
          <w:rFonts w:cs="Tahoma"/>
        </w:rPr>
        <w:t xml:space="preserve">’article 9§3 du PIDCP </w:t>
      </w:r>
      <w:r w:rsidRPr="0077273E">
        <w:rPr>
          <w:rFonts w:cs="Tahoma"/>
        </w:rPr>
        <w:t xml:space="preserve">selon lequel </w:t>
      </w:r>
      <w:r w:rsidR="00CA115A" w:rsidRPr="0077273E">
        <w:rPr>
          <w:rFonts w:cs="Tahoma"/>
        </w:rPr>
        <w:t xml:space="preserve">tout suspect </w:t>
      </w:r>
      <w:r w:rsidRPr="0077273E">
        <w:rPr>
          <w:rFonts w:cs="Tahoma"/>
        </w:rPr>
        <w:t>doit être</w:t>
      </w:r>
      <w:r w:rsidR="00CA115A" w:rsidRPr="0077273E">
        <w:rPr>
          <w:rFonts w:cs="Tahoma"/>
        </w:rPr>
        <w:t xml:space="preserve"> traduit « dans le plus court délai devant un juge ou une autre autorité habilitée par la loi à exercer des fonctions judiciaires, et devra être jugé dans un délai raisonnable ou libéré », afin que toute détention dans le cadre d’une enquête ou de poursuites pénales fasse l’objet d’un contrôle juridictionnel</w:t>
      </w:r>
      <w:r w:rsidR="00CA115A" w:rsidRPr="0077273E">
        <w:rPr>
          <w:rStyle w:val="FootnoteReference"/>
          <w:rFonts w:cs="Tahoma"/>
          <w:szCs w:val="20"/>
        </w:rPr>
        <w:footnoteReference w:id="104"/>
      </w:r>
      <w:r w:rsidR="00CA115A" w:rsidRPr="0077273E">
        <w:rPr>
          <w:rFonts w:cs="Tahoma"/>
        </w:rPr>
        <w:t xml:space="preserve">. Selon le Comité des droits de l’homme, </w:t>
      </w:r>
      <w:r w:rsidR="00FC24D1">
        <w:rPr>
          <w:rFonts w:cs="Tahoma"/>
        </w:rPr>
        <w:t>48</w:t>
      </w:r>
      <w:r w:rsidR="00CA115A" w:rsidRPr="0077273E">
        <w:rPr>
          <w:rFonts w:cs="Tahoma"/>
        </w:rPr>
        <w:t xml:space="preserve"> heures suffisent généralement à transférer le suspect et à préparer l’audition judiciaire, et tout délai supérieur à </w:t>
      </w:r>
      <w:r w:rsidR="00FC24D1">
        <w:rPr>
          <w:rFonts w:cs="Tahoma"/>
        </w:rPr>
        <w:t>48</w:t>
      </w:r>
      <w:r w:rsidR="00CA115A" w:rsidRPr="0077273E">
        <w:rPr>
          <w:rFonts w:cs="Tahoma"/>
        </w:rPr>
        <w:t xml:space="preserve"> heures doit être exceptionnel et justifié par les circonstances</w:t>
      </w:r>
      <w:r w:rsidR="00CA115A" w:rsidRPr="0077273E">
        <w:rPr>
          <w:rStyle w:val="FootnoteReference"/>
          <w:rFonts w:cs="Tahoma"/>
          <w:szCs w:val="20"/>
        </w:rPr>
        <w:footnoteReference w:id="105"/>
      </w:r>
      <w:r w:rsidR="00CA115A" w:rsidRPr="0077273E">
        <w:rPr>
          <w:rFonts w:cs="Tahoma"/>
        </w:rPr>
        <w:t>.</w:t>
      </w:r>
    </w:p>
    <w:p w14:paraId="7A95BC57" w14:textId="54F64543" w:rsidR="0004193A" w:rsidRPr="0077273E" w:rsidRDefault="00C71B30" w:rsidP="00FC24D1">
      <w:pPr>
        <w:rPr>
          <w:rFonts w:cs="Tahoma"/>
        </w:rPr>
      </w:pPr>
      <w:r w:rsidRPr="0077273E">
        <w:rPr>
          <w:rFonts w:cs="Tahoma"/>
        </w:rPr>
        <w:lastRenderedPageBreak/>
        <w:t xml:space="preserve">Lors de sa visite pays </w:t>
      </w:r>
      <w:r w:rsidR="00FC24D1">
        <w:rPr>
          <w:rFonts w:cs="Tahoma"/>
        </w:rPr>
        <w:t>en</w:t>
      </w:r>
      <w:r w:rsidRPr="0077273E">
        <w:rPr>
          <w:rFonts w:cs="Tahoma"/>
        </w:rPr>
        <w:t xml:space="preserve"> décembre 2013, le Groupe de travail sur la détention arbitraire n’a pas manqué de relever une pratique régulière de la torture au moment de l’arrestation puis en détention, de la part d’agents de la Direction générale de la Surveillance du Territoire national en charge de la lutte contre le terrorisme</w:t>
      </w:r>
      <w:r w:rsidRPr="0077273E">
        <w:rPr>
          <w:rStyle w:val="FootnoteReference"/>
          <w:rFonts w:cs="Tahoma"/>
          <w:szCs w:val="20"/>
        </w:rPr>
        <w:footnoteReference w:id="106"/>
      </w:r>
      <w:r w:rsidRPr="0077273E">
        <w:rPr>
          <w:rFonts w:cs="Tahoma"/>
        </w:rPr>
        <w:t xml:space="preserve">. </w:t>
      </w:r>
    </w:p>
    <w:p w14:paraId="49E367EB" w14:textId="06CC10E8" w:rsidR="005A36B1" w:rsidRPr="00E76A76" w:rsidRDefault="005A36B1" w:rsidP="00FC24D1">
      <w:pPr>
        <w:rPr>
          <w:rFonts w:cs="Tahoma"/>
        </w:rPr>
      </w:pPr>
      <w:r w:rsidRPr="00E76A76">
        <w:rPr>
          <w:rFonts w:cs="Tahoma"/>
        </w:rPr>
        <w:t>Dans son rapport soumis au Comité</w:t>
      </w:r>
      <w:r w:rsidR="00DE2495" w:rsidRPr="00E76A76">
        <w:rPr>
          <w:rFonts w:cs="Tahoma"/>
        </w:rPr>
        <w:t>,</w:t>
      </w:r>
      <w:r w:rsidRPr="00E76A76">
        <w:rPr>
          <w:rFonts w:cs="Tahoma"/>
        </w:rPr>
        <w:t xml:space="preserve"> </w:t>
      </w:r>
      <w:r w:rsidR="00C71B30" w:rsidRPr="00E76A76">
        <w:rPr>
          <w:rFonts w:cs="Tahoma"/>
        </w:rPr>
        <w:t>l’Etat partie</w:t>
      </w:r>
      <w:r w:rsidRPr="00E76A76">
        <w:rPr>
          <w:rFonts w:cs="Tahoma"/>
        </w:rPr>
        <w:t xml:space="preserve"> </w:t>
      </w:r>
      <w:r w:rsidR="00DE2495" w:rsidRPr="00E76A76">
        <w:rPr>
          <w:rFonts w:cs="Tahoma"/>
        </w:rPr>
        <w:t xml:space="preserve">s’est contenté d’affirmer </w:t>
      </w:r>
      <w:r w:rsidRPr="00E76A76">
        <w:rPr>
          <w:rFonts w:cs="Tahoma"/>
        </w:rPr>
        <w:t>que la qualité d’officier de police judiciaire avait été attribuée aux fonctionnaires de</w:t>
      </w:r>
      <w:r w:rsidR="00FC24D1">
        <w:rPr>
          <w:rFonts w:cs="Tahoma"/>
        </w:rPr>
        <w:t xml:space="preserve"> la</w:t>
      </w:r>
      <w:r w:rsidRPr="00E76A76">
        <w:rPr>
          <w:rFonts w:cs="Tahoma"/>
        </w:rPr>
        <w:t xml:space="preserve"> </w:t>
      </w:r>
      <w:r w:rsidR="00FC24D1">
        <w:rPr>
          <w:rFonts w:cs="Tahoma"/>
        </w:rPr>
        <w:t>DST</w:t>
      </w:r>
      <w:r w:rsidRPr="00E76A76">
        <w:rPr>
          <w:rFonts w:cs="Tahoma"/>
        </w:rPr>
        <w:t xml:space="preserve"> en 2011 afin que leurs enqu</w:t>
      </w:r>
      <w:r w:rsidR="00FC24D1">
        <w:rPr>
          <w:rFonts w:cs="Tahoma"/>
        </w:rPr>
        <w:t>êtes soient supervisées par le p</w:t>
      </w:r>
      <w:r w:rsidRPr="00E76A76">
        <w:rPr>
          <w:rFonts w:cs="Tahoma"/>
        </w:rPr>
        <w:t>arquet</w:t>
      </w:r>
      <w:r w:rsidRPr="00E76A76">
        <w:rPr>
          <w:rStyle w:val="FootnoteReference"/>
          <w:rFonts w:cs="Tahoma"/>
          <w:szCs w:val="20"/>
        </w:rPr>
        <w:footnoteReference w:id="107"/>
      </w:r>
      <w:r w:rsidR="00C71B30" w:rsidRPr="00E76A76">
        <w:rPr>
          <w:rFonts w:cs="Tahoma"/>
        </w:rPr>
        <w:t xml:space="preserve">. </w:t>
      </w:r>
    </w:p>
    <w:p w14:paraId="11AFC950" w14:textId="018B352C" w:rsidR="00CA115A" w:rsidRPr="00E76A76" w:rsidRDefault="0004193A" w:rsidP="00CA115A">
      <w:pPr>
        <w:pStyle w:val="Heading3"/>
        <w:rPr>
          <w:rFonts w:cs="Tahoma"/>
          <w:lang w:val="fr-CH"/>
        </w:rPr>
      </w:pPr>
      <w:bookmarkStart w:id="153" w:name="_Toc462396126"/>
      <w:r w:rsidRPr="00E76A76">
        <w:rPr>
          <w:rFonts w:cs="Tahoma"/>
          <w:lang w:val="fr-CH"/>
        </w:rPr>
        <w:t>Détention au secret</w:t>
      </w:r>
      <w:bookmarkEnd w:id="153"/>
      <w:r w:rsidRPr="00E76A76">
        <w:rPr>
          <w:rFonts w:cs="Tahoma"/>
          <w:lang w:val="fr-CH"/>
        </w:rPr>
        <w:t xml:space="preserve"> </w:t>
      </w:r>
    </w:p>
    <w:p w14:paraId="2105591E" w14:textId="5DB29649" w:rsidR="0004193A" w:rsidRPr="0077273E" w:rsidRDefault="0004193A" w:rsidP="00FC24D1">
      <w:pPr>
        <w:rPr>
          <w:rFonts w:cs="Tahoma"/>
        </w:rPr>
      </w:pPr>
      <w:r w:rsidRPr="00E76A76">
        <w:rPr>
          <w:rFonts w:cs="Tahoma"/>
        </w:rPr>
        <w:t>La pratique de la détention au secret est interdite par la Constitution de 2011 ; si cette pratique,</w:t>
      </w:r>
      <w:r w:rsidR="00937E00" w:rsidRPr="00E76A76">
        <w:rPr>
          <w:rFonts w:cs="Tahoma"/>
        </w:rPr>
        <w:t xml:space="preserve"> </w:t>
      </w:r>
      <w:r w:rsidRPr="00E76A76">
        <w:rPr>
          <w:rFonts w:cs="Tahoma"/>
        </w:rPr>
        <w:t xml:space="preserve">dénoncée </w:t>
      </w:r>
      <w:r w:rsidR="00FC24D1">
        <w:rPr>
          <w:rFonts w:cs="Tahoma"/>
        </w:rPr>
        <w:t>par le R</w:t>
      </w:r>
      <w:r w:rsidR="00DC131D" w:rsidRPr="00E76A76">
        <w:rPr>
          <w:rFonts w:cs="Tahoma"/>
        </w:rPr>
        <w:t>apporteur</w:t>
      </w:r>
      <w:r w:rsidRPr="00E76A76">
        <w:rPr>
          <w:rFonts w:cs="Tahoma"/>
        </w:rPr>
        <w:t xml:space="preserve"> spécial sur la torture</w:t>
      </w:r>
      <w:r w:rsidRPr="00E76A76">
        <w:rPr>
          <w:rStyle w:val="FootnoteReference"/>
          <w:rFonts w:cs="Tahoma"/>
          <w:szCs w:val="20"/>
        </w:rPr>
        <w:footnoteReference w:id="108"/>
      </w:r>
      <w:r w:rsidRPr="00E76A76">
        <w:rPr>
          <w:rFonts w:cs="Tahoma"/>
        </w:rPr>
        <w:t xml:space="preserve"> tend aujourd’hui à</w:t>
      </w:r>
      <w:r w:rsidR="00DE2495" w:rsidRPr="00E76A76">
        <w:rPr>
          <w:rFonts w:cs="Tahoma"/>
        </w:rPr>
        <w:t xml:space="preserve"> disparaitre</w:t>
      </w:r>
      <w:r w:rsidRPr="00E76A76">
        <w:rPr>
          <w:rFonts w:cs="Tahoma"/>
        </w:rPr>
        <w:t>, elle a</w:t>
      </w:r>
      <w:r w:rsidR="00FC24D1">
        <w:rPr>
          <w:rFonts w:cs="Tahoma"/>
        </w:rPr>
        <w:t xml:space="preserve"> été couramment utilisée jusqu’en</w:t>
      </w:r>
      <w:r w:rsidRPr="00E76A76">
        <w:rPr>
          <w:rFonts w:cs="Tahoma"/>
        </w:rPr>
        <w:t xml:space="preserve"> 2011</w:t>
      </w:r>
      <w:r w:rsidR="00DE2495">
        <w:rPr>
          <w:rFonts w:cs="Tahoma"/>
        </w:rPr>
        <w:t>,</w:t>
      </w:r>
      <w:r w:rsidRPr="0077273E">
        <w:rPr>
          <w:rFonts w:cs="Tahoma"/>
        </w:rPr>
        <w:t xml:space="preserve"> notamment dans les affaires de terrorisme.  </w:t>
      </w:r>
    </w:p>
    <w:p w14:paraId="54AF3E76" w14:textId="5F22A601" w:rsidR="0004193A" w:rsidRPr="0077273E" w:rsidRDefault="0004193A" w:rsidP="00E11735">
      <w:pPr>
        <w:rPr>
          <w:rFonts w:cs="Tahoma"/>
        </w:rPr>
      </w:pPr>
      <w:r w:rsidRPr="0077273E">
        <w:rPr>
          <w:rFonts w:cs="Tahoma"/>
        </w:rPr>
        <w:t xml:space="preserve">En 2003, au lendemain des attentats </w:t>
      </w:r>
      <w:r w:rsidR="00E11735">
        <w:rPr>
          <w:rFonts w:cs="Tahoma"/>
        </w:rPr>
        <w:t xml:space="preserve">de </w:t>
      </w:r>
      <w:r w:rsidRPr="0077273E">
        <w:rPr>
          <w:rFonts w:cs="Tahoma"/>
        </w:rPr>
        <w:t xml:space="preserve">Casablanca, </w:t>
      </w:r>
      <w:r w:rsidR="00937E00" w:rsidRPr="0077273E">
        <w:rPr>
          <w:rFonts w:cs="Tahoma"/>
        </w:rPr>
        <w:t xml:space="preserve">de nombreux </w:t>
      </w:r>
      <w:r w:rsidR="00E11735">
        <w:rPr>
          <w:rFonts w:cs="Tahoma"/>
        </w:rPr>
        <w:t xml:space="preserve">militants islamistes </w:t>
      </w:r>
      <w:r w:rsidR="00937E00" w:rsidRPr="0077273E">
        <w:rPr>
          <w:rFonts w:cs="Tahoma"/>
        </w:rPr>
        <w:t>av</w:t>
      </w:r>
      <w:r w:rsidR="00E11735">
        <w:rPr>
          <w:rFonts w:cs="Tahoma"/>
        </w:rPr>
        <w:t>a</w:t>
      </w:r>
      <w:r w:rsidR="00937E00" w:rsidRPr="0077273E">
        <w:rPr>
          <w:rFonts w:cs="Tahoma"/>
        </w:rPr>
        <w:t>i</w:t>
      </w:r>
      <w:r w:rsidR="00E11735">
        <w:rPr>
          <w:rFonts w:cs="Tahoma"/>
        </w:rPr>
        <w:t>e</w:t>
      </w:r>
      <w:r w:rsidR="00937E00" w:rsidRPr="0077273E">
        <w:rPr>
          <w:rFonts w:cs="Tahoma"/>
        </w:rPr>
        <w:t xml:space="preserve">nt été arrêtés par les agents de la DST </w:t>
      </w:r>
      <w:r w:rsidR="00E11735">
        <w:rPr>
          <w:rFonts w:cs="Tahoma"/>
        </w:rPr>
        <w:t>et détenu</w:t>
      </w:r>
      <w:r w:rsidRPr="0077273E">
        <w:rPr>
          <w:rFonts w:cs="Tahoma"/>
        </w:rPr>
        <w:t xml:space="preserve">s au secret </w:t>
      </w:r>
      <w:r w:rsidR="00937E00" w:rsidRPr="0077273E">
        <w:rPr>
          <w:rFonts w:cs="Tahoma"/>
        </w:rPr>
        <w:t>notamment à</w:t>
      </w:r>
      <w:r w:rsidRPr="0077273E">
        <w:rPr>
          <w:rFonts w:cs="Tahoma"/>
        </w:rPr>
        <w:t xml:space="preserve"> Témara</w:t>
      </w:r>
      <w:r w:rsidRPr="0077273E">
        <w:rPr>
          <w:rStyle w:val="FootnoteReference"/>
          <w:rFonts w:cs="Tahoma"/>
          <w:szCs w:val="20"/>
        </w:rPr>
        <w:footnoteReference w:id="109"/>
      </w:r>
      <w:r w:rsidRPr="0077273E">
        <w:rPr>
          <w:rFonts w:cs="Tahoma"/>
        </w:rPr>
        <w:t>, pour y être interrogés durant plusieurs semaines, voire plusieurs mois. Ce procédé avait pour b</w:t>
      </w:r>
      <w:r w:rsidR="00E11735">
        <w:rPr>
          <w:rFonts w:cs="Tahoma"/>
        </w:rPr>
        <w:t xml:space="preserve">ut d’extorquer des aveux </w:t>
      </w:r>
      <w:r w:rsidRPr="0077273E">
        <w:rPr>
          <w:rFonts w:cs="Tahoma"/>
        </w:rPr>
        <w:t>sous la torture ou diverses</w:t>
      </w:r>
      <w:r w:rsidR="00E11735">
        <w:rPr>
          <w:rFonts w:cs="Tahoma"/>
        </w:rPr>
        <w:t xml:space="preserve"> autres formes de contraintes, aveux </w:t>
      </w:r>
      <w:r w:rsidRPr="0077273E">
        <w:rPr>
          <w:rFonts w:cs="Tahoma"/>
        </w:rPr>
        <w:t>consi</w:t>
      </w:r>
      <w:r w:rsidR="00E11735">
        <w:rPr>
          <w:rFonts w:cs="Tahoma"/>
        </w:rPr>
        <w:t xml:space="preserve">gnés par la suite </w:t>
      </w:r>
      <w:r w:rsidRPr="0077273E">
        <w:rPr>
          <w:rFonts w:cs="Tahoma"/>
        </w:rPr>
        <w:t xml:space="preserve">dans des procès-verbaux </w:t>
      </w:r>
      <w:r w:rsidR="00E11735">
        <w:rPr>
          <w:rFonts w:cs="Tahoma"/>
        </w:rPr>
        <w:t xml:space="preserve">établis par </w:t>
      </w:r>
      <w:r w:rsidRPr="0077273E">
        <w:rPr>
          <w:rFonts w:cs="Tahoma"/>
        </w:rPr>
        <w:t xml:space="preserve">la police judiciaire, </w:t>
      </w:r>
      <w:r w:rsidR="00E11735">
        <w:rPr>
          <w:rFonts w:cs="Tahoma"/>
        </w:rPr>
        <w:t>dans les locaux de laquelle les prévenus étaient transférés, et servaient de base à de lourdes condamnations pénales</w:t>
      </w:r>
      <w:r w:rsidRPr="0077273E">
        <w:rPr>
          <w:rFonts w:cs="Tahoma"/>
        </w:rPr>
        <w:t>.</w:t>
      </w:r>
    </w:p>
    <w:p w14:paraId="5D0946B8" w14:textId="1D656E1E" w:rsidR="00937E00" w:rsidRPr="0077273E" w:rsidRDefault="0004193A" w:rsidP="00E11735">
      <w:pPr>
        <w:rPr>
          <w:rFonts w:cs="Tahoma"/>
        </w:rPr>
      </w:pPr>
      <w:r w:rsidRPr="0077273E">
        <w:rPr>
          <w:rFonts w:cs="Tahoma"/>
        </w:rPr>
        <w:t xml:space="preserve">Les familles n’étaient pas informées du lieu où ces personnes étaient détenues, les autorités allant </w:t>
      </w:r>
      <w:r w:rsidR="00E11735">
        <w:rPr>
          <w:rFonts w:cs="Tahoma"/>
        </w:rPr>
        <w:t xml:space="preserve">souvent </w:t>
      </w:r>
      <w:r w:rsidRPr="0077273E">
        <w:rPr>
          <w:rFonts w:cs="Tahoma"/>
        </w:rPr>
        <w:t xml:space="preserve">jusqu’à nier leur détention. </w:t>
      </w:r>
      <w:r w:rsidR="00E11735">
        <w:rPr>
          <w:rFonts w:cs="Tahoma"/>
        </w:rPr>
        <w:t>Les dates d’arrestation</w:t>
      </w:r>
      <w:r w:rsidRPr="0077273E">
        <w:rPr>
          <w:rFonts w:cs="Tahoma"/>
        </w:rPr>
        <w:t xml:space="preserve"> étaient </w:t>
      </w:r>
      <w:r w:rsidR="00E11735">
        <w:rPr>
          <w:rFonts w:cs="Tahoma"/>
        </w:rPr>
        <w:t xml:space="preserve">systématiquement </w:t>
      </w:r>
      <w:r w:rsidR="00E11735" w:rsidRPr="0077273E">
        <w:rPr>
          <w:rFonts w:cs="Tahoma"/>
        </w:rPr>
        <w:t>remplacées</w:t>
      </w:r>
      <w:r w:rsidRPr="0077273E">
        <w:rPr>
          <w:rFonts w:cs="Tahoma"/>
        </w:rPr>
        <w:t xml:space="preserve"> dans les procès-verbaux établis par la police judiciaire</w:t>
      </w:r>
      <w:r w:rsidR="00E11735">
        <w:rPr>
          <w:rFonts w:cs="Tahoma"/>
        </w:rPr>
        <w:t xml:space="preserve"> ne prenant en compte que la date effective où la personne leur était livrée par la DST</w:t>
      </w:r>
      <w:r w:rsidRPr="0077273E">
        <w:rPr>
          <w:rFonts w:cs="Tahoma"/>
        </w:rPr>
        <w:t xml:space="preserve">. </w:t>
      </w:r>
    </w:p>
    <w:p w14:paraId="1478262B" w14:textId="01B1BA48" w:rsidR="0004193A" w:rsidRPr="0077273E" w:rsidRDefault="0004193A" w:rsidP="00096536">
      <w:pPr>
        <w:rPr>
          <w:rFonts w:cs="Tahoma"/>
        </w:rPr>
      </w:pPr>
      <w:r w:rsidRPr="0077273E">
        <w:rPr>
          <w:rFonts w:cs="Tahoma"/>
        </w:rPr>
        <w:t xml:space="preserve">C’est le cas de M. </w:t>
      </w:r>
      <w:r w:rsidRPr="0077273E">
        <w:rPr>
          <w:rFonts w:cs="Tahoma"/>
          <w:b/>
          <w:bCs/>
        </w:rPr>
        <w:t>Abdelkader Belliraj</w:t>
      </w:r>
      <w:r w:rsidR="002B68F5" w:rsidRPr="007428B8">
        <w:rPr>
          <w:rStyle w:val="FootnoteReference"/>
          <w:rFonts w:cs="Tahoma"/>
        </w:rPr>
        <w:footnoteReference w:id="110"/>
      </w:r>
      <w:r w:rsidRPr="0077273E">
        <w:rPr>
          <w:rFonts w:cs="Tahoma"/>
        </w:rPr>
        <w:t>, condamné à une peine d’emprisonnement à perpétuité à la suite d’un procès inéquitable.</w:t>
      </w:r>
      <w:r w:rsidR="00937E00" w:rsidRPr="0077273E">
        <w:rPr>
          <w:rFonts w:cs="Tahoma"/>
        </w:rPr>
        <w:t xml:space="preserve"> Il avait été a</w:t>
      </w:r>
      <w:r w:rsidRPr="0077273E">
        <w:rPr>
          <w:rFonts w:cs="Tahoma"/>
        </w:rPr>
        <w:t xml:space="preserve">rrêté sans mandat de justice </w:t>
      </w:r>
      <w:r w:rsidR="00DA123E" w:rsidRPr="0077273E">
        <w:rPr>
          <w:rFonts w:cs="Tahoma"/>
        </w:rPr>
        <w:t xml:space="preserve">le 18 janvier 2008, </w:t>
      </w:r>
      <w:r w:rsidRPr="0077273E">
        <w:rPr>
          <w:rFonts w:cs="Tahoma"/>
        </w:rPr>
        <w:t>puis d</w:t>
      </w:r>
      <w:r w:rsidR="00DA123E" w:rsidRPr="0077273E">
        <w:rPr>
          <w:rFonts w:cs="Tahoma"/>
        </w:rPr>
        <w:t>étenu au secret durant 28 jours. Accusé</w:t>
      </w:r>
      <w:r w:rsidRPr="0077273E">
        <w:rPr>
          <w:rFonts w:cs="Tahoma"/>
        </w:rPr>
        <w:t xml:space="preserve"> d’être à la tête d’un réseau terroriste</w:t>
      </w:r>
      <w:r w:rsidR="00DA123E" w:rsidRPr="0077273E">
        <w:rPr>
          <w:rFonts w:cs="Tahoma"/>
        </w:rPr>
        <w:t>, il</w:t>
      </w:r>
      <w:r w:rsidRPr="0077273E">
        <w:rPr>
          <w:rFonts w:cs="Tahoma"/>
        </w:rPr>
        <w:t xml:space="preserve"> a été soumis à de graves actes de torture dont il </w:t>
      </w:r>
      <w:r w:rsidR="00DA123E" w:rsidRPr="0077273E">
        <w:rPr>
          <w:rFonts w:cs="Tahoma"/>
        </w:rPr>
        <w:t>souffre encore d</w:t>
      </w:r>
      <w:r w:rsidRPr="0077273E">
        <w:rPr>
          <w:rFonts w:cs="Tahoma"/>
        </w:rPr>
        <w:t xml:space="preserve">es séquelles aujourd’hui. </w:t>
      </w:r>
      <w:r w:rsidR="00DA123E" w:rsidRPr="0077273E">
        <w:rPr>
          <w:rFonts w:cs="Tahoma"/>
        </w:rPr>
        <w:t xml:space="preserve">Selon la version officielle, son </w:t>
      </w:r>
      <w:r w:rsidRPr="0077273E">
        <w:rPr>
          <w:rFonts w:cs="Tahoma"/>
        </w:rPr>
        <w:t xml:space="preserve">arrestation n’aurait eu lieu que le 16 février 2008, </w:t>
      </w:r>
      <w:r w:rsidR="00DA123E" w:rsidRPr="0077273E">
        <w:rPr>
          <w:rFonts w:cs="Tahoma"/>
        </w:rPr>
        <w:t xml:space="preserve">soit un mois </w:t>
      </w:r>
      <w:r w:rsidRPr="0077273E">
        <w:rPr>
          <w:rFonts w:cs="Tahoma"/>
        </w:rPr>
        <w:t xml:space="preserve">après la </w:t>
      </w:r>
      <w:r w:rsidR="00DA123E" w:rsidRPr="0077273E">
        <w:rPr>
          <w:rFonts w:cs="Tahoma"/>
        </w:rPr>
        <w:t>date véritable de son arrestation</w:t>
      </w:r>
      <w:r w:rsidR="00096536">
        <w:rPr>
          <w:rFonts w:cs="Tahoma"/>
        </w:rPr>
        <w:t xml:space="preserve"> signalée dès le 19 janvier 2008 par sa famille</w:t>
      </w:r>
      <w:r w:rsidRPr="0077273E">
        <w:rPr>
          <w:rFonts w:cs="Tahoma"/>
        </w:rPr>
        <w:t xml:space="preserve">. </w:t>
      </w:r>
    </w:p>
    <w:p w14:paraId="605CFE2F" w14:textId="57956F76" w:rsidR="0004193A" w:rsidRPr="0077273E" w:rsidRDefault="00DA123E" w:rsidP="00096536">
      <w:pPr>
        <w:rPr>
          <w:rFonts w:cs="Tahoma"/>
        </w:rPr>
      </w:pPr>
      <w:r w:rsidRPr="0077273E">
        <w:rPr>
          <w:rFonts w:cs="Tahoma"/>
        </w:rPr>
        <w:t>Il faut également noter qu’e</w:t>
      </w:r>
      <w:r w:rsidR="0004193A" w:rsidRPr="0077273E">
        <w:rPr>
          <w:rFonts w:cs="Tahoma"/>
        </w:rPr>
        <w:t>n l’absence d’un registre centralisé répertoriant toutes les personnes placées en détention sur le territoire, les familles et avocats des détenus peinent à obtenir des informations concernant le lieu, la date et les motifs de la détention.</w:t>
      </w:r>
    </w:p>
    <w:p w14:paraId="5483862A" w14:textId="3E31EA55" w:rsidR="0004193A" w:rsidRPr="00E76A76" w:rsidRDefault="00937E00" w:rsidP="00096536">
      <w:pPr>
        <w:rPr>
          <w:rFonts w:cs="Tahoma"/>
        </w:rPr>
      </w:pPr>
      <w:r w:rsidRPr="0077273E">
        <w:rPr>
          <w:rFonts w:cs="Tahoma"/>
        </w:rPr>
        <w:t>Si cette pratique semble avoir régressé d</w:t>
      </w:r>
      <w:r w:rsidR="00096536">
        <w:rPr>
          <w:rFonts w:cs="Tahoma"/>
        </w:rPr>
        <w:t>’une manière notable depuis 2012</w:t>
      </w:r>
      <w:r w:rsidRPr="0077273E">
        <w:rPr>
          <w:rFonts w:cs="Tahoma"/>
        </w:rPr>
        <w:t>, Alkarama n’ayant pas depuis relevé de situations</w:t>
      </w:r>
      <w:r w:rsidR="00096536">
        <w:rPr>
          <w:rFonts w:cs="Tahoma"/>
        </w:rPr>
        <w:t xml:space="preserve"> analogues</w:t>
      </w:r>
      <w:r w:rsidRPr="0077273E">
        <w:rPr>
          <w:rFonts w:cs="Tahoma"/>
        </w:rPr>
        <w:t>, les personnes condamnées sur la base d</w:t>
      </w:r>
      <w:r w:rsidR="00DA123E" w:rsidRPr="0077273E">
        <w:rPr>
          <w:rFonts w:cs="Tahoma"/>
        </w:rPr>
        <w:t>’aveux extorqués durant de longues périodes de détention au secret restent à ce jour détenues</w:t>
      </w:r>
      <w:r w:rsidR="00242038" w:rsidRPr="0077273E">
        <w:rPr>
          <w:rFonts w:cs="Tahoma"/>
        </w:rPr>
        <w:t xml:space="preserve">, les autorités invoquant le caractère </w:t>
      </w:r>
      <w:r w:rsidR="00242038" w:rsidRPr="00E76A76">
        <w:rPr>
          <w:rFonts w:cs="Tahoma"/>
        </w:rPr>
        <w:t xml:space="preserve">définitif des condamnations prononcées. </w:t>
      </w:r>
    </w:p>
    <w:p w14:paraId="1F155A5F" w14:textId="63A89503" w:rsidR="00F50BF5" w:rsidRPr="002B68F5" w:rsidRDefault="00242038" w:rsidP="002B68F5">
      <w:pPr>
        <w:pStyle w:val="Heading2"/>
      </w:pPr>
      <w:bookmarkStart w:id="154" w:name="_Toc462396127"/>
      <w:r w:rsidRPr="00E76A76">
        <w:t>T</w:t>
      </w:r>
      <w:r w:rsidR="00CA115A" w:rsidRPr="00E76A76">
        <w:t>orture</w:t>
      </w:r>
      <w:r w:rsidRPr="00E76A76">
        <w:t xml:space="preserve"> et lutte antiterroriste</w:t>
      </w:r>
      <w:bookmarkEnd w:id="154"/>
      <w:r w:rsidR="00CA115A" w:rsidRPr="00E76A76">
        <w:t xml:space="preserve"> </w:t>
      </w:r>
    </w:p>
    <w:p w14:paraId="11389FF8" w14:textId="18D0DED2" w:rsidR="00F50BF5" w:rsidRDefault="00341760" w:rsidP="00F50BF5">
      <w:pPr>
        <w:pStyle w:val="Heading3"/>
      </w:pPr>
      <w:bookmarkStart w:id="155" w:name="_Toc462396128"/>
      <w:r>
        <w:t>La pratique de la t</w:t>
      </w:r>
      <w:r w:rsidR="00F50BF5">
        <w:t>orture</w:t>
      </w:r>
      <w:bookmarkEnd w:id="155"/>
      <w:r w:rsidR="00F50BF5">
        <w:t xml:space="preserve"> </w:t>
      </w:r>
    </w:p>
    <w:p w14:paraId="7FDCFD4A" w14:textId="6DC475A1" w:rsidR="005A36B1" w:rsidRPr="00E76A76" w:rsidRDefault="005A36B1" w:rsidP="00242038">
      <w:pPr>
        <w:rPr>
          <w:rFonts w:cs="Tahoma"/>
        </w:rPr>
      </w:pPr>
      <w:r w:rsidRPr="00C914DE">
        <w:rPr>
          <w:rFonts w:cs="Tahoma"/>
        </w:rPr>
        <w:t>Le Comité avait exprimé sa préoccupation quant aux constatations du GTDA et du RST suite à leurs visites</w:t>
      </w:r>
      <w:r w:rsidR="00341760" w:rsidRPr="00C914DE">
        <w:rPr>
          <w:rFonts w:cs="Tahoma"/>
        </w:rPr>
        <w:t xml:space="preserve"> du pays</w:t>
      </w:r>
      <w:r w:rsidRPr="00C914DE">
        <w:rPr>
          <w:rFonts w:cs="Tahoma"/>
        </w:rPr>
        <w:t>, faisant état d’une pratique systématique de la torture et des mauvais traitements lors de l’arrestation et pendant la détention dans les affaires de terrorisme</w:t>
      </w:r>
      <w:r w:rsidR="00C914DE" w:rsidRPr="00C914DE">
        <w:rPr>
          <w:rStyle w:val="FootnoteReference"/>
          <w:rFonts w:cs="Tahoma"/>
        </w:rPr>
        <w:footnoteReference w:id="111"/>
      </w:r>
      <w:r w:rsidRPr="00C914DE">
        <w:rPr>
          <w:rFonts w:cs="Tahoma"/>
        </w:rPr>
        <w:t>.</w:t>
      </w:r>
      <w:r w:rsidRPr="00E76A76">
        <w:rPr>
          <w:rFonts w:cs="Tahoma"/>
        </w:rPr>
        <w:t xml:space="preserve"> </w:t>
      </w:r>
    </w:p>
    <w:p w14:paraId="6A6CC677" w14:textId="679C4C61" w:rsidR="00801C33" w:rsidRPr="0077273E" w:rsidRDefault="00801C33" w:rsidP="00341760">
      <w:pPr>
        <w:rPr>
          <w:rFonts w:cs="Tahoma"/>
        </w:rPr>
      </w:pPr>
      <w:r w:rsidRPr="00E76A76">
        <w:rPr>
          <w:rFonts w:cs="Tahoma"/>
        </w:rPr>
        <w:t xml:space="preserve">Dans le cadre de sa visite au Maroc en décembre 2013, le </w:t>
      </w:r>
      <w:r w:rsidR="00341760">
        <w:rPr>
          <w:rFonts w:cs="Tahoma"/>
        </w:rPr>
        <w:t>GTDA</w:t>
      </w:r>
      <w:r w:rsidRPr="00E76A76">
        <w:rPr>
          <w:rFonts w:cs="Tahoma"/>
        </w:rPr>
        <w:t xml:space="preserve"> a souligné que la torture et les mauvais traitements constituaient toujours une « pratique ancrée » pour des affaires considérées comme </w:t>
      </w:r>
      <w:r w:rsidRPr="00E76A76">
        <w:rPr>
          <w:rFonts w:cs="Tahoma"/>
        </w:rPr>
        <w:lastRenderedPageBreak/>
        <w:t>relevant de la sûreté de l’Etat, à savoir les affaires de terrorisme, d’appartenance à des mouvements islamistes ou d’appui à l’indépendance pour le Sahara occidental</w:t>
      </w:r>
      <w:r w:rsidRPr="00E76A76">
        <w:rPr>
          <w:rStyle w:val="FootnoteReference"/>
          <w:rFonts w:cs="Tahoma"/>
          <w:szCs w:val="20"/>
        </w:rPr>
        <w:footnoteReference w:id="112"/>
      </w:r>
      <w:r w:rsidRPr="00E76A76">
        <w:rPr>
          <w:rFonts w:cs="Tahoma"/>
        </w:rPr>
        <w:t>.</w:t>
      </w:r>
      <w:r w:rsidRPr="0077273E">
        <w:rPr>
          <w:rFonts w:cs="Tahoma"/>
        </w:rPr>
        <w:t xml:space="preserve"> </w:t>
      </w:r>
    </w:p>
    <w:p w14:paraId="084258DF" w14:textId="5946EBBA" w:rsidR="00242038" w:rsidRPr="0077273E" w:rsidRDefault="00801C33" w:rsidP="00242038">
      <w:pPr>
        <w:rPr>
          <w:rFonts w:cs="Tahoma"/>
        </w:rPr>
      </w:pPr>
      <w:r w:rsidRPr="0077273E">
        <w:rPr>
          <w:rFonts w:cs="Tahoma"/>
        </w:rPr>
        <w:t>D</w:t>
      </w:r>
      <w:r w:rsidR="00242038" w:rsidRPr="0077273E">
        <w:rPr>
          <w:rFonts w:cs="Tahoma"/>
        </w:rPr>
        <w:t>e nombreux cas documentés par Alkarama et soumis depuis 2004 aux diverses procédures spéciales nous permettent de confirmer l</w:t>
      </w:r>
      <w:r w:rsidR="00CA115A" w:rsidRPr="0077273E">
        <w:rPr>
          <w:rFonts w:cs="Tahoma"/>
        </w:rPr>
        <w:t xml:space="preserve">a pratique systématique de la torture jusqu’à 2011 </w:t>
      </w:r>
      <w:r w:rsidR="00242038" w:rsidRPr="0077273E">
        <w:rPr>
          <w:rFonts w:cs="Tahoma"/>
        </w:rPr>
        <w:t xml:space="preserve">dans les affaires de </w:t>
      </w:r>
      <w:r w:rsidR="00CA115A" w:rsidRPr="0077273E">
        <w:rPr>
          <w:rFonts w:cs="Tahoma"/>
        </w:rPr>
        <w:t>terrorisme</w:t>
      </w:r>
      <w:r w:rsidR="00242038" w:rsidRPr="0077273E">
        <w:rPr>
          <w:rFonts w:cs="Tahoma"/>
        </w:rPr>
        <w:t>. La torture a en effet été largement utilisée durant cette période dans le but d’obtenir des</w:t>
      </w:r>
      <w:r w:rsidR="00096536">
        <w:rPr>
          <w:rFonts w:cs="Tahoma"/>
        </w:rPr>
        <w:t xml:space="preserve"> aveux, utilisés dans le cadre l</w:t>
      </w:r>
      <w:r w:rsidR="00242038" w:rsidRPr="0077273E">
        <w:rPr>
          <w:rFonts w:cs="Tahoma"/>
        </w:rPr>
        <w:t>es procès dits de la « </w:t>
      </w:r>
      <w:r w:rsidR="00242038" w:rsidRPr="0077273E">
        <w:rPr>
          <w:rFonts w:cs="Tahoma"/>
          <w:i/>
          <w:iCs/>
        </w:rPr>
        <w:t>salafya djihadya</w:t>
      </w:r>
      <w:r w:rsidR="00242038" w:rsidRPr="0077273E">
        <w:rPr>
          <w:rFonts w:cs="Tahoma"/>
        </w:rPr>
        <w:t xml:space="preserve"> ». </w:t>
      </w:r>
    </w:p>
    <w:p w14:paraId="2B1DFDF9" w14:textId="0CDB814B" w:rsidR="00CA115A" w:rsidRPr="0077273E" w:rsidRDefault="00CA115A" w:rsidP="00C914DE">
      <w:pPr>
        <w:rPr>
          <w:rFonts w:cs="Tahoma"/>
        </w:rPr>
      </w:pPr>
      <w:r w:rsidRPr="0077273E">
        <w:rPr>
          <w:rFonts w:cs="Tahoma"/>
        </w:rPr>
        <w:t xml:space="preserve">Selon la jurisprudence du Comité des droits de l’homme, l’obtention d’aveux sous la torture constitue une forme d’auto-incrimination prohibée par l’article 14, paragraphe 3, alinéa </w:t>
      </w:r>
      <w:r w:rsidRPr="0077273E">
        <w:rPr>
          <w:rFonts w:cs="Tahoma"/>
          <w:i/>
          <w:iCs/>
        </w:rPr>
        <w:t>g</w:t>
      </w:r>
      <w:r w:rsidRPr="0077273E">
        <w:rPr>
          <w:rFonts w:cs="Tahoma"/>
        </w:rPr>
        <w:t xml:space="preserve"> du </w:t>
      </w:r>
      <w:r w:rsidR="00C914DE">
        <w:rPr>
          <w:rFonts w:cs="Tahoma"/>
        </w:rPr>
        <w:t>PIDCP</w:t>
      </w:r>
      <w:r w:rsidRPr="0077273E">
        <w:rPr>
          <w:rFonts w:cs="Tahoma"/>
        </w:rPr>
        <w:t>, e</w:t>
      </w:r>
      <w:r w:rsidR="00242038" w:rsidRPr="0077273E">
        <w:rPr>
          <w:rFonts w:cs="Tahoma"/>
        </w:rPr>
        <w:t>t, par là même, une violation de cet article</w:t>
      </w:r>
      <w:r w:rsidRPr="0077273E">
        <w:rPr>
          <w:rStyle w:val="FootnoteReference"/>
          <w:rFonts w:cs="Tahoma"/>
          <w:szCs w:val="20"/>
        </w:rPr>
        <w:footnoteReference w:id="113"/>
      </w:r>
      <w:r w:rsidRPr="0077273E">
        <w:rPr>
          <w:rFonts w:cs="Tahoma"/>
        </w:rPr>
        <w:t>.</w:t>
      </w:r>
    </w:p>
    <w:p w14:paraId="5A00DF29" w14:textId="137FF962" w:rsidR="00801C33" w:rsidRPr="0077273E" w:rsidRDefault="00801C33" w:rsidP="00F50BF5">
      <w:pPr>
        <w:pStyle w:val="Heading3"/>
      </w:pPr>
      <w:bookmarkStart w:id="156" w:name="_Toc462396129"/>
      <w:r w:rsidRPr="0077273E">
        <w:t>Traitements cruels, inhumains et dégradants en détention</w:t>
      </w:r>
      <w:bookmarkEnd w:id="156"/>
      <w:r w:rsidRPr="0077273E">
        <w:t xml:space="preserve"> </w:t>
      </w:r>
    </w:p>
    <w:p w14:paraId="38A5031D" w14:textId="4494F304" w:rsidR="00CA115A" w:rsidRPr="0077273E" w:rsidRDefault="00096536" w:rsidP="00E76A76">
      <w:pPr>
        <w:rPr>
          <w:rFonts w:cs="Tahoma"/>
        </w:rPr>
      </w:pPr>
      <w:r>
        <w:rPr>
          <w:rFonts w:cs="Tahoma"/>
        </w:rPr>
        <w:t>Si la pratique de la torture et</w:t>
      </w:r>
      <w:r w:rsidR="00E76A76">
        <w:rPr>
          <w:rFonts w:cs="Tahoma"/>
        </w:rPr>
        <w:t>/ou</w:t>
      </w:r>
      <w:r>
        <w:rPr>
          <w:rFonts w:cs="Tahoma"/>
        </w:rPr>
        <w:t xml:space="preserve"> des mauvais traitements a notablement régressé dans le cadre de la garde à vue, elle reste préoccupante dans les établissements pénitentiaires relativement aux</w:t>
      </w:r>
      <w:r w:rsidR="00242038" w:rsidRPr="0077273E">
        <w:rPr>
          <w:rFonts w:cs="Tahoma"/>
        </w:rPr>
        <w:t xml:space="preserve"> détenus condamnés dans des affaires </w:t>
      </w:r>
      <w:r>
        <w:rPr>
          <w:rFonts w:cs="Tahoma"/>
        </w:rPr>
        <w:t xml:space="preserve">dites </w:t>
      </w:r>
      <w:r w:rsidR="00242038" w:rsidRPr="0077273E">
        <w:rPr>
          <w:rFonts w:cs="Tahoma"/>
        </w:rPr>
        <w:t>de terrorisme</w:t>
      </w:r>
      <w:r w:rsidR="00C914DE">
        <w:rPr>
          <w:rFonts w:cs="Tahoma"/>
        </w:rPr>
        <w:t>.</w:t>
      </w:r>
      <w:r w:rsidR="00242038" w:rsidRPr="0077273E">
        <w:rPr>
          <w:rFonts w:cs="Tahoma"/>
        </w:rPr>
        <w:t xml:space="preserve"> </w:t>
      </w:r>
      <w:r>
        <w:rPr>
          <w:rFonts w:cs="Tahoma"/>
        </w:rPr>
        <w:t xml:space="preserve">De nombreux cas </w:t>
      </w:r>
      <w:r w:rsidR="00E76A76">
        <w:rPr>
          <w:rFonts w:cs="Tahoma"/>
        </w:rPr>
        <w:t xml:space="preserve">de mauvais traitements de détenus </w:t>
      </w:r>
      <w:r>
        <w:rPr>
          <w:rFonts w:cs="Tahoma"/>
        </w:rPr>
        <w:t>sont</w:t>
      </w:r>
      <w:r w:rsidR="00C914DE">
        <w:rPr>
          <w:rFonts w:cs="Tahoma"/>
        </w:rPr>
        <w:t xml:space="preserve"> ainsi</w:t>
      </w:r>
      <w:r>
        <w:rPr>
          <w:rFonts w:cs="Tahoma"/>
        </w:rPr>
        <w:t xml:space="preserve"> régulièrement rapportés à Alkarama</w:t>
      </w:r>
      <w:r w:rsidR="00E76A76">
        <w:rPr>
          <w:rFonts w:cs="Tahoma"/>
        </w:rPr>
        <w:t>. L’administration pénitentiaire réprime toute velléité de protestation des détenus qui engagent souvent des grèves de la faim pour protester contre leurs condamnations à la suite de procès inéquitables ou contre</w:t>
      </w:r>
      <w:r w:rsidR="006C774D">
        <w:rPr>
          <w:rFonts w:cs="Tahoma"/>
        </w:rPr>
        <w:t xml:space="preserve"> leurs conditions de détention.</w:t>
      </w:r>
      <w:r>
        <w:rPr>
          <w:rFonts w:cs="Tahoma"/>
        </w:rPr>
        <w:t xml:space="preserve"> </w:t>
      </w:r>
      <w:r w:rsidR="00E76A76">
        <w:rPr>
          <w:rFonts w:cs="Tahoma"/>
        </w:rPr>
        <w:t>L</w:t>
      </w:r>
      <w:r w:rsidR="00242038" w:rsidRPr="0077273E">
        <w:rPr>
          <w:rFonts w:cs="Tahoma"/>
        </w:rPr>
        <w:t xml:space="preserve">e </w:t>
      </w:r>
      <w:r w:rsidR="00CA115A" w:rsidRPr="0077273E">
        <w:rPr>
          <w:rFonts w:cs="Tahoma"/>
        </w:rPr>
        <w:t>R</w:t>
      </w:r>
      <w:r w:rsidR="00801C33" w:rsidRPr="0077273E">
        <w:rPr>
          <w:rFonts w:cs="Tahoma"/>
        </w:rPr>
        <w:t>ST a confirmé cette pratique</w:t>
      </w:r>
      <w:r w:rsidR="00242038" w:rsidRPr="0077273E">
        <w:rPr>
          <w:rFonts w:cs="Tahoma"/>
        </w:rPr>
        <w:t xml:space="preserve"> lors de sa </w:t>
      </w:r>
      <w:r w:rsidR="00CA115A" w:rsidRPr="0077273E">
        <w:rPr>
          <w:rFonts w:cs="Tahoma"/>
        </w:rPr>
        <w:t xml:space="preserve">visite </w:t>
      </w:r>
      <w:r w:rsidR="00801C33" w:rsidRPr="0077273E">
        <w:rPr>
          <w:rFonts w:cs="Tahoma"/>
        </w:rPr>
        <w:t xml:space="preserve">au Maroc et a notamment relevé un </w:t>
      </w:r>
      <w:r w:rsidR="00CA115A" w:rsidRPr="0077273E">
        <w:rPr>
          <w:rFonts w:cs="Tahoma"/>
        </w:rPr>
        <w:t>recours excessif à l’isolement cellulaire en guise de mesure disciplinaire</w:t>
      </w:r>
      <w:r w:rsidR="00CA115A" w:rsidRPr="0077273E">
        <w:rPr>
          <w:rStyle w:val="FootnoteReference"/>
          <w:rFonts w:cs="Tahoma"/>
          <w:szCs w:val="20"/>
        </w:rPr>
        <w:footnoteReference w:id="114"/>
      </w:r>
      <w:r w:rsidR="00CA115A" w:rsidRPr="0077273E">
        <w:rPr>
          <w:rFonts w:cs="Tahoma"/>
        </w:rPr>
        <w:t>.</w:t>
      </w:r>
    </w:p>
    <w:p w14:paraId="389CBB14" w14:textId="4F337A07" w:rsidR="00242038" w:rsidRPr="0077273E" w:rsidRDefault="00801C33" w:rsidP="00801C33">
      <w:pPr>
        <w:rPr>
          <w:rFonts w:cs="Tahoma"/>
        </w:rPr>
      </w:pPr>
      <w:r w:rsidRPr="0077273E">
        <w:rPr>
          <w:rFonts w:cs="Tahoma"/>
        </w:rPr>
        <w:t>Le</w:t>
      </w:r>
      <w:r w:rsidR="00242038" w:rsidRPr="0077273E">
        <w:rPr>
          <w:rFonts w:cs="Tahoma"/>
        </w:rPr>
        <w:t xml:space="preserve"> Comité avait </w:t>
      </w:r>
      <w:r w:rsidRPr="0077273E">
        <w:rPr>
          <w:rFonts w:cs="Tahoma"/>
        </w:rPr>
        <w:t xml:space="preserve">également questionné </w:t>
      </w:r>
      <w:r w:rsidR="00242038" w:rsidRPr="0077273E">
        <w:rPr>
          <w:rFonts w:cs="Tahoma"/>
        </w:rPr>
        <w:t>les autorités à propos du recours à l’isolement cellulaire comme mesure disciplinaire en détention contre les personnes condamnées pour terrorisme, parfois pendant de longues périodes</w:t>
      </w:r>
      <w:r w:rsidR="00242038" w:rsidRPr="0077273E">
        <w:rPr>
          <w:rStyle w:val="FootnoteReference"/>
          <w:rFonts w:cs="Tahoma"/>
        </w:rPr>
        <w:footnoteReference w:id="115"/>
      </w:r>
      <w:r w:rsidR="00242038" w:rsidRPr="0077273E">
        <w:rPr>
          <w:rFonts w:cs="Tahoma"/>
        </w:rPr>
        <w:t>.</w:t>
      </w:r>
    </w:p>
    <w:p w14:paraId="725216B1" w14:textId="3E553894" w:rsidR="00422709" w:rsidRPr="0077273E" w:rsidRDefault="00242038" w:rsidP="00801C33">
      <w:pPr>
        <w:rPr>
          <w:rFonts w:cs="Tahoma"/>
        </w:rPr>
      </w:pPr>
      <w:r w:rsidRPr="0077273E">
        <w:rPr>
          <w:rFonts w:cs="Tahoma"/>
        </w:rPr>
        <w:t xml:space="preserve">Dans sa réponse, le Maroc a nié que la torture était pratiquée de manière quasi systématique </w:t>
      </w:r>
      <w:r w:rsidR="00801C33" w:rsidRPr="0077273E">
        <w:rPr>
          <w:rFonts w:cs="Tahoma"/>
        </w:rPr>
        <w:t>dans de telles affaires, affirmant</w:t>
      </w:r>
      <w:r w:rsidRPr="0077273E">
        <w:rPr>
          <w:rFonts w:cs="Tahoma"/>
        </w:rPr>
        <w:t xml:space="preserve"> que tous les suspects, sans exception, bénéficiaient des mêmes garanties procédurales et que l’isolement n’était utilisé que de manière exceptionnelle, à des fins sécuritaires ou sanitaires et non comme mesure disciplinaire à l’encontre des personnes condamnées pour terrorisme</w:t>
      </w:r>
      <w:r w:rsidRPr="0077273E">
        <w:rPr>
          <w:rStyle w:val="FootnoteReference"/>
          <w:rFonts w:cs="Tahoma"/>
        </w:rPr>
        <w:footnoteReference w:id="116"/>
      </w:r>
      <w:r w:rsidRPr="0077273E">
        <w:rPr>
          <w:rFonts w:cs="Tahoma"/>
        </w:rPr>
        <w:t xml:space="preserve">. </w:t>
      </w:r>
    </w:p>
    <w:p w14:paraId="1099894F" w14:textId="0DF32390" w:rsidR="00CA115A" w:rsidRPr="006C774D" w:rsidRDefault="00CA115A" w:rsidP="00CF3EDC">
      <w:pPr>
        <w:pStyle w:val="Body"/>
        <w:spacing w:after="120"/>
        <w:rPr>
          <w:b/>
          <w:sz w:val="20"/>
          <w:szCs w:val="20"/>
        </w:rPr>
      </w:pPr>
      <w:r w:rsidRPr="006C774D">
        <w:rPr>
          <w:b/>
          <w:sz w:val="20"/>
          <w:szCs w:val="20"/>
        </w:rPr>
        <w:t>Recommandations</w:t>
      </w:r>
      <w:r w:rsidR="006C774D" w:rsidRPr="006C774D">
        <w:rPr>
          <w:b/>
          <w:sz w:val="20"/>
          <w:szCs w:val="20"/>
        </w:rPr>
        <w:t> :</w:t>
      </w:r>
      <w:r w:rsidRPr="006C774D">
        <w:rPr>
          <w:b/>
          <w:sz w:val="20"/>
          <w:szCs w:val="20"/>
        </w:rPr>
        <w:t xml:space="preserve"> </w:t>
      </w:r>
    </w:p>
    <w:p w14:paraId="08E933B3" w14:textId="77777777" w:rsidR="006C774D" w:rsidRPr="006C774D" w:rsidRDefault="00FB382C" w:rsidP="00E332A4">
      <w:pPr>
        <w:pStyle w:val="ListParagraph"/>
        <w:numPr>
          <w:ilvl w:val="1"/>
          <w:numId w:val="11"/>
        </w:numPr>
        <w:spacing w:after="120" w:line="240" w:lineRule="auto"/>
        <w:ind w:left="567" w:hanging="425"/>
        <w:jc w:val="both"/>
        <w:rPr>
          <w:rFonts w:ascii="Tahoma" w:eastAsia="Times New Roman" w:hAnsi="Tahoma" w:cs="Tahoma"/>
          <w:sz w:val="20"/>
          <w:szCs w:val="20"/>
        </w:rPr>
      </w:pPr>
      <w:r w:rsidRPr="006C774D">
        <w:rPr>
          <w:rFonts w:ascii="Tahoma" w:eastAsia="Times New Roman" w:hAnsi="Tahoma" w:cs="Tahoma"/>
          <w:sz w:val="20"/>
          <w:szCs w:val="20"/>
        </w:rPr>
        <w:t>Modifier la loi n°03-03 contre le terrorisme de manière à garantir le respect des droits fondamentaux des personnes poursuivies et réduire la durée légale de garde à vue conformément aux standards internationaux applicables ;</w:t>
      </w:r>
    </w:p>
    <w:p w14:paraId="007D6433" w14:textId="70C1E01E" w:rsidR="006C774D" w:rsidRPr="006C774D" w:rsidRDefault="00FB382C" w:rsidP="00E332A4">
      <w:pPr>
        <w:pStyle w:val="ListParagraph"/>
        <w:numPr>
          <w:ilvl w:val="1"/>
          <w:numId w:val="11"/>
        </w:numPr>
        <w:spacing w:after="120" w:line="240" w:lineRule="auto"/>
        <w:ind w:left="567" w:hanging="425"/>
        <w:jc w:val="both"/>
        <w:rPr>
          <w:rFonts w:ascii="Tahoma" w:eastAsia="Times New Roman" w:hAnsi="Tahoma" w:cs="Tahoma"/>
          <w:sz w:val="20"/>
          <w:szCs w:val="20"/>
        </w:rPr>
      </w:pPr>
      <w:r w:rsidRPr="006C774D">
        <w:rPr>
          <w:rFonts w:ascii="Tahoma" w:eastAsia="Times New Roman" w:hAnsi="Tahoma" w:cs="Tahoma"/>
          <w:sz w:val="20"/>
          <w:szCs w:val="20"/>
        </w:rPr>
        <w:t>Adopter une définition du terrorisme précise et confor</w:t>
      </w:r>
      <w:r w:rsidR="00801C33" w:rsidRPr="006C774D">
        <w:rPr>
          <w:rFonts w:ascii="Tahoma" w:eastAsia="Times New Roman" w:hAnsi="Tahoma" w:cs="Tahoma"/>
          <w:sz w:val="20"/>
          <w:szCs w:val="20"/>
        </w:rPr>
        <w:t>m</w:t>
      </w:r>
      <w:r w:rsidR="006C774D" w:rsidRPr="006C774D">
        <w:rPr>
          <w:rFonts w:ascii="Tahoma" w:eastAsia="Times New Roman" w:hAnsi="Tahoma" w:cs="Tahoma"/>
          <w:sz w:val="20"/>
          <w:szCs w:val="20"/>
        </w:rPr>
        <w:t>e aux standards internationaux</w:t>
      </w:r>
      <w:r w:rsidR="00CF3EDC">
        <w:rPr>
          <w:rFonts w:ascii="Tahoma" w:eastAsia="Times New Roman" w:hAnsi="Tahoma" w:cs="Tahoma"/>
          <w:sz w:val="20"/>
          <w:szCs w:val="20"/>
        </w:rPr>
        <w:t> ;</w:t>
      </w:r>
      <w:r w:rsidR="006C774D" w:rsidRPr="006C774D">
        <w:rPr>
          <w:rFonts w:ascii="Tahoma" w:eastAsia="Times New Roman" w:hAnsi="Tahoma" w:cs="Tahoma"/>
          <w:sz w:val="20"/>
          <w:szCs w:val="20"/>
        </w:rPr>
        <w:t> </w:t>
      </w:r>
    </w:p>
    <w:p w14:paraId="454B0324" w14:textId="1367CBEB" w:rsidR="00CA115A" w:rsidRPr="006C774D" w:rsidRDefault="00E76A76" w:rsidP="00E332A4">
      <w:pPr>
        <w:pStyle w:val="ListParagraph"/>
        <w:numPr>
          <w:ilvl w:val="1"/>
          <w:numId w:val="11"/>
        </w:numPr>
        <w:spacing w:after="120" w:line="240" w:lineRule="auto"/>
        <w:ind w:left="567" w:hanging="425"/>
        <w:jc w:val="both"/>
        <w:rPr>
          <w:rFonts w:ascii="Tahoma" w:eastAsia="Times New Roman" w:hAnsi="Tahoma" w:cs="Tahoma"/>
          <w:sz w:val="20"/>
          <w:szCs w:val="20"/>
        </w:rPr>
      </w:pPr>
      <w:r w:rsidRPr="006C774D">
        <w:rPr>
          <w:rFonts w:ascii="Tahoma" w:eastAsia="Times New Roman" w:hAnsi="Tahoma" w:cs="Tahoma"/>
          <w:sz w:val="20"/>
          <w:szCs w:val="20"/>
        </w:rPr>
        <w:t>Mettre un terme définitif aux traitements cruels, inhumains et dégradants des détenus dans tous les établissements pénitentiaires.</w:t>
      </w:r>
    </w:p>
    <w:p w14:paraId="68864BB2" w14:textId="3EAFA056" w:rsidR="00EC53CD" w:rsidRPr="0077273E" w:rsidRDefault="008F5E3A" w:rsidP="00DD12D7">
      <w:pPr>
        <w:pStyle w:val="Heading1"/>
        <w:rPr>
          <w:lang w:val="fr-CH"/>
        </w:rPr>
      </w:pPr>
      <w:bookmarkStart w:id="157" w:name="_Toc452041628"/>
      <w:bookmarkStart w:id="158" w:name="_Toc462396130"/>
      <w:r w:rsidRPr="0077273E">
        <w:rPr>
          <w:lang w:val="fr-CH"/>
        </w:rPr>
        <w:t>Liberté d’opinion et d’expression</w:t>
      </w:r>
      <w:bookmarkEnd w:id="157"/>
      <w:r w:rsidR="00CF3EDC">
        <w:rPr>
          <w:lang w:val="fr-CH"/>
        </w:rPr>
        <w:t>, l</w:t>
      </w:r>
      <w:r w:rsidR="00BA5D9B" w:rsidRPr="0077273E">
        <w:rPr>
          <w:lang w:val="fr-CH"/>
        </w:rPr>
        <w:t>iberté d’association et de réunion pacifique</w:t>
      </w:r>
      <w:bookmarkEnd w:id="158"/>
      <w:r w:rsidR="00BA5D9B" w:rsidRPr="0077273E">
        <w:rPr>
          <w:lang w:val="fr-CH"/>
        </w:rPr>
        <w:t xml:space="preserve"> </w:t>
      </w:r>
    </w:p>
    <w:p w14:paraId="5465A37D" w14:textId="77777777" w:rsidR="00047254" w:rsidRPr="00E76A76" w:rsidRDefault="00047254" w:rsidP="00047254">
      <w:pPr>
        <w:rPr>
          <w:rFonts w:cs="Tahoma"/>
        </w:rPr>
      </w:pPr>
      <w:r w:rsidRPr="00E76A76">
        <w:rPr>
          <w:rFonts w:cs="Tahoma"/>
        </w:rPr>
        <w:t>Le Comité a invité le Maroc à s’expliquer sur les restrictions à l’enregistrement d’associations et syndicats, à l’exercice de leurs activités, à l’organisation de réunions pacifiques, à la persistance de la pratique des détentions arbitraires et de la torture à l’encontre d’acteurs de la société civile et aux entraves à leur libre circulation, notamment au Sahara occidental, aux tentatives d’intimidation dont font l’objet certains journalistes ainsi qu’aux condamnations à des peines de prison prononcées à leur encontre pour avoir exercé leur droit à la liberté d’opinion ou d’expression</w:t>
      </w:r>
      <w:r w:rsidRPr="00E76A76">
        <w:rPr>
          <w:rStyle w:val="FootnoteReference"/>
          <w:rFonts w:cs="Tahoma"/>
        </w:rPr>
        <w:footnoteReference w:id="117"/>
      </w:r>
      <w:r w:rsidRPr="00E76A76">
        <w:rPr>
          <w:rFonts w:cs="Tahoma"/>
        </w:rPr>
        <w:t xml:space="preserve">. </w:t>
      </w:r>
    </w:p>
    <w:p w14:paraId="7ED0C7B0" w14:textId="77777777" w:rsidR="008A714A" w:rsidRPr="0077273E" w:rsidRDefault="008A714A" w:rsidP="008A714A">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lang w:val="en-GB"/>
        </w:rPr>
      </w:pPr>
      <w:bookmarkStart w:id="159" w:name="_Toc461815073"/>
      <w:bookmarkStart w:id="160" w:name="_Toc461815129"/>
      <w:bookmarkStart w:id="161" w:name="_Toc461815565"/>
      <w:bookmarkStart w:id="162" w:name="_Toc461820235"/>
      <w:bookmarkStart w:id="163" w:name="_Toc462042440"/>
      <w:bookmarkStart w:id="164" w:name="_Toc462150440"/>
      <w:bookmarkStart w:id="165" w:name="_Toc462330117"/>
      <w:bookmarkStart w:id="166" w:name="_Toc462330371"/>
      <w:bookmarkStart w:id="167" w:name="_Toc462396067"/>
      <w:bookmarkStart w:id="168" w:name="_Toc462396131"/>
      <w:bookmarkEnd w:id="159"/>
      <w:bookmarkEnd w:id="160"/>
      <w:bookmarkEnd w:id="161"/>
      <w:bookmarkEnd w:id="162"/>
      <w:bookmarkEnd w:id="163"/>
      <w:bookmarkEnd w:id="164"/>
      <w:bookmarkEnd w:id="165"/>
      <w:bookmarkEnd w:id="166"/>
      <w:bookmarkEnd w:id="167"/>
      <w:bookmarkEnd w:id="168"/>
    </w:p>
    <w:p w14:paraId="650C7DBB" w14:textId="39FE167C" w:rsidR="00047254" w:rsidRPr="006C774D" w:rsidRDefault="00BA5D9B" w:rsidP="00CF3EDC">
      <w:pPr>
        <w:pStyle w:val="Heading2"/>
        <w:rPr>
          <w:sz w:val="20"/>
          <w:szCs w:val="20"/>
        </w:rPr>
      </w:pPr>
      <w:bookmarkStart w:id="169" w:name="_Toc462396132"/>
      <w:r w:rsidRPr="0077273E">
        <w:t>Liberté d’opinion et d’expression</w:t>
      </w:r>
      <w:bookmarkEnd w:id="169"/>
      <w:r w:rsidRPr="0077273E">
        <w:rPr>
          <w:sz w:val="20"/>
          <w:szCs w:val="20"/>
        </w:rPr>
        <w:t xml:space="preserve"> </w:t>
      </w:r>
    </w:p>
    <w:p w14:paraId="64ACC6C4" w14:textId="28008C24" w:rsidR="00AC3039" w:rsidRPr="00450972" w:rsidRDefault="00AC3039" w:rsidP="00050E2E">
      <w:pPr>
        <w:pStyle w:val="Heading3"/>
        <w:rPr>
          <w:rFonts w:cs="Tahoma"/>
          <w:lang w:val="fr-CH"/>
        </w:rPr>
      </w:pPr>
      <w:bookmarkStart w:id="170" w:name="_Toc462396133"/>
      <w:r w:rsidRPr="00450972">
        <w:rPr>
          <w:rFonts w:cs="Tahoma"/>
        </w:rPr>
        <w:t>Violations du droit à la liberté d’expression et à la liberté de la presse</w:t>
      </w:r>
      <w:bookmarkEnd w:id="170"/>
      <w:r w:rsidRPr="00450972">
        <w:rPr>
          <w:rFonts w:cs="Tahoma"/>
        </w:rPr>
        <w:t xml:space="preserve"> </w:t>
      </w:r>
    </w:p>
    <w:p w14:paraId="3F0D4F63" w14:textId="134B06D4" w:rsidR="00961D45" w:rsidRPr="00450972" w:rsidRDefault="00B01190" w:rsidP="00CF3EDC">
      <w:r w:rsidRPr="00450972">
        <w:t>L’Etat partie a affirmé dans ses réponses aux points soulevés par le Comité que les journalistes ne faisaient pas l’objet de représailles et de contrôle restreint de l’Etat</w:t>
      </w:r>
      <w:r w:rsidRPr="00450972">
        <w:rPr>
          <w:rStyle w:val="FootnoteReference"/>
          <w:szCs w:val="20"/>
        </w:rPr>
        <w:footnoteReference w:id="118"/>
      </w:r>
      <w:r w:rsidRPr="00450972">
        <w:t xml:space="preserve">. </w:t>
      </w:r>
      <w:r w:rsidR="00C9500A" w:rsidRPr="00450972">
        <w:t>Pourtant, d</w:t>
      </w:r>
      <w:r w:rsidR="00E83197" w:rsidRPr="00450972">
        <w:t xml:space="preserve">es violations liées à l’exercice du droit à la liberté d’opinion et d’expression </w:t>
      </w:r>
      <w:r w:rsidR="00BE17CE" w:rsidRPr="00450972">
        <w:t xml:space="preserve">ont été </w:t>
      </w:r>
      <w:r w:rsidR="00E83197" w:rsidRPr="00450972">
        <w:t xml:space="preserve">portées à la connaissance d’Alkarama, et dénoncées par </w:t>
      </w:r>
      <w:r w:rsidR="00CF3EDC">
        <w:t>plusieurs</w:t>
      </w:r>
      <w:r w:rsidR="00E83197" w:rsidRPr="00450972">
        <w:t xml:space="preserve"> organisations. </w:t>
      </w:r>
      <w:r w:rsidR="00E11BE8" w:rsidRPr="00450972">
        <w:t>A contre-c</w:t>
      </w:r>
      <w:r w:rsidR="00047254" w:rsidRPr="00450972">
        <w:t xml:space="preserve">ourant de l’évolution du pays </w:t>
      </w:r>
      <w:r w:rsidR="00E11BE8" w:rsidRPr="00450972">
        <w:t xml:space="preserve">vers une plus grande conformité au droit international, </w:t>
      </w:r>
      <w:r w:rsidR="00047254" w:rsidRPr="00450972">
        <w:t xml:space="preserve">la </w:t>
      </w:r>
      <w:r w:rsidR="00450972" w:rsidRPr="00450972">
        <w:t xml:space="preserve">question de la </w:t>
      </w:r>
      <w:r w:rsidR="00047254" w:rsidRPr="00450972">
        <w:t>liberté d’expression</w:t>
      </w:r>
      <w:r w:rsidR="00450972" w:rsidRPr="00450972">
        <w:t xml:space="preserve"> reste problématique. </w:t>
      </w:r>
      <w:r w:rsidR="00E11BE8" w:rsidRPr="00450972">
        <w:t>E</w:t>
      </w:r>
      <w:r w:rsidR="00E83197" w:rsidRPr="00450972">
        <w:t>n 2016, le Maroc a</w:t>
      </w:r>
      <w:r w:rsidR="00CF3EDC">
        <w:t xml:space="preserve"> ainsi</w:t>
      </w:r>
      <w:r w:rsidR="00E83197" w:rsidRPr="00450972">
        <w:t xml:space="preserve"> </w:t>
      </w:r>
      <w:r w:rsidR="001A62A7" w:rsidRPr="00450972">
        <w:t>obtenu la 131</w:t>
      </w:r>
      <w:r w:rsidR="001A62A7" w:rsidRPr="00450972">
        <w:rPr>
          <w:vertAlign w:val="superscript"/>
        </w:rPr>
        <w:t>e</w:t>
      </w:r>
      <w:r w:rsidR="001A62A7" w:rsidRPr="00450972">
        <w:t xml:space="preserve"> place du classement mondial de la liberté de la presse de Reporters sans frontières</w:t>
      </w:r>
      <w:r w:rsidR="008D36E3" w:rsidRPr="00450972">
        <w:rPr>
          <w:rStyle w:val="FootnoteReference"/>
          <w:szCs w:val="20"/>
        </w:rPr>
        <w:footnoteReference w:id="119"/>
      </w:r>
      <w:r w:rsidR="001A62A7" w:rsidRPr="00450972">
        <w:t>.</w:t>
      </w:r>
      <w:r w:rsidR="00E83197" w:rsidRPr="00450972">
        <w:t xml:space="preserve"> </w:t>
      </w:r>
    </w:p>
    <w:p w14:paraId="7CAB55FD" w14:textId="5D544B03" w:rsidR="00961D45" w:rsidRPr="0077273E" w:rsidRDefault="00B84C60" w:rsidP="00CF3EDC">
      <w:r w:rsidRPr="00450972">
        <w:t xml:space="preserve">Plusieurs </w:t>
      </w:r>
      <w:r w:rsidR="00961D45" w:rsidRPr="00450972">
        <w:t xml:space="preserve">journalistes </w:t>
      </w:r>
      <w:r w:rsidRPr="00450972">
        <w:t>ont</w:t>
      </w:r>
      <w:r w:rsidR="00450972" w:rsidRPr="00450972">
        <w:t>, de fait,</w:t>
      </w:r>
      <w:r w:rsidRPr="00450972">
        <w:t xml:space="preserve"> subi </w:t>
      </w:r>
      <w:r w:rsidR="00961D45" w:rsidRPr="00450972">
        <w:t>un véritable harcèleme</w:t>
      </w:r>
      <w:r w:rsidRPr="00450972">
        <w:t xml:space="preserve">nt judiciaire et administratif et </w:t>
      </w:r>
      <w:r w:rsidR="00BE17CE" w:rsidRPr="00450972">
        <w:t xml:space="preserve">ont été pénalement </w:t>
      </w:r>
      <w:r w:rsidRPr="00450972">
        <w:t xml:space="preserve">poursuivis notamment du chef </w:t>
      </w:r>
      <w:r w:rsidR="00961D45" w:rsidRPr="00450972">
        <w:t>d’ « outrage à la personne du</w:t>
      </w:r>
      <w:r w:rsidRPr="00450972">
        <w:t xml:space="preserve"> </w:t>
      </w:r>
      <w:r w:rsidR="003A0458" w:rsidRPr="00450972">
        <w:t xml:space="preserve">roi </w:t>
      </w:r>
      <w:r w:rsidR="00961D45" w:rsidRPr="00450972">
        <w:t xml:space="preserve">» et </w:t>
      </w:r>
      <w:r w:rsidR="00BE17CE" w:rsidRPr="00450972">
        <w:t>d’</w:t>
      </w:r>
      <w:r w:rsidR="00961D45" w:rsidRPr="00450972">
        <w:t>« atteinte à l’intégrité territori</w:t>
      </w:r>
      <w:r w:rsidRPr="00450972">
        <w:t xml:space="preserve">ale », en particulier lorsque ces derniers </w:t>
      </w:r>
      <w:r w:rsidR="00450972" w:rsidRPr="00450972">
        <w:t xml:space="preserve">ont exprimé </w:t>
      </w:r>
      <w:r w:rsidR="00BE17CE" w:rsidRPr="00450972">
        <w:t>un point de vue différent d</w:t>
      </w:r>
      <w:r w:rsidR="00450972" w:rsidRPr="00450972">
        <w:t>u point de vue officiel</w:t>
      </w:r>
      <w:r w:rsidR="00BE17CE" w:rsidRPr="00450972">
        <w:t xml:space="preserve"> sur </w:t>
      </w:r>
      <w:r w:rsidRPr="00450972">
        <w:t xml:space="preserve">des sujets sensibles </w:t>
      </w:r>
      <w:r w:rsidR="00BE17CE" w:rsidRPr="00450972">
        <w:t xml:space="preserve">comme celui du </w:t>
      </w:r>
      <w:r w:rsidR="00961D45" w:rsidRPr="00450972">
        <w:t>Sahara occidental.</w:t>
      </w:r>
    </w:p>
    <w:p w14:paraId="540EC09F" w14:textId="2CEA3205" w:rsidR="00961D45" w:rsidRPr="0077273E" w:rsidRDefault="00961D45" w:rsidP="00CF3EDC">
      <w:pPr>
        <w:rPr>
          <w:rFonts w:cs="Tahoma"/>
        </w:rPr>
      </w:pPr>
      <w:r w:rsidRPr="007D640E">
        <w:rPr>
          <w:rFonts w:cs="Tahoma"/>
        </w:rPr>
        <w:t xml:space="preserve">Les procès </w:t>
      </w:r>
      <w:r w:rsidR="00450972" w:rsidRPr="007D640E">
        <w:rPr>
          <w:rFonts w:cs="Tahoma"/>
        </w:rPr>
        <w:t xml:space="preserve">ayant visé </w:t>
      </w:r>
      <w:r w:rsidRPr="007D640E">
        <w:rPr>
          <w:rFonts w:cs="Tahoma"/>
          <w:bCs/>
        </w:rPr>
        <w:t>les journalistes</w:t>
      </w:r>
      <w:r w:rsidRPr="007D640E">
        <w:rPr>
          <w:rFonts w:cs="Tahoma"/>
          <w:b/>
        </w:rPr>
        <w:t xml:space="preserve"> </w:t>
      </w:r>
      <w:r w:rsidRPr="007D640E">
        <w:rPr>
          <w:rFonts w:cs="Tahoma"/>
        </w:rPr>
        <w:t xml:space="preserve">traduisent les tensions chroniques entre les autorités et la presse. L’instrumentalisation de la justice est également manifeste dans ce domaine. Si depuis le début des années 2000, la presse </w:t>
      </w:r>
      <w:r w:rsidR="00450972" w:rsidRPr="007D640E">
        <w:rPr>
          <w:rFonts w:cs="Tahoma"/>
        </w:rPr>
        <w:t xml:space="preserve">locale </w:t>
      </w:r>
      <w:r w:rsidRPr="007D640E">
        <w:rPr>
          <w:rFonts w:cs="Tahoma"/>
        </w:rPr>
        <w:t>a connu une libéralisation</w:t>
      </w:r>
      <w:r w:rsidR="00450972" w:rsidRPr="007D640E">
        <w:rPr>
          <w:rFonts w:cs="Tahoma"/>
        </w:rPr>
        <w:t xml:space="preserve"> significative</w:t>
      </w:r>
      <w:r w:rsidRPr="007D640E">
        <w:rPr>
          <w:rStyle w:val="Appelnotedebasdep4"/>
          <w:rFonts w:cs="Tahoma"/>
        </w:rPr>
        <w:footnoteReference w:id="120"/>
      </w:r>
      <w:r w:rsidRPr="007D640E">
        <w:rPr>
          <w:rFonts w:cs="Tahoma"/>
        </w:rPr>
        <w:t>, les procès intentés aux journalistes ou aux publications</w:t>
      </w:r>
      <w:r w:rsidR="00A066C9" w:rsidRPr="007D640E">
        <w:rPr>
          <w:rFonts w:cs="Tahoma"/>
        </w:rPr>
        <w:t xml:space="preserve"> se sont multipliés. Certaines publications ont fait l’objet de saisies ou</w:t>
      </w:r>
      <w:r w:rsidRPr="007D640E">
        <w:rPr>
          <w:rFonts w:cs="Tahoma"/>
        </w:rPr>
        <w:t xml:space="preserve"> d’interdictions</w:t>
      </w:r>
      <w:r w:rsidRPr="007D640E">
        <w:rPr>
          <w:rStyle w:val="Appelnotedebasdep4"/>
          <w:rFonts w:cs="Tahoma"/>
        </w:rPr>
        <w:footnoteReference w:id="121"/>
      </w:r>
      <w:r w:rsidR="00CF3EDC">
        <w:rPr>
          <w:rFonts w:cs="Tahoma"/>
        </w:rPr>
        <w:t xml:space="preserve"> de la part du M</w:t>
      </w:r>
      <w:r w:rsidRPr="007D640E">
        <w:rPr>
          <w:rFonts w:cs="Tahoma"/>
        </w:rPr>
        <w:t>inistè</w:t>
      </w:r>
      <w:r w:rsidR="00CF3EDC">
        <w:rPr>
          <w:rFonts w:cs="Tahoma"/>
        </w:rPr>
        <w:t>re de l’I</w:t>
      </w:r>
      <w:r w:rsidRPr="007D640E">
        <w:rPr>
          <w:rFonts w:cs="Tahoma"/>
        </w:rPr>
        <w:t xml:space="preserve">ntérieur, </w:t>
      </w:r>
      <w:r w:rsidR="00A066C9" w:rsidRPr="007D640E">
        <w:rPr>
          <w:rFonts w:cs="Tahoma"/>
        </w:rPr>
        <w:t xml:space="preserve">et parfois </w:t>
      </w:r>
      <w:r w:rsidRPr="007D640E">
        <w:rPr>
          <w:rFonts w:cs="Tahoma"/>
        </w:rPr>
        <w:t xml:space="preserve">contraintes </w:t>
      </w:r>
      <w:r w:rsidR="00A066C9" w:rsidRPr="007D640E">
        <w:rPr>
          <w:rFonts w:cs="Tahoma"/>
        </w:rPr>
        <w:t>à</w:t>
      </w:r>
      <w:r w:rsidRPr="007D640E">
        <w:rPr>
          <w:rFonts w:cs="Tahoma"/>
        </w:rPr>
        <w:t xml:space="preserve"> déposer leur bilan en raison des très lourdes sanctions pécuniaires qui les </w:t>
      </w:r>
      <w:r w:rsidR="00A066C9" w:rsidRPr="007D640E">
        <w:rPr>
          <w:rFonts w:cs="Tahoma"/>
        </w:rPr>
        <w:t xml:space="preserve">ont </w:t>
      </w:r>
      <w:r w:rsidRPr="007D640E">
        <w:rPr>
          <w:rFonts w:cs="Tahoma"/>
        </w:rPr>
        <w:t>frapp</w:t>
      </w:r>
      <w:r w:rsidR="00A066C9" w:rsidRPr="007D640E">
        <w:rPr>
          <w:rFonts w:cs="Tahoma"/>
        </w:rPr>
        <w:t>ées.</w:t>
      </w:r>
      <w:r w:rsidRPr="007D640E">
        <w:rPr>
          <w:rFonts w:cs="Tahoma"/>
        </w:rPr>
        <w:t xml:space="preserve"> </w:t>
      </w:r>
    </w:p>
    <w:p w14:paraId="55007B63" w14:textId="40702741" w:rsidR="00961D45" w:rsidRPr="0077273E" w:rsidRDefault="00961D45" w:rsidP="00050E2E">
      <w:pPr>
        <w:rPr>
          <w:rFonts w:cs="Tahoma"/>
        </w:rPr>
      </w:pPr>
      <w:r w:rsidRPr="0077273E">
        <w:rPr>
          <w:rFonts w:cs="Tahoma"/>
        </w:rPr>
        <w:t xml:space="preserve">Le cas du journaliste </w:t>
      </w:r>
      <w:r w:rsidRPr="0077273E">
        <w:rPr>
          <w:rFonts w:cs="Tahoma"/>
          <w:b/>
        </w:rPr>
        <w:t>Rachid Niny</w:t>
      </w:r>
      <w:r w:rsidR="009040BE" w:rsidRPr="009040BE">
        <w:rPr>
          <w:rStyle w:val="FootnoteReference"/>
          <w:rFonts w:cs="Tahoma"/>
          <w:bCs/>
        </w:rPr>
        <w:footnoteReference w:id="122"/>
      </w:r>
      <w:r w:rsidRPr="0077273E">
        <w:rPr>
          <w:rFonts w:cs="Tahoma"/>
        </w:rPr>
        <w:t xml:space="preserve"> a été particulièrement révélateur de cette situation. Rédacteur en chef de l’un des plus grands quotidiens arabophones marocain </w:t>
      </w:r>
      <w:r w:rsidRPr="0077273E">
        <w:rPr>
          <w:rFonts w:cs="Tahoma"/>
          <w:i/>
          <w:iCs/>
        </w:rPr>
        <w:t>Al Massae</w:t>
      </w:r>
      <w:r w:rsidRPr="0077273E">
        <w:rPr>
          <w:rFonts w:cs="Tahoma"/>
        </w:rPr>
        <w:t>, il a été convoqué le 28 avril 2011 au siège de la brigade nationale de la police judiciaire à Casablanca puis placé en garde à vue. Inculpé « </w:t>
      </w:r>
      <w:r w:rsidRPr="00CF3EDC">
        <w:rPr>
          <w:rFonts w:cs="Tahoma"/>
          <w:iCs/>
        </w:rPr>
        <w:t>d’atteinte à corps constitués et à des personnalités publiques</w:t>
      </w:r>
      <w:r w:rsidRPr="0077273E">
        <w:rPr>
          <w:rFonts w:cs="Tahoma"/>
        </w:rPr>
        <w:t xml:space="preserve"> », il a été condamné le 9 juin </w:t>
      </w:r>
      <w:r w:rsidR="00A066C9" w:rsidRPr="0077273E">
        <w:rPr>
          <w:rFonts w:cs="Tahoma"/>
        </w:rPr>
        <w:t>2011</w:t>
      </w:r>
      <w:r w:rsidR="00CF3EDC">
        <w:rPr>
          <w:rFonts w:cs="Tahoma"/>
        </w:rPr>
        <w:t xml:space="preserve"> </w:t>
      </w:r>
      <w:r w:rsidRPr="0077273E">
        <w:rPr>
          <w:rFonts w:cs="Tahoma"/>
        </w:rPr>
        <w:t xml:space="preserve">à une année d’emprisonnement ferme par le tribunal de première instance de Casablanca. </w:t>
      </w:r>
      <w:r w:rsidRPr="0077273E">
        <w:rPr>
          <w:rFonts w:cs="Tahoma"/>
          <w:bCs/>
        </w:rPr>
        <w:t xml:space="preserve">Il </w:t>
      </w:r>
      <w:r w:rsidRPr="0077273E">
        <w:rPr>
          <w:rFonts w:cs="Tahoma"/>
        </w:rPr>
        <w:t>venait de publier une série de chroniques dans lesquelles il mettait en cause des passations frauduleuses de marchés publics par de hauts responsables de l’Etat, la partialité de la justice, les procès inéquitables des militants islamistes à la suite des attentats de Casablanca, les graves at</w:t>
      </w:r>
      <w:r w:rsidR="00A066C9" w:rsidRPr="0077273E">
        <w:rPr>
          <w:rFonts w:cs="Tahoma"/>
        </w:rPr>
        <w:t>teintes aux droits de l’homme ainsi que les abus et violations dans</w:t>
      </w:r>
      <w:r w:rsidRPr="0077273E">
        <w:rPr>
          <w:rFonts w:cs="Tahoma"/>
        </w:rPr>
        <w:t xml:space="preserve"> la lutte antiterroriste.</w:t>
      </w:r>
    </w:p>
    <w:p w14:paraId="0E8A66D3" w14:textId="00616E5E" w:rsidR="00961D45" w:rsidRPr="0077273E" w:rsidRDefault="00961D45" w:rsidP="00A066C9">
      <w:pPr>
        <w:rPr>
          <w:rFonts w:cs="Tahoma"/>
        </w:rPr>
      </w:pPr>
      <w:r w:rsidRPr="0077273E">
        <w:rPr>
          <w:rFonts w:cs="Tahoma"/>
        </w:rPr>
        <w:t xml:space="preserve">Les militants des droits de l’homme et les ONG ont dénoncé les pressions et les poursuites dont il a été victime </w:t>
      </w:r>
      <w:r w:rsidR="00A066C9" w:rsidRPr="0077273E">
        <w:rPr>
          <w:rFonts w:cs="Tahoma"/>
        </w:rPr>
        <w:t xml:space="preserve">et qu’ils estimaient </w:t>
      </w:r>
      <w:r w:rsidRPr="0077273E">
        <w:rPr>
          <w:rFonts w:cs="Tahoma"/>
        </w:rPr>
        <w:t>n’a</w:t>
      </w:r>
      <w:r w:rsidR="00A066C9" w:rsidRPr="0077273E">
        <w:rPr>
          <w:rFonts w:cs="Tahoma"/>
        </w:rPr>
        <w:t xml:space="preserve">voir </w:t>
      </w:r>
      <w:r w:rsidRPr="0077273E">
        <w:rPr>
          <w:rFonts w:cs="Tahoma"/>
        </w:rPr>
        <w:t xml:space="preserve">d’autre objectif que celui de museler les journalistes lorsque ceux-ci se montrent critiques et dénoncent la corruption et les graves abus commis par certaines personnalités du monde politique et judiciaire. </w:t>
      </w:r>
    </w:p>
    <w:p w14:paraId="65A18B51" w14:textId="46B4CB02" w:rsidR="00961D45" w:rsidRPr="0077273E" w:rsidRDefault="00961D45" w:rsidP="009040BE">
      <w:r w:rsidRPr="0077273E">
        <w:rPr>
          <w:b/>
          <w:bCs/>
        </w:rPr>
        <w:t>Hicham Mansouri</w:t>
      </w:r>
      <w:r w:rsidRPr="0077273E">
        <w:t xml:space="preserve">, journaliste engagé, a </w:t>
      </w:r>
      <w:r w:rsidR="009040BE" w:rsidRPr="0077273E">
        <w:t xml:space="preserve">quant à lui </w:t>
      </w:r>
      <w:r w:rsidRPr="0077273E">
        <w:t xml:space="preserve">été condamné </w:t>
      </w:r>
      <w:r w:rsidR="00CB66E9" w:rsidRPr="0077273E">
        <w:t>le 30 mars 2015 par le t</w:t>
      </w:r>
      <w:r w:rsidRPr="0077273E">
        <w:t xml:space="preserve">ribunal de première instance de Rabat à dix mois de prison ferme et 40.000 dirhams d’amende </w:t>
      </w:r>
      <w:r w:rsidR="00CB66E9" w:rsidRPr="0077273E">
        <w:t>sous l’accusation de</w:t>
      </w:r>
      <w:r w:rsidRPr="0077273E">
        <w:t xml:space="preserve"> « complicité d’adultère », après un procès inéquitable au cours duquel les témoins cités à comparaître par la dé</w:t>
      </w:r>
      <w:r w:rsidR="007D640E">
        <w:t>fense n’ont jamais été entendus</w:t>
      </w:r>
      <w:r w:rsidRPr="0077273E">
        <w:t xml:space="preserve"> et où les prétendus éléments de preuves matérielles saisies par la police n’ont jamais été présentés au tribunal. Battu et insulté par des policiers lors de son arre</w:t>
      </w:r>
      <w:r w:rsidR="007D640E">
        <w:t>station, il avait été interrogé</w:t>
      </w:r>
      <w:r w:rsidRPr="0077273E">
        <w:t xml:space="preserve"> durant sa garde à vue sur ses relations avec des personnalités du </w:t>
      </w:r>
      <w:r w:rsidRPr="0077273E">
        <w:lastRenderedPageBreak/>
        <w:t>monde médiatique, des mem</w:t>
      </w:r>
      <w:r w:rsidR="007D640E">
        <w:t>bres du Mouvement du 20 février</w:t>
      </w:r>
      <w:r w:rsidRPr="0077273E">
        <w:t xml:space="preserve"> et sur ses activités au sein de l’Association marocaine pour le journalisme d’inv</w:t>
      </w:r>
      <w:r w:rsidR="007C39F7" w:rsidRPr="0077273E">
        <w:t>estigation</w:t>
      </w:r>
      <w:r w:rsidR="009040BE">
        <w:t>,</w:t>
      </w:r>
      <w:r w:rsidR="007C39F7" w:rsidRPr="0077273E">
        <w:t xml:space="preserve"> association œuvrant</w:t>
      </w:r>
      <w:r w:rsidRPr="0077273E">
        <w:t xml:space="preserve"> pour la protection des journalistes</w:t>
      </w:r>
      <w:r w:rsidRPr="0077273E">
        <w:rPr>
          <w:rStyle w:val="FootnoteReference"/>
          <w:szCs w:val="20"/>
        </w:rPr>
        <w:footnoteReference w:id="123"/>
      </w:r>
      <w:r w:rsidRPr="0077273E">
        <w:t>.</w:t>
      </w:r>
    </w:p>
    <w:p w14:paraId="4DE663EB" w14:textId="77777777" w:rsidR="007C39F7" w:rsidRPr="0077273E" w:rsidRDefault="007C39F7" w:rsidP="009040BE">
      <w:r w:rsidRPr="0077273E">
        <w:t>Les atteintes à la liberté d’informer concernent également des correspondants étrangers. En 2015, deux journalistes de France Télévision avaient été expulsés du pays alors qu’ils effectuaient une interview dans les locaux de l’Association marocaine des droits de l’homme, une ONG de défense des droits de l’homme</w:t>
      </w:r>
      <w:r w:rsidRPr="0077273E">
        <w:rPr>
          <w:rStyle w:val="FootnoteReference"/>
          <w:szCs w:val="20"/>
        </w:rPr>
        <w:footnoteReference w:id="124"/>
      </w:r>
      <w:r w:rsidRPr="0077273E">
        <w:t>.</w:t>
      </w:r>
    </w:p>
    <w:p w14:paraId="7CDDE2AE" w14:textId="336BD3CD" w:rsidR="00047254" w:rsidRPr="0077273E" w:rsidRDefault="007C39F7" w:rsidP="007D640E">
      <w:pPr>
        <w:pStyle w:val="Body"/>
        <w:spacing w:before="120" w:after="100" w:afterAutospacing="1"/>
        <w:rPr>
          <w:sz w:val="20"/>
          <w:szCs w:val="20"/>
        </w:rPr>
      </w:pPr>
      <w:r w:rsidRPr="0077273E">
        <w:rPr>
          <w:b/>
          <w:bCs/>
          <w:sz w:val="20"/>
          <w:szCs w:val="20"/>
        </w:rPr>
        <w:t>Antony Drugeon</w:t>
      </w:r>
      <w:r w:rsidRPr="0077273E">
        <w:rPr>
          <w:sz w:val="20"/>
          <w:szCs w:val="20"/>
        </w:rPr>
        <w:t xml:space="preserve">, journaliste freelance français, réalisait pour le compte du site d’information marocain </w:t>
      </w:r>
      <w:r w:rsidRPr="009040BE">
        <w:rPr>
          <w:i/>
          <w:iCs/>
          <w:sz w:val="20"/>
          <w:szCs w:val="20"/>
        </w:rPr>
        <w:t>Le Desk</w:t>
      </w:r>
      <w:r w:rsidRPr="0077273E">
        <w:rPr>
          <w:sz w:val="20"/>
          <w:szCs w:val="20"/>
        </w:rPr>
        <w:t xml:space="preserve"> un reportage photographique sur la frontière Nord-Est du Maroc lorsqu’il a été interpellé par des agents des renseignements généraux accompagnés de gendarmes. Le 3 juillet 2016, il s’est vu notifier un avis d’expulsion pour « activités de sondage d’opinion et tentative de reportage photographique sur la frontière Nord-est du Royaume ». Le 9 juillet 2016, alors qu’il tentait de retourner au Maroc pour récupérer ses effets personnels, la police des frontières l’a informé de son interdiction de territoire.</w:t>
      </w:r>
    </w:p>
    <w:p w14:paraId="55963ACC" w14:textId="77777777" w:rsidR="00F50BF5" w:rsidRPr="00F50BF5" w:rsidRDefault="00F50BF5" w:rsidP="00F50BF5">
      <w:pPr>
        <w:pStyle w:val="ListParagraph"/>
        <w:keepNext/>
        <w:numPr>
          <w:ilvl w:val="2"/>
          <w:numId w:val="40"/>
        </w:numPr>
        <w:spacing w:after="0" w:line="240" w:lineRule="auto"/>
        <w:contextualSpacing w:val="0"/>
        <w:jc w:val="both"/>
        <w:outlineLvl w:val="2"/>
        <w:rPr>
          <w:rFonts w:ascii="Tahoma" w:hAnsi="Tahoma" w:cs="Helvetica"/>
          <w:b/>
          <w:bCs/>
          <w:vanish/>
          <w:sz w:val="20"/>
          <w:szCs w:val="26"/>
          <w:lang w:val="fr-FR" w:eastAsia="fr-FR"/>
        </w:rPr>
      </w:pPr>
      <w:bookmarkStart w:id="171" w:name="_Toc462330120"/>
      <w:bookmarkStart w:id="172" w:name="_Toc462330374"/>
      <w:bookmarkStart w:id="173" w:name="_Toc462396070"/>
      <w:bookmarkStart w:id="174" w:name="_Toc462396134"/>
      <w:bookmarkEnd w:id="171"/>
      <w:bookmarkEnd w:id="172"/>
      <w:bookmarkEnd w:id="173"/>
      <w:bookmarkEnd w:id="174"/>
    </w:p>
    <w:p w14:paraId="63D0CF76" w14:textId="53E00E6C" w:rsidR="00047254" w:rsidRPr="00F50BF5" w:rsidRDefault="00047254" w:rsidP="00F50BF5">
      <w:pPr>
        <w:pStyle w:val="Heading3"/>
        <w:numPr>
          <w:ilvl w:val="2"/>
          <w:numId w:val="40"/>
        </w:numPr>
      </w:pPr>
      <w:bookmarkStart w:id="175" w:name="_Toc462396135"/>
      <w:r w:rsidRPr="00F50BF5">
        <w:t>Adoption d’un nouveau Code de la presse</w:t>
      </w:r>
      <w:bookmarkEnd w:id="175"/>
    </w:p>
    <w:p w14:paraId="5CB3CE49" w14:textId="77777777" w:rsidR="00047254" w:rsidRPr="0077273E" w:rsidRDefault="00047254" w:rsidP="009040BE">
      <w:r w:rsidRPr="0077273E">
        <w:t>Un projet de Code de la presse</w:t>
      </w:r>
      <w:r w:rsidRPr="0077273E">
        <w:rPr>
          <w:rStyle w:val="FootnoteReference"/>
          <w:szCs w:val="20"/>
        </w:rPr>
        <w:footnoteReference w:id="125"/>
      </w:r>
      <w:r w:rsidRPr="0077273E">
        <w:t>, adopté par le Conseil du gouvernement le 23 décembre 2015, est en cours d’examen par le parlement.</w:t>
      </w:r>
    </w:p>
    <w:p w14:paraId="78FDC05A" w14:textId="4743EC02" w:rsidR="00047254" w:rsidRPr="0077273E" w:rsidRDefault="00047254" w:rsidP="00590CE2">
      <w:r w:rsidRPr="0077273E">
        <w:t xml:space="preserve">Le Code de la presse actuellement en vigueur prévoit des peines privatives de libertés pour divers délits de presse ; à l’issue de son dernier Examen périodique universel, le Maroc s’était engagé à </w:t>
      </w:r>
      <w:r w:rsidR="002037B5" w:rsidRPr="0077273E">
        <w:t>abroger ces dispositions</w:t>
      </w:r>
      <w:r w:rsidRPr="0077273E">
        <w:t xml:space="preserve">. Le projet de réforme du Code de la presse, </w:t>
      </w:r>
      <w:r w:rsidR="002037B5" w:rsidRPr="0077273E">
        <w:t>annoncé</w:t>
      </w:r>
      <w:r w:rsidRPr="0077273E">
        <w:t xml:space="preserve"> par le </w:t>
      </w:r>
      <w:r w:rsidR="00590CE2">
        <w:t>m</w:t>
      </w:r>
      <w:r w:rsidRPr="0077273E">
        <w:t>i</w:t>
      </w:r>
      <w:r w:rsidR="002037B5" w:rsidRPr="0077273E">
        <w:t>nistre de la communication, dev</w:t>
      </w:r>
      <w:r w:rsidRPr="0077273E">
        <w:t xml:space="preserve">ait remplacer </w:t>
      </w:r>
      <w:r w:rsidR="002037B5" w:rsidRPr="0077273E">
        <w:t xml:space="preserve">les peines d’emprisonnement par des peines alternatives.  </w:t>
      </w:r>
    </w:p>
    <w:p w14:paraId="025EF234" w14:textId="11C43073" w:rsidR="00047254" w:rsidRPr="0077273E" w:rsidRDefault="002037B5" w:rsidP="00590CE2">
      <w:r w:rsidRPr="0077273E">
        <w:t>Cependant, l</w:t>
      </w:r>
      <w:r w:rsidR="00047254" w:rsidRPr="0077273E">
        <w:t xml:space="preserve">a suppression totale des peines privatives de liberté </w:t>
      </w:r>
      <w:r w:rsidRPr="0077273E">
        <w:t>ne semble pas être à l’ordre du jour, puisque le</w:t>
      </w:r>
      <w:r w:rsidR="00047254" w:rsidRPr="0077273E">
        <w:t xml:space="preserve"> projet de loi</w:t>
      </w:r>
      <w:r w:rsidR="00047254" w:rsidRPr="0077273E">
        <w:rPr>
          <w:rStyle w:val="FootnoteReference"/>
          <w:szCs w:val="20"/>
        </w:rPr>
        <w:footnoteReference w:id="126"/>
      </w:r>
      <w:r w:rsidR="00047254" w:rsidRPr="0077273E">
        <w:t xml:space="preserve"> présenté à la Chambre des représentants en février 2016 prévoit de</w:t>
      </w:r>
      <w:r w:rsidRPr="0077273E">
        <w:t>s</w:t>
      </w:r>
      <w:r w:rsidR="00047254" w:rsidRPr="0077273E">
        <w:t xml:space="preserve"> </w:t>
      </w:r>
      <w:r w:rsidRPr="0077273E">
        <w:t>peines</w:t>
      </w:r>
      <w:r w:rsidR="00047254" w:rsidRPr="0077273E">
        <w:t xml:space="preserve"> de six mois à deux ans d’emprisonnement et d’amendes de 20 000 à 200 000 dirhams </w:t>
      </w:r>
      <w:r w:rsidRPr="0077273E">
        <w:t xml:space="preserve">pour notamment </w:t>
      </w:r>
      <w:r w:rsidR="00047254" w:rsidRPr="0077273E">
        <w:t>les faits d’</w:t>
      </w:r>
      <w:r w:rsidR="00590CE2">
        <w:t xml:space="preserve"> « </w:t>
      </w:r>
      <w:r w:rsidR="00047254" w:rsidRPr="0077273E">
        <w:t>outrage à la monarchie</w:t>
      </w:r>
      <w:r w:rsidR="00590CE2">
        <w:t> »</w:t>
      </w:r>
      <w:r w:rsidR="00047254" w:rsidRPr="0077273E">
        <w:t xml:space="preserve"> ou d’</w:t>
      </w:r>
      <w:r w:rsidR="00590CE2">
        <w:t xml:space="preserve"> « </w:t>
      </w:r>
      <w:r w:rsidRPr="0077273E">
        <w:t>atteinte à</w:t>
      </w:r>
      <w:r w:rsidR="00047254" w:rsidRPr="0077273E">
        <w:t xml:space="preserve"> l’intégrité territoriale du </w:t>
      </w:r>
      <w:r w:rsidRPr="0077273E">
        <w:t>pays</w:t>
      </w:r>
      <w:r w:rsidR="00590CE2">
        <w:t> »</w:t>
      </w:r>
      <w:r w:rsidRPr="0077273E">
        <w:t>. L</w:t>
      </w:r>
      <w:r w:rsidR="00047254" w:rsidRPr="0077273E">
        <w:t xml:space="preserve">es propos </w:t>
      </w:r>
      <w:r w:rsidRPr="0077273E">
        <w:t>considérés comme « outrageants »</w:t>
      </w:r>
      <w:r w:rsidR="00047254" w:rsidRPr="0077273E">
        <w:t xml:space="preserve"> </w:t>
      </w:r>
      <w:r w:rsidRPr="0077273E">
        <w:t xml:space="preserve">tenus dans des lieux publics, </w:t>
      </w:r>
      <w:r w:rsidR="00047254" w:rsidRPr="0077273E">
        <w:t xml:space="preserve">lors de réunions publiques, par le biais d’affiches, tracts ou autres moyens, y compris des écrits dans la presse, </w:t>
      </w:r>
      <w:r w:rsidRPr="0077273E">
        <w:t xml:space="preserve">sont punissables de </w:t>
      </w:r>
      <w:r w:rsidR="00047254" w:rsidRPr="0077273E">
        <w:t xml:space="preserve">peines </w:t>
      </w:r>
      <w:r w:rsidRPr="0077273E">
        <w:t xml:space="preserve">aggravées allant jusqu’à </w:t>
      </w:r>
      <w:r w:rsidR="00047254" w:rsidRPr="0077273E">
        <w:t xml:space="preserve">cinq années d’emprisonnement et </w:t>
      </w:r>
      <w:r w:rsidRPr="0077273E">
        <w:t>200 000 dirhams d’amende.</w:t>
      </w:r>
    </w:p>
    <w:p w14:paraId="4930FD68" w14:textId="77777777" w:rsidR="00801C33" w:rsidRPr="0077273E" w:rsidRDefault="00801C33" w:rsidP="002037B5">
      <w:pPr>
        <w:pStyle w:val="Heading3"/>
        <w:numPr>
          <w:ilvl w:val="2"/>
          <w:numId w:val="40"/>
        </w:numPr>
        <w:rPr>
          <w:rFonts w:cs="Tahoma"/>
        </w:rPr>
      </w:pPr>
      <w:bookmarkStart w:id="176" w:name="_Toc462396136"/>
      <w:r w:rsidRPr="0077273E">
        <w:rPr>
          <w:rFonts w:cs="Tahoma"/>
        </w:rPr>
        <w:t>Atteintes au droit à la liberté d’expression dans le cadre de la lutte antiterroriste</w:t>
      </w:r>
      <w:bookmarkEnd w:id="176"/>
      <w:r w:rsidRPr="0077273E">
        <w:rPr>
          <w:rFonts w:cs="Tahoma"/>
        </w:rPr>
        <w:t xml:space="preserve"> </w:t>
      </w:r>
    </w:p>
    <w:p w14:paraId="38C66014" w14:textId="2A75D564" w:rsidR="002518A2" w:rsidRPr="0077273E" w:rsidRDefault="00801C33" w:rsidP="002518A2">
      <w:pPr>
        <w:rPr>
          <w:rFonts w:cs="Tahoma"/>
        </w:rPr>
      </w:pPr>
      <w:r w:rsidRPr="0077273E">
        <w:rPr>
          <w:rFonts w:cs="Tahoma"/>
        </w:rPr>
        <w:t>L’article 218 du Code pénal, issu de la loi n° 03-03 relative à la lutte contre le terrorisme</w:t>
      </w:r>
      <w:r w:rsidR="001947F4">
        <w:rPr>
          <w:rFonts w:cs="Tahoma"/>
        </w:rPr>
        <w:t>,</w:t>
      </w:r>
      <w:r w:rsidRPr="0077273E">
        <w:rPr>
          <w:rFonts w:cs="Tahoma"/>
        </w:rPr>
        <w:t xml:space="preserve"> définit de manière extrêmement vague « l’apologie d’actes constituant des infractions de terrorisme ». Cette imprécision ouvre la voie à des </w:t>
      </w:r>
      <w:r w:rsidR="002518A2" w:rsidRPr="0077273E">
        <w:rPr>
          <w:rFonts w:cs="Tahoma"/>
        </w:rPr>
        <w:t>poursuites arbitraires</w:t>
      </w:r>
      <w:r w:rsidRPr="0077273E">
        <w:rPr>
          <w:rFonts w:cs="Tahoma"/>
        </w:rPr>
        <w:t xml:space="preserve">. </w:t>
      </w:r>
    </w:p>
    <w:p w14:paraId="77766175" w14:textId="6D195C72" w:rsidR="00801C33" w:rsidRPr="0077273E" w:rsidRDefault="00801C33" w:rsidP="002518A2">
      <w:pPr>
        <w:rPr>
          <w:rFonts w:cs="Tahoma"/>
        </w:rPr>
      </w:pPr>
      <w:r w:rsidRPr="00590CE2">
        <w:rPr>
          <w:rFonts w:cs="Tahoma"/>
        </w:rPr>
        <w:t xml:space="preserve">Ainsi, en 2013, </w:t>
      </w:r>
      <w:r w:rsidRPr="00590CE2">
        <w:rPr>
          <w:rFonts w:cs="Tahoma"/>
          <w:b/>
          <w:bCs/>
        </w:rPr>
        <w:t>Ali Anouzla</w:t>
      </w:r>
      <w:r w:rsidRPr="00590CE2">
        <w:rPr>
          <w:rFonts w:cs="Tahoma"/>
        </w:rPr>
        <w:t xml:space="preserve">, fondateur du site d’information </w:t>
      </w:r>
      <w:r w:rsidRPr="00590CE2">
        <w:rPr>
          <w:rFonts w:cs="Tahoma"/>
          <w:i/>
          <w:iCs/>
        </w:rPr>
        <w:t>Lakome</w:t>
      </w:r>
      <w:r w:rsidRPr="00590CE2">
        <w:rPr>
          <w:rFonts w:cs="Tahoma"/>
        </w:rPr>
        <w:t>, a été condamné en vertu de cette disposition légale pour avoir diffusé le lien d’une vidéo d’Al-Q</w:t>
      </w:r>
      <w:r w:rsidR="00590CE2">
        <w:rPr>
          <w:rFonts w:cs="Tahoma"/>
        </w:rPr>
        <w:t>aïda au Maghreb islamique</w:t>
      </w:r>
      <w:r w:rsidRPr="00590CE2">
        <w:rPr>
          <w:rFonts w:cs="Tahoma"/>
        </w:rPr>
        <w:t xml:space="preserve"> pourtant publié antérieurement dans un autre journal de référence étranger.</w:t>
      </w:r>
      <w:r w:rsidRPr="0077273E">
        <w:rPr>
          <w:rFonts w:cs="Tahoma"/>
        </w:rPr>
        <w:t xml:space="preserve"> </w:t>
      </w:r>
    </w:p>
    <w:p w14:paraId="66686B5E" w14:textId="00BA3DF1" w:rsidR="00801C33" w:rsidRPr="0077273E" w:rsidRDefault="00801C33" w:rsidP="001947F4">
      <w:pPr>
        <w:rPr>
          <w:rFonts w:cs="Tahoma"/>
        </w:rPr>
      </w:pPr>
      <w:r w:rsidRPr="001947F4">
        <w:rPr>
          <w:rFonts w:cs="Tahoma"/>
        </w:rPr>
        <w:t xml:space="preserve">Le Comité avait </w:t>
      </w:r>
      <w:r w:rsidR="001947F4">
        <w:rPr>
          <w:rFonts w:cs="Tahoma"/>
        </w:rPr>
        <w:t xml:space="preserve">demandé à </w:t>
      </w:r>
      <w:r w:rsidRPr="001947F4">
        <w:rPr>
          <w:rFonts w:cs="Tahoma"/>
        </w:rPr>
        <w:t xml:space="preserve">l’Etat partie d’expliciter </w:t>
      </w:r>
      <w:r w:rsidR="002518A2" w:rsidRPr="001947F4">
        <w:rPr>
          <w:rFonts w:cs="Tahoma"/>
        </w:rPr>
        <w:t xml:space="preserve">les éléments de la définition du </w:t>
      </w:r>
      <w:r w:rsidRPr="001947F4">
        <w:rPr>
          <w:rFonts w:cs="Tahoma"/>
        </w:rPr>
        <w:t>déli</w:t>
      </w:r>
      <w:r w:rsidR="002518A2" w:rsidRPr="001947F4">
        <w:rPr>
          <w:rFonts w:cs="Tahoma"/>
        </w:rPr>
        <w:t>t d’apologie du terrorism</w:t>
      </w:r>
      <w:r w:rsidRPr="001947F4">
        <w:rPr>
          <w:rFonts w:cs="Tahoma"/>
        </w:rPr>
        <w:t>e ou d’incitation au terrorisme</w:t>
      </w:r>
      <w:r w:rsidRPr="001947F4">
        <w:rPr>
          <w:rStyle w:val="FootnoteReference"/>
          <w:rFonts w:cs="Tahoma"/>
        </w:rPr>
        <w:footnoteReference w:id="127"/>
      </w:r>
      <w:r w:rsidRPr="001947F4">
        <w:rPr>
          <w:rFonts w:cs="Tahoma"/>
        </w:rPr>
        <w:t>.</w:t>
      </w:r>
      <w:r w:rsidR="002518A2" w:rsidRPr="0077273E">
        <w:rPr>
          <w:rFonts w:cs="Tahoma"/>
        </w:rPr>
        <w:t xml:space="preserve"> </w:t>
      </w:r>
    </w:p>
    <w:p w14:paraId="4C8C9DC2" w14:textId="1BF688BB" w:rsidR="002518A2" w:rsidRPr="0077273E" w:rsidRDefault="001947F4" w:rsidP="002518A2">
      <w:pPr>
        <w:rPr>
          <w:rFonts w:cs="Tahoma"/>
        </w:rPr>
      </w:pPr>
      <w:r>
        <w:rPr>
          <w:rFonts w:cs="Tahoma"/>
        </w:rPr>
        <w:t xml:space="preserve">Celui-ci </w:t>
      </w:r>
      <w:r w:rsidR="002518A2" w:rsidRPr="0077273E">
        <w:rPr>
          <w:rFonts w:cs="Tahoma"/>
        </w:rPr>
        <w:t>s’est toutefois abstenu de</w:t>
      </w:r>
      <w:r>
        <w:rPr>
          <w:rFonts w:cs="Tahoma"/>
        </w:rPr>
        <w:t xml:space="preserve"> prendre des mesures en ce sens</w:t>
      </w:r>
      <w:r w:rsidR="002518A2" w:rsidRPr="0077273E">
        <w:rPr>
          <w:rFonts w:cs="Tahoma"/>
        </w:rPr>
        <w:t xml:space="preserve"> et s’est contenté d’adopter la loi n° 86-14 du 21 janvier 2015 modifiant et complétant certaines dispositions du Code pénal relatives à la lutte contre le terrorisme et prévoyant que l’apologie du terrorism</w:t>
      </w:r>
      <w:r w:rsidR="00590CE2">
        <w:rPr>
          <w:rFonts w:cs="Tahoma"/>
        </w:rPr>
        <w:t>e serait désormais passible de cinq</w:t>
      </w:r>
      <w:r w:rsidR="002518A2" w:rsidRPr="0077273E">
        <w:rPr>
          <w:rFonts w:cs="Tahoma"/>
        </w:rPr>
        <w:t xml:space="preserve"> à 15 ans de prison.</w:t>
      </w:r>
    </w:p>
    <w:p w14:paraId="00E5E1FF" w14:textId="5D33953D" w:rsidR="00063B5D" w:rsidRPr="0077273E" w:rsidRDefault="008F5E3A" w:rsidP="001947F4">
      <w:pPr>
        <w:pStyle w:val="Heading2"/>
        <w:rPr>
          <w:lang w:val="fr-CH"/>
        </w:rPr>
      </w:pPr>
      <w:bookmarkStart w:id="177" w:name="_Toc452041629"/>
      <w:bookmarkStart w:id="178" w:name="_Toc462396137"/>
      <w:r w:rsidRPr="0077273E">
        <w:rPr>
          <w:lang w:val="fr-CH"/>
        </w:rPr>
        <w:lastRenderedPageBreak/>
        <w:t>Le droit d’association</w:t>
      </w:r>
      <w:bookmarkEnd w:id="177"/>
      <w:r w:rsidR="001947F4" w:rsidRPr="001947F4">
        <w:rPr>
          <w:lang w:val="fr-CH"/>
        </w:rPr>
        <w:t xml:space="preserve"> </w:t>
      </w:r>
      <w:r w:rsidR="001947F4">
        <w:rPr>
          <w:lang w:val="fr-CH"/>
        </w:rPr>
        <w:t xml:space="preserve">et </w:t>
      </w:r>
      <w:r w:rsidR="001947F4" w:rsidRPr="0077273E">
        <w:rPr>
          <w:lang w:val="fr-CH"/>
        </w:rPr>
        <w:t>de réunion pacifique</w:t>
      </w:r>
      <w:bookmarkEnd w:id="178"/>
    </w:p>
    <w:p w14:paraId="05EA9CB9" w14:textId="351D0FC2" w:rsidR="00B01190" w:rsidRPr="0077273E" w:rsidRDefault="00B01190" w:rsidP="002518A2">
      <w:pPr>
        <w:rPr>
          <w:rFonts w:cs="Tahoma"/>
        </w:rPr>
      </w:pPr>
      <w:r w:rsidRPr="0077273E">
        <w:rPr>
          <w:rFonts w:cs="Tahoma"/>
        </w:rPr>
        <w:t>Le Comité a</w:t>
      </w:r>
      <w:r w:rsidR="002518A2" w:rsidRPr="0077273E">
        <w:rPr>
          <w:rFonts w:cs="Tahoma"/>
        </w:rPr>
        <w:t>vait</w:t>
      </w:r>
      <w:r w:rsidRPr="0077273E">
        <w:rPr>
          <w:rFonts w:cs="Tahoma"/>
        </w:rPr>
        <w:t xml:space="preserve"> demandé </w:t>
      </w:r>
      <w:r w:rsidR="002518A2" w:rsidRPr="0077273E">
        <w:rPr>
          <w:rFonts w:cs="Tahoma"/>
        </w:rPr>
        <w:t xml:space="preserve">à l’Etat partie d’apporter des </w:t>
      </w:r>
      <w:r w:rsidRPr="0077273E">
        <w:rPr>
          <w:rFonts w:cs="Tahoma"/>
        </w:rPr>
        <w:t>précisions concernant les mesures prises pour lever les obstacles à l’exercice du droit de réunion pacifique et au recours fréquent à un usage excessif de la force pour disperser des rassemblements</w:t>
      </w:r>
      <w:r w:rsidRPr="0077273E">
        <w:rPr>
          <w:rStyle w:val="FootnoteReference"/>
          <w:rFonts w:cs="Tahoma"/>
        </w:rPr>
        <w:footnoteReference w:id="128"/>
      </w:r>
      <w:r w:rsidR="002518A2" w:rsidRPr="0077273E">
        <w:rPr>
          <w:rFonts w:cs="Tahoma"/>
        </w:rPr>
        <w:t>. D’après les autorités</w:t>
      </w:r>
      <w:r w:rsidRPr="0077273E">
        <w:rPr>
          <w:rFonts w:cs="Tahoma"/>
        </w:rPr>
        <w:t>, l’enregistrement des associations ne fait pas l’objet de restrictions et est soumis à un simple régime déclaratif, conforme aux standards internationaux en la matière</w:t>
      </w:r>
      <w:r w:rsidRPr="0077273E">
        <w:rPr>
          <w:rStyle w:val="FootnoteReference"/>
          <w:rFonts w:cs="Tahoma"/>
        </w:rPr>
        <w:footnoteReference w:id="129"/>
      </w:r>
      <w:r w:rsidRPr="0077273E">
        <w:rPr>
          <w:rFonts w:cs="Tahoma"/>
        </w:rPr>
        <w:t>.</w:t>
      </w:r>
    </w:p>
    <w:p w14:paraId="61EF8CFB" w14:textId="0A6AC1AC" w:rsidR="00C9500A" w:rsidRPr="0077273E" w:rsidRDefault="00C9500A" w:rsidP="00C9500A">
      <w:pPr>
        <w:rPr>
          <w:rFonts w:cs="Tahoma"/>
        </w:rPr>
      </w:pPr>
      <w:r w:rsidRPr="0077273E">
        <w:rPr>
          <w:rFonts w:cs="Tahoma"/>
        </w:rPr>
        <w:t xml:space="preserve">L’Etat partie a également affirmé que les seules restrictions à l’organisation de réunions publiques seraient justifiées par l’inobservation des dispositions légales en la matière. « En cas d’interdiction de certaines manifestations, les forces de l’ordre interviennent dans le strict respect de la loi et après les sommations d’usage, dans le seul objectif de maintenir l’ordre public et la protection des </w:t>
      </w:r>
      <w:r w:rsidR="002518A2" w:rsidRPr="0077273E">
        <w:rPr>
          <w:rFonts w:cs="Tahoma"/>
        </w:rPr>
        <w:t>autres libertés</w:t>
      </w:r>
      <w:r w:rsidRPr="0077273E">
        <w:rPr>
          <w:rFonts w:cs="Tahoma"/>
        </w:rPr>
        <w:t xml:space="preserve"> des citoyens et de leurs biens »</w:t>
      </w:r>
      <w:r w:rsidRPr="0077273E">
        <w:rPr>
          <w:rStyle w:val="FootnoteReference"/>
          <w:rFonts w:cs="Tahoma"/>
        </w:rPr>
        <w:footnoteReference w:id="130"/>
      </w:r>
      <w:r w:rsidRPr="0077273E">
        <w:rPr>
          <w:rFonts w:cs="Tahoma"/>
        </w:rPr>
        <w:t xml:space="preserve">. </w:t>
      </w:r>
    </w:p>
    <w:p w14:paraId="43E3ED65" w14:textId="2CF351CB" w:rsidR="00860B0E" w:rsidRPr="0077273E" w:rsidRDefault="00C9500A" w:rsidP="00805C8F">
      <w:r w:rsidRPr="0077273E">
        <w:t>Toutefois, dans la pratique</w:t>
      </w:r>
      <w:r w:rsidR="006F69A0" w:rsidRPr="0077273E">
        <w:t xml:space="preserve"> de nombreuses associations se voient refuser l’enregistrement par les autorités administratives compétentes en raison de l’orientation politique de leurs membres ou des objectifs poursuivis par l’association. </w:t>
      </w:r>
      <w:r w:rsidR="00860B0E" w:rsidRPr="0077273E">
        <w:t xml:space="preserve">Les refus d’enregistrer des associations </w:t>
      </w:r>
      <w:r w:rsidR="00685FCD" w:rsidRPr="0077273E">
        <w:t>œuvrant à la</w:t>
      </w:r>
      <w:r w:rsidR="00860B0E" w:rsidRPr="0077273E">
        <w:t xml:space="preserve"> défense des populations sahraouie et amazighe et des immigrés originaires d’Afrique subsaharienne</w:t>
      </w:r>
      <w:r w:rsidR="00685FCD" w:rsidRPr="0077273E">
        <w:t>, ou dirigées par des membres du mouvement i</w:t>
      </w:r>
      <w:r w:rsidR="00364621" w:rsidRPr="0077273E">
        <w:t xml:space="preserve">slamiste </w:t>
      </w:r>
      <w:r w:rsidR="00364621" w:rsidRPr="0077273E">
        <w:rPr>
          <w:i/>
        </w:rPr>
        <w:t>Al Adl Wal Ihsan</w:t>
      </w:r>
      <w:r w:rsidR="00685FCD" w:rsidRPr="0077273E">
        <w:t>,</w:t>
      </w:r>
      <w:r w:rsidR="00860B0E" w:rsidRPr="0077273E">
        <w:t xml:space="preserve"> ont par exemple été dénoncés</w:t>
      </w:r>
      <w:r w:rsidR="00860B0E" w:rsidRPr="0077273E">
        <w:rPr>
          <w:rStyle w:val="FootnoteReference"/>
          <w:bCs/>
          <w:szCs w:val="20"/>
        </w:rPr>
        <w:footnoteReference w:id="131"/>
      </w:r>
      <w:r w:rsidR="00860B0E" w:rsidRPr="0077273E">
        <w:t>.</w:t>
      </w:r>
    </w:p>
    <w:p w14:paraId="7AC0C447" w14:textId="77FF6150" w:rsidR="00FF2D8C" w:rsidRPr="0077273E" w:rsidRDefault="002518A2" w:rsidP="00805C8F">
      <w:r w:rsidRPr="0077273E">
        <w:rPr>
          <w:rFonts w:eastAsiaTheme="minorHAnsi"/>
        </w:rPr>
        <w:t>De plus, s</w:t>
      </w:r>
      <w:r w:rsidR="00C83B69" w:rsidRPr="0077273E">
        <w:rPr>
          <w:rFonts w:eastAsiaTheme="minorHAnsi"/>
        </w:rPr>
        <w:t>euls les partis politiques, syndicats, et associations officiellement déclarés sont autorisés à organiser des manifestations sur la voie publique après avoir soumis une déclaration préalable</w:t>
      </w:r>
      <w:r w:rsidR="00860B0E" w:rsidRPr="0077273E">
        <w:rPr>
          <w:rStyle w:val="FootnoteReference"/>
          <w:rFonts w:eastAsiaTheme="minorHAnsi"/>
          <w:szCs w:val="20"/>
        </w:rPr>
        <w:footnoteReference w:id="132"/>
      </w:r>
      <w:r w:rsidR="00860B0E" w:rsidRPr="0077273E">
        <w:rPr>
          <w:rFonts w:eastAsiaTheme="minorHAnsi"/>
        </w:rPr>
        <w:t>.</w:t>
      </w:r>
      <w:r w:rsidR="00FF2D8C" w:rsidRPr="0077273E">
        <w:rPr>
          <w:rFonts w:eastAsiaTheme="minorHAnsi"/>
        </w:rPr>
        <w:t xml:space="preserve"> </w:t>
      </w:r>
      <w:r w:rsidR="00D84525" w:rsidRPr="0077273E">
        <w:t>L</w:t>
      </w:r>
      <w:r w:rsidR="00FF2D8C" w:rsidRPr="0077273E">
        <w:t xml:space="preserve">es autorités marocaines invoquent régulièrement l’absence d’autorisation, l’obstruction à la libre circulation, </w:t>
      </w:r>
      <w:r w:rsidRPr="0077273E">
        <w:t xml:space="preserve">la dégradation de biens, </w:t>
      </w:r>
      <w:r w:rsidR="00D84525" w:rsidRPr="0077273E">
        <w:t xml:space="preserve">pour </w:t>
      </w:r>
      <w:r w:rsidRPr="0077273E">
        <w:t>disperser certaines</w:t>
      </w:r>
      <w:r w:rsidR="00FF2D8C" w:rsidRPr="0077273E">
        <w:t xml:space="preserve"> réunions publiques</w:t>
      </w:r>
      <w:r w:rsidR="00D84525" w:rsidRPr="0077273E">
        <w:t xml:space="preserve"> et interdire des réunions privées</w:t>
      </w:r>
      <w:r w:rsidR="00FF2D8C" w:rsidRPr="0077273E">
        <w:t xml:space="preserve">. </w:t>
      </w:r>
      <w:r w:rsidR="00D84525" w:rsidRPr="0077273E">
        <w:t>Ainsi, e</w:t>
      </w:r>
      <w:r w:rsidR="00FF2D8C" w:rsidRPr="0077273E">
        <w:t>n décembre 2014</w:t>
      </w:r>
      <w:r w:rsidR="00364621" w:rsidRPr="0077273E">
        <w:t>, 52 membres d’</w:t>
      </w:r>
      <w:r w:rsidR="00364621" w:rsidRPr="0077273E">
        <w:rPr>
          <w:i/>
        </w:rPr>
        <w:t>Al Adl wal Ihsan</w:t>
      </w:r>
      <w:r w:rsidR="00D84525" w:rsidRPr="0077273E">
        <w:t xml:space="preserve">, une association non reconnue, </w:t>
      </w:r>
      <w:r w:rsidR="00FF2D8C" w:rsidRPr="0077273E">
        <w:t>ont été condamnés à de lourdes amendes pour avoir tenu des réunions privées « non autorisées »</w:t>
      </w:r>
      <w:r w:rsidR="00FF2D8C" w:rsidRPr="0077273E">
        <w:rPr>
          <w:rStyle w:val="FootnoteReference"/>
          <w:bCs/>
          <w:szCs w:val="20"/>
        </w:rPr>
        <w:footnoteReference w:id="133"/>
      </w:r>
      <w:r w:rsidR="00FF2D8C" w:rsidRPr="0077273E">
        <w:t>.</w:t>
      </w:r>
    </w:p>
    <w:p w14:paraId="56C6A4A9" w14:textId="29945B85" w:rsidR="00C83B69" w:rsidRPr="0077273E" w:rsidRDefault="00D84525" w:rsidP="00805C8F">
      <w:pPr>
        <w:rPr>
          <w:rFonts w:cs="Tahoma"/>
        </w:rPr>
      </w:pPr>
      <w:r w:rsidRPr="0077273E">
        <w:rPr>
          <w:rFonts w:cs="Tahoma"/>
        </w:rPr>
        <w:t>En vertu du droit interne, l</w:t>
      </w:r>
      <w:r w:rsidR="00C83B69" w:rsidRPr="0077273E">
        <w:rPr>
          <w:rFonts w:cs="Tahoma"/>
        </w:rPr>
        <w:t xml:space="preserve">es rassemblements spontanés de citoyens sont considérés comme des « attroupements » pouvant être dispersés par la </w:t>
      </w:r>
      <w:r w:rsidR="00685FCD" w:rsidRPr="0077273E">
        <w:rPr>
          <w:rFonts w:cs="Tahoma"/>
        </w:rPr>
        <w:t>force</w:t>
      </w:r>
      <w:r w:rsidR="00685FCD" w:rsidRPr="00805C8F">
        <w:rPr>
          <w:rStyle w:val="FootnoteReference"/>
          <w:rFonts w:eastAsiaTheme="minorHAnsi" w:cs="Tahoma"/>
          <w:bCs/>
          <w:szCs w:val="20"/>
        </w:rPr>
        <w:footnoteReference w:id="134"/>
      </w:r>
      <w:r w:rsidR="00C83B69" w:rsidRPr="0077273E">
        <w:rPr>
          <w:rFonts w:cs="Tahoma"/>
        </w:rPr>
        <w:t xml:space="preserve">. Le </w:t>
      </w:r>
      <w:r w:rsidR="00685FCD" w:rsidRPr="0077273E">
        <w:rPr>
          <w:rFonts w:cs="Tahoma"/>
        </w:rPr>
        <w:t xml:space="preserve">12 octobre 2015, le </w:t>
      </w:r>
      <w:r w:rsidR="00C83B69" w:rsidRPr="0077273E">
        <w:rPr>
          <w:rFonts w:cs="Tahoma"/>
        </w:rPr>
        <w:t xml:space="preserve">ministre de la justice </w:t>
      </w:r>
      <w:r w:rsidR="00DC0082">
        <w:rPr>
          <w:rFonts w:cs="Tahoma"/>
        </w:rPr>
        <w:t xml:space="preserve">et des libertés </w:t>
      </w:r>
      <w:r w:rsidR="00C83B69" w:rsidRPr="0077273E">
        <w:rPr>
          <w:rFonts w:cs="Tahoma"/>
        </w:rPr>
        <w:t xml:space="preserve">a néanmoins distribué une circulaire à l’intention des procureurs </w:t>
      </w:r>
      <w:r w:rsidR="00685FCD" w:rsidRPr="0077273E">
        <w:rPr>
          <w:rFonts w:cs="Tahoma"/>
        </w:rPr>
        <w:t>précisant</w:t>
      </w:r>
      <w:r w:rsidR="00C83B69" w:rsidRPr="0077273E">
        <w:rPr>
          <w:rFonts w:cs="Tahoma"/>
        </w:rPr>
        <w:t xml:space="preserve"> que l’intervention policière n’est justifié</w:t>
      </w:r>
      <w:r w:rsidR="00A74B08" w:rsidRPr="0077273E">
        <w:rPr>
          <w:rFonts w:cs="Tahoma"/>
        </w:rPr>
        <w:t>e qu’en cas d’attroupement armé</w:t>
      </w:r>
      <w:r w:rsidR="00C83B69" w:rsidRPr="0077273E">
        <w:rPr>
          <w:rFonts w:cs="Tahoma"/>
        </w:rPr>
        <w:t xml:space="preserve"> et/ou suscept</w:t>
      </w:r>
      <w:r w:rsidR="00860B0E" w:rsidRPr="0077273E">
        <w:rPr>
          <w:rFonts w:cs="Tahoma"/>
        </w:rPr>
        <w:t>ible de troubler l’ordre public</w:t>
      </w:r>
      <w:r w:rsidR="00C83B69" w:rsidRPr="00805C8F">
        <w:rPr>
          <w:rStyle w:val="FootnoteReference"/>
          <w:rFonts w:eastAsiaTheme="minorHAnsi" w:cs="Tahoma"/>
          <w:bCs/>
          <w:szCs w:val="20"/>
        </w:rPr>
        <w:footnoteReference w:id="135"/>
      </w:r>
      <w:r w:rsidR="00860B0E" w:rsidRPr="00805C8F">
        <w:rPr>
          <w:rFonts w:cs="Tahoma"/>
          <w:bCs/>
        </w:rPr>
        <w:t>.</w:t>
      </w:r>
      <w:r w:rsidR="00C83B69" w:rsidRPr="00805C8F">
        <w:rPr>
          <w:rFonts w:cs="Tahoma"/>
          <w:bCs/>
        </w:rPr>
        <w:t xml:space="preserve"> </w:t>
      </w:r>
    </w:p>
    <w:p w14:paraId="47E08C4D" w14:textId="7880022C" w:rsidR="00C83B69" w:rsidRPr="00805C8F" w:rsidRDefault="00D84525" w:rsidP="00805C8F">
      <w:pPr>
        <w:rPr>
          <w:rFonts w:cs="Tahoma"/>
        </w:rPr>
      </w:pPr>
      <w:r w:rsidRPr="0077273E">
        <w:rPr>
          <w:rFonts w:cs="Tahoma"/>
        </w:rPr>
        <w:t>Toutefois, e</w:t>
      </w:r>
      <w:r w:rsidR="00C83B69" w:rsidRPr="0077273E">
        <w:rPr>
          <w:rFonts w:cs="Tahoma"/>
        </w:rPr>
        <w:t xml:space="preserve">n pratique, la police </w:t>
      </w:r>
      <w:r w:rsidRPr="0077273E">
        <w:rPr>
          <w:rFonts w:cs="Tahoma"/>
        </w:rPr>
        <w:t>a</w:t>
      </w:r>
      <w:r w:rsidR="00C83B69" w:rsidRPr="0077273E">
        <w:rPr>
          <w:rFonts w:cs="Tahoma"/>
        </w:rPr>
        <w:t xml:space="preserve"> régulièrement </w:t>
      </w:r>
      <w:r w:rsidRPr="0077273E">
        <w:rPr>
          <w:rFonts w:cs="Tahoma"/>
        </w:rPr>
        <w:t xml:space="preserve">fait </w:t>
      </w:r>
      <w:r w:rsidR="00C83B69" w:rsidRPr="0077273E">
        <w:rPr>
          <w:rFonts w:cs="Tahoma"/>
        </w:rPr>
        <w:t xml:space="preserve">usage d’un recours excessif à la force </w:t>
      </w:r>
      <w:r w:rsidRPr="0077273E">
        <w:rPr>
          <w:rFonts w:cs="Tahoma"/>
        </w:rPr>
        <w:t>pour disperser des</w:t>
      </w:r>
      <w:r w:rsidR="00C83B69" w:rsidRPr="0077273E">
        <w:rPr>
          <w:rFonts w:cs="Tahoma"/>
        </w:rPr>
        <w:t xml:space="preserve"> manifestation</w:t>
      </w:r>
      <w:r w:rsidRPr="0077273E">
        <w:rPr>
          <w:rFonts w:cs="Tahoma"/>
        </w:rPr>
        <w:t>s</w:t>
      </w:r>
      <w:r w:rsidR="00C83B69" w:rsidRPr="0077273E">
        <w:rPr>
          <w:rFonts w:cs="Tahoma"/>
        </w:rPr>
        <w:t xml:space="preserve"> pacifique</w:t>
      </w:r>
      <w:r w:rsidRPr="0077273E">
        <w:rPr>
          <w:rFonts w:cs="Tahoma"/>
        </w:rPr>
        <w:t>s</w:t>
      </w:r>
      <w:r w:rsidR="00805C8F">
        <w:rPr>
          <w:rFonts w:cs="Tahoma"/>
        </w:rPr>
        <w:t xml:space="preserve">. </w:t>
      </w:r>
      <w:r w:rsidR="00C83B69" w:rsidRPr="0077273E">
        <w:t xml:space="preserve">Le 7 janvier 2016, la police a </w:t>
      </w:r>
      <w:r w:rsidR="00054AE9" w:rsidRPr="0077273E">
        <w:t xml:space="preserve">ainsi </w:t>
      </w:r>
      <w:r w:rsidR="00C83B69" w:rsidRPr="0077273E">
        <w:t xml:space="preserve">violemment réprimé des enseignants stagiaires qui manifestaient pacifiquement à </w:t>
      </w:r>
      <w:r w:rsidR="00C83B69" w:rsidRPr="0077273E">
        <w:rPr>
          <w:rStyle w:val="figure-caption"/>
          <w:szCs w:val="20"/>
        </w:rPr>
        <w:t>Inezgane dans le cadre d’une journée nationale de mobilisation</w:t>
      </w:r>
      <w:r w:rsidR="00C83B69" w:rsidRPr="0077273E">
        <w:t>, blessant des dizaines d’entre eux. Certains manifestants ont été grièvement blessés à la tête, ce qui a nécessité des soins médicaux d’urgence</w:t>
      </w:r>
      <w:r w:rsidR="00C83B69" w:rsidRPr="0077273E">
        <w:rPr>
          <w:rStyle w:val="FootnoteReference"/>
          <w:szCs w:val="20"/>
        </w:rPr>
        <w:footnoteReference w:id="136"/>
      </w:r>
      <w:r w:rsidR="00A91C27" w:rsidRPr="0077273E">
        <w:t>.</w:t>
      </w:r>
    </w:p>
    <w:p w14:paraId="56F7D827" w14:textId="343008D5" w:rsidR="008801FE" w:rsidRPr="0077273E" w:rsidRDefault="008801FE" w:rsidP="007B5AA5">
      <w:pPr>
        <w:pStyle w:val="Heading2"/>
        <w:rPr>
          <w:lang w:val="fr-CH"/>
        </w:rPr>
      </w:pPr>
      <w:bookmarkStart w:id="179" w:name="_Toc462396138"/>
      <w:r w:rsidRPr="0077273E">
        <w:rPr>
          <w:lang w:val="fr-CH"/>
        </w:rPr>
        <w:t>Situation des défenseurs des droits de l’homme</w:t>
      </w:r>
      <w:bookmarkEnd w:id="179"/>
    </w:p>
    <w:p w14:paraId="7D2C335F" w14:textId="790FD50C" w:rsidR="008801FE" w:rsidRPr="0077273E" w:rsidRDefault="008801FE" w:rsidP="00064928">
      <w:pPr>
        <w:rPr>
          <w:rFonts w:cs="Tahoma"/>
        </w:rPr>
      </w:pPr>
      <w:r w:rsidRPr="0077273E">
        <w:rPr>
          <w:rFonts w:cs="Tahoma"/>
        </w:rPr>
        <w:t xml:space="preserve">Au cours des dernières années, Alkarama a documenté </w:t>
      </w:r>
      <w:r w:rsidR="00E56D91" w:rsidRPr="0077273E">
        <w:rPr>
          <w:rFonts w:cs="Tahoma"/>
        </w:rPr>
        <w:t xml:space="preserve">plusieurs cas d’arrestations arbitraires suivies de </w:t>
      </w:r>
      <w:r w:rsidRPr="0077273E">
        <w:rPr>
          <w:rFonts w:cs="Tahoma"/>
        </w:rPr>
        <w:t xml:space="preserve">mauvais traitements infligés à des </w:t>
      </w:r>
      <w:r w:rsidR="00064928">
        <w:rPr>
          <w:rFonts w:cs="Tahoma"/>
        </w:rPr>
        <w:t xml:space="preserve">défenseurs des droits de l’homme </w:t>
      </w:r>
      <w:r w:rsidRPr="0077273E">
        <w:rPr>
          <w:rFonts w:cs="Tahoma"/>
        </w:rPr>
        <w:t xml:space="preserve">ou à leurs proches dans le but de les intimider ou en guise de représailles. </w:t>
      </w:r>
    </w:p>
    <w:p w14:paraId="43F5F684" w14:textId="1F3421D6" w:rsidR="00376667" w:rsidRPr="0077273E" w:rsidRDefault="008801FE" w:rsidP="00064928">
      <w:pPr>
        <w:rPr>
          <w:rFonts w:cs="Tahoma"/>
        </w:rPr>
      </w:pPr>
      <w:r w:rsidRPr="0077273E">
        <w:rPr>
          <w:rFonts w:cs="Tahoma"/>
        </w:rPr>
        <w:t>A l’issue de sa visite au Maroc, le</w:t>
      </w:r>
      <w:r w:rsidR="00805C8F">
        <w:rPr>
          <w:rFonts w:cs="Tahoma"/>
        </w:rPr>
        <w:t xml:space="preserve"> R</w:t>
      </w:r>
      <w:r w:rsidR="00DC131D">
        <w:rPr>
          <w:rFonts w:cs="Tahoma"/>
        </w:rPr>
        <w:t>apporteur</w:t>
      </w:r>
      <w:r w:rsidRPr="0077273E">
        <w:rPr>
          <w:rFonts w:cs="Tahoma"/>
        </w:rPr>
        <w:t xml:space="preserve"> spécial sur la torture avait prié les autorités marocaines de prévenir les représailles contre les activistes et toutes personnes s’étant entretenues avec lui durant sa mission</w:t>
      </w:r>
      <w:r w:rsidRPr="0077273E">
        <w:rPr>
          <w:rStyle w:val="FootnoteReference"/>
          <w:rFonts w:cs="Tahoma"/>
          <w:szCs w:val="20"/>
        </w:rPr>
        <w:footnoteReference w:id="137"/>
      </w:r>
      <w:r w:rsidRPr="0077273E">
        <w:rPr>
          <w:rFonts w:cs="Tahoma"/>
        </w:rPr>
        <w:t xml:space="preserve">. Malgré ces recommandations, des intimidations ont été </w:t>
      </w:r>
      <w:r w:rsidR="00376667" w:rsidRPr="0077273E">
        <w:rPr>
          <w:rFonts w:cs="Tahoma"/>
        </w:rPr>
        <w:t xml:space="preserve">rapportées </w:t>
      </w:r>
      <w:r w:rsidRPr="0077273E">
        <w:rPr>
          <w:rFonts w:cs="Tahoma"/>
        </w:rPr>
        <w:t xml:space="preserve">par </w:t>
      </w:r>
      <w:r w:rsidR="00064928">
        <w:rPr>
          <w:rFonts w:cs="Tahoma"/>
        </w:rPr>
        <w:t xml:space="preserve">des </w:t>
      </w:r>
      <w:r w:rsidR="00376667" w:rsidRPr="0077273E">
        <w:rPr>
          <w:rFonts w:cs="Tahoma"/>
        </w:rPr>
        <w:t xml:space="preserve">membres de </w:t>
      </w:r>
      <w:r w:rsidR="00376667" w:rsidRPr="0077273E">
        <w:rPr>
          <w:rFonts w:cs="Tahoma"/>
        </w:rPr>
        <w:lastRenderedPageBreak/>
        <w:t xml:space="preserve">la société civile et </w:t>
      </w:r>
      <w:r w:rsidRPr="0077273E">
        <w:rPr>
          <w:rFonts w:cs="Tahoma"/>
        </w:rPr>
        <w:t>des défenseurs des droits de l’homme ayant rencontré le</w:t>
      </w:r>
      <w:r w:rsidR="00DC131D">
        <w:rPr>
          <w:rFonts w:cs="Tahoma"/>
        </w:rPr>
        <w:t xml:space="preserve"> rapporteur</w:t>
      </w:r>
      <w:r w:rsidRPr="0077273E">
        <w:rPr>
          <w:rFonts w:cs="Tahoma"/>
        </w:rPr>
        <w:t xml:space="preserve"> spécial, voire par leurs proches. </w:t>
      </w:r>
    </w:p>
    <w:p w14:paraId="7264B6D9" w14:textId="6B2C9159" w:rsidR="008801FE" w:rsidRPr="0077273E" w:rsidRDefault="008801FE" w:rsidP="00064928">
      <w:pPr>
        <w:rPr>
          <w:rFonts w:cs="Tahoma"/>
        </w:rPr>
      </w:pPr>
      <w:r w:rsidRPr="0077273E">
        <w:rPr>
          <w:rFonts w:cs="Tahoma"/>
        </w:rPr>
        <w:t xml:space="preserve">Ainsi, </w:t>
      </w:r>
      <w:r w:rsidRPr="0077273E">
        <w:rPr>
          <w:rFonts w:cs="Tahoma"/>
          <w:b/>
          <w:bCs/>
        </w:rPr>
        <w:t>Karima El Berhihi</w:t>
      </w:r>
      <w:r w:rsidRPr="0077273E">
        <w:rPr>
          <w:rFonts w:cs="Tahoma"/>
        </w:rPr>
        <w:t xml:space="preserve"> a été illégalement détenue et </w:t>
      </w:r>
      <w:r w:rsidR="00064928">
        <w:rPr>
          <w:rFonts w:cs="Tahoma"/>
        </w:rPr>
        <w:t xml:space="preserve">a subi des mauvais traitements </w:t>
      </w:r>
      <w:r w:rsidRPr="0077273E">
        <w:rPr>
          <w:rFonts w:cs="Tahoma"/>
        </w:rPr>
        <w:t>après que son fiancé a</w:t>
      </w:r>
      <w:r w:rsidR="00064928">
        <w:rPr>
          <w:rFonts w:cs="Tahoma"/>
        </w:rPr>
        <w:t>it</w:t>
      </w:r>
      <w:r w:rsidRPr="0077273E">
        <w:rPr>
          <w:rFonts w:cs="Tahoma"/>
        </w:rPr>
        <w:t xml:space="preserve"> r</w:t>
      </w:r>
      <w:r w:rsidR="00376667" w:rsidRPr="0077273E">
        <w:rPr>
          <w:rFonts w:cs="Tahoma"/>
        </w:rPr>
        <w:t>encontré le</w:t>
      </w:r>
      <w:r w:rsidR="00805C8F">
        <w:rPr>
          <w:rFonts w:cs="Tahoma"/>
        </w:rPr>
        <w:t xml:space="preserve"> R</w:t>
      </w:r>
      <w:r w:rsidR="00DC131D">
        <w:rPr>
          <w:rFonts w:cs="Tahoma"/>
        </w:rPr>
        <w:t>apporteur</w:t>
      </w:r>
      <w:r w:rsidR="00376667" w:rsidRPr="0077273E">
        <w:rPr>
          <w:rFonts w:cs="Tahoma"/>
        </w:rPr>
        <w:t xml:space="preserve"> spécial. Elle </w:t>
      </w:r>
      <w:r w:rsidRPr="0077273E">
        <w:rPr>
          <w:rFonts w:cs="Tahoma"/>
        </w:rPr>
        <w:t xml:space="preserve">a été </w:t>
      </w:r>
      <w:r w:rsidR="00064928">
        <w:rPr>
          <w:rFonts w:cs="Tahoma"/>
        </w:rPr>
        <w:t xml:space="preserve">enlevée </w:t>
      </w:r>
      <w:r w:rsidRPr="0077273E">
        <w:rPr>
          <w:rFonts w:cs="Tahoma"/>
        </w:rPr>
        <w:t xml:space="preserve">en novembre 2012, par deux hommes en civils affirmant travailler pour les services de renseignements. Après avoir été conduite en voiture vers un lieu inconnu, elle a fait l’objet d’un interrogatoire sur les raisons qui ont motivé ses fiançailles avec M. Anas El Haloui, porte-parole d’une association de défense des </w:t>
      </w:r>
      <w:r w:rsidR="00376667" w:rsidRPr="0077273E">
        <w:rPr>
          <w:rFonts w:cs="Tahoma"/>
        </w:rPr>
        <w:t>droits des détenus politiques</w:t>
      </w:r>
      <w:r w:rsidRPr="0077273E">
        <w:rPr>
          <w:rFonts w:cs="Tahoma"/>
        </w:rPr>
        <w:t xml:space="preserve"> ainsi que sur les activités de ce dernier. Au cours de cet interrogatoire, elle a été battue, insultée et menacée de viol. Le lendemain, les services de police ont refusé d’enregistrer sa plainte pour enlèvement et torture</w:t>
      </w:r>
      <w:r w:rsidR="00376667" w:rsidRPr="0077273E">
        <w:rPr>
          <w:rStyle w:val="FootnoteReference"/>
          <w:rFonts w:cs="Tahoma"/>
        </w:rPr>
        <w:footnoteReference w:id="138"/>
      </w:r>
      <w:r w:rsidRPr="0077273E">
        <w:rPr>
          <w:rFonts w:cs="Tahoma"/>
        </w:rPr>
        <w:t>.</w:t>
      </w:r>
    </w:p>
    <w:p w14:paraId="7977D4C3" w14:textId="39E7F14C" w:rsidR="00FB382C" w:rsidRPr="0077273E" w:rsidRDefault="00FB382C" w:rsidP="008801FE">
      <w:pPr>
        <w:rPr>
          <w:rFonts w:cs="Tahoma"/>
        </w:rPr>
      </w:pPr>
      <w:r w:rsidRPr="0077273E">
        <w:rPr>
          <w:rFonts w:cs="Tahoma"/>
          <w:b/>
          <w:bCs/>
        </w:rPr>
        <w:t>Recommandations</w:t>
      </w:r>
      <w:r w:rsidR="00805C8F">
        <w:rPr>
          <w:rFonts w:cs="Tahoma"/>
          <w:b/>
          <w:bCs/>
        </w:rPr>
        <w:t> :</w:t>
      </w:r>
    </w:p>
    <w:p w14:paraId="7DB6FF02" w14:textId="77777777" w:rsidR="00805C8F" w:rsidRDefault="00FB382C" w:rsidP="00805C8F">
      <w:pPr>
        <w:pStyle w:val="UPRparagraph"/>
        <w:numPr>
          <w:ilvl w:val="1"/>
          <w:numId w:val="11"/>
        </w:numPr>
        <w:spacing w:after="120"/>
        <w:ind w:left="567" w:hanging="425"/>
        <w:rPr>
          <w:rFonts w:cs="Tahoma"/>
        </w:rPr>
      </w:pPr>
      <w:r w:rsidRPr="00805C8F">
        <w:rPr>
          <w:rFonts w:cs="Tahoma"/>
        </w:rPr>
        <w:t xml:space="preserve">Assurer que toute restriction à la liberté d’expression et d’information poursuit un but légitime et </w:t>
      </w:r>
      <w:r w:rsidR="00064928" w:rsidRPr="00805C8F">
        <w:rPr>
          <w:rFonts w:cs="Tahoma"/>
        </w:rPr>
        <w:t xml:space="preserve">réponde au principe de nécessité et de proportionnalité, </w:t>
      </w:r>
      <w:r w:rsidRPr="00805C8F">
        <w:rPr>
          <w:rFonts w:cs="Tahoma"/>
        </w:rPr>
        <w:t>conformém</w:t>
      </w:r>
      <w:r w:rsidR="00805C8F">
        <w:rPr>
          <w:rFonts w:cs="Tahoma"/>
        </w:rPr>
        <w:t>ent à l’article 19 (3) du PIDCP</w:t>
      </w:r>
      <w:r w:rsidRPr="00805C8F">
        <w:rPr>
          <w:rFonts w:cs="Tahoma"/>
        </w:rPr>
        <w:t>;</w:t>
      </w:r>
    </w:p>
    <w:p w14:paraId="036A48DE" w14:textId="1BEE18DE" w:rsidR="00805C8F" w:rsidRDefault="00FB382C" w:rsidP="00805C8F">
      <w:pPr>
        <w:pStyle w:val="UPRparagraph"/>
        <w:numPr>
          <w:ilvl w:val="1"/>
          <w:numId w:val="11"/>
        </w:numPr>
        <w:spacing w:after="120"/>
        <w:ind w:left="567" w:hanging="425"/>
        <w:rPr>
          <w:rFonts w:cs="Tahoma"/>
        </w:rPr>
      </w:pPr>
      <w:r w:rsidRPr="00805C8F">
        <w:rPr>
          <w:rFonts w:cs="Tahoma"/>
        </w:rPr>
        <w:t>Veiller au respect effectif des Principes de base des Nations Unies sur le recours à la force dans le cadre des opé</w:t>
      </w:r>
      <w:r w:rsidR="00805C8F">
        <w:rPr>
          <w:rFonts w:cs="Tahoma"/>
        </w:rPr>
        <w:t>rations de maintien de l’ordre ;</w:t>
      </w:r>
    </w:p>
    <w:p w14:paraId="4CF3793D" w14:textId="1F7A126A" w:rsidR="00376667" w:rsidRPr="00805C8F" w:rsidRDefault="00376667" w:rsidP="00805C8F">
      <w:pPr>
        <w:pStyle w:val="UPRparagraph"/>
        <w:numPr>
          <w:ilvl w:val="1"/>
          <w:numId w:val="11"/>
        </w:numPr>
        <w:spacing w:after="120"/>
        <w:ind w:left="567" w:hanging="425"/>
        <w:rPr>
          <w:rFonts w:cs="Tahoma"/>
        </w:rPr>
      </w:pPr>
      <w:r w:rsidRPr="00805C8F">
        <w:rPr>
          <w:rFonts w:cs="Tahoma"/>
        </w:rPr>
        <w:t>Enquêter sur les allégations de représailles contre les défenseurs des droits de l’homme et leurs proches</w:t>
      </w:r>
      <w:r w:rsidR="00064928" w:rsidRPr="00805C8F">
        <w:rPr>
          <w:rFonts w:cs="Tahoma"/>
        </w:rPr>
        <w:t>.</w:t>
      </w:r>
      <w:r w:rsidRPr="00805C8F">
        <w:rPr>
          <w:rFonts w:cs="Tahoma"/>
        </w:rPr>
        <w:t xml:space="preserve"> </w:t>
      </w:r>
    </w:p>
    <w:p w14:paraId="5ED54AB3" w14:textId="2466D5C8" w:rsidR="001339F3" w:rsidRPr="00805C8F" w:rsidRDefault="008801FE" w:rsidP="00805C8F">
      <w:pPr>
        <w:pStyle w:val="Heading1"/>
        <w:rPr>
          <w:lang w:val="fr-CH"/>
        </w:rPr>
      </w:pPr>
      <w:bookmarkStart w:id="180" w:name="_Toc462396139"/>
      <w:r w:rsidRPr="0077273E">
        <w:rPr>
          <w:lang w:val="fr-CH"/>
        </w:rPr>
        <w:t xml:space="preserve">Justice </w:t>
      </w:r>
      <w:r w:rsidR="00DC0082" w:rsidRPr="0077273E">
        <w:rPr>
          <w:lang w:val="fr-CH"/>
        </w:rPr>
        <w:t>transitionnelle</w:t>
      </w:r>
      <w:bookmarkEnd w:id="180"/>
      <w:r w:rsidRPr="0077273E">
        <w:rPr>
          <w:lang w:val="fr-CH"/>
        </w:rPr>
        <w:t xml:space="preserve"> </w:t>
      </w:r>
    </w:p>
    <w:p w14:paraId="35352CD9" w14:textId="0DC2A757" w:rsidR="0077273E" w:rsidRDefault="0077273E" w:rsidP="00E15227">
      <w:pPr>
        <w:pStyle w:val="NoSpacing"/>
        <w:rPr>
          <w:rFonts w:cs="Tahoma"/>
        </w:rPr>
      </w:pPr>
      <w:r w:rsidRPr="0077273E">
        <w:rPr>
          <w:rFonts w:cs="Tahoma"/>
        </w:rPr>
        <w:t>L’Instance Equité et Réconciliation</w:t>
      </w:r>
      <w:r w:rsidR="00805C8F">
        <w:rPr>
          <w:rFonts w:cs="Tahoma"/>
        </w:rPr>
        <w:t xml:space="preserve"> (IER)</w:t>
      </w:r>
      <w:r w:rsidRPr="0077273E">
        <w:rPr>
          <w:rFonts w:cs="Tahoma"/>
        </w:rPr>
        <w:t xml:space="preserve"> </w:t>
      </w:r>
      <w:r w:rsidR="00E7713B">
        <w:rPr>
          <w:rFonts w:cs="Tahoma"/>
        </w:rPr>
        <w:t xml:space="preserve">a été instaurée </w:t>
      </w:r>
      <w:r w:rsidRPr="0077273E">
        <w:rPr>
          <w:rFonts w:cs="Tahoma"/>
        </w:rPr>
        <w:t>en janvier 2004, « afin d’apporter un règlement global à la question</w:t>
      </w:r>
      <w:r w:rsidR="00E15227">
        <w:rPr>
          <w:rFonts w:cs="Tahoma"/>
        </w:rPr>
        <w:t> »</w:t>
      </w:r>
      <w:r w:rsidRPr="0077273E">
        <w:rPr>
          <w:rFonts w:cs="Tahoma"/>
        </w:rPr>
        <w:t xml:space="preserve"> de</w:t>
      </w:r>
      <w:r w:rsidR="00E15227">
        <w:rPr>
          <w:rFonts w:cs="Tahoma"/>
        </w:rPr>
        <w:t>s</w:t>
      </w:r>
      <w:r w:rsidRPr="0077273E">
        <w:rPr>
          <w:rFonts w:cs="Tahoma"/>
        </w:rPr>
        <w:t xml:space="preserve"> violations </w:t>
      </w:r>
      <w:r w:rsidR="00E15227">
        <w:rPr>
          <w:rFonts w:cs="Tahoma"/>
        </w:rPr>
        <w:t xml:space="preserve">commises entre </w:t>
      </w:r>
      <w:r w:rsidR="00E15227" w:rsidRPr="0077273E">
        <w:rPr>
          <w:rFonts w:cs="Tahoma"/>
        </w:rPr>
        <w:t>1956 à 1999</w:t>
      </w:r>
      <w:r w:rsidR="00E15227">
        <w:rPr>
          <w:rFonts w:cs="Tahoma"/>
        </w:rPr>
        <w:t xml:space="preserve"> </w:t>
      </w:r>
      <w:r w:rsidRPr="0077273E">
        <w:rPr>
          <w:rFonts w:cs="Tahoma"/>
        </w:rPr>
        <w:t xml:space="preserve">et de </w:t>
      </w:r>
      <w:r w:rsidR="00E15227">
        <w:rPr>
          <w:rFonts w:cs="Tahoma"/>
        </w:rPr>
        <w:t>« </w:t>
      </w:r>
      <w:r w:rsidRPr="0077273E">
        <w:rPr>
          <w:rFonts w:cs="Tahoma"/>
        </w:rPr>
        <w:t>formuler des recommandations portant des propositions de mesures destinées</w:t>
      </w:r>
      <w:r w:rsidR="00DC0082">
        <w:rPr>
          <w:rFonts w:cs="Tahoma"/>
        </w:rPr>
        <w:t xml:space="preserve"> à garantir leur non répétition</w:t>
      </w:r>
      <w:r w:rsidRPr="0077273E">
        <w:rPr>
          <w:rFonts w:cs="Tahoma"/>
        </w:rPr>
        <w:t xml:space="preserve"> et à restaurer la confiance dans la primauté de la loi »</w:t>
      </w:r>
      <w:r w:rsidRPr="0077273E">
        <w:rPr>
          <w:rStyle w:val="FootnoteReference"/>
          <w:rFonts w:cs="Tahoma"/>
        </w:rPr>
        <w:footnoteReference w:id="139"/>
      </w:r>
      <w:r w:rsidRPr="0077273E">
        <w:rPr>
          <w:rFonts w:cs="Tahoma"/>
        </w:rPr>
        <w:t>.</w:t>
      </w:r>
    </w:p>
    <w:p w14:paraId="077EB57E" w14:textId="77777777" w:rsidR="0064120E" w:rsidRPr="0064120E" w:rsidRDefault="0064120E" w:rsidP="0064120E">
      <w:pPr>
        <w:pStyle w:val="ListParagraph"/>
        <w:keepNext/>
        <w:numPr>
          <w:ilvl w:val="0"/>
          <w:numId w:val="16"/>
        </w:numPr>
        <w:shd w:val="clear" w:color="auto" w:fill="FFFFFF"/>
        <w:spacing w:after="0" w:line="240" w:lineRule="auto"/>
        <w:contextualSpacing w:val="0"/>
        <w:jc w:val="both"/>
        <w:outlineLvl w:val="1"/>
        <w:rPr>
          <w:rFonts w:ascii="Tahoma" w:eastAsia="Times New Roman" w:hAnsi="Tahoma" w:cs="Tahoma"/>
          <w:b/>
          <w:bCs/>
          <w:iCs/>
          <w:vanish/>
          <w:szCs w:val="28"/>
        </w:rPr>
      </w:pPr>
      <w:bookmarkStart w:id="181" w:name="_Toc462330126"/>
      <w:bookmarkStart w:id="182" w:name="_Toc462330380"/>
      <w:bookmarkStart w:id="183" w:name="_Toc462396076"/>
      <w:bookmarkStart w:id="184" w:name="_Toc462396140"/>
      <w:bookmarkEnd w:id="181"/>
      <w:bookmarkEnd w:id="182"/>
      <w:bookmarkEnd w:id="183"/>
      <w:bookmarkEnd w:id="184"/>
    </w:p>
    <w:p w14:paraId="2F0F4D91" w14:textId="2AF352E8" w:rsidR="0064120E" w:rsidRDefault="0064120E" w:rsidP="0064120E">
      <w:pPr>
        <w:pStyle w:val="Heading2"/>
        <w:rPr>
          <w:lang w:val="fr-CH"/>
        </w:rPr>
      </w:pPr>
      <w:bookmarkStart w:id="185" w:name="_Toc462396141"/>
      <w:r w:rsidRPr="0064120E">
        <w:rPr>
          <w:lang w:val="fr-CH"/>
        </w:rPr>
        <w:t>L’I</w:t>
      </w:r>
      <w:r w:rsidR="00805C8F">
        <w:rPr>
          <w:lang w:val="fr-CH"/>
        </w:rPr>
        <w:t xml:space="preserve">nstance Equité et </w:t>
      </w:r>
      <w:r w:rsidRPr="0064120E">
        <w:rPr>
          <w:lang w:val="fr-CH"/>
        </w:rPr>
        <w:t>R</w:t>
      </w:r>
      <w:r w:rsidR="00805C8F">
        <w:rPr>
          <w:lang w:val="fr-CH"/>
        </w:rPr>
        <w:t>éconciliation</w:t>
      </w:r>
      <w:r w:rsidRPr="0064120E">
        <w:rPr>
          <w:lang w:val="fr-CH"/>
        </w:rPr>
        <w:t xml:space="preserve"> et la problématique de l’impunité</w:t>
      </w:r>
      <w:bookmarkEnd w:id="185"/>
      <w:r w:rsidRPr="0064120E">
        <w:rPr>
          <w:lang w:val="fr-CH"/>
        </w:rPr>
        <w:t xml:space="preserve"> </w:t>
      </w:r>
    </w:p>
    <w:p w14:paraId="5BC30AEB" w14:textId="58F4DDAE" w:rsidR="0077273E" w:rsidRDefault="0077273E" w:rsidP="00805C8F">
      <w:pPr>
        <w:rPr>
          <w:rFonts w:cs="Tahoma"/>
        </w:rPr>
      </w:pPr>
      <w:r>
        <w:rPr>
          <w:rFonts w:cs="Tahoma"/>
        </w:rPr>
        <w:t xml:space="preserve">Les prérogatives de cette instance comportaient </w:t>
      </w:r>
      <w:r w:rsidRPr="0077273E">
        <w:rPr>
          <w:rFonts w:cs="Tahoma"/>
        </w:rPr>
        <w:t>l’investigation, la recherche, l’évaluation, l’arbitrage, et la</w:t>
      </w:r>
      <w:r>
        <w:rPr>
          <w:rFonts w:cs="Tahoma"/>
        </w:rPr>
        <w:t xml:space="preserve"> </w:t>
      </w:r>
      <w:r w:rsidRPr="0077273E">
        <w:rPr>
          <w:rFonts w:cs="Tahoma"/>
        </w:rPr>
        <w:t>présentation de recommandations et de propositions de réformes</w:t>
      </w:r>
      <w:r w:rsidR="00D605A8">
        <w:rPr>
          <w:rFonts w:cs="Tahoma"/>
        </w:rPr>
        <w:t xml:space="preserve">. Toutefois, </w:t>
      </w:r>
      <w:r w:rsidR="006F5CBA">
        <w:rPr>
          <w:rFonts w:cs="Tahoma"/>
        </w:rPr>
        <w:t xml:space="preserve">son travail </w:t>
      </w:r>
      <w:r>
        <w:rPr>
          <w:rFonts w:cs="Tahoma"/>
        </w:rPr>
        <w:t xml:space="preserve">a été rendu d’autant plus difficile que son mandat était limité à une durée de </w:t>
      </w:r>
      <w:r w:rsidRPr="0077273E">
        <w:rPr>
          <w:rFonts w:cs="Tahoma"/>
        </w:rPr>
        <w:t>23 mois pour</w:t>
      </w:r>
      <w:r>
        <w:rPr>
          <w:rFonts w:cs="Tahoma"/>
        </w:rPr>
        <w:t xml:space="preserve"> </w:t>
      </w:r>
      <w:r w:rsidR="00DC0082">
        <w:rPr>
          <w:rFonts w:cs="Tahoma"/>
        </w:rPr>
        <w:t>traiter de</w:t>
      </w:r>
      <w:r w:rsidR="00E15227">
        <w:rPr>
          <w:rFonts w:cs="Tahoma"/>
        </w:rPr>
        <w:t xml:space="preserve"> violations </w:t>
      </w:r>
      <w:r w:rsidR="00DC0082">
        <w:rPr>
          <w:rFonts w:cs="Tahoma"/>
        </w:rPr>
        <w:t xml:space="preserve">survenues </w:t>
      </w:r>
      <w:r w:rsidR="00E15227">
        <w:rPr>
          <w:rFonts w:cs="Tahoma"/>
        </w:rPr>
        <w:t>sur</w:t>
      </w:r>
      <w:r>
        <w:rPr>
          <w:rFonts w:cs="Tahoma"/>
        </w:rPr>
        <w:t xml:space="preserve"> </w:t>
      </w:r>
      <w:r w:rsidRPr="0077273E">
        <w:rPr>
          <w:rFonts w:cs="Tahoma"/>
        </w:rPr>
        <w:t>une p</w:t>
      </w:r>
      <w:r>
        <w:rPr>
          <w:rFonts w:cs="Tahoma"/>
        </w:rPr>
        <w:t xml:space="preserve">ériode de 43 ans. </w:t>
      </w:r>
    </w:p>
    <w:p w14:paraId="3D60BFE3" w14:textId="0C82B344" w:rsidR="006F5CBA" w:rsidRDefault="005C478A" w:rsidP="00805C8F">
      <w:pPr>
        <w:rPr>
          <w:rFonts w:cs="Tahoma"/>
        </w:rPr>
      </w:pPr>
      <w:r>
        <w:rPr>
          <w:rFonts w:cs="Tahoma"/>
        </w:rPr>
        <w:t xml:space="preserve">Son mandat a pris fin </w:t>
      </w:r>
      <w:r>
        <w:t>à la fin de l’année 2005 et s’est traduit par la publication d’un rapport. Toutefois,</w:t>
      </w:r>
      <w:r w:rsidR="00E15227">
        <w:t xml:space="preserve"> les violations révélées par</w:t>
      </w:r>
      <w:r>
        <w:t xml:space="preserve"> cette instance</w:t>
      </w:r>
      <w:r w:rsidR="00E15227">
        <w:t>, y compris les plus graves,</w:t>
      </w:r>
      <w:r>
        <w:t xml:space="preserve"> </w:t>
      </w:r>
      <w:r w:rsidR="00E15227">
        <w:t xml:space="preserve">n’ont pas fait l’objet </w:t>
      </w:r>
      <w:r w:rsidR="00E15227">
        <w:rPr>
          <w:rFonts w:cs="Tahoma"/>
        </w:rPr>
        <w:t>de poursuites judiciaires</w:t>
      </w:r>
      <w:r w:rsidRPr="0077273E">
        <w:rPr>
          <w:rFonts w:cs="Tahoma"/>
        </w:rPr>
        <w:t xml:space="preserve">, </w:t>
      </w:r>
      <w:r w:rsidR="00DC0082">
        <w:rPr>
          <w:rFonts w:cs="Tahoma"/>
        </w:rPr>
        <w:t xml:space="preserve">instaurant </w:t>
      </w:r>
      <w:r w:rsidRPr="0077273E">
        <w:rPr>
          <w:rFonts w:cs="Tahoma"/>
        </w:rPr>
        <w:t xml:space="preserve">un </w:t>
      </w:r>
      <w:r w:rsidR="00DC0082">
        <w:rPr>
          <w:rFonts w:cs="Tahoma"/>
        </w:rPr>
        <w:t xml:space="preserve">sentiment général de déception pour les familles de victimes et générant un </w:t>
      </w:r>
      <w:r w:rsidRPr="0077273E">
        <w:rPr>
          <w:rFonts w:cs="Tahoma"/>
        </w:rPr>
        <w:t>climat d’impunité</w:t>
      </w:r>
      <w:r w:rsidR="00DC0082">
        <w:rPr>
          <w:rFonts w:cs="Tahoma"/>
        </w:rPr>
        <w:t xml:space="preserve"> dénoncé par de nombreuses ONG</w:t>
      </w:r>
      <w:r w:rsidR="00E15227">
        <w:rPr>
          <w:rFonts w:cs="Tahoma"/>
        </w:rPr>
        <w:t>.</w:t>
      </w:r>
    </w:p>
    <w:p w14:paraId="1EB86854" w14:textId="5B3EE4F3" w:rsidR="00E15227" w:rsidRDefault="00E15227" w:rsidP="00805C8F">
      <w:pPr>
        <w:rPr>
          <w:rFonts w:cs="Tahoma"/>
        </w:rPr>
      </w:pPr>
      <w:r>
        <w:rPr>
          <w:rFonts w:cs="Tahoma"/>
        </w:rPr>
        <w:t xml:space="preserve">De plus, au moment même où cette instance exécutait son mandat, de graves violations étaient </w:t>
      </w:r>
      <w:r w:rsidR="00B53C39">
        <w:rPr>
          <w:rFonts w:cs="Tahoma"/>
        </w:rPr>
        <w:t>commises</w:t>
      </w:r>
      <w:r>
        <w:rPr>
          <w:rFonts w:cs="Tahoma"/>
        </w:rPr>
        <w:t xml:space="preserve"> par les services de sécurité dans le cadre de la lutte contre le terrorisme, sans susciter aucune réaction de ses membres.  </w:t>
      </w:r>
    </w:p>
    <w:p w14:paraId="6256256C" w14:textId="0D23FDD7" w:rsidR="00E15227" w:rsidRDefault="00E15227" w:rsidP="00805C8F">
      <w:pPr>
        <w:rPr>
          <w:rFonts w:cs="Tahoma"/>
        </w:rPr>
      </w:pPr>
      <w:r>
        <w:rPr>
          <w:rFonts w:cs="Tahoma"/>
        </w:rPr>
        <w:t>E</w:t>
      </w:r>
      <w:r w:rsidRPr="0077273E">
        <w:rPr>
          <w:rFonts w:cs="Tahoma"/>
        </w:rPr>
        <w:t xml:space="preserve">n excluant la détermination des responsabilités pénales individuelles pour les graves violations commises pour la période concernée, </w:t>
      </w:r>
      <w:r>
        <w:rPr>
          <w:rFonts w:cs="Tahoma"/>
        </w:rPr>
        <w:t>l</w:t>
      </w:r>
      <w:r w:rsidRPr="0077273E">
        <w:rPr>
          <w:rFonts w:cs="Tahoma"/>
        </w:rPr>
        <w:t xml:space="preserve">e processus initié par l’IER, </w:t>
      </w:r>
      <w:r>
        <w:rPr>
          <w:rFonts w:cs="Tahoma"/>
        </w:rPr>
        <w:t>n’a</w:t>
      </w:r>
      <w:r w:rsidRPr="0077273E">
        <w:rPr>
          <w:rFonts w:cs="Tahoma"/>
        </w:rPr>
        <w:t xml:space="preserve"> pas </w:t>
      </w:r>
      <w:r>
        <w:rPr>
          <w:rFonts w:cs="Tahoma"/>
        </w:rPr>
        <w:t>été étranger</w:t>
      </w:r>
      <w:r w:rsidRPr="0077273E">
        <w:rPr>
          <w:rFonts w:cs="Tahoma"/>
        </w:rPr>
        <w:t xml:space="preserve"> aux dérives </w:t>
      </w:r>
      <w:r>
        <w:rPr>
          <w:rFonts w:cs="Tahoma"/>
        </w:rPr>
        <w:t xml:space="preserve">qui ont suivi en ce qu’il a contribué finalement à renforcer </w:t>
      </w:r>
      <w:r w:rsidR="00DC0082">
        <w:rPr>
          <w:rFonts w:cs="Tahoma"/>
        </w:rPr>
        <w:t xml:space="preserve">effectivement </w:t>
      </w:r>
      <w:r>
        <w:rPr>
          <w:rFonts w:cs="Tahoma"/>
        </w:rPr>
        <w:t xml:space="preserve">un </w:t>
      </w:r>
      <w:r w:rsidRPr="0077273E">
        <w:rPr>
          <w:rFonts w:cs="Tahoma"/>
        </w:rPr>
        <w:t xml:space="preserve">sentiment </w:t>
      </w:r>
      <w:r>
        <w:rPr>
          <w:rFonts w:cs="Tahoma"/>
        </w:rPr>
        <w:t xml:space="preserve">d’impunité </w:t>
      </w:r>
      <w:r w:rsidRPr="0077273E">
        <w:rPr>
          <w:rFonts w:cs="Tahoma"/>
        </w:rPr>
        <w:t xml:space="preserve">au sein </w:t>
      </w:r>
      <w:r>
        <w:rPr>
          <w:rFonts w:cs="Tahoma"/>
        </w:rPr>
        <w:t>d</w:t>
      </w:r>
      <w:r w:rsidRPr="0077273E">
        <w:rPr>
          <w:rFonts w:cs="Tahoma"/>
        </w:rPr>
        <w:t>es services de sécurité</w:t>
      </w:r>
      <w:r>
        <w:rPr>
          <w:rFonts w:cs="Tahoma"/>
        </w:rPr>
        <w:t>.</w:t>
      </w:r>
    </w:p>
    <w:p w14:paraId="6CAEE880" w14:textId="38CDD52E" w:rsidR="00887D77" w:rsidRDefault="00887D77" w:rsidP="00805C8F">
      <w:pPr>
        <w:rPr>
          <w:rFonts w:cs="Tahoma"/>
        </w:rPr>
      </w:pPr>
      <w:bookmarkStart w:id="186" w:name="_Toc461820242"/>
      <w:bookmarkStart w:id="187" w:name="_Toc462042447"/>
      <w:bookmarkStart w:id="188" w:name="_Toc462150448"/>
      <w:bookmarkEnd w:id="186"/>
      <w:bookmarkEnd w:id="187"/>
      <w:bookmarkEnd w:id="188"/>
      <w:r w:rsidRPr="0077273E">
        <w:rPr>
          <w:rFonts w:cs="Tahoma"/>
        </w:rPr>
        <w:t>Même si l’IER avait préconisé à travers les recommandations finales de son rapport de 2006 la définition d’une « stratégie de lutte contre l’impunité », dont la ratification du statut de Rome</w:t>
      </w:r>
      <w:r w:rsidRPr="0077273E">
        <w:rPr>
          <w:rFonts w:cs="Tahoma"/>
          <w:b/>
        </w:rPr>
        <w:t xml:space="preserve"> </w:t>
      </w:r>
      <w:r w:rsidRPr="0077273E">
        <w:rPr>
          <w:rFonts w:cs="Tahoma"/>
        </w:rPr>
        <w:t>de la Cour pénale internationale</w:t>
      </w:r>
      <w:r w:rsidRPr="00805C8F">
        <w:rPr>
          <w:rFonts w:cs="Tahoma"/>
          <w:bCs/>
        </w:rPr>
        <w:t>,</w:t>
      </w:r>
      <w:r w:rsidRPr="0077273E">
        <w:rPr>
          <w:rFonts w:cs="Tahoma"/>
          <w:b/>
        </w:rPr>
        <w:t xml:space="preserve"> </w:t>
      </w:r>
      <w:r w:rsidRPr="0077273E">
        <w:rPr>
          <w:rFonts w:cs="Tahoma"/>
        </w:rPr>
        <w:t>ces recommandations sont restées sans suite et cette importante Convention signée en septembre 2000 n’a toujours pas été ratifiée</w:t>
      </w:r>
      <w:r w:rsidR="00DC0082">
        <w:rPr>
          <w:rFonts w:cs="Tahoma"/>
        </w:rPr>
        <w:t xml:space="preserve"> à ce jour</w:t>
      </w:r>
      <w:r w:rsidRPr="0077273E">
        <w:rPr>
          <w:rFonts w:cs="Tahoma"/>
        </w:rPr>
        <w:t>.</w:t>
      </w:r>
      <w:r w:rsidR="0064120E">
        <w:rPr>
          <w:rFonts w:cs="Tahoma"/>
        </w:rPr>
        <w:t xml:space="preserve"> </w:t>
      </w:r>
    </w:p>
    <w:p w14:paraId="7D94313E" w14:textId="2E36D235" w:rsidR="0064120E" w:rsidRPr="0077273E" w:rsidRDefault="0064120E" w:rsidP="0064120E">
      <w:pPr>
        <w:pStyle w:val="Heading2"/>
      </w:pPr>
      <w:bookmarkStart w:id="189" w:name="_Toc462396142"/>
      <w:r>
        <w:lastRenderedPageBreak/>
        <w:t>Le passif des disparitions forcées</w:t>
      </w:r>
      <w:bookmarkEnd w:id="189"/>
      <w:r>
        <w:t xml:space="preserve"> </w:t>
      </w:r>
    </w:p>
    <w:p w14:paraId="4471450E" w14:textId="4A9A6C76" w:rsidR="0064120E" w:rsidRDefault="00014C1C" w:rsidP="00E332A4">
      <w:pPr>
        <w:rPr>
          <w:rFonts w:cs="Tahoma"/>
        </w:rPr>
      </w:pPr>
      <w:r w:rsidRPr="0077273E">
        <w:rPr>
          <w:rFonts w:cs="Tahoma"/>
        </w:rPr>
        <w:t xml:space="preserve">Si la pratique des disparitions forcées a </w:t>
      </w:r>
      <w:r w:rsidR="00DC0082">
        <w:rPr>
          <w:rFonts w:cs="Tahoma"/>
        </w:rPr>
        <w:t>quasiment disparu</w:t>
      </w:r>
      <w:r w:rsidR="0064120E">
        <w:rPr>
          <w:rFonts w:cs="Tahoma"/>
        </w:rPr>
        <w:t xml:space="preserve"> aujourd’hui</w:t>
      </w:r>
      <w:r w:rsidRPr="0077273E">
        <w:rPr>
          <w:rFonts w:cs="Tahoma"/>
        </w:rPr>
        <w:t>, peu de cas de disparition</w:t>
      </w:r>
      <w:r w:rsidR="0064120E">
        <w:rPr>
          <w:rFonts w:cs="Tahoma"/>
        </w:rPr>
        <w:t xml:space="preserve">s survenues durant la </w:t>
      </w:r>
      <w:r w:rsidR="0064120E" w:rsidRPr="00E332A4">
        <w:rPr>
          <w:rFonts w:cs="Tahoma"/>
        </w:rPr>
        <w:t>période dite « des années de plomb »</w:t>
      </w:r>
      <w:r w:rsidR="00E332A4" w:rsidRPr="00E332A4">
        <w:rPr>
          <w:rStyle w:val="FootnoteReference"/>
          <w:rFonts w:cs="Tahoma"/>
        </w:rPr>
        <w:footnoteReference w:id="140"/>
      </w:r>
      <w:r w:rsidR="00805C8F" w:rsidRPr="00E332A4">
        <w:rPr>
          <w:rFonts w:cs="Tahoma"/>
        </w:rPr>
        <w:t xml:space="preserve"> </w:t>
      </w:r>
      <w:r w:rsidRPr="00E332A4">
        <w:rPr>
          <w:rFonts w:cs="Tahoma"/>
        </w:rPr>
        <w:t>ont</w:t>
      </w:r>
      <w:r w:rsidRPr="0077273E">
        <w:rPr>
          <w:rFonts w:cs="Tahoma"/>
        </w:rPr>
        <w:t xml:space="preserve"> été élucidés.</w:t>
      </w:r>
      <w:r w:rsidR="0064120E" w:rsidRPr="0064120E">
        <w:rPr>
          <w:rFonts w:cs="Tahoma"/>
        </w:rPr>
        <w:t xml:space="preserve"> </w:t>
      </w:r>
    </w:p>
    <w:p w14:paraId="17FBADAA" w14:textId="5F1D548B" w:rsidR="00014C1C" w:rsidRPr="0077273E" w:rsidRDefault="0064120E" w:rsidP="005A5817">
      <w:pPr>
        <w:rPr>
          <w:rFonts w:cs="Tahoma"/>
        </w:rPr>
      </w:pPr>
      <w:r w:rsidRPr="0077273E">
        <w:rPr>
          <w:rFonts w:cs="Tahoma"/>
        </w:rPr>
        <w:t>L'IER déclare</w:t>
      </w:r>
      <w:r w:rsidR="00805C8F">
        <w:rPr>
          <w:rFonts w:cs="Tahoma"/>
        </w:rPr>
        <w:t xml:space="preserve"> ainsi</w:t>
      </w:r>
      <w:r w:rsidRPr="0077273E">
        <w:rPr>
          <w:rFonts w:cs="Tahoma"/>
        </w:rPr>
        <w:t xml:space="preserve"> avoir reçu environ 800 cas de disparitions forcées parmi lesquels 66 cas sont en suspens tandis que les 742 autres ont été élucidés</w:t>
      </w:r>
      <w:r w:rsidRPr="0077273E">
        <w:rPr>
          <w:rStyle w:val="Appelnotedebasdep4"/>
          <w:rFonts w:eastAsia="DejaVu Sans" w:cs="Tahoma"/>
        </w:rPr>
        <w:footnoteReference w:id="141"/>
      </w:r>
      <w:r w:rsidRPr="0077273E">
        <w:rPr>
          <w:rFonts w:cs="Tahoma"/>
        </w:rPr>
        <w:t xml:space="preserve">. L'Instance n'a </w:t>
      </w:r>
      <w:r w:rsidR="005A5817">
        <w:rPr>
          <w:rFonts w:cs="Tahoma"/>
        </w:rPr>
        <w:t xml:space="preserve">cependant </w:t>
      </w:r>
      <w:r w:rsidRPr="0077273E">
        <w:rPr>
          <w:rFonts w:cs="Tahoma"/>
        </w:rPr>
        <w:t>pas publié les noms de ces</w:t>
      </w:r>
      <w:r w:rsidR="00805C8F">
        <w:rPr>
          <w:rFonts w:cs="Tahoma"/>
        </w:rPr>
        <w:t xml:space="preserve"> personnes</w:t>
      </w:r>
      <w:r w:rsidRPr="0077273E">
        <w:rPr>
          <w:rFonts w:cs="Tahoma"/>
        </w:rPr>
        <w:t xml:space="preserve"> </w:t>
      </w:r>
      <w:r>
        <w:rPr>
          <w:rFonts w:cs="Tahoma"/>
        </w:rPr>
        <w:t xml:space="preserve">et </w:t>
      </w:r>
      <w:r w:rsidRPr="0077273E">
        <w:rPr>
          <w:rFonts w:cs="Tahoma"/>
        </w:rPr>
        <w:t xml:space="preserve">affirmait dans son rapport final avoir </w:t>
      </w:r>
      <w:r>
        <w:rPr>
          <w:rFonts w:cs="Tahoma"/>
        </w:rPr>
        <w:t>été confrontée à des obstacles qui auraient « </w:t>
      </w:r>
      <w:r w:rsidRPr="00E332A4">
        <w:rPr>
          <w:rFonts w:cs="Tahoma"/>
          <w:iCs/>
        </w:rPr>
        <w:t>entravé la recherche de la vérité, parmi lesquelles, figurent notamment la fragilité de certains témoignages oraux auxquels l’Instance a remédié par le recours à des sources écrites, l’état déplorable de certains fonds d’archives nationales quand elles existent, la coopération inégale des appareils de sécurité, l’imprécision de certains témoignages d’anciens responsables et le refus d’autres de contribuer à l’effort d’établissement de la vérité </w:t>
      </w:r>
      <w:r w:rsidRPr="0077273E">
        <w:rPr>
          <w:rFonts w:cs="Tahoma"/>
        </w:rPr>
        <w:t>»</w:t>
      </w:r>
      <w:r w:rsidRPr="0064120E">
        <w:rPr>
          <w:rStyle w:val="Appelnotedebasdep4"/>
          <w:rFonts w:eastAsia="DejaVu Sans" w:cs="Tahoma"/>
        </w:rPr>
        <w:t xml:space="preserve"> </w:t>
      </w:r>
      <w:r w:rsidRPr="0077273E">
        <w:rPr>
          <w:rStyle w:val="Appelnotedebasdep4"/>
          <w:rFonts w:eastAsia="DejaVu Sans" w:cs="Tahoma"/>
        </w:rPr>
        <w:footnoteReference w:id="142"/>
      </w:r>
      <w:r>
        <w:rPr>
          <w:rFonts w:cs="Tahoma"/>
        </w:rPr>
        <w:t>.</w:t>
      </w:r>
    </w:p>
    <w:p w14:paraId="2A03B23F" w14:textId="5369EADF" w:rsidR="00422709" w:rsidRDefault="0077273E" w:rsidP="00B53C39">
      <w:pPr>
        <w:rPr>
          <w:rFonts w:cs="Tahoma"/>
        </w:rPr>
      </w:pPr>
      <w:r w:rsidRPr="002B033D">
        <w:rPr>
          <w:rFonts w:cs="Tahoma"/>
        </w:rPr>
        <w:t xml:space="preserve">Le Comité </w:t>
      </w:r>
      <w:r w:rsidR="0064120E" w:rsidRPr="002B033D">
        <w:rPr>
          <w:rFonts w:cs="Tahoma"/>
        </w:rPr>
        <w:t xml:space="preserve">a interrogé l’Etat partie </w:t>
      </w:r>
      <w:r w:rsidR="00E332A4">
        <w:rPr>
          <w:rFonts w:cs="Tahoma"/>
        </w:rPr>
        <w:t>sur les mesures</w:t>
      </w:r>
      <w:r w:rsidR="00422709" w:rsidRPr="002B033D">
        <w:rPr>
          <w:rFonts w:cs="Tahoma"/>
        </w:rPr>
        <w:t xml:space="preserve"> autres que l’indemnisation prévue dans la cadre de la procédure devant l’IER, pou</w:t>
      </w:r>
      <w:r w:rsidR="005A5817">
        <w:rPr>
          <w:rFonts w:cs="Tahoma"/>
        </w:rPr>
        <w:t>r résoudre les cas non élucidés</w:t>
      </w:r>
      <w:r w:rsidR="00422709" w:rsidRPr="002B033D">
        <w:rPr>
          <w:rFonts w:cs="Tahoma"/>
        </w:rPr>
        <w:t xml:space="preserve"> et sur son intention de poursuivre et condamner les auteurs</w:t>
      </w:r>
      <w:r w:rsidR="00422709" w:rsidRPr="002B033D">
        <w:rPr>
          <w:rStyle w:val="FootnoteReference"/>
          <w:rFonts w:cs="Tahoma"/>
        </w:rPr>
        <w:footnoteReference w:id="143"/>
      </w:r>
      <w:r w:rsidR="00422709" w:rsidRPr="002B033D">
        <w:rPr>
          <w:rFonts w:cs="Tahoma"/>
        </w:rPr>
        <w:t>.</w:t>
      </w:r>
    </w:p>
    <w:p w14:paraId="45533DA7" w14:textId="2309BC50" w:rsidR="00B53C39" w:rsidRPr="0077273E" w:rsidRDefault="0064120E" w:rsidP="00B53C39">
      <w:pPr>
        <w:rPr>
          <w:rFonts w:cs="Tahoma"/>
        </w:rPr>
      </w:pPr>
      <w:r>
        <w:rPr>
          <w:rFonts w:cs="Tahoma"/>
        </w:rPr>
        <w:t>Toutefois</w:t>
      </w:r>
      <w:r w:rsidR="00B53C39">
        <w:rPr>
          <w:rFonts w:cs="Tahoma"/>
        </w:rPr>
        <w:t>, l’Etat partie s’est contenté d’affirmer avoir pris des mesures de « réinsertion sociale » et de « régularisation administrative » sans plus de détails</w:t>
      </w:r>
      <w:r w:rsidR="005A5817">
        <w:rPr>
          <w:rFonts w:cs="Tahoma"/>
        </w:rPr>
        <w:t>,</w:t>
      </w:r>
      <w:r w:rsidR="00B53C39">
        <w:rPr>
          <w:rFonts w:cs="Tahoma"/>
        </w:rPr>
        <w:t xml:space="preserve"> ajoutant que la « Constitution de 2011 a incriminé toutes les </w:t>
      </w:r>
      <w:r w:rsidR="00B53C39" w:rsidRPr="00B53C39">
        <w:rPr>
          <w:rFonts w:cs="Tahoma"/>
        </w:rPr>
        <w:t>violations</w:t>
      </w:r>
      <w:r w:rsidR="00B53C39">
        <w:rPr>
          <w:rFonts w:cs="Tahoma"/>
        </w:rPr>
        <w:t xml:space="preserve"> </w:t>
      </w:r>
      <w:r w:rsidR="00B53C39" w:rsidRPr="00B53C39">
        <w:rPr>
          <w:rFonts w:cs="Tahoma"/>
        </w:rPr>
        <w:t>graves des droits de l’homme en incorporant les recommandations de l’IER</w:t>
      </w:r>
      <w:r w:rsidR="00B53C39">
        <w:rPr>
          <w:rFonts w:cs="Tahoma"/>
        </w:rPr>
        <w:t> »</w:t>
      </w:r>
      <w:r w:rsidR="00B53C39" w:rsidRPr="00B53C39">
        <w:rPr>
          <w:rFonts w:cs="Tahoma"/>
        </w:rPr>
        <w:t>.</w:t>
      </w:r>
      <w:r w:rsidR="00B53C39">
        <w:rPr>
          <w:rFonts w:cs="Tahoma"/>
        </w:rPr>
        <w:t xml:space="preserve"> Ce faisant</w:t>
      </w:r>
      <w:r w:rsidR="00E332A4">
        <w:rPr>
          <w:rFonts w:cs="Tahoma"/>
        </w:rPr>
        <w:t>,</w:t>
      </w:r>
      <w:r w:rsidR="00B53C39">
        <w:rPr>
          <w:rFonts w:cs="Tahoma"/>
        </w:rPr>
        <w:t xml:space="preserve"> l’Etat partie n’a pas répondu à la question posée par le Comité relativement à la poursuite et à la condamnation des auteurs de violations graves, laissant en suspens la question de la nécessaire lutte contre l’impunité. En ce sens, l’approche adoptée par l’Etat partie demeure insuffisante au regard de ses obligations découlant de l’article 2 paragraphe 3 du P</w:t>
      </w:r>
      <w:r w:rsidR="00E332A4">
        <w:rPr>
          <w:rFonts w:cs="Tahoma"/>
        </w:rPr>
        <w:t>I</w:t>
      </w:r>
      <w:r w:rsidR="00B53C39">
        <w:rPr>
          <w:rFonts w:cs="Tahoma"/>
        </w:rPr>
        <w:t xml:space="preserve">DCP.    </w:t>
      </w:r>
    </w:p>
    <w:p w14:paraId="139411FD" w14:textId="478A08AD" w:rsidR="00AC3039" w:rsidRDefault="00B53C39" w:rsidP="005A5817">
      <w:pPr>
        <w:rPr>
          <w:rFonts w:cs="Tahoma"/>
        </w:rPr>
      </w:pPr>
      <w:r>
        <w:rPr>
          <w:rFonts w:cs="Tahoma"/>
        </w:rPr>
        <w:t>Enfin, l</w:t>
      </w:r>
      <w:r w:rsidR="00AC3039" w:rsidRPr="0077273E">
        <w:rPr>
          <w:rFonts w:cs="Tahoma"/>
        </w:rPr>
        <w:t xml:space="preserve">a Commission de suivi du Conseil consultatif des droits de l'homme (CCDH) a été chargée de faire la lumière sur les cas que l'IER n'a pu élucider durant son mandat mais aucune instance n'a été mise en place pour </w:t>
      </w:r>
      <w:r w:rsidR="005A5817">
        <w:rPr>
          <w:rFonts w:cs="Tahoma"/>
        </w:rPr>
        <w:t xml:space="preserve">les </w:t>
      </w:r>
      <w:r w:rsidR="00AC3039" w:rsidRPr="0077273E">
        <w:rPr>
          <w:rFonts w:cs="Tahoma"/>
        </w:rPr>
        <w:t>traiter</w:t>
      </w:r>
      <w:r w:rsidR="005A5817">
        <w:rPr>
          <w:rFonts w:cs="Tahoma"/>
        </w:rPr>
        <w:t xml:space="preserve"> effectivement</w:t>
      </w:r>
      <w:r w:rsidR="00AC3039" w:rsidRPr="0077273E">
        <w:rPr>
          <w:rFonts w:cs="Tahoma"/>
        </w:rPr>
        <w:t>.</w:t>
      </w:r>
      <w:r w:rsidR="005A5817">
        <w:rPr>
          <w:rFonts w:cs="Tahoma"/>
        </w:rPr>
        <w:t xml:space="preserve"> Sur l</w:t>
      </w:r>
      <w:r w:rsidR="00AC3039" w:rsidRPr="0077273E">
        <w:rPr>
          <w:rFonts w:cs="Tahoma"/>
        </w:rPr>
        <w:t>es 66 cas de disparition non éclaircis par l'IER</w:t>
      </w:r>
      <w:r w:rsidR="00E332A4">
        <w:rPr>
          <w:rFonts w:cs="Tahoma"/>
        </w:rPr>
        <w:t>,</w:t>
      </w:r>
      <w:r w:rsidR="00AC3039" w:rsidRPr="0077273E">
        <w:rPr>
          <w:rFonts w:cs="Tahoma"/>
        </w:rPr>
        <w:t xml:space="preserve"> le CCDH </w:t>
      </w:r>
      <w:r w:rsidR="005A5817">
        <w:rPr>
          <w:rFonts w:cs="Tahoma"/>
        </w:rPr>
        <w:t xml:space="preserve">s’est contenté de </w:t>
      </w:r>
      <w:r w:rsidR="00AC3039" w:rsidRPr="0077273E">
        <w:rPr>
          <w:rFonts w:cs="Tahoma"/>
        </w:rPr>
        <w:t>conclu</w:t>
      </w:r>
      <w:r w:rsidR="005A5817">
        <w:rPr>
          <w:rFonts w:cs="Tahoma"/>
        </w:rPr>
        <w:t>re</w:t>
      </w:r>
      <w:r w:rsidR="00AC3039" w:rsidRPr="0077273E">
        <w:rPr>
          <w:rFonts w:cs="Tahoma"/>
        </w:rPr>
        <w:t xml:space="preserve"> que 47 d'entre eux sont décédés « pour des raisons politiques », neuf ne seraient pas liés à des événements p</w:t>
      </w:r>
      <w:r w:rsidR="005A5817">
        <w:rPr>
          <w:rFonts w:cs="Tahoma"/>
        </w:rPr>
        <w:t>olitiques, deux seraient en vie, les autres n'aya</w:t>
      </w:r>
      <w:r w:rsidR="00AC3039" w:rsidRPr="0077273E">
        <w:rPr>
          <w:rFonts w:cs="Tahoma"/>
        </w:rPr>
        <w:t>nt pas encore été éclaircis</w:t>
      </w:r>
      <w:r w:rsidR="00AC3039" w:rsidRPr="0077273E">
        <w:rPr>
          <w:rStyle w:val="Appelnotedebasdep4"/>
          <w:rFonts w:eastAsia="DejaVu Sans" w:cs="Tahoma"/>
        </w:rPr>
        <w:footnoteReference w:id="144"/>
      </w:r>
      <w:r w:rsidR="00AC3039" w:rsidRPr="0077273E">
        <w:rPr>
          <w:rFonts w:cs="Tahoma"/>
        </w:rPr>
        <w:t xml:space="preserve">. </w:t>
      </w:r>
    </w:p>
    <w:p w14:paraId="1F285D96" w14:textId="5DE65438" w:rsidR="00FB382C" w:rsidRPr="0077273E" w:rsidRDefault="00FB382C" w:rsidP="00050E2E">
      <w:pPr>
        <w:rPr>
          <w:rFonts w:cs="Tahoma"/>
          <w:b/>
          <w:bCs/>
        </w:rPr>
      </w:pPr>
      <w:r w:rsidRPr="0077273E">
        <w:rPr>
          <w:rFonts w:cs="Tahoma"/>
          <w:b/>
          <w:bCs/>
        </w:rPr>
        <w:t>Recommandations</w:t>
      </w:r>
      <w:r w:rsidR="00805C8F">
        <w:rPr>
          <w:rFonts w:cs="Tahoma"/>
          <w:b/>
          <w:bCs/>
        </w:rPr>
        <w:t> :</w:t>
      </w:r>
      <w:r w:rsidRPr="0077273E">
        <w:rPr>
          <w:rFonts w:cs="Tahoma"/>
          <w:b/>
          <w:bCs/>
        </w:rPr>
        <w:t xml:space="preserve"> </w:t>
      </w:r>
    </w:p>
    <w:p w14:paraId="74A5A133" w14:textId="77777777" w:rsidR="00E332A4" w:rsidRPr="00E332A4" w:rsidRDefault="00FB382C" w:rsidP="00E332A4">
      <w:pPr>
        <w:pStyle w:val="UPRparagraph"/>
        <w:numPr>
          <w:ilvl w:val="1"/>
          <w:numId w:val="11"/>
        </w:numPr>
        <w:spacing w:after="120"/>
        <w:ind w:left="567" w:hanging="425"/>
        <w:rPr>
          <w:rFonts w:cs="Tahoma"/>
        </w:rPr>
      </w:pPr>
      <w:r w:rsidRPr="00E332A4">
        <w:rPr>
          <w:rFonts w:cs="Tahoma"/>
        </w:rPr>
        <w:t>S’assurer</w:t>
      </w:r>
      <w:r w:rsidRPr="00E332A4">
        <w:rPr>
          <w:rFonts w:cs="Tahoma"/>
          <w:bCs/>
        </w:rPr>
        <w:t xml:space="preserve"> de la poursuite des auteurs de </w:t>
      </w:r>
      <w:r w:rsidR="005A5817" w:rsidRPr="00E332A4">
        <w:rPr>
          <w:rFonts w:cs="Tahoma"/>
          <w:bCs/>
        </w:rPr>
        <w:t xml:space="preserve">violations graves des droits de l’homme </w:t>
      </w:r>
      <w:r w:rsidRPr="00E332A4">
        <w:rPr>
          <w:rFonts w:cs="Tahoma"/>
          <w:bCs/>
        </w:rPr>
        <w:t>commis</w:t>
      </w:r>
      <w:r w:rsidR="005A5817" w:rsidRPr="00E332A4">
        <w:rPr>
          <w:rFonts w:cs="Tahoma"/>
          <w:bCs/>
        </w:rPr>
        <w:t>es</w:t>
      </w:r>
      <w:r w:rsidRPr="00E332A4">
        <w:rPr>
          <w:rFonts w:cs="Tahoma"/>
          <w:bCs/>
        </w:rPr>
        <w:t xml:space="preserve"> entre 1956 et 1999 ;</w:t>
      </w:r>
    </w:p>
    <w:p w14:paraId="452CAD74" w14:textId="112606D5" w:rsidR="00095B97" w:rsidRPr="00E332A4" w:rsidRDefault="005A5817" w:rsidP="00E332A4">
      <w:pPr>
        <w:pStyle w:val="UPRparagraph"/>
        <w:numPr>
          <w:ilvl w:val="1"/>
          <w:numId w:val="11"/>
        </w:numPr>
        <w:spacing w:after="120"/>
        <w:ind w:left="567" w:hanging="425"/>
        <w:rPr>
          <w:rFonts w:cs="Tahoma"/>
        </w:rPr>
      </w:pPr>
      <w:r w:rsidRPr="00E332A4">
        <w:rPr>
          <w:rFonts w:cs="Tahoma"/>
          <w:bCs/>
        </w:rPr>
        <w:t>Veiller au contrôle efficace des forces armées et des forces de sécurité par l’autorité civile élue a</w:t>
      </w:r>
      <w:r w:rsidR="00DA7132" w:rsidRPr="00E332A4">
        <w:rPr>
          <w:rFonts w:cs="Tahoma"/>
          <w:bCs/>
        </w:rPr>
        <w:t>u titre des garanties de non-répétition</w:t>
      </w:r>
      <w:r w:rsidRPr="00E332A4">
        <w:rPr>
          <w:rFonts w:cs="Tahoma"/>
          <w:bCs/>
        </w:rPr>
        <w:t>.</w:t>
      </w:r>
    </w:p>
    <w:p w14:paraId="3558B984" w14:textId="77777777" w:rsidR="00063B5D" w:rsidRPr="0077273E" w:rsidRDefault="00063B5D" w:rsidP="00DD12D7">
      <w:pPr>
        <w:pStyle w:val="Heading1"/>
        <w:rPr>
          <w:lang w:val="fr-CH"/>
        </w:rPr>
      </w:pPr>
      <w:bookmarkStart w:id="190" w:name="_Toc305567334"/>
      <w:bookmarkStart w:id="191" w:name="_Toc462396143"/>
      <w:r w:rsidRPr="0077273E">
        <w:rPr>
          <w:lang w:val="fr-CH"/>
        </w:rPr>
        <w:t>Conclusion</w:t>
      </w:r>
      <w:bookmarkEnd w:id="190"/>
      <w:bookmarkEnd w:id="191"/>
    </w:p>
    <w:p w14:paraId="27D1C14A" w14:textId="1B88C001" w:rsidR="00BD5487" w:rsidRPr="0077273E" w:rsidRDefault="006A4767" w:rsidP="005A5817">
      <w:pPr>
        <w:rPr>
          <w:rFonts w:cs="Tahoma"/>
        </w:rPr>
      </w:pPr>
      <w:r w:rsidRPr="0077273E">
        <w:rPr>
          <w:rFonts w:cs="Tahoma"/>
        </w:rPr>
        <w:t>Les ratifications et réformes entreprises depuis 2011 constituent des signes encourageants dans le renforcement de l’état de dro</w:t>
      </w:r>
      <w:r w:rsidR="00095B97">
        <w:rPr>
          <w:rFonts w:cs="Tahoma"/>
        </w:rPr>
        <w:t>it</w:t>
      </w:r>
      <w:r w:rsidR="005A5817">
        <w:rPr>
          <w:rFonts w:cs="Tahoma"/>
        </w:rPr>
        <w:t xml:space="preserve"> au Maroc</w:t>
      </w:r>
      <w:r w:rsidRPr="0077273E">
        <w:rPr>
          <w:rFonts w:cs="Tahoma"/>
        </w:rPr>
        <w:t xml:space="preserve">. </w:t>
      </w:r>
    </w:p>
    <w:p w14:paraId="4ADA4A12" w14:textId="692DC4DC" w:rsidR="00A72BBF" w:rsidRDefault="006A4767" w:rsidP="00675C9C">
      <w:pPr>
        <w:rPr>
          <w:rFonts w:cs="Tahoma"/>
        </w:rPr>
      </w:pPr>
      <w:r w:rsidRPr="0077273E">
        <w:rPr>
          <w:rFonts w:cs="Tahoma"/>
        </w:rPr>
        <w:t xml:space="preserve">En dépit de ces avancées, </w:t>
      </w:r>
      <w:r w:rsidR="00675C9C">
        <w:rPr>
          <w:rFonts w:cs="Tahoma"/>
        </w:rPr>
        <w:t xml:space="preserve">la question de l’impunité demeure centrale. Les violations commises dans la période « des années de plomb » se sont répétées à la suite des attentats de Casablanca, </w:t>
      </w:r>
      <w:r w:rsidR="00095B97">
        <w:rPr>
          <w:rFonts w:cs="Tahoma"/>
        </w:rPr>
        <w:t>notamment les</w:t>
      </w:r>
      <w:r w:rsidRPr="0077273E">
        <w:rPr>
          <w:rFonts w:cs="Tahoma"/>
        </w:rPr>
        <w:t xml:space="preserve"> </w:t>
      </w:r>
      <w:r w:rsidR="00095B97">
        <w:rPr>
          <w:rFonts w:cs="Tahoma"/>
        </w:rPr>
        <w:t xml:space="preserve">détentions au secret, la </w:t>
      </w:r>
      <w:r w:rsidRPr="0077273E">
        <w:rPr>
          <w:rFonts w:cs="Tahoma"/>
        </w:rPr>
        <w:t>torture</w:t>
      </w:r>
      <w:r w:rsidR="00095B97">
        <w:rPr>
          <w:rFonts w:cs="Tahoma"/>
        </w:rPr>
        <w:t xml:space="preserve"> et les</w:t>
      </w:r>
      <w:r w:rsidRPr="0077273E">
        <w:rPr>
          <w:rFonts w:cs="Tahoma"/>
        </w:rPr>
        <w:t xml:space="preserve"> procès inéquitables</w:t>
      </w:r>
      <w:r w:rsidR="00675C9C">
        <w:rPr>
          <w:rFonts w:cs="Tahoma"/>
        </w:rPr>
        <w:t>. Il semble évident que l’impunité qui a persisté à la suite d’un processus de justice transitionnel inaccompli, n’a pas permis de garantir l</w:t>
      </w:r>
      <w:r w:rsidR="00095B97">
        <w:rPr>
          <w:rFonts w:cs="Tahoma"/>
        </w:rPr>
        <w:t>a non-</w:t>
      </w:r>
      <w:r w:rsidR="00A72BBF" w:rsidRPr="0077273E">
        <w:rPr>
          <w:rFonts w:cs="Tahoma"/>
        </w:rPr>
        <w:t>répétition de telles pratiques</w:t>
      </w:r>
      <w:r w:rsidR="00675C9C">
        <w:rPr>
          <w:rFonts w:cs="Tahoma"/>
        </w:rPr>
        <w:t>.</w:t>
      </w:r>
    </w:p>
    <w:p w14:paraId="16C49266" w14:textId="03C09946" w:rsidR="00675C9C" w:rsidRPr="0077273E" w:rsidRDefault="00675C9C" w:rsidP="00E332A4">
      <w:pPr>
        <w:rPr>
          <w:rFonts w:cs="Tahoma"/>
        </w:rPr>
      </w:pPr>
      <w:r>
        <w:rPr>
          <w:rFonts w:cs="Tahoma"/>
        </w:rPr>
        <w:lastRenderedPageBreak/>
        <w:t xml:space="preserve">Afin de rompre définitivement avec les pratiques du passé, l’Etat partie doit renforcer l’indépendance de la justice </w:t>
      </w:r>
      <w:r w:rsidR="00123853">
        <w:rPr>
          <w:rFonts w:cs="Tahoma"/>
        </w:rPr>
        <w:t>et des mécanismes de prévention et de protection d</w:t>
      </w:r>
      <w:r w:rsidR="00E332A4">
        <w:rPr>
          <w:rFonts w:cs="Tahoma"/>
        </w:rPr>
        <w:t>es droits de l’homme tels que le</w:t>
      </w:r>
      <w:r w:rsidR="00123853">
        <w:rPr>
          <w:rFonts w:cs="Tahoma"/>
        </w:rPr>
        <w:t xml:space="preserve"> CNDH</w:t>
      </w:r>
      <w:r w:rsidR="001F69A7">
        <w:rPr>
          <w:rFonts w:cs="Tahoma"/>
        </w:rPr>
        <w:t xml:space="preserve"> et instaurer un contrôle efficace des services de sécurité et des forces armées par l’autorité civile élue</w:t>
      </w:r>
      <w:r w:rsidR="00123853">
        <w:rPr>
          <w:rFonts w:cs="Tahoma"/>
        </w:rPr>
        <w:t xml:space="preserve">. </w:t>
      </w:r>
    </w:p>
    <w:p w14:paraId="42E3FE76" w14:textId="17AEF931" w:rsidR="00077728" w:rsidRPr="0077273E" w:rsidRDefault="00A72BBF" w:rsidP="001F69A7">
      <w:pPr>
        <w:rPr>
          <w:rFonts w:cs="Tahoma"/>
        </w:rPr>
      </w:pPr>
      <w:r w:rsidRPr="0077273E">
        <w:rPr>
          <w:rFonts w:cs="Tahoma"/>
        </w:rPr>
        <w:t xml:space="preserve">Nous espérons qu’un dialogue constructif entre le Comité et les autorités marocaines permettra d’approfondir ces sujets </w:t>
      </w:r>
      <w:r w:rsidR="00675C9C">
        <w:rPr>
          <w:rFonts w:cs="Tahoma"/>
        </w:rPr>
        <w:t xml:space="preserve">de préoccupation dans le but d’instaurer </w:t>
      </w:r>
      <w:r w:rsidR="001F69A7">
        <w:rPr>
          <w:rFonts w:cs="Tahoma"/>
        </w:rPr>
        <w:t xml:space="preserve">au Maroc </w:t>
      </w:r>
      <w:r w:rsidR="00E332A4">
        <w:rPr>
          <w:rFonts w:cs="Tahoma"/>
        </w:rPr>
        <w:t>un é</w:t>
      </w:r>
      <w:r w:rsidR="00675C9C">
        <w:rPr>
          <w:rFonts w:cs="Tahoma"/>
        </w:rPr>
        <w:t xml:space="preserve">tat de droit respectueux </w:t>
      </w:r>
      <w:r w:rsidR="001F69A7">
        <w:rPr>
          <w:rFonts w:cs="Tahoma"/>
        </w:rPr>
        <w:t>de ses obligations internationales</w:t>
      </w:r>
      <w:r w:rsidRPr="0077273E">
        <w:rPr>
          <w:rFonts w:cs="Tahoma"/>
        </w:rPr>
        <w:t>.</w:t>
      </w:r>
    </w:p>
    <w:p w14:paraId="4E59573D" w14:textId="77777777" w:rsidR="00A72BBF" w:rsidRPr="0077273E" w:rsidRDefault="00A72BBF" w:rsidP="00AC59D7">
      <w:pPr>
        <w:rPr>
          <w:rFonts w:cs="Tahoma"/>
        </w:rPr>
      </w:pPr>
    </w:p>
    <w:sectPr w:rsidR="00A72BBF" w:rsidRPr="0077273E" w:rsidSect="00887D77">
      <w:headerReference w:type="default" r:id="rId9"/>
      <w:footerReference w:type="default" r:id="rId10"/>
      <w:footerReference w:type="first" r:id="rId11"/>
      <w:pgSz w:w="11906" w:h="16838"/>
      <w:pgMar w:top="1417" w:right="1417" w:bottom="1417" w:left="1417"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24F9C1" w14:textId="77777777" w:rsidR="005F2C66" w:rsidRDefault="005F2C66" w:rsidP="003407E5">
      <w:r>
        <w:separator/>
      </w:r>
    </w:p>
  </w:endnote>
  <w:endnote w:type="continuationSeparator" w:id="0">
    <w:p w14:paraId="63B57FA3" w14:textId="77777777" w:rsidR="005F2C66" w:rsidRDefault="005F2C66" w:rsidP="00340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eneva">
    <w:altName w:val="Arial"/>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otham Book">
    <w:altName w:val="Gotham Book"/>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DejaVu Sans">
    <w:charset w:val="00"/>
    <w:family w:val="swiss"/>
    <w:pitch w:val="variable"/>
    <w:sig w:usb0="E7002EFF" w:usb1="D200F5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4660705"/>
      <w:docPartObj>
        <w:docPartGallery w:val="Page Numbers (Bottom of Page)"/>
        <w:docPartUnique/>
      </w:docPartObj>
    </w:sdtPr>
    <w:sdtEndPr>
      <w:rPr>
        <w:noProof/>
      </w:rPr>
    </w:sdtEndPr>
    <w:sdtContent>
      <w:p w14:paraId="319D8279" w14:textId="46BEAE09" w:rsidR="005F2C66" w:rsidRDefault="005F2C66">
        <w:pPr>
          <w:pStyle w:val="Footer"/>
          <w:jc w:val="right"/>
        </w:pPr>
        <w:r>
          <w:fldChar w:fldCharType="begin"/>
        </w:r>
        <w:r>
          <w:instrText xml:space="preserve"> PAGE   \* MERGEFORMAT </w:instrText>
        </w:r>
        <w:r>
          <w:fldChar w:fldCharType="separate"/>
        </w:r>
        <w:r w:rsidR="006E747B">
          <w:rPr>
            <w:noProof/>
          </w:rPr>
          <w:t>2</w:t>
        </w:r>
        <w:r>
          <w:rPr>
            <w:noProof/>
          </w:rPr>
          <w:fldChar w:fldCharType="end"/>
        </w:r>
      </w:p>
    </w:sdtContent>
  </w:sdt>
  <w:p w14:paraId="459D9BDB" w14:textId="77777777" w:rsidR="005F2C66" w:rsidRPr="00B876E8" w:rsidRDefault="005F2C66" w:rsidP="008D025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CC8F7F" w14:textId="77777777" w:rsidR="005F2C66" w:rsidRDefault="005F2C66" w:rsidP="00050E2E">
    <w:pPr>
      <w:pStyle w:val="Header"/>
      <w:spacing w:after="0"/>
    </w:pPr>
    <w:r>
      <w:t>Alkarama Foundation – 150 route de Ferney, C.P. 2100 CH – 1211  Genève 2 – Switzerland</w:t>
    </w:r>
  </w:p>
  <w:p w14:paraId="5BA9F040" w14:textId="77777777" w:rsidR="005F2C66" w:rsidRDefault="005F2C66" w:rsidP="00050E2E">
    <w:pPr>
      <w:pStyle w:val="Header"/>
      <w:spacing w:after="0"/>
    </w:pPr>
    <w:r>
      <w:rPr>
        <w:rFonts w:ascii="Arial Narrow" w:hAnsi="Arial Narrow"/>
        <w:lang w:val="en-US"/>
      </w:rPr>
      <w:sym w:font="Wingdings" w:char="0028"/>
    </w:r>
    <w:r>
      <w:t xml:space="preserve"> +41 22 734 10 06 – </w:t>
    </w:r>
    <w:r>
      <w:rPr>
        <w:rFonts w:ascii="Arial Narrow" w:hAnsi="Arial Narrow"/>
        <w:lang w:val="en-US"/>
      </w:rPr>
      <w:sym w:font="Wingdings 2" w:char="0037"/>
    </w:r>
    <w:r>
      <w:t xml:space="preserve"> +41 22 734 10 34 – </w:t>
    </w:r>
    <w:r>
      <w:rPr>
        <w:lang w:val="en-US"/>
      </w:rPr>
      <w:sym w:font="Wingdings" w:char="002A"/>
    </w:r>
    <w:r>
      <w:t xml:space="preserve"> info@alkarama.org – </w:t>
    </w:r>
    <w:r>
      <w:rPr>
        <w:lang w:val="en-US"/>
      </w:rPr>
      <w:sym w:font="Wingdings" w:char="0038"/>
    </w:r>
    <w:r>
      <w:t xml:space="preserve"> www.alkarama.org</w:t>
    </w:r>
  </w:p>
  <w:p w14:paraId="21729D7F" w14:textId="77777777" w:rsidR="005F2C66" w:rsidRDefault="005F2C66" w:rsidP="008D02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01203" w14:textId="77777777" w:rsidR="005F2C66" w:rsidRDefault="005F2C66" w:rsidP="003407E5">
      <w:r>
        <w:separator/>
      </w:r>
    </w:p>
  </w:footnote>
  <w:footnote w:type="continuationSeparator" w:id="0">
    <w:p w14:paraId="6C137A47" w14:textId="77777777" w:rsidR="005F2C66" w:rsidRDefault="005F2C66" w:rsidP="003407E5">
      <w:r>
        <w:continuationSeparator/>
      </w:r>
    </w:p>
  </w:footnote>
  <w:footnote w:id="1">
    <w:p w14:paraId="0681A6EF" w14:textId="16E0DE5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Jesús Ceberio, Ignacio Cembrero, « Se ha restablecido el respeto mutuo entre España y Marruecos », </w:t>
      </w:r>
      <w:r w:rsidRPr="00A202CA">
        <w:rPr>
          <w:i/>
          <w:iCs/>
        </w:rPr>
        <w:t>EL PAÍS</w:t>
      </w:r>
      <w:r w:rsidRPr="0077273E">
        <w:t xml:space="preserve">, 16 janvier 2005, disponible en espagnol sur </w:t>
      </w:r>
      <w:hyperlink r:id="rId1" w:history="1">
        <w:r w:rsidRPr="0077273E">
          <w:rPr>
            <w:rStyle w:val="Hyperlink"/>
          </w:rPr>
          <w:t>http://elpais.com/diario/2005/01/16/internacional/1105830001_850215.html</w:t>
        </w:r>
      </w:hyperlink>
      <w:r w:rsidRPr="0077273E">
        <w:t xml:space="preserve"> (consulté le 29 août 2016)</w:t>
      </w:r>
      <w:r>
        <w:t>.</w:t>
      </w:r>
    </w:p>
  </w:footnote>
  <w:footnote w:id="2">
    <w:p w14:paraId="3E01C2EC" w14:textId="65589391"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 xml:space="preserve">Il s’agit tout d’abord du domaine religieux visé à l’article 41 de la Constitution et 44 (alinéa 2), de la nomination du Chef de gouvernement ainsi que la décision de le démettre de ses fonctions prévues à l’article 47 (alinéas 1 et 6), la dissolution des deux chambres prévues à 51 dans les conditions prévues à cet effet, l’approbation par </w:t>
      </w:r>
      <w:r w:rsidRPr="0077273E">
        <w:rPr>
          <w:i/>
          <w:iCs/>
        </w:rPr>
        <w:t>Dahir</w:t>
      </w:r>
      <w:r w:rsidRPr="0077273E">
        <w:t xml:space="preserve"> de la nomination des magistrats par le CSPJ prévue à l’article 57, le recours à l’état d’exception prévu à l’article 59, la nomination de 6 membres sur les 12 de la Cour constitutionnelle prévue à l’article 130 (alinéa 1er) enfin la décision de réviser la Constitution prévue à l’article 174.</w:t>
      </w:r>
    </w:p>
  </w:footnote>
  <w:footnote w:id="3">
    <w:p w14:paraId="649FB1A5" w14:textId="122206E8"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 xml:space="preserve">Le </w:t>
      </w:r>
      <w:r w:rsidRPr="0077273E">
        <w:rPr>
          <w:i/>
          <w:iCs/>
        </w:rPr>
        <w:t>Dahir</w:t>
      </w:r>
      <w:r w:rsidRPr="0077273E">
        <w:t xml:space="preserve"> est un acte par lequel le Souverain donne force obligatoire à ses décisions. Il peut avoir un contenu législatif ou administratif ; il s’agit donc d’un acte royal à caractère décisoire. L’introduction du contreseing ministériel ne date que de l’adoption de la Constitution de 1972. Jusqu’à présent, ce contreseing ministériel n’a jamais permis un réel contrôle gouvernemental sur les actes du roi  en raison du déséquilibre des pouvoirs entre roi et premier ministre.</w:t>
      </w:r>
    </w:p>
  </w:footnote>
  <w:footnote w:id="4">
    <w:p w14:paraId="55462006" w14:textId="3E6FB4F8"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 xml:space="preserve">Article 48 de la </w:t>
      </w:r>
      <w:r>
        <w:t>Constitution de 2011.</w:t>
      </w:r>
    </w:p>
  </w:footnote>
  <w:footnote w:id="5">
    <w:p w14:paraId="6CEB6C85" w14:textId="5E7E5AE5"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Aux côtés de la Chambre des représentants, il est une 2ème Chambre avec un effectif resserré élue elle au suffrage indirect et à vocation territoriale.</w:t>
      </w:r>
    </w:p>
  </w:footnote>
  <w:footnote w:id="6">
    <w:p w14:paraId="31126B44" w14:textId="69EB5C57"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Principes de Paris concernant le statut et le fonctionnement des institutions nationales pour la protection et la promotion des droits de l’homme, approuvés par la résolution A/RES/48/134 du 20 décembre 1993</w:t>
      </w:r>
    </w:p>
  </w:footnote>
  <w:footnote w:id="7">
    <w:p w14:paraId="2AA9CF8B" w14:textId="3542FC8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Alkarama, </w:t>
      </w:r>
      <w:r w:rsidRPr="00711C44">
        <w:rPr>
          <w:i/>
          <w:iCs/>
        </w:rPr>
        <w:t>Maroc : le Conseil national des droits de l’homme conserve son statut A malgré son manque d’indépendance</w:t>
      </w:r>
      <w:r w:rsidRPr="0077273E">
        <w:t>, 1</w:t>
      </w:r>
      <w:r w:rsidRPr="0077273E">
        <w:rPr>
          <w:vertAlign w:val="superscript"/>
        </w:rPr>
        <w:t>er</w:t>
      </w:r>
      <w:r w:rsidRPr="0077273E">
        <w:t xml:space="preserve"> février 2016</w:t>
      </w:r>
      <w:r>
        <w:t xml:space="preserve">, </w:t>
      </w:r>
      <w:hyperlink r:id="rId2" w:history="1">
        <w:r w:rsidRPr="00FC435F">
          <w:rPr>
            <w:rStyle w:val="Hyperlink"/>
          </w:rPr>
          <w:t>http://fr.alkarama.org/maroc/communiques/item/2000-maroc-le-conseil-national-des-droits-de-l-homme-conserve-son-statut-a-malgre-son-manque-d-independance</w:t>
        </w:r>
      </w:hyperlink>
      <w:r>
        <w:t xml:space="preserve"> (consulté le 19 septembre 2016).</w:t>
      </w:r>
    </w:p>
  </w:footnote>
  <w:footnote w:id="8">
    <w:p w14:paraId="64864C4B" w14:textId="091C5CE6" w:rsidR="005F2C66" w:rsidRPr="0084571A" w:rsidRDefault="005F2C66" w:rsidP="00E332A4">
      <w:pPr>
        <w:pStyle w:val="NBP"/>
        <w:tabs>
          <w:tab w:val="left" w:pos="284"/>
        </w:tabs>
        <w:ind w:left="284" w:hanging="284"/>
      </w:pPr>
      <w:r w:rsidRPr="0084571A">
        <w:rPr>
          <w:rStyle w:val="FootnoteReference"/>
        </w:rPr>
        <w:footnoteRef/>
      </w:r>
      <w:r w:rsidRPr="0084571A">
        <w:t xml:space="preserve"> </w:t>
      </w:r>
      <w:r>
        <w:tab/>
      </w:r>
      <w:r w:rsidRPr="0084571A">
        <w:t xml:space="preserve">Comité des droits de l’homme, </w:t>
      </w:r>
      <w:r w:rsidRPr="0084571A">
        <w:rPr>
          <w:i/>
          <w:iCs/>
        </w:rPr>
        <w:t>Observations finales du Comité des droits de l’homme sur le Maroc</w:t>
      </w:r>
      <w:r w:rsidRPr="0084571A">
        <w:t>, (ci-après « </w:t>
      </w:r>
      <w:r w:rsidRPr="0084571A">
        <w:rPr>
          <w:i/>
          <w:iCs/>
        </w:rPr>
        <w:t>Observations finales »</w:t>
      </w:r>
      <w:r w:rsidRPr="0084571A">
        <w:t>), 1 décembre 2004, CCPR/CO/82/MAR, para. 19.</w:t>
      </w:r>
    </w:p>
  </w:footnote>
  <w:footnote w:id="9">
    <w:p w14:paraId="34DC05F7" w14:textId="2BAEBA2B" w:rsidR="005F2C66" w:rsidRPr="0077273E" w:rsidRDefault="005F2C66" w:rsidP="00E332A4">
      <w:pPr>
        <w:pStyle w:val="NBP"/>
        <w:tabs>
          <w:tab w:val="left" w:pos="284"/>
        </w:tabs>
        <w:ind w:left="284" w:hanging="284"/>
      </w:pPr>
      <w:r w:rsidRPr="0084571A">
        <w:rPr>
          <w:rStyle w:val="FootnoteReference"/>
        </w:rPr>
        <w:footnoteRef/>
      </w:r>
      <w:r w:rsidRPr="0084571A">
        <w:t xml:space="preserve"> </w:t>
      </w:r>
      <w:r>
        <w:tab/>
      </w:r>
      <w:r w:rsidRPr="0084571A">
        <w:t xml:space="preserve">Comité des droits de l’homme, </w:t>
      </w:r>
      <w:r w:rsidRPr="0084571A">
        <w:rPr>
          <w:i/>
          <w:iCs/>
        </w:rPr>
        <w:t>Sixièmes rapports périodiques des États parties attendus en 2008, Maroc</w:t>
      </w:r>
      <w:r w:rsidRPr="0084571A">
        <w:t>, (ci-après « </w:t>
      </w:r>
      <w:r w:rsidRPr="0084571A">
        <w:rPr>
          <w:i/>
          <w:iCs/>
        </w:rPr>
        <w:t>Sixième rapport périodique de l’Etat partie </w:t>
      </w:r>
      <w:r w:rsidRPr="0084571A">
        <w:t>»), 31 août 2015, CCPR/C/MAR/6, para</w:t>
      </w:r>
      <w:r>
        <w:t>.</w:t>
      </w:r>
      <w:r w:rsidRPr="0084571A">
        <w:t xml:space="preserve"> 116 et para</w:t>
      </w:r>
      <w:r>
        <w:t>s</w:t>
      </w:r>
      <w:r w:rsidRPr="0084571A">
        <w:t xml:space="preserve"> 199-200.</w:t>
      </w:r>
    </w:p>
  </w:footnote>
  <w:footnote w:id="10">
    <w:p w14:paraId="430D9A57" w14:textId="05426FD1" w:rsidR="005F2C66" w:rsidRPr="0077273E" w:rsidRDefault="005F2C66" w:rsidP="00E332A4">
      <w:pPr>
        <w:pStyle w:val="FootnoteText"/>
        <w:tabs>
          <w:tab w:val="left" w:pos="284"/>
        </w:tabs>
        <w:spacing w:after="0"/>
        <w:ind w:left="284" w:hanging="284"/>
        <w:rPr>
          <w:rFonts w:cs="Tahoma"/>
          <w:szCs w:val="16"/>
        </w:rPr>
      </w:pPr>
      <w:r w:rsidRPr="0077273E">
        <w:rPr>
          <w:rStyle w:val="FootnoteReference"/>
          <w:rFonts w:cs="Tahoma"/>
          <w:szCs w:val="16"/>
        </w:rPr>
        <w:footnoteRef/>
      </w:r>
      <w:r w:rsidRPr="0077273E">
        <w:rPr>
          <w:rFonts w:cs="Tahoma"/>
          <w:szCs w:val="16"/>
        </w:rPr>
        <w:t xml:space="preserve"> </w:t>
      </w:r>
      <w:r>
        <w:rPr>
          <w:rFonts w:cs="Tahoma"/>
          <w:szCs w:val="16"/>
        </w:rPr>
        <w:tab/>
      </w:r>
      <w:r w:rsidRPr="00D81533">
        <w:rPr>
          <w:rStyle w:val="FootnoteReference"/>
          <w:vertAlign w:val="baseline"/>
        </w:rPr>
        <w:t>Pour la période 2011-2012, le Maroc a été classé 80e pays sur 142 en termes d’indépendance de la justice par l’ONG Transparency International.</w:t>
      </w:r>
      <w:r>
        <w:t xml:space="preserve"> Voir :</w:t>
      </w:r>
      <w:r w:rsidRPr="00B41F95">
        <w:t xml:space="preserve"> </w:t>
      </w:r>
      <w:hyperlink r:id="rId3" w:anchor="MAR" w:history="1">
        <w:r w:rsidRPr="00FC435F">
          <w:rPr>
            <w:rStyle w:val="Hyperlink"/>
          </w:rPr>
          <w:t>http://www.transparency.org/country/#MAR</w:t>
        </w:r>
      </w:hyperlink>
      <w:r>
        <w:rPr>
          <w:rStyle w:val="Hyperlink"/>
        </w:rPr>
        <w:t xml:space="preserve"> </w:t>
      </w:r>
      <w:r>
        <w:t>(consulté le 19 septembre 2016).</w:t>
      </w:r>
    </w:p>
  </w:footnote>
  <w:footnote w:id="11">
    <w:p w14:paraId="0F29B722" w14:textId="11B76305"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Alkarama, </w:t>
      </w:r>
      <w:r w:rsidRPr="0077273E">
        <w:rPr>
          <w:i/>
        </w:rPr>
        <w:t>Maroc : Une femme condamnée à un mois de prison ferme pour avoir dénoncé des violences policières</w:t>
      </w:r>
      <w:r w:rsidRPr="0077273E">
        <w:t xml:space="preserve">, 2 décembre 2015, </w:t>
      </w:r>
      <w:hyperlink r:id="rId4" w:history="1">
        <w:r w:rsidRPr="0077273E">
          <w:rPr>
            <w:rStyle w:val="Hyperlink"/>
          </w:rPr>
          <w:t>http://fr.alkarama.org/component/k2/item/1985-maroc-une-femme-condamnee-a-un-mois-de-prison-ferme-pour-avoir-denonce-des-violences-policieres?Itemid</w:t>
        </w:r>
      </w:hyperlink>
      <w:r w:rsidRPr="0077273E">
        <w:t>= (consulté le 2 septembre 2016).</w:t>
      </w:r>
    </w:p>
  </w:footnote>
  <w:footnote w:id="12">
    <w:p w14:paraId="4E635DAE" w14:textId="435E7E13" w:rsidR="005F2C66" w:rsidRPr="0077273E" w:rsidRDefault="005F2C66" w:rsidP="00E332A4">
      <w:pPr>
        <w:pStyle w:val="NBP"/>
        <w:tabs>
          <w:tab w:val="left" w:pos="284"/>
        </w:tabs>
        <w:ind w:left="284" w:hanging="284"/>
      </w:pPr>
      <w:r w:rsidRPr="0084571A">
        <w:rPr>
          <w:rStyle w:val="Funotenzeichen"/>
        </w:rPr>
        <w:footnoteRef/>
      </w:r>
      <w:r w:rsidRPr="0077273E">
        <w:t xml:space="preserve"> </w:t>
      </w:r>
      <w:r>
        <w:tab/>
      </w:r>
      <w:r w:rsidRPr="0077273E">
        <w:t xml:space="preserve">Les associations signataires de ce projet de mémorandum sont : l'Association des Barreaux, la Ligue marocaine de défense des droits de l'Homme, l'Association marocaine des droits humains, l'Organisation marocaine des droits de l'Homme, l'Association marocaine de lutte contre la corruption, le Forum marocain pour la vérité et la justice, l'Association Adala, l'Association marocaine pour la défense de l'indépendance de la justice, Amnesty International- Maroc et l'Observatoire marocain des prisons. </w:t>
      </w:r>
      <w:r>
        <w:t>« </w:t>
      </w:r>
      <w:r w:rsidRPr="00B41F95">
        <w:t>Dix associations signent un projet de mémorandum pour la réforme de la Justice</w:t>
      </w:r>
      <w:r>
        <w:t xml:space="preserve"> », </w:t>
      </w:r>
      <w:r w:rsidRPr="00711C44">
        <w:rPr>
          <w:i/>
          <w:iCs/>
        </w:rPr>
        <w:t>Le Mag</w:t>
      </w:r>
      <w:r>
        <w:t xml:space="preserve">, 7 Avril 2009 </w:t>
      </w:r>
      <w:hyperlink r:id="rId5" w:history="1">
        <w:r w:rsidRPr="00FC435F">
          <w:rPr>
            <w:rStyle w:val="Hyperlink"/>
          </w:rPr>
          <w:t>http://www.lemag.ma/Dix-associations-signent-un-projet-de-memorandum-pour-la-reforme-de-la-Justice_a19119.html</w:t>
        </w:r>
      </w:hyperlink>
      <w:r>
        <w:t xml:space="preserve"> </w:t>
      </w:r>
      <w:r w:rsidRPr="0077273E">
        <w:t>(consulté le 2 septembre 2016).</w:t>
      </w:r>
      <w:r>
        <w:t xml:space="preserve"> </w:t>
      </w:r>
    </w:p>
  </w:footnote>
  <w:footnote w:id="13">
    <w:p w14:paraId="550DBD3E" w14:textId="020A4D4F" w:rsidR="005F2C66" w:rsidRPr="0077273E" w:rsidRDefault="005F2C66" w:rsidP="00E332A4">
      <w:pPr>
        <w:pStyle w:val="NBP"/>
        <w:tabs>
          <w:tab w:val="left" w:pos="284"/>
        </w:tabs>
        <w:ind w:left="284" w:hanging="284"/>
      </w:pPr>
      <w:r w:rsidRPr="0077273E">
        <w:rPr>
          <w:rStyle w:val="Funotenzeichen"/>
        </w:rPr>
        <w:footnoteRef/>
      </w:r>
      <w:r>
        <w:t xml:space="preserve"> </w:t>
      </w:r>
      <w:r>
        <w:tab/>
      </w:r>
      <w:r w:rsidRPr="0077273E">
        <w:t xml:space="preserve">AFP, </w:t>
      </w:r>
      <w:r w:rsidRPr="0077273E">
        <w:rPr>
          <w:i/>
          <w:iCs/>
        </w:rPr>
        <w:t>Maroc: mémorandum de 10 ONG pour contribuer à une réforme la justice</w:t>
      </w:r>
      <w:r>
        <w:t xml:space="preserve">, </w:t>
      </w:r>
      <w:r w:rsidRPr="0077273E">
        <w:t xml:space="preserve">7 avril 2009, </w:t>
      </w:r>
      <w:hyperlink r:id="rId6" w:history="1">
        <w:r w:rsidRPr="00D06039">
          <w:rPr>
            <w:rStyle w:val="Hyperlink"/>
          </w:rPr>
          <w:t>http://www.journaux.ma/maroc/actualite-internationale/maroc-memorandum-de-10-ong-pour-contribuer-une-reforme-la-justice</w:t>
        </w:r>
      </w:hyperlink>
      <w:r>
        <w:t xml:space="preserve">  </w:t>
      </w:r>
      <w:r w:rsidRPr="0077273E">
        <w:t>(consulté le 2 septembre 2016).</w:t>
      </w:r>
    </w:p>
  </w:footnote>
  <w:footnote w:id="14">
    <w:p w14:paraId="0B21D5FC" w14:textId="6D0193E5" w:rsidR="005F2C66" w:rsidRPr="0077273E" w:rsidRDefault="005F2C66" w:rsidP="00E332A4">
      <w:pPr>
        <w:pStyle w:val="NBP"/>
        <w:tabs>
          <w:tab w:val="left" w:pos="284"/>
        </w:tabs>
        <w:ind w:left="284" w:hanging="284"/>
      </w:pPr>
      <w:r w:rsidRPr="0077273E">
        <w:rPr>
          <w:rStyle w:val="Funotenzeichen"/>
        </w:rPr>
        <w:footnoteRef/>
      </w:r>
      <w:r w:rsidRPr="0084571A">
        <w:t xml:space="preserve"> </w:t>
      </w:r>
      <w:r>
        <w:tab/>
      </w:r>
      <w:r w:rsidRPr="0084571A">
        <w:t>Le projet comprenait également des recommandations relatives au fonctionnement de tribunaux, à l'efficience de la justice, à la transparence et à l'accès du public à l'information, à la lutte contre la corruption, au renforcement des garanties et des droits de la défense. Il comportait  aussi des propositions se rapportant à la situation des établissements pénitentiaires.</w:t>
      </w:r>
    </w:p>
  </w:footnote>
  <w:footnote w:id="15">
    <w:p w14:paraId="2C1ACB96" w14:textId="60C86237" w:rsidR="005F2C66" w:rsidRPr="0077273E" w:rsidRDefault="005F2C66" w:rsidP="00E332A4">
      <w:pPr>
        <w:pStyle w:val="NBP"/>
        <w:tabs>
          <w:tab w:val="left" w:pos="284"/>
        </w:tabs>
        <w:ind w:left="284" w:hanging="284"/>
        <w:rPr>
          <w:lang w:eastAsia="fr-CH"/>
        </w:rPr>
      </w:pPr>
      <w:r w:rsidRPr="0077273E">
        <w:rPr>
          <w:rStyle w:val="FootnoteReference"/>
        </w:rPr>
        <w:footnoteRef/>
      </w:r>
      <w:r>
        <w:t xml:space="preserve"> </w:t>
      </w:r>
      <w:r>
        <w:tab/>
      </w:r>
      <w:r w:rsidRPr="0077273E">
        <w:t xml:space="preserve">Charte sur la réforme du système judiciaire marocain, juillet 2013, </w:t>
      </w:r>
      <w:hyperlink r:id="rId7" w:history="1">
        <w:r w:rsidRPr="0077273E">
          <w:rPr>
            <w:rStyle w:val="Hyperlink"/>
          </w:rPr>
          <w:t>h</w:t>
        </w:r>
        <w:r w:rsidRPr="0077273E">
          <w:rPr>
            <w:rStyle w:val="Hyperlink"/>
            <w:lang w:eastAsia="fr-CH"/>
          </w:rPr>
          <w:t>ttp://www.justice.gov.ma/App_Themes/ar/img/Files/Charte_Reforme_justiceFr.pdf</w:t>
        </w:r>
      </w:hyperlink>
      <w:r w:rsidRPr="0077273E">
        <w:rPr>
          <w:lang w:eastAsia="fr-CH"/>
        </w:rPr>
        <w:t>, (consulté le 2 septembre 2016)</w:t>
      </w:r>
      <w:r>
        <w:rPr>
          <w:lang w:eastAsia="fr-CH"/>
        </w:rPr>
        <w:t>.</w:t>
      </w:r>
    </w:p>
  </w:footnote>
  <w:footnote w:id="16">
    <w:p w14:paraId="4E9E2DC9" w14:textId="026CC827" w:rsidR="005F2C66" w:rsidRPr="0077273E" w:rsidRDefault="005F2C66" w:rsidP="00E332A4">
      <w:pPr>
        <w:pStyle w:val="NBP"/>
        <w:tabs>
          <w:tab w:val="left" w:pos="284"/>
        </w:tabs>
        <w:ind w:left="284" w:hanging="284"/>
      </w:pPr>
      <w:r w:rsidRPr="0077273E">
        <w:rPr>
          <w:rStyle w:val="FootnoteReference"/>
        </w:rPr>
        <w:footnoteRef/>
      </w:r>
      <w:r>
        <w:t xml:space="preserve"> </w:t>
      </w:r>
      <w:r>
        <w:tab/>
      </w:r>
      <w:r w:rsidRPr="0077273E">
        <w:t xml:space="preserve">Projet de loi organique n° 100-13 relative au Conseil supérieur du pouvoir judiciaire, </w:t>
      </w:r>
      <w:hyperlink r:id="rId8" w:history="1">
        <w:r w:rsidRPr="0077273E">
          <w:rPr>
            <w:rStyle w:val="Hyperlink"/>
          </w:rPr>
          <w:t>http://www.sgg.gov.ma/Portals/0/lois/Projet_loiorganique%20_100.13.pdf</w:t>
        </w:r>
      </w:hyperlink>
      <w:r w:rsidRPr="0077273E">
        <w:rPr>
          <w:color w:val="000000"/>
        </w:rPr>
        <w:t>, disponible en arabe (consulté le 2 septembre 2016).</w:t>
      </w:r>
    </w:p>
  </w:footnote>
  <w:footnote w:id="17">
    <w:p w14:paraId="254F4426" w14:textId="0C243822"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Projet de loi organique n° 106-13 sur le statut des magistrats</w:t>
      </w:r>
      <w:r>
        <w:t>.</w:t>
      </w:r>
    </w:p>
  </w:footnote>
  <w:footnote w:id="18">
    <w:p w14:paraId="2CEEE21D" w14:textId="2019782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 xml:space="preserve">Comité des droits de l’homme, </w:t>
      </w:r>
      <w:r w:rsidRPr="00B41F95">
        <w:rPr>
          <w:i/>
          <w:iCs/>
        </w:rPr>
        <w:t>Liste de points concernant le sixième rapport périodique du Maroc</w:t>
      </w:r>
      <w:r w:rsidRPr="0077273E">
        <w:t xml:space="preserve"> </w:t>
      </w:r>
      <w:r>
        <w:t>(ci-après « </w:t>
      </w:r>
      <w:r w:rsidRPr="00B41F95">
        <w:rPr>
          <w:i/>
          <w:iCs/>
        </w:rPr>
        <w:t>Liste des points</w:t>
      </w:r>
      <w:r>
        <w:t> »),</w:t>
      </w:r>
      <w:r w:rsidRPr="00B41F95">
        <w:t xml:space="preserve"> </w:t>
      </w:r>
      <w:r>
        <w:t>CCPR/C/MAR/Q/6, 9 mai 2016, para. 21.</w:t>
      </w:r>
    </w:p>
  </w:footnote>
  <w:footnote w:id="19">
    <w:p w14:paraId="369D6E58" w14:textId="5267C1F3"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Loi du 11 novembre 1974, article 10.</w:t>
      </w:r>
    </w:p>
  </w:footnote>
  <w:footnote w:id="20">
    <w:p w14:paraId="61295946" w14:textId="71885952"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Comité des droits de l’homme, </w:t>
      </w:r>
      <w:r w:rsidRPr="00B41F95">
        <w:rPr>
          <w:i/>
          <w:iCs/>
        </w:rPr>
        <w:t>Observation générale n° 32</w:t>
      </w:r>
      <w:r w:rsidRPr="0077273E">
        <w:t>,</w:t>
      </w:r>
      <w:r w:rsidRPr="00B41F95">
        <w:t xml:space="preserve"> </w:t>
      </w:r>
      <w:r>
        <w:t xml:space="preserve">CCPR/C/GC/32, 23 août 2007, </w:t>
      </w:r>
      <w:r w:rsidRPr="0077273E">
        <w:t>para. 19.</w:t>
      </w:r>
    </w:p>
  </w:footnote>
  <w:footnote w:id="21">
    <w:p w14:paraId="509EF817" w14:textId="107D670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Principes fondamentaux relatifs à l’indépendance de la magistrature</w:t>
      </w:r>
      <w:r w:rsidRPr="0077273E">
        <w:t xml:space="preserve">, </w:t>
      </w:r>
      <w:r>
        <w:t xml:space="preserve">Adoptés par le septième Congrès des Nations Unies pour la prévention du crime et le traitement des délinquants, Milan 26 août au 6 septembre 1985 et confirmés par l'Assemblée  générale  dans  ses résolutions  40/32 du  29 novembre 1985 et 40/146 du 13 décembre 1985,  </w:t>
      </w:r>
      <w:r w:rsidRPr="0077273E">
        <w:t>article 2 : « Les magistrats règlent les affaires dont ils sont saisis impartialement, d'après les faits et conformément à la loi, sans restrictions et sans être l'objet d'influences, incitations, pressions, menaces ou interventions indues, directes ou indirectes, de la part de qui que ce soit ou p</w:t>
      </w:r>
      <w:r>
        <w:t xml:space="preserve">our quelque raison que ce soit. </w:t>
      </w:r>
      <w:r w:rsidRPr="0077273E">
        <w:t>»</w:t>
      </w:r>
    </w:p>
  </w:footnote>
  <w:footnote w:id="22">
    <w:p w14:paraId="7DA06730" w14:textId="5DB3FF9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Article 108 de la Constitution</w:t>
      </w:r>
      <w:r>
        <w:t xml:space="preserve"> de 2011</w:t>
      </w:r>
      <w:r w:rsidRPr="0077273E">
        <w:t>.</w:t>
      </w:r>
    </w:p>
  </w:footnote>
  <w:footnote w:id="23">
    <w:p w14:paraId="0DA39EAB" w14:textId="5D6157E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Article 111 de la Constitution</w:t>
      </w:r>
      <w:r>
        <w:t xml:space="preserve"> de 2011</w:t>
      </w:r>
      <w:r w:rsidRPr="0077273E">
        <w:t>.</w:t>
      </w:r>
    </w:p>
  </w:footnote>
  <w:footnote w:id="24">
    <w:p w14:paraId="590AADE8" w14:textId="7A7682D9"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Article 109 de la Constitution</w:t>
      </w:r>
      <w:r>
        <w:t xml:space="preserve"> de 2011</w:t>
      </w:r>
      <w:r w:rsidRPr="0077273E">
        <w:t>.</w:t>
      </w:r>
    </w:p>
  </w:footnote>
  <w:footnote w:id="25">
    <w:p w14:paraId="09BE886F" w14:textId="2F86ACA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E332A4">
        <w:rPr>
          <w:i/>
          <w:iCs/>
        </w:rPr>
        <w:t>Dahir</w:t>
      </w:r>
      <w:r w:rsidRPr="0077273E">
        <w:t xml:space="preserve"> du 11 novembre portant loi 1-74-467 du 26 </w:t>
      </w:r>
      <w:r w:rsidRPr="0084571A">
        <w:rPr>
          <w:i/>
          <w:iCs/>
        </w:rPr>
        <w:t>choual</w:t>
      </w:r>
      <w:r w:rsidRPr="0077273E">
        <w:t xml:space="preserve"> 1394 (11 novembre 1974) formant statut de la magistrature.</w:t>
      </w:r>
    </w:p>
  </w:footnote>
  <w:footnote w:id="26">
    <w:p w14:paraId="6D84B40F" w14:textId="36D7DF64"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Pr>
          <w:i/>
          <w:iCs/>
        </w:rPr>
        <w:t>Rapport de la Rapporteuse</w:t>
      </w:r>
      <w:r w:rsidRPr="004522EF">
        <w:rPr>
          <w:i/>
          <w:iCs/>
        </w:rPr>
        <w:t xml:space="preserve"> spécial</w:t>
      </w:r>
      <w:r>
        <w:rPr>
          <w:i/>
          <w:iCs/>
        </w:rPr>
        <w:t>e</w:t>
      </w:r>
      <w:r w:rsidRPr="004522EF">
        <w:rPr>
          <w:i/>
          <w:iCs/>
        </w:rPr>
        <w:t xml:space="preserve"> sur l’indépendance des juges et des avocats</w:t>
      </w:r>
      <w:r>
        <w:t>,</w:t>
      </w:r>
      <w:r w:rsidRPr="0077273E">
        <w:t xml:space="preserve"> A/67/305, </w:t>
      </w:r>
      <w:r w:rsidRPr="004522EF">
        <w:t>13 août 2012</w:t>
      </w:r>
      <w:r>
        <w:t xml:space="preserve">, </w:t>
      </w:r>
      <w:r w:rsidRPr="0077273E">
        <w:t>para. 112 (j).</w:t>
      </w:r>
    </w:p>
  </w:footnote>
  <w:footnote w:id="27">
    <w:p w14:paraId="16FC83F6" w14:textId="7CD0A01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 xml:space="preserve">Comité des droits de l’homme, </w:t>
      </w:r>
      <w:r w:rsidRPr="004522EF">
        <w:rPr>
          <w:i/>
          <w:iCs/>
        </w:rPr>
        <w:t>Observations finales sur la République démocratique du Congo</w:t>
      </w:r>
      <w:r w:rsidRPr="0077273E">
        <w:t>, CCPR/C/79/Add.118,</w:t>
      </w:r>
      <w:r w:rsidRPr="004522EF">
        <w:t xml:space="preserve"> 25 avril 2000</w:t>
      </w:r>
      <w:r>
        <w:t>,</w:t>
      </w:r>
      <w:r w:rsidRPr="0077273E">
        <w:t xml:space="preserve"> para</w:t>
      </w:r>
      <w:r>
        <w:t>.</w:t>
      </w:r>
      <w:r w:rsidRPr="0077273E">
        <w:t xml:space="preserve"> 14</w:t>
      </w:r>
      <w:r>
        <w:t>.</w:t>
      </w:r>
    </w:p>
  </w:footnote>
  <w:footnote w:id="28">
    <w:p w14:paraId="1AEDC9EC" w14:textId="7C64E05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Comité des droits de l’homme,</w:t>
      </w:r>
      <w:r w:rsidRPr="004522EF">
        <w:rPr>
          <w:i/>
          <w:iCs/>
        </w:rPr>
        <w:t xml:space="preserve"> Liste de points concernant le sixième rapport périodique du Maroc, Additif Réponses du Maroc à la liste de points</w:t>
      </w:r>
      <w:r>
        <w:t>,</w:t>
      </w:r>
      <w:r w:rsidRPr="0077273E">
        <w:t xml:space="preserve"> </w:t>
      </w:r>
      <w:r>
        <w:t>(ci-après « </w:t>
      </w:r>
      <w:r w:rsidRPr="004522EF">
        <w:rPr>
          <w:i/>
          <w:iCs/>
        </w:rPr>
        <w:t>Réponses du Maroc à la liste de points</w:t>
      </w:r>
      <w:r>
        <w:rPr>
          <w:i/>
          <w:iCs/>
        </w:rPr>
        <w:t> »</w:t>
      </w:r>
      <w:r>
        <w:t>),</w:t>
      </w:r>
      <w:r w:rsidRPr="004522EF">
        <w:t xml:space="preserve"> </w:t>
      </w:r>
      <w:r>
        <w:t>CCPR/C/MAR/Q/6/Add.1, 10 août 2016, para. 80.</w:t>
      </w:r>
    </w:p>
  </w:footnote>
  <w:footnote w:id="29">
    <w:p w14:paraId="705F260B" w14:textId="44FFCEF6"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E332A4">
        <w:rPr>
          <w:rStyle w:val="FootnoteReference"/>
          <w:i/>
          <w:iCs/>
          <w:vertAlign w:val="baseline"/>
        </w:rPr>
        <w:t>Dahir</w:t>
      </w:r>
      <w:r w:rsidRPr="004522EF">
        <w:rPr>
          <w:rStyle w:val="FootnoteReference"/>
          <w:vertAlign w:val="baseline"/>
        </w:rPr>
        <w:t xml:space="preserve"> du 11 novembre 1974 portant loi 1-74-467 du 26 </w:t>
      </w:r>
      <w:r w:rsidRPr="000B26C3">
        <w:rPr>
          <w:rStyle w:val="FootnoteReference"/>
          <w:i/>
          <w:iCs/>
          <w:vertAlign w:val="baseline"/>
        </w:rPr>
        <w:t>chaoual</w:t>
      </w:r>
      <w:r w:rsidRPr="004522EF">
        <w:rPr>
          <w:rStyle w:val="FootnoteReference"/>
          <w:vertAlign w:val="baseline"/>
        </w:rPr>
        <w:t xml:space="preserve"> 1394 (11 novembre 1974) formant statut de la magistrature, article 5.</w:t>
      </w:r>
    </w:p>
  </w:footnote>
  <w:footnote w:id="30">
    <w:p w14:paraId="0D435E3F" w14:textId="542CDE64" w:rsidR="005F2C66" w:rsidRPr="0077273E" w:rsidRDefault="005F2C66" w:rsidP="00E332A4">
      <w:pPr>
        <w:pStyle w:val="NBP"/>
        <w:tabs>
          <w:tab w:val="left" w:pos="284"/>
        </w:tabs>
        <w:ind w:left="284" w:hanging="284"/>
      </w:pPr>
      <w:r w:rsidRPr="0077273E">
        <w:rPr>
          <w:rStyle w:val="FootnoteReference"/>
        </w:rPr>
        <w:footnoteRef/>
      </w:r>
      <w:r>
        <w:t xml:space="preserve"> </w:t>
      </w:r>
      <w:r>
        <w:tab/>
      </w:r>
      <w:r w:rsidRPr="0077273E">
        <w:t xml:space="preserve">Alkarama, </w:t>
      </w:r>
      <w:r w:rsidRPr="00FF6F4F">
        <w:rPr>
          <w:i/>
          <w:iCs/>
        </w:rPr>
        <w:t>Maroc : L’affaire du juge Mohamed Anbar, magistrat à la Cour de cassation, portée devant l’ONU</w:t>
      </w:r>
      <w:r>
        <w:t>, 16 juillet 2015,</w:t>
      </w:r>
      <w:r w:rsidRPr="004522EF">
        <w:t xml:space="preserve"> </w:t>
      </w:r>
      <w:hyperlink r:id="rId9" w:history="1">
        <w:r w:rsidRPr="00FC435F">
          <w:rPr>
            <w:rStyle w:val="Hyperlink"/>
          </w:rPr>
          <w:t>http://fr.alkarama.org/component/k2/item/1921-maroc-l-affaire-du-juge-mohamed-anbar-magistrat-a-la-cour-de-cassation-portee-devant-l-onu?Itemid</w:t>
        </w:r>
      </w:hyperlink>
      <w:r w:rsidRPr="004522EF">
        <w:t>=</w:t>
      </w:r>
      <w:r>
        <w:t xml:space="preserve"> (consulté le 19 septembre 2016).</w:t>
      </w:r>
    </w:p>
  </w:footnote>
  <w:footnote w:id="31">
    <w:p w14:paraId="2529E0B7" w14:textId="31BECDB3" w:rsidR="005F2C66" w:rsidRPr="0077273E" w:rsidRDefault="005F2C66" w:rsidP="00E332A4">
      <w:pPr>
        <w:pStyle w:val="NBP"/>
        <w:tabs>
          <w:tab w:val="left" w:pos="284"/>
        </w:tabs>
        <w:ind w:left="284" w:hanging="284"/>
        <w:rPr>
          <w:rStyle w:val="FootnoteReference"/>
          <w:vertAlign w:val="baseline"/>
        </w:rPr>
      </w:pPr>
      <w:r w:rsidRPr="0077273E">
        <w:rPr>
          <w:rStyle w:val="FootnoteReference"/>
        </w:rPr>
        <w:footnoteRef/>
      </w:r>
      <w:r w:rsidRPr="0077273E">
        <w:rPr>
          <w:rStyle w:val="FootnoteReference"/>
          <w:vertAlign w:val="baseline"/>
        </w:rPr>
        <w:t xml:space="preserve"> </w:t>
      </w:r>
      <w:r>
        <w:tab/>
      </w:r>
      <w:r w:rsidRPr="00D85404">
        <w:rPr>
          <w:i/>
          <w:iCs/>
        </w:rPr>
        <w:t>Sixième rapp</w:t>
      </w:r>
      <w:r>
        <w:rPr>
          <w:i/>
          <w:iCs/>
        </w:rPr>
        <w:t xml:space="preserve">ort périodique de l’Etat partie, op.cit. </w:t>
      </w:r>
      <w:r w:rsidRPr="0077273E">
        <w:rPr>
          <w:rStyle w:val="FootnoteReference"/>
          <w:vertAlign w:val="baseline"/>
        </w:rPr>
        <w:t>para</w:t>
      </w:r>
      <w:r>
        <w:t>s</w:t>
      </w:r>
      <w:r w:rsidRPr="0077273E">
        <w:rPr>
          <w:rStyle w:val="FootnoteReference"/>
          <w:vertAlign w:val="baseline"/>
        </w:rPr>
        <w:t>. 148 à 151</w:t>
      </w:r>
      <w:r>
        <w:t>.</w:t>
      </w:r>
    </w:p>
  </w:footnote>
  <w:footnote w:id="32">
    <w:p w14:paraId="43471F9A" w14:textId="42255775"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 xml:space="preserve">., </w:t>
      </w:r>
      <w:r w:rsidRPr="0077273E">
        <w:t>para. 14</w:t>
      </w:r>
      <w:r>
        <w:t>.</w:t>
      </w:r>
    </w:p>
  </w:footnote>
  <w:footnote w:id="33">
    <w:p w14:paraId="2C17C4AC" w14:textId="2D98FB2C"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 xml:space="preserve">, </w:t>
      </w:r>
      <w:r w:rsidRPr="00D85404">
        <w:rPr>
          <w:i/>
          <w:iCs/>
        </w:rPr>
        <w:t>op.cit.</w:t>
      </w:r>
      <w:r>
        <w:t xml:space="preserve">, </w:t>
      </w:r>
      <w:r w:rsidRPr="0077273E">
        <w:t>para. 56.</w:t>
      </w:r>
    </w:p>
  </w:footnote>
  <w:footnote w:id="34">
    <w:p w14:paraId="32152BE7" w14:textId="60E88E64" w:rsidR="005F2C66" w:rsidRPr="0077273E" w:rsidRDefault="005F2C66" w:rsidP="00E332A4">
      <w:pPr>
        <w:pStyle w:val="NBP"/>
        <w:tabs>
          <w:tab w:val="left" w:pos="284"/>
        </w:tabs>
        <w:ind w:left="284" w:hanging="284"/>
        <w:rPr>
          <w:rStyle w:val="FootnoteReference"/>
          <w:vertAlign w:val="baseline"/>
        </w:rPr>
      </w:pPr>
      <w:r w:rsidRPr="0077273E">
        <w:rPr>
          <w:rStyle w:val="FootnoteReference"/>
        </w:rPr>
        <w:footnoteRef/>
      </w:r>
      <w:r>
        <w:t xml:space="preserve"> </w:t>
      </w:r>
      <w:r>
        <w:tab/>
      </w:r>
      <w:r w:rsidRPr="0077273E">
        <w:rPr>
          <w:rStyle w:val="FootnoteReference"/>
          <w:vertAlign w:val="baseline"/>
        </w:rPr>
        <w:t xml:space="preserve">Projet de loi modifiant le Code de procédure pénale, </w:t>
      </w:r>
      <w:hyperlink r:id="rId10" w:history="1">
        <w:r w:rsidRPr="0077273E">
          <w:rPr>
            <w:rStyle w:val="FootnoteReference"/>
            <w:vertAlign w:val="baseline"/>
          </w:rPr>
          <w:t>http://www.medias24.com/downloadsfils/documents/08-05-2014%20Projet_de_code_de_procedure_penale.pdf</w:t>
        </w:r>
      </w:hyperlink>
      <w:r w:rsidRPr="0077273E">
        <w:rPr>
          <w:rStyle w:val="FootnoteReference"/>
          <w:vertAlign w:val="baseline"/>
        </w:rPr>
        <w:t>, disponible en arabe (consulté le 2 septembre 2016).</w:t>
      </w:r>
    </w:p>
  </w:footnote>
  <w:footnote w:id="35">
    <w:p w14:paraId="3D66A0D9" w14:textId="4FF9D870"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 xml:space="preserve">Comité des droits de l’homme, </w:t>
      </w:r>
      <w:r w:rsidRPr="0077273E">
        <w:rPr>
          <w:i/>
          <w:iCs/>
          <w:lang w:val="fr-FR"/>
        </w:rPr>
        <w:t>Bondar c. Ouzbékistan</w:t>
      </w:r>
      <w:r w:rsidRPr="0077273E">
        <w:rPr>
          <w:lang w:val="fr-FR"/>
        </w:rPr>
        <w:t xml:space="preserve">, communication n° 1769/2008, </w:t>
      </w:r>
      <w:r>
        <w:t>25 mars</w:t>
      </w:r>
      <w:r w:rsidRPr="00D85404">
        <w:t xml:space="preserve"> 2011, </w:t>
      </w:r>
      <w:r w:rsidRPr="0077273E">
        <w:rPr>
          <w:lang w:val="fr-FR"/>
        </w:rPr>
        <w:t>CCPR/C/101/D/1769/2008</w:t>
      </w:r>
      <w:r>
        <w:rPr>
          <w:lang w:val="fr-FR"/>
        </w:rPr>
        <w:t>, para. 7.4.</w:t>
      </w:r>
    </w:p>
  </w:footnote>
  <w:footnote w:id="36">
    <w:p w14:paraId="25356EA4" w14:textId="27CE6EEF"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D85404">
        <w:rPr>
          <w:i/>
          <w:iCs/>
        </w:rPr>
        <w:t>Sixième rapp</w:t>
      </w:r>
      <w:r>
        <w:rPr>
          <w:i/>
          <w:iCs/>
        </w:rPr>
        <w:t>ort périodique de l’Etat partie, op.cit.</w:t>
      </w:r>
      <w:r>
        <w:rPr>
          <w:lang w:val="fr-FR"/>
        </w:rPr>
        <w:t>, para. 148</w:t>
      </w:r>
    </w:p>
  </w:footnote>
  <w:footnote w:id="37">
    <w:p w14:paraId="0DE250D7" w14:textId="6337D605"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D85404">
        <w:rPr>
          <w:i/>
          <w:iCs/>
          <w:lang w:val="fr-FR"/>
        </w:rPr>
        <w:t>Rapport du Rapporteur spécial sur la torture et autres peines ou traitements cruels, inhumains ou dégradants : mission au Maroc</w:t>
      </w:r>
      <w:r w:rsidRPr="00D85404">
        <w:t xml:space="preserve"> </w:t>
      </w:r>
      <w:r>
        <w:t>(ci-après « </w:t>
      </w:r>
      <w:r w:rsidRPr="00F60942">
        <w:rPr>
          <w:i/>
          <w:iCs/>
        </w:rPr>
        <w:t>Rapport du Rapporteur spécial sur la torture, Mission au</w:t>
      </w:r>
      <w:r>
        <w:t xml:space="preserve"> </w:t>
      </w:r>
      <w:r w:rsidRPr="00F60942">
        <w:rPr>
          <w:i/>
          <w:iCs/>
        </w:rPr>
        <w:t>Maroc</w:t>
      </w:r>
      <w:r>
        <w:t xml:space="preserve"> ») </w:t>
      </w:r>
      <w:r w:rsidRPr="00D85404">
        <w:rPr>
          <w:lang w:val="fr-FR"/>
        </w:rPr>
        <w:t>28 février 2013</w:t>
      </w:r>
      <w:r>
        <w:rPr>
          <w:lang w:val="fr-FR"/>
        </w:rPr>
        <w:t>,</w:t>
      </w:r>
      <w:r w:rsidRPr="0077273E">
        <w:rPr>
          <w:lang w:val="fr-FR"/>
        </w:rPr>
        <w:t xml:space="preserve"> A/HRC/22/53/Add.2, para. 26</w:t>
      </w:r>
      <w:r>
        <w:rPr>
          <w:lang w:val="fr-FR"/>
        </w:rPr>
        <w:t>.</w:t>
      </w:r>
    </w:p>
  </w:footnote>
  <w:footnote w:id="38">
    <w:p w14:paraId="3E43F19E" w14:textId="66624682"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t xml:space="preserve">Groupe de Travail des Nations Unies sur la détention arbitraire, </w:t>
      </w:r>
      <w:r w:rsidRPr="00D85404">
        <w:rPr>
          <w:i/>
          <w:iCs/>
          <w:lang w:val="fr-FR"/>
        </w:rPr>
        <w:t xml:space="preserve">Rapport </w:t>
      </w:r>
      <w:r w:rsidRPr="00D85404">
        <w:rPr>
          <w:i/>
          <w:iCs/>
        </w:rPr>
        <w:t>du Groupe de travail sur la détention arbitraire : mission au Maroc</w:t>
      </w:r>
      <w:r w:rsidRPr="0077273E">
        <w:t xml:space="preserve"> </w:t>
      </w:r>
      <w:r>
        <w:t>(ci-après « </w:t>
      </w:r>
      <w:r w:rsidRPr="00D85404">
        <w:rPr>
          <w:i/>
          <w:iCs/>
          <w:lang w:val="fr-FR"/>
        </w:rPr>
        <w:t xml:space="preserve">Rapport </w:t>
      </w:r>
      <w:r w:rsidRPr="00D85404">
        <w:rPr>
          <w:i/>
          <w:iCs/>
        </w:rPr>
        <w:t>du Groupe de travail sur la détention arbitraire : mission au Maroc</w:t>
      </w:r>
      <w:r>
        <w:rPr>
          <w:i/>
          <w:iCs/>
        </w:rPr>
        <w:t> </w:t>
      </w:r>
      <w:r w:rsidRPr="00931039">
        <w:t>»)</w:t>
      </w:r>
      <w:r>
        <w:t>,</w:t>
      </w:r>
      <w:r w:rsidRPr="00931039">
        <w:t xml:space="preserve"> 4 </w:t>
      </w:r>
      <w:r>
        <w:t xml:space="preserve">août 2014, </w:t>
      </w:r>
      <w:r w:rsidRPr="0077273E">
        <w:t>A/HRC/27/48/Add.5, para. 45</w:t>
      </w:r>
      <w:r>
        <w:t>.</w:t>
      </w:r>
    </w:p>
  </w:footnote>
  <w:footnote w:id="39">
    <w:p w14:paraId="7BDBF132" w14:textId="3E52DDF7"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 xml:space="preserve">Conseil National des Droits de l’Homme, </w:t>
      </w:r>
      <w:r w:rsidRPr="00D85404">
        <w:rPr>
          <w:i/>
          <w:iCs/>
        </w:rPr>
        <w:t>Les activités médico-légales au Maroc – La nécessité d’une réforme globale</w:t>
      </w:r>
      <w:r w:rsidRPr="0077273E">
        <w:t>, juin 2013, p. 22</w:t>
      </w:r>
      <w:r>
        <w:t>.</w:t>
      </w:r>
    </w:p>
  </w:footnote>
  <w:footnote w:id="40">
    <w:p w14:paraId="3FC10898" w14:textId="0C1A145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rPr>
          <w:i/>
        </w:rPr>
        <w:t>Ibid</w:t>
      </w:r>
      <w:r w:rsidRPr="0077273E">
        <w:t>, p. 52.</w:t>
      </w:r>
    </w:p>
  </w:footnote>
  <w:footnote w:id="41">
    <w:p w14:paraId="6B738BC1" w14:textId="5F8C0023" w:rsidR="005F2C66" w:rsidRPr="0077273E" w:rsidRDefault="005F2C66" w:rsidP="00E332A4">
      <w:pPr>
        <w:pStyle w:val="NBP"/>
        <w:tabs>
          <w:tab w:val="left" w:pos="284"/>
        </w:tabs>
        <w:ind w:left="284" w:hanging="284"/>
      </w:pPr>
      <w:r w:rsidRPr="0077273E">
        <w:rPr>
          <w:rStyle w:val="FootnoteReference"/>
        </w:rPr>
        <w:footnoteRef/>
      </w:r>
      <w:r>
        <w:t xml:space="preserve"> </w:t>
      </w:r>
      <w:r>
        <w:tab/>
      </w:r>
      <w:r w:rsidRPr="0077273E">
        <w:t>Charte de la réforme du système judiciaire, juillet 2013, 6</w:t>
      </w:r>
      <w:r w:rsidRPr="0077273E">
        <w:rPr>
          <w:vertAlign w:val="superscript"/>
        </w:rPr>
        <w:t>e</w:t>
      </w:r>
      <w:r w:rsidRPr="0077273E">
        <w:t xml:space="preserve"> sous-objectif, al. 4, </w:t>
      </w:r>
      <w:hyperlink r:id="rId11" w:history="1">
        <w:r w:rsidRPr="0077273E">
          <w:rPr>
            <w:rStyle w:val="Hyperlink"/>
          </w:rPr>
          <w:t>http://www.forumedsp.org/xwiki/wiki/mediterranee/download/Ressources/Charte+de+la+r%C3%A9forme+du+syst%C3%A8me+judiciaire+%2D+Maroc+%2D+2013/Charte_Reforme_justiceFr.pdf</w:t>
        </w:r>
      </w:hyperlink>
      <w:r w:rsidRPr="0077273E">
        <w:t xml:space="preserve"> (consulté le 30 août 2016)</w:t>
      </w:r>
      <w:r>
        <w:t>.</w:t>
      </w:r>
    </w:p>
  </w:footnote>
  <w:footnote w:id="42">
    <w:p w14:paraId="4AC55177" w14:textId="07C61B3B"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F60942">
        <w:rPr>
          <w:i/>
          <w:iCs/>
        </w:rPr>
        <w:t>Rapport du Rapporteur spécial sur la torture, Mission au</w:t>
      </w:r>
      <w:r>
        <w:t xml:space="preserve"> </w:t>
      </w:r>
      <w:r w:rsidRPr="00F60942">
        <w:rPr>
          <w:i/>
          <w:iCs/>
        </w:rPr>
        <w:t>Maroc</w:t>
      </w:r>
      <w:r w:rsidRPr="0077273E">
        <w:rPr>
          <w:lang w:val="fr-FR"/>
        </w:rPr>
        <w:t>,</w:t>
      </w:r>
      <w:r>
        <w:rPr>
          <w:lang w:val="fr-FR"/>
        </w:rPr>
        <w:t xml:space="preserve"> </w:t>
      </w:r>
      <w:r w:rsidRPr="004B5DC6">
        <w:rPr>
          <w:i/>
          <w:iCs/>
          <w:lang w:val="fr-FR"/>
        </w:rPr>
        <w:t>op.cit.</w:t>
      </w:r>
      <w:r w:rsidRPr="0077273E">
        <w:rPr>
          <w:lang w:val="fr-FR"/>
        </w:rPr>
        <w:t>, para. 35</w:t>
      </w:r>
      <w:r>
        <w:rPr>
          <w:lang w:val="fr-FR"/>
        </w:rPr>
        <w:t>.</w:t>
      </w:r>
    </w:p>
  </w:footnote>
  <w:footnote w:id="43">
    <w:p w14:paraId="0ED320DE" w14:textId="01B7EB2F"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Manuel pour enquêter efficacement sur la torture et autres peines ou traitements cruels, inhumains ou dégradants, para. 104, </w:t>
      </w:r>
      <w:hyperlink r:id="rId12" w:history="1">
        <w:r w:rsidRPr="0077273E">
          <w:rPr>
            <w:rStyle w:val="Hyperlink"/>
          </w:rPr>
          <w:t>http://www.refworld.org/cgi-bin/texis/vtx/rwmain/opendocpdf.pdf?reldoc=y&amp;docid=50c83f6d2</w:t>
        </w:r>
      </w:hyperlink>
      <w:r w:rsidRPr="0077273E">
        <w:t xml:space="preserve"> (consulté le 29 août 2016)</w:t>
      </w:r>
      <w:r>
        <w:t>.</w:t>
      </w:r>
    </w:p>
  </w:footnote>
  <w:footnote w:id="44">
    <w:p w14:paraId="56D5B627" w14:textId="2E8B7A5F" w:rsidR="005F2C66" w:rsidRPr="00214E10" w:rsidRDefault="005F2C66" w:rsidP="00E332A4">
      <w:pPr>
        <w:pStyle w:val="NBP"/>
        <w:tabs>
          <w:tab w:val="left" w:pos="284"/>
        </w:tabs>
        <w:ind w:left="284" w:hanging="284"/>
        <w:rPr>
          <w:lang w:val="en-GB"/>
        </w:rPr>
      </w:pPr>
      <w:r w:rsidRPr="0077273E">
        <w:rPr>
          <w:rStyle w:val="FootnoteReference"/>
        </w:rPr>
        <w:footnoteRef/>
      </w:r>
      <w:r w:rsidRPr="0077273E">
        <w:t xml:space="preserve"> </w:t>
      </w:r>
      <w:r>
        <w:tab/>
      </w:r>
      <w:r w:rsidRPr="00D85404">
        <w:rPr>
          <w:i/>
          <w:iCs/>
          <w:lang w:val="fr-FR"/>
        </w:rPr>
        <w:t xml:space="preserve">Rapport </w:t>
      </w:r>
      <w:r w:rsidRPr="00D85404">
        <w:rPr>
          <w:i/>
          <w:iCs/>
        </w:rPr>
        <w:t>du Groupe de travail sur la détention arbitraire : mission au Maroc</w:t>
      </w:r>
      <w:r>
        <w:rPr>
          <w:i/>
          <w:iCs/>
        </w:rPr>
        <w:t>,</w:t>
      </w:r>
      <w:r w:rsidRPr="0077273E">
        <w:t xml:space="preserve"> </w:t>
      </w:r>
      <w:r w:rsidRPr="004B5DC6">
        <w:rPr>
          <w:i/>
          <w:iCs/>
        </w:rPr>
        <w:t>op.cit.</w:t>
      </w:r>
      <w:r>
        <w:t xml:space="preserve">, </w:t>
      </w:r>
      <w:r w:rsidRPr="0077273E">
        <w:t xml:space="preserve">para. </w:t>
      </w:r>
      <w:r w:rsidRPr="00214E10">
        <w:rPr>
          <w:lang w:val="en-GB"/>
        </w:rPr>
        <w:t>47</w:t>
      </w:r>
    </w:p>
  </w:footnote>
  <w:footnote w:id="45">
    <w:p w14:paraId="5FB9CDAF" w14:textId="51777FA7" w:rsidR="005F2C66" w:rsidRPr="00214E10" w:rsidRDefault="005F2C66" w:rsidP="00E332A4">
      <w:pPr>
        <w:pStyle w:val="NBP"/>
        <w:tabs>
          <w:tab w:val="left" w:pos="284"/>
        </w:tabs>
        <w:ind w:left="284" w:hanging="284"/>
        <w:rPr>
          <w:lang w:val="en-GB"/>
        </w:rPr>
      </w:pPr>
      <w:r w:rsidRPr="0077273E">
        <w:rPr>
          <w:rStyle w:val="FootnoteReference"/>
        </w:rPr>
        <w:footnoteRef/>
      </w:r>
      <w:r w:rsidRPr="00214E10">
        <w:rPr>
          <w:lang w:val="en-GB"/>
        </w:rPr>
        <w:t xml:space="preserve"> </w:t>
      </w:r>
      <w:r w:rsidRPr="00214E10">
        <w:rPr>
          <w:lang w:val="en-GB"/>
        </w:rPr>
        <w:tab/>
        <w:t xml:space="preserve">Institute for Criminal Policy Research, in Prison Studies, </w:t>
      </w:r>
      <w:hyperlink r:id="rId13" w:history="1">
        <w:r w:rsidRPr="00214E10">
          <w:rPr>
            <w:rStyle w:val="Hyperlink"/>
            <w:lang w:val="en-GB"/>
          </w:rPr>
          <w:t>http://www.prisonstudies.org/country/morocco</w:t>
        </w:r>
      </w:hyperlink>
      <w:r w:rsidRPr="00214E10">
        <w:rPr>
          <w:lang w:val="en-GB"/>
        </w:rPr>
        <w:t xml:space="preserve"> (consulté le 28 avril 2016).</w:t>
      </w:r>
    </w:p>
  </w:footnote>
  <w:footnote w:id="46">
    <w:p w14:paraId="76149268" w14:textId="028824DB"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4B5DC6">
        <w:rPr>
          <w:i/>
          <w:iCs/>
          <w:lang w:val="fr-FR"/>
        </w:rPr>
        <w:t xml:space="preserve">Rapport </w:t>
      </w:r>
      <w:r w:rsidRPr="004B5DC6">
        <w:rPr>
          <w:i/>
          <w:iCs/>
        </w:rPr>
        <w:t xml:space="preserve">du Groupe de travail sur la détention arbitraire : mission au Maroc, </w:t>
      </w:r>
      <w:r>
        <w:rPr>
          <w:i/>
          <w:iCs/>
        </w:rPr>
        <w:t>op.cit.</w:t>
      </w:r>
      <w:r w:rsidRPr="004B5DC6">
        <w:rPr>
          <w:i/>
          <w:iCs/>
        </w:rPr>
        <w:t xml:space="preserve">, </w:t>
      </w:r>
      <w:r w:rsidRPr="000B26C3">
        <w:t>para. 49</w:t>
      </w:r>
      <w:r>
        <w:t>.</w:t>
      </w:r>
    </w:p>
  </w:footnote>
  <w:footnote w:id="47">
    <w:p w14:paraId="0E4185D6" w14:textId="3BFA99C9"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4B5DC6">
        <w:rPr>
          <w:i/>
          <w:iCs/>
          <w:lang w:val="fr-FR"/>
        </w:rPr>
        <w:t xml:space="preserve">Rapport </w:t>
      </w:r>
      <w:r w:rsidRPr="004B5DC6">
        <w:rPr>
          <w:i/>
          <w:iCs/>
        </w:rPr>
        <w:t xml:space="preserve">du Groupe de travail sur la détention arbitraire : mission au Maroc, </w:t>
      </w:r>
      <w:r>
        <w:rPr>
          <w:i/>
          <w:iCs/>
        </w:rPr>
        <w:t>op.cit.</w:t>
      </w:r>
      <w:r w:rsidRPr="004B5DC6">
        <w:rPr>
          <w:i/>
          <w:iCs/>
        </w:rPr>
        <w:t xml:space="preserve">, </w:t>
      </w:r>
      <w:r w:rsidRPr="000B26C3">
        <w:t>para. 52</w:t>
      </w:r>
      <w:r>
        <w:t>.</w:t>
      </w:r>
    </w:p>
  </w:footnote>
  <w:footnote w:id="48">
    <w:p w14:paraId="6806238A" w14:textId="17EA7EA7"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Article 293 du Code de procédure pénale.</w:t>
      </w:r>
    </w:p>
  </w:footnote>
  <w:footnote w:id="49">
    <w:p w14:paraId="787E9291" w14:textId="1A0993D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 121</w:t>
      </w:r>
      <w:r>
        <w:t>.</w:t>
      </w:r>
    </w:p>
  </w:footnote>
  <w:footnote w:id="50">
    <w:p w14:paraId="44712CD7" w14:textId="7C79DB19"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B5DC6">
        <w:rPr>
          <w:i/>
          <w:iCs/>
        </w:rPr>
        <w:t>Rapport du Groupe de travail sur la détention arbitraire : mission au Maroc, op.cit</w:t>
      </w:r>
      <w:r>
        <w:t xml:space="preserve">., </w:t>
      </w:r>
      <w:r w:rsidRPr="0077273E">
        <w:t>para 31.</w:t>
      </w:r>
    </w:p>
  </w:footnote>
  <w:footnote w:id="51">
    <w:p w14:paraId="44D21A4F" w14:textId="69D7442B"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4B5DC6">
        <w:rPr>
          <w:i/>
          <w:iCs/>
          <w:lang w:val="fr-FR"/>
        </w:rPr>
        <w:t>Idem</w:t>
      </w:r>
      <w:r w:rsidRPr="0077273E">
        <w:t>, para. 35</w:t>
      </w:r>
      <w:r>
        <w:t>.</w:t>
      </w:r>
    </w:p>
  </w:footnote>
  <w:footnote w:id="52">
    <w:p w14:paraId="4B48193F" w14:textId="20EBF567" w:rsidR="005F2C66" w:rsidRPr="0077273E" w:rsidRDefault="005F2C66" w:rsidP="00E332A4">
      <w:pPr>
        <w:pStyle w:val="NBP"/>
        <w:tabs>
          <w:tab w:val="left" w:pos="284"/>
        </w:tabs>
        <w:ind w:left="284" w:hanging="284"/>
      </w:pPr>
      <w:r w:rsidRPr="0077273E">
        <w:rPr>
          <w:rStyle w:val="FootnoteReference"/>
        </w:rPr>
        <w:footnoteRef/>
      </w:r>
      <w:r w:rsidRPr="0077273E">
        <w:t xml:space="preserve"> Alkarama, </w:t>
      </w:r>
      <w:r w:rsidRPr="00E12E87">
        <w:rPr>
          <w:i/>
          <w:iCs/>
        </w:rPr>
        <w:t>Maroc : l’ONU demande aux autorités de libérer Abdessamed Bettar</w:t>
      </w:r>
      <w:r w:rsidRPr="0077273E">
        <w:t>, 11 octobre 2013</w:t>
      </w:r>
      <w:r>
        <w:t xml:space="preserve">, </w:t>
      </w:r>
      <w:hyperlink r:id="rId14" w:history="1">
        <w:r w:rsidRPr="00FC435F">
          <w:rPr>
            <w:rStyle w:val="Hyperlink"/>
          </w:rPr>
          <w:t>http://fr.alkarama.org/component/k2/item/1326-maroc-l-onu-demande-aux-autorites-de-liberer-abdessamad-bettar?Itemid</w:t>
        </w:r>
      </w:hyperlink>
      <w:r w:rsidRPr="004B5DC6">
        <w:t>=</w:t>
      </w:r>
      <w:r>
        <w:t xml:space="preserve"> (consulté le 19 septembre 2016).</w:t>
      </w:r>
    </w:p>
  </w:footnote>
  <w:footnote w:id="53">
    <w:p w14:paraId="0945996C" w14:textId="43C11BC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rsidRPr="0077273E">
        <w:t>, para. 13</w:t>
      </w:r>
      <w:r>
        <w:t>.</w:t>
      </w:r>
    </w:p>
  </w:footnote>
  <w:footnote w:id="54">
    <w:p w14:paraId="0E448D96" w14:textId="22A922C9"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 xml:space="preserve">, </w:t>
      </w:r>
      <w:r w:rsidRPr="00D85404">
        <w:rPr>
          <w:i/>
          <w:iCs/>
        </w:rPr>
        <w:t>op.cit.</w:t>
      </w:r>
      <w:r>
        <w:t>,</w:t>
      </w:r>
      <w:r w:rsidRPr="0077273E">
        <w:t xml:space="preserve"> para</w:t>
      </w:r>
      <w:r>
        <w:t>s</w:t>
      </w:r>
      <w:r w:rsidRPr="0077273E">
        <w:t>. 47 (a) et 48</w:t>
      </w:r>
      <w:r>
        <w:t>.</w:t>
      </w:r>
    </w:p>
  </w:footnote>
  <w:footnote w:id="55">
    <w:p w14:paraId="79D906D0" w14:textId="58DE5A7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Comité des droits de l’homme, </w:t>
      </w:r>
      <w:r w:rsidRPr="004B5DC6">
        <w:rPr>
          <w:i/>
          <w:iCs/>
        </w:rPr>
        <w:t>Observation générale n° 32, op.cit.</w:t>
      </w:r>
      <w:r>
        <w:t xml:space="preserve"> </w:t>
      </w:r>
      <w:r w:rsidRPr="0077273E">
        <w:t>para. 22.</w:t>
      </w:r>
    </w:p>
  </w:footnote>
  <w:footnote w:id="56">
    <w:p w14:paraId="15E76130" w14:textId="6541DD26"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 xml:space="preserve">Comité contre la torture, </w:t>
      </w:r>
      <w:r w:rsidRPr="004B5DC6">
        <w:rPr>
          <w:i/>
          <w:iCs/>
        </w:rPr>
        <w:t>Observations finales sur le Pérou</w:t>
      </w:r>
      <w:r w:rsidRPr="0077273E">
        <w:t>,</w:t>
      </w:r>
      <w:r w:rsidRPr="004B5DC6">
        <w:t xml:space="preserve"> </w:t>
      </w:r>
      <w:r>
        <w:t>25 juillet 2006,</w:t>
      </w:r>
      <w:r w:rsidRPr="0077273E">
        <w:t xml:space="preserve"> CAT/C/PER/CO/4, para. 16 (a) ; Rapporteur spécial sur la torture,</w:t>
      </w:r>
      <w:r w:rsidRPr="004B5DC6">
        <w:t xml:space="preserve"> </w:t>
      </w:r>
      <w:r w:rsidRPr="004B5DC6">
        <w:rPr>
          <w:i/>
          <w:iCs/>
        </w:rPr>
        <w:t>Rapport sur la question de la torture et des autres traitements</w:t>
      </w:r>
      <w:r>
        <w:rPr>
          <w:i/>
          <w:iCs/>
        </w:rPr>
        <w:t xml:space="preserve"> </w:t>
      </w:r>
      <w:r w:rsidRPr="004B5DC6">
        <w:rPr>
          <w:i/>
          <w:iCs/>
        </w:rPr>
        <w:t>cruels, inhumains et dégradants</w:t>
      </w:r>
      <w:r>
        <w:t xml:space="preserve">, 3 juillet 2001,  </w:t>
      </w:r>
      <w:r w:rsidRPr="0077273E">
        <w:t>A/56/156, para. 39 (j).</w:t>
      </w:r>
    </w:p>
  </w:footnote>
  <w:footnote w:id="57">
    <w:p w14:paraId="68881938" w14:textId="2ACDEB0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E332A4">
        <w:rPr>
          <w:i/>
          <w:iCs/>
        </w:rPr>
        <w:t>Dahir</w:t>
      </w:r>
      <w:r w:rsidRPr="0077273E">
        <w:t xml:space="preserve"> n° 1-56-270 du 10 novembre 1956 amendé par le dahir n° 1-58-035 du 13 mai 1958 formant Code de justice militaire.</w:t>
      </w:r>
    </w:p>
  </w:footnote>
  <w:footnote w:id="58">
    <w:p w14:paraId="59E56DF9" w14:textId="38BF08F2"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rsidRPr="0077273E">
        <w:t xml:space="preserve">, </w:t>
      </w:r>
      <w:r>
        <w:t>para. 20.</w:t>
      </w:r>
    </w:p>
  </w:footnote>
  <w:footnote w:id="59">
    <w:p w14:paraId="6D27362F" w14:textId="13C700BC"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 xml:space="preserve">, </w:t>
      </w:r>
      <w:r w:rsidRPr="00D85404">
        <w:rPr>
          <w:i/>
          <w:iCs/>
        </w:rPr>
        <w:t>op.cit.</w:t>
      </w:r>
      <w:r>
        <w:t>,</w:t>
      </w:r>
      <w:r w:rsidRPr="0077273E">
        <w:t xml:space="preserve"> para. 80</w:t>
      </w:r>
      <w:r>
        <w:t>.</w:t>
      </w:r>
    </w:p>
  </w:footnote>
  <w:footnote w:id="60">
    <w:p w14:paraId="483C6EAE" w14:textId="5473F773"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0690C">
        <w:rPr>
          <w:i/>
          <w:iCs/>
          <w:lang w:val="fr-FR"/>
        </w:rPr>
        <w:t xml:space="preserve">Rapport </w:t>
      </w:r>
      <w:r w:rsidRPr="00D0690C">
        <w:rPr>
          <w:i/>
          <w:iCs/>
        </w:rPr>
        <w:t>du Groupe de travail sur la détention arbitraire : mission au Maroc, op.cit.</w:t>
      </w:r>
      <w:r w:rsidRPr="0077273E">
        <w:t>, para. 68.</w:t>
      </w:r>
    </w:p>
  </w:footnote>
  <w:footnote w:id="61">
    <w:p w14:paraId="516EF448" w14:textId="7FE8D7BB"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0B26C3">
        <w:rPr>
          <w:i/>
          <w:iCs/>
        </w:rPr>
        <w:t>I</w:t>
      </w:r>
      <w:r w:rsidRPr="0077273E">
        <w:rPr>
          <w:i/>
          <w:lang w:val="fr-FR"/>
        </w:rPr>
        <w:t>bid</w:t>
      </w:r>
      <w:r w:rsidRPr="0077273E">
        <w:rPr>
          <w:lang w:val="fr-FR"/>
        </w:rPr>
        <w:t>.</w:t>
      </w:r>
      <w:r w:rsidRPr="0077273E">
        <w:t>, para. 83 (z).</w:t>
      </w:r>
    </w:p>
  </w:footnote>
  <w:footnote w:id="62">
    <w:p w14:paraId="4A5E0A45" w14:textId="2A0B6B9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B5DC6">
        <w:rPr>
          <w:i/>
          <w:iCs/>
        </w:rPr>
        <w:t>Dahir</w:t>
      </w:r>
      <w:r w:rsidRPr="0077273E">
        <w:t xml:space="preserve"> n° 1-56-270 du 10 novembre 1956 amendé par le dahir n° 1-58-035 du 13 mai 1958 formant Code de justice militaire, article 4 al. 1.</w:t>
      </w:r>
    </w:p>
  </w:footnote>
  <w:footnote w:id="63">
    <w:p w14:paraId="23804BCA" w14:textId="132B6C48"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Loi n° 43-04 modifiant et complétant le Code pénal, promulguée par le dahir n° 1-06-20 du 15 moharrem 1427 (14 février 2006)</w:t>
      </w:r>
      <w:r>
        <w:rPr>
          <w:lang w:val="fr-FR"/>
        </w:rPr>
        <w:t>.</w:t>
      </w:r>
    </w:p>
  </w:footnote>
  <w:footnote w:id="64">
    <w:p w14:paraId="0BE83B3C" w14:textId="03E5BEC5"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Code pénal marocain, articles 231 à 231-8.</w:t>
      </w:r>
    </w:p>
  </w:footnote>
  <w:footnote w:id="65">
    <w:p w14:paraId="1567C40D" w14:textId="1FD434AB" w:rsidR="005F2C66" w:rsidRPr="0077273E" w:rsidRDefault="005F2C66" w:rsidP="00E332A4">
      <w:pPr>
        <w:pStyle w:val="NBP"/>
        <w:tabs>
          <w:tab w:val="left" w:pos="284"/>
        </w:tabs>
        <w:ind w:left="284" w:hanging="284"/>
        <w:rPr>
          <w:lang w:val="fr-FR"/>
        </w:rPr>
      </w:pPr>
      <w:r w:rsidRPr="0077273E">
        <w:rPr>
          <w:rStyle w:val="FootnoteReference"/>
        </w:rPr>
        <w:footnoteRef/>
      </w:r>
      <w:r>
        <w:rPr>
          <w:lang w:val="fr-FR"/>
        </w:rPr>
        <w:t xml:space="preserve"> </w:t>
      </w:r>
      <w:r>
        <w:rPr>
          <w:lang w:val="fr-FR"/>
        </w:rPr>
        <w:tab/>
      </w:r>
      <w:r w:rsidRPr="0077273E">
        <w:rPr>
          <w:lang w:val="fr-FR"/>
        </w:rPr>
        <w:t>Article 22 de la Constitution marocaine</w:t>
      </w:r>
      <w:r>
        <w:rPr>
          <w:lang w:val="fr-FR"/>
        </w:rPr>
        <w:t xml:space="preserve"> de 2011.</w:t>
      </w:r>
    </w:p>
  </w:footnote>
  <w:footnote w:id="66">
    <w:p w14:paraId="5CCDB777" w14:textId="10606D6E"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F60942">
        <w:rPr>
          <w:i/>
          <w:iCs/>
        </w:rPr>
        <w:t>Rapport du Rapporteur spécial sur la torture, Mission au</w:t>
      </w:r>
      <w:r>
        <w:t xml:space="preserve"> </w:t>
      </w:r>
      <w:r w:rsidRPr="00F60942">
        <w:rPr>
          <w:i/>
          <w:iCs/>
        </w:rPr>
        <w:t>Maroc</w:t>
      </w:r>
      <w:r w:rsidRPr="0077273E">
        <w:rPr>
          <w:lang w:val="fr-FR"/>
        </w:rPr>
        <w:t>,</w:t>
      </w:r>
      <w:r>
        <w:rPr>
          <w:lang w:val="fr-FR"/>
        </w:rPr>
        <w:t xml:space="preserve"> </w:t>
      </w:r>
      <w:r w:rsidRPr="004B5DC6">
        <w:rPr>
          <w:i/>
          <w:iCs/>
          <w:lang w:val="fr-FR"/>
        </w:rPr>
        <w:t>op.cit.</w:t>
      </w:r>
      <w:r w:rsidRPr="0077273E">
        <w:rPr>
          <w:lang w:val="fr-FR"/>
        </w:rPr>
        <w:t>, para. 10</w:t>
      </w:r>
      <w:r>
        <w:rPr>
          <w:lang w:val="fr-FR"/>
        </w:rPr>
        <w:t>.</w:t>
      </w:r>
    </w:p>
  </w:footnote>
  <w:footnote w:id="67">
    <w:p w14:paraId="0CE0BB5F" w14:textId="5E52D240" w:rsidR="005F2C66" w:rsidRPr="0077273E" w:rsidRDefault="005F2C66" w:rsidP="00E332A4">
      <w:pPr>
        <w:pStyle w:val="NBP"/>
        <w:tabs>
          <w:tab w:val="left" w:pos="284"/>
        </w:tabs>
        <w:ind w:left="284" w:hanging="284"/>
      </w:pPr>
      <w:r w:rsidRPr="0077273E">
        <w:rPr>
          <w:rStyle w:val="FootnoteReference"/>
        </w:rPr>
        <w:footnoteRef/>
      </w:r>
      <w:r w:rsidRPr="0077273E">
        <w:rPr>
          <w:lang w:val="fr-FR"/>
        </w:rPr>
        <w:t xml:space="preserve"> </w:t>
      </w:r>
      <w:r>
        <w:rPr>
          <w:lang w:val="fr-FR"/>
        </w:rPr>
        <w:tab/>
      </w:r>
      <w:r w:rsidRPr="00D0690C">
        <w:rPr>
          <w:i/>
          <w:iCs/>
          <w:lang w:val="fr-FR"/>
        </w:rPr>
        <w:t>Ibid.</w:t>
      </w:r>
      <w:r w:rsidRPr="0077273E">
        <w:rPr>
          <w:lang w:val="fr-FR"/>
        </w:rPr>
        <w:t xml:space="preserve">, para. </w:t>
      </w:r>
      <w:r w:rsidRPr="0077273E">
        <w:t>28</w:t>
      </w:r>
    </w:p>
  </w:footnote>
  <w:footnote w:id="68">
    <w:p w14:paraId="2480E74E" w14:textId="2A58D16B"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D85404">
        <w:rPr>
          <w:i/>
          <w:iCs/>
        </w:rPr>
        <w:t>Sixième rapp</w:t>
      </w:r>
      <w:r>
        <w:rPr>
          <w:i/>
          <w:iCs/>
        </w:rPr>
        <w:t>ort périodique de l’Etat partie, op.cit.</w:t>
      </w:r>
      <w:r w:rsidRPr="0077273E">
        <w:t xml:space="preserve">, </w:t>
      </w:r>
      <w:r w:rsidRPr="0077273E">
        <w:rPr>
          <w:lang w:val="fr-FR"/>
        </w:rPr>
        <w:t>para. 129 à 131</w:t>
      </w:r>
      <w:r>
        <w:rPr>
          <w:lang w:val="fr-FR"/>
        </w:rPr>
        <w:t>.</w:t>
      </w:r>
    </w:p>
  </w:footnote>
  <w:footnote w:id="69">
    <w:p w14:paraId="7F613231" w14:textId="2C66CC7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 xml:space="preserve">Comité des droits de l’homme, </w:t>
      </w:r>
      <w:r w:rsidRPr="00D0690C">
        <w:rPr>
          <w:i/>
          <w:iCs/>
        </w:rPr>
        <w:t>Observations finales du Comité contre la torture, quatrième examen périodique du Maroc</w:t>
      </w:r>
      <w:r w:rsidRPr="0077273E">
        <w:t xml:space="preserve">, </w:t>
      </w:r>
      <w:r>
        <w:t xml:space="preserve">21 décembre 2011, </w:t>
      </w:r>
      <w:r w:rsidRPr="0077273E">
        <w:t>CAT/C/MAR/CO/4, para. 5.</w:t>
      </w:r>
    </w:p>
  </w:footnote>
  <w:footnote w:id="70">
    <w:p w14:paraId="4ECF709F" w14:textId="33A60196"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rPr>
          <w:i/>
          <w:iCs/>
        </w:rPr>
        <w:tab/>
        <w:t>I</w:t>
      </w:r>
      <w:r w:rsidRPr="00D0690C">
        <w:rPr>
          <w:i/>
          <w:iCs/>
        </w:rPr>
        <w:t>bid</w:t>
      </w:r>
      <w:r w:rsidRPr="0077273E">
        <w:t>. para. 6</w:t>
      </w:r>
      <w:r>
        <w:t>.</w:t>
      </w:r>
    </w:p>
  </w:footnote>
  <w:footnote w:id="71">
    <w:p w14:paraId="7EB6145C" w14:textId="10277F4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F60942">
        <w:rPr>
          <w:i/>
          <w:iCs/>
        </w:rPr>
        <w:t>Sixième rapport périodique de l’Etat partie, op.cit.</w:t>
      </w:r>
      <w:r w:rsidRPr="00F60942">
        <w:t>, para</w:t>
      </w:r>
      <w:r>
        <w:t>s</w:t>
      </w:r>
      <w:r w:rsidRPr="00F60942">
        <w:t>. 154 et 159</w:t>
      </w:r>
      <w:r>
        <w:t>.</w:t>
      </w:r>
    </w:p>
  </w:footnote>
  <w:footnote w:id="72">
    <w:p w14:paraId="29927896" w14:textId="1957549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w:t>
      </w:r>
      <w:r w:rsidRPr="0077273E">
        <w:t>, para. 13</w:t>
      </w:r>
      <w:r>
        <w:t>.</w:t>
      </w:r>
    </w:p>
  </w:footnote>
  <w:footnote w:id="73">
    <w:p w14:paraId="58EF699F" w14:textId="46554F51"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8679D0">
        <w:t>Conseil national des droits de l'Homme</w:t>
      </w:r>
      <w:r>
        <w:t>, « </w:t>
      </w:r>
      <w:r w:rsidRPr="008679D0">
        <w:t>Les attributions du Conseil en matière de protection des droits de l’Homm</w:t>
      </w:r>
      <w:r>
        <w:t xml:space="preserve">e », </w:t>
      </w:r>
      <w:hyperlink r:id="rId15" w:history="1">
        <w:r w:rsidRPr="0077273E">
          <w:rPr>
            <w:rStyle w:val="Hyperlink"/>
          </w:rPr>
          <w:t>http://www.cndh.org.ma/fr/presentation/les-attributions-du-conseil-en-matiere-de-protection-des-droits-de-lhomme</w:t>
        </w:r>
      </w:hyperlink>
      <w:r w:rsidRPr="0077273E">
        <w:t xml:space="preserve"> (consulté le 29 août 2016).</w:t>
      </w:r>
    </w:p>
  </w:footnote>
  <w:footnote w:id="74">
    <w:p w14:paraId="7C49EB7A" w14:textId="51D0B92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w:t>
      </w:r>
      <w:r>
        <w:t xml:space="preserve"> </w:t>
      </w:r>
      <w:r w:rsidRPr="00F60942">
        <w:rPr>
          <w:i/>
          <w:iCs/>
        </w:rPr>
        <w:t>op.cit.</w:t>
      </w:r>
      <w:r>
        <w:t>,</w:t>
      </w:r>
      <w:r>
        <w:rPr>
          <w:i/>
          <w:iCs/>
        </w:rPr>
        <w:t xml:space="preserve"> </w:t>
      </w:r>
      <w:r w:rsidRPr="0077273E">
        <w:t>para. 55</w:t>
      </w:r>
    </w:p>
  </w:footnote>
  <w:footnote w:id="75">
    <w:p w14:paraId="39FD0464" w14:textId="4F5D02FC" w:rsidR="005F2C66" w:rsidRPr="0077273E" w:rsidRDefault="005F2C66" w:rsidP="00E332A4">
      <w:pPr>
        <w:pStyle w:val="NBP"/>
        <w:tabs>
          <w:tab w:val="left" w:pos="284"/>
        </w:tabs>
        <w:ind w:left="284" w:hanging="284"/>
      </w:pPr>
      <w:r w:rsidRPr="0077273E">
        <w:rPr>
          <w:rStyle w:val="FootnoteReference"/>
        </w:rPr>
        <w:footnoteRef/>
      </w:r>
      <w:r>
        <w:t xml:space="preserve"> </w:t>
      </w:r>
      <w:r>
        <w:tab/>
      </w:r>
      <w:r w:rsidRPr="0077273E">
        <w:t xml:space="preserve">Alkarama, </w:t>
      </w:r>
      <w:r w:rsidRPr="0077273E">
        <w:rPr>
          <w:i/>
        </w:rPr>
        <w:t>Maroc: La situation des droits de l’homme connaît une grave dérive</w:t>
      </w:r>
      <w:r w:rsidRPr="0077273E">
        <w:t xml:space="preserve">, 26 août 2010, </w:t>
      </w:r>
      <w:hyperlink r:id="rId16" w:history="1">
        <w:r w:rsidRPr="0077273E">
          <w:rPr>
            <w:rStyle w:val="Hyperlink"/>
          </w:rPr>
          <w:t>http://fr.alkarama.org/component/k2/item/812-maroc-la-situation-des-droits-de-l-homme-connait-une-grave-derive?Itemid</w:t>
        </w:r>
      </w:hyperlink>
      <w:r w:rsidRPr="0077273E">
        <w:t>= (consulté le 2 septembre 2016).</w:t>
      </w:r>
    </w:p>
  </w:footnote>
  <w:footnote w:id="76">
    <w:p w14:paraId="4B021E24" w14:textId="797B150E" w:rsidR="005F2C66" w:rsidRPr="000B26C3" w:rsidRDefault="005F2C66" w:rsidP="00E332A4">
      <w:pPr>
        <w:pStyle w:val="NBP"/>
        <w:tabs>
          <w:tab w:val="left" w:pos="284"/>
        </w:tabs>
        <w:ind w:left="284" w:hanging="284"/>
        <w:rPr>
          <w:lang w:val="en-US"/>
        </w:rPr>
      </w:pPr>
      <w:r w:rsidRPr="0077273E">
        <w:rPr>
          <w:rStyle w:val="FootnoteReference"/>
        </w:rPr>
        <w:footnoteRef/>
      </w:r>
      <w:r w:rsidRPr="00084DEA">
        <w:rPr>
          <w:lang w:val="en-GB"/>
        </w:rPr>
        <w:t xml:space="preserve"> </w:t>
      </w:r>
      <w:r w:rsidRPr="00084DEA">
        <w:rPr>
          <w:lang w:val="en-GB"/>
        </w:rPr>
        <w:tab/>
      </w:r>
      <w:r w:rsidRPr="0077273E">
        <w:rPr>
          <w:lang w:val="en-US"/>
        </w:rPr>
        <w:t xml:space="preserve">Alkarama, </w:t>
      </w:r>
      <w:r w:rsidRPr="0077273E">
        <w:rPr>
          <w:i/>
          <w:iCs/>
          <w:lang w:val="en-US"/>
        </w:rPr>
        <w:t>Morocco : Mourad Aibous tortured and accused of manufacturing explosives</w:t>
      </w:r>
      <w:r w:rsidRPr="0077273E">
        <w:rPr>
          <w:lang w:val="en-US"/>
        </w:rPr>
        <w:t xml:space="preserve">, 13 avril 2012, </w:t>
      </w:r>
      <w:hyperlink r:id="rId17" w:history="1">
        <w:r w:rsidRPr="0077273E">
          <w:rPr>
            <w:rStyle w:val="Hyperlink"/>
            <w:lang w:val="en-US"/>
          </w:rPr>
          <w:t>http://en.alkarama.org/component/k2/946-morocco-mourad-aibous-tortured-and-accused-of-manufacturing-explosives?Itemid</w:t>
        </w:r>
      </w:hyperlink>
      <w:r w:rsidRPr="0077273E">
        <w:rPr>
          <w:lang w:val="en-US"/>
        </w:rPr>
        <w:t>=</w:t>
      </w:r>
      <w:r>
        <w:rPr>
          <w:lang w:val="en-US"/>
        </w:rPr>
        <w:t xml:space="preserve"> </w:t>
      </w:r>
      <w:r w:rsidRPr="000B26C3">
        <w:rPr>
          <w:lang w:val="en-US"/>
        </w:rPr>
        <w:t>(consulté le 2 septembre 2016</w:t>
      </w:r>
      <w:r>
        <w:rPr>
          <w:lang w:val="en-US"/>
        </w:rPr>
        <w:t>).</w:t>
      </w:r>
    </w:p>
  </w:footnote>
  <w:footnote w:id="77">
    <w:p w14:paraId="409B59D2" w14:textId="01E3AF21" w:rsidR="005F2C66" w:rsidRPr="0077273E" w:rsidRDefault="005F2C66" w:rsidP="00E332A4">
      <w:pPr>
        <w:pStyle w:val="FootnoteText"/>
        <w:tabs>
          <w:tab w:val="left" w:pos="284"/>
        </w:tabs>
        <w:spacing w:after="0"/>
        <w:ind w:left="284" w:hanging="284"/>
        <w:rPr>
          <w:rFonts w:cs="Tahoma"/>
          <w:szCs w:val="16"/>
        </w:rPr>
      </w:pPr>
      <w:r w:rsidRPr="0077273E">
        <w:rPr>
          <w:rStyle w:val="FootnoteReference"/>
          <w:rFonts w:cs="Tahoma"/>
          <w:szCs w:val="16"/>
        </w:rPr>
        <w:footnoteRef/>
      </w:r>
      <w:r w:rsidRPr="0077273E">
        <w:rPr>
          <w:rFonts w:cs="Tahoma"/>
          <w:szCs w:val="16"/>
        </w:rPr>
        <w:t xml:space="preserve"> </w:t>
      </w:r>
      <w:r>
        <w:rPr>
          <w:rFonts w:cs="Tahoma"/>
          <w:szCs w:val="16"/>
        </w:rPr>
        <w:tab/>
      </w:r>
      <w:r>
        <w:t xml:space="preserve">Comité des droits de l’homme, </w:t>
      </w:r>
      <w:r w:rsidRPr="00BE1FD2">
        <w:rPr>
          <w:i/>
          <w:iCs/>
        </w:rPr>
        <w:t xml:space="preserve">Ali Aarrass c. </w:t>
      </w:r>
      <w:r>
        <w:rPr>
          <w:i/>
          <w:iCs/>
        </w:rPr>
        <w:t>Espagne</w:t>
      </w:r>
      <w:r w:rsidRPr="00BE1FD2">
        <w:t>,</w:t>
      </w:r>
      <w:r>
        <w:rPr>
          <w:i/>
          <w:iCs/>
        </w:rPr>
        <w:t xml:space="preserve"> </w:t>
      </w:r>
      <w:r w:rsidRPr="00BE1FD2">
        <w:t>Communication n</w:t>
      </w:r>
      <w:r>
        <w:t>°</w:t>
      </w:r>
      <w:r w:rsidRPr="00BE1FD2">
        <w:t xml:space="preserve"> 2008/2010, </w:t>
      </w:r>
      <w:r>
        <w:t>30 septembre 2014.</w:t>
      </w:r>
    </w:p>
  </w:footnote>
  <w:footnote w:id="78">
    <w:p w14:paraId="61A9F3D2" w14:textId="326A9103"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Notamment le Centre d’Accueil et d’Orientation des Victimes de la Torture (CAOVT)</w:t>
      </w:r>
      <w:r>
        <w:t>.</w:t>
      </w:r>
    </w:p>
  </w:footnote>
  <w:footnote w:id="79">
    <w:p w14:paraId="32AB0244" w14:textId="0E2CFCCB"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F67EE">
        <w:rPr>
          <w:i/>
          <w:iCs/>
        </w:rPr>
        <w:t>Liste des points</w:t>
      </w:r>
      <w:r w:rsidRPr="00DF67EE">
        <w:t xml:space="preserve">, </w:t>
      </w:r>
      <w:r w:rsidRPr="00DF67EE">
        <w:rPr>
          <w:i/>
          <w:iCs/>
        </w:rPr>
        <w:t>op.cit</w:t>
      </w:r>
      <w:r w:rsidRPr="00DF67EE">
        <w:t>., para. 13</w:t>
      </w:r>
      <w:r>
        <w:t>.</w:t>
      </w:r>
    </w:p>
  </w:footnote>
  <w:footnote w:id="80">
    <w:p w14:paraId="7A1A85B0" w14:textId="6EEAAFD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F67EE">
        <w:rPr>
          <w:i/>
          <w:iCs/>
        </w:rPr>
        <w:t>Réponses du Maroc à la liste de points</w:t>
      </w:r>
      <w:r w:rsidRPr="00DF67EE">
        <w:t xml:space="preserve">, </w:t>
      </w:r>
      <w:r w:rsidRPr="00DF67EE">
        <w:rPr>
          <w:i/>
          <w:iCs/>
        </w:rPr>
        <w:t>op.cit.</w:t>
      </w:r>
      <w:r w:rsidRPr="00DF67EE">
        <w:t>, para. 47 (d)</w:t>
      </w:r>
    </w:p>
  </w:footnote>
  <w:footnote w:id="81">
    <w:p w14:paraId="4B946F2A" w14:textId="3C69B35C"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F67EE">
        <w:t>Groupe de travail sur la détention arbitraire, Avis n° 25/2013 (</w:t>
      </w:r>
      <w:r>
        <w:t xml:space="preserve">Aarrass </w:t>
      </w:r>
      <w:r w:rsidRPr="00084DEA">
        <w:rPr>
          <w:i/>
          <w:iCs/>
        </w:rPr>
        <w:t>c.</w:t>
      </w:r>
      <w:r>
        <w:t xml:space="preserve"> </w:t>
      </w:r>
      <w:r w:rsidRPr="00DF67EE">
        <w:t>Maroc), A/HRC/WGAD/2013/25, 14 janvier 2014, para. 35.</w:t>
      </w:r>
    </w:p>
  </w:footnote>
  <w:footnote w:id="82">
    <w:p w14:paraId="187970FB" w14:textId="20D53C01"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t xml:space="preserve">Alkarama, </w:t>
      </w:r>
      <w:r>
        <w:rPr>
          <w:i/>
          <w:iCs/>
          <w:lang w:val="fr-FR"/>
        </w:rPr>
        <w:t>Maroc</w:t>
      </w:r>
      <w:r w:rsidRPr="00084DEA">
        <w:rPr>
          <w:i/>
          <w:iCs/>
          <w:lang w:val="fr-FR"/>
        </w:rPr>
        <w:t>: Ali Aarrass victime de mauvais traitements en dépit d’une grève de la faim</w:t>
      </w:r>
      <w:r w:rsidRPr="00DF67EE">
        <w:rPr>
          <w:lang w:val="fr-FR"/>
        </w:rPr>
        <w:t xml:space="preserve">, 19 novembre 2015, </w:t>
      </w:r>
      <w:hyperlink r:id="rId18" w:history="1">
        <w:r w:rsidRPr="00DF67EE">
          <w:rPr>
            <w:rStyle w:val="Hyperlink"/>
            <w:lang w:val="fr-FR"/>
          </w:rPr>
          <w:t>http://fr.alkarama.org/component/k2/item/1980-maroc-ali-aarrass-victime-de-mauvais-traitements-en-depit-d-une-greve-de-la-faim?Itemid</w:t>
        </w:r>
      </w:hyperlink>
      <w:r w:rsidRPr="00DF67EE">
        <w:rPr>
          <w:lang w:val="fr-FR"/>
        </w:rPr>
        <w:t>= (consulté le 19 septembre 2016)</w:t>
      </w:r>
      <w:r w:rsidRPr="0077273E">
        <w:rPr>
          <w:lang w:val="fr-FR"/>
        </w:rPr>
        <w:t>.</w:t>
      </w:r>
    </w:p>
  </w:footnote>
  <w:footnote w:id="83">
    <w:p w14:paraId="05F0150B" w14:textId="2266C1DC"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Groupe de travai</w:t>
      </w:r>
      <w:r>
        <w:t>l sur la détention arbitraire, A</w:t>
      </w:r>
      <w:r w:rsidRPr="0077273E">
        <w:t>vis n° 3/2013</w:t>
      </w:r>
      <w:r>
        <w:t xml:space="preserve"> (Bettar </w:t>
      </w:r>
      <w:r w:rsidRPr="00084DEA">
        <w:rPr>
          <w:i/>
          <w:iCs/>
        </w:rPr>
        <w:t>c.</w:t>
      </w:r>
      <w:r>
        <w:t xml:space="preserve"> Maroc</w:t>
      </w:r>
      <w:r w:rsidRPr="0077273E">
        <w:t>.</w:t>
      </w:r>
      <w:r>
        <w:t xml:space="preserve">), A/HRC/WGAD/2013/3. </w:t>
      </w:r>
    </w:p>
  </w:footnote>
  <w:footnote w:id="84">
    <w:p w14:paraId="666401E3" w14:textId="169A1A4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t xml:space="preserve">Alkarama, </w:t>
      </w:r>
      <w:r w:rsidRPr="00084DEA">
        <w:rPr>
          <w:i/>
          <w:iCs/>
        </w:rPr>
        <w:t>Maroc : Ali Aarrass victime de mauvais traitements en dépit d’une grève de la faim</w:t>
      </w:r>
      <w:r w:rsidRPr="00DF67EE">
        <w:t xml:space="preserve">, </w:t>
      </w:r>
      <w:r w:rsidRPr="00DF67EE">
        <w:rPr>
          <w:i/>
          <w:iCs/>
        </w:rPr>
        <w:t>op.cit.</w:t>
      </w:r>
      <w:r>
        <w:rPr>
          <w:i/>
          <w:iCs/>
        </w:rPr>
        <w:t xml:space="preserve"> </w:t>
      </w:r>
    </w:p>
  </w:footnote>
  <w:footnote w:id="85">
    <w:p w14:paraId="035DBAD4" w14:textId="448544E6"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xml:space="preserve">, </w:t>
      </w:r>
      <w:r>
        <w:t>paras. 106 à 109.</w:t>
      </w:r>
    </w:p>
  </w:footnote>
  <w:footnote w:id="86">
    <w:p w14:paraId="3DD51AFA" w14:textId="50778023"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F60942">
        <w:rPr>
          <w:i/>
          <w:iCs/>
          <w:lang w:val="fr-FR"/>
        </w:rPr>
        <w:t>Idem</w:t>
      </w:r>
      <w:r>
        <w:rPr>
          <w:i/>
          <w:iCs/>
          <w:lang w:val="fr-FR"/>
        </w:rPr>
        <w:t>,</w:t>
      </w:r>
      <w:r w:rsidRPr="0077273E">
        <w:rPr>
          <w:lang w:val="fr-FR"/>
        </w:rPr>
        <w:t xml:space="preserve"> para. 108</w:t>
      </w:r>
      <w:r>
        <w:rPr>
          <w:lang w:val="fr-FR"/>
        </w:rPr>
        <w:t>.</w:t>
      </w:r>
    </w:p>
  </w:footnote>
  <w:footnote w:id="87">
    <w:p w14:paraId="3378B8FF" w14:textId="43308C81" w:rsidR="005F2C66" w:rsidRPr="004403C1" w:rsidRDefault="005F2C66" w:rsidP="00E332A4">
      <w:pPr>
        <w:pStyle w:val="NBP"/>
        <w:tabs>
          <w:tab w:val="left" w:pos="284"/>
        </w:tabs>
        <w:ind w:left="284" w:hanging="284"/>
      </w:pPr>
      <w:r w:rsidRPr="004403C1">
        <w:rPr>
          <w:vertAlign w:val="superscript"/>
        </w:rPr>
        <w:footnoteRef/>
      </w:r>
      <w:r>
        <w:t xml:space="preserve"> </w:t>
      </w:r>
      <w:r>
        <w:tab/>
        <w:t xml:space="preserve">Alkarama, </w:t>
      </w:r>
      <w:r>
        <w:rPr>
          <w:i/>
          <w:iCs/>
        </w:rPr>
        <w:t>Maroc</w:t>
      </w:r>
      <w:r w:rsidRPr="004C3EF9">
        <w:rPr>
          <w:i/>
          <w:iCs/>
        </w:rPr>
        <w:t>: disparition d’Adnane Rahali, étudiant originaire de Tantan</w:t>
      </w:r>
      <w:r w:rsidRPr="004403C1">
        <w:t xml:space="preserve">,  4 avril 2016, </w:t>
      </w:r>
      <w:hyperlink r:id="rId19" w:history="1">
        <w:r w:rsidRPr="004403C1">
          <w:t>http://fr.alkarama.org/maroc/communiques/item/2011-maroc-disparition-d-adnane-rahali-etudiant-originaire-de-tantan</w:t>
        </w:r>
      </w:hyperlink>
      <w:r w:rsidRPr="004403C1">
        <w:t>, (consulté le 19 septembre 2016).</w:t>
      </w:r>
    </w:p>
  </w:footnote>
  <w:footnote w:id="88">
    <w:p w14:paraId="395DCFC0" w14:textId="2CA5306C" w:rsidR="005F2C66" w:rsidRPr="004403C1" w:rsidRDefault="005F2C66" w:rsidP="00E332A4">
      <w:pPr>
        <w:pStyle w:val="NBP"/>
        <w:tabs>
          <w:tab w:val="left" w:pos="284"/>
        </w:tabs>
        <w:ind w:left="284" w:hanging="284"/>
      </w:pPr>
      <w:r w:rsidRPr="004403C1">
        <w:rPr>
          <w:vertAlign w:val="superscript"/>
        </w:rPr>
        <w:footnoteRef/>
      </w:r>
      <w:r>
        <w:t xml:space="preserve"> </w:t>
      </w:r>
      <w:r>
        <w:tab/>
        <w:t xml:space="preserve">Alkarama, </w:t>
      </w:r>
      <w:r w:rsidRPr="004C3EF9">
        <w:rPr>
          <w:i/>
          <w:iCs/>
        </w:rPr>
        <w:t>Maroc: Disparu depuis plus de quatre mois, Adnane Rahali a été retrouvé mort à l’intérieur du campus de l’Université d’Agadir</w:t>
      </w:r>
      <w:r w:rsidRPr="004403C1">
        <w:t xml:space="preserve">, 4 mai 2016, </w:t>
      </w:r>
      <w:hyperlink r:id="rId20" w:history="1">
        <w:r w:rsidRPr="004403C1">
          <w:t>http://fr.alkarama.org/maroc/communiques/item/2018-maroc-disparu-depuis-plus-de-quatre-mois-adnane-rahali-a-ete-retrouve-mort-a-l-interieur-du-campus-de-l-universite-d-agadir</w:t>
        </w:r>
      </w:hyperlink>
      <w:r w:rsidRPr="004403C1">
        <w:t xml:space="preserve"> (consulté le 19 septembre 2016).</w:t>
      </w:r>
    </w:p>
  </w:footnote>
  <w:footnote w:id="89">
    <w:p w14:paraId="5EF7CCAB" w14:textId="40D80558" w:rsidR="005F2C66" w:rsidRPr="000D1FF0" w:rsidRDefault="005F2C66" w:rsidP="00E332A4">
      <w:pPr>
        <w:pStyle w:val="NBP"/>
        <w:tabs>
          <w:tab w:val="left" w:pos="284"/>
        </w:tabs>
        <w:ind w:left="284" w:hanging="284"/>
        <w:rPr>
          <w:lang w:val="en-GB"/>
        </w:rPr>
      </w:pPr>
      <w:r w:rsidRPr="00714393">
        <w:rPr>
          <w:rStyle w:val="FootnoteReference"/>
        </w:rPr>
        <w:footnoteRef/>
      </w:r>
      <w:r w:rsidRPr="00714393">
        <w:rPr>
          <w:lang w:val="en-US"/>
        </w:rPr>
        <w:t xml:space="preserve"> </w:t>
      </w:r>
      <w:r>
        <w:rPr>
          <w:lang w:val="en-US"/>
        </w:rPr>
        <w:tab/>
      </w:r>
      <w:r w:rsidRPr="000D1FF0">
        <w:rPr>
          <w:lang w:val="en-GB"/>
        </w:rPr>
        <w:t>UN Manual on the Effective Prevention and Investigation of Extra-Legal, Arbitrary and Summary Executions (the Minnesota Protocol).</w:t>
      </w:r>
    </w:p>
  </w:footnote>
  <w:footnote w:id="90">
    <w:p w14:paraId="6373A6BE" w14:textId="3A51C8FA" w:rsidR="005F2C66" w:rsidRDefault="005F2C66" w:rsidP="00E332A4">
      <w:pPr>
        <w:pStyle w:val="NBP"/>
        <w:tabs>
          <w:tab w:val="left" w:pos="284"/>
        </w:tabs>
        <w:ind w:left="284" w:hanging="284"/>
      </w:pPr>
      <w:r w:rsidRPr="00714393">
        <w:rPr>
          <w:vertAlign w:val="superscript"/>
        </w:rPr>
        <w:footnoteRef/>
      </w:r>
      <w:r w:rsidRPr="00714393">
        <w:t xml:space="preserve"> </w:t>
      </w:r>
      <w:r>
        <w:tab/>
      </w:r>
      <w:r w:rsidRPr="00714393">
        <w:t>Observations préliminaires succinctes transmises à Alkarama par l’IRCT le 19 septembre 2016.</w:t>
      </w:r>
      <w:r>
        <w:rPr>
          <w:lang w:val="fr-FR"/>
        </w:rPr>
        <w:t xml:space="preserve"> </w:t>
      </w:r>
    </w:p>
  </w:footnote>
  <w:footnote w:id="91">
    <w:p w14:paraId="3C2B6E00" w14:textId="2D1D885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w:t>
      </w:r>
      <w:r>
        <w:t>s</w:t>
      </w:r>
      <w:r w:rsidRPr="0077273E">
        <w:t>. 101 à 104.</w:t>
      </w:r>
    </w:p>
  </w:footnote>
  <w:footnote w:id="92">
    <w:p w14:paraId="36E97D42" w14:textId="299EB47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w:t>
      </w:r>
      <w:r w:rsidRPr="0077273E">
        <w:t>, para. 11</w:t>
      </w:r>
    </w:p>
  </w:footnote>
  <w:footnote w:id="93">
    <w:p w14:paraId="649C9874" w14:textId="487ED6C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w:t>
      </w:r>
      <w:r>
        <w:t xml:space="preserve"> </w:t>
      </w:r>
      <w:r w:rsidRPr="00F60942">
        <w:rPr>
          <w:i/>
          <w:iCs/>
        </w:rPr>
        <w:t>op.cit.</w:t>
      </w:r>
      <w:r>
        <w:t xml:space="preserve">, </w:t>
      </w:r>
      <w:r w:rsidRPr="0077273E">
        <w:t xml:space="preserve"> para. 39.</w:t>
      </w:r>
    </w:p>
  </w:footnote>
  <w:footnote w:id="94">
    <w:p w14:paraId="182481F7" w14:textId="45029969"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F60942">
        <w:rPr>
          <w:i/>
          <w:iCs/>
        </w:rPr>
        <w:t>Rapport du Rapporteur spécial sur la torture, Mission au</w:t>
      </w:r>
      <w:r>
        <w:t xml:space="preserve"> </w:t>
      </w:r>
      <w:r w:rsidRPr="00F60942">
        <w:rPr>
          <w:i/>
          <w:iCs/>
        </w:rPr>
        <w:t>Maroc</w:t>
      </w:r>
      <w:r w:rsidRPr="0077273E">
        <w:rPr>
          <w:lang w:val="fr-FR"/>
        </w:rPr>
        <w:t>,</w:t>
      </w:r>
      <w:r>
        <w:rPr>
          <w:lang w:val="fr-FR"/>
        </w:rPr>
        <w:t xml:space="preserve"> </w:t>
      </w:r>
      <w:r w:rsidRPr="004B5DC6">
        <w:rPr>
          <w:i/>
          <w:iCs/>
          <w:lang w:val="fr-FR"/>
        </w:rPr>
        <w:t>op.cit.</w:t>
      </w:r>
      <w:r w:rsidRPr="0077273E">
        <w:rPr>
          <w:lang w:val="fr-FR"/>
        </w:rPr>
        <w:t>, para. 16</w:t>
      </w:r>
      <w:r>
        <w:rPr>
          <w:lang w:val="fr-FR"/>
        </w:rPr>
        <w:t>.</w:t>
      </w:r>
    </w:p>
  </w:footnote>
  <w:footnote w:id="95">
    <w:p w14:paraId="312E22E4" w14:textId="0FC43A6C"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Loi n° 03-03 relative à la lutte contre le terrorisme, promulguée par le dahir n° 1-03-140 du 26 rabii I 1424 (28 mai 2003)</w:t>
      </w:r>
      <w:r>
        <w:rPr>
          <w:lang w:val="fr-FR"/>
        </w:rPr>
        <w:t>.</w:t>
      </w:r>
    </w:p>
  </w:footnote>
  <w:footnote w:id="96">
    <w:p w14:paraId="1F30D37F" w14:textId="7EC38296"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sidRPr="0077273E">
        <w:rPr>
          <w:rStyle w:val="FootnoteReference"/>
          <w:rFonts w:cs="Tahoma"/>
          <w:sz w:val="16"/>
          <w:szCs w:val="16"/>
        </w:rPr>
        <w:footnoteRef/>
      </w:r>
      <w:r w:rsidRPr="0077273E">
        <w:rPr>
          <w:rFonts w:cs="Tahoma"/>
          <w:sz w:val="16"/>
          <w:szCs w:val="16"/>
        </w:rPr>
        <w:t xml:space="preserve"> </w:t>
      </w:r>
      <w:r>
        <w:rPr>
          <w:rFonts w:cs="Tahoma"/>
          <w:sz w:val="16"/>
          <w:szCs w:val="16"/>
        </w:rPr>
        <w:tab/>
      </w:r>
      <w:r>
        <w:rPr>
          <w:rFonts w:eastAsia="Times New Roman" w:cs="Tahoma"/>
          <w:bCs/>
          <w:sz w:val="16"/>
          <w:szCs w:val="16"/>
          <w:lang w:eastAsia="fr-FR"/>
        </w:rPr>
        <w:t>Article 218-1 du C</w:t>
      </w:r>
      <w:r w:rsidRPr="0077273E">
        <w:rPr>
          <w:rFonts w:eastAsia="Times New Roman" w:cs="Tahoma"/>
          <w:bCs/>
          <w:sz w:val="16"/>
          <w:szCs w:val="16"/>
          <w:lang w:eastAsia="fr-FR"/>
        </w:rPr>
        <w:t>ode pénal</w:t>
      </w:r>
      <w:r>
        <w:rPr>
          <w:rFonts w:eastAsia="Times New Roman" w:cs="Tahoma"/>
          <w:bCs/>
          <w:sz w:val="16"/>
          <w:szCs w:val="16"/>
          <w:lang w:eastAsia="fr-FR"/>
        </w:rPr>
        <w:t> :</w:t>
      </w:r>
    </w:p>
    <w:p w14:paraId="2F2E745F" w14:textId="45438E36"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t>« </w:t>
      </w:r>
      <w:r w:rsidRPr="0077273E">
        <w:rPr>
          <w:rFonts w:eastAsia="Times New Roman" w:cs="Tahoma"/>
          <w:bCs/>
          <w:sz w:val="16"/>
          <w:szCs w:val="16"/>
          <w:lang w:eastAsia="fr-FR"/>
        </w:rPr>
        <w:t xml:space="preserve">Constituent des actes de terrorisme, lorsqu'elles sont intentionnellement en relation avec une entreprise individuelle ou collective ayant pour but l'atteinte grave à l'ordre public par l'intimidation, la terreur ou la violence, les infractions suivantes : </w:t>
      </w:r>
    </w:p>
    <w:p w14:paraId="2433340F" w14:textId="4BB37C5E"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1) l'atteinte volontaire à la vie des personnes ou à leur intégrité, ou à leurs libertés, l'enlèvement ou</w:t>
      </w:r>
      <w:r>
        <w:rPr>
          <w:rFonts w:eastAsia="Times New Roman" w:cs="Tahoma"/>
          <w:bCs/>
          <w:sz w:val="16"/>
          <w:szCs w:val="16"/>
          <w:lang w:eastAsia="fr-FR"/>
        </w:rPr>
        <w:t xml:space="preserve"> la séquestration des personnes</w:t>
      </w:r>
      <w:r w:rsidRPr="0077273E">
        <w:rPr>
          <w:rFonts w:eastAsia="Times New Roman" w:cs="Tahoma"/>
          <w:bCs/>
          <w:sz w:val="16"/>
          <w:szCs w:val="16"/>
          <w:lang w:eastAsia="fr-FR"/>
        </w:rPr>
        <w:t xml:space="preserve">; </w:t>
      </w:r>
    </w:p>
    <w:p w14:paraId="5B60EB3B" w14:textId="3FB6F851"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 xml:space="preserve">2) la contrefaçon ou la falsification des monnaies ou effets de crédit public, des sceaux de l'Etat et des poinçons, timbres et marques, ou le faux ou la falsification visés dans les articles 360, 361 et 362 du présent code ; </w:t>
      </w:r>
    </w:p>
    <w:p w14:paraId="302D10B9" w14:textId="696110EB"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 xml:space="preserve">3) les destructions, dégradations ou détériorations ; </w:t>
      </w:r>
    </w:p>
    <w:p w14:paraId="4BE75E53" w14:textId="4BD2EAE0"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4) le détournement, la dégradation d'aéronefs ou des navires ou de tout autre moyen de transport, la dégradation des installations de navigation aérienne, maritime et terrestre et la destruction, la dégradation ou la détériorat</w:t>
      </w:r>
      <w:r>
        <w:rPr>
          <w:rFonts w:eastAsia="Times New Roman" w:cs="Tahoma"/>
          <w:bCs/>
          <w:sz w:val="16"/>
          <w:szCs w:val="16"/>
          <w:lang w:eastAsia="fr-FR"/>
        </w:rPr>
        <w:t>ion des moyens de communication</w:t>
      </w:r>
      <w:r w:rsidRPr="0077273E">
        <w:rPr>
          <w:rFonts w:eastAsia="Times New Roman" w:cs="Tahoma"/>
          <w:bCs/>
          <w:sz w:val="16"/>
          <w:szCs w:val="16"/>
          <w:lang w:eastAsia="fr-FR"/>
        </w:rPr>
        <w:t xml:space="preserve">; </w:t>
      </w:r>
    </w:p>
    <w:p w14:paraId="061A7D2F" w14:textId="7589759A"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 xml:space="preserve">5) le vol et l'extorsion des biens ; </w:t>
      </w:r>
    </w:p>
    <w:p w14:paraId="41411E2F" w14:textId="35719A2B"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6) la fabrication, la détention, le transport, la mise en circulation ou l'utilisation illégale d'armes, d'explosifs ou de munitions ;</w:t>
      </w:r>
    </w:p>
    <w:p w14:paraId="7A2FCE0F" w14:textId="2D75B3A6"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 xml:space="preserve">7) les infractions relatives aux systèmes de traitement automatisé des données ; </w:t>
      </w:r>
    </w:p>
    <w:p w14:paraId="1700FF40" w14:textId="03D99F1F"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 xml:space="preserve">8) le faux ou la falsification en matière de chèque ou de tout autre moyen de paiement visés respectivement par les articles </w:t>
      </w:r>
      <w:r>
        <w:rPr>
          <w:rFonts w:eastAsia="Times New Roman" w:cs="Tahoma"/>
          <w:bCs/>
          <w:sz w:val="16"/>
          <w:szCs w:val="16"/>
          <w:lang w:eastAsia="fr-FR"/>
        </w:rPr>
        <w:t>316 et 331 du code de commerce</w:t>
      </w:r>
      <w:r w:rsidRPr="0077273E">
        <w:rPr>
          <w:rFonts w:eastAsia="Times New Roman" w:cs="Tahoma"/>
          <w:bCs/>
          <w:sz w:val="16"/>
          <w:szCs w:val="16"/>
          <w:lang w:eastAsia="fr-FR"/>
        </w:rPr>
        <w:t xml:space="preserve"> ; </w:t>
      </w:r>
    </w:p>
    <w:p w14:paraId="1C4D0003" w14:textId="4EBA29D3" w:rsidR="005F2C66" w:rsidRPr="0077273E" w:rsidRDefault="005F2C66" w:rsidP="00E332A4">
      <w:pPr>
        <w:pStyle w:val="NoSpacing"/>
        <w:tabs>
          <w:tab w:val="left" w:pos="284"/>
        </w:tabs>
        <w:spacing w:afterAutospacing="0"/>
        <w:ind w:left="284" w:hanging="284"/>
        <w:contextualSpacing/>
        <w:rPr>
          <w:rFonts w:eastAsia="Times New Roman" w:cs="Tahoma"/>
          <w:bCs/>
          <w:sz w:val="16"/>
          <w:szCs w:val="16"/>
          <w:lang w:eastAsia="fr-FR"/>
        </w:rPr>
      </w:pPr>
      <w:r>
        <w:rPr>
          <w:rFonts w:eastAsia="Times New Roman" w:cs="Tahoma"/>
          <w:bCs/>
          <w:sz w:val="16"/>
          <w:szCs w:val="16"/>
          <w:lang w:eastAsia="fr-FR"/>
        </w:rPr>
        <w:tab/>
      </w:r>
      <w:r w:rsidRPr="0077273E">
        <w:rPr>
          <w:rFonts w:eastAsia="Times New Roman" w:cs="Tahoma"/>
          <w:bCs/>
          <w:sz w:val="16"/>
          <w:szCs w:val="16"/>
          <w:lang w:eastAsia="fr-FR"/>
        </w:rPr>
        <w:t xml:space="preserve">9) la participation à une association formée ou à une entente établie en vue de la préparation ou de la commission d'un des actes de terrorisme ; </w:t>
      </w:r>
    </w:p>
    <w:p w14:paraId="7BF8EC5F" w14:textId="56E35B05" w:rsidR="005F2C66" w:rsidRPr="0077273E" w:rsidRDefault="005F2C66" w:rsidP="00E332A4">
      <w:pPr>
        <w:pStyle w:val="NoSpacing"/>
        <w:tabs>
          <w:tab w:val="left" w:pos="284"/>
        </w:tabs>
        <w:spacing w:afterAutospacing="0"/>
        <w:ind w:left="284" w:hanging="284"/>
        <w:contextualSpacing/>
        <w:rPr>
          <w:rFonts w:cs="Tahoma"/>
          <w:szCs w:val="16"/>
        </w:rPr>
      </w:pPr>
      <w:r>
        <w:rPr>
          <w:rFonts w:eastAsia="Times New Roman" w:cs="Tahoma"/>
          <w:bCs/>
          <w:sz w:val="16"/>
          <w:szCs w:val="16"/>
          <w:lang w:eastAsia="fr-FR"/>
        </w:rPr>
        <w:tab/>
      </w:r>
      <w:r w:rsidRPr="0077273E">
        <w:rPr>
          <w:rFonts w:eastAsia="Times New Roman" w:cs="Tahoma"/>
          <w:bCs/>
          <w:sz w:val="16"/>
          <w:szCs w:val="16"/>
          <w:lang w:eastAsia="fr-FR"/>
        </w:rPr>
        <w:t xml:space="preserve">10) le recel sciemment du produit </w:t>
      </w:r>
      <w:r>
        <w:rPr>
          <w:rFonts w:eastAsia="Times New Roman" w:cs="Tahoma"/>
          <w:bCs/>
          <w:sz w:val="16"/>
          <w:szCs w:val="16"/>
          <w:lang w:eastAsia="fr-FR"/>
        </w:rPr>
        <w:t>d'une infraction de terrorisme ».</w:t>
      </w:r>
    </w:p>
  </w:footnote>
  <w:footnote w:id="97">
    <w:p w14:paraId="08B020CA" w14:textId="6B27A0B6"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w:t>
      </w:r>
      <w:r w:rsidRPr="0077273E">
        <w:t>, para. 10</w:t>
      </w:r>
      <w:r>
        <w:t>.</w:t>
      </w:r>
    </w:p>
  </w:footnote>
  <w:footnote w:id="98">
    <w:p w14:paraId="67E69C3A" w14:textId="6A4D5469"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 37 et 38</w:t>
      </w:r>
      <w:r>
        <w:t>.</w:t>
      </w:r>
    </w:p>
  </w:footnote>
  <w:footnote w:id="99">
    <w:p w14:paraId="6A52F9D3" w14:textId="33AC285F" w:rsidR="005F2C66" w:rsidRPr="000B26C3" w:rsidRDefault="005F2C66" w:rsidP="00E332A4">
      <w:pPr>
        <w:pStyle w:val="NBP"/>
        <w:tabs>
          <w:tab w:val="left" w:pos="284"/>
        </w:tabs>
        <w:ind w:left="284" w:hanging="284"/>
        <w:rPr>
          <w:highlight w:val="yellow"/>
        </w:rPr>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w:t>
      </w:r>
      <w:r w:rsidRPr="0077273E">
        <w:t>, para. 13</w:t>
      </w:r>
      <w:r>
        <w:t>.</w:t>
      </w:r>
    </w:p>
  </w:footnote>
  <w:footnote w:id="100">
    <w:p w14:paraId="7F791F8D" w14:textId="6E959163"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Articles 66 al. 4 et 80 al. 4 du Code de procédure pénale</w:t>
      </w:r>
      <w:r>
        <w:rPr>
          <w:lang w:val="fr-FR"/>
        </w:rPr>
        <w:t>.</w:t>
      </w:r>
    </w:p>
  </w:footnote>
  <w:footnote w:id="101">
    <w:p w14:paraId="0A9EA55D" w14:textId="7AF76ABD" w:rsidR="005F2C66" w:rsidRDefault="005F2C66" w:rsidP="00E332A4">
      <w:pPr>
        <w:pStyle w:val="FootnoteText"/>
        <w:tabs>
          <w:tab w:val="left" w:pos="284"/>
        </w:tabs>
        <w:spacing w:after="0"/>
        <w:ind w:left="284" w:hanging="284"/>
      </w:pPr>
      <w:r>
        <w:rPr>
          <w:rStyle w:val="FootnoteReference"/>
        </w:rPr>
        <w:footnoteRef/>
      </w:r>
      <w:r>
        <w:t xml:space="preserve"> </w:t>
      </w:r>
      <w:r>
        <w:tab/>
        <w:t xml:space="preserve">Article 66 al. 9 </w:t>
      </w:r>
      <w:r w:rsidRPr="0077273E">
        <w:rPr>
          <w:lang w:val="fr-FR"/>
        </w:rPr>
        <w:t>du Code de procédure pénale</w:t>
      </w:r>
      <w:r>
        <w:rPr>
          <w:lang w:val="fr-FR"/>
        </w:rPr>
        <w:t>.</w:t>
      </w:r>
    </w:p>
  </w:footnote>
  <w:footnote w:id="102">
    <w:p w14:paraId="46A616F6" w14:textId="00C6C48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 153</w:t>
      </w:r>
      <w:r>
        <w:t>.</w:t>
      </w:r>
    </w:p>
  </w:footnote>
  <w:footnote w:id="103">
    <w:p w14:paraId="1DC977C7" w14:textId="2785D983"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rsidRPr="00F60942">
        <w:rPr>
          <w:i/>
          <w:iCs/>
        </w:rPr>
        <w:t>I</w:t>
      </w:r>
      <w:r>
        <w:rPr>
          <w:i/>
          <w:iCs/>
        </w:rPr>
        <w:tab/>
      </w:r>
      <w:r w:rsidRPr="00F60942">
        <w:rPr>
          <w:i/>
          <w:iCs/>
        </w:rPr>
        <w:t>dem</w:t>
      </w:r>
      <w:r>
        <w:t>., paras. 37 et 38.</w:t>
      </w:r>
    </w:p>
  </w:footnote>
  <w:footnote w:id="104">
    <w:p w14:paraId="64BC4EB2" w14:textId="77088B19" w:rsidR="005F2C66" w:rsidRPr="0077273E" w:rsidRDefault="005F2C66" w:rsidP="00E332A4">
      <w:pPr>
        <w:pStyle w:val="NBP"/>
        <w:tabs>
          <w:tab w:val="left" w:pos="284"/>
        </w:tabs>
        <w:ind w:left="284" w:hanging="284"/>
        <w:rPr>
          <w:lang w:val="fr-FR"/>
        </w:rPr>
      </w:pPr>
      <w:r w:rsidRPr="0077273E">
        <w:rPr>
          <w:rStyle w:val="FootnoteReference"/>
        </w:rPr>
        <w:footnoteRef/>
      </w:r>
      <w:r>
        <w:rPr>
          <w:lang w:val="fr-FR"/>
        </w:rPr>
        <w:t xml:space="preserve"> </w:t>
      </w:r>
      <w:r>
        <w:rPr>
          <w:lang w:val="fr-FR"/>
        </w:rPr>
        <w:tab/>
      </w:r>
      <w:r w:rsidRPr="0077273E">
        <w:rPr>
          <w:lang w:val="fr-FR"/>
        </w:rPr>
        <w:t xml:space="preserve">Comité des droits de l’homme, </w:t>
      </w:r>
      <w:r w:rsidRPr="0077273E">
        <w:rPr>
          <w:i/>
          <w:iCs/>
          <w:lang w:val="fr-FR"/>
        </w:rPr>
        <w:t>Musaev c. Ouzbékistan</w:t>
      </w:r>
      <w:r w:rsidRPr="0077273E">
        <w:rPr>
          <w:lang w:val="fr-FR"/>
        </w:rPr>
        <w:t xml:space="preserve">, communication n° 1914, 1915, 1916/2009, </w:t>
      </w:r>
      <w:r>
        <w:t>21 Mars 2012, (</w:t>
      </w:r>
      <w:r w:rsidRPr="00DF67EE">
        <w:t>CCPR/C/104/D/1914, 1915,1916/2009</w:t>
      </w:r>
      <w:r>
        <w:t xml:space="preserve">), </w:t>
      </w:r>
      <w:r w:rsidRPr="0077273E">
        <w:rPr>
          <w:lang w:val="fr-FR"/>
        </w:rPr>
        <w:t>para. 9.3</w:t>
      </w:r>
      <w:r>
        <w:rPr>
          <w:lang w:val="fr-FR"/>
        </w:rPr>
        <w:t>.</w:t>
      </w:r>
    </w:p>
  </w:footnote>
  <w:footnote w:id="105">
    <w:p w14:paraId="2723E0DA" w14:textId="66F6BADA" w:rsidR="005F2C66" w:rsidRPr="0077273E" w:rsidRDefault="005F2C66" w:rsidP="00E332A4">
      <w:pPr>
        <w:pStyle w:val="NBP"/>
        <w:tabs>
          <w:tab w:val="left" w:pos="284"/>
        </w:tabs>
        <w:ind w:left="284" w:hanging="284"/>
      </w:pPr>
      <w:r w:rsidRPr="0077273E">
        <w:rPr>
          <w:rStyle w:val="FootnoteReference"/>
        </w:rPr>
        <w:footnoteRef/>
      </w:r>
      <w:r>
        <w:t xml:space="preserve"> </w:t>
      </w:r>
      <w:r>
        <w:tab/>
      </w:r>
      <w:r w:rsidRPr="0077273E">
        <w:rPr>
          <w:rStyle w:val="FootnoteReference"/>
          <w:vertAlign w:val="baseline"/>
        </w:rPr>
        <w:t xml:space="preserve">Comité des droits de l’homme, Kovsh c. Bélarus, communication n° 1787/2008, </w:t>
      </w:r>
      <w:r>
        <w:t xml:space="preserve">5 juillet 2013, </w:t>
      </w:r>
      <w:r w:rsidRPr="00DF67EE">
        <w:t>CCPR/C/107/D/1787/2008</w:t>
      </w:r>
      <w:r>
        <w:t>,</w:t>
      </w:r>
      <w:r w:rsidRPr="0077273E">
        <w:rPr>
          <w:rStyle w:val="FootnoteReference"/>
          <w:vertAlign w:val="baseline"/>
        </w:rPr>
        <w:t xml:space="preserve"> para</w:t>
      </w:r>
      <w:r>
        <w:t>s</w:t>
      </w:r>
      <w:r w:rsidRPr="0077273E">
        <w:rPr>
          <w:rStyle w:val="FootnoteReference"/>
          <w:vertAlign w:val="baseline"/>
        </w:rPr>
        <w:t>. 7.3 à 7.5</w:t>
      </w:r>
    </w:p>
  </w:footnote>
  <w:footnote w:id="106">
    <w:p w14:paraId="2E04F800" w14:textId="6479B819" w:rsidR="005F2C66" w:rsidRPr="0077273E" w:rsidRDefault="005F2C66" w:rsidP="00E332A4">
      <w:pPr>
        <w:pStyle w:val="NBP"/>
        <w:tabs>
          <w:tab w:val="left" w:pos="284"/>
        </w:tabs>
        <w:ind w:left="284" w:hanging="284"/>
      </w:pPr>
      <w:r w:rsidRPr="0077273E">
        <w:rPr>
          <w:rStyle w:val="FootnoteReference"/>
        </w:rPr>
        <w:footnoteRef/>
      </w:r>
      <w:r w:rsidRPr="0077273E">
        <w:rPr>
          <w:lang w:val="fr-FR"/>
        </w:rPr>
        <w:t xml:space="preserve"> </w:t>
      </w:r>
      <w:r>
        <w:rPr>
          <w:lang w:val="fr-FR"/>
        </w:rPr>
        <w:tab/>
      </w:r>
      <w:r w:rsidRPr="00D85404">
        <w:rPr>
          <w:i/>
          <w:iCs/>
          <w:lang w:val="fr-FR"/>
        </w:rPr>
        <w:t xml:space="preserve">Rapport </w:t>
      </w:r>
      <w:r w:rsidRPr="00D85404">
        <w:rPr>
          <w:i/>
          <w:iCs/>
        </w:rPr>
        <w:t>du Groupe de travail sur la détention arbitraire : mission au Maroc</w:t>
      </w:r>
      <w:r>
        <w:rPr>
          <w:i/>
          <w:iCs/>
        </w:rPr>
        <w:t>,</w:t>
      </w:r>
      <w:r w:rsidRPr="0077273E">
        <w:t xml:space="preserve"> </w:t>
      </w:r>
      <w:r w:rsidRPr="004B5DC6">
        <w:rPr>
          <w:i/>
          <w:iCs/>
        </w:rPr>
        <w:t>op.cit.</w:t>
      </w:r>
      <w:r>
        <w:t xml:space="preserve">, </w:t>
      </w:r>
      <w:r w:rsidRPr="0077273E">
        <w:t>A/HRC/27/48/Add.5, para. 74</w:t>
      </w:r>
      <w:r>
        <w:t>.</w:t>
      </w:r>
    </w:p>
  </w:footnote>
  <w:footnote w:id="107">
    <w:p w14:paraId="640731C2" w14:textId="2C9878A4"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D85404">
        <w:rPr>
          <w:i/>
          <w:iCs/>
        </w:rPr>
        <w:t>Sixième rapp</w:t>
      </w:r>
      <w:r>
        <w:rPr>
          <w:i/>
          <w:iCs/>
        </w:rPr>
        <w:t>ort périodique de l’Etat partie, op.cit.</w:t>
      </w:r>
      <w:r w:rsidRPr="0077273E">
        <w:t xml:space="preserve">, </w:t>
      </w:r>
      <w:r w:rsidRPr="0077273E">
        <w:rPr>
          <w:lang w:val="fr-FR"/>
        </w:rPr>
        <w:t>para. 106</w:t>
      </w:r>
      <w:r>
        <w:rPr>
          <w:lang w:val="fr-FR"/>
        </w:rPr>
        <w:t>.</w:t>
      </w:r>
    </w:p>
  </w:footnote>
  <w:footnote w:id="108">
    <w:p w14:paraId="42CFF318" w14:textId="7408EC46" w:rsidR="005F2C66" w:rsidRPr="0077273E" w:rsidRDefault="005F2C66" w:rsidP="00E332A4">
      <w:pPr>
        <w:pStyle w:val="NBP"/>
        <w:tabs>
          <w:tab w:val="left" w:pos="284"/>
        </w:tabs>
        <w:ind w:left="284" w:hanging="284"/>
      </w:pPr>
      <w:r w:rsidRPr="0077273E">
        <w:rPr>
          <w:rStyle w:val="FootnoteReference"/>
        </w:rPr>
        <w:footnoteRef/>
      </w:r>
      <w:r w:rsidRPr="0077273E">
        <w:rPr>
          <w:lang w:val="fr-FR"/>
        </w:rPr>
        <w:t xml:space="preserve"> </w:t>
      </w:r>
      <w:r>
        <w:rPr>
          <w:lang w:val="fr-FR"/>
        </w:rPr>
        <w:tab/>
      </w:r>
      <w:r w:rsidRPr="00F60942">
        <w:rPr>
          <w:i/>
          <w:iCs/>
        </w:rPr>
        <w:t>Rapport du Rapporteur spécial sur la torture, Mission au</w:t>
      </w:r>
      <w:r>
        <w:t xml:space="preserve"> </w:t>
      </w:r>
      <w:r w:rsidRPr="00F60942">
        <w:rPr>
          <w:i/>
          <w:iCs/>
        </w:rPr>
        <w:t>Maroc</w:t>
      </w:r>
      <w:r w:rsidRPr="0077273E">
        <w:rPr>
          <w:lang w:val="fr-FR"/>
        </w:rPr>
        <w:t>,</w:t>
      </w:r>
      <w:r>
        <w:rPr>
          <w:lang w:val="fr-FR"/>
        </w:rPr>
        <w:t xml:space="preserve"> </w:t>
      </w:r>
      <w:r w:rsidRPr="004B5DC6">
        <w:rPr>
          <w:i/>
          <w:iCs/>
          <w:lang w:val="fr-FR"/>
        </w:rPr>
        <w:t>op.cit.</w:t>
      </w:r>
      <w:r w:rsidRPr="0077273E">
        <w:rPr>
          <w:lang w:val="fr-FR"/>
        </w:rPr>
        <w:t>, para. 18</w:t>
      </w:r>
      <w:r>
        <w:rPr>
          <w:lang w:val="fr-FR"/>
        </w:rPr>
        <w:t>.</w:t>
      </w:r>
    </w:p>
  </w:footnote>
  <w:footnote w:id="109">
    <w:p w14:paraId="47A2E119" w14:textId="155D2BC6" w:rsidR="005F2C66" w:rsidRPr="0077273E" w:rsidRDefault="005F2C66" w:rsidP="00E332A4">
      <w:pPr>
        <w:pStyle w:val="NBP"/>
        <w:tabs>
          <w:tab w:val="left" w:pos="284"/>
        </w:tabs>
        <w:ind w:left="284" w:hanging="284"/>
      </w:pPr>
      <w:r w:rsidRPr="0077273E">
        <w:rPr>
          <w:rStyle w:val="FootnoteReference"/>
        </w:rPr>
        <w:footnoteRef/>
      </w:r>
      <w:r w:rsidRPr="0077273E">
        <w:rPr>
          <w:lang w:val="fr-FR"/>
        </w:rPr>
        <w:t xml:space="preserve"> </w:t>
      </w:r>
      <w:r>
        <w:rPr>
          <w:lang w:val="fr-FR"/>
        </w:rPr>
        <w:tab/>
      </w:r>
      <w:r w:rsidRPr="00D85404">
        <w:rPr>
          <w:i/>
          <w:iCs/>
          <w:lang w:val="fr-FR"/>
        </w:rPr>
        <w:t xml:space="preserve">Rapport </w:t>
      </w:r>
      <w:r w:rsidRPr="00D85404">
        <w:rPr>
          <w:i/>
          <w:iCs/>
        </w:rPr>
        <w:t>du Groupe de travail sur la détention arbitraire : mission au Maroc</w:t>
      </w:r>
      <w:r>
        <w:rPr>
          <w:i/>
          <w:iCs/>
        </w:rPr>
        <w:t>,</w:t>
      </w:r>
      <w:r w:rsidRPr="0077273E">
        <w:t xml:space="preserve"> </w:t>
      </w:r>
      <w:r w:rsidRPr="004B5DC6">
        <w:rPr>
          <w:i/>
          <w:iCs/>
        </w:rPr>
        <w:t>op.cit.</w:t>
      </w:r>
      <w:r w:rsidRPr="0077273E">
        <w:t>, A/HRC/27/48/Add.5, para. 25</w:t>
      </w:r>
      <w:r>
        <w:t>.</w:t>
      </w:r>
    </w:p>
  </w:footnote>
  <w:footnote w:id="110">
    <w:p w14:paraId="1A44085E" w14:textId="3265059A" w:rsidR="005F2C66" w:rsidRPr="002B68F5" w:rsidRDefault="005F2C66" w:rsidP="00E332A4">
      <w:pPr>
        <w:pStyle w:val="FootnoteText"/>
        <w:tabs>
          <w:tab w:val="left" w:pos="284"/>
        </w:tabs>
        <w:spacing w:after="0"/>
        <w:ind w:left="284" w:hanging="284"/>
      </w:pPr>
      <w:r>
        <w:rPr>
          <w:rStyle w:val="FootnoteReference"/>
        </w:rPr>
        <w:footnoteRef/>
      </w:r>
      <w:r>
        <w:t xml:space="preserve"> </w:t>
      </w:r>
      <w:r>
        <w:tab/>
        <w:t xml:space="preserve">Alkarama, </w:t>
      </w:r>
      <w:r w:rsidRPr="002B68F5">
        <w:rPr>
          <w:i/>
          <w:iCs/>
        </w:rPr>
        <w:t>Maroc: "Affaire Belliraj" − Alkarama appelle l'ONU à inviter les autorités marocaines à libérer Abdelkader Belliraj, condamné à vie sur la seule base d'aveux obtenus sous la torture</w:t>
      </w:r>
      <w:r>
        <w:t xml:space="preserve">, 18 janvier 2016, </w:t>
      </w:r>
      <w:hyperlink r:id="rId21" w:history="1">
        <w:r w:rsidRPr="00016A40">
          <w:rPr>
            <w:rStyle w:val="Hyperlink"/>
          </w:rPr>
          <w:t>http://fr.alkarama.org/component/k2/item/1995-maroc-affaire-belliraj-alkarama-appelle-l-onu-a-inviter-les-autorites-marocaines-a-liberer-abdelkader-belliraj-condamne-a-vie-sur-la-seule-base-d-aveux-obtenus-sous-la-torture?Itemid</w:t>
        </w:r>
      </w:hyperlink>
      <w:r w:rsidRPr="002B68F5">
        <w:t>=</w:t>
      </w:r>
      <w:r>
        <w:t xml:space="preserve"> (consulté le 19 septembre 2016).</w:t>
      </w:r>
    </w:p>
  </w:footnote>
  <w:footnote w:id="111">
    <w:p w14:paraId="24E18FDC" w14:textId="6A3DB901" w:rsidR="005F2C66" w:rsidRDefault="005F2C66" w:rsidP="00E332A4">
      <w:pPr>
        <w:pStyle w:val="FootnoteText"/>
        <w:tabs>
          <w:tab w:val="left" w:pos="284"/>
        </w:tabs>
        <w:spacing w:after="0"/>
      </w:pPr>
      <w:r>
        <w:rPr>
          <w:rStyle w:val="FootnoteReference"/>
        </w:rPr>
        <w:footnoteRef/>
      </w:r>
      <w:r>
        <w:t xml:space="preserve"> </w:t>
      </w:r>
      <w:r>
        <w:tab/>
      </w:r>
      <w:r w:rsidRPr="00B41F95">
        <w:rPr>
          <w:i/>
          <w:iCs/>
        </w:rPr>
        <w:t>Liste des points</w:t>
      </w:r>
      <w:r w:rsidRPr="0077273E">
        <w:t xml:space="preserve">, </w:t>
      </w:r>
      <w:r w:rsidRPr="00D85404">
        <w:rPr>
          <w:i/>
          <w:iCs/>
        </w:rPr>
        <w:t>op.cit</w:t>
      </w:r>
      <w:r>
        <w:t>., para. 13.</w:t>
      </w:r>
    </w:p>
  </w:footnote>
  <w:footnote w:id="112">
    <w:p w14:paraId="6A06C335" w14:textId="6894A109"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D85404">
        <w:rPr>
          <w:i/>
          <w:iCs/>
          <w:lang w:val="fr-FR"/>
        </w:rPr>
        <w:t xml:space="preserve">Rapport </w:t>
      </w:r>
      <w:r w:rsidRPr="00D85404">
        <w:rPr>
          <w:i/>
          <w:iCs/>
        </w:rPr>
        <w:t>du Groupe de travail sur la détention arbitraire : mission au Maroc</w:t>
      </w:r>
      <w:r>
        <w:rPr>
          <w:i/>
          <w:iCs/>
        </w:rPr>
        <w:t>,</w:t>
      </w:r>
      <w:r w:rsidRPr="0077273E">
        <w:t xml:space="preserve"> </w:t>
      </w:r>
      <w:r w:rsidRPr="004B5DC6">
        <w:rPr>
          <w:i/>
          <w:iCs/>
        </w:rPr>
        <w:t>op.cit.</w:t>
      </w:r>
      <w:r>
        <w:t xml:space="preserve">, </w:t>
      </w:r>
      <w:r w:rsidRPr="0077273E">
        <w:rPr>
          <w:lang w:val="fr-FR"/>
        </w:rPr>
        <w:t>A/HRC/ 27/48/Add.5, 4 août 2014, para. 74</w:t>
      </w:r>
      <w:r>
        <w:rPr>
          <w:lang w:val="fr-FR"/>
        </w:rPr>
        <w:t>.</w:t>
      </w:r>
      <w:r w:rsidRPr="0077273E">
        <w:rPr>
          <w:lang w:val="fr-FR"/>
        </w:rPr>
        <w:t xml:space="preserve">  </w:t>
      </w:r>
    </w:p>
  </w:footnote>
  <w:footnote w:id="113">
    <w:p w14:paraId="2675CB09" w14:textId="6137F0FE" w:rsidR="005F2C66" w:rsidRPr="0077273E" w:rsidRDefault="005F2C66" w:rsidP="00E332A4">
      <w:pPr>
        <w:pStyle w:val="NBP"/>
        <w:tabs>
          <w:tab w:val="left" w:pos="284"/>
        </w:tabs>
        <w:ind w:left="284" w:hanging="284"/>
        <w:rPr>
          <w:lang w:val="fr-FR"/>
        </w:rPr>
      </w:pPr>
      <w:r w:rsidRPr="0077273E">
        <w:rPr>
          <w:rStyle w:val="FootnoteReference"/>
        </w:rPr>
        <w:footnoteRef/>
      </w:r>
      <w:r>
        <w:rPr>
          <w:lang w:val="fr-FR"/>
        </w:rPr>
        <w:t xml:space="preserve"> </w:t>
      </w:r>
      <w:r>
        <w:rPr>
          <w:lang w:val="fr-FR"/>
        </w:rPr>
        <w:tab/>
      </w:r>
      <w:r w:rsidRPr="0077273E">
        <w:rPr>
          <w:lang w:val="fr-FR"/>
        </w:rPr>
        <w:t xml:space="preserve">Comité des droits de l’homme, </w:t>
      </w:r>
      <w:r w:rsidRPr="0077273E">
        <w:rPr>
          <w:i/>
          <w:iCs/>
          <w:lang w:val="fr-FR"/>
        </w:rPr>
        <w:t>Bondar c. Ouzbékistan</w:t>
      </w:r>
      <w:r w:rsidRPr="0077273E">
        <w:rPr>
          <w:lang w:val="fr-FR"/>
        </w:rPr>
        <w:t xml:space="preserve">, communication n° 1769/2008, </w:t>
      </w:r>
      <w:r>
        <w:t>25 mars 2011,</w:t>
      </w:r>
      <w:r>
        <w:rPr>
          <w:lang w:val="fr-FR"/>
        </w:rPr>
        <w:t xml:space="preserve"> (</w:t>
      </w:r>
      <w:r w:rsidRPr="0077273E">
        <w:rPr>
          <w:lang w:val="fr-FR"/>
        </w:rPr>
        <w:t>CCPR/C/101/D/1769/2008</w:t>
      </w:r>
      <w:r>
        <w:rPr>
          <w:lang w:val="fr-FR"/>
        </w:rPr>
        <w:t>)</w:t>
      </w:r>
      <w:r w:rsidRPr="0077273E">
        <w:rPr>
          <w:lang w:val="fr-FR"/>
        </w:rPr>
        <w:t>, para. 7.6</w:t>
      </w:r>
      <w:r>
        <w:rPr>
          <w:lang w:val="fr-FR"/>
        </w:rPr>
        <w:t>.</w:t>
      </w:r>
    </w:p>
  </w:footnote>
  <w:footnote w:id="114">
    <w:p w14:paraId="0FFAE8D2" w14:textId="06757646"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F60942">
        <w:rPr>
          <w:i/>
          <w:iCs/>
        </w:rPr>
        <w:t>Rapport du Rapporteur spécial sur la torture, Mission au</w:t>
      </w:r>
      <w:r>
        <w:t xml:space="preserve"> </w:t>
      </w:r>
      <w:r w:rsidRPr="00F60942">
        <w:rPr>
          <w:i/>
          <w:iCs/>
        </w:rPr>
        <w:t>Maroc</w:t>
      </w:r>
      <w:r w:rsidRPr="0077273E">
        <w:rPr>
          <w:lang w:val="fr-FR"/>
        </w:rPr>
        <w:t>,</w:t>
      </w:r>
      <w:r>
        <w:rPr>
          <w:lang w:val="fr-FR"/>
        </w:rPr>
        <w:t xml:space="preserve"> </w:t>
      </w:r>
      <w:r w:rsidRPr="004B5DC6">
        <w:rPr>
          <w:i/>
          <w:iCs/>
          <w:lang w:val="fr-FR"/>
        </w:rPr>
        <w:t>op.cit.</w:t>
      </w:r>
      <w:r w:rsidRPr="0077273E">
        <w:rPr>
          <w:lang w:val="fr-FR"/>
        </w:rPr>
        <w:t>, para. 19</w:t>
      </w:r>
      <w:r>
        <w:rPr>
          <w:lang w:val="fr-FR"/>
        </w:rPr>
        <w:t>.</w:t>
      </w:r>
    </w:p>
  </w:footnote>
  <w:footnote w:id="115">
    <w:p w14:paraId="63351DBA" w14:textId="28605580"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 xml:space="preserve">., </w:t>
      </w:r>
      <w:r w:rsidRPr="0077273E">
        <w:t>para. 13</w:t>
      </w:r>
      <w:r>
        <w:t>.</w:t>
      </w:r>
    </w:p>
  </w:footnote>
  <w:footnote w:id="116">
    <w:p w14:paraId="07C25AFD" w14:textId="12BCE0F3" w:rsidR="005F2C66" w:rsidRPr="0077273E" w:rsidRDefault="005F2C66" w:rsidP="00E332A4">
      <w:pPr>
        <w:pStyle w:val="NBP"/>
        <w:tabs>
          <w:tab w:val="left" w:pos="284"/>
        </w:tabs>
        <w:ind w:left="284" w:hanging="284"/>
        <w:rPr>
          <w:highlight w:val="cyan"/>
        </w:rPr>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 47</w:t>
      </w:r>
      <w:r>
        <w:t>.</w:t>
      </w:r>
    </w:p>
  </w:footnote>
  <w:footnote w:id="117">
    <w:p w14:paraId="5A3DD35E" w14:textId="730E8EC2"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 25 à 27</w:t>
      </w:r>
      <w:r>
        <w:t>.</w:t>
      </w:r>
    </w:p>
  </w:footnote>
  <w:footnote w:id="118">
    <w:p w14:paraId="2298F32A" w14:textId="3F7BABA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w:t>
      </w:r>
      <w:r>
        <w:t xml:space="preserve"> </w:t>
      </w:r>
      <w:r w:rsidRPr="00F60942">
        <w:rPr>
          <w:i/>
          <w:iCs/>
        </w:rPr>
        <w:t>op.cit.</w:t>
      </w:r>
      <w:r>
        <w:t xml:space="preserve">, </w:t>
      </w:r>
      <w:r w:rsidRPr="0077273E">
        <w:t xml:space="preserve"> para</w:t>
      </w:r>
      <w:r>
        <w:t>s</w:t>
      </w:r>
      <w:r w:rsidRPr="0077273E">
        <w:t>. 91 à 96</w:t>
      </w:r>
      <w:r>
        <w:t>.</w:t>
      </w:r>
    </w:p>
  </w:footnote>
  <w:footnote w:id="119">
    <w:p w14:paraId="56930611" w14:textId="6CF0F1B1"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hyperlink r:id="rId22" w:history="1">
        <w:r w:rsidRPr="0077273E">
          <w:rPr>
            <w:rStyle w:val="Hyperlink"/>
          </w:rPr>
          <w:t>https://rsf.org/fr/maroc</w:t>
        </w:r>
      </w:hyperlink>
      <w:r w:rsidRPr="0077273E">
        <w:t xml:space="preserve"> (consulté le 2 septembre 2016).</w:t>
      </w:r>
    </w:p>
  </w:footnote>
  <w:footnote w:id="120">
    <w:p w14:paraId="16104138" w14:textId="72750663"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 xml:space="preserve">A côté de la presse traditionnelle ou partisane, une presse indépendante a émergé ou s’est renforcée, laquelle compte des journaux comme </w:t>
      </w:r>
      <w:r w:rsidRPr="0077273E">
        <w:rPr>
          <w:i/>
          <w:iCs/>
        </w:rPr>
        <w:t>Tel Quel, Assahifa, Al Ayyam, Al Massae</w:t>
      </w:r>
      <w:r w:rsidRPr="0077273E">
        <w:t>.</w:t>
      </w:r>
    </w:p>
  </w:footnote>
  <w:footnote w:id="121">
    <w:p w14:paraId="08A2B533" w14:textId="0E83042C"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Le gouvernement avait annoncé le 2 décembre 2000 l'interdiction simultanée de trois journaux (</w:t>
      </w:r>
      <w:r w:rsidRPr="0077273E">
        <w:rPr>
          <w:i/>
          <w:iCs/>
        </w:rPr>
        <w:t>Le Journal, Assahifa et Demain</w:t>
      </w:r>
      <w:r w:rsidRPr="0077273E">
        <w:t>). Cette décision a provoqué un véritable tollé au sein de monde politique et de l'opinion publique. Les procédures en référé à l’époque n’ont pas abouti à empêcher la disparition de ces journaux. La bataille judiciaire qui s’est engagée a poussé les principaux responsables de ces publications de publier à travers d’autres supports. Bien que de nouveaux titres aient pu finalement voir le jour, certains journalistes tels qu’Aboubakr Jamaï et Ali Lembaret ont continué à faire l’objet de fortes pressions voire se sont vus confisqués leur carte de presse.</w:t>
      </w:r>
    </w:p>
  </w:footnote>
  <w:footnote w:id="122">
    <w:p w14:paraId="299EB125" w14:textId="45F569F1" w:rsidR="005F2C66" w:rsidRDefault="005F2C66" w:rsidP="00E332A4">
      <w:pPr>
        <w:pStyle w:val="FootnoteText"/>
        <w:tabs>
          <w:tab w:val="left" w:pos="284"/>
        </w:tabs>
        <w:spacing w:after="0"/>
        <w:ind w:left="284" w:hanging="284"/>
      </w:pPr>
      <w:r>
        <w:rPr>
          <w:rStyle w:val="FootnoteReference"/>
        </w:rPr>
        <w:footnoteRef/>
      </w:r>
      <w:r>
        <w:t xml:space="preserve"> </w:t>
      </w:r>
      <w:r>
        <w:tab/>
        <w:t xml:space="preserve">Alkarama, </w:t>
      </w:r>
      <w:r w:rsidRPr="009040BE">
        <w:rPr>
          <w:i/>
          <w:iCs/>
        </w:rPr>
        <w:t>Maroc: Le journaliste Rachid Niny condamné à un an de prison</w:t>
      </w:r>
      <w:r w:rsidRPr="009040BE">
        <w:t xml:space="preserve">, 24 juin 2011, </w:t>
      </w:r>
      <w:hyperlink r:id="rId23" w:history="1">
        <w:r w:rsidRPr="00016A40">
          <w:rPr>
            <w:rStyle w:val="Hyperlink"/>
          </w:rPr>
          <w:t>http://fr.alkarama.org/component/k2/item/968-maroc-le-journaliste-rachid-niny-condamne-a-un-an-de-prison?Itemid</w:t>
        </w:r>
      </w:hyperlink>
      <w:r>
        <w:t>=</w:t>
      </w:r>
      <w:r w:rsidRPr="009040BE">
        <w:t>, (consulté le 19 septembre 2016)</w:t>
      </w:r>
      <w:r>
        <w:t>.</w:t>
      </w:r>
    </w:p>
  </w:footnote>
  <w:footnote w:id="123">
    <w:p w14:paraId="650E0D50" w14:textId="2E836F5D"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7273E">
        <w:rPr>
          <w:lang w:val="fr-FR"/>
        </w:rPr>
        <w:t xml:space="preserve">Alkarama, </w:t>
      </w:r>
      <w:r w:rsidRPr="0077273E">
        <w:rPr>
          <w:i/>
          <w:iCs/>
          <w:lang w:val="fr-FR"/>
        </w:rPr>
        <w:t>Maroc : Le journaliste Hicham Mansouri, détenu depuis plus de six mois pour « complicité d’adultère »</w:t>
      </w:r>
      <w:r>
        <w:rPr>
          <w:lang w:val="fr-FR"/>
        </w:rPr>
        <w:t xml:space="preserve">, 9 octobre 2015, </w:t>
      </w:r>
      <w:hyperlink r:id="rId24" w:history="1">
        <w:r w:rsidRPr="0077273E">
          <w:rPr>
            <w:rStyle w:val="Hyperlink"/>
            <w:lang w:val="fr-FR"/>
          </w:rPr>
          <w:t>http://fr.alkarama.org/item/1965-maroc-le-journaliste-hicham-mansouri-detenu-depuis-plus-de-six-mois-pour-complicite-d-adultere</w:t>
        </w:r>
      </w:hyperlink>
      <w:r w:rsidRPr="0077273E">
        <w:rPr>
          <w:lang w:val="fr-FR"/>
        </w:rPr>
        <w:t xml:space="preserve"> </w:t>
      </w:r>
      <w:r>
        <w:rPr>
          <w:lang w:val="fr-FR"/>
        </w:rPr>
        <w:t xml:space="preserve"> (consulté le 19 septembre 2016).</w:t>
      </w:r>
    </w:p>
  </w:footnote>
  <w:footnote w:id="124">
    <w:p w14:paraId="3F532B87" w14:textId="67DE7181" w:rsidR="005F2C66" w:rsidRPr="0077273E" w:rsidRDefault="005F2C66" w:rsidP="00E332A4">
      <w:pPr>
        <w:pStyle w:val="NBP"/>
        <w:tabs>
          <w:tab w:val="left" w:pos="284"/>
        </w:tabs>
        <w:ind w:left="284" w:hanging="284"/>
        <w:rPr>
          <w:lang w:val="fr-FR"/>
        </w:rPr>
      </w:pPr>
      <w:r w:rsidRPr="0077273E">
        <w:rPr>
          <w:rStyle w:val="FootnoteReference"/>
        </w:rPr>
        <w:footnoteRef/>
      </w:r>
      <w:r>
        <w:rPr>
          <w:lang w:val="fr-FR"/>
        </w:rPr>
        <w:t xml:space="preserve"> </w:t>
      </w:r>
      <w:r>
        <w:rPr>
          <w:lang w:val="fr-FR"/>
        </w:rPr>
        <w:tab/>
      </w:r>
      <w:r w:rsidRPr="0077273E">
        <w:rPr>
          <w:lang w:val="fr-FR"/>
        </w:rPr>
        <w:t xml:space="preserve">Bazonnet Charlotte, « Le Maroc arrête deux journalistes français », </w:t>
      </w:r>
      <w:r w:rsidRPr="00CF3EDC">
        <w:rPr>
          <w:i/>
          <w:iCs/>
          <w:lang w:val="fr-FR"/>
        </w:rPr>
        <w:t>Le Monde</w:t>
      </w:r>
      <w:r w:rsidRPr="0077273E">
        <w:rPr>
          <w:lang w:val="fr-FR"/>
        </w:rPr>
        <w:t xml:space="preserve"> [En ligne], 2015, </w:t>
      </w:r>
      <w:hyperlink r:id="rId25" w:history="1">
        <w:r w:rsidRPr="0077273E">
          <w:rPr>
            <w:rStyle w:val="Hyperlink"/>
            <w:lang w:val="fr-FR"/>
          </w:rPr>
          <w:t>http://www.lemonde.fr/actualite-medias/article/2015/02/16/deux-journalistes-francais-arretes-et-expulses-du-maroc_4577053_3236.html</w:t>
        </w:r>
      </w:hyperlink>
      <w:r w:rsidRPr="0077273E">
        <w:rPr>
          <w:lang w:val="fr-FR"/>
        </w:rPr>
        <w:t xml:space="preserve"> </w:t>
      </w:r>
      <w:r>
        <w:rPr>
          <w:lang w:val="fr-FR"/>
        </w:rPr>
        <w:t>(consulté le 19 septembre 2016).</w:t>
      </w:r>
    </w:p>
  </w:footnote>
  <w:footnote w:id="125">
    <w:p w14:paraId="7472007E" w14:textId="5BE83AE2"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t>P</w:t>
      </w:r>
      <w:r w:rsidRPr="004232B5">
        <w:rPr>
          <w:lang w:val="fr-FR"/>
        </w:rPr>
        <w:t xml:space="preserve">rojet de </w:t>
      </w:r>
      <w:r>
        <w:rPr>
          <w:lang w:val="fr-FR"/>
        </w:rPr>
        <w:t xml:space="preserve">loi n° 88-13 portant </w:t>
      </w:r>
      <w:r w:rsidRPr="004232B5">
        <w:rPr>
          <w:lang w:val="fr-FR"/>
        </w:rPr>
        <w:t xml:space="preserve">Code de la presse </w:t>
      </w:r>
      <w:hyperlink r:id="rId26" w:history="1">
        <w:r w:rsidRPr="0077273E">
          <w:rPr>
            <w:rStyle w:val="Hyperlink"/>
            <w:lang w:val="fr-FR"/>
          </w:rPr>
          <w:t>http://www.sgg.gov.ma/Portals/1/lois/projet_loi_88.13.pdf?ver=2015-11-10-134945-340</w:t>
        </w:r>
      </w:hyperlink>
      <w:r w:rsidRPr="0077273E">
        <w:rPr>
          <w:lang w:val="fr-FR"/>
        </w:rPr>
        <w:t>, disponible en arabe (consulté le 1</w:t>
      </w:r>
      <w:r w:rsidRPr="0077273E">
        <w:rPr>
          <w:vertAlign w:val="superscript"/>
          <w:lang w:val="fr-FR"/>
        </w:rPr>
        <w:t>er</w:t>
      </w:r>
      <w:r w:rsidRPr="0077273E">
        <w:rPr>
          <w:lang w:val="fr-FR"/>
        </w:rPr>
        <w:t xml:space="preserve"> septembre 2016)</w:t>
      </w:r>
      <w:r>
        <w:rPr>
          <w:lang w:val="fr-FR"/>
        </w:rPr>
        <w:t>.</w:t>
      </w:r>
    </w:p>
  </w:footnote>
  <w:footnote w:id="126">
    <w:p w14:paraId="5489E3D9" w14:textId="7727DED8"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Projet de loi n° 73-15, </w:t>
      </w:r>
      <w:hyperlink r:id="rId27" w:history="1">
        <w:r w:rsidRPr="0077273E">
          <w:rPr>
            <w:rStyle w:val="Hyperlink"/>
          </w:rPr>
          <w:t>http://www.chambredesrepresentants.ma/sites/default/files/loi/73.15.pdf</w:t>
        </w:r>
      </w:hyperlink>
      <w:r w:rsidRPr="0077273E">
        <w:t>, disponible en arabe (consulté le 2 septembre 2016).</w:t>
      </w:r>
    </w:p>
  </w:footnote>
  <w:footnote w:id="127">
    <w:p w14:paraId="0F4353D1" w14:textId="4F9CF024"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w:t>
      </w:r>
      <w:r w:rsidRPr="0077273E">
        <w:t>, para. 10</w:t>
      </w:r>
      <w:r>
        <w:t>.</w:t>
      </w:r>
    </w:p>
  </w:footnote>
  <w:footnote w:id="128">
    <w:p w14:paraId="7F8FCF70" w14:textId="27298CEB"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D85404">
        <w:rPr>
          <w:i/>
          <w:iCs/>
        </w:rPr>
        <w:t>Sixième rapp</w:t>
      </w:r>
      <w:r>
        <w:rPr>
          <w:i/>
          <w:iCs/>
        </w:rPr>
        <w:t>ort périodique de l’Etat partie, op.cit.</w:t>
      </w:r>
      <w:r w:rsidRPr="0077273E">
        <w:t>, para</w:t>
      </w:r>
      <w:r>
        <w:t>s</w:t>
      </w:r>
      <w:r w:rsidRPr="0077273E">
        <w:t>. 25 à 27</w:t>
      </w:r>
      <w:r>
        <w:t>.</w:t>
      </w:r>
    </w:p>
  </w:footnote>
  <w:footnote w:id="129">
    <w:p w14:paraId="5EA86C57" w14:textId="6041454A"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w:t>
      </w:r>
      <w:r>
        <w:t xml:space="preserve"> </w:t>
      </w:r>
      <w:r w:rsidRPr="00F60942">
        <w:rPr>
          <w:i/>
          <w:iCs/>
        </w:rPr>
        <w:t>op.cit.</w:t>
      </w:r>
      <w:r>
        <w:t xml:space="preserve">, </w:t>
      </w:r>
      <w:r w:rsidRPr="0077273E">
        <w:t>para</w:t>
      </w:r>
      <w:r>
        <w:t>s</w:t>
      </w:r>
      <w:r w:rsidRPr="0077273E">
        <w:t>. 91 à 96</w:t>
      </w:r>
      <w:r>
        <w:t>.</w:t>
      </w:r>
    </w:p>
  </w:footnote>
  <w:footnote w:id="130">
    <w:p w14:paraId="4BD46FAA" w14:textId="27D0E723"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4522EF">
        <w:rPr>
          <w:i/>
          <w:iCs/>
        </w:rPr>
        <w:t>Réponses du Maroc à la liste de points</w:t>
      </w:r>
      <w:r w:rsidRPr="0077273E">
        <w:t>,</w:t>
      </w:r>
      <w:r>
        <w:t xml:space="preserve"> </w:t>
      </w:r>
      <w:r w:rsidRPr="00F60942">
        <w:rPr>
          <w:i/>
          <w:iCs/>
        </w:rPr>
        <w:t>op.cit.</w:t>
      </w:r>
      <w:r>
        <w:t xml:space="preserve">, </w:t>
      </w:r>
      <w:r w:rsidRPr="0077273E">
        <w:t>para. 27.</w:t>
      </w:r>
    </w:p>
  </w:footnote>
  <w:footnote w:id="131">
    <w:p w14:paraId="7770858A" w14:textId="14400175"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Human Rights Watch, </w:t>
      </w:r>
      <w:r w:rsidRPr="0077273E">
        <w:rPr>
          <w:i/>
        </w:rPr>
        <w:t>Rapport mondial 2016: Maroc et Sahara occidental</w:t>
      </w:r>
      <w:r w:rsidRPr="0077273E">
        <w:t xml:space="preserve">, </w:t>
      </w:r>
      <w:hyperlink r:id="rId28" w:history="1">
        <w:r w:rsidRPr="0077273E">
          <w:rPr>
            <w:rStyle w:val="Hyperlink"/>
          </w:rPr>
          <w:t>https://www.hrw.org/fr/world-report/2016/country-chapters/285663</w:t>
        </w:r>
      </w:hyperlink>
      <w:r w:rsidRPr="0077273E">
        <w:t xml:space="preserve"> (consulté le 2 septembre 2016).</w:t>
      </w:r>
    </w:p>
  </w:footnote>
  <w:footnote w:id="132">
    <w:p w14:paraId="1E751611" w14:textId="7684B3E0" w:rsidR="005F2C66" w:rsidRPr="0077273E" w:rsidRDefault="005F2C66" w:rsidP="00E332A4">
      <w:pPr>
        <w:pStyle w:val="NBP"/>
        <w:tabs>
          <w:tab w:val="left" w:pos="284"/>
        </w:tabs>
        <w:ind w:left="284" w:hanging="284"/>
        <w:rPr>
          <w:lang w:val="fr-FR"/>
        </w:rPr>
      </w:pPr>
      <w:r w:rsidRPr="0077273E">
        <w:rPr>
          <w:rStyle w:val="FootnoteReference"/>
        </w:rPr>
        <w:footnoteRef/>
      </w:r>
      <w:r w:rsidRPr="0077273E">
        <w:rPr>
          <w:lang w:val="fr-FR"/>
        </w:rPr>
        <w:t xml:space="preserve"> </w:t>
      </w:r>
      <w:r>
        <w:rPr>
          <w:lang w:val="fr-FR"/>
        </w:rPr>
        <w:tab/>
      </w:r>
      <w:r w:rsidRPr="007F6223">
        <w:rPr>
          <w:i/>
          <w:iCs/>
          <w:lang w:val="fr-FR"/>
        </w:rPr>
        <w:t>Dahir</w:t>
      </w:r>
      <w:r w:rsidRPr="0077273E">
        <w:rPr>
          <w:lang w:val="fr-FR"/>
        </w:rPr>
        <w:t xml:space="preserve"> n° 1-58-377 régissant le droit des rassemblements publics, article 11.</w:t>
      </w:r>
    </w:p>
  </w:footnote>
  <w:footnote w:id="133">
    <w:p w14:paraId="62232DBA" w14:textId="5BF5986D"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Amnesty International, Maroc et Sahara occidental 2015/2016, </w:t>
      </w:r>
      <w:hyperlink r:id="rId29" w:history="1">
        <w:r w:rsidRPr="0077273E">
          <w:rPr>
            <w:rStyle w:val="Hyperlink"/>
          </w:rPr>
          <w:t>https://www.amnesty.org/fr/countries/middle-east-and-north-africa/morocco/report-morocco/</w:t>
        </w:r>
      </w:hyperlink>
      <w:r w:rsidRPr="0077273E">
        <w:t xml:space="preserve"> (consulté le 2 septembre 2016). </w:t>
      </w:r>
    </w:p>
  </w:footnote>
  <w:footnote w:id="134">
    <w:p w14:paraId="2D8E3B37" w14:textId="77E577C5"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F6223">
        <w:rPr>
          <w:i/>
          <w:iCs/>
          <w:lang w:val="fr-FR"/>
        </w:rPr>
        <w:t>Dahir</w:t>
      </w:r>
      <w:r w:rsidRPr="0077273E">
        <w:rPr>
          <w:lang w:val="fr-FR"/>
        </w:rPr>
        <w:t xml:space="preserve"> n° 1-58-377 régissant le droit des rassemblements publics</w:t>
      </w:r>
      <w:r w:rsidRPr="0077273E">
        <w:t>, article 19.</w:t>
      </w:r>
    </w:p>
  </w:footnote>
  <w:footnote w:id="135">
    <w:p w14:paraId="0C73394C" w14:textId="3930A92B"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77273E">
        <w:t xml:space="preserve">Huffington Post, </w:t>
      </w:r>
      <w:r w:rsidRPr="0077273E">
        <w:rPr>
          <w:i/>
        </w:rPr>
        <w:t>Après le sit-in réprimé à Rabat, le ministère de la Justice fait une piqûre de rappel contre les violences politicières</w:t>
      </w:r>
      <w:r w:rsidRPr="0077273E">
        <w:t xml:space="preserve">, 14 octobre 2015, </w:t>
      </w:r>
      <w:hyperlink r:id="rId30" w:history="1">
        <w:r w:rsidRPr="0077273E">
          <w:rPr>
            <w:rStyle w:val="Hyperlink"/>
          </w:rPr>
          <w:t>http://www.huffpostmaghreb.com/2015/10/14/sit-in-reprime-rabat-ministere-justice-circulaire-violences-police_n_8292370.html</w:t>
        </w:r>
      </w:hyperlink>
      <w:r w:rsidRPr="0077273E">
        <w:t xml:space="preserve"> (consulté le 2 septembre 2016).</w:t>
      </w:r>
    </w:p>
  </w:footnote>
  <w:footnote w:id="136">
    <w:p w14:paraId="3B69CB7C" w14:textId="1AD69FFA" w:rsidR="005F2C66" w:rsidRPr="0077273E" w:rsidRDefault="005F2C66" w:rsidP="00E332A4">
      <w:pPr>
        <w:pStyle w:val="NBP"/>
        <w:tabs>
          <w:tab w:val="left" w:pos="284"/>
        </w:tabs>
        <w:ind w:left="284" w:hanging="284"/>
      </w:pPr>
      <w:r w:rsidRPr="0077273E">
        <w:rPr>
          <w:rStyle w:val="FootnoteReference"/>
        </w:rPr>
        <w:footnoteRef/>
      </w:r>
      <w:r>
        <w:t xml:space="preserve"> </w:t>
      </w:r>
      <w:r>
        <w:tab/>
      </w:r>
      <w:r w:rsidRPr="0077273E">
        <w:t xml:space="preserve">Human Rights Watch, </w:t>
      </w:r>
      <w:r w:rsidRPr="0077273E">
        <w:rPr>
          <w:i/>
        </w:rPr>
        <w:t>Maroc: Dispersion violente de manifestations pacifiques</w:t>
      </w:r>
      <w:r w:rsidRPr="0077273E">
        <w:t xml:space="preserve">, 18 janvier 2016, </w:t>
      </w:r>
      <w:hyperlink r:id="rId31" w:history="1">
        <w:r w:rsidRPr="0077273E">
          <w:rPr>
            <w:rStyle w:val="Hyperlink"/>
          </w:rPr>
          <w:t>https://www.hrw.org/fr/news/2016/01/18/maroc-dispersion-violente-de-manifestations-pacifiques</w:t>
        </w:r>
      </w:hyperlink>
      <w:r w:rsidRPr="0077273E">
        <w:t xml:space="preserve"> (consulté le 2 septembre 2016).</w:t>
      </w:r>
    </w:p>
  </w:footnote>
  <w:footnote w:id="137">
    <w:p w14:paraId="3258FB7F" w14:textId="36C40CFE"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F60942">
        <w:rPr>
          <w:i/>
          <w:iCs/>
        </w:rPr>
        <w:t>Rapport du Rapporteur spécial sur la torture, Mission au</w:t>
      </w:r>
      <w:r>
        <w:t xml:space="preserve"> </w:t>
      </w:r>
      <w:r w:rsidRPr="00F60942">
        <w:rPr>
          <w:i/>
          <w:iCs/>
        </w:rPr>
        <w:t>Maroc</w:t>
      </w:r>
      <w:r w:rsidRPr="0077273E">
        <w:rPr>
          <w:lang w:val="fr-FR"/>
        </w:rPr>
        <w:t>,</w:t>
      </w:r>
      <w:r>
        <w:rPr>
          <w:lang w:val="fr-FR"/>
        </w:rPr>
        <w:t xml:space="preserve"> </w:t>
      </w:r>
      <w:r w:rsidRPr="004B5DC6">
        <w:rPr>
          <w:i/>
          <w:iCs/>
          <w:lang w:val="fr-FR"/>
        </w:rPr>
        <w:t>op.cit.</w:t>
      </w:r>
      <w:r w:rsidRPr="0077273E">
        <w:rPr>
          <w:lang w:val="fr-FR"/>
        </w:rPr>
        <w:t xml:space="preserve">, </w:t>
      </w:r>
      <w:r>
        <w:rPr>
          <w:lang w:val="fr-FR"/>
        </w:rPr>
        <w:t>para. 96.</w:t>
      </w:r>
    </w:p>
  </w:footnote>
  <w:footnote w:id="138">
    <w:p w14:paraId="4E66B79E" w14:textId="43D2E4F6" w:rsidR="005F2C66" w:rsidRPr="0077273E" w:rsidRDefault="005F2C66" w:rsidP="00E332A4">
      <w:pPr>
        <w:pStyle w:val="FootnoteText"/>
        <w:tabs>
          <w:tab w:val="left" w:pos="284"/>
        </w:tabs>
        <w:spacing w:after="0"/>
        <w:ind w:left="284" w:hanging="284"/>
        <w:rPr>
          <w:rFonts w:cs="Tahoma"/>
          <w:szCs w:val="16"/>
        </w:rPr>
      </w:pPr>
      <w:r w:rsidRPr="0077273E">
        <w:rPr>
          <w:rStyle w:val="FootnoteReference"/>
          <w:rFonts w:cs="Tahoma"/>
          <w:szCs w:val="16"/>
        </w:rPr>
        <w:footnoteRef/>
      </w:r>
      <w:r w:rsidRPr="0077273E">
        <w:rPr>
          <w:rFonts w:cs="Tahoma"/>
          <w:szCs w:val="16"/>
        </w:rPr>
        <w:t xml:space="preserve"> </w:t>
      </w:r>
      <w:r>
        <w:rPr>
          <w:rFonts w:cs="Tahoma"/>
          <w:szCs w:val="16"/>
        </w:rPr>
        <w:tab/>
      </w:r>
      <w:r w:rsidRPr="00DF67EE">
        <w:rPr>
          <w:rFonts w:cs="Tahoma"/>
          <w:szCs w:val="16"/>
        </w:rPr>
        <w:t xml:space="preserve">Alkarama, </w:t>
      </w:r>
      <w:r w:rsidRPr="00805C8F">
        <w:rPr>
          <w:rFonts w:cs="Tahoma"/>
          <w:i/>
          <w:iCs/>
          <w:szCs w:val="16"/>
        </w:rPr>
        <w:t>Maroc: La fiancée d'un défenseur des droits de l'homme maltraitée, puis relâchée par les services de renseignement</w:t>
      </w:r>
      <w:r w:rsidRPr="00DF67EE">
        <w:rPr>
          <w:rFonts w:cs="Tahoma"/>
          <w:szCs w:val="16"/>
        </w:rPr>
        <w:t xml:space="preserve">, 9 novembre 2012, </w:t>
      </w:r>
      <w:hyperlink r:id="rId32" w:history="1">
        <w:r w:rsidRPr="00DF67EE">
          <w:rPr>
            <w:rStyle w:val="Hyperlink"/>
            <w:rFonts w:cs="Tahoma"/>
            <w:szCs w:val="16"/>
          </w:rPr>
          <w:t>http://fr.alkarama.org/component/k2/item/1223-maroc-la-fiancee-d-un-defenseur-des-droits-de-l-homme-maltraitee-puis-relachee-par-les-services-de-renseignement?Itemid</w:t>
        </w:r>
      </w:hyperlink>
      <w:r w:rsidRPr="00DF67EE">
        <w:rPr>
          <w:rFonts w:cs="Tahoma"/>
          <w:szCs w:val="16"/>
        </w:rPr>
        <w:t>=, (consulté le 19 septembre 2016).</w:t>
      </w:r>
    </w:p>
  </w:footnote>
  <w:footnote w:id="139">
    <w:p w14:paraId="5707FD72" w14:textId="14989F45" w:rsidR="005F2C66" w:rsidRPr="0077273E" w:rsidRDefault="005F2C66" w:rsidP="00E332A4">
      <w:pPr>
        <w:tabs>
          <w:tab w:val="left" w:pos="284"/>
        </w:tabs>
        <w:spacing w:after="0"/>
        <w:ind w:left="284" w:hanging="284"/>
        <w:rPr>
          <w:rFonts w:cs="Tahoma"/>
          <w:sz w:val="16"/>
          <w:szCs w:val="16"/>
        </w:rPr>
      </w:pPr>
      <w:r w:rsidRPr="0077273E">
        <w:rPr>
          <w:rStyle w:val="FootnoteReference"/>
          <w:rFonts w:cs="Tahoma"/>
          <w:sz w:val="16"/>
          <w:szCs w:val="16"/>
        </w:rPr>
        <w:footnoteRef/>
      </w:r>
      <w:r w:rsidRPr="0077273E">
        <w:rPr>
          <w:rFonts w:cs="Tahoma"/>
          <w:sz w:val="16"/>
          <w:szCs w:val="16"/>
        </w:rPr>
        <w:t xml:space="preserve"> </w:t>
      </w:r>
      <w:r>
        <w:rPr>
          <w:rFonts w:cs="Tahoma"/>
          <w:sz w:val="16"/>
          <w:szCs w:val="16"/>
        </w:rPr>
        <w:tab/>
      </w:r>
      <w:r w:rsidRPr="0077273E">
        <w:rPr>
          <w:rFonts w:cs="Tahoma"/>
          <w:sz w:val="16"/>
          <w:szCs w:val="16"/>
        </w:rPr>
        <w:t>« L’expérience de l’Instance Équité et Réconciliation au Maroc »</w:t>
      </w:r>
      <w:r>
        <w:rPr>
          <w:rFonts w:cs="Tahoma"/>
          <w:sz w:val="16"/>
          <w:szCs w:val="16"/>
        </w:rPr>
        <w:t>,</w:t>
      </w:r>
      <w:r w:rsidRPr="0077273E">
        <w:rPr>
          <w:rFonts w:cs="Tahoma"/>
          <w:i/>
          <w:iCs/>
          <w:sz w:val="16"/>
          <w:szCs w:val="16"/>
        </w:rPr>
        <w:t> Recherches internationales</w:t>
      </w:r>
      <w:r w:rsidRPr="0077273E">
        <w:rPr>
          <w:rFonts w:cs="Tahoma"/>
          <w:sz w:val="16"/>
          <w:szCs w:val="16"/>
        </w:rPr>
        <w:t>, n° 77, 3 - 2006, pp. 81-86</w:t>
      </w:r>
      <w:r>
        <w:rPr>
          <w:rFonts w:cs="Tahoma"/>
          <w:sz w:val="16"/>
          <w:szCs w:val="16"/>
        </w:rPr>
        <w:t>.</w:t>
      </w:r>
    </w:p>
  </w:footnote>
  <w:footnote w:id="140">
    <w:p w14:paraId="213FD617" w14:textId="2C860E84" w:rsidR="005F2C66" w:rsidRDefault="005F2C66" w:rsidP="00E332A4">
      <w:pPr>
        <w:pStyle w:val="FootnoteText"/>
        <w:tabs>
          <w:tab w:val="left" w:pos="284"/>
        </w:tabs>
        <w:spacing w:after="0"/>
        <w:ind w:left="284" w:hanging="284"/>
      </w:pPr>
      <w:r>
        <w:rPr>
          <w:rStyle w:val="FootnoteReference"/>
        </w:rPr>
        <w:footnoteRef/>
      </w:r>
      <w:r>
        <w:t xml:space="preserve"> </w:t>
      </w:r>
      <w:r>
        <w:tab/>
        <w:t>Les « années de plomb » est une expression générique utilisée pour désigner les années qui ont suivi le coup d’état de 1971 jusqu’au début des années 1990 durant le règne du Roi Hassan II.</w:t>
      </w:r>
    </w:p>
  </w:footnote>
  <w:footnote w:id="141">
    <w:p w14:paraId="08FF807E" w14:textId="322C0DE2"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 xml:space="preserve">Instance Equité Réconciliation, </w:t>
      </w:r>
      <w:r w:rsidRPr="0077273E">
        <w:rPr>
          <w:i/>
          <w:iCs/>
        </w:rPr>
        <w:t>Rapport final, Volume 2 : Vérité et responsabilité des violations</w:t>
      </w:r>
      <w:r w:rsidRPr="0077273E">
        <w:t xml:space="preserve">, décembre 2009, p. 90-91. </w:t>
      </w:r>
      <w:hyperlink r:id="rId33" w:history="1">
        <w:r w:rsidRPr="00016A40">
          <w:rPr>
            <w:rStyle w:val="Hyperlink"/>
          </w:rPr>
          <w:t>http://www.ccdh.org.ma/spip.php?article2851</w:t>
        </w:r>
      </w:hyperlink>
      <w:r>
        <w:t xml:space="preserve"> </w:t>
      </w:r>
      <w:r w:rsidRPr="0077273E">
        <w:t>(consulté le 15 août 201</w:t>
      </w:r>
      <w:r>
        <w:t>6</w:t>
      </w:r>
      <w:r w:rsidRPr="0077273E">
        <w:t>)</w:t>
      </w:r>
      <w:r>
        <w:t>.</w:t>
      </w:r>
    </w:p>
  </w:footnote>
  <w:footnote w:id="142">
    <w:p w14:paraId="2768FDAD" w14:textId="3186F1BE" w:rsidR="005F2C66" w:rsidRPr="0077273E" w:rsidRDefault="005F2C66" w:rsidP="00E332A4">
      <w:pPr>
        <w:pStyle w:val="NBP"/>
        <w:tabs>
          <w:tab w:val="left" w:pos="284"/>
        </w:tabs>
        <w:ind w:left="284" w:hanging="284"/>
      </w:pPr>
      <w:r w:rsidRPr="0077273E">
        <w:rPr>
          <w:rStyle w:val="Funotenzeichen"/>
        </w:rPr>
        <w:footnoteRef/>
      </w:r>
      <w:r w:rsidRPr="0077273E">
        <w:t xml:space="preserve"> </w:t>
      </w:r>
      <w:r>
        <w:tab/>
      </w:r>
      <w:r w:rsidRPr="0077273E">
        <w:t>Instance Equité et réconciliation, Commission nationale pour la vérité, l'équité et la réconciliation, S</w:t>
      </w:r>
      <w:r w:rsidRPr="0077273E">
        <w:rPr>
          <w:i/>
          <w:iCs/>
        </w:rPr>
        <w:t>ynthèse du rapport final</w:t>
      </w:r>
      <w:r w:rsidRPr="0077273E">
        <w:t xml:space="preserve">, 2006, p. 12, </w:t>
      </w:r>
      <w:hyperlink r:id="rId34" w:history="1">
        <w:r w:rsidRPr="00016A40">
          <w:rPr>
            <w:rStyle w:val="Hyperlink"/>
          </w:rPr>
          <w:t>http://www.ccdh.org.ma/IMG/pdf/rapport_final_mar_fr_.pdf</w:t>
        </w:r>
      </w:hyperlink>
      <w:r>
        <w:t xml:space="preserve"> (consulté le 15 août 2016</w:t>
      </w:r>
      <w:r w:rsidRPr="0077273E">
        <w:t>)</w:t>
      </w:r>
      <w:r>
        <w:t>.</w:t>
      </w:r>
    </w:p>
  </w:footnote>
  <w:footnote w:id="143">
    <w:p w14:paraId="3F41E385" w14:textId="20F4D5D3" w:rsidR="005F2C66" w:rsidRPr="0077273E" w:rsidRDefault="005F2C66" w:rsidP="00E332A4">
      <w:pPr>
        <w:pStyle w:val="NBP"/>
        <w:tabs>
          <w:tab w:val="left" w:pos="284"/>
        </w:tabs>
        <w:ind w:left="284" w:hanging="284"/>
      </w:pPr>
      <w:r w:rsidRPr="0077273E">
        <w:rPr>
          <w:rStyle w:val="FootnoteReference"/>
        </w:rPr>
        <w:footnoteRef/>
      </w:r>
      <w:r w:rsidRPr="0077273E">
        <w:t xml:space="preserve"> </w:t>
      </w:r>
      <w:r>
        <w:tab/>
      </w:r>
      <w:r w:rsidRPr="00B41F95">
        <w:rPr>
          <w:i/>
          <w:iCs/>
        </w:rPr>
        <w:t>Liste des points</w:t>
      </w:r>
      <w:r w:rsidRPr="0077273E">
        <w:t xml:space="preserve">, </w:t>
      </w:r>
      <w:r w:rsidRPr="00D85404">
        <w:rPr>
          <w:i/>
          <w:iCs/>
        </w:rPr>
        <w:t>op.cit</w:t>
      </w:r>
      <w:r>
        <w:t>., paras. 16 et 17.</w:t>
      </w:r>
    </w:p>
  </w:footnote>
  <w:footnote w:id="144">
    <w:p w14:paraId="195931AD" w14:textId="50F0585A" w:rsidR="005F2C66" w:rsidRPr="0077273E" w:rsidRDefault="005F2C66" w:rsidP="00E332A4">
      <w:pPr>
        <w:pStyle w:val="NBP"/>
        <w:tabs>
          <w:tab w:val="left" w:pos="284"/>
        </w:tabs>
        <w:ind w:left="284" w:hanging="284"/>
        <w:jc w:val="left"/>
      </w:pPr>
      <w:r w:rsidRPr="0077273E">
        <w:rPr>
          <w:rStyle w:val="Funotenzeichen"/>
        </w:rPr>
        <w:footnoteRef/>
      </w:r>
      <w:r w:rsidRPr="0077273E">
        <w:t xml:space="preserve"> </w:t>
      </w:r>
      <w:r>
        <w:tab/>
      </w:r>
      <w:r w:rsidRPr="0077273E">
        <w:t xml:space="preserve">Conseil consultatif des droits de l'homme, </w:t>
      </w:r>
      <w:r w:rsidRPr="0077273E">
        <w:rPr>
          <w:i/>
          <w:iCs/>
        </w:rPr>
        <w:t>Rapport sur le suivi de la mise en œuvre des recommandations de l’instance Equité et Réconciliation</w:t>
      </w:r>
      <w:r w:rsidRPr="0077273E">
        <w:t xml:space="preserve">, décembre 2009, p. 52, </w:t>
      </w:r>
      <w:hyperlink r:id="rId35" w:history="1">
        <w:r w:rsidRPr="0077273E">
          <w:rPr>
            <w:rStyle w:val="Hyperlink"/>
          </w:rPr>
          <w:t>http://www.ccdh.org.ma/IMG/pdf/rapport_mise_en_oeurvre_recom_IER_en_Frc.pdf</w:t>
        </w:r>
      </w:hyperlink>
      <w:r w:rsidRPr="0077273E">
        <w:t xml:space="preserve"> (consulté le 5 septembre 2016)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30C74A" w14:textId="77777777" w:rsidR="005F2C66" w:rsidRPr="006F2A9F" w:rsidRDefault="005F2C66" w:rsidP="00050E2E">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E255E"/>
    <w:multiLevelType w:val="multilevel"/>
    <w:tmpl w:val="956E1B46"/>
    <w:styleLink w:val="Liste21"/>
    <w:lvl w:ilvl="0">
      <w:numFmt w:val="bullet"/>
      <w:lvlText w:val="•"/>
      <w:lvlJc w:val="left"/>
      <w:pPr>
        <w:tabs>
          <w:tab w:val="num" w:pos="720"/>
        </w:tabs>
        <w:ind w:left="720" w:hanging="360"/>
      </w:pPr>
      <w:rPr>
        <w:rFonts w:ascii="Tahoma" w:eastAsia="Tahoma" w:hAnsi="Tahoma" w:cs="Courier New"/>
        <w:position w:val="0"/>
        <w:sz w:val="24"/>
        <w:szCs w:val="24"/>
        <w:lang w:val="en-US"/>
      </w:rPr>
    </w:lvl>
    <w:lvl w:ilvl="1">
      <w:start w:val="1"/>
      <w:numFmt w:val="bullet"/>
      <w:lvlText w:val="o"/>
      <w:lvlJc w:val="left"/>
      <w:pPr>
        <w:tabs>
          <w:tab w:val="num" w:pos="1410"/>
        </w:tabs>
        <w:ind w:left="1410" w:hanging="330"/>
      </w:pPr>
      <w:rPr>
        <w:rFonts w:ascii="Tahoma" w:eastAsia="Tahoma" w:hAnsi="Tahoma" w:cs="Courier New"/>
        <w:position w:val="0"/>
        <w:sz w:val="22"/>
        <w:szCs w:val="22"/>
        <w:lang w:val="en-US"/>
      </w:rPr>
    </w:lvl>
    <w:lvl w:ilvl="2">
      <w:start w:val="1"/>
      <w:numFmt w:val="bullet"/>
      <w:lvlText w:val="▪"/>
      <w:lvlJc w:val="left"/>
      <w:pPr>
        <w:tabs>
          <w:tab w:val="num" w:pos="2130"/>
        </w:tabs>
        <w:ind w:left="2130" w:hanging="330"/>
      </w:pPr>
      <w:rPr>
        <w:rFonts w:ascii="Tahoma" w:eastAsia="Tahoma" w:hAnsi="Tahoma" w:cs="Courier New"/>
        <w:position w:val="0"/>
        <w:sz w:val="22"/>
        <w:szCs w:val="22"/>
        <w:lang w:val="en-US"/>
      </w:rPr>
    </w:lvl>
    <w:lvl w:ilvl="3">
      <w:start w:val="1"/>
      <w:numFmt w:val="bullet"/>
      <w:lvlText w:val="•"/>
      <w:lvlJc w:val="left"/>
      <w:pPr>
        <w:tabs>
          <w:tab w:val="num" w:pos="2850"/>
        </w:tabs>
        <w:ind w:left="2850" w:hanging="330"/>
      </w:pPr>
      <w:rPr>
        <w:rFonts w:ascii="Tahoma" w:eastAsia="Tahoma" w:hAnsi="Tahoma" w:cs="Courier New"/>
        <w:position w:val="0"/>
        <w:sz w:val="22"/>
        <w:szCs w:val="22"/>
        <w:lang w:val="en-US"/>
      </w:rPr>
    </w:lvl>
    <w:lvl w:ilvl="4">
      <w:start w:val="1"/>
      <w:numFmt w:val="bullet"/>
      <w:lvlText w:val="o"/>
      <w:lvlJc w:val="left"/>
      <w:pPr>
        <w:tabs>
          <w:tab w:val="num" w:pos="3570"/>
        </w:tabs>
        <w:ind w:left="3570" w:hanging="330"/>
      </w:pPr>
      <w:rPr>
        <w:rFonts w:ascii="Tahoma" w:eastAsia="Tahoma" w:hAnsi="Tahoma" w:cs="Courier New"/>
        <w:position w:val="0"/>
        <w:sz w:val="22"/>
        <w:szCs w:val="22"/>
        <w:lang w:val="en-US"/>
      </w:rPr>
    </w:lvl>
    <w:lvl w:ilvl="5">
      <w:start w:val="1"/>
      <w:numFmt w:val="bullet"/>
      <w:lvlText w:val="▪"/>
      <w:lvlJc w:val="left"/>
      <w:pPr>
        <w:tabs>
          <w:tab w:val="num" w:pos="4290"/>
        </w:tabs>
        <w:ind w:left="4290" w:hanging="330"/>
      </w:pPr>
      <w:rPr>
        <w:rFonts w:ascii="Tahoma" w:eastAsia="Tahoma" w:hAnsi="Tahoma" w:cs="Courier New"/>
        <w:position w:val="0"/>
        <w:sz w:val="22"/>
        <w:szCs w:val="22"/>
        <w:lang w:val="en-US"/>
      </w:rPr>
    </w:lvl>
    <w:lvl w:ilvl="6">
      <w:start w:val="1"/>
      <w:numFmt w:val="bullet"/>
      <w:lvlText w:val="•"/>
      <w:lvlJc w:val="left"/>
      <w:pPr>
        <w:tabs>
          <w:tab w:val="num" w:pos="5010"/>
        </w:tabs>
        <w:ind w:left="5010" w:hanging="330"/>
      </w:pPr>
      <w:rPr>
        <w:rFonts w:ascii="Tahoma" w:eastAsia="Tahoma" w:hAnsi="Tahoma" w:cs="Courier New"/>
        <w:position w:val="0"/>
        <w:sz w:val="22"/>
        <w:szCs w:val="22"/>
        <w:lang w:val="en-US"/>
      </w:rPr>
    </w:lvl>
    <w:lvl w:ilvl="7">
      <w:start w:val="1"/>
      <w:numFmt w:val="bullet"/>
      <w:lvlText w:val="o"/>
      <w:lvlJc w:val="left"/>
      <w:pPr>
        <w:tabs>
          <w:tab w:val="num" w:pos="5730"/>
        </w:tabs>
        <w:ind w:left="5730" w:hanging="330"/>
      </w:pPr>
      <w:rPr>
        <w:rFonts w:ascii="Tahoma" w:eastAsia="Tahoma" w:hAnsi="Tahoma" w:cs="Courier New"/>
        <w:position w:val="0"/>
        <w:sz w:val="22"/>
        <w:szCs w:val="22"/>
        <w:lang w:val="en-US"/>
      </w:rPr>
    </w:lvl>
    <w:lvl w:ilvl="8">
      <w:start w:val="1"/>
      <w:numFmt w:val="bullet"/>
      <w:lvlText w:val="▪"/>
      <w:lvlJc w:val="left"/>
      <w:pPr>
        <w:tabs>
          <w:tab w:val="num" w:pos="6450"/>
        </w:tabs>
        <w:ind w:left="6450" w:hanging="330"/>
      </w:pPr>
      <w:rPr>
        <w:rFonts w:ascii="Tahoma" w:eastAsia="Tahoma" w:hAnsi="Tahoma" w:cs="Courier New"/>
        <w:position w:val="0"/>
        <w:sz w:val="22"/>
        <w:szCs w:val="22"/>
        <w:lang w:val="en-US"/>
      </w:rPr>
    </w:lvl>
  </w:abstractNum>
  <w:abstractNum w:abstractNumId="1" w15:restartNumberingAfterBreak="0">
    <w:nsid w:val="04EF631A"/>
    <w:multiLevelType w:val="hybridMultilevel"/>
    <w:tmpl w:val="F3CCA25A"/>
    <w:lvl w:ilvl="0" w:tplc="040C0019">
      <w:start w:val="1"/>
      <w:numFmt w:val="lowerLetter"/>
      <w:lvlText w:val="%1."/>
      <w:lvlJc w:val="left"/>
      <w:pPr>
        <w:ind w:left="2292"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068B3B6F"/>
    <w:multiLevelType w:val="multilevel"/>
    <w:tmpl w:val="A4E6B94C"/>
    <w:styleLink w:val="Liste31"/>
    <w:lvl w:ilvl="0">
      <w:numFmt w:val="bullet"/>
      <w:lvlText w:val="•"/>
      <w:lvlJc w:val="left"/>
      <w:pPr>
        <w:tabs>
          <w:tab w:val="num" w:pos="720"/>
        </w:tabs>
        <w:ind w:left="720" w:hanging="360"/>
      </w:pPr>
      <w:rPr>
        <w:rFonts w:ascii="Tahoma" w:eastAsia="Tahoma" w:hAnsi="Tahoma" w:cs="Courier New"/>
        <w:position w:val="0"/>
        <w:sz w:val="24"/>
        <w:szCs w:val="24"/>
        <w:lang w:val="en-US"/>
      </w:rPr>
    </w:lvl>
    <w:lvl w:ilvl="1">
      <w:start w:val="1"/>
      <w:numFmt w:val="bullet"/>
      <w:lvlText w:val="o"/>
      <w:lvlJc w:val="left"/>
      <w:pPr>
        <w:tabs>
          <w:tab w:val="num" w:pos="1410"/>
        </w:tabs>
        <w:ind w:left="1410" w:hanging="330"/>
      </w:pPr>
      <w:rPr>
        <w:rFonts w:ascii="Tahoma" w:eastAsia="Tahoma" w:hAnsi="Tahoma" w:cs="Courier New"/>
        <w:position w:val="0"/>
        <w:sz w:val="22"/>
        <w:szCs w:val="22"/>
        <w:lang w:val="en-US"/>
      </w:rPr>
    </w:lvl>
    <w:lvl w:ilvl="2">
      <w:start w:val="1"/>
      <w:numFmt w:val="bullet"/>
      <w:lvlText w:val="▪"/>
      <w:lvlJc w:val="left"/>
      <w:pPr>
        <w:tabs>
          <w:tab w:val="num" w:pos="2130"/>
        </w:tabs>
        <w:ind w:left="2130" w:hanging="330"/>
      </w:pPr>
      <w:rPr>
        <w:rFonts w:ascii="Tahoma" w:eastAsia="Tahoma" w:hAnsi="Tahoma" w:cs="Courier New"/>
        <w:position w:val="0"/>
        <w:sz w:val="22"/>
        <w:szCs w:val="22"/>
        <w:lang w:val="en-US"/>
      </w:rPr>
    </w:lvl>
    <w:lvl w:ilvl="3">
      <w:start w:val="1"/>
      <w:numFmt w:val="bullet"/>
      <w:lvlText w:val="•"/>
      <w:lvlJc w:val="left"/>
      <w:pPr>
        <w:tabs>
          <w:tab w:val="num" w:pos="2850"/>
        </w:tabs>
        <w:ind w:left="2850" w:hanging="330"/>
      </w:pPr>
      <w:rPr>
        <w:rFonts w:ascii="Tahoma" w:eastAsia="Tahoma" w:hAnsi="Tahoma" w:cs="Courier New"/>
        <w:position w:val="0"/>
        <w:sz w:val="22"/>
        <w:szCs w:val="22"/>
        <w:lang w:val="en-US"/>
      </w:rPr>
    </w:lvl>
    <w:lvl w:ilvl="4">
      <w:start w:val="1"/>
      <w:numFmt w:val="bullet"/>
      <w:lvlText w:val="o"/>
      <w:lvlJc w:val="left"/>
      <w:pPr>
        <w:tabs>
          <w:tab w:val="num" w:pos="3570"/>
        </w:tabs>
        <w:ind w:left="3570" w:hanging="330"/>
      </w:pPr>
      <w:rPr>
        <w:rFonts w:ascii="Tahoma" w:eastAsia="Tahoma" w:hAnsi="Tahoma" w:cs="Courier New"/>
        <w:position w:val="0"/>
        <w:sz w:val="22"/>
        <w:szCs w:val="22"/>
        <w:lang w:val="en-US"/>
      </w:rPr>
    </w:lvl>
    <w:lvl w:ilvl="5">
      <w:start w:val="1"/>
      <w:numFmt w:val="bullet"/>
      <w:lvlText w:val="▪"/>
      <w:lvlJc w:val="left"/>
      <w:pPr>
        <w:tabs>
          <w:tab w:val="num" w:pos="4290"/>
        </w:tabs>
        <w:ind w:left="4290" w:hanging="330"/>
      </w:pPr>
      <w:rPr>
        <w:rFonts w:ascii="Tahoma" w:eastAsia="Tahoma" w:hAnsi="Tahoma" w:cs="Courier New"/>
        <w:position w:val="0"/>
        <w:sz w:val="22"/>
        <w:szCs w:val="22"/>
        <w:lang w:val="en-US"/>
      </w:rPr>
    </w:lvl>
    <w:lvl w:ilvl="6">
      <w:start w:val="1"/>
      <w:numFmt w:val="bullet"/>
      <w:lvlText w:val="•"/>
      <w:lvlJc w:val="left"/>
      <w:pPr>
        <w:tabs>
          <w:tab w:val="num" w:pos="5010"/>
        </w:tabs>
        <w:ind w:left="5010" w:hanging="330"/>
      </w:pPr>
      <w:rPr>
        <w:rFonts w:ascii="Tahoma" w:eastAsia="Tahoma" w:hAnsi="Tahoma" w:cs="Courier New"/>
        <w:position w:val="0"/>
        <w:sz w:val="22"/>
        <w:szCs w:val="22"/>
        <w:lang w:val="en-US"/>
      </w:rPr>
    </w:lvl>
    <w:lvl w:ilvl="7">
      <w:start w:val="1"/>
      <w:numFmt w:val="bullet"/>
      <w:lvlText w:val="o"/>
      <w:lvlJc w:val="left"/>
      <w:pPr>
        <w:tabs>
          <w:tab w:val="num" w:pos="5730"/>
        </w:tabs>
        <w:ind w:left="5730" w:hanging="330"/>
      </w:pPr>
      <w:rPr>
        <w:rFonts w:ascii="Tahoma" w:eastAsia="Tahoma" w:hAnsi="Tahoma" w:cs="Courier New"/>
        <w:position w:val="0"/>
        <w:sz w:val="22"/>
        <w:szCs w:val="22"/>
        <w:lang w:val="en-US"/>
      </w:rPr>
    </w:lvl>
    <w:lvl w:ilvl="8">
      <w:start w:val="1"/>
      <w:numFmt w:val="bullet"/>
      <w:lvlText w:val="▪"/>
      <w:lvlJc w:val="left"/>
      <w:pPr>
        <w:tabs>
          <w:tab w:val="num" w:pos="6450"/>
        </w:tabs>
        <w:ind w:left="6450" w:hanging="330"/>
      </w:pPr>
      <w:rPr>
        <w:rFonts w:ascii="Tahoma" w:eastAsia="Tahoma" w:hAnsi="Tahoma" w:cs="Courier New"/>
        <w:position w:val="0"/>
        <w:sz w:val="22"/>
        <w:szCs w:val="22"/>
        <w:lang w:val="en-US"/>
      </w:rPr>
    </w:lvl>
  </w:abstractNum>
  <w:abstractNum w:abstractNumId="3" w15:restartNumberingAfterBreak="0">
    <w:nsid w:val="07917803"/>
    <w:multiLevelType w:val="multilevel"/>
    <w:tmpl w:val="55F05F42"/>
    <w:lvl w:ilvl="0">
      <w:start w:val="3"/>
      <w:numFmt w:val="decimal"/>
      <w:lvlText w:val="%1."/>
      <w:lvlJc w:val="left"/>
      <w:pPr>
        <w:ind w:left="450" w:hanging="450"/>
      </w:pPr>
      <w:rPr>
        <w:rFonts w:hint="default"/>
      </w:rPr>
    </w:lvl>
    <w:lvl w:ilvl="1">
      <w:start w:val="1"/>
      <w:numFmt w:val="decimal"/>
      <w:pStyle w:val="Heading2"/>
      <w:lvlText w:val="%1.%2."/>
      <w:lvlJc w:val="left"/>
      <w:pPr>
        <w:ind w:left="1080" w:hanging="72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1800" w:hanging="10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4" w15:restartNumberingAfterBreak="0">
    <w:nsid w:val="0BDA57BA"/>
    <w:multiLevelType w:val="hybridMultilevel"/>
    <w:tmpl w:val="6C36DD86"/>
    <w:lvl w:ilvl="0" w:tplc="100C0011">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15:restartNumberingAfterBreak="0">
    <w:nsid w:val="0DE71AFB"/>
    <w:multiLevelType w:val="hybridMultilevel"/>
    <w:tmpl w:val="74BE3F72"/>
    <w:lvl w:ilvl="0" w:tplc="040C0019">
      <w:start w:val="1"/>
      <w:numFmt w:val="lowerLetter"/>
      <w:lvlText w:val="%1."/>
      <w:lvlJc w:val="left"/>
      <w:pPr>
        <w:ind w:left="1440" w:hanging="360"/>
      </w:pPr>
    </w:lvl>
    <w:lvl w:ilvl="1" w:tplc="100C0019" w:tentative="1">
      <w:start w:val="1"/>
      <w:numFmt w:val="lowerLetter"/>
      <w:lvlText w:val="%2."/>
      <w:lvlJc w:val="left"/>
      <w:pPr>
        <w:ind w:left="588" w:hanging="360"/>
      </w:pPr>
    </w:lvl>
    <w:lvl w:ilvl="2" w:tplc="100C001B" w:tentative="1">
      <w:start w:val="1"/>
      <w:numFmt w:val="lowerRoman"/>
      <w:lvlText w:val="%3."/>
      <w:lvlJc w:val="right"/>
      <w:pPr>
        <w:ind w:left="1308" w:hanging="180"/>
      </w:pPr>
    </w:lvl>
    <w:lvl w:ilvl="3" w:tplc="100C000F" w:tentative="1">
      <w:start w:val="1"/>
      <w:numFmt w:val="decimal"/>
      <w:lvlText w:val="%4."/>
      <w:lvlJc w:val="left"/>
      <w:pPr>
        <w:ind w:left="2028" w:hanging="360"/>
      </w:pPr>
    </w:lvl>
    <w:lvl w:ilvl="4" w:tplc="100C0019" w:tentative="1">
      <w:start w:val="1"/>
      <w:numFmt w:val="lowerLetter"/>
      <w:lvlText w:val="%5."/>
      <w:lvlJc w:val="left"/>
      <w:pPr>
        <w:ind w:left="2748" w:hanging="360"/>
      </w:pPr>
    </w:lvl>
    <w:lvl w:ilvl="5" w:tplc="100C001B" w:tentative="1">
      <w:start w:val="1"/>
      <w:numFmt w:val="lowerRoman"/>
      <w:lvlText w:val="%6."/>
      <w:lvlJc w:val="right"/>
      <w:pPr>
        <w:ind w:left="3468" w:hanging="180"/>
      </w:pPr>
    </w:lvl>
    <w:lvl w:ilvl="6" w:tplc="100C000F" w:tentative="1">
      <w:start w:val="1"/>
      <w:numFmt w:val="decimal"/>
      <w:lvlText w:val="%7."/>
      <w:lvlJc w:val="left"/>
      <w:pPr>
        <w:ind w:left="4188" w:hanging="360"/>
      </w:pPr>
    </w:lvl>
    <w:lvl w:ilvl="7" w:tplc="100C0019" w:tentative="1">
      <w:start w:val="1"/>
      <w:numFmt w:val="lowerLetter"/>
      <w:lvlText w:val="%8."/>
      <w:lvlJc w:val="left"/>
      <w:pPr>
        <w:ind w:left="4908" w:hanging="360"/>
      </w:pPr>
    </w:lvl>
    <w:lvl w:ilvl="8" w:tplc="100C001B" w:tentative="1">
      <w:start w:val="1"/>
      <w:numFmt w:val="lowerRoman"/>
      <w:lvlText w:val="%9."/>
      <w:lvlJc w:val="right"/>
      <w:pPr>
        <w:ind w:left="5628" w:hanging="180"/>
      </w:pPr>
    </w:lvl>
  </w:abstractNum>
  <w:abstractNum w:abstractNumId="6" w15:restartNumberingAfterBreak="0">
    <w:nsid w:val="11A05035"/>
    <w:multiLevelType w:val="multilevel"/>
    <w:tmpl w:val="6F4AEB5C"/>
    <w:styleLink w:val="List7"/>
    <w:lvl w:ilvl="0">
      <w:numFmt w:val="bullet"/>
      <w:lvlText w:val="•"/>
      <w:lvlJc w:val="left"/>
      <w:pPr>
        <w:tabs>
          <w:tab w:val="num" w:pos="720"/>
        </w:tabs>
        <w:ind w:left="720" w:hanging="360"/>
      </w:pPr>
      <w:rPr>
        <w:rFonts w:ascii="Tahoma" w:eastAsia="Tahoma" w:hAnsi="Tahoma" w:cs="Courier New"/>
        <w:position w:val="0"/>
        <w:sz w:val="24"/>
        <w:szCs w:val="24"/>
      </w:rPr>
    </w:lvl>
    <w:lvl w:ilvl="1">
      <w:start w:val="1"/>
      <w:numFmt w:val="bullet"/>
      <w:lvlText w:val="o"/>
      <w:lvlJc w:val="left"/>
      <w:pPr>
        <w:tabs>
          <w:tab w:val="num" w:pos="1410"/>
        </w:tabs>
        <w:ind w:left="1410" w:hanging="330"/>
      </w:pPr>
      <w:rPr>
        <w:rFonts w:ascii="Tahoma" w:eastAsia="Tahoma" w:hAnsi="Tahoma" w:cs="Courier New"/>
        <w:position w:val="0"/>
        <w:sz w:val="22"/>
        <w:szCs w:val="22"/>
      </w:rPr>
    </w:lvl>
    <w:lvl w:ilvl="2">
      <w:start w:val="1"/>
      <w:numFmt w:val="bullet"/>
      <w:lvlText w:val="▪"/>
      <w:lvlJc w:val="left"/>
      <w:pPr>
        <w:tabs>
          <w:tab w:val="num" w:pos="2130"/>
        </w:tabs>
        <w:ind w:left="2130" w:hanging="330"/>
      </w:pPr>
      <w:rPr>
        <w:rFonts w:ascii="Tahoma" w:eastAsia="Tahoma" w:hAnsi="Tahoma" w:cs="Courier New"/>
        <w:position w:val="0"/>
        <w:sz w:val="22"/>
        <w:szCs w:val="22"/>
      </w:rPr>
    </w:lvl>
    <w:lvl w:ilvl="3">
      <w:start w:val="1"/>
      <w:numFmt w:val="bullet"/>
      <w:lvlText w:val="•"/>
      <w:lvlJc w:val="left"/>
      <w:pPr>
        <w:tabs>
          <w:tab w:val="num" w:pos="2850"/>
        </w:tabs>
        <w:ind w:left="2850" w:hanging="330"/>
      </w:pPr>
      <w:rPr>
        <w:rFonts w:ascii="Tahoma" w:eastAsia="Tahoma" w:hAnsi="Tahoma" w:cs="Courier New"/>
        <w:position w:val="0"/>
        <w:sz w:val="22"/>
        <w:szCs w:val="22"/>
      </w:rPr>
    </w:lvl>
    <w:lvl w:ilvl="4">
      <w:start w:val="1"/>
      <w:numFmt w:val="bullet"/>
      <w:lvlText w:val="o"/>
      <w:lvlJc w:val="left"/>
      <w:pPr>
        <w:tabs>
          <w:tab w:val="num" w:pos="3570"/>
        </w:tabs>
        <w:ind w:left="3570" w:hanging="330"/>
      </w:pPr>
      <w:rPr>
        <w:rFonts w:ascii="Tahoma" w:eastAsia="Tahoma" w:hAnsi="Tahoma" w:cs="Courier New"/>
        <w:position w:val="0"/>
        <w:sz w:val="22"/>
        <w:szCs w:val="22"/>
      </w:rPr>
    </w:lvl>
    <w:lvl w:ilvl="5">
      <w:start w:val="1"/>
      <w:numFmt w:val="bullet"/>
      <w:lvlText w:val="▪"/>
      <w:lvlJc w:val="left"/>
      <w:pPr>
        <w:tabs>
          <w:tab w:val="num" w:pos="4290"/>
        </w:tabs>
        <w:ind w:left="4290" w:hanging="330"/>
      </w:pPr>
      <w:rPr>
        <w:rFonts w:ascii="Tahoma" w:eastAsia="Tahoma" w:hAnsi="Tahoma" w:cs="Courier New"/>
        <w:position w:val="0"/>
        <w:sz w:val="22"/>
        <w:szCs w:val="22"/>
      </w:rPr>
    </w:lvl>
    <w:lvl w:ilvl="6">
      <w:start w:val="1"/>
      <w:numFmt w:val="bullet"/>
      <w:lvlText w:val="•"/>
      <w:lvlJc w:val="left"/>
      <w:pPr>
        <w:tabs>
          <w:tab w:val="num" w:pos="5010"/>
        </w:tabs>
        <w:ind w:left="5010" w:hanging="330"/>
      </w:pPr>
      <w:rPr>
        <w:rFonts w:ascii="Tahoma" w:eastAsia="Tahoma" w:hAnsi="Tahoma" w:cs="Courier New"/>
        <w:position w:val="0"/>
        <w:sz w:val="22"/>
        <w:szCs w:val="22"/>
      </w:rPr>
    </w:lvl>
    <w:lvl w:ilvl="7">
      <w:start w:val="1"/>
      <w:numFmt w:val="bullet"/>
      <w:lvlText w:val="o"/>
      <w:lvlJc w:val="left"/>
      <w:pPr>
        <w:tabs>
          <w:tab w:val="num" w:pos="5730"/>
        </w:tabs>
        <w:ind w:left="5730" w:hanging="330"/>
      </w:pPr>
      <w:rPr>
        <w:rFonts w:ascii="Tahoma" w:eastAsia="Tahoma" w:hAnsi="Tahoma" w:cs="Courier New"/>
        <w:position w:val="0"/>
        <w:sz w:val="22"/>
        <w:szCs w:val="22"/>
      </w:rPr>
    </w:lvl>
    <w:lvl w:ilvl="8">
      <w:start w:val="1"/>
      <w:numFmt w:val="bullet"/>
      <w:lvlText w:val="▪"/>
      <w:lvlJc w:val="left"/>
      <w:pPr>
        <w:tabs>
          <w:tab w:val="num" w:pos="6450"/>
        </w:tabs>
        <w:ind w:left="6450" w:hanging="330"/>
      </w:pPr>
      <w:rPr>
        <w:rFonts w:ascii="Tahoma" w:eastAsia="Tahoma" w:hAnsi="Tahoma" w:cs="Courier New"/>
        <w:position w:val="0"/>
        <w:sz w:val="22"/>
        <w:szCs w:val="22"/>
      </w:rPr>
    </w:lvl>
  </w:abstractNum>
  <w:abstractNum w:abstractNumId="7" w15:restartNumberingAfterBreak="0">
    <w:nsid w:val="13D62D4F"/>
    <w:multiLevelType w:val="hybridMultilevel"/>
    <w:tmpl w:val="D466CF98"/>
    <w:lvl w:ilvl="0" w:tplc="100C0011">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13E871D8"/>
    <w:multiLevelType w:val="multilevel"/>
    <w:tmpl w:val="5738621E"/>
    <w:styleLink w:val="Liste41"/>
    <w:lvl w:ilvl="0">
      <w:numFmt w:val="bullet"/>
      <w:lvlText w:val="•"/>
      <w:lvlJc w:val="left"/>
      <w:pPr>
        <w:tabs>
          <w:tab w:val="num" w:pos="720"/>
        </w:tabs>
        <w:ind w:left="720" w:hanging="360"/>
      </w:pPr>
      <w:rPr>
        <w:rFonts w:ascii="Tahoma" w:eastAsia="Tahoma" w:hAnsi="Tahoma" w:cs="Courier New"/>
        <w:position w:val="0"/>
        <w:sz w:val="24"/>
        <w:szCs w:val="24"/>
      </w:rPr>
    </w:lvl>
    <w:lvl w:ilvl="1">
      <w:start w:val="1"/>
      <w:numFmt w:val="bullet"/>
      <w:lvlText w:val="o"/>
      <w:lvlJc w:val="left"/>
      <w:pPr>
        <w:tabs>
          <w:tab w:val="num" w:pos="1410"/>
        </w:tabs>
        <w:ind w:left="1410" w:hanging="330"/>
      </w:pPr>
      <w:rPr>
        <w:rFonts w:ascii="Tahoma" w:eastAsia="Tahoma" w:hAnsi="Tahoma" w:cs="Courier New"/>
        <w:position w:val="0"/>
        <w:sz w:val="22"/>
        <w:szCs w:val="22"/>
      </w:rPr>
    </w:lvl>
    <w:lvl w:ilvl="2">
      <w:start w:val="1"/>
      <w:numFmt w:val="bullet"/>
      <w:lvlText w:val="▪"/>
      <w:lvlJc w:val="left"/>
      <w:pPr>
        <w:tabs>
          <w:tab w:val="num" w:pos="2130"/>
        </w:tabs>
        <w:ind w:left="2130" w:hanging="330"/>
      </w:pPr>
      <w:rPr>
        <w:rFonts w:ascii="Tahoma" w:eastAsia="Tahoma" w:hAnsi="Tahoma" w:cs="Courier New"/>
        <w:position w:val="0"/>
        <w:sz w:val="22"/>
        <w:szCs w:val="22"/>
      </w:rPr>
    </w:lvl>
    <w:lvl w:ilvl="3">
      <w:start w:val="1"/>
      <w:numFmt w:val="bullet"/>
      <w:lvlText w:val="•"/>
      <w:lvlJc w:val="left"/>
      <w:pPr>
        <w:tabs>
          <w:tab w:val="num" w:pos="2850"/>
        </w:tabs>
        <w:ind w:left="2850" w:hanging="330"/>
      </w:pPr>
      <w:rPr>
        <w:rFonts w:ascii="Tahoma" w:eastAsia="Tahoma" w:hAnsi="Tahoma" w:cs="Courier New"/>
        <w:position w:val="0"/>
        <w:sz w:val="22"/>
        <w:szCs w:val="22"/>
      </w:rPr>
    </w:lvl>
    <w:lvl w:ilvl="4">
      <w:start w:val="1"/>
      <w:numFmt w:val="bullet"/>
      <w:lvlText w:val="o"/>
      <w:lvlJc w:val="left"/>
      <w:pPr>
        <w:tabs>
          <w:tab w:val="num" w:pos="3570"/>
        </w:tabs>
        <w:ind w:left="3570" w:hanging="330"/>
      </w:pPr>
      <w:rPr>
        <w:rFonts w:ascii="Tahoma" w:eastAsia="Tahoma" w:hAnsi="Tahoma" w:cs="Courier New"/>
        <w:position w:val="0"/>
        <w:sz w:val="22"/>
        <w:szCs w:val="22"/>
      </w:rPr>
    </w:lvl>
    <w:lvl w:ilvl="5">
      <w:start w:val="1"/>
      <w:numFmt w:val="bullet"/>
      <w:lvlText w:val="▪"/>
      <w:lvlJc w:val="left"/>
      <w:pPr>
        <w:tabs>
          <w:tab w:val="num" w:pos="4290"/>
        </w:tabs>
        <w:ind w:left="4290" w:hanging="330"/>
      </w:pPr>
      <w:rPr>
        <w:rFonts w:ascii="Tahoma" w:eastAsia="Tahoma" w:hAnsi="Tahoma" w:cs="Courier New"/>
        <w:position w:val="0"/>
        <w:sz w:val="22"/>
        <w:szCs w:val="22"/>
      </w:rPr>
    </w:lvl>
    <w:lvl w:ilvl="6">
      <w:start w:val="1"/>
      <w:numFmt w:val="bullet"/>
      <w:lvlText w:val="•"/>
      <w:lvlJc w:val="left"/>
      <w:pPr>
        <w:tabs>
          <w:tab w:val="num" w:pos="5010"/>
        </w:tabs>
        <w:ind w:left="5010" w:hanging="330"/>
      </w:pPr>
      <w:rPr>
        <w:rFonts w:ascii="Tahoma" w:eastAsia="Tahoma" w:hAnsi="Tahoma" w:cs="Courier New"/>
        <w:position w:val="0"/>
        <w:sz w:val="22"/>
        <w:szCs w:val="22"/>
      </w:rPr>
    </w:lvl>
    <w:lvl w:ilvl="7">
      <w:start w:val="1"/>
      <w:numFmt w:val="bullet"/>
      <w:lvlText w:val="o"/>
      <w:lvlJc w:val="left"/>
      <w:pPr>
        <w:tabs>
          <w:tab w:val="num" w:pos="5730"/>
        </w:tabs>
        <w:ind w:left="5730" w:hanging="330"/>
      </w:pPr>
      <w:rPr>
        <w:rFonts w:ascii="Tahoma" w:eastAsia="Tahoma" w:hAnsi="Tahoma" w:cs="Courier New"/>
        <w:position w:val="0"/>
        <w:sz w:val="22"/>
        <w:szCs w:val="22"/>
      </w:rPr>
    </w:lvl>
    <w:lvl w:ilvl="8">
      <w:start w:val="1"/>
      <w:numFmt w:val="bullet"/>
      <w:lvlText w:val="▪"/>
      <w:lvlJc w:val="left"/>
      <w:pPr>
        <w:tabs>
          <w:tab w:val="num" w:pos="6450"/>
        </w:tabs>
        <w:ind w:left="6450" w:hanging="330"/>
      </w:pPr>
      <w:rPr>
        <w:rFonts w:ascii="Tahoma" w:eastAsia="Tahoma" w:hAnsi="Tahoma" w:cs="Courier New"/>
        <w:position w:val="0"/>
        <w:sz w:val="22"/>
        <w:szCs w:val="22"/>
      </w:rPr>
    </w:lvl>
  </w:abstractNum>
  <w:abstractNum w:abstractNumId="9" w15:restartNumberingAfterBreak="0">
    <w:nsid w:val="15D838F7"/>
    <w:multiLevelType w:val="multilevel"/>
    <w:tmpl w:val="4B5A15E4"/>
    <w:styleLink w:val="List6"/>
    <w:lvl w:ilvl="0">
      <w:numFmt w:val="bullet"/>
      <w:lvlText w:val="•"/>
      <w:lvlJc w:val="left"/>
      <w:pPr>
        <w:tabs>
          <w:tab w:val="num" w:pos="720"/>
        </w:tabs>
        <w:ind w:left="720" w:hanging="360"/>
      </w:pPr>
      <w:rPr>
        <w:rFonts w:ascii="Tahoma" w:eastAsia="Tahoma" w:hAnsi="Tahoma" w:cs="Courier New"/>
        <w:position w:val="0"/>
        <w:sz w:val="24"/>
        <w:szCs w:val="24"/>
      </w:rPr>
    </w:lvl>
    <w:lvl w:ilvl="1">
      <w:start w:val="1"/>
      <w:numFmt w:val="bullet"/>
      <w:lvlText w:val="o"/>
      <w:lvlJc w:val="left"/>
      <w:pPr>
        <w:tabs>
          <w:tab w:val="num" w:pos="1410"/>
        </w:tabs>
        <w:ind w:left="1410" w:hanging="330"/>
      </w:pPr>
      <w:rPr>
        <w:rFonts w:ascii="Tahoma" w:eastAsia="Tahoma" w:hAnsi="Tahoma" w:cs="Courier New"/>
        <w:position w:val="0"/>
        <w:sz w:val="22"/>
        <w:szCs w:val="22"/>
      </w:rPr>
    </w:lvl>
    <w:lvl w:ilvl="2">
      <w:start w:val="1"/>
      <w:numFmt w:val="bullet"/>
      <w:lvlText w:val="▪"/>
      <w:lvlJc w:val="left"/>
      <w:pPr>
        <w:tabs>
          <w:tab w:val="num" w:pos="2130"/>
        </w:tabs>
        <w:ind w:left="2130" w:hanging="330"/>
      </w:pPr>
      <w:rPr>
        <w:rFonts w:ascii="Tahoma" w:eastAsia="Tahoma" w:hAnsi="Tahoma" w:cs="Courier New"/>
        <w:position w:val="0"/>
        <w:sz w:val="22"/>
        <w:szCs w:val="22"/>
      </w:rPr>
    </w:lvl>
    <w:lvl w:ilvl="3">
      <w:start w:val="1"/>
      <w:numFmt w:val="bullet"/>
      <w:lvlText w:val="•"/>
      <w:lvlJc w:val="left"/>
      <w:pPr>
        <w:tabs>
          <w:tab w:val="num" w:pos="2850"/>
        </w:tabs>
        <w:ind w:left="2850" w:hanging="330"/>
      </w:pPr>
      <w:rPr>
        <w:rFonts w:ascii="Tahoma" w:eastAsia="Tahoma" w:hAnsi="Tahoma" w:cs="Courier New"/>
        <w:position w:val="0"/>
        <w:sz w:val="22"/>
        <w:szCs w:val="22"/>
      </w:rPr>
    </w:lvl>
    <w:lvl w:ilvl="4">
      <w:start w:val="1"/>
      <w:numFmt w:val="bullet"/>
      <w:lvlText w:val="o"/>
      <w:lvlJc w:val="left"/>
      <w:pPr>
        <w:tabs>
          <w:tab w:val="num" w:pos="3570"/>
        </w:tabs>
        <w:ind w:left="3570" w:hanging="330"/>
      </w:pPr>
      <w:rPr>
        <w:rFonts w:ascii="Tahoma" w:eastAsia="Tahoma" w:hAnsi="Tahoma" w:cs="Courier New"/>
        <w:position w:val="0"/>
        <w:sz w:val="22"/>
        <w:szCs w:val="22"/>
      </w:rPr>
    </w:lvl>
    <w:lvl w:ilvl="5">
      <w:start w:val="1"/>
      <w:numFmt w:val="bullet"/>
      <w:lvlText w:val="▪"/>
      <w:lvlJc w:val="left"/>
      <w:pPr>
        <w:tabs>
          <w:tab w:val="num" w:pos="4290"/>
        </w:tabs>
        <w:ind w:left="4290" w:hanging="330"/>
      </w:pPr>
      <w:rPr>
        <w:rFonts w:ascii="Tahoma" w:eastAsia="Tahoma" w:hAnsi="Tahoma" w:cs="Courier New"/>
        <w:position w:val="0"/>
        <w:sz w:val="22"/>
        <w:szCs w:val="22"/>
      </w:rPr>
    </w:lvl>
    <w:lvl w:ilvl="6">
      <w:start w:val="1"/>
      <w:numFmt w:val="bullet"/>
      <w:lvlText w:val="•"/>
      <w:lvlJc w:val="left"/>
      <w:pPr>
        <w:tabs>
          <w:tab w:val="num" w:pos="5010"/>
        </w:tabs>
        <w:ind w:left="5010" w:hanging="330"/>
      </w:pPr>
      <w:rPr>
        <w:rFonts w:ascii="Tahoma" w:eastAsia="Tahoma" w:hAnsi="Tahoma" w:cs="Courier New"/>
        <w:position w:val="0"/>
        <w:sz w:val="22"/>
        <w:szCs w:val="22"/>
      </w:rPr>
    </w:lvl>
    <w:lvl w:ilvl="7">
      <w:start w:val="1"/>
      <w:numFmt w:val="bullet"/>
      <w:lvlText w:val="o"/>
      <w:lvlJc w:val="left"/>
      <w:pPr>
        <w:tabs>
          <w:tab w:val="num" w:pos="5730"/>
        </w:tabs>
        <w:ind w:left="5730" w:hanging="330"/>
      </w:pPr>
      <w:rPr>
        <w:rFonts w:ascii="Tahoma" w:eastAsia="Tahoma" w:hAnsi="Tahoma" w:cs="Courier New"/>
        <w:position w:val="0"/>
        <w:sz w:val="22"/>
        <w:szCs w:val="22"/>
      </w:rPr>
    </w:lvl>
    <w:lvl w:ilvl="8">
      <w:start w:val="1"/>
      <w:numFmt w:val="bullet"/>
      <w:lvlText w:val="▪"/>
      <w:lvlJc w:val="left"/>
      <w:pPr>
        <w:tabs>
          <w:tab w:val="num" w:pos="6450"/>
        </w:tabs>
        <w:ind w:left="6450" w:hanging="330"/>
      </w:pPr>
      <w:rPr>
        <w:rFonts w:ascii="Tahoma" w:eastAsia="Tahoma" w:hAnsi="Tahoma" w:cs="Courier New"/>
        <w:position w:val="0"/>
        <w:sz w:val="22"/>
        <w:szCs w:val="22"/>
      </w:rPr>
    </w:lvl>
  </w:abstractNum>
  <w:abstractNum w:abstractNumId="10" w15:restartNumberingAfterBreak="0">
    <w:nsid w:val="170E1856"/>
    <w:multiLevelType w:val="hybridMultilevel"/>
    <w:tmpl w:val="12825A0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180352A4"/>
    <w:multiLevelType w:val="multilevel"/>
    <w:tmpl w:val="501478C0"/>
    <w:styleLink w:val="Dash"/>
    <w:lvl w:ilvl="0">
      <w:numFmt w:val="bullet"/>
      <w:lvlText w:val="-"/>
      <w:lvlJc w:val="left"/>
      <w:rPr>
        <w:position w:val="4"/>
        <w:rtl w:val="0"/>
      </w:rPr>
    </w:lvl>
    <w:lvl w:ilvl="1">
      <w:start w:val="1"/>
      <w:numFmt w:val="bullet"/>
      <w:lvlText w:val="-"/>
      <w:lvlJc w:val="left"/>
      <w:rPr>
        <w:position w:val="4"/>
        <w:rtl w:val="0"/>
      </w:rPr>
    </w:lvl>
    <w:lvl w:ilvl="2">
      <w:start w:val="1"/>
      <w:numFmt w:val="bullet"/>
      <w:lvlText w:val="-"/>
      <w:lvlJc w:val="left"/>
      <w:rPr>
        <w:position w:val="4"/>
        <w:rtl w:val="0"/>
      </w:rPr>
    </w:lvl>
    <w:lvl w:ilvl="3">
      <w:start w:val="1"/>
      <w:numFmt w:val="bullet"/>
      <w:lvlText w:val="-"/>
      <w:lvlJc w:val="left"/>
      <w:rPr>
        <w:position w:val="4"/>
        <w:rtl w:val="0"/>
      </w:rPr>
    </w:lvl>
    <w:lvl w:ilvl="4">
      <w:start w:val="1"/>
      <w:numFmt w:val="bullet"/>
      <w:lvlText w:val="-"/>
      <w:lvlJc w:val="left"/>
      <w:rPr>
        <w:position w:val="4"/>
        <w:rtl w:val="0"/>
      </w:rPr>
    </w:lvl>
    <w:lvl w:ilvl="5">
      <w:start w:val="1"/>
      <w:numFmt w:val="bullet"/>
      <w:lvlText w:val="-"/>
      <w:lvlJc w:val="left"/>
      <w:rPr>
        <w:position w:val="4"/>
        <w:rtl w:val="0"/>
      </w:rPr>
    </w:lvl>
    <w:lvl w:ilvl="6">
      <w:start w:val="1"/>
      <w:numFmt w:val="bullet"/>
      <w:lvlText w:val="-"/>
      <w:lvlJc w:val="left"/>
      <w:rPr>
        <w:position w:val="4"/>
        <w:rtl w:val="0"/>
      </w:rPr>
    </w:lvl>
    <w:lvl w:ilvl="7">
      <w:start w:val="1"/>
      <w:numFmt w:val="bullet"/>
      <w:lvlText w:val="-"/>
      <w:lvlJc w:val="left"/>
      <w:rPr>
        <w:position w:val="4"/>
        <w:rtl w:val="0"/>
      </w:rPr>
    </w:lvl>
    <w:lvl w:ilvl="8">
      <w:start w:val="1"/>
      <w:numFmt w:val="bullet"/>
      <w:lvlText w:val="-"/>
      <w:lvlJc w:val="left"/>
      <w:rPr>
        <w:position w:val="4"/>
        <w:rtl w:val="0"/>
      </w:rPr>
    </w:lvl>
  </w:abstractNum>
  <w:abstractNum w:abstractNumId="12" w15:restartNumberingAfterBreak="0">
    <w:nsid w:val="197135CF"/>
    <w:multiLevelType w:val="hybridMultilevel"/>
    <w:tmpl w:val="F3CCA25A"/>
    <w:lvl w:ilvl="0" w:tplc="040C0019">
      <w:start w:val="1"/>
      <w:numFmt w:val="lowerLetter"/>
      <w:lvlText w:val="%1."/>
      <w:lvlJc w:val="left"/>
      <w:pPr>
        <w:ind w:left="2292"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208374D4"/>
    <w:multiLevelType w:val="hybridMultilevel"/>
    <w:tmpl w:val="487C479E"/>
    <w:lvl w:ilvl="0" w:tplc="E2EC3B8A">
      <w:start w:val="1"/>
      <w:numFmt w:val="decimal"/>
      <w:pStyle w:val="UPRparagraph"/>
      <w:lvlText w:val="%1."/>
      <w:lvlJc w:val="left"/>
      <w:pPr>
        <w:ind w:left="360" w:hanging="360"/>
      </w:pPr>
      <w:rPr>
        <w:rFonts w:ascii="Tahoma" w:hAnsi="Tahoma" w:cs="Courier New" w:hint="default"/>
        <w:b w:val="0"/>
        <w:bCs/>
        <w:i w:val="0"/>
        <w:sz w:val="20"/>
        <w:szCs w:val="20"/>
      </w:rPr>
    </w:lvl>
    <w:lvl w:ilvl="1" w:tplc="100C0011">
      <w:start w:val="1"/>
      <w:numFmt w:val="decimal"/>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14" w15:restartNumberingAfterBreak="0">
    <w:nsid w:val="2EF64AE8"/>
    <w:multiLevelType w:val="hybridMultilevel"/>
    <w:tmpl w:val="F3CCA25A"/>
    <w:lvl w:ilvl="0" w:tplc="040C0019">
      <w:start w:val="1"/>
      <w:numFmt w:val="lowerLetter"/>
      <w:lvlText w:val="%1."/>
      <w:lvlJc w:val="left"/>
      <w:pPr>
        <w:ind w:left="2292"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15:restartNumberingAfterBreak="0">
    <w:nsid w:val="2FB55F8E"/>
    <w:multiLevelType w:val="hybridMultilevel"/>
    <w:tmpl w:val="EBF226C6"/>
    <w:lvl w:ilvl="0" w:tplc="100C0011">
      <w:start w:val="1"/>
      <w:numFmt w:val="decimal"/>
      <w:lvlText w:val="%1)"/>
      <w:lvlJc w:val="left"/>
      <w:pPr>
        <w:ind w:left="2292"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15:restartNumberingAfterBreak="0">
    <w:nsid w:val="3172194F"/>
    <w:multiLevelType w:val="hybridMultilevel"/>
    <w:tmpl w:val="25582A8C"/>
    <w:lvl w:ilvl="0" w:tplc="040C0019">
      <w:start w:val="1"/>
      <w:numFmt w:val="lowerLetter"/>
      <w:lvlText w:val="%1."/>
      <w:lvlJc w:val="left"/>
      <w:pPr>
        <w:ind w:left="1440" w:hanging="360"/>
      </w:pPr>
    </w:lvl>
    <w:lvl w:ilvl="1" w:tplc="100C0019" w:tentative="1">
      <w:start w:val="1"/>
      <w:numFmt w:val="lowerLetter"/>
      <w:lvlText w:val="%2."/>
      <w:lvlJc w:val="left"/>
      <w:pPr>
        <w:ind w:left="588" w:hanging="360"/>
      </w:pPr>
    </w:lvl>
    <w:lvl w:ilvl="2" w:tplc="100C001B" w:tentative="1">
      <w:start w:val="1"/>
      <w:numFmt w:val="lowerRoman"/>
      <w:lvlText w:val="%3."/>
      <w:lvlJc w:val="right"/>
      <w:pPr>
        <w:ind w:left="1308" w:hanging="180"/>
      </w:pPr>
    </w:lvl>
    <w:lvl w:ilvl="3" w:tplc="100C000F" w:tentative="1">
      <w:start w:val="1"/>
      <w:numFmt w:val="decimal"/>
      <w:lvlText w:val="%4."/>
      <w:lvlJc w:val="left"/>
      <w:pPr>
        <w:ind w:left="2028" w:hanging="360"/>
      </w:pPr>
    </w:lvl>
    <w:lvl w:ilvl="4" w:tplc="100C0019" w:tentative="1">
      <w:start w:val="1"/>
      <w:numFmt w:val="lowerLetter"/>
      <w:lvlText w:val="%5."/>
      <w:lvlJc w:val="left"/>
      <w:pPr>
        <w:ind w:left="2748" w:hanging="360"/>
      </w:pPr>
    </w:lvl>
    <w:lvl w:ilvl="5" w:tplc="100C001B" w:tentative="1">
      <w:start w:val="1"/>
      <w:numFmt w:val="lowerRoman"/>
      <w:lvlText w:val="%6."/>
      <w:lvlJc w:val="right"/>
      <w:pPr>
        <w:ind w:left="3468" w:hanging="180"/>
      </w:pPr>
    </w:lvl>
    <w:lvl w:ilvl="6" w:tplc="100C000F" w:tentative="1">
      <w:start w:val="1"/>
      <w:numFmt w:val="decimal"/>
      <w:lvlText w:val="%7."/>
      <w:lvlJc w:val="left"/>
      <w:pPr>
        <w:ind w:left="4188" w:hanging="360"/>
      </w:pPr>
    </w:lvl>
    <w:lvl w:ilvl="7" w:tplc="100C0019" w:tentative="1">
      <w:start w:val="1"/>
      <w:numFmt w:val="lowerLetter"/>
      <w:lvlText w:val="%8."/>
      <w:lvlJc w:val="left"/>
      <w:pPr>
        <w:ind w:left="4908" w:hanging="360"/>
      </w:pPr>
    </w:lvl>
    <w:lvl w:ilvl="8" w:tplc="100C001B" w:tentative="1">
      <w:start w:val="1"/>
      <w:numFmt w:val="lowerRoman"/>
      <w:lvlText w:val="%9."/>
      <w:lvlJc w:val="right"/>
      <w:pPr>
        <w:ind w:left="5628" w:hanging="180"/>
      </w:pPr>
    </w:lvl>
  </w:abstractNum>
  <w:abstractNum w:abstractNumId="17" w15:restartNumberingAfterBreak="0">
    <w:nsid w:val="334D612A"/>
    <w:multiLevelType w:val="hybridMultilevel"/>
    <w:tmpl w:val="95DA3CFE"/>
    <w:lvl w:ilvl="0" w:tplc="100C0011">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8" w15:restartNumberingAfterBreak="0">
    <w:nsid w:val="3EEF0EBB"/>
    <w:multiLevelType w:val="hybridMultilevel"/>
    <w:tmpl w:val="810C2CA8"/>
    <w:lvl w:ilvl="0" w:tplc="100C0011">
      <w:start w:val="1"/>
      <w:numFmt w:val="decimal"/>
      <w:lvlText w:val="%1)"/>
      <w:lvlJc w:val="left"/>
      <w:pPr>
        <w:ind w:left="778" w:hanging="360"/>
      </w:pPr>
    </w:lvl>
    <w:lvl w:ilvl="1" w:tplc="100C0019" w:tentative="1">
      <w:start w:val="1"/>
      <w:numFmt w:val="lowerLetter"/>
      <w:lvlText w:val="%2."/>
      <w:lvlJc w:val="left"/>
      <w:pPr>
        <w:ind w:left="1498" w:hanging="360"/>
      </w:pPr>
    </w:lvl>
    <w:lvl w:ilvl="2" w:tplc="100C001B" w:tentative="1">
      <w:start w:val="1"/>
      <w:numFmt w:val="lowerRoman"/>
      <w:lvlText w:val="%3."/>
      <w:lvlJc w:val="right"/>
      <w:pPr>
        <w:ind w:left="2218" w:hanging="180"/>
      </w:pPr>
    </w:lvl>
    <w:lvl w:ilvl="3" w:tplc="100C000F" w:tentative="1">
      <w:start w:val="1"/>
      <w:numFmt w:val="decimal"/>
      <w:lvlText w:val="%4."/>
      <w:lvlJc w:val="left"/>
      <w:pPr>
        <w:ind w:left="2938" w:hanging="360"/>
      </w:pPr>
    </w:lvl>
    <w:lvl w:ilvl="4" w:tplc="100C0019" w:tentative="1">
      <w:start w:val="1"/>
      <w:numFmt w:val="lowerLetter"/>
      <w:lvlText w:val="%5."/>
      <w:lvlJc w:val="left"/>
      <w:pPr>
        <w:ind w:left="3658" w:hanging="360"/>
      </w:pPr>
    </w:lvl>
    <w:lvl w:ilvl="5" w:tplc="100C001B" w:tentative="1">
      <w:start w:val="1"/>
      <w:numFmt w:val="lowerRoman"/>
      <w:lvlText w:val="%6."/>
      <w:lvlJc w:val="right"/>
      <w:pPr>
        <w:ind w:left="4378" w:hanging="180"/>
      </w:pPr>
    </w:lvl>
    <w:lvl w:ilvl="6" w:tplc="100C000F" w:tentative="1">
      <w:start w:val="1"/>
      <w:numFmt w:val="decimal"/>
      <w:lvlText w:val="%7."/>
      <w:lvlJc w:val="left"/>
      <w:pPr>
        <w:ind w:left="5098" w:hanging="360"/>
      </w:pPr>
    </w:lvl>
    <w:lvl w:ilvl="7" w:tplc="100C0019" w:tentative="1">
      <w:start w:val="1"/>
      <w:numFmt w:val="lowerLetter"/>
      <w:lvlText w:val="%8."/>
      <w:lvlJc w:val="left"/>
      <w:pPr>
        <w:ind w:left="5818" w:hanging="360"/>
      </w:pPr>
    </w:lvl>
    <w:lvl w:ilvl="8" w:tplc="100C001B" w:tentative="1">
      <w:start w:val="1"/>
      <w:numFmt w:val="lowerRoman"/>
      <w:lvlText w:val="%9."/>
      <w:lvlJc w:val="right"/>
      <w:pPr>
        <w:ind w:left="6538" w:hanging="180"/>
      </w:pPr>
    </w:lvl>
  </w:abstractNum>
  <w:abstractNum w:abstractNumId="19" w15:restartNumberingAfterBreak="0">
    <w:nsid w:val="4029295C"/>
    <w:multiLevelType w:val="multilevel"/>
    <w:tmpl w:val="D05626DE"/>
    <w:lvl w:ilvl="0">
      <w:start w:val="1"/>
      <w:numFmt w:val="decimal"/>
      <w:pStyle w:val="Heading1"/>
      <w:lvlText w:val="%1."/>
      <w:lvlJc w:val="left"/>
      <w:pPr>
        <w:ind w:left="720" w:hanging="360"/>
      </w:pPr>
      <w:rPr>
        <w:rFonts w:hint="default"/>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440" w:hanging="108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800" w:hanging="1440"/>
      </w:pPr>
      <w:rPr>
        <w:rFonts w:hint="default"/>
        <w:sz w:val="24"/>
      </w:rPr>
    </w:lvl>
    <w:lvl w:ilvl="6">
      <w:start w:val="1"/>
      <w:numFmt w:val="decimal"/>
      <w:isLgl/>
      <w:lvlText w:val="%1.%2.%3.%4.%5.%6.%7."/>
      <w:lvlJc w:val="left"/>
      <w:pPr>
        <w:ind w:left="2160" w:hanging="1800"/>
      </w:pPr>
      <w:rPr>
        <w:rFonts w:hint="default"/>
        <w:sz w:val="24"/>
      </w:rPr>
    </w:lvl>
    <w:lvl w:ilvl="7">
      <w:start w:val="1"/>
      <w:numFmt w:val="decimal"/>
      <w:isLgl/>
      <w:lvlText w:val="%1.%2.%3.%4.%5.%6.%7.%8."/>
      <w:lvlJc w:val="left"/>
      <w:pPr>
        <w:ind w:left="2160" w:hanging="1800"/>
      </w:pPr>
      <w:rPr>
        <w:rFonts w:hint="default"/>
        <w:sz w:val="24"/>
      </w:rPr>
    </w:lvl>
    <w:lvl w:ilvl="8">
      <w:start w:val="1"/>
      <w:numFmt w:val="decimal"/>
      <w:isLgl/>
      <w:lvlText w:val="%1.%2.%3.%4.%5.%6.%7.%8.%9."/>
      <w:lvlJc w:val="left"/>
      <w:pPr>
        <w:ind w:left="2520" w:hanging="2160"/>
      </w:pPr>
      <w:rPr>
        <w:rFonts w:hint="default"/>
        <w:sz w:val="24"/>
      </w:rPr>
    </w:lvl>
  </w:abstractNum>
  <w:abstractNum w:abstractNumId="20" w15:restartNumberingAfterBreak="0">
    <w:nsid w:val="4AB13110"/>
    <w:multiLevelType w:val="hybridMultilevel"/>
    <w:tmpl w:val="B964CEDC"/>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1" w15:restartNumberingAfterBreak="0">
    <w:nsid w:val="52D156E4"/>
    <w:multiLevelType w:val="hybridMultilevel"/>
    <w:tmpl w:val="5A92F88E"/>
    <w:lvl w:ilvl="0" w:tplc="100C0011">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15:restartNumberingAfterBreak="0">
    <w:nsid w:val="52D87018"/>
    <w:multiLevelType w:val="multilevel"/>
    <w:tmpl w:val="4836CCD8"/>
    <w:styleLink w:val="List0"/>
    <w:lvl w:ilvl="0">
      <w:start w:val="1"/>
      <w:numFmt w:val="decimal"/>
      <w:lvlText w:val="%1."/>
      <w:lvlJc w:val="left"/>
      <w:pPr>
        <w:tabs>
          <w:tab w:val="num" w:pos="393"/>
        </w:tabs>
        <w:ind w:left="393" w:hanging="393"/>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1">
      <w:start w:val="1"/>
      <w:numFmt w:val="decimal"/>
      <w:lvlText w:val="%1.%2."/>
      <w:lvlJc w:val="left"/>
      <w:pPr>
        <w:tabs>
          <w:tab w:val="num" w:pos="720"/>
        </w:tabs>
        <w:ind w:left="720" w:hanging="72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3">
      <w:start w:val="1"/>
      <w:numFmt w:val="decimal"/>
      <w:lvlText w:val="%1.%2.%3.%4."/>
      <w:lvlJc w:val="left"/>
      <w:pPr>
        <w:tabs>
          <w:tab w:val="num" w:pos="1080"/>
        </w:tabs>
        <w:ind w:left="1080" w:hanging="108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4">
      <w:start w:val="1"/>
      <w:numFmt w:val="decimal"/>
      <w:lvlText w:val="%1.%2.%3.%4.%5."/>
      <w:lvlJc w:val="left"/>
      <w:pPr>
        <w:tabs>
          <w:tab w:val="num" w:pos="1080"/>
        </w:tabs>
        <w:ind w:left="1080" w:hanging="108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5">
      <w:start w:val="1"/>
      <w:numFmt w:val="decimal"/>
      <w:lvlText w:val="%1.%2.%3.%4.%5.%6."/>
      <w:lvlJc w:val="left"/>
      <w:pPr>
        <w:tabs>
          <w:tab w:val="num" w:pos="1440"/>
        </w:tabs>
        <w:ind w:left="1440" w:hanging="144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6">
      <w:start w:val="1"/>
      <w:numFmt w:val="decimal"/>
      <w:lvlText w:val="%1.%2.%3.%4.%5.%6.%7."/>
      <w:lvlJc w:val="left"/>
      <w:pPr>
        <w:tabs>
          <w:tab w:val="num" w:pos="1800"/>
        </w:tabs>
        <w:ind w:left="1800" w:hanging="180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7">
      <w:start w:val="1"/>
      <w:numFmt w:val="decimal"/>
      <w:lvlText w:val="%1.%2.%3.%4.%5.%6.%7.%8."/>
      <w:lvlJc w:val="left"/>
      <w:pPr>
        <w:tabs>
          <w:tab w:val="num" w:pos="1800"/>
        </w:tabs>
        <w:ind w:left="1800" w:hanging="180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lvl w:ilvl="8">
      <w:start w:val="1"/>
      <w:numFmt w:val="decimal"/>
      <w:lvlText w:val="%1.%2.%3.%4.%5.%6.%7.%8.%9."/>
      <w:lvlJc w:val="left"/>
      <w:pPr>
        <w:tabs>
          <w:tab w:val="num" w:pos="2160"/>
        </w:tabs>
        <w:ind w:left="2160" w:hanging="2160"/>
      </w:pPr>
      <w:rPr>
        <w:rFonts w:ascii="Tahoma" w:eastAsia="Tahoma" w:hAnsi="Tahoma" w:cs="Courier New"/>
        <w:b w:val="0"/>
        <w:bCs w:val="0"/>
        <w:i w:val="0"/>
        <w:iCs w:val="0"/>
        <w:caps/>
        <w:strike w:val="0"/>
        <w:dstrike w:val="0"/>
        <w:color w:val="000000"/>
        <w:spacing w:val="0"/>
        <w:kern w:val="0"/>
        <w:position w:val="0"/>
        <w:sz w:val="24"/>
        <w:szCs w:val="24"/>
        <w:u w:val="none" w:color="000000"/>
        <w:vertAlign w:val="baseline"/>
        <w:rtl w:val="0"/>
        <w14:textOutline w14:w="0" w14:cap="rnd" w14:cmpd="sng" w14:algn="ctr">
          <w14:noFill/>
          <w14:prstDash w14:val="solid"/>
          <w14:bevel/>
        </w14:textOutline>
      </w:rPr>
    </w:lvl>
  </w:abstractNum>
  <w:abstractNum w:abstractNumId="23" w15:restartNumberingAfterBreak="0">
    <w:nsid w:val="55C23EFE"/>
    <w:multiLevelType w:val="hybridMultilevel"/>
    <w:tmpl w:val="96BE8E5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15:restartNumberingAfterBreak="0">
    <w:nsid w:val="5819777F"/>
    <w:multiLevelType w:val="hybridMultilevel"/>
    <w:tmpl w:val="3D86CEDE"/>
    <w:lvl w:ilvl="0" w:tplc="040C0019">
      <w:start w:val="1"/>
      <w:numFmt w:val="lowerLetter"/>
      <w:lvlText w:val="%1."/>
      <w:lvlJc w:val="left"/>
      <w:pPr>
        <w:ind w:left="1440" w:hanging="360"/>
      </w:pPr>
    </w:lvl>
    <w:lvl w:ilvl="1" w:tplc="100C0019" w:tentative="1">
      <w:start w:val="1"/>
      <w:numFmt w:val="lowerLetter"/>
      <w:lvlText w:val="%2."/>
      <w:lvlJc w:val="left"/>
      <w:pPr>
        <w:ind w:left="588" w:hanging="360"/>
      </w:pPr>
    </w:lvl>
    <w:lvl w:ilvl="2" w:tplc="100C001B" w:tentative="1">
      <w:start w:val="1"/>
      <w:numFmt w:val="lowerRoman"/>
      <w:lvlText w:val="%3."/>
      <w:lvlJc w:val="right"/>
      <w:pPr>
        <w:ind w:left="1308" w:hanging="180"/>
      </w:pPr>
    </w:lvl>
    <w:lvl w:ilvl="3" w:tplc="100C000F" w:tentative="1">
      <w:start w:val="1"/>
      <w:numFmt w:val="decimal"/>
      <w:lvlText w:val="%4."/>
      <w:lvlJc w:val="left"/>
      <w:pPr>
        <w:ind w:left="2028" w:hanging="360"/>
      </w:pPr>
    </w:lvl>
    <w:lvl w:ilvl="4" w:tplc="100C0019" w:tentative="1">
      <w:start w:val="1"/>
      <w:numFmt w:val="lowerLetter"/>
      <w:lvlText w:val="%5."/>
      <w:lvlJc w:val="left"/>
      <w:pPr>
        <w:ind w:left="2748" w:hanging="360"/>
      </w:pPr>
    </w:lvl>
    <w:lvl w:ilvl="5" w:tplc="100C001B" w:tentative="1">
      <w:start w:val="1"/>
      <w:numFmt w:val="lowerRoman"/>
      <w:lvlText w:val="%6."/>
      <w:lvlJc w:val="right"/>
      <w:pPr>
        <w:ind w:left="3468" w:hanging="180"/>
      </w:pPr>
    </w:lvl>
    <w:lvl w:ilvl="6" w:tplc="100C000F" w:tentative="1">
      <w:start w:val="1"/>
      <w:numFmt w:val="decimal"/>
      <w:lvlText w:val="%7."/>
      <w:lvlJc w:val="left"/>
      <w:pPr>
        <w:ind w:left="4188" w:hanging="360"/>
      </w:pPr>
    </w:lvl>
    <w:lvl w:ilvl="7" w:tplc="100C0019" w:tentative="1">
      <w:start w:val="1"/>
      <w:numFmt w:val="lowerLetter"/>
      <w:lvlText w:val="%8."/>
      <w:lvlJc w:val="left"/>
      <w:pPr>
        <w:ind w:left="4908" w:hanging="360"/>
      </w:pPr>
    </w:lvl>
    <w:lvl w:ilvl="8" w:tplc="100C001B" w:tentative="1">
      <w:start w:val="1"/>
      <w:numFmt w:val="lowerRoman"/>
      <w:lvlText w:val="%9."/>
      <w:lvlJc w:val="right"/>
      <w:pPr>
        <w:ind w:left="5628" w:hanging="180"/>
      </w:pPr>
    </w:lvl>
  </w:abstractNum>
  <w:abstractNum w:abstractNumId="25" w15:restartNumberingAfterBreak="0">
    <w:nsid w:val="6643691F"/>
    <w:multiLevelType w:val="hybridMultilevel"/>
    <w:tmpl w:val="231AE080"/>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6" w15:restartNumberingAfterBreak="0">
    <w:nsid w:val="66517D3E"/>
    <w:multiLevelType w:val="hybridMultilevel"/>
    <w:tmpl w:val="9712367E"/>
    <w:lvl w:ilvl="0" w:tplc="7BE4675C">
      <w:numFmt w:val="bullet"/>
      <w:lvlText w:val="-"/>
      <w:lvlJc w:val="left"/>
      <w:pPr>
        <w:ind w:left="720" w:hanging="360"/>
      </w:pPr>
      <w:rPr>
        <w:rFonts w:ascii="Tahoma" w:eastAsia="Calibr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188415A"/>
    <w:multiLevelType w:val="hybridMultilevel"/>
    <w:tmpl w:val="80DAAA12"/>
    <w:lvl w:ilvl="0" w:tplc="EFF66F2C">
      <w:start w:val="1"/>
      <w:numFmt w:val="decimal"/>
      <w:lvlText w:val="%1."/>
      <w:lvlJc w:val="left"/>
      <w:pPr>
        <w:ind w:left="720" w:hanging="360"/>
      </w:pPr>
      <w:rPr>
        <w:rFonts w:asciiTheme="minorHAnsi" w:eastAsiaTheme="minorHAnsi" w:hAnsiTheme="minorHAnsi" w:cstheme="minorBidi"/>
      </w:rPr>
    </w:lvl>
    <w:lvl w:ilvl="1" w:tplc="100C0003">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8" w15:restartNumberingAfterBreak="0">
    <w:nsid w:val="721E2E49"/>
    <w:multiLevelType w:val="multilevel"/>
    <w:tmpl w:val="CD329598"/>
    <w:styleLink w:val="List1"/>
    <w:lvl w:ilvl="0">
      <w:numFmt w:val="bullet"/>
      <w:lvlText w:val="•"/>
      <w:lvlJc w:val="left"/>
      <w:pPr>
        <w:tabs>
          <w:tab w:val="num" w:pos="720"/>
        </w:tabs>
        <w:ind w:left="720" w:hanging="360"/>
      </w:pPr>
      <w:rPr>
        <w:rFonts w:ascii="Tahoma" w:eastAsia="Tahoma" w:hAnsi="Tahoma" w:cs="Courier New"/>
        <w:position w:val="0"/>
        <w:sz w:val="24"/>
        <w:szCs w:val="24"/>
        <w:lang w:val="en-US"/>
      </w:rPr>
    </w:lvl>
    <w:lvl w:ilvl="1">
      <w:start w:val="1"/>
      <w:numFmt w:val="bullet"/>
      <w:lvlText w:val="o"/>
      <w:lvlJc w:val="left"/>
      <w:pPr>
        <w:tabs>
          <w:tab w:val="num" w:pos="1410"/>
        </w:tabs>
        <w:ind w:left="1410" w:hanging="330"/>
      </w:pPr>
      <w:rPr>
        <w:rFonts w:ascii="Tahoma" w:eastAsia="Tahoma" w:hAnsi="Tahoma" w:cs="Courier New"/>
        <w:position w:val="0"/>
        <w:sz w:val="22"/>
        <w:szCs w:val="22"/>
        <w:lang w:val="en-US"/>
      </w:rPr>
    </w:lvl>
    <w:lvl w:ilvl="2">
      <w:start w:val="1"/>
      <w:numFmt w:val="bullet"/>
      <w:lvlText w:val="▪"/>
      <w:lvlJc w:val="left"/>
      <w:pPr>
        <w:tabs>
          <w:tab w:val="num" w:pos="2130"/>
        </w:tabs>
        <w:ind w:left="2130" w:hanging="330"/>
      </w:pPr>
      <w:rPr>
        <w:rFonts w:ascii="Tahoma" w:eastAsia="Tahoma" w:hAnsi="Tahoma" w:cs="Courier New"/>
        <w:position w:val="0"/>
        <w:sz w:val="22"/>
        <w:szCs w:val="22"/>
        <w:lang w:val="en-US"/>
      </w:rPr>
    </w:lvl>
    <w:lvl w:ilvl="3">
      <w:start w:val="1"/>
      <w:numFmt w:val="bullet"/>
      <w:lvlText w:val="•"/>
      <w:lvlJc w:val="left"/>
      <w:pPr>
        <w:tabs>
          <w:tab w:val="num" w:pos="2850"/>
        </w:tabs>
        <w:ind w:left="2850" w:hanging="330"/>
      </w:pPr>
      <w:rPr>
        <w:rFonts w:ascii="Tahoma" w:eastAsia="Tahoma" w:hAnsi="Tahoma" w:cs="Courier New"/>
        <w:position w:val="0"/>
        <w:sz w:val="22"/>
        <w:szCs w:val="22"/>
        <w:lang w:val="en-US"/>
      </w:rPr>
    </w:lvl>
    <w:lvl w:ilvl="4">
      <w:start w:val="1"/>
      <w:numFmt w:val="bullet"/>
      <w:lvlText w:val="o"/>
      <w:lvlJc w:val="left"/>
      <w:pPr>
        <w:tabs>
          <w:tab w:val="num" w:pos="3570"/>
        </w:tabs>
        <w:ind w:left="3570" w:hanging="330"/>
      </w:pPr>
      <w:rPr>
        <w:rFonts w:ascii="Tahoma" w:eastAsia="Tahoma" w:hAnsi="Tahoma" w:cs="Courier New"/>
        <w:position w:val="0"/>
        <w:sz w:val="22"/>
        <w:szCs w:val="22"/>
        <w:lang w:val="en-US"/>
      </w:rPr>
    </w:lvl>
    <w:lvl w:ilvl="5">
      <w:start w:val="1"/>
      <w:numFmt w:val="bullet"/>
      <w:lvlText w:val="▪"/>
      <w:lvlJc w:val="left"/>
      <w:pPr>
        <w:tabs>
          <w:tab w:val="num" w:pos="4290"/>
        </w:tabs>
        <w:ind w:left="4290" w:hanging="330"/>
      </w:pPr>
      <w:rPr>
        <w:rFonts w:ascii="Tahoma" w:eastAsia="Tahoma" w:hAnsi="Tahoma" w:cs="Courier New"/>
        <w:position w:val="0"/>
        <w:sz w:val="22"/>
        <w:szCs w:val="22"/>
        <w:lang w:val="en-US"/>
      </w:rPr>
    </w:lvl>
    <w:lvl w:ilvl="6">
      <w:start w:val="1"/>
      <w:numFmt w:val="bullet"/>
      <w:lvlText w:val="•"/>
      <w:lvlJc w:val="left"/>
      <w:pPr>
        <w:tabs>
          <w:tab w:val="num" w:pos="5010"/>
        </w:tabs>
        <w:ind w:left="5010" w:hanging="330"/>
      </w:pPr>
      <w:rPr>
        <w:rFonts w:ascii="Tahoma" w:eastAsia="Tahoma" w:hAnsi="Tahoma" w:cs="Courier New"/>
        <w:position w:val="0"/>
        <w:sz w:val="22"/>
        <w:szCs w:val="22"/>
        <w:lang w:val="en-US"/>
      </w:rPr>
    </w:lvl>
    <w:lvl w:ilvl="7">
      <w:start w:val="1"/>
      <w:numFmt w:val="bullet"/>
      <w:lvlText w:val="o"/>
      <w:lvlJc w:val="left"/>
      <w:pPr>
        <w:tabs>
          <w:tab w:val="num" w:pos="5730"/>
        </w:tabs>
        <w:ind w:left="5730" w:hanging="330"/>
      </w:pPr>
      <w:rPr>
        <w:rFonts w:ascii="Tahoma" w:eastAsia="Tahoma" w:hAnsi="Tahoma" w:cs="Courier New"/>
        <w:position w:val="0"/>
        <w:sz w:val="22"/>
        <w:szCs w:val="22"/>
        <w:lang w:val="en-US"/>
      </w:rPr>
    </w:lvl>
    <w:lvl w:ilvl="8">
      <w:start w:val="1"/>
      <w:numFmt w:val="bullet"/>
      <w:lvlText w:val="▪"/>
      <w:lvlJc w:val="left"/>
      <w:pPr>
        <w:tabs>
          <w:tab w:val="num" w:pos="6450"/>
        </w:tabs>
        <w:ind w:left="6450" w:hanging="330"/>
      </w:pPr>
      <w:rPr>
        <w:rFonts w:ascii="Tahoma" w:eastAsia="Tahoma" w:hAnsi="Tahoma" w:cs="Courier New"/>
        <w:position w:val="0"/>
        <w:sz w:val="22"/>
        <w:szCs w:val="22"/>
        <w:lang w:val="en-US"/>
      </w:rPr>
    </w:lvl>
  </w:abstractNum>
  <w:abstractNum w:abstractNumId="29" w15:restartNumberingAfterBreak="0">
    <w:nsid w:val="72C96591"/>
    <w:multiLevelType w:val="multilevel"/>
    <w:tmpl w:val="805A6D7A"/>
    <w:styleLink w:val="Liste51"/>
    <w:lvl w:ilvl="0">
      <w:numFmt w:val="bullet"/>
      <w:lvlText w:val="•"/>
      <w:lvlJc w:val="left"/>
      <w:pPr>
        <w:tabs>
          <w:tab w:val="num" w:pos="720"/>
        </w:tabs>
        <w:ind w:left="720" w:hanging="360"/>
      </w:pPr>
      <w:rPr>
        <w:rFonts w:ascii="Tahoma" w:eastAsia="Tahoma" w:hAnsi="Tahoma" w:cs="Courier New"/>
        <w:position w:val="0"/>
        <w:sz w:val="24"/>
        <w:szCs w:val="24"/>
        <w:rtl w:val="0"/>
      </w:rPr>
    </w:lvl>
    <w:lvl w:ilvl="1">
      <w:start w:val="1"/>
      <w:numFmt w:val="bullet"/>
      <w:lvlText w:val="o"/>
      <w:lvlJc w:val="left"/>
      <w:pPr>
        <w:tabs>
          <w:tab w:val="num" w:pos="1410"/>
        </w:tabs>
        <w:ind w:left="1410" w:hanging="330"/>
      </w:pPr>
      <w:rPr>
        <w:rFonts w:ascii="Tahoma" w:eastAsia="Tahoma" w:hAnsi="Tahoma" w:cs="Courier New"/>
        <w:position w:val="0"/>
        <w:sz w:val="22"/>
        <w:szCs w:val="22"/>
        <w:rtl w:val="0"/>
      </w:rPr>
    </w:lvl>
    <w:lvl w:ilvl="2">
      <w:start w:val="1"/>
      <w:numFmt w:val="bullet"/>
      <w:lvlText w:val="▪"/>
      <w:lvlJc w:val="left"/>
      <w:pPr>
        <w:tabs>
          <w:tab w:val="num" w:pos="2130"/>
        </w:tabs>
        <w:ind w:left="2130" w:hanging="330"/>
      </w:pPr>
      <w:rPr>
        <w:rFonts w:ascii="Tahoma" w:eastAsia="Tahoma" w:hAnsi="Tahoma" w:cs="Courier New"/>
        <w:position w:val="0"/>
        <w:sz w:val="22"/>
        <w:szCs w:val="22"/>
        <w:rtl w:val="0"/>
      </w:rPr>
    </w:lvl>
    <w:lvl w:ilvl="3">
      <w:start w:val="1"/>
      <w:numFmt w:val="bullet"/>
      <w:lvlText w:val="•"/>
      <w:lvlJc w:val="left"/>
      <w:pPr>
        <w:tabs>
          <w:tab w:val="num" w:pos="2850"/>
        </w:tabs>
        <w:ind w:left="2850" w:hanging="330"/>
      </w:pPr>
      <w:rPr>
        <w:rFonts w:ascii="Tahoma" w:eastAsia="Tahoma" w:hAnsi="Tahoma" w:cs="Courier New"/>
        <w:position w:val="0"/>
        <w:sz w:val="22"/>
        <w:szCs w:val="22"/>
        <w:rtl w:val="0"/>
      </w:rPr>
    </w:lvl>
    <w:lvl w:ilvl="4">
      <w:start w:val="1"/>
      <w:numFmt w:val="bullet"/>
      <w:lvlText w:val="o"/>
      <w:lvlJc w:val="left"/>
      <w:pPr>
        <w:tabs>
          <w:tab w:val="num" w:pos="3570"/>
        </w:tabs>
        <w:ind w:left="3570" w:hanging="330"/>
      </w:pPr>
      <w:rPr>
        <w:rFonts w:ascii="Tahoma" w:eastAsia="Tahoma" w:hAnsi="Tahoma" w:cs="Courier New"/>
        <w:position w:val="0"/>
        <w:sz w:val="22"/>
        <w:szCs w:val="22"/>
        <w:rtl w:val="0"/>
      </w:rPr>
    </w:lvl>
    <w:lvl w:ilvl="5">
      <w:start w:val="1"/>
      <w:numFmt w:val="bullet"/>
      <w:lvlText w:val="▪"/>
      <w:lvlJc w:val="left"/>
      <w:pPr>
        <w:tabs>
          <w:tab w:val="num" w:pos="4290"/>
        </w:tabs>
        <w:ind w:left="4290" w:hanging="330"/>
      </w:pPr>
      <w:rPr>
        <w:rFonts w:ascii="Tahoma" w:eastAsia="Tahoma" w:hAnsi="Tahoma" w:cs="Courier New"/>
        <w:position w:val="0"/>
        <w:sz w:val="22"/>
        <w:szCs w:val="22"/>
        <w:rtl w:val="0"/>
      </w:rPr>
    </w:lvl>
    <w:lvl w:ilvl="6">
      <w:start w:val="1"/>
      <w:numFmt w:val="bullet"/>
      <w:lvlText w:val="•"/>
      <w:lvlJc w:val="left"/>
      <w:pPr>
        <w:tabs>
          <w:tab w:val="num" w:pos="5010"/>
        </w:tabs>
        <w:ind w:left="5010" w:hanging="330"/>
      </w:pPr>
      <w:rPr>
        <w:rFonts w:ascii="Tahoma" w:eastAsia="Tahoma" w:hAnsi="Tahoma" w:cs="Courier New"/>
        <w:position w:val="0"/>
        <w:sz w:val="22"/>
        <w:szCs w:val="22"/>
        <w:rtl w:val="0"/>
      </w:rPr>
    </w:lvl>
    <w:lvl w:ilvl="7">
      <w:start w:val="1"/>
      <w:numFmt w:val="bullet"/>
      <w:lvlText w:val="o"/>
      <w:lvlJc w:val="left"/>
      <w:pPr>
        <w:tabs>
          <w:tab w:val="num" w:pos="5730"/>
        </w:tabs>
        <w:ind w:left="5730" w:hanging="330"/>
      </w:pPr>
      <w:rPr>
        <w:rFonts w:ascii="Tahoma" w:eastAsia="Tahoma" w:hAnsi="Tahoma" w:cs="Courier New"/>
        <w:position w:val="0"/>
        <w:sz w:val="22"/>
        <w:szCs w:val="22"/>
        <w:rtl w:val="0"/>
      </w:rPr>
    </w:lvl>
    <w:lvl w:ilvl="8">
      <w:start w:val="1"/>
      <w:numFmt w:val="bullet"/>
      <w:lvlText w:val="▪"/>
      <w:lvlJc w:val="left"/>
      <w:pPr>
        <w:tabs>
          <w:tab w:val="num" w:pos="6450"/>
        </w:tabs>
        <w:ind w:left="6450" w:hanging="330"/>
      </w:pPr>
      <w:rPr>
        <w:rFonts w:ascii="Tahoma" w:eastAsia="Tahoma" w:hAnsi="Tahoma" w:cs="Courier New"/>
        <w:position w:val="0"/>
        <w:sz w:val="22"/>
        <w:szCs w:val="22"/>
        <w:rtl w:val="0"/>
      </w:rPr>
    </w:lvl>
  </w:abstractNum>
  <w:abstractNum w:abstractNumId="30" w15:restartNumberingAfterBreak="0">
    <w:nsid w:val="74F07A40"/>
    <w:multiLevelType w:val="multilevel"/>
    <w:tmpl w:val="CF1AA074"/>
    <w:lvl w:ilvl="0">
      <w:start w:val="1"/>
      <w:numFmt w:val="decimal"/>
      <w:lvlText w:val="%1."/>
      <w:lvlJc w:val="left"/>
      <w:pPr>
        <w:ind w:left="1495"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78A75EDB"/>
    <w:multiLevelType w:val="hybridMultilevel"/>
    <w:tmpl w:val="52C6FACC"/>
    <w:lvl w:ilvl="0" w:tplc="99F249A2">
      <w:start w:val="7"/>
      <w:numFmt w:val="bullet"/>
      <w:lvlText w:val="-"/>
      <w:lvlJc w:val="left"/>
      <w:pPr>
        <w:ind w:left="720" w:hanging="360"/>
      </w:pPr>
      <w:rPr>
        <w:rFonts w:ascii="Tahoma" w:eastAsia="Calibri"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0"/>
  </w:num>
  <w:num w:numId="2">
    <w:abstractNumId w:val="22"/>
  </w:num>
  <w:num w:numId="3">
    <w:abstractNumId w:val="28"/>
  </w:num>
  <w:num w:numId="4">
    <w:abstractNumId w:val="0"/>
  </w:num>
  <w:num w:numId="5">
    <w:abstractNumId w:val="2"/>
  </w:num>
  <w:num w:numId="6">
    <w:abstractNumId w:val="8"/>
  </w:num>
  <w:num w:numId="7">
    <w:abstractNumId w:val="29"/>
  </w:num>
  <w:num w:numId="8">
    <w:abstractNumId w:val="9"/>
  </w:num>
  <w:num w:numId="9">
    <w:abstractNumId w:val="6"/>
  </w:num>
  <w:num w:numId="10">
    <w:abstractNumId w:val="11"/>
  </w:num>
  <w:num w:numId="11">
    <w:abstractNumId w:val="13"/>
  </w:num>
  <w:num w:numId="12">
    <w:abstractNumId w:val="31"/>
  </w:num>
  <w:num w:numId="13">
    <w:abstractNumId w:val="26"/>
  </w:num>
  <w:num w:numId="14">
    <w:abstractNumId w:val="10"/>
  </w:num>
  <w:num w:numId="15">
    <w:abstractNumId w:val="20"/>
  </w:num>
  <w:num w:numId="16">
    <w:abstractNumId w:val="3"/>
  </w:num>
  <w:num w:numId="17">
    <w:abstractNumId w:val="23"/>
  </w:num>
  <w:num w:numId="18">
    <w:abstractNumId w:val="3"/>
    <w:lvlOverride w:ilvl="0">
      <w:startOverride w:val="6"/>
    </w:lvlOverride>
    <w:lvlOverride w:ilvl="1">
      <w:startOverride w:val="1"/>
    </w:lvlOverride>
  </w:num>
  <w:num w:numId="19">
    <w:abstractNumId w:val="3"/>
    <w:lvlOverride w:ilvl="0">
      <w:startOverride w:val="6"/>
    </w:lvlOverride>
    <w:lvlOverride w:ilvl="1">
      <w:startOverride w:val="1"/>
    </w:lvlOverride>
  </w:num>
  <w:num w:numId="20">
    <w:abstractNumId w:val="3"/>
  </w:num>
  <w:num w:numId="21">
    <w:abstractNumId w:val="3"/>
    <w:lvlOverride w:ilvl="0">
      <w:startOverride w:val="6"/>
    </w:lvlOverride>
    <w:lvlOverride w:ilvl="1">
      <w:startOverride w:val="1"/>
    </w:lvlOverride>
  </w:num>
  <w:num w:numId="22">
    <w:abstractNumId w:val="3"/>
  </w:num>
  <w:num w:numId="23">
    <w:abstractNumId w:val="25"/>
  </w:num>
  <w:num w:numId="24">
    <w:abstractNumId w:val="19"/>
  </w:num>
  <w:num w:numId="2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15"/>
  </w:num>
  <w:num w:numId="31">
    <w:abstractNumId w:val="24"/>
  </w:num>
  <w:num w:numId="32">
    <w:abstractNumId w:val="5"/>
  </w:num>
  <w:num w:numId="33">
    <w:abstractNumId w:val="16"/>
  </w:num>
  <w:num w:numId="34">
    <w:abstractNumId w:val="27"/>
  </w:num>
  <w:num w:numId="35">
    <w:abstractNumId w:val="1"/>
  </w:num>
  <w:num w:numId="36">
    <w:abstractNumId w:val="3"/>
  </w:num>
  <w:num w:numId="37">
    <w:abstractNumId w:val="3"/>
  </w:num>
  <w:num w:numId="38">
    <w:abstractNumId w:val="3"/>
  </w:num>
  <w:num w:numId="39">
    <w:abstractNumId w:val="14"/>
  </w:num>
  <w:num w:numId="40">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21"/>
  </w:num>
  <w:num w:numId="45">
    <w:abstractNumId w:val="18"/>
  </w:num>
  <w:num w:numId="46">
    <w:abstractNumId w:val="7"/>
  </w:num>
  <w:num w:numId="47">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B5D"/>
    <w:rsid w:val="000001BB"/>
    <w:rsid w:val="00004124"/>
    <w:rsid w:val="00005921"/>
    <w:rsid w:val="000067F6"/>
    <w:rsid w:val="00012DB1"/>
    <w:rsid w:val="00012FB0"/>
    <w:rsid w:val="00014C1C"/>
    <w:rsid w:val="00014D4E"/>
    <w:rsid w:val="00014D55"/>
    <w:rsid w:val="000160FF"/>
    <w:rsid w:val="00016B2F"/>
    <w:rsid w:val="00017FB2"/>
    <w:rsid w:val="000208A4"/>
    <w:rsid w:val="00021768"/>
    <w:rsid w:val="00021CAB"/>
    <w:rsid w:val="00024043"/>
    <w:rsid w:val="00024A3A"/>
    <w:rsid w:val="00037F76"/>
    <w:rsid w:val="0004193A"/>
    <w:rsid w:val="00047254"/>
    <w:rsid w:val="00050E2E"/>
    <w:rsid w:val="00054AE9"/>
    <w:rsid w:val="00063372"/>
    <w:rsid w:val="00063B5D"/>
    <w:rsid w:val="00064928"/>
    <w:rsid w:val="00067A7C"/>
    <w:rsid w:val="00067D41"/>
    <w:rsid w:val="000715A7"/>
    <w:rsid w:val="000742F8"/>
    <w:rsid w:val="00074E64"/>
    <w:rsid w:val="00076120"/>
    <w:rsid w:val="00077728"/>
    <w:rsid w:val="00080004"/>
    <w:rsid w:val="00080EDC"/>
    <w:rsid w:val="00080FEE"/>
    <w:rsid w:val="00084DEA"/>
    <w:rsid w:val="00087244"/>
    <w:rsid w:val="000874E1"/>
    <w:rsid w:val="00087ADA"/>
    <w:rsid w:val="000936AB"/>
    <w:rsid w:val="00095B97"/>
    <w:rsid w:val="00096536"/>
    <w:rsid w:val="000974B0"/>
    <w:rsid w:val="000A1B1E"/>
    <w:rsid w:val="000A25CE"/>
    <w:rsid w:val="000A26E8"/>
    <w:rsid w:val="000A3A18"/>
    <w:rsid w:val="000A4351"/>
    <w:rsid w:val="000A58ED"/>
    <w:rsid w:val="000A73F1"/>
    <w:rsid w:val="000A79EF"/>
    <w:rsid w:val="000B26C3"/>
    <w:rsid w:val="000B2866"/>
    <w:rsid w:val="000B6716"/>
    <w:rsid w:val="000B6C2A"/>
    <w:rsid w:val="000B7575"/>
    <w:rsid w:val="000C1BED"/>
    <w:rsid w:val="000C25E2"/>
    <w:rsid w:val="000C5BAA"/>
    <w:rsid w:val="000D6BCD"/>
    <w:rsid w:val="000E2557"/>
    <w:rsid w:val="000E6227"/>
    <w:rsid w:val="000E6A7D"/>
    <w:rsid w:val="000E7B5F"/>
    <w:rsid w:val="00103C76"/>
    <w:rsid w:val="0010487A"/>
    <w:rsid w:val="00104D7D"/>
    <w:rsid w:val="00105222"/>
    <w:rsid w:val="00105CE6"/>
    <w:rsid w:val="0010665C"/>
    <w:rsid w:val="00111125"/>
    <w:rsid w:val="001132BD"/>
    <w:rsid w:val="00117D92"/>
    <w:rsid w:val="00122FF1"/>
    <w:rsid w:val="001235E3"/>
    <w:rsid w:val="00123853"/>
    <w:rsid w:val="0012426C"/>
    <w:rsid w:val="00125A36"/>
    <w:rsid w:val="00126AB7"/>
    <w:rsid w:val="0012789F"/>
    <w:rsid w:val="0013201A"/>
    <w:rsid w:val="001339F3"/>
    <w:rsid w:val="00134B5D"/>
    <w:rsid w:val="001444BC"/>
    <w:rsid w:val="0014503C"/>
    <w:rsid w:val="00145D6A"/>
    <w:rsid w:val="00146216"/>
    <w:rsid w:val="00150307"/>
    <w:rsid w:val="00150D5E"/>
    <w:rsid w:val="00151C08"/>
    <w:rsid w:val="0015557F"/>
    <w:rsid w:val="001556ED"/>
    <w:rsid w:val="00161107"/>
    <w:rsid w:val="00162A08"/>
    <w:rsid w:val="00162C1D"/>
    <w:rsid w:val="00165D7E"/>
    <w:rsid w:val="00165E49"/>
    <w:rsid w:val="00175537"/>
    <w:rsid w:val="001760CC"/>
    <w:rsid w:val="00177582"/>
    <w:rsid w:val="001835EB"/>
    <w:rsid w:val="00183A37"/>
    <w:rsid w:val="001849C2"/>
    <w:rsid w:val="0018578E"/>
    <w:rsid w:val="00186F4E"/>
    <w:rsid w:val="00190E56"/>
    <w:rsid w:val="00193E45"/>
    <w:rsid w:val="001947F4"/>
    <w:rsid w:val="001963A3"/>
    <w:rsid w:val="001A62A7"/>
    <w:rsid w:val="001B0EB1"/>
    <w:rsid w:val="001B4A62"/>
    <w:rsid w:val="001B4E74"/>
    <w:rsid w:val="001B7304"/>
    <w:rsid w:val="001B7A0C"/>
    <w:rsid w:val="001C04D0"/>
    <w:rsid w:val="001C2070"/>
    <w:rsid w:val="001C20D9"/>
    <w:rsid w:val="001C284B"/>
    <w:rsid w:val="001C2BA2"/>
    <w:rsid w:val="001C2D02"/>
    <w:rsid w:val="001C678A"/>
    <w:rsid w:val="001D31A3"/>
    <w:rsid w:val="001D496B"/>
    <w:rsid w:val="001D555E"/>
    <w:rsid w:val="001D78B3"/>
    <w:rsid w:val="001E2423"/>
    <w:rsid w:val="001E6AEF"/>
    <w:rsid w:val="001E6B05"/>
    <w:rsid w:val="001E6E2C"/>
    <w:rsid w:val="001F2133"/>
    <w:rsid w:val="001F3803"/>
    <w:rsid w:val="001F69A7"/>
    <w:rsid w:val="002021B0"/>
    <w:rsid w:val="002037B5"/>
    <w:rsid w:val="00207750"/>
    <w:rsid w:val="00212831"/>
    <w:rsid w:val="00213F93"/>
    <w:rsid w:val="00214829"/>
    <w:rsid w:val="00214E10"/>
    <w:rsid w:val="00215B14"/>
    <w:rsid w:val="00215CB6"/>
    <w:rsid w:val="002239E4"/>
    <w:rsid w:val="002252A8"/>
    <w:rsid w:val="002300D7"/>
    <w:rsid w:val="002315F9"/>
    <w:rsid w:val="00232C3B"/>
    <w:rsid w:val="00232D35"/>
    <w:rsid w:val="00232FB9"/>
    <w:rsid w:val="00233093"/>
    <w:rsid w:val="00241DFF"/>
    <w:rsid w:val="00241ECA"/>
    <w:rsid w:val="00242038"/>
    <w:rsid w:val="00242371"/>
    <w:rsid w:val="00245D1B"/>
    <w:rsid w:val="002470D6"/>
    <w:rsid w:val="002471AF"/>
    <w:rsid w:val="0024747C"/>
    <w:rsid w:val="00250619"/>
    <w:rsid w:val="0025138D"/>
    <w:rsid w:val="002518A2"/>
    <w:rsid w:val="0025221D"/>
    <w:rsid w:val="00256219"/>
    <w:rsid w:val="00264AB8"/>
    <w:rsid w:val="0027017A"/>
    <w:rsid w:val="0027236C"/>
    <w:rsid w:val="0027249D"/>
    <w:rsid w:val="0028164C"/>
    <w:rsid w:val="00284302"/>
    <w:rsid w:val="00284894"/>
    <w:rsid w:val="002879A2"/>
    <w:rsid w:val="00287AFF"/>
    <w:rsid w:val="0029011D"/>
    <w:rsid w:val="00290D63"/>
    <w:rsid w:val="002940D6"/>
    <w:rsid w:val="00294225"/>
    <w:rsid w:val="002A40DE"/>
    <w:rsid w:val="002A5A9D"/>
    <w:rsid w:val="002A5DCC"/>
    <w:rsid w:val="002A757F"/>
    <w:rsid w:val="002B033D"/>
    <w:rsid w:val="002B14AA"/>
    <w:rsid w:val="002B68F5"/>
    <w:rsid w:val="002C60D9"/>
    <w:rsid w:val="002C68BF"/>
    <w:rsid w:val="002D1798"/>
    <w:rsid w:val="002D3062"/>
    <w:rsid w:val="002D6A5E"/>
    <w:rsid w:val="002E30F4"/>
    <w:rsid w:val="002F0BF6"/>
    <w:rsid w:val="002F1D80"/>
    <w:rsid w:val="002F3C97"/>
    <w:rsid w:val="002F6A91"/>
    <w:rsid w:val="002F6C7F"/>
    <w:rsid w:val="00301352"/>
    <w:rsid w:val="00302020"/>
    <w:rsid w:val="00303A2E"/>
    <w:rsid w:val="00310D5B"/>
    <w:rsid w:val="00311554"/>
    <w:rsid w:val="003150CF"/>
    <w:rsid w:val="003168E9"/>
    <w:rsid w:val="00316ABE"/>
    <w:rsid w:val="00320517"/>
    <w:rsid w:val="00321C10"/>
    <w:rsid w:val="00321FA6"/>
    <w:rsid w:val="003300AB"/>
    <w:rsid w:val="003318DD"/>
    <w:rsid w:val="0033191A"/>
    <w:rsid w:val="00336833"/>
    <w:rsid w:val="00336A6B"/>
    <w:rsid w:val="0034018C"/>
    <w:rsid w:val="003407E5"/>
    <w:rsid w:val="00341760"/>
    <w:rsid w:val="003426AC"/>
    <w:rsid w:val="00353DB9"/>
    <w:rsid w:val="003562EE"/>
    <w:rsid w:val="00364621"/>
    <w:rsid w:val="00366E1D"/>
    <w:rsid w:val="00371F26"/>
    <w:rsid w:val="00372024"/>
    <w:rsid w:val="0037272A"/>
    <w:rsid w:val="00376667"/>
    <w:rsid w:val="00382103"/>
    <w:rsid w:val="00382BEC"/>
    <w:rsid w:val="00386940"/>
    <w:rsid w:val="003931E2"/>
    <w:rsid w:val="003937D0"/>
    <w:rsid w:val="00393BA0"/>
    <w:rsid w:val="0039710B"/>
    <w:rsid w:val="003A0458"/>
    <w:rsid w:val="003A0900"/>
    <w:rsid w:val="003A1F4F"/>
    <w:rsid w:val="003A1FEA"/>
    <w:rsid w:val="003A4DE2"/>
    <w:rsid w:val="003A644B"/>
    <w:rsid w:val="003B118B"/>
    <w:rsid w:val="003B3F00"/>
    <w:rsid w:val="003B5D9C"/>
    <w:rsid w:val="003C7EB5"/>
    <w:rsid w:val="003D3107"/>
    <w:rsid w:val="003D4CB9"/>
    <w:rsid w:val="003D66D6"/>
    <w:rsid w:val="003E1BBA"/>
    <w:rsid w:val="003E607B"/>
    <w:rsid w:val="003E64BC"/>
    <w:rsid w:val="003E749A"/>
    <w:rsid w:val="003F048F"/>
    <w:rsid w:val="003F5714"/>
    <w:rsid w:val="003F70FF"/>
    <w:rsid w:val="004023E2"/>
    <w:rsid w:val="00402C4D"/>
    <w:rsid w:val="00404ADD"/>
    <w:rsid w:val="00405D6D"/>
    <w:rsid w:val="00410D5D"/>
    <w:rsid w:val="00412D55"/>
    <w:rsid w:val="004141FD"/>
    <w:rsid w:val="00414DF1"/>
    <w:rsid w:val="00422709"/>
    <w:rsid w:val="00424998"/>
    <w:rsid w:val="00425EB3"/>
    <w:rsid w:val="00430860"/>
    <w:rsid w:val="00431B52"/>
    <w:rsid w:val="00433CF5"/>
    <w:rsid w:val="004344C5"/>
    <w:rsid w:val="00440440"/>
    <w:rsid w:val="00440BF5"/>
    <w:rsid w:val="00450972"/>
    <w:rsid w:val="0045099C"/>
    <w:rsid w:val="00450D8B"/>
    <w:rsid w:val="00451565"/>
    <w:rsid w:val="004559AA"/>
    <w:rsid w:val="00456D29"/>
    <w:rsid w:val="004639B1"/>
    <w:rsid w:val="004643F0"/>
    <w:rsid w:val="00475950"/>
    <w:rsid w:val="0047600C"/>
    <w:rsid w:val="00485858"/>
    <w:rsid w:val="00490D3E"/>
    <w:rsid w:val="004911D8"/>
    <w:rsid w:val="004A0E42"/>
    <w:rsid w:val="004A1100"/>
    <w:rsid w:val="004A1F37"/>
    <w:rsid w:val="004A3A37"/>
    <w:rsid w:val="004A3C52"/>
    <w:rsid w:val="004A6764"/>
    <w:rsid w:val="004A7DBA"/>
    <w:rsid w:val="004B124C"/>
    <w:rsid w:val="004B2431"/>
    <w:rsid w:val="004B4160"/>
    <w:rsid w:val="004C13FB"/>
    <w:rsid w:val="004C164B"/>
    <w:rsid w:val="004C1893"/>
    <w:rsid w:val="004C3EF9"/>
    <w:rsid w:val="004D6896"/>
    <w:rsid w:val="004E5811"/>
    <w:rsid w:val="004F2B5A"/>
    <w:rsid w:val="004F41C2"/>
    <w:rsid w:val="004F4AF6"/>
    <w:rsid w:val="004F5CAB"/>
    <w:rsid w:val="00502E6F"/>
    <w:rsid w:val="00506786"/>
    <w:rsid w:val="00513AED"/>
    <w:rsid w:val="0052716D"/>
    <w:rsid w:val="00531024"/>
    <w:rsid w:val="005348EB"/>
    <w:rsid w:val="00534C89"/>
    <w:rsid w:val="005359E4"/>
    <w:rsid w:val="00547115"/>
    <w:rsid w:val="00547FE4"/>
    <w:rsid w:val="0055296A"/>
    <w:rsid w:val="00553854"/>
    <w:rsid w:val="0055709F"/>
    <w:rsid w:val="00557D4E"/>
    <w:rsid w:val="00570E8F"/>
    <w:rsid w:val="00572599"/>
    <w:rsid w:val="005754E8"/>
    <w:rsid w:val="00581383"/>
    <w:rsid w:val="0058188F"/>
    <w:rsid w:val="00582DBB"/>
    <w:rsid w:val="005833FE"/>
    <w:rsid w:val="00583B12"/>
    <w:rsid w:val="005850B0"/>
    <w:rsid w:val="00586F93"/>
    <w:rsid w:val="005901FE"/>
    <w:rsid w:val="00590CE2"/>
    <w:rsid w:val="005929CE"/>
    <w:rsid w:val="00592FB3"/>
    <w:rsid w:val="00595573"/>
    <w:rsid w:val="00597DCF"/>
    <w:rsid w:val="005A36B1"/>
    <w:rsid w:val="005A3BCF"/>
    <w:rsid w:val="005A5179"/>
    <w:rsid w:val="005A5817"/>
    <w:rsid w:val="005A5D70"/>
    <w:rsid w:val="005A6C79"/>
    <w:rsid w:val="005B3976"/>
    <w:rsid w:val="005C073A"/>
    <w:rsid w:val="005C0D0E"/>
    <w:rsid w:val="005C0FA2"/>
    <w:rsid w:val="005C478A"/>
    <w:rsid w:val="005D19C5"/>
    <w:rsid w:val="005D6179"/>
    <w:rsid w:val="005E4337"/>
    <w:rsid w:val="005E46CF"/>
    <w:rsid w:val="005E58C3"/>
    <w:rsid w:val="005F1540"/>
    <w:rsid w:val="005F2C66"/>
    <w:rsid w:val="005F5C83"/>
    <w:rsid w:val="005F7458"/>
    <w:rsid w:val="00601277"/>
    <w:rsid w:val="00601977"/>
    <w:rsid w:val="00604C28"/>
    <w:rsid w:val="00612495"/>
    <w:rsid w:val="00613B55"/>
    <w:rsid w:val="006154CA"/>
    <w:rsid w:val="00621845"/>
    <w:rsid w:val="00622C2A"/>
    <w:rsid w:val="0062445A"/>
    <w:rsid w:val="0062534C"/>
    <w:rsid w:val="00626771"/>
    <w:rsid w:val="0063072F"/>
    <w:rsid w:val="0063215F"/>
    <w:rsid w:val="00632A60"/>
    <w:rsid w:val="00633BF5"/>
    <w:rsid w:val="0063604B"/>
    <w:rsid w:val="00640BD3"/>
    <w:rsid w:val="0064120E"/>
    <w:rsid w:val="0064554A"/>
    <w:rsid w:val="0064709D"/>
    <w:rsid w:val="0065038A"/>
    <w:rsid w:val="006519D8"/>
    <w:rsid w:val="0065265E"/>
    <w:rsid w:val="006567CC"/>
    <w:rsid w:val="006706B1"/>
    <w:rsid w:val="00670DB8"/>
    <w:rsid w:val="00672121"/>
    <w:rsid w:val="0067540D"/>
    <w:rsid w:val="00675C9C"/>
    <w:rsid w:val="00681EB0"/>
    <w:rsid w:val="00685ACB"/>
    <w:rsid w:val="00685FCD"/>
    <w:rsid w:val="00685FF0"/>
    <w:rsid w:val="006953D6"/>
    <w:rsid w:val="006A0B00"/>
    <w:rsid w:val="006A4767"/>
    <w:rsid w:val="006A506D"/>
    <w:rsid w:val="006A6151"/>
    <w:rsid w:val="006B0E12"/>
    <w:rsid w:val="006B3A44"/>
    <w:rsid w:val="006C257A"/>
    <w:rsid w:val="006C3FAB"/>
    <w:rsid w:val="006C774D"/>
    <w:rsid w:val="006C7F8A"/>
    <w:rsid w:val="006D7C9D"/>
    <w:rsid w:val="006E00AD"/>
    <w:rsid w:val="006E0C20"/>
    <w:rsid w:val="006E2FCD"/>
    <w:rsid w:val="006E501F"/>
    <w:rsid w:val="006E747B"/>
    <w:rsid w:val="006E7941"/>
    <w:rsid w:val="006F4B26"/>
    <w:rsid w:val="006F5CBA"/>
    <w:rsid w:val="006F5E15"/>
    <w:rsid w:val="006F69A0"/>
    <w:rsid w:val="00700840"/>
    <w:rsid w:val="00704477"/>
    <w:rsid w:val="00704645"/>
    <w:rsid w:val="00705B0C"/>
    <w:rsid w:val="00706DE7"/>
    <w:rsid w:val="00710F40"/>
    <w:rsid w:val="00711C44"/>
    <w:rsid w:val="007139EC"/>
    <w:rsid w:val="0074276F"/>
    <w:rsid w:val="007428B8"/>
    <w:rsid w:val="007448C9"/>
    <w:rsid w:val="007457A6"/>
    <w:rsid w:val="00746026"/>
    <w:rsid w:val="007468A0"/>
    <w:rsid w:val="007527AD"/>
    <w:rsid w:val="00752EAA"/>
    <w:rsid w:val="007570BF"/>
    <w:rsid w:val="00765C1B"/>
    <w:rsid w:val="007667FC"/>
    <w:rsid w:val="0077273E"/>
    <w:rsid w:val="00773632"/>
    <w:rsid w:val="00773CB3"/>
    <w:rsid w:val="00773FF1"/>
    <w:rsid w:val="0077484D"/>
    <w:rsid w:val="00774F01"/>
    <w:rsid w:val="00775564"/>
    <w:rsid w:val="00775D57"/>
    <w:rsid w:val="00776D9A"/>
    <w:rsid w:val="00777445"/>
    <w:rsid w:val="00780A99"/>
    <w:rsid w:val="0078197B"/>
    <w:rsid w:val="00785C6D"/>
    <w:rsid w:val="007864D7"/>
    <w:rsid w:val="00790214"/>
    <w:rsid w:val="007969AB"/>
    <w:rsid w:val="007A0F6C"/>
    <w:rsid w:val="007A2D9D"/>
    <w:rsid w:val="007A366D"/>
    <w:rsid w:val="007A3D4A"/>
    <w:rsid w:val="007A7822"/>
    <w:rsid w:val="007B00DE"/>
    <w:rsid w:val="007B56B4"/>
    <w:rsid w:val="007B5AA5"/>
    <w:rsid w:val="007B63A1"/>
    <w:rsid w:val="007B6E7D"/>
    <w:rsid w:val="007B76C9"/>
    <w:rsid w:val="007C2EF8"/>
    <w:rsid w:val="007C3725"/>
    <w:rsid w:val="007C39F7"/>
    <w:rsid w:val="007C6EDA"/>
    <w:rsid w:val="007D3902"/>
    <w:rsid w:val="007D60E2"/>
    <w:rsid w:val="007D625B"/>
    <w:rsid w:val="007D640E"/>
    <w:rsid w:val="007D7933"/>
    <w:rsid w:val="007D7BF5"/>
    <w:rsid w:val="007E00FF"/>
    <w:rsid w:val="007E4A10"/>
    <w:rsid w:val="007E4CAE"/>
    <w:rsid w:val="007E576D"/>
    <w:rsid w:val="007E7E22"/>
    <w:rsid w:val="007F3BD6"/>
    <w:rsid w:val="007F4339"/>
    <w:rsid w:val="007F462E"/>
    <w:rsid w:val="007F6223"/>
    <w:rsid w:val="007F70AE"/>
    <w:rsid w:val="007F7326"/>
    <w:rsid w:val="007F79F4"/>
    <w:rsid w:val="008006D1"/>
    <w:rsid w:val="00801C33"/>
    <w:rsid w:val="00802898"/>
    <w:rsid w:val="00805C8F"/>
    <w:rsid w:val="0080620B"/>
    <w:rsid w:val="00825001"/>
    <w:rsid w:val="00831BFE"/>
    <w:rsid w:val="0083211C"/>
    <w:rsid w:val="00833DCB"/>
    <w:rsid w:val="008340BD"/>
    <w:rsid w:val="0084571A"/>
    <w:rsid w:val="00847FCA"/>
    <w:rsid w:val="00850FD1"/>
    <w:rsid w:val="00855CAB"/>
    <w:rsid w:val="0085695A"/>
    <w:rsid w:val="00857DBE"/>
    <w:rsid w:val="00860B0E"/>
    <w:rsid w:val="00862816"/>
    <w:rsid w:val="00863360"/>
    <w:rsid w:val="008651C3"/>
    <w:rsid w:val="008719AE"/>
    <w:rsid w:val="00874BE5"/>
    <w:rsid w:val="00875BA4"/>
    <w:rsid w:val="00880015"/>
    <w:rsid w:val="008801FE"/>
    <w:rsid w:val="00882BA1"/>
    <w:rsid w:val="00883AE3"/>
    <w:rsid w:val="00887824"/>
    <w:rsid w:val="00887D77"/>
    <w:rsid w:val="00891FE9"/>
    <w:rsid w:val="00893BA0"/>
    <w:rsid w:val="00896D95"/>
    <w:rsid w:val="0089735F"/>
    <w:rsid w:val="00897808"/>
    <w:rsid w:val="008A140C"/>
    <w:rsid w:val="008A4632"/>
    <w:rsid w:val="008A55C5"/>
    <w:rsid w:val="008A678B"/>
    <w:rsid w:val="008A714A"/>
    <w:rsid w:val="008B465E"/>
    <w:rsid w:val="008B5685"/>
    <w:rsid w:val="008C4242"/>
    <w:rsid w:val="008C4957"/>
    <w:rsid w:val="008C4ED6"/>
    <w:rsid w:val="008C7D51"/>
    <w:rsid w:val="008D025B"/>
    <w:rsid w:val="008D28C6"/>
    <w:rsid w:val="008D33B4"/>
    <w:rsid w:val="008D36E3"/>
    <w:rsid w:val="008D77C6"/>
    <w:rsid w:val="008E1367"/>
    <w:rsid w:val="008E300B"/>
    <w:rsid w:val="008E3300"/>
    <w:rsid w:val="008E393D"/>
    <w:rsid w:val="008E5648"/>
    <w:rsid w:val="008E5D99"/>
    <w:rsid w:val="008E641F"/>
    <w:rsid w:val="008F03BC"/>
    <w:rsid w:val="008F5E3A"/>
    <w:rsid w:val="009010B6"/>
    <w:rsid w:val="00901936"/>
    <w:rsid w:val="009040BE"/>
    <w:rsid w:val="0091143D"/>
    <w:rsid w:val="00913089"/>
    <w:rsid w:val="00916C03"/>
    <w:rsid w:val="00921FDA"/>
    <w:rsid w:val="00924E5E"/>
    <w:rsid w:val="0092540C"/>
    <w:rsid w:val="00930DFD"/>
    <w:rsid w:val="00931039"/>
    <w:rsid w:val="00932810"/>
    <w:rsid w:val="009357A6"/>
    <w:rsid w:val="00937E00"/>
    <w:rsid w:val="00942E8B"/>
    <w:rsid w:val="0094765C"/>
    <w:rsid w:val="009549EC"/>
    <w:rsid w:val="00956745"/>
    <w:rsid w:val="00961D45"/>
    <w:rsid w:val="0096667C"/>
    <w:rsid w:val="00966EAF"/>
    <w:rsid w:val="00972EF3"/>
    <w:rsid w:val="00973EBF"/>
    <w:rsid w:val="00976AB2"/>
    <w:rsid w:val="009809AA"/>
    <w:rsid w:val="009832D3"/>
    <w:rsid w:val="009874BE"/>
    <w:rsid w:val="00990FDA"/>
    <w:rsid w:val="00992A25"/>
    <w:rsid w:val="0099426B"/>
    <w:rsid w:val="009A094A"/>
    <w:rsid w:val="009A1648"/>
    <w:rsid w:val="009A5BC5"/>
    <w:rsid w:val="009B348D"/>
    <w:rsid w:val="009B5FA0"/>
    <w:rsid w:val="009C0CC2"/>
    <w:rsid w:val="009C1563"/>
    <w:rsid w:val="009C3873"/>
    <w:rsid w:val="009D0BE8"/>
    <w:rsid w:val="009D5D31"/>
    <w:rsid w:val="009E4ECA"/>
    <w:rsid w:val="009F37B5"/>
    <w:rsid w:val="009F580E"/>
    <w:rsid w:val="009F78AC"/>
    <w:rsid w:val="00A00283"/>
    <w:rsid w:val="00A01B4D"/>
    <w:rsid w:val="00A03856"/>
    <w:rsid w:val="00A066C9"/>
    <w:rsid w:val="00A17646"/>
    <w:rsid w:val="00A202CA"/>
    <w:rsid w:val="00A222E9"/>
    <w:rsid w:val="00A22F87"/>
    <w:rsid w:val="00A23826"/>
    <w:rsid w:val="00A273D4"/>
    <w:rsid w:val="00A30385"/>
    <w:rsid w:val="00A36919"/>
    <w:rsid w:val="00A40598"/>
    <w:rsid w:val="00A41129"/>
    <w:rsid w:val="00A42578"/>
    <w:rsid w:val="00A42DB4"/>
    <w:rsid w:val="00A5041B"/>
    <w:rsid w:val="00A600E7"/>
    <w:rsid w:val="00A60888"/>
    <w:rsid w:val="00A6368D"/>
    <w:rsid w:val="00A67E3B"/>
    <w:rsid w:val="00A71C85"/>
    <w:rsid w:val="00A721F2"/>
    <w:rsid w:val="00A72838"/>
    <w:rsid w:val="00A728B4"/>
    <w:rsid w:val="00A72BBF"/>
    <w:rsid w:val="00A74B08"/>
    <w:rsid w:val="00A751CD"/>
    <w:rsid w:val="00A766DB"/>
    <w:rsid w:val="00A77190"/>
    <w:rsid w:val="00A80366"/>
    <w:rsid w:val="00A83F8C"/>
    <w:rsid w:val="00A84D4F"/>
    <w:rsid w:val="00A85630"/>
    <w:rsid w:val="00A86743"/>
    <w:rsid w:val="00A91C27"/>
    <w:rsid w:val="00A9281A"/>
    <w:rsid w:val="00A93637"/>
    <w:rsid w:val="00A94166"/>
    <w:rsid w:val="00A94325"/>
    <w:rsid w:val="00A972FF"/>
    <w:rsid w:val="00AA406F"/>
    <w:rsid w:val="00AA64CB"/>
    <w:rsid w:val="00AA72E9"/>
    <w:rsid w:val="00AB022E"/>
    <w:rsid w:val="00AB4425"/>
    <w:rsid w:val="00AC3039"/>
    <w:rsid w:val="00AC59D7"/>
    <w:rsid w:val="00AC7DD5"/>
    <w:rsid w:val="00AD033D"/>
    <w:rsid w:val="00AD0495"/>
    <w:rsid w:val="00AD33D1"/>
    <w:rsid w:val="00AD5269"/>
    <w:rsid w:val="00AE3F58"/>
    <w:rsid w:val="00AE5D54"/>
    <w:rsid w:val="00AE7814"/>
    <w:rsid w:val="00AF0D98"/>
    <w:rsid w:val="00AF1131"/>
    <w:rsid w:val="00AF429A"/>
    <w:rsid w:val="00AF61D7"/>
    <w:rsid w:val="00AF7399"/>
    <w:rsid w:val="00B01190"/>
    <w:rsid w:val="00B02407"/>
    <w:rsid w:val="00B02D68"/>
    <w:rsid w:val="00B05447"/>
    <w:rsid w:val="00B05A44"/>
    <w:rsid w:val="00B06707"/>
    <w:rsid w:val="00B133E6"/>
    <w:rsid w:val="00B2584B"/>
    <w:rsid w:val="00B300A5"/>
    <w:rsid w:val="00B307A8"/>
    <w:rsid w:val="00B30AA2"/>
    <w:rsid w:val="00B324BD"/>
    <w:rsid w:val="00B33852"/>
    <w:rsid w:val="00B37C45"/>
    <w:rsid w:val="00B468CD"/>
    <w:rsid w:val="00B5043D"/>
    <w:rsid w:val="00B51711"/>
    <w:rsid w:val="00B52025"/>
    <w:rsid w:val="00B53C39"/>
    <w:rsid w:val="00B567DA"/>
    <w:rsid w:val="00B646D5"/>
    <w:rsid w:val="00B647E7"/>
    <w:rsid w:val="00B8275E"/>
    <w:rsid w:val="00B84C60"/>
    <w:rsid w:val="00B85C3C"/>
    <w:rsid w:val="00B85F92"/>
    <w:rsid w:val="00B87048"/>
    <w:rsid w:val="00B900EF"/>
    <w:rsid w:val="00B92DD4"/>
    <w:rsid w:val="00B943A2"/>
    <w:rsid w:val="00B94D73"/>
    <w:rsid w:val="00BA1A54"/>
    <w:rsid w:val="00BA5D9B"/>
    <w:rsid w:val="00BB0987"/>
    <w:rsid w:val="00BB1870"/>
    <w:rsid w:val="00BB4031"/>
    <w:rsid w:val="00BB4666"/>
    <w:rsid w:val="00BC15FF"/>
    <w:rsid w:val="00BC3D2F"/>
    <w:rsid w:val="00BC6E51"/>
    <w:rsid w:val="00BD310F"/>
    <w:rsid w:val="00BD5487"/>
    <w:rsid w:val="00BD567B"/>
    <w:rsid w:val="00BD75BA"/>
    <w:rsid w:val="00BE17CE"/>
    <w:rsid w:val="00BE5433"/>
    <w:rsid w:val="00BE5444"/>
    <w:rsid w:val="00BE6936"/>
    <w:rsid w:val="00BE768F"/>
    <w:rsid w:val="00BF7E4D"/>
    <w:rsid w:val="00C073A2"/>
    <w:rsid w:val="00C13E4C"/>
    <w:rsid w:val="00C142AD"/>
    <w:rsid w:val="00C14DF3"/>
    <w:rsid w:val="00C150EC"/>
    <w:rsid w:val="00C16AA6"/>
    <w:rsid w:val="00C257A1"/>
    <w:rsid w:val="00C25B50"/>
    <w:rsid w:val="00C276EF"/>
    <w:rsid w:val="00C27F81"/>
    <w:rsid w:val="00C33B82"/>
    <w:rsid w:val="00C40C29"/>
    <w:rsid w:val="00C42F6A"/>
    <w:rsid w:val="00C4652B"/>
    <w:rsid w:val="00C47B66"/>
    <w:rsid w:val="00C5090C"/>
    <w:rsid w:val="00C51707"/>
    <w:rsid w:val="00C52EAF"/>
    <w:rsid w:val="00C539AB"/>
    <w:rsid w:val="00C5421D"/>
    <w:rsid w:val="00C641FF"/>
    <w:rsid w:val="00C64826"/>
    <w:rsid w:val="00C648DC"/>
    <w:rsid w:val="00C64C42"/>
    <w:rsid w:val="00C70B66"/>
    <w:rsid w:val="00C71B30"/>
    <w:rsid w:val="00C823BF"/>
    <w:rsid w:val="00C82A8B"/>
    <w:rsid w:val="00C83B69"/>
    <w:rsid w:val="00C86290"/>
    <w:rsid w:val="00C86F14"/>
    <w:rsid w:val="00C8729E"/>
    <w:rsid w:val="00C914DE"/>
    <w:rsid w:val="00C929F0"/>
    <w:rsid w:val="00C92A97"/>
    <w:rsid w:val="00C93A8E"/>
    <w:rsid w:val="00C93F23"/>
    <w:rsid w:val="00C9500A"/>
    <w:rsid w:val="00C961E3"/>
    <w:rsid w:val="00C97A49"/>
    <w:rsid w:val="00CA115A"/>
    <w:rsid w:val="00CB1A89"/>
    <w:rsid w:val="00CB1DCC"/>
    <w:rsid w:val="00CB66E9"/>
    <w:rsid w:val="00CB6B60"/>
    <w:rsid w:val="00CB72D9"/>
    <w:rsid w:val="00CE262E"/>
    <w:rsid w:val="00CE3926"/>
    <w:rsid w:val="00CE767E"/>
    <w:rsid w:val="00CF3EDC"/>
    <w:rsid w:val="00CF5344"/>
    <w:rsid w:val="00D04924"/>
    <w:rsid w:val="00D112EF"/>
    <w:rsid w:val="00D16038"/>
    <w:rsid w:val="00D20E34"/>
    <w:rsid w:val="00D21008"/>
    <w:rsid w:val="00D24FFF"/>
    <w:rsid w:val="00D305F1"/>
    <w:rsid w:val="00D30906"/>
    <w:rsid w:val="00D36C1E"/>
    <w:rsid w:val="00D40761"/>
    <w:rsid w:val="00D50670"/>
    <w:rsid w:val="00D519F6"/>
    <w:rsid w:val="00D54286"/>
    <w:rsid w:val="00D544B4"/>
    <w:rsid w:val="00D55866"/>
    <w:rsid w:val="00D57ED2"/>
    <w:rsid w:val="00D605A8"/>
    <w:rsid w:val="00D6279C"/>
    <w:rsid w:val="00D67267"/>
    <w:rsid w:val="00D677B6"/>
    <w:rsid w:val="00D7180F"/>
    <w:rsid w:val="00D73C9B"/>
    <w:rsid w:val="00D745C2"/>
    <w:rsid w:val="00D759A0"/>
    <w:rsid w:val="00D77F75"/>
    <w:rsid w:val="00D80E5B"/>
    <w:rsid w:val="00D84525"/>
    <w:rsid w:val="00D97793"/>
    <w:rsid w:val="00D97A3B"/>
    <w:rsid w:val="00DA0C82"/>
    <w:rsid w:val="00DA123E"/>
    <w:rsid w:val="00DA175F"/>
    <w:rsid w:val="00DA5480"/>
    <w:rsid w:val="00DA7132"/>
    <w:rsid w:val="00DB0B82"/>
    <w:rsid w:val="00DB5974"/>
    <w:rsid w:val="00DC0082"/>
    <w:rsid w:val="00DC131D"/>
    <w:rsid w:val="00DD0E2D"/>
    <w:rsid w:val="00DD12D7"/>
    <w:rsid w:val="00DD24E3"/>
    <w:rsid w:val="00DD2D30"/>
    <w:rsid w:val="00DD35C8"/>
    <w:rsid w:val="00DD4856"/>
    <w:rsid w:val="00DD537B"/>
    <w:rsid w:val="00DE1332"/>
    <w:rsid w:val="00DE2495"/>
    <w:rsid w:val="00DE51A6"/>
    <w:rsid w:val="00DE5603"/>
    <w:rsid w:val="00DE590F"/>
    <w:rsid w:val="00DF07EB"/>
    <w:rsid w:val="00DF12D9"/>
    <w:rsid w:val="00DF31B4"/>
    <w:rsid w:val="00DF657D"/>
    <w:rsid w:val="00DF659B"/>
    <w:rsid w:val="00E06E73"/>
    <w:rsid w:val="00E108F0"/>
    <w:rsid w:val="00E11716"/>
    <w:rsid w:val="00E11735"/>
    <w:rsid w:val="00E11BE8"/>
    <w:rsid w:val="00E12E87"/>
    <w:rsid w:val="00E15227"/>
    <w:rsid w:val="00E20BC3"/>
    <w:rsid w:val="00E23547"/>
    <w:rsid w:val="00E2415D"/>
    <w:rsid w:val="00E2518E"/>
    <w:rsid w:val="00E31364"/>
    <w:rsid w:val="00E332A4"/>
    <w:rsid w:val="00E337EB"/>
    <w:rsid w:val="00E33C8F"/>
    <w:rsid w:val="00E4375B"/>
    <w:rsid w:val="00E46A6D"/>
    <w:rsid w:val="00E50579"/>
    <w:rsid w:val="00E56D91"/>
    <w:rsid w:val="00E61550"/>
    <w:rsid w:val="00E62E6B"/>
    <w:rsid w:val="00E71E16"/>
    <w:rsid w:val="00E730B5"/>
    <w:rsid w:val="00E76A76"/>
    <w:rsid w:val="00E7713B"/>
    <w:rsid w:val="00E803F3"/>
    <w:rsid w:val="00E80C39"/>
    <w:rsid w:val="00E81BBC"/>
    <w:rsid w:val="00E82D25"/>
    <w:rsid w:val="00E83197"/>
    <w:rsid w:val="00E850E6"/>
    <w:rsid w:val="00E972AB"/>
    <w:rsid w:val="00E97B08"/>
    <w:rsid w:val="00E97FB8"/>
    <w:rsid w:val="00EA01F3"/>
    <w:rsid w:val="00EA1865"/>
    <w:rsid w:val="00EA2915"/>
    <w:rsid w:val="00EA4B9F"/>
    <w:rsid w:val="00EB1D45"/>
    <w:rsid w:val="00EC3863"/>
    <w:rsid w:val="00EC4B32"/>
    <w:rsid w:val="00EC53CD"/>
    <w:rsid w:val="00EC6B79"/>
    <w:rsid w:val="00EC7688"/>
    <w:rsid w:val="00ED0DE0"/>
    <w:rsid w:val="00ED14AF"/>
    <w:rsid w:val="00ED4DCE"/>
    <w:rsid w:val="00ED7EA8"/>
    <w:rsid w:val="00EE5691"/>
    <w:rsid w:val="00EE71F3"/>
    <w:rsid w:val="00EF1CCC"/>
    <w:rsid w:val="00EF33C1"/>
    <w:rsid w:val="00EF50B4"/>
    <w:rsid w:val="00EF641F"/>
    <w:rsid w:val="00EF64D4"/>
    <w:rsid w:val="00EF706F"/>
    <w:rsid w:val="00F023D2"/>
    <w:rsid w:val="00F02E5F"/>
    <w:rsid w:val="00F109A9"/>
    <w:rsid w:val="00F1232E"/>
    <w:rsid w:val="00F13B03"/>
    <w:rsid w:val="00F21AEB"/>
    <w:rsid w:val="00F239C7"/>
    <w:rsid w:val="00F26987"/>
    <w:rsid w:val="00F27C19"/>
    <w:rsid w:val="00F42E9C"/>
    <w:rsid w:val="00F50BF5"/>
    <w:rsid w:val="00F5664E"/>
    <w:rsid w:val="00F6139C"/>
    <w:rsid w:val="00F63275"/>
    <w:rsid w:val="00F66643"/>
    <w:rsid w:val="00F70B8B"/>
    <w:rsid w:val="00F7147F"/>
    <w:rsid w:val="00F71FE2"/>
    <w:rsid w:val="00F80B8C"/>
    <w:rsid w:val="00F84268"/>
    <w:rsid w:val="00F86FFE"/>
    <w:rsid w:val="00F90B91"/>
    <w:rsid w:val="00F92DC8"/>
    <w:rsid w:val="00F930D4"/>
    <w:rsid w:val="00F94989"/>
    <w:rsid w:val="00F95240"/>
    <w:rsid w:val="00F96B2A"/>
    <w:rsid w:val="00F97406"/>
    <w:rsid w:val="00FA1563"/>
    <w:rsid w:val="00FA22F0"/>
    <w:rsid w:val="00FA27C4"/>
    <w:rsid w:val="00FB382C"/>
    <w:rsid w:val="00FB39E0"/>
    <w:rsid w:val="00FB4797"/>
    <w:rsid w:val="00FC142C"/>
    <w:rsid w:val="00FC1BC7"/>
    <w:rsid w:val="00FC2016"/>
    <w:rsid w:val="00FC24D1"/>
    <w:rsid w:val="00FC553C"/>
    <w:rsid w:val="00FD05AE"/>
    <w:rsid w:val="00FD63B8"/>
    <w:rsid w:val="00FE12ED"/>
    <w:rsid w:val="00FE4F25"/>
    <w:rsid w:val="00FF1ECC"/>
    <w:rsid w:val="00FF2D8C"/>
    <w:rsid w:val="00FF2F11"/>
    <w:rsid w:val="00FF3F06"/>
    <w:rsid w:val="00FF4166"/>
    <w:rsid w:val="00FF496D"/>
    <w:rsid w:val="00FF595A"/>
    <w:rsid w:val="00FF6F4F"/>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667F5802"/>
  <w15:docId w15:val="{2FF87884-10E1-4222-B86C-D9F965246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B82"/>
    <w:pPr>
      <w:spacing w:after="120" w:line="240" w:lineRule="auto"/>
      <w:jc w:val="both"/>
    </w:pPr>
    <w:rPr>
      <w:rFonts w:ascii="Tahoma" w:eastAsia="Calibri" w:hAnsi="Tahoma" w:cs="Geneva"/>
      <w:sz w:val="20"/>
    </w:rPr>
  </w:style>
  <w:style w:type="paragraph" w:styleId="Heading1">
    <w:name w:val="heading 1"/>
    <w:basedOn w:val="Normal"/>
    <w:next w:val="Normal"/>
    <w:link w:val="Heading1Char"/>
    <w:uiPriority w:val="9"/>
    <w:qFormat/>
    <w:rsid w:val="008E641F"/>
    <w:pPr>
      <w:keepNext/>
      <w:numPr>
        <w:numId w:val="24"/>
      </w:numPr>
      <w:pBdr>
        <w:bottom w:val="single" w:sz="12" w:space="1" w:color="auto"/>
      </w:pBdr>
      <w:shd w:val="clear" w:color="auto" w:fill="FFFFFF"/>
      <w:ind w:left="567" w:hanging="567"/>
      <w:outlineLvl w:val="0"/>
    </w:pPr>
    <w:rPr>
      <w:rFonts w:eastAsia="Times New Roman" w:cs="Tahoma"/>
      <w:b/>
      <w:bCs/>
      <w:kern w:val="32"/>
      <w:sz w:val="24"/>
      <w:szCs w:val="32"/>
      <w:lang w:val="en-GB" w:eastAsia="fr-FR"/>
    </w:rPr>
  </w:style>
  <w:style w:type="paragraph" w:styleId="Heading2">
    <w:name w:val="heading 2"/>
    <w:basedOn w:val="Normal"/>
    <w:next w:val="Normal"/>
    <w:link w:val="Heading2Char"/>
    <w:uiPriority w:val="9"/>
    <w:qFormat/>
    <w:rsid w:val="008E641F"/>
    <w:pPr>
      <w:keepNext/>
      <w:numPr>
        <w:ilvl w:val="1"/>
        <w:numId w:val="16"/>
      </w:numPr>
      <w:shd w:val="clear" w:color="auto" w:fill="FFFFFF"/>
      <w:ind w:left="1077"/>
      <w:outlineLvl w:val="1"/>
    </w:pPr>
    <w:rPr>
      <w:rFonts w:eastAsia="Times New Roman" w:cs="Tahoma"/>
      <w:b/>
      <w:bCs/>
      <w:iCs/>
      <w:sz w:val="22"/>
      <w:szCs w:val="28"/>
      <w:lang w:val="en-GB"/>
    </w:rPr>
  </w:style>
  <w:style w:type="paragraph" w:styleId="Heading3">
    <w:name w:val="heading 3"/>
    <w:basedOn w:val="Normal"/>
    <w:next w:val="Normal"/>
    <w:link w:val="Heading3Char"/>
    <w:uiPriority w:val="9"/>
    <w:qFormat/>
    <w:rsid w:val="008E641F"/>
    <w:pPr>
      <w:keepNext/>
      <w:numPr>
        <w:ilvl w:val="2"/>
        <w:numId w:val="16"/>
      </w:numPr>
      <w:ind w:left="1797" w:hanging="1077"/>
      <w:outlineLvl w:val="2"/>
    </w:pPr>
    <w:rPr>
      <w:rFonts w:cs="Helvetica"/>
      <w:b/>
      <w:bCs/>
      <w:szCs w:val="26"/>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41F"/>
    <w:rPr>
      <w:rFonts w:ascii="Tahoma" w:eastAsia="Times New Roman" w:hAnsi="Tahoma" w:cs="Tahoma"/>
      <w:b/>
      <w:bCs/>
      <w:kern w:val="32"/>
      <w:sz w:val="24"/>
      <w:szCs w:val="32"/>
      <w:shd w:val="clear" w:color="auto" w:fill="FFFFFF"/>
      <w:lang w:val="en-GB" w:eastAsia="fr-FR"/>
    </w:rPr>
  </w:style>
  <w:style w:type="character" w:customStyle="1" w:styleId="Heading2Char">
    <w:name w:val="Heading 2 Char"/>
    <w:basedOn w:val="DefaultParagraphFont"/>
    <w:link w:val="Heading2"/>
    <w:uiPriority w:val="9"/>
    <w:rsid w:val="008E641F"/>
    <w:rPr>
      <w:rFonts w:ascii="Tahoma" w:eastAsia="Times New Roman" w:hAnsi="Tahoma" w:cs="Tahoma"/>
      <w:b/>
      <w:bCs/>
      <w:iCs/>
      <w:szCs w:val="28"/>
      <w:shd w:val="clear" w:color="auto" w:fill="FFFFFF"/>
      <w:lang w:val="en-GB"/>
    </w:rPr>
  </w:style>
  <w:style w:type="character" w:customStyle="1" w:styleId="Heading3Char">
    <w:name w:val="Heading 3 Char"/>
    <w:basedOn w:val="DefaultParagraphFont"/>
    <w:link w:val="Heading3"/>
    <w:uiPriority w:val="9"/>
    <w:rsid w:val="008E641F"/>
    <w:rPr>
      <w:rFonts w:ascii="Tahoma" w:eastAsia="Calibri" w:hAnsi="Tahoma" w:cs="Helvetica"/>
      <w:b/>
      <w:bCs/>
      <w:sz w:val="20"/>
      <w:szCs w:val="26"/>
      <w:lang w:val="fr-FR" w:eastAsia="fr-FR"/>
    </w:rPr>
  </w:style>
  <w:style w:type="paragraph" w:styleId="Header">
    <w:name w:val="header"/>
    <w:basedOn w:val="Normal"/>
    <w:link w:val="HeaderChar"/>
    <w:uiPriority w:val="99"/>
    <w:unhideWhenUsed/>
    <w:rsid w:val="00063B5D"/>
    <w:pPr>
      <w:tabs>
        <w:tab w:val="center" w:pos="4536"/>
        <w:tab w:val="right" w:pos="9072"/>
      </w:tabs>
    </w:pPr>
    <w:rPr>
      <w:rFonts w:cs="Times New Roman"/>
      <w:szCs w:val="20"/>
    </w:rPr>
  </w:style>
  <w:style w:type="character" w:customStyle="1" w:styleId="HeaderChar">
    <w:name w:val="Header Char"/>
    <w:basedOn w:val="DefaultParagraphFont"/>
    <w:link w:val="Header"/>
    <w:uiPriority w:val="99"/>
    <w:rsid w:val="00063B5D"/>
    <w:rPr>
      <w:rFonts w:ascii="Tahoma" w:eastAsia="Calibri" w:hAnsi="Tahoma" w:cs="Times New Roman"/>
      <w:sz w:val="20"/>
      <w:szCs w:val="20"/>
    </w:rPr>
  </w:style>
  <w:style w:type="paragraph" w:styleId="BalloonText">
    <w:name w:val="Balloon Text"/>
    <w:basedOn w:val="Normal"/>
    <w:link w:val="BalloonTextChar"/>
    <w:uiPriority w:val="99"/>
    <w:semiHidden/>
    <w:unhideWhenUsed/>
    <w:rsid w:val="00063B5D"/>
    <w:rPr>
      <w:rFonts w:cs="Times New Roman"/>
      <w:sz w:val="16"/>
      <w:szCs w:val="16"/>
    </w:rPr>
  </w:style>
  <w:style w:type="character" w:customStyle="1" w:styleId="BalloonTextChar">
    <w:name w:val="Balloon Text Char"/>
    <w:basedOn w:val="DefaultParagraphFont"/>
    <w:link w:val="BalloonText"/>
    <w:uiPriority w:val="99"/>
    <w:semiHidden/>
    <w:rsid w:val="00063B5D"/>
    <w:rPr>
      <w:rFonts w:ascii="Tahoma" w:eastAsia="Calibri" w:hAnsi="Tahoma" w:cs="Times New Roman"/>
      <w:sz w:val="16"/>
      <w:szCs w:val="16"/>
    </w:rPr>
  </w:style>
  <w:style w:type="paragraph" w:styleId="NormalWeb">
    <w:name w:val="Normal (Web)"/>
    <w:basedOn w:val="Normal"/>
    <w:uiPriority w:val="99"/>
    <w:rsid w:val="00063B5D"/>
    <w:pPr>
      <w:suppressAutoHyphens/>
      <w:spacing w:before="100"/>
      <w:ind w:firstLine="284"/>
      <w:jc w:val="left"/>
    </w:pPr>
    <w:rPr>
      <w:rFonts w:eastAsia="Times New Roman" w:cs="Times New Roman"/>
      <w:szCs w:val="24"/>
      <w:lang w:val="de-DE" w:eastAsia="ar-SA"/>
    </w:rPr>
  </w:style>
  <w:style w:type="paragraph" w:customStyle="1" w:styleId="Default">
    <w:name w:val="Default"/>
    <w:rsid w:val="00063B5D"/>
    <w:pPr>
      <w:autoSpaceDE w:val="0"/>
      <w:autoSpaceDN w:val="0"/>
      <w:adjustRightInd w:val="0"/>
      <w:spacing w:after="0" w:line="240" w:lineRule="auto"/>
    </w:pPr>
    <w:rPr>
      <w:rFonts w:ascii="Cambria" w:eastAsia="Calibri" w:hAnsi="Cambria" w:cs="Cambria"/>
      <w:color w:val="000000"/>
      <w:sz w:val="24"/>
      <w:szCs w:val="24"/>
      <w:lang w:val="fr-FR" w:eastAsia="fr-FR"/>
    </w:rPr>
  </w:style>
  <w:style w:type="paragraph" w:styleId="Footer">
    <w:name w:val="footer"/>
    <w:basedOn w:val="Normal"/>
    <w:link w:val="FooterChar"/>
    <w:uiPriority w:val="99"/>
    <w:unhideWhenUsed/>
    <w:rsid w:val="00063B5D"/>
    <w:pPr>
      <w:tabs>
        <w:tab w:val="center" w:pos="4536"/>
        <w:tab w:val="right" w:pos="9072"/>
      </w:tabs>
    </w:pPr>
    <w:rPr>
      <w:rFonts w:cs="Times New Roman"/>
    </w:rPr>
  </w:style>
  <w:style w:type="character" w:customStyle="1" w:styleId="FooterChar">
    <w:name w:val="Footer Char"/>
    <w:basedOn w:val="DefaultParagraphFont"/>
    <w:link w:val="Footer"/>
    <w:uiPriority w:val="99"/>
    <w:rsid w:val="00063B5D"/>
    <w:rPr>
      <w:rFonts w:ascii="Tahoma" w:eastAsia="Calibri" w:hAnsi="Tahoma" w:cs="Times New Roman"/>
      <w:sz w:val="20"/>
    </w:rPr>
  </w:style>
  <w:style w:type="paragraph" w:customStyle="1" w:styleId="GridTable31">
    <w:name w:val="Grid Table 31"/>
    <w:basedOn w:val="Heading1"/>
    <w:next w:val="Normal"/>
    <w:uiPriority w:val="39"/>
    <w:qFormat/>
    <w:rsid w:val="00063B5D"/>
    <w:pPr>
      <w:keepLines/>
      <w:numPr>
        <w:numId w:val="0"/>
      </w:numPr>
      <w:pBdr>
        <w:bottom w:val="none" w:sz="0" w:space="0" w:color="auto"/>
      </w:pBdr>
      <w:spacing w:before="480" w:line="276" w:lineRule="auto"/>
      <w:jc w:val="left"/>
      <w:outlineLvl w:val="9"/>
    </w:pPr>
    <w:rPr>
      <w:rFonts w:ascii="Cambria" w:hAnsi="Cambria"/>
      <w:color w:val="365F91"/>
      <w:kern w:val="0"/>
      <w:szCs w:val="28"/>
      <w:lang w:val="fr-FR"/>
    </w:rPr>
  </w:style>
  <w:style w:type="paragraph" w:styleId="TOC1">
    <w:name w:val="toc 1"/>
    <w:basedOn w:val="Normal"/>
    <w:next w:val="Normal"/>
    <w:autoRedefine/>
    <w:uiPriority w:val="39"/>
    <w:unhideWhenUsed/>
    <w:qFormat/>
    <w:rsid w:val="00063B5D"/>
    <w:pPr>
      <w:jc w:val="left"/>
    </w:pPr>
    <w:rPr>
      <w:rFonts w:ascii="Calibri" w:hAnsi="Calibri" w:cs="Times New Roman"/>
      <w:b/>
      <w:bCs/>
      <w:caps/>
      <w:szCs w:val="24"/>
    </w:rPr>
  </w:style>
  <w:style w:type="paragraph" w:styleId="TOC2">
    <w:name w:val="toc 2"/>
    <w:basedOn w:val="Normal"/>
    <w:next w:val="Normal"/>
    <w:autoRedefine/>
    <w:uiPriority w:val="39"/>
    <w:unhideWhenUsed/>
    <w:qFormat/>
    <w:rsid w:val="00063B5D"/>
    <w:pPr>
      <w:ind w:left="200"/>
      <w:jc w:val="left"/>
    </w:pPr>
    <w:rPr>
      <w:rFonts w:ascii="Calibri" w:hAnsi="Calibri" w:cs="Times New Roman"/>
      <w:smallCaps/>
      <w:szCs w:val="24"/>
    </w:rPr>
  </w:style>
  <w:style w:type="character" w:styleId="Hyperlink">
    <w:name w:val="Hyperlink"/>
    <w:uiPriority w:val="99"/>
    <w:unhideWhenUsed/>
    <w:rsid w:val="00063B5D"/>
    <w:rPr>
      <w:color w:val="0000FF"/>
      <w:u w:val="single"/>
    </w:rPr>
  </w:style>
  <w:style w:type="paragraph" w:styleId="FootnoteText">
    <w:name w:val="footnote text"/>
    <w:aliases w:val="5_G,Car"/>
    <w:basedOn w:val="Normal"/>
    <w:link w:val="FootnoteTextChar"/>
    <w:qFormat/>
    <w:rsid w:val="00063B5D"/>
    <w:rPr>
      <w:rFonts w:cs="Times New Roman"/>
      <w:sz w:val="16"/>
      <w:szCs w:val="20"/>
    </w:rPr>
  </w:style>
  <w:style w:type="character" w:customStyle="1" w:styleId="FootnoteTextChar">
    <w:name w:val="Footnote Text Char"/>
    <w:aliases w:val="5_G Char,Car Char"/>
    <w:basedOn w:val="DefaultParagraphFont"/>
    <w:link w:val="FootnoteText"/>
    <w:uiPriority w:val="9"/>
    <w:rsid w:val="00063B5D"/>
    <w:rPr>
      <w:rFonts w:ascii="Tahoma" w:eastAsia="Calibri" w:hAnsi="Tahoma" w:cs="Times New Roman"/>
      <w:sz w:val="16"/>
      <w:szCs w:val="20"/>
    </w:rPr>
  </w:style>
  <w:style w:type="character" w:styleId="FootnoteReference">
    <w:name w:val="footnote reference"/>
    <w:aliases w:val="4_G,Footnote number"/>
    <w:unhideWhenUsed/>
    <w:qFormat/>
    <w:rsid w:val="00063B5D"/>
    <w:rPr>
      <w:vertAlign w:val="superscript"/>
    </w:rPr>
  </w:style>
  <w:style w:type="paragraph" w:styleId="TOC3">
    <w:name w:val="toc 3"/>
    <w:basedOn w:val="Normal"/>
    <w:next w:val="Normal"/>
    <w:autoRedefine/>
    <w:uiPriority w:val="39"/>
    <w:unhideWhenUsed/>
    <w:qFormat/>
    <w:rsid w:val="00063B5D"/>
    <w:pPr>
      <w:ind w:left="400"/>
      <w:jc w:val="left"/>
    </w:pPr>
    <w:rPr>
      <w:rFonts w:ascii="Calibri" w:hAnsi="Calibri" w:cs="Times New Roman"/>
      <w:i/>
      <w:iCs/>
      <w:szCs w:val="24"/>
    </w:rPr>
  </w:style>
  <w:style w:type="paragraph" w:customStyle="1" w:styleId="Style1">
    <w:name w:val="Style1"/>
    <w:basedOn w:val="Heading1"/>
    <w:rsid w:val="00063B5D"/>
    <w:rPr>
      <w:caps/>
    </w:rPr>
  </w:style>
  <w:style w:type="paragraph" w:styleId="TOC4">
    <w:name w:val="toc 4"/>
    <w:basedOn w:val="Normal"/>
    <w:next w:val="Normal"/>
    <w:autoRedefine/>
    <w:uiPriority w:val="39"/>
    <w:unhideWhenUsed/>
    <w:rsid w:val="00063B5D"/>
    <w:pPr>
      <w:ind w:left="600"/>
      <w:jc w:val="left"/>
    </w:pPr>
    <w:rPr>
      <w:rFonts w:ascii="Calibri" w:hAnsi="Calibri" w:cs="Times New Roman"/>
      <w:sz w:val="18"/>
      <w:szCs w:val="21"/>
    </w:rPr>
  </w:style>
  <w:style w:type="paragraph" w:styleId="TOC5">
    <w:name w:val="toc 5"/>
    <w:basedOn w:val="Normal"/>
    <w:next w:val="Normal"/>
    <w:autoRedefine/>
    <w:uiPriority w:val="39"/>
    <w:unhideWhenUsed/>
    <w:rsid w:val="00063B5D"/>
    <w:pPr>
      <w:ind w:left="800"/>
      <w:jc w:val="left"/>
    </w:pPr>
    <w:rPr>
      <w:rFonts w:ascii="Calibri" w:hAnsi="Calibri" w:cs="Times New Roman"/>
      <w:sz w:val="18"/>
      <w:szCs w:val="21"/>
    </w:rPr>
  </w:style>
  <w:style w:type="paragraph" w:styleId="TOC6">
    <w:name w:val="toc 6"/>
    <w:basedOn w:val="Normal"/>
    <w:next w:val="Normal"/>
    <w:autoRedefine/>
    <w:uiPriority w:val="39"/>
    <w:unhideWhenUsed/>
    <w:rsid w:val="00063B5D"/>
    <w:pPr>
      <w:ind w:left="1000"/>
      <w:jc w:val="left"/>
    </w:pPr>
    <w:rPr>
      <w:rFonts w:ascii="Calibri" w:hAnsi="Calibri" w:cs="Times New Roman"/>
      <w:sz w:val="18"/>
      <w:szCs w:val="21"/>
    </w:rPr>
  </w:style>
  <w:style w:type="paragraph" w:styleId="TOC7">
    <w:name w:val="toc 7"/>
    <w:basedOn w:val="Normal"/>
    <w:next w:val="Normal"/>
    <w:autoRedefine/>
    <w:uiPriority w:val="39"/>
    <w:unhideWhenUsed/>
    <w:rsid w:val="00063B5D"/>
    <w:pPr>
      <w:ind w:left="1200"/>
      <w:jc w:val="left"/>
    </w:pPr>
    <w:rPr>
      <w:rFonts w:ascii="Calibri" w:hAnsi="Calibri" w:cs="Times New Roman"/>
      <w:sz w:val="18"/>
      <w:szCs w:val="21"/>
    </w:rPr>
  </w:style>
  <w:style w:type="paragraph" w:styleId="TOC8">
    <w:name w:val="toc 8"/>
    <w:basedOn w:val="Normal"/>
    <w:next w:val="Normal"/>
    <w:autoRedefine/>
    <w:uiPriority w:val="39"/>
    <w:unhideWhenUsed/>
    <w:rsid w:val="00063B5D"/>
    <w:pPr>
      <w:ind w:left="1400"/>
      <w:jc w:val="left"/>
    </w:pPr>
    <w:rPr>
      <w:rFonts w:ascii="Calibri" w:hAnsi="Calibri" w:cs="Times New Roman"/>
      <w:sz w:val="18"/>
      <w:szCs w:val="21"/>
    </w:rPr>
  </w:style>
  <w:style w:type="paragraph" w:styleId="TOC9">
    <w:name w:val="toc 9"/>
    <w:basedOn w:val="Normal"/>
    <w:next w:val="Normal"/>
    <w:autoRedefine/>
    <w:uiPriority w:val="39"/>
    <w:unhideWhenUsed/>
    <w:rsid w:val="00063B5D"/>
    <w:pPr>
      <w:ind w:left="1600"/>
      <w:jc w:val="left"/>
    </w:pPr>
    <w:rPr>
      <w:rFonts w:ascii="Calibri" w:hAnsi="Calibri" w:cs="Times New Roman"/>
      <w:sz w:val="18"/>
      <w:szCs w:val="21"/>
    </w:rPr>
  </w:style>
  <w:style w:type="paragraph" w:customStyle="1" w:styleId="Body">
    <w:name w:val="Body"/>
    <w:rsid w:val="00063B5D"/>
    <w:pPr>
      <w:pBdr>
        <w:top w:val="nil"/>
        <w:left w:val="nil"/>
        <w:bottom w:val="nil"/>
        <w:right w:val="nil"/>
        <w:between w:val="nil"/>
        <w:bar w:val="nil"/>
      </w:pBdr>
      <w:spacing w:after="0" w:line="240" w:lineRule="auto"/>
      <w:jc w:val="both"/>
    </w:pPr>
    <w:rPr>
      <w:rFonts w:ascii="Tahoma" w:eastAsia="Tahoma" w:hAnsi="Tahoma" w:cs="Tahoma"/>
      <w:color w:val="000000"/>
      <w:sz w:val="24"/>
      <w:szCs w:val="24"/>
      <w:u w:color="000000"/>
      <w:bdr w:val="nil"/>
      <w:lang w:eastAsia="fr-CH"/>
    </w:rPr>
  </w:style>
  <w:style w:type="paragraph" w:customStyle="1" w:styleId="Heading">
    <w:name w:val="Heading"/>
    <w:next w:val="Body"/>
    <w:rsid w:val="00063B5D"/>
    <w:pPr>
      <w:keepNext/>
      <w:pBdr>
        <w:top w:val="nil"/>
        <w:left w:val="nil"/>
        <w:bottom w:val="nil"/>
        <w:right w:val="nil"/>
        <w:between w:val="nil"/>
        <w:bar w:val="nil"/>
      </w:pBdr>
      <w:shd w:val="clear" w:color="auto" w:fill="FFFFFF"/>
      <w:spacing w:after="0" w:line="240" w:lineRule="auto"/>
      <w:ind w:left="360" w:hanging="360"/>
      <w:jc w:val="both"/>
      <w:outlineLvl w:val="0"/>
    </w:pPr>
    <w:rPr>
      <w:rFonts w:ascii="Tahoma" w:eastAsia="Tahoma" w:hAnsi="Tahoma" w:cs="Tahoma"/>
      <w:b/>
      <w:bCs/>
      <w:color w:val="000000"/>
      <w:kern w:val="32"/>
      <w:sz w:val="24"/>
      <w:szCs w:val="24"/>
      <w:u w:color="000000"/>
      <w:bdr w:val="nil"/>
      <w:lang w:eastAsia="fr-CH"/>
    </w:rPr>
  </w:style>
  <w:style w:type="numbering" w:customStyle="1" w:styleId="List0">
    <w:name w:val="List 0"/>
    <w:basedOn w:val="NoList"/>
    <w:rsid w:val="00063B5D"/>
    <w:pPr>
      <w:numPr>
        <w:numId w:val="2"/>
      </w:numPr>
    </w:pPr>
  </w:style>
  <w:style w:type="paragraph" w:customStyle="1" w:styleId="TOC11">
    <w:name w:val="TOC 11"/>
    <w:rsid w:val="00063B5D"/>
    <w:pPr>
      <w:pBdr>
        <w:top w:val="nil"/>
        <w:left w:val="nil"/>
        <w:bottom w:val="nil"/>
        <w:right w:val="nil"/>
        <w:between w:val="nil"/>
        <w:bar w:val="nil"/>
      </w:pBdr>
      <w:tabs>
        <w:tab w:val="left" w:pos="400"/>
        <w:tab w:val="left" w:pos="400"/>
        <w:tab w:val="right" w:leader="dot" w:pos="9046"/>
        <w:tab w:val="right" w:leader="dot" w:pos="9062"/>
      </w:tabs>
      <w:spacing w:before="120" w:after="120" w:line="240" w:lineRule="auto"/>
    </w:pPr>
    <w:rPr>
      <w:rFonts w:ascii="Tahoma" w:eastAsia="Tahoma" w:hAnsi="Tahoma" w:cs="Tahoma"/>
      <w:caps/>
      <w:color w:val="000000"/>
      <w:sz w:val="24"/>
      <w:szCs w:val="24"/>
      <w:u w:color="000000"/>
      <w:bdr w:val="nil"/>
      <w:lang w:eastAsia="fr-CH"/>
    </w:rPr>
  </w:style>
  <w:style w:type="numbering" w:customStyle="1" w:styleId="List1">
    <w:name w:val="List 1"/>
    <w:basedOn w:val="NoList"/>
    <w:rsid w:val="00063B5D"/>
    <w:pPr>
      <w:numPr>
        <w:numId w:val="3"/>
      </w:numPr>
    </w:pPr>
  </w:style>
  <w:style w:type="numbering" w:customStyle="1" w:styleId="Liste21">
    <w:name w:val="Liste 21"/>
    <w:basedOn w:val="NoList"/>
    <w:rsid w:val="00063B5D"/>
    <w:pPr>
      <w:numPr>
        <w:numId w:val="4"/>
      </w:numPr>
    </w:pPr>
  </w:style>
  <w:style w:type="character" w:customStyle="1" w:styleId="Hyperlink0">
    <w:name w:val="Hyperlink.0"/>
    <w:rsid w:val="00063B5D"/>
    <w:rPr>
      <w:color w:val="0000FF"/>
      <w:u w:val="single" w:color="0000FF"/>
    </w:rPr>
  </w:style>
  <w:style w:type="numbering" w:customStyle="1" w:styleId="Liste31">
    <w:name w:val="Liste 31"/>
    <w:basedOn w:val="NoList"/>
    <w:rsid w:val="00063B5D"/>
    <w:pPr>
      <w:numPr>
        <w:numId w:val="5"/>
      </w:numPr>
    </w:pPr>
  </w:style>
  <w:style w:type="numbering" w:customStyle="1" w:styleId="Liste41">
    <w:name w:val="Liste 41"/>
    <w:basedOn w:val="NoList"/>
    <w:rsid w:val="00063B5D"/>
    <w:pPr>
      <w:numPr>
        <w:numId w:val="6"/>
      </w:numPr>
    </w:pPr>
  </w:style>
  <w:style w:type="numbering" w:customStyle="1" w:styleId="Liste51">
    <w:name w:val="Liste 51"/>
    <w:basedOn w:val="NoList"/>
    <w:rsid w:val="00063B5D"/>
    <w:pPr>
      <w:numPr>
        <w:numId w:val="7"/>
      </w:numPr>
    </w:pPr>
  </w:style>
  <w:style w:type="numbering" w:customStyle="1" w:styleId="List6">
    <w:name w:val="List 6"/>
    <w:basedOn w:val="NoList"/>
    <w:rsid w:val="00063B5D"/>
    <w:pPr>
      <w:numPr>
        <w:numId w:val="8"/>
      </w:numPr>
    </w:pPr>
  </w:style>
  <w:style w:type="numbering" w:customStyle="1" w:styleId="List7">
    <w:name w:val="List 7"/>
    <w:basedOn w:val="NoList"/>
    <w:rsid w:val="00063B5D"/>
    <w:pPr>
      <w:numPr>
        <w:numId w:val="9"/>
      </w:numPr>
    </w:pPr>
  </w:style>
  <w:style w:type="character" w:styleId="FollowedHyperlink">
    <w:name w:val="FollowedHyperlink"/>
    <w:uiPriority w:val="99"/>
    <w:semiHidden/>
    <w:unhideWhenUsed/>
    <w:rsid w:val="00063B5D"/>
    <w:rPr>
      <w:color w:val="800080"/>
      <w:u w:val="single"/>
    </w:rPr>
  </w:style>
  <w:style w:type="paragraph" w:customStyle="1" w:styleId="BodyA">
    <w:name w:val="Body A"/>
    <w:rsid w:val="00063B5D"/>
    <w:pPr>
      <w:pBdr>
        <w:top w:val="nil"/>
        <w:left w:val="nil"/>
        <w:bottom w:val="nil"/>
        <w:right w:val="nil"/>
        <w:between w:val="nil"/>
        <w:bar w:val="nil"/>
      </w:pBdr>
      <w:spacing w:after="0" w:line="240" w:lineRule="auto"/>
      <w:jc w:val="both"/>
    </w:pPr>
    <w:rPr>
      <w:rFonts w:ascii="Tahoma" w:eastAsia="Tahoma" w:hAnsi="Tahoma" w:cs="Tahoma"/>
      <w:color w:val="000000"/>
      <w:sz w:val="24"/>
      <w:szCs w:val="24"/>
      <w:u w:color="000000"/>
      <w:bdr w:val="nil"/>
      <w:lang w:val="fr-FR" w:eastAsia="fr-CH"/>
    </w:rPr>
  </w:style>
  <w:style w:type="character" w:customStyle="1" w:styleId="Hyperlink1">
    <w:name w:val="Hyperlink.1"/>
    <w:basedOn w:val="Hyperlink"/>
    <w:rsid w:val="00063B5D"/>
    <w:rPr>
      <w:color w:val="0000FF"/>
      <w:u w:val="single"/>
    </w:rPr>
  </w:style>
  <w:style w:type="numbering" w:customStyle="1" w:styleId="Dash">
    <w:name w:val="Dash"/>
    <w:rsid w:val="00063B5D"/>
    <w:pPr>
      <w:numPr>
        <w:numId w:val="10"/>
      </w:numPr>
    </w:pPr>
  </w:style>
  <w:style w:type="character" w:customStyle="1" w:styleId="Funotenzeichen">
    <w:name w:val="Fußnotenzeichen"/>
    <w:rsid w:val="00063B5D"/>
    <w:rPr>
      <w:vertAlign w:val="superscript"/>
    </w:rPr>
  </w:style>
  <w:style w:type="paragraph" w:customStyle="1" w:styleId="MediumGrid21">
    <w:name w:val="Medium Grid 21"/>
    <w:uiPriority w:val="1"/>
    <w:qFormat/>
    <w:rsid w:val="00063B5D"/>
    <w:pPr>
      <w:spacing w:after="0" w:line="240" w:lineRule="auto"/>
      <w:jc w:val="both"/>
    </w:pPr>
    <w:rPr>
      <w:rFonts w:ascii="Tahoma" w:eastAsia="Calibri" w:hAnsi="Tahoma" w:cs="Geneva"/>
      <w:sz w:val="20"/>
      <w:lang w:val="en-GB"/>
    </w:rPr>
  </w:style>
  <w:style w:type="paragraph" w:customStyle="1" w:styleId="UPRparagraph">
    <w:name w:val="UPR paragraph"/>
    <w:basedOn w:val="Normal"/>
    <w:link w:val="UPRparagraphCar"/>
    <w:qFormat/>
    <w:rsid w:val="00063B5D"/>
    <w:pPr>
      <w:numPr>
        <w:numId w:val="11"/>
      </w:numPr>
      <w:suppressAutoHyphens/>
      <w:spacing w:after="60"/>
    </w:pPr>
    <w:rPr>
      <w:rFonts w:eastAsia="Times New Roman" w:cs="Times New Roman"/>
      <w:szCs w:val="20"/>
      <w:lang w:val="fr-FR" w:eastAsia="ar-SA"/>
    </w:rPr>
  </w:style>
  <w:style w:type="character" w:customStyle="1" w:styleId="UPRparagraphCar">
    <w:name w:val="UPR paragraph Car"/>
    <w:link w:val="UPRparagraph"/>
    <w:rsid w:val="00063B5D"/>
    <w:rPr>
      <w:rFonts w:ascii="Tahoma" w:eastAsia="Times New Roman" w:hAnsi="Tahoma" w:cs="Times New Roman"/>
      <w:sz w:val="20"/>
      <w:szCs w:val="20"/>
      <w:lang w:val="fr-FR" w:eastAsia="ar-SA"/>
    </w:rPr>
  </w:style>
  <w:style w:type="character" w:customStyle="1" w:styleId="apple-converted-space">
    <w:name w:val="apple-converted-space"/>
    <w:basedOn w:val="DefaultParagraphFont"/>
    <w:rsid w:val="00063B5D"/>
  </w:style>
  <w:style w:type="character" w:styleId="CommentReference">
    <w:name w:val="annotation reference"/>
    <w:uiPriority w:val="99"/>
    <w:semiHidden/>
    <w:unhideWhenUsed/>
    <w:rsid w:val="00063B5D"/>
    <w:rPr>
      <w:sz w:val="16"/>
      <w:szCs w:val="16"/>
    </w:rPr>
  </w:style>
  <w:style w:type="paragraph" w:styleId="CommentText">
    <w:name w:val="annotation text"/>
    <w:basedOn w:val="Normal"/>
    <w:link w:val="CommentTextChar"/>
    <w:uiPriority w:val="99"/>
    <w:unhideWhenUsed/>
    <w:rsid w:val="00063B5D"/>
    <w:rPr>
      <w:rFonts w:cs="Times New Roman"/>
      <w:szCs w:val="20"/>
    </w:rPr>
  </w:style>
  <w:style w:type="character" w:customStyle="1" w:styleId="CommentTextChar">
    <w:name w:val="Comment Text Char"/>
    <w:basedOn w:val="DefaultParagraphFont"/>
    <w:link w:val="CommentText"/>
    <w:uiPriority w:val="99"/>
    <w:rsid w:val="00063B5D"/>
    <w:rPr>
      <w:rFonts w:ascii="Tahoma" w:eastAsia="Calibri" w:hAnsi="Tahoma" w:cs="Times New Roman"/>
      <w:sz w:val="20"/>
      <w:szCs w:val="20"/>
      <w:lang w:val="en-GB"/>
    </w:rPr>
  </w:style>
  <w:style w:type="character" w:customStyle="1" w:styleId="A10">
    <w:name w:val="A10"/>
    <w:uiPriority w:val="99"/>
    <w:rsid w:val="00063B5D"/>
    <w:rPr>
      <w:rFonts w:cs="Gotham Book"/>
      <w:color w:val="000000"/>
      <w:sz w:val="9"/>
      <w:szCs w:val="9"/>
    </w:rPr>
  </w:style>
  <w:style w:type="paragraph" w:styleId="ListParagraph">
    <w:name w:val="List Paragraph"/>
    <w:basedOn w:val="Normal"/>
    <w:uiPriority w:val="34"/>
    <w:qFormat/>
    <w:rsid w:val="00063B5D"/>
    <w:pPr>
      <w:spacing w:after="200" w:line="276" w:lineRule="auto"/>
      <w:ind w:left="720"/>
      <w:contextualSpacing/>
      <w:jc w:val="left"/>
    </w:pPr>
    <w:rPr>
      <w:rFonts w:ascii="Calibri" w:hAnsi="Calibri" w:cs="Arial"/>
      <w:sz w:val="22"/>
    </w:rPr>
  </w:style>
  <w:style w:type="paragraph" w:styleId="CommentSubject">
    <w:name w:val="annotation subject"/>
    <w:basedOn w:val="CommentText"/>
    <w:next w:val="CommentText"/>
    <w:link w:val="CommentSubjectChar"/>
    <w:uiPriority w:val="99"/>
    <w:semiHidden/>
    <w:unhideWhenUsed/>
    <w:rsid w:val="00063B5D"/>
    <w:rPr>
      <w:rFonts w:cs="Geneva"/>
      <w:b/>
      <w:bCs/>
    </w:rPr>
  </w:style>
  <w:style w:type="character" w:customStyle="1" w:styleId="CommentSubjectChar">
    <w:name w:val="Comment Subject Char"/>
    <w:basedOn w:val="CommentTextChar"/>
    <w:link w:val="CommentSubject"/>
    <w:uiPriority w:val="99"/>
    <w:semiHidden/>
    <w:rsid w:val="00063B5D"/>
    <w:rPr>
      <w:rFonts w:ascii="Tahoma" w:eastAsia="Calibri" w:hAnsi="Tahoma" w:cs="Geneva"/>
      <w:b/>
      <w:bCs/>
      <w:sz w:val="20"/>
      <w:szCs w:val="20"/>
      <w:lang w:val="en-GB"/>
    </w:rPr>
  </w:style>
  <w:style w:type="paragraph" w:styleId="Revision">
    <w:name w:val="Revision"/>
    <w:hidden/>
    <w:uiPriority w:val="99"/>
    <w:semiHidden/>
    <w:rsid w:val="00063B5D"/>
    <w:pPr>
      <w:spacing w:after="0" w:line="240" w:lineRule="auto"/>
    </w:pPr>
    <w:rPr>
      <w:rFonts w:ascii="Tahoma" w:eastAsia="Calibri" w:hAnsi="Tahoma" w:cs="Geneva"/>
      <w:sz w:val="20"/>
      <w:lang w:val="en-GB"/>
    </w:rPr>
  </w:style>
  <w:style w:type="character" w:styleId="Emphasis">
    <w:name w:val="Emphasis"/>
    <w:basedOn w:val="DefaultParagraphFont"/>
    <w:uiPriority w:val="20"/>
    <w:qFormat/>
    <w:rsid w:val="00301352"/>
    <w:rPr>
      <w:i/>
      <w:iCs/>
    </w:rPr>
  </w:style>
  <w:style w:type="character" w:customStyle="1" w:styleId="shorttext">
    <w:name w:val="short_text"/>
    <w:basedOn w:val="DefaultParagraphFont"/>
    <w:rsid w:val="00612495"/>
  </w:style>
  <w:style w:type="character" w:customStyle="1" w:styleId="figure-caption">
    <w:name w:val="figure-caption"/>
    <w:basedOn w:val="DefaultParagraphFont"/>
    <w:rsid w:val="00C83B69"/>
  </w:style>
  <w:style w:type="character" w:customStyle="1" w:styleId="Appelnotedebasdep4">
    <w:name w:val="Appel note de bas de p.4"/>
    <w:rsid w:val="00DA0C82"/>
    <w:rPr>
      <w:vertAlign w:val="superscript"/>
    </w:rPr>
  </w:style>
  <w:style w:type="character" w:customStyle="1" w:styleId="Appelnotedebasdep3">
    <w:name w:val="Appel note de bas de p.3"/>
    <w:basedOn w:val="DefaultParagraphFont"/>
    <w:rsid w:val="00DA0C82"/>
    <w:rPr>
      <w:vertAlign w:val="superscript"/>
    </w:rPr>
  </w:style>
  <w:style w:type="character" w:customStyle="1" w:styleId="Appelnotedebasdep1">
    <w:name w:val="Appel note de bas de p.1"/>
    <w:rsid w:val="001760CC"/>
    <w:rPr>
      <w:vertAlign w:val="superscript"/>
    </w:rPr>
  </w:style>
  <w:style w:type="character" w:customStyle="1" w:styleId="WW-Funotenzeichen">
    <w:name w:val="WW-Fußnotenzeichen"/>
    <w:rsid w:val="00190E56"/>
    <w:rPr>
      <w:vertAlign w:val="superscript"/>
    </w:rPr>
  </w:style>
  <w:style w:type="paragraph" w:customStyle="1" w:styleId="NBP">
    <w:name w:val="NBP"/>
    <w:basedOn w:val="FootnoteText"/>
    <w:link w:val="NBPChar"/>
    <w:qFormat/>
    <w:rsid w:val="00A972FF"/>
    <w:pPr>
      <w:tabs>
        <w:tab w:val="left" w:pos="3510"/>
      </w:tabs>
      <w:spacing w:after="0"/>
      <w:ind w:left="142" w:hanging="142"/>
    </w:pPr>
    <w:rPr>
      <w:rFonts w:eastAsia="Times New Roman" w:cs="Tahoma"/>
      <w:bCs/>
      <w:szCs w:val="16"/>
      <w:lang w:eastAsia="fr-FR"/>
    </w:rPr>
  </w:style>
  <w:style w:type="paragraph" w:customStyle="1" w:styleId="nbp0">
    <w:name w:val="nbp"/>
    <w:basedOn w:val="NBP"/>
    <w:link w:val="nbpChar0"/>
    <w:rsid w:val="00077728"/>
  </w:style>
  <w:style w:type="character" w:customStyle="1" w:styleId="NBPChar">
    <w:name w:val="NBP Char"/>
    <w:basedOn w:val="FootnoteTextChar"/>
    <w:link w:val="NBP"/>
    <w:rsid w:val="00A972FF"/>
    <w:rPr>
      <w:rFonts w:ascii="Tahoma" w:eastAsia="Times New Roman" w:hAnsi="Tahoma" w:cs="Tahoma"/>
      <w:bCs/>
      <w:sz w:val="16"/>
      <w:szCs w:val="16"/>
      <w:lang w:eastAsia="fr-FR"/>
    </w:rPr>
  </w:style>
  <w:style w:type="paragraph" w:styleId="NoSpacing">
    <w:name w:val="No Spacing"/>
    <w:uiPriority w:val="1"/>
    <w:qFormat/>
    <w:rsid w:val="00BC3D2F"/>
    <w:pPr>
      <w:spacing w:after="0" w:afterAutospacing="1" w:line="240" w:lineRule="auto"/>
      <w:jc w:val="both"/>
    </w:pPr>
    <w:rPr>
      <w:rFonts w:ascii="Tahoma" w:eastAsia="Calibri" w:hAnsi="Tahoma" w:cs="Geneva"/>
      <w:sz w:val="20"/>
    </w:rPr>
  </w:style>
  <w:style w:type="character" w:customStyle="1" w:styleId="nbpChar0">
    <w:name w:val="nbp Char"/>
    <w:basedOn w:val="NBPChar"/>
    <w:link w:val="nbp0"/>
    <w:rsid w:val="00077728"/>
    <w:rPr>
      <w:rFonts w:ascii="Tahoma" w:eastAsia="Times New Roman" w:hAnsi="Tahoma" w:cs="Tahoma"/>
      <w:bCs/>
      <w:sz w:val="16"/>
      <w:szCs w:val="16"/>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1404784">
      <w:bodyDiv w:val="1"/>
      <w:marLeft w:val="0"/>
      <w:marRight w:val="0"/>
      <w:marTop w:val="0"/>
      <w:marBottom w:val="0"/>
      <w:divBdr>
        <w:top w:val="none" w:sz="0" w:space="0" w:color="auto"/>
        <w:left w:val="none" w:sz="0" w:space="0" w:color="auto"/>
        <w:bottom w:val="none" w:sz="0" w:space="0" w:color="auto"/>
        <w:right w:val="none" w:sz="0" w:space="0" w:color="auto"/>
      </w:divBdr>
      <w:divsChild>
        <w:div w:id="348683617">
          <w:marLeft w:val="0"/>
          <w:marRight w:val="0"/>
          <w:marTop w:val="0"/>
          <w:marBottom w:val="0"/>
          <w:divBdr>
            <w:top w:val="none" w:sz="0" w:space="0" w:color="auto"/>
            <w:left w:val="none" w:sz="0" w:space="0" w:color="auto"/>
            <w:bottom w:val="none" w:sz="0" w:space="0" w:color="auto"/>
            <w:right w:val="none" w:sz="0" w:space="0" w:color="auto"/>
          </w:divBdr>
        </w:div>
        <w:div w:id="510919548">
          <w:marLeft w:val="0"/>
          <w:marRight w:val="0"/>
          <w:marTop w:val="0"/>
          <w:marBottom w:val="0"/>
          <w:divBdr>
            <w:top w:val="none" w:sz="0" w:space="0" w:color="auto"/>
            <w:left w:val="none" w:sz="0" w:space="0" w:color="auto"/>
            <w:bottom w:val="none" w:sz="0" w:space="0" w:color="auto"/>
            <w:right w:val="none" w:sz="0" w:space="0" w:color="auto"/>
          </w:divBdr>
        </w:div>
        <w:div w:id="717976151">
          <w:marLeft w:val="0"/>
          <w:marRight w:val="0"/>
          <w:marTop w:val="0"/>
          <w:marBottom w:val="0"/>
          <w:divBdr>
            <w:top w:val="none" w:sz="0" w:space="0" w:color="auto"/>
            <w:left w:val="none" w:sz="0" w:space="0" w:color="auto"/>
            <w:bottom w:val="none" w:sz="0" w:space="0" w:color="auto"/>
            <w:right w:val="none" w:sz="0" w:space="0" w:color="auto"/>
          </w:divBdr>
        </w:div>
      </w:divsChild>
    </w:div>
    <w:div w:id="553931952">
      <w:bodyDiv w:val="1"/>
      <w:marLeft w:val="0"/>
      <w:marRight w:val="0"/>
      <w:marTop w:val="0"/>
      <w:marBottom w:val="0"/>
      <w:divBdr>
        <w:top w:val="none" w:sz="0" w:space="0" w:color="auto"/>
        <w:left w:val="none" w:sz="0" w:space="0" w:color="auto"/>
        <w:bottom w:val="none" w:sz="0" w:space="0" w:color="auto"/>
        <w:right w:val="none" w:sz="0" w:space="0" w:color="auto"/>
      </w:divBdr>
      <w:divsChild>
        <w:div w:id="1126464591">
          <w:marLeft w:val="0"/>
          <w:marRight w:val="0"/>
          <w:marTop w:val="0"/>
          <w:marBottom w:val="0"/>
          <w:divBdr>
            <w:top w:val="none" w:sz="0" w:space="0" w:color="auto"/>
            <w:left w:val="none" w:sz="0" w:space="0" w:color="auto"/>
            <w:bottom w:val="none" w:sz="0" w:space="0" w:color="auto"/>
            <w:right w:val="none" w:sz="0" w:space="0" w:color="auto"/>
          </w:divBdr>
        </w:div>
        <w:div w:id="501824133">
          <w:marLeft w:val="0"/>
          <w:marRight w:val="0"/>
          <w:marTop w:val="0"/>
          <w:marBottom w:val="0"/>
          <w:divBdr>
            <w:top w:val="none" w:sz="0" w:space="0" w:color="auto"/>
            <w:left w:val="none" w:sz="0" w:space="0" w:color="auto"/>
            <w:bottom w:val="none" w:sz="0" w:space="0" w:color="auto"/>
            <w:right w:val="none" w:sz="0" w:space="0" w:color="auto"/>
          </w:divBdr>
        </w:div>
      </w:divsChild>
    </w:div>
    <w:div w:id="671570743">
      <w:bodyDiv w:val="1"/>
      <w:marLeft w:val="0"/>
      <w:marRight w:val="0"/>
      <w:marTop w:val="0"/>
      <w:marBottom w:val="0"/>
      <w:divBdr>
        <w:top w:val="none" w:sz="0" w:space="0" w:color="auto"/>
        <w:left w:val="none" w:sz="0" w:space="0" w:color="auto"/>
        <w:bottom w:val="none" w:sz="0" w:space="0" w:color="auto"/>
        <w:right w:val="none" w:sz="0" w:space="0" w:color="auto"/>
      </w:divBdr>
      <w:divsChild>
        <w:div w:id="1079863521">
          <w:marLeft w:val="0"/>
          <w:marRight w:val="0"/>
          <w:marTop w:val="0"/>
          <w:marBottom w:val="0"/>
          <w:divBdr>
            <w:top w:val="none" w:sz="0" w:space="0" w:color="auto"/>
            <w:left w:val="none" w:sz="0" w:space="0" w:color="auto"/>
            <w:bottom w:val="none" w:sz="0" w:space="0" w:color="auto"/>
            <w:right w:val="none" w:sz="0" w:space="0" w:color="auto"/>
          </w:divBdr>
          <w:divsChild>
            <w:div w:id="1941797074">
              <w:marLeft w:val="0"/>
              <w:marRight w:val="0"/>
              <w:marTop w:val="0"/>
              <w:marBottom w:val="0"/>
              <w:divBdr>
                <w:top w:val="none" w:sz="0" w:space="0" w:color="auto"/>
                <w:left w:val="none" w:sz="0" w:space="0" w:color="auto"/>
                <w:bottom w:val="none" w:sz="0" w:space="0" w:color="auto"/>
                <w:right w:val="none" w:sz="0" w:space="0" w:color="auto"/>
              </w:divBdr>
            </w:div>
            <w:div w:id="93640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324857">
      <w:bodyDiv w:val="1"/>
      <w:marLeft w:val="0"/>
      <w:marRight w:val="0"/>
      <w:marTop w:val="0"/>
      <w:marBottom w:val="0"/>
      <w:divBdr>
        <w:top w:val="none" w:sz="0" w:space="0" w:color="auto"/>
        <w:left w:val="none" w:sz="0" w:space="0" w:color="auto"/>
        <w:bottom w:val="none" w:sz="0" w:space="0" w:color="auto"/>
        <w:right w:val="none" w:sz="0" w:space="0" w:color="auto"/>
      </w:divBdr>
      <w:divsChild>
        <w:div w:id="1370565618">
          <w:marLeft w:val="0"/>
          <w:marRight w:val="0"/>
          <w:marTop w:val="0"/>
          <w:marBottom w:val="0"/>
          <w:divBdr>
            <w:top w:val="none" w:sz="0" w:space="0" w:color="auto"/>
            <w:left w:val="none" w:sz="0" w:space="0" w:color="auto"/>
            <w:bottom w:val="none" w:sz="0" w:space="0" w:color="auto"/>
            <w:right w:val="none" w:sz="0" w:space="0" w:color="auto"/>
          </w:divBdr>
        </w:div>
        <w:div w:id="29769193">
          <w:marLeft w:val="0"/>
          <w:marRight w:val="0"/>
          <w:marTop w:val="0"/>
          <w:marBottom w:val="0"/>
          <w:divBdr>
            <w:top w:val="none" w:sz="0" w:space="0" w:color="auto"/>
            <w:left w:val="none" w:sz="0" w:space="0" w:color="auto"/>
            <w:bottom w:val="none" w:sz="0" w:space="0" w:color="auto"/>
            <w:right w:val="none" w:sz="0" w:space="0" w:color="auto"/>
          </w:divBdr>
        </w:div>
      </w:divsChild>
    </w:div>
    <w:div w:id="955867936">
      <w:bodyDiv w:val="1"/>
      <w:marLeft w:val="0"/>
      <w:marRight w:val="0"/>
      <w:marTop w:val="0"/>
      <w:marBottom w:val="0"/>
      <w:divBdr>
        <w:top w:val="none" w:sz="0" w:space="0" w:color="auto"/>
        <w:left w:val="none" w:sz="0" w:space="0" w:color="auto"/>
        <w:bottom w:val="none" w:sz="0" w:space="0" w:color="auto"/>
        <w:right w:val="none" w:sz="0" w:space="0" w:color="auto"/>
      </w:divBdr>
      <w:divsChild>
        <w:div w:id="830413433">
          <w:marLeft w:val="0"/>
          <w:marRight w:val="0"/>
          <w:marTop w:val="0"/>
          <w:marBottom w:val="0"/>
          <w:divBdr>
            <w:top w:val="none" w:sz="0" w:space="0" w:color="auto"/>
            <w:left w:val="none" w:sz="0" w:space="0" w:color="auto"/>
            <w:bottom w:val="none" w:sz="0" w:space="0" w:color="auto"/>
            <w:right w:val="none" w:sz="0" w:space="0" w:color="auto"/>
          </w:divBdr>
        </w:div>
        <w:div w:id="885095582">
          <w:marLeft w:val="0"/>
          <w:marRight w:val="0"/>
          <w:marTop w:val="0"/>
          <w:marBottom w:val="0"/>
          <w:divBdr>
            <w:top w:val="none" w:sz="0" w:space="0" w:color="auto"/>
            <w:left w:val="none" w:sz="0" w:space="0" w:color="auto"/>
            <w:bottom w:val="none" w:sz="0" w:space="0" w:color="auto"/>
            <w:right w:val="none" w:sz="0" w:space="0" w:color="auto"/>
          </w:divBdr>
        </w:div>
        <w:div w:id="1747192444">
          <w:marLeft w:val="0"/>
          <w:marRight w:val="0"/>
          <w:marTop w:val="0"/>
          <w:marBottom w:val="0"/>
          <w:divBdr>
            <w:top w:val="none" w:sz="0" w:space="0" w:color="auto"/>
            <w:left w:val="none" w:sz="0" w:space="0" w:color="auto"/>
            <w:bottom w:val="none" w:sz="0" w:space="0" w:color="auto"/>
            <w:right w:val="none" w:sz="0" w:space="0" w:color="auto"/>
          </w:divBdr>
        </w:div>
        <w:div w:id="901213014">
          <w:marLeft w:val="0"/>
          <w:marRight w:val="0"/>
          <w:marTop w:val="0"/>
          <w:marBottom w:val="0"/>
          <w:divBdr>
            <w:top w:val="none" w:sz="0" w:space="0" w:color="auto"/>
            <w:left w:val="none" w:sz="0" w:space="0" w:color="auto"/>
            <w:bottom w:val="none" w:sz="0" w:space="0" w:color="auto"/>
            <w:right w:val="none" w:sz="0" w:space="0" w:color="auto"/>
          </w:divBdr>
        </w:div>
        <w:div w:id="1728600036">
          <w:marLeft w:val="0"/>
          <w:marRight w:val="0"/>
          <w:marTop w:val="0"/>
          <w:marBottom w:val="0"/>
          <w:divBdr>
            <w:top w:val="none" w:sz="0" w:space="0" w:color="auto"/>
            <w:left w:val="none" w:sz="0" w:space="0" w:color="auto"/>
            <w:bottom w:val="none" w:sz="0" w:space="0" w:color="auto"/>
            <w:right w:val="none" w:sz="0" w:space="0" w:color="auto"/>
          </w:divBdr>
        </w:div>
        <w:div w:id="1747455199">
          <w:marLeft w:val="0"/>
          <w:marRight w:val="0"/>
          <w:marTop w:val="0"/>
          <w:marBottom w:val="0"/>
          <w:divBdr>
            <w:top w:val="none" w:sz="0" w:space="0" w:color="auto"/>
            <w:left w:val="none" w:sz="0" w:space="0" w:color="auto"/>
            <w:bottom w:val="none" w:sz="0" w:space="0" w:color="auto"/>
            <w:right w:val="none" w:sz="0" w:space="0" w:color="auto"/>
          </w:divBdr>
        </w:div>
        <w:div w:id="1491365777">
          <w:marLeft w:val="0"/>
          <w:marRight w:val="0"/>
          <w:marTop w:val="0"/>
          <w:marBottom w:val="0"/>
          <w:divBdr>
            <w:top w:val="none" w:sz="0" w:space="0" w:color="auto"/>
            <w:left w:val="none" w:sz="0" w:space="0" w:color="auto"/>
            <w:bottom w:val="none" w:sz="0" w:space="0" w:color="auto"/>
            <w:right w:val="none" w:sz="0" w:space="0" w:color="auto"/>
          </w:divBdr>
        </w:div>
        <w:div w:id="933824355">
          <w:marLeft w:val="0"/>
          <w:marRight w:val="0"/>
          <w:marTop w:val="0"/>
          <w:marBottom w:val="0"/>
          <w:divBdr>
            <w:top w:val="none" w:sz="0" w:space="0" w:color="auto"/>
            <w:left w:val="none" w:sz="0" w:space="0" w:color="auto"/>
            <w:bottom w:val="none" w:sz="0" w:space="0" w:color="auto"/>
            <w:right w:val="none" w:sz="0" w:space="0" w:color="auto"/>
          </w:divBdr>
        </w:div>
        <w:div w:id="2023504523">
          <w:marLeft w:val="0"/>
          <w:marRight w:val="0"/>
          <w:marTop w:val="0"/>
          <w:marBottom w:val="0"/>
          <w:divBdr>
            <w:top w:val="none" w:sz="0" w:space="0" w:color="auto"/>
            <w:left w:val="none" w:sz="0" w:space="0" w:color="auto"/>
            <w:bottom w:val="none" w:sz="0" w:space="0" w:color="auto"/>
            <w:right w:val="none" w:sz="0" w:space="0" w:color="auto"/>
          </w:divBdr>
        </w:div>
        <w:div w:id="1889756575">
          <w:marLeft w:val="0"/>
          <w:marRight w:val="0"/>
          <w:marTop w:val="0"/>
          <w:marBottom w:val="0"/>
          <w:divBdr>
            <w:top w:val="none" w:sz="0" w:space="0" w:color="auto"/>
            <w:left w:val="none" w:sz="0" w:space="0" w:color="auto"/>
            <w:bottom w:val="none" w:sz="0" w:space="0" w:color="auto"/>
            <w:right w:val="none" w:sz="0" w:space="0" w:color="auto"/>
          </w:divBdr>
        </w:div>
      </w:divsChild>
    </w:div>
    <w:div w:id="1186212759">
      <w:bodyDiv w:val="1"/>
      <w:marLeft w:val="0"/>
      <w:marRight w:val="0"/>
      <w:marTop w:val="0"/>
      <w:marBottom w:val="0"/>
      <w:divBdr>
        <w:top w:val="none" w:sz="0" w:space="0" w:color="auto"/>
        <w:left w:val="none" w:sz="0" w:space="0" w:color="auto"/>
        <w:bottom w:val="none" w:sz="0" w:space="0" w:color="auto"/>
        <w:right w:val="none" w:sz="0" w:space="0" w:color="auto"/>
      </w:divBdr>
    </w:div>
    <w:div w:id="1322200751">
      <w:bodyDiv w:val="1"/>
      <w:marLeft w:val="0"/>
      <w:marRight w:val="0"/>
      <w:marTop w:val="0"/>
      <w:marBottom w:val="0"/>
      <w:divBdr>
        <w:top w:val="none" w:sz="0" w:space="0" w:color="auto"/>
        <w:left w:val="none" w:sz="0" w:space="0" w:color="auto"/>
        <w:bottom w:val="none" w:sz="0" w:space="0" w:color="auto"/>
        <w:right w:val="none" w:sz="0" w:space="0" w:color="auto"/>
      </w:divBdr>
      <w:divsChild>
        <w:div w:id="1724013459">
          <w:marLeft w:val="0"/>
          <w:marRight w:val="0"/>
          <w:marTop w:val="0"/>
          <w:marBottom w:val="0"/>
          <w:divBdr>
            <w:top w:val="none" w:sz="0" w:space="0" w:color="auto"/>
            <w:left w:val="none" w:sz="0" w:space="0" w:color="auto"/>
            <w:bottom w:val="none" w:sz="0" w:space="0" w:color="auto"/>
            <w:right w:val="none" w:sz="0" w:space="0" w:color="auto"/>
          </w:divBdr>
        </w:div>
        <w:div w:id="1186869417">
          <w:marLeft w:val="0"/>
          <w:marRight w:val="0"/>
          <w:marTop w:val="0"/>
          <w:marBottom w:val="0"/>
          <w:divBdr>
            <w:top w:val="none" w:sz="0" w:space="0" w:color="auto"/>
            <w:left w:val="none" w:sz="0" w:space="0" w:color="auto"/>
            <w:bottom w:val="none" w:sz="0" w:space="0" w:color="auto"/>
            <w:right w:val="none" w:sz="0" w:space="0" w:color="auto"/>
          </w:divBdr>
        </w:div>
      </w:divsChild>
    </w:div>
    <w:div w:id="1520001789">
      <w:bodyDiv w:val="1"/>
      <w:marLeft w:val="0"/>
      <w:marRight w:val="0"/>
      <w:marTop w:val="0"/>
      <w:marBottom w:val="0"/>
      <w:divBdr>
        <w:top w:val="none" w:sz="0" w:space="0" w:color="auto"/>
        <w:left w:val="none" w:sz="0" w:space="0" w:color="auto"/>
        <w:bottom w:val="none" w:sz="0" w:space="0" w:color="auto"/>
        <w:right w:val="none" w:sz="0" w:space="0" w:color="auto"/>
      </w:divBdr>
    </w:div>
    <w:div w:id="1907953756">
      <w:bodyDiv w:val="1"/>
      <w:marLeft w:val="0"/>
      <w:marRight w:val="0"/>
      <w:marTop w:val="0"/>
      <w:marBottom w:val="0"/>
      <w:divBdr>
        <w:top w:val="none" w:sz="0" w:space="0" w:color="auto"/>
        <w:left w:val="none" w:sz="0" w:space="0" w:color="auto"/>
        <w:bottom w:val="none" w:sz="0" w:space="0" w:color="auto"/>
        <w:right w:val="none" w:sz="0" w:space="0" w:color="auto"/>
      </w:divBdr>
    </w:div>
    <w:div w:id="2046369288">
      <w:bodyDiv w:val="1"/>
      <w:marLeft w:val="0"/>
      <w:marRight w:val="0"/>
      <w:marTop w:val="0"/>
      <w:marBottom w:val="0"/>
      <w:divBdr>
        <w:top w:val="none" w:sz="0" w:space="0" w:color="auto"/>
        <w:left w:val="none" w:sz="0" w:space="0" w:color="auto"/>
        <w:bottom w:val="none" w:sz="0" w:space="0" w:color="auto"/>
        <w:right w:val="none" w:sz="0" w:space="0" w:color="auto"/>
      </w:divBdr>
      <w:divsChild>
        <w:div w:id="334890689">
          <w:marLeft w:val="0"/>
          <w:marRight w:val="0"/>
          <w:marTop w:val="0"/>
          <w:marBottom w:val="0"/>
          <w:divBdr>
            <w:top w:val="none" w:sz="0" w:space="0" w:color="auto"/>
            <w:left w:val="none" w:sz="0" w:space="0" w:color="auto"/>
            <w:bottom w:val="none" w:sz="0" w:space="0" w:color="auto"/>
            <w:right w:val="none" w:sz="0" w:space="0" w:color="auto"/>
          </w:divBdr>
        </w:div>
        <w:div w:id="712389893">
          <w:marLeft w:val="0"/>
          <w:marRight w:val="0"/>
          <w:marTop w:val="0"/>
          <w:marBottom w:val="0"/>
          <w:divBdr>
            <w:top w:val="none" w:sz="0" w:space="0" w:color="auto"/>
            <w:left w:val="none" w:sz="0" w:space="0" w:color="auto"/>
            <w:bottom w:val="none" w:sz="0" w:space="0" w:color="auto"/>
            <w:right w:val="none" w:sz="0" w:space="0" w:color="auto"/>
          </w:divBdr>
        </w:div>
        <w:div w:id="7029424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www.prisonstudies.org/country/morocco" TargetMode="External"/><Relationship Id="rId18" Type="http://schemas.openxmlformats.org/officeDocument/2006/relationships/hyperlink" Target="http://fr.alkarama.org/component/k2/item/1980-maroc-ali-aarrass-victime-de-mauvais-traitements-en-depit-d-une-greve-de-la-faim?Itemid" TargetMode="External"/><Relationship Id="rId26" Type="http://schemas.openxmlformats.org/officeDocument/2006/relationships/hyperlink" Target="http://www.sgg.gov.ma/Portals/1/lois/projet_loi_88.13.pdf?ver=2015-11-10-134945-340" TargetMode="External"/><Relationship Id="rId3" Type="http://schemas.openxmlformats.org/officeDocument/2006/relationships/hyperlink" Target="http://www.transparency.org/country/" TargetMode="External"/><Relationship Id="rId21" Type="http://schemas.openxmlformats.org/officeDocument/2006/relationships/hyperlink" Target="http://fr.alkarama.org/component/k2/item/1995-maroc-affaire-belliraj-alkarama-appelle-l-onu-a-inviter-les-autorites-marocaines-a-liberer-abdelkader-belliraj-condamne-a-vie-sur-la-seule-base-d-aveux-obtenus-sous-la-torture?Itemid" TargetMode="External"/><Relationship Id="rId34" Type="http://schemas.openxmlformats.org/officeDocument/2006/relationships/hyperlink" Target="http://www.ccdh.org.ma/IMG/pdf/rapport_final_mar_fr_.pdf" TargetMode="External"/><Relationship Id="rId7" Type="http://schemas.openxmlformats.org/officeDocument/2006/relationships/hyperlink" Target="http://www.justice.gov.ma/App_Themes/ar/img/Files/Charte_Reforme_justiceFr.pdf" TargetMode="External"/><Relationship Id="rId12" Type="http://schemas.openxmlformats.org/officeDocument/2006/relationships/hyperlink" Target="http://www.refworld.org/cgi-bin/texis/vtx/rwmain/opendocpdf.pdf?reldoc=y&amp;docid=50c83f6d2" TargetMode="External"/><Relationship Id="rId17" Type="http://schemas.openxmlformats.org/officeDocument/2006/relationships/hyperlink" Target="http://en.alkarama.org/component/k2/946-morocco-mourad-aibous-tortured-and-accused-of-manufacturing-explosives?Itemid" TargetMode="External"/><Relationship Id="rId25" Type="http://schemas.openxmlformats.org/officeDocument/2006/relationships/hyperlink" Target="http://www.lemonde.fr/actualite-medias/article/2015/02/16/deux-journalistes-francais-arretes-et-expulses-du-maroc_4577053_3236.html" TargetMode="External"/><Relationship Id="rId33" Type="http://schemas.openxmlformats.org/officeDocument/2006/relationships/hyperlink" Target="http://www.ccdh.org.ma/spip.php?article2851" TargetMode="External"/><Relationship Id="rId2" Type="http://schemas.openxmlformats.org/officeDocument/2006/relationships/hyperlink" Target="http://fr.alkarama.org/maroc/communiques/item/2000-maroc-le-conseil-national-des-droits-de-l-homme-conserve-son-statut-a-malgre-son-manque-d-independance" TargetMode="External"/><Relationship Id="rId16" Type="http://schemas.openxmlformats.org/officeDocument/2006/relationships/hyperlink" Target="http://fr.alkarama.org/component/k2/item/812-maroc-la-situation-des-droits-de-l-homme-connait-une-grave-derive?Itemid" TargetMode="External"/><Relationship Id="rId20" Type="http://schemas.openxmlformats.org/officeDocument/2006/relationships/hyperlink" Target="http://fr.alkarama.org/maroc/communiques/item/2018-maroc-disparu-depuis-plus-de-quatre-mois-adnane-rahali-a-ete-retrouve-mort-a-l-interieur-du-campus-de-l-universite-d-agadir" TargetMode="External"/><Relationship Id="rId29" Type="http://schemas.openxmlformats.org/officeDocument/2006/relationships/hyperlink" Target="https://www.amnesty.org/fr/countries/middle-east-and-north-africa/morocco/report-morocco/" TargetMode="External"/><Relationship Id="rId1" Type="http://schemas.openxmlformats.org/officeDocument/2006/relationships/hyperlink" Target="http://elpais.com/diario/2005/01/16/internacional/1105830001_850215.html" TargetMode="External"/><Relationship Id="rId6" Type="http://schemas.openxmlformats.org/officeDocument/2006/relationships/hyperlink" Target="http://www.journaux.ma/maroc/actualite-internationale/maroc-memorandum-de-10-ong-pour-contribuer-une-reforme-la-justice" TargetMode="External"/><Relationship Id="rId11" Type="http://schemas.openxmlformats.org/officeDocument/2006/relationships/hyperlink" Target="http://www.forumedsp.org/xwiki/wiki/mediterranee/download/Ressources/Charte+de+la+r%C3%A9forme+du+syst%C3%A8me+judiciaire+%2D+Maroc+%2D+2013/Charte_Reforme_justiceFr.pdf" TargetMode="External"/><Relationship Id="rId24" Type="http://schemas.openxmlformats.org/officeDocument/2006/relationships/hyperlink" Target="http://fr.alkarama.org/item/1965-maroc-le-journaliste-hicham-mansouri-detenu-depuis-plus-de-six-mois-pour-complicite-d-adultere" TargetMode="External"/><Relationship Id="rId32" Type="http://schemas.openxmlformats.org/officeDocument/2006/relationships/hyperlink" Target="http://fr.alkarama.org/component/k2/item/1223-maroc-la-fiancee-d-un-defenseur-des-droits-de-l-homme-maltraitee-puis-relachee-par-les-services-de-renseignement?Itemid" TargetMode="External"/><Relationship Id="rId5" Type="http://schemas.openxmlformats.org/officeDocument/2006/relationships/hyperlink" Target="http://www.lemag.ma/Dix-associations-signent-un-projet-de-memorandum-pour-la-reforme-de-la-Justice_a19119.html" TargetMode="External"/><Relationship Id="rId15" Type="http://schemas.openxmlformats.org/officeDocument/2006/relationships/hyperlink" Target="http://www.cndh.org.ma/fr/presentation/les-attributions-du-conseil-en-matiere-de-protection-des-droits-de-lhomme" TargetMode="External"/><Relationship Id="rId23" Type="http://schemas.openxmlformats.org/officeDocument/2006/relationships/hyperlink" Target="http://fr.alkarama.org/component/k2/item/968-maroc-le-journaliste-rachid-niny-condamne-a-un-an-de-prison?Itemid" TargetMode="External"/><Relationship Id="rId28" Type="http://schemas.openxmlformats.org/officeDocument/2006/relationships/hyperlink" Target="https://www.hrw.org/fr/world-report/2016/country-chapters/285663" TargetMode="External"/><Relationship Id="rId10" Type="http://schemas.openxmlformats.org/officeDocument/2006/relationships/hyperlink" Target="http://www.medias24.com/downloadsfils/documents/08-05-2014%20Projet_de_code_de_procedure_penale.pdf" TargetMode="External"/><Relationship Id="rId19" Type="http://schemas.openxmlformats.org/officeDocument/2006/relationships/hyperlink" Target="http://fr.alkarama.org/maroc/communiques/item/2011-maroc-disparition-d-adnane-rahali-etudiant-originaire-de-tantan" TargetMode="External"/><Relationship Id="rId31" Type="http://schemas.openxmlformats.org/officeDocument/2006/relationships/hyperlink" Target="https://www.hrw.org/fr/news/2016/01/18/maroc-dispersion-violente-de-manifestations-pacifiques" TargetMode="External"/><Relationship Id="rId4" Type="http://schemas.openxmlformats.org/officeDocument/2006/relationships/hyperlink" Target="http://fr.alkarama.org/component/k2/item/1985-maroc-une-femme-condamnee-a-un-mois-de-prison-ferme-pour-avoir-denonce-des-violences-policieres?Itemid" TargetMode="External"/><Relationship Id="rId9" Type="http://schemas.openxmlformats.org/officeDocument/2006/relationships/hyperlink" Target="http://fr.alkarama.org/component/k2/item/1921-maroc-l-affaire-du-juge-mohamed-anbar-magistrat-a-la-cour-de-cassation-portee-devant-l-onu?Itemid" TargetMode="External"/><Relationship Id="rId14" Type="http://schemas.openxmlformats.org/officeDocument/2006/relationships/hyperlink" Target="http://fr.alkarama.org/component/k2/item/1326-maroc-l-onu-demande-aux-autorites-de-liberer-abdessamad-bettar?Itemid" TargetMode="External"/><Relationship Id="rId22" Type="http://schemas.openxmlformats.org/officeDocument/2006/relationships/hyperlink" Target="https://rsf.org/fr/maroc" TargetMode="External"/><Relationship Id="rId27" Type="http://schemas.openxmlformats.org/officeDocument/2006/relationships/hyperlink" Target="http://www.chambredesrepresentants.ma/sites/default/files/loi/73.15.pdf" TargetMode="External"/><Relationship Id="rId30" Type="http://schemas.openxmlformats.org/officeDocument/2006/relationships/hyperlink" Target="http://www.huffpostmaghreb.com/2015/10/14/sit-in-reprime-rabat-ministere-justice-circulaire-violences-police_n_8292370.html" TargetMode="External"/><Relationship Id="rId35" Type="http://schemas.openxmlformats.org/officeDocument/2006/relationships/hyperlink" Target="http://www.ccdh.org.ma/IMG/pdf/rapport_mise_en_oeurvre_recom_IER_en_Frc.pdf" TargetMode="External"/><Relationship Id="rId8" Type="http://schemas.openxmlformats.org/officeDocument/2006/relationships/hyperlink" Target="http://www.sgg.gov.ma/Portals/0/lois/Projet_loiorganique%20_100.13.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0B0F6B8-538F-4FBE-B52B-FCFDDA8FF122}"/>
</file>

<file path=customXml/itemProps2.xml><?xml version="1.0" encoding="utf-8"?>
<ds:datastoreItem xmlns:ds="http://schemas.openxmlformats.org/officeDocument/2006/customXml" ds:itemID="{0DB46875-CCBD-43A0-9B3B-F317634D1429}"/>
</file>

<file path=customXml/itemProps3.xml><?xml version="1.0" encoding="utf-8"?>
<ds:datastoreItem xmlns:ds="http://schemas.openxmlformats.org/officeDocument/2006/customXml" ds:itemID="{FC9F5E5F-06F1-4D07-A412-6C27290684FB}"/>
</file>

<file path=customXml/itemProps4.xml><?xml version="1.0" encoding="utf-8"?>
<ds:datastoreItem xmlns:ds="http://schemas.openxmlformats.org/officeDocument/2006/customXml" ds:itemID="{442CCC14-0A61-43C4-806E-4E45F276922E}"/>
</file>

<file path=docProps/app.xml><?xml version="1.0" encoding="utf-8"?>
<Properties xmlns="http://schemas.openxmlformats.org/officeDocument/2006/extended-properties" xmlns:vt="http://schemas.openxmlformats.org/officeDocument/2006/docPropsVTypes">
  <Template>4F75973B</Template>
  <TotalTime>1683</TotalTime>
  <Pages>28</Pages>
  <Words>14139</Words>
  <Characters>77767</Characters>
  <Application>Microsoft Office Word</Application>
  <DocSecurity>0</DocSecurity>
  <Lines>648</Lines>
  <Paragraphs>183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ak</Company>
  <LinksUpToDate>false</LinksUpToDate>
  <CharactersWithSpaces>91723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Alexis</dc:creator>
  <cp:keywords/>
  <dc:description/>
  <cp:lastModifiedBy>RLO-MASHREQ</cp:lastModifiedBy>
  <cp:revision>148</cp:revision>
  <cp:lastPrinted>2016-09-23T10:13:00Z</cp:lastPrinted>
  <dcterms:created xsi:type="dcterms:W3CDTF">2016-09-16T14:09:00Z</dcterms:created>
  <dcterms:modified xsi:type="dcterms:W3CDTF">2016-09-23T10:13:00Z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