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191DFC"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9" o:title=""/>
          </v:shape>
        </w:pict>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3C7CCB">
        <w:rPr>
          <w:b/>
          <w:sz w:val="30"/>
          <w:szCs w:val="30"/>
          <w:u w:val="single"/>
        </w:rPr>
        <w:t>INDONESIA</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4D5821">
        <w:rPr>
          <w:b/>
          <w:sz w:val="30"/>
          <w:szCs w:val="30"/>
          <w:u w:val="single"/>
        </w:rPr>
        <w:t>March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10"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191DFC" w:rsidP="00D43906">
      <w:pPr>
        <w:spacing w:after="120"/>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margin-left:26.05pt;margin-top:369.15pt;width:445.95pt;height:333.8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3C7CCB">
                    <w:rPr>
                      <w:b/>
                      <w:sz w:val="28"/>
                      <w:szCs w:val="28"/>
                    </w:rPr>
                    <w:t>Indonesia</w:t>
                  </w:r>
                  <w:r w:rsidRPr="00DB1A94">
                    <w:rPr>
                      <w:b/>
                      <w:sz w:val="28"/>
                      <w:szCs w:val="28"/>
                    </w:rPr>
                    <w:t xml:space="preserve">. In light of the obligation under international human rights law to prohibit all corporal punishment of children, the recommendations of the UN Secretary General’s Study on Violence against Children, </w:t>
                  </w:r>
                  <w:r w:rsidR="003C7CCB">
                    <w:rPr>
                      <w:b/>
                      <w:sz w:val="28"/>
                      <w:szCs w:val="28"/>
                    </w:rPr>
                    <w:t xml:space="preserve">and </w:t>
                  </w:r>
                  <w:r w:rsidRPr="00DB1A94">
                    <w:rPr>
                      <w:b/>
                      <w:sz w:val="28"/>
                      <w:szCs w:val="28"/>
                    </w:rPr>
                    <w:t xml:space="preserve">the recommendations to </w:t>
                  </w:r>
                  <w:r w:rsidR="003C7CCB">
                    <w:rPr>
                      <w:b/>
                      <w:sz w:val="28"/>
                      <w:szCs w:val="28"/>
                    </w:rPr>
                    <w:t xml:space="preserve">Indonesia </w:t>
                  </w:r>
                  <w:r w:rsidRPr="00DB1A94">
                    <w:rPr>
                      <w:b/>
                      <w:sz w:val="28"/>
                      <w:szCs w:val="28"/>
                    </w:rPr>
                    <w:t>by the Committee on the Rights of the Child</w:t>
                  </w:r>
                  <w:r w:rsidR="003C7CCB">
                    <w:rPr>
                      <w:b/>
                      <w:sz w:val="28"/>
                      <w:szCs w:val="28"/>
                    </w:rPr>
                    <w:t>,</w:t>
                  </w:r>
                  <w:r w:rsidR="00562503">
                    <w:rPr>
                      <w:b/>
                      <w:sz w:val="28"/>
                      <w:szCs w:val="28"/>
                    </w:rPr>
                    <w:t xml:space="preserve"> </w:t>
                  </w:r>
                  <w:r w:rsidR="003C7CCB">
                    <w:rPr>
                      <w:b/>
                      <w:sz w:val="28"/>
                      <w:szCs w:val="28"/>
                    </w:rPr>
                    <w:t xml:space="preserve">the Committee Against Torture and </w:t>
                  </w:r>
                  <w:r w:rsidR="00617E47">
                    <w:rPr>
                      <w:b/>
                      <w:sz w:val="28"/>
                      <w:szCs w:val="28"/>
                    </w:rPr>
                    <w:t>during the Universal Periodic Review in 2012</w:t>
                  </w:r>
                  <w:r w:rsidR="00F42B8F">
                    <w:rPr>
                      <w:b/>
                      <w:sz w:val="28"/>
                      <w:szCs w:val="28"/>
                    </w:rPr>
                    <w:t xml:space="preserve"> – the latter rejected by the Government –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3C7CCB">
                    <w:rPr>
                      <w:b/>
                      <w:sz w:val="28"/>
                      <w:szCs w:val="28"/>
                    </w:rPr>
                    <w:t>Indonesia</w:t>
                  </w:r>
                  <w:r w:rsidR="002F2E23" w:rsidRPr="00DB1A94">
                    <w:rPr>
                      <w:b/>
                      <w:sz w:val="28"/>
                      <w:szCs w:val="28"/>
                    </w:rPr>
                    <w:t xml:space="preserve">, in particular asking what measures have been taken to ensure </w:t>
                  </w:r>
                  <w:r w:rsidR="00926887" w:rsidRPr="00DB1A94">
                    <w:rPr>
                      <w:b/>
                      <w:sz w:val="28"/>
                      <w:szCs w:val="28"/>
                    </w:rPr>
                    <w:t xml:space="preserve">the law </w:t>
                  </w:r>
                  <w:r w:rsidR="00DB1A94" w:rsidRPr="00DB1A94">
                    <w:rPr>
                      <w:b/>
                      <w:sz w:val="28"/>
                      <w:szCs w:val="28"/>
                    </w:rPr>
                    <w:t xml:space="preserve">explicitly prohibits corporal punishment in all settings, </w:t>
                  </w:r>
                  <w:r w:rsidR="00562503">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3C7CCB">
                    <w:rPr>
                      <w:b/>
                      <w:sz w:val="28"/>
                      <w:szCs w:val="28"/>
                    </w:rPr>
                    <w:t>Indonesia</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3C7CCB">
                    <w:rPr>
                      <w:b/>
                      <w:sz w:val="28"/>
                      <w:szCs w:val="28"/>
                    </w:rPr>
                    <w:t>initial</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562503" w:rsidRDefault="00562503" w:rsidP="00D43906">
      <w:pPr>
        <w:spacing w:after="120"/>
        <w:rPr>
          <w:b/>
          <w:sz w:val="28"/>
          <w:szCs w:val="28"/>
        </w:rPr>
      </w:pPr>
    </w:p>
    <w:p w:rsidR="00CD23D9" w:rsidRPr="00D43906" w:rsidRDefault="00926887" w:rsidP="00D43906">
      <w:pPr>
        <w:spacing w:after="120"/>
        <w:rPr>
          <w:b/>
          <w:sz w:val="28"/>
          <w:szCs w:val="28"/>
        </w:rPr>
      </w:pPr>
      <w:r>
        <w:rPr>
          <w:b/>
          <w:sz w:val="28"/>
          <w:szCs w:val="28"/>
        </w:rPr>
        <w:lastRenderedPageBreak/>
        <w:t xml:space="preserve">2 </w:t>
      </w:r>
      <w:r w:rsidR="00175E8F">
        <w:rPr>
          <w:b/>
          <w:sz w:val="28"/>
          <w:szCs w:val="28"/>
        </w:rPr>
        <w:t xml:space="preserve">Legality of corporal punishment </w:t>
      </w:r>
      <w:r w:rsidR="004973A2" w:rsidRPr="00D43906">
        <w:rPr>
          <w:b/>
          <w:sz w:val="28"/>
          <w:szCs w:val="28"/>
        </w:rPr>
        <w:t>of children</w:t>
      </w:r>
      <w:r w:rsidR="005F4F6D" w:rsidRPr="00D43906">
        <w:rPr>
          <w:b/>
          <w:sz w:val="28"/>
          <w:szCs w:val="28"/>
        </w:rPr>
        <w:t xml:space="preserve"> in </w:t>
      </w:r>
      <w:r w:rsidR="00E057B7">
        <w:rPr>
          <w:b/>
          <w:sz w:val="28"/>
          <w:szCs w:val="28"/>
        </w:rPr>
        <w:t>Indonesia</w:t>
      </w:r>
    </w:p>
    <w:p w:rsidR="00530943" w:rsidRPr="00F42B8F" w:rsidRDefault="00175E8F" w:rsidP="00175E8F">
      <w:pPr>
        <w:autoSpaceDE w:val="0"/>
        <w:autoSpaceDN w:val="0"/>
        <w:adjustRightInd w:val="0"/>
        <w:spacing w:after="120"/>
        <w:rPr>
          <w:sz w:val="26"/>
          <w:szCs w:val="26"/>
        </w:rPr>
      </w:pPr>
      <w:r w:rsidRPr="00F42B8F">
        <w:rPr>
          <w:sz w:val="26"/>
          <w:szCs w:val="26"/>
        </w:rPr>
        <w:t xml:space="preserve">2.1 Corporal punishment of children in </w:t>
      </w:r>
      <w:r w:rsidR="00530943" w:rsidRPr="00F42B8F">
        <w:rPr>
          <w:sz w:val="26"/>
          <w:szCs w:val="26"/>
        </w:rPr>
        <w:t>Indonesia is lawful in all settings – the home, schools, the penal system and alternative care settings.</w:t>
      </w:r>
    </w:p>
    <w:p w:rsidR="00530943" w:rsidRPr="00F42B8F" w:rsidRDefault="00F42B8F" w:rsidP="00530943">
      <w:pPr>
        <w:spacing w:after="120"/>
        <w:rPr>
          <w:sz w:val="26"/>
          <w:szCs w:val="26"/>
        </w:rPr>
      </w:pPr>
      <w:r>
        <w:rPr>
          <w:sz w:val="26"/>
          <w:szCs w:val="26"/>
        </w:rPr>
        <w:t xml:space="preserve">2.2 </w:t>
      </w:r>
      <w:r w:rsidR="00530943" w:rsidRPr="00F42B8F">
        <w:rPr>
          <w:sz w:val="26"/>
          <w:szCs w:val="26"/>
        </w:rPr>
        <w:t xml:space="preserve">With regard to the </w:t>
      </w:r>
      <w:r w:rsidR="00530943" w:rsidRPr="00F42B8F">
        <w:rPr>
          <w:b/>
          <w:sz w:val="26"/>
          <w:szCs w:val="26"/>
        </w:rPr>
        <w:t>home</w:t>
      </w:r>
      <w:r w:rsidR="00530943" w:rsidRPr="00F42B8F">
        <w:rPr>
          <w:sz w:val="26"/>
          <w:szCs w:val="26"/>
        </w:rPr>
        <w:t xml:space="preserve">, the Law on Child Protection (2002) states that parents and other carers must protect the child from “harsh treatment violence and abuse” (article 13), that every child shall be entitled to protection from “abuse, torture or inhuman punishment” (article 16) and that every person who commits or threatens violence against a child shall be punished (article 80); the Law on Human Rights (1999) states that children – defined as unmarried persons under 18 (article </w:t>
      </w:r>
      <w:r w:rsidRPr="00F42B8F">
        <w:rPr>
          <w:sz w:val="26"/>
          <w:szCs w:val="26"/>
        </w:rPr>
        <w:t>1(5)</w:t>
      </w:r>
      <w:r w:rsidR="00530943" w:rsidRPr="00F42B8F">
        <w:rPr>
          <w:sz w:val="26"/>
          <w:szCs w:val="26"/>
        </w:rPr>
        <w:t>) – have the right “to protection by parents, family, society, and state” (article 52), to “protection before the law against all forms of physical and mental violence, neglect, mistreatment and sexual assault while under the care of his parents, guardian, or any other party responsible for his care” (article 58) and “not to be the object of oppression, torture, or inhuman legal punishment” (article 66(1)). But neither these provisions nor provisions against violence and ill-treatment in the Penal Code (1982), the Law on Domestic Violence (2004), the Law on Youth (2009) and the Constitution (1945) are interpreted as prohibiting all corpo</w:t>
      </w:r>
      <w:r>
        <w:rPr>
          <w:sz w:val="26"/>
          <w:szCs w:val="26"/>
        </w:rPr>
        <w:t>ral punishment in childrearing.</w:t>
      </w:r>
    </w:p>
    <w:p w:rsidR="00530943" w:rsidRPr="00F42B8F" w:rsidRDefault="00F42B8F" w:rsidP="00530943">
      <w:pPr>
        <w:spacing w:after="120"/>
        <w:rPr>
          <w:sz w:val="26"/>
          <w:szCs w:val="26"/>
        </w:rPr>
      </w:pPr>
      <w:r>
        <w:rPr>
          <w:sz w:val="26"/>
          <w:szCs w:val="26"/>
        </w:rPr>
        <w:t xml:space="preserve">2.3 </w:t>
      </w:r>
      <w:r w:rsidR="00530943" w:rsidRPr="00F42B8F">
        <w:rPr>
          <w:sz w:val="26"/>
          <w:szCs w:val="26"/>
        </w:rPr>
        <w:t>In 20</w:t>
      </w:r>
      <w:r>
        <w:rPr>
          <w:sz w:val="26"/>
          <w:szCs w:val="26"/>
        </w:rPr>
        <w:t>07, the Government stated it had</w:t>
      </w:r>
      <w:r w:rsidR="00530943" w:rsidRPr="00F42B8F">
        <w:rPr>
          <w:sz w:val="26"/>
          <w:szCs w:val="26"/>
        </w:rPr>
        <w:t xml:space="preserve"> a programme to develop “national and regional regulations that prohibit all forms of physical and psychological punishments of children at home and in schools”</w:t>
      </w:r>
      <w:r w:rsidRPr="00F42B8F">
        <w:rPr>
          <w:sz w:val="26"/>
          <w:szCs w:val="26"/>
        </w:rPr>
        <w:t>.</w:t>
      </w:r>
      <w:r w:rsidRPr="00F42B8F">
        <w:rPr>
          <w:rStyle w:val="FootnoteReference"/>
          <w:sz w:val="26"/>
          <w:szCs w:val="26"/>
        </w:rPr>
        <w:footnoteReference w:id="1"/>
      </w:r>
      <w:r w:rsidRPr="00F42B8F">
        <w:rPr>
          <w:sz w:val="26"/>
          <w:szCs w:val="26"/>
        </w:rPr>
        <w:t xml:space="preserve"> However, it appears that </w:t>
      </w:r>
      <w:r w:rsidR="00530943" w:rsidRPr="00F42B8F">
        <w:rPr>
          <w:sz w:val="26"/>
          <w:szCs w:val="26"/>
        </w:rPr>
        <w:t xml:space="preserve">no bill </w:t>
      </w:r>
      <w:r w:rsidRPr="00F42B8F">
        <w:rPr>
          <w:sz w:val="26"/>
          <w:szCs w:val="26"/>
        </w:rPr>
        <w:t xml:space="preserve">has </w:t>
      </w:r>
      <w:r w:rsidR="00530943" w:rsidRPr="00F42B8F">
        <w:rPr>
          <w:sz w:val="26"/>
          <w:szCs w:val="26"/>
        </w:rPr>
        <w:t>been drafted which would amend or introduce relevant legislation. In September 2012, the Government rejected recommendations to prohibit corporal punishment made during the UPR (</w:t>
      </w:r>
      <w:r w:rsidRPr="00F42B8F">
        <w:rPr>
          <w:sz w:val="26"/>
          <w:szCs w:val="26"/>
        </w:rPr>
        <w:t>see below</w:t>
      </w:r>
      <w:r w:rsidR="00530943" w:rsidRPr="00F42B8F">
        <w:rPr>
          <w:sz w:val="26"/>
          <w:szCs w:val="26"/>
        </w:rPr>
        <w:t xml:space="preserve">). </w:t>
      </w:r>
    </w:p>
    <w:p w:rsidR="00530943" w:rsidRPr="00F42B8F" w:rsidRDefault="00F42B8F" w:rsidP="00530943">
      <w:pPr>
        <w:spacing w:after="120"/>
        <w:rPr>
          <w:sz w:val="26"/>
          <w:szCs w:val="26"/>
        </w:rPr>
      </w:pPr>
      <w:r>
        <w:rPr>
          <w:sz w:val="26"/>
          <w:szCs w:val="26"/>
        </w:rPr>
        <w:t xml:space="preserve">2.4 </w:t>
      </w:r>
      <w:r w:rsidR="00530943" w:rsidRPr="00F42B8F">
        <w:rPr>
          <w:sz w:val="26"/>
          <w:szCs w:val="26"/>
        </w:rPr>
        <w:t xml:space="preserve">The Law on Child Protection protects children in </w:t>
      </w:r>
      <w:r w:rsidR="00530943" w:rsidRPr="00F42B8F">
        <w:rPr>
          <w:b/>
          <w:sz w:val="26"/>
          <w:szCs w:val="26"/>
        </w:rPr>
        <w:t>school</w:t>
      </w:r>
      <w:r>
        <w:rPr>
          <w:b/>
          <w:sz w:val="26"/>
          <w:szCs w:val="26"/>
        </w:rPr>
        <w:t>s</w:t>
      </w:r>
      <w:r w:rsidR="00530943" w:rsidRPr="00F42B8F">
        <w:rPr>
          <w:sz w:val="26"/>
          <w:szCs w:val="26"/>
        </w:rPr>
        <w:t xml:space="preserve"> from “violence and abuse from teachers, school managers, and school mates both in the school and other educational institutions” (article 54) but </w:t>
      </w:r>
      <w:r>
        <w:rPr>
          <w:sz w:val="26"/>
          <w:szCs w:val="26"/>
        </w:rPr>
        <w:t xml:space="preserve">it </w:t>
      </w:r>
      <w:r w:rsidR="00530943" w:rsidRPr="00F42B8F">
        <w:rPr>
          <w:sz w:val="26"/>
          <w:szCs w:val="26"/>
        </w:rPr>
        <w:t>does not explicitly prohibit corporal punishment. The Act on the National Education System (2003) is silent on the issue of corporal punishment.</w:t>
      </w:r>
    </w:p>
    <w:p w:rsidR="00530943" w:rsidRPr="00F42B8F" w:rsidRDefault="00F42B8F" w:rsidP="00530943">
      <w:pPr>
        <w:spacing w:after="120"/>
        <w:rPr>
          <w:rFonts w:eastAsia="Calibri"/>
          <w:sz w:val="26"/>
          <w:szCs w:val="26"/>
        </w:rPr>
      </w:pPr>
      <w:r>
        <w:rPr>
          <w:sz w:val="26"/>
          <w:szCs w:val="26"/>
        </w:rPr>
        <w:t xml:space="preserve">2.5 </w:t>
      </w:r>
      <w:r w:rsidRPr="00F42B8F">
        <w:rPr>
          <w:sz w:val="26"/>
          <w:szCs w:val="26"/>
        </w:rPr>
        <w:t xml:space="preserve">In the </w:t>
      </w:r>
      <w:r w:rsidRPr="00F42B8F">
        <w:rPr>
          <w:b/>
          <w:sz w:val="26"/>
          <w:szCs w:val="26"/>
        </w:rPr>
        <w:t>penal system</w:t>
      </w:r>
      <w:r w:rsidRPr="00F42B8F">
        <w:rPr>
          <w:sz w:val="26"/>
          <w:szCs w:val="26"/>
        </w:rPr>
        <w:t>, c</w:t>
      </w:r>
      <w:r w:rsidR="00530943" w:rsidRPr="00F42B8F">
        <w:rPr>
          <w:sz w:val="26"/>
          <w:szCs w:val="26"/>
        </w:rPr>
        <w:t xml:space="preserve">orporal punishment is unlawful as a sentence for crime under provisions protecting children from “inhuman punishment” in the Law on Human Rights (article 66) and the Child Protection Law (article 16). However, </w:t>
      </w:r>
      <w:r w:rsidR="00530943" w:rsidRPr="00F42B8F">
        <w:rPr>
          <w:i/>
          <w:sz w:val="26"/>
          <w:szCs w:val="26"/>
        </w:rPr>
        <w:t>Shari’a</w:t>
      </w:r>
      <w:r w:rsidR="00530943" w:rsidRPr="00F42B8F">
        <w:rPr>
          <w:sz w:val="26"/>
          <w:szCs w:val="26"/>
        </w:rPr>
        <w:t xml:space="preserve"> law has been implemented in the province of Aceh and other areas, including flogging and stoning as punishments for crime. Following the enactment of the Special Autonomy Law in Aceh in 2001, the province passed a series of bylaws to implement </w:t>
      </w:r>
      <w:r w:rsidR="00530943" w:rsidRPr="00F42B8F">
        <w:rPr>
          <w:i/>
          <w:sz w:val="26"/>
          <w:szCs w:val="26"/>
        </w:rPr>
        <w:t>Shari’a</w:t>
      </w:r>
      <w:r w:rsidR="00530943" w:rsidRPr="00F42B8F">
        <w:rPr>
          <w:sz w:val="26"/>
          <w:szCs w:val="26"/>
        </w:rPr>
        <w:t xml:space="preserve"> law, including caning for offences such as adultery, consuming alcohol, unmarried couples being alone (khalwat) and, for Muslims, eating, drinking or selling food during sunlight hours in Ramadan. In 2009, the Aceh parliament passed the Aceh Criminal Code (Qanun Hukum Jinayat) which punishes adultery and premarital or homosexual sex with caning or stoning to death.</w:t>
      </w:r>
      <w:r w:rsidR="00530943" w:rsidRPr="00F42B8F">
        <w:rPr>
          <w:rFonts w:eastAsia="Calibri"/>
          <w:sz w:val="26"/>
          <w:szCs w:val="26"/>
        </w:rPr>
        <w:t xml:space="preserve"> The </w:t>
      </w:r>
      <w:r w:rsidRPr="00F42B8F">
        <w:rPr>
          <w:rFonts w:eastAsia="Calibri"/>
          <w:sz w:val="26"/>
          <w:szCs w:val="26"/>
        </w:rPr>
        <w:t xml:space="preserve">recently enacted </w:t>
      </w:r>
      <w:r w:rsidR="00530943" w:rsidRPr="00F42B8F">
        <w:rPr>
          <w:rFonts w:eastAsia="Calibri"/>
          <w:sz w:val="26"/>
          <w:szCs w:val="26"/>
        </w:rPr>
        <w:t xml:space="preserve">Law on the Juvenile Justice System (2012) states that children in conflict with the law have a right to “freedom from torture and other cruel, inhuman or degrading punishment or treatment” (article 3, unofficial translation): we have yet to ascertain its applicability in relation to </w:t>
      </w:r>
      <w:r w:rsidR="00530943" w:rsidRPr="00F42B8F">
        <w:rPr>
          <w:rFonts w:eastAsia="Calibri"/>
          <w:i/>
          <w:sz w:val="26"/>
          <w:szCs w:val="26"/>
        </w:rPr>
        <w:t>Shari’a</w:t>
      </w:r>
      <w:r w:rsidR="00530943" w:rsidRPr="00F42B8F">
        <w:rPr>
          <w:rFonts w:eastAsia="Calibri"/>
          <w:sz w:val="26"/>
          <w:szCs w:val="26"/>
        </w:rPr>
        <w:t xml:space="preserve"> law.</w:t>
      </w:r>
    </w:p>
    <w:p w:rsidR="00530943" w:rsidRPr="00F42B8F" w:rsidRDefault="00F42B8F" w:rsidP="00530943">
      <w:pPr>
        <w:spacing w:after="120"/>
        <w:rPr>
          <w:sz w:val="26"/>
          <w:szCs w:val="26"/>
        </w:rPr>
      </w:pPr>
      <w:r>
        <w:rPr>
          <w:sz w:val="26"/>
          <w:szCs w:val="26"/>
        </w:rPr>
        <w:t xml:space="preserve">2.6 </w:t>
      </w:r>
      <w:r w:rsidR="00530943" w:rsidRPr="00F42B8F">
        <w:rPr>
          <w:sz w:val="26"/>
          <w:szCs w:val="26"/>
        </w:rPr>
        <w:t>There is no explicit prohibition of corporal punishment as a disciplinary measure in penal institutions. The Law on Human Rights states that children deprived of their liberty have the right to “humane treatment, as befits the personal development needs of his age” (article 66); the protections from violence and cruel treatment in the Law on the Juvenile Justice System, the Constitution and the Law on Child Protection also apply (see above). Protection from cruel and degrading treatment is provided for in the Regulations of the Minister of Justice No. M.04-</w:t>
      </w:r>
      <w:r w:rsidR="00530943" w:rsidRPr="00F42B8F">
        <w:rPr>
          <w:sz w:val="26"/>
          <w:szCs w:val="26"/>
        </w:rPr>
        <w:lastRenderedPageBreak/>
        <w:t>UM.01.06 (1983) on Procedures for Placement of Prisoners and the Discipline of Prisoners in Correctional Facilities and No. M.04-UM.01.06 (1983) on Detention and Care of Detainees, and Order of State Detention Center: we have no further details of the provisions, and they appear to be guidance only.</w:t>
      </w:r>
    </w:p>
    <w:p w:rsidR="00530943" w:rsidRPr="00F42B8F" w:rsidRDefault="00F42B8F" w:rsidP="00530943">
      <w:pPr>
        <w:spacing w:after="120"/>
        <w:rPr>
          <w:sz w:val="26"/>
          <w:szCs w:val="26"/>
        </w:rPr>
      </w:pPr>
      <w:r>
        <w:rPr>
          <w:sz w:val="26"/>
          <w:szCs w:val="26"/>
        </w:rPr>
        <w:t xml:space="preserve">2.7 </w:t>
      </w:r>
      <w:r w:rsidR="00530943" w:rsidRPr="00F42B8F">
        <w:rPr>
          <w:sz w:val="26"/>
          <w:szCs w:val="26"/>
        </w:rPr>
        <w:t xml:space="preserve">There is no explicit prohibition of corporal punishment in </w:t>
      </w:r>
      <w:r w:rsidR="00530943" w:rsidRPr="00F42B8F">
        <w:rPr>
          <w:b/>
          <w:sz w:val="26"/>
          <w:szCs w:val="26"/>
        </w:rPr>
        <w:t>alternative care settings</w:t>
      </w:r>
      <w:r w:rsidR="00530943" w:rsidRPr="00F42B8F">
        <w:rPr>
          <w:sz w:val="26"/>
          <w:szCs w:val="26"/>
        </w:rPr>
        <w:t>. National Standards of Care for Child Welfare Institutions, adopted under Ministry of Social Affairs regulation 30/HUK/2011, state that corporal punishment should not be used but there is no prohibition in law.</w:t>
      </w:r>
    </w:p>
    <w:p w:rsidR="00617E47" w:rsidRPr="00F42B8F" w:rsidRDefault="00617E47" w:rsidP="00617E47">
      <w:pPr>
        <w:spacing w:after="120"/>
        <w:rPr>
          <w:sz w:val="26"/>
          <w:szCs w:val="26"/>
          <w:lang w:val="en-US"/>
        </w:rPr>
      </w:pPr>
    </w:p>
    <w:p w:rsidR="00F42B8F" w:rsidRPr="00617E47" w:rsidRDefault="00A61984" w:rsidP="00F42B8F">
      <w:pPr>
        <w:spacing w:after="120"/>
        <w:rPr>
          <w:sz w:val="26"/>
          <w:szCs w:val="26"/>
        </w:rPr>
      </w:pPr>
      <w:r>
        <w:rPr>
          <w:b/>
          <w:sz w:val="28"/>
          <w:szCs w:val="28"/>
          <w:lang w:val="en-US"/>
        </w:rPr>
        <w:t xml:space="preserve">3 </w:t>
      </w:r>
      <w:r w:rsidR="00F42B8F">
        <w:rPr>
          <w:b/>
          <w:sz w:val="28"/>
          <w:szCs w:val="28"/>
          <w:lang w:val="en-US"/>
        </w:rPr>
        <w:t>Prevalence of corporal punishment of children in Indonesia</w:t>
      </w:r>
    </w:p>
    <w:p w:rsidR="00F42B8F" w:rsidRPr="00F42B8F" w:rsidRDefault="00F42B8F" w:rsidP="00F42B8F">
      <w:pPr>
        <w:spacing w:after="120"/>
        <w:rPr>
          <w:sz w:val="26"/>
          <w:szCs w:val="26"/>
        </w:rPr>
      </w:pPr>
      <w:r>
        <w:rPr>
          <w:sz w:val="26"/>
          <w:szCs w:val="26"/>
        </w:rPr>
        <w:t xml:space="preserve">3.1 </w:t>
      </w:r>
      <w:r w:rsidRPr="00F42B8F">
        <w:rPr>
          <w:sz w:val="26"/>
          <w:szCs w:val="26"/>
        </w:rPr>
        <w:t>Research indicates that corporal punishment of children is widespread in homes and other settings in Indonesia. In large scale comparative research covering eight countries in the region, physical punishment reported by children in Indonesia included being hit with implements, kicking, slapping, ear twisting, hair pulling, pinching, throwing object. Of those who were hit, 32.4% were hit with an implement, 23.6% slapped with the hand, 23.6% punched with the fist, and 20.4% kicked; of those children who mentioned body parts where they were hit, 73% reported being hit on the head and neck, 75% on the limbs, 10% on the back, 15% chest and 15% stomach.</w:t>
      </w:r>
      <w:r w:rsidRPr="00F42B8F">
        <w:rPr>
          <w:rStyle w:val="FootnoteReference"/>
          <w:sz w:val="26"/>
          <w:szCs w:val="26"/>
        </w:rPr>
        <w:footnoteReference w:id="2"/>
      </w:r>
    </w:p>
    <w:p w:rsidR="00F42B8F" w:rsidRPr="00F42B8F" w:rsidRDefault="00F42B8F" w:rsidP="00F42B8F">
      <w:pPr>
        <w:spacing w:after="120"/>
        <w:rPr>
          <w:sz w:val="26"/>
          <w:szCs w:val="26"/>
        </w:rPr>
      </w:pPr>
      <w:r>
        <w:rPr>
          <w:sz w:val="26"/>
          <w:szCs w:val="26"/>
        </w:rPr>
        <w:t xml:space="preserve">3.2 </w:t>
      </w:r>
      <w:r w:rsidRPr="00F42B8F">
        <w:rPr>
          <w:sz w:val="26"/>
          <w:szCs w:val="26"/>
        </w:rPr>
        <w:t>Research in schools in North Maluku found that nearly a quarter of the 541 children surveyed reported having been hit by the teacher on their legs, hands, ears, cheeks and buttocks, once or more than once, the teachers using their hands, or a stick, ruler or bamboo swathe.</w:t>
      </w:r>
      <w:r w:rsidRPr="00F42B8F">
        <w:rPr>
          <w:rStyle w:val="FootnoteReference"/>
          <w:sz w:val="26"/>
          <w:szCs w:val="26"/>
        </w:rPr>
        <w:footnoteReference w:id="3"/>
      </w:r>
      <w:r w:rsidRPr="00F42B8F">
        <w:rPr>
          <w:sz w:val="26"/>
          <w:szCs w:val="26"/>
        </w:rPr>
        <w:t xml:space="preserve"> The first comprehensive research into the quality of care in childcare institutions in Indonesia – a survey conducted by the Social Services Ministry, Save the Children and UNICEF of 36 childcare institutions in six provinces plus a government owned orphanage, most run privately by religious organisations – found that physical and psychological punishment was widespread, often routine and accepted as a part of daily life by both children and staff. Pinching children’s stomachs and caning them were the most common forms of punishment; shaving of heads and throwing dirty water on children were also common for repeat “offenders”.</w:t>
      </w:r>
      <w:r w:rsidRPr="00F42B8F">
        <w:rPr>
          <w:rStyle w:val="FootnoteReference"/>
          <w:sz w:val="26"/>
          <w:szCs w:val="26"/>
        </w:rPr>
        <w:footnoteReference w:id="4"/>
      </w:r>
    </w:p>
    <w:p w:rsidR="00175E8F" w:rsidRPr="00F42B8F" w:rsidRDefault="00175E8F" w:rsidP="00175E8F">
      <w:pPr>
        <w:autoSpaceDE w:val="0"/>
        <w:autoSpaceDN w:val="0"/>
        <w:adjustRightInd w:val="0"/>
        <w:spacing w:after="120"/>
        <w:rPr>
          <w:sz w:val="26"/>
          <w:szCs w:val="26"/>
        </w:rPr>
      </w:pPr>
    </w:p>
    <w:p w:rsidR="00487765" w:rsidRPr="00D43906" w:rsidRDefault="00F42B8F" w:rsidP="00D43906">
      <w:pPr>
        <w:spacing w:after="120"/>
        <w:rPr>
          <w:sz w:val="28"/>
          <w:szCs w:val="28"/>
        </w:rPr>
      </w:pPr>
      <w:r>
        <w:rPr>
          <w:b/>
          <w:sz w:val="28"/>
          <w:szCs w:val="28"/>
        </w:rPr>
        <w:t>4</w:t>
      </w:r>
      <w:r w:rsidR="00926887">
        <w:rPr>
          <w:b/>
          <w:sz w:val="28"/>
          <w:szCs w:val="28"/>
        </w:rPr>
        <w:t xml:space="preserve"> </w:t>
      </w:r>
      <w:r w:rsidR="00487765" w:rsidRPr="00D43906">
        <w:rPr>
          <w:b/>
          <w:sz w:val="28"/>
          <w:szCs w:val="28"/>
        </w:rPr>
        <w:t>Recommendations by human rights treaty monitoring bodies</w:t>
      </w:r>
      <w:r w:rsidR="00E21EB3">
        <w:rPr>
          <w:b/>
          <w:sz w:val="28"/>
          <w:szCs w:val="28"/>
        </w:rPr>
        <w:t xml:space="preserve"> and during the Universal Periodic Review</w:t>
      </w:r>
      <w:bookmarkStart w:id="0" w:name="_GoBack"/>
      <w:bookmarkEnd w:id="0"/>
    </w:p>
    <w:p w:rsidR="00F42B8F" w:rsidRPr="00F42B8F" w:rsidRDefault="00F42B8F"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sidRPr="00F42B8F">
        <w:rPr>
          <w:bCs/>
          <w:sz w:val="26"/>
          <w:szCs w:val="26"/>
        </w:rPr>
        <w:t>4</w:t>
      </w:r>
      <w:r w:rsidR="00926887" w:rsidRPr="00F42B8F">
        <w:rPr>
          <w:bCs/>
          <w:sz w:val="26"/>
          <w:szCs w:val="26"/>
        </w:rPr>
        <w:t xml:space="preserve">.1 </w:t>
      </w:r>
      <w:r w:rsidRPr="00F42B8F">
        <w:rPr>
          <w:bCs/>
          <w:sz w:val="26"/>
          <w:szCs w:val="26"/>
        </w:rPr>
        <w:t>In 2004, t</w:t>
      </w:r>
      <w:r w:rsidR="00562503" w:rsidRPr="00F42B8F">
        <w:rPr>
          <w:bCs/>
          <w:sz w:val="26"/>
          <w:szCs w:val="26"/>
        </w:rPr>
        <w:t xml:space="preserve">he </w:t>
      </w:r>
      <w:r w:rsidR="00562503" w:rsidRPr="00F42B8F">
        <w:rPr>
          <w:b/>
          <w:bCs/>
          <w:sz w:val="26"/>
          <w:szCs w:val="26"/>
        </w:rPr>
        <w:t>Committee on the Rights of the Child</w:t>
      </w:r>
      <w:r w:rsidR="00562503" w:rsidRPr="00F42B8F">
        <w:rPr>
          <w:bCs/>
          <w:sz w:val="26"/>
          <w:szCs w:val="26"/>
        </w:rPr>
        <w:t xml:space="preserve"> </w:t>
      </w:r>
      <w:r w:rsidRPr="00F42B8F">
        <w:rPr>
          <w:bCs/>
          <w:sz w:val="26"/>
          <w:szCs w:val="26"/>
        </w:rPr>
        <w:t>expressed deep concern at the widespread acceptance, use and legality of corporal punishment and recommended its prohibition in all settings, including the family, school and care settings.</w:t>
      </w:r>
      <w:r w:rsidRPr="00F42B8F">
        <w:rPr>
          <w:rStyle w:val="FootnoteReference"/>
          <w:bCs/>
          <w:sz w:val="26"/>
          <w:szCs w:val="26"/>
        </w:rPr>
        <w:footnoteReference w:id="5"/>
      </w:r>
    </w:p>
    <w:p w:rsidR="00F42B8F" w:rsidRPr="00F42B8F" w:rsidRDefault="00F42B8F"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r w:rsidRPr="00F42B8F">
        <w:rPr>
          <w:bCs/>
          <w:sz w:val="26"/>
          <w:szCs w:val="26"/>
        </w:rPr>
        <w:lastRenderedPageBreak/>
        <w:t>4</w:t>
      </w:r>
      <w:r w:rsidR="00A61984" w:rsidRPr="00F42B8F">
        <w:rPr>
          <w:bCs/>
          <w:sz w:val="26"/>
          <w:szCs w:val="26"/>
        </w:rPr>
        <w:t xml:space="preserve">.2 </w:t>
      </w:r>
      <w:r w:rsidR="00617E47" w:rsidRPr="00F42B8F">
        <w:rPr>
          <w:bCs/>
          <w:sz w:val="26"/>
          <w:szCs w:val="26"/>
        </w:rPr>
        <w:t xml:space="preserve">In </w:t>
      </w:r>
      <w:r w:rsidRPr="00F42B8F">
        <w:rPr>
          <w:bCs/>
          <w:sz w:val="26"/>
          <w:szCs w:val="26"/>
        </w:rPr>
        <w:t>2008</w:t>
      </w:r>
      <w:r w:rsidR="00617E47" w:rsidRPr="00F42B8F">
        <w:rPr>
          <w:bCs/>
          <w:sz w:val="26"/>
          <w:szCs w:val="26"/>
        </w:rPr>
        <w:t xml:space="preserve">, the </w:t>
      </w:r>
      <w:r w:rsidR="00617E47" w:rsidRPr="00F42B8F">
        <w:rPr>
          <w:b/>
          <w:bCs/>
          <w:sz w:val="26"/>
          <w:szCs w:val="26"/>
        </w:rPr>
        <w:t>Committee Against Torture</w:t>
      </w:r>
      <w:r w:rsidR="00617E47" w:rsidRPr="00F42B8F">
        <w:rPr>
          <w:bCs/>
          <w:sz w:val="26"/>
          <w:szCs w:val="26"/>
        </w:rPr>
        <w:t xml:space="preserve"> </w:t>
      </w:r>
      <w:r w:rsidRPr="00F42B8F">
        <w:rPr>
          <w:bCs/>
          <w:sz w:val="26"/>
          <w:szCs w:val="26"/>
        </w:rPr>
        <w:t>expressed concern at corporal punishment as a sentence for crime and in prisons and recommended prohibition of all corporal punishment of children.</w:t>
      </w:r>
      <w:r w:rsidRPr="00F42B8F">
        <w:rPr>
          <w:rStyle w:val="FootnoteReference"/>
          <w:bCs/>
          <w:sz w:val="26"/>
          <w:szCs w:val="26"/>
        </w:rPr>
        <w:footnoteReference w:id="6"/>
      </w:r>
    </w:p>
    <w:p w:rsidR="00F42B8F" w:rsidRPr="00F42B8F" w:rsidRDefault="00F42B8F" w:rsidP="00F42B8F">
      <w:pPr>
        <w:spacing w:after="120"/>
        <w:rPr>
          <w:sz w:val="26"/>
          <w:szCs w:val="26"/>
        </w:rPr>
      </w:pPr>
      <w:r w:rsidRPr="00F42B8F">
        <w:rPr>
          <w:bCs/>
          <w:sz w:val="26"/>
          <w:szCs w:val="26"/>
        </w:rPr>
        <w:t>4.3</w:t>
      </w:r>
      <w:r w:rsidR="00DA3E1D" w:rsidRPr="00F42B8F">
        <w:rPr>
          <w:bCs/>
          <w:sz w:val="26"/>
          <w:szCs w:val="26"/>
        </w:rPr>
        <w:t xml:space="preserve"> During the </w:t>
      </w:r>
      <w:r w:rsidR="00DB1A94" w:rsidRPr="00F42B8F">
        <w:rPr>
          <w:b/>
          <w:bCs/>
          <w:sz w:val="26"/>
          <w:szCs w:val="26"/>
        </w:rPr>
        <w:t>Universal Periodic Review</w:t>
      </w:r>
      <w:r w:rsidR="00DA3E1D" w:rsidRPr="00F42B8F">
        <w:rPr>
          <w:bCs/>
          <w:sz w:val="26"/>
          <w:szCs w:val="26"/>
        </w:rPr>
        <w:t xml:space="preserve"> of </w:t>
      </w:r>
      <w:r w:rsidRPr="00F42B8F">
        <w:rPr>
          <w:bCs/>
          <w:sz w:val="26"/>
          <w:szCs w:val="26"/>
        </w:rPr>
        <w:t xml:space="preserve">Indonesia </w:t>
      </w:r>
      <w:r w:rsidR="00DA3E1D" w:rsidRPr="00F42B8F">
        <w:rPr>
          <w:bCs/>
          <w:sz w:val="26"/>
          <w:szCs w:val="26"/>
        </w:rPr>
        <w:t xml:space="preserve">in </w:t>
      </w:r>
      <w:r w:rsidR="00617E47" w:rsidRPr="00F42B8F">
        <w:rPr>
          <w:bCs/>
          <w:sz w:val="26"/>
          <w:szCs w:val="26"/>
        </w:rPr>
        <w:t>2012</w:t>
      </w:r>
      <w:r w:rsidR="00DA3E1D" w:rsidRPr="00F42B8F">
        <w:rPr>
          <w:bCs/>
          <w:sz w:val="26"/>
          <w:szCs w:val="26"/>
        </w:rPr>
        <w:t>,</w:t>
      </w:r>
      <w:r w:rsidRPr="00F42B8F">
        <w:rPr>
          <w:bCs/>
          <w:sz w:val="26"/>
          <w:szCs w:val="26"/>
        </w:rPr>
        <w:t xml:space="preserve"> the Government </w:t>
      </w:r>
      <w:r w:rsidRPr="00F42B8F">
        <w:rPr>
          <w:sz w:val="26"/>
          <w:szCs w:val="26"/>
        </w:rPr>
        <w:t>rejected the recommendation abolish all corporal punishment, stating that “corporal punishment of children is not an issue as such practices are not tolerated in Indonesia both legally and culturally”.</w:t>
      </w:r>
      <w:r w:rsidRPr="00F42B8F">
        <w:rPr>
          <w:rStyle w:val="FootnoteReference"/>
          <w:sz w:val="26"/>
          <w:szCs w:val="26"/>
        </w:rPr>
        <w:footnoteReference w:id="7"/>
      </w:r>
    </w:p>
    <w:p w:rsidR="00DA3E1D" w:rsidRPr="00F42B8F" w:rsidRDefault="00DA3E1D" w:rsidP="000608D1">
      <w:pPr>
        <w:pStyle w:val="BodyText1"/>
        <w:tabs>
          <w:tab w:val="left" w:pos="8244"/>
          <w:tab w:val="left" w:pos="9160"/>
          <w:tab w:val="left" w:pos="10076"/>
          <w:tab w:val="left" w:pos="10992"/>
          <w:tab w:val="left" w:pos="11908"/>
          <w:tab w:val="left" w:pos="12824"/>
          <w:tab w:val="left" w:pos="13740"/>
          <w:tab w:val="left" w:pos="14656"/>
        </w:tabs>
        <w:spacing w:after="120"/>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191DFC"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031C51" w:rsidP="00172252">
      <w:pPr>
        <w:autoSpaceDE w:val="0"/>
        <w:autoSpaceDN w:val="0"/>
        <w:adjustRightInd w:val="0"/>
        <w:rPr>
          <w:rFonts w:eastAsia="Calibri"/>
          <w:bCs/>
          <w:i/>
        </w:rPr>
      </w:pPr>
      <w:r>
        <w:rPr>
          <w:rFonts w:eastAsia="Calibri"/>
          <w:bCs/>
          <w:i/>
        </w:rPr>
        <w:t xml:space="preserve">December </w:t>
      </w:r>
      <w:r w:rsidR="00C81CF0">
        <w:rPr>
          <w:rFonts w:eastAsia="Calibri"/>
          <w:bCs/>
          <w:i/>
        </w:rPr>
        <w:t>2012</w:t>
      </w:r>
    </w:p>
    <w:sectPr w:rsidR="003574DA" w:rsidRPr="00172252" w:rsidSect="00215B67">
      <w:footerReference w:type="even" r:id="rId13"/>
      <w:footerReference w:type="default" r:id="rId14"/>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DFC" w:rsidRDefault="00191DFC">
      <w:r>
        <w:separator/>
      </w:r>
    </w:p>
  </w:endnote>
  <w:endnote w:type="continuationSeparator" w:id="0">
    <w:p w:rsidR="00191DFC" w:rsidRDefault="0019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1EB3">
      <w:rPr>
        <w:rStyle w:val="PageNumber"/>
        <w:noProof/>
      </w:rPr>
      <w:t>3</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DFC" w:rsidRDefault="00191DFC">
      <w:r>
        <w:separator/>
      </w:r>
    </w:p>
  </w:footnote>
  <w:footnote w:type="continuationSeparator" w:id="0">
    <w:p w:rsidR="00191DFC" w:rsidRDefault="00191DFC">
      <w:r>
        <w:continuationSeparator/>
      </w:r>
    </w:p>
  </w:footnote>
  <w:footnote w:id="1">
    <w:p w:rsidR="00F42B8F" w:rsidRPr="00F42B8F" w:rsidRDefault="00F42B8F">
      <w:pPr>
        <w:pStyle w:val="FootnoteText"/>
        <w:rPr>
          <w:lang w:val="en-GB"/>
        </w:rPr>
      </w:pPr>
      <w:r>
        <w:rPr>
          <w:rStyle w:val="FootnoteReference"/>
        </w:rPr>
        <w:footnoteRef/>
      </w:r>
      <w:r w:rsidRPr="00F42B8F">
        <w:rPr>
          <w:lang w:val="en-GB"/>
        </w:rPr>
        <w:t xml:space="preserve"> </w:t>
      </w:r>
      <w:r>
        <w:rPr>
          <w:lang w:val="en-GB"/>
        </w:rPr>
        <w:t xml:space="preserve">[2007], CRC/C/IDN/3-4, Third/fourth state party report to the Committee on the Rights of the Child, </w:t>
      </w:r>
      <w:r w:rsidRPr="00F42B8F">
        <w:rPr>
          <w:lang w:val="en-GB"/>
        </w:rPr>
        <w:t>para. 76</w:t>
      </w:r>
    </w:p>
  </w:footnote>
  <w:footnote w:id="2">
    <w:p w:rsidR="00F42B8F" w:rsidRPr="00F42B8F" w:rsidRDefault="00F42B8F">
      <w:pPr>
        <w:pStyle w:val="FootnoteText"/>
        <w:rPr>
          <w:lang w:val="en-GB"/>
        </w:rPr>
      </w:pPr>
      <w:r>
        <w:rPr>
          <w:rStyle w:val="FootnoteReference"/>
        </w:rPr>
        <w:footnoteRef/>
      </w:r>
      <w:r w:rsidRPr="00F42B8F">
        <w:rPr>
          <w:lang w:val="en-GB"/>
        </w:rPr>
        <w:t xml:space="preserve"> Beazley, H. et al. (2006), </w:t>
      </w:r>
      <w:r w:rsidRPr="00F42B8F">
        <w:rPr>
          <w:i/>
          <w:lang w:val="en-GB"/>
        </w:rPr>
        <w:t>What Children Say: Results of comparative research on the physical and emotional punishment of children in Southeast Asia and Pacific, 2005</w:t>
      </w:r>
      <w:r w:rsidRPr="00F42B8F">
        <w:rPr>
          <w:lang w:val="en-GB"/>
        </w:rPr>
        <w:t>, Stockholm, Save the Children Sweden</w:t>
      </w:r>
    </w:p>
  </w:footnote>
  <w:footnote w:id="3">
    <w:p w:rsidR="00F42B8F" w:rsidRPr="00F42B8F" w:rsidRDefault="00F42B8F">
      <w:pPr>
        <w:pStyle w:val="FootnoteText"/>
        <w:rPr>
          <w:lang w:val="en-GB"/>
        </w:rPr>
      </w:pPr>
      <w:r>
        <w:rPr>
          <w:rStyle w:val="FootnoteReference"/>
        </w:rPr>
        <w:footnoteRef/>
      </w:r>
      <w:r w:rsidRPr="00F42B8F">
        <w:rPr>
          <w:lang w:val="en-GB"/>
        </w:rPr>
        <w:t xml:space="preserve"> Save the Children UK, Indonesia (2004), “Violence in schools: report on a survey conducted by the Save the Children Education Programme in North Maluku”, unpublished, cited in Save the Children (2005), </w:t>
      </w:r>
      <w:r w:rsidRPr="00F42B8F">
        <w:rPr>
          <w:i/>
          <w:lang w:val="en-GB"/>
        </w:rPr>
        <w:t>Discipline and punishment of children: a rights-based review of laws, attitudes and practices in East Asia and the Pacific – Save the Children Sweden Southeast Asia and the Pacific, regional submission to the UN Secretary General’s Global Study on Violence against Children</w:t>
      </w:r>
      <w:r w:rsidRPr="00F42B8F">
        <w:rPr>
          <w:lang w:val="en-GB"/>
        </w:rPr>
        <w:t>, Save the Children Sweden</w:t>
      </w:r>
    </w:p>
  </w:footnote>
  <w:footnote w:id="4">
    <w:p w:rsidR="00F42B8F" w:rsidRPr="00F42B8F" w:rsidRDefault="00F42B8F">
      <w:pPr>
        <w:pStyle w:val="FootnoteText"/>
        <w:rPr>
          <w:lang w:val="en-GB"/>
        </w:rPr>
      </w:pPr>
      <w:r>
        <w:rPr>
          <w:rStyle w:val="FootnoteReference"/>
        </w:rPr>
        <w:footnoteRef/>
      </w:r>
      <w:r w:rsidRPr="00F42B8F">
        <w:rPr>
          <w:lang w:val="en-GB"/>
        </w:rPr>
        <w:t xml:space="preserve"> Martin, F. &amp; Sudjarat, T. (2007), </w:t>
      </w:r>
      <w:r w:rsidRPr="00F42B8F">
        <w:rPr>
          <w:i/>
          <w:lang w:val="en-GB"/>
        </w:rPr>
        <w:t xml:space="preserve">Someone That Matters: </w:t>
      </w:r>
      <w:r w:rsidRPr="00F42B8F">
        <w:rPr>
          <w:i/>
          <w:iCs/>
          <w:lang w:val="en-GB"/>
        </w:rPr>
        <w:t>The Quality of Care in Childcare Institutions in Indonesia</w:t>
      </w:r>
      <w:r w:rsidRPr="00F42B8F">
        <w:rPr>
          <w:iCs/>
          <w:lang w:val="en-GB"/>
        </w:rPr>
        <w:t>, Jakarta: Save the Children, UNICEF &amp; DEPSOS RI</w:t>
      </w:r>
    </w:p>
  </w:footnote>
  <w:footnote w:id="5">
    <w:p w:rsidR="00F42B8F" w:rsidRPr="00F42B8F" w:rsidRDefault="00F42B8F">
      <w:pPr>
        <w:pStyle w:val="FootnoteText"/>
        <w:rPr>
          <w:lang w:val="en-GB"/>
        </w:rPr>
      </w:pPr>
      <w:r>
        <w:rPr>
          <w:rStyle w:val="FootnoteReference"/>
        </w:rPr>
        <w:footnoteRef/>
      </w:r>
      <w:r w:rsidRPr="00F42B8F">
        <w:rPr>
          <w:lang w:val="en-GB"/>
        </w:rPr>
        <w:t xml:space="preserve"> 26 February 2004, CRC/C/15/Add.223, Concluding observations on second report, paras. 43, 44 and 61</w:t>
      </w:r>
    </w:p>
  </w:footnote>
  <w:footnote w:id="6">
    <w:p w:rsidR="00F42B8F" w:rsidRPr="00F42B8F" w:rsidRDefault="00F42B8F">
      <w:pPr>
        <w:pStyle w:val="FootnoteText"/>
        <w:rPr>
          <w:lang w:val="en-GB"/>
        </w:rPr>
      </w:pPr>
      <w:r>
        <w:rPr>
          <w:rStyle w:val="FootnoteReference"/>
        </w:rPr>
        <w:footnoteRef/>
      </w:r>
      <w:r w:rsidRPr="00F42B8F">
        <w:rPr>
          <w:lang w:val="en-GB"/>
        </w:rPr>
        <w:t xml:space="preserve"> 2 July 2008, CAT/C/IDN/CO/2, Concluding observations on second report, paras. 15 and 17</w:t>
      </w:r>
    </w:p>
  </w:footnote>
  <w:footnote w:id="7">
    <w:p w:rsidR="00F42B8F" w:rsidRPr="00F42B8F" w:rsidRDefault="00F42B8F">
      <w:pPr>
        <w:pStyle w:val="FootnoteText"/>
        <w:rPr>
          <w:lang w:val="en-GB"/>
        </w:rPr>
      </w:pPr>
      <w:r>
        <w:rPr>
          <w:rStyle w:val="FootnoteReference"/>
        </w:rPr>
        <w:footnoteRef/>
      </w:r>
      <w:r w:rsidRPr="00F42B8F">
        <w:rPr>
          <w:lang w:val="en-GB"/>
        </w:rPr>
        <w:t xml:space="preserve"> </w:t>
      </w:r>
      <w:r>
        <w:rPr>
          <w:lang w:val="en-GB"/>
        </w:rPr>
        <w:t xml:space="preserve">5 July 2012, </w:t>
      </w:r>
      <w:r w:rsidRPr="00F42B8F">
        <w:rPr>
          <w:lang w:val="en-GB"/>
        </w:rPr>
        <w:t xml:space="preserve">A/HRC/21/7, Report of the Working Group, paras. 108(75); </w:t>
      </w:r>
      <w:r>
        <w:rPr>
          <w:lang w:val="en-GB"/>
        </w:rPr>
        <w:t xml:space="preserve">5 September 2012, </w:t>
      </w:r>
      <w:r w:rsidRPr="00F42B8F">
        <w:rPr>
          <w:lang w:val="en-GB"/>
        </w:rPr>
        <w:t>A/HRC/21/7/Add.1, Report of the Working Group: Addendum, para. 6(9)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2E30"/>
    <w:rsid w:val="000C275E"/>
    <w:rsid w:val="000F7B99"/>
    <w:rsid w:val="001139BF"/>
    <w:rsid w:val="00124306"/>
    <w:rsid w:val="00136FF9"/>
    <w:rsid w:val="00152E61"/>
    <w:rsid w:val="0015561F"/>
    <w:rsid w:val="001677B7"/>
    <w:rsid w:val="00172252"/>
    <w:rsid w:val="00175E8F"/>
    <w:rsid w:val="00191DFC"/>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C7CCB"/>
    <w:rsid w:val="003E6BE2"/>
    <w:rsid w:val="0042045D"/>
    <w:rsid w:val="00422CC8"/>
    <w:rsid w:val="00434FD1"/>
    <w:rsid w:val="004521BB"/>
    <w:rsid w:val="00454AB9"/>
    <w:rsid w:val="00483852"/>
    <w:rsid w:val="00484137"/>
    <w:rsid w:val="00487765"/>
    <w:rsid w:val="004973A2"/>
    <w:rsid w:val="004B6C67"/>
    <w:rsid w:val="004D5821"/>
    <w:rsid w:val="00512740"/>
    <w:rsid w:val="00530943"/>
    <w:rsid w:val="00536791"/>
    <w:rsid w:val="00562503"/>
    <w:rsid w:val="005637DB"/>
    <w:rsid w:val="005674EC"/>
    <w:rsid w:val="00576EE5"/>
    <w:rsid w:val="00577A8A"/>
    <w:rsid w:val="005A0E91"/>
    <w:rsid w:val="005A49A2"/>
    <w:rsid w:val="005B6842"/>
    <w:rsid w:val="005B79C0"/>
    <w:rsid w:val="005E72AA"/>
    <w:rsid w:val="005F4F6D"/>
    <w:rsid w:val="005F75B4"/>
    <w:rsid w:val="00603F6E"/>
    <w:rsid w:val="00617E47"/>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65FE"/>
    <w:rsid w:val="00842C7D"/>
    <w:rsid w:val="00846E20"/>
    <w:rsid w:val="008556B3"/>
    <w:rsid w:val="0086146C"/>
    <w:rsid w:val="00862AE2"/>
    <w:rsid w:val="0087245D"/>
    <w:rsid w:val="00875A0F"/>
    <w:rsid w:val="0088175D"/>
    <w:rsid w:val="008838DA"/>
    <w:rsid w:val="008863CB"/>
    <w:rsid w:val="008A1867"/>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448F"/>
    <w:rsid w:val="009911D4"/>
    <w:rsid w:val="009A1C42"/>
    <w:rsid w:val="009B565A"/>
    <w:rsid w:val="009C46E9"/>
    <w:rsid w:val="009F7D50"/>
    <w:rsid w:val="00A16BC1"/>
    <w:rsid w:val="00A34AC1"/>
    <w:rsid w:val="00A37A05"/>
    <w:rsid w:val="00A406B6"/>
    <w:rsid w:val="00A44671"/>
    <w:rsid w:val="00A61984"/>
    <w:rsid w:val="00A70D4B"/>
    <w:rsid w:val="00A920B0"/>
    <w:rsid w:val="00A93BB6"/>
    <w:rsid w:val="00AB4CA3"/>
    <w:rsid w:val="00AB5EF2"/>
    <w:rsid w:val="00AD08EC"/>
    <w:rsid w:val="00AF3B28"/>
    <w:rsid w:val="00B04BE6"/>
    <w:rsid w:val="00B0584A"/>
    <w:rsid w:val="00B13D6B"/>
    <w:rsid w:val="00B1456F"/>
    <w:rsid w:val="00B16561"/>
    <w:rsid w:val="00B23E82"/>
    <w:rsid w:val="00B27369"/>
    <w:rsid w:val="00B32E1C"/>
    <w:rsid w:val="00B40580"/>
    <w:rsid w:val="00B4284B"/>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81CF0"/>
    <w:rsid w:val="00C836BC"/>
    <w:rsid w:val="00C95218"/>
    <w:rsid w:val="00C953CB"/>
    <w:rsid w:val="00CA19A1"/>
    <w:rsid w:val="00CC00BA"/>
    <w:rsid w:val="00CD23D9"/>
    <w:rsid w:val="00CD3FC5"/>
    <w:rsid w:val="00CE7D8F"/>
    <w:rsid w:val="00CF533C"/>
    <w:rsid w:val="00D0330A"/>
    <w:rsid w:val="00D11F4F"/>
    <w:rsid w:val="00D17014"/>
    <w:rsid w:val="00D272BF"/>
    <w:rsid w:val="00D30920"/>
    <w:rsid w:val="00D4245C"/>
    <w:rsid w:val="00D42C35"/>
    <w:rsid w:val="00D43906"/>
    <w:rsid w:val="00D44107"/>
    <w:rsid w:val="00D63DBA"/>
    <w:rsid w:val="00D75A0B"/>
    <w:rsid w:val="00D9589C"/>
    <w:rsid w:val="00DA3E1D"/>
    <w:rsid w:val="00DB1A94"/>
    <w:rsid w:val="00DC0E49"/>
    <w:rsid w:val="00DD1845"/>
    <w:rsid w:val="00DE1C45"/>
    <w:rsid w:val="00DF26B7"/>
    <w:rsid w:val="00DF5518"/>
    <w:rsid w:val="00E057B7"/>
    <w:rsid w:val="00E1250A"/>
    <w:rsid w:val="00E14661"/>
    <w:rsid w:val="00E21EB3"/>
    <w:rsid w:val="00E22152"/>
    <w:rsid w:val="00E24852"/>
    <w:rsid w:val="00E3291E"/>
    <w:rsid w:val="00E45A4D"/>
    <w:rsid w:val="00E54E7F"/>
    <w:rsid w:val="00E6155F"/>
    <w:rsid w:val="00E82FFB"/>
    <w:rsid w:val="00EE0C34"/>
    <w:rsid w:val="00EE1583"/>
    <w:rsid w:val="00F00694"/>
    <w:rsid w:val="00F21FEE"/>
    <w:rsid w:val="00F25BAE"/>
    <w:rsid w:val="00F268F9"/>
    <w:rsid w:val="00F30C05"/>
    <w:rsid w:val="00F42B8F"/>
    <w:rsid w:val="00F43B4F"/>
    <w:rsid w:val="00F45C16"/>
    <w:rsid w:val="00F5224A"/>
    <w:rsid w:val="00F55CE0"/>
    <w:rsid w:val="00F64F24"/>
    <w:rsid w:val="00F8124B"/>
    <w:rsid w:val="00F92F82"/>
    <w:rsid w:val="00F96A9C"/>
    <w:rsid w:val="00FB060B"/>
    <w:rsid w:val="00FB1B8F"/>
    <w:rsid w:val="00FC3B6F"/>
    <w:rsid w:val="00FD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7AFF2A-9321-456A-8567-0C527B17A00C}"/>
</file>

<file path=customXml/itemProps2.xml><?xml version="1.0" encoding="utf-8"?>
<ds:datastoreItem xmlns:ds="http://schemas.openxmlformats.org/officeDocument/2006/customXml" ds:itemID="{5DAF5391-28C1-4670-BDE3-A210FA69D3AA}"/>
</file>

<file path=customXml/itemProps3.xml><?xml version="1.0" encoding="utf-8"?>
<ds:datastoreItem xmlns:ds="http://schemas.openxmlformats.org/officeDocument/2006/customXml" ds:itemID="{BA0C05D9-87C5-403A-B4EA-F67FFB1A1BA9}"/>
</file>

<file path=customXml/itemProps4.xml><?xml version="1.0" encoding="utf-8"?>
<ds:datastoreItem xmlns:ds="http://schemas.openxmlformats.org/officeDocument/2006/customXml" ds:itemID="{8D63A988-51DD-4499-A226-B71D6E37A09A}"/>
</file>

<file path=docProps/app.xml><?xml version="1.0" encoding="utf-8"?>
<Properties xmlns="http://schemas.openxmlformats.org/officeDocument/2006/extended-properties" xmlns:vt="http://schemas.openxmlformats.org/officeDocument/2006/docPropsVTypes">
  <Template>Normal</Template>
  <TotalTime>35</TotalTime>
  <Pages>4</Pages>
  <Words>1189</Words>
  <Characters>6778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7952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2004-08-23T14:41:00Z</cp:lastPrinted>
  <dcterms:created xsi:type="dcterms:W3CDTF">2012-12-14T07:17:00Z</dcterms:created>
  <dcterms:modified xsi:type="dcterms:W3CDTF">2012-12-17T11:02:00Z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