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578BD" w14:textId="77777777" w:rsidR="008F4479" w:rsidRPr="008D0FEC" w:rsidRDefault="008F4479" w:rsidP="00426656">
      <w:pPr>
        <w:spacing w:line="360" w:lineRule="auto"/>
        <w:jc w:val="center"/>
        <w:rPr>
          <w:lang w:val="en-GB"/>
        </w:rPr>
      </w:pPr>
    </w:p>
    <w:p w14:paraId="21398F60" w14:textId="77777777" w:rsidR="00711A9A" w:rsidRPr="008D0FEC" w:rsidRDefault="00711A9A" w:rsidP="00426656">
      <w:pPr>
        <w:spacing w:line="360" w:lineRule="auto"/>
        <w:jc w:val="center"/>
        <w:rPr>
          <w:lang w:val="en-GB"/>
        </w:rPr>
      </w:pPr>
    </w:p>
    <w:p w14:paraId="433B025A" w14:textId="77777777" w:rsidR="00711A9A" w:rsidRPr="008D0FEC" w:rsidRDefault="00711A9A" w:rsidP="00426656">
      <w:pPr>
        <w:spacing w:line="360" w:lineRule="auto"/>
        <w:jc w:val="center"/>
        <w:rPr>
          <w:lang w:val="en-GB"/>
        </w:rPr>
      </w:pPr>
    </w:p>
    <w:p w14:paraId="35DA7735" w14:textId="77777777" w:rsidR="00711A9A" w:rsidRPr="008D0FEC" w:rsidRDefault="00711A9A" w:rsidP="00426656">
      <w:pPr>
        <w:spacing w:line="360" w:lineRule="auto"/>
        <w:jc w:val="center"/>
        <w:rPr>
          <w:lang w:val="en-GB"/>
        </w:rPr>
      </w:pPr>
    </w:p>
    <w:p w14:paraId="6239C2DD" w14:textId="3DADAAE9" w:rsidR="00711A9A" w:rsidRPr="008D0FEC" w:rsidRDefault="00711A9A" w:rsidP="00426656">
      <w:pPr>
        <w:spacing w:line="360" w:lineRule="auto"/>
        <w:jc w:val="center"/>
        <w:rPr>
          <w:rFonts w:ascii="Calibri" w:hAnsi="Calibri" w:cs="Calibri"/>
          <w:b/>
          <w:bCs/>
          <w:sz w:val="28"/>
          <w:szCs w:val="28"/>
          <w:lang w:val="en-GB"/>
        </w:rPr>
      </w:pPr>
      <w:r w:rsidRPr="008D0FEC">
        <w:rPr>
          <w:rFonts w:ascii="Calibri" w:hAnsi="Calibri" w:cs="Calibri"/>
          <w:b/>
          <w:bCs/>
          <w:sz w:val="28"/>
          <w:szCs w:val="28"/>
          <w:lang w:val="en-GB"/>
        </w:rPr>
        <w:t>Shadow report</w:t>
      </w:r>
    </w:p>
    <w:p w14:paraId="0AF585AA" w14:textId="2382B067" w:rsidR="00711A9A" w:rsidRPr="008D0FEC" w:rsidRDefault="00506B0C" w:rsidP="00426656">
      <w:pPr>
        <w:spacing w:line="360" w:lineRule="auto"/>
        <w:jc w:val="center"/>
        <w:rPr>
          <w:rFonts w:ascii="Calibri" w:hAnsi="Calibri" w:cs="Calibri"/>
          <w:b/>
          <w:bCs/>
          <w:sz w:val="28"/>
          <w:szCs w:val="28"/>
          <w:lang w:val="en-GB"/>
        </w:rPr>
      </w:pPr>
      <w:r w:rsidRPr="008D0FEC">
        <w:rPr>
          <w:rFonts w:ascii="Calibri" w:hAnsi="Calibri" w:cs="Calibri"/>
          <w:b/>
          <w:bCs/>
          <w:sz w:val="28"/>
          <w:szCs w:val="28"/>
          <w:lang w:val="en-GB"/>
        </w:rPr>
        <w:t>t</w:t>
      </w:r>
      <w:r w:rsidR="00711A9A" w:rsidRPr="008D0FEC">
        <w:rPr>
          <w:rFonts w:ascii="Calibri" w:hAnsi="Calibri" w:cs="Calibri"/>
          <w:b/>
          <w:bCs/>
          <w:sz w:val="28"/>
          <w:szCs w:val="28"/>
          <w:lang w:val="en-GB"/>
        </w:rPr>
        <w:t>o the seventh periodic report of Es</w:t>
      </w:r>
      <w:r w:rsidR="00FD3E9A" w:rsidRPr="008D0FEC">
        <w:rPr>
          <w:rFonts w:ascii="Calibri" w:hAnsi="Calibri" w:cs="Calibri"/>
          <w:b/>
          <w:bCs/>
          <w:sz w:val="28"/>
          <w:szCs w:val="28"/>
          <w:lang w:val="en-GB"/>
        </w:rPr>
        <w:t>t</w:t>
      </w:r>
      <w:r w:rsidR="00711A9A" w:rsidRPr="008D0FEC">
        <w:rPr>
          <w:rFonts w:ascii="Calibri" w:hAnsi="Calibri" w:cs="Calibri"/>
          <w:b/>
          <w:bCs/>
          <w:sz w:val="28"/>
          <w:szCs w:val="28"/>
          <w:lang w:val="en-GB"/>
        </w:rPr>
        <w:t>onia</w:t>
      </w:r>
    </w:p>
    <w:p w14:paraId="65B39F4D" w14:textId="4F831F1D" w:rsidR="00426656" w:rsidRPr="008D0FEC" w:rsidRDefault="00A914E7"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r w:rsidRPr="008D0FEC">
        <w:rPr>
          <w:rFonts w:ascii="Calibri" w:hAnsi="Calibri" w:cs="Calibri"/>
          <w:color w:val="000000"/>
          <w:sz w:val="28"/>
          <w:szCs w:val="28"/>
          <w:lang w:val="en-GB"/>
        </w:rPr>
        <w:t xml:space="preserve">to the Committee on the Elimination of All Forms of Discrimination </w:t>
      </w:r>
    </w:p>
    <w:p w14:paraId="2167C8C9" w14:textId="2E604EF8" w:rsidR="00A914E7" w:rsidRPr="008D0FEC" w:rsidRDefault="00A914E7"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r w:rsidRPr="008D0FEC">
        <w:rPr>
          <w:rFonts w:ascii="Calibri" w:hAnsi="Calibri" w:cs="Calibri"/>
          <w:color w:val="000000"/>
          <w:sz w:val="28"/>
          <w:szCs w:val="28"/>
          <w:lang w:val="en-GB"/>
        </w:rPr>
        <w:t>Against</w:t>
      </w:r>
      <w:r w:rsidR="00426656" w:rsidRPr="008D0FEC">
        <w:rPr>
          <w:rFonts w:ascii="Calibri" w:hAnsi="Calibri" w:cs="Calibri"/>
          <w:color w:val="000000"/>
          <w:sz w:val="28"/>
          <w:szCs w:val="28"/>
          <w:lang w:val="en-GB"/>
        </w:rPr>
        <w:t xml:space="preserve"> </w:t>
      </w:r>
      <w:r w:rsidRPr="008D0FEC">
        <w:rPr>
          <w:rFonts w:ascii="Calibri" w:hAnsi="Calibri" w:cs="Calibri"/>
          <w:color w:val="000000"/>
          <w:sz w:val="28"/>
          <w:szCs w:val="28"/>
          <w:lang w:val="en-GB"/>
        </w:rPr>
        <w:t>Women for the 88</w:t>
      </w:r>
      <w:r w:rsidRPr="008D0FEC">
        <w:rPr>
          <w:rFonts w:ascii="Calibri" w:hAnsi="Calibri" w:cs="Calibri"/>
          <w:color w:val="000000"/>
          <w:sz w:val="28"/>
          <w:szCs w:val="28"/>
          <w:vertAlign w:val="superscript"/>
          <w:lang w:val="en-GB"/>
        </w:rPr>
        <w:t>th</w:t>
      </w:r>
      <w:r w:rsidRPr="008D0FEC">
        <w:rPr>
          <w:rFonts w:ascii="Calibri" w:hAnsi="Calibri" w:cs="Calibri"/>
          <w:color w:val="000000"/>
          <w:sz w:val="28"/>
          <w:szCs w:val="28"/>
          <w:lang w:val="en-GB"/>
        </w:rPr>
        <w:t xml:space="preserve"> Session</w:t>
      </w:r>
    </w:p>
    <w:p w14:paraId="258E8B35" w14:textId="7DB71343" w:rsidR="00A914E7" w:rsidRPr="008D0FEC" w:rsidRDefault="00A914E7"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r w:rsidRPr="008D0FEC">
        <w:rPr>
          <w:rFonts w:ascii="Calibri" w:hAnsi="Calibri" w:cs="Calibri"/>
          <w:color w:val="000000"/>
          <w:sz w:val="28"/>
          <w:szCs w:val="28"/>
          <w:lang w:val="en-GB"/>
        </w:rPr>
        <w:t xml:space="preserve">Submission Raising Issues Related to Articles 2, 3, </w:t>
      </w:r>
      <w:r w:rsidR="00711A9A" w:rsidRPr="008D0FEC">
        <w:rPr>
          <w:rFonts w:ascii="Calibri" w:hAnsi="Calibri" w:cs="Calibri"/>
          <w:color w:val="000000"/>
          <w:sz w:val="28"/>
          <w:szCs w:val="28"/>
          <w:lang w:val="en-GB"/>
        </w:rPr>
        <w:t xml:space="preserve">4, </w:t>
      </w:r>
      <w:r w:rsidRPr="008D0FEC">
        <w:rPr>
          <w:rFonts w:ascii="Calibri" w:hAnsi="Calibri" w:cs="Calibri"/>
          <w:color w:val="000000"/>
          <w:sz w:val="28"/>
          <w:szCs w:val="28"/>
          <w:lang w:val="en-GB"/>
        </w:rPr>
        <w:t xml:space="preserve">11, </w:t>
      </w:r>
      <w:r w:rsidR="00857D78">
        <w:rPr>
          <w:rFonts w:ascii="Calibri" w:hAnsi="Calibri" w:cs="Calibri"/>
          <w:color w:val="000000"/>
          <w:sz w:val="28"/>
          <w:szCs w:val="28"/>
          <w:lang w:val="en-GB"/>
        </w:rPr>
        <w:t>and 14</w:t>
      </w:r>
    </w:p>
    <w:p w14:paraId="0B190873" w14:textId="77777777" w:rsidR="00FD3E9A" w:rsidRPr="008D0FEC" w:rsidRDefault="00FD3E9A"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p>
    <w:p w14:paraId="69721180" w14:textId="77777777" w:rsidR="00506B0C" w:rsidRPr="008D0FEC" w:rsidRDefault="00506B0C"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p>
    <w:p w14:paraId="695C2181" w14:textId="77777777" w:rsidR="00506B0C" w:rsidRPr="008D0FEC" w:rsidRDefault="00506B0C"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p>
    <w:p w14:paraId="1DB21846" w14:textId="77777777" w:rsidR="00506B0C" w:rsidRPr="008D0FEC" w:rsidRDefault="00506B0C"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p>
    <w:p w14:paraId="1BE9542F" w14:textId="77777777" w:rsidR="00506B0C" w:rsidRPr="008D0FEC" w:rsidRDefault="00506B0C"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p>
    <w:p w14:paraId="3A6539A0" w14:textId="77777777" w:rsidR="00506B0C" w:rsidRPr="008D0FEC" w:rsidRDefault="00506B0C"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p>
    <w:p w14:paraId="0A595E92" w14:textId="77777777" w:rsidR="00506B0C" w:rsidRPr="008D0FEC" w:rsidRDefault="00506B0C"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p>
    <w:p w14:paraId="5699CB83" w14:textId="77777777" w:rsidR="00506B0C" w:rsidRPr="008D0FEC" w:rsidRDefault="00506B0C"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p>
    <w:p w14:paraId="4B128E5C" w14:textId="77777777" w:rsidR="00506B0C" w:rsidRPr="008D0FEC" w:rsidRDefault="00506B0C"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p>
    <w:p w14:paraId="7EB6AD00" w14:textId="77777777" w:rsidR="00506B0C" w:rsidRPr="008D0FEC" w:rsidRDefault="00506B0C"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p>
    <w:p w14:paraId="48FD6832" w14:textId="77777777" w:rsidR="00506B0C" w:rsidRPr="008D0FEC" w:rsidRDefault="00506B0C"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p>
    <w:p w14:paraId="72064621" w14:textId="77777777" w:rsidR="00506B0C" w:rsidRPr="008D0FEC" w:rsidRDefault="00506B0C"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p>
    <w:p w14:paraId="7B627D84" w14:textId="77777777" w:rsidR="00506B0C" w:rsidRPr="008D0FEC" w:rsidRDefault="00506B0C"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p>
    <w:p w14:paraId="0F50522D" w14:textId="77777777" w:rsidR="00FD3E9A" w:rsidRPr="008D0FEC" w:rsidRDefault="00FD3E9A"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p>
    <w:p w14:paraId="57B91B80" w14:textId="77777777" w:rsidR="00FD3E9A" w:rsidRPr="008D0FEC" w:rsidRDefault="00FD3E9A"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p>
    <w:p w14:paraId="668806E3" w14:textId="77777777" w:rsidR="00FD3E9A" w:rsidRPr="008D0FEC" w:rsidRDefault="00FD3E9A" w:rsidP="00426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Calibri" w:hAnsi="Calibri" w:cs="Calibri"/>
          <w:color w:val="000000"/>
          <w:sz w:val="28"/>
          <w:szCs w:val="28"/>
          <w:lang w:val="en-GB"/>
        </w:rPr>
      </w:pPr>
    </w:p>
    <w:p w14:paraId="180FC79A" w14:textId="4EAAF16C" w:rsidR="00A914E7" w:rsidRPr="008D0FEC" w:rsidRDefault="00A914E7" w:rsidP="00426656">
      <w:pPr>
        <w:spacing w:line="360" w:lineRule="auto"/>
        <w:jc w:val="center"/>
        <w:rPr>
          <w:rFonts w:ascii="Calibri" w:hAnsi="Calibri" w:cs="Calibri"/>
          <w:color w:val="000000"/>
          <w:sz w:val="28"/>
          <w:szCs w:val="28"/>
          <w:lang w:val="en-GB"/>
        </w:rPr>
      </w:pPr>
      <w:r w:rsidRPr="008D0FEC">
        <w:rPr>
          <w:rFonts w:ascii="Calibri" w:hAnsi="Calibri" w:cs="Calibri"/>
          <w:color w:val="000000"/>
          <w:sz w:val="28"/>
          <w:szCs w:val="28"/>
          <w:lang w:val="en-GB"/>
        </w:rPr>
        <w:t>April 2024</w:t>
      </w:r>
    </w:p>
    <w:p w14:paraId="2D3CBAAC" w14:textId="77777777" w:rsidR="00711A9A" w:rsidRPr="008D0FEC" w:rsidRDefault="00711A9A">
      <w:pPr>
        <w:rPr>
          <w:rFonts w:ascii="Helvetica" w:hAnsi="Helvetica" w:cs="Helvetica"/>
          <w:color w:val="000000"/>
          <w:sz w:val="23"/>
          <w:szCs w:val="23"/>
          <w:lang w:val="en-GB"/>
        </w:rPr>
      </w:pPr>
    </w:p>
    <w:p w14:paraId="0C69F445" w14:textId="218DB8CB" w:rsidR="00506B0C" w:rsidRPr="008D0FEC" w:rsidRDefault="00506B0C">
      <w:pPr>
        <w:rPr>
          <w:rFonts w:ascii="Helvetica" w:hAnsi="Helvetica" w:cs="Helvetica"/>
          <w:color w:val="000000"/>
          <w:sz w:val="23"/>
          <w:szCs w:val="23"/>
          <w:lang w:val="en-GB"/>
        </w:rPr>
      </w:pPr>
      <w:r w:rsidRPr="008D0FEC">
        <w:rPr>
          <w:rFonts w:ascii="Helvetica" w:hAnsi="Helvetica" w:cs="Helvetica"/>
          <w:color w:val="000000"/>
          <w:sz w:val="23"/>
          <w:szCs w:val="23"/>
          <w:lang w:val="en-GB"/>
        </w:rPr>
        <w:br w:type="page"/>
      </w:r>
    </w:p>
    <w:p w14:paraId="54F70E99" w14:textId="11B76807" w:rsidR="00BD4722" w:rsidRPr="008D0FEC" w:rsidRDefault="00BD4722" w:rsidP="00506B0C">
      <w:pPr>
        <w:jc w:val="right"/>
        <w:rPr>
          <w:rFonts w:ascii="Calibri" w:hAnsi="Calibri" w:cs="Calibri"/>
          <w:sz w:val="22"/>
          <w:szCs w:val="22"/>
          <w:lang w:val="en-GB"/>
        </w:rPr>
      </w:pPr>
    </w:p>
    <w:p w14:paraId="78509F47" w14:textId="77777777" w:rsidR="00506B0C" w:rsidRPr="008D0FEC" w:rsidRDefault="00506B0C" w:rsidP="00506B0C">
      <w:pPr>
        <w:jc w:val="right"/>
        <w:rPr>
          <w:rFonts w:ascii="Calibri" w:hAnsi="Calibri" w:cs="Calibri"/>
          <w:sz w:val="22"/>
          <w:szCs w:val="22"/>
          <w:lang w:val="en-GB"/>
        </w:rPr>
      </w:pPr>
      <w:r w:rsidRPr="008D0FEC">
        <w:rPr>
          <w:rFonts w:ascii="Calibri" w:hAnsi="Calibri" w:cs="Calibri"/>
          <w:sz w:val="22"/>
          <w:szCs w:val="22"/>
          <w:lang w:val="en-GB"/>
        </w:rPr>
        <w:t xml:space="preserve">Submitted by the KÜ </w:t>
      </w:r>
      <w:proofErr w:type="spellStart"/>
      <w:r w:rsidRPr="008D0FEC">
        <w:rPr>
          <w:rFonts w:ascii="Calibri" w:hAnsi="Calibri" w:cs="Calibri"/>
          <w:sz w:val="22"/>
          <w:szCs w:val="22"/>
          <w:lang w:val="en-GB"/>
        </w:rPr>
        <w:t>Kaunase</w:t>
      </w:r>
      <w:proofErr w:type="spellEnd"/>
      <w:r w:rsidRPr="008D0FEC">
        <w:rPr>
          <w:rFonts w:ascii="Calibri" w:hAnsi="Calibri" w:cs="Calibri"/>
          <w:sz w:val="22"/>
          <w:szCs w:val="22"/>
          <w:lang w:val="en-GB"/>
        </w:rPr>
        <w:t xml:space="preserve"> 15</w:t>
      </w:r>
    </w:p>
    <w:p w14:paraId="2E652203" w14:textId="794821F2" w:rsidR="00506B0C" w:rsidRPr="008D0FEC" w:rsidRDefault="00506B0C" w:rsidP="00506B0C">
      <w:pPr>
        <w:jc w:val="right"/>
        <w:rPr>
          <w:rFonts w:ascii="Calibri" w:hAnsi="Calibri" w:cs="Calibri"/>
          <w:sz w:val="22"/>
          <w:szCs w:val="22"/>
          <w:lang w:val="en-GB"/>
        </w:rPr>
      </w:pPr>
      <w:r w:rsidRPr="008D0FEC">
        <w:rPr>
          <w:rFonts w:ascii="Calibri" w:hAnsi="Calibri" w:cs="Calibri"/>
          <w:sz w:val="22"/>
          <w:szCs w:val="22"/>
          <w:lang w:val="en-GB"/>
        </w:rPr>
        <w:t>Consulted with representatives of the EWAR,</w:t>
      </w:r>
    </w:p>
    <w:p w14:paraId="134B0CAA" w14:textId="215848D1" w:rsidR="00506B0C" w:rsidRPr="008D0FEC" w:rsidRDefault="00506B0C" w:rsidP="00506B0C">
      <w:pPr>
        <w:jc w:val="right"/>
        <w:rPr>
          <w:rFonts w:ascii="Calibri" w:hAnsi="Calibri" w:cs="Calibri"/>
          <w:sz w:val="22"/>
          <w:szCs w:val="22"/>
          <w:lang w:val="en-GB"/>
        </w:rPr>
      </w:pPr>
      <w:r w:rsidRPr="008D0FEC">
        <w:rPr>
          <w:rFonts w:ascii="Calibri" w:hAnsi="Calibri" w:cs="Calibri"/>
          <w:sz w:val="22"/>
          <w:szCs w:val="22"/>
          <w:lang w:val="en-GB"/>
        </w:rPr>
        <w:t>the Tartu Apartment Associations Union,</w:t>
      </w:r>
    </w:p>
    <w:p w14:paraId="1778ACC6" w14:textId="5B9A1867" w:rsidR="00506B0C" w:rsidRPr="008D0FEC" w:rsidRDefault="00506B0C" w:rsidP="00506B0C">
      <w:pPr>
        <w:jc w:val="right"/>
        <w:rPr>
          <w:rFonts w:ascii="Calibri" w:hAnsi="Calibri" w:cs="Calibri"/>
          <w:sz w:val="22"/>
          <w:szCs w:val="22"/>
          <w:lang w:val="en-GB"/>
        </w:rPr>
      </w:pPr>
      <w:r w:rsidRPr="008D0FEC">
        <w:rPr>
          <w:rFonts w:ascii="Calibri" w:hAnsi="Calibri" w:cs="Calibri"/>
          <w:sz w:val="22"/>
          <w:szCs w:val="22"/>
          <w:lang w:val="en-GB"/>
        </w:rPr>
        <w:t>and women survivors and service providers</w:t>
      </w:r>
    </w:p>
    <w:p w14:paraId="2B63D395" w14:textId="5FF299F9" w:rsidR="00506B0C" w:rsidRPr="008D0FEC" w:rsidRDefault="00506B0C" w:rsidP="00506B0C">
      <w:pPr>
        <w:jc w:val="right"/>
        <w:rPr>
          <w:rFonts w:ascii="Calibri" w:hAnsi="Calibri" w:cs="Calibri"/>
          <w:sz w:val="22"/>
          <w:szCs w:val="22"/>
          <w:lang w:val="en-GB"/>
        </w:rPr>
      </w:pPr>
      <w:r w:rsidRPr="008D0FEC">
        <w:rPr>
          <w:rFonts w:ascii="Calibri" w:hAnsi="Calibri" w:cs="Calibri"/>
          <w:sz w:val="22"/>
          <w:szCs w:val="22"/>
          <w:lang w:val="en-GB"/>
        </w:rPr>
        <w:t>Contact:</w:t>
      </w:r>
    </w:p>
    <w:p w14:paraId="09FECA1E" w14:textId="0FFC4D99" w:rsidR="00506B0C" w:rsidRPr="008D0FEC" w:rsidRDefault="00506B0C" w:rsidP="00506B0C">
      <w:pPr>
        <w:jc w:val="right"/>
        <w:rPr>
          <w:rFonts w:ascii="Calibri" w:hAnsi="Calibri" w:cs="Calibri"/>
          <w:sz w:val="22"/>
          <w:szCs w:val="22"/>
          <w:lang w:val="en-GB"/>
        </w:rPr>
      </w:pPr>
      <w:r w:rsidRPr="008D0FEC">
        <w:rPr>
          <w:rFonts w:ascii="Calibri" w:hAnsi="Calibri" w:cs="Calibri"/>
          <w:sz w:val="22"/>
          <w:szCs w:val="22"/>
          <w:lang w:val="en-GB"/>
        </w:rPr>
        <w:t>Anu Laas, anulaasile@gmail.com</w:t>
      </w:r>
    </w:p>
    <w:p w14:paraId="2B37B513" w14:textId="77777777" w:rsidR="00506B0C" w:rsidRPr="008D0FEC" w:rsidRDefault="00506B0C">
      <w:pPr>
        <w:rPr>
          <w:rFonts w:ascii="Helvetica" w:hAnsi="Helvetica" w:cs="Helvetica"/>
          <w:color w:val="000000"/>
          <w:sz w:val="23"/>
          <w:szCs w:val="23"/>
          <w:lang w:val="en-GB"/>
        </w:rPr>
      </w:pPr>
    </w:p>
    <w:p w14:paraId="3D0B6C6A" w14:textId="77777777" w:rsidR="000A5DF6" w:rsidRPr="008D0FEC" w:rsidRDefault="000A5DF6">
      <w:pPr>
        <w:rPr>
          <w:rFonts w:ascii="Helvetica" w:hAnsi="Helvetica" w:cs="Helvetica"/>
          <w:color w:val="000000"/>
          <w:sz w:val="23"/>
          <w:szCs w:val="23"/>
          <w:lang w:val="en-GB"/>
        </w:rPr>
      </w:pPr>
    </w:p>
    <w:p w14:paraId="5E4835F6" w14:textId="77777777" w:rsidR="00506B0C" w:rsidRPr="008D0FEC" w:rsidRDefault="00506B0C">
      <w:pPr>
        <w:rPr>
          <w:rFonts w:ascii="Helvetica" w:hAnsi="Helvetica" w:cs="Helvetica"/>
          <w:color w:val="000000"/>
          <w:sz w:val="23"/>
          <w:szCs w:val="23"/>
          <w:lang w:val="en-GB"/>
        </w:rPr>
      </w:pPr>
    </w:p>
    <w:p w14:paraId="62A4386A" w14:textId="7FD42033" w:rsidR="00BD4722" w:rsidRPr="008D0FEC" w:rsidRDefault="00BD4722">
      <w:pPr>
        <w:rPr>
          <w:rFonts w:ascii="Calibri" w:hAnsi="Calibri" w:cs="Calibri"/>
          <w:b/>
          <w:bCs/>
          <w:color w:val="000000"/>
          <w:sz w:val="22"/>
          <w:szCs w:val="22"/>
          <w:lang w:val="en-GB"/>
        </w:rPr>
      </w:pPr>
      <w:r w:rsidRPr="008D0FEC">
        <w:rPr>
          <w:rFonts w:ascii="Calibri" w:hAnsi="Calibri" w:cs="Calibri"/>
          <w:b/>
          <w:bCs/>
          <w:color w:val="000000"/>
          <w:sz w:val="22"/>
          <w:szCs w:val="22"/>
          <w:lang w:val="en-GB"/>
        </w:rPr>
        <w:t>Contents</w:t>
      </w:r>
    </w:p>
    <w:p w14:paraId="5D2774EB" w14:textId="77777777" w:rsidR="00BD4722" w:rsidRPr="008D0FEC" w:rsidRDefault="00BD4722">
      <w:pPr>
        <w:rPr>
          <w:rFonts w:ascii="Calibri" w:hAnsi="Calibri" w:cs="Calibri"/>
          <w:color w:val="000000"/>
          <w:sz w:val="22"/>
          <w:szCs w:val="22"/>
          <w:lang w:val="en-GB"/>
        </w:rPr>
      </w:pPr>
    </w:p>
    <w:p w14:paraId="42026E5D" w14:textId="76B3D97A" w:rsidR="007D0EA4" w:rsidRPr="007D0EA4" w:rsidRDefault="007D0EA4">
      <w:pPr>
        <w:pStyle w:val="TOC1"/>
        <w:tabs>
          <w:tab w:val="right" w:leader="dot" w:pos="9016"/>
        </w:tabs>
        <w:rPr>
          <w:rFonts w:ascii="Calibri" w:eastAsiaTheme="minorEastAsia" w:hAnsi="Calibri" w:cs="Calibri"/>
          <w:noProof/>
          <w:kern w:val="2"/>
          <w:sz w:val="22"/>
          <w:szCs w:val="22"/>
          <w14:ligatures w14:val="standardContextual"/>
        </w:rPr>
      </w:pPr>
      <w:r w:rsidRPr="007D0EA4">
        <w:rPr>
          <w:rFonts w:ascii="Calibri" w:hAnsi="Calibri" w:cs="Calibri"/>
          <w:color w:val="000000"/>
          <w:sz w:val="22"/>
          <w:szCs w:val="22"/>
          <w:lang w:val="en-GB"/>
        </w:rPr>
        <w:fldChar w:fldCharType="begin"/>
      </w:r>
      <w:r w:rsidRPr="007D0EA4">
        <w:rPr>
          <w:rFonts w:ascii="Calibri" w:hAnsi="Calibri" w:cs="Calibri"/>
          <w:color w:val="000000"/>
          <w:sz w:val="22"/>
          <w:szCs w:val="22"/>
          <w:lang w:val="en-GB"/>
        </w:rPr>
        <w:instrText xml:space="preserve"> TOC \o "1-1" \h \z \u </w:instrText>
      </w:r>
      <w:r w:rsidRPr="007D0EA4">
        <w:rPr>
          <w:rFonts w:ascii="Calibri" w:hAnsi="Calibri" w:cs="Calibri"/>
          <w:color w:val="000000"/>
          <w:sz w:val="22"/>
          <w:szCs w:val="22"/>
          <w:lang w:val="en-GB"/>
        </w:rPr>
        <w:fldChar w:fldCharType="separate"/>
      </w:r>
      <w:hyperlink w:anchor="_Toc164144568" w:history="1">
        <w:r w:rsidRPr="007D0EA4">
          <w:rPr>
            <w:rStyle w:val="Hyperlink"/>
            <w:rFonts w:ascii="Calibri" w:hAnsi="Calibri" w:cs="Calibri"/>
            <w:noProof/>
            <w:sz w:val="22"/>
            <w:szCs w:val="22"/>
            <w:lang w:val="en-GB"/>
          </w:rPr>
          <w:t>General legal framework</w:t>
        </w:r>
        <w:r w:rsidRPr="007D0EA4">
          <w:rPr>
            <w:rFonts w:ascii="Calibri" w:hAnsi="Calibri" w:cs="Calibri"/>
            <w:noProof/>
            <w:webHidden/>
            <w:sz w:val="22"/>
            <w:szCs w:val="22"/>
          </w:rPr>
          <w:tab/>
        </w:r>
        <w:r w:rsidRPr="007D0EA4">
          <w:rPr>
            <w:rFonts w:ascii="Calibri" w:hAnsi="Calibri" w:cs="Calibri"/>
            <w:noProof/>
            <w:webHidden/>
            <w:sz w:val="22"/>
            <w:szCs w:val="22"/>
          </w:rPr>
          <w:fldChar w:fldCharType="begin"/>
        </w:r>
        <w:r w:rsidRPr="007D0EA4">
          <w:rPr>
            <w:rFonts w:ascii="Calibri" w:hAnsi="Calibri" w:cs="Calibri"/>
            <w:noProof/>
            <w:webHidden/>
            <w:sz w:val="22"/>
            <w:szCs w:val="22"/>
          </w:rPr>
          <w:instrText xml:space="preserve"> PAGEREF _Toc164144568 \h </w:instrText>
        </w:r>
        <w:r w:rsidRPr="007D0EA4">
          <w:rPr>
            <w:rFonts w:ascii="Calibri" w:hAnsi="Calibri" w:cs="Calibri"/>
            <w:noProof/>
            <w:webHidden/>
            <w:sz w:val="22"/>
            <w:szCs w:val="22"/>
          </w:rPr>
        </w:r>
        <w:r w:rsidRPr="007D0EA4">
          <w:rPr>
            <w:rFonts w:ascii="Calibri" w:hAnsi="Calibri" w:cs="Calibri"/>
            <w:noProof/>
            <w:webHidden/>
            <w:sz w:val="22"/>
            <w:szCs w:val="22"/>
          </w:rPr>
          <w:fldChar w:fldCharType="separate"/>
        </w:r>
        <w:r w:rsidR="00D2508E">
          <w:rPr>
            <w:rFonts w:ascii="Calibri" w:hAnsi="Calibri" w:cs="Calibri"/>
            <w:noProof/>
            <w:webHidden/>
            <w:sz w:val="22"/>
            <w:szCs w:val="22"/>
          </w:rPr>
          <w:t>2</w:t>
        </w:r>
        <w:r w:rsidRPr="007D0EA4">
          <w:rPr>
            <w:rFonts w:ascii="Calibri" w:hAnsi="Calibri" w:cs="Calibri"/>
            <w:noProof/>
            <w:webHidden/>
            <w:sz w:val="22"/>
            <w:szCs w:val="22"/>
          </w:rPr>
          <w:fldChar w:fldCharType="end"/>
        </w:r>
      </w:hyperlink>
    </w:p>
    <w:p w14:paraId="7250C95D" w14:textId="17BFF21D" w:rsidR="007D0EA4" w:rsidRPr="007D0EA4" w:rsidRDefault="007D0EA4">
      <w:pPr>
        <w:pStyle w:val="TOC1"/>
        <w:tabs>
          <w:tab w:val="right" w:leader="dot" w:pos="9016"/>
        </w:tabs>
        <w:rPr>
          <w:rFonts w:ascii="Calibri" w:eastAsiaTheme="minorEastAsia" w:hAnsi="Calibri" w:cs="Calibri"/>
          <w:noProof/>
          <w:kern w:val="2"/>
          <w:sz w:val="22"/>
          <w:szCs w:val="22"/>
          <w14:ligatures w14:val="standardContextual"/>
        </w:rPr>
      </w:pPr>
      <w:hyperlink w:anchor="_Toc164144569" w:history="1">
        <w:r w:rsidRPr="007D0EA4">
          <w:rPr>
            <w:rStyle w:val="Hyperlink"/>
            <w:rFonts w:ascii="Calibri" w:hAnsi="Calibri" w:cs="Calibri"/>
            <w:noProof/>
            <w:sz w:val="22"/>
            <w:szCs w:val="22"/>
            <w:lang w:val="en-GB"/>
          </w:rPr>
          <w:t>Access to legal advice and fair justice</w:t>
        </w:r>
        <w:r w:rsidRPr="007D0EA4">
          <w:rPr>
            <w:rFonts w:ascii="Calibri" w:hAnsi="Calibri" w:cs="Calibri"/>
            <w:noProof/>
            <w:webHidden/>
            <w:sz w:val="22"/>
            <w:szCs w:val="22"/>
          </w:rPr>
          <w:tab/>
        </w:r>
        <w:r w:rsidRPr="007D0EA4">
          <w:rPr>
            <w:rFonts w:ascii="Calibri" w:hAnsi="Calibri" w:cs="Calibri"/>
            <w:noProof/>
            <w:webHidden/>
            <w:sz w:val="22"/>
            <w:szCs w:val="22"/>
          </w:rPr>
          <w:fldChar w:fldCharType="begin"/>
        </w:r>
        <w:r w:rsidRPr="007D0EA4">
          <w:rPr>
            <w:rFonts w:ascii="Calibri" w:hAnsi="Calibri" w:cs="Calibri"/>
            <w:noProof/>
            <w:webHidden/>
            <w:sz w:val="22"/>
            <w:szCs w:val="22"/>
          </w:rPr>
          <w:instrText xml:space="preserve"> PAGEREF _Toc164144569 \h </w:instrText>
        </w:r>
        <w:r w:rsidRPr="007D0EA4">
          <w:rPr>
            <w:rFonts w:ascii="Calibri" w:hAnsi="Calibri" w:cs="Calibri"/>
            <w:noProof/>
            <w:webHidden/>
            <w:sz w:val="22"/>
            <w:szCs w:val="22"/>
          </w:rPr>
        </w:r>
        <w:r w:rsidRPr="007D0EA4">
          <w:rPr>
            <w:rFonts w:ascii="Calibri" w:hAnsi="Calibri" w:cs="Calibri"/>
            <w:noProof/>
            <w:webHidden/>
            <w:sz w:val="22"/>
            <w:szCs w:val="22"/>
          </w:rPr>
          <w:fldChar w:fldCharType="separate"/>
        </w:r>
        <w:r w:rsidR="00D2508E">
          <w:rPr>
            <w:rFonts w:ascii="Calibri" w:hAnsi="Calibri" w:cs="Calibri"/>
            <w:noProof/>
            <w:webHidden/>
            <w:sz w:val="22"/>
            <w:szCs w:val="22"/>
          </w:rPr>
          <w:t>3</w:t>
        </w:r>
        <w:r w:rsidRPr="007D0EA4">
          <w:rPr>
            <w:rFonts w:ascii="Calibri" w:hAnsi="Calibri" w:cs="Calibri"/>
            <w:noProof/>
            <w:webHidden/>
            <w:sz w:val="22"/>
            <w:szCs w:val="22"/>
          </w:rPr>
          <w:fldChar w:fldCharType="end"/>
        </w:r>
      </w:hyperlink>
    </w:p>
    <w:p w14:paraId="2049DDFD" w14:textId="605D2EA8" w:rsidR="007D0EA4" w:rsidRPr="007D0EA4" w:rsidRDefault="007D0EA4">
      <w:pPr>
        <w:pStyle w:val="TOC1"/>
        <w:tabs>
          <w:tab w:val="right" w:leader="dot" w:pos="9016"/>
        </w:tabs>
        <w:rPr>
          <w:rFonts w:ascii="Calibri" w:eastAsiaTheme="minorEastAsia" w:hAnsi="Calibri" w:cs="Calibri"/>
          <w:noProof/>
          <w:kern w:val="2"/>
          <w:sz w:val="22"/>
          <w:szCs w:val="22"/>
          <w14:ligatures w14:val="standardContextual"/>
        </w:rPr>
      </w:pPr>
      <w:hyperlink w:anchor="_Toc164144570" w:history="1">
        <w:r w:rsidRPr="007D0EA4">
          <w:rPr>
            <w:rStyle w:val="Hyperlink"/>
            <w:rFonts w:ascii="Calibri" w:hAnsi="Calibri" w:cs="Calibri"/>
            <w:noProof/>
            <w:sz w:val="22"/>
            <w:szCs w:val="22"/>
            <w:lang w:val="en-GB"/>
          </w:rPr>
          <w:t>Strategies and action plans</w:t>
        </w:r>
        <w:r w:rsidRPr="007D0EA4">
          <w:rPr>
            <w:rFonts w:ascii="Calibri" w:hAnsi="Calibri" w:cs="Calibri"/>
            <w:noProof/>
            <w:webHidden/>
            <w:sz w:val="22"/>
            <w:szCs w:val="22"/>
          </w:rPr>
          <w:tab/>
        </w:r>
        <w:r w:rsidRPr="007D0EA4">
          <w:rPr>
            <w:rFonts w:ascii="Calibri" w:hAnsi="Calibri" w:cs="Calibri"/>
            <w:noProof/>
            <w:webHidden/>
            <w:sz w:val="22"/>
            <w:szCs w:val="22"/>
          </w:rPr>
          <w:fldChar w:fldCharType="begin"/>
        </w:r>
        <w:r w:rsidRPr="007D0EA4">
          <w:rPr>
            <w:rFonts w:ascii="Calibri" w:hAnsi="Calibri" w:cs="Calibri"/>
            <w:noProof/>
            <w:webHidden/>
            <w:sz w:val="22"/>
            <w:szCs w:val="22"/>
          </w:rPr>
          <w:instrText xml:space="preserve"> PAGEREF _Toc164144570 \h </w:instrText>
        </w:r>
        <w:r w:rsidRPr="007D0EA4">
          <w:rPr>
            <w:rFonts w:ascii="Calibri" w:hAnsi="Calibri" w:cs="Calibri"/>
            <w:noProof/>
            <w:webHidden/>
            <w:sz w:val="22"/>
            <w:szCs w:val="22"/>
          </w:rPr>
        </w:r>
        <w:r w:rsidRPr="007D0EA4">
          <w:rPr>
            <w:rFonts w:ascii="Calibri" w:hAnsi="Calibri" w:cs="Calibri"/>
            <w:noProof/>
            <w:webHidden/>
            <w:sz w:val="22"/>
            <w:szCs w:val="22"/>
          </w:rPr>
          <w:fldChar w:fldCharType="separate"/>
        </w:r>
        <w:r w:rsidR="00D2508E">
          <w:rPr>
            <w:rFonts w:ascii="Calibri" w:hAnsi="Calibri" w:cs="Calibri"/>
            <w:noProof/>
            <w:webHidden/>
            <w:sz w:val="22"/>
            <w:szCs w:val="22"/>
          </w:rPr>
          <w:t>4</w:t>
        </w:r>
        <w:r w:rsidRPr="007D0EA4">
          <w:rPr>
            <w:rFonts w:ascii="Calibri" w:hAnsi="Calibri" w:cs="Calibri"/>
            <w:noProof/>
            <w:webHidden/>
            <w:sz w:val="22"/>
            <w:szCs w:val="22"/>
          </w:rPr>
          <w:fldChar w:fldCharType="end"/>
        </w:r>
      </w:hyperlink>
    </w:p>
    <w:p w14:paraId="4CD5E749" w14:textId="68038F01" w:rsidR="007D0EA4" w:rsidRPr="007D0EA4" w:rsidRDefault="007D0EA4">
      <w:pPr>
        <w:pStyle w:val="TOC1"/>
        <w:tabs>
          <w:tab w:val="right" w:leader="dot" w:pos="9016"/>
        </w:tabs>
        <w:rPr>
          <w:rFonts w:ascii="Calibri" w:eastAsiaTheme="minorEastAsia" w:hAnsi="Calibri" w:cs="Calibri"/>
          <w:noProof/>
          <w:kern w:val="2"/>
          <w:sz w:val="22"/>
          <w:szCs w:val="22"/>
          <w14:ligatures w14:val="standardContextual"/>
        </w:rPr>
      </w:pPr>
      <w:hyperlink w:anchor="_Toc164144571" w:history="1">
        <w:r w:rsidRPr="007D0EA4">
          <w:rPr>
            <w:rStyle w:val="Hyperlink"/>
            <w:rFonts w:ascii="Calibri" w:hAnsi="Calibri" w:cs="Calibri"/>
            <w:noProof/>
            <w:sz w:val="22"/>
            <w:szCs w:val="22"/>
            <w:lang w:val="en-GB"/>
          </w:rPr>
          <w:t>Women’s economic empowerment vs poverty</w:t>
        </w:r>
        <w:r w:rsidRPr="007D0EA4">
          <w:rPr>
            <w:rFonts w:ascii="Calibri" w:hAnsi="Calibri" w:cs="Calibri"/>
            <w:noProof/>
            <w:webHidden/>
            <w:sz w:val="22"/>
            <w:szCs w:val="22"/>
          </w:rPr>
          <w:tab/>
        </w:r>
        <w:r w:rsidRPr="007D0EA4">
          <w:rPr>
            <w:rFonts w:ascii="Calibri" w:hAnsi="Calibri" w:cs="Calibri"/>
            <w:noProof/>
            <w:webHidden/>
            <w:sz w:val="22"/>
            <w:szCs w:val="22"/>
          </w:rPr>
          <w:fldChar w:fldCharType="begin"/>
        </w:r>
        <w:r w:rsidRPr="007D0EA4">
          <w:rPr>
            <w:rFonts w:ascii="Calibri" w:hAnsi="Calibri" w:cs="Calibri"/>
            <w:noProof/>
            <w:webHidden/>
            <w:sz w:val="22"/>
            <w:szCs w:val="22"/>
          </w:rPr>
          <w:instrText xml:space="preserve"> PAGEREF _Toc164144571 \h </w:instrText>
        </w:r>
        <w:r w:rsidRPr="007D0EA4">
          <w:rPr>
            <w:rFonts w:ascii="Calibri" w:hAnsi="Calibri" w:cs="Calibri"/>
            <w:noProof/>
            <w:webHidden/>
            <w:sz w:val="22"/>
            <w:szCs w:val="22"/>
          </w:rPr>
        </w:r>
        <w:r w:rsidRPr="007D0EA4">
          <w:rPr>
            <w:rFonts w:ascii="Calibri" w:hAnsi="Calibri" w:cs="Calibri"/>
            <w:noProof/>
            <w:webHidden/>
            <w:sz w:val="22"/>
            <w:szCs w:val="22"/>
          </w:rPr>
          <w:fldChar w:fldCharType="separate"/>
        </w:r>
        <w:r w:rsidR="00D2508E">
          <w:rPr>
            <w:rFonts w:ascii="Calibri" w:hAnsi="Calibri" w:cs="Calibri"/>
            <w:noProof/>
            <w:webHidden/>
            <w:sz w:val="22"/>
            <w:szCs w:val="22"/>
          </w:rPr>
          <w:t>5</w:t>
        </w:r>
        <w:r w:rsidRPr="007D0EA4">
          <w:rPr>
            <w:rFonts w:ascii="Calibri" w:hAnsi="Calibri" w:cs="Calibri"/>
            <w:noProof/>
            <w:webHidden/>
            <w:sz w:val="22"/>
            <w:szCs w:val="22"/>
          </w:rPr>
          <w:fldChar w:fldCharType="end"/>
        </w:r>
      </w:hyperlink>
    </w:p>
    <w:p w14:paraId="4516B416" w14:textId="599EDE63" w:rsidR="007D0EA4" w:rsidRPr="007D0EA4" w:rsidRDefault="007D0EA4">
      <w:pPr>
        <w:pStyle w:val="TOC1"/>
        <w:tabs>
          <w:tab w:val="right" w:leader="dot" w:pos="9016"/>
        </w:tabs>
        <w:rPr>
          <w:rFonts w:ascii="Calibri" w:eastAsiaTheme="minorEastAsia" w:hAnsi="Calibri" w:cs="Calibri"/>
          <w:noProof/>
          <w:kern w:val="2"/>
          <w:sz w:val="22"/>
          <w:szCs w:val="22"/>
          <w14:ligatures w14:val="standardContextual"/>
        </w:rPr>
      </w:pPr>
      <w:hyperlink w:anchor="_Toc164144572" w:history="1">
        <w:r w:rsidRPr="007D0EA4">
          <w:rPr>
            <w:rStyle w:val="Hyperlink"/>
            <w:rFonts w:ascii="Calibri" w:hAnsi="Calibri" w:cs="Calibri"/>
            <w:noProof/>
            <w:sz w:val="22"/>
            <w:szCs w:val="22"/>
            <w:lang w:val="en-GB"/>
          </w:rPr>
          <w:t>Social protection issues</w:t>
        </w:r>
        <w:r w:rsidRPr="007D0EA4">
          <w:rPr>
            <w:rFonts w:ascii="Calibri" w:hAnsi="Calibri" w:cs="Calibri"/>
            <w:noProof/>
            <w:webHidden/>
            <w:sz w:val="22"/>
            <w:szCs w:val="22"/>
          </w:rPr>
          <w:tab/>
        </w:r>
        <w:r w:rsidRPr="007D0EA4">
          <w:rPr>
            <w:rFonts w:ascii="Calibri" w:hAnsi="Calibri" w:cs="Calibri"/>
            <w:noProof/>
            <w:webHidden/>
            <w:sz w:val="22"/>
            <w:szCs w:val="22"/>
          </w:rPr>
          <w:fldChar w:fldCharType="begin"/>
        </w:r>
        <w:r w:rsidRPr="007D0EA4">
          <w:rPr>
            <w:rFonts w:ascii="Calibri" w:hAnsi="Calibri" w:cs="Calibri"/>
            <w:noProof/>
            <w:webHidden/>
            <w:sz w:val="22"/>
            <w:szCs w:val="22"/>
          </w:rPr>
          <w:instrText xml:space="preserve"> PAGEREF _Toc164144572 \h </w:instrText>
        </w:r>
        <w:r w:rsidRPr="007D0EA4">
          <w:rPr>
            <w:rFonts w:ascii="Calibri" w:hAnsi="Calibri" w:cs="Calibri"/>
            <w:noProof/>
            <w:webHidden/>
            <w:sz w:val="22"/>
            <w:szCs w:val="22"/>
          </w:rPr>
        </w:r>
        <w:r w:rsidRPr="007D0EA4">
          <w:rPr>
            <w:rFonts w:ascii="Calibri" w:hAnsi="Calibri" w:cs="Calibri"/>
            <w:noProof/>
            <w:webHidden/>
            <w:sz w:val="22"/>
            <w:szCs w:val="22"/>
          </w:rPr>
          <w:fldChar w:fldCharType="separate"/>
        </w:r>
        <w:r w:rsidR="00D2508E">
          <w:rPr>
            <w:rFonts w:ascii="Calibri" w:hAnsi="Calibri" w:cs="Calibri"/>
            <w:noProof/>
            <w:webHidden/>
            <w:sz w:val="22"/>
            <w:szCs w:val="22"/>
          </w:rPr>
          <w:t>6</w:t>
        </w:r>
        <w:r w:rsidRPr="007D0EA4">
          <w:rPr>
            <w:rFonts w:ascii="Calibri" w:hAnsi="Calibri" w:cs="Calibri"/>
            <w:noProof/>
            <w:webHidden/>
            <w:sz w:val="22"/>
            <w:szCs w:val="22"/>
          </w:rPr>
          <w:fldChar w:fldCharType="end"/>
        </w:r>
      </w:hyperlink>
    </w:p>
    <w:p w14:paraId="13077E4C" w14:textId="5DD023BA" w:rsidR="007D0EA4" w:rsidRPr="007D0EA4" w:rsidRDefault="007D0EA4">
      <w:pPr>
        <w:pStyle w:val="TOC1"/>
        <w:tabs>
          <w:tab w:val="right" w:leader="dot" w:pos="9016"/>
        </w:tabs>
        <w:rPr>
          <w:rFonts w:ascii="Calibri" w:eastAsiaTheme="minorEastAsia" w:hAnsi="Calibri" w:cs="Calibri"/>
          <w:noProof/>
          <w:kern w:val="2"/>
          <w:sz w:val="22"/>
          <w:szCs w:val="22"/>
          <w14:ligatures w14:val="standardContextual"/>
        </w:rPr>
      </w:pPr>
      <w:hyperlink w:anchor="_Toc164144573" w:history="1">
        <w:r w:rsidRPr="007D0EA4">
          <w:rPr>
            <w:rStyle w:val="Hyperlink"/>
            <w:rFonts w:ascii="Calibri" w:hAnsi="Calibri" w:cs="Calibri"/>
            <w:noProof/>
            <w:sz w:val="22"/>
            <w:szCs w:val="22"/>
            <w:lang w:val="en-GB"/>
          </w:rPr>
          <w:t>Data unavailability</w:t>
        </w:r>
        <w:r w:rsidRPr="007D0EA4">
          <w:rPr>
            <w:rFonts w:ascii="Calibri" w:hAnsi="Calibri" w:cs="Calibri"/>
            <w:noProof/>
            <w:webHidden/>
            <w:sz w:val="22"/>
            <w:szCs w:val="22"/>
          </w:rPr>
          <w:tab/>
        </w:r>
        <w:r w:rsidRPr="007D0EA4">
          <w:rPr>
            <w:rFonts w:ascii="Calibri" w:hAnsi="Calibri" w:cs="Calibri"/>
            <w:noProof/>
            <w:webHidden/>
            <w:sz w:val="22"/>
            <w:szCs w:val="22"/>
          </w:rPr>
          <w:fldChar w:fldCharType="begin"/>
        </w:r>
        <w:r w:rsidRPr="007D0EA4">
          <w:rPr>
            <w:rFonts w:ascii="Calibri" w:hAnsi="Calibri" w:cs="Calibri"/>
            <w:noProof/>
            <w:webHidden/>
            <w:sz w:val="22"/>
            <w:szCs w:val="22"/>
          </w:rPr>
          <w:instrText xml:space="preserve"> PAGEREF _Toc164144573 \h </w:instrText>
        </w:r>
        <w:r w:rsidRPr="007D0EA4">
          <w:rPr>
            <w:rFonts w:ascii="Calibri" w:hAnsi="Calibri" w:cs="Calibri"/>
            <w:noProof/>
            <w:webHidden/>
            <w:sz w:val="22"/>
            <w:szCs w:val="22"/>
          </w:rPr>
        </w:r>
        <w:r w:rsidRPr="007D0EA4">
          <w:rPr>
            <w:rFonts w:ascii="Calibri" w:hAnsi="Calibri" w:cs="Calibri"/>
            <w:noProof/>
            <w:webHidden/>
            <w:sz w:val="22"/>
            <w:szCs w:val="22"/>
          </w:rPr>
          <w:fldChar w:fldCharType="separate"/>
        </w:r>
        <w:r w:rsidR="00D2508E">
          <w:rPr>
            <w:rFonts w:ascii="Calibri" w:hAnsi="Calibri" w:cs="Calibri"/>
            <w:noProof/>
            <w:webHidden/>
            <w:sz w:val="22"/>
            <w:szCs w:val="22"/>
          </w:rPr>
          <w:t>6</w:t>
        </w:r>
        <w:r w:rsidRPr="007D0EA4">
          <w:rPr>
            <w:rFonts w:ascii="Calibri" w:hAnsi="Calibri" w:cs="Calibri"/>
            <w:noProof/>
            <w:webHidden/>
            <w:sz w:val="22"/>
            <w:szCs w:val="22"/>
          </w:rPr>
          <w:fldChar w:fldCharType="end"/>
        </w:r>
      </w:hyperlink>
    </w:p>
    <w:p w14:paraId="2184D5F8" w14:textId="7366C066" w:rsidR="007D0EA4" w:rsidRPr="007D0EA4" w:rsidRDefault="007D0EA4">
      <w:pPr>
        <w:pStyle w:val="TOC1"/>
        <w:tabs>
          <w:tab w:val="right" w:leader="dot" w:pos="9016"/>
        </w:tabs>
        <w:rPr>
          <w:rFonts w:ascii="Calibri" w:eastAsiaTheme="minorEastAsia" w:hAnsi="Calibri" w:cs="Calibri"/>
          <w:noProof/>
          <w:kern w:val="2"/>
          <w:sz w:val="22"/>
          <w:szCs w:val="22"/>
          <w14:ligatures w14:val="standardContextual"/>
        </w:rPr>
      </w:pPr>
      <w:hyperlink w:anchor="_Toc164144574" w:history="1">
        <w:r w:rsidRPr="007D0EA4">
          <w:rPr>
            <w:rStyle w:val="Hyperlink"/>
            <w:rFonts w:ascii="Calibri" w:hAnsi="Calibri" w:cs="Calibri"/>
            <w:noProof/>
            <w:sz w:val="22"/>
            <w:szCs w:val="22"/>
            <w:lang w:val="en-GB"/>
          </w:rPr>
          <w:t>Recommendations</w:t>
        </w:r>
        <w:r w:rsidRPr="007D0EA4">
          <w:rPr>
            <w:rFonts w:ascii="Calibri" w:hAnsi="Calibri" w:cs="Calibri"/>
            <w:noProof/>
            <w:webHidden/>
            <w:sz w:val="22"/>
            <w:szCs w:val="22"/>
          </w:rPr>
          <w:tab/>
        </w:r>
        <w:r w:rsidRPr="007D0EA4">
          <w:rPr>
            <w:rFonts w:ascii="Calibri" w:hAnsi="Calibri" w:cs="Calibri"/>
            <w:noProof/>
            <w:webHidden/>
            <w:sz w:val="22"/>
            <w:szCs w:val="22"/>
          </w:rPr>
          <w:fldChar w:fldCharType="begin"/>
        </w:r>
        <w:r w:rsidRPr="007D0EA4">
          <w:rPr>
            <w:rFonts w:ascii="Calibri" w:hAnsi="Calibri" w:cs="Calibri"/>
            <w:noProof/>
            <w:webHidden/>
            <w:sz w:val="22"/>
            <w:szCs w:val="22"/>
          </w:rPr>
          <w:instrText xml:space="preserve"> PAGEREF _Toc164144574 \h </w:instrText>
        </w:r>
        <w:r w:rsidRPr="007D0EA4">
          <w:rPr>
            <w:rFonts w:ascii="Calibri" w:hAnsi="Calibri" w:cs="Calibri"/>
            <w:noProof/>
            <w:webHidden/>
            <w:sz w:val="22"/>
            <w:szCs w:val="22"/>
          </w:rPr>
        </w:r>
        <w:r w:rsidRPr="007D0EA4">
          <w:rPr>
            <w:rFonts w:ascii="Calibri" w:hAnsi="Calibri" w:cs="Calibri"/>
            <w:noProof/>
            <w:webHidden/>
            <w:sz w:val="22"/>
            <w:szCs w:val="22"/>
          </w:rPr>
          <w:fldChar w:fldCharType="separate"/>
        </w:r>
        <w:r w:rsidR="00D2508E">
          <w:rPr>
            <w:rFonts w:ascii="Calibri" w:hAnsi="Calibri" w:cs="Calibri"/>
            <w:noProof/>
            <w:webHidden/>
            <w:sz w:val="22"/>
            <w:szCs w:val="22"/>
          </w:rPr>
          <w:t>7</w:t>
        </w:r>
        <w:r w:rsidRPr="007D0EA4">
          <w:rPr>
            <w:rFonts w:ascii="Calibri" w:hAnsi="Calibri" w:cs="Calibri"/>
            <w:noProof/>
            <w:webHidden/>
            <w:sz w:val="22"/>
            <w:szCs w:val="22"/>
          </w:rPr>
          <w:fldChar w:fldCharType="end"/>
        </w:r>
      </w:hyperlink>
    </w:p>
    <w:p w14:paraId="2D061A3B" w14:textId="001152F4" w:rsidR="00F00167" w:rsidRPr="008D0FEC" w:rsidRDefault="007D0EA4">
      <w:pPr>
        <w:rPr>
          <w:rFonts w:ascii="Calibri" w:hAnsi="Calibri" w:cs="Calibri"/>
          <w:color w:val="000000"/>
          <w:sz w:val="22"/>
          <w:szCs w:val="22"/>
          <w:lang w:val="en-GB"/>
        </w:rPr>
      </w:pPr>
      <w:r w:rsidRPr="007D0EA4">
        <w:rPr>
          <w:rFonts w:ascii="Calibri" w:hAnsi="Calibri" w:cs="Calibri"/>
          <w:color w:val="000000"/>
          <w:sz w:val="22"/>
          <w:szCs w:val="22"/>
          <w:lang w:val="en-GB"/>
        </w:rPr>
        <w:fldChar w:fldCharType="end"/>
      </w:r>
    </w:p>
    <w:p w14:paraId="304D4262" w14:textId="77777777" w:rsidR="000A5DF6" w:rsidRPr="008D0FEC" w:rsidRDefault="000A5DF6">
      <w:pPr>
        <w:rPr>
          <w:rFonts w:ascii="Helvetica" w:hAnsi="Helvetica" w:cs="Helvetica"/>
          <w:color w:val="000000"/>
          <w:sz w:val="23"/>
          <w:szCs w:val="23"/>
          <w:lang w:val="en-GB"/>
        </w:rPr>
      </w:pPr>
    </w:p>
    <w:p w14:paraId="2EDD69B4" w14:textId="71E967D9" w:rsidR="00504839" w:rsidRPr="008D0FEC" w:rsidRDefault="00504839" w:rsidP="00952115">
      <w:pPr>
        <w:pStyle w:val="Heading1"/>
        <w:rPr>
          <w:lang w:val="en-GB"/>
        </w:rPr>
      </w:pPr>
      <w:bookmarkStart w:id="0" w:name="_Toc164144568"/>
      <w:r w:rsidRPr="008D0FEC">
        <w:rPr>
          <w:lang w:val="en-GB"/>
        </w:rPr>
        <w:t xml:space="preserve">General </w:t>
      </w:r>
      <w:r w:rsidR="00B62C56" w:rsidRPr="008D0FEC">
        <w:rPr>
          <w:lang w:val="en-GB"/>
        </w:rPr>
        <w:t>l</w:t>
      </w:r>
      <w:r w:rsidRPr="008D0FEC">
        <w:rPr>
          <w:lang w:val="en-GB"/>
        </w:rPr>
        <w:t xml:space="preserve">egal </w:t>
      </w:r>
      <w:r w:rsidR="00B62C56" w:rsidRPr="008D0FEC">
        <w:rPr>
          <w:lang w:val="en-GB"/>
        </w:rPr>
        <w:t>f</w:t>
      </w:r>
      <w:r w:rsidRPr="008D0FEC">
        <w:rPr>
          <w:lang w:val="en-GB"/>
        </w:rPr>
        <w:t>ramework</w:t>
      </w:r>
      <w:bookmarkEnd w:id="0"/>
      <w:r w:rsidRPr="008D0FEC">
        <w:rPr>
          <w:lang w:val="en-GB"/>
        </w:rPr>
        <w:t xml:space="preserve"> </w:t>
      </w:r>
    </w:p>
    <w:p w14:paraId="0BCD9FDC" w14:textId="77777777" w:rsidR="00504839" w:rsidRPr="008D0FEC" w:rsidRDefault="00504839" w:rsidP="00F00167">
      <w:pPr>
        <w:rPr>
          <w:rFonts w:ascii="Calibri" w:hAnsi="Calibri" w:cs="Calibri"/>
          <w:sz w:val="22"/>
          <w:szCs w:val="22"/>
          <w:lang w:val="en-GB"/>
        </w:rPr>
      </w:pPr>
    </w:p>
    <w:p w14:paraId="417448CB" w14:textId="01086AAD" w:rsidR="00993581" w:rsidRPr="008D0FEC" w:rsidRDefault="005C2116" w:rsidP="00EA37B9">
      <w:pPr>
        <w:pStyle w:val="ListParagraph"/>
        <w:rPr>
          <w:lang w:val="en-GB"/>
        </w:rPr>
      </w:pPr>
      <w:r w:rsidRPr="008D0FEC">
        <w:rPr>
          <w:lang w:val="en-GB"/>
        </w:rPr>
        <w:t xml:space="preserve">In 2016-2023, </w:t>
      </w:r>
      <w:r w:rsidR="005D34F6">
        <w:rPr>
          <w:lang w:val="en-GB"/>
        </w:rPr>
        <w:t>i</w:t>
      </w:r>
      <w:r w:rsidRPr="008D0FEC">
        <w:rPr>
          <w:lang w:val="en-GB"/>
        </w:rPr>
        <w:t>n the legal field, there has been little progress in protecting women's rights</w:t>
      </w:r>
      <w:r w:rsidR="00993581" w:rsidRPr="008D0FEC">
        <w:rPr>
          <w:lang w:val="en-GB"/>
        </w:rPr>
        <w:t xml:space="preserve">. The new Victim Support Act (VSA) was adopted, entered into force on 1 April 2023. The Family Law Act (FLA) was </w:t>
      </w:r>
      <w:r w:rsidR="008D0FEC" w:rsidRPr="008D0FEC">
        <w:rPr>
          <w:lang w:val="en-GB"/>
        </w:rPr>
        <w:t>amended,</w:t>
      </w:r>
      <w:r w:rsidR="00993581" w:rsidRPr="008D0FEC">
        <w:rPr>
          <w:lang w:val="en-GB"/>
        </w:rPr>
        <w:t xml:space="preserve"> and a marriage equality was adopted (Article 1(1) of the FLA).</w:t>
      </w:r>
      <w:r w:rsidR="00993581" w:rsidRPr="008D0FEC">
        <w:rPr>
          <w:rStyle w:val="FootnoteReference"/>
          <w:szCs w:val="22"/>
          <w:lang w:val="en-GB"/>
        </w:rPr>
        <w:footnoteReference w:id="1"/>
      </w:r>
      <w:r w:rsidR="00993581" w:rsidRPr="008D0FEC">
        <w:rPr>
          <w:lang w:val="en-GB"/>
        </w:rPr>
        <w:t xml:space="preserve"> </w:t>
      </w:r>
    </w:p>
    <w:p w14:paraId="2E8BA10C" w14:textId="21CCF54F" w:rsidR="005C2116" w:rsidRPr="008D0FEC" w:rsidRDefault="00993581" w:rsidP="00EA37B9">
      <w:pPr>
        <w:pStyle w:val="ListParagraph"/>
        <w:rPr>
          <w:szCs w:val="20"/>
          <w:lang w:val="en-GB"/>
        </w:rPr>
      </w:pPr>
      <w:r w:rsidRPr="008D0FEC">
        <w:rPr>
          <w:lang w:val="en-GB"/>
        </w:rPr>
        <w:t>S</w:t>
      </w:r>
      <w:r w:rsidR="005C2116" w:rsidRPr="008D0FEC">
        <w:rPr>
          <w:lang w:val="en-GB"/>
        </w:rPr>
        <w:t xml:space="preserve">everal important gaps in laws remain unresolved, and the implementation of the Gender Equality Act </w:t>
      </w:r>
      <w:r w:rsidR="006D1445" w:rsidRPr="008D0FEC">
        <w:rPr>
          <w:lang w:val="en-GB"/>
        </w:rPr>
        <w:t xml:space="preserve">(GEA) </w:t>
      </w:r>
      <w:r w:rsidR="005C2116" w:rsidRPr="008D0FEC">
        <w:rPr>
          <w:lang w:val="en-GB"/>
        </w:rPr>
        <w:t>is inadequate</w:t>
      </w:r>
      <w:r w:rsidR="006D1445" w:rsidRPr="008D0FEC">
        <w:rPr>
          <w:lang w:val="en-GB"/>
        </w:rPr>
        <w:t xml:space="preserve"> (</w:t>
      </w:r>
      <w:r w:rsidR="008D0FEC" w:rsidRPr="008D0FEC">
        <w:rPr>
          <w:lang w:val="en-GB"/>
        </w:rPr>
        <w:t>deficiencies</w:t>
      </w:r>
      <w:r w:rsidR="006D1445" w:rsidRPr="008D0FEC">
        <w:rPr>
          <w:lang w:val="en-GB"/>
        </w:rPr>
        <w:t xml:space="preserve"> in </w:t>
      </w:r>
      <w:r w:rsidR="006D1445" w:rsidRPr="008D0FEC">
        <w:rPr>
          <w:szCs w:val="22"/>
          <w:lang w:val="en-GB"/>
        </w:rPr>
        <w:t>gender segregated data collection</w:t>
      </w:r>
      <w:r w:rsidRPr="008D0FEC">
        <w:rPr>
          <w:szCs w:val="22"/>
          <w:lang w:val="en-GB"/>
        </w:rPr>
        <w:t xml:space="preserve"> and</w:t>
      </w:r>
      <w:r w:rsidR="006D1445" w:rsidRPr="008D0FEC">
        <w:rPr>
          <w:szCs w:val="22"/>
          <w:lang w:val="en-GB"/>
        </w:rPr>
        <w:t xml:space="preserve"> gender equality promotion; no positive</w:t>
      </w:r>
      <w:r w:rsidR="006D1445" w:rsidRPr="008D0FEC">
        <w:rPr>
          <w:lang w:val="en-GB"/>
        </w:rPr>
        <w:t xml:space="preserve"> measures introduced, poor remedies</w:t>
      </w:r>
      <w:r w:rsidRPr="008D0FEC">
        <w:rPr>
          <w:lang w:val="en-GB"/>
        </w:rPr>
        <w:t xml:space="preserve"> for discrimination)</w:t>
      </w:r>
      <w:r w:rsidR="005C2116" w:rsidRPr="008D0FEC">
        <w:rPr>
          <w:lang w:val="en-GB"/>
        </w:rPr>
        <w:t>.</w:t>
      </w:r>
      <w:r w:rsidRPr="008D0FEC">
        <w:rPr>
          <w:lang w:val="en-GB"/>
        </w:rPr>
        <w:t xml:space="preserve"> </w:t>
      </w:r>
      <w:r w:rsidRPr="008D0FEC">
        <w:rPr>
          <w:szCs w:val="20"/>
          <w:lang w:val="en-GB"/>
        </w:rPr>
        <w:t>Non-binary gender is not legally recognised.</w:t>
      </w:r>
    </w:p>
    <w:p w14:paraId="6879E1FF" w14:textId="77777777" w:rsidR="00993581" w:rsidRPr="008D0FEC" w:rsidRDefault="00993581" w:rsidP="00EA37B9">
      <w:pPr>
        <w:pStyle w:val="ListParagraph"/>
        <w:rPr>
          <w:szCs w:val="22"/>
          <w:shd w:val="clear" w:color="auto" w:fill="auto"/>
          <w:lang w:val="en-GB"/>
        </w:rPr>
      </w:pPr>
      <w:r w:rsidRPr="008D0FEC">
        <w:rPr>
          <w:lang w:val="en-GB"/>
        </w:rPr>
        <w:t>The GEA and Equal Treatment Act (ETA) were neither amended nor merged in 2016-2023, which implies hierarchies in equal treatment and a narrow mandate for the Gender Equality and Equal Treatment Commissioner.</w:t>
      </w:r>
    </w:p>
    <w:p w14:paraId="42D88429" w14:textId="289767E7" w:rsidR="00077EFD" w:rsidRPr="008D0FEC" w:rsidRDefault="006D1445" w:rsidP="00EA37B9">
      <w:pPr>
        <w:pStyle w:val="ListParagraph"/>
        <w:rPr>
          <w:szCs w:val="22"/>
          <w:lang w:val="en-GB"/>
        </w:rPr>
      </w:pPr>
      <w:r w:rsidRPr="008D0FEC">
        <w:rPr>
          <w:lang w:val="en-GB"/>
        </w:rPr>
        <w:t xml:space="preserve">In 2017, the Penal Code (PC) was amended in relation to stalking, female genital mutilation (FGM), forced marriage and the prohibition of buying sexual services from trafficking victims. The minimum requirements of the Istanbul Convention were </w:t>
      </w:r>
      <w:r w:rsidR="008D0FEC" w:rsidRPr="008D0FEC">
        <w:rPr>
          <w:lang w:val="en-GB"/>
        </w:rPr>
        <w:t>considered</w:t>
      </w:r>
      <w:r w:rsidRPr="008D0FEC">
        <w:rPr>
          <w:lang w:val="en-GB"/>
        </w:rPr>
        <w:t>.</w:t>
      </w:r>
      <w:r w:rsidR="00077EFD" w:rsidRPr="008D0FEC">
        <w:rPr>
          <w:lang w:val="en-GB"/>
        </w:rPr>
        <w:t xml:space="preserve"> </w:t>
      </w:r>
    </w:p>
    <w:p w14:paraId="7A3AA276" w14:textId="3081F038" w:rsidR="00554FB3" w:rsidRPr="008D0FEC" w:rsidRDefault="00077EFD" w:rsidP="00EA37B9">
      <w:pPr>
        <w:pStyle w:val="ListParagraph"/>
        <w:rPr>
          <w:shd w:val="clear" w:color="auto" w:fill="auto"/>
          <w:lang w:val="en-GB"/>
        </w:rPr>
      </w:pPr>
      <w:r w:rsidRPr="008D0FEC">
        <w:rPr>
          <w:lang w:val="en-GB"/>
        </w:rPr>
        <w:t xml:space="preserve">Sexual harassment is now defined as an offense against equality under the Penal Code, categorized as a </w:t>
      </w:r>
      <w:r w:rsidR="008D0FEC" w:rsidRPr="008D0FEC">
        <w:rPr>
          <w:lang w:val="en-GB"/>
        </w:rPr>
        <w:t>misdemeanour</w:t>
      </w:r>
      <w:r w:rsidRPr="008D0FEC">
        <w:rPr>
          <w:lang w:val="en-GB"/>
        </w:rPr>
        <w:t xml:space="preserve">, and should be handled through proceedings by the Police and Border Guard Board. Harasser could be punished by </w:t>
      </w:r>
      <w:r w:rsidRPr="008D0FEC">
        <w:rPr>
          <w:rFonts w:ascii="Arial" w:hAnsi="Arial" w:cs="Arial"/>
          <w:color w:val="202020"/>
          <w:sz w:val="21"/>
          <w:szCs w:val="21"/>
          <w:lang w:val="en-GB"/>
        </w:rPr>
        <w:t>a fine of up to EUR 1200 or by detention</w:t>
      </w:r>
      <w:r w:rsidRPr="008D0FEC">
        <w:rPr>
          <w:lang w:val="en-GB"/>
        </w:rPr>
        <w:t>.</w:t>
      </w:r>
      <w:r w:rsidRPr="008D0FEC">
        <w:rPr>
          <w:rStyle w:val="FootnoteReference"/>
          <w:lang w:val="en-GB"/>
        </w:rPr>
        <w:footnoteReference w:id="2"/>
      </w:r>
      <w:r w:rsidR="00AA33C3" w:rsidRPr="008D0FEC">
        <w:rPr>
          <w:lang w:val="en-GB"/>
        </w:rPr>
        <w:t xml:space="preserve"> </w:t>
      </w:r>
    </w:p>
    <w:p w14:paraId="52D1BF03" w14:textId="77777777" w:rsidR="002A42A0" w:rsidRPr="008D0FEC" w:rsidRDefault="00167976" w:rsidP="00EA37B9">
      <w:pPr>
        <w:pStyle w:val="ListParagraph"/>
        <w:rPr>
          <w:rFonts w:cstheme="minorBidi"/>
          <w:noProof/>
          <w:kern w:val="2"/>
          <w:lang w:val="en-GB"/>
        </w:rPr>
      </w:pPr>
      <w:r w:rsidRPr="008D0FEC">
        <w:rPr>
          <w:lang w:val="en-GB"/>
        </w:rPr>
        <w:t xml:space="preserve">The Penal Code does not address psychological and economic violence. The distribution of violent crimes related to domestic violence by type of violence (Q9) shows a low share of psychological violence (Article 120 of the PC on threats and Article 121(1) on physical violence </w:t>
      </w:r>
      <w:r w:rsidRPr="008D0FEC">
        <w:rPr>
          <w:lang w:val="en-GB"/>
        </w:rPr>
        <w:lastRenderedPageBreak/>
        <w:t xml:space="preserve">if </w:t>
      </w:r>
      <w:r w:rsidR="00CB0EB0" w:rsidRPr="008D0FEC">
        <w:rPr>
          <w:lang w:val="en-GB"/>
        </w:rPr>
        <w:t xml:space="preserve">damage to the health was caused and </w:t>
      </w:r>
      <w:r w:rsidRPr="008D0FEC">
        <w:rPr>
          <w:lang w:val="en-GB"/>
        </w:rPr>
        <w:t>inflicted).</w:t>
      </w:r>
      <w:r w:rsidRPr="008D0FEC">
        <w:rPr>
          <w:rStyle w:val="FootnoteReference"/>
          <w:szCs w:val="22"/>
          <w:lang w:val="en-GB"/>
        </w:rPr>
        <w:footnoteReference w:id="3"/>
      </w:r>
      <w:r w:rsidR="00CB0EB0" w:rsidRPr="008D0FEC">
        <w:rPr>
          <w:lang w:val="en-GB"/>
        </w:rPr>
        <w:t xml:space="preserve"> Article 120 on threat of PC is difficult to use  due to its wording and burden of proof: “</w:t>
      </w:r>
      <w:r w:rsidR="00CB0EB0" w:rsidRPr="008D0FEC">
        <w:rPr>
          <w:color w:val="202020"/>
          <w:lang w:val="en-GB"/>
        </w:rPr>
        <w:t xml:space="preserve">A threat to kill, cause health damage or cause significant damage to or destroy property, if there is reason to fear the realisation of such threat”. </w:t>
      </w:r>
      <w:r w:rsidR="00EC468E" w:rsidRPr="008D0FEC">
        <w:rPr>
          <w:color w:val="202020"/>
          <w:lang w:val="en-GB"/>
        </w:rPr>
        <w:t>In Estonia, c</w:t>
      </w:r>
      <w:r w:rsidR="00554FB3" w:rsidRPr="008D0FEC">
        <w:rPr>
          <w:color w:val="202020"/>
          <w:lang w:val="en-GB"/>
        </w:rPr>
        <w:t>oercive</w:t>
      </w:r>
      <w:r w:rsidR="00EC468E" w:rsidRPr="008D0FEC">
        <w:rPr>
          <w:color w:val="000000"/>
          <w:lang w:val="en-GB"/>
        </w:rPr>
        <w:t xml:space="preserve"> and controlling behaviour is not recognised as a problematic feature of some intimate partner relationships is not recognised and discussed.</w:t>
      </w:r>
      <w:r w:rsidR="00554FB3" w:rsidRPr="008D0FEC">
        <w:rPr>
          <w:color w:val="000000"/>
          <w:lang w:val="en-GB"/>
        </w:rPr>
        <w:t xml:space="preserve"> </w:t>
      </w:r>
    </w:p>
    <w:p w14:paraId="69677187" w14:textId="5379C1B6" w:rsidR="002A42A0" w:rsidRPr="008D0FEC" w:rsidRDefault="009A6458" w:rsidP="00EA37B9">
      <w:pPr>
        <w:pStyle w:val="ListParagraph"/>
        <w:rPr>
          <w:rFonts w:cstheme="minorBidi"/>
          <w:noProof/>
          <w:kern w:val="2"/>
          <w:lang w:val="en-GB"/>
        </w:rPr>
      </w:pPr>
      <w:r w:rsidRPr="008D0FEC">
        <w:rPr>
          <w:lang w:val="en-GB"/>
        </w:rPr>
        <w:t>Economic violence against family members and former partners remains unnoticed, and abusers are not held accountable.</w:t>
      </w:r>
      <w:r w:rsidR="002A42A0" w:rsidRPr="008D0FEC">
        <w:rPr>
          <w:lang w:val="en-GB"/>
        </w:rPr>
        <w:t xml:space="preserve"> However, there is an improvement regarding financial support by the state provided for the for the upbringing and care of children after divorce or separation (monthly child maintenance). Older people have little support in coping with violence from their children.</w:t>
      </w:r>
    </w:p>
    <w:p w14:paraId="56F2ADD8" w14:textId="5E626769" w:rsidR="00F77AAF" w:rsidRPr="008D0FEC" w:rsidRDefault="00F77AAF" w:rsidP="00EA37B9">
      <w:pPr>
        <w:pStyle w:val="ListParagraph"/>
        <w:rPr>
          <w:lang w:val="en-GB"/>
        </w:rPr>
      </w:pPr>
      <w:r w:rsidRPr="008D0FEC">
        <w:rPr>
          <w:lang w:val="en-GB"/>
        </w:rPr>
        <w:t>There have been n</w:t>
      </w:r>
      <w:r w:rsidR="00554FB3" w:rsidRPr="008D0FEC">
        <w:rPr>
          <w:lang w:val="en-GB"/>
        </w:rPr>
        <w:t>o developments regarding amending the definition of rape in the Penal Code (Q10-72).</w:t>
      </w:r>
      <w:r w:rsidRPr="008D0FEC">
        <w:rPr>
          <w:lang w:val="en-GB"/>
        </w:rPr>
        <w:t xml:space="preserve"> However, some discussions have been held. Opinions of representatives of civil society </w:t>
      </w:r>
      <w:r w:rsidR="008D0FEC" w:rsidRPr="008D0FEC">
        <w:rPr>
          <w:lang w:val="en-GB"/>
        </w:rPr>
        <w:t>organisations</w:t>
      </w:r>
      <w:r w:rsidRPr="008D0FEC">
        <w:rPr>
          <w:lang w:val="en-GB"/>
        </w:rPr>
        <w:t xml:space="preserve"> and medical doctors have not been taken seriously.</w:t>
      </w:r>
    </w:p>
    <w:p w14:paraId="43DCEA95" w14:textId="77777777" w:rsidR="00F77AAF" w:rsidRPr="008D0FEC" w:rsidRDefault="00F77AAF" w:rsidP="006574E6">
      <w:pPr>
        <w:pStyle w:val="Style1"/>
        <w:rPr>
          <w:lang w:val="en-GB"/>
        </w:rPr>
      </w:pPr>
    </w:p>
    <w:p w14:paraId="3661F61D" w14:textId="7B6EDE00" w:rsidR="00157D0F" w:rsidRPr="008D0FEC" w:rsidRDefault="00554FB3" w:rsidP="00554FB3">
      <w:pPr>
        <w:pStyle w:val="Heading1"/>
        <w:rPr>
          <w:lang w:val="en-GB"/>
        </w:rPr>
      </w:pPr>
      <w:bookmarkStart w:id="1" w:name="_Toc164144569"/>
      <w:r w:rsidRPr="008D0FEC">
        <w:rPr>
          <w:lang w:val="en-GB"/>
        </w:rPr>
        <w:t xml:space="preserve">Access to </w:t>
      </w:r>
      <w:r w:rsidR="00381328" w:rsidRPr="008D0FEC">
        <w:rPr>
          <w:lang w:val="en-GB"/>
        </w:rPr>
        <w:t xml:space="preserve">legal advice and fair </w:t>
      </w:r>
      <w:r w:rsidRPr="008D0FEC">
        <w:rPr>
          <w:lang w:val="en-GB"/>
        </w:rPr>
        <w:t>justice</w:t>
      </w:r>
      <w:bookmarkEnd w:id="1"/>
    </w:p>
    <w:p w14:paraId="00D3B92E" w14:textId="77777777" w:rsidR="00504839" w:rsidRPr="008D0FEC" w:rsidRDefault="00504839" w:rsidP="00DF12B4">
      <w:pPr>
        <w:pStyle w:val="Style1"/>
        <w:rPr>
          <w:lang w:val="en-GB"/>
        </w:rPr>
      </w:pPr>
    </w:p>
    <w:p w14:paraId="71CCD627" w14:textId="4653F6E3" w:rsidR="00DF12B4" w:rsidRPr="008D0FEC" w:rsidRDefault="00DF12B4" w:rsidP="00EA37B9">
      <w:pPr>
        <w:pStyle w:val="ListParagraph"/>
        <w:rPr>
          <w:szCs w:val="22"/>
          <w:lang w:val="en-GB"/>
        </w:rPr>
      </w:pPr>
      <w:r w:rsidRPr="008D0FEC">
        <w:rPr>
          <w:lang w:val="en-GB"/>
        </w:rPr>
        <w:t xml:space="preserve">There are problems with affordable legal aid and access to justice due to the high cost of legal advice and the fact that proceedings are time-consuming. </w:t>
      </w:r>
      <w:r w:rsidRPr="008D0FEC">
        <w:rPr>
          <w:szCs w:val="22"/>
          <w:lang w:val="en-GB" w:eastAsia="nl-NL"/>
        </w:rPr>
        <w:t xml:space="preserve">Free legal counselling is insufficient when legal representation in court becomes necessary. Available and affordable legal aid is a major obstacle to defending one’s rights. The Human Rights Centre has been involved </w:t>
      </w:r>
      <w:r w:rsidRPr="008D0FEC">
        <w:rPr>
          <w:i/>
          <w:iCs/>
          <w:szCs w:val="22"/>
          <w:lang w:val="en-GB" w:eastAsia="nl-NL"/>
        </w:rPr>
        <w:t>pro bono</w:t>
      </w:r>
      <w:r w:rsidRPr="008D0FEC">
        <w:rPr>
          <w:szCs w:val="22"/>
          <w:lang w:val="en-GB" w:eastAsia="nl-NL"/>
        </w:rPr>
        <w:t xml:space="preserve"> in a couple of strategic litigation cases per year, supported by the Ministry of Social Affairs.</w:t>
      </w:r>
      <w:r w:rsidRPr="008D0FEC">
        <w:rPr>
          <w:rStyle w:val="FootnoteReference"/>
          <w:szCs w:val="22"/>
          <w:lang w:val="en-GB" w:eastAsia="nl-NL"/>
        </w:rPr>
        <w:footnoteReference w:id="4"/>
      </w:r>
      <w:r w:rsidRPr="008D0FEC">
        <w:rPr>
          <w:szCs w:val="22"/>
          <w:lang w:val="en-GB" w:eastAsia="nl-NL"/>
        </w:rPr>
        <w:t xml:space="preserve"> </w:t>
      </w:r>
    </w:p>
    <w:p w14:paraId="40E613F7" w14:textId="5DDB77DF" w:rsidR="00DF12B4" w:rsidRPr="008D0FEC" w:rsidRDefault="00DF12B4" w:rsidP="00EA37B9">
      <w:pPr>
        <w:pStyle w:val="ListParagraph"/>
        <w:rPr>
          <w:lang w:val="en-GB"/>
        </w:rPr>
      </w:pPr>
      <w:r w:rsidRPr="008D0FEC">
        <w:rPr>
          <w:lang w:val="en-GB"/>
        </w:rPr>
        <w:t>The State-funded Legal Aid Act and the Bar Association Act lay down the types of legal aid granted by the state and the conditions of and rules for obtaining such aid.</w:t>
      </w:r>
      <w:r w:rsidRPr="008D0FEC">
        <w:rPr>
          <w:rStyle w:val="FootnoteReference"/>
          <w:rFonts w:cs="Arial"/>
          <w:szCs w:val="20"/>
          <w:lang w:val="en-GB"/>
        </w:rPr>
        <w:footnoteReference w:id="5"/>
      </w:r>
      <w:r w:rsidRPr="008D0FEC">
        <w:rPr>
          <w:lang w:val="en-GB"/>
        </w:rPr>
        <w:t xml:space="preserve"> Free primary legal aid is provided for the most vulnerable in need by various non-profit associations and foundations. Paid legal assistance is provided by law firms, advocates’ law offices as part of their professional services. </w:t>
      </w:r>
    </w:p>
    <w:p w14:paraId="60AA5F79" w14:textId="77777777" w:rsidR="004C4D52" w:rsidRPr="008D0FEC" w:rsidRDefault="004C4D52" w:rsidP="00EA37B9">
      <w:pPr>
        <w:pStyle w:val="ListParagraph"/>
        <w:rPr>
          <w:lang w:val="en-GB"/>
        </w:rPr>
      </w:pPr>
      <w:r w:rsidRPr="008D0FEC">
        <w:rPr>
          <w:lang w:val="en-GB"/>
        </w:rPr>
        <w:t xml:space="preserve">Financial support for the promotion of equal treatment and gender equality is often decided on a project basis. </w:t>
      </w:r>
      <w:proofErr w:type="spellStart"/>
      <w:r w:rsidRPr="008D0FEC">
        <w:rPr>
          <w:lang w:val="en-GB"/>
        </w:rPr>
        <w:t>Taavi</w:t>
      </w:r>
      <w:proofErr w:type="spellEnd"/>
      <w:r w:rsidRPr="008D0FEC">
        <w:rPr>
          <w:lang w:val="en-GB"/>
        </w:rPr>
        <w:t xml:space="preserve"> Tamm (2022) studied the availability of legal aid and found that access to legal aid depends primarily on financial capacity and that free legal aid available to all is provided only on a project basis or provided by institutions in a narrow field.</w:t>
      </w:r>
      <w:r w:rsidRPr="008D0FEC">
        <w:rPr>
          <w:rStyle w:val="FootnoteReference"/>
          <w:szCs w:val="22"/>
          <w:lang w:val="en-GB"/>
        </w:rPr>
        <w:footnoteReference w:id="6"/>
      </w:r>
      <w:r w:rsidRPr="008D0FEC">
        <w:rPr>
          <w:lang w:val="en-GB"/>
        </w:rPr>
        <w:t xml:space="preserve"> Tamm states that the availability of high-quality legal aid providers in Estonia is a concern for all members of society, not only the less privileged groups. </w:t>
      </w:r>
    </w:p>
    <w:p w14:paraId="1D3A2DEC" w14:textId="77777777" w:rsidR="004C4D52" w:rsidRPr="008D0FEC" w:rsidRDefault="004C4D52" w:rsidP="00EA37B9">
      <w:pPr>
        <w:pStyle w:val="ListParagraph"/>
        <w:rPr>
          <w:lang w:val="en-GB"/>
        </w:rPr>
      </w:pPr>
      <w:r w:rsidRPr="008D0FEC">
        <w:rPr>
          <w:lang w:val="en-GB"/>
        </w:rPr>
        <w:t>It is possible to allocate funds for the promotion of gender equality and to support access to legal aid. Article 53.1(1) of the State Budget Act on the use of funds for national support programmes indeed allows the minister to establish national support programmes by way of regulations.</w:t>
      </w:r>
      <w:r w:rsidRPr="008D0FEC">
        <w:rPr>
          <w:vertAlign w:val="superscript"/>
          <w:lang w:val="en-GB"/>
        </w:rPr>
        <w:footnoteReference w:id="7"/>
      </w:r>
      <w:r w:rsidRPr="008D0FEC">
        <w:rPr>
          <w:lang w:val="en-GB"/>
        </w:rPr>
        <w:t xml:space="preserve"> In other terms, although it is possible politicians and decision-makers have lacked the willingness to grant financial support for the promotion of gender equality. In February 2022, the Minister of Social Affairs issued a regulation on financial support for the </w:t>
      </w:r>
      <w:r w:rsidRPr="008D0FEC">
        <w:rPr>
          <w:lang w:val="en-GB"/>
        </w:rPr>
        <w:lastRenderedPageBreak/>
        <w:t>promotion of equal treatment and gender equality.</w:t>
      </w:r>
      <w:r w:rsidRPr="008D0FEC">
        <w:rPr>
          <w:rStyle w:val="FootnoteReference"/>
          <w:szCs w:val="22"/>
          <w:lang w:val="en-GB"/>
        </w:rPr>
        <w:footnoteReference w:id="8"/>
      </w:r>
      <w:r w:rsidRPr="008D0FEC">
        <w:rPr>
          <w:lang w:val="en-GB"/>
        </w:rPr>
        <w:t xml:space="preserve"> It supports the provision of psychological and/or legal counselling and strategic litigation through advocacy organisations.</w:t>
      </w:r>
      <w:r w:rsidRPr="008D0FEC">
        <w:rPr>
          <w:rStyle w:val="FootnoteReference"/>
          <w:szCs w:val="22"/>
          <w:lang w:val="en-GB"/>
        </w:rPr>
        <w:footnoteReference w:id="9"/>
      </w:r>
      <w:r w:rsidRPr="008D0FEC">
        <w:rPr>
          <w:lang w:val="en-GB"/>
        </w:rPr>
        <w:t xml:space="preserve"> </w:t>
      </w:r>
    </w:p>
    <w:p w14:paraId="196A261A" w14:textId="77777777" w:rsidR="004C4D52" w:rsidRPr="008D0FEC" w:rsidRDefault="004C4D52" w:rsidP="00EA37B9">
      <w:pPr>
        <w:pStyle w:val="ListParagraph"/>
        <w:rPr>
          <w:lang w:val="en-GB"/>
        </w:rPr>
      </w:pPr>
      <w:r w:rsidRPr="008D0FEC">
        <w:rPr>
          <w:lang w:val="en-GB"/>
        </w:rPr>
        <w:t>In addition, the Estonian Bar Association gives information about the provision of state-funded legal aid.</w:t>
      </w:r>
      <w:r w:rsidRPr="008D0FEC">
        <w:rPr>
          <w:rStyle w:val="FootnoteReference"/>
          <w:szCs w:val="22"/>
          <w:lang w:val="en-GB"/>
        </w:rPr>
        <w:footnoteReference w:id="10"/>
      </w:r>
      <w:r w:rsidRPr="008D0FEC">
        <w:rPr>
          <w:lang w:val="en-GB"/>
        </w:rPr>
        <w:t xml:space="preserve"> The Association has taken steps to mitigate the legal aid crisis, which is due to a lack of volunteers and the low level of pay in the state-funded legal aid sector.</w:t>
      </w:r>
      <w:r w:rsidRPr="008D0FEC">
        <w:rPr>
          <w:rStyle w:val="FootnoteReference"/>
          <w:szCs w:val="22"/>
          <w:lang w:val="en-GB"/>
        </w:rPr>
        <w:footnoteReference w:id="11"/>
      </w:r>
      <w:r w:rsidRPr="008D0FEC">
        <w:rPr>
          <w:lang w:val="en-GB"/>
        </w:rPr>
        <w:t xml:space="preserve"> Amendments to Regulation No. 16 by the Ministry of Justice on the revised hourly and case fee rates entered into force on 3 February 2023, but the pay level still lags behind the proposals made by lawyers.</w:t>
      </w:r>
      <w:r w:rsidRPr="008D0FEC">
        <w:rPr>
          <w:rStyle w:val="FootnoteReference"/>
          <w:szCs w:val="22"/>
          <w:lang w:val="en-GB"/>
        </w:rPr>
        <w:footnoteReference w:id="12"/>
      </w:r>
    </w:p>
    <w:p w14:paraId="291D35EC" w14:textId="3AF123BF" w:rsidR="004C4D52" w:rsidRPr="008D0FEC" w:rsidRDefault="006A5CD0" w:rsidP="00EA37B9">
      <w:pPr>
        <w:pStyle w:val="ListParagraph"/>
        <w:rPr>
          <w:lang w:val="en-GB"/>
        </w:rPr>
      </w:pPr>
      <w:r w:rsidRPr="008D0FEC">
        <w:rPr>
          <w:lang w:val="en-GB"/>
        </w:rPr>
        <w:t>The women's support centre service is provided by a team of specialists as a single service and it is available in each county.</w:t>
      </w:r>
      <w:r w:rsidR="00134A48" w:rsidRPr="008D0FEC">
        <w:rPr>
          <w:rStyle w:val="FootnoteReference"/>
          <w:color w:val="202020"/>
          <w:szCs w:val="22"/>
          <w:lang w:val="en-GB"/>
        </w:rPr>
        <w:footnoteReference w:id="13"/>
      </w:r>
      <w:r w:rsidRPr="008D0FEC">
        <w:rPr>
          <w:lang w:val="en-GB"/>
        </w:rPr>
        <w:t xml:space="preserve"> </w:t>
      </w:r>
      <w:r w:rsidR="00CF3A3A" w:rsidRPr="008D0FEC">
        <w:rPr>
          <w:lang w:val="en-GB"/>
        </w:rPr>
        <w:t xml:space="preserve">The problem is that high professionalism is demanded from the service providers, but in </w:t>
      </w:r>
      <w:r w:rsidR="007F4AFF" w:rsidRPr="008D0FEC">
        <w:rPr>
          <w:lang w:val="en-GB"/>
        </w:rPr>
        <w:t xml:space="preserve">August </w:t>
      </w:r>
      <w:r w:rsidR="00CF3A3A" w:rsidRPr="008D0FEC">
        <w:rPr>
          <w:lang w:val="en-GB"/>
        </w:rPr>
        <w:t xml:space="preserve">2023, insufficient base funding was offered through public procurement. The procurement organizers were aware that </w:t>
      </w:r>
      <w:r w:rsidR="007F4AFF" w:rsidRPr="008D0FEC">
        <w:rPr>
          <w:lang w:val="en-GB"/>
        </w:rPr>
        <w:t xml:space="preserve">there is high inflation rate, </w:t>
      </w:r>
      <w:r w:rsidR="00CF3A3A" w:rsidRPr="008D0FEC">
        <w:rPr>
          <w:lang w:val="en-GB"/>
        </w:rPr>
        <w:t>the service providers are women</w:t>
      </w:r>
      <w:r w:rsidR="005D34F6">
        <w:rPr>
          <w:lang w:val="en-GB"/>
        </w:rPr>
        <w:t>,</w:t>
      </w:r>
      <w:r w:rsidR="00E03AB7" w:rsidRPr="008D0FEC">
        <w:rPr>
          <w:lang w:val="en-GB"/>
        </w:rPr>
        <w:t xml:space="preserve"> and the legal aid is expensive</w:t>
      </w:r>
      <w:r w:rsidR="00A23338" w:rsidRPr="008D0FEC">
        <w:rPr>
          <w:lang w:val="en-GB"/>
        </w:rPr>
        <w:t>, but th</w:t>
      </w:r>
      <w:r w:rsidR="007F4AFF" w:rsidRPr="008D0FEC">
        <w:rPr>
          <w:lang w:val="en-GB"/>
        </w:rPr>
        <w:t xml:space="preserve">ese </w:t>
      </w:r>
      <w:r w:rsidR="008D0FEC" w:rsidRPr="008D0FEC">
        <w:rPr>
          <w:lang w:val="en-GB"/>
        </w:rPr>
        <w:t>aspects</w:t>
      </w:r>
      <w:r w:rsidR="007F4AFF" w:rsidRPr="008D0FEC">
        <w:rPr>
          <w:lang w:val="en-GB"/>
        </w:rPr>
        <w:t xml:space="preserve"> were</w:t>
      </w:r>
      <w:r w:rsidR="00A23338" w:rsidRPr="008D0FEC">
        <w:rPr>
          <w:lang w:val="en-GB"/>
        </w:rPr>
        <w:t xml:space="preserve"> not </w:t>
      </w:r>
      <w:proofErr w:type="gramStart"/>
      <w:r w:rsidR="00A23338" w:rsidRPr="008D0FEC">
        <w:rPr>
          <w:lang w:val="en-GB"/>
        </w:rPr>
        <w:t>taken into account</w:t>
      </w:r>
      <w:proofErr w:type="gramEnd"/>
      <w:r w:rsidR="00A23338" w:rsidRPr="008D0FEC">
        <w:rPr>
          <w:lang w:val="en-GB"/>
        </w:rPr>
        <w:t xml:space="preserve"> in the explanatory memorandum of the draft Victim Support Service Act.</w:t>
      </w:r>
      <w:r w:rsidR="00A23338" w:rsidRPr="008D0FEC">
        <w:rPr>
          <w:rStyle w:val="FootnoteReference"/>
          <w:szCs w:val="22"/>
          <w:lang w:val="en-GB"/>
        </w:rPr>
        <w:footnoteReference w:id="14"/>
      </w:r>
    </w:p>
    <w:p w14:paraId="6DC42293" w14:textId="77777777" w:rsidR="009D592A" w:rsidRPr="008D0FEC" w:rsidRDefault="009D592A" w:rsidP="00F00167">
      <w:pPr>
        <w:rPr>
          <w:rFonts w:ascii="Calibri" w:hAnsi="Calibri" w:cs="Calibri"/>
          <w:sz w:val="22"/>
          <w:szCs w:val="22"/>
          <w:lang w:val="en-GB"/>
        </w:rPr>
      </w:pPr>
    </w:p>
    <w:p w14:paraId="1253CC81" w14:textId="14855265" w:rsidR="00C04443" w:rsidRPr="008D0FEC" w:rsidRDefault="00C04443" w:rsidP="00554FB3">
      <w:pPr>
        <w:pStyle w:val="Heading1"/>
        <w:rPr>
          <w:lang w:val="en-GB"/>
        </w:rPr>
      </w:pPr>
      <w:bookmarkStart w:id="2" w:name="_Toc164144570"/>
      <w:r w:rsidRPr="008D0FEC">
        <w:rPr>
          <w:lang w:val="en-GB"/>
        </w:rPr>
        <w:t>Strategies and action plans</w:t>
      </w:r>
      <w:bookmarkEnd w:id="2"/>
    </w:p>
    <w:p w14:paraId="790EEC83" w14:textId="77777777" w:rsidR="00504839" w:rsidRPr="008D0FEC" w:rsidRDefault="00504839" w:rsidP="00F00167">
      <w:pPr>
        <w:rPr>
          <w:lang w:val="en-GB"/>
        </w:rPr>
      </w:pPr>
    </w:p>
    <w:p w14:paraId="5B4F8CF7" w14:textId="643D73C8" w:rsidR="00F3542A" w:rsidRPr="008D0FEC" w:rsidRDefault="006139CE" w:rsidP="00EA37B9">
      <w:pPr>
        <w:pStyle w:val="ListParagraph"/>
        <w:rPr>
          <w:rFonts w:cs="Times New Roman"/>
          <w:lang w:val="en-GB"/>
        </w:rPr>
      </w:pPr>
      <w:r w:rsidRPr="008D0FEC">
        <w:rPr>
          <w:lang w:val="en-GB"/>
        </w:rPr>
        <w:t>Increasing economic equality between women and men is highlighted in the Welfare Development Plan (WDP) for 2023-2030.</w:t>
      </w:r>
      <w:r w:rsidRPr="008D0FEC">
        <w:rPr>
          <w:rStyle w:val="FootnoteReference"/>
          <w:lang w:val="en-GB"/>
        </w:rPr>
        <w:footnoteReference w:id="15"/>
      </w:r>
      <w:r w:rsidRPr="008D0FEC">
        <w:rPr>
          <w:lang w:val="en-GB"/>
        </w:rPr>
        <w:t xml:space="preserve"> In January 2024, the new Gender Equality Programme for 2024-2027 was approved by the Minister of the MKM. </w:t>
      </w:r>
      <w:r w:rsidR="00C25DE3" w:rsidRPr="008D0FEC">
        <w:rPr>
          <w:szCs w:val="20"/>
          <w:lang w:val="en-GB"/>
        </w:rPr>
        <w:t xml:space="preserve">The </w:t>
      </w:r>
      <w:r w:rsidR="00C25DE3" w:rsidRPr="008D0FEC">
        <w:rPr>
          <w:rFonts w:cs="Arial"/>
          <w:szCs w:val="20"/>
          <w:lang w:val="en-GB"/>
        </w:rPr>
        <w:t>WDP 2023–2030 is referred to as the gender equality strategy, but it is too narrow and does not cover all areas of life.</w:t>
      </w:r>
      <w:r w:rsidR="00C25DE3" w:rsidRPr="008D0FEC">
        <w:rPr>
          <w:rStyle w:val="FootnoteReference"/>
          <w:rFonts w:cs="Arial"/>
          <w:szCs w:val="20"/>
          <w:lang w:val="en-GB"/>
        </w:rPr>
        <w:footnoteReference w:id="16"/>
      </w:r>
      <w:r w:rsidR="00C25DE3" w:rsidRPr="008D0FEC">
        <w:rPr>
          <w:rFonts w:cs="Arial"/>
          <w:szCs w:val="20"/>
          <w:lang w:val="en-GB"/>
        </w:rPr>
        <w:t xml:space="preserve"> </w:t>
      </w:r>
    </w:p>
    <w:p w14:paraId="505E0C8A" w14:textId="49D22370" w:rsidR="00F3542A" w:rsidRPr="008D0FEC" w:rsidRDefault="006139CE" w:rsidP="00EA37B9">
      <w:pPr>
        <w:pStyle w:val="ListParagraph"/>
        <w:rPr>
          <w:lang w:val="en-GB"/>
        </w:rPr>
      </w:pPr>
      <w:r w:rsidRPr="008D0FEC">
        <w:rPr>
          <w:lang w:val="en-GB"/>
        </w:rPr>
        <w:t>The national strategy and action plans ‘Estonia 2035’ and Estonia’s Recovery and Resilience Plan (ERRP) mention gender equality challenges and promise to tackle gender stereotypes, women’s lower employment rate, gender segregation in education and employment, the high gender pay gap, and gender inequalities in relation to life expectancy and healthy life years.</w:t>
      </w:r>
      <w:r w:rsidRPr="008D0FEC">
        <w:rPr>
          <w:rStyle w:val="FootnoteReference"/>
          <w:lang w:val="en-GB"/>
        </w:rPr>
        <w:footnoteReference w:id="17"/>
      </w:r>
      <w:r w:rsidR="00C25DE3" w:rsidRPr="008D0FEC">
        <w:rPr>
          <w:lang w:val="en-GB"/>
        </w:rPr>
        <w:t xml:space="preserve"> Initial ERRP has changed, but to find gender </w:t>
      </w:r>
      <w:r w:rsidR="00F3542A" w:rsidRPr="008D0FEC">
        <w:rPr>
          <w:lang w:val="en-GB"/>
        </w:rPr>
        <w:t xml:space="preserve">equality promotion activities in the action plan is complicated. This is often the case that in general strategies couple of </w:t>
      </w:r>
      <w:r w:rsidR="008D0FEC" w:rsidRPr="008D0FEC">
        <w:rPr>
          <w:lang w:val="en-GB"/>
        </w:rPr>
        <w:t>declarative</w:t>
      </w:r>
      <w:r w:rsidR="00F3542A" w:rsidRPr="008D0FEC">
        <w:rPr>
          <w:lang w:val="en-GB"/>
        </w:rPr>
        <w:t xml:space="preserve"> sentences are included (“Equal opportunities are considered.”), often marginalised and vulnerable groups are not </w:t>
      </w:r>
      <w:r w:rsidR="008D0FEC" w:rsidRPr="008D0FEC">
        <w:rPr>
          <w:lang w:val="en-GB"/>
        </w:rPr>
        <w:t>specified</w:t>
      </w:r>
      <w:r w:rsidR="00F3542A" w:rsidRPr="008D0FEC">
        <w:rPr>
          <w:lang w:val="en-GB"/>
        </w:rPr>
        <w:t xml:space="preserve"> and targeted activities in action plans are missing.</w:t>
      </w:r>
    </w:p>
    <w:p w14:paraId="4FB8D1E5" w14:textId="77777777" w:rsidR="00F3542A" w:rsidRPr="008D0FEC" w:rsidRDefault="00460EAF" w:rsidP="00EA37B9">
      <w:pPr>
        <w:pStyle w:val="ListParagraph"/>
        <w:rPr>
          <w:lang w:val="en-GB"/>
        </w:rPr>
      </w:pPr>
      <w:r w:rsidRPr="008D0FEC">
        <w:rPr>
          <w:lang w:val="en-GB"/>
        </w:rPr>
        <w:lastRenderedPageBreak/>
        <w:t>The green reform action plan for 2023-2025 was adopted in August 2023 and it brings together almost 300 different actions in fields ranging from energy to the circular economy. It aims to reduce negative environmental impact, to foster entrepreneurship that preserves the natural environment and to develop the modern living environment. Implementation of the green reforms is based on the ‘Estonia 2035’, which aims to ensure that Estonia is a climate-neutral country with a competitive, knowledge-based society and economy by 2050, gender perspective is not considered. Unfortunately, Estonia does not have updated energy sector plans and no consensus about the content of the Climate Act.</w:t>
      </w:r>
    </w:p>
    <w:p w14:paraId="69757A62" w14:textId="487F1E43" w:rsidR="00AB6BED" w:rsidRPr="008D0FEC" w:rsidRDefault="002F6688" w:rsidP="00EA37B9">
      <w:pPr>
        <w:pStyle w:val="ListParagraph"/>
        <w:rPr>
          <w:lang w:val="en-GB"/>
        </w:rPr>
      </w:pPr>
      <w:r w:rsidRPr="008D0FEC">
        <w:rPr>
          <w:lang w:val="en-GB"/>
        </w:rPr>
        <w:t>Women are actively involved in persuading apartment owners to support renovation plans. Apartment owners exercise the rights and perform the obligations arising from their apartment ownership through the apartment association. The creation and registration of apartment associations became mandatory in 2018 in Estonia. There were 23 671 apartment associations registered in the Apartment Association Register in the end of 2020.</w:t>
      </w:r>
      <w:r w:rsidRPr="008D0FEC">
        <w:rPr>
          <w:color w:val="374151"/>
          <w:lang w:val="en-GB"/>
        </w:rPr>
        <w:t xml:space="preserve"> </w:t>
      </w:r>
      <w:r w:rsidRPr="008D0FEC">
        <w:rPr>
          <w:lang w:val="en-GB"/>
        </w:rPr>
        <w:t xml:space="preserve">These associations are often led by women on voluntary basis. </w:t>
      </w:r>
    </w:p>
    <w:p w14:paraId="29039A19" w14:textId="5A31215E" w:rsidR="00AB6BED" w:rsidRPr="008D0FEC" w:rsidRDefault="00AB6BED" w:rsidP="00EA37B9">
      <w:pPr>
        <w:pStyle w:val="ListParagraph"/>
        <w:rPr>
          <w:lang w:val="en-GB"/>
        </w:rPr>
      </w:pPr>
      <w:r w:rsidRPr="008D0FEC">
        <w:rPr>
          <w:lang w:val="en-GB"/>
        </w:rPr>
        <w:t>Vulnerable groups are whether not mentioned at all or not specified in economic and energy sector development plans. Increasing and high energy prices hit even middle-class households. The Auditor General recommends analysing which consumers should be protected from long-term high electricity prices.</w:t>
      </w:r>
      <w:r w:rsidR="002F6688" w:rsidRPr="008D0FEC">
        <w:rPr>
          <w:rStyle w:val="FootnoteReference"/>
          <w:szCs w:val="22"/>
          <w:lang w:val="en-GB"/>
        </w:rPr>
        <w:footnoteReference w:id="18"/>
      </w:r>
      <w:r w:rsidRPr="008D0FEC">
        <w:rPr>
          <w:lang w:val="en-GB"/>
        </w:rPr>
        <w:t xml:space="preserve"> Single parents are in risk of poverty. Pensions are among the lowest in the EU relative to remuneration earned from employment. In addition, a gender gap in poverty among older people persists. About 80% of the population aged 65 and older who lived alone are at risk of poverty. Single parents are in risk of poverty. On 1 July 2023 amendments to improve the accessibility and affordability of long-term care entered into force, but problems remained due to increased living costs and costs for institutional care. </w:t>
      </w:r>
    </w:p>
    <w:p w14:paraId="4DAA47DE" w14:textId="5D131AE8" w:rsidR="00AB6BED" w:rsidRPr="008D0FEC" w:rsidRDefault="00AB6BED" w:rsidP="00EA37B9">
      <w:pPr>
        <w:pStyle w:val="ListParagraph"/>
        <w:rPr>
          <w:shd w:val="clear" w:color="auto" w:fill="auto"/>
          <w:lang w:val="en-GB"/>
        </w:rPr>
      </w:pPr>
      <w:r w:rsidRPr="008D0FEC">
        <w:rPr>
          <w:lang w:val="en-GB"/>
        </w:rPr>
        <w:t xml:space="preserve">As of 9 March 2022, a Decree of the Government of the Republic of Estonia entered into force, allowing citizens of Ukraine and their family members who have fled to Estonia to escape the war to apply for temporary protection. As of 31 December 2023, 50 654 people have applied for temporary protection, and 35 384 people have applied for the extension of temporary protection. The National Security Concept of Estonia (2023) maintains a gender-neutral voice; however, it includes a couple of declarative sentences about 'equal opportunities’. </w:t>
      </w:r>
    </w:p>
    <w:p w14:paraId="01DE13E1" w14:textId="69C1BDB0" w:rsidR="00157D0F" w:rsidRPr="008D0FEC" w:rsidRDefault="00324C4D" w:rsidP="00324C4D">
      <w:pPr>
        <w:pStyle w:val="Heading1"/>
        <w:rPr>
          <w:lang w:val="en-GB"/>
        </w:rPr>
      </w:pPr>
      <w:bookmarkStart w:id="3" w:name="_Toc164144571"/>
      <w:r w:rsidRPr="008D0FEC">
        <w:rPr>
          <w:lang w:val="en-GB"/>
        </w:rPr>
        <w:t xml:space="preserve">Women’s economic </w:t>
      </w:r>
      <w:r w:rsidR="008D0FEC" w:rsidRPr="008D0FEC">
        <w:rPr>
          <w:lang w:val="en-GB"/>
        </w:rPr>
        <w:t>empowerment</w:t>
      </w:r>
      <w:r w:rsidRPr="008D0FEC">
        <w:rPr>
          <w:lang w:val="en-GB"/>
        </w:rPr>
        <w:t xml:space="preserve"> vs poverty</w:t>
      </w:r>
      <w:bookmarkEnd w:id="3"/>
    </w:p>
    <w:p w14:paraId="56E9F262" w14:textId="77777777" w:rsidR="00324C4D" w:rsidRPr="008D0FEC" w:rsidRDefault="00324C4D" w:rsidP="00F00167">
      <w:pPr>
        <w:rPr>
          <w:lang w:val="en-GB"/>
        </w:rPr>
      </w:pPr>
    </w:p>
    <w:p w14:paraId="7B0527B8" w14:textId="7C9F9440" w:rsidR="00ED026D" w:rsidRPr="008D0FEC" w:rsidRDefault="002E415C" w:rsidP="00EA37B9">
      <w:pPr>
        <w:pStyle w:val="ListParagraph"/>
        <w:rPr>
          <w:lang w:val="en-GB"/>
        </w:rPr>
      </w:pPr>
      <w:r w:rsidRPr="008D0FEC">
        <w:rPr>
          <w:lang w:val="en-GB"/>
        </w:rPr>
        <w:t>The State Party reports progress in women’s empowerment activities (Q21) and emphasizes the importance of civil society organizations (NGOs). However, NGO activities are project-based and driven by enthusiasm. Training programs should be complemented with national business support schemes. The existing start-up business support scheme at the national level is gender-blind and focused on growth</w:t>
      </w:r>
      <w:r w:rsidR="00AA33C3" w:rsidRPr="008D0FEC">
        <w:rPr>
          <w:lang w:val="en-GB"/>
        </w:rPr>
        <w:t>, does not consider women’s needs to combine work and family,</w:t>
      </w:r>
      <w:r w:rsidR="00AA33C3" w:rsidRPr="008D0FEC">
        <w:rPr>
          <w:rStyle w:val="FootnoteReference"/>
          <w:lang w:val="en-GB"/>
        </w:rPr>
        <w:footnoteReference w:id="19"/>
      </w:r>
      <w:r w:rsidRPr="008D0FEC">
        <w:rPr>
          <w:lang w:val="en-GB"/>
        </w:rPr>
        <w:t xml:space="preserve"> The start-up grant provided by Enterprise Estonia requires 20% of own financing. Only one microcredit project was supported by the Open Society Foundation and carried out by ETNA </w:t>
      </w:r>
      <w:proofErr w:type="spellStart"/>
      <w:r w:rsidRPr="008D0FEC">
        <w:rPr>
          <w:lang w:val="en-GB"/>
        </w:rPr>
        <w:t>Eestimaal</w:t>
      </w:r>
      <w:proofErr w:type="spellEnd"/>
      <w:r w:rsidRPr="008D0FEC">
        <w:rPr>
          <w:lang w:val="en-GB"/>
        </w:rPr>
        <w:t>, and the activities of BPW Estonia are insufficient to inspire optimism, according to the State Party.</w:t>
      </w:r>
    </w:p>
    <w:p w14:paraId="6B3C8F54" w14:textId="18047B3B" w:rsidR="00614072" w:rsidRPr="008D0FEC" w:rsidRDefault="00614072" w:rsidP="00EA37B9">
      <w:pPr>
        <w:pStyle w:val="ListParagraph"/>
        <w:rPr>
          <w:lang w:val="en-GB"/>
        </w:rPr>
      </w:pPr>
      <w:r w:rsidRPr="008D0FEC">
        <w:rPr>
          <w:lang w:val="en-GB"/>
        </w:rPr>
        <w:t xml:space="preserve">In Estonia in 2023, policy debates were heated regarding increasing energy prices and ways of production, car taxation, home renovation process, funding, and pace. Entrepreneurs are discussing about the intention to draft the Climate Act. There is no policy debate on gender inequality and gender aspects are not integrated into policies and development plan except </w:t>
      </w:r>
      <w:r w:rsidRPr="008D0FEC">
        <w:rPr>
          <w:lang w:val="en-GB"/>
        </w:rPr>
        <w:lastRenderedPageBreak/>
        <w:t xml:space="preserve">Welfare Development Plan 2023-2030. Gender responsive public procurement (GRPP) should be used to promote innovation, gender equality and green transition. </w:t>
      </w:r>
    </w:p>
    <w:p w14:paraId="7DE4938D" w14:textId="77777777" w:rsidR="00ED026D" w:rsidRPr="008D0FEC" w:rsidRDefault="00ED026D" w:rsidP="006574E6">
      <w:pPr>
        <w:pStyle w:val="Style1"/>
        <w:rPr>
          <w:lang w:val="en-GB"/>
        </w:rPr>
      </w:pPr>
    </w:p>
    <w:p w14:paraId="734AE328" w14:textId="6865B286" w:rsidR="009C3BBD" w:rsidRPr="008D0FEC" w:rsidRDefault="009C3BBD" w:rsidP="009C3BBD">
      <w:pPr>
        <w:pStyle w:val="Heading1"/>
        <w:rPr>
          <w:lang w:val="en-GB"/>
        </w:rPr>
      </w:pPr>
      <w:bookmarkStart w:id="4" w:name="_Toc164144572"/>
      <w:r w:rsidRPr="008D0FEC">
        <w:rPr>
          <w:lang w:val="en-GB"/>
        </w:rPr>
        <w:t>S</w:t>
      </w:r>
      <w:r w:rsidR="00C4450D" w:rsidRPr="008D0FEC">
        <w:rPr>
          <w:lang w:val="en-GB"/>
        </w:rPr>
        <w:t>o</w:t>
      </w:r>
      <w:r w:rsidRPr="008D0FEC">
        <w:rPr>
          <w:lang w:val="en-GB"/>
        </w:rPr>
        <w:t>cial protection issues</w:t>
      </w:r>
      <w:bookmarkEnd w:id="4"/>
    </w:p>
    <w:p w14:paraId="1AF97416" w14:textId="77777777" w:rsidR="009C3BBD" w:rsidRPr="008D0FEC" w:rsidRDefault="009C3BBD" w:rsidP="009C3BBD">
      <w:pPr>
        <w:rPr>
          <w:szCs w:val="20"/>
          <w:lang w:val="en-GB"/>
        </w:rPr>
      </w:pPr>
    </w:p>
    <w:p w14:paraId="23171696" w14:textId="4F0EE29D" w:rsidR="00A8434B" w:rsidRPr="008D0FEC" w:rsidRDefault="00A8434B" w:rsidP="00EA37B9">
      <w:pPr>
        <w:pStyle w:val="ListParagraph"/>
        <w:rPr>
          <w:lang w:val="en-GB"/>
        </w:rPr>
      </w:pPr>
      <w:r w:rsidRPr="008D0FEC">
        <w:rPr>
          <w:lang w:val="en-GB"/>
        </w:rPr>
        <w:t xml:space="preserve">The impacts of the economic and security crisis, the post-pandemic economy, the energy </w:t>
      </w:r>
      <w:proofErr w:type="gramStart"/>
      <w:r w:rsidRPr="008D0FEC">
        <w:rPr>
          <w:lang w:val="en-GB"/>
        </w:rPr>
        <w:t>crisis</w:t>
      </w:r>
      <w:proofErr w:type="gramEnd"/>
      <w:r w:rsidRPr="008D0FEC">
        <w:rPr>
          <w:lang w:val="en-GB"/>
        </w:rPr>
        <w:t xml:space="preserve"> and the high rate of inflation have increased social tensions. </w:t>
      </w:r>
      <w:r w:rsidR="00460EAF" w:rsidRPr="008D0FEC">
        <w:rPr>
          <w:lang w:val="en-GB"/>
        </w:rPr>
        <w:t xml:space="preserve">Energy and transport poverty of women and regional specificity is not considered. </w:t>
      </w:r>
    </w:p>
    <w:p w14:paraId="537A1017" w14:textId="1E2C431B" w:rsidR="009C3BBD" w:rsidRPr="008D0FEC" w:rsidRDefault="009C3BBD" w:rsidP="00EA37B9">
      <w:pPr>
        <w:pStyle w:val="ListParagraph"/>
        <w:rPr>
          <w:lang w:val="en-GB"/>
        </w:rPr>
      </w:pPr>
      <w:r w:rsidRPr="008D0FEC">
        <w:rPr>
          <w:lang w:val="en-GB"/>
        </w:rPr>
        <w:t>The provision of accessible and affordable social services by the local government is poor; inhabitants depend on the local government’s personnel and financial capacity.</w:t>
      </w:r>
    </w:p>
    <w:p w14:paraId="66A49F91" w14:textId="61302AD3" w:rsidR="009C3BBD" w:rsidRPr="008D0FEC" w:rsidRDefault="009C3BBD" w:rsidP="00EA37B9">
      <w:pPr>
        <w:pStyle w:val="ListParagraph"/>
        <w:rPr>
          <w:lang w:val="en-GB"/>
        </w:rPr>
      </w:pPr>
      <w:r w:rsidRPr="008D0FEC">
        <w:rPr>
          <w:lang w:val="en-GB"/>
        </w:rPr>
        <w:t xml:space="preserve">There is inadequate financial support for sick people and people with disabilities; there is also inadequate funding for sick and elderly care. Women are overrepresented in health and long-term care; </w:t>
      </w:r>
      <w:r w:rsidR="008D0FEC" w:rsidRPr="008D0FEC">
        <w:rPr>
          <w:lang w:val="en-GB"/>
        </w:rPr>
        <w:t>most</w:t>
      </w:r>
      <w:r w:rsidRPr="008D0FEC">
        <w:rPr>
          <w:lang w:val="en-GB"/>
        </w:rPr>
        <w:t xml:space="preserve"> informal carers are women. </w:t>
      </w:r>
    </w:p>
    <w:p w14:paraId="18631B7B" w14:textId="6FE606ED" w:rsidR="009C3BBD" w:rsidRPr="008D0FEC" w:rsidRDefault="009C3BBD" w:rsidP="00EA37B9">
      <w:pPr>
        <w:pStyle w:val="ListParagraph"/>
        <w:rPr>
          <w:lang w:val="en-GB"/>
        </w:rPr>
      </w:pPr>
      <w:r w:rsidRPr="008D0FEC">
        <w:rPr>
          <w:lang w:val="en-GB"/>
        </w:rPr>
        <w:t>The fragmentation between health and social care is multidimensional and concerns the financial, organisational, professional, and policy levels.</w:t>
      </w:r>
    </w:p>
    <w:p w14:paraId="7711542D" w14:textId="77777777" w:rsidR="002E415C" w:rsidRPr="008D0FEC" w:rsidRDefault="002E415C" w:rsidP="00F00167">
      <w:pPr>
        <w:rPr>
          <w:lang w:val="en-GB"/>
        </w:rPr>
      </w:pPr>
    </w:p>
    <w:p w14:paraId="59CF6200" w14:textId="5DDB058C" w:rsidR="00D75738" w:rsidRPr="008D0FEC" w:rsidRDefault="00D75738" w:rsidP="00554FB3">
      <w:pPr>
        <w:pStyle w:val="Heading1"/>
        <w:rPr>
          <w:lang w:val="en-GB"/>
        </w:rPr>
      </w:pPr>
      <w:bookmarkStart w:id="5" w:name="_Toc164144573"/>
      <w:r w:rsidRPr="008D0FEC">
        <w:rPr>
          <w:lang w:val="en-GB"/>
        </w:rPr>
        <w:t xml:space="preserve">Data </w:t>
      </w:r>
      <w:r w:rsidR="00FB501D" w:rsidRPr="008D0FEC">
        <w:rPr>
          <w:lang w:val="en-GB"/>
        </w:rPr>
        <w:t>un</w:t>
      </w:r>
      <w:r w:rsidRPr="008D0FEC">
        <w:rPr>
          <w:lang w:val="en-GB"/>
        </w:rPr>
        <w:t>availability</w:t>
      </w:r>
      <w:bookmarkEnd w:id="5"/>
      <w:r w:rsidR="003D1F74" w:rsidRPr="008D0FEC">
        <w:rPr>
          <w:lang w:val="en-GB"/>
        </w:rPr>
        <w:t xml:space="preserve"> </w:t>
      </w:r>
    </w:p>
    <w:p w14:paraId="7147655B" w14:textId="77777777" w:rsidR="00F00167" w:rsidRPr="008D0FEC" w:rsidRDefault="00F00167" w:rsidP="00F00167">
      <w:pPr>
        <w:rPr>
          <w:lang w:val="en-GB"/>
        </w:rPr>
      </w:pPr>
    </w:p>
    <w:p w14:paraId="1048F512" w14:textId="7F36E6CD" w:rsidR="005153A4" w:rsidRPr="008D0FEC" w:rsidRDefault="002914F7" w:rsidP="00EA37B9">
      <w:pPr>
        <w:pStyle w:val="ListParagraph"/>
        <w:rPr>
          <w:noProof/>
          <w:szCs w:val="22"/>
          <w:lang w:val="en-GB"/>
        </w:rPr>
      </w:pPr>
      <w:r w:rsidRPr="008D0FEC">
        <w:rPr>
          <w:szCs w:val="22"/>
          <w:lang w:val="en-GB"/>
        </w:rPr>
        <w:t>The State Party reports progress in gender-segregated data collection (Q1-2,3), but there is room for improvement. Including only three gender equality indicators (gender pay gap, women in managerial positions, and gender equality index) in the country’s main strategies is inadequate for reporting on the state of gender equality.</w:t>
      </w:r>
      <w:r w:rsidR="00971496" w:rsidRPr="008D0FEC">
        <w:rPr>
          <w:color w:val="000000"/>
          <w:szCs w:val="22"/>
          <w:lang w:val="en-GB"/>
        </w:rPr>
        <w:t xml:space="preserve"> </w:t>
      </w:r>
      <w:r w:rsidR="005153A4" w:rsidRPr="008D0FEC">
        <w:rPr>
          <w:color w:val="000000"/>
          <w:szCs w:val="22"/>
          <w:lang w:val="en-GB"/>
        </w:rPr>
        <w:t>These three indicators are reported also under SDG5.</w:t>
      </w:r>
      <w:r w:rsidR="005153A4" w:rsidRPr="008D0FEC">
        <w:rPr>
          <w:rStyle w:val="FootnoteReference"/>
          <w:color w:val="000000"/>
          <w:szCs w:val="22"/>
          <w:lang w:val="en-GB"/>
        </w:rPr>
        <w:footnoteReference w:id="20"/>
      </w:r>
    </w:p>
    <w:p w14:paraId="2860683B" w14:textId="77777777" w:rsidR="005153A4" w:rsidRPr="008D0FEC" w:rsidRDefault="00971496" w:rsidP="00EA37B9">
      <w:pPr>
        <w:pStyle w:val="ListParagraph"/>
        <w:rPr>
          <w:noProof/>
          <w:kern w:val="2"/>
          <w:szCs w:val="22"/>
          <w:lang w:val="en-GB"/>
        </w:rPr>
      </w:pPr>
      <w:r w:rsidRPr="008D0FEC">
        <w:rPr>
          <w:szCs w:val="22"/>
          <w:lang w:val="en-GB"/>
        </w:rPr>
        <w:t>The Tree of Truth</w:t>
      </w:r>
      <w:r w:rsidRPr="008D0FEC">
        <w:rPr>
          <w:rStyle w:val="FootnoteReference"/>
          <w:color w:val="000000"/>
          <w:szCs w:val="22"/>
          <w:lang w:val="en-GB"/>
        </w:rPr>
        <w:footnoteReference w:id="21"/>
      </w:r>
      <w:r w:rsidRPr="008D0FEC">
        <w:rPr>
          <w:szCs w:val="22"/>
          <w:lang w:val="en-GB"/>
        </w:rPr>
        <w:t xml:space="preserve"> is a great tool, but this is gender blind. </w:t>
      </w:r>
    </w:p>
    <w:p w14:paraId="28C32C33" w14:textId="6832F489" w:rsidR="002909E7" w:rsidRPr="008D0FEC" w:rsidRDefault="0041125D" w:rsidP="00EA37B9">
      <w:pPr>
        <w:pStyle w:val="ListParagraph"/>
        <w:rPr>
          <w:szCs w:val="22"/>
          <w:lang w:val="en-GB"/>
        </w:rPr>
      </w:pPr>
      <w:r w:rsidRPr="008D0FEC">
        <w:rPr>
          <w:szCs w:val="22"/>
          <w:lang w:val="en-GB"/>
        </w:rPr>
        <w:t xml:space="preserve">Estonia has taken only small steps towards pay transparency. </w:t>
      </w:r>
      <w:r w:rsidR="0085636A" w:rsidRPr="008D0FEC">
        <w:rPr>
          <w:szCs w:val="22"/>
          <w:lang w:val="en-GB"/>
        </w:rPr>
        <w:t>A tool called “</w:t>
      </w:r>
      <w:r w:rsidR="003D0C37" w:rsidRPr="008D0FEC">
        <w:rPr>
          <w:szCs w:val="22"/>
          <w:lang w:val="en-GB"/>
        </w:rPr>
        <w:t xml:space="preserve">Pay </w:t>
      </w:r>
      <w:r w:rsidR="0085636A" w:rsidRPr="008D0FEC">
        <w:rPr>
          <w:szCs w:val="22"/>
          <w:lang w:val="en-GB"/>
        </w:rPr>
        <w:t>M</w:t>
      </w:r>
      <w:r w:rsidR="003D0C37" w:rsidRPr="008D0FEC">
        <w:rPr>
          <w:szCs w:val="22"/>
          <w:lang w:val="en-GB"/>
        </w:rPr>
        <w:t>irror</w:t>
      </w:r>
      <w:r w:rsidR="0085636A" w:rsidRPr="008D0FEC">
        <w:rPr>
          <w:szCs w:val="22"/>
          <w:lang w:val="en-GB"/>
        </w:rPr>
        <w:t xml:space="preserve">” </w:t>
      </w:r>
      <w:r w:rsidR="00EB67EC" w:rsidRPr="008D0FEC">
        <w:rPr>
          <w:szCs w:val="22"/>
          <w:lang w:val="en-GB"/>
        </w:rPr>
        <w:t>(</w:t>
      </w:r>
      <w:proofErr w:type="spellStart"/>
      <w:r w:rsidR="00EB67EC" w:rsidRPr="008D0FEC">
        <w:rPr>
          <w:szCs w:val="22"/>
          <w:lang w:val="en-GB"/>
        </w:rPr>
        <w:t>Palgapeegel</w:t>
      </w:r>
      <w:proofErr w:type="spellEnd"/>
      <w:r w:rsidR="00EB67EC" w:rsidRPr="008D0FEC">
        <w:rPr>
          <w:szCs w:val="22"/>
          <w:lang w:val="en-GB"/>
        </w:rPr>
        <w:t xml:space="preserve">) </w:t>
      </w:r>
      <w:r w:rsidR="0085636A" w:rsidRPr="008D0FEC">
        <w:rPr>
          <w:szCs w:val="22"/>
          <w:lang w:val="en-GB"/>
        </w:rPr>
        <w:t xml:space="preserve">is under the development in </w:t>
      </w:r>
      <w:r w:rsidR="008D0FEC" w:rsidRPr="008D0FEC">
        <w:rPr>
          <w:szCs w:val="22"/>
          <w:lang w:val="en-GB"/>
        </w:rPr>
        <w:t>2024 and</w:t>
      </w:r>
      <w:r w:rsidR="00D360B0" w:rsidRPr="008D0FEC">
        <w:rPr>
          <w:szCs w:val="22"/>
          <w:lang w:val="en-GB"/>
        </w:rPr>
        <w:t xml:space="preserve"> is accessible </w:t>
      </w:r>
      <w:r w:rsidR="0085636A" w:rsidRPr="008D0FEC">
        <w:rPr>
          <w:szCs w:val="22"/>
          <w:lang w:val="en-GB"/>
        </w:rPr>
        <w:t xml:space="preserve">for employers </w:t>
      </w:r>
      <w:r w:rsidR="00D360B0" w:rsidRPr="008D0FEC">
        <w:rPr>
          <w:szCs w:val="22"/>
          <w:lang w:val="en-GB"/>
        </w:rPr>
        <w:t>via the self-service environment of the Labour Inspectorate</w:t>
      </w:r>
      <w:r w:rsidR="0085636A" w:rsidRPr="008D0FEC">
        <w:rPr>
          <w:szCs w:val="22"/>
          <w:lang w:val="en-GB"/>
        </w:rPr>
        <w:t xml:space="preserve"> website. There will be the reporting obligation to companies with 100 or more employees.</w:t>
      </w:r>
      <w:r w:rsidR="002A377B" w:rsidRPr="008D0FEC">
        <w:rPr>
          <w:szCs w:val="22"/>
          <w:lang w:val="en-GB"/>
        </w:rPr>
        <w:t xml:space="preserve"> The reporting obligation will encompass roughly 889 organisations in Estonia, constituting approximately 1% of all employers in the country.</w:t>
      </w:r>
      <w:r w:rsidR="00AC18EF" w:rsidRPr="008D0FEC">
        <w:rPr>
          <w:rStyle w:val="FootnoteReference"/>
          <w:szCs w:val="22"/>
          <w:lang w:val="en-GB"/>
        </w:rPr>
        <w:footnoteReference w:id="22"/>
      </w:r>
      <w:r w:rsidR="002A377B" w:rsidRPr="008D0FEC">
        <w:rPr>
          <w:szCs w:val="22"/>
          <w:lang w:val="en-GB"/>
        </w:rPr>
        <w:t xml:space="preserve"> Among these, 192 are government and state institutions. It should be admitted that Estonia is dominated by micro and small ente</w:t>
      </w:r>
      <w:r w:rsidR="00AC18EF" w:rsidRPr="008D0FEC">
        <w:rPr>
          <w:szCs w:val="22"/>
          <w:lang w:val="en-GB"/>
        </w:rPr>
        <w:t>r</w:t>
      </w:r>
      <w:r w:rsidR="002A377B" w:rsidRPr="008D0FEC">
        <w:rPr>
          <w:szCs w:val="22"/>
          <w:lang w:val="en-GB"/>
        </w:rPr>
        <w:t>prises</w:t>
      </w:r>
      <w:r w:rsidR="00EB67EC" w:rsidRPr="008D0FEC">
        <w:rPr>
          <w:rStyle w:val="FootnoteReference"/>
          <w:szCs w:val="22"/>
          <w:lang w:val="en-GB"/>
        </w:rPr>
        <w:footnoteReference w:id="23"/>
      </w:r>
      <w:r w:rsidR="002A377B" w:rsidRPr="008D0FEC">
        <w:rPr>
          <w:szCs w:val="22"/>
          <w:lang w:val="en-GB"/>
        </w:rPr>
        <w:t xml:space="preserve"> and employees need to know about pay level. </w:t>
      </w:r>
      <w:r w:rsidR="009300A6" w:rsidRPr="008D0FEC">
        <w:rPr>
          <w:szCs w:val="22"/>
          <w:lang w:val="en-GB"/>
        </w:rPr>
        <w:t>Estonia has salaries of civil servants</w:t>
      </w:r>
      <w:r w:rsidR="008D0FEC">
        <w:rPr>
          <w:szCs w:val="22"/>
          <w:lang w:val="en-GB"/>
        </w:rPr>
        <w:t>’</w:t>
      </w:r>
      <w:r w:rsidR="009300A6" w:rsidRPr="008D0FEC">
        <w:rPr>
          <w:szCs w:val="22"/>
          <w:lang w:val="en-GB"/>
        </w:rPr>
        <w:t xml:space="preserve"> public, but </w:t>
      </w:r>
      <w:r w:rsidR="00CE4353" w:rsidRPr="008D0FEC">
        <w:rPr>
          <w:szCs w:val="22"/>
          <w:lang w:val="en-GB"/>
        </w:rPr>
        <w:t xml:space="preserve">salaries of </w:t>
      </w:r>
      <w:r w:rsidR="009300A6" w:rsidRPr="008D0FEC">
        <w:rPr>
          <w:szCs w:val="22"/>
          <w:lang w:val="en-GB"/>
        </w:rPr>
        <w:t xml:space="preserve">employees working in the </w:t>
      </w:r>
      <w:r w:rsidR="00CE4353" w:rsidRPr="008D0FEC">
        <w:rPr>
          <w:szCs w:val="22"/>
          <w:lang w:val="en-GB"/>
        </w:rPr>
        <w:t>public</w:t>
      </w:r>
      <w:r w:rsidR="009300A6" w:rsidRPr="008D0FEC">
        <w:rPr>
          <w:szCs w:val="22"/>
          <w:lang w:val="en-GB"/>
        </w:rPr>
        <w:t xml:space="preserve"> sector under the Employment Contracts Act</w:t>
      </w:r>
      <w:r w:rsidR="00CE4353" w:rsidRPr="008D0FEC">
        <w:rPr>
          <w:szCs w:val="22"/>
          <w:lang w:val="en-GB"/>
        </w:rPr>
        <w:t xml:space="preserve"> are not disclosed.</w:t>
      </w:r>
      <w:r w:rsidR="003D1F74" w:rsidRPr="008D0FEC">
        <w:rPr>
          <w:szCs w:val="22"/>
          <w:lang w:val="en-GB"/>
        </w:rPr>
        <w:t xml:space="preserve"> </w:t>
      </w:r>
    </w:p>
    <w:p w14:paraId="06E71A86" w14:textId="4DA7DEF8" w:rsidR="002909E7" w:rsidRPr="008D0FEC" w:rsidRDefault="002909E7" w:rsidP="00EA37B9">
      <w:pPr>
        <w:pStyle w:val="ListParagraph"/>
        <w:rPr>
          <w:szCs w:val="22"/>
          <w:lang w:val="en-GB"/>
        </w:rPr>
      </w:pPr>
      <w:r w:rsidRPr="008D0FEC">
        <w:rPr>
          <w:szCs w:val="22"/>
          <w:lang w:val="en-GB"/>
        </w:rPr>
        <w:t>There are significant gaps in statistics regarding domestic violence</w:t>
      </w:r>
      <w:r w:rsidR="005153A4" w:rsidRPr="008D0FEC">
        <w:rPr>
          <w:szCs w:val="22"/>
          <w:lang w:val="en-GB"/>
        </w:rPr>
        <w:t xml:space="preserve"> (Q9)</w:t>
      </w:r>
      <w:r w:rsidRPr="008D0FEC">
        <w:rPr>
          <w:szCs w:val="22"/>
          <w:lang w:val="en-GB"/>
        </w:rPr>
        <w:t xml:space="preserve">. Due to limitations in data collection procedures, legal frameworks, and under-resourced personnel in the </w:t>
      </w:r>
      <w:r w:rsidR="006E6312" w:rsidRPr="008D0FEC">
        <w:rPr>
          <w:szCs w:val="22"/>
          <w:lang w:val="en-GB"/>
        </w:rPr>
        <w:t>A</w:t>
      </w:r>
      <w:r w:rsidRPr="008D0FEC">
        <w:rPr>
          <w:szCs w:val="22"/>
          <w:lang w:val="en-GB"/>
        </w:rPr>
        <w:t xml:space="preserve">nalysis </w:t>
      </w:r>
      <w:r w:rsidR="006E6312" w:rsidRPr="008D0FEC">
        <w:rPr>
          <w:szCs w:val="22"/>
          <w:lang w:val="en-GB"/>
        </w:rPr>
        <w:t>Division</w:t>
      </w:r>
      <w:r w:rsidRPr="008D0FEC">
        <w:rPr>
          <w:szCs w:val="22"/>
          <w:lang w:val="en-GB"/>
        </w:rPr>
        <w:t xml:space="preserve"> of the Ministry of Justice, it is impossible to obtain information about the types of violence related to domestic violence and the prevalence of violence committed in close relationships or by intimate or former partners.</w:t>
      </w:r>
      <w:r w:rsidR="006E6312" w:rsidRPr="008D0FEC">
        <w:rPr>
          <w:szCs w:val="22"/>
          <w:lang w:val="en-GB"/>
        </w:rPr>
        <w:t xml:space="preserve"> </w:t>
      </w:r>
    </w:p>
    <w:p w14:paraId="1BA6A1F3" w14:textId="77777777" w:rsidR="005D4E6A" w:rsidRPr="008D0FEC" w:rsidRDefault="00DD4BE2" w:rsidP="00EA37B9">
      <w:pPr>
        <w:pStyle w:val="ListParagraph"/>
        <w:rPr>
          <w:color w:val="202020"/>
          <w:szCs w:val="22"/>
          <w:lang w:val="en-GB"/>
        </w:rPr>
      </w:pPr>
      <w:r w:rsidRPr="008D0FEC">
        <w:rPr>
          <w:szCs w:val="22"/>
          <w:lang w:val="en-GB"/>
        </w:rPr>
        <w:t>Data about barring and restraining orders in domestic violence cases are unavailable.</w:t>
      </w:r>
      <w:r w:rsidR="005D4E6A" w:rsidRPr="008D0FEC">
        <w:rPr>
          <w:szCs w:val="22"/>
          <w:lang w:val="en-GB"/>
        </w:rPr>
        <w:t xml:space="preserve"> </w:t>
      </w:r>
    </w:p>
    <w:p w14:paraId="060FFD8C" w14:textId="6A2B25A7" w:rsidR="005D4E6A" w:rsidRPr="008D0FEC" w:rsidRDefault="00ED026D" w:rsidP="00EA37B9">
      <w:pPr>
        <w:pStyle w:val="ListParagraph"/>
        <w:rPr>
          <w:szCs w:val="22"/>
          <w:shd w:val="clear" w:color="auto" w:fill="auto"/>
          <w:lang w:val="en-GB"/>
        </w:rPr>
      </w:pPr>
      <w:r w:rsidRPr="008D0FEC">
        <w:rPr>
          <w:szCs w:val="22"/>
          <w:lang w:val="en-GB"/>
        </w:rPr>
        <w:t xml:space="preserve">Collecting and </w:t>
      </w:r>
      <w:r w:rsidR="008D0FEC" w:rsidRPr="008D0FEC">
        <w:rPr>
          <w:szCs w:val="22"/>
          <w:lang w:val="en-GB"/>
        </w:rPr>
        <w:t>analysing</w:t>
      </w:r>
      <w:r w:rsidRPr="008D0FEC">
        <w:rPr>
          <w:szCs w:val="22"/>
          <w:lang w:val="en-GB"/>
        </w:rPr>
        <w:t xml:space="preserve"> gender disaggregated data to identify disparities and inform decision-making should be better, Article 11(2) of the GEA should be implemented and a </w:t>
      </w:r>
      <w:r w:rsidRPr="008D0FEC">
        <w:rPr>
          <w:color w:val="202020"/>
          <w:szCs w:val="22"/>
          <w:lang w:val="en-GB"/>
        </w:rPr>
        <w:t xml:space="preserve">regulation of </w:t>
      </w:r>
      <w:r w:rsidRPr="008D0FEC">
        <w:rPr>
          <w:color w:val="202020"/>
          <w:szCs w:val="22"/>
          <w:lang w:val="en-GB"/>
        </w:rPr>
        <w:lastRenderedPageBreak/>
        <w:t>the Government of the Republic</w:t>
      </w:r>
      <w:r w:rsidRPr="008D0FEC">
        <w:rPr>
          <w:szCs w:val="22"/>
          <w:lang w:val="en-GB"/>
        </w:rPr>
        <w:t xml:space="preserve"> on t</w:t>
      </w:r>
      <w:r w:rsidRPr="008D0FEC">
        <w:rPr>
          <w:color w:val="202020"/>
          <w:szCs w:val="22"/>
          <w:lang w:val="en-GB"/>
        </w:rPr>
        <w:t>he procedure for the collection of data and a list of data should be issued.</w:t>
      </w:r>
      <w:r w:rsidRPr="008D0FEC">
        <w:rPr>
          <w:rStyle w:val="FootnoteReference"/>
          <w:color w:val="202020"/>
          <w:szCs w:val="22"/>
          <w:lang w:val="en-GB"/>
        </w:rPr>
        <w:footnoteReference w:id="24"/>
      </w:r>
      <w:r w:rsidR="005D4E6A" w:rsidRPr="008D0FEC">
        <w:rPr>
          <w:color w:val="202020"/>
          <w:szCs w:val="22"/>
          <w:lang w:val="en-GB"/>
        </w:rPr>
        <w:t xml:space="preserve">  </w:t>
      </w:r>
    </w:p>
    <w:p w14:paraId="2A3D8B5B" w14:textId="1A61B45F" w:rsidR="00554FB3" w:rsidRPr="008D0FEC" w:rsidRDefault="005D4E6A" w:rsidP="00EA37B9">
      <w:pPr>
        <w:pStyle w:val="ListParagraph"/>
        <w:rPr>
          <w:lang w:val="en-GB"/>
        </w:rPr>
      </w:pPr>
      <w:r w:rsidRPr="008D0FEC">
        <w:rPr>
          <w:lang w:val="en-GB"/>
        </w:rPr>
        <w:t xml:space="preserve">Collection of gender-disaggregated data on the national level is possible when state orders these data and allocates resources to Statistics Estonia. Statistical data used to be centralized under the jurisdiction of the Statistical Office, but in recent decades, data from certain domains has been transferred to a subordinate institution of the ministry responsible for the administrative area. In the case of Estonia, this means understanding the specificities of various databases, and often, there is also a lack of access to the data. </w:t>
      </w:r>
    </w:p>
    <w:p w14:paraId="14DFA60F" w14:textId="77777777" w:rsidR="004636E2" w:rsidRPr="008D0FEC" w:rsidRDefault="004636E2" w:rsidP="00600BDD">
      <w:pPr>
        <w:rPr>
          <w:lang w:val="en-GB"/>
        </w:rPr>
      </w:pPr>
    </w:p>
    <w:p w14:paraId="76CE090A" w14:textId="33057DC4" w:rsidR="003D1F74" w:rsidRPr="008D0FEC" w:rsidRDefault="003D1F74" w:rsidP="003C2269">
      <w:pPr>
        <w:pStyle w:val="Heading1"/>
        <w:rPr>
          <w:lang w:val="en-GB"/>
        </w:rPr>
      </w:pPr>
      <w:bookmarkStart w:id="6" w:name="_Toc164144574"/>
      <w:r w:rsidRPr="008D0FEC">
        <w:rPr>
          <w:lang w:val="en-GB"/>
        </w:rPr>
        <w:t>Recomme</w:t>
      </w:r>
      <w:r w:rsidR="003C2269" w:rsidRPr="008D0FEC">
        <w:rPr>
          <w:lang w:val="en-GB"/>
        </w:rPr>
        <w:t>n</w:t>
      </w:r>
      <w:r w:rsidRPr="008D0FEC">
        <w:rPr>
          <w:lang w:val="en-GB"/>
        </w:rPr>
        <w:t>dations</w:t>
      </w:r>
      <w:bookmarkEnd w:id="6"/>
    </w:p>
    <w:p w14:paraId="350DE6E7" w14:textId="77777777" w:rsidR="004636E2" w:rsidRPr="008D0FEC" w:rsidRDefault="004636E2" w:rsidP="004636E2">
      <w:pPr>
        <w:pStyle w:val="Style1"/>
        <w:rPr>
          <w:rFonts w:cs="Calibri"/>
          <w:szCs w:val="22"/>
          <w:lang w:val="en-GB"/>
        </w:rPr>
      </w:pPr>
    </w:p>
    <w:p w14:paraId="28955E36" w14:textId="6A67F211" w:rsidR="00EA37B9" w:rsidRPr="008D0FEC" w:rsidRDefault="00CB1CD5" w:rsidP="007E451C">
      <w:pPr>
        <w:pStyle w:val="ListParagraph"/>
        <w:numPr>
          <w:ilvl w:val="0"/>
          <w:numId w:val="24"/>
        </w:numPr>
        <w:rPr>
          <w:szCs w:val="22"/>
          <w:lang w:val="en-GB"/>
        </w:rPr>
      </w:pPr>
      <w:r w:rsidRPr="008D0FEC">
        <w:rPr>
          <w:szCs w:val="22"/>
          <w:lang w:val="en-GB"/>
        </w:rPr>
        <w:t>Estonia needs gender equality strategies and action plans that clearly consider gender aspect. There is a need for a</w:t>
      </w:r>
      <w:r w:rsidR="00455E3B" w:rsidRPr="008D0FEC">
        <w:rPr>
          <w:szCs w:val="22"/>
          <w:lang w:val="en-GB"/>
        </w:rPr>
        <w:t xml:space="preserve">n </w:t>
      </w:r>
      <w:r w:rsidR="008D0FEC" w:rsidRPr="008D0FEC">
        <w:rPr>
          <w:szCs w:val="22"/>
          <w:lang w:val="en-GB"/>
        </w:rPr>
        <w:t>integrated gender</w:t>
      </w:r>
      <w:r w:rsidRPr="008D0FEC">
        <w:rPr>
          <w:szCs w:val="22"/>
          <w:lang w:val="en-GB"/>
        </w:rPr>
        <w:t xml:space="preserve"> equality strategy that covers all areas of life</w:t>
      </w:r>
      <w:r w:rsidR="00455E3B" w:rsidRPr="008D0FEC">
        <w:rPr>
          <w:szCs w:val="22"/>
          <w:lang w:val="en-GB"/>
        </w:rPr>
        <w:t xml:space="preserve">. </w:t>
      </w:r>
      <w:r w:rsidR="0005699C" w:rsidRPr="008D0FEC">
        <w:rPr>
          <w:szCs w:val="22"/>
          <w:lang w:val="en-GB"/>
        </w:rPr>
        <w:t xml:space="preserve">Gender aspect should be considered in </w:t>
      </w:r>
      <w:r w:rsidR="00F0432C" w:rsidRPr="008D0FEC">
        <w:rPr>
          <w:szCs w:val="22"/>
          <w:lang w:val="en-GB"/>
        </w:rPr>
        <w:t xml:space="preserve">green and </w:t>
      </w:r>
      <w:r w:rsidR="0005699C" w:rsidRPr="008D0FEC">
        <w:rPr>
          <w:szCs w:val="22"/>
          <w:lang w:val="en-GB"/>
        </w:rPr>
        <w:t>fair transition, energy, entrepreneurship and innovation strategies, declarative statements should be avoided.</w:t>
      </w:r>
    </w:p>
    <w:p w14:paraId="32A1830F" w14:textId="04F43B58" w:rsidR="00EA37B9" w:rsidRPr="008D0FEC" w:rsidRDefault="00455E3B" w:rsidP="007E451C">
      <w:pPr>
        <w:pStyle w:val="ListParagraph"/>
        <w:numPr>
          <w:ilvl w:val="0"/>
          <w:numId w:val="24"/>
        </w:numPr>
        <w:rPr>
          <w:szCs w:val="22"/>
          <w:lang w:val="en-GB"/>
        </w:rPr>
      </w:pPr>
      <w:r w:rsidRPr="008D0FEC">
        <w:rPr>
          <w:szCs w:val="22"/>
          <w:lang w:val="en-GB"/>
        </w:rPr>
        <w:t xml:space="preserve">There is the need for </w:t>
      </w:r>
      <w:r w:rsidR="00CB1CD5" w:rsidRPr="008D0FEC">
        <w:rPr>
          <w:szCs w:val="22"/>
          <w:lang w:val="en-GB"/>
        </w:rPr>
        <w:t>a gender mainstreaming strategy, and a national anti-poverty strategy in collaboration with local governments and civil society organizations).</w:t>
      </w:r>
      <w:r w:rsidR="0005699C" w:rsidRPr="008D0FEC">
        <w:rPr>
          <w:szCs w:val="22"/>
          <w:lang w:val="en-GB"/>
        </w:rPr>
        <w:t xml:space="preserve"> </w:t>
      </w:r>
    </w:p>
    <w:p w14:paraId="2684595A" w14:textId="563B0E54" w:rsidR="00EA37B9" w:rsidRPr="008D0FEC" w:rsidRDefault="000A5351" w:rsidP="00162B88">
      <w:pPr>
        <w:pStyle w:val="ListParagraph"/>
        <w:numPr>
          <w:ilvl w:val="0"/>
          <w:numId w:val="24"/>
        </w:numPr>
        <w:rPr>
          <w:szCs w:val="22"/>
          <w:lang w:val="en-GB"/>
        </w:rPr>
      </w:pPr>
      <w:r w:rsidRPr="008D0FEC">
        <w:rPr>
          <w:szCs w:val="22"/>
          <w:lang w:val="en-GB"/>
        </w:rPr>
        <w:t>Gender aspects should be incorporated into all action plans in accordance with the goals outlined in the strategies.</w:t>
      </w:r>
      <w:r w:rsidR="0042587A" w:rsidRPr="008D0FEC">
        <w:rPr>
          <w:szCs w:val="22"/>
          <w:lang w:val="en-GB"/>
        </w:rPr>
        <w:t xml:space="preserve"> </w:t>
      </w:r>
    </w:p>
    <w:p w14:paraId="47664F47" w14:textId="60ECFB85" w:rsidR="00EA37B9" w:rsidRPr="008D0FEC" w:rsidRDefault="0042587A" w:rsidP="007A502A">
      <w:pPr>
        <w:pStyle w:val="ListParagraph"/>
        <w:numPr>
          <w:ilvl w:val="0"/>
          <w:numId w:val="24"/>
        </w:numPr>
        <w:rPr>
          <w:szCs w:val="22"/>
          <w:lang w:val="en-GB"/>
        </w:rPr>
      </w:pPr>
      <w:r w:rsidRPr="008D0FEC">
        <w:rPr>
          <w:szCs w:val="22"/>
          <w:lang w:val="en-GB"/>
        </w:rPr>
        <w:t xml:space="preserve">Marginalised and vulnerable groups should be </w:t>
      </w:r>
      <w:r w:rsidR="008D0FEC" w:rsidRPr="008D0FEC">
        <w:rPr>
          <w:szCs w:val="22"/>
          <w:lang w:val="en-GB"/>
        </w:rPr>
        <w:t>named,</w:t>
      </w:r>
      <w:r w:rsidRPr="008D0FEC">
        <w:rPr>
          <w:szCs w:val="22"/>
          <w:lang w:val="en-GB"/>
        </w:rPr>
        <w:t xml:space="preserve"> and support schemes should be targeted. To implement measures for making dignified ageing reality.</w:t>
      </w:r>
    </w:p>
    <w:p w14:paraId="4E92E28A" w14:textId="563BB266" w:rsidR="00EA37B9" w:rsidRPr="008D0FEC" w:rsidRDefault="0042587A" w:rsidP="00A4736C">
      <w:pPr>
        <w:pStyle w:val="ListParagraph"/>
        <w:numPr>
          <w:ilvl w:val="0"/>
          <w:numId w:val="24"/>
        </w:numPr>
        <w:rPr>
          <w:szCs w:val="22"/>
          <w:lang w:val="en-GB"/>
        </w:rPr>
      </w:pPr>
      <w:r w:rsidRPr="008D0FEC">
        <w:rPr>
          <w:szCs w:val="22"/>
          <w:lang w:val="en-GB"/>
        </w:rPr>
        <w:t>Law</w:t>
      </w:r>
      <w:r w:rsidR="00740E63" w:rsidRPr="008D0FEC">
        <w:rPr>
          <w:szCs w:val="22"/>
          <w:lang w:val="en-GB"/>
        </w:rPr>
        <w:t xml:space="preserve"> development</w:t>
      </w:r>
      <w:r w:rsidRPr="008D0FEC">
        <w:rPr>
          <w:szCs w:val="22"/>
          <w:lang w:val="en-GB"/>
        </w:rPr>
        <w:t xml:space="preserve"> is needed.</w:t>
      </w:r>
      <w:r w:rsidR="00740E63" w:rsidRPr="008D0FEC">
        <w:rPr>
          <w:szCs w:val="22"/>
          <w:lang w:val="en-GB"/>
        </w:rPr>
        <w:t xml:space="preserve"> Amendments are urgent</w:t>
      </w:r>
      <w:r w:rsidR="00F22CA0" w:rsidRPr="008D0FEC">
        <w:rPr>
          <w:szCs w:val="22"/>
          <w:lang w:val="en-GB"/>
        </w:rPr>
        <w:t>l</w:t>
      </w:r>
      <w:r w:rsidR="00740E63" w:rsidRPr="008D0FEC">
        <w:rPr>
          <w:szCs w:val="22"/>
          <w:lang w:val="en-GB"/>
        </w:rPr>
        <w:t>y needed in the Penal Code</w:t>
      </w:r>
      <w:r w:rsidR="000F6E96" w:rsidRPr="008D0FEC">
        <w:rPr>
          <w:szCs w:val="22"/>
          <w:lang w:val="en-GB"/>
        </w:rPr>
        <w:t>. There is the need to</w:t>
      </w:r>
      <w:r w:rsidR="00A1265D" w:rsidRPr="008D0FEC">
        <w:rPr>
          <w:szCs w:val="22"/>
          <w:lang w:val="en-GB"/>
        </w:rPr>
        <w:t xml:space="preserve"> make legal amendments, where violence against women and girls is defined as violation of human rights and a consequence of discrimination against </w:t>
      </w:r>
      <w:r w:rsidR="008D0FEC" w:rsidRPr="008D0FEC">
        <w:rPr>
          <w:szCs w:val="22"/>
          <w:lang w:val="en-GB"/>
        </w:rPr>
        <w:t>women,</w:t>
      </w:r>
      <w:r w:rsidR="00A1265D" w:rsidRPr="008D0FEC">
        <w:rPr>
          <w:szCs w:val="22"/>
          <w:lang w:val="en-GB"/>
        </w:rPr>
        <w:t xml:space="preserve"> where all forms of gender-based violence could be tackled.</w:t>
      </w:r>
    </w:p>
    <w:p w14:paraId="2F32A949" w14:textId="36E6C7FC" w:rsidR="0061694A" w:rsidRPr="008D0FEC" w:rsidRDefault="0061694A" w:rsidP="00A661CE">
      <w:pPr>
        <w:pStyle w:val="ListParagraph"/>
        <w:numPr>
          <w:ilvl w:val="0"/>
          <w:numId w:val="24"/>
        </w:numPr>
        <w:rPr>
          <w:szCs w:val="22"/>
          <w:lang w:val="en-GB"/>
        </w:rPr>
      </w:pPr>
      <w:r w:rsidRPr="008D0FEC">
        <w:rPr>
          <w:szCs w:val="22"/>
          <w:lang w:val="en-GB"/>
        </w:rPr>
        <w:t xml:space="preserve">Development of equality and equal treatment legislation; legal texts on unlawful grounds of identified discrimination should be harmonised. </w:t>
      </w:r>
    </w:p>
    <w:p w14:paraId="0780497C" w14:textId="75A27B60" w:rsidR="0061694A" w:rsidRPr="008D0FEC" w:rsidRDefault="0061694A" w:rsidP="0061694A">
      <w:pPr>
        <w:pStyle w:val="NormalWeb"/>
        <w:numPr>
          <w:ilvl w:val="0"/>
          <w:numId w:val="24"/>
        </w:numPr>
        <w:rPr>
          <w:rFonts w:ascii="Calibri" w:hAnsi="Calibri" w:cs="Calibri"/>
          <w:sz w:val="22"/>
          <w:szCs w:val="22"/>
          <w:lang w:val="en-GB"/>
        </w:rPr>
      </w:pPr>
      <w:r w:rsidRPr="008D0FEC">
        <w:rPr>
          <w:rFonts w:ascii="Calibri" w:hAnsi="Calibri" w:cs="Calibri"/>
          <w:sz w:val="22"/>
          <w:szCs w:val="22"/>
          <w:lang w:val="en-GB"/>
        </w:rPr>
        <w:t xml:space="preserve">Training programs on gender and the application of the UN Conventions and the Istanbul </w:t>
      </w:r>
      <w:r w:rsidR="00455E3B" w:rsidRPr="008D0FEC">
        <w:rPr>
          <w:rFonts w:ascii="Calibri" w:hAnsi="Calibri" w:cs="Calibri"/>
          <w:sz w:val="22"/>
          <w:szCs w:val="22"/>
          <w:lang w:val="en-GB"/>
        </w:rPr>
        <w:t>C</w:t>
      </w:r>
      <w:r w:rsidRPr="008D0FEC">
        <w:rPr>
          <w:rFonts w:ascii="Calibri" w:hAnsi="Calibri" w:cs="Calibri"/>
          <w:sz w:val="22"/>
          <w:szCs w:val="22"/>
          <w:lang w:val="en-GB"/>
        </w:rPr>
        <w:t>onvention should be mandatory for judges, prosecutors, and lawyers.</w:t>
      </w:r>
    </w:p>
    <w:p w14:paraId="24B0770E" w14:textId="008183D4" w:rsidR="0033489B" w:rsidRPr="008D0FEC" w:rsidRDefault="00455E3B" w:rsidP="00E12127">
      <w:pPr>
        <w:pStyle w:val="NormalWeb"/>
        <w:numPr>
          <w:ilvl w:val="0"/>
          <w:numId w:val="24"/>
        </w:numPr>
        <w:rPr>
          <w:rFonts w:ascii="Calibri" w:hAnsi="Calibri" w:cs="Calibri"/>
          <w:sz w:val="22"/>
          <w:szCs w:val="22"/>
          <w:lang w:val="en-GB"/>
        </w:rPr>
      </w:pPr>
      <w:r w:rsidRPr="008D0FEC">
        <w:rPr>
          <w:rFonts w:ascii="Calibri" w:hAnsi="Calibri" w:cs="Calibri"/>
          <w:sz w:val="22"/>
          <w:szCs w:val="22"/>
          <w:lang w:val="en-GB"/>
        </w:rPr>
        <w:t xml:space="preserve">Separate courts or judges for Domestic Violence cases should be nominated to ensure </w:t>
      </w:r>
      <w:r w:rsidR="003638E5" w:rsidRPr="008D0FEC">
        <w:rPr>
          <w:rFonts w:ascii="Calibri" w:hAnsi="Calibri" w:cs="Calibri"/>
          <w:sz w:val="22"/>
          <w:szCs w:val="22"/>
          <w:lang w:val="en-GB"/>
        </w:rPr>
        <w:t>b</w:t>
      </w:r>
      <w:r w:rsidRPr="008D0FEC">
        <w:rPr>
          <w:rFonts w:ascii="Calibri" w:hAnsi="Calibri" w:cs="Calibri"/>
          <w:sz w:val="22"/>
          <w:szCs w:val="22"/>
          <w:lang w:val="en-GB"/>
        </w:rPr>
        <w:t xml:space="preserve">alanced, </w:t>
      </w:r>
      <w:r w:rsidR="008D0FEC" w:rsidRPr="008D0FEC">
        <w:rPr>
          <w:rFonts w:ascii="Calibri" w:hAnsi="Calibri" w:cs="Calibri"/>
          <w:sz w:val="22"/>
          <w:szCs w:val="22"/>
          <w:lang w:val="en-GB"/>
        </w:rPr>
        <w:t>informed,</w:t>
      </w:r>
      <w:r w:rsidRPr="008D0FEC">
        <w:rPr>
          <w:rFonts w:ascii="Calibri" w:hAnsi="Calibri" w:cs="Calibri"/>
          <w:sz w:val="22"/>
          <w:szCs w:val="22"/>
          <w:lang w:val="en-GB"/>
        </w:rPr>
        <w:t xml:space="preserve"> and fair trials.</w:t>
      </w:r>
      <w:r w:rsidR="0033489B" w:rsidRPr="008D0FEC">
        <w:rPr>
          <w:rFonts w:ascii="Calibri" w:hAnsi="Calibri" w:cs="Calibri"/>
          <w:sz w:val="22"/>
          <w:szCs w:val="22"/>
          <w:lang w:val="en-GB"/>
        </w:rPr>
        <w:t xml:space="preserve"> </w:t>
      </w:r>
    </w:p>
    <w:p w14:paraId="046B977A" w14:textId="77777777" w:rsidR="00EA37B9" w:rsidRPr="008D0FEC" w:rsidRDefault="003638E5" w:rsidP="00571E58">
      <w:pPr>
        <w:pStyle w:val="NormalWeb"/>
        <w:numPr>
          <w:ilvl w:val="0"/>
          <w:numId w:val="24"/>
        </w:numPr>
        <w:rPr>
          <w:rFonts w:ascii="Calibri" w:hAnsi="Calibri" w:cs="Calibri"/>
          <w:sz w:val="22"/>
          <w:szCs w:val="22"/>
          <w:lang w:val="en-GB"/>
        </w:rPr>
      </w:pPr>
      <w:r w:rsidRPr="008D0FEC">
        <w:rPr>
          <w:rFonts w:ascii="Calibri" w:hAnsi="Calibri" w:cs="Calibri"/>
          <w:sz w:val="22"/>
          <w:szCs w:val="22"/>
          <w:lang w:val="en-GB"/>
        </w:rPr>
        <w:t>Awareness raising campaigns addressing issues of gender equality, violence against women and domestic violence should be in state budget and carried out annually</w:t>
      </w:r>
      <w:r w:rsidR="0042587A" w:rsidRPr="008D0FEC">
        <w:rPr>
          <w:rFonts w:ascii="Calibri" w:hAnsi="Calibri" w:cs="Calibri"/>
          <w:sz w:val="22"/>
          <w:szCs w:val="22"/>
          <w:lang w:val="en-GB"/>
        </w:rPr>
        <w:t>.</w:t>
      </w:r>
      <w:r w:rsidR="00EA37B9" w:rsidRPr="008D0FEC">
        <w:rPr>
          <w:rFonts w:ascii="Calibri" w:hAnsi="Calibri" w:cs="Calibri"/>
          <w:sz w:val="22"/>
          <w:szCs w:val="22"/>
          <w:lang w:val="en-GB"/>
        </w:rPr>
        <w:t xml:space="preserve"> </w:t>
      </w:r>
    </w:p>
    <w:p w14:paraId="08D7FC58" w14:textId="2023471B" w:rsidR="003638E5" w:rsidRPr="008D0FEC" w:rsidRDefault="00090C9B" w:rsidP="00571E58">
      <w:pPr>
        <w:pStyle w:val="NormalWeb"/>
        <w:numPr>
          <w:ilvl w:val="0"/>
          <w:numId w:val="24"/>
        </w:numPr>
        <w:rPr>
          <w:rFonts w:ascii="Calibri" w:hAnsi="Calibri" w:cs="Calibri"/>
          <w:sz w:val="22"/>
          <w:szCs w:val="22"/>
          <w:lang w:val="en-GB"/>
        </w:rPr>
      </w:pPr>
      <w:r w:rsidRPr="008D0FEC">
        <w:rPr>
          <w:rFonts w:ascii="Calibri" w:hAnsi="Calibri" w:cs="Calibri"/>
          <w:sz w:val="22"/>
          <w:szCs w:val="22"/>
          <w:lang w:val="en-GB"/>
        </w:rPr>
        <w:t>Encouragement and empowerment of women for protecting their rights should be done regularly via public awareness campaigns. State owned media channels could be used for this as well.</w:t>
      </w:r>
    </w:p>
    <w:p w14:paraId="0A65DBC1" w14:textId="47F44538" w:rsidR="008E5D38" w:rsidRPr="008D0FEC" w:rsidRDefault="0033489B" w:rsidP="00C276AB">
      <w:pPr>
        <w:pStyle w:val="NormalWeb"/>
        <w:numPr>
          <w:ilvl w:val="0"/>
          <w:numId w:val="24"/>
        </w:numPr>
        <w:rPr>
          <w:rFonts w:ascii="Calibri" w:hAnsi="Calibri" w:cs="Calibri"/>
          <w:sz w:val="22"/>
          <w:szCs w:val="22"/>
          <w:lang w:val="en-GB"/>
        </w:rPr>
      </w:pPr>
      <w:r w:rsidRPr="008D0FEC">
        <w:rPr>
          <w:rFonts w:ascii="Calibri" w:hAnsi="Calibri" w:cs="Calibri"/>
          <w:sz w:val="22"/>
          <w:szCs w:val="22"/>
          <w:lang w:val="en-GB"/>
        </w:rPr>
        <w:t xml:space="preserve">To promote pay transparency and to provide sex-segregated data by employers in the public and private sectors. </w:t>
      </w:r>
      <w:r w:rsidR="009603FB" w:rsidRPr="008D0FEC">
        <w:rPr>
          <w:rFonts w:ascii="Calibri" w:hAnsi="Calibri" w:cs="Calibri"/>
          <w:sz w:val="22"/>
          <w:szCs w:val="22"/>
          <w:lang w:val="en-GB"/>
        </w:rPr>
        <w:t xml:space="preserve">Estonia has </w:t>
      </w:r>
      <w:r w:rsidR="00504839" w:rsidRPr="008D0FEC">
        <w:rPr>
          <w:rFonts w:ascii="Calibri" w:hAnsi="Calibri" w:cs="Calibri"/>
          <w:sz w:val="22"/>
          <w:szCs w:val="22"/>
          <w:lang w:val="en-GB"/>
        </w:rPr>
        <w:t xml:space="preserve">a </w:t>
      </w:r>
      <w:r w:rsidR="009603FB" w:rsidRPr="008D0FEC">
        <w:rPr>
          <w:rFonts w:ascii="Calibri" w:hAnsi="Calibri" w:cs="Calibri"/>
          <w:sz w:val="22"/>
          <w:szCs w:val="22"/>
          <w:lang w:val="en-GB"/>
        </w:rPr>
        <w:t xml:space="preserve">time to transform requirements by EU Pay Transparency Directive until June 2026. </w:t>
      </w:r>
      <w:r w:rsidR="008E5D38" w:rsidRPr="008D0FEC">
        <w:rPr>
          <w:rFonts w:ascii="Calibri" w:hAnsi="Calibri" w:cs="Calibri"/>
          <w:sz w:val="22"/>
          <w:szCs w:val="22"/>
          <w:lang w:val="en-GB"/>
        </w:rPr>
        <w:t>The pay transparency tool "Pay Mirror" should be made user-friendly, and salary levels should be accessible for employees and job seekers. The State Party should take measures to enable access to pay information in small enterprises.</w:t>
      </w:r>
      <w:r w:rsidRPr="008D0FEC">
        <w:rPr>
          <w:rFonts w:ascii="Calibri" w:hAnsi="Calibri" w:cs="Calibri"/>
          <w:sz w:val="22"/>
          <w:szCs w:val="22"/>
          <w:lang w:val="en-GB"/>
        </w:rPr>
        <w:t xml:space="preserve"> </w:t>
      </w:r>
    </w:p>
    <w:p w14:paraId="28A75747" w14:textId="717D3E2F" w:rsidR="0005699C" w:rsidRPr="008D0FEC" w:rsidRDefault="0005699C" w:rsidP="0005699C">
      <w:pPr>
        <w:pStyle w:val="NormalWeb"/>
        <w:numPr>
          <w:ilvl w:val="0"/>
          <w:numId w:val="24"/>
        </w:numPr>
        <w:rPr>
          <w:rFonts w:ascii="Calibri" w:hAnsi="Calibri" w:cs="Calibri"/>
          <w:sz w:val="22"/>
          <w:szCs w:val="22"/>
          <w:lang w:val="en-GB"/>
        </w:rPr>
      </w:pPr>
      <w:r w:rsidRPr="008D0FEC">
        <w:rPr>
          <w:rFonts w:ascii="Calibri" w:hAnsi="Calibri" w:cs="Calibri"/>
          <w:sz w:val="22"/>
          <w:szCs w:val="22"/>
          <w:lang w:val="en-GB"/>
        </w:rPr>
        <w:t>To promote gender equality in business and entrepreneurship.</w:t>
      </w:r>
    </w:p>
    <w:p w14:paraId="72615048" w14:textId="77777777" w:rsidR="00EA37B9" w:rsidRPr="008D0FEC" w:rsidRDefault="0005699C" w:rsidP="00F63B64">
      <w:pPr>
        <w:pStyle w:val="NormalWeb"/>
        <w:numPr>
          <w:ilvl w:val="0"/>
          <w:numId w:val="24"/>
        </w:numPr>
        <w:rPr>
          <w:rFonts w:ascii="Calibri" w:hAnsi="Calibri" w:cs="Calibri"/>
          <w:sz w:val="22"/>
          <w:szCs w:val="22"/>
          <w:lang w:val="en-GB"/>
        </w:rPr>
      </w:pPr>
      <w:r w:rsidRPr="008D0FEC">
        <w:rPr>
          <w:rFonts w:ascii="Calibri" w:hAnsi="Calibri" w:cs="Calibri"/>
          <w:sz w:val="22"/>
          <w:szCs w:val="22"/>
          <w:lang w:val="en-GB"/>
        </w:rPr>
        <w:t>Business support programs should consider the special needs of women.</w:t>
      </w:r>
    </w:p>
    <w:p w14:paraId="27789B11" w14:textId="77777777" w:rsidR="00EA37B9" w:rsidRPr="008D0FEC" w:rsidRDefault="00CB1CD5" w:rsidP="00EA4853">
      <w:pPr>
        <w:pStyle w:val="NormalWeb"/>
        <w:numPr>
          <w:ilvl w:val="0"/>
          <w:numId w:val="24"/>
        </w:numPr>
        <w:rPr>
          <w:rFonts w:ascii="Calibri" w:hAnsi="Calibri" w:cs="Calibri"/>
          <w:sz w:val="22"/>
          <w:szCs w:val="22"/>
          <w:lang w:val="en-GB"/>
        </w:rPr>
      </w:pPr>
      <w:r w:rsidRPr="008D0FEC">
        <w:rPr>
          <w:rFonts w:ascii="Calibri" w:hAnsi="Calibri" w:cs="Calibri"/>
          <w:sz w:val="22"/>
          <w:szCs w:val="22"/>
          <w:lang w:val="en-GB"/>
        </w:rPr>
        <w:t>Statistics Estonia collects and provides data based on state orders. Ge</w:t>
      </w:r>
      <w:r w:rsidRPr="008D0FEC">
        <w:rPr>
          <w:rFonts w:ascii="Calibri" w:hAnsi="Calibri" w:cs="Calibri"/>
          <w:sz w:val="22"/>
          <w:szCs w:val="22"/>
          <w:shd w:val="clear" w:color="auto" w:fill="FFFFFF"/>
          <w:lang w:val="en-GB"/>
        </w:rPr>
        <w:t>nder-segregated data from Statistics Estonia across various areas and sectors should be ordered.</w:t>
      </w:r>
      <w:r w:rsidR="00EA37B9" w:rsidRPr="008D0FEC">
        <w:rPr>
          <w:rFonts w:ascii="Calibri" w:hAnsi="Calibri" w:cs="Calibri"/>
          <w:sz w:val="22"/>
          <w:szCs w:val="22"/>
          <w:shd w:val="clear" w:color="auto" w:fill="FFFFFF"/>
          <w:lang w:val="en-GB"/>
        </w:rPr>
        <w:t xml:space="preserve"> </w:t>
      </w:r>
    </w:p>
    <w:p w14:paraId="6927A4C6" w14:textId="77777777" w:rsidR="00EA37B9" w:rsidRPr="008D0FEC" w:rsidRDefault="00EA37B9" w:rsidP="00FB6215">
      <w:pPr>
        <w:pStyle w:val="NormalWeb"/>
        <w:numPr>
          <w:ilvl w:val="0"/>
          <w:numId w:val="24"/>
        </w:numPr>
        <w:rPr>
          <w:rFonts w:ascii="Calibri" w:hAnsi="Calibri" w:cs="Calibri"/>
          <w:sz w:val="22"/>
          <w:szCs w:val="22"/>
          <w:shd w:val="clear" w:color="auto" w:fill="FFFFFF"/>
          <w:lang w:val="en-GB"/>
        </w:rPr>
      </w:pPr>
      <w:r w:rsidRPr="008D0FEC">
        <w:rPr>
          <w:rFonts w:ascii="Calibri" w:hAnsi="Calibri" w:cs="Calibri"/>
          <w:sz w:val="22"/>
          <w:szCs w:val="22"/>
          <w:shd w:val="clear" w:color="auto" w:fill="FFFFFF"/>
          <w:lang w:val="en-GB"/>
        </w:rPr>
        <w:t>A</w:t>
      </w:r>
      <w:r w:rsidR="001D4B3F" w:rsidRPr="008D0FEC">
        <w:rPr>
          <w:rFonts w:ascii="Calibri" w:hAnsi="Calibri" w:cs="Calibri"/>
          <w:sz w:val="22"/>
          <w:szCs w:val="22"/>
          <w:shd w:val="clear" w:color="auto" w:fill="FFFFFF"/>
          <w:lang w:val="en-GB"/>
        </w:rPr>
        <w:t>ccessible and equitable inclusion of civil society organizations and experts should be ensured in the law drafting process</w:t>
      </w:r>
      <w:r w:rsidR="001D4B3F" w:rsidRPr="008D0FEC">
        <w:rPr>
          <w:rFonts w:ascii="Calibri" w:hAnsi="Calibri" w:cs="Calibri"/>
          <w:sz w:val="22"/>
          <w:szCs w:val="22"/>
          <w:lang w:val="en-GB"/>
        </w:rPr>
        <w:t>.</w:t>
      </w:r>
    </w:p>
    <w:p w14:paraId="249DDFD4" w14:textId="77777777" w:rsidR="00EA37B9" w:rsidRPr="008D0FEC" w:rsidRDefault="00F3542A" w:rsidP="00DC1EF8">
      <w:pPr>
        <w:pStyle w:val="NormalWeb"/>
        <w:numPr>
          <w:ilvl w:val="0"/>
          <w:numId w:val="24"/>
        </w:numPr>
        <w:rPr>
          <w:rFonts w:ascii="Calibri" w:hAnsi="Calibri" w:cs="Calibri"/>
          <w:sz w:val="22"/>
          <w:szCs w:val="22"/>
          <w:lang w:val="en-GB"/>
        </w:rPr>
      </w:pPr>
      <w:r w:rsidRPr="008D0FEC">
        <w:rPr>
          <w:rFonts w:ascii="Calibri" w:hAnsi="Calibri" w:cs="Calibri"/>
          <w:sz w:val="22"/>
          <w:szCs w:val="22"/>
          <w:shd w:val="clear" w:color="auto" w:fill="FFFFFF"/>
          <w:lang w:val="en-GB"/>
        </w:rPr>
        <w:t xml:space="preserve">Gender-responsive public procurement and gender budgeting should be implemented. </w:t>
      </w:r>
    </w:p>
    <w:p w14:paraId="5BB5D561" w14:textId="77777777" w:rsidR="00EA37B9" w:rsidRPr="008D0FEC" w:rsidRDefault="0061694A" w:rsidP="00A11BD5">
      <w:pPr>
        <w:pStyle w:val="NormalWeb"/>
        <w:numPr>
          <w:ilvl w:val="0"/>
          <w:numId w:val="24"/>
        </w:numPr>
        <w:rPr>
          <w:rFonts w:ascii="Calibri" w:hAnsi="Calibri" w:cs="Calibri"/>
          <w:sz w:val="22"/>
          <w:szCs w:val="22"/>
          <w:lang w:val="en-GB"/>
        </w:rPr>
      </w:pPr>
      <w:r w:rsidRPr="008D0FEC">
        <w:rPr>
          <w:rFonts w:ascii="Calibri" w:hAnsi="Calibri" w:cs="Calibri"/>
          <w:sz w:val="22"/>
          <w:szCs w:val="22"/>
          <w:lang w:val="en-GB"/>
        </w:rPr>
        <w:lastRenderedPageBreak/>
        <w:t xml:space="preserve">There should be adequate resources available for the </w:t>
      </w:r>
      <w:r w:rsidR="0033489B" w:rsidRPr="008D0FEC">
        <w:rPr>
          <w:rFonts w:ascii="Calibri" w:hAnsi="Calibri" w:cs="Calibri"/>
          <w:sz w:val="22"/>
          <w:szCs w:val="22"/>
          <w:lang w:val="en-GB"/>
        </w:rPr>
        <w:t>Department of Equality Policies</w:t>
      </w:r>
      <w:r w:rsidR="00090C9B" w:rsidRPr="008D0FEC">
        <w:rPr>
          <w:rFonts w:ascii="Calibri" w:hAnsi="Calibri" w:cs="Calibri"/>
          <w:sz w:val="22"/>
          <w:szCs w:val="22"/>
          <w:lang w:val="en-GB"/>
        </w:rPr>
        <w:t xml:space="preserve"> (VPO)</w:t>
      </w:r>
      <w:r w:rsidR="0033489B" w:rsidRPr="008D0FEC">
        <w:rPr>
          <w:rFonts w:ascii="Calibri" w:hAnsi="Calibri" w:cs="Calibri"/>
          <w:sz w:val="22"/>
          <w:szCs w:val="22"/>
          <w:lang w:val="en-GB"/>
        </w:rPr>
        <w:t xml:space="preserve">, the </w:t>
      </w:r>
      <w:r w:rsidRPr="008D0FEC">
        <w:rPr>
          <w:rFonts w:ascii="Calibri" w:hAnsi="Calibri" w:cs="Calibri"/>
          <w:sz w:val="22"/>
          <w:szCs w:val="22"/>
          <w:lang w:val="en-GB"/>
        </w:rPr>
        <w:t>Office of the Gender Equality and Equal Treatment Commissioner and for the Gender Equality Council</w:t>
      </w:r>
      <w:r w:rsidR="0033489B" w:rsidRPr="008D0FEC">
        <w:rPr>
          <w:rFonts w:ascii="Calibri" w:hAnsi="Calibri" w:cs="Calibri"/>
          <w:sz w:val="22"/>
          <w:szCs w:val="22"/>
          <w:lang w:val="en-GB"/>
        </w:rPr>
        <w:t>.</w:t>
      </w:r>
      <w:r w:rsidR="00090C9B" w:rsidRPr="008D0FEC">
        <w:rPr>
          <w:rFonts w:ascii="Calibri" w:hAnsi="Calibri" w:cs="Calibri"/>
          <w:sz w:val="22"/>
          <w:szCs w:val="22"/>
          <w:lang w:val="en-GB"/>
        </w:rPr>
        <w:t xml:space="preserve"> </w:t>
      </w:r>
    </w:p>
    <w:p w14:paraId="4C416534" w14:textId="3A66C4AD" w:rsidR="00642D1F" w:rsidRPr="008D0FEC" w:rsidRDefault="0091254E" w:rsidP="00A11BD5">
      <w:pPr>
        <w:pStyle w:val="NormalWeb"/>
        <w:numPr>
          <w:ilvl w:val="0"/>
          <w:numId w:val="24"/>
        </w:numPr>
        <w:rPr>
          <w:rFonts w:ascii="Calibri" w:hAnsi="Calibri" w:cs="Calibri"/>
          <w:sz w:val="22"/>
          <w:szCs w:val="22"/>
          <w:lang w:val="en-GB"/>
        </w:rPr>
      </w:pPr>
      <w:r w:rsidRPr="008D0FEC">
        <w:rPr>
          <w:rFonts w:ascii="Calibri" w:hAnsi="Calibri" w:cs="Calibri"/>
          <w:sz w:val="22"/>
          <w:szCs w:val="22"/>
          <w:shd w:val="clear" w:color="auto" w:fill="FFFFFF"/>
          <w:lang w:val="en-GB"/>
        </w:rPr>
        <w:t xml:space="preserve">The Government should report on progress in legislative, judicial, administrative, or other measures adopted to </w:t>
      </w:r>
      <w:r w:rsidR="008D0FEC" w:rsidRPr="008D0FEC">
        <w:rPr>
          <w:rFonts w:ascii="Calibri" w:hAnsi="Calibri" w:cs="Calibri"/>
          <w:sz w:val="22"/>
          <w:szCs w:val="22"/>
          <w:shd w:val="clear" w:color="auto" w:fill="FFFFFF"/>
          <w:lang w:val="en-GB"/>
        </w:rPr>
        <w:t>fulfil</w:t>
      </w:r>
      <w:r w:rsidRPr="008D0FEC">
        <w:rPr>
          <w:rFonts w:ascii="Calibri" w:hAnsi="Calibri" w:cs="Calibri"/>
          <w:sz w:val="22"/>
          <w:szCs w:val="22"/>
          <w:shd w:val="clear" w:color="auto" w:fill="FFFFFF"/>
          <w:lang w:val="en-GB"/>
        </w:rPr>
        <w:t xml:space="preserve"> CEDAW requirements every four years. Interim progress and periodic reports on implementing international conventions should be made public and accessible. There are no interim reports and periodic reports are currently not available on the website of the Ministry of Foreign Affairs or on the websites of other ministries.</w:t>
      </w:r>
    </w:p>
    <w:sectPr w:rsidR="00642D1F" w:rsidRPr="008D0FEC" w:rsidSect="00EF6967">
      <w:footerReference w:type="even"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4D7E7" w14:textId="77777777" w:rsidR="00EF6967" w:rsidRDefault="00EF6967" w:rsidP="00971496">
      <w:r>
        <w:separator/>
      </w:r>
    </w:p>
  </w:endnote>
  <w:endnote w:type="continuationSeparator" w:id="0">
    <w:p w14:paraId="1C17EC15" w14:textId="77777777" w:rsidR="00EF6967" w:rsidRDefault="00EF6967" w:rsidP="00971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ヒラギノ角ゴ Pro W3">
    <w:panose1 w:val="020B0300000000000000"/>
    <w:charset w:val="80"/>
    <w:family w:val="swiss"/>
    <w:pitch w:val="variable"/>
    <w:sig w:usb0="E00002FF" w:usb1="7AC7FFFF" w:usb2="00000012" w:usb3="00000000" w:csb0="0002000D"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5412463"/>
      <w:docPartObj>
        <w:docPartGallery w:val="Page Numbers (Bottom of Page)"/>
        <w:docPartUnique/>
      </w:docPartObj>
    </w:sdtPr>
    <w:sdtContent>
      <w:p w14:paraId="775FA141" w14:textId="4677A9C6" w:rsidR="006B0A45" w:rsidRDefault="006B0A45" w:rsidP="00FF4C7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596409" w14:textId="77777777" w:rsidR="006B0A45" w:rsidRDefault="006B0A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9259325"/>
      <w:docPartObj>
        <w:docPartGallery w:val="Page Numbers (Bottom of Page)"/>
        <w:docPartUnique/>
      </w:docPartObj>
    </w:sdtPr>
    <w:sdtContent>
      <w:p w14:paraId="1CFC6E69" w14:textId="6B4EC158" w:rsidR="006B0A45" w:rsidRDefault="006B0A45" w:rsidP="00FF4C7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699FFF0" w14:textId="77777777" w:rsidR="006B0A45" w:rsidRDefault="006B0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58453" w14:textId="77777777" w:rsidR="00EF6967" w:rsidRDefault="00EF6967" w:rsidP="00971496">
      <w:r>
        <w:separator/>
      </w:r>
    </w:p>
  </w:footnote>
  <w:footnote w:type="continuationSeparator" w:id="0">
    <w:p w14:paraId="34836849" w14:textId="77777777" w:rsidR="00EF6967" w:rsidRDefault="00EF6967" w:rsidP="00971496">
      <w:r>
        <w:continuationSeparator/>
      </w:r>
    </w:p>
  </w:footnote>
  <w:footnote w:id="1">
    <w:p w14:paraId="58F0234C" w14:textId="77777777" w:rsidR="00993581" w:rsidRPr="00A91CE9" w:rsidRDefault="00993581" w:rsidP="00134A48">
      <w:pPr>
        <w:pStyle w:val="FootnoteRM"/>
        <w:rPr>
          <w:rFonts w:ascii="Calibri" w:hAnsi="Calibri" w:cs="Calibri"/>
          <w:sz w:val="18"/>
          <w:szCs w:val="18"/>
        </w:rPr>
      </w:pPr>
      <w:r w:rsidRPr="00134A48">
        <w:rPr>
          <w:rStyle w:val="FootnoteReference"/>
          <w:rFonts w:ascii="Calibri" w:hAnsi="Calibri" w:cs="Calibri"/>
          <w:sz w:val="18"/>
          <w:szCs w:val="18"/>
        </w:rPr>
        <w:footnoteRef/>
      </w:r>
      <w:r w:rsidRPr="00134A48">
        <w:rPr>
          <w:rFonts w:ascii="Calibri" w:hAnsi="Calibri" w:cs="Calibri"/>
          <w:sz w:val="18"/>
          <w:szCs w:val="18"/>
        </w:rPr>
        <w:t xml:space="preserve"> https://www.riigiteataja.ee/en/eli/515092023004/consolide.</w:t>
      </w:r>
    </w:p>
  </w:footnote>
  <w:footnote w:id="2">
    <w:p w14:paraId="7997E99E" w14:textId="682E0BE1" w:rsidR="00077EFD" w:rsidRPr="00134A48" w:rsidRDefault="00077EFD" w:rsidP="00134A48">
      <w:pPr>
        <w:pStyle w:val="FootnoteRM"/>
        <w:rPr>
          <w:rFonts w:ascii="Calibri" w:hAnsi="Calibri" w:cs="Calibri"/>
          <w:sz w:val="18"/>
          <w:szCs w:val="18"/>
          <w:lang w:val="en-GB"/>
        </w:rPr>
      </w:pPr>
      <w:r w:rsidRPr="00134A48">
        <w:rPr>
          <w:rStyle w:val="FootnoteReference"/>
          <w:rFonts w:ascii="Calibri" w:hAnsi="Calibri" w:cs="Calibri"/>
          <w:sz w:val="18"/>
          <w:szCs w:val="18"/>
        </w:rPr>
        <w:footnoteRef/>
      </w:r>
      <w:r w:rsidRPr="00134A48">
        <w:rPr>
          <w:rFonts w:ascii="Calibri" w:hAnsi="Calibri" w:cs="Calibri"/>
          <w:sz w:val="18"/>
          <w:szCs w:val="18"/>
        </w:rPr>
        <w:t xml:space="preserve">  </w:t>
      </w:r>
      <w:proofErr w:type="spellStart"/>
      <w:r w:rsidRPr="00134A48">
        <w:rPr>
          <w:rFonts w:ascii="Calibri" w:hAnsi="Calibri" w:cs="Calibri"/>
          <w:sz w:val="18"/>
          <w:szCs w:val="18"/>
        </w:rPr>
        <w:t>Article</w:t>
      </w:r>
      <w:proofErr w:type="spellEnd"/>
      <w:r w:rsidRPr="00134A48">
        <w:rPr>
          <w:rFonts w:ascii="Calibri" w:hAnsi="Calibri" w:cs="Calibri"/>
          <w:sz w:val="18"/>
          <w:szCs w:val="18"/>
        </w:rPr>
        <w:t xml:space="preserve"> 153.1 of </w:t>
      </w:r>
      <w:proofErr w:type="spellStart"/>
      <w:r w:rsidRPr="00134A48">
        <w:rPr>
          <w:rFonts w:ascii="Calibri" w:hAnsi="Calibri" w:cs="Calibri"/>
          <w:sz w:val="18"/>
          <w:szCs w:val="18"/>
        </w:rPr>
        <w:t>the</w:t>
      </w:r>
      <w:proofErr w:type="spellEnd"/>
      <w:r w:rsidRPr="00134A48">
        <w:rPr>
          <w:rFonts w:ascii="Calibri" w:hAnsi="Calibri" w:cs="Calibri"/>
          <w:sz w:val="18"/>
          <w:szCs w:val="18"/>
        </w:rPr>
        <w:t xml:space="preserve"> PC, https://www.riigiteataja.ee/en/eli/508042024002/consolide.</w:t>
      </w:r>
    </w:p>
  </w:footnote>
  <w:footnote w:id="3">
    <w:p w14:paraId="1D1C103E" w14:textId="509BBDE4" w:rsidR="00167976" w:rsidRPr="00134A48" w:rsidRDefault="00167976" w:rsidP="00134A48">
      <w:pPr>
        <w:pStyle w:val="FootnoteRM"/>
        <w:rPr>
          <w:rFonts w:ascii="Calibri" w:hAnsi="Calibri" w:cs="Calibri"/>
          <w:sz w:val="18"/>
          <w:szCs w:val="18"/>
          <w:lang w:val="en-GB"/>
        </w:rPr>
      </w:pPr>
      <w:r w:rsidRPr="00134A48">
        <w:rPr>
          <w:rStyle w:val="FootnoteReference"/>
          <w:rFonts w:ascii="Calibri" w:hAnsi="Calibri" w:cs="Calibri"/>
          <w:sz w:val="18"/>
          <w:szCs w:val="18"/>
        </w:rPr>
        <w:footnoteRef/>
      </w:r>
      <w:r w:rsidRPr="00134A48">
        <w:rPr>
          <w:rFonts w:ascii="Calibri" w:hAnsi="Calibri" w:cs="Calibri"/>
          <w:sz w:val="18"/>
          <w:szCs w:val="18"/>
        </w:rPr>
        <w:t xml:space="preserve"> </w:t>
      </w:r>
      <w:r w:rsidR="00CB0EB0" w:rsidRPr="00134A48">
        <w:rPr>
          <w:rFonts w:ascii="Calibri" w:hAnsi="Calibri" w:cs="Calibri"/>
          <w:sz w:val="18"/>
          <w:szCs w:val="18"/>
        </w:rPr>
        <w:t xml:space="preserve"> </w:t>
      </w:r>
      <w:proofErr w:type="spellStart"/>
      <w:r w:rsidR="00CB0EB0" w:rsidRPr="00134A48">
        <w:rPr>
          <w:rFonts w:ascii="Calibri" w:hAnsi="Calibri" w:cs="Calibri"/>
          <w:sz w:val="18"/>
          <w:szCs w:val="18"/>
        </w:rPr>
        <w:t>Domestic</w:t>
      </w:r>
      <w:proofErr w:type="spellEnd"/>
      <w:r w:rsidR="00CB0EB0" w:rsidRPr="00134A48">
        <w:rPr>
          <w:rFonts w:ascii="Calibri" w:hAnsi="Calibri" w:cs="Calibri"/>
          <w:sz w:val="18"/>
          <w:szCs w:val="18"/>
        </w:rPr>
        <w:t xml:space="preserve"> </w:t>
      </w:r>
      <w:proofErr w:type="spellStart"/>
      <w:r w:rsidR="00CB0EB0" w:rsidRPr="00134A48">
        <w:rPr>
          <w:rFonts w:ascii="Calibri" w:hAnsi="Calibri" w:cs="Calibri"/>
          <w:sz w:val="18"/>
          <w:szCs w:val="18"/>
        </w:rPr>
        <w:t>violence</w:t>
      </w:r>
      <w:proofErr w:type="spellEnd"/>
      <w:r w:rsidR="00CB0EB0" w:rsidRPr="00134A48">
        <w:rPr>
          <w:rFonts w:ascii="Calibri" w:hAnsi="Calibri" w:cs="Calibri"/>
          <w:sz w:val="18"/>
          <w:szCs w:val="18"/>
        </w:rPr>
        <w:t xml:space="preserve"> and </w:t>
      </w:r>
      <w:proofErr w:type="spellStart"/>
      <w:r w:rsidR="00CB0EB0" w:rsidRPr="00134A48">
        <w:rPr>
          <w:rFonts w:ascii="Calibri" w:hAnsi="Calibri" w:cs="Calibri"/>
          <w:sz w:val="18"/>
          <w:szCs w:val="18"/>
        </w:rPr>
        <w:t>harassment</w:t>
      </w:r>
      <w:proofErr w:type="spellEnd"/>
      <w:r w:rsidR="00CB0EB0" w:rsidRPr="00134A48">
        <w:rPr>
          <w:rFonts w:ascii="Calibri" w:hAnsi="Calibri" w:cs="Calibri"/>
          <w:sz w:val="18"/>
          <w:szCs w:val="18"/>
        </w:rPr>
        <w:t xml:space="preserve">. </w:t>
      </w:r>
      <w:r w:rsidRPr="00134A48">
        <w:rPr>
          <w:rFonts w:ascii="Calibri" w:hAnsi="Calibri" w:cs="Calibri"/>
          <w:i/>
          <w:iCs/>
          <w:sz w:val="18"/>
          <w:szCs w:val="18"/>
        </w:rPr>
        <w:t>Crime in Estonia 202</w:t>
      </w:r>
      <w:r w:rsidR="00CB0EB0" w:rsidRPr="00134A48">
        <w:rPr>
          <w:rFonts w:ascii="Calibri" w:hAnsi="Calibri" w:cs="Calibri"/>
          <w:i/>
          <w:iCs/>
          <w:sz w:val="18"/>
          <w:szCs w:val="18"/>
        </w:rPr>
        <w:t>3</w:t>
      </w:r>
      <w:r w:rsidRPr="00134A48">
        <w:rPr>
          <w:rFonts w:ascii="Calibri" w:hAnsi="Calibri" w:cs="Calibri"/>
          <w:sz w:val="18"/>
          <w:szCs w:val="18"/>
        </w:rPr>
        <w:t xml:space="preserve">. Available in Estonian at: </w:t>
      </w:r>
      <w:r w:rsidR="00CB0EB0" w:rsidRPr="00134A48">
        <w:rPr>
          <w:rFonts w:ascii="Calibri" w:hAnsi="Calibri" w:cs="Calibri"/>
          <w:sz w:val="18"/>
          <w:szCs w:val="18"/>
        </w:rPr>
        <w:t>https://www.just.ee/kuritegevus2023/perevagivald-ja-ahistamine/.</w:t>
      </w:r>
    </w:p>
  </w:footnote>
  <w:footnote w:id="4">
    <w:p w14:paraId="5A408822" w14:textId="77777777" w:rsidR="00DF12B4" w:rsidRPr="00134A48" w:rsidRDefault="00DF12B4" w:rsidP="00DF12B4">
      <w:pPr>
        <w:pStyle w:val="footnote"/>
        <w:rPr>
          <w:rFonts w:ascii="Calibri" w:hAnsi="Calibri" w:cs="Calibri"/>
          <w:sz w:val="18"/>
          <w:szCs w:val="18"/>
          <w:lang w:val="en-GB"/>
        </w:rPr>
      </w:pPr>
      <w:r w:rsidRPr="00134A48">
        <w:rPr>
          <w:rStyle w:val="FootnoteReference"/>
          <w:rFonts w:ascii="Calibri" w:hAnsi="Calibri" w:cs="Calibri"/>
          <w:sz w:val="18"/>
          <w:szCs w:val="18"/>
          <w:lang w:val="en-GB"/>
        </w:rPr>
        <w:footnoteRef/>
      </w:r>
      <w:r w:rsidRPr="00134A48">
        <w:rPr>
          <w:rFonts w:ascii="Calibri" w:hAnsi="Calibri" w:cs="Calibri"/>
          <w:sz w:val="18"/>
          <w:szCs w:val="18"/>
          <w:lang w:val="en-GB"/>
        </w:rPr>
        <w:t xml:space="preserve"> </w:t>
      </w:r>
      <w:r w:rsidRPr="00134A48">
        <w:rPr>
          <w:rFonts w:ascii="Calibri" w:hAnsi="Calibri" w:cs="Calibri"/>
          <w:sz w:val="18"/>
          <w:szCs w:val="18"/>
          <w:lang w:val="en-GB"/>
        </w:rPr>
        <w:tab/>
        <w:t xml:space="preserve">Strategic litigation is carried out on a project basis; </w:t>
      </w:r>
      <w:hyperlink r:id="rId1" w:history="1">
        <w:r w:rsidRPr="00134A48">
          <w:rPr>
            <w:rStyle w:val="Hyperlink"/>
            <w:rFonts w:ascii="Calibri" w:eastAsiaTheme="majorEastAsia" w:hAnsi="Calibri" w:cs="Calibri"/>
            <w:sz w:val="18"/>
            <w:szCs w:val="18"/>
          </w:rPr>
          <w:t>https://humanrights.ee</w:t>
        </w:r>
      </w:hyperlink>
      <w:r w:rsidRPr="00134A48">
        <w:rPr>
          <w:rFonts w:ascii="Calibri" w:hAnsi="Calibri" w:cs="Calibri"/>
          <w:sz w:val="18"/>
          <w:szCs w:val="18"/>
          <w:lang w:val="en-GB"/>
        </w:rPr>
        <w:t>.</w:t>
      </w:r>
    </w:p>
  </w:footnote>
  <w:footnote w:id="5">
    <w:p w14:paraId="5F6C75B6" w14:textId="77777777" w:rsidR="00DF12B4" w:rsidRPr="00134A48" w:rsidRDefault="00DF12B4" w:rsidP="00DF12B4">
      <w:pPr>
        <w:pStyle w:val="footnote"/>
        <w:rPr>
          <w:rFonts w:ascii="Calibri" w:hAnsi="Calibri" w:cs="Calibri"/>
          <w:sz w:val="18"/>
          <w:szCs w:val="18"/>
          <w:lang w:val="en-GB"/>
        </w:rPr>
      </w:pPr>
      <w:r w:rsidRPr="00134A48">
        <w:rPr>
          <w:rStyle w:val="FootnoteReference"/>
          <w:rFonts w:ascii="Calibri" w:hAnsi="Calibri" w:cs="Calibri"/>
          <w:sz w:val="18"/>
          <w:szCs w:val="18"/>
          <w:lang w:val="en-GB"/>
        </w:rPr>
        <w:footnoteRef/>
      </w:r>
      <w:r w:rsidRPr="00134A48">
        <w:rPr>
          <w:rFonts w:ascii="Calibri" w:hAnsi="Calibri" w:cs="Calibri"/>
          <w:sz w:val="18"/>
          <w:szCs w:val="18"/>
          <w:lang w:val="en-GB"/>
        </w:rPr>
        <w:t xml:space="preserve"> </w:t>
      </w:r>
      <w:r w:rsidRPr="00134A48">
        <w:rPr>
          <w:rFonts w:ascii="Calibri" w:hAnsi="Calibri" w:cs="Calibri"/>
          <w:sz w:val="18"/>
          <w:szCs w:val="18"/>
          <w:lang w:val="en-GB"/>
        </w:rPr>
        <w:tab/>
      </w:r>
      <w:proofErr w:type="spellStart"/>
      <w:r w:rsidRPr="00134A48">
        <w:rPr>
          <w:rFonts w:ascii="Calibri" w:hAnsi="Calibri" w:cs="Calibri"/>
          <w:sz w:val="18"/>
          <w:szCs w:val="18"/>
          <w:lang w:val="en-GB"/>
        </w:rPr>
        <w:t>Riigi</w:t>
      </w:r>
      <w:proofErr w:type="spellEnd"/>
      <w:r w:rsidRPr="00134A48">
        <w:rPr>
          <w:rFonts w:ascii="Calibri" w:hAnsi="Calibri" w:cs="Calibri"/>
          <w:sz w:val="18"/>
          <w:szCs w:val="18"/>
          <w:lang w:val="en-GB"/>
        </w:rPr>
        <w:t xml:space="preserve"> </w:t>
      </w:r>
      <w:proofErr w:type="spellStart"/>
      <w:r w:rsidRPr="00134A48">
        <w:rPr>
          <w:rFonts w:ascii="Calibri" w:hAnsi="Calibri" w:cs="Calibri"/>
          <w:sz w:val="18"/>
          <w:szCs w:val="18"/>
          <w:lang w:val="en-GB"/>
        </w:rPr>
        <w:t>õigusabi</w:t>
      </w:r>
      <w:proofErr w:type="spellEnd"/>
      <w:r w:rsidRPr="00134A48">
        <w:rPr>
          <w:rFonts w:ascii="Calibri" w:hAnsi="Calibri" w:cs="Calibri"/>
          <w:sz w:val="18"/>
          <w:szCs w:val="18"/>
          <w:lang w:val="en-GB"/>
        </w:rPr>
        <w:t xml:space="preserve"> </w:t>
      </w:r>
      <w:proofErr w:type="spellStart"/>
      <w:r w:rsidRPr="00134A48">
        <w:rPr>
          <w:rFonts w:ascii="Calibri" w:hAnsi="Calibri" w:cs="Calibri"/>
          <w:sz w:val="18"/>
          <w:szCs w:val="18"/>
          <w:lang w:val="en-GB"/>
        </w:rPr>
        <w:t>seadus</w:t>
      </w:r>
      <w:proofErr w:type="spellEnd"/>
      <w:r w:rsidRPr="00134A48">
        <w:rPr>
          <w:rFonts w:ascii="Calibri" w:hAnsi="Calibri" w:cs="Calibri"/>
          <w:sz w:val="18"/>
          <w:szCs w:val="18"/>
          <w:lang w:val="en-GB"/>
        </w:rPr>
        <w:t xml:space="preserve"> (</w:t>
      </w:r>
      <w:r w:rsidRPr="00134A48">
        <w:rPr>
          <w:rFonts w:ascii="Calibri" w:hAnsi="Calibri" w:cs="Calibri"/>
          <w:i/>
          <w:iCs/>
          <w:sz w:val="18"/>
          <w:szCs w:val="18"/>
          <w:lang w:val="en-GB"/>
        </w:rPr>
        <w:t>State-funded Legal Aid Act</w:t>
      </w:r>
      <w:r w:rsidRPr="00134A48">
        <w:rPr>
          <w:rFonts w:ascii="Calibri" w:hAnsi="Calibri" w:cs="Calibri"/>
          <w:sz w:val="18"/>
          <w:szCs w:val="18"/>
          <w:lang w:val="en-GB"/>
        </w:rPr>
        <w:t xml:space="preserve">), </w:t>
      </w:r>
      <w:r w:rsidRPr="00134A48">
        <w:rPr>
          <w:rFonts w:ascii="Calibri" w:hAnsi="Calibri" w:cs="Calibri"/>
          <w:color w:val="202020"/>
          <w:sz w:val="18"/>
          <w:szCs w:val="18"/>
          <w:shd w:val="clear" w:color="auto" w:fill="FFFFFF"/>
        </w:rPr>
        <w:t>RT I, 06.07.2023, 77</w:t>
      </w:r>
      <w:r w:rsidRPr="00134A48">
        <w:rPr>
          <w:rFonts w:ascii="Calibri" w:hAnsi="Calibri" w:cs="Calibri"/>
          <w:sz w:val="18"/>
          <w:szCs w:val="18"/>
          <w:lang w:val="en-GB"/>
        </w:rPr>
        <w:t xml:space="preserve">, </w:t>
      </w:r>
      <w:hyperlink r:id="rId2" w:history="1">
        <w:r w:rsidRPr="00134A48">
          <w:rPr>
            <w:rStyle w:val="Hyperlink"/>
            <w:rFonts w:ascii="Calibri" w:eastAsiaTheme="majorEastAsia" w:hAnsi="Calibri" w:cs="Calibri"/>
            <w:sz w:val="18"/>
            <w:szCs w:val="18"/>
          </w:rPr>
          <w:t>https://www.riigiteataja.ee/en/eli/518122023002/consolide</w:t>
        </w:r>
      </w:hyperlink>
      <w:r w:rsidRPr="00134A48">
        <w:rPr>
          <w:rFonts w:ascii="Calibri" w:hAnsi="Calibri" w:cs="Calibri"/>
          <w:sz w:val="18"/>
          <w:szCs w:val="18"/>
        </w:rPr>
        <w:t xml:space="preserve">; </w:t>
      </w:r>
      <w:proofErr w:type="spellStart"/>
      <w:r w:rsidRPr="00134A48">
        <w:rPr>
          <w:rFonts w:ascii="Calibri" w:hAnsi="Calibri" w:cs="Calibri"/>
          <w:sz w:val="18"/>
          <w:szCs w:val="18"/>
          <w:lang w:val="en-GB"/>
        </w:rPr>
        <w:t>Advokatuuriseadus</w:t>
      </w:r>
      <w:proofErr w:type="spellEnd"/>
      <w:r w:rsidRPr="00134A48">
        <w:rPr>
          <w:rFonts w:ascii="Calibri" w:hAnsi="Calibri" w:cs="Calibri"/>
          <w:sz w:val="18"/>
          <w:szCs w:val="18"/>
          <w:lang w:val="en-GB"/>
        </w:rPr>
        <w:t xml:space="preserve"> (</w:t>
      </w:r>
      <w:r w:rsidRPr="00134A48">
        <w:rPr>
          <w:rFonts w:ascii="Calibri" w:hAnsi="Calibri" w:cs="Calibri"/>
          <w:i/>
          <w:iCs/>
          <w:sz w:val="18"/>
          <w:szCs w:val="18"/>
          <w:lang w:val="en-GB"/>
        </w:rPr>
        <w:t>Bar Association Act</w:t>
      </w:r>
      <w:r w:rsidRPr="00134A48">
        <w:rPr>
          <w:rFonts w:ascii="Calibri" w:hAnsi="Calibri" w:cs="Calibri"/>
          <w:sz w:val="18"/>
          <w:szCs w:val="18"/>
          <w:lang w:val="en-GB"/>
        </w:rPr>
        <w:t>),</w:t>
      </w:r>
      <w:r w:rsidRPr="00134A48">
        <w:rPr>
          <w:rFonts w:ascii="Calibri" w:hAnsi="Calibri" w:cs="Calibri"/>
          <w:sz w:val="18"/>
          <w:szCs w:val="18"/>
        </w:rPr>
        <w:t xml:space="preserve"> RT I, 05.05.2022, 5, available at</w:t>
      </w:r>
      <w:r w:rsidRPr="00134A48">
        <w:rPr>
          <w:rFonts w:ascii="Calibri" w:hAnsi="Calibri" w:cs="Calibri"/>
          <w:sz w:val="18"/>
          <w:szCs w:val="18"/>
          <w:lang w:val="en-GB"/>
        </w:rPr>
        <w:t xml:space="preserve"> </w:t>
      </w:r>
      <w:hyperlink r:id="rId3" w:history="1">
        <w:r w:rsidRPr="00134A48">
          <w:rPr>
            <w:rStyle w:val="Hyperlink"/>
            <w:rFonts w:ascii="Calibri" w:eastAsiaTheme="majorEastAsia" w:hAnsi="Calibri" w:cs="Calibri"/>
            <w:sz w:val="18"/>
            <w:szCs w:val="18"/>
          </w:rPr>
          <w:t>https://www.riigiteataja.ee/en/eli/524012023005/consolide</w:t>
        </w:r>
      </w:hyperlink>
      <w:r w:rsidRPr="00134A48">
        <w:rPr>
          <w:rFonts w:ascii="Calibri" w:hAnsi="Calibri" w:cs="Calibri"/>
          <w:sz w:val="18"/>
          <w:szCs w:val="18"/>
          <w:lang w:val="en-GB"/>
        </w:rPr>
        <w:t>.</w:t>
      </w:r>
    </w:p>
  </w:footnote>
  <w:footnote w:id="6">
    <w:p w14:paraId="184473BD" w14:textId="0DA6AE6F" w:rsidR="004C4D52" w:rsidRPr="00134A48" w:rsidRDefault="004C4D52" w:rsidP="004C4D52">
      <w:pPr>
        <w:pStyle w:val="FootnoteRM"/>
        <w:rPr>
          <w:rFonts w:ascii="Calibri" w:hAnsi="Calibri" w:cs="Calibri"/>
          <w:sz w:val="18"/>
          <w:szCs w:val="18"/>
          <w:lang w:val="en-GB"/>
        </w:rPr>
      </w:pPr>
      <w:r w:rsidRPr="00134A48">
        <w:rPr>
          <w:rFonts w:ascii="Calibri" w:hAnsi="Calibri" w:cs="Calibri"/>
          <w:sz w:val="18"/>
          <w:szCs w:val="18"/>
          <w:vertAlign w:val="superscript"/>
          <w:lang w:val="en-GB"/>
        </w:rPr>
        <w:footnoteRef/>
      </w:r>
      <w:r w:rsidRPr="00134A48">
        <w:rPr>
          <w:rFonts w:ascii="Calibri" w:hAnsi="Calibri" w:cs="Calibri"/>
          <w:sz w:val="18"/>
          <w:szCs w:val="18"/>
          <w:vertAlign w:val="superscript"/>
          <w:lang w:val="en-GB"/>
        </w:rPr>
        <w:t xml:space="preserve"> </w:t>
      </w:r>
      <w:r w:rsidRPr="00134A48">
        <w:rPr>
          <w:rFonts w:ascii="Calibri" w:hAnsi="Calibri" w:cs="Calibri"/>
          <w:sz w:val="18"/>
          <w:szCs w:val="18"/>
          <w:lang w:val="en-GB"/>
        </w:rPr>
        <w:tab/>
        <w:t>Tamm, T. (2022), ‘</w:t>
      </w:r>
      <w:proofErr w:type="spellStart"/>
      <w:r w:rsidRPr="00134A48">
        <w:rPr>
          <w:rFonts w:ascii="Calibri" w:hAnsi="Calibri" w:cs="Calibri"/>
          <w:sz w:val="18"/>
          <w:szCs w:val="18"/>
          <w:lang w:val="en-GB"/>
        </w:rPr>
        <w:t>Õigusabi</w:t>
      </w:r>
      <w:proofErr w:type="spellEnd"/>
      <w:r w:rsidRPr="00134A48">
        <w:rPr>
          <w:rFonts w:ascii="Calibri" w:hAnsi="Calibri" w:cs="Calibri"/>
          <w:sz w:val="18"/>
          <w:szCs w:val="18"/>
          <w:lang w:val="en-GB"/>
        </w:rPr>
        <w:t xml:space="preserve"> </w:t>
      </w:r>
      <w:proofErr w:type="spellStart"/>
      <w:r w:rsidRPr="00134A48">
        <w:rPr>
          <w:rFonts w:ascii="Calibri" w:hAnsi="Calibri" w:cs="Calibri"/>
          <w:sz w:val="18"/>
          <w:szCs w:val="18"/>
          <w:lang w:val="en-GB"/>
        </w:rPr>
        <w:t>saamise</w:t>
      </w:r>
      <w:proofErr w:type="spellEnd"/>
      <w:r w:rsidRPr="00134A48">
        <w:rPr>
          <w:rFonts w:ascii="Calibri" w:hAnsi="Calibri" w:cs="Calibri"/>
          <w:sz w:val="18"/>
          <w:szCs w:val="18"/>
          <w:lang w:val="en-GB"/>
        </w:rPr>
        <w:t xml:space="preserve"> </w:t>
      </w:r>
      <w:proofErr w:type="spellStart"/>
      <w:r w:rsidRPr="00134A48">
        <w:rPr>
          <w:rFonts w:ascii="Calibri" w:hAnsi="Calibri" w:cs="Calibri"/>
          <w:sz w:val="18"/>
          <w:szCs w:val="18"/>
          <w:lang w:val="en-GB"/>
        </w:rPr>
        <w:t>võimalustest</w:t>
      </w:r>
      <w:proofErr w:type="spellEnd"/>
      <w:r w:rsidRPr="00134A48">
        <w:rPr>
          <w:rFonts w:ascii="Calibri" w:hAnsi="Calibri" w:cs="Calibri"/>
          <w:sz w:val="18"/>
          <w:szCs w:val="18"/>
          <w:lang w:val="en-GB"/>
        </w:rPr>
        <w:t xml:space="preserve"> </w:t>
      </w:r>
      <w:proofErr w:type="spellStart"/>
      <w:r w:rsidRPr="00134A48">
        <w:rPr>
          <w:rFonts w:ascii="Calibri" w:hAnsi="Calibri" w:cs="Calibri"/>
          <w:sz w:val="18"/>
          <w:szCs w:val="18"/>
          <w:lang w:val="en-GB"/>
        </w:rPr>
        <w:t>ja</w:t>
      </w:r>
      <w:proofErr w:type="spellEnd"/>
      <w:r w:rsidRPr="00134A48">
        <w:rPr>
          <w:rFonts w:ascii="Calibri" w:hAnsi="Calibri" w:cs="Calibri"/>
          <w:sz w:val="18"/>
          <w:szCs w:val="18"/>
          <w:lang w:val="en-GB"/>
        </w:rPr>
        <w:t xml:space="preserve"> </w:t>
      </w:r>
      <w:proofErr w:type="spellStart"/>
      <w:r w:rsidRPr="00134A48">
        <w:rPr>
          <w:rFonts w:ascii="Calibri" w:hAnsi="Calibri" w:cs="Calibri"/>
          <w:sz w:val="18"/>
          <w:szCs w:val="18"/>
          <w:lang w:val="en-GB"/>
        </w:rPr>
        <w:t>kättesaadavusest</w:t>
      </w:r>
      <w:proofErr w:type="spellEnd"/>
      <w:r w:rsidRPr="00134A48">
        <w:rPr>
          <w:rFonts w:ascii="Calibri" w:hAnsi="Calibri" w:cs="Calibri"/>
          <w:sz w:val="18"/>
          <w:szCs w:val="18"/>
          <w:lang w:val="en-GB"/>
        </w:rPr>
        <w:t xml:space="preserve"> </w:t>
      </w:r>
      <w:proofErr w:type="spellStart"/>
      <w:r w:rsidRPr="00134A48">
        <w:rPr>
          <w:rFonts w:ascii="Calibri" w:hAnsi="Calibri" w:cs="Calibri"/>
          <w:sz w:val="18"/>
          <w:szCs w:val="18"/>
          <w:lang w:val="en-GB"/>
        </w:rPr>
        <w:t>Eestis</w:t>
      </w:r>
      <w:proofErr w:type="spellEnd"/>
      <w:r w:rsidRPr="00134A48">
        <w:rPr>
          <w:rFonts w:ascii="Calibri" w:hAnsi="Calibri" w:cs="Calibri"/>
          <w:sz w:val="18"/>
          <w:szCs w:val="18"/>
          <w:lang w:val="en-GB"/>
        </w:rPr>
        <w:t xml:space="preserve">’ (About the possibilities and availability of legal aid in Estonia), </w:t>
      </w:r>
      <w:r w:rsidR="005D34F6" w:rsidRPr="00134A48">
        <w:rPr>
          <w:rFonts w:ascii="Calibri" w:hAnsi="Calibri" w:cs="Calibri"/>
          <w:sz w:val="18"/>
          <w:szCs w:val="18"/>
          <w:lang w:val="en-GB"/>
        </w:rPr>
        <w:t>master’s</w:t>
      </w:r>
      <w:r w:rsidRPr="00134A48">
        <w:rPr>
          <w:rFonts w:ascii="Calibri" w:hAnsi="Calibri" w:cs="Calibri"/>
          <w:sz w:val="18"/>
          <w:szCs w:val="18"/>
          <w:lang w:val="en-GB"/>
        </w:rPr>
        <w:t xml:space="preserve"> thesis, University of Tartu, Faculty of Law.</w:t>
      </w:r>
    </w:p>
  </w:footnote>
  <w:footnote w:id="7">
    <w:p w14:paraId="1518C74B" w14:textId="77777777" w:rsidR="004C4D52" w:rsidRPr="00134A48" w:rsidRDefault="004C4D52" w:rsidP="004C4D52">
      <w:pPr>
        <w:pStyle w:val="footnote"/>
        <w:rPr>
          <w:rFonts w:ascii="Calibri" w:hAnsi="Calibri" w:cs="Calibri"/>
          <w:color w:val="000000" w:themeColor="text1"/>
          <w:sz w:val="18"/>
          <w:szCs w:val="18"/>
          <w:lang w:val="en-GB"/>
        </w:rPr>
      </w:pPr>
      <w:r w:rsidRPr="00134A48">
        <w:rPr>
          <w:rStyle w:val="FootnoteReference"/>
          <w:rFonts w:ascii="Calibri" w:hAnsi="Calibri" w:cs="Calibri"/>
          <w:color w:val="000000" w:themeColor="text1"/>
          <w:sz w:val="18"/>
          <w:szCs w:val="18"/>
          <w:lang w:val="en-GB"/>
        </w:rPr>
        <w:footnoteRef/>
      </w:r>
      <w:r w:rsidRPr="00134A48">
        <w:rPr>
          <w:rFonts w:ascii="Calibri" w:hAnsi="Calibri" w:cs="Calibri"/>
          <w:color w:val="000000" w:themeColor="text1"/>
          <w:sz w:val="18"/>
          <w:szCs w:val="18"/>
          <w:lang w:val="en-GB"/>
        </w:rPr>
        <w:t xml:space="preserve"> </w:t>
      </w:r>
      <w:r w:rsidRPr="00134A48">
        <w:rPr>
          <w:rFonts w:ascii="Calibri" w:hAnsi="Calibri" w:cs="Calibri"/>
          <w:color w:val="000000" w:themeColor="text1"/>
          <w:sz w:val="18"/>
          <w:szCs w:val="18"/>
          <w:lang w:val="en-GB"/>
        </w:rPr>
        <w:tab/>
        <w:t xml:space="preserve">State Budget Act, </w:t>
      </w:r>
      <w:r w:rsidRPr="00134A48">
        <w:rPr>
          <w:rFonts w:ascii="Calibri" w:hAnsi="Calibri" w:cs="Calibri"/>
          <w:color w:val="000000" w:themeColor="text1"/>
          <w:sz w:val="18"/>
          <w:szCs w:val="18"/>
          <w:shd w:val="clear" w:color="auto" w:fill="FFFFFF"/>
          <w:lang w:val="en-GB"/>
        </w:rPr>
        <w:t xml:space="preserve">RT I, 30.11.2022, 4, </w:t>
      </w:r>
      <w:r w:rsidRPr="00134A48">
        <w:rPr>
          <w:rFonts w:ascii="Calibri" w:hAnsi="Calibri" w:cs="Calibri"/>
          <w:color w:val="000000" w:themeColor="text1"/>
          <w:sz w:val="18"/>
          <w:szCs w:val="18"/>
          <w:lang w:val="en-GB"/>
        </w:rPr>
        <w:t>https://www.riigiteataja.ee/en/eli/509122022002/consolide.</w:t>
      </w:r>
    </w:p>
  </w:footnote>
  <w:footnote w:id="8">
    <w:p w14:paraId="72A25379" w14:textId="77777777" w:rsidR="004C4D52" w:rsidRPr="00134A48" w:rsidRDefault="004C4D52" w:rsidP="004C4D52">
      <w:pPr>
        <w:pStyle w:val="footnote"/>
        <w:rPr>
          <w:rFonts w:ascii="Calibri" w:hAnsi="Calibri" w:cs="Calibri"/>
          <w:sz w:val="18"/>
          <w:szCs w:val="18"/>
          <w:lang w:val="en-GB"/>
        </w:rPr>
      </w:pPr>
      <w:r w:rsidRPr="00134A48">
        <w:rPr>
          <w:rStyle w:val="FootnoteReference"/>
          <w:rFonts w:ascii="Calibri" w:hAnsi="Calibri" w:cs="Calibri"/>
          <w:color w:val="000000" w:themeColor="text1"/>
          <w:sz w:val="18"/>
          <w:szCs w:val="18"/>
          <w:lang w:val="en-GB"/>
        </w:rPr>
        <w:footnoteRef/>
      </w:r>
      <w:r w:rsidRPr="00134A48">
        <w:rPr>
          <w:rFonts w:ascii="Calibri" w:hAnsi="Calibri" w:cs="Calibri"/>
          <w:color w:val="000000" w:themeColor="text1"/>
          <w:sz w:val="18"/>
          <w:szCs w:val="18"/>
          <w:lang w:val="en-GB"/>
        </w:rPr>
        <w:t xml:space="preserve"> </w:t>
      </w:r>
      <w:r w:rsidRPr="00134A48">
        <w:rPr>
          <w:rFonts w:ascii="Calibri" w:hAnsi="Calibri" w:cs="Calibri"/>
          <w:color w:val="000000" w:themeColor="text1"/>
          <w:sz w:val="18"/>
          <w:szCs w:val="18"/>
          <w:lang w:val="en-GB"/>
        </w:rPr>
        <w:tab/>
        <w:t>Regulation of the Minister of Social Affairs No. 16 of 2 February 2022 ‘Financial support for the promotion of equal treatment and gender equality’ (</w:t>
      </w:r>
      <w:proofErr w:type="spellStart"/>
      <w:r w:rsidRPr="00134A48">
        <w:rPr>
          <w:rFonts w:ascii="Calibri" w:hAnsi="Calibri" w:cs="Calibri"/>
          <w:i/>
          <w:iCs/>
          <w:color w:val="000000" w:themeColor="text1"/>
          <w:sz w:val="18"/>
          <w:szCs w:val="18"/>
          <w:lang w:val="en-GB" w:eastAsia="en-GB"/>
        </w:rPr>
        <w:t>Võrdse</w:t>
      </w:r>
      <w:proofErr w:type="spellEnd"/>
      <w:r w:rsidRPr="00134A48">
        <w:rPr>
          <w:rFonts w:ascii="Calibri" w:hAnsi="Calibri" w:cs="Calibri"/>
          <w:i/>
          <w:iCs/>
          <w:color w:val="000000" w:themeColor="text1"/>
          <w:sz w:val="18"/>
          <w:szCs w:val="18"/>
          <w:lang w:val="en-GB" w:eastAsia="en-GB"/>
        </w:rPr>
        <w:t xml:space="preserve"> </w:t>
      </w:r>
      <w:proofErr w:type="spellStart"/>
      <w:r w:rsidRPr="00134A48">
        <w:rPr>
          <w:rFonts w:ascii="Calibri" w:hAnsi="Calibri" w:cs="Calibri"/>
          <w:i/>
          <w:iCs/>
          <w:color w:val="000000" w:themeColor="text1"/>
          <w:sz w:val="18"/>
          <w:szCs w:val="18"/>
          <w:lang w:val="en-GB" w:eastAsia="en-GB"/>
        </w:rPr>
        <w:t>kohtlemise</w:t>
      </w:r>
      <w:proofErr w:type="spellEnd"/>
      <w:r w:rsidRPr="00134A48">
        <w:rPr>
          <w:rFonts w:ascii="Calibri" w:hAnsi="Calibri" w:cs="Calibri"/>
          <w:i/>
          <w:iCs/>
          <w:color w:val="000000" w:themeColor="text1"/>
          <w:sz w:val="18"/>
          <w:szCs w:val="18"/>
          <w:lang w:val="en-GB" w:eastAsia="en-GB"/>
        </w:rPr>
        <w:t xml:space="preserve"> </w:t>
      </w:r>
      <w:proofErr w:type="spellStart"/>
      <w:r w:rsidRPr="00134A48">
        <w:rPr>
          <w:rFonts w:ascii="Calibri" w:hAnsi="Calibri" w:cs="Calibri"/>
          <w:i/>
          <w:iCs/>
          <w:color w:val="000000" w:themeColor="text1"/>
          <w:sz w:val="18"/>
          <w:szCs w:val="18"/>
          <w:lang w:val="en-GB" w:eastAsia="en-GB"/>
        </w:rPr>
        <w:t>ja</w:t>
      </w:r>
      <w:proofErr w:type="spellEnd"/>
      <w:r w:rsidRPr="00134A48">
        <w:rPr>
          <w:rFonts w:ascii="Calibri" w:hAnsi="Calibri" w:cs="Calibri"/>
          <w:i/>
          <w:iCs/>
          <w:color w:val="000000" w:themeColor="text1"/>
          <w:sz w:val="18"/>
          <w:szCs w:val="18"/>
          <w:lang w:val="en-GB" w:eastAsia="en-GB"/>
        </w:rPr>
        <w:t xml:space="preserve"> </w:t>
      </w:r>
      <w:proofErr w:type="spellStart"/>
      <w:r w:rsidRPr="00134A48">
        <w:rPr>
          <w:rFonts w:ascii="Calibri" w:hAnsi="Calibri" w:cs="Calibri"/>
          <w:i/>
          <w:iCs/>
          <w:color w:val="000000" w:themeColor="text1"/>
          <w:sz w:val="18"/>
          <w:szCs w:val="18"/>
          <w:lang w:val="en-GB" w:eastAsia="en-GB"/>
        </w:rPr>
        <w:t>soolise</w:t>
      </w:r>
      <w:proofErr w:type="spellEnd"/>
      <w:r w:rsidRPr="00134A48">
        <w:rPr>
          <w:rFonts w:ascii="Calibri" w:hAnsi="Calibri" w:cs="Calibri"/>
          <w:i/>
          <w:iCs/>
          <w:color w:val="000000" w:themeColor="text1"/>
          <w:sz w:val="18"/>
          <w:szCs w:val="18"/>
          <w:lang w:val="en-GB" w:eastAsia="en-GB"/>
        </w:rPr>
        <w:t xml:space="preserve"> </w:t>
      </w:r>
      <w:proofErr w:type="spellStart"/>
      <w:r w:rsidRPr="00134A48">
        <w:rPr>
          <w:rFonts w:ascii="Calibri" w:hAnsi="Calibri" w:cs="Calibri"/>
          <w:i/>
          <w:iCs/>
          <w:color w:val="000000" w:themeColor="text1"/>
          <w:sz w:val="18"/>
          <w:szCs w:val="18"/>
          <w:lang w:val="en-GB" w:eastAsia="en-GB"/>
        </w:rPr>
        <w:t>võrdõiguslikkuse</w:t>
      </w:r>
      <w:proofErr w:type="spellEnd"/>
      <w:r w:rsidRPr="00134A48">
        <w:rPr>
          <w:rFonts w:ascii="Calibri" w:hAnsi="Calibri" w:cs="Calibri"/>
          <w:i/>
          <w:iCs/>
          <w:color w:val="000000" w:themeColor="text1"/>
          <w:sz w:val="18"/>
          <w:szCs w:val="18"/>
          <w:lang w:val="en-GB" w:eastAsia="en-GB"/>
        </w:rPr>
        <w:t xml:space="preserve"> </w:t>
      </w:r>
      <w:proofErr w:type="spellStart"/>
      <w:r w:rsidRPr="00134A48">
        <w:rPr>
          <w:rFonts w:ascii="Calibri" w:hAnsi="Calibri" w:cs="Calibri"/>
          <w:i/>
          <w:iCs/>
          <w:color w:val="000000" w:themeColor="text1"/>
          <w:sz w:val="18"/>
          <w:szCs w:val="18"/>
          <w:lang w:val="en-GB" w:eastAsia="en-GB"/>
        </w:rPr>
        <w:t>edendamise</w:t>
      </w:r>
      <w:proofErr w:type="spellEnd"/>
      <w:r w:rsidRPr="00134A48">
        <w:rPr>
          <w:rFonts w:ascii="Calibri" w:hAnsi="Calibri" w:cs="Calibri"/>
          <w:i/>
          <w:iCs/>
          <w:color w:val="000000" w:themeColor="text1"/>
          <w:sz w:val="18"/>
          <w:szCs w:val="18"/>
          <w:lang w:val="en-GB" w:eastAsia="en-GB"/>
        </w:rPr>
        <w:t xml:space="preserve"> </w:t>
      </w:r>
      <w:proofErr w:type="spellStart"/>
      <w:r w:rsidRPr="00134A48">
        <w:rPr>
          <w:rFonts w:ascii="Calibri" w:hAnsi="Calibri" w:cs="Calibri"/>
          <w:i/>
          <w:iCs/>
          <w:color w:val="000000" w:themeColor="text1"/>
          <w:sz w:val="18"/>
          <w:szCs w:val="18"/>
          <w:lang w:val="en-GB" w:eastAsia="en-GB"/>
        </w:rPr>
        <w:t>rahaline</w:t>
      </w:r>
      <w:proofErr w:type="spellEnd"/>
      <w:r w:rsidRPr="00134A48">
        <w:rPr>
          <w:rFonts w:ascii="Calibri" w:hAnsi="Calibri" w:cs="Calibri"/>
          <w:i/>
          <w:iCs/>
          <w:color w:val="000000" w:themeColor="text1"/>
          <w:sz w:val="18"/>
          <w:szCs w:val="18"/>
          <w:lang w:val="en-GB" w:eastAsia="en-GB"/>
        </w:rPr>
        <w:t xml:space="preserve"> </w:t>
      </w:r>
      <w:proofErr w:type="spellStart"/>
      <w:r w:rsidRPr="00134A48">
        <w:rPr>
          <w:rFonts w:ascii="Calibri" w:hAnsi="Calibri" w:cs="Calibri"/>
          <w:i/>
          <w:iCs/>
          <w:color w:val="000000" w:themeColor="text1"/>
          <w:sz w:val="18"/>
          <w:szCs w:val="18"/>
          <w:lang w:val="en-GB" w:eastAsia="en-GB"/>
        </w:rPr>
        <w:t>toetamine</w:t>
      </w:r>
      <w:proofErr w:type="spellEnd"/>
      <w:r w:rsidRPr="00134A48">
        <w:rPr>
          <w:rFonts w:ascii="Calibri" w:hAnsi="Calibri" w:cs="Calibri"/>
          <w:color w:val="000000" w:themeColor="text1"/>
          <w:sz w:val="18"/>
          <w:szCs w:val="18"/>
          <w:lang w:val="en-GB" w:eastAsia="en-GB"/>
        </w:rPr>
        <w:t xml:space="preserve">). Amended in July 2023. Available in Estonian at: </w:t>
      </w:r>
      <w:r w:rsidRPr="00134A48">
        <w:rPr>
          <w:rFonts w:ascii="Calibri" w:hAnsi="Calibri" w:cs="Calibri"/>
          <w:sz w:val="18"/>
          <w:szCs w:val="18"/>
        </w:rPr>
        <w:t>https://www.riigiteataja.ee/akt/113072023079</w:t>
      </w:r>
      <w:r w:rsidRPr="00134A48">
        <w:rPr>
          <w:rFonts w:ascii="Calibri" w:hAnsi="Calibri" w:cs="Calibri"/>
          <w:sz w:val="18"/>
          <w:szCs w:val="18"/>
          <w:lang w:val="en-GB" w:eastAsia="en-GB"/>
        </w:rPr>
        <w:t xml:space="preserve">. </w:t>
      </w:r>
    </w:p>
  </w:footnote>
  <w:footnote w:id="9">
    <w:p w14:paraId="586930E2" w14:textId="77777777" w:rsidR="004C4D52" w:rsidRPr="00134A48" w:rsidRDefault="004C4D52" w:rsidP="004C4D52">
      <w:pPr>
        <w:pStyle w:val="footnote"/>
        <w:rPr>
          <w:rFonts w:ascii="Calibri" w:hAnsi="Calibri" w:cs="Calibri"/>
          <w:sz w:val="18"/>
          <w:szCs w:val="18"/>
          <w:lang w:val="en-GB"/>
        </w:rPr>
      </w:pPr>
      <w:r w:rsidRPr="00134A48">
        <w:rPr>
          <w:rStyle w:val="FootnoteReference"/>
          <w:rFonts w:ascii="Calibri" w:hAnsi="Calibri" w:cs="Calibri"/>
          <w:sz w:val="18"/>
          <w:szCs w:val="18"/>
          <w:lang w:val="en-GB"/>
        </w:rPr>
        <w:footnoteRef/>
      </w:r>
      <w:r w:rsidRPr="00134A48">
        <w:rPr>
          <w:rFonts w:ascii="Calibri" w:hAnsi="Calibri" w:cs="Calibri"/>
          <w:sz w:val="18"/>
          <w:szCs w:val="18"/>
          <w:lang w:val="en-GB"/>
        </w:rPr>
        <w:t xml:space="preserve"> </w:t>
      </w:r>
      <w:r w:rsidRPr="00134A48">
        <w:rPr>
          <w:rFonts w:ascii="Calibri" w:hAnsi="Calibri" w:cs="Calibri"/>
          <w:sz w:val="18"/>
          <w:szCs w:val="18"/>
          <w:lang w:val="en-GB"/>
        </w:rPr>
        <w:tab/>
      </w:r>
      <w:r w:rsidRPr="00134A48">
        <w:rPr>
          <w:rFonts w:ascii="Calibri" w:hAnsi="Calibri" w:cs="Calibri"/>
          <w:color w:val="000000" w:themeColor="text1"/>
          <w:sz w:val="18"/>
          <w:szCs w:val="18"/>
          <w:lang w:val="en-GB"/>
        </w:rPr>
        <w:t xml:space="preserve">Free legal advice is available from the women’s support service centres, child welfare organisations, Human Rights </w:t>
      </w:r>
      <w:proofErr w:type="gramStart"/>
      <w:r w:rsidRPr="00134A48">
        <w:rPr>
          <w:rFonts w:ascii="Calibri" w:hAnsi="Calibri" w:cs="Calibri"/>
          <w:color w:val="000000" w:themeColor="text1"/>
          <w:sz w:val="18"/>
          <w:szCs w:val="18"/>
          <w:lang w:val="en-GB"/>
        </w:rPr>
        <w:t>Centre</w:t>
      </w:r>
      <w:proofErr w:type="gramEnd"/>
      <w:r w:rsidRPr="00134A48">
        <w:rPr>
          <w:rFonts w:ascii="Calibri" w:hAnsi="Calibri" w:cs="Calibri"/>
          <w:color w:val="000000" w:themeColor="text1"/>
          <w:sz w:val="18"/>
          <w:szCs w:val="18"/>
          <w:lang w:val="en-GB"/>
        </w:rPr>
        <w:t xml:space="preserve"> and some other contractual partners; the Women’s Clinic of Tartu University Hospital offers free legal aid</w:t>
      </w:r>
      <w:r w:rsidRPr="00134A48">
        <w:rPr>
          <w:rFonts w:ascii="Calibri" w:hAnsi="Calibri" w:cs="Calibri"/>
          <w:sz w:val="18"/>
          <w:szCs w:val="18"/>
          <w:lang w:val="en-GB"/>
        </w:rPr>
        <w:t xml:space="preserve">. </w:t>
      </w:r>
    </w:p>
  </w:footnote>
  <w:footnote w:id="10">
    <w:p w14:paraId="5685258B" w14:textId="77777777" w:rsidR="004C4D52" w:rsidRPr="00134A48" w:rsidRDefault="004C4D52" w:rsidP="004C4D52">
      <w:pPr>
        <w:pStyle w:val="footnote"/>
        <w:rPr>
          <w:rFonts w:ascii="Calibri" w:hAnsi="Calibri" w:cs="Calibri"/>
          <w:sz w:val="18"/>
          <w:szCs w:val="18"/>
          <w:lang w:val="en-GB"/>
        </w:rPr>
      </w:pPr>
      <w:r w:rsidRPr="00134A48">
        <w:rPr>
          <w:rStyle w:val="FootnoteReference"/>
          <w:rFonts w:ascii="Calibri" w:hAnsi="Calibri" w:cs="Calibri"/>
          <w:sz w:val="18"/>
          <w:szCs w:val="18"/>
          <w:lang w:val="en-GB"/>
        </w:rPr>
        <w:footnoteRef/>
      </w:r>
      <w:r w:rsidRPr="00134A48">
        <w:rPr>
          <w:rFonts w:ascii="Calibri" w:hAnsi="Calibri" w:cs="Calibri"/>
          <w:sz w:val="18"/>
          <w:szCs w:val="18"/>
          <w:lang w:val="en-GB"/>
        </w:rPr>
        <w:t xml:space="preserve"> </w:t>
      </w:r>
      <w:r w:rsidRPr="00134A48">
        <w:rPr>
          <w:rFonts w:ascii="Calibri" w:hAnsi="Calibri" w:cs="Calibri"/>
          <w:sz w:val="18"/>
          <w:szCs w:val="18"/>
          <w:lang w:val="en-GB"/>
        </w:rPr>
        <w:tab/>
        <w:t xml:space="preserve">See: </w:t>
      </w:r>
      <w:hyperlink r:id="rId4" w:history="1">
        <w:r w:rsidRPr="00134A48">
          <w:rPr>
            <w:rStyle w:val="Hyperlink"/>
            <w:rFonts w:ascii="Calibri" w:eastAsiaTheme="majorEastAsia" w:hAnsi="Calibri" w:cs="Calibri"/>
            <w:sz w:val="18"/>
            <w:szCs w:val="18"/>
          </w:rPr>
          <w:t>https://www.riigioigusabi.ee/dokumendid-2</w:t>
        </w:r>
      </w:hyperlink>
      <w:r w:rsidRPr="00134A48">
        <w:rPr>
          <w:rFonts w:ascii="Calibri" w:hAnsi="Calibri" w:cs="Calibri"/>
          <w:sz w:val="18"/>
          <w:szCs w:val="18"/>
          <w:lang w:val="en-GB"/>
        </w:rPr>
        <w:t xml:space="preserve">. </w:t>
      </w:r>
    </w:p>
  </w:footnote>
  <w:footnote w:id="11">
    <w:p w14:paraId="4CFE1E5C" w14:textId="77777777" w:rsidR="004C4D52" w:rsidRPr="00134A48" w:rsidRDefault="004C4D52" w:rsidP="004C4D52">
      <w:pPr>
        <w:pStyle w:val="footnote"/>
        <w:rPr>
          <w:rFonts w:ascii="Calibri" w:hAnsi="Calibri" w:cs="Calibri"/>
          <w:sz w:val="18"/>
          <w:szCs w:val="18"/>
          <w:lang w:val="en-GB"/>
        </w:rPr>
      </w:pPr>
      <w:r w:rsidRPr="00134A48">
        <w:rPr>
          <w:rStyle w:val="FootnoteReference"/>
          <w:rFonts w:ascii="Calibri" w:hAnsi="Calibri" w:cs="Calibri"/>
          <w:sz w:val="18"/>
          <w:szCs w:val="18"/>
          <w:lang w:val="en-GB"/>
        </w:rPr>
        <w:footnoteRef/>
      </w:r>
      <w:r w:rsidRPr="00134A48">
        <w:rPr>
          <w:rFonts w:ascii="Calibri" w:hAnsi="Calibri" w:cs="Calibri"/>
          <w:sz w:val="18"/>
          <w:szCs w:val="18"/>
          <w:lang w:val="en-GB"/>
        </w:rPr>
        <w:t xml:space="preserve"> </w:t>
      </w:r>
      <w:r w:rsidRPr="00134A48">
        <w:rPr>
          <w:rFonts w:ascii="Calibri" w:hAnsi="Calibri" w:cs="Calibri"/>
          <w:sz w:val="18"/>
          <w:szCs w:val="18"/>
          <w:lang w:val="en-GB"/>
        </w:rPr>
        <w:tab/>
        <w:t xml:space="preserve">See: </w:t>
      </w:r>
      <w:hyperlink r:id="rId5" w:history="1">
        <w:r w:rsidRPr="00134A48">
          <w:rPr>
            <w:rStyle w:val="Hyperlink"/>
            <w:rFonts w:ascii="Calibri" w:eastAsiaTheme="majorEastAsia" w:hAnsi="Calibri" w:cs="Calibri"/>
            <w:sz w:val="18"/>
            <w:szCs w:val="18"/>
          </w:rPr>
          <w:t>https://advokatuur.ee/et/paevakajalist/uudised/advokatuur-tegutseb-riigi-oigusabi-kriisi-ennetamise-nimel</w:t>
        </w:r>
      </w:hyperlink>
      <w:r w:rsidRPr="00134A48">
        <w:rPr>
          <w:rFonts w:ascii="Calibri" w:hAnsi="Calibri" w:cs="Calibri"/>
          <w:sz w:val="18"/>
          <w:szCs w:val="18"/>
          <w:lang w:val="en-GB"/>
        </w:rPr>
        <w:t xml:space="preserve">. </w:t>
      </w:r>
    </w:p>
  </w:footnote>
  <w:footnote w:id="12">
    <w:p w14:paraId="4BDF9998" w14:textId="77777777" w:rsidR="004C4D52" w:rsidRPr="00134A48" w:rsidRDefault="004C4D52" w:rsidP="00134A48">
      <w:pPr>
        <w:pStyle w:val="FootnoteRM"/>
        <w:rPr>
          <w:rFonts w:ascii="Calibri" w:hAnsi="Calibri" w:cs="Calibri"/>
          <w:sz w:val="18"/>
          <w:szCs w:val="18"/>
        </w:rPr>
      </w:pPr>
      <w:r w:rsidRPr="00134A48">
        <w:rPr>
          <w:rStyle w:val="FootnoteReference"/>
          <w:rFonts w:ascii="Calibri" w:hAnsi="Calibri" w:cs="Calibri"/>
          <w:sz w:val="18"/>
          <w:szCs w:val="18"/>
          <w:lang w:val="en-GB"/>
        </w:rPr>
        <w:footnoteRef/>
      </w:r>
      <w:r w:rsidRPr="00134A48">
        <w:rPr>
          <w:rFonts w:ascii="Calibri" w:hAnsi="Calibri" w:cs="Calibri"/>
          <w:sz w:val="18"/>
          <w:szCs w:val="18"/>
        </w:rPr>
        <w:t xml:space="preserve"> </w:t>
      </w:r>
      <w:r w:rsidRPr="00134A48">
        <w:rPr>
          <w:rFonts w:ascii="Calibri" w:hAnsi="Calibri" w:cs="Calibri"/>
          <w:sz w:val="18"/>
          <w:szCs w:val="18"/>
        </w:rPr>
        <w:tab/>
        <w:t xml:space="preserve">Procedure for payment of the lawyer’s fees and expenses </w:t>
      </w:r>
      <w:proofErr w:type="spellStart"/>
      <w:r w:rsidRPr="00134A48">
        <w:rPr>
          <w:rFonts w:ascii="Calibri" w:hAnsi="Calibri" w:cs="Calibri"/>
          <w:sz w:val="18"/>
          <w:szCs w:val="18"/>
        </w:rPr>
        <w:t>for</w:t>
      </w:r>
      <w:proofErr w:type="spellEnd"/>
      <w:r w:rsidRPr="00134A48">
        <w:rPr>
          <w:rFonts w:ascii="Calibri" w:hAnsi="Calibri" w:cs="Calibri"/>
          <w:sz w:val="18"/>
          <w:szCs w:val="18"/>
        </w:rPr>
        <w:t xml:space="preserve"> </w:t>
      </w:r>
      <w:proofErr w:type="spellStart"/>
      <w:r w:rsidRPr="00134A48">
        <w:rPr>
          <w:rFonts w:ascii="Calibri" w:hAnsi="Calibri" w:cs="Calibri"/>
          <w:sz w:val="18"/>
          <w:szCs w:val="18"/>
        </w:rPr>
        <w:t>providing</w:t>
      </w:r>
      <w:proofErr w:type="spellEnd"/>
      <w:r w:rsidRPr="00134A48">
        <w:rPr>
          <w:rFonts w:ascii="Calibri" w:hAnsi="Calibri" w:cs="Calibri"/>
          <w:sz w:val="18"/>
          <w:szCs w:val="18"/>
        </w:rPr>
        <w:t xml:space="preserve"> </w:t>
      </w:r>
      <w:proofErr w:type="spellStart"/>
      <w:r w:rsidRPr="00134A48">
        <w:rPr>
          <w:rFonts w:ascii="Calibri" w:hAnsi="Calibri" w:cs="Calibri"/>
          <w:sz w:val="18"/>
          <w:szCs w:val="18"/>
        </w:rPr>
        <w:t>state-funded</w:t>
      </w:r>
      <w:proofErr w:type="spellEnd"/>
      <w:r w:rsidRPr="00134A48">
        <w:rPr>
          <w:rFonts w:ascii="Calibri" w:hAnsi="Calibri" w:cs="Calibri"/>
          <w:sz w:val="18"/>
          <w:szCs w:val="18"/>
        </w:rPr>
        <w:t xml:space="preserve"> </w:t>
      </w:r>
      <w:proofErr w:type="spellStart"/>
      <w:r w:rsidRPr="00134A48">
        <w:rPr>
          <w:rFonts w:ascii="Calibri" w:hAnsi="Calibri" w:cs="Calibri"/>
          <w:sz w:val="18"/>
          <w:szCs w:val="18"/>
        </w:rPr>
        <w:t>legal</w:t>
      </w:r>
      <w:proofErr w:type="spellEnd"/>
      <w:r w:rsidRPr="00134A48">
        <w:rPr>
          <w:rFonts w:ascii="Calibri" w:hAnsi="Calibri" w:cs="Calibri"/>
          <w:sz w:val="18"/>
          <w:szCs w:val="18"/>
        </w:rPr>
        <w:t xml:space="preserve"> </w:t>
      </w:r>
      <w:proofErr w:type="spellStart"/>
      <w:r w:rsidRPr="00134A48">
        <w:rPr>
          <w:rFonts w:ascii="Calibri" w:hAnsi="Calibri" w:cs="Calibri"/>
          <w:sz w:val="18"/>
          <w:szCs w:val="18"/>
        </w:rPr>
        <w:t>aid</w:t>
      </w:r>
      <w:proofErr w:type="spellEnd"/>
      <w:r w:rsidRPr="00134A48">
        <w:rPr>
          <w:rFonts w:ascii="Calibri" w:hAnsi="Calibri" w:cs="Calibri"/>
          <w:sz w:val="18"/>
          <w:szCs w:val="18"/>
        </w:rPr>
        <w:t xml:space="preserve"> (</w:t>
      </w:r>
      <w:r w:rsidRPr="00134A48">
        <w:rPr>
          <w:rFonts w:ascii="Calibri" w:hAnsi="Calibri" w:cs="Calibri"/>
          <w:i/>
          <w:iCs/>
          <w:sz w:val="18"/>
          <w:szCs w:val="18"/>
        </w:rPr>
        <w:t>Advokaadile riigi õigusabi tasu maksmise ja kulude hüvitamise kord</w:t>
      </w:r>
      <w:r w:rsidRPr="00134A48">
        <w:rPr>
          <w:rFonts w:ascii="Calibri" w:hAnsi="Calibri" w:cs="Calibri"/>
          <w:sz w:val="18"/>
          <w:szCs w:val="18"/>
        </w:rPr>
        <w:t xml:space="preserve">), </w:t>
      </w:r>
      <w:r w:rsidRPr="00134A48">
        <w:rPr>
          <w:rFonts w:ascii="Calibri" w:hAnsi="Calibri" w:cs="Calibri"/>
          <w:color w:val="202020"/>
          <w:sz w:val="18"/>
          <w:szCs w:val="18"/>
          <w:shd w:val="clear" w:color="auto" w:fill="FFFFFF"/>
        </w:rPr>
        <w:t xml:space="preserve">RT I, 03.02.2023, 52. </w:t>
      </w:r>
      <w:r w:rsidRPr="00134A48">
        <w:rPr>
          <w:rFonts w:ascii="Calibri" w:hAnsi="Calibri" w:cs="Calibri"/>
          <w:sz w:val="18"/>
          <w:szCs w:val="18"/>
        </w:rPr>
        <w:t>Available in Estonian at: https://www.riigiteataja.ee/akt/103022023052.</w:t>
      </w:r>
    </w:p>
  </w:footnote>
  <w:footnote w:id="13">
    <w:p w14:paraId="45CC9694" w14:textId="124C7BA4" w:rsidR="00134A48" w:rsidRPr="00134A48" w:rsidRDefault="00134A48" w:rsidP="00134A48">
      <w:pPr>
        <w:pStyle w:val="FootnoteRM"/>
        <w:rPr>
          <w:rFonts w:ascii="Calibri" w:hAnsi="Calibri" w:cs="Calibri"/>
          <w:sz w:val="18"/>
          <w:szCs w:val="18"/>
          <w:lang w:val="en-EE"/>
        </w:rPr>
      </w:pPr>
      <w:r w:rsidRPr="00134A48">
        <w:rPr>
          <w:rStyle w:val="FootnoteReference"/>
          <w:rFonts w:ascii="Calibri" w:hAnsi="Calibri" w:cs="Calibri"/>
          <w:sz w:val="18"/>
          <w:szCs w:val="18"/>
        </w:rPr>
        <w:footnoteRef/>
      </w:r>
      <w:r w:rsidRPr="00134A48">
        <w:rPr>
          <w:rFonts w:ascii="Calibri" w:hAnsi="Calibri" w:cs="Calibri"/>
          <w:sz w:val="18"/>
          <w:szCs w:val="18"/>
        </w:rPr>
        <w:t xml:space="preserve"> </w:t>
      </w:r>
      <w:r w:rsidR="008D0FEC">
        <w:rPr>
          <w:rFonts w:ascii="Calibri" w:hAnsi="Calibri" w:cs="Calibri"/>
          <w:sz w:val="18"/>
          <w:szCs w:val="18"/>
        </w:rPr>
        <w:t xml:space="preserve">  </w:t>
      </w:r>
      <w:proofErr w:type="spellStart"/>
      <w:r w:rsidRPr="00134A48">
        <w:rPr>
          <w:rFonts w:ascii="Calibri" w:hAnsi="Calibri" w:cs="Calibri"/>
          <w:color w:val="202020"/>
          <w:sz w:val="18"/>
          <w:szCs w:val="18"/>
          <w:shd w:val="clear" w:color="auto" w:fill="FFFFFF"/>
        </w:rPr>
        <w:t>Article</w:t>
      </w:r>
      <w:proofErr w:type="spellEnd"/>
      <w:r w:rsidRPr="00134A48">
        <w:rPr>
          <w:rFonts w:ascii="Calibri" w:hAnsi="Calibri" w:cs="Calibri"/>
          <w:color w:val="202020"/>
          <w:sz w:val="18"/>
          <w:szCs w:val="18"/>
          <w:shd w:val="clear" w:color="auto" w:fill="FFFFFF"/>
        </w:rPr>
        <w:t xml:space="preserve"> 21(2) of </w:t>
      </w:r>
      <w:proofErr w:type="spellStart"/>
      <w:r w:rsidRPr="00134A48">
        <w:rPr>
          <w:rFonts w:ascii="Calibri" w:hAnsi="Calibri" w:cs="Calibri"/>
          <w:color w:val="202020"/>
          <w:sz w:val="18"/>
          <w:szCs w:val="18"/>
          <w:shd w:val="clear" w:color="auto" w:fill="FFFFFF"/>
        </w:rPr>
        <w:t>the</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Victim</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Support</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Act</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stipulates</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that</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the</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women's</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support</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centre</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service</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includes</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beside</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provision</w:t>
      </w:r>
      <w:proofErr w:type="spellEnd"/>
      <w:r w:rsidRPr="00134A48">
        <w:rPr>
          <w:rFonts w:ascii="Calibri" w:hAnsi="Calibri" w:cs="Calibri"/>
          <w:color w:val="202020"/>
          <w:sz w:val="18"/>
          <w:szCs w:val="18"/>
          <w:shd w:val="clear" w:color="auto" w:fill="FFFFFF"/>
        </w:rPr>
        <w:t xml:space="preserve"> of </w:t>
      </w:r>
      <w:proofErr w:type="spellStart"/>
      <w:r w:rsidRPr="00134A48">
        <w:rPr>
          <w:rFonts w:ascii="Calibri" w:hAnsi="Calibri" w:cs="Calibri"/>
          <w:color w:val="202020"/>
          <w:sz w:val="18"/>
          <w:szCs w:val="18"/>
          <w:shd w:val="clear" w:color="auto" w:fill="FFFFFF"/>
        </w:rPr>
        <w:t>legal</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aid</w:t>
      </w:r>
      <w:proofErr w:type="spellEnd"/>
      <w:r w:rsidRPr="00134A48">
        <w:rPr>
          <w:rFonts w:ascii="Calibri" w:hAnsi="Calibri" w:cs="Calibri"/>
          <w:color w:val="202020"/>
          <w:sz w:val="18"/>
          <w:szCs w:val="18"/>
          <w:shd w:val="clear" w:color="auto" w:fill="FFFFFF"/>
        </w:rPr>
        <w:t xml:space="preserve"> a </w:t>
      </w:r>
      <w:proofErr w:type="spellStart"/>
      <w:r w:rsidRPr="00134A48">
        <w:rPr>
          <w:rFonts w:ascii="Calibri" w:hAnsi="Calibri" w:cs="Calibri"/>
          <w:color w:val="202020"/>
          <w:sz w:val="18"/>
          <w:szCs w:val="18"/>
          <w:shd w:val="clear" w:color="auto" w:fill="FFFFFF"/>
        </w:rPr>
        <w:t>readiness</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to</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provide</w:t>
      </w:r>
      <w:proofErr w:type="spellEnd"/>
      <w:r w:rsidRPr="00134A48">
        <w:rPr>
          <w:rFonts w:ascii="Calibri" w:hAnsi="Calibri" w:cs="Calibri"/>
          <w:color w:val="202020"/>
          <w:sz w:val="18"/>
          <w:szCs w:val="18"/>
          <w:shd w:val="clear" w:color="auto" w:fill="FFFFFF"/>
        </w:rPr>
        <w:t xml:space="preserve"> 24-hour </w:t>
      </w:r>
      <w:proofErr w:type="spellStart"/>
      <w:r w:rsidRPr="00134A48">
        <w:rPr>
          <w:rFonts w:ascii="Calibri" w:hAnsi="Calibri" w:cs="Calibri"/>
          <w:color w:val="202020"/>
          <w:sz w:val="18"/>
          <w:szCs w:val="18"/>
          <w:shd w:val="clear" w:color="auto" w:fill="FFFFFF"/>
        </w:rPr>
        <w:t>primary</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psychosocial</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support</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to</w:t>
      </w:r>
      <w:proofErr w:type="spellEnd"/>
      <w:r w:rsidRPr="00134A48">
        <w:rPr>
          <w:rFonts w:ascii="Calibri" w:hAnsi="Calibri" w:cs="Calibri"/>
          <w:color w:val="202020"/>
          <w:sz w:val="18"/>
          <w:szCs w:val="18"/>
          <w:shd w:val="clear" w:color="auto" w:fill="FFFFFF"/>
        </w:rPr>
        <w:t xml:space="preserve"> a </w:t>
      </w:r>
      <w:proofErr w:type="spellStart"/>
      <w:r w:rsidRPr="00134A48">
        <w:rPr>
          <w:rFonts w:ascii="Calibri" w:hAnsi="Calibri" w:cs="Calibri"/>
          <w:color w:val="202020"/>
          <w:sz w:val="18"/>
          <w:szCs w:val="18"/>
          <w:shd w:val="clear" w:color="auto" w:fill="FFFFFF"/>
        </w:rPr>
        <w:t>victim</w:t>
      </w:r>
      <w:proofErr w:type="spellEnd"/>
      <w:r w:rsidRPr="00134A48">
        <w:rPr>
          <w:rFonts w:ascii="Calibri" w:hAnsi="Calibri" w:cs="Calibri"/>
          <w:color w:val="202020"/>
          <w:sz w:val="18"/>
          <w:szCs w:val="18"/>
          <w:shd w:val="clear" w:color="auto" w:fill="FFFFFF"/>
        </w:rPr>
        <w:t xml:space="preserve"> and </w:t>
      </w:r>
      <w:proofErr w:type="spellStart"/>
      <w:r w:rsidRPr="00134A48">
        <w:rPr>
          <w:rFonts w:ascii="Calibri" w:hAnsi="Calibri" w:cs="Calibri"/>
          <w:color w:val="202020"/>
          <w:sz w:val="18"/>
          <w:szCs w:val="18"/>
          <w:shd w:val="clear" w:color="auto" w:fill="FFFFFF"/>
        </w:rPr>
        <w:t>their</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children</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assessment</w:t>
      </w:r>
      <w:proofErr w:type="spellEnd"/>
      <w:r w:rsidRPr="00134A48">
        <w:rPr>
          <w:rFonts w:ascii="Calibri" w:hAnsi="Calibri" w:cs="Calibri"/>
          <w:color w:val="202020"/>
          <w:sz w:val="18"/>
          <w:szCs w:val="18"/>
          <w:shd w:val="clear" w:color="auto" w:fill="FFFFFF"/>
        </w:rPr>
        <w:t xml:space="preserve"> of a </w:t>
      </w:r>
      <w:proofErr w:type="spellStart"/>
      <w:r w:rsidRPr="00134A48">
        <w:rPr>
          <w:rFonts w:ascii="Calibri" w:hAnsi="Calibri" w:cs="Calibri"/>
          <w:color w:val="202020"/>
          <w:sz w:val="18"/>
          <w:szCs w:val="18"/>
          <w:shd w:val="clear" w:color="auto" w:fill="FFFFFF"/>
        </w:rPr>
        <w:t>victim's</w:t>
      </w:r>
      <w:proofErr w:type="spellEnd"/>
      <w:r w:rsidRPr="00134A48">
        <w:rPr>
          <w:rFonts w:ascii="Calibri" w:hAnsi="Calibri" w:cs="Calibri"/>
          <w:color w:val="202020"/>
          <w:sz w:val="18"/>
          <w:szCs w:val="18"/>
          <w:shd w:val="clear" w:color="auto" w:fill="FFFFFF"/>
        </w:rPr>
        <w:t xml:space="preserve"> need </w:t>
      </w:r>
      <w:proofErr w:type="spellStart"/>
      <w:r w:rsidRPr="00134A48">
        <w:rPr>
          <w:rFonts w:ascii="Calibri" w:hAnsi="Calibri" w:cs="Calibri"/>
          <w:color w:val="202020"/>
          <w:sz w:val="18"/>
          <w:szCs w:val="18"/>
          <w:shd w:val="clear" w:color="auto" w:fill="FFFFFF"/>
        </w:rPr>
        <w:t>for</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support</w:t>
      </w:r>
      <w:proofErr w:type="spellEnd"/>
      <w:r w:rsidRPr="00134A48">
        <w:rPr>
          <w:rFonts w:ascii="Calibri" w:hAnsi="Calibri" w:cs="Calibri"/>
          <w:color w:val="202020"/>
          <w:sz w:val="18"/>
          <w:szCs w:val="18"/>
          <w:shd w:val="clear" w:color="auto" w:fill="FFFFFF"/>
        </w:rPr>
        <w:t xml:space="preserve"> in order </w:t>
      </w:r>
      <w:proofErr w:type="spellStart"/>
      <w:r w:rsidRPr="00134A48">
        <w:rPr>
          <w:rFonts w:ascii="Calibri" w:hAnsi="Calibri" w:cs="Calibri"/>
          <w:color w:val="202020"/>
          <w:sz w:val="18"/>
          <w:szCs w:val="18"/>
          <w:shd w:val="clear" w:color="auto" w:fill="FFFFFF"/>
        </w:rPr>
        <w:t>to</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decide</w:t>
      </w:r>
      <w:proofErr w:type="spellEnd"/>
      <w:r w:rsidRPr="00134A48">
        <w:rPr>
          <w:rFonts w:ascii="Calibri" w:hAnsi="Calibri" w:cs="Calibri"/>
          <w:color w:val="202020"/>
          <w:sz w:val="18"/>
          <w:szCs w:val="18"/>
          <w:shd w:val="clear" w:color="auto" w:fill="FFFFFF"/>
        </w:rPr>
        <w:t xml:space="preserve"> on </w:t>
      </w:r>
      <w:proofErr w:type="spellStart"/>
      <w:r w:rsidRPr="00134A48">
        <w:rPr>
          <w:rFonts w:ascii="Calibri" w:hAnsi="Calibri" w:cs="Calibri"/>
          <w:color w:val="202020"/>
          <w:sz w:val="18"/>
          <w:szCs w:val="18"/>
          <w:shd w:val="clear" w:color="auto" w:fill="FFFFFF"/>
        </w:rPr>
        <w:t>the</w:t>
      </w:r>
      <w:proofErr w:type="spellEnd"/>
      <w:r w:rsidRPr="00134A48">
        <w:rPr>
          <w:rFonts w:ascii="Calibri" w:hAnsi="Calibri" w:cs="Calibri"/>
          <w:color w:val="202020"/>
          <w:sz w:val="18"/>
          <w:szCs w:val="18"/>
          <w:shd w:val="clear" w:color="auto" w:fill="FFFFFF"/>
        </w:rPr>
        <w:t xml:space="preserve"> need and </w:t>
      </w:r>
      <w:proofErr w:type="spellStart"/>
      <w:r w:rsidRPr="00134A48">
        <w:rPr>
          <w:rFonts w:ascii="Calibri" w:hAnsi="Calibri" w:cs="Calibri"/>
          <w:color w:val="202020"/>
          <w:sz w:val="18"/>
          <w:szCs w:val="18"/>
          <w:shd w:val="clear" w:color="auto" w:fill="FFFFFF"/>
        </w:rPr>
        <w:t>volume</w:t>
      </w:r>
      <w:proofErr w:type="spellEnd"/>
      <w:r w:rsidRPr="00134A48">
        <w:rPr>
          <w:rFonts w:ascii="Calibri" w:hAnsi="Calibri" w:cs="Calibri"/>
          <w:color w:val="202020"/>
          <w:sz w:val="18"/>
          <w:szCs w:val="18"/>
          <w:shd w:val="clear" w:color="auto" w:fill="FFFFFF"/>
        </w:rPr>
        <w:t xml:space="preserve"> of </w:t>
      </w:r>
      <w:proofErr w:type="spellStart"/>
      <w:r w:rsidRPr="00134A48">
        <w:rPr>
          <w:rFonts w:ascii="Calibri" w:hAnsi="Calibri" w:cs="Calibri"/>
          <w:color w:val="202020"/>
          <w:sz w:val="18"/>
          <w:szCs w:val="18"/>
          <w:shd w:val="clear" w:color="auto" w:fill="FFFFFF"/>
        </w:rPr>
        <w:t>the</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service</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counselling</w:t>
      </w:r>
      <w:proofErr w:type="spellEnd"/>
      <w:r w:rsidRPr="00134A48">
        <w:rPr>
          <w:rFonts w:ascii="Calibri" w:hAnsi="Calibri" w:cs="Calibri"/>
          <w:color w:val="202020"/>
          <w:sz w:val="18"/>
          <w:szCs w:val="18"/>
          <w:shd w:val="clear" w:color="auto" w:fill="FFFFFF"/>
        </w:rPr>
        <w:t xml:space="preserve"> of a </w:t>
      </w:r>
      <w:proofErr w:type="spellStart"/>
      <w:r w:rsidRPr="00134A48">
        <w:rPr>
          <w:rFonts w:ascii="Calibri" w:hAnsi="Calibri" w:cs="Calibri"/>
          <w:color w:val="202020"/>
          <w:sz w:val="18"/>
          <w:szCs w:val="18"/>
          <w:shd w:val="clear" w:color="auto" w:fill="FFFFFF"/>
        </w:rPr>
        <w:t>victim</w:t>
      </w:r>
      <w:proofErr w:type="spellEnd"/>
      <w:r w:rsidRPr="00134A48">
        <w:rPr>
          <w:rFonts w:ascii="Calibri" w:hAnsi="Calibri" w:cs="Calibri"/>
          <w:color w:val="202020"/>
          <w:sz w:val="18"/>
          <w:szCs w:val="18"/>
          <w:shd w:val="clear" w:color="auto" w:fill="FFFFFF"/>
        </w:rPr>
        <w:t xml:space="preserve"> and </w:t>
      </w:r>
      <w:proofErr w:type="spellStart"/>
      <w:r w:rsidRPr="00134A48">
        <w:rPr>
          <w:rFonts w:ascii="Calibri" w:hAnsi="Calibri" w:cs="Calibri"/>
          <w:color w:val="202020"/>
          <w:sz w:val="18"/>
          <w:szCs w:val="18"/>
          <w:shd w:val="clear" w:color="auto" w:fill="FFFFFF"/>
        </w:rPr>
        <w:t>ensuring</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psychosocial</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support</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implementation</w:t>
      </w:r>
      <w:proofErr w:type="spellEnd"/>
      <w:r w:rsidRPr="00134A48">
        <w:rPr>
          <w:rFonts w:ascii="Calibri" w:hAnsi="Calibri" w:cs="Calibri"/>
          <w:color w:val="202020"/>
          <w:sz w:val="18"/>
          <w:szCs w:val="18"/>
          <w:shd w:val="clear" w:color="auto" w:fill="FFFFFF"/>
        </w:rPr>
        <w:t xml:space="preserve"> of </w:t>
      </w:r>
      <w:proofErr w:type="spellStart"/>
      <w:r w:rsidRPr="00134A48">
        <w:rPr>
          <w:rFonts w:ascii="Calibri" w:hAnsi="Calibri" w:cs="Calibri"/>
          <w:color w:val="202020"/>
          <w:sz w:val="18"/>
          <w:szCs w:val="18"/>
          <w:shd w:val="clear" w:color="auto" w:fill="FFFFFF"/>
        </w:rPr>
        <w:t>case</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management</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where</w:t>
      </w:r>
      <w:proofErr w:type="spellEnd"/>
      <w:r w:rsidRPr="00134A48">
        <w:rPr>
          <w:rFonts w:ascii="Calibri" w:hAnsi="Calibri" w:cs="Calibri"/>
          <w:color w:val="202020"/>
          <w:sz w:val="18"/>
          <w:szCs w:val="18"/>
          <w:shd w:val="clear" w:color="auto" w:fill="FFFFFF"/>
        </w:rPr>
        <w:t xml:space="preserve"> a </w:t>
      </w:r>
      <w:proofErr w:type="spellStart"/>
      <w:r w:rsidRPr="00134A48">
        <w:rPr>
          <w:rFonts w:ascii="Calibri" w:hAnsi="Calibri" w:cs="Calibri"/>
          <w:color w:val="202020"/>
          <w:sz w:val="18"/>
          <w:szCs w:val="18"/>
          <w:shd w:val="clear" w:color="auto" w:fill="FFFFFF"/>
        </w:rPr>
        <w:t>victim</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needs</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long</w:t>
      </w:r>
      <w:proofErr w:type="spellEnd"/>
      <w:r w:rsidRPr="00134A48">
        <w:rPr>
          <w:rFonts w:ascii="Calibri" w:hAnsi="Calibri" w:cs="Calibri"/>
          <w:color w:val="202020"/>
          <w:sz w:val="18"/>
          <w:szCs w:val="18"/>
          <w:shd w:val="clear" w:color="auto" w:fill="FFFFFF"/>
        </w:rPr>
        <w:t xml:space="preserve">-term and </w:t>
      </w:r>
      <w:proofErr w:type="spellStart"/>
      <w:r w:rsidRPr="00134A48">
        <w:rPr>
          <w:rFonts w:ascii="Calibri" w:hAnsi="Calibri" w:cs="Calibri"/>
          <w:color w:val="202020"/>
          <w:sz w:val="18"/>
          <w:szCs w:val="18"/>
          <w:shd w:val="clear" w:color="auto" w:fill="FFFFFF"/>
        </w:rPr>
        <w:t>comprehensive</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support</w:t>
      </w:r>
      <w:proofErr w:type="spellEnd"/>
      <w:r w:rsidRPr="00134A48">
        <w:rPr>
          <w:rFonts w:ascii="Calibri" w:hAnsi="Calibri" w:cs="Calibri"/>
          <w:color w:val="202020"/>
          <w:sz w:val="18"/>
          <w:szCs w:val="18"/>
          <w:shd w:val="clear" w:color="auto" w:fill="FFFFFF"/>
        </w:rPr>
        <w:t xml:space="preserve"> in order </w:t>
      </w:r>
      <w:proofErr w:type="spellStart"/>
      <w:r w:rsidRPr="00134A48">
        <w:rPr>
          <w:rFonts w:ascii="Calibri" w:hAnsi="Calibri" w:cs="Calibri"/>
          <w:color w:val="202020"/>
          <w:sz w:val="18"/>
          <w:szCs w:val="18"/>
          <w:shd w:val="clear" w:color="auto" w:fill="FFFFFF"/>
        </w:rPr>
        <w:t>to</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achieve</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independent</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coping</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psychological</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counselling</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or</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psychotherapy</w:t>
      </w:r>
      <w:proofErr w:type="spellEnd"/>
      <w:r w:rsidRPr="00134A48">
        <w:rPr>
          <w:rFonts w:ascii="Calibri" w:hAnsi="Calibri" w:cs="Calibri"/>
          <w:color w:val="202020"/>
          <w:sz w:val="18"/>
          <w:szCs w:val="18"/>
          <w:shd w:val="clear" w:color="auto" w:fill="FFFFFF"/>
        </w:rPr>
        <w:t xml:space="preserve">,  and 24-hour </w:t>
      </w:r>
      <w:proofErr w:type="spellStart"/>
      <w:r w:rsidRPr="00134A48">
        <w:rPr>
          <w:rFonts w:ascii="Calibri" w:hAnsi="Calibri" w:cs="Calibri"/>
          <w:color w:val="202020"/>
          <w:sz w:val="18"/>
          <w:szCs w:val="18"/>
          <w:shd w:val="clear" w:color="auto" w:fill="FFFFFF"/>
        </w:rPr>
        <w:t>safe</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temporary</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accommodation</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for</w:t>
      </w:r>
      <w:proofErr w:type="spellEnd"/>
      <w:r w:rsidRPr="00134A48">
        <w:rPr>
          <w:rFonts w:ascii="Calibri" w:hAnsi="Calibri" w:cs="Calibri"/>
          <w:color w:val="202020"/>
          <w:sz w:val="18"/>
          <w:szCs w:val="18"/>
          <w:shd w:val="clear" w:color="auto" w:fill="FFFFFF"/>
        </w:rPr>
        <w:t xml:space="preserve"> a </w:t>
      </w:r>
      <w:proofErr w:type="spellStart"/>
      <w:r w:rsidRPr="00134A48">
        <w:rPr>
          <w:rFonts w:ascii="Calibri" w:hAnsi="Calibri" w:cs="Calibri"/>
          <w:color w:val="202020"/>
          <w:sz w:val="18"/>
          <w:szCs w:val="18"/>
          <w:shd w:val="clear" w:color="auto" w:fill="FFFFFF"/>
        </w:rPr>
        <w:t>victim</w:t>
      </w:r>
      <w:proofErr w:type="spellEnd"/>
      <w:r w:rsidRPr="00134A48">
        <w:rPr>
          <w:rFonts w:ascii="Calibri" w:hAnsi="Calibri" w:cs="Calibri"/>
          <w:color w:val="202020"/>
          <w:sz w:val="18"/>
          <w:szCs w:val="18"/>
          <w:shd w:val="clear" w:color="auto" w:fill="FFFFFF"/>
        </w:rPr>
        <w:t xml:space="preserve"> and </w:t>
      </w:r>
      <w:proofErr w:type="spellStart"/>
      <w:r w:rsidRPr="00134A48">
        <w:rPr>
          <w:rFonts w:ascii="Calibri" w:hAnsi="Calibri" w:cs="Calibri"/>
          <w:color w:val="202020"/>
          <w:sz w:val="18"/>
          <w:szCs w:val="18"/>
          <w:shd w:val="clear" w:color="auto" w:fill="FFFFFF"/>
        </w:rPr>
        <w:t>their</w:t>
      </w:r>
      <w:proofErr w:type="spellEnd"/>
      <w:r w:rsidRPr="00134A48">
        <w:rPr>
          <w:rFonts w:ascii="Calibri" w:hAnsi="Calibri" w:cs="Calibri"/>
          <w:color w:val="202020"/>
          <w:sz w:val="18"/>
          <w:szCs w:val="18"/>
          <w:shd w:val="clear" w:color="auto" w:fill="FFFFFF"/>
        </w:rPr>
        <w:t xml:space="preserve"> </w:t>
      </w:r>
      <w:proofErr w:type="spellStart"/>
      <w:r w:rsidRPr="00134A48">
        <w:rPr>
          <w:rFonts w:ascii="Calibri" w:hAnsi="Calibri" w:cs="Calibri"/>
          <w:color w:val="202020"/>
          <w:sz w:val="18"/>
          <w:szCs w:val="18"/>
          <w:shd w:val="clear" w:color="auto" w:fill="FFFFFF"/>
        </w:rPr>
        <w:t>children</w:t>
      </w:r>
      <w:proofErr w:type="spellEnd"/>
      <w:r w:rsidRPr="00134A48">
        <w:rPr>
          <w:rFonts w:ascii="Calibri" w:hAnsi="Calibri" w:cs="Calibri"/>
          <w:color w:val="202020"/>
          <w:sz w:val="18"/>
          <w:szCs w:val="18"/>
          <w:shd w:val="clear" w:color="auto" w:fill="FFFFFF"/>
        </w:rPr>
        <w:t>.</w:t>
      </w:r>
    </w:p>
  </w:footnote>
  <w:footnote w:id="14">
    <w:p w14:paraId="0F8FF0B8" w14:textId="0D031A1F" w:rsidR="00A23338" w:rsidRPr="00A23338" w:rsidRDefault="00A23338" w:rsidP="00A23338">
      <w:pPr>
        <w:pStyle w:val="FootnoteRM"/>
        <w:rPr>
          <w:rFonts w:ascii="Calibri" w:hAnsi="Calibri" w:cs="Calibri"/>
          <w:sz w:val="18"/>
          <w:szCs w:val="18"/>
          <w:lang w:val="en-EE"/>
        </w:rPr>
      </w:pPr>
      <w:r w:rsidRPr="00A23338">
        <w:rPr>
          <w:rStyle w:val="FootnoteReference"/>
          <w:rFonts w:ascii="Calibri" w:hAnsi="Calibri" w:cs="Calibri"/>
          <w:sz w:val="18"/>
          <w:szCs w:val="18"/>
        </w:rPr>
        <w:footnoteRef/>
      </w:r>
      <w:r w:rsidRPr="00A23338">
        <w:rPr>
          <w:rFonts w:ascii="Calibri" w:hAnsi="Calibri" w:cs="Calibri"/>
          <w:sz w:val="18"/>
          <w:szCs w:val="18"/>
        </w:rPr>
        <w:t xml:space="preserve"> Available in Estonian at: https://www.riigikogu.ee/tegevus/eelnoud/eelnou/60f3902f-47aa-43c5-b28f-88101027e454.</w:t>
      </w:r>
    </w:p>
  </w:footnote>
  <w:footnote w:id="15">
    <w:p w14:paraId="232214B6" w14:textId="57A01243" w:rsidR="006139CE" w:rsidRPr="00134A48" w:rsidRDefault="006139CE" w:rsidP="00134A48">
      <w:pPr>
        <w:pStyle w:val="FootnoteRM"/>
        <w:rPr>
          <w:rFonts w:ascii="Calibri" w:hAnsi="Calibri" w:cs="Calibri"/>
          <w:sz w:val="18"/>
          <w:szCs w:val="18"/>
        </w:rPr>
      </w:pPr>
      <w:r w:rsidRPr="00134A48">
        <w:rPr>
          <w:rStyle w:val="FootnoteReference"/>
          <w:rFonts w:ascii="Calibri" w:hAnsi="Calibri" w:cs="Calibri"/>
          <w:sz w:val="18"/>
          <w:szCs w:val="18"/>
        </w:rPr>
        <w:footnoteRef/>
      </w:r>
      <w:r w:rsidRPr="00134A48">
        <w:rPr>
          <w:rFonts w:ascii="Calibri" w:hAnsi="Calibri" w:cs="Calibri"/>
          <w:sz w:val="18"/>
          <w:szCs w:val="18"/>
        </w:rPr>
        <w:t xml:space="preserve">  Sotsiaalministeerium</w:t>
      </w:r>
      <w:r w:rsidRPr="00134A48">
        <w:rPr>
          <w:rFonts w:ascii="Calibri" w:hAnsi="Calibri" w:cs="Calibri"/>
          <w:i/>
          <w:iCs/>
          <w:sz w:val="18"/>
          <w:szCs w:val="18"/>
        </w:rPr>
        <w:t xml:space="preserve"> </w:t>
      </w:r>
      <w:r w:rsidRPr="00134A48">
        <w:rPr>
          <w:rFonts w:ascii="Calibri" w:hAnsi="Calibri" w:cs="Calibri"/>
          <w:sz w:val="18"/>
          <w:szCs w:val="18"/>
        </w:rPr>
        <w:t xml:space="preserve">(2023), </w:t>
      </w:r>
      <w:r w:rsidRPr="00134A48">
        <w:rPr>
          <w:rFonts w:ascii="Calibri" w:hAnsi="Calibri" w:cs="Calibri"/>
          <w:i/>
          <w:iCs/>
          <w:sz w:val="18"/>
          <w:szCs w:val="18"/>
        </w:rPr>
        <w:t xml:space="preserve">Heaolu arengukava 2023-2030 </w:t>
      </w:r>
      <w:r w:rsidRPr="00134A48">
        <w:rPr>
          <w:rFonts w:ascii="Calibri" w:hAnsi="Calibri" w:cs="Calibri"/>
          <w:sz w:val="18"/>
          <w:szCs w:val="18"/>
        </w:rPr>
        <w:t>(</w:t>
      </w:r>
      <w:proofErr w:type="spellStart"/>
      <w:r w:rsidRPr="00134A48">
        <w:rPr>
          <w:rFonts w:ascii="Calibri" w:hAnsi="Calibri" w:cs="Calibri"/>
          <w:sz w:val="18"/>
          <w:szCs w:val="18"/>
        </w:rPr>
        <w:t>Welfare</w:t>
      </w:r>
      <w:proofErr w:type="spellEnd"/>
      <w:r w:rsidRPr="00134A48">
        <w:rPr>
          <w:rFonts w:ascii="Calibri" w:hAnsi="Calibri" w:cs="Calibri"/>
          <w:sz w:val="18"/>
          <w:szCs w:val="18"/>
        </w:rPr>
        <w:t xml:space="preserve"> Development </w:t>
      </w:r>
      <w:proofErr w:type="spellStart"/>
      <w:r w:rsidRPr="00134A48">
        <w:rPr>
          <w:rFonts w:ascii="Calibri" w:hAnsi="Calibri" w:cs="Calibri"/>
          <w:sz w:val="18"/>
          <w:szCs w:val="18"/>
        </w:rPr>
        <w:t>Plan</w:t>
      </w:r>
      <w:proofErr w:type="spellEnd"/>
      <w:r w:rsidRPr="00134A48">
        <w:rPr>
          <w:rFonts w:ascii="Calibri" w:hAnsi="Calibri" w:cs="Calibri"/>
          <w:sz w:val="18"/>
          <w:szCs w:val="18"/>
        </w:rPr>
        <w:t xml:space="preserve"> 2023-2030)</w:t>
      </w:r>
      <w:r w:rsidRPr="00134A48">
        <w:rPr>
          <w:rFonts w:ascii="Calibri" w:hAnsi="Calibri" w:cs="Calibri"/>
          <w:i/>
          <w:iCs/>
          <w:sz w:val="18"/>
          <w:szCs w:val="18"/>
        </w:rPr>
        <w:t xml:space="preserve">, </w:t>
      </w:r>
      <w:hyperlink r:id="rId6" w:anchor="welfare-development-" w:history="1">
        <w:r w:rsidR="00F83913" w:rsidRPr="00134A48">
          <w:rPr>
            <w:rStyle w:val="Hyperlink"/>
            <w:rFonts w:ascii="Calibri" w:hAnsi="Calibri" w:cs="Calibri"/>
            <w:sz w:val="18"/>
            <w:szCs w:val="18"/>
          </w:rPr>
          <w:t>https://www.sm.ee/heaolu-arengukava-2023-2030#welfare-development-</w:t>
        </w:r>
      </w:hyperlink>
      <w:r w:rsidR="00F83913" w:rsidRPr="00134A48">
        <w:rPr>
          <w:rFonts w:ascii="Calibri" w:hAnsi="Calibri" w:cs="Calibri"/>
          <w:sz w:val="18"/>
          <w:szCs w:val="18"/>
        </w:rPr>
        <w:t>.</w:t>
      </w:r>
    </w:p>
  </w:footnote>
  <w:footnote w:id="16">
    <w:p w14:paraId="092ECB2A" w14:textId="77777777" w:rsidR="00C25DE3" w:rsidRPr="00D44D45" w:rsidRDefault="00C25DE3" w:rsidP="00C25DE3">
      <w:pPr>
        <w:pStyle w:val="FootnoteRM"/>
        <w:rPr>
          <w:color w:val="000000" w:themeColor="text1"/>
          <w:lang w:val="en-GB"/>
        </w:rPr>
      </w:pPr>
      <w:r w:rsidRPr="00D44D45">
        <w:rPr>
          <w:rStyle w:val="FootnoteReference"/>
          <w:color w:val="000000" w:themeColor="text1"/>
          <w:lang w:val="en-GB"/>
        </w:rPr>
        <w:footnoteRef/>
      </w:r>
      <w:r w:rsidRPr="00D44D45">
        <w:rPr>
          <w:color w:val="000000" w:themeColor="text1"/>
          <w:lang w:val="en-GB"/>
        </w:rPr>
        <w:t xml:space="preserve"> </w:t>
      </w:r>
      <w:r>
        <w:rPr>
          <w:color w:val="000000" w:themeColor="text1"/>
          <w:lang w:val="en-GB"/>
        </w:rPr>
        <w:tab/>
      </w:r>
      <w:r w:rsidRPr="00D44D45">
        <w:rPr>
          <w:color w:val="000000" w:themeColor="text1"/>
          <w:lang w:val="en-GB"/>
        </w:rPr>
        <w:t>The Welfare Development Plan 2023-2030 was approved by the Government on 23 February 2023.</w:t>
      </w:r>
    </w:p>
  </w:footnote>
  <w:footnote w:id="17">
    <w:p w14:paraId="6D814695" w14:textId="77777777" w:rsidR="006139CE" w:rsidRPr="00134A48" w:rsidRDefault="006139CE" w:rsidP="00134A48">
      <w:pPr>
        <w:pStyle w:val="FootnoteRM"/>
        <w:rPr>
          <w:rFonts w:ascii="Calibri" w:hAnsi="Calibri" w:cs="Calibri"/>
          <w:sz w:val="18"/>
          <w:szCs w:val="18"/>
        </w:rPr>
      </w:pPr>
      <w:r w:rsidRPr="00134A48">
        <w:rPr>
          <w:rStyle w:val="FootnoteReference"/>
          <w:rFonts w:ascii="Calibri" w:hAnsi="Calibri" w:cs="Calibri"/>
          <w:sz w:val="18"/>
          <w:szCs w:val="18"/>
        </w:rPr>
        <w:footnoteRef/>
      </w:r>
      <w:r w:rsidRPr="00134A48">
        <w:rPr>
          <w:rFonts w:ascii="Calibri" w:hAnsi="Calibri" w:cs="Calibri"/>
          <w:sz w:val="18"/>
          <w:szCs w:val="18"/>
        </w:rPr>
        <w:t xml:space="preserve">  ‘Estonia 2035’, </w:t>
      </w:r>
      <w:proofErr w:type="spellStart"/>
      <w:r w:rsidRPr="00134A48">
        <w:rPr>
          <w:rFonts w:ascii="Calibri" w:hAnsi="Calibri" w:cs="Calibri"/>
          <w:sz w:val="18"/>
          <w:szCs w:val="18"/>
        </w:rPr>
        <w:t>adopted</w:t>
      </w:r>
      <w:proofErr w:type="spellEnd"/>
      <w:r w:rsidRPr="00134A48">
        <w:rPr>
          <w:rFonts w:ascii="Calibri" w:hAnsi="Calibri" w:cs="Calibri"/>
          <w:sz w:val="18"/>
          <w:szCs w:val="18"/>
        </w:rPr>
        <w:t xml:space="preserve"> on 12 </w:t>
      </w:r>
      <w:proofErr w:type="spellStart"/>
      <w:r w:rsidRPr="00134A48">
        <w:rPr>
          <w:rFonts w:ascii="Calibri" w:hAnsi="Calibri" w:cs="Calibri"/>
          <w:sz w:val="18"/>
          <w:szCs w:val="18"/>
        </w:rPr>
        <w:t>May</w:t>
      </w:r>
      <w:proofErr w:type="spellEnd"/>
      <w:r w:rsidRPr="00134A48">
        <w:rPr>
          <w:rFonts w:ascii="Calibri" w:hAnsi="Calibri" w:cs="Calibri"/>
          <w:sz w:val="18"/>
          <w:szCs w:val="18"/>
        </w:rPr>
        <w:t xml:space="preserve"> 2021, </w:t>
      </w:r>
      <w:proofErr w:type="spellStart"/>
      <w:r w:rsidRPr="00134A48">
        <w:rPr>
          <w:rFonts w:ascii="Calibri" w:hAnsi="Calibri" w:cs="Calibri"/>
          <w:sz w:val="18"/>
          <w:szCs w:val="18"/>
        </w:rPr>
        <w:t>pp</w:t>
      </w:r>
      <w:proofErr w:type="spellEnd"/>
      <w:r w:rsidRPr="00134A48">
        <w:rPr>
          <w:rFonts w:ascii="Calibri" w:hAnsi="Calibri" w:cs="Calibri"/>
          <w:sz w:val="18"/>
          <w:szCs w:val="18"/>
        </w:rPr>
        <w:t>. 6-12, https://www.valitsus.ee/en/media/4269/download; Estonia’s Recovery and Resilience Plan (</w:t>
      </w:r>
      <w:r w:rsidRPr="00134A48">
        <w:rPr>
          <w:rFonts w:ascii="Calibri" w:hAnsi="Calibri" w:cs="Calibri"/>
          <w:i/>
          <w:iCs/>
          <w:sz w:val="18"/>
          <w:szCs w:val="18"/>
        </w:rPr>
        <w:t>Taaste- ja vastupidavuskava</w:t>
      </w:r>
      <w:r w:rsidRPr="00134A48">
        <w:rPr>
          <w:rFonts w:ascii="Calibri" w:hAnsi="Calibri" w:cs="Calibri"/>
          <w:sz w:val="18"/>
          <w:szCs w:val="18"/>
        </w:rPr>
        <w:t xml:space="preserve">), 5 October 2021. Available in English at: https://ec.europa.eu/info/files/ estonias-recovery-and-resilience-plan_en. </w:t>
      </w:r>
    </w:p>
  </w:footnote>
  <w:footnote w:id="18">
    <w:p w14:paraId="1956D8C0" w14:textId="77D11D15" w:rsidR="002F6688" w:rsidRPr="00134A48" w:rsidRDefault="002F6688" w:rsidP="00134A48">
      <w:pPr>
        <w:pStyle w:val="FootnoteRM"/>
        <w:rPr>
          <w:rFonts w:ascii="Calibri" w:hAnsi="Calibri" w:cs="Calibri"/>
          <w:sz w:val="18"/>
          <w:szCs w:val="18"/>
        </w:rPr>
      </w:pPr>
      <w:r w:rsidRPr="00134A48">
        <w:rPr>
          <w:rStyle w:val="FootnoteReference"/>
          <w:rFonts w:ascii="Calibri" w:hAnsi="Calibri" w:cs="Calibri"/>
          <w:sz w:val="18"/>
          <w:szCs w:val="18"/>
        </w:rPr>
        <w:footnoteRef/>
      </w:r>
      <w:r w:rsidRPr="00134A48">
        <w:rPr>
          <w:rFonts w:ascii="Calibri" w:hAnsi="Calibri" w:cs="Calibri"/>
          <w:sz w:val="18"/>
          <w:szCs w:val="18"/>
        </w:rPr>
        <w:t xml:space="preserve">  National Audit Office of Estonia (2023), </w:t>
      </w:r>
      <w:r w:rsidRPr="00134A48">
        <w:rPr>
          <w:rFonts w:ascii="Calibri" w:hAnsi="Calibri" w:cs="Calibri"/>
          <w:sz w:val="18"/>
          <w:szCs w:val="18"/>
          <w:lang w:val="en-EE"/>
        </w:rPr>
        <w:t>Security of electricity supply in Estonia</w:t>
      </w:r>
      <w:r w:rsidRPr="00134A48">
        <w:rPr>
          <w:rFonts w:ascii="Calibri" w:hAnsi="Calibri" w:cs="Calibri"/>
          <w:sz w:val="18"/>
          <w:szCs w:val="18"/>
        </w:rPr>
        <w:t xml:space="preserve">, </w:t>
      </w:r>
      <w:hyperlink r:id="rId7" w:history="1">
        <w:r w:rsidRPr="00134A48">
          <w:rPr>
            <w:rStyle w:val="Hyperlink"/>
            <w:rFonts w:ascii="Calibri" w:hAnsi="Calibri" w:cs="Calibri"/>
            <w:sz w:val="18"/>
            <w:szCs w:val="18"/>
          </w:rPr>
          <w:t>https://www.riigikontroll.ee/tabid/206/Audit/5568/language/en-US/Default.aspx</w:t>
        </w:r>
      </w:hyperlink>
      <w:r w:rsidRPr="00134A48">
        <w:rPr>
          <w:rFonts w:ascii="Calibri" w:hAnsi="Calibri" w:cs="Calibri"/>
          <w:sz w:val="18"/>
          <w:szCs w:val="18"/>
        </w:rPr>
        <w:t xml:space="preserve">. </w:t>
      </w:r>
    </w:p>
  </w:footnote>
  <w:footnote w:id="19">
    <w:p w14:paraId="0FFFB0CF" w14:textId="3AEAB9E6" w:rsidR="00AA33C3" w:rsidRPr="00134A48" w:rsidRDefault="00AA33C3" w:rsidP="00134A48">
      <w:pPr>
        <w:pStyle w:val="FootnoteRM"/>
        <w:rPr>
          <w:rFonts w:ascii="Calibri" w:hAnsi="Calibri" w:cs="Calibri"/>
          <w:sz w:val="18"/>
          <w:szCs w:val="18"/>
          <w:lang w:val="en-GB"/>
        </w:rPr>
      </w:pPr>
      <w:r w:rsidRPr="00134A48">
        <w:rPr>
          <w:rStyle w:val="FootnoteReference"/>
          <w:rFonts w:ascii="Calibri" w:hAnsi="Calibri" w:cs="Calibri"/>
          <w:sz w:val="18"/>
          <w:szCs w:val="18"/>
        </w:rPr>
        <w:footnoteRef/>
      </w:r>
      <w:r w:rsidRPr="00134A48">
        <w:rPr>
          <w:rFonts w:ascii="Calibri" w:hAnsi="Calibri" w:cs="Calibri"/>
          <w:sz w:val="18"/>
          <w:szCs w:val="18"/>
        </w:rPr>
        <w:t xml:space="preserve">  Estonian Business and </w:t>
      </w:r>
      <w:proofErr w:type="spellStart"/>
      <w:r w:rsidRPr="00134A48">
        <w:rPr>
          <w:rFonts w:ascii="Calibri" w:hAnsi="Calibri" w:cs="Calibri"/>
          <w:sz w:val="18"/>
          <w:szCs w:val="18"/>
        </w:rPr>
        <w:t>Innovation</w:t>
      </w:r>
      <w:proofErr w:type="spellEnd"/>
      <w:r w:rsidRPr="00134A48">
        <w:rPr>
          <w:rFonts w:ascii="Calibri" w:hAnsi="Calibri" w:cs="Calibri"/>
          <w:sz w:val="18"/>
          <w:szCs w:val="18"/>
        </w:rPr>
        <w:t xml:space="preserve"> Agency, </w:t>
      </w:r>
      <w:hyperlink r:id="rId8" w:history="1">
        <w:r w:rsidR="00AD7A81" w:rsidRPr="00134A48">
          <w:rPr>
            <w:rStyle w:val="Hyperlink"/>
            <w:rFonts w:ascii="Calibri" w:hAnsi="Calibri" w:cs="Calibri"/>
            <w:sz w:val="18"/>
            <w:szCs w:val="18"/>
          </w:rPr>
          <w:t>https://eas.ee/en/search/?q=start+up+support&amp;lang=en</w:t>
        </w:r>
      </w:hyperlink>
      <w:r w:rsidR="00AD7A81" w:rsidRPr="00134A48">
        <w:rPr>
          <w:rFonts w:ascii="Calibri" w:hAnsi="Calibri" w:cs="Calibri"/>
          <w:sz w:val="18"/>
          <w:szCs w:val="18"/>
        </w:rPr>
        <w:t xml:space="preserve">. </w:t>
      </w:r>
    </w:p>
  </w:footnote>
  <w:footnote w:id="20">
    <w:p w14:paraId="784141BA" w14:textId="3BC3F3D7" w:rsidR="005153A4" w:rsidRPr="00134A48" w:rsidRDefault="005153A4">
      <w:pPr>
        <w:pStyle w:val="FootnoteText"/>
        <w:rPr>
          <w:rFonts w:ascii="Calibri" w:hAnsi="Calibri" w:cs="Calibri"/>
          <w:sz w:val="18"/>
          <w:szCs w:val="18"/>
          <w:lang w:val="en-GB"/>
        </w:rPr>
      </w:pPr>
      <w:r w:rsidRPr="00134A48">
        <w:rPr>
          <w:rStyle w:val="FootnoteReference"/>
          <w:rFonts w:ascii="Calibri" w:hAnsi="Calibri" w:cs="Calibri"/>
          <w:sz w:val="18"/>
          <w:szCs w:val="18"/>
        </w:rPr>
        <w:footnoteRef/>
      </w:r>
      <w:r w:rsidRPr="00134A48">
        <w:rPr>
          <w:rFonts w:ascii="Calibri" w:hAnsi="Calibri" w:cs="Calibri"/>
          <w:sz w:val="18"/>
          <w:szCs w:val="18"/>
        </w:rPr>
        <w:t xml:space="preserve"> </w:t>
      </w:r>
      <w:hyperlink r:id="rId9" w:history="1">
        <w:r w:rsidRPr="00134A48">
          <w:rPr>
            <w:rStyle w:val="Hyperlink"/>
            <w:rFonts w:ascii="Calibri" w:hAnsi="Calibri" w:cs="Calibri"/>
            <w:sz w:val="18"/>
            <w:szCs w:val="18"/>
          </w:rPr>
          <w:t>https://andmed.stat.ee/en/stat/eri-valdkondade-statistika__saastev-areng/SN11</w:t>
        </w:r>
      </w:hyperlink>
      <w:r w:rsidR="00F83913" w:rsidRPr="00134A48">
        <w:rPr>
          <w:rFonts w:ascii="Calibri" w:hAnsi="Calibri" w:cs="Calibri"/>
          <w:sz w:val="18"/>
          <w:szCs w:val="18"/>
        </w:rPr>
        <w:t>, accessed 13 April 2024.</w:t>
      </w:r>
    </w:p>
  </w:footnote>
  <w:footnote w:id="21">
    <w:p w14:paraId="0FB32F02" w14:textId="53A4B961" w:rsidR="00971496" w:rsidRPr="00134A48" w:rsidRDefault="00971496">
      <w:pPr>
        <w:pStyle w:val="FootnoteText"/>
        <w:rPr>
          <w:rFonts w:ascii="Calibri" w:hAnsi="Calibri" w:cs="Calibri"/>
          <w:sz w:val="18"/>
          <w:szCs w:val="18"/>
          <w:lang w:val="et-EE"/>
        </w:rPr>
      </w:pPr>
      <w:r w:rsidRPr="00134A48">
        <w:rPr>
          <w:rStyle w:val="FootnoteReference"/>
          <w:rFonts w:ascii="Calibri" w:hAnsi="Calibri" w:cs="Calibri"/>
          <w:sz w:val="18"/>
          <w:szCs w:val="18"/>
        </w:rPr>
        <w:footnoteRef/>
      </w:r>
      <w:r w:rsidRPr="00134A48">
        <w:rPr>
          <w:rFonts w:ascii="Calibri" w:hAnsi="Calibri" w:cs="Calibri"/>
          <w:sz w:val="18"/>
          <w:szCs w:val="18"/>
        </w:rPr>
        <w:t xml:space="preserve"> </w:t>
      </w:r>
      <w:hyperlink r:id="rId10" w:history="1">
        <w:r w:rsidRPr="00134A48">
          <w:rPr>
            <w:rStyle w:val="Hyperlink"/>
            <w:rFonts w:ascii="Calibri" w:hAnsi="Calibri" w:cs="Calibri"/>
            <w:sz w:val="18"/>
            <w:szCs w:val="18"/>
          </w:rPr>
          <w:t>https://tamm.stat.ee/?lang=en</w:t>
        </w:r>
      </w:hyperlink>
      <w:r w:rsidRPr="00134A48">
        <w:rPr>
          <w:rFonts w:ascii="Calibri" w:hAnsi="Calibri" w:cs="Calibri"/>
          <w:sz w:val="18"/>
          <w:szCs w:val="18"/>
        </w:rPr>
        <w:t>, accessed 11 April 2024.</w:t>
      </w:r>
    </w:p>
  </w:footnote>
  <w:footnote w:id="22">
    <w:p w14:paraId="23C1A518" w14:textId="05B6B207" w:rsidR="00AC18EF" w:rsidRPr="00134A48" w:rsidRDefault="00AC18EF">
      <w:pPr>
        <w:pStyle w:val="FootnoteText"/>
        <w:rPr>
          <w:rFonts w:ascii="Calibri" w:hAnsi="Calibri" w:cs="Calibri"/>
          <w:sz w:val="18"/>
          <w:szCs w:val="18"/>
          <w:lang w:val="et-EE"/>
        </w:rPr>
      </w:pPr>
      <w:r w:rsidRPr="00134A48">
        <w:rPr>
          <w:rStyle w:val="FootnoteReference"/>
          <w:rFonts w:ascii="Calibri" w:hAnsi="Calibri" w:cs="Calibri"/>
          <w:sz w:val="18"/>
          <w:szCs w:val="18"/>
        </w:rPr>
        <w:footnoteRef/>
      </w:r>
      <w:r w:rsidRPr="00134A48">
        <w:rPr>
          <w:rFonts w:ascii="Calibri" w:hAnsi="Calibri" w:cs="Calibri"/>
          <w:sz w:val="18"/>
          <w:szCs w:val="18"/>
        </w:rPr>
        <w:t xml:space="preserve"> </w:t>
      </w:r>
      <w:r w:rsidR="00EB67EC" w:rsidRPr="00134A48">
        <w:rPr>
          <w:rFonts w:ascii="Calibri" w:hAnsi="Calibri" w:cs="Calibri"/>
          <w:sz w:val="18"/>
          <w:szCs w:val="18"/>
        </w:rPr>
        <w:t>Labour Inspectorate</w:t>
      </w:r>
      <w:r w:rsidRPr="00134A48">
        <w:rPr>
          <w:rFonts w:ascii="Calibri" w:hAnsi="Calibri" w:cs="Calibri"/>
          <w:sz w:val="18"/>
          <w:szCs w:val="18"/>
          <w:lang w:val="et-EE"/>
        </w:rPr>
        <w:t xml:space="preserve"> (202</w:t>
      </w:r>
      <w:r w:rsidR="00EB67EC" w:rsidRPr="00134A48">
        <w:rPr>
          <w:rFonts w:ascii="Calibri" w:hAnsi="Calibri" w:cs="Calibri"/>
          <w:sz w:val="18"/>
          <w:szCs w:val="18"/>
          <w:lang w:val="et-EE"/>
        </w:rPr>
        <w:t>4</w:t>
      </w:r>
      <w:r w:rsidRPr="00134A48">
        <w:rPr>
          <w:rFonts w:ascii="Calibri" w:hAnsi="Calibri" w:cs="Calibri"/>
          <w:sz w:val="18"/>
          <w:szCs w:val="18"/>
          <w:lang w:val="et-EE"/>
        </w:rPr>
        <w:t xml:space="preserve">), </w:t>
      </w:r>
      <w:proofErr w:type="spellStart"/>
      <w:r w:rsidR="00EB67EC" w:rsidRPr="00134A48">
        <w:rPr>
          <w:rFonts w:ascii="Calibri" w:hAnsi="Calibri" w:cs="Calibri"/>
          <w:sz w:val="18"/>
          <w:szCs w:val="18"/>
          <w:lang w:val="et-EE"/>
        </w:rPr>
        <w:t>Yearbook</w:t>
      </w:r>
      <w:proofErr w:type="spellEnd"/>
      <w:r w:rsidR="00EB67EC" w:rsidRPr="00134A48">
        <w:rPr>
          <w:rFonts w:ascii="Calibri" w:hAnsi="Calibri" w:cs="Calibri"/>
          <w:sz w:val="18"/>
          <w:szCs w:val="18"/>
          <w:lang w:val="et-EE"/>
        </w:rPr>
        <w:t xml:space="preserve"> of </w:t>
      </w:r>
      <w:proofErr w:type="spellStart"/>
      <w:r w:rsidR="00EB67EC" w:rsidRPr="00134A48">
        <w:rPr>
          <w:rFonts w:ascii="Calibri" w:hAnsi="Calibri" w:cs="Calibri"/>
          <w:sz w:val="18"/>
          <w:szCs w:val="18"/>
          <w:lang w:val="et-EE"/>
        </w:rPr>
        <w:t>the</w:t>
      </w:r>
      <w:proofErr w:type="spellEnd"/>
      <w:r w:rsidR="00EB67EC" w:rsidRPr="00134A48">
        <w:rPr>
          <w:rFonts w:ascii="Calibri" w:hAnsi="Calibri" w:cs="Calibri"/>
          <w:sz w:val="18"/>
          <w:szCs w:val="18"/>
          <w:lang w:val="et-EE"/>
        </w:rPr>
        <w:t xml:space="preserve"> </w:t>
      </w:r>
      <w:proofErr w:type="spellStart"/>
      <w:r w:rsidR="00EB67EC" w:rsidRPr="00134A48">
        <w:rPr>
          <w:rFonts w:ascii="Calibri" w:hAnsi="Calibri" w:cs="Calibri"/>
          <w:sz w:val="18"/>
          <w:szCs w:val="18"/>
          <w:lang w:val="et-EE"/>
        </w:rPr>
        <w:t>Labour</w:t>
      </w:r>
      <w:proofErr w:type="spellEnd"/>
      <w:r w:rsidR="00EB67EC" w:rsidRPr="00134A48">
        <w:rPr>
          <w:rFonts w:ascii="Calibri" w:hAnsi="Calibri" w:cs="Calibri"/>
          <w:sz w:val="18"/>
          <w:szCs w:val="18"/>
          <w:lang w:val="et-EE"/>
        </w:rPr>
        <w:t xml:space="preserve"> </w:t>
      </w:r>
      <w:proofErr w:type="spellStart"/>
      <w:r w:rsidR="00EB67EC" w:rsidRPr="00134A48">
        <w:rPr>
          <w:rFonts w:ascii="Calibri" w:hAnsi="Calibri" w:cs="Calibri"/>
          <w:sz w:val="18"/>
          <w:szCs w:val="18"/>
          <w:lang w:val="et-EE"/>
        </w:rPr>
        <w:t>Inspectorate</w:t>
      </w:r>
      <w:proofErr w:type="spellEnd"/>
      <w:r w:rsidR="00EB67EC" w:rsidRPr="00134A48">
        <w:rPr>
          <w:rFonts w:ascii="Calibri" w:hAnsi="Calibri" w:cs="Calibri"/>
          <w:sz w:val="18"/>
          <w:szCs w:val="18"/>
          <w:lang w:val="et-EE"/>
        </w:rPr>
        <w:t xml:space="preserve"> 2023,</w:t>
      </w:r>
      <w:r w:rsidRPr="00134A48">
        <w:rPr>
          <w:rFonts w:ascii="Calibri" w:hAnsi="Calibri" w:cs="Calibri"/>
          <w:color w:val="0F2741"/>
          <w:sz w:val="18"/>
          <w:szCs w:val="18"/>
          <w:shd w:val="clear" w:color="auto" w:fill="FFFFFF"/>
        </w:rPr>
        <w:t xml:space="preserve"> </w:t>
      </w:r>
      <w:hyperlink r:id="rId11" w:history="1">
        <w:r w:rsidR="00EB67EC" w:rsidRPr="00134A48">
          <w:rPr>
            <w:rStyle w:val="Hyperlink"/>
            <w:rFonts w:ascii="Calibri" w:hAnsi="Calibri" w:cs="Calibri"/>
            <w:sz w:val="18"/>
            <w:szCs w:val="18"/>
            <w:shd w:val="clear" w:color="auto" w:fill="FFFFFF"/>
          </w:rPr>
          <w:t>https://www.ti.ee/sites/default/files/documents/2024-04/TI%20aastaraamat%202024%20ENG.pdf</w:t>
        </w:r>
      </w:hyperlink>
      <w:r w:rsidR="00EB67EC" w:rsidRPr="00134A48">
        <w:rPr>
          <w:rFonts w:ascii="Calibri" w:hAnsi="Calibri" w:cs="Calibri"/>
          <w:color w:val="0F2741"/>
          <w:sz w:val="18"/>
          <w:szCs w:val="18"/>
          <w:shd w:val="clear" w:color="auto" w:fill="FFFFFF"/>
        </w:rPr>
        <w:t xml:space="preserve">. </w:t>
      </w:r>
    </w:p>
  </w:footnote>
  <w:footnote w:id="23">
    <w:p w14:paraId="470CBD28" w14:textId="22D6F3BD" w:rsidR="00EB67EC" w:rsidRPr="00134A48" w:rsidRDefault="00EB67EC">
      <w:pPr>
        <w:pStyle w:val="FootnoteText"/>
        <w:rPr>
          <w:rFonts w:ascii="Calibri" w:hAnsi="Calibri" w:cs="Calibri"/>
          <w:sz w:val="18"/>
          <w:szCs w:val="18"/>
          <w:lang w:val="et-EE"/>
        </w:rPr>
      </w:pPr>
      <w:r w:rsidRPr="00134A48">
        <w:rPr>
          <w:rStyle w:val="FootnoteReference"/>
          <w:rFonts w:ascii="Calibri" w:hAnsi="Calibri" w:cs="Calibri"/>
          <w:sz w:val="18"/>
          <w:szCs w:val="18"/>
        </w:rPr>
        <w:footnoteRef/>
      </w:r>
      <w:r w:rsidRPr="00134A48">
        <w:rPr>
          <w:rFonts w:ascii="Calibri" w:hAnsi="Calibri" w:cs="Calibri"/>
          <w:sz w:val="18"/>
          <w:szCs w:val="18"/>
        </w:rPr>
        <w:t xml:space="preserve"> </w:t>
      </w:r>
      <w:r w:rsidR="005A597B" w:rsidRPr="00134A48">
        <w:rPr>
          <w:rFonts w:ascii="Calibri" w:hAnsi="Calibri" w:cs="Calibri"/>
          <w:sz w:val="18"/>
          <w:szCs w:val="18"/>
        </w:rPr>
        <w:t xml:space="preserve">There were 71 494 micro, 5 380 small and 977 medium-sized enterprises in Estonia in 2022. Source: </w:t>
      </w:r>
      <w:r w:rsidRPr="00134A48">
        <w:rPr>
          <w:rFonts w:ascii="Calibri" w:hAnsi="Calibri" w:cs="Calibri"/>
          <w:sz w:val="18"/>
          <w:szCs w:val="18"/>
          <w:lang w:val="et-EE"/>
        </w:rPr>
        <w:t xml:space="preserve">OECD (2023), </w:t>
      </w:r>
      <w:r w:rsidRPr="00134A48">
        <w:rPr>
          <w:rFonts w:ascii="Calibri" w:hAnsi="Calibri" w:cs="Calibri"/>
          <w:color w:val="0F2741"/>
          <w:sz w:val="18"/>
          <w:szCs w:val="18"/>
          <w:shd w:val="clear" w:color="auto" w:fill="FFFFFF"/>
        </w:rPr>
        <w:t xml:space="preserve">Number of small and medium-sized enterprises (SMEs) by size in Estonia from 2008 to 2022, by size, </w:t>
      </w:r>
      <w:hyperlink r:id="rId12" w:history="1">
        <w:r w:rsidRPr="00134A48">
          <w:rPr>
            <w:rStyle w:val="Hyperlink"/>
            <w:rFonts w:ascii="Calibri" w:hAnsi="Calibri" w:cs="Calibri"/>
            <w:sz w:val="18"/>
            <w:szCs w:val="18"/>
            <w:shd w:val="clear" w:color="auto" w:fill="FFFFFF"/>
          </w:rPr>
          <w:t>https://www.statista.com/statistics/879041/number-of-smes-in-estonia/</w:t>
        </w:r>
      </w:hyperlink>
      <w:r w:rsidRPr="00134A48">
        <w:rPr>
          <w:rFonts w:ascii="Calibri" w:hAnsi="Calibri" w:cs="Calibri"/>
          <w:color w:val="0F2741"/>
          <w:sz w:val="18"/>
          <w:szCs w:val="18"/>
          <w:shd w:val="clear" w:color="auto" w:fill="FFFFFF"/>
        </w:rPr>
        <w:t xml:space="preserve"> </w:t>
      </w:r>
    </w:p>
  </w:footnote>
  <w:footnote w:id="24">
    <w:p w14:paraId="65B39BE2" w14:textId="77777777" w:rsidR="00ED026D" w:rsidRPr="00134A48" w:rsidRDefault="00ED026D" w:rsidP="00ED026D">
      <w:pPr>
        <w:pStyle w:val="FootnoteRM"/>
        <w:rPr>
          <w:rFonts w:ascii="Calibri" w:hAnsi="Calibri" w:cs="Calibri"/>
          <w:sz w:val="18"/>
          <w:szCs w:val="18"/>
        </w:rPr>
      </w:pPr>
      <w:r w:rsidRPr="00134A48">
        <w:rPr>
          <w:rStyle w:val="FootnoteReference"/>
          <w:rFonts w:ascii="Calibri" w:hAnsi="Calibri" w:cs="Calibri"/>
          <w:sz w:val="18"/>
          <w:szCs w:val="18"/>
        </w:rPr>
        <w:footnoteRef/>
      </w:r>
      <w:r w:rsidRPr="00134A48">
        <w:rPr>
          <w:rFonts w:ascii="Calibri" w:hAnsi="Calibri" w:cs="Calibri"/>
          <w:sz w:val="18"/>
          <w:szCs w:val="18"/>
        </w:rPr>
        <w:t xml:space="preserve"> </w:t>
      </w:r>
      <w:r w:rsidRPr="00134A48">
        <w:rPr>
          <w:rFonts w:ascii="Calibri" w:hAnsi="Calibri" w:cs="Calibri"/>
          <w:sz w:val="18"/>
          <w:szCs w:val="18"/>
        </w:rPr>
        <w:tab/>
        <w:t xml:space="preserve">See: </w:t>
      </w:r>
      <w:hyperlink r:id="rId13" w:history="1">
        <w:r w:rsidRPr="00134A48">
          <w:rPr>
            <w:rStyle w:val="Hyperlink"/>
            <w:rFonts w:ascii="Calibri" w:hAnsi="Calibri" w:cs="Calibri"/>
            <w:sz w:val="18"/>
            <w:szCs w:val="18"/>
          </w:rPr>
          <w:t>https://www.riigiteataja.ee/en/eli/505012024003/consolide</w:t>
        </w:r>
      </w:hyperlink>
      <w:r w:rsidRPr="00134A48">
        <w:rPr>
          <w:rFonts w:ascii="Calibri" w:hAnsi="Calibri" w:cs="Calibri"/>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11A7"/>
    <w:multiLevelType w:val="multilevel"/>
    <w:tmpl w:val="2DDC980A"/>
    <w:styleLink w:val="CurrentList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AA4286"/>
    <w:multiLevelType w:val="multilevel"/>
    <w:tmpl w:val="97949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2E02E9"/>
    <w:multiLevelType w:val="multilevel"/>
    <w:tmpl w:val="89EED2E4"/>
    <w:lvl w:ilvl="0">
      <w:start w:val="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036C9E"/>
    <w:multiLevelType w:val="hybridMultilevel"/>
    <w:tmpl w:val="59184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E25EA5"/>
    <w:multiLevelType w:val="hybridMultilevel"/>
    <w:tmpl w:val="ED80013E"/>
    <w:lvl w:ilvl="0" w:tplc="9E12C5B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E666CC"/>
    <w:multiLevelType w:val="multilevel"/>
    <w:tmpl w:val="CC4E53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FB2FBD"/>
    <w:multiLevelType w:val="hybridMultilevel"/>
    <w:tmpl w:val="E96EC63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DE0487D"/>
    <w:multiLevelType w:val="multilevel"/>
    <w:tmpl w:val="65D62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4933D4"/>
    <w:multiLevelType w:val="multilevel"/>
    <w:tmpl w:val="2BB29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78710F"/>
    <w:multiLevelType w:val="multilevel"/>
    <w:tmpl w:val="26365A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0C31E7"/>
    <w:multiLevelType w:val="hybridMultilevel"/>
    <w:tmpl w:val="5F3CE0BC"/>
    <w:lvl w:ilvl="0" w:tplc="215C2E22">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B922CCD"/>
    <w:multiLevelType w:val="multilevel"/>
    <w:tmpl w:val="93B03B68"/>
    <w:styleLink w:val="CurrentList9"/>
    <w:lvl w:ilvl="0">
      <w:start w:val="1"/>
      <w:numFmt w:val="decimal"/>
      <w:lvlText w:val="%1."/>
      <w:lvlJc w:val="left"/>
      <w:pPr>
        <w:ind w:left="720" w:hanging="360"/>
      </w:pPr>
      <w:rPr>
        <w:rFonts w:hint="default"/>
        <w:color w:val="000000"/>
        <w:lang w:val="en-G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C1D08C9"/>
    <w:multiLevelType w:val="hybridMultilevel"/>
    <w:tmpl w:val="60A29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D35965"/>
    <w:multiLevelType w:val="multilevel"/>
    <w:tmpl w:val="869C9228"/>
    <w:lvl w:ilvl="0">
      <w:start w:val="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D25603"/>
    <w:multiLevelType w:val="hybridMultilevel"/>
    <w:tmpl w:val="11EE1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2373B4"/>
    <w:multiLevelType w:val="hybridMultilevel"/>
    <w:tmpl w:val="E9BC80DA"/>
    <w:lvl w:ilvl="0" w:tplc="A9AE1A9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05736CE"/>
    <w:multiLevelType w:val="hybridMultilevel"/>
    <w:tmpl w:val="9B94E708"/>
    <w:lvl w:ilvl="0" w:tplc="38E03D2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C07E47"/>
    <w:multiLevelType w:val="multilevel"/>
    <w:tmpl w:val="11EE1D40"/>
    <w:styleLink w:val="CurrentList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1FC4167"/>
    <w:multiLevelType w:val="multilevel"/>
    <w:tmpl w:val="CBECBBB2"/>
    <w:styleLink w:val="CurrentList1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33119B1"/>
    <w:multiLevelType w:val="multilevel"/>
    <w:tmpl w:val="90907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5693C72"/>
    <w:multiLevelType w:val="hybridMultilevel"/>
    <w:tmpl w:val="51D272D2"/>
    <w:lvl w:ilvl="0" w:tplc="4D8EBD5C">
      <w:start w:val="1"/>
      <w:numFmt w:val="bullet"/>
      <w:lvlText w:val="-"/>
      <w:lvlJc w:val="left"/>
      <w:pPr>
        <w:ind w:left="720" w:hanging="360"/>
      </w:pPr>
      <w:rPr>
        <w:rFonts w:ascii="Verdana" w:hAnsi="Verdan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662021D"/>
    <w:multiLevelType w:val="hybridMultilevel"/>
    <w:tmpl w:val="0DEEEA72"/>
    <w:lvl w:ilvl="0" w:tplc="9C9A285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68E22A6"/>
    <w:multiLevelType w:val="hybridMultilevel"/>
    <w:tmpl w:val="AA5E501C"/>
    <w:lvl w:ilvl="0" w:tplc="A496B5C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917CC1"/>
    <w:multiLevelType w:val="hybridMultilevel"/>
    <w:tmpl w:val="D3E8FA7E"/>
    <w:lvl w:ilvl="0" w:tplc="5338EA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BCB260F"/>
    <w:multiLevelType w:val="multilevel"/>
    <w:tmpl w:val="A08A7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BFA169C"/>
    <w:multiLevelType w:val="multilevel"/>
    <w:tmpl w:val="2DF476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2C75B0"/>
    <w:multiLevelType w:val="hybridMultilevel"/>
    <w:tmpl w:val="D910EE98"/>
    <w:lvl w:ilvl="0" w:tplc="9E12C5B0">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E7B3B5E"/>
    <w:multiLevelType w:val="multilevel"/>
    <w:tmpl w:val="11EE1D40"/>
    <w:styleLink w:val="CurrentList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0291A10"/>
    <w:multiLevelType w:val="multilevel"/>
    <w:tmpl w:val="93B03B68"/>
    <w:styleLink w:val="CurrentList8"/>
    <w:lvl w:ilvl="0">
      <w:start w:val="1"/>
      <w:numFmt w:val="decimal"/>
      <w:lvlText w:val="%1."/>
      <w:lvlJc w:val="left"/>
      <w:pPr>
        <w:ind w:left="720" w:hanging="360"/>
      </w:pPr>
      <w:rPr>
        <w:rFonts w:hint="default"/>
        <w:color w:val="000000"/>
        <w:lang w:val="en-G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533055A"/>
    <w:multiLevelType w:val="multilevel"/>
    <w:tmpl w:val="60A29E8E"/>
    <w:styleLink w:val="CurrentList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6E73EE4"/>
    <w:multiLevelType w:val="hybridMultilevel"/>
    <w:tmpl w:val="8ADED2A4"/>
    <w:lvl w:ilvl="0" w:tplc="61D0D3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8924F36"/>
    <w:multiLevelType w:val="multilevel"/>
    <w:tmpl w:val="4754A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735017"/>
    <w:multiLevelType w:val="multilevel"/>
    <w:tmpl w:val="7470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365A85"/>
    <w:multiLevelType w:val="multilevel"/>
    <w:tmpl w:val="F90008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36F0A5B"/>
    <w:multiLevelType w:val="multilevel"/>
    <w:tmpl w:val="13841812"/>
    <w:styleLink w:val="CurrentList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8FF7B5F"/>
    <w:multiLevelType w:val="hybridMultilevel"/>
    <w:tmpl w:val="FDC89DDA"/>
    <w:lvl w:ilvl="0" w:tplc="080896F0">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1455D7F"/>
    <w:multiLevelType w:val="hybridMultilevel"/>
    <w:tmpl w:val="138418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5467175"/>
    <w:multiLevelType w:val="hybridMultilevel"/>
    <w:tmpl w:val="D9CE39A0"/>
    <w:lvl w:ilvl="0" w:tplc="04F0AAAA">
      <w:start w:val="1"/>
      <w:numFmt w:val="decimal"/>
      <w:pStyle w:val="ListParagraph"/>
      <w:lvlText w:val="%1."/>
      <w:lvlJc w:val="left"/>
      <w:pPr>
        <w:ind w:left="720" w:hanging="360"/>
      </w:pPr>
      <w:rPr>
        <w:rFonts w:hint="default"/>
        <w:color w:val="000000"/>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E1C7025"/>
    <w:multiLevelType w:val="hybridMultilevel"/>
    <w:tmpl w:val="CBECBBB2"/>
    <w:lvl w:ilvl="0" w:tplc="0F42BB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0582451"/>
    <w:multiLevelType w:val="hybridMultilevel"/>
    <w:tmpl w:val="8252E368"/>
    <w:lvl w:ilvl="0" w:tplc="8B9A05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3060EC6"/>
    <w:multiLevelType w:val="hybridMultilevel"/>
    <w:tmpl w:val="EEEC955C"/>
    <w:lvl w:ilvl="0" w:tplc="47A4E3F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5B97D66"/>
    <w:multiLevelType w:val="hybridMultilevel"/>
    <w:tmpl w:val="23B8D52A"/>
    <w:lvl w:ilvl="0" w:tplc="4D8EBD5C">
      <w:start w:val="1"/>
      <w:numFmt w:val="bullet"/>
      <w:lvlText w:val="-"/>
      <w:lvlJc w:val="left"/>
      <w:pPr>
        <w:ind w:left="720" w:hanging="360"/>
      </w:pPr>
      <w:rPr>
        <w:rFonts w:ascii="Verdana" w:hAnsi="Verdan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7EE3697"/>
    <w:multiLevelType w:val="multilevel"/>
    <w:tmpl w:val="113A204A"/>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D295579"/>
    <w:multiLevelType w:val="multilevel"/>
    <w:tmpl w:val="2DDC980A"/>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50376937">
    <w:abstractNumId w:val="40"/>
  </w:num>
  <w:num w:numId="2" w16cid:durableId="1905289137">
    <w:abstractNumId w:val="21"/>
  </w:num>
  <w:num w:numId="3" w16cid:durableId="44720011">
    <w:abstractNumId w:val="31"/>
  </w:num>
  <w:num w:numId="4" w16cid:durableId="876312285">
    <w:abstractNumId w:val="32"/>
  </w:num>
  <w:num w:numId="5" w16cid:durableId="2028091832">
    <w:abstractNumId w:val="35"/>
  </w:num>
  <w:num w:numId="6" w16cid:durableId="1441338588">
    <w:abstractNumId w:val="37"/>
  </w:num>
  <w:num w:numId="7" w16cid:durableId="1777872494">
    <w:abstractNumId w:val="5"/>
  </w:num>
  <w:num w:numId="8" w16cid:durableId="873924729">
    <w:abstractNumId w:val="3"/>
  </w:num>
  <w:num w:numId="9" w16cid:durableId="197279175">
    <w:abstractNumId w:val="39"/>
  </w:num>
  <w:num w:numId="10" w16cid:durableId="2061586854">
    <w:abstractNumId w:val="2"/>
  </w:num>
  <w:num w:numId="11" w16cid:durableId="1119566113">
    <w:abstractNumId w:val="13"/>
  </w:num>
  <w:num w:numId="12" w16cid:durableId="20596140">
    <w:abstractNumId w:val="38"/>
  </w:num>
  <w:num w:numId="13" w16cid:durableId="1602226593">
    <w:abstractNumId w:val="25"/>
  </w:num>
  <w:num w:numId="14" w16cid:durableId="431631703">
    <w:abstractNumId w:val="15"/>
  </w:num>
  <w:num w:numId="15" w16cid:durableId="200167666">
    <w:abstractNumId w:val="6"/>
  </w:num>
  <w:num w:numId="16" w16cid:durableId="1603489545">
    <w:abstractNumId w:val="33"/>
  </w:num>
  <w:num w:numId="17" w16cid:durableId="874542518">
    <w:abstractNumId w:val="20"/>
  </w:num>
  <w:num w:numId="18" w16cid:durableId="1821191164">
    <w:abstractNumId w:val="12"/>
  </w:num>
  <w:num w:numId="19" w16cid:durableId="1987785094">
    <w:abstractNumId w:val="41"/>
  </w:num>
  <w:num w:numId="20" w16cid:durableId="768161369">
    <w:abstractNumId w:val="22"/>
  </w:num>
  <w:num w:numId="21" w16cid:durableId="50540224">
    <w:abstractNumId w:val="16"/>
  </w:num>
  <w:num w:numId="22" w16cid:durableId="2095936109">
    <w:abstractNumId w:val="42"/>
  </w:num>
  <w:num w:numId="23" w16cid:durableId="657421089">
    <w:abstractNumId w:val="10"/>
  </w:num>
  <w:num w:numId="24" w16cid:durableId="1772817980">
    <w:abstractNumId w:val="30"/>
  </w:num>
  <w:num w:numId="25" w16cid:durableId="44523379">
    <w:abstractNumId w:val="4"/>
  </w:num>
  <w:num w:numId="26" w16cid:durableId="197742480">
    <w:abstractNumId w:val="24"/>
  </w:num>
  <w:num w:numId="27" w16cid:durableId="1759324976">
    <w:abstractNumId w:val="1"/>
  </w:num>
  <w:num w:numId="28" w16cid:durableId="66585074">
    <w:abstractNumId w:val="9"/>
  </w:num>
  <w:num w:numId="29" w16cid:durableId="2103330977">
    <w:abstractNumId w:val="7"/>
  </w:num>
  <w:num w:numId="30" w16cid:durableId="840464572">
    <w:abstractNumId w:val="8"/>
  </w:num>
  <w:num w:numId="31" w16cid:durableId="546454913">
    <w:abstractNumId w:val="19"/>
  </w:num>
  <w:num w:numId="32" w16cid:durableId="1349675668">
    <w:abstractNumId w:val="43"/>
  </w:num>
  <w:num w:numId="33" w16cid:durableId="1715352948">
    <w:abstractNumId w:val="0"/>
  </w:num>
  <w:num w:numId="34" w16cid:durableId="1749645976">
    <w:abstractNumId w:val="26"/>
  </w:num>
  <w:num w:numId="35" w16cid:durableId="2099208334">
    <w:abstractNumId w:val="36"/>
  </w:num>
  <w:num w:numId="36" w16cid:durableId="713971178">
    <w:abstractNumId w:val="14"/>
  </w:num>
  <w:num w:numId="37" w16cid:durableId="1097402566">
    <w:abstractNumId w:val="23"/>
  </w:num>
  <w:num w:numId="38" w16cid:durableId="992106353">
    <w:abstractNumId w:val="17"/>
  </w:num>
  <w:num w:numId="39" w16cid:durableId="1002973497">
    <w:abstractNumId w:val="27"/>
  </w:num>
  <w:num w:numId="40" w16cid:durableId="1769930830">
    <w:abstractNumId w:val="34"/>
  </w:num>
  <w:num w:numId="41" w16cid:durableId="129595415">
    <w:abstractNumId w:val="29"/>
  </w:num>
  <w:num w:numId="42" w16cid:durableId="78137313">
    <w:abstractNumId w:val="28"/>
  </w:num>
  <w:num w:numId="43" w16cid:durableId="1717585731">
    <w:abstractNumId w:val="11"/>
  </w:num>
  <w:num w:numId="44" w16cid:durableId="107362795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4E7"/>
    <w:rsid w:val="00006327"/>
    <w:rsid w:val="00017C41"/>
    <w:rsid w:val="0003060A"/>
    <w:rsid w:val="0005699C"/>
    <w:rsid w:val="000616C2"/>
    <w:rsid w:val="00063CAC"/>
    <w:rsid w:val="0007557D"/>
    <w:rsid w:val="00077D65"/>
    <w:rsid w:val="00077EFD"/>
    <w:rsid w:val="000801DC"/>
    <w:rsid w:val="000836DB"/>
    <w:rsid w:val="00090C9B"/>
    <w:rsid w:val="000A2CA1"/>
    <w:rsid w:val="000A5351"/>
    <w:rsid w:val="000A5DF6"/>
    <w:rsid w:val="000F6E96"/>
    <w:rsid w:val="00134A48"/>
    <w:rsid w:val="00157D0F"/>
    <w:rsid w:val="00161401"/>
    <w:rsid w:val="00164CD2"/>
    <w:rsid w:val="00167976"/>
    <w:rsid w:val="001B4AFD"/>
    <w:rsid w:val="001B7EBA"/>
    <w:rsid w:val="001C02D1"/>
    <w:rsid w:val="001D4B3F"/>
    <w:rsid w:val="001D6D7A"/>
    <w:rsid w:val="001E5450"/>
    <w:rsid w:val="00202FD1"/>
    <w:rsid w:val="00230526"/>
    <w:rsid w:val="00267521"/>
    <w:rsid w:val="00281A6D"/>
    <w:rsid w:val="002909E7"/>
    <w:rsid w:val="002914F7"/>
    <w:rsid w:val="002A377B"/>
    <w:rsid w:val="002A42A0"/>
    <w:rsid w:val="002A7798"/>
    <w:rsid w:val="002D7277"/>
    <w:rsid w:val="002E415C"/>
    <w:rsid w:val="002F47D3"/>
    <w:rsid w:val="002F6688"/>
    <w:rsid w:val="00320794"/>
    <w:rsid w:val="0032342D"/>
    <w:rsid w:val="00324C4D"/>
    <w:rsid w:val="0033489B"/>
    <w:rsid w:val="003349CF"/>
    <w:rsid w:val="003638E5"/>
    <w:rsid w:val="00381328"/>
    <w:rsid w:val="003A6468"/>
    <w:rsid w:val="003C2269"/>
    <w:rsid w:val="003D0C37"/>
    <w:rsid w:val="003D1F74"/>
    <w:rsid w:val="003D6D58"/>
    <w:rsid w:val="003E4EF3"/>
    <w:rsid w:val="0041125D"/>
    <w:rsid w:val="00412CAD"/>
    <w:rsid w:val="0042587A"/>
    <w:rsid w:val="00426656"/>
    <w:rsid w:val="00432772"/>
    <w:rsid w:val="004402CF"/>
    <w:rsid w:val="00455E3B"/>
    <w:rsid w:val="00460EAF"/>
    <w:rsid w:val="004636E2"/>
    <w:rsid w:val="00470FC4"/>
    <w:rsid w:val="004A48BC"/>
    <w:rsid w:val="004A62C4"/>
    <w:rsid w:val="004C4D52"/>
    <w:rsid w:val="004D74F0"/>
    <w:rsid w:val="004F46C1"/>
    <w:rsid w:val="00504839"/>
    <w:rsid w:val="005050DB"/>
    <w:rsid w:val="00506B0C"/>
    <w:rsid w:val="00511438"/>
    <w:rsid w:val="005153A4"/>
    <w:rsid w:val="005237E5"/>
    <w:rsid w:val="005241F9"/>
    <w:rsid w:val="00536EE9"/>
    <w:rsid w:val="00543A21"/>
    <w:rsid w:val="00553F3A"/>
    <w:rsid w:val="00554FB3"/>
    <w:rsid w:val="005777D5"/>
    <w:rsid w:val="005A4792"/>
    <w:rsid w:val="005A5642"/>
    <w:rsid w:val="005A597B"/>
    <w:rsid w:val="005A6359"/>
    <w:rsid w:val="005C2116"/>
    <w:rsid w:val="005D34F6"/>
    <w:rsid w:val="005D3BA0"/>
    <w:rsid w:val="005D4E6A"/>
    <w:rsid w:val="00600BDD"/>
    <w:rsid w:val="006139CE"/>
    <w:rsid w:val="00614072"/>
    <w:rsid w:val="0061694A"/>
    <w:rsid w:val="00642D1F"/>
    <w:rsid w:val="006574E6"/>
    <w:rsid w:val="00660AFA"/>
    <w:rsid w:val="006A5CD0"/>
    <w:rsid w:val="006B0A45"/>
    <w:rsid w:val="006B20EB"/>
    <w:rsid w:val="006D1445"/>
    <w:rsid w:val="006E6312"/>
    <w:rsid w:val="00711A9A"/>
    <w:rsid w:val="00740E63"/>
    <w:rsid w:val="007618EE"/>
    <w:rsid w:val="00783F47"/>
    <w:rsid w:val="007A5254"/>
    <w:rsid w:val="007B7D7D"/>
    <w:rsid w:val="007C6018"/>
    <w:rsid w:val="007D0EA4"/>
    <w:rsid w:val="007E2CB0"/>
    <w:rsid w:val="007F4AFF"/>
    <w:rsid w:val="00826809"/>
    <w:rsid w:val="00831634"/>
    <w:rsid w:val="00836CF7"/>
    <w:rsid w:val="0085636A"/>
    <w:rsid w:val="00857D78"/>
    <w:rsid w:val="008873C1"/>
    <w:rsid w:val="008A2415"/>
    <w:rsid w:val="008B6C07"/>
    <w:rsid w:val="008C263A"/>
    <w:rsid w:val="008C5E75"/>
    <w:rsid w:val="008D0FEC"/>
    <w:rsid w:val="008E5D38"/>
    <w:rsid w:val="008F4479"/>
    <w:rsid w:val="0091254E"/>
    <w:rsid w:val="00924057"/>
    <w:rsid w:val="009300A6"/>
    <w:rsid w:val="009327DC"/>
    <w:rsid w:val="009338DC"/>
    <w:rsid w:val="00952115"/>
    <w:rsid w:val="009558B3"/>
    <w:rsid w:val="009603FB"/>
    <w:rsid w:val="00971496"/>
    <w:rsid w:val="00993581"/>
    <w:rsid w:val="009A6458"/>
    <w:rsid w:val="009B0EF8"/>
    <w:rsid w:val="009C3BBD"/>
    <w:rsid w:val="009D592A"/>
    <w:rsid w:val="009D636B"/>
    <w:rsid w:val="009E0093"/>
    <w:rsid w:val="009E65B1"/>
    <w:rsid w:val="00A1265D"/>
    <w:rsid w:val="00A23338"/>
    <w:rsid w:val="00A272D8"/>
    <w:rsid w:val="00A36A22"/>
    <w:rsid w:val="00A6793E"/>
    <w:rsid w:val="00A8434B"/>
    <w:rsid w:val="00A914E7"/>
    <w:rsid w:val="00A91CE9"/>
    <w:rsid w:val="00A96859"/>
    <w:rsid w:val="00AA33C3"/>
    <w:rsid w:val="00AB6BED"/>
    <w:rsid w:val="00AC18EF"/>
    <w:rsid w:val="00AD7A81"/>
    <w:rsid w:val="00AF4005"/>
    <w:rsid w:val="00AF46F5"/>
    <w:rsid w:val="00B62C56"/>
    <w:rsid w:val="00B95D3D"/>
    <w:rsid w:val="00BD4722"/>
    <w:rsid w:val="00BD699D"/>
    <w:rsid w:val="00BF5B44"/>
    <w:rsid w:val="00C04443"/>
    <w:rsid w:val="00C25DE3"/>
    <w:rsid w:val="00C27A97"/>
    <w:rsid w:val="00C4450D"/>
    <w:rsid w:val="00C55A59"/>
    <w:rsid w:val="00C56A65"/>
    <w:rsid w:val="00CB0EB0"/>
    <w:rsid w:val="00CB1CD5"/>
    <w:rsid w:val="00CE4353"/>
    <w:rsid w:val="00CE7C08"/>
    <w:rsid w:val="00CF3A3A"/>
    <w:rsid w:val="00CF3F3D"/>
    <w:rsid w:val="00D16C0B"/>
    <w:rsid w:val="00D23027"/>
    <w:rsid w:val="00D2508E"/>
    <w:rsid w:val="00D2538C"/>
    <w:rsid w:val="00D360B0"/>
    <w:rsid w:val="00D40800"/>
    <w:rsid w:val="00D75738"/>
    <w:rsid w:val="00D8437A"/>
    <w:rsid w:val="00D8594B"/>
    <w:rsid w:val="00DD4BE2"/>
    <w:rsid w:val="00DF12B4"/>
    <w:rsid w:val="00E03AB7"/>
    <w:rsid w:val="00E30CB0"/>
    <w:rsid w:val="00E54F39"/>
    <w:rsid w:val="00EA37B9"/>
    <w:rsid w:val="00EB67EC"/>
    <w:rsid w:val="00EC3EC7"/>
    <w:rsid w:val="00EC468E"/>
    <w:rsid w:val="00ED026D"/>
    <w:rsid w:val="00ED5534"/>
    <w:rsid w:val="00EF5F59"/>
    <w:rsid w:val="00EF6967"/>
    <w:rsid w:val="00F00167"/>
    <w:rsid w:val="00F0432C"/>
    <w:rsid w:val="00F22CA0"/>
    <w:rsid w:val="00F325DC"/>
    <w:rsid w:val="00F3542A"/>
    <w:rsid w:val="00F57676"/>
    <w:rsid w:val="00F77AAF"/>
    <w:rsid w:val="00F83913"/>
    <w:rsid w:val="00F9618B"/>
    <w:rsid w:val="00FB501D"/>
    <w:rsid w:val="00FC16FA"/>
    <w:rsid w:val="00FD3E9A"/>
  </w:rsids>
  <m:mathPr>
    <m:mathFont m:val="Cambria Math"/>
    <m:brkBin m:val="before"/>
    <m:brkBinSub m:val="--"/>
    <m:smallFrac m:val="0"/>
    <m:dispDef/>
    <m:lMargin m:val="0"/>
    <m:rMargin m:val="0"/>
    <m:defJc m:val="centerGroup"/>
    <m:wrapIndent m:val="1440"/>
    <m:intLim m:val="subSup"/>
    <m:naryLim m:val="undOvr"/>
  </m:mathPr>
  <w:themeFontLang w:val="en-EE"/>
  <w:clrSchemeMapping w:bg1="light1" w:t1="dark1" w:bg2="light2" w:t2="dark2" w:accent1="accent1" w:accent2="accent2" w:accent3="accent3" w:accent4="accent4" w:accent5="accent5" w:accent6="accent6" w:hyperlink="hyperlink" w:followedHyperlink="followedHyperlink"/>
  <w:decimalSymbol w:val=","/>
  <w:listSeparator w:val=","/>
  <w14:docId w14:val="4C265A0E"/>
  <w15:chartTrackingRefBased/>
  <w15:docId w15:val="{5F9CB20A-0F0A-4644-A2A1-6C85FA92B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E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AA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52115"/>
    <w:pPr>
      <w:keepNext/>
      <w:keepLines/>
      <w:spacing w:before="360" w:after="80"/>
      <w:outlineLvl w:val="0"/>
    </w:pPr>
    <w:rPr>
      <w:rFonts w:ascii="Calibri" w:eastAsiaTheme="majorEastAsia" w:hAnsi="Calibri" w:cstheme="majorBidi"/>
      <w:b/>
      <w:color w:val="0F4761" w:themeColor="accent1" w:themeShade="BF"/>
      <w:sz w:val="22"/>
      <w:szCs w:val="40"/>
    </w:rPr>
  </w:style>
  <w:style w:type="paragraph" w:styleId="Heading2">
    <w:name w:val="heading 2"/>
    <w:basedOn w:val="Normal"/>
    <w:next w:val="Normal"/>
    <w:link w:val="Heading2Char"/>
    <w:uiPriority w:val="9"/>
    <w:semiHidden/>
    <w:unhideWhenUsed/>
    <w:qFormat/>
    <w:rsid w:val="00A914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14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14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14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14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14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14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14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115"/>
    <w:rPr>
      <w:rFonts w:ascii="Calibri" w:eastAsiaTheme="majorEastAsia" w:hAnsi="Calibri" w:cstheme="majorBidi"/>
      <w:b/>
      <w:noProof/>
      <w:color w:val="0F4761" w:themeColor="accent1" w:themeShade="BF"/>
      <w:sz w:val="22"/>
      <w:szCs w:val="40"/>
      <w:lang w:val="en-GB"/>
    </w:rPr>
  </w:style>
  <w:style w:type="character" w:customStyle="1" w:styleId="Heading2Char">
    <w:name w:val="Heading 2 Char"/>
    <w:basedOn w:val="DefaultParagraphFont"/>
    <w:link w:val="Heading2"/>
    <w:uiPriority w:val="9"/>
    <w:semiHidden/>
    <w:rsid w:val="00A914E7"/>
    <w:rPr>
      <w:rFonts w:asciiTheme="majorHAnsi" w:eastAsiaTheme="majorEastAsia" w:hAnsiTheme="majorHAnsi" w:cstheme="majorBidi"/>
      <w:noProof/>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A914E7"/>
    <w:rPr>
      <w:rFonts w:eastAsiaTheme="majorEastAsia" w:cstheme="majorBidi"/>
      <w:noProof/>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A914E7"/>
    <w:rPr>
      <w:rFonts w:eastAsiaTheme="majorEastAsia" w:cstheme="majorBidi"/>
      <w:i/>
      <w:iCs/>
      <w:noProof/>
      <w:color w:val="0F4761" w:themeColor="accent1" w:themeShade="BF"/>
      <w:lang w:val="en-GB"/>
    </w:rPr>
  </w:style>
  <w:style w:type="character" w:customStyle="1" w:styleId="Heading5Char">
    <w:name w:val="Heading 5 Char"/>
    <w:basedOn w:val="DefaultParagraphFont"/>
    <w:link w:val="Heading5"/>
    <w:uiPriority w:val="9"/>
    <w:semiHidden/>
    <w:rsid w:val="00A914E7"/>
    <w:rPr>
      <w:rFonts w:eastAsiaTheme="majorEastAsia" w:cstheme="majorBidi"/>
      <w:noProof/>
      <w:color w:val="0F4761" w:themeColor="accent1" w:themeShade="BF"/>
      <w:lang w:val="en-GB"/>
    </w:rPr>
  </w:style>
  <w:style w:type="character" w:customStyle="1" w:styleId="Heading6Char">
    <w:name w:val="Heading 6 Char"/>
    <w:basedOn w:val="DefaultParagraphFont"/>
    <w:link w:val="Heading6"/>
    <w:uiPriority w:val="9"/>
    <w:semiHidden/>
    <w:rsid w:val="00A914E7"/>
    <w:rPr>
      <w:rFonts w:eastAsiaTheme="majorEastAsia" w:cstheme="majorBidi"/>
      <w:i/>
      <w:iCs/>
      <w:noProof/>
      <w:color w:val="595959" w:themeColor="text1" w:themeTint="A6"/>
      <w:lang w:val="en-GB"/>
    </w:rPr>
  </w:style>
  <w:style w:type="character" w:customStyle="1" w:styleId="Heading7Char">
    <w:name w:val="Heading 7 Char"/>
    <w:basedOn w:val="DefaultParagraphFont"/>
    <w:link w:val="Heading7"/>
    <w:uiPriority w:val="9"/>
    <w:semiHidden/>
    <w:rsid w:val="00A914E7"/>
    <w:rPr>
      <w:rFonts w:eastAsiaTheme="majorEastAsia" w:cstheme="majorBidi"/>
      <w:noProof/>
      <w:color w:val="595959" w:themeColor="text1" w:themeTint="A6"/>
      <w:lang w:val="en-GB"/>
    </w:rPr>
  </w:style>
  <w:style w:type="character" w:customStyle="1" w:styleId="Heading8Char">
    <w:name w:val="Heading 8 Char"/>
    <w:basedOn w:val="DefaultParagraphFont"/>
    <w:link w:val="Heading8"/>
    <w:uiPriority w:val="9"/>
    <w:semiHidden/>
    <w:rsid w:val="00A914E7"/>
    <w:rPr>
      <w:rFonts w:eastAsiaTheme="majorEastAsia" w:cstheme="majorBidi"/>
      <w:i/>
      <w:iCs/>
      <w:noProof/>
      <w:color w:val="272727" w:themeColor="text1" w:themeTint="D8"/>
      <w:lang w:val="en-GB"/>
    </w:rPr>
  </w:style>
  <w:style w:type="character" w:customStyle="1" w:styleId="Heading9Char">
    <w:name w:val="Heading 9 Char"/>
    <w:basedOn w:val="DefaultParagraphFont"/>
    <w:link w:val="Heading9"/>
    <w:uiPriority w:val="9"/>
    <w:semiHidden/>
    <w:rsid w:val="00A914E7"/>
    <w:rPr>
      <w:rFonts w:eastAsiaTheme="majorEastAsia" w:cstheme="majorBidi"/>
      <w:noProof/>
      <w:color w:val="272727" w:themeColor="text1" w:themeTint="D8"/>
      <w:lang w:val="en-GB"/>
    </w:rPr>
  </w:style>
  <w:style w:type="paragraph" w:styleId="Title">
    <w:name w:val="Title"/>
    <w:basedOn w:val="Normal"/>
    <w:next w:val="Normal"/>
    <w:link w:val="TitleChar"/>
    <w:uiPriority w:val="10"/>
    <w:qFormat/>
    <w:rsid w:val="00A914E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14E7"/>
    <w:rPr>
      <w:rFonts w:asciiTheme="majorHAnsi" w:eastAsiaTheme="majorEastAsia" w:hAnsiTheme="majorHAnsi" w:cstheme="majorBidi"/>
      <w:noProof/>
      <w:spacing w:val="-10"/>
      <w:kern w:val="28"/>
      <w:sz w:val="56"/>
      <w:szCs w:val="56"/>
      <w:lang w:val="en-GB"/>
    </w:rPr>
  </w:style>
  <w:style w:type="paragraph" w:styleId="Subtitle">
    <w:name w:val="Subtitle"/>
    <w:basedOn w:val="Normal"/>
    <w:next w:val="Normal"/>
    <w:link w:val="SubtitleChar"/>
    <w:uiPriority w:val="11"/>
    <w:qFormat/>
    <w:rsid w:val="00A914E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14E7"/>
    <w:rPr>
      <w:rFonts w:eastAsiaTheme="majorEastAsia" w:cstheme="majorBidi"/>
      <w:noProof/>
      <w:color w:val="595959" w:themeColor="text1" w:themeTint="A6"/>
      <w:spacing w:val="15"/>
      <w:sz w:val="28"/>
      <w:szCs w:val="28"/>
      <w:lang w:val="en-GB"/>
    </w:rPr>
  </w:style>
  <w:style w:type="paragraph" w:styleId="Quote">
    <w:name w:val="Quote"/>
    <w:basedOn w:val="Normal"/>
    <w:next w:val="Normal"/>
    <w:link w:val="QuoteChar"/>
    <w:uiPriority w:val="29"/>
    <w:qFormat/>
    <w:rsid w:val="00A914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14E7"/>
    <w:rPr>
      <w:i/>
      <w:iCs/>
      <w:noProof/>
      <w:color w:val="404040" w:themeColor="text1" w:themeTint="BF"/>
      <w:lang w:val="en-GB"/>
    </w:rPr>
  </w:style>
  <w:style w:type="paragraph" w:styleId="ListParagraph">
    <w:name w:val="List Paragraph"/>
    <w:basedOn w:val="Normal"/>
    <w:link w:val="ListParagraphChar"/>
    <w:autoRedefine/>
    <w:uiPriority w:val="34"/>
    <w:qFormat/>
    <w:rsid w:val="00EA37B9"/>
    <w:pPr>
      <w:numPr>
        <w:numId w:val="6"/>
      </w:numPr>
      <w:contextualSpacing/>
      <w:jc w:val="both"/>
    </w:pPr>
    <w:rPr>
      <w:rFonts w:ascii="Calibri" w:hAnsi="Calibri" w:cs="Calibri"/>
      <w:color w:val="0D0D0D"/>
      <w:sz w:val="22"/>
      <w:shd w:val="clear" w:color="auto" w:fill="FFFFFF"/>
    </w:rPr>
  </w:style>
  <w:style w:type="character" w:styleId="IntenseEmphasis">
    <w:name w:val="Intense Emphasis"/>
    <w:basedOn w:val="DefaultParagraphFont"/>
    <w:uiPriority w:val="21"/>
    <w:qFormat/>
    <w:rsid w:val="00A914E7"/>
    <w:rPr>
      <w:i/>
      <w:iCs/>
      <w:color w:val="0F4761" w:themeColor="accent1" w:themeShade="BF"/>
    </w:rPr>
  </w:style>
  <w:style w:type="paragraph" w:styleId="IntenseQuote">
    <w:name w:val="Intense Quote"/>
    <w:basedOn w:val="Normal"/>
    <w:next w:val="Normal"/>
    <w:link w:val="IntenseQuoteChar"/>
    <w:uiPriority w:val="30"/>
    <w:qFormat/>
    <w:rsid w:val="00A914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14E7"/>
    <w:rPr>
      <w:i/>
      <w:iCs/>
      <w:noProof/>
      <w:color w:val="0F4761" w:themeColor="accent1" w:themeShade="BF"/>
      <w:lang w:val="en-GB"/>
    </w:rPr>
  </w:style>
  <w:style w:type="character" w:styleId="IntenseReference">
    <w:name w:val="Intense Reference"/>
    <w:basedOn w:val="DefaultParagraphFont"/>
    <w:uiPriority w:val="32"/>
    <w:qFormat/>
    <w:rsid w:val="00A914E7"/>
    <w:rPr>
      <w:b/>
      <w:bCs/>
      <w:smallCaps/>
      <w:color w:val="0F4761" w:themeColor="accent1" w:themeShade="BF"/>
      <w:spacing w:val="5"/>
    </w:rPr>
  </w:style>
  <w:style w:type="paragraph" w:styleId="FootnoteText">
    <w:name w:val="footnote text"/>
    <w:basedOn w:val="Normal"/>
    <w:link w:val="FootnoteTextChar"/>
    <w:uiPriority w:val="99"/>
    <w:semiHidden/>
    <w:unhideWhenUsed/>
    <w:rsid w:val="00971496"/>
    <w:rPr>
      <w:sz w:val="20"/>
      <w:szCs w:val="20"/>
    </w:rPr>
  </w:style>
  <w:style w:type="character" w:customStyle="1" w:styleId="FootnoteTextChar">
    <w:name w:val="Footnote Text Char"/>
    <w:basedOn w:val="DefaultParagraphFont"/>
    <w:link w:val="FootnoteText"/>
    <w:uiPriority w:val="99"/>
    <w:semiHidden/>
    <w:rsid w:val="00971496"/>
    <w:rPr>
      <w:noProof/>
      <w:sz w:val="20"/>
      <w:szCs w:val="20"/>
      <w:lang w:val="en-GB"/>
    </w:rPr>
  </w:style>
  <w:style w:type="character" w:styleId="FootnoteReference">
    <w:name w:val="footnote reference"/>
    <w:aliases w:val="Footnote Reference in text,Footnote Reference Superscript,FZ,Footnote Reference2,4_G,Footnotemark,FR,Footnotemark1,Footnotemark2,FR1,Footnotemark3,FR2,Footnotemark4,FR3,Footnotemark5,FR4,Footnotemark6,FR5,BVI f,Footnote symbol,Ref"/>
    <w:basedOn w:val="DefaultParagraphFont"/>
    <w:link w:val="AppelnotedebasdepageCharCharCharCharCharCharChar"/>
    <w:uiPriority w:val="99"/>
    <w:unhideWhenUsed/>
    <w:qFormat/>
    <w:rsid w:val="00971496"/>
    <w:rPr>
      <w:vertAlign w:val="superscript"/>
    </w:rPr>
  </w:style>
  <w:style w:type="character" w:styleId="Hyperlink">
    <w:name w:val="Hyperlink"/>
    <w:basedOn w:val="DefaultParagraphFont"/>
    <w:uiPriority w:val="99"/>
    <w:unhideWhenUsed/>
    <w:rsid w:val="00971496"/>
    <w:rPr>
      <w:color w:val="467886" w:themeColor="hyperlink"/>
      <w:u w:val="single"/>
    </w:rPr>
  </w:style>
  <w:style w:type="character" w:styleId="UnresolvedMention">
    <w:name w:val="Unresolved Mention"/>
    <w:basedOn w:val="DefaultParagraphFont"/>
    <w:uiPriority w:val="99"/>
    <w:semiHidden/>
    <w:unhideWhenUsed/>
    <w:rsid w:val="00971496"/>
    <w:rPr>
      <w:color w:val="605E5C"/>
      <w:shd w:val="clear" w:color="auto" w:fill="E1DFDD"/>
    </w:rPr>
  </w:style>
  <w:style w:type="paragraph" w:styleId="NormalWeb">
    <w:name w:val="Normal (Web)"/>
    <w:basedOn w:val="Normal"/>
    <w:uiPriority w:val="99"/>
    <w:unhideWhenUsed/>
    <w:rsid w:val="003D1F74"/>
    <w:pPr>
      <w:spacing w:before="100" w:beforeAutospacing="1" w:after="100" w:afterAutospacing="1"/>
    </w:pPr>
  </w:style>
  <w:style w:type="paragraph" w:customStyle="1" w:styleId="Style1">
    <w:name w:val="Style1"/>
    <w:basedOn w:val="Normal"/>
    <w:autoRedefine/>
    <w:qFormat/>
    <w:rsid w:val="006574E6"/>
    <w:pPr>
      <w:jc w:val="both"/>
    </w:pPr>
    <w:rPr>
      <w:rFonts w:ascii="Calibri" w:hAnsi="Calibri"/>
      <w:sz w:val="22"/>
    </w:rPr>
  </w:style>
  <w:style w:type="character" w:styleId="Emphasis">
    <w:name w:val="Emphasis"/>
    <w:basedOn w:val="DefaultParagraphFont"/>
    <w:uiPriority w:val="20"/>
    <w:qFormat/>
    <w:rsid w:val="00F9618B"/>
    <w:rPr>
      <w:i/>
      <w:iCs/>
    </w:rPr>
  </w:style>
  <w:style w:type="paragraph" w:customStyle="1" w:styleId="AppelnotedebasdepageCharCharCharCharCharCharChar">
    <w:name w:val="Appel note de bas de page Char Char Char Char Char Char Char"/>
    <w:basedOn w:val="Normal"/>
    <w:link w:val="FootnoteReference"/>
    <w:rsid w:val="00F9618B"/>
    <w:rPr>
      <w:vertAlign w:val="superscript"/>
    </w:rPr>
  </w:style>
  <w:style w:type="paragraph" w:customStyle="1" w:styleId="FootnoteRM">
    <w:name w:val="FootnoteRM"/>
    <w:basedOn w:val="FootnoteText"/>
    <w:link w:val="FootnoteRMChar"/>
    <w:qFormat/>
    <w:rsid w:val="00F9618B"/>
    <w:pPr>
      <w:ind w:left="284" w:hanging="284"/>
    </w:pPr>
    <w:rPr>
      <w:rFonts w:ascii="Verdana" w:eastAsia="ヒラギノ角ゴ Pro W3" w:hAnsi="Verdana"/>
      <w:color w:val="000000"/>
      <w:sz w:val="16"/>
      <w:szCs w:val="16"/>
      <w:lang w:val="et-EE"/>
    </w:rPr>
  </w:style>
  <w:style w:type="character" w:customStyle="1" w:styleId="FootnoteRMChar">
    <w:name w:val="FootnoteRM Char"/>
    <w:basedOn w:val="DefaultParagraphFont"/>
    <w:link w:val="FootnoteRM"/>
    <w:rsid w:val="00F9618B"/>
    <w:rPr>
      <w:rFonts w:ascii="Verdana" w:eastAsia="ヒラギノ角ゴ Pro W3" w:hAnsi="Verdana" w:cs="Times New Roman"/>
      <w:color w:val="000000"/>
      <w:kern w:val="0"/>
      <w:sz w:val="16"/>
      <w:szCs w:val="16"/>
      <w:lang w:val="et-EE"/>
      <w14:ligatures w14:val="none"/>
    </w:rPr>
  </w:style>
  <w:style w:type="character" w:styleId="FollowedHyperlink">
    <w:name w:val="FollowedHyperlink"/>
    <w:basedOn w:val="DefaultParagraphFont"/>
    <w:uiPriority w:val="99"/>
    <w:semiHidden/>
    <w:unhideWhenUsed/>
    <w:rsid w:val="00F9618B"/>
    <w:rPr>
      <w:color w:val="96607D" w:themeColor="followedHyperlink"/>
      <w:u w:val="single"/>
    </w:rPr>
  </w:style>
  <w:style w:type="character" w:styleId="Strong">
    <w:name w:val="Strong"/>
    <w:basedOn w:val="DefaultParagraphFont"/>
    <w:uiPriority w:val="22"/>
    <w:qFormat/>
    <w:rsid w:val="008C5E75"/>
    <w:rPr>
      <w:b/>
      <w:bCs/>
    </w:rPr>
  </w:style>
  <w:style w:type="paragraph" w:customStyle="1" w:styleId="SingleTxtG">
    <w:name w:val="_ Single Txt_G"/>
    <w:basedOn w:val="Normal"/>
    <w:link w:val="SingleTxtGChar"/>
    <w:qFormat/>
    <w:rsid w:val="00554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z w:val="20"/>
      <w:szCs w:val="20"/>
    </w:rPr>
  </w:style>
  <w:style w:type="character" w:customStyle="1" w:styleId="SingleTxtGChar">
    <w:name w:val="_ Single Txt_G Char"/>
    <w:link w:val="SingleTxtG"/>
    <w:locked/>
    <w:rsid w:val="00554FB3"/>
    <w:rPr>
      <w:rFonts w:ascii="Times New Roman" w:hAnsi="Times New Roman" w:cs="Times New Roman"/>
      <w:kern w:val="0"/>
      <w:sz w:val="20"/>
      <w:szCs w:val="20"/>
      <w:lang w:val="en-GB"/>
      <w14:ligatures w14:val="none"/>
    </w:rPr>
  </w:style>
  <w:style w:type="paragraph" w:styleId="TOC1">
    <w:name w:val="toc 1"/>
    <w:basedOn w:val="Normal"/>
    <w:next w:val="Normal"/>
    <w:autoRedefine/>
    <w:uiPriority w:val="39"/>
    <w:unhideWhenUsed/>
    <w:rsid w:val="00554FB3"/>
    <w:pPr>
      <w:spacing w:after="100"/>
    </w:pPr>
  </w:style>
  <w:style w:type="character" w:customStyle="1" w:styleId="ListParagraphChar">
    <w:name w:val="List Paragraph Char"/>
    <w:link w:val="ListParagraph"/>
    <w:uiPriority w:val="34"/>
    <w:locked/>
    <w:rsid w:val="00EA37B9"/>
    <w:rPr>
      <w:rFonts w:ascii="Calibri" w:eastAsia="Times New Roman" w:hAnsi="Calibri" w:cs="Calibri"/>
      <w:color w:val="0D0D0D"/>
      <w:kern w:val="0"/>
      <w:sz w:val="22"/>
      <w:lang w:eastAsia="en-GB"/>
      <w14:ligatures w14:val="none"/>
    </w:rPr>
  </w:style>
  <w:style w:type="paragraph" w:customStyle="1" w:styleId="bodytextstandard">
    <w:name w:val="body text standard"/>
    <w:basedOn w:val="Normal"/>
    <w:qFormat/>
    <w:rsid w:val="00AB6BED"/>
    <w:pPr>
      <w:suppressAutoHyphens/>
      <w:autoSpaceDE w:val="0"/>
      <w:autoSpaceDN w:val="0"/>
      <w:adjustRightInd w:val="0"/>
      <w:spacing w:before="120" w:after="120" w:line="276" w:lineRule="auto"/>
      <w:jc w:val="both"/>
    </w:pPr>
    <w:rPr>
      <w:rFonts w:ascii="Arial" w:eastAsia="Calibri" w:hAnsi="Arial" w:cs="Arial"/>
      <w:sz w:val="22"/>
      <w:szCs w:val="22"/>
      <w:lang w:val="en-GB"/>
    </w:rPr>
  </w:style>
  <w:style w:type="numbering" w:customStyle="1" w:styleId="CurrentList1">
    <w:name w:val="Current List1"/>
    <w:uiPriority w:val="99"/>
    <w:rsid w:val="00740E63"/>
    <w:pPr>
      <w:numPr>
        <w:numId w:val="22"/>
      </w:numPr>
    </w:pPr>
  </w:style>
  <w:style w:type="paragraph" w:styleId="Footer">
    <w:name w:val="footer"/>
    <w:basedOn w:val="Normal"/>
    <w:link w:val="FooterChar"/>
    <w:uiPriority w:val="99"/>
    <w:unhideWhenUsed/>
    <w:rsid w:val="006B0A45"/>
    <w:pPr>
      <w:tabs>
        <w:tab w:val="center" w:pos="4513"/>
        <w:tab w:val="right" w:pos="9026"/>
      </w:tabs>
    </w:pPr>
  </w:style>
  <w:style w:type="character" w:customStyle="1" w:styleId="FooterChar">
    <w:name w:val="Footer Char"/>
    <w:basedOn w:val="DefaultParagraphFont"/>
    <w:link w:val="Footer"/>
    <w:uiPriority w:val="99"/>
    <w:rsid w:val="006B0A45"/>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6B0A45"/>
  </w:style>
  <w:style w:type="paragraph" w:customStyle="1" w:styleId="footnote">
    <w:name w:val="footnote"/>
    <w:basedOn w:val="FootnoteText"/>
    <w:link w:val="footnoteChar"/>
    <w:qFormat/>
    <w:rsid w:val="004C4D52"/>
    <w:pPr>
      <w:ind w:left="284" w:hanging="284"/>
    </w:pPr>
    <w:rPr>
      <w:rFonts w:ascii="Verdana" w:hAnsi="Verdana"/>
      <w:sz w:val="16"/>
      <w:szCs w:val="16"/>
      <w:lang w:val="en-US" w:eastAsia="x-none"/>
    </w:rPr>
  </w:style>
  <w:style w:type="character" w:customStyle="1" w:styleId="footnoteChar">
    <w:name w:val="footnote Char"/>
    <w:basedOn w:val="DefaultParagraphFont"/>
    <w:link w:val="footnote"/>
    <w:rsid w:val="004C4D52"/>
    <w:rPr>
      <w:rFonts w:ascii="Verdana" w:eastAsia="Times New Roman" w:hAnsi="Verdana" w:cs="Times New Roman"/>
      <w:kern w:val="0"/>
      <w:sz w:val="16"/>
      <w:szCs w:val="16"/>
      <w:lang w:val="en-US" w:eastAsia="x-none"/>
      <w14:ligatures w14:val="none"/>
    </w:rPr>
  </w:style>
  <w:style w:type="character" w:customStyle="1" w:styleId="apple-converted-space">
    <w:name w:val="apple-converted-space"/>
    <w:basedOn w:val="DefaultParagraphFont"/>
    <w:rsid w:val="006A5CD0"/>
  </w:style>
  <w:style w:type="numbering" w:customStyle="1" w:styleId="CurrentList2">
    <w:name w:val="Current List2"/>
    <w:uiPriority w:val="99"/>
    <w:rsid w:val="00A91CE9"/>
    <w:pPr>
      <w:numPr>
        <w:numId w:val="32"/>
      </w:numPr>
    </w:pPr>
  </w:style>
  <w:style w:type="numbering" w:customStyle="1" w:styleId="CurrentList3">
    <w:name w:val="Current List3"/>
    <w:uiPriority w:val="99"/>
    <w:rsid w:val="00A91CE9"/>
    <w:pPr>
      <w:numPr>
        <w:numId w:val="33"/>
      </w:numPr>
    </w:pPr>
  </w:style>
  <w:style w:type="numbering" w:customStyle="1" w:styleId="CurrentList4">
    <w:name w:val="Current List4"/>
    <w:uiPriority w:val="99"/>
    <w:rsid w:val="004D74F0"/>
    <w:pPr>
      <w:numPr>
        <w:numId w:val="38"/>
      </w:numPr>
    </w:pPr>
  </w:style>
  <w:style w:type="numbering" w:customStyle="1" w:styleId="CurrentList5">
    <w:name w:val="Current List5"/>
    <w:uiPriority w:val="99"/>
    <w:rsid w:val="004D74F0"/>
    <w:pPr>
      <w:numPr>
        <w:numId w:val="39"/>
      </w:numPr>
    </w:pPr>
  </w:style>
  <w:style w:type="numbering" w:customStyle="1" w:styleId="CurrentList6">
    <w:name w:val="Current List6"/>
    <w:uiPriority w:val="99"/>
    <w:rsid w:val="00EA37B9"/>
    <w:pPr>
      <w:numPr>
        <w:numId w:val="40"/>
      </w:numPr>
    </w:pPr>
  </w:style>
  <w:style w:type="numbering" w:customStyle="1" w:styleId="CurrentList7">
    <w:name w:val="Current List7"/>
    <w:uiPriority w:val="99"/>
    <w:rsid w:val="00EA37B9"/>
    <w:pPr>
      <w:numPr>
        <w:numId w:val="41"/>
      </w:numPr>
    </w:pPr>
  </w:style>
  <w:style w:type="numbering" w:customStyle="1" w:styleId="CurrentList8">
    <w:name w:val="Current List8"/>
    <w:uiPriority w:val="99"/>
    <w:rsid w:val="00EA37B9"/>
    <w:pPr>
      <w:numPr>
        <w:numId w:val="42"/>
      </w:numPr>
    </w:pPr>
  </w:style>
  <w:style w:type="numbering" w:customStyle="1" w:styleId="CurrentList9">
    <w:name w:val="Current List9"/>
    <w:uiPriority w:val="99"/>
    <w:rsid w:val="00EA37B9"/>
    <w:pPr>
      <w:numPr>
        <w:numId w:val="43"/>
      </w:numPr>
    </w:pPr>
  </w:style>
  <w:style w:type="numbering" w:customStyle="1" w:styleId="CurrentList10">
    <w:name w:val="Current List10"/>
    <w:uiPriority w:val="99"/>
    <w:rsid w:val="00EA37B9"/>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50494">
      <w:bodyDiv w:val="1"/>
      <w:marLeft w:val="0"/>
      <w:marRight w:val="0"/>
      <w:marTop w:val="0"/>
      <w:marBottom w:val="0"/>
      <w:divBdr>
        <w:top w:val="none" w:sz="0" w:space="0" w:color="auto"/>
        <w:left w:val="none" w:sz="0" w:space="0" w:color="auto"/>
        <w:bottom w:val="none" w:sz="0" w:space="0" w:color="auto"/>
        <w:right w:val="none" w:sz="0" w:space="0" w:color="auto"/>
      </w:divBdr>
    </w:div>
    <w:div w:id="192764243">
      <w:bodyDiv w:val="1"/>
      <w:marLeft w:val="0"/>
      <w:marRight w:val="0"/>
      <w:marTop w:val="0"/>
      <w:marBottom w:val="0"/>
      <w:divBdr>
        <w:top w:val="none" w:sz="0" w:space="0" w:color="auto"/>
        <w:left w:val="none" w:sz="0" w:space="0" w:color="auto"/>
        <w:bottom w:val="none" w:sz="0" w:space="0" w:color="auto"/>
        <w:right w:val="none" w:sz="0" w:space="0" w:color="auto"/>
      </w:divBdr>
      <w:divsChild>
        <w:div w:id="1259025962">
          <w:marLeft w:val="0"/>
          <w:marRight w:val="0"/>
          <w:marTop w:val="0"/>
          <w:marBottom w:val="0"/>
          <w:divBdr>
            <w:top w:val="none" w:sz="0" w:space="0" w:color="auto"/>
            <w:left w:val="none" w:sz="0" w:space="0" w:color="auto"/>
            <w:bottom w:val="none" w:sz="0" w:space="0" w:color="auto"/>
            <w:right w:val="none" w:sz="0" w:space="0" w:color="auto"/>
          </w:divBdr>
          <w:divsChild>
            <w:div w:id="794786293">
              <w:marLeft w:val="0"/>
              <w:marRight w:val="0"/>
              <w:marTop w:val="0"/>
              <w:marBottom w:val="0"/>
              <w:divBdr>
                <w:top w:val="none" w:sz="0" w:space="0" w:color="auto"/>
                <w:left w:val="none" w:sz="0" w:space="0" w:color="auto"/>
                <w:bottom w:val="none" w:sz="0" w:space="0" w:color="auto"/>
                <w:right w:val="none" w:sz="0" w:space="0" w:color="auto"/>
              </w:divBdr>
              <w:divsChild>
                <w:div w:id="9930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826666">
      <w:bodyDiv w:val="1"/>
      <w:marLeft w:val="0"/>
      <w:marRight w:val="0"/>
      <w:marTop w:val="0"/>
      <w:marBottom w:val="0"/>
      <w:divBdr>
        <w:top w:val="none" w:sz="0" w:space="0" w:color="auto"/>
        <w:left w:val="none" w:sz="0" w:space="0" w:color="auto"/>
        <w:bottom w:val="none" w:sz="0" w:space="0" w:color="auto"/>
        <w:right w:val="none" w:sz="0" w:space="0" w:color="auto"/>
      </w:divBdr>
      <w:divsChild>
        <w:div w:id="1009603640">
          <w:marLeft w:val="0"/>
          <w:marRight w:val="0"/>
          <w:marTop w:val="0"/>
          <w:marBottom w:val="0"/>
          <w:divBdr>
            <w:top w:val="none" w:sz="0" w:space="0" w:color="auto"/>
            <w:left w:val="none" w:sz="0" w:space="0" w:color="auto"/>
            <w:bottom w:val="none" w:sz="0" w:space="0" w:color="auto"/>
            <w:right w:val="none" w:sz="0" w:space="0" w:color="auto"/>
          </w:divBdr>
          <w:divsChild>
            <w:div w:id="2108504350">
              <w:marLeft w:val="0"/>
              <w:marRight w:val="0"/>
              <w:marTop w:val="0"/>
              <w:marBottom w:val="0"/>
              <w:divBdr>
                <w:top w:val="none" w:sz="0" w:space="0" w:color="auto"/>
                <w:left w:val="none" w:sz="0" w:space="0" w:color="auto"/>
                <w:bottom w:val="none" w:sz="0" w:space="0" w:color="auto"/>
                <w:right w:val="none" w:sz="0" w:space="0" w:color="auto"/>
              </w:divBdr>
              <w:divsChild>
                <w:div w:id="560136832">
                  <w:marLeft w:val="0"/>
                  <w:marRight w:val="0"/>
                  <w:marTop w:val="0"/>
                  <w:marBottom w:val="0"/>
                  <w:divBdr>
                    <w:top w:val="none" w:sz="0" w:space="0" w:color="auto"/>
                    <w:left w:val="none" w:sz="0" w:space="0" w:color="auto"/>
                    <w:bottom w:val="none" w:sz="0" w:space="0" w:color="auto"/>
                    <w:right w:val="none" w:sz="0" w:space="0" w:color="auto"/>
                  </w:divBdr>
                  <w:divsChild>
                    <w:div w:id="33465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634467">
      <w:bodyDiv w:val="1"/>
      <w:marLeft w:val="0"/>
      <w:marRight w:val="0"/>
      <w:marTop w:val="0"/>
      <w:marBottom w:val="0"/>
      <w:divBdr>
        <w:top w:val="none" w:sz="0" w:space="0" w:color="auto"/>
        <w:left w:val="none" w:sz="0" w:space="0" w:color="auto"/>
        <w:bottom w:val="none" w:sz="0" w:space="0" w:color="auto"/>
        <w:right w:val="none" w:sz="0" w:space="0" w:color="auto"/>
      </w:divBdr>
      <w:divsChild>
        <w:div w:id="2061053612">
          <w:marLeft w:val="0"/>
          <w:marRight w:val="0"/>
          <w:marTop w:val="0"/>
          <w:marBottom w:val="0"/>
          <w:divBdr>
            <w:top w:val="none" w:sz="0" w:space="0" w:color="auto"/>
            <w:left w:val="none" w:sz="0" w:space="0" w:color="auto"/>
            <w:bottom w:val="none" w:sz="0" w:space="0" w:color="auto"/>
            <w:right w:val="none" w:sz="0" w:space="0" w:color="auto"/>
          </w:divBdr>
          <w:divsChild>
            <w:div w:id="1050957626">
              <w:marLeft w:val="0"/>
              <w:marRight w:val="0"/>
              <w:marTop w:val="0"/>
              <w:marBottom w:val="0"/>
              <w:divBdr>
                <w:top w:val="none" w:sz="0" w:space="0" w:color="auto"/>
                <w:left w:val="none" w:sz="0" w:space="0" w:color="auto"/>
                <w:bottom w:val="none" w:sz="0" w:space="0" w:color="auto"/>
                <w:right w:val="none" w:sz="0" w:space="0" w:color="auto"/>
              </w:divBdr>
              <w:divsChild>
                <w:div w:id="1458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367491">
      <w:bodyDiv w:val="1"/>
      <w:marLeft w:val="0"/>
      <w:marRight w:val="0"/>
      <w:marTop w:val="0"/>
      <w:marBottom w:val="0"/>
      <w:divBdr>
        <w:top w:val="none" w:sz="0" w:space="0" w:color="auto"/>
        <w:left w:val="none" w:sz="0" w:space="0" w:color="auto"/>
        <w:bottom w:val="none" w:sz="0" w:space="0" w:color="auto"/>
        <w:right w:val="none" w:sz="0" w:space="0" w:color="auto"/>
      </w:divBdr>
    </w:div>
    <w:div w:id="855004041">
      <w:bodyDiv w:val="1"/>
      <w:marLeft w:val="0"/>
      <w:marRight w:val="0"/>
      <w:marTop w:val="0"/>
      <w:marBottom w:val="0"/>
      <w:divBdr>
        <w:top w:val="none" w:sz="0" w:space="0" w:color="auto"/>
        <w:left w:val="none" w:sz="0" w:space="0" w:color="auto"/>
        <w:bottom w:val="none" w:sz="0" w:space="0" w:color="auto"/>
        <w:right w:val="none" w:sz="0" w:space="0" w:color="auto"/>
      </w:divBdr>
      <w:divsChild>
        <w:div w:id="1543055758">
          <w:marLeft w:val="0"/>
          <w:marRight w:val="0"/>
          <w:marTop w:val="0"/>
          <w:marBottom w:val="0"/>
          <w:divBdr>
            <w:top w:val="none" w:sz="0" w:space="0" w:color="auto"/>
            <w:left w:val="none" w:sz="0" w:space="0" w:color="auto"/>
            <w:bottom w:val="none" w:sz="0" w:space="0" w:color="auto"/>
            <w:right w:val="none" w:sz="0" w:space="0" w:color="auto"/>
          </w:divBdr>
          <w:divsChild>
            <w:div w:id="2101368593">
              <w:marLeft w:val="0"/>
              <w:marRight w:val="0"/>
              <w:marTop w:val="0"/>
              <w:marBottom w:val="0"/>
              <w:divBdr>
                <w:top w:val="none" w:sz="0" w:space="0" w:color="auto"/>
                <w:left w:val="none" w:sz="0" w:space="0" w:color="auto"/>
                <w:bottom w:val="none" w:sz="0" w:space="0" w:color="auto"/>
                <w:right w:val="none" w:sz="0" w:space="0" w:color="auto"/>
              </w:divBdr>
              <w:divsChild>
                <w:div w:id="21667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600354">
      <w:bodyDiv w:val="1"/>
      <w:marLeft w:val="0"/>
      <w:marRight w:val="0"/>
      <w:marTop w:val="0"/>
      <w:marBottom w:val="0"/>
      <w:divBdr>
        <w:top w:val="none" w:sz="0" w:space="0" w:color="auto"/>
        <w:left w:val="none" w:sz="0" w:space="0" w:color="auto"/>
        <w:bottom w:val="none" w:sz="0" w:space="0" w:color="auto"/>
        <w:right w:val="none" w:sz="0" w:space="0" w:color="auto"/>
      </w:divBdr>
    </w:div>
    <w:div w:id="1213738707">
      <w:bodyDiv w:val="1"/>
      <w:marLeft w:val="0"/>
      <w:marRight w:val="0"/>
      <w:marTop w:val="0"/>
      <w:marBottom w:val="0"/>
      <w:divBdr>
        <w:top w:val="none" w:sz="0" w:space="0" w:color="auto"/>
        <w:left w:val="none" w:sz="0" w:space="0" w:color="auto"/>
        <w:bottom w:val="none" w:sz="0" w:space="0" w:color="auto"/>
        <w:right w:val="none" w:sz="0" w:space="0" w:color="auto"/>
      </w:divBdr>
      <w:divsChild>
        <w:div w:id="1934819593">
          <w:marLeft w:val="0"/>
          <w:marRight w:val="0"/>
          <w:marTop w:val="0"/>
          <w:marBottom w:val="0"/>
          <w:divBdr>
            <w:top w:val="none" w:sz="0" w:space="0" w:color="auto"/>
            <w:left w:val="none" w:sz="0" w:space="0" w:color="auto"/>
            <w:bottom w:val="none" w:sz="0" w:space="0" w:color="auto"/>
            <w:right w:val="none" w:sz="0" w:space="0" w:color="auto"/>
          </w:divBdr>
          <w:divsChild>
            <w:div w:id="470943140">
              <w:marLeft w:val="0"/>
              <w:marRight w:val="0"/>
              <w:marTop w:val="0"/>
              <w:marBottom w:val="0"/>
              <w:divBdr>
                <w:top w:val="none" w:sz="0" w:space="0" w:color="auto"/>
                <w:left w:val="none" w:sz="0" w:space="0" w:color="auto"/>
                <w:bottom w:val="none" w:sz="0" w:space="0" w:color="auto"/>
                <w:right w:val="none" w:sz="0" w:space="0" w:color="auto"/>
              </w:divBdr>
              <w:divsChild>
                <w:div w:id="1541162530">
                  <w:marLeft w:val="0"/>
                  <w:marRight w:val="0"/>
                  <w:marTop w:val="0"/>
                  <w:marBottom w:val="0"/>
                  <w:divBdr>
                    <w:top w:val="none" w:sz="0" w:space="0" w:color="auto"/>
                    <w:left w:val="none" w:sz="0" w:space="0" w:color="auto"/>
                    <w:bottom w:val="none" w:sz="0" w:space="0" w:color="auto"/>
                    <w:right w:val="none" w:sz="0" w:space="0" w:color="auto"/>
                  </w:divBdr>
                  <w:divsChild>
                    <w:div w:id="159574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193549">
      <w:bodyDiv w:val="1"/>
      <w:marLeft w:val="0"/>
      <w:marRight w:val="0"/>
      <w:marTop w:val="0"/>
      <w:marBottom w:val="0"/>
      <w:divBdr>
        <w:top w:val="none" w:sz="0" w:space="0" w:color="auto"/>
        <w:left w:val="none" w:sz="0" w:space="0" w:color="auto"/>
        <w:bottom w:val="none" w:sz="0" w:space="0" w:color="auto"/>
        <w:right w:val="none" w:sz="0" w:space="0" w:color="auto"/>
      </w:divBdr>
    </w:div>
    <w:div w:id="1314990071">
      <w:bodyDiv w:val="1"/>
      <w:marLeft w:val="0"/>
      <w:marRight w:val="0"/>
      <w:marTop w:val="0"/>
      <w:marBottom w:val="0"/>
      <w:divBdr>
        <w:top w:val="none" w:sz="0" w:space="0" w:color="auto"/>
        <w:left w:val="none" w:sz="0" w:space="0" w:color="auto"/>
        <w:bottom w:val="none" w:sz="0" w:space="0" w:color="auto"/>
        <w:right w:val="none" w:sz="0" w:space="0" w:color="auto"/>
      </w:divBdr>
      <w:divsChild>
        <w:div w:id="221143439">
          <w:marLeft w:val="0"/>
          <w:marRight w:val="0"/>
          <w:marTop w:val="0"/>
          <w:marBottom w:val="0"/>
          <w:divBdr>
            <w:top w:val="none" w:sz="0" w:space="0" w:color="auto"/>
            <w:left w:val="none" w:sz="0" w:space="0" w:color="auto"/>
            <w:bottom w:val="none" w:sz="0" w:space="0" w:color="auto"/>
            <w:right w:val="none" w:sz="0" w:space="0" w:color="auto"/>
          </w:divBdr>
          <w:divsChild>
            <w:div w:id="930699230">
              <w:marLeft w:val="0"/>
              <w:marRight w:val="0"/>
              <w:marTop w:val="0"/>
              <w:marBottom w:val="0"/>
              <w:divBdr>
                <w:top w:val="none" w:sz="0" w:space="0" w:color="auto"/>
                <w:left w:val="none" w:sz="0" w:space="0" w:color="auto"/>
                <w:bottom w:val="none" w:sz="0" w:space="0" w:color="auto"/>
                <w:right w:val="none" w:sz="0" w:space="0" w:color="auto"/>
              </w:divBdr>
              <w:divsChild>
                <w:div w:id="2046782887">
                  <w:marLeft w:val="0"/>
                  <w:marRight w:val="0"/>
                  <w:marTop w:val="0"/>
                  <w:marBottom w:val="0"/>
                  <w:divBdr>
                    <w:top w:val="none" w:sz="0" w:space="0" w:color="auto"/>
                    <w:left w:val="none" w:sz="0" w:space="0" w:color="auto"/>
                    <w:bottom w:val="none" w:sz="0" w:space="0" w:color="auto"/>
                    <w:right w:val="none" w:sz="0" w:space="0" w:color="auto"/>
                  </w:divBdr>
                  <w:divsChild>
                    <w:div w:id="112145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559808">
      <w:bodyDiv w:val="1"/>
      <w:marLeft w:val="0"/>
      <w:marRight w:val="0"/>
      <w:marTop w:val="0"/>
      <w:marBottom w:val="0"/>
      <w:divBdr>
        <w:top w:val="none" w:sz="0" w:space="0" w:color="auto"/>
        <w:left w:val="none" w:sz="0" w:space="0" w:color="auto"/>
        <w:bottom w:val="none" w:sz="0" w:space="0" w:color="auto"/>
        <w:right w:val="none" w:sz="0" w:space="0" w:color="auto"/>
      </w:divBdr>
      <w:divsChild>
        <w:div w:id="1794328531">
          <w:marLeft w:val="0"/>
          <w:marRight w:val="0"/>
          <w:marTop w:val="0"/>
          <w:marBottom w:val="0"/>
          <w:divBdr>
            <w:top w:val="single" w:sz="2" w:space="0" w:color="E3E3E3"/>
            <w:left w:val="single" w:sz="2" w:space="0" w:color="E3E3E3"/>
            <w:bottom w:val="single" w:sz="2" w:space="0" w:color="E3E3E3"/>
            <w:right w:val="single" w:sz="2" w:space="0" w:color="E3E3E3"/>
          </w:divBdr>
          <w:divsChild>
            <w:div w:id="887183008">
              <w:marLeft w:val="0"/>
              <w:marRight w:val="0"/>
              <w:marTop w:val="0"/>
              <w:marBottom w:val="0"/>
              <w:divBdr>
                <w:top w:val="single" w:sz="2" w:space="0" w:color="E3E3E3"/>
                <w:left w:val="single" w:sz="2" w:space="0" w:color="E3E3E3"/>
                <w:bottom w:val="single" w:sz="2" w:space="0" w:color="E3E3E3"/>
                <w:right w:val="single" w:sz="2" w:space="0" w:color="E3E3E3"/>
              </w:divBdr>
              <w:divsChild>
                <w:div w:id="740055067">
                  <w:marLeft w:val="0"/>
                  <w:marRight w:val="0"/>
                  <w:marTop w:val="0"/>
                  <w:marBottom w:val="0"/>
                  <w:divBdr>
                    <w:top w:val="single" w:sz="2" w:space="0" w:color="E3E3E3"/>
                    <w:left w:val="single" w:sz="2" w:space="0" w:color="E3E3E3"/>
                    <w:bottom w:val="single" w:sz="2" w:space="0" w:color="E3E3E3"/>
                    <w:right w:val="single" w:sz="2" w:space="0" w:color="E3E3E3"/>
                  </w:divBdr>
                  <w:divsChild>
                    <w:div w:id="738788770">
                      <w:marLeft w:val="0"/>
                      <w:marRight w:val="0"/>
                      <w:marTop w:val="0"/>
                      <w:marBottom w:val="0"/>
                      <w:divBdr>
                        <w:top w:val="single" w:sz="2" w:space="0" w:color="E3E3E3"/>
                        <w:left w:val="single" w:sz="2" w:space="0" w:color="E3E3E3"/>
                        <w:bottom w:val="single" w:sz="2" w:space="0" w:color="E3E3E3"/>
                        <w:right w:val="single" w:sz="2" w:space="0" w:color="E3E3E3"/>
                      </w:divBdr>
                      <w:divsChild>
                        <w:div w:id="625293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24306071">
          <w:marLeft w:val="0"/>
          <w:marRight w:val="0"/>
          <w:marTop w:val="0"/>
          <w:marBottom w:val="0"/>
          <w:divBdr>
            <w:top w:val="single" w:sz="2" w:space="0" w:color="E3E3E3"/>
            <w:left w:val="single" w:sz="2" w:space="0" w:color="E3E3E3"/>
            <w:bottom w:val="single" w:sz="2" w:space="0" w:color="E3E3E3"/>
            <w:right w:val="single" w:sz="2" w:space="0" w:color="E3E3E3"/>
          </w:divBdr>
          <w:divsChild>
            <w:div w:id="1010644634">
              <w:marLeft w:val="0"/>
              <w:marRight w:val="0"/>
              <w:marTop w:val="0"/>
              <w:marBottom w:val="0"/>
              <w:divBdr>
                <w:top w:val="single" w:sz="2" w:space="0" w:color="E3E3E3"/>
                <w:left w:val="single" w:sz="2" w:space="0" w:color="E3E3E3"/>
                <w:bottom w:val="single" w:sz="2" w:space="0" w:color="E3E3E3"/>
                <w:right w:val="single" w:sz="2" w:space="0" w:color="E3E3E3"/>
              </w:divBdr>
              <w:divsChild>
                <w:div w:id="1087116184">
                  <w:marLeft w:val="0"/>
                  <w:marRight w:val="0"/>
                  <w:marTop w:val="0"/>
                  <w:marBottom w:val="0"/>
                  <w:divBdr>
                    <w:top w:val="single" w:sz="2" w:space="0" w:color="E3E3E3"/>
                    <w:left w:val="single" w:sz="2" w:space="0" w:color="E3E3E3"/>
                    <w:bottom w:val="single" w:sz="2" w:space="0" w:color="E3E3E3"/>
                    <w:right w:val="single" w:sz="2" w:space="0" w:color="E3E3E3"/>
                  </w:divBdr>
                  <w:divsChild>
                    <w:div w:id="1568493725">
                      <w:marLeft w:val="0"/>
                      <w:marRight w:val="0"/>
                      <w:marTop w:val="0"/>
                      <w:marBottom w:val="0"/>
                      <w:divBdr>
                        <w:top w:val="single" w:sz="2" w:space="0" w:color="E3E3E3"/>
                        <w:left w:val="single" w:sz="2" w:space="0" w:color="E3E3E3"/>
                        <w:bottom w:val="single" w:sz="2" w:space="0" w:color="E3E3E3"/>
                        <w:right w:val="single" w:sz="2" w:space="0" w:color="E3E3E3"/>
                      </w:divBdr>
                      <w:divsChild>
                        <w:div w:id="329692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437753134">
      <w:bodyDiv w:val="1"/>
      <w:marLeft w:val="0"/>
      <w:marRight w:val="0"/>
      <w:marTop w:val="0"/>
      <w:marBottom w:val="0"/>
      <w:divBdr>
        <w:top w:val="none" w:sz="0" w:space="0" w:color="auto"/>
        <w:left w:val="none" w:sz="0" w:space="0" w:color="auto"/>
        <w:bottom w:val="none" w:sz="0" w:space="0" w:color="auto"/>
        <w:right w:val="none" w:sz="0" w:space="0" w:color="auto"/>
      </w:divBdr>
      <w:divsChild>
        <w:div w:id="837623575">
          <w:marLeft w:val="0"/>
          <w:marRight w:val="0"/>
          <w:marTop w:val="0"/>
          <w:marBottom w:val="0"/>
          <w:divBdr>
            <w:top w:val="none" w:sz="0" w:space="0" w:color="auto"/>
            <w:left w:val="none" w:sz="0" w:space="0" w:color="auto"/>
            <w:bottom w:val="none" w:sz="0" w:space="0" w:color="auto"/>
            <w:right w:val="none" w:sz="0" w:space="0" w:color="auto"/>
          </w:divBdr>
          <w:divsChild>
            <w:div w:id="1214076088">
              <w:marLeft w:val="0"/>
              <w:marRight w:val="0"/>
              <w:marTop w:val="0"/>
              <w:marBottom w:val="0"/>
              <w:divBdr>
                <w:top w:val="none" w:sz="0" w:space="0" w:color="auto"/>
                <w:left w:val="none" w:sz="0" w:space="0" w:color="auto"/>
                <w:bottom w:val="none" w:sz="0" w:space="0" w:color="auto"/>
                <w:right w:val="none" w:sz="0" w:space="0" w:color="auto"/>
              </w:divBdr>
              <w:divsChild>
                <w:div w:id="123916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136423">
      <w:bodyDiv w:val="1"/>
      <w:marLeft w:val="0"/>
      <w:marRight w:val="0"/>
      <w:marTop w:val="0"/>
      <w:marBottom w:val="0"/>
      <w:divBdr>
        <w:top w:val="none" w:sz="0" w:space="0" w:color="auto"/>
        <w:left w:val="none" w:sz="0" w:space="0" w:color="auto"/>
        <w:bottom w:val="none" w:sz="0" w:space="0" w:color="auto"/>
        <w:right w:val="none" w:sz="0" w:space="0" w:color="auto"/>
      </w:divBdr>
    </w:div>
    <w:div w:id="1634559000">
      <w:bodyDiv w:val="1"/>
      <w:marLeft w:val="0"/>
      <w:marRight w:val="0"/>
      <w:marTop w:val="0"/>
      <w:marBottom w:val="0"/>
      <w:divBdr>
        <w:top w:val="none" w:sz="0" w:space="0" w:color="auto"/>
        <w:left w:val="none" w:sz="0" w:space="0" w:color="auto"/>
        <w:bottom w:val="none" w:sz="0" w:space="0" w:color="auto"/>
        <w:right w:val="none" w:sz="0" w:space="0" w:color="auto"/>
      </w:divBdr>
      <w:divsChild>
        <w:div w:id="1537692113">
          <w:marLeft w:val="0"/>
          <w:marRight w:val="0"/>
          <w:marTop w:val="0"/>
          <w:marBottom w:val="0"/>
          <w:divBdr>
            <w:top w:val="none" w:sz="0" w:space="0" w:color="auto"/>
            <w:left w:val="none" w:sz="0" w:space="0" w:color="auto"/>
            <w:bottom w:val="none" w:sz="0" w:space="0" w:color="auto"/>
            <w:right w:val="none" w:sz="0" w:space="0" w:color="auto"/>
          </w:divBdr>
          <w:divsChild>
            <w:div w:id="1349912275">
              <w:marLeft w:val="0"/>
              <w:marRight w:val="0"/>
              <w:marTop w:val="0"/>
              <w:marBottom w:val="0"/>
              <w:divBdr>
                <w:top w:val="none" w:sz="0" w:space="0" w:color="auto"/>
                <w:left w:val="none" w:sz="0" w:space="0" w:color="auto"/>
                <w:bottom w:val="none" w:sz="0" w:space="0" w:color="auto"/>
                <w:right w:val="none" w:sz="0" w:space="0" w:color="auto"/>
              </w:divBdr>
              <w:divsChild>
                <w:div w:id="54325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360613">
      <w:bodyDiv w:val="1"/>
      <w:marLeft w:val="0"/>
      <w:marRight w:val="0"/>
      <w:marTop w:val="0"/>
      <w:marBottom w:val="0"/>
      <w:divBdr>
        <w:top w:val="none" w:sz="0" w:space="0" w:color="auto"/>
        <w:left w:val="none" w:sz="0" w:space="0" w:color="auto"/>
        <w:bottom w:val="none" w:sz="0" w:space="0" w:color="auto"/>
        <w:right w:val="none" w:sz="0" w:space="0" w:color="auto"/>
      </w:divBdr>
    </w:div>
    <w:div w:id="1841853044">
      <w:bodyDiv w:val="1"/>
      <w:marLeft w:val="0"/>
      <w:marRight w:val="0"/>
      <w:marTop w:val="0"/>
      <w:marBottom w:val="0"/>
      <w:divBdr>
        <w:top w:val="none" w:sz="0" w:space="0" w:color="auto"/>
        <w:left w:val="none" w:sz="0" w:space="0" w:color="auto"/>
        <w:bottom w:val="none" w:sz="0" w:space="0" w:color="auto"/>
        <w:right w:val="none" w:sz="0" w:space="0" w:color="auto"/>
      </w:divBdr>
      <w:divsChild>
        <w:div w:id="2022539136">
          <w:marLeft w:val="0"/>
          <w:marRight w:val="0"/>
          <w:marTop w:val="0"/>
          <w:marBottom w:val="0"/>
          <w:divBdr>
            <w:top w:val="none" w:sz="0" w:space="0" w:color="auto"/>
            <w:left w:val="none" w:sz="0" w:space="0" w:color="auto"/>
            <w:bottom w:val="none" w:sz="0" w:space="0" w:color="auto"/>
            <w:right w:val="none" w:sz="0" w:space="0" w:color="auto"/>
          </w:divBdr>
          <w:divsChild>
            <w:div w:id="1975137370">
              <w:marLeft w:val="0"/>
              <w:marRight w:val="0"/>
              <w:marTop w:val="0"/>
              <w:marBottom w:val="0"/>
              <w:divBdr>
                <w:top w:val="none" w:sz="0" w:space="0" w:color="auto"/>
                <w:left w:val="none" w:sz="0" w:space="0" w:color="auto"/>
                <w:bottom w:val="none" w:sz="0" w:space="0" w:color="auto"/>
                <w:right w:val="none" w:sz="0" w:space="0" w:color="auto"/>
              </w:divBdr>
              <w:divsChild>
                <w:div w:id="1280066915">
                  <w:marLeft w:val="0"/>
                  <w:marRight w:val="0"/>
                  <w:marTop w:val="0"/>
                  <w:marBottom w:val="0"/>
                  <w:divBdr>
                    <w:top w:val="none" w:sz="0" w:space="0" w:color="auto"/>
                    <w:left w:val="none" w:sz="0" w:space="0" w:color="auto"/>
                    <w:bottom w:val="none" w:sz="0" w:space="0" w:color="auto"/>
                    <w:right w:val="none" w:sz="0" w:space="0" w:color="auto"/>
                  </w:divBdr>
                  <w:divsChild>
                    <w:div w:id="149162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388067">
      <w:bodyDiv w:val="1"/>
      <w:marLeft w:val="0"/>
      <w:marRight w:val="0"/>
      <w:marTop w:val="0"/>
      <w:marBottom w:val="0"/>
      <w:divBdr>
        <w:top w:val="none" w:sz="0" w:space="0" w:color="auto"/>
        <w:left w:val="none" w:sz="0" w:space="0" w:color="auto"/>
        <w:bottom w:val="none" w:sz="0" w:space="0" w:color="auto"/>
        <w:right w:val="none" w:sz="0" w:space="0" w:color="auto"/>
      </w:divBdr>
      <w:divsChild>
        <w:div w:id="1502818500">
          <w:marLeft w:val="0"/>
          <w:marRight w:val="0"/>
          <w:marTop w:val="0"/>
          <w:marBottom w:val="0"/>
          <w:divBdr>
            <w:top w:val="none" w:sz="0" w:space="0" w:color="auto"/>
            <w:left w:val="none" w:sz="0" w:space="0" w:color="auto"/>
            <w:bottom w:val="none" w:sz="0" w:space="0" w:color="auto"/>
            <w:right w:val="none" w:sz="0" w:space="0" w:color="auto"/>
          </w:divBdr>
          <w:divsChild>
            <w:div w:id="2096171258">
              <w:marLeft w:val="0"/>
              <w:marRight w:val="0"/>
              <w:marTop w:val="0"/>
              <w:marBottom w:val="0"/>
              <w:divBdr>
                <w:top w:val="none" w:sz="0" w:space="0" w:color="auto"/>
                <w:left w:val="none" w:sz="0" w:space="0" w:color="auto"/>
                <w:bottom w:val="none" w:sz="0" w:space="0" w:color="auto"/>
                <w:right w:val="none" w:sz="0" w:space="0" w:color="auto"/>
              </w:divBdr>
              <w:divsChild>
                <w:div w:id="174745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eas.ee/en/search/?q=start+up+support&amp;lang=en" TargetMode="External"/><Relationship Id="rId13" Type="http://schemas.openxmlformats.org/officeDocument/2006/relationships/hyperlink" Target="https://www.riigiteataja.ee/en/eli/505012024003/consolide" TargetMode="External"/><Relationship Id="rId3" Type="http://schemas.openxmlformats.org/officeDocument/2006/relationships/hyperlink" Target="https://www.riigiteataja.ee/en/eli/524012023005/consolide" TargetMode="External"/><Relationship Id="rId7" Type="http://schemas.openxmlformats.org/officeDocument/2006/relationships/hyperlink" Target="https://www.riigikontroll.ee/tabid/206/Audit/5568/language/en-US/Default.aspx" TargetMode="External"/><Relationship Id="rId12" Type="http://schemas.openxmlformats.org/officeDocument/2006/relationships/hyperlink" Target="https://www.statista.com/statistics/879041/number-of-smes-in-estonia/" TargetMode="External"/><Relationship Id="rId2" Type="http://schemas.openxmlformats.org/officeDocument/2006/relationships/hyperlink" Target="https://www.riigiteataja.ee/en/eli/518122023002/consolide" TargetMode="External"/><Relationship Id="rId1" Type="http://schemas.openxmlformats.org/officeDocument/2006/relationships/hyperlink" Target="https://humanrights.ee" TargetMode="External"/><Relationship Id="rId6" Type="http://schemas.openxmlformats.org/officeDocument/2006/relationships/hyperlink" Target="https://www.sm.ee/heaolu-arengukava-2023-2030" TargetMode="External"/><Relationship Id="rId11" Type="http://schemas.openxmlformats.org/officeDocument/2006/relationships/hyperlink" Target="https://www.ti.ee/sites/default/files/documents/2024-04/TI%20aastaraamat%202024%20ENG.pdf" TargetMode="External"/><Relationship Id="rId5" Type="http://schemas.openxmlformats.org/officeDocument/2006/relationships/hyperlink" Target="https://advokatuur.ee/et/paevakajalist/uudised/advokatuur-tegutseb-riigi-oigusabi-kriisi-ennetamise-nimel" TargetMode="External"/><Relationship Id="rId10" Type="http://schemas.openxmlformats.org/officeDocument/2006/relationships/hyperlink" Target="https://tamm.stat.ee/?lang=en" TargetMode="External"/><Relationship Id="rId4" Type="http://schemas.openxmlformats.org/officeDocument/2006/relationships/hyperlink" Target="https://www.riigioigusabi.ee/dokumendid-2" TargetMode="External"/><Relationship Id="rId9" Type="http://schemas.openxmlformats.org/officeDocument/2006/relationships/hyperlink" Target="https://andmed.stat.ee/en/stat/eri-valdkondade-statistika__saastev-areng/SN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1D52D5-D5E0-4BCD-8D42-862BCA208586}"/>
</file>

<file path=customXml/itemProps2.xml><?xml version="1.0" encoding="utf-8"?>
<ds:datastoreItem xmlns:ds="http://schemas.openxmlformats.org/officeDocument/2006/customXml" ds:itemID="{6D68B66F-4A97-4DB6-9379-81C2AB18791A}"/>
</file>

<file path=docProps/app.xml><?xml version="1.0" encoding="utf-8"?>
<Properties xmlns="http://schemas.openxmlformats.org/officeDocument/2006/extended-properties" xmlns:vt="http://schemas.openxmlformats.org/officeDocument/2006/docPropsVTypes">
  <Template>Normal.dotm</Template>
  <TotalTime>1</TotalTime>
  <Pages>8</Pages>
  <Words>2903</Words>
  <Characters>16058</Characters>
  <Application>Microsoft Office Word</Application>
  <DocSecurity>0</DocSecurity>
  <Lines>286</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 Laas</dc:creator>
  <cp:keywords/>
  <dc:description/>
  <cp:lastModifiedBy>Anu Laas</cp:lastModifiedBy>
  <cp:revision>3</cp:revision>
  <cp:lastPrinted>2024-04-16T04:24:00Z</cp:lastPrinted>
  <dcterms:created xsi:type="dcterms:W3CDTF">2024-04-16T04:24:00Z</dcterms:created>
  <dcterms:modified xsi:type="dcterms:W3CDTF">2024-04-16T04:24:00Z</dcterms:modified>
</cp:coreProperties>
</file>