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0CDAD" w14:textId="77777777" w:rsidR="000C412C" w:rsidRPr="00535BBB" w:rsidRDefault="000C412C" w:rsidP="000C06F8">
      <w:pPr>
        <w:jc w:val="both"/>
        <w:rPr>
          <w:rFonts w:ascii="Century Gothic" w:hAnsi="Century Gothic"/>
        </w:rPr>
      </w:pPr>
    </w:p>
    <w:p w14:paraId="0F0F60E2" w14:textId="4D043A6E" w:rsidR="00C618CC" w:rsidRPr="00535BBB" w:rsidRDefault="004E6D03">
      <w:pPr>
        <w:rPr>
          <w:rFonts w:ascii="Century Gothic" w:hAnsi="Century Gothic"/>
        </w:rPr>
      </w:pPr>
      <w:r>
        <w:rPr>
          <w:rFonts w:ascii="Century Gothic" w:hAnsi="Century Gothic"/>
          <w:noProof/>
          <w:lang w:eastAsia="fr-FR"/>
        </w:rPr>
        <mc:AlternateContent>
          <mc:Choice Requires="wpg">
            <w:drawing>
              <wp:anchor distT="0" distB="0" distL="114300" distR="114300" simplePos="0" relativeHeight="251658240" behindDoc="0" locked="0" layoutInCell="1" allowOverlap="1" wp14:anchorId="20B8771D" wp14:editId="3F2D6EE6">
                <wp:simplePos x="0" y="0"/>
                <wp:positionH relativeFrom="column">
                  <wp:posOffset>0</wp:posOffset>
                </wp:positionH>
                <wp:positionV relativeFrom="paragraph">
                  <wp:posOffset>25400</wp:posOffset>
                </wp:positionV>
                <wp:extent cx="5819775" cy="5843905"/>
                <wp:effectExtent l="0" t="0" r="47625" b="48895"/>
                <wp:wrapNone/>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9775" cy="5843905"/>
                          <a:chOff x="1440" y="1480"/>
                          <a:chExt cx="9165" cy="9203"/>
                        </a:xfrm>
                      </wpg:grpSpPr>
                      <wps:wsp>
                        <wps:cNvPr id="4" name="AutoShape 2"/>
                        <wps:cNvCnPr>
                          <a:cxnSpLocks noChangeShapeType="1"/>
                        </wps:cNvCnPr>
                        <wps:spPr bwMode="auto">
                          <a:xfrm>
                            <a:off x="10605" y="1480"/>
                            <a:ext cx="0" cy="8190"/>
                          </a:xfrm>
                          <a:prstGeom prst="straightConnector1">
                            <a:avLst/>
                          </a:prstGeom>
                          <a:noFill/>
                          <a:ln w="76200">
                            <a:solidFill>
                              <a:srgbClr val="548DD4"/>
                            </a:solidFill>
                            <a:round/>
                            <a:headEnd/>
                            <a:tailEnd/>
                          </a:ln>
                          <a:extLst/>
                        </wps:spPr>
                        <wps:bodyPr/>
                      </wps:wsp>
                      <wps:wsp>
                        <wps:cNvPr id="5" name="AutoShape 4"/>
                        <wps:cNvCnPr>
                          <a:cxnSpLocks noChangeShapeType="1"/>
                        </wps:cNvCnPr>
                        <wps:spPr bwMode="auto">
                          <a:xfrm>
                            <a:off x="1440" y="10683"/>
                            <a:ext cx="9165" cy="0"/>
                          </a:xfrm>
                          <a:prstGeom prst="straightConnector1">
                            <a:avLst/>
                          </a:prstGeom>
                          <a:noFill/>
                          <a:ln w="76200">
                            <a:solidFill>
                              <a:srgbClr val="548DD4"/>
                            </a:solidFill>
                            <a:round/>
                            <a:headEnd/>
                            <a:tailEnd/>
                          </a:ln>
                          <a:extLst/>
                        </wps:spPr>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0;margin-top:2pt;width:458.25pt;height:460.15pt;z-index:251658240" coordorigin="1440,1480" coordsize="9165,92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">
                <v:shapetype id="_x0000_t32" coordsize="21600,21600" o:spt="32" o:oned="t" path="m0,0l21600,21600e" filled="f">
                  <v:path arrowok="t" fillok="f" o:connecttype="none"/>
                  <o:lock v:ext="edit" shapetype="t"/>
                </v:shapetype>
                <v:shape id="AutoShape 2" o:spid="_x0000_s1027" type="#_x0000_t32" style="position:absolute;left:10605;top:1480;width:0;height:819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NmU4MMAAADaAAAADwAAAGRycy9kb3ducmV2LnhtbESP3WrCQBSE7wXfYTkF73RT8adEV5Gi&#10;aK+CsQ9wyB6TYPZsml2T6NN3CwUvh5n5hllve1OJlhpXWlbwPolAEGdWl5wr+L4cxh8gnEfWWFkm&#10;BQ9ysN0MB2uMte34TG3qcxEg7GJUUHhfx1K6rCCDbmJr4uBdbWPQB9nkUjfYBbip5DSKFtJgyWGh&#10;wJo+C8pu6d0oOJ6uyf4rYdcmbWeXz1k6/5mnSo3e+t0KhKfev8L/7ZNWMIO/K+EGyM0v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TZlODDAAAA2gAAAA8AAAAAAAAAAAAA&#10;AAAAoQIAAGRycy9kb3ducmV2LnhtbFBLBQYAAAAABAAEAPkAAACRAwAAAAA=&#10;" strokecolor="#548dd4" strokeweight="6pt"/>
                <v:shape id="AutoShape 4" o:spid="_x0000_s1028" type="#_x0000_t32" style="position:absolute;left:1440;top:10683;width:9165;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5Uxe8IAAADaAAAADwAAAGRycy9kb3ducmV2LnhtbESP0WrCQBRE3wv+w3KFvtWNYlqJriKi&#10;1D6FRj/gkr0mwezdmF2TtF/fFYQ+DjNzhlltBlOLjlpXWVYwnUQgiHOrKy4UnE+HtwUI55E11pZJ&#10;wQ852KxHLytMtO35m7rMFyJA2CWooPS+SaR0eUkG3cQ2xMG72NagD7ItpG6xD3BTy1kUvUuDFYeF&#10;EhvalZRfs7tR8Hm8pPuvlF2Xdr39+J1n8S3OlHodD9slCE+D/w8/20etIIbHlXAD5PoP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5Uxe8IAAADaAAAADwAAAAAAAAAAAAAA&#10;AAChAgAAZHJzL2Rvd25yZXYueG1sUEsFBgAAAAAEAAQA+QAAAJADAAAAAA==&#10;" strokecolor="#548dd4" strokeweight="6pt"/>
              </v:group>
            </w:pict>
          </mc:Fallback>
        </mc:AlternateContent>
      </w:r>
    </w:p>
    <w:p w14:paraId="5C047B77" w14:textId="77777777" w:rsidR="00C618CC" w:rsidRPr="00535BBB" w:rsidRDefault="00C618CC">
      <w:pPr>
        <w:rPr>
          <w:rFonts w:ascii="Century Gothic" w:hAnsi="Century Gothic"/>
        </w:rPr>
      </w:pPr>
    </w:p>
    <w:p w14:paraId="33017B5E" w14:textId="77777777" w:rsidR="00C618CC" w:rsidRPr="00535BBB" w:rsidRDefault="00C618CC" w:rsidP="00D80D55">
      <w:pPr>
        <w:ind w:left="720" w:firstLine="720"/>
        <w:jc w:val="right"/>
        <w:rPr>
          <w:rFonts w:ascii="Century Gothic" w:hAnsi="Century Gothic"/>
          <w:sz w:val="96"/>
          <w:szCs w:val="96"/>
        </w:rPr>
      </w:pPr>
      <w:r w:rsidRPr="00535BBB">
        <w:rPr>
          <w:rFonts w:ascii="Century Gothic" w:hAnsi="Century Gothic"/>
          <w:sz w:val="96"/>
          <w:szCs w:val="96"/>
        </w:rPr>
        <w:t>BURKINA FASO</w:t>
      </w:r>
    </w:p>
    <w:p w14:paraId="5AE697A5" w14:textId="77777777" w:rsidR="00C618CC" w:rsidRPr="00535BBB" w:rsidRDefault="00C618CC">
      <w:pPr>
        <w:rPr>
          <w:rFonts w:ascii="Century Gothic" w:hAnsi="Century Gothic"/>
          <w:sz w:val="40"/>
          <w:szCs w:val="40"/>
        </w:rPr>
      </w:pPr>
    </w:p>
    <w:p w14:paraId="3EFACFD2" w14:textId="77777777" w:rsidR="00D80D55" w:rsidRPr="00873041" w:rsidRDefault="00D80D55" w:rsidP="00873041">
      <w:pPr>
        <w:spacing w:line="360" w:lineRule="auto"/>
        <w:jc w:val="right"/>
        <w:rPr>
          <w:rFonts w:ascii="Century Gothic" w:hAnsi="Century Gothic"/>
          <w:sz w:val="32"/>
          <w:szCs w:val="32"/>
        </w:rPr>
      </w:pPr>
      <w:r w:rsidRPr="00873041">
        <w:rPr>
          <w:rFonts w:ascii="Century Gothic" w:hAnsi="Century Gothic"/>
          <w:sz w:val="32"/>
          <w:szCs w:val="32"/>
        </w:rPr>
        <w:t>R</w:t>
      </w:r>
      <w:r w:rsidR="00053EB4" w:rsidRPr="00873041">
        <w:rPr>
          <w:rFonts w:ascii="Century Gothic" w:hAnsi="Century Gothic"/>
          <w:sz w:val="32"/>
          <w:szCs w:val="32"/>
        </w:rPr>
        <w:t>apport de</w:t>
      </w:r>
      <w:r w:rsidR="00C618CC" w:rsidRPr="00873041">
        <w:rPr>
          <w:rFonts w:ascii="Century Gothic" w:hAnsi="Century Gothic"/>
          <w:sz w:val="32"/>
          <w:szCs w:val="32"/>
        </w:rPr>
        <w:t xml:space="preserve"> la Société Civile sur la mise en </w:t>
      </w:r>
      <w:r w:rsidR="00DE5D9D" w:rsidRPr="00873041">
        <w:rPr>
          <w:rFonts w:ascii="Century Gothic" w:hAnsi="Century Gothic"/>
          <w:sz w:val="32"/>
          <w:szCs w:val="32"/>
        </w:rPr>
        <w:t>œuvre</w:t>
      </w:r>
      <w:r w:rsidR="00C618CC" w:rsidRPr="00873041">
        <w:rPr>
          <w:rFonts w:ascii="Century Gothic" w:hAnsi="Century Gothic"/>
          <w:sz w:val="32"/>
          <w:szCs w:val="32"/>
        </w:rPr>
        <w:t xml:space="preserve"> du Pacte International relatif aux Droits Civils et Politiques (PIDCP)</w:t>
      </w:r>
      <w:r w:rsidRPr="00873041">
        <w:rPr>
          <w:rFonts w:ascii="Century Gothic" w:hAnsi="Century Gothic"/>
          <w:sz w:val="32"/>
          <w:szCs w:val="32"/>
        </w:rPr>
        <w:t xml:space="preserve"> </w:t>
      </w:r>
    </w:p>
    <w:p w14:paraId="2357C2E9" w14:textId="514FFA34" w:rsidR="00D80D55" w:rsidRPr="00873041" w:rsidRDefault="00D80D55" w:rsidP="00873041">
      <w:pPr>
        <w:spacing w:line="360" w:lineRule="auto"/>
        <w:jc w:val="right"/>
        <w:rPr>
          <w:rFonts w:ascii="Century Gothic" w:hAnsi="Century Gothic"/>
          <w:sz w:val="32"/>
          <w:szCs w:val="32"/>
          <w:lang w:val="en-US"/>
        </w:rPr>
      </w:pPr>
      <w:r w:rsidRPr="00873041">
        <w:rPr>
          <w:rFonts w:ascii="Century Gothic" w:hAnsi="Century Gothic"/>
          <w:bCs/>
          <w:sz w:val="32"/>
          <w:szCs w:val="32"/>
          <w:lang w:val="en-US"/>
        </w:rPr>
        <w:t xml:space="preserve">(En </w:t>
      </w:r>
      <w:r w:rsidRPr="00873041">
        <w:rPr>
          <w:rFonts w:ascii="Century Gothic" w:hAnsi="Century Gothic"/>
          <w:bCs/>
          <w:sz w:val="32"/>
          <w:szCs w:val="32"/>
        </w:rPr>
        <w:t>vue de l’adoption de la liste des points concernant le</w:t>
      </w:r>
      <w:r w:rsidR="00D47373" w:rsidRPr="00873041">
        <w:rPr>
          <w:rFonts w:ascii="Century Gothic" w:hAnsi="Century Gothic"/>
          <w:bCs/>
          <w:sz w:val="32"/>
          <w:szCs w:val="32"/>
        </w:rPr>
        <w:t xml:space="preserve"> rapport initial</w:t>
      </w:r>
      <w:r w:rsidRPr="00873041">
        <w:rPr>
          <w:rFonts w:ascii="Century Gothic" w:hAnsi="Century Gothic"/>
          <w:bCs/>
          <w:sz w:val="32"/>
          <w:szCs w:val="32"/>
        </w:rPr>
        <w:t xml:space="preserve"> </w:t>
      </w:r>
      <w:r w:rsidR="00D47373" w:rsidRPr="00873041">
        <w:rPr>
          <w:rFonts w:ascii="Century Gothic" w:hAnsi="Century Gothic"/>
          <w:bCs/>
          <w:sz w:val="32"/>
          <w:szCs w:val="32"/>
        </w:rPr>
        <w:t>CCPR/C/BFA/1</w:t>
      </w:r>
      <w:r w:rsidRPr="00873041">
        <w:rPr>
          <w:rFonts w:ascii="Century Gothic" w:hAnsi="Century Gothic"/>
          <w:bCs/>
          <w:sz w:val="32"/>
          <w:szCs w:val="32"/>
        </w:rPr>
        <w:t>)</w:t>
      </w:r>
      <w:r w:rsidRPr="00873041">
        <w:rPr>
          <w:rFonts w:ascii="Century Gothic" w:hAnsi="Century Gothic"/>
          <w:bCs/>
          <w:sz w:val="32"/>
          <w:szCs w:val="32"/>
          <w:lang w:val="en-US"/>
        </w:rPr>
        <w:t xml:space="preserve"> </w:t>
      </w:r>
    </w:p>
    <w:p w14:paraId="5B546E41" w14:textId="60E1BD3C" w:rsidR="00285F62" w:rsidRPr="00535BBB" w:rsidRDefault="00285F62" w:rsidP="00D80D55">
      <w:pPr>
        <w:spacing w:line="360" w:lineRule="auto"/>
        <w:jc w:val="both"/>
        <w:rPr>
          <w:rFonts w:ascii="Century Gothic" w:hAnsi="Century Gothic"/>
          <w:sz w:val="40"/>
          <w:szCs w:val="40"/>
        </w:rPr>
      </w:pPr>
    </w:p>
    <w:p w14:paraId="5116A13C" w14:textId="77777777" w:rsidR="00C618CC" w:rsidRPr="00535BBB" w:rsidRDefault="00C618CC">
      <w:pPr>
        <w:rPr>
          <w:rFonts w:ascii="Century Gothic" w:hAnsi="Century Gothic"/>
          <w:sz w:val="40"/>
          <w:szCs w:val="40"/>
        </w:rPr>
      </w:pPr>
    </w:p>
    <w:p w14:paraId="6C344AAB" w14:textId="77777777" w:rsidR="00C618CC" w:rsidRPr="00535BBB" w:rsidRDefault="00C618CC">
      <w:pPr>
        <w:rPr>
          <w:rFonts w:ascii="Century Gothic" w:hAnsi="Century Gothic"/>
          <w:sz w:val="40"/>
          <w:szCs w:val="40"/>
        </w:rPr>
      </w:pPr>
    </w:p>
    <w:p w14:paraId="2D217417" w14:textId="77777777" w:rsidR="00C618CC" w:rsidRPr="00535BBB" w:rsidRDefault="00C618CC">
      <w:pPr>
        <w:rPr>
          <w:rFonts w:ascii="Century Gothic" w:hAnsi="Century Gothic"/>
          <w:sz w:val="40"/>
          <w:szCs w:val="40"/>
        </w:rPr>
      </w:pPr>
    </w:p>
    <w:p w14:paraId="3858C32F" w14:textId="77777777" w:rsidR="00D47373" w:rsidRPr="00535BBB" w:rsidRDefault="00D47373" w:rsidP="00D47373">
      <w:pPr>
        <w:jc w:val="right"/>
        <w:rPr>
          <w:rFonts w:ascii="Century Gothic" w:hAnsi="Century Gothic"/>
          <w:sz w:val="28"/>
          <w:szCs w:val="28"/>
        </w:rPr>
      </w:pPr>
      <w:r w:rsidRPr="00535BBB">
        <w:rPr>
          <w:rFonts w:ascii="Century Gothic" w:hAnsi="Century Gothic"/>
          <w:sz w:val="28"/>
          <w:szCs w:val="28"/>
        </w:rPr>
        <w:t>Ouagadougou, le 06 août 2015</w:t>
      </w:r>
    </w:p>
    <w:p w14:paraId="0ACFCE33" w14:textId="77777777" w:rsidR="00D47373" w:rsidRDefault="00D47373">
      <w:pPr>
        <w:rPr>
          <w:rFonts w:ascii="Century Gothic" w:hAnsi="Century Gothic"/>
          <w:sz w:val="40"/>
          <w:szCs w:val="40"/>
        </w:rPr>
      </w:pPr>
    </w:p>
    <w:p w14:paraId="2FB18296" w14:textId="633E44B5" w:rsidR="00C618CC" w:rsidRPr="00535BBB" w:rsidRDefault="00D47373">
      <w:pPr>
        <w:rPr>
          <w:rFonts w:ascii="Century Gothic" w:hAnsi="Century Gothic"/>
          <w:sz w:val="40"/>
          <w:szCs w:val="40"/>
        </w:rPr>
      </w:pPr>
      <w:r>
        <w:rPr>
          <w:rFonts w:ascii="Century Gothic" w:hAnsi="Century Gothic"/>
          <w:noProof/>
          <w:sz w:val="28"/>
          <w:szCs w:val="28"/>
          <w:lang w:eastAsia="fr-FR"/>
        </w:rPr>
        <mc:AlternateContent>
          <mc:Choice Requires="wps">
            <w:drawing>
              <wp:anchor distT="4294967294" distB="4294967294" distL="114300" distR="114300" simplePos="0" relativeHeight="251657216" behindDoc="0" locked="0" layoutInCell="1" allowOverlap="1" wp14:anchorId="5FBE673A" wp14:editId="66DEC245">
                <wp:simplePos x="0" y="0"/>
                <wp:positionH relativeFrom="column">
                  <wp:posOffset>-69850</wp:posOffset>
                </wp:positionH>
                <wp:positionV relativeFrom="paragraph">
                  <wp:posOffset>316865</wp:posOffset>
                </wp:positionV>
                <wp:extent cx="3710940" cy="0"/>
                <wp:effectExtent l="0" t="0" r="22860" b="254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0940" cy="0"/>
                        </a:xfrm>
                        <a:prstGeom prst="straightConnector1">
                          <a:avLst/>
                        </a:prstGeom>
                        <a:noFill/>
                        <a:ln w="19050">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3" o:spid="_x0000_s1026" type="#_x0000_t32" style="position:absolute;margin-left:-5.45pt;margin-top:24.95pt;width:292.2pt;height:0;z-index:251657216;visibility:visible;mso-wrap-style:square;mso-width-percent:0;mso-height-percent:0;mso-wrap-distance-left:9pt;mso-wrap-distance-top:-2emu;mso-wrap-distance-right:9pt;mso-wrap-distance-bottom:-2emu;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" strokeweight="1.5pt"/>
            </w:pict>
          </mc:Fallback>
        </mc:AlternateContent>
      </w:r>
    </w:p>
    <w:p w14:paraId="47EB918E" w14:textId="043E833F" w:rsidR="00C618CC" w:rsidRPr="00873041" w:rsidRDefault="00C618CC" w:rsidP="00C618CC">
      <w:pPr>
        <w:spacing w:after="120" w:line="360" w:lineRule="auto"/>
        <w:jc w:val="both"/>
        <w:rPr>
          <w:rFonts w:ascii="Century Gothic" w:hAnsi="Century Gothic"/>
          <w:sz w:val="24"/>
          <w:szCs w:val="24"/>
        </w:rPr>
      </w:pPr>
      <w:r w:rsidRPr="00873041">
        <w:rPr>
          <w:rFonts w:ascii="Century Gothic" w:hAnsi="Century Gothic"/>
          <w:sz w:val="24"/>
          <w:szCs w:val="24"/>
        </w:rPr>
        <w:t>Avec le soutien du Centre pour les D</w:t>
      </w:r>
      <w:r w:rsidR="000C412C" w:rsidRPr="00873041">
        <w:rPr>
          <w:rFonts w:ascii="Century Gothic" w:hAnsi="Century Gothic"/>
          <w:sz w:val="24"/>
          <w:szCs w:val="24"/>
        </w:rPr>
        <w:t>roits Civils et Politiques</w:t>
      </w:r>
      <w:r w:rsidR="00005E48" w:rsidRPr="00873041">
        <w:rPr>
          <w:rFonts w:ascii="Century Gothic" w:hAnsi="Century Gothic"/>
          <w:sz w:val="24"/>
          <w:szCs w:val="24"/>
        </w:rPr>
        <w:t xml:space="preserve"> </w:t>
      </w:r>
    </w:p>
    <w:p w14:paraId="333BBEFE" w14:textId="77777777" w:rsidR="00C618CC" w:rsidRPr="00535BBB" w:rsidRDefault="00C618CC">
      <w:pPr>
        <w:rPr>
          <w:rFonts w:ascii="Century Gothic" w:hAnsi="Century Gothic"/>
          <w:sz w:val="28"/>
          <w:szCs w:val="28"/>
        </w:rPr>
      </w:pPr>
    </w:p>
    <w:p w14:paraId="6AE862AC" w14:textId="77777777" w:rsidR="00EF7927" w:rsidRPr="00535BBB" w:rsidRDefault="00EF7927">
      <w:pPr>
        <w:rPr>
          <w:rFonts w:ascii="Century Gothic" w:hAnsi="Century Gothic"/>
          <w:sz w:val="28"/>
          <w:szCs w:val="28"/>
        </w:rPr>
      </w:pPr>
    </w:p>
    <w:p w14:paraId="701E452F" w14:textId="77777777" w:rsidR="0067547C" w:rsidRPr="00535BBB" w:rsidRDefault="0067547C" w:rsidP="0067547C">
      <w:pPr>
        <w:shd w:val="clear" w:color="auto" w:fill="A6A6A6"/>
        <w:jc w:val="center"/>
        <w:rPr>
          <w:rFonts w:ascii="Century Gothic" w:hAnsi="Century Gothic"/>
          <w:b/>
          <w:sz w:val="28"/>
          <w:szCs w:val="28"/>
        </w:rPr>
      </w:pPr>
      <w:r w:rsidRPr="00535BBB">
        <w:rPr>
          <w:rFonts w:ascii="Century Gothic" w:hAnsi="Century Gothic"/>
          <w:b/>
          <w:sz w:val="28"/>
          <w:szCs w:val="28"/>
        </w:rPr>
        <w:lastRenderedPageBreak/>
        <w:t>SOMMAIRE</w:t>
      </w:r>
    </w:p>
    <w:p w14:paraId="54512112" w14:textId="77777777" w:rsidR="00CC1E72" w:rsidRPr="00535BBB" w:rsidRDefault="0085015A">
      <w:pPr>
        <w:pStyle w:val="TM1"/>
        <w:tabs>
          <w:tab w:val="left" w:pos="440"/>
          <w:tab w:val="right" w:leader="dot" w:pos="9016"/>
        </w:tabs>
        <w:rPr>
          <w:rFonts w:ascii="Century Gothic" w:eastAsia="Times New Roman" w:hAnsi="Century Gothic"/>
          <w:noProof/>
          <w:lang w:eastAsia="fr-FR"/>
        </w:rPr>
      </w:pPr>
      <w:r w:rsidRPr="00535BBB">
        <w:rPr>
          <w:rFonts w:ascii="Century Gothic" w:hAnsi="Century Gothic"/>
        </w:rPr>
        <w:fldChar w:fldCharType="begin"/>
      </w:r>
      <w:r w:rsidR="0067547C" w:rsidRPr="00535BBB">
        <w:rPr>
          <w:rFonts w:ascii="Century Gothic" w:hAnsi="Century Gothic"/>
        </w:rPr>
        <w:instrText xml:space="preserve"> </w:instrText>
      </w:r>
      <w:r w:rsidR="006D7ECA">
        <w:rPr>
          <w:rFonts w:ascii="Century Gothic" w:hAnsi="Century Gothic"/>
        </w:rPr>
        <w:instrText>TOC</w:instrText>
      </w:r>
      <w:r w:rsidR="0067547C" w:rsidRPr="00535BBB">
        <w:rPr>
          <w:rFonts w:ascii="Century Gothic" w:hAnsi="Century Gothic"/>
        </w:rPr>
        <w:instrText xml:space="preserve"> \o "1-3" \h \z \u </w:instrText>
      </w:r>
      <w:r w:rsidRPr="00535BBB">
        <w:rPr>
          <w:rFonts w:ascii="Century Gothic" w:hAnsi="Century Gothic"/>
        </w:rPr>
        <w:fldChar w:fldCharType="separate"/>
      </w:r>
      <w:hyperlink w:anchor="_Toc426711277" w:history="1">
        <w:r w:rsidR="00CC1E72" w:rsidRPr="00535BBB">
          <w:rPr>
            <w:rStyle w:val="Lienhypertexte"/>
            <w:rFonts w:ascii="Century Gothic" w:hAnsi="Century Gothic"/>
            <w:b/>
            <w:noProof/>
          </w:rPr>
          <w:t>I.</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Résumé des questions suggérées</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_Toc426711277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2</w:t>
        </w:r>
        <w:r w:rsidR="00CC1E72" w:rsidRPr="00535BBB">
          <w:rPr>
            <w:rFonts w:ascii="Century Gothic" w:hAnsi="Century Gothic"/>
            <w:noProof/>
            <w:webHidden/>
          </w:rPr>
          <w:fldChar w:fldCharType="end"/>
        </w:r>
      </w:hyperlink>
    </w:p>
    <w:p w14:paraId="476E9943" w14:textId="77777777"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78" w:history="1">
        <w:r w:rsidR="00CC1E72" w:rsidRPr="00535BBB">
          <w:rPr>
            <w:rStyle w:val="Lienhypertexte"/>
            <w:rFonts w:ascii="Century Gothic" w:hAnsi="Century Gothic"/>
            <w:b/>
            <w:noProof/>
          </w:rPr>
          <w:t>II.</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Les organisations participantes à la préparation du rapport</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_Toc426711278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7</w:t>
        </w:r>
        <w:r w:rsidR="00CC1E72" w:rsidRPr="00535BBB">
          <w:rPr>
            <w:rFonts w:ascii="Century Gothic" w:hAnsi="Century Gothic"/>
            <w:noProof/>
            <w:webHidden/>
          </w:rPr>
          <w:fldChar w:fldCharType="end"/>
        </w:r>
      </w:hyperlink>
    </w:p>
    <w:p w14:paraId="78FA847D" w14:textId="77777777"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79" w:history="1">
        <w:r w:rsidR="00CC1E72" w:rsidRPr="00535BBB">
          <w:rPr>
            <w:rStyle w:val="Lienhypertexte"/>
            <w:rFonts w:ascii="Century Gothic" w:hAnsi="Century Gothic"/>
            <w:b/>
            <w:noProof/>
          </w:rPr>
          <w:t>III.</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Méthodologie</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_Toc426711279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8</w:t>
        </w:r>
        <w:r w:rsidR="00CC1E72" w:rsidRPr="00535BBB">
          <w:rPr>
            <w:rFonts w:ascii="Century Gothic" w:hAnsi="Century Gothic"/>
            <w:noProof/>
            <w:webHidden/>
          </w:rPr>
          <w:fldChar w:fldCharType="end"/>
        </w:r>
      </w:hyperlink>
    </w:p>
    <w:p w14:paraId="3DB9B7DB" w14:textId="77777777"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80" w:history="1">
        <w:r w:rsidR="00CC1E72" w:rsidRPr="00535BBB">
          <w:rPr>
            <w:rStyle w:val="Lienhypertexte"/>
            <w:rFonts w:ascii="Century Gothic" w:hAnsi="Century Gothic"/>
            <w:b/>
            <w:noProof/>
          </w:rPr>
          <w:t>IV.</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Le PIDCP et sa mise en œuvre au Burkina Faso</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_Toc426711280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9</w:t>
        </w:r>
        <w:r w:rsidR="00CC1E72" w:rsidRPr="00535BBB">
          <w:rPr>
            <w:rFonts w:ascii="Century Gothic" w:hAnsi="Century Gothic"/>
            <w:noProof/>
            <w:webHidden/>
          </w:rPr>
          <w:fldChar w:fldCharType="end"/>
        </w:r>
      </w:hyperlink>
    </w:p>
    <w:p w14:paraId="18CF1D8F" w14:textId="77777777"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81" w:history="1">
        <w:r w:rsidR="00CC1E72" w:rsidRPr="00535BBB">
          <w:rPr>
            <w:rStyle w:val="Lienhypertexte"/>
            <w:rFonts w:ascii="Century Gothic" w:hAnsi="Century Gothic"/>
            <w:noProof/>
          </w:rPr>
          <w:t>A.</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L’administration de la Justice</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_Toc426711281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9</w:t>
        </w:r>
        <w:r w:rsidR="00CC1E72" w:rsidRPr="00535BBB">
          <w:rPr>
            <w:rFonts w:ascii="Century Gothic" w:hAnsi="Century Gothic"/>
            <w:noProof/>
            <w:webHidden/>
          </w:rPr>
          <w:fldChar w:fldCharType="end"/>
        </w:r>
      </w:hyperlink>
    </w:p>
    <w:p w14:paraId="5CADB7FC"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82" w:history="1">
        <w:r w:rsidR="00CC1E72" w:rsidRPr="00535BBB">
          <w:rPr>
            <w:rStyle w:val="Lienhypertexte"/>
            <w:rFonts w:ascii="Century Gothic" w:hAnsi="Century Gothic"/>
            <w:b/>
            <w:noProof/>
          </w:rPr>
          <w:t>1.</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Cadre constitutionnel et juridique de mise en œuvre du Pacte</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_Toc426711282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9</w:t>
        </w:r>
        <w:r w:rsidR="00CC1E72" w:rsidRPr="00535BBB">
          <w:rPr>
            <w:rFonts w:ascii="Century Gothic" w:hAnsi="Century Gothic"/>
            <w:noProof/>
            <w:webHidden/>
          </w:rPr>
          <w:fldChar w:fldCharType="end"/>
        </w:r>
      </w:hyperlink>
    </w:p>
    <w:p w14:paraId="0F7831DD"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83" w:history="1">
        <w:r w:rsidR="00CC1E72" w:rsidRPr="00535BBB">
          <w:rPr>
            <w:rStyle w:val="Lienhypertexte"/>
            <w:rFonts w:ascii="Century Gothic" w:hAnsi="Century Gothic"/>
            <w:b/>
            <w:noProof/>
          </w:rPr>
          <w:t>2.</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L'indépendance du pouvoir judiciaire et le droit à un procès équitable</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_Toc426711283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15</w:t>
        </w:r>
        <w:r w:rsidR="00CC1E72" w:rsidRPr="00535BBB">
          <w:rPr>
            <w:rFonts w:ascii="Century Gothic" w:hAnsi="Century Gothic"/>
            <w:noProof/>
            <w:webHidden/>
          </w:rPr>
          <w:fldChar w:fldCharType="end"/>
        </w:r>
      </w:hyperlink>
    </w:p>
    <w:p w14:paraId="111DB3AB" w14:textId="77777777"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84" w:history="1">
        <w:r w:rsidR="00CC1E72" w:rsidRPr="00535BBB">
          <w:rPr>
            <w:rStyle w:val="Lienhypertexte"/>
            <w:rFonts w:ascii="Century Gothic" w:hAnsi="Century Gothic"/>
            <w:noProof/>
          </w:rPr>
          <w:t>B.</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Droits à la vie, lutte contre la torture, la liberté et la sécurité de la personne et de l'esclavage.</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_Toc426711284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24</w:t>
        </w:r>
        <w:r w:rsidR="00CC1E72" w:rsidRPr="00535BBB">
          <w:rPr>
            <w:rFonts w:ascii="Century Gothic" w:hAnsi="Century Gothic"/>
            <w:noProof/>
            <w:webHidden/>
          </w:rPr>
          <w:fldChar w:fldCharType="end"/>
        </w:r>
      </w:hyperlink>
    </w:p>
    <w:p w14:paraId="3B826C6E"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85" w:history="1">
        <w:r w:rsidR="00CC1E72" w:rsidRPr="00535BBB">
          <w:rPr>
            <w:rStyle w:val="Lienhypertexte"/>
            <w:rFonts w:ascii="Century Gothic" w:hAnsi="Century Gothic"/>
            <w:b/>
            <w:noProof/>
          </w:rPr>
          <w:t>1.</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Droit à la vie (art. 6)</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_Toc426711285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24</w:t>
        </w:r>
        <w:r w:rsidR="00CC1E72" w:rsidRPr="00535BBB">
          <w:rPr>
            <w:rFonts w:ascii="Century Gothic" w:hAnsi="Century Gothic"/>
            <w:noProof/>
            <w:webHidden/>
          </w:rPr>
          <w:fldChar w:fldCharType="end"/>
        </w:r>
      </w:hyperlink>
    </w:p>
    <w:p w14:paraId="1586927A"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86" w:history="1">
        <w:r w:rsidR="00CC1E72" w:rsidRPr="00535BBB">
          <w:rPr>
            <w:rStyle w:val="Lienhypertexte"/>
            <w:rFonts w:ascii="Century Gothic" w:hAnsi="Century Gothic"/>
            <w:b/>
            <w:noProof/>
          </w:rPr>
          <w:t>2.</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Interdiction de la torture et des traitements inhumains ou dégradants, liberté et sécurité de la personne, traitement des personnes privées de liberté (art. 7, 9 et 10)</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_Toc426711286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34</w:t>
        </w:r>
        <w:r w:rsidR="00CC1E72" w:rsidRPr="00535BBB">
          <w:rPr>
            <w:rFonts w:ascii="Century Gothic" w:hAnsi="Century Gothic"/>
            <w:noProof/>
            <w:webHidden/>
          </w:rPr>
          <w:fldChar w:fldCharType="end"/>
        </w:r>
      </w:hyperlink>
    </w:p>
    <w:p w14:paraId="66AE15FB" w14:textId="77777777"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87" w:history="1">
        <w:r w:rsidR="00CC1E72" w:rsidRPr="00535BBB">
          <w:rPr>
            <w:rStyle w:val="Lienhypertexte"/>
            <w:rFonts w:ascii="Century Gothic" w:hAnsi="Century Gothic"/>
            <w:b/>
            <w:noProof/>
          </w:rPr>
          <w:t>C.</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Les libertés civiles</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_Toc426711287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38</w:t>
        </w:r>
        <w:r w:rsidR="00CC1E72" w:rsidRPr="00535BBB">
          <w:rPr>
            <w:rFonts w:ascii="Century Gothic" w:hAnsi="Century Gothic"/>
            <w:noProof/>
            <w:webHidden/>
          </w:rPr>
          <w:fldChar w:fldCharType="end"/>
        </w:r>
      </w:hyperlink>
    </w:p>
    <w:p w14:paraId="3F8E18D9"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88" w:history="1">
        <w:r w:rsidR="00CC1E72" w:rsidRPr="00535BBB">
          <w:rPr>
            <w:rStyle w:val="Lienhypertexte"/>
            <w:rFonts w:ascii="Century Gothic" w:hAnsi="Century Gothic"/>
            <w:b/>
            <w:noProof/>
          </w:rPr>
          <w:t>1.</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La liberté de mouvement et le droit à la vie privée et à domicile (arts.12 et 17)</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_Toc426711288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38</w:t>
        </w:r>
        <w:r w:rsidR="00CC1E72" w:rsidRPr="00535BBB">
          <w:rPr>
            <w:rFonts w:ascii="Century Gothic" w:hAnsi="Century Gothic"/>
            <w:noProof/>
            <w:webHidden/>
          </w:rPr>
          <w:fldChar w:fldCharType="end"/>
        </w:r>
      </w:hyperlink>
    </w:p>
    <w:p w14:paraId="495C0E6E"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90" w:history="1">
        <w:r w:rsidR="00CC1E72" w:rsidRPr="00535BBB">
          <w:rPr>
            <w:rStyle w:val="Lienhypertexte"/>
            <w:rFonts w:ascii="Century Gothic" w:hAnsi="Century Gothic"/>
            <w:b/>
            <w:noProof/>
          </w:rPr>
          <w:t>2.</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La liberté d'opinion et d'expression, et la liberté d'association (art. 19 et 22)</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_Toc426711290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42</w:t>
        </w:r>
        <w:r w:rsidR="00CC1E72" w:rsidRPr="00535BBB">
          <w:rPr>
            <w:rFonts w:ascii="Century Gothic" w:hAnsi="Century Gothic"/>
            <w:noProof/>
            <w:webHidden/>
          </w:rPr>
          <w:fldChar w:fldCharType="end"/>
        </w:r>
      </w:hyperlink>
    </w:p>
    <w:p w14:paraId="6BA26461"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91" w:history="1">
        <w:r w:rsidR="00CC1E72" w:rsidRPr="00535BBB">
          <w:rPr>
            <w:rStyle w:val="Lienhypertexte"/>
            <w:rFonts w:ascii="Century Gothic" w:hAnsi="Century Gothic"/>
            <w:b/>
            <w:noProof/>
          </w:rPr>
          <w:t>3.</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Le droit de participer à la vie publique et de voter dans des élections libres et équitables (art 25)</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_Toc426711291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46</w:t>
        </w:r>
        <w:r w:rsidR="00CC1E72" w:rsidRPr="00535BBB">
          <w:rPr>
            <w:rFonts w:ascii="Century Gothic" w:hAnsi="Century Gothic"/>
            <w:noProof/>
            <w:webHidden/>
          </w:rPr>
          <w:fldChar w:fldCharType="end"/>
        </w:r>
      </w:hyperlink>
    </w:p>
    <w:p w14:paraId="4FF1D5F2" w14:textId="485E7415" w:rsidR="00CC1E72" w:rsidRPr="00535BBB" w:rsidRDefault="00BA3ADA">
      <w:pPr>
        <w:pStyle w:val="TM1"/>
        <w:tabs>
          <w:tab w:val="left" w:pos="660"/>
          <w:tab w:val="right" w:leader="dot" w:pos="9016"/>
        </w:tabs>
        <w:rPr>
          <w:rFonts w:ascii="Century Gothic" w:eastAsia="Times New Roman" w:hAnsi="Century Gothic"/>
          <w:noProof/>
          <w:lang w:eastAsia="fr-FR"/>
        </w:rPr>
      </w:pPr>
      <w:hyperlink w:anchor="_Toc426711292" w:history="1">
        <w:r w:rsidR="00CC1E72" w:rsidRPr="00535BBB">
          <w:rPr>
            <w:rStyle w:val="Lienhypertexte"/>
            <w:rFonts w:ascii="Century Gothic" w:hAnsi="Century Gothic"/>
            <w:b/>
            <w:noProof/>
          </w:rPr>
          <w:t>D.</w:t>
        </w:r>
        <w:r w:rsidR="00CC1E72" w:rsidRPr="00535BBB">
          <w:rPr>
            <w:rFonts w:ascii="Century Gothic" w:eastAsia="Times New Roman" w:hAnsi="Century Gothic"/>
            <w:noProof/>
            <w:lang w:eastAsia="fr-FR"/>
          </w:rPr>
          <w:tab/>
        </w:r>
        <w:r w:rsidR="00F17D09">
          <w:rPr>
            <w:rStyle w:val="Lienhypertexte"/>
            <w:rFonts w:ascii="Century Gothic" w:hAnsi="Century Gothic"/>
            <w:b/>
            <w:noProof/>
          </w:rPr>
          <w:t>Les droits</w:t>
        </w:r>
        <w:r w:rsidR="00CC1E72" w:rsidRPr="00535BBB">
          <w:rPr>
            <w:rStyle w:val="Lienhypertexte"/>
            <w:rFonts w:ascii="Century Gothic" w:hAnsi="Century Gothic"/>
            <w:b/>
            <w:noProof/>
          </w:rPr>
          <w:t xml:space="preserve"> des femmes</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_Toc426711292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50</w:t>
        </w:r>
        <w:r w:rsidR="00CC1E72" w:rsidRPr="00535BBB">
          <w:rPr>
            <w:rFonts w:ascii="Century Gothic" w:hAnsi="Century Gothic"/>
            <w:noProof/>
            <w:webHidden/>
          </w:rPr>
          <w:fldChar w:fldCharType="end"/>
        </w:r>
      </w:hyperlink>
    </w:p>
    <w:p w14:paraId="0BA996BC" w14:textId="77777777" w:rsidR="00CC1E72" w:rsidRPr="00535BBB" w:rsidRDefault="00BA3ADA">
      <w:pPr>
        <w:pStyle w:val="TM1"/>
        <w:tabs>
          <w:tab w:val="left" w:pos="440"/>
          <w:tab w:val="right" w:leader="dot" w:pos="9016"/>
        </w:tabs>
        <w:rPr>
          <w:rFonts w:ascii="Century Gothic" w:eastAsia="Times New Roman" w:hAnsi="Century Gothic"/>
          <w:noProof/>
          <w:lang w:eastAsia="fr-FR"/>
        </w:rPr>
      </w:pPr>
      <w:hyperlink w:anchor="_Toc426711293" w:history="1">
        <w:r w:rsidR="00CC1E72" w:rsidRPr="00535BBB">
          <w:rPr>
            <w:rStyle w:val="Lienhypertexte"/>
            <w:rFonts w:ascii="Century Gothic" w:hAnsi="Century Gothic"/>
            <w:b/>
            <w:noProof/>
          </w:rPr>
          <w:t>1.</w:t>
        </w:r>
        <w:r w:rsidR="00CC1E72" w:rsidRPr="00535BBB">
          <w:rPr>
            <w:rFonts w:ascii="Century Gothic" w:eastAsia="Times New Roman" w:hAnsi="Century Gothic"/>
            <w:noProof/>
            <w:lang w:eastAsia="fr-FR"/>
          </w:rPr>
          <w:tab/>
        </w:r>
        <w:r w:rsidR="00CC1E72" w:rsidRPr="00535BBB">
          <w:rPr>
            <w:rStyle w:val="Lienhypertexte"/>
            <w:rFonts w:ascii="Century Gothic" w:hAnsi="Century Gothic"/>
            <w:b/>
            <w:noProof/>
          </w:rPr>
          <w:t>La non-discrimination, l'égalité entre hommes et femmes (art. 2, 3et 26)</w:t>
        </w:r>
        <w:r w:rsidR="00CC1E72" w:rsidRPr="00535BBB">
          <w:rPr>
            <w:rFonts w:ascii="Century Gothic" w:hAnsi="Century Gothic"/>
            <w:noProof/>
            <w:webHidden/>
          </w:rPr>
          <w:tab/>
        </w:r>
        <w:r w:rsidR="00CC1E72" w:rsidRPr="00535BBB">
          <w:rPr>
            <w:rFonts w:ascii="Century Gothic" w:hAnsi="Century Gothic"/>
            <w:noProof/>
            <w:webHidden/>
          </w:rPr>
          <w:fldChar w:fldCharType="begin"/>
        </w:r>
        <w:r w:rsidR="00CC1E72" w:rsidRPr="00535BBB">
          <w:rPr>
            <w:rFonts w:ascii="Century Gothic" w:hAnsi="Century Gothic"/>
            <w:noProof/>
            <w:webHidden/>
          </w:rPr>
          <w:instrText xml:space="preserve"> </w:instrText>
        </w:r>
        <w:r w:rsidR="006D7ECA">
          <w:rPr>
            <w:rFonts w:ascii="Century Gothic" w:hAnsi="Century Gothic"/>
            <w:noProof/>
            <w:webHidden/>
          </w:rPr>
          <w:instrText>PAGEREF</w:instrText>
        </w:r>
        <w:r w:rsidR="00CC1E72" w:rsidRPr="00535BBB">
          <w:rPr>
            <w:rFonts w:ascii="Century Gothic" w:hAnsi="Century Gothic"/>
            <w:noProof/>
            <w:webHidden/>
          </w:rPr>
          <w:instrText xml:space="preserve"> _Toc426711293 \h </w:instrText>
        </w:r>
        <w:r w:rsidR="00CC1E72" w:rsidRPr="00535BBB">
          <w:rPr>
            <w:rFonts w:ascii="Century Gothic" w:hAnsi="Century Gothic"/>
            <w:noProof/>
            <w:webHidden/>
          </w:rPr>
        </w:r>
        <w:r w:rsidR="00CC1E72" w:rsidRPr="00535BBB">
          <w:rPr>
            <w:rFonts w:ascii="Century Gothic" w:hAnsi="Century Gothic"/>
            <w:noProof/>
            <w:webHidden/>
          </w:rPr>
          <w:fldChar w:fldCharType="separate"/>
        </w:r>
        <w:r w:rsidR="00ED2269">
          <w:rPr>
            <w:rFonts w:ascii="Century Gothic" w:hAnsi="Century Gothic"/>
            <w:noProof/>
            <w:webHidden/>
          </w:rPr>
          <w:t>50</w:t>
        </w:r>
        <w:r w:rsidR="00CC1E72" w:rsidRPr="00535BBB">
          <w:rPr>
            <w:rFonts w:ascii="Century Gothic" w:hAnsi="Century Gothic"/>
            <w:noProof/>
            <w:webHidden/>
          </w:rPr>
          <w:fldChar w:fldCharType="end"/>
        </w:r>
      </w:hyperlink>
    </w:p>
    <w:p w14:paraId="04085A68" w14:textId="77777777" w:rsidR="0067547C" w:rsidRPr="00535BBB" w:rsidRDefault="0085015A" w:rsidP="0067547C">
      <w:pPr>
        <w:rPr>
          <w:rFonts w:ascii="Century Gothic" w:hAnsi="Century Gothic"/>
        </w:rPr>
      </w:pPr>
      <w:r w:rsidRPr="00535BBB">
        <w:rPr>
          <w:rFonts w:ascii="Century Gothic" w:hAnsi="Century Gothic"/>
        </w:rPr>
        <w:fldChar w:fldCharType="end"/>
      </w:r>
    </w:p>
    <w:p w14:paraId="4F80EC6C" w14:textId="77777777" w:rsidR="00CC1E72" w:rsidRPr="00535BBB" w:rsidRDefault="00CC1E72" w:rsidP="0067547C">
      <w:pPr>
        <w:rPr>
          <w:rFonts w:ascii="Century Gothic" w:hAnsi="Century Gothic"/>
        </w:rPr>
      </w:pPr>
    </w:p>
    <w:p w14:paraId="1FFABE42" w14:textId="77777777" w:rsidR="00CC1E72" w:rsidRPr="00535BBB" w:rsidRDefault="00CC1E72" w:rsidP="0067547C">
      <w:pPr>
        <w:rPr>
          <w:rFonts w:ascii="Century Gothic" w:hAnsi="Century Gothic"/>
        </w:rPr>
      </w:pPr>
    </w:p>
    <w:p w14:paraId="7161A757" w14:textId="77777777" w:rsidR="00CC1E72" w:rsidRPr="00535BBB" w:rsidRDefault="00CC1E72" w:rsidP="0067547C">
      <w:pPr>
        <w:rPr>
          <w:rFonts w:ascii="Century Gothic" w:hAnsi="Century Gothic"/>
        </w:rPr>
      </w:pPr>
    </w:p>
    <w:p w14:paraId="4A5DABBE" w14:textId="77777777" w:rsidR="00CC1E72" w:rsidRPr="00535BBB" w:rsidRDefault="00CC1E72" w:rsidP="0067547C">
      <w:pPr>
        <w:rPr>
          <w:rFonts w:ascii="Century Gothic" w:hAnsi="Century Gothic"/>
        </w:rPr>
      </w:pPr>
    </w:p>
    <w:p w14:paraId="06926AAC" w14:textId="77777777" w:rsidR="00CC1E72" w:rsidRPr="00535BBB" w:rsidRDefault="00CC1E72" w:rsidP="0067547C">
      <w:pPr>
        <w:rPr>
          <w:rFonts w:ascii="Century Gothic" w:hAnsi="Century Gothic"/>
        </w:rPr>
      </w:pPr>
    </w:p>
    <w:p w14:paraId="3A13095F" w14:textId="77777777" w:rsidR="00CC1E72" w:rsidRPr="00535BBB" w:rsidRDefault="00CC1E72" w:rsidP="0067547C">
      <w:pPr>
        <w:rPr>
          <w:rFonts w:ascii="Century Gothic" w:hAnsi="Century Gothic"/>
        </w:rPr>
      </w:pPr>
    </w:p>
    <w:p w14:paraId="075B66E5" w14:textId="77777777" w:rsidR="00CC1E72" w:rsidRPr="00535BBB" w:rsidRDefault="00CC1E72" w:rsidP="0067547C">
      <w:pPr>
        <w:rPr>
          <w:rFonts w:ascii="Century Gothic" w:hAnsi="Century Gothic"/>
        </w:rPr>
      </w:pPr>
    </w:p>
    <w:p w14:paraId="58870973" w14:textId="77777777" w:rsidR="00CC1E72" w:rsidRPr="00535BBB" w:rsidRDefault="00CC1E72" w:rsidP="0067547C">
      <w:pPr>
        <w:rPr>
          <w:rFonts w:ascii="Century Gothic" w:hAnsi="Century Gothic"/>
        </w:rPr>
      </w:pPr>
    </w:p>
    <w:p w14:paraId="68ACA7FF" w14:textId="77777777" w:rsidR="00CC1E72" w:rsidRDefault="00CC1E72" w:rsidP="0067547C">
      <w:pPr>
        <w:rPr>
          <w:rFonts w:ascii="Century Gothic" w:hAnsi="Century Gothic"/>
        </w:rPr>
      </w:pPr>
    </w:p>
    <w:p w14:paraId="58B8238A" w14:textId="77777777" w:rsidR="00ED2269" w:rsidRPr="00535BBB" w:rsidRDefault="00ED2269" w:rsidP="0067547C">
      <w:pPr>
        <w:rPr>
          <w:rFonts w:ascii="Century Gothic" w:hAnsi="Century Gothic"/>
        </w:rPr>
      </w:pPr>
      <w:bookmarkStart w:id="0" w:name="_GoBack"/>
      <w:bookmarkEnd w:id="0"/>
    </w:p>
    <w:p w14:paraId="42B5DEEB" w14:textId="77777777" w:rsidR="0067547C" w:rsidRPr="00535BBB" w:rsidRDefault="0067547C" w:rsidP="009C37D5">
      <w:pPr>
        <w:numPr>
          <w:ilvl w:val="0"/>
          <w:numId w:val="2"/>
        </w:numPr>
        <w:spacing w:line="360" w:lineRule="auto"/>
        <w:contextualSpacing/>
        <w:jc w:val="both"/>
        <w:outlineLvl w:val="0"/>
        <w:rPr>
          <w:rFonts w:ascii="Century Gothic" w:hAnsi="Century Gothic"/>
          <w:b/>
          <w:sz w:val="28"/>
          <w:szCs w:val="28"/>
        </w:rPr>
      </w:pPr>
      <w:bookmarkStart w:id="1" w:name="_Toc426711277"/>
      <w:r w:rsidRPr="00535BBB">
        <w:rPr>
          <w:rFonts w:ascii="Century Gothic" w:hAnsi="Century Gothic"/>
          <w:b/>
          <w:sz w:val="28"/>
          <w:szCs w:val="28"/>
        </w:rPr>
        <w:t>Résumé des questions suggérées</w:t>
      </w:r>
      <w:bookmarkEnd w:id="1"/>
      <w:r w:rsidRPr="00535BBB">
        <w:rPr>
          <w:rFonts w:ascii="Century Gothic" w:hAnsi="Century Gothic"/>
          <w:b/>
          <w:sz w:val="28"/>
          <w:szCs w:val="28"/>
        </w:rPr>
        <w:t xml:space="preserve"> </w:t>
      </w:r>
    </w:p>
    <w:p w14:paraId="5635ABD2" w14:textId="77777777" w:rsidR="009C37D5" w:rsidRPr="00535BBB" w:rsidRDefault="00562A2A" w:rsidP="002D4AF1">
      <w:pPr>
        <w:spacing w:after="0" w:line="360" w:lineRule="auto"/>
        <w:jc w:val="both"/>
        <w:rPr>
          <w:rFonts w:ascii="Century Gothic" w:hAnsi="Century Gothic"/>
        </w:rPr>
      </w:pPr>
      <w:r w:rsidRPr="00535BBB">
        <w:rPr>
          <w:rFonts w:ascii="Century Gothic" w:hAnsi="Century Gothic"/>
        </w:rPr>
        <w:lastRenderedPageBreak/>
        <w:t>Le Burkina Faso</w:t>
      </w:r>
      <w:r w:rsidR="00F0584F" w:rsidRPr="00535BBB">
        <w:rPr>
          <w:rFonts w:ascii="Century Gothic" w:hAnsi="Century Gothic"/>
        </w:rPr>
        <w:t xml:space="preserve"> fe</w:t>
      </w:r>
      <w:r w:rsidRPr="00535BBB">
        <w:rPr>
          <w:rFonts w:ascii="Century Gothic" w:hAnsi="Century Gothic"/>
        </w:rPr>
        <w:t>ra son premier passage de</w:t>
      </w:r>
      <w:r w:rsidR="00AA368E" w:rsidRPr="00535BBB">
        <w:rPr>
          <w:rFonts w:ascii="Century Gothic" w:hAnsi="Century Gothic"/>
        </w:rPr>
        <w:t>vant le Comité des Droits de l’H</w:t>
      </w:r>
      <w:r w:rsidRPr="00535BBB">
        <w:rPr>
          <w:rFonts w:ascii="Century Gothic" w:hAnsi="Century Gothic"/>
        </w:rPr>
        <w:t xml:space="preserve">omme </w:t>
      </w:r>
      <w:r w:rsidR="00F0584F" w:rsidRPr="00535BBB">
        <w:rPr>
          <w:rFonts w:ascii="Century Gothic" w:hAnsi="Century Gothic"/>
        </w:rPr>
        <w:t>de l’ONU en vue de l’examen de l</w:t>
      </w:r>
      <w:r w:rsidR="00AA368E" w:rsidRPr="00535BBB">
        <w:rPr>
          <w:rFonts w:ascii="Century Gothic" w:hAnsi="Century Gothic"/>
        </w:rPr>
        <w:t>a mise en œuvre du Pacte International relatif aux Droits Civils et P</w:t>
      </w:r>
      <w:r w:rsidRPr="00535BBB">
        <w:rPr>
          <w:rFonts w:ascii="Century Gothic" w:hAnsi="Century Gothic"/>
        </w:rPr>
        <w:t xml:space="preserve">olitiques </w:t>
      </w:r>
      <w:r w:rsidR="00AA368E" w:rsidRPr="00535BBB">
        <w:rPr>
          <w:rFonts w:ascii="Century Gothic" w:hAnsi="Century Gothic"/>
        </w:rPr>
        <w:t xml:space="preserve">(PIDCP) </w:t>
      </w:r>
      <w:r w:rsidRPr="00535BBB">
        <w:rPr>
          <w:rFonts w:ascii="Century Gothic" w:hAnsi="Century Gothic"/>
        </w:rPr>
        <w:t>et ce</w:t>
      </w:r>
      <w:r w:rsidR="009C37D5" w:rsidRPr="00535BBB">
        <w:rPr>
          <w:rFonts w:ascii="Century Gothic" w:hAnsi="Century Gothic"/>
        </w:rPr>
        <w:t>,</w:t>
      </w:r>
      <w:r w:rsidRPr="00535BBB">
        <w:rPr>
          <w:rFonts w:ascii="Century Gothic" w:hAnsi="Century Gothic"/>
        </w:rPr>
        <w:t xml:space="preserve"> depuis sa ratification dudit Pacte en 1999.</w:t>
      </w:r>
      <w:r w:rsidR="00F70702" w:rsidRPr="00535BBB">
        <w:rPr>
          <w:rFonts w:ascii="Century Gothic" w:hAnsi="Century Gothic"/>
        </w:rPr>
        <w:t xml:space="preserve"> Après avoir traversé plusieurs crises sociopolitiques à l’occasion desquelle</w:t>
      </w:r>
      <w:r w:rsidR="00F0584F" w:rsidRPr="00535BBB">
        <w:rPr>
          <w:rFonts w:ascii="Century Gothic" w:hAnsi="Century Gothic"/>
        </w:rPr>
        <w:t>s l</w:t>
      </w:r>
      <w:r w:rsidR="00F70702" w:rsidRPr="00535BBB">
        <w:rPr>
          <w:rFonts w:ascii="Century Gothic" w:hAnsi="Century Gothic"/>
        </w:rPr>
        <w:t xml:space="preserve">es droits </w:t>
      </w:r>
      <w:r w:rsidR="00F0584F" w:rsidRPr="00535BBB">
        <w:rPr>
          <w:rFonts w:ascii="Century Gothic" w:hAnsi="Century Gothic"/>
        </w:rPr>
        <w:t xml:space="preserve">humains </w:t>
      </w:r>
      <w:r w:rsidR="00F70702" w:rsidRPr="00535BBB">
        <w:rPr>
          <w:rFonts w:ascii="Century Gothic" w:hAnsi="Century Gothic"/>
        </w:rPr>
        <w:t xml:space="preserve">ont été mis à rude épreuve, ce passage du Burkina Faso constitue une belle opportunité pour la société civile </w:t>
      </w:r>
      <w:r w:rsidR="00F0584F" w:rsidRPr="00535BBB">
        <w:rPr>
          <w:rFonts w:ascii="Century Gothic" w:hAnsi="Century Gothic"/>
        </w:rPr>
        <w:t xml:space="preserve">de porter devant le Comité son analyse </w:t>
      </w:r>
      <w:r w:rsidR="00F70702" w:rsidRPr="00535BBB">
        <w:rPr>
          <w:rFonts w:ascii="Century Gothic" w:hAnsi="Century Gothic"/>
        </w:rPr>
        <w:t>de la situation des droits de l’homme en général et des droits civils et politiques au Burkina Faso</w:t>
      </w:r>
      <w:r w:rsidR="00F0584F" w:rsidRPr="00535BBB">
        <w:rPr>
          <w:rFonts w:ascii="Century Gothic" w:hAnsi="Century Gothic"/>
        </w:rPr>
        <w:t xml:space="preserve"> et d’interpeler le gouvernement à cet effet. Réunies au sein </w:t>
      </w:r>
      <w:r w:rsidR="00F70702" w:rsidRPr="00535BBB">
        <w:rPr>
          <w:rFonts w:ascii="Century Gothic" w:hAnsi="Century Gothic"/>
        </w:rPr>
        <w:t>d’une coalition circonstancielle avec l’appui du CCPR</w:t>
      </w:r>
      <w:r w:rsidR="00F0584F" w:rsidRPr="00535BBB">
        <w:rPr>
          <w:rFonts w:ascii="Century Gothic" w:hAnsi="Century Gothic"/>
        </w:rPr>
        <w:t xml:space="preserve"> Centre basé à Genève</w:t>
      </w:r>
      <w:r w:rsidR="00F70702" w:rsidRPr="00535BBB">
        <w:rPr>
          <w:rFonts w:ascii="Century Gothic" w:hAnsi="Century Gothic"/>
        </w:rPr>
        <w:t>, les organisations ci-dessous répertoriées souhaitent porter à l’attention du Comité les points clés contenus dans le p</w:t>
      </w:r>
      <w:r w:rsidR="008C313E" w:rsidRPr="00535BBB">
        <w:rPr>
          <w:rFonts w:ascii="Century Gothic" w:hAnsi="Century Gothic"/>
        </w:rPr>
        <w:t>résent rapport provisoire et sugg</w:t>
      </w:r>
      <w:r w:rsidR="00F70702" w:rsidRPr="00535BBB">
        <w:rPr>
          <w:rFonts w:ascii="Century Gothic" w:hAnsi="Century Gothic"/>
        </w:rPr>
        <w:t xml:space="preserve">èrent </w:t>
      </w:r>
      <w:r w:rsidR="008C313E" w:rsidRPr="00535BBB">
        <w:rPr>
          <w:rFonts w:ascii="Century Gothic" w:hAnsi="Century Gothic"/>
        </w:rPr>
        <w:t>de porter à l’attention du gouvernement</w:t>
      </w:r>
      <w:r w:rsidR="00F70702" w:rsidRPr="00535BBB">
        <w:rPr>
          <w:rFonts w:ascii="Century Gothic" w:hAnsi="Century Gothic"/>
        </w:rPr>
        <w:t xml:space="preserve"> les question</w:t>
      </w:r>
      <w:r w:rsidR="008C313E" w:rsidRPr="00535BBB">
        <w:rPr>
          <w:rFonts w:ascii="Century Gothic" w:hAnsi="Century Gothic"/>
        </w:rPr>
        <w:t>s suivantes :</w:t>
      </w:r>
    </w:p>
    <w:p w14:paraId="640D77F2" w14:textId="77777777" w:rsidR="00F0584F" w:rsidRPr="00535BBB" w:rsidRDefault="00F0584F"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before="240" w:after="0"/>
        <w:jc w:val="both"/>
        <w:rPr>
          <w:rFonts w:ascii="Century Gothic" w:hAnsi="Century Gothic"/>
          <w:szCs w:val="26"/>
        </w:rPr>
      </w:pPr>
      <w:r w:rsidRPr="00535BBB">
        <w:rPr>
          <w:rFonts w:ascii="Century Gothic" w:hAnsi="Century Gothic"/>
          <w:szCs w:val="26"/>
        </w:rPr>
        <w:t>L’insurrection populaire des 30 et 31 octobre 2014 a occasionné des atteintes et violations des droits humains et rien ne semble indiquer que la justice avance sur ces questions. Que compte faire le gouvernement pour élucider ces crimes, situer les responsabilités et indemniser les victimes et leurs ayant-droits ?</w:t>
      </w:r>
    </w:p>
    <w:p w14:paraId="73BF64E3"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Fonts w:ascii="Century Gothic" w:hAnsi="Century Gothic"/>
          <w:szCs w:val="26"/>
        </w:rPr>
      </w:pPr>
      <w:r w:rsidRPr="00535BBB">
        <w:rPr>
          <w:rFonts w:ascii="Century Gothic" w:hAnsi="Century Gothic"/>
          <w:szCs w:val="26"/>
        </w:rPr>
        <w:t xml:space="preserve">Quelles mesures le gouvernement compte-t-il prendre pour surmonter l’obstacle de la loi d’amnistie de 2012 et favoriser la manifestation de la vérité et de la justice sur les crimes économiques et de sang dont on reproche le régime Compaoré ? </w:t>
      </w:r>
    </w:p>
    <w:p w14:paraId="108E60D6"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Fonts w:ascii="Century Gothic" w:hAnsi="Century Gothic"/>
          <w:szCs w:val="26"/>
        </w:rPr>
      </w:pPr>
      <w:r w:rsidRPr="00535BBB">
        <w:rPr>
          <w:rFonts w:ascii="Century Gothic" w:hAnsi="Century Gothic"/>
          <w:szCs w:val="26"/>
        </w:rPr>
        <w:t>Comment faire en sorte que le besoin de réconciliation nationale ne se fasse pas au détriment de l’exigence de justice et de lutte contre l’impunité au Burkina Faso ?</w:t>
      </w:r>
    </w:p>
    <w:p w14:paraId="4125BBB2"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Fonts w:ascii="Century Gothic" w:hAnsi="Century Gothic"/>
          <w:szCs w:val="26"/>
        </w:rPr>
      </w:pPr>
      <w:r w:rsidRPr="00535BBB">
        <w:rPr>
          <w:rFonts w:ascii="Century Gothic" w:hAnsi="Century Gothic"/>
          <w:szCs w:val="26"/>
        </w:rPr>
        <w:t>Dans la dynamique de l’abolition effective de la peine de mort au Burkina Faso, le gouvernement compte-t-il signer et ratifier le deuxième protocole facultatif du pacte y relatif ?</w:t>
      </w:r>
    </w:p>
    <w:p w14:paraId="5F9E8037"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Quelles sont les mesures entreprises par le gouvernement pour la diffusion du PIDCP et des instruments internationaux et régionaux afférents ?</w:t>
      </w:r>
    </w:p>
    <w:p w14:paraId="5EA9B50A"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Que compte faire le gouvernement dans l’optique de l’opérationnalisation du Fonds d’assistance judiciaire ?</w:t>
      </w:r>
    </w:p>
    <w:p w14:paraId="2F933286"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Comment le gouvernement compte-t-il donner effet aux recommandations du Pacte national pour le renouveau de la justice ?</w:t>
      </w:r>
    </w:p>
    <w:p w14:paraId="3D061C1E"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Quelles mesures le gouvernement compte-t-il prendre pour faire en sorte que la CNDH burkinabè se conforme entièrement aux principes de Paris, en particulier assurer son indépendance et son autonomie financière et fonctionnelle vis-à-vis des pouvoirs publics ?</w:t>
      </w:r>
    </w:p>
    <w:p w14:paraId="2E7171C8" w14:textId="77777777" w:rsidR="008C313E" w:rsidRPr="00535BBB" w:rsidRDefault="008C313E"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Face aux difficultés d’exécution des décisions judiciaires, quelles dispositions le gouvernement compte-t-il prendre pour d’une part renforcer l’exécution des décisions, exiger l’exemplarité des responsables publics en la matière et garantir l’égalité de droits et de devoirs devant la loi/la justice ?</w:t>
      </w:r>
    </w:p>
    <w:p w14:paraId="5126D90D" w14:textId="77777777" w:rsidR="00684C0D" w:rsidRPr="00535BBB" w:rsidRDefault="00684C0D"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lastRenderedPageBreak/>
        <w:t>Quelles mesures l’État compte-t-il prendre pour faciliter l’accès à la justice et lever les cr</w:t>
      </w:r>
      <w:r w:rsidR="002D4AF1" w:rsidRPr="00535BBB">
        <w:rPr>
          <w:rStyle w:val="hps"/>
          <w:rFonts w:ascii="Century Gothic" w:hAnsi="Century Gothic"/>
          <w:szCs w:val="26"/>
        </w:rPr>
        <w:t>aintes, les réticences et les-a-</w:t>
      </w:r>
      <w:r w:rsidRPr="00535BBB">
        <w:rPr>
          <w:rStyle w:val="hps"/>
          <w:rFonts w:ascii="Century Gothic" w:hAnsi="Century Gothic"/>
          <w:szCs w:val="26"/>
        </w:rPr>
        <w:t>priori défavorables vis-à-vis de l’institution judiciaire ? </w:t>
      </w:r>
    </w:p>
    <w:p w14:paraId="5A61A7EE" w14:textId="77777777" w:rsidR="00684C0D" w:rsidRPr="00535BBB" w:rsidRDefault="00684C0D"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Considérant le développement important du phénomène de justice privée, notamment les lynchages publics et la constitution de groupes d’auto-défense qui traduisent la désespérance vis-à-vis de la justice d’État, quelles sont les mesures prises ou envisagées pour juguler le phénomène ?</w:t>
      </w:r>
    </w:p>
    <w:p w14:paraId="6F7437FD" w14:textId="77777777" w:rsidR="00684C0D" w:rsidRPr="00535BBB" w:rsidRDefault="00684C0D" w:rsidP="00D060B8">
      <w:pPr>
        <w:pStyle w:val="Grillemoyenne1-Accent21"/>
        <w:numPr>
          <w:ilvl w:val="0"/>
          <w:numId w:val="23"/>
        </w:numPr>
        <w:pBdr>
          <w:top w:val="single" w:sz="4" w:space="1" w:color="auto"/>
          <w:left w:val="single" w:sz="4" w:space="0"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6"/>
        </w:rPr>
        <w:t xml:space="preserve">Quelles mesures l’État </w:t>
      </w:r>
      <w:r w:rsidR="00ED7F4D" w:rsidRPr="00535BBB">
        <w:rPr>
          <w:rStyle w:val="hps"/>
          <w:rFonts w:ascii="Century Gothic" w:hAnsi="Century Gothic"/>
          <w:szCs w:val="26"/>
        </w:rPr>
        <w:t xml:space="preserve">compte-t-il </w:t>
      </w:r>
      <w:r w:rsidRPr="00535BBB">
        <w:rPr>
          <w:rStyle w:val="hps"/>
          <w:rFonts w:ascii="Century Gothic" w:hAnsi="Century Gothic"/>
          <w:szCs w:val="26"/>
        </w:rPr>
        <w:t>prendre pour lutter contre la corruption dans le milieu judiciaire ?</w:t>
      </w:r>
    </w:p>
    <w:p w14:paraId="5894DFA4" w14:textId="77777777" w:rsidR="00BA2F43"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Quelles sont les mesures envisagées ou entreprises par le gouvernement pour pallier aux conflits intercommunautaires ?</w:t>
      </w:r>
    </w:p>
    <w:p w14:paraId="625484CC"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Quelles suites judiciaires le gouvernement entend-il donner aux conflits intercommunautaires et comment éviter qu’au nom de la paix, l’impunité ne se perpétue à travers de tels conflits ?</w:t>
      </w:r>
    </w:p>
    <w:p w14:paraId="5F77675D"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Quelles mesures fortes le gouvernement compte-t-il prendre pour mettre un terme au développement du phénomène des groupes d’auto-défense ?</w:t>
      </w:r>
    </w:p>
    <w:p w14:paraId="02C55226"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Quelles mesures, le gouvernement entend-il prendre afin d’éviter une recrudescence des lynchages publics et exécutions extrajudiciaires ?</w:t>
      </w:r>
    </w:p>
    <w:p w14:paraId="66ED3CD7"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Quelles actions le gouvernement entend-il mener pour répondre au besoin de justice pour les victimes par balles réelles lors de l’insurrection populaire d’octobre 2014 ? Est-il envisagé une commission d’enquête indépendante et impartiale pour élucider les événements ?</w:t>
      </w:r>
    </w:p>
    <w:p w14:paraId="3643F76C"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 xml:space="preserve">Que compte faire le gouvernement pour renforcer la </w:t>
      </w:r>
      <w:proofErr w:type="spellStart"/>
      <w:r w:rsidRPr="00535BBB">
        <w:rPr>
          <w:rStyle w:val="hps"/>
          <w:rFonts w:ascii="Century Gothic" w:hAnsi="Century Gothic"/>
          <w:szCs w:val="26"/>
        </w:rPr>
        <w:t>justiciabilité</w:t>
      </w:r>
      <w:proofErr w:type="spellEnd"/>
      <w:r w:rsidRPr="00535BBB">
        <w:rPr>
          <w:rStyle w:val="hps"/>
          <w:rFonts w:ascii="Century Gothic" w:hAnsi="Century Gothic"/>
          <w:szCs w:val="26"/>
        </w:rPr>
        <w:t xml:space="preserve"> des militaires au regard de la forte implication du ministère de la défense dans l’opportunité des poursuites lorsque des éléments de forces de défense sont en cause ?</w:t>
      </w:r>
    </w:p>
    <w:p w14:paraId="6877C99E"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 type de mécanisme le gouvernement juge-t-il opportun de mettre en place pour réguler/contrôler le port et de l’utilisation des armes par les forces de défense et de sécurité ainsi que par les particuliers en vue de juguler les questions de l’insécurité et de l’usage abusif et excessif de la force ?</w:t>
      </w:r>
    </w:p>
    <w:p w14:paraId="567E9501"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6"/>
        </w:rPr>
      </w:pPr>
      <w:r w:rsidRPr="00535BBB">
        <w:rPr>
          <w:rStyle w:val="hps"/>
          <w:rFonts w:ascii="Century Gothic" w:hAnsi="Century Gothic"/>
          <w:szCs w:val="26"/>
        </w:rPr>
        <w:t>Quelles mesures le gouvernement entend-il prendre en vue de l’amélioration des conditions de détention des détenus et l’application de peines alternatives à l’emprisonnement au Burkina Faso ?</w:t>
      </w:r>
    </w:p>
    <w:p w14:paraId="512722B3"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Fonts w:ascii="Century Gothic" w:hAnsi="Century Gothic"/>
          <w:szCs w:val="26"/>
        </w:rPr>
      </w:pPr>
      <w:r w:rsidRPr="00535BBB">
        <w:rPr>
          <w:rStyle w:val="hps"/>
          <w:rFonts w:ascii="Century Gothic" w:hAnsi="Century Gothic"/>
          <w:szCs w:val="26"/>
        </w:rPr>
        <w:t>Quelles réponses adéquates le gouvernement peut-il apporter à la persistance des cas de torture dans les lieux de détentions au Burkina Faso</w:t>
      </w:r>
    </w:p>
    <w:p w14:paraId="656B16F9" w14:textId="77777777" w:rsidR="00220E6A" w:rsidRPr="00535BBB" w:rsidRDefault="00220E6A" w:rsidP="00D060B8">
      <w:pPr>
        <w:pStyle w:val="Listecouleur-Accent12"/>
        <w:numPr>
          <w:ilvl w:val="0"/>
          <w:numId w:val="23"/>
        </w:numPr>
        <w:pBdr>
          <w:top w:val="single" w:sz="4" w:space="1" w:color="auto"/>
          <w:left w:val="single" w:sz="4" w:space="0"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Courant 2014, la sous-région ouest africaine a été secouée par une affaire de trafic de bébé et des personnalités burkinabè ont été citées. Qu’est-ce que le gouvernement a pris comme mesure pour faire la lumière sur cette affaire, pour juguler ou prévenir le phénomène ?</w:t>
      </w:r>
    </w:p>
    <w:p w14:paraId="585D4884" w14:textId="77777777" w:rsidR="00220E6A" w:rsidRPr="00535BBB" w:rsidRDefault="00220E6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 xml:space="preserve">Quelles stratégies nouvelles envisage le gouvernement pour faire face à la persistance du phénomène des </w:t>
      </w:r>
      <w:r w:rsidR="00BD4546" w:rsidRPr="00535BBB">
        <w:rPr>
          <w:rStyle w:val="hps"/>
          <w:rFonts w:ascii="Century Gothic" w:hAnsi="Century Gothic"/>
          <w:szCs w:val="24"/>
        </w:rPr>
        <w:t>mutilations génitales féminines (</w:t>
      </w:r>
      <w:r w:rsidRPr="00535BBB">
        <w:rPr>
          <w:rStyle w:val="hps"/>
          <w:rFonts w:ascii="Century Gothic" w:hAnsi="Century Gothic"/>
          <w:szCs w:val="24"/>
        </w:rPr>
        <w:t>MGF</w:t>
      </w:r>
      <w:r w:rsidR="00BD4546" w:rsidRPr="00535BBB">
        <w:rPr>
          <w:rStyle w:val="hps"/>
          <w:rFonts w:ascii="Century Gothic" w:hAnsi="Century Gothic"/>
          <w:szCs w:val="24"/>
        </w:rPr>
        <w:t>)</w:t>
      </w:r>
      <w:r w:rsidRPr="00535BBB">
        <w:rPr>
          <w:rStyle w:val="hps"/>
          <w:rFonts w:ascii="Century Gothic" w:hAnsi="Century Gothic"/>
          <w:szCs w:val="24"/>
        </w:rPr>
        <w:t>?</w:t>
      </w:r>
    </w:p>
    <w:p w14:paraId="0DB3C5AD" w14:textId="77777777" w:rsidR="00220E6A" w:rsidRPr="00535BBB" w:rsidRDefault="00220E6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sont les mesures envisagées pour vulgariser la loi contre la torture ?</w:t>
      </w:r>
    </w:p>
    <w:p w14:paraId="44B32988" w14:textId="77777777" w:rsidR="00220E6A" w:rsidRPr="00535BBB" w:rsidRDefault="00220E6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sont les mesures envisagées pour répondre à la problématique du travail domestique et en particulier de l’exploitation des enfants, des jeunes filles dans un tel contexte ?</w:t>
      </w:r>
    </w:p>
    <w:p w14:paraId="284D1C47" w14:textId="77777777" w:rsidR="00684C0D" w:rsidRPr="00535BBB" w:rsidRDefault="00220E6A" w:rsidP="00D060B8">
      <w:pPr>
        <w:pStyle w:val="Grillemoyenne1-Accent21"/>
        <w:numPr>
          <w:ilvl w:val="0"/>
          <w:numId w:val="23"/>
        </w:numPr>
        <w:pBdr>
          <w:top w:val="single" w:sz="4" w:space="1" w:color="auto"/>
          <w:left w:val="single" w:sz="4" w:space="4" w:color="auto"/>
          <w:bottom w:val="single" w:sz="4" w:space="1" w:color="auto"/>
          <w:right w:val="single" w:sz="4" w:space="4" w:color="auto"/>
        </w:pBdr>
        <w:shd w:val="clear" w:color="auto" w:fill="EEECE1"/>
        <w:spacing w:after="0"/>
        <w:jc w:val="both"/>
        <w:rPr>
          <w:rStyle w:val="hps"/>
          <w:rFonts w:ascii="Century Gothic" w:hAnsi="Century Gothic"/>
          <w:szCs w:val="26"/>
        </w:rPr>
      </w:pPr>
      <w:r w:rsidRPr="00535BBB">
        <w:rPr>
          <w:rStyle w:val="hps"/>
          <w:rFonts w:ascii="Century Gothic" w:hAnsi="Century Gothic"/>
          <w:szCs w:val="24"/>
        </w:rPr>
        <w:lastRenderedPageBreak/>
        <w:t>Comment est-ce le gouvernement entend-il opérationnaliser l’observatoire des lieux de détention ?</w:t>
      </w:r>
    </w:p>
    <w:p w14:paraId="3142896A"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mesures le gouvernement compte-t-il prendre pour améliorer la prise en charge des déplacées internes, notamment celles victimes des conflits intercommunautaires ?</w:t>
      </w:r>
    </w:p>
    <w:p w14:paraId="609E7522"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De nombreux burkinabè ont été rapatriés du Gabon, de Libye, du Nigeria, de Guinée équatoriale dans des conditions particulièrement éprouvantes. Quelles mesures et moyens d’accompagnement le gouvernement compte-t-il mettre en place pour faciliter la réinsertion sociale les personnes rapatriées ?</w:t>
      </w:r>
    </w:p>
    <w:p w14:paraId="3A007A16"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contextualSpacing/>
        <w:jc w:val="both"/>
        <w:rPr>
          <w:rFonts w:ascii="Century Gothic" w:hAnsi="Century Gothic"/>
          <w:szCs w:val="24"/>
        </w:rPr>
      </w:pPr>
      <w:r w:rsidRPr="00535BBB">
        <w:rPr>
          <w:rFonts w:ascii="Century Gothic" w:hAnsi="Century Gothic"/>
          <w:szCs w:val="24"/>
        </w:rPr>
        <w:t>Le gouvernement peut-il donner des clarifications sur les conditions et la procédure à suivre pour aboutir à une interruption, fut-elle momentanée des communications par messagerie à la demande d’une autorité publique ?</w:t>
      </w:r>
    </w:p>
    <w:p w14:paraId="3F586493"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contextualSpacing/>
        <w:jc w:val="both"/>
        <w:rPr>
          <w:rStyle w:val="hps"/>
          <w:rFonts w:ascii="Century Gothic" w:hAnsi="Century Gothic"/>
          <w:szCs w:val="24"/>
        </w:rPr>
      </w:pPr>
      <w:r w:rsidRPr="00535BBB">
        <w:rPr>
          <w:rStyle w:val="hps"/>
          <w:rFonts w:ascii="Century Gothic" w:hAnsi="Century Gothic"/>
          <w:szCs w:val="24"/>
        </w:rPr>
        <w:t>Dans quelle mesure les procédures ou mécanismes de restrictions/coupures de moyens de communication pourraient-elles être mieux encadré pour éviter les abus ?</w:t>
      </w:r>
    </w:p>
    <w:p w14:paraId="3D17394A"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Fonts w:ascii="Century Gothic" w:eastAsia="Times New Roman" w:hAnsi="Century Gothic"/>
          <w:szCs w:val="24"/>
          <w:lang w:eastAsia="fr-FR"/>
        </w:rPr>
      </w:pPr>
      <w:r w:rsidRPr="00535BBB">
        <w:rPr>
          <w:rFonts w:ascii="Century Gothic" w:eastAsia="Times New Roman" w:hAnsi="Century Gothic"/>
          <w:szCs w:val="24"/>
          <w:lang w:eastAsia="fr-FR"/>
        </w:rPr>
        <w:t xml:space="preserve">Dans quelle mesure le Gouvernement lui-même donne-t-il l’exemple en termes de respect des droits des personnes en matière de traitement de leurs données ? </w:t>
      </w:r>
    </w:p>
    <w:p w14:paraId="3EFD9636"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Fonts w:ascii="Century Gothic" w:eastAsia="Times New Roman" w:hAnsi="Century Gothic"/>
          <w:szCs w:val="24"/>
          <w:lang w:eastAsia="fr-FR"/>
        </w:rPr>
      </w:pPr>
      <w:r w:rsidRPr="00535BBB">
        <w:rPr>
          <w:rFonts w:ascii="Century Gothic" w:eastAsia="Times New Roman" w:hAnsi="Century Gothic"/>
          <w:szCs w:val="24"/>
          <w:lang w:eastAsia="fr-FR"/>
        </w:rPr>
        <w:t xml:space="preserve">Qu’en est-il de la pratique des administrations publiques en matière de création de fichiers et de respect des procédures imposées par la loi ? </w:t>
      </w:r>
    </w:p>
    <w:p w14:paraId="217876A7" w14:textId="77777777" w:rsidR="00CC0CDA" w:rsidRPr="00535BBB" w:rsidRDefault="00CC0CDA"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eastAsia="Times New Roman" w:hAnsi="Century Gothic"/>
          <w:szCs w:val="24"/>
          <w:lang w:eastAsia="fr-FR"/>
        </w:rPr>
      </w:pPr>
      <w:r w:rsidRPr="00535BBB">
        <w:rPr>
          <w:rFonts w:ascii="Century Gothic" w:eastAsia="Times New Roman" w:hAnsi="Century Gothic"/>
          <w:szCs w:val="24"/>
          <w:lang w:eastAsia="fr-FR"/>
        </w:rPr>
        <w:t>Dans quelle mesure le gouvernement respecte-t-il les délibérations de la Commission ?</w:t>
      </w:r>
    </w:p>
    <w:p w14:paraId="256CA0C3" w14:textId="77777777" w:rsidR="003D1EAD" w:rsidRPr="00535BBB" w:rsidRDefault="003D1EAD"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Quels sont les mécanismes mis en place pour s’assurer de l’effectivité de l’accès équitable de toutes les tendances politiques aux médias publics ?</w:t>
      </w:r>
    </w:p>
    <w:p w14:paraId="5360263D" w14:textId="77777777" w:rsidR="003D1EAD" w:rsidRPr="00535BBB" w:rsidRDefault="003D1EAD"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 xml:space="preserve">Après les répressions des manifestations publiques pacifiques, où en est-on avec les enquêtes visant à identifier et sanctionner les responsables des exactions commises ? </w:t>
      </w:r>
    </w:p>
    <w:p w14:paraId="2AA7E45A" w14:textId="77777777" w:rsidR="003D1EAD" w:rsidRPr="00535BBB" w:rsidRDefault="003D1EAD"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mesures le gouvernement compte-t-il prendre pour initier des enquêtes sérieuses et transparentes en vue de traduire de façon effective devant les tribunaux les auteurs de tueries constatées lors des évènements de Koudougou (2011) et lors de l’insurrection populaire d’octobre-Novembre 2014 ?</w:t>
      </w:r>
    </w:p>
    <w:p w14:paraId="05F023A5" w14:textId="77777777" w:rsidR="003D1EAD" w:rsidRPr="00535BBB" w:rsidRDefault="003D1EAD"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mesures le gouvernement compte-t-il prendre pour assurer un contrôle efficace et effectif du port des armes par les fonctionnaires et agents autorisés à porter des armes, notamment en dehors des heures de service ?</w:t>
      </w:r>
    </w:p>
    <w:p w14:paraId="68942756" w14:textId="77777777" w:rsidR="003D1EAD" w:rsidRPr="00535BBB" w:rsidRDefault="003D1EAD"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w:t>
      </w:r>
      <w:r w:rsidR="002D4AF1" w:rsidRPr="00535BBB">
        <w:rPr>
          <w:rStyle w:val="hps"/>
          <w:rFonts w:ascii="Century Gothic" w:hAnsi="Century Gothic"/>
          <w:szCs w:val="24"/>
        </w:rPr>
        <w:t xml:space="preserve"> mesures le gouvernement entend-</w:t>
      </w:r>
      <w:r w:rsidRPr="00535BBB">
        <w:rPr>
          <w:rStyle w:val="hps"/>
          <w:rFonts w:ascii="Century Gothic" w:hAnsi="Century Gothic"/>
          <w:szCs w:val="24"/>
        </w:rPr>
        <w:t>il adopter pour une meilleure règlementation de l’implantation des lieux de culte et pour un exercice de la liberté religieuse respectueux des droits des personnes ?</w:t>
      </w:r>
    </w:p>
    <w:p w14:paraId="16B60981" w14:textId="77777777" w:rsidR="003D1EAD" w:rsidRPr="00535BBB" w:rsidRDefault="003D1EAD"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 compte faire le gouvernement pour éviter à l’avenir des atteintes à la liberté de la presse, et les excès de pouvoir de la part des institutions comme le CSC qui sont sensés la promouvoir ?</w:t>
      </w:r>
    </w:p>
    <w:p w14:paraId="6097459F" w14:textId="77777777" w:rsidR="00610405" w:rsidRPr="00535BBB" w:rsidRDefault="00610405"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sont les mesures que le gouvernement compte prendre pour vulgariser l’utilisation du braille et le langage des signes dans les établissements d’enseignement publics et à quelle échéance ?</w:t>
      </w:r>
    </w:p>
    <w:p w14:paraId="2656C19A" w14:textId="77777777" w:rsidR="00610405" w:rsidRPr="00535BBB" w:rsidRDefault="00610405"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lastRenderedPageBreak/>
        <w:t>Quelles sont les mesures que le gouvernement entend prendre pour faciliter l’accès à l’éducation et à l’emploi aux personnes handicapées ainsi que leur insertion sociale effective ?</w:t>
      </w:r>
    </w:p>
    <w:p w14:paraId="694DE671" w14:textId="77777777" w:rsidR="00610405" w:rsidRPr="00535BBB" w:rsidRDefault="00610405"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suites judiciaires le gouvernement entend-il donner aux différentes interpellations qui ont été opérées et aux accusations qui ont été portées contre des acteurs politiques membres de l’ancienne majorité ?</w:t>
      </w:r>
    </w:p>
    <w:p w14:paraId="6C8E7169" w14:textId="77777777" w:rsidR="00BD4546" w:rsidRPr="00535BBB" w:rsidRDefault="00BD4546"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Quels sont les mécanismes de renforcement de la mise en œuvre effective de la loi sur le quota genre dans les affaires publiques ?</w:t>
      </w:r>
    </w:p>
    <w:p w14:paraId="2FA1CCB8" w14:textId="77777777" w:rsidR="00BD4546" w:rsidRPr="00535BBB" w:rsidRDefault="00BD4546"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sont les mesures concrètes que le gouvernement compte prendre lutter contre les mariages forcés/précoces, promouvoir le libre choix, et le pouvoir de décision des femmes ?</w:t>
      </w:r>
    </w:p>
    <w:p w14:paraId="6D37872F" w14:textId="77777777" w:rsidR="00BD4546" w:rsidRPr="00535BBB" w:rsidRDefault="00BD4546"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Style w:val="hps"/>
          <w:rFonts w:ascii="Century Gothic" w:hAnsi="Century Gothic"/>
          <w:szCs w:val="24"/>
        </w:rPr>
      </w:pPr>
      <w:r w:rsidRPr="00535BBB">
        <w:rPr>
          <w:rStyle w:val="hps"/>
          <w:rFonts w:ascii="Century Gothic" w:hAnsi="Century Gothic"/>
          <w:szCs w:val="24"/>
        </w:rPr>
        <w:t>Quelles sont les actions efficaces que le gouvernement entend mener pour lutter contre les violences et les discriminations basées sur le genre ?</w:t>
      </w:r>
    </w:p>
    <w:p w14:paraId="0649F5D6" w14:textId="77777777" w:rsidR="00BD4546" w:rsidRPr="00535BBB" w:rsidRDefault="00BD4546" w:rsidP="00D060B8">
      <w:pPr>
        <w:pStyle w:val="Listecouleur-Accent12"/>
        <w:numPr>
          <w:ilvl w:val="0"/>
          <w:numId w:val="23"/>
        </w:numPr>
        <w:pBdr>
          <w:top w:val="single" w:sz="4" w:space="1" w:color="auto"/>
          <w:left w:val="single" w:sz="4" w:space="4" w:color="auto"/>
          <w:bottom w:val="single" w:sz="4" w:space="1" w:color="auto"/>
          <w:right w:val="single" w:sz="4" w:space="4" w:color="auto"/>
        </w:pBdr>
        <w:shd w:val="clear" w:color="auto" w:fill="EEECE1"/>
        <w:spacing w:after="0"/>
        <w:contextualSpacing/>
        <w:jc w:val="both"/>
        <w:rPr>
          <w:rFonts w:ascii="Century Gothic" w:hAnsi="Century Gothic"/>
          <w:szCs w:val="24"/>
        </w:rPr>
      </w:pPr>
      <w:r w:rsidRPr="00535BBB">
        <w:rPr>
          <w:rStyle w:val="hps"/>
          <w:rFonts w:ascii="Century Gothic" w:hAnsi="Century Gothic"/>
          <w:szCs w:val="24"/>
        </w:rPr>
        <w:t>Comment le gouvernement compte juguler efficacement la question des unions qui sont les formes les plus répandues de mariage mais qui malheureusement ne sont pas reconnus comme tels par la législation burkinabè ?</w:t>
      </w:r>
    </w:p>
    <w:p w14:paraId="5E68CB9C" w14:textId="77777777" w:rsidR="006C3EE1" w:rsidRPr="00535BBB" w:rsidRDefault="006C3EE1" w:rsidP="006C3EE1">
      <w:pPr>
        <w:rPr>
          <w:rStyle w:val="hps"/>
          <w:rFonts w:ascii="Century Gothic" w:hAnsi="Century Gothic"/>
          <w:sz w:val="24"/>
          <w:szCs w:val="26"/>
        </w:rPr>
      </w:pPr>
    </w:p>
    <w:p w14:paraId="75581AB4" w14:textId="77777777" w:rsidR="00F0584F" w:rsidRPr="00535BBB" w:rsidRDefault="00535BBB" w:rsidP="006C3EE1">
      <w:pPr>
        <w:rPr>
          <w:rStyle w:val="hps"/>
          <w:rFonts w:ascii="Century Gothic" w:hAnsi="Century Gothic"/>
          <w:sz w:val="24"/>
          <w:szCs w:val="26"/>
        </w:rPr>
      </w:pPr>
      <w:r>
        <w:rPr>
          <w:rStyle w:val="hps"/>
          <w:rFonts w:ascii="Century Gothic" w:hAnsi="Century Gothic"/>
          <w:sz w:val="24"/>
          <w:szCs w:val="26"/>
        </w:rPr>
        <w:br w:type="page"/>
      </w:r>
    </w:p>
    <w:p w14:paraId="50054EF8" w14:textId="77777777" w:rsidR="00F0584F" w:rsidRPr="00535BBB" w:rsidRDefault="00F0584F" w:rsidP="006C3EE1">
      <w:pPr>
        <w:rPr>
          <w:rStyle w:val="hps"/>
          <w:rFonts w:ascii="Century Gothic" w:hAnsi="Century Gothic"/>
          <w:sz w:val="24"/>
          <w:szCs w:val="26"/>
        </w:rPr>
      </w:pPr>
    </w:p>
    <w:p w14:paraId="76B3695D" w14:textId="77777777" w:rsidR="0067547C" w:rsidRPr="00D47373" w:rsidRDefault="0067547C" w:rsidP="009E77B5">
      <w:pPr>
        <w:numPr>
          <w:ilvl w:val="0"/>
          <w:numId w:val="2"/>
        </w:numPr>
        <w:spacing w:line="360" w:lineRule="auto"/>
        <w:contextualSpacing/>
        <w:jc w:val="both"/>
        <w:outlineLvl w:val="0"/>
        <w:rPr>
          <w:rFonts w:ascii="Century Gothic" w:hAnsi="Century Gothic"/>
          <w:b/>
          <w:sz w:val="28"/>
          <w:szCs w:val="28"/>
        </w:rPr>
      </w:pPr>
      <w:bookmarkStart w:id="2" w:name="_Toc426711278"/>
      <w:r w:rsidRPr="00D47373">
        <w:rPr>
          <w:rFonts w:ascii="Century Gothic" w:hAnsi="Century Gothic"/>
          <w:b/>
          <w:sz w:val="28"/>
          <w:szCs w:val="28"/>
        </w:rPr>
        <w:t>Les organisations participantes à la préparation du rapport</w:t>
      </w:r>
      <w:bookmarkEnd w:id="2"/>
    </w:p>
    <w:p w14:paraId="5BDE1CDB" w14:textId="77777777" w:rsidR="0067547C" w:rsidRPr="00535BBB" w:rsidRDefault="0067547C" w:rsidP="009E77B5">
      <w:pPr>
        <w:numPr>
          <w:ilvl w:val="0"/>
          <w:numId w:val="1"/>
        </w:numPr>
        <w:spacing w:after="0" w:line="360" w:lineRule="auto"/>
        <w:contextualSpacing/>
        <w:jc w:val="both"/>
        <w:rPr>
          <w:rFonts w:ascii="Century Gothic" w:hAnsi="Century Gothic"/>
          <w:sz w:val="20"/>
          <w:szCs w:val="20"/>
        </w:rPr>
      </w:pPr>
      <w:r w:rsidRPr="00535BBB">
        <w:rPr>
          <w:rFonts w:ascii="Century Gothic" w:hAnsi="Century Gothic"/>
          <w:b/>
          <w:sz w:val="20"/>
          <w:szCs w:val="20"/>
        </w:rPr>
        <w:t>Centre d’information et de formation en matière de droits humains en Afrique (CIFDHA)</w:t>
      </w:r>
    </w:p>
    <w:p w14:paraId="7305D200" w14:textId="77777777" w:rsidR="0067547C" w:rsidRPr="00535BBB" w:rsidRDefault="0067547C" w:rsidP="009E77B5">
      <w:pPr>
        <w:spacing w:after="0" w:line="360" w:lineRule="auto"/>
        <w:ind w:left="720"/>
        <w:jc w:val="both"/>
        <w:rPr>
          <w:rFonts w:ascii="Century Gothic" w:hAnsi="Century Gothic"/>
          <w:sz w:val="20"/>
          <w:szCs w:val="20"/>
        </w:rPr>
      </w:pPr>
      <w:r w:rsidRPr="00535BBB">
        <w:rPr>
          <w:rFonts w:ascii="Century Gothic" w:hAnsi="Century Gothic"/>
          <w:sz w:val="20"/>
          <w:szCs w:val="20"/>
        </w:rPr>
        <w:t xml:space="preserve">Adresse : 09 BP 1339 Ouagadougou 09 Burkina Faso. </w:t>
      </w:r>
    </w:p>
    <w:p w14:paraId="41563F0A" w14:textId="77777777" w:rsidR="0067547C" w:rsidRPr="00535BBB" w:rsidRDefault="0067547C" w:rsidP="009E77B5">
      <w:pPr>
        <w:spacing w:after="0" w:line="360" w:lineRule="auto"/>
        <w:ind w:left="720"/>
        <w:jc w:val="both"/>
        <w:rPr>
          <w:rFonts w:ascii="Century Gothic" w:hAnsi="Century Gothic"/>
          <w:sz w:val="20"/>
          <w:szCs w:val="20"/>
        </w:rPr>
      </w:pPr>
      <w:r w:rsidRPr="00535BBB">
        <w:rPr>
          <w:rFonts w:ascii="Century Gothic" w:hAnsi="Century Gothic"/>
          <w:sz w:val="20"/>
          <w:szCs w:val="20"/>
        </w:rPr>
        <w:t xml:space="preserve">Email : </w:t>
      </w:r>
      <w:hyperlink r:id="rId9" w:history="1">
        <w:r w:rsidRPr="00535BBB">
          <w:rPr>
            <w:rStyle w:val="Lienhypertexte"/>
            <w:rFonts w:ascii="Century Gothic" w:hAnsi="Century Gothic"/>
            <w:sz w:val="20"/>
            <w:szCs w:val="20"/>
          </w:rPr>
          <w:t>cifdha.bf@cifdha.org</w:t>
        </w:r>
      </w:hyperlink>
    </w:p>
    <w:p w14:paraId="24BD31FC" w14:textId="77777777" w:rsidR="0067547C" w:rsidRPr="00535BBB" w:rsidRDefault="0067547C" w:rsidP="009E77B5">
      <w:pPr>
        <w:spacing w:after="100" w:afterAutospacing="1" w:line="360" w:lineRule="auto"/>
        <w:ind w:left="720"/>
        <w:jc w:val="both"/>
        <w:rPr>
          <w:rFonts w:ascii="Century Gothic" w:hAnsi="Century Gothic"/>
          <w:sz w:val="20"/>
          <w:szCs w:val="20"/>
        </w:rPr>
      </w:pPr>
      <w:r w:rsidRPr="00535BBB">
        <w:rPr>
          <w:rFonts w:ascii="Century Gothic" w:hAnsi="Century Gothic"/>
          <w:sz w:val="20"/>
          <w:szCs w:val="20"/>
        </w:rPr>
        <w:t xml:space="preserve">Tel : </w:t>
      </w:r>
      <w:r w:rsidR="005E65B8" w:rsidRPr="00535BBB">
        <w:rPr>
          <w:rFonts w:ascii="Century Gothic" w:hAnsi="Century Gothic"/>
          <w:sz w:val="20"/>
          <w:szCs w:val="20"/>
        </w:rPr>
        <w:t xml:space="preserve">(+226) </w:t>
      </w:r>
      <w:r w:rsidRPr="00535BBB">
        <w:rPr>
          <w:rFonts w:ascii="Century Gothic" w:hAnsi="Century Gothic"/>
          <w:sz w:val="20"/>
          <w:szCs w:val="20"/>
        </w:rPr>
        <w:t xml:space="preserve">25 50 64 65 / </w:t>
      </w:r>
      <w:r w:rsidR="005E65B8" w:rsidRPr="00535BBB">
        <w:rPr>
          <w:rFonts w:ascii="Century Gothic" w:hAnsi="Century Gothic"/>
          <w:sz w:val="20"/>
          <w:szCs w:val="20"/>
        </w:rPr>
        <w:t xml:space="preserve">(+226) </w:t>
      </w:r>
      <w:r w:rsidRPr="00535BBB">
        <w:rPr>
          <w:rFonts w:ascii="Century Gothic" w:hAnsi="Century Gothic"/>
          <w:sz w:val="20"/>
          <w:szCs w:val="20"/>
        </w:rPr>
        <w:t>25 36 75 25</w:t>
      </w:r>
    </w:p>
    <w:p w14:paraId="093351BD" w14:textId="77777777" w:rsidR="0067547C" w:rsidRPr="00535BBB" w:rsidRDefault="0067547C" w:rsidP="009E77B5">
      <w:pPr>
        <w:numPr>
          <w:ilvl w:val="0"/>
          <w:numId w:val="1"/>
        </w:numPr>
        <w:spacing w:before="100" w:beforeAutospacing="1" w:after="0" w:line="360" w:lineRule="auto"/>
        <w:contextualSpacing/>
        <w:jc w:val="both"/>
        <w:rPr>
          <w:rFonts w:ascii="Century Gothic" w:hAnsi="Century Gothic"/>
          <w:b/>
          <w:sz w:val="20"/>
          <w:szCs w:val="20"/>
          <w:lang w:val="en-US"/>
        </w:rPr>
      </w:pPr>
      <w:r w:rsidRPr="00535BBB">
        <w:rPr>
          <w:rFonts w:ascii="Century Gothic" w:hAnsi="Century Gothic"/>
          <w:b/>
          <w:sz w:val="20"/>
          <w:szCs w:val="20"/>
          <w:lang w:val="en-US"/>
        </w:rPr>
        <w:t>Amnesty International Burkina Faso (AIBF) </w:t>
      </w:r>
    </w:p>
    <w:p w14:paraId="10D37430" w14:textId="77777777" w:rsidR="005E65B8"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 xml:space="preserve">Adresse : Avenue Houari </w:t>
      </w:r>
      <w:proofErr w:type="spellStart"/>
      <w:r w:rsidRPr="00535BBB">
        <w:rPr>
          <w:rFonts w:ascii="Century Gothic" w:hAnsi="Century Gothic"/>
          <w:sz w:val="20"/>
          <w:szCs w:val="20"/>
        </w:rPr>
        <w:t>Boumedienne</w:t>
      </w:r>
      <w:proofErr w:type="spellEnd"/>
      <w:r w:rsidRPr="00535BBB">
        <w:rPr>
          <w:rFonts w:ascii="Century Gothic" w:hAnsi="Century Gothic"/>
          <w:sz w:val="20"/>
          <w:szCs w:val="20"/>
        </w:rPr>
        <w:t xml:space="preserve">, Koulouba. </w:t>
      </w:r>
    </w:p>
    <w:p w14:paraId="1B1D1594" w14:textId="77777777" w:rsidR="0067547C"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08 BP 11344 Ouagadougou 08</w:t>
      </w:r>
    </w:p>
    <w:p w14:paraId="45D194D3" w14:textId="77777777" w:rsidR="006001B6" w:rsidRPr="00535BBB" w:rsidRDefault="0067547C" w:rsidP="009E77B5">
      <w:pPr>
        <w:spacing w:after="0" w:line="360" w:lineRule="auto"/>
        <w:ind w:left="720"/>
        <w:jc w:val="both"/>
        <w:rPr>
          <w:rFonts w:ascii="Century Gothic" w:hAnsi="Century Gothic"/>
          <w:sz w:val="20"/>
          <w:szCs w:val="20"/>
        </w:rPr>
      </w:pPr>
      <w:r w:rsidRPr="00535BBB">
        <w:rPr>
          <w:rFonts w:ascii="Century Gothic" w:hAnsi="Century Gothic"/>
          <w:sz w:val="20"/>
          <w:szCs w:val="20"/>
        </w:rPr>
        <w:t>Email :</w:t>
      </w:r>
      <w:r w:rsidR="009E77B5" w:rsidRPr="00535BBB">
        <w:rPr>
          <w:rFonts w:ascii="Century Gothic" w:hAnsi="Century Gothic"/>
          <w:sz w:val="20"/>
          <w:szCs w:val="20"/>
        </w:rPr>
        <w:t xml:space="preserve"> </w:t>
      </w:r>
      <w:hyperlink r:id="rId10" w:history="1">
        <w:r w:rsidR="00EE5FF1" w:rsidRPr="00535BBB">
          <w:rPr>
            <w:rStyle w:val="Lienhypertexte"/>
            <w:rFonts w:ascii="Century Gothic" w:hAnsi="Century Gothic"/>
            <w:sz w:val="20"/>
            <w:szCs w:val="20"/>
          </w:rPr>
          <w:t>aiburkina@fasonet.bf</w:t>
        </w:r>
      </w:hyperlink>
      <w:r w:rsidRPr="00535BBB">
        <w:rPr>
          <w:rFonts w:ascii="Century Gothic" w:hAnsi="Century Gothic"/>
          <w:sz w:val="20"/>
          <w:szCs w:val="20"/>
        </w:rPr>
        <w:tab/>
      </w:r>
      <w:r w:rsidR="00484BA7">
        <w:rPr>
          <w:rFonts w:ascii="Century Gothic" w:hAnsi="Century Gothic"/>
          <w:sz w:val="20"/>
          <w:szCs w:val="20"/>
        </w:rPr>
        <w:t xml:space="preserve">/ </w:t>
      </w:r>
      <w:hyperlink r:id="rId11" w:history="1">
        <w:r w:rsidR="00484BA7" w:rsidRPr="00266B40">
          <w:rPr>
            <w:rStyle w:val="Lienhypertexte"/>
            <w:rFonts w:ascii="Century Gothic" w:hAnsi="Century Gothic"/>
            <w:sz w:val="20"/>
            <w:szCs w:val="20"/>
          </w:rPr>
          <w:t>aiburkina@amnestyburkina.org</w:t>
        </w:r>
      </w:hyperlink>
      <w:r w:rsidR="00484BA7">
        <w:rPr>
          <w:rFonts w:ascii="Century Gothic" w:hAnsi="Century Gothic"/>
          <w:sz w:val="20"/>
          <w:szCs w:val="20"/>
        </w:rPr>
        <w:t xml:space="preserve"> </w:t>
      </w:r>
    </w:p>
    <w:p w14:paraId="14473620" w14:textId="77777777" w:rsidR="00484BA7" w:rsidRPr="00535BBB" w:rsidRDefault="0067547C" w:rsidP="009E77B5">
      <w:pPr>
        <w:spacing w:line="360" w:lineRule="auto"/>
        <w:ind w:left="720"/>
        <w:jc w:val="both"/>
        <w:rPr>
          <w:rFonts w:ascii="Century Gothic" w:hAnsi="Century Gothic"/>
          <w:sz w:val="20"/>
          <w:szCs w:val="20"/>
        </w:rPr>
      </w:pPr>
      <w:r w:rsidRPr="00535BBB">
        <w:rPr>
          <w:rFonts w:ascii="Century Gothic" w:hAnsi="Century Gothic"/>
          <w:sz w:val="20"/>
          <w:szCs w:val="20"/>
        </w:rPr>
        <w:t xml:space="preserve">Tel : </w:t>
      </w:r>
      <w:r w:rsidR="005E65B8" w:rsidRPr="00535BBB">
        <w:rPr>
          <w:rFonts w:ascii="Century Gothic" w:hAnsi="Century Gothic"/>
          <w:sz w:val="20"/>
          <w:szCs w:val="20"/>
        </w:rPr>
        <w:t xml:space="preserve">(+226) </w:t>
      </w:r>
      <w:r w:rsidRPr="00535BBB">
        <w:rPr>
          <w:rFonts w:ascii="Century Gothic" w:hAnsi="Century Gothic"/>
          <w:sz w:val="20"/>
          <w:szCs w:val="20"/>
        </w:rPr>
        <w:t>25 33 18 13</w:t>
      </w:r>
    </w:p>
    <w:p w14:paraId="0AF42A71" w14:textId="77777777" w:rsidR="0067547C" w:rsidRPr="00535BBB" w:rsidRDefault="0067547C" w:rsidP="009E77B5">
      <w:pPr>
        <w:numPr>
          <w:ilvl w:val="0"/>
          <w:numId w:val="1"/>
        </w:numPr>
        <w:spacing w:after="0" w:line="360" w:lineRule="auto"/>
        <w:contextualSpacing/>
        <w:jc w:val="both"/>
        <w:rPr>
          <w:rFonts w:ascii="Century Gothic" w:hAnsi="Century Gothic"/>
          <w:b/>
          <w:sz w:val="20"/>
          <w:szCs w:val="20"/>
        </w:rPr>
      </w:pPr>
      <w:r w:rsidRPr="00535BBB">
        <w:rPr>
          <w:rFonts w:ascii="Century Gothic" w:hAnsi="Century Gothic"/>
          <w:b/>
          <w:sz w:val="20"/>
          <w:szCs w:val="20"/>
        </w:rPr>
        <w:t>Mouvement burkinabè des droits de l’homme et des peuples (MBDHP)</w:t>
      </w:r>
    </w:p>
    <w:p w14:paraId="540CE919" w14:textId="77777777" w:rsidR="0067547C"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 xml:space="preserve">Adresse : 01 BP 2055 Ouagadougou 01 </w:t>
      </w:r>
    </w:p>
    <w:p w14:paraId="0E5738D4" w14:textId="77777777" w:rsidR="0067547C"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T</w:t>
      </w:r>
      <w:r w:rsidR="005E65B8" w:rsidRPr="00535BBB">
        <w:rPr>
          <w:rFonts w:ascii="Century Gothic" w:hAnsi="Century Gothic"/>
          <w:sz w:val="20"/>
          <w:szCs w:val="20"/>
        </w:rPr>
        <w:t>él : 25</w:t>
      </w:r>
      <w:r w:rsidR="00181DE4" w:rsidRPr="00535BBB">
        <w:rPr>
          <w:rFonts w:ascii="Century Gothic" w:hAnsi="Century Gothic"/>
          <w:sz w:val="20"/>
          <w:szCs w:val="20"/>
        </w:rPr>
        <w:t xml:space="preserve">35 </w:t>
      </w:r>
      <w:r w:rsidRPr="00535BBB">
        <w:rPr>
          <w:rFonts w:ascii="Century Gothic" w:hAnsi="Century Gothic"/>
          <w:sz w:val="20"/>
          <w:szCs w:val="20"/>
        </w:rPr>
        <w:t>5</w:t>
      </w:r>
      <w:r w:rsidR="00181DE4" w:rsidRPr="00535BBB">
        <w:rPr>
          <w:rFonts w:ascii="Century Gothic" w:hAnsi="Century Gothic"/>
          <w:sz w:val="20"/>
          <w:szCs w:val="20"/>
        </w:rPr>
        <w:t>7 71</w:t>
      </w:r>
      <w:r w:rsidRPr="00535BBB">
        <w:rPr>
          <w:rFonts w:ascii="Century Gothic" w:hAnsi="Century Gothic"/>
          <w:sz w:val="20"/>
          <w:szCs w:val="20"/>
        </w:rPr>
        <w:t xml:space="preserve"> / fax : </w:t>
      </w:r>
      <w:r w:rsidR="005E65B8" w:rsidRPr="00535BBB">
        <w:rPr>
          <w:rFonts w:ascii="Century Gothic" w:hAnsi="Century Gothic"/>
          <w:sz w:val="20"/>
          <w:szCs w:val="20"/>
        </w:rPr>
        <w:t xml:space="preserve">25 </w:t>
      </w:r>
      <w:r w:rsidRPr="00535BBB">
        <w:rPr>
          <w:rFonts w:ascii="Century Gothic" w:hAnsi="Century Gothic"/>
          <w:sz w:val="20"/>
          <w:szCs w:val="20"/>
        </w:rPr>
        <w:t>31 32 28</w:t>
      </w:r>
    </w:p>
    <w:p w14:paraId="432BE133" w14:textId="77777777" w:rsidR="00017D58" w:rsidRPr="00535BBB" w:rsidRDefault="00017D58"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 xml:space="preserve">Email : </w:t>
      </w:r>
      <w:hyperlink r:id="rId12" w:history="1">
        <w:r w:rsidR="00052A62" w:rsidRPr="00535BBB">
          <w:rPr>
            <w:rStyle w:val="Lienhypertexte"/>
            <w:rFonts w:ascii="Century Gothic" w:hAnsi="Century Gothic"/>
            <w:sz w:val="20"/>
            <w:szCs w:val="20"/>
          </w:rPr>
          <w:t>mbdhp@cenatrin.bf</w:t>
        </w:r>
      </w:hyperlink>
    </w:p>
    <w:p w14:paraId="056B469C" w14:textId="77777777" w:rsidR="0067547C"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p>
    <w:p w14:paraId="7F80836B" w14:textId="77777777" w:rsidR="0067547C" w:rsidRPr="00535BBB" w:rsidRDefault="0067547C" w:rsidP="009E77B5">
      <w:pPr>
        <w:numPr>
          <w:ilvl w:val="0"/>
          <w:numId w:val="1"/>
        </w:numPr>
        <w:spacing w:after="0" w:line="360" w:lineRule="auto"/>
        <w:contextualSpacing/>
        <w:jc w:val="both"/>
        <w:rPr>
          <w:rFonts w:ascii="Century Gothic" w:hAnsi="Century Gothic"/>
          <w:b/>
          <w:sz w:val="20"/>
          <w:szCs w:val="20"/>
        </w:rPr>
      </w:pPr>
      <w:r w:rsidRPr="00535BBB">
        <w:rPr>
          <w:rFonts w:ascii="Century Gothic" w:hAnsi="Century Gothic"/>
          <w:b/>
          <w:sz w:val="20"/>
          <w:szCs w:val="20"/>
        </w:rPr>
        <w:t xml:space="preserve">Association </w:t>
      </w:r>
      <w:proofErr w:type="spellStart"/>
      <w:r w:rsidRPr="00535BBB">
        <w:rPr>
          <w:rFonts w:ascii="Century Gothic" w:hAnsi="Century Gothic"/>
          <w:b/>
          <w:sz w:val="20"/>
          <w:szCs w:val="20"/>
        </w:rPr>
        <w:t>Semfilms</w:t>
      </w:r>
      <w:proofErr w:type="spellEnd"/>
    </w:p>
    <w:p w14:paraId="003E9B48" w14:textId="77777777" w:rsidR="0067547C"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 xml:space="preserve">Adresse : </w:t>
      </w:r>
      <w:r w:rsidR="005E65B8" w:rsidRPr="00535BBB">
        <w:rPr>
          <w:rFonts w:ascii="Century Gothic" w:hAnsi="Century Gothic"/>
          <w:bCs/>
          <w:sz w:val="20"/>
          <w:szCs w:val="20"/>
        </w:rPr>
        <w:t>09 BP 1308 Ouagadougou 09</w:t>
      </w:r>
    </w:p>
    <w:p w14:paraId="7CD7D2EC" w14:textId="77777777" w:rsidR="005E65B8" w:rsidRPr="00535BBB" w:rsidRDefault="0067547C" w:rsidP="009E77B5">
      <w:pPr>
        <w:autoSpaceDE w:val="0"/>
        <w:autoSpaceDN w:val="0"/>
        <w:adjustRightInd w:val="0"/>
        <w:spacing w:after="0" w:line="360" w:lineRule="auto"/>
        <w:ind w:firstLine="720"/>
        <w:jc w:val="both"/>
        <w:rPr>
          <w:rFonts w:ascii="Century Gothic" w:hAnsi="Century Gothic"/>
          <w:sz w:val="20"/>
          <w:szCs w:val="20"/>
        </w:rPr>
      </w:pPr>
      <w:r w:rsidRPr="00535BBB">
        <w:rPr>
          <w:rFonts w:ascii="Century Gothic" w:hAnsi="Century Gothic"/>
          <w:sz w:val="20"/>
          <w:szCs w:val="20"/>
        </w:rPr>
        <w:t xml:space="preserve">Email : </w:t>
      </w:r>
      <w:hyperlink r:id="rId13" w:history="1">
        <w:r w:rsidR="00181DE4" w:rsidRPr="00535BBB">
          <w:rPr>
            <w:rStyle w:val="Lienhypertexte"/>
            <w:rFonts w:ascii="Century Gothic" w:hAnsi="Century Gothic"/>
            <w:sz w:val="20"/>
            <w:szCs w:val="20"/>
          </w:rPr>
          <w:t>info@semfilms.org</w:t>
        </w:r>
      </w:hyperlink>
      <w:r w:rsidR="005E65B8" w:rsidRPr="00535BBB">
        <w:rPr>
          <w:rFonts w:ascii="Century Gothic" w:hAnsi="Century Gothic"/>
          <w:b/>
          <w:bCs/>
          <w:sz w:val="20"/>
          <w:szCs w:val="20"/>
        </w:rPr>
        <w:t>,</w:t>
      </w:r>
      <w:hyperlink r:id="rId14" w:history="1">
        <w:r w:rsidR="00181DE4" w:rsidRPr="00535BBB">
          <w:rPr>
            <w:rStyle w:val="Lienhypertexte"/>
            <w:rFonts w:ascii="Century Gothic" w:hAnsi="Century Gothic"/>
            <w:sz w:val="20"/>
            <w:szCs w:val="20"/>
          </w:rPr>
          <w:t>semfilms@semfilms.org</w:t>
        </w:r>
      </w:hyperlink>
      <w:r w:rsidRPr="00535BBB">
        <w:rPr>
          <w:rFonts w:ascii="Century Gothic" w:hAnsi="Century Gothic"/>
          <w:sz w:val="20"/>
          <w:szCs w:val="20"/>
        </w:rPr>
        <w:tab/>
      </w:r>
      <w:r w:rsidRPr="00535BBB">
        <w:rPr>
          <w:rFonts w:ascii="Century Gothic" w:hAnsi="Century Gothic"/>
          <w:sz w:val="20"/>
          <w:szCs w:val="20"/>
        </w:rPr>
        <w:tab/>
      </w:r>
    </w:p>
    <w:p w14:paraId="7EC3A9A8" w14:textId="77777777" w:rsidR="0067547C" w:rsidRPr="00535BBB" w:rsidRDefault="0067547C" w:rsidP="009E77B5">
      <w:pPr>
        <w:autoSpaceDE w:val="0"/>
        <w:autoSpaceDN w:val="0"/>
        <w:adjustRightInd w:val="0"/>
        <w:spacing w:after="100" w:afterAutospacing="1" w:line="360" w:lineRule="auto"/>
        <w:ind w:firstLine="720"/>
        <w:jc w:val="both"/>
        <w:rPr>
          <w:rFonts w:ascii="Century Gothic" w:hAnsi="Century Gothic"/>
          <w:sz w:val="20"/>
          <w:szCs w:val="20"/>
        </w:rPr>
      </w:pPr>
      <w:r w:rsidRPr="00535BBB">
        <w:rPr>
          <w:rFonts w:ascii="Century Gothic" w:hAnsi="Century Gothic"/>
          <w:sz w:val="20"/>
          <w:szCs w:val="20"/>
        </w:rPr>
        <w:t xml:space="preserve">Tel : </w:t>
      </w:r>
      <w:r w:rsidR="0085015A" w:rsidRPr="00535BBB">
        <w:rPr>
          <w:rFonts w:ascii="Century Gothic" w:hAnsi="Century Gothic"/>
          <w:sz w:val="20"/>
          <w:szCs w:val="20"/>
        </w:rPr>
        <w:fldChar w:fldCharType="begin"/>
      </w:r>
      <w:r w:rsidR="006D7ECA">
        <w:rPr>
          <w:rFonts w:ascii="Century Gothic" w:hAnsi="Century Gothic"/>
          <w:sz w:val="20"/>
          <w:szCs w:val="20"/>
        </w:rPr>
        <w:instrText>HYPERLINK</w:instrText>
      </w:r>
      <w:r w:rsidR="0085015A" w:rsidRPr="00535BBB">
        <w:rPr>
          <w:rFonts w:ascii="Century Gothic" w:hAnsi="Century Gothic"/>
          <w:sz w:val="20"/>
          <w:szCs w:val="20"/>
        </w:rPr>
        <w:instrText xml:space="preserve"> "tel:%28%2B226%29%2025%2036%2053%2060" \t "_blank"</w:instrText>
      </w:r>
      <w:r w:rsidR="0085015A" w:rsidRPr="00535BBB">
        <w:rPr>
          <w:rFonts w:ascii="Century Gothic" w:hAnsi="Century Gothic"/>
          <w:sz w:val="20"/>
          <w:szCs w:val="20"/>
        </w:rPr>
        <w:fldChar w:fldCharType="separate"/>
      </w:r>
      <w:r w:rsidR="005E65B8" w:rsidRPr="00535BBB">
        <w:rPr>
          <w:rFonts w:ascii="Century Gothic" w:hAnsi="Century Gothic"/>
          <w:sz w:val="20"/>
          <w:szCs w:val="20"/>
        </w:rPr>
        <w:t>(+226) 25 36 53 60</w:t>
      </w:r>
      <w:r w:rsidR="0085015A" w:rsidRPr="00535BBB">
        <w:rPr>
          <w:rFonts w:ascii="Century Gothic" w:hAnsi="Century Gothic"/>
          <w:sz w:val="20"/>
          <w:szCs w:val="20"/>
        </w:rPr>
        <w:fldChar w:fldCharType="end"/>
      </w:r>
    </w:p>
    <w:p w14:paraId="33509F46" w14:textId="77777777" w:rsidR="0067547C" w:rsidRPr="00535BBB" w:rsidRDefault="0067547C" w:rsidP="009E77B5">
      <w:pPr>
        <w:numPr>
          <w:ilvl w:val="0"/>
          <w:numId w:val="1"/>
        </w:numPr>
        <w:spacing w:after="0" w:line="360" w:lineRule="auto"/>
        <w:contextualSpacing/>
        <w:jc w:val="both"/>
        <w:rPr>
          <w:rFonts w:ascii="Century Gothic" w:hAnsi="Century Gothic"/>
          <w:b/>
          <w:sz w:val="20"/>
          <w:szCs w:val="20"/>
        </w:rPr>
      </w:pPr>
      <w:r w:rsidRPr="00535BBB">
        <w:rPr>
          <w:rFonts w:ascii="Century Gothic" w:hAnsi="Century Gothic"/>
          <w:b/>
          <w:sz w:val="20"/>
          <w:szCs w:val="20"/>
        </w:rPr>
        <w:t>Centre pour la qualité du droit et la justice (CQDJ)</w:t>
      </w:r>
    </w:p>
    <w:p w14:paraId="36FB030B" w14:textId="77777777" w:rsidR="0067547C" w:rsidRPr="00535BBB" w:rsidRDefault="0067547C" w:rsidP="009E77B5">
      <w:pPr>
        <w:spacing w:after="0" w:line="360" w:lineRule="auto"/>
        <w:ind w:left="720"/>
        <w:contextualSpacing/>
        <w:jc w:val="both"/>
        <w:rPr>
          <w:rFonts w:ascii="Century Gothic" w:hAnsi="Century Gothic"/>
          <w:sz w:val="20"/>
          <w:szCs w:val="20"/>
        </w:rPr>
      </w:pPr>
      <w:r w:rsidRPr="00535BBB">
        <w:rPr>
          <w:rFonts w:ascii="Century Gothic" w:hAnsi="Century Gothic"/>
          <w:sz w:val="20"/>
          <w:szCs w:val="20"/>
        </w:rPr>
        <w:t>Adresse : 0</w:t>
      </w:r>
      <w:r w:rsidR="00352549" w:rsidRPr="00535BBB">
        <w:rPr>
          <w:rFonts w:ascii="Century Gothic" w:hAnsi="Century Gothic"/>
          <w:sz w:val="20"/>
          <w:szCs w:val="20"/>
        </w:rPr>
        <w:t>1</w:t>
      </w:r>
      <w:r w:rsidRPr="00535BBB">
        <w:rPr>
          <w:rFonts w:ascii="Century Gothic" w:hAnsi="Century Gothic"/>
          <w:sz w:val="20"/>
          <w:szCs w:val="20"/>
        </w:rPr>
        <w:t xml:space="preserve"> BP </w:t>
      </w:r>
      <w:r w:rsidR="00352549" w:rsidRPr="00535BBB">
        <w:rPr>
          <w:rFonts w:ascii="Century Gothic" w:hAnsi="Century Gothic"/>
          <w:sz w:val="20"/>
          <w:szCs w:val="20"/>
        </w:rPr>
        <w:t>146</w:t>
      </w:r>
      <w:r w:rsidRPr="00535BBB">
        <w:rPr>
          <w:rFonts w:ascii="Century Gothic" w:hAnsi="Century Gothic"/>
          <w:sz w:val="20"/>
          <w:szCs w:val="20"/>
        </w:rPr>
        <w:t xml:space="preserve"> Ouagadougou </w:t>
      </w:r>
      <w:r w:rsidR="00352549" w:rsidRPr="00535BBB">
        <w:rPr>
          <w:rFonts w:ascii="Century Gothic" w:hAnsi="Century Gothic"/>
          <w:sz w:val="20"/>
          <w:szCs w:val="20"/>
        </w:rPr>
        <w:t>01</w:t>
      </w:r>
    </w:p>
    <w:p w14:paraId="56B082D4" w14:textId="77777777" w:rsidR="006001B6" w:rsidRPr="00535BBB" w:rsidRDefault="0067547C" w:rsidP="009E77B5">
      <w:pPr>
        <w:spacing w:after="0" w:line="360" w:lineRule="auto"/>
        <w:ind w:left="720"/>
        <w:contextualSpacing/>
        <w:jc w:val="both"/>
        <w:rPr>
          <w:rFonts w:ascii="Century Gothic" w:hAnsi="Century Gothic"/>
          <w:sz w:val="20"/>
          <w:szCs w:val="20"/>
        </w:rPr>
      </w:pPr>
      <w:r w:rsidRPr="00535BBB">
        <w:rPr>
          <w:rFonts w:ascii="Century Gothic" w:hAnsi="Century Gothic"/>
          <w:sz w:val="20"/>
          <w:szCs w:val="20"/>
        </w:rPr>
        <w:t>Email </w:t>
      </w:r>
      <w:proofErr w:type="gramStart"/>
      <w:r w:rsidRPr="00535BBB">
        <w:rPr>
          <w:rFonts w:ascii="Century Gothic" w:hAnsi="Century Gothic"/>
          <w:sz w:val="20"/>
          <w:szCs w:val="20"/>
        </w:rPr>
        <w:t>:</w:t>
      </w:r>
      <w:proofErr w:type="gramEnd"/>
      <w:r w:rsidR="00BA3ADA">
        <w:fldChar w:fldCharType="begin"/>
      </w:r>
      <w:r w:rsidR="00BA3ADA">
        <w:instrText xml:space="preserve"> HYPERLINK "mailto:qualitedudroit.justice@gmail.com" </w:instrText>
      </w:r>
      <w:r w:rsidR="00BA3ADA">
        <w:fldChar w:fldCharType="separate"/>
      </w:r>
      <w:r w:rsidR="00352549" w:rsidRPr="00535BBB">
        <w:rPr>
          <w:rStyle w:val="Lienhypertexte"/>
          <w:rFonts w:ascii="Century Gothic" w:hAnsi="Century Gothic"/>
          <w:sz w:val="20"/>
          <w:szCs w:val="20"/>
        </w:rPr>
        <w:t>qualitedudroit.justice@gmail.com</w:t>
      </w:r>
      <w:r w:rsidR="00BA3ADA">
        <w:rPr>
          <w:rStyle w:val="Lienhypertexte"/>
          <w:rFonts w:ascii="Century Gothic" w:hAnsi="Century Gothic"/>
          <w:sz w:val="20"/>
          <w:szCs w:val="20"/>
        </w:rPr>
        <w:fldChar w:fldCharType="end"/>
      </w:r>
      <w:r w:rsidRPr="00535BBB">
        <w:rPr>
          <w:rFonts w:ascii="Century Gothic" w:hAnsi="Century Gothic"/>
          <w:sz w:val="20"/>
          <w:szCs w:val="20"/>
        </w:rPr>
        <w:tab/>
      </w:r>
      <w:r w:rsidRPr="00535BBB">
        <w:rPr>
          <w:rFonts w:ascii="Century Gothic" w:hAnsi="Century Gothic"/>
          <w:sz w:val="20"/>
          <w:szCs w:val="20"/>
        </w:rPr>
        <w:tab/>
      </w:r>
      <w:r w:rsidRPr="00535BBB">
        <w:rPr>
          <w:rFonts w:ascii="Century Gothic" w:hAnsi="Century Gothic"/>
          <w:sz w:val="20"/>
          <w:szCs w:val="20"/>
        </w:rPr>
        <w:tab/>
      </w:r>
    </w:p>
    <w:p w14:paraId="4C97E3F2" w14:textId="77777777" w:rsidR="0067547C" w:rsidRPr="00535BBB" w:rsidRDefault="0067547C" w:rsidP="009E77B5">
      <w:pPr>
        <w:spacing w:after="0" w:line="360" w:lineRule="auto"/>
        <w:ind w:left="720"/>
        <w:contextualSpacing/>
        <w:jc w:val="both"/>
        <w:rPr>
          <w:rFonts w:ascii="Century Gothic" w:hAnsi="Century Gothic"/>
          <w:sz w:val="20"/>
          <w:szCs w:val="20"/>
        </w:rPr>
      </w:pPr>
      <w:r w:rsidRPr="00535BBB">
        <w:rPr>
          <w:rFonts w:ascii="Century Gothic" w:hAnsi="Century Gothic"/>
          <w:sz w:val="20"/>
          <w:szCs w:val="20"/>
        </w:rPr>
        <w:t xml:space="preserve">Tel : </w:t>
      </w:r>
      <w:r w:rsidR="006001B6" w:rsidRPr="00535BBB">
        <w:rPr>
          <w:rFonts w:ascii="Century Gothic" w:hAnsi="Century Gothic"/>
          <w:sz w:val="20"/>
          <w:szCs w:val="20"/>
        </w:rPr>
        <w:t xml:space="preserve">(+226) </w:t>
      </w:r>
      <w:r w:rsidR="00352549" w:rsidRPr="00535BBB">
        <w:rPr>
          <w:rFonts w:ascii="Century Gothic" w:hAnsi="Century Gothic"/>
          <w:sz w:val="20"/>
          <w:szCs w:val="20"/>
        </w:rPr>
        <w:t>25 46 77 50 / (+226) 70 00 19 32</w:t>
      </w:r>
    </w:p>
    <w:p w14:paraId="7A108816" w14:textId="77777777" w:rsidR="00EA3A10" w:rsidRPr="00535BBB" w:rsidRDefault="00EA3A10" w:rsidP="00317E98">
      <w:pPr>
        <w:pStyle w:val="Grillemoyenne1-Accent21"/>
        <w:spacing w:line="360" w:lineRule="auto"/>
        <w:ind w:left="0"/>
        <w:rPr>
          <w:rFonts w:ascii="Century Gothic" w:hAnsi="Century Gothic"/>
          <w:sz w:val="28"/>
          <w:szCs w:val="28"/>
        </w:rPr>
      </w:pPr>
    </w:p>
    <w:p w14:paraId="6741B7A4" w14:textId="77777777" w:rsidR="00317E98" w:rsidRPr="00535BBB" w:rsidRDefault="00317E98" w:rsidP="00317E98">
      <w:pPr>
        <w:pStyle w:val="Grillemoyenne1-Accent21"/>
        <w:spacing w:line="360" w:lineRule="auto"/>
        <w:ind w:left="0"/>
        <w:rPr>
          <w:rFonts w:ascii="Century Gothic" w:hAnsi="Century Gothic"/>
          <w:sz w:val="28"/>
          <w:szCs w:val="28"/>
        </w:rPr>
      </w:pPr>
    </w:p>
    <w:p w14:paraId="5F2EEDF6" w14:textId="77777777" w:rsidR="00317E98" w:rsidRPr="00535BBB" w:rsidRDefault="00317E98" w:rsidP="00317E98">
      <w:pPr>
        <w:pStyle w:val="Grillemoyenne1-Accent21"/>
        <w:spacing w:line="360" w:lineRule="auto"/>
        <w:ind w:left="0"/>
        <w:rPr>
          <w:rFonts w:ascii="Century Gothic" w:hAnsi="Century Gothic"/>
          <w:sz w:val="28"/>
          <w:szCs w:val="28"/>
        </w:rPr>
      </w:pPr>
    </w:p>
    <w:p w14:paraId="266BD8FA" w14:textId="77777777" w:rsidR="00BA2F43" w:rsidRPr="00535BBB" w:rsidRDefault="00BA2F43" w:rsidP="00317E98">
      <w:pPr>
        <w:pStyle w:val="Grillemoyenne1-Accent21"/>
        <w:spacing w:line="360" w:lineRule="auto"/>
        <w:ind w:left="0"/>
        <w:rPr>
          <w:rFonts w:ascii="Century Gothic" w:hAnsi="Century Gothic"/>
          <w:sz w:val="28"/>
          <w:szCs w:val="28"/>
        </w:rPr>
      </w:pPr>
    </w:p>
    <w:p w14:paraId="126FA3CC" w14:textId="77777777" w:rsidR="00317E98" w:rsidRPr="00535BBB" w:rsidRDefault="00535BBB" w:rsidP="00317E98">
      <w:pPr>
        <w:pStyle w:val="Grillemoyenne1-Accent21"/>
        <w:spacing w:line="360" w:lineRule="auto"/>
        <w:ind w:left="0"/>
        <w:rPr>
          <w:rFonts w:ascii="Century Gothic" w:hAnsi="Century Gothic"/>
          <w:sz w:val="28"/>
          <w:szCs w:val="28"/>
        </w:rPr>
      </w:pPr>
      <w:r>
        <w:rPr>
          <w:rFonts w:ascii="Century Gothic" w:hAnsi="Century Gothic"/>
          <w:sz w:val="28"/>
          <w:szCs w:val="28"/>
        </w:rPr>
        <w:br w:type="page"/>
      </w:r>
    </w:p>
    <w:p w14:paraId="5FEB8CB1" w14:textId="77777777" w:rsidR="00B02A75" w:rsidRPr="00535BBB" w:rsidRDefault="00B02A75" w:rsidP="00D47373">
      <w:pPr>
        <w:numPr>
          <w:ilvl w:val="0"/>
          <w:numId w:val="2"/>
        </w:numPr>
        <w:spacing w:line="360" w:lineRule="auto"/>
        <w:contextualSpacing/>
        <w:jc w:val="both"/>
        <w:outlineLvl w:val="0"/>
        <w:rPr>
          <w:rFonts w:ascii="Century Gothic" w:hAnsi="Century Gothic"/>
          <w:b/>
          <w:sz w:val="28"/>
          <w:szCs w:val="28"/>
        </w:rPr>
      </w:pPr>
      <w:bookmarkStart w:id="3" w:name="_Toc426711279"/>
      <w:r w:rsidRPr="00535BBB">
        <w:rPr>
          <w:rFonts w:ascii="Century Gothic" w:hAnsi="Century Gothic"/>
          <w:b/>
          <w:sz w:val="28"/>
          <w:szCs w:val="28"/>
        </w:rPr>
        <w:lastRenderedPageBreak/>
        <w:t>Méthodologie</w:t>
      </w:r>
      <w:bookmarkEnd w:id="3"/>
    </w:p>
    <w:p w14:paraId="6A815C5B" w14:textId="77777777" w:rsidR="00126ACE" w:rsidRPr="00535BBB" w:rsidRDefault="006C3EE1" w:rsidP="00535BBB">
      <w:pPr>
        <w:spacing w:line="240" w:lineRule="auto"/>
        <w:jc w:val="both"/>
        <w:rPr>
          <w:rFonts w:ascii="Century Gothic" w:hAnsi="Century Gothic"/>
        </w:rPr>
      </w:pPr>
      <w:r w:rsidRPr="00535BBB">
        <w:rPr>
          <w:rFonts w:ascii="Century Gothic" w:hAnsi="Century Gothic"/>
        </w:rPr>
        <w:t>La</w:t>
      </w:r>
      <w:r w:rsidR="004E09AA" w:rsidRPr="00535BBB">
        <w:rPr>
          <w:rFonts w:ascii="Century Gothic" w:hAnsi="Century Gothic"/>
        </w:rPr>
        <w:t xml:space="preserve"> rédaction du présent rapport a été </w:t>
      </w:r>
      <w:r w:rsidRPr="00535BBB">
        <w:rPr>
          <w:rFonts w:ascii="Century Gothic" w:hAnsi="Century Gothic"/>
        </w:rPr>
        <w:t>rendu</w:t>
      </w:r>
      <w:r w:rsidR="00245E23" w:rsidRPr="00535BBB">
        <w:rPr>
          <w:rFonts w:ascii="Century Gothic" w:hAnsi="Century Gothic"/>
        </w:rPr>
        <w:t>e</w:t>
      </w:r>
      <w:r w:rsidR="009E77B5" w:rsidRPr="00535BBB">
        <w:rPr>
          <w:rFonts w:ascii="Century Gothic" w:hAnsi="Century Gothic"/>
        </w:rPr>
        <w:t xml:space="preserve"> </w:t>
      </w:r>
      <w:r w:rsidR="004E09AA" w:rsidRPr="00535BBB">
        <w:rPr>
          <w:rFonts w:ascii="Century Gothic" w:hAnsi="Century Gothic"/>
        </w:rPr>
        <w:t xml:space="preserve">possible </w:t>
      </w:r>
      <w:r w:rsidR="000F788A" w:rsidRPr="00535BBB">
        <w:rPr>
          <w:rFonts w:ascii="Century Gothic" w:hAnsi="Century Gothic"/>
        </w:rPr>
        <w:t>grâce à la contribution d</w:t>
      </w:r>
      <w:r w:rsidR="00F059AD" w:rsidRPr="00535BBB">
        <w:rPr>
          <w:rFonts w:ascii="Century Gothic" w:hAnsi="Century Gothic"/>
        </w:rPr>
        <w:t xml:space="preserve">’un regroupement </w:t>
      </w:r>
      <w:r w:rsidR="009E77B5" w:rsidRPr="00535BBB">
        <w:rPr>
          <w:rFonts w:ascii="Century Gothic" w:hAnsi="Century Gothic"/>
        </w:rPr>
        <w:t xml:space="preserve">ad’ hoc </w:t>
      </w:r>
      <w:r w:rsidR="00F059AD" w:rsidRPr="00535BBB">
        <w:rPr>
          <w:rFonts w:ascii="Century Gothic" w:hAnsi="Century Gothic"/>
        </w:rPr>
        <w:t>d’</w:t>
      </w:r>
      <w:r w:rsidR="008411DD" w:rsidRPr="00535BBB">
        <w:rPr>
          <w:rFonts w:ascii="Century Gothic" w:hAnsi="Century Gothic"/>
        </w:rPr>
        <w:t>organisations membres d’une</w:t>
      </w:r>
      <w:r w:rsidR="000F788A" w:rsidRPr="00535BBB">
        <w:rPr>
          <w:rFonts w:ascii="Century Gothic" w:hAnsi="Century Gothic"/>
        </w:rPr>
        <w:t xml:space="preserve"> coalition mise </w:t>
      </w:r>
      <w:r w:rsidR="00F059AD" w:rsidRPr="00535BBB">
        <w:rPr>
          <w:rFonts w:ascii="Century Gothic" w:hAnsi="Century Gothic"/>
        </w:rPr>
        <w:t xml:space="preserve">sur pied </w:t>
      </w:r>
      <w:r w:rsidR="00F76DF3" w:rsidRPr="00535BBB">
        <w:rPr>
          <w:rFonts w:ascii="Century Gothic" w:hAnsi="Century Gothic"/>
        </w:rPr>
        <w:t xml:space="preserve">sous </w:t>
      </w:r>
      <w:r w:rsidR="00F059AD" w:rsidRPr="00535BBB">
        <w:rPr>
          <w:rFonts w:ascii="Century Gothic" w:hAnsi="Century Gothic"/>
        </w:rPr>
        <w:t xml:space="preserve">les auspices </w:t>
      </w:r>
      <w:r w:rsidR="00F76DF3" w:rsidRPr="00535BBB">
        <w:rPr>
          <w:rFonts w:ascii="Century Gothic" w:hAnsi="Century Gothic"/>
        </w:rPr>
        <w:t xml:space="preserve">du CCPR </w:t>
      </w:r>
      <w:r w:rsidR="00F059AD" w:rsidRPr="00535BBB">
        <w:rPr>
          <w:rFonts w:ascii="Century Gothic" w:hAnsi="Century Gothic"/>
        </w:rPr>
        <w:t xml:space="preserve">Centre. L’objectif visé est </w:t>
      </w:r>
      <w:r w:rsidR="008411DD" w:rsidRPr="00535BBB">
        <w:rPr>
          <w:rFonts w:ascii="Century Gothic" w:hAnsi="Century Gothic"/>
        </w:rPr>
        <w:t>de condu</w:t>
      </w:r>
      <w:r w:rsidR="00F76DF3" w:rsidRPr="00535BBB">
        <w:rPr>
          <w:rFonts w:ascii="Century Gothic" w:hAnsi="Century Gothic"/>
        </w:rPr>
        <w:t>ire le</w:t>
      </w:r>
      <w:r w:rsidR="008411DD" w:rsidRPr="00535BBB">
        <w:rPr>
          <w:rFonts w:ascii="Century Gothic" w:hAnsi="Century Gothic"/>
        </w:rPr>
        <w:t xml:space="preserve"> processus d’évaluation de la mise en œuvre du PIDCP</w:t>
      </w:r>
      <w:r w:rsidR="00F76DF3" w:rsidRPr="00535BBB">
        <w:rPr>
          <w:rFonts w:ascii="Century Gothic" w:hAnsi="Century Gothic"/>
        </w:rPr>
        <w:t xml:space="preserve"> par le Burkina Faso dans le cadre du passage du pays devant le Comité des droits de l’homme</w:t>
      </w:r>
      <w:r w:rsidR="000F788A" w:rsidRPr="00535BBB">
        <w:rPr>
          <w:rFonts w:ascii="Century Gothic" w:hAnsi="Century Gothic"/>
        </w:rPr>
        <w:t xml:space="preserve">. </w:t>
      </w:r>
    </w:p>
    <w:p w14:paraId="7FC10B23" w14:textId="77777777" w:rsidR="004E09AA" w:rsidRPr="00535BBB" w:rsidRDefault="000F788A" w:rsidP="00535BBB">
      <w:pPr>
        <w:spacing w:line="240" w:lineRule="auto"/>
        <w:jc w:val="both"/>
        <w:rPr>
          <w:rFonts w:ascii="Century Gothic" w:hAnsi="Century Gothic"/>
        </w:rPr>
      </w:pPr>
      <w:r w:rsidRPr="00535BBB">
        <w:rPr>
          <w:rFonts w:ascii="Century Gothic" w:hAnsi="Century Gothic"/>
        </w:rPr>
        <w:t xml:space="preserve">Le </w:t>
      </w:r>
      <w:r w:rsidR="004E09AA" w:rsidRPr="00535BBB">
        <w:rPr>
          <w:rFonts w:ascii="Century Gothic" w:hAnsi="Century Gothic"/>
        </w:rPr>
        <w:t xml:space="preserve">processus </w:t>
      </w:r>
      <w:r w:rsidRPr="00535BBB">
        <w:rPr>
          <w:rFonts w:ascii="Century Gothic" w:hAnsi="Century Gothic"/>
        </w:rPr>
        <w:t xml:space="preserve">de collecte des informations et de rédaction du rapport a été </w:t>
      </w:r>
      <w:r w:rsidR="004E09AA" w:rsidRPr="00535BBB">
        <w:rPr>
          <w:rFonts w:ascii="Century Gothic" w:hAnsi="Century Gothic"/>
        </w:rPr>
        <w:t>marqué par différentes activités notamment :</w:t>
      </w:r>
    </w:p>
    <w:p w14:paraId="2BD53620" w14:textId="77777777" w:rsidR="00B02A75" w:rsidRPr="00535BBB" w:rsidRDefault="002F0E4D" w:rsidP="00D060B8">
      <w:pPr>
        <w:numPr>
          <w:ilvl w:val="0"/>
          <w:numId w:val="18"/>
        </w:numPr>
        <w:spacing w:line="240" w:lineRule="auto"/>
        <w:jc w:val="both"/>
        <w:rPr>
          <w:rFonts w:ascii="Century Gothic" w:hAnsi="Century Gothic"/>
        </w:rPr>
      </w:pPr>
      <w:r w:rsidRPr="00535BBB">
        <w:rPr>
          <w:rFonts w:ascii="Century Gothic" w:hAnsi="Century Gothic"/>
          <w:b/>
        </w:rPr>
        <w:t>Recherches documentaires </w:t>
      </w:r>
      <w:r w:rsidR="000F788A" w:rsidRPr="00535BBB">
        <w:rPr>
          <w:rFonts w:ascii="Century Gothic" w:hAnsi="Century Gothic"/>
        </w:rPr>
        <w:t>:</w:t>
      </w:r>
      <w:r w:rsidR="00F76DF3" w:rsidRPr="00535BBB">
        <w:rPr>
          <w:rFonts w:ascii="Century Gothic" w:hAnsi="Century Gothic"/>
        </w:rPr>
        <w:t xml:space="preserve"> le groupe de travail a consulté une multitude de ressources documentaires provenant de plusieurs sources. Il s’agit aussi bien de textes législatifs et réglementaires, de </w:t>
      </w:r>
      <w:r w:rsidR="000F788A" w:rsidRPr="00535BBB">
        <w:rPr>
          <w:rFonts w:ascii="Century Gothic" w:hAnsi="Century Gothic"/>
        </w:rPr>
        <w:t>rapports officiels aussi bien gouvernementaux que d’autres institutions et organismes non gouvernementaux, documents ou articles de presse, etc.)</w:t>
      </w:r>
      <w:r w:rsidR="00F76DF3" w:rsidRPr="00535BBB">
        <w:rPr>
          <w:rFonts w:ascii="Century Gothic" w:hAnsi="Century Gothic"/>
        </w:rPr>
        <w:t>. La diversité des sources d’informations a conduit à une triangulation</w:t>
      </w:r>
      <w:r w:rsidR="009E77B5" w:rsidRPr="00535BBB">
        <w:rPr>
          <w:rFonts w:ascii="Century Gothic" w:hAnsi="Century Gothic"/>
        </w:rPr>
        <w:t xml:space="preserve"> </w:t>
      </w:r>
      <w:r w:rsidR="00F76DF3" w:rsidRPr="00535BBB">
        <w:rPr>
          <w:rFonts w:ascii="Century Gothic" w:hAnsi="Century Gothic"/>
        </w:rPr>
        <w:t>et un</w:t>
      </w:r>
      <w:r w:rsidR="000F788A" w:rsidRPr="00535BBB">
        <w:rPr>
          <w:rFonts w:ascii="Century Gothic" w:hAnsi="Century Gothic"/>
        </w:rPr>
        <w:t xml:space="preserve"> recoupement des informations </w:t>
      </w:r>
      <w:r w:rsidR="00F76DF3" w:rsidRPr="00535BBB">
        <w:rPr>
          <w:rFonts w:ascii="Century Gothic" w:hAnsi="Century Gothic"/>
        </w:rPr>
        <w:t>pour parvenir à des données plus fiables ;</w:t>
      </w:r>
    </w:p>
    <w:p w14:paraId="2D8A3F92" w14:textId="77777777" w:rsidR="004E09AA" w:rsidRPr="00535BBB" w:rsidRDefault="002F0E4D" w:rsidP="00D060B8">
      <w:pPr>
        <w:numPr>
          <w:ilvl w:val="0"/>
          <w:numId w:val="18"/>
        </w:numPr>
        <w:spacing w:line="240" w:lineRule="auto"/>
        <w:jc w:val="both"/>
        <w:rPr>
          <w:rFonts w:ascii="Century Gothic" w:hAnsi="Century Gothic"/>
        </w:rPr>
      </w:pPr>
      <w:r w:rsidRPr="00535BBB">
        <w:rPr>
          <w:rFonts w:ascii="Century Gothic" w:hAnsi="Century Gothic"/>
          <w:b/>
        </w:rPr>
        <w:t>Collectes d’informations de terrain </w:t>
      </w:r>
      <w:r w:rsidR="000F788A" w:rsidRPr="00535BBB">
        <w:rPr>
          <w:rFonts w:ascii="Century Gothic" w:hAnsi="Century Gothic"/>
        </w:rPr>
        <w:t xml:space="preserve">: </w:t>
      </w:r>
      <w:r w:rsidR="00F76DF3" w:rsidRPr="00535BBB">
        <w:rPr>
          <w:rFonts w:ascii="Century Gothic" w:hAnsi="Century Gothic"/>
        </w:rPr>
        <w:t xml:space="preserve">certains documents qui ont servi de base de travail </w:t>
      </w:r>
      <w:r w:rsidR="00535BBB">
        <w:rPr>
          <w:rFonts w:ascii="Century Gothic" w:hAnsi="Century Gothic"/>
        </w:rPr>
        <w:t>sont</w:t>
      </w:r>
      <w:r w:rsidR="00F76DF3" w:rsidRPr="00535BBB">
        <w:rPr>
          <w:rFonts w:ascii="Century Gothic" w:hAnsi="Century Gothic"/>
        </w:rPr>
        <w:t xml:space="preserve"> le résultat des recherches de terrain conduite</w:t>
      </w:r>
      <w:r w:rsidR="00535BBB">
        <w:rPr>
          <w:rFonts w:ascii="Century Gothic" w:hAnsi="Century Gothic"/>
        </w:rPr>
        <w:t>s</w:t>
      </w:r>
      <w:r w:rsidR="00F76DF3" w:rsidRPr="00535BBB">
        <w:rPr>
          <w:rFonts w:ascii="Century Gothic" w:hAnsi="Century Gothic"/>
        </w:rPr>
        <w:t xml:space="preserve"> en amont par les membres eux-mêmes en contact direct avec les acteurs, personnes victimes ou concernées/touchées par les problématiques soulevées ;</w:t>
      </w:r>
    </w:p>
    <w:p w14:paraId="2BB584A1" w14:textId="77777777" w:rsidR="000F788A" w:rsidRPr="00535BBB" w:rsidRDefault="002F0E4D" w:rsidP="00D060B8">
      <w:pPr>
        <w:numPr>
          <w:ilvl w:val="0"/>
          <w:numId w:val="18"/>
        </w:numPr>
        <w:spacing w:line="240" w:lineRule="auto"/>
        <w:jc w:val="both"/>
        <w:rPr>
          <w:rFonts w:ascii="Century Gothic" w:hAnsi="Century Gothic"/>
        </w:rPr>
      </w:pPr>
      <w:r w:rsidRPr="00535BBB">
        <w:rPr>
          <w:rFonts w:ascii="Century Gothic" w:hAnsi="Century Gothic"/>
          <w:b/>
        </w:rPr>
        <w:t>Consultation de personnes ressources </w:t>
      </w:r>
      <w:r w:rsidR="000F788A" w:rsidRPr="00535BBB">
        <w:rPr>
          <w:rFonts w:ascii="Century Gothic" w:hAnsi="Century Gothic"/>
        </w:rPr>
        <w:t>: l’actualisation de certaines</w:t>
      </w:r>
      <w:r w:rsidR="00F0584F" w:rsidRPr="00535BBB">
        <w:rPr>
          <w:rFonts w:ascii="Century Gothic" w:hAnsi="Century Gothic"/>
        </w:rPr>
        <w:t xml:space="preserve"> données qui étaient en cours a nécessité le recours à</w:t>
      </w:r>
      <w:r w:rsidR="007F11DB" w:rsidRPr="00535BBB">
        <w:rPr>
          <w:rFonts w:ascii="Century Gothic" w:hAnsi="Century Gothic"/>
        </w:rPr>
        <w:t xml:space="preserve"> de</w:t>
      </w:r>
      <w:r w:rsidR="00F0584F" w:rsidRPr="00535BBB">
        <w:rPr>
          <w:rFonts w:ascii="Century Gothic" w:hAnsi="Century Gothic"/>
        </w:rPr>
        <w:t>s</w:t>
      </w:r>
      <w:r w:rsidR="007F11DB" w:rsidRPr="00535BBB">
        <w:rPr>
          <w:rFonts w:ascii="Century Gothic" w:hAnsi="Century Gothic"/>
        </w:rPr>
        <w:t xml:space="preserve"> personnes-r</w:t>
      </w:r>
      <w:r w:rsidR="00F0584F" w:rsidRPr="00535BBB">
        <w:rPr>
          <w:rFonts w:ascii="Century Gothic" w:hAnsi="Century Gothic"/>
        </w:rPr>
        <w:t>essources externes à la coalition ;</w:t>
      </w:r>
    </w:p>
    <w:p w14:paraId="6DADDDFE" w14:textId="77777777" w:rsidR="004E09AA" w:rsidRPr="00535BBB" w:rsidRDefault="002F0E4D" w:rsidP="00D060B8">
      <w:pPr>
        <w:numPr>
          <w:ilvl w:val="0"/>
          <w:numId w:val="18"/>
        </w:numPr>
        <w:spacing w:line="240" w:lineRule="auto"/>
        <w:jc w:val="both"/>
        <w:rPr>
          <w:rFonts w:ascii="Century Gothic" w:hAnsi="Century Gothic"/>
        </w:rPr>
      </w:pPr>
      <w:r w:rsidRPr="00535BBB">
        <w:rPr>
          <w:rFonts w:ascii="Century Gothic" w:hAnsi="Century Gothic"/>
          <w:b/>
        </w:rPr>
        <w:t>Atelier</w:t>
      </w:r>
      <w:r w:rsidR="00F0584F" w:rsidRPr="00535BBB">
        <w:rPr>
          <w:rFonts w:ascii="Century Gothic" w:hAnsi="Century Gothic"/>
          <w:b/>
        </w:rPr>
        <w:t>s</w:t>
      </w:r>
      <w:r w:rsidRPr="00535BBB">
        <w:rPr>
          <w:rFonts w:ascii="Century Gothic" w:hAnsi="Century Gothic"/>
          <w:b/>
        </w:rPr>
        <w:t xml:space="preserve"> d’élaboration </w:t>
      </w:r>
      <w:r w:rsidR="000F788A" w:rsidRPr="00535BBB">
        <w:rPr>
          <w:rFonts w:ascii="Century Gothic" w:hAnsi="Century Gothic"/>
        </w:rPr>
        <w:t xml:space="preserve">: le </w:t>
      </w:r>
      <w:r w:rsidR="00F0584F" w:rsidRPr="00535BBB">
        <w:rPr>
          <w:rFonts w:ascii="Century Gothic" w:hAnsi="Century Gothic"/>
        </w:rPr>
        <w:t>groupe de travail a organisé sur une période de 3 mois</w:t>
      </w:r>
      <w:r w:rsidR="000F788A" w:rsidRPr="00535BBB">
        <w:rPr>
          <w:rFonts w:ascii="Century Gothic" w:hAnsi="Century Gothic"/>
        </w:rPr>
        <w:t xml:space="preserve"> plusieurs ateliers d’élaboration</w:t>
      </w:r>
      <w:r w:rsidR="00F0584F" w:rsidRPr="00535BBB">
        <w:rPr>
          <w:rFonts w:ascii="Century Gothic" w:hAnsi="Century Gothic"/>
        </w:rPr>
        <w:t>, tenus</w:t>
      </w:r>
      <w:r w:rsidR="000F788A" w:rsidRPr="00535BBB">
        <w:rPr>
          <w:rFonts w:ascii="Century Gothic" w:hAnsi="Century Gothic"/>
        </w:rPr>
        <w:t xml:space="preserve"> de façon tournante</w:t>
      </w:r>
      <w:r w:rsidR="007F11DB" w:rsidRPr="00535BBB">
        <w:rPr>
          <w:rFonts w:ascii="Century Gothic" w:hAnsi="Century Gothic"/>
        </w:rPr>
        <w:t xml:space="preserve"> aux sièges d’Amnesty international Burkina Faso, du CIFDHA et du MBDHP</w:t>
      </w:r>
      <w:r w:rsidR="00F0584F" w:rsidRPr="00535BBB">
        <w:rPr>
          <w:rFonts w:ascii="Century Gothic" w:hAnsi="Century Gothic"/>
        </w:rPr>
        <w:t> ;</w:t>
      </w:r>
    </w:p>
    <w:p w14:paraId="422A3A61" w14:textId="77777777" w:rsidR="00F76923" w:rsidRPr="00535BBB" w:rsidRDefault="00F0584F" w:rsidP="00D060B8">
      <w:pPr>
        <w:numPr>
          <w:ilvl w:val="0"/>
          <w:numId w:val="18"/>
        </w:numPr>
        <w:spacing w:line="240" w:lineRule="auto"/>
        <w:jc w:val="both"/>
        <w:rPr>
          <w:rFonts w:ascii="Century Gothic" w:hAnsi="Century Gothic"/>
        </w:rPr>
      </w:pPr>
      <w:r w:rsidRPr="00535BBB">
        <w:rPr>
          <w:rFonts w:ascii="Century Gothic" w:hAnsi="Century Gothic"/>
          <w:b/>
        </w:rPr>
        <w:t>Appui technique </w:t>
      </w:r>
      <w:r w:rsidRPr="00535BBB">
        <w:rPr>
          <w:rFonts w:ascii="Century Gothic" w:hAnsi="Century Gothic"/>
        </w:rPr>
        <w:t xml:space="preserve">: le groupe de travail a bénéficié, durant tout le processus, de </w:t>
      </w:r>
      <w:r w:rsidR="00FA62B7" w:rsidRPr="00535BBB">
        <w:rPr>
          <w:rFonts w:ascii="Century Gothic" w:hAnsi="Century Gothic"/>
        </w:rPr>
        <w:t>l’appui technique constant du CCPR Centre, no</w:t>
      </w:r>
      <w:r w:rsidR="009E77B5" w:rsidRPr="00535BBB">
        <w:rPr>
          <w:rFonts w:ascii="Century Gothic" w:hAnsi="Century Gothic"/>
        </w:rPr>
        <w:t>tamment du</w:t>
      </w:r>
      <w:r w:rsidR="00FA62B7" w:rsidRPr="00535BBB">
        <w:rPr>
          <w:rFonts w:ascii="Century Gothic" w:hAnsi="Century Gothic"/>
        </w:rPr>
        <w:t xml:space="preserve"> coordinateur Afrique de l’Ouest et du Centre.</w:t>
      </w:r>
    </w:p>
    <w:p w14:paraId="690E84A9" w14:textId="77777777" w:rsidR="00375DC2" w:rsidRDefault="00535BBB" w:rsidP="00535BBB">
      <w:pPr>
        <w:pStyle w:val="Grillemoyenne1-Accent21"/>
        <w:numPr>
          <w:ilvl w:val="0"/>
          <w:numId w:val="2"/>
        </w:numPr>
        <w:spacing w:before="240" w:line="240" w:lineRule="auto"/>
        <w:jc w:val="both"/>
        <w:outlineLvl w:val="0"/>
        <w:rPr>
          <w:rFonts w:ascii="Century Gothic" w:hAnsi="Century Gothic"/>
          <w:b/>
          <w:sz w:val="28"/>
          <w:szCs w:val="28"/>
        </w:rPr>
      </w:pPr>
      <w:bookmarkStart w:id="4" w:name="_Toc426711280"/>
      <w:r>
        <w:rPr>
          <w:rFonts w:ascii="Century Gothic" w:hAnsi="Century Gothic"/>
          <w:b/>
          <w:sz w:val="28"/>
          <w:szCs w:val="28"/>
        </w:rPr>
        <w:br w:type="page"/>
      </w:r>
      <w:r w:rsidR="001A1F24" w:rsidRPr="00D47373">
        <w:rPr>
          <w:rFonts w:ascii="Century Gothic" w:hAnsi="Century Gothic"/>
          <w:b/>
          <w:sz w:val="28"/>
          <w:szCs w:val="28"/>
        </w:rPr>
        <w:lastRenderedPageBreak/>
        <w:t>Le PI</w:t>
      </w:r>
      <w:r w:rsidR="005847E9" w:rsidRPr="00D47373">
        <w:rPr>
          <w:rFonts w:ascii="Century Gothic" w:hAnsi="Century Gothic"/>
          <w:b/>
          <w:sz w:val="28"/>
          <w:szCs w:val="28"/>
        </w:rPr>
        <w:t>DCP et sa mise en œuvre a</w:t>
      </w:r>
      <w:r w:rsidR="001A1F24" w:rsidRPr="00D47373">
        <w:rPr>
          <w:rFonts w:ascii="Century Gothic" w:hAnsi="Century Gothic"/>
          <w:b/>
          <w:sz w:val="28"/>
          <w:szCs w:val="28"/>
        </w:rPr>
        <w:t>u Burkina Faso</w:t>
      </w:r>
      <w:bookmarkEnd w:id="4"/>
    </w:p>
    <w:p w14:paraId="15ED61AD" w14:textId="77777777" w:rsidR="00D47373" w:rsidRPr="00D47373" w:rsidRDefault="00D47373" w:rsidP="00D47373">
      <w:pPr>
        <w:pStyle w:val="Grillemoyenne1-Accent21"/>
        <w:spacing w:before="240" w:line="240" w:lineRule="auto"/>
        <w:ind w:left="1080"/>
        <w:jc w:val="both"/>
        <w:outlineLvl w:val="0"/>
        <w:rPr>
          <w:rFonts w:ascii="Century Gothic" w:hAnsi="Century Gothic"/>
          <w:b/>
          <w:sz w:val="28"/>
          <w:szCs w:val="28"/>
        </w:rPr>
      </w:pPr>
    </w:p>
    <w:p w14:paraId="6D043709" w14:textId="77777777" w:rsidR="008214E1" w:rsidRPr="00535BBB" w:rsidRDefault="003B53CD" w:rsidP="00D060B8">
      <w:pPr>
        <w:pStyle w:val="Grillemoyenne1-Accent21"/>
        <w:numPr>
          <w:ilvl w:val="0"/>
          <w:numId w:val="36"/>
        </w:numPr>
        <w:spacing w:before="240" w:line="240" w:lineRule="auto"/>
        <w:jc w:val="both"/>
        <w:outlineLvl w:val="0"/>
        <w:rPr>
          <w:rStyle w:val="hps"/>
          <w:rFonts w:ascii="Century Gothic" w:hAnsi="Century Gothic"/>
        </w:rPr>
      </w:pPr>
      <w:bookmarkStart w:id="5" w:name="_Toc426711281"/>
      <w:r w:rsidRPr="00535BBB">
        <w:rPr>
          <w:rStyle w:val="hps"/>
          <w:rFonts w:ascii="Century Gothic" w:hAnsi="Century Gothic"/>
          <w:b/>
          <w:u w:val="single"/>
        </w:rPr>
        <w:t>L’administration de la Justice</w:t>
      </w:r>
      <w:bookmarkEnd w:id="5"/>
    </w:p>
    <w:p w14:paraId="55C046D5" w14:textId="77777777" w:rsidR="00535BBB" w:rsidRPr="00535BBB" w:rsidRDefault="00535BBB" w:rsidP="00535BBB">
      <w:pPr>
        <w:pStyle w:val="Grillemoyenne1-Accent21"/>
        <w:spacing w:before="240" w:line="240" w:lineRule="auto"/>
        <w:jc w:val="both"/>
        <w:outlineLvl w:val="0"/>
        <w:rPr>
          <w:rStyle w:val="hps"/>
          <w:rFonts w:ascii="Century Gothic" w:hAnsi="Century Gothic"/>
        </w:rPr>
      </w:pPr>
    </w:p>
    <w:p w14:paraId="4C6A4F3E" w14:textId="77777777" w:rsidR="008303CC" w:rsidRDefault="008303CC" w:rsidP="00D060B8">
      <w:pPr>
        <w:pStyle w:val="Grillemoyenne1-Accent21"/>
        <w:numPr>
          <w:ilvl w:val="0"/>
          <w:numId w:val="35"/>
        </w:numPr>
        <w:spacing w:before="100" w:beforeAutospacing="1" w:after="100" w:afterAutospacing="1" w:line="240" w:lineRule="auto"/>
        <w:jc w:val="both"/>
        <w:outlineLvl w:val="0"/>
        <w:rPr>
          <w:rStyle w:val="hps"/>
          <w:rFonts w:ascii="Century Gothic" w:hAnsi="Century Gothic"/>
          <w:b/>
        </w:rPr>
      </w:pPr>
      <w:bookmarkStart w:id="6" w:name="_Toc426711282"/>
      <w:r w:rsidRPr="00535BBB">
        <w:rPr>
          <w:rStyle w:val="hps"/>
          <w:rFonts w:ascii="Century Gothic" w:hAnsi="Century Gothic"/>
          <w:b/>
        </w:rPr>
        <w:t>Cadre constitutionnel et juridique</w:t>
      </w:r>
      <w:r w:rsidR="00317E98" w:rsidRPr="00535BBB">
        <w:rPr>
          <w:rStyle w:val="hps"/>
          <w:rFonts w:ascii="Century Gothic" w:hAnsi="Century Gothic"/>
          <w:b/>
        </w:rPr>
        <w:t xml:space="preserve"> </w:t>
      </w:r>
      <w:r w:rsidRPr="00535BBB">
        <w:rPr>
          <w:rStyle w:val="hps"/>
          <w:rFonts w:ascii="Century Gothic" w:hAnsi="Century Gothic"/>
          <w:b/>
        </w:rPr>
        <w:t>d</w:t>
      </w:r>
      <w:r w:rsidR="002F58AF" w:rsidRPr="00535BBB">
        <w:rPr>
          <w:rStyle w:val="hps"/>
          <w:rFonts w:ascii="Century Gothic" w:hAnsi="Century Gothic"/>
          <w:b/>
        </w:rPr>
        <w:t>e mise en œuvre du</w:t>
      </w:r>
      <w:r w:rsidRPr="00535BBB">
        <w:rPr>
          <w:rStyle w:val="hps"/>
          <w:rFonts w:ascii="Century Gothic" w:hAnsi="Century Gothic"/>
          <w:b/>
        </w:rPr>
        <w:t xml:space="preserve"> Pacte</w:t>
      </w:r>
      <w:bookmarkEnd w:id="6"/>
    </w:p>
    <w:p w14:paraId="256ECCA6" w14:textId="77777777" w:rsidR="00535BBB" w:rsidRPr="00535BBB" w:rsidRDefault="00535BBB" w:rsidP="00535BBB">
      <w:pPr>
        <w:pStyle w:val="Grillemoyenne1-Accent21"/>
        <w:spacing w:before="100" w:beforeAutospacing="1" w:after="100" w:afterAutospacing="1" w:line="240" w:lineRule="auto"/>
        <w:jc w:val="both"/>
        <w:outlineLvl w:val="0"/>
        <w:rPr>
          <w:rStyle w:val="hps"/>
          <w:rFonts w:ascii="Century Gothic" w:hAnsi="Century Gothic"/>
          <w:b/>
        </w:rPr>
      </w:pPr>
    </w:p>
    <w:p w14:paraId="26ADCEF4" w14:textId="77777777" w:rsidR="00052195" w:rsidRPr="00535BBB" w:rsidRDefault="00052195" w:rsidP="00D060B8">
      <w:pPr>
        <w:pStyle w:val="Grillemoyenne1-Accent21"/>
        <w:numPr>
          <w:ilvl w:val="0"/>
          <w:numId w:val="33"/>
        </w:numPr>
        <w:spacing w:before="100" w:beforeAutospacing="1" w:after="0" w:line="240" w:lineRule="auto"/>
        <w:jc w:val="both"/>
        <w:rPr>
          <w:rFonts w:ascii="Century Gothic" w:hAnsi="Century Gothic"/>
          <w:b/>
        </w:rPr>
      </w:pPr>
      <w:r w:rsidRPr="00535BBB">
        <w:rPr>
          <w:rFonts w:ascii="Century Gothic" w:hAnsi="Century Gothic"/>
          <w:b/>
        </w:rPr>
        <w:t>De l’incorporation des dispositions du Pacte dans le droit interne</w:t>
      </w:r>
    </w:p>
    <w:p w14:paraId="74E92787" w14:textId="77777777" w:rsidR="0046460D" w:rsidRPr="00535BBB" w:rsidRDefault="00B229EB" w:rsidP="00535BBB">
      <w:pPr>
        <w:autoSpaceDE w:val="0"/>
        <w:autoSpaceDN w:val="0"/>
        <w:adjustRightInd w:val="0"/>
        <w:spacing w:after="0" w:line="240" w:lineRule="auto"/>
        <w:jc w:val="both"/>
        <w:rPr>
          <w:rFonts w:ascii="Century Gothic" w:hAnsi="Century Gothic"/>
        </w:rPr>
      </w:pPr>
      <w:r w:rsidRPr="00535BBB">
        <w:rPr>
          <w:rFonts w:ascii="Century Gothic" w:hAnsi="Century Gothic"/>
        </w:rPr>
        <w:t>En droit burkinabè</w:t>
      </w:r>
      <w:r w:rsidRPr="00535BBB">
        <w:rPr>
          <w:rStyle w:val="Marquenotebasdepage"/>
          <w:rFonts w:ascii="Century Gothic" w:hAnsi="Century Gothic"/>
        </w:rPr>
        <w:footnoteReference w:id="1"/>
      </w:r>
      <w:r w:rsidRPr="00535BBB">
        <w:rPr>
          <w:rFonts w:ascii="Century Gothic" w:hAnsi="Century Gothic"/>
        </w:rPr>
        <w:t xml:space="preserve">, les conventions et accords régulièrement ratifiés ont une autorité supérieure à celles des lois internes. Le Burkina Faso </w:t>
      </w:r>
      <w:r w:rsidR="00DA2E9C" w:rsidRPr="00535BBB">
        <w:rPr>
          <w:rFonts w:ascii="Century Gothic" w:hAnsi="Century Gothic"/>
        </w:rPr>
        <w:t xml:space="preserve">a </w:t>
      </w:r>
      <w:r w:rsidRPr="00535BBB">
        <w:rPr>
          <w:rFonts w:ascii="Century Gothic" w:hAnsi="Century Gothic"/>
        </w:rPr>
        <w:t>souscri</w:t>
      </w:r>
      <w:r w:rsidR="0012753C">
        <w:rPr>
          <w:rFonts w:ascii="Century Gothic" w:hAnsi="Century Gothic"/>
        </w:rPr>
        <w:t>t</w:t>
      </w:r>
      <w:r w:rsidRPr="00535BBB">
        <w:rPr>
          <w:rFonts w:ascii="Century Gothic" w:hAnsi="Century Gothic"/>
        </w:rPr>
        <w:t xml:space="preserve"> à la </w:t>
      </w:r>
      <w:r w:rsidR="00DA2E9C" w:rsidRPr="00535BBB">
        <w:rPr>
          <w:rFonts w:ascii="Century Gothic" w:hAnsi="Century Gothic"/>
        </w:rPr>
        <w:t>D</w:t>
      </w:r>
      <w:r w:rsidRPr="00535BBB">
        <w:rPr>
          <w:rFonts w:ascii="Century Gothic" w:hAnsi="Century Gothic"/>
        </w:rPr>
        <w:t>éclaration universelle des Droits de l'Homme de 1948</w:t>
      </w:r>
      <w:r w:rsidR="000E0C9D">
        <w:rPr>
          <w:rStyle w:val="Marquenotebasdepage"/>
          <w:rFonts w:ascii="Century Gothic" w:hAnsi="Century Gothic"/>
        </w:rPr>
        <w:footnoteReference w:id="2"/>
      </w:r>
      <w:r w:rsidRPr="00535BBB">
        <w:rPr>
          <w:rFonts w:ascii="Century Gothic" w:hAnsi="Century Gothic"/>
        </w:rPr>
        <w:t xml:space="preserve"> et aux instruments internationaux traitant </w:t>
      </w:r>
      <w:r w:rsidR="00DA2E9C" w:rsidRPr="00535BBB">
        <w:rPr>
          <w:rFonts w:ascii="Century Gothic" w:hAnsi="Century Gothic"/>
        </w:rPr>
        <w:t>des droits civils et politiques</w:t>
      </w:r>
      <w:r w:rsidR="00DA2E9C" w:rsidRPr="00535BBB">
        <w:rPr>
          <w:rStyle w:val="Marquenotebasdepage"/>
          <w:rFonts w:ascii="Century Gothic" w:hAnsi="Century Gothic"/>
        </w:rPr>
        <w:footnoteReference w:id="3"/>
      </w:r>
      <w:r w:rsidRPr="00535BBB">
        <w:rPr>
          <w:rFonts w:ascii="Century Gothic" w:hAnsi="Century Gothic"/>
        </w:rPr>
        <w:t xml:space="preserve">. </w:t>
      </w:r>
      <w:r w:rsidR="00052195" w:rsidRPr="00535BBB">
        <w:rPr>
          <w:rFonts w:ascii="Century Gothic" w:hAnsi="Century Gothic"/>
        </w:rPr>
        <w:t>L</w:t>
      </w:r>
      <w:r w:rsidR="005521BD" w:rsidRPr="00535BBB">
        <w:rPr>
          <w:rFonts w:ascii="Century Gothic" w:hAnsi="Century Gothic"/>
        </w:rPr>
        <w:t xml:space="preserve">’incorporation des dispositions du PIDCP en droit interne peut s’apprécier autant à partir </w:t>
      </w:r>
      <w:r w:rsidR="0046460D" w:rsidRPr="00535BBB">
        <w:rPr>
          <w:rFonts w:ascii="Century Gothic" w:hAnsi="Century Gothic"/>
        </w:rPr>
        <w:t xml:space="preserve">des mesures législatives prises pour incorporer ou donner effet aux dispositions du PIDCP en droit interne que </w:t>
      </w:r>
      <w:r w:rsidR="005521BD" w:rsidRPr="00535BBB">
        <w:rPr>
          <w:rFonts w:ascii="Century Gothic" w:hAnsi="Century Gothic"/>
        </w:rPr>
        <w:t xml:space="preserve">des instruments </w:t>
      </w:r>
      <w:r w:rsidR="00170175" w:rsidRPr="00535BBB">
        <w:rPr>
          <w:rFonts w:ascii="Century Gothic" w:hAnsi="Century Gothic"/>
        </w:rPr>
        <w:t xml:space="preserve">internationaux ou régionaux </w:t>
      </w:r>
      <w:r w:rsidR="005521BD" w:rsidRPr="00535BBB">
        <w:rPr>
          <w:rFonts w:ascii="Century Gothic" w:hAnsi="Century Gothic"/>
        </w:rPr>
        <w:t>ratifiés.</w:t>
      </w:r>
      <w:r w:rsidR="0046460D" w:rsidRPr="00535BBB">
        <w:rPr>
          <w:rFonts w:ascii="Century Gothic" w:hAnsi="Century Gothic"/>
          <w:vertAlign w:val="superscript"/>
        </w:rPr>
        <w:footnoteReference w:id="4"/>
      </w:r>
      <w:r w:rsidR="0046460D" w:rsidRPr="00535BBB">
        <w:rPr>
          <w:rFonts w:ascii="Century Gothic" w:hAnsi="Century Gothic"/>
        </w:rPr>
        <w:t>.</w:t>
      </w:r>
    </w:p>
    <w:p w14:paraId="2F9E4B6C" w14:textId="77777777" w:rsidR="005D64F6" w:rsidRPr="00535BBB" w:rsidRDefault="0084668B" w:rsidP="00535BBB">
      <w:pPr>
        <w:autoSpaceDE w:val="0"/>
        <w:autoSpaceDN w:val="0"/>
        <w:adjustRightInd w:val="0"/>
        <w:spacing w:after="0" w:line="240" w:lineRule="auto"/>
        <w:jc w:val="both"/>
        <w:rPr>
          <w:rFonts w:ascii="Century Gothic" w:hAnsi="Century Gothic"/>
        </w:rPr>
      </w:pPr>
      <w:r w:rsidRPr="00535BBB">
        <w:rPr>
          <w:rFonts w:ascii="Century Gothic" w:hAnsi="Century Gothic"/>
        </w:rPr>
        <w:t>C</w:t>
      </w:r>
      <w:r w:rsidR="00170175" w:rsidRPr="00535BBB">
        <w:rPr>
          <w:rFonts w:ascii="Century Gothic" w:hAnsi="Century Gothic"/>
        </w:rPr>
        <w:t>’est le 4 janvier</w:t>
      </w:r>
      <w:r w:rsidR="00F76923" w:rsidRPr="00535BBB">
        <w:rPr>
          <w:rFonts w:ascii="Century Gothic" w:hAnsi="Century Gothic"/>
        </w:rPr>
        <w:t xml:space="preserve"> </w:t>
      </w:r>
      <w:r w:rsidR="00170175" w:rsidRPr="00535BBB">
        <w:rPr>
          <w:rFonts w:ascii="Century Gothic" w:hAnsi="Century Gothic"/>
        </w:rPr>
        <w:t xml:space="preserve">1999 que le </w:t>
      </w:r>
      <w:r w:rsidR="00DA12AE" w:rsidRPr="00535BBB">
        <w:rPr>
          <w:rFonts w:ascii="Century Gothic" w:hAnsi="Century Gothic"/>
        </w:rPr>
        <w:t xml:space="preserve">Burkina Faso a adhéré au PIDCP </w:t>
      </w:r>
      <w:r w:rsidR="00170175" w:rsidRPr="00535BBB">
        <w:rPr>
          <w:rFonts w:ascii="Century Gothic" w:hAnsi="Century Gothic"/>
        </w:rPr>
        <w:t>et c</w:t>
      </w:r>
      <w:r w:rsidR="00DE4A51" w:rsidRPr="00535BBB">
        <w:rPr>
          <w:rFonts w:ascii="Century Gothic" w:hAnsi="Century Gothic"/>
        </w:rPr>
        <w:t>e n</w:t>
      </w:r>
      <w:r w:rsidR="00170175" w:rsidRPr="00535BBB">
        <w:rPr>
          <w:rFonts w:ascii="Century Gothic" w:hAnsi="Century Gothic"/>
        </w:rPr>
        <w:t xml:space="preserve">’est </w:t>
      </w:r>
      <w:r w:rsidR="00DE4A51" w:rsidRPr="00535BBB">
        <w:rPr>
          <w:rFonts w:ascii="Century Gothic" w:hAnsi="Century Gothic"/>
        </w:rPr>
        <w:t>qu’</w:t>
      </w:r>
      <w:r w:rsidR="00170175" w:rsidRPr="00535BBB">
        <w:rPr>
          <w:rFonts w:ascii="Century Gothic" w:hAnsi="Century Gothic"/>
        </w:rPr>
        <w:t>en avril 2012 que le pays a soumis son ra</w:t>
      </w:r>
      <w:r w:rsidR="00DA12AE" w:rsidRPr="00535BBB">
        <w:rPr>
          <w:rFonts w:ascii="Century Gothic" w:hAnsi="Century Gothic"/>
        </w:rPr>
        <w:t>pp</w:t>
      </w:r>
      <w:r w:rsidR="00170175" w:rsidRPr="00535BBB">
        <w:rPr>
          <w:rFonts w:ascii="Century Gothic" w:hAnsi="Century Gothic"/>
        </w:rPr>
        <w:t>ort initial</w:t>
      </w:r>
      <w:r w:rsidR="00DE4A51" w:rsidRPr="00535BBB">
        <w:rPr>
          <w:rFonts w:ascii="Century Gothic" w:hAnsi="Century Gothic"/>
        </w:rPr>
        <w:t xml:space="preserve"> au Comité des droits de l’homme</w:t>
      </w:r>
      <w:r w:rsidR="00170175" w:rsidRPr="00535BBB">
        <w:rPr>
          <w:rFonts w:ascii="Century Gothic" w:hAnsi="Century Gothic"/>
        </w:rPr>
        <w:t xml:space="preserve">. Concomitamment à la ratification du PIDCP, le Burkina Faso a </w:t>
      </w:r>
      <w:r w:rsidR="00DE4A51" w:rsidRPr="00535BBB">
        <w:rPr>
          <w:rFonts w:ascii="Century Gothic" w:hAnsi="Century Gothic"/>
        </w:rPr>
        <w:t xml:space="preserve">aussi </w:t>
      </w:r>
      <w:r w:rsidR="00170175" w:rsidRPr="00535BBB">
        <w:rPr>
          <w:rFonts w:ascii="Century Gothic" w:hAnsi="Century Gothic"/>
        </w:rPr>
        <w:t xml:space="preserve">ratifié le </w:t>
      </w:r>
      <w:r w:rsidR="005D64F6" w:rsidRPr="00535BBB">
        <w:rPr>
          <w:rFonts w:ascii="Century Gothic" w:hAnsi="Century Gothic"/>
        </w:rPr>
        <w:t xml:space="preserve">premier </w:t>
      </w:r>
      <w:r w:rsidR="00170175" w:rsidRPr="00535BBB">
        <w:rPr>
          <w:rFonts w:ascii="Century Gothic" w:hAnsi="Century Gothic"/>
        </w:rPr>
        <w:t>Protocole facultatif se rapportant au Pacte international relatif aux droits civils et politiques</w:t>
      </w:r>
      <w:r w:rsidR="00F76923" w:rsidRPr="00535BBB">
        <w:rPr>
          <w:rFonts w:ascii="Century Gothic" w:hAnsi="Century Gothic"/>
        </w:rPr>
        <w:t xml:space="preserve"> </w:t>
      </w:r>
      <w:r w:rsidR="005D64F6" w:rsidRPr="00535BBB">
        <w:rPr>
          <w:rFonts w:ascii="Century Gothic" w:hAnsi="Century Gothic"/>
        </w:rPr>
        <w:t xml:space="preserve">(communications individuelles) </w:t>
      </w:r>
      <w:r w:rsidR="00DE4A51" w:rsidRPr="00535BBB">
        <w:rPr>
          <w:rFonts w:ascii="Century Gothic" w:hAnsi="Century Gothic"/>
        </w:rPr>
        <w:t>et</w:t>
      </w:r>
      <w:r w:rsidR="00170175" w:rsidRPr="00535BBB">
        <w:rPr>
          <w:rFonts w:ascii="Century Gothic" w:hAnsi="Century Gothic"/>
        </w:rPr>
        <w:t xml:space="preserve"> la Convention contre la torture et autres peines ou traitements cruels, inhumains ou dégradants</w:t>
      </w:r>
      <w:r w:rsidR="00170175" w:rsidRPr="00535BBB">
        <w:rPr>
          <w:rStyle w:val="Marquenotebasdepage"/>
          <w:rFonts w:ascii="Century Gothic" w:hAnsi="Century Gothic"/>
        </w:rPr>
        <w:footnoteReference w:id="5"/>
      </w:r>
      <w:r w:rsidR="0046460D" w:rsidRPr="00535BBB">
        <w:rPr>
          <w:rFonts w:ascii="Century Gothic" w:hAnsi="Century Gothic"/>
        </w:rPr>
        <w:t>. Le 07 juillet 2010, le pays a ratifié le Protocole facultatif à la Convention contre la torture et autres peines ou traitements cruels, inhumains ou dégradants.</w:t>
      </w:r>
      <w:r w:rsidR="00F76923" w:rsidRPr="00535BBB">
        <w:rPr>
          <w:rFonts w:ascii="Century Gothic" w:hAnsi="Century Gothic"/>
        </w:rPr>
        <w:t xml:space="preserve"> </w:t>
      </w:r>
      <w:r w:rsidR="005D64F6" w:rsidRPr="00535BBB">
        <w:rPr>
          <w:rFonts w:ascii="Century Gothic" w:hAnsi="Century Gothic"/>
        </w:rPr>
        <w:t>L’Assemblée nationale a adopté la Loi Nº22-2014/AN du 27 mai 2014 portant prévention et répression de la torture et des pratiques assimilées. Nous saluons l’adoption de cette loi qui reprend pour l’essentiel les dispositions de la convention internationale contre la torture et qui prévoit la mise en place d’un observatoire nationale de prévention de la torture</w:t>
      </w:r>
      <w:r w:rsidR="006F2105" w:rsidRPr="00535BBB">
        <w:rPr>
          <w:rFonts w:ascii="Century Gothic" w:hAnsi="Century Gothic"/>
        </w:rPr>
        <w:t xml:space="preserve"> et autres pratiques assimilées (ONPT)</w:t>
      </w:r>
      <w:r w:rsidR="005D64F6" w:rsidRPr="00535BBB">
        <w:rPr>
          <w:rFonts w:ascii="Century Gothic" w:hAnsi="Century Gothic"/>
        </w:rPr>
        <w:t>.</w:t>
      </w:r>
    </w:p>
    <w:p w14:paraId="66C03EEE" w14:textId="77777777" w:rsidR="00DA12AE" w:rsidRPr="00535BBB" w:rsidRDefault="005D64F6" w:rsidP="00535BBB">
      <w:pPr>
        <w:pStyle w:val="Default"/>
        <w:jc w:val="both"/>
        <w:rPr>
          <w:rFonts w:ascii="Century Gothic" w:hAnsi="Century Gothic" w:cs="Times New Roman"/>
          <w:sz w:val="22"/>
          <w:szCs w:val="22"/>
        </w:rPr>
      </w:pPr>
      <w:r w:rsidRPr="00535BBB">
        <w:rPr>
          <w:rFonts w:ascii="Century Gothic" w:hAnsi="Century Gothic" w:cs="Times New Roman"/>
          <w:color w:val="auto"/>
          <w:sz w:val="22"/>
          <w:szCs w:val="22"/>
        </w:rPr>
        <w:t>Par ailleurs, l</w:t>
      </w:r>
      <w:r w:rsidR="00467E22" w:rsidRPr="00535BBB">
        <w:rPr>
          <w:rFonts w:ascii="Century Gothic" w:hAnsi="Century Gothic" w:cs="Times New Roman"/>
          <w:color w:val="auto"/>
          <w:sz w:val="22"/>
          <w:szCs w:val="22"/>
        </w:rPr>
        <w:t xml:space="preserve">e Burkina Faso a ratifié plusieurs instruments régionaux et internationaux </w:t>
      </w:r>
      <w:r w:rsidRPr="00535BBB">
        <w:rPr>
          <w:rFonts w:ascii="Century Gothic" w:hAnsi="Century Gothic" w:cs="Times New Roman"/>
          <w:color w:val="auto"/>
          <w:sz w:val="22"/>
          <w:szCs w:val="22"/>
        </w:rPr>
        <w:t>relatifs aux droits humains</w:t>
      </w:r>
      <w:r w:rsidR="0084668B" w:rsidRPr="00535BBB">
        <w:rPr>
          <w:rStyle w:val="Marquenotebasdepage"/>
          <w:rFonts w:ascii="Century Gothic" w:hAnsi="Century Gothic" w:cs="Times New Roman"/>
          <w:color w:val="auto"/>
          <w:sz w:val="22"/>
          <w:szCs w:val="22"/>
        </w:rPr>
        <w:footnoteReference w:id="6"/>
      </w:r>
      <w:r w:rsidR="00234B74" w:rsidRPr="00535BBB">
        <w:rPr>
          <w:rFonts w:ascii="Century Gothic" w:hAnsi="Century Gothic" w:cs="Times New Roman"/>
          <w:color w:val="auto"/>
          <w:sz w:val="22"/>
          <w:szCs w:val="22"/>
        </w:rPr>
        <w:t xml:space="preserve">. </w:t>
      </w:r>
      <w:r w:rsidR="002052AA" w:rsidRPr="00535BBB">
        <w:rPr>
          <w:rFonts w:ascii="Century Gothic" w:hAnsi="Century Gothic" w:cs="Times New Roman"/>
          <w:sz w:val="22"/>
          <w:szCs w:val="22"/>
        </w:rPr>
        <w:t>A ce jour, le Burkina Faso</w:t>
      </w:r>
      <w:r w:rsidR="0046460D" w:rsidRPr="00535BBB">
        <w:rPr>
          <w:rFonts w:ascii="Century Gothic" w:hAnsi="Century Gothic" w:cs="Times New Roman"/>
          <w:sz w:val="22"/>
          <w:szCs w:val="22"/>
        </w:rPr>
        <w:t xml:space="preserve"> n’a</w:t>
      </w:r>
      <w:r w:rsidR="00170175" w:rsidRPr="00535BBB">
        <w:rPr>
          <w:rFonts w:ascii="Century Gothic" w:hAnsi="Century Gothic" w:cs="Times New Roman"/>
          <w:sz w:val="22"/>
          <w:szCs w:val="22"/>
        </w:rPr>
        <w:t xml:space="preserve"> ni signé encore moins ratifié le deuxième protocole facultatif se rapportant au Pacte international relatif aux droits civils et politiques, visant à abolir la peine de mort</w:t>
      </w:r>
      <w:r w:rsidR="00DE4A51" w:rsidRPr="00535BBB">
        <w:rPr>
          <w:rFonts w:ascii="Century Gothic" w:hAnsi="Century Gothic" w:cs="Times New Roman"/>
          <w:sz w:val="22"/>
          <w:szCs w:val="22"/>
        </w:rPr>
        <w:t xml:space="preserve">. </w:t>
      </w:r>
      <w:r w:rsidR="006174A0" w:rsidRPr="00535BBB">
        <w:rPr>
          <w:rFonts w:ascii="Century Gothic" w:hAnsi="Century Gothic" w:cs="Times New Roman"/>
          <w:sz w:val="22"/>
          <w:szCs w:val="22"/>
        </w:rPr>
        <w:t xml:space="preserve">Mais le pays </w:t>
      </w:r>
      <w:r w:rsidR="00DE4A51" w:rsidRPr="00535BBB">
        <w:rPr>
          <w:rFonts w:ascii="Century Gothic" w:hAnsi="Century Gothic" w:cs="Times New Roman"/>
          <w:sz w:val="22"/>
          <w:szCs w:val="22"/>
        </w:rPr>
        <w:t>demeure abolitionniste de fait</w:t>
      </w:r>
      <w:r w:rsidR="00170175" w:rsidRPr="00535BBB">
        <w:rPr>
          <w:rFonts w:ascii="Century Gothic" w:hAnsi="Century Gothic" w:cs="Times New Roman"/>
          <w:sz w:val="22"/>
          <w:szCs w:val="22"/>
        </w:rPr>
        <w:t>. Il convient de saluer à sa juste valeur l’évolution vers une abolition effective de la peine</w:t>
      </w:r>
      <w:r w:rsidR="00DE4A51" w:rsidRPr="00535BBB">
        <w:rPr>
          <w:rFonts w:ascii="Century Gothic" w:hAnsi="Century Gothic" w:cs="Times New Roman"/>
          <w:sz w:val="22"/>
          <w:szCs w:val="22"/>
        </w:rPr>
        <w:t xml:space="preserve"> de mort</w:t>
      </w:r>
      <w:r w:rsidR="00170175" w:rsidRPr="00535BBB">
        <w:rPr>
          <w:rFonts w:ascii="Century Gothic" w:hAnsi="Century Gothic" w:cs="Times New Roman"/>
          <w:sz w:val="22"/>
          <w:szCs w:val="22"/>
        </w:rPr>
        <w:t>. En effet, une proposition de loi d</w:t>
      </w:r>
      <w:r w:rsidR="00DA12AE" w:rsidRPr="00535BBB">
        <w:rPr>
          <w:rFonts w:ascii="Century Gothic" w:hAnsi="Century Gothic" w:cs="Times New Roman"/>
          <w:sz w:val="22"/>
          <w:szCs w:val="22"/>
        </w:rPr>
        <w:t xml:space="preserve">u </w:t>
      </w:r>
      <w:r w:rsidR="00170175" w:rsidRPr="00535BBB">
        <w:rPr>
          <w:rFonts w:ascii="Century Gothic" w:hAnsi="Century Gothic" w:cs="Times New Roman"/>
          <w:sz w:val="22"/>
          <w:szCs w:val="22"/>
        </w:rPr>
        <w:t xml:space="preserve">Conseil </w:t>
      </w:r>
      <w:proofErr w:type="gramStart"/>
      <w:r w:rsidR="00170175" w:rsidRPr="00535BBB">
        <w:rPr>
          <w:rFonts w:ascii="Century Gothic" w:hAnsi="Century Gothic" w:cs="Times New Roman"/>
          <w:sz w:val="22"/>
          <w:szCs w:val="22"/>
        </w:rPr>
        <w:t>national</w:t>
      </w:r>
      <w:proofErr w:type="gramEnd"/>
      <w:r w:rsidR="00170175" w:rsidRPr="00535BBB">
        <w:rPr>
          <w:rFonts w:ascii="Century Gothic" w:hAnsi="Century Gothic" w:cs="Times New Roman"/>
          <w:sz w:val="22"/>
          <w:szCs w:val="22"/>
        </w:rPr>
        <w:t xml:space="preserve"> de transition (</w:t>
      </w:r>
      <w:r w:rsidR="00DA12AE" w:rsidRPr="00535BBB">
        <w:rPr>
          <w:rFonts w:ascii="Century Gothic" w:hAnsi="Century Gothic" w:cs="Times New Roman"/>
          <w:sz w:val="22"/>
          <w:szCs w:val="22"/>
        </w:rPr>
        <w:t>CNT</w:t>
      </w:r>
      <w:r w:rsidR="00170175" w:rsidRPr="00535BBB">
        <w:rPr>
          <w:rFonts w:ascii="Century Gothic" w:hAnsi="Century Gothic" w:cs="Times New Roman"/>
          <w:sz w:val="22"/>
          <w:szCs w:val="22"/>
        </w:rPr>
        <w:t>)</w:t>
      </w:r>
      <w:r w:rsidR="00F76923" w:rsidRPr="00535BBB">
        <w:rPr>
          <w:rFonts w:ascii="Century Gothic" w:hAnsi="Century Gothic" w:cs="Times New Roman"/>
          <w:sz w:val="22"/>
          <w:szCs w:val="22"/>
        </w:rPr>
        <w:t xml:space="preserve"> </w:t>
      </w:r>
      <w:r w:rsidR="002F0E4D" w:rsidRPr="00535BBB">
        <w:rPr>
          <w:rFonts w:ascii="Century Gothic" w:hAnsi="Century Gothic" w:cs="Times New Roman"/>
          <w:sz w:val="22"/>
          <w:szCs w:val="22"/>
        </w:rPr>
        <w:t>supportée par le Président de l’institution vise à rendre effective l’abolition de la peine de mort</w:t>
      </w:r>
      <w:r w:rsidR="00170175" w:rsidRPr="00535BBB">
        <w:rPr>
          <w:rFonts w:ascii="Century Gothic" w:hAnsi="Century Gothic" w:cs="Times New Roman"/>
          <w:sz w:val="22"/>
          <w:szCs w:val="22"/>
        </w:rPr>
        <w:t>.</w:t>
      </w:r>
      <w:r w:rsidR="00234B74" w:rsidRPr="00535BBB">
        <w:rPr>
          <w:rFonts w:ascii="Century Gothic" w:hAnsi="Century Gothic" w:cs="Times New Roman"/>
          <w:sz w:val="22"/>
          <w:szCs w:val="22"/>
        </w:rPr>
        <w:t xml:space="preserve"> </w:t>
      </w:r>
      <w:r w:rsidR="0012753C">
        <w:rPr>
          <w:rFonts w:ascii="Century Gothic" w:hAnsi="Century Gothic" w:cs="Times New Roman"/>
          <w:sz w:val="22"/>
          <w:szCs w:val="22"/>
        </w:rPr>
        <w:t>Celle-ci a été t</w:t>
      </w:r>
      <w:r w:rsidR="00234B74" w:rsidRPr="00535BBB">
        <w:rPr>
          <w:rFonts w:ascii="Century Gothic" w:hAnsi="Century Gothic" w:cs="Times New Roman"/>
          <w:sz w:val="22"/>
          <w:szCs w:val="22"/>
        </w:rPr>
        <w:t>ransmise au gouvernement pour avis</w:t>
      </w:r>
      <w:r w:rsidR="0012753C">
        <w:rPr>
          <w:rFonts w:ascii="Century Gothic" w:hAnsi="Century Gothic" w:cs="Times New Roman"/>
          <w:sz w:val="22"/>
          <w:szCs w:val="22"/>
        </w:rPr>
        <w:t>.</w:t>
      </w:r>
    </w:p>
    <w:p w14:paraId="783B2259" w14:textId="77777777" w:rsidR="00170175" w:rsidRPr="00535BBB" w:rsidRDefault="0046460D" w:rsidP="00535BBB">
      <w:pPr>
        <w:autoSpaceDE w:val="0"/>
        <w:autoSpaceDN w:val="0"/>
        <w:adjustRightInd w:val="0"/>
        <w:spacing w:after="0" w:line="240" w:lineRule="auto"/>
        <w:jc w:val="both"/>
        <w:rPr>
          <w:rFonts w:ascii="Century Gothic" w:hAnsi="Century Gothic"/>
        </w:rPr>
      </w:pPr>
      <w:r w:rsidRPr="00535BBB">
        <w:rPr>
          <w:rFonts w:ascii="Century Gothic" w:hAnsi="Century Gothic"/>
        </w:rPr>
        <w:t xml:space="preserve">Au titre toujours des instruments internationaux permettant de donner effet aux dispositions du PIDCP dans le droit interne, il faut noter le Règlement </w:t>
      </w:r>
      <w:r w:rsidR="0062521E" w:rsidRPr="00535BBB">
        <w:rPr>
          <w:rFonts w:ascii="Century Gothic" w:hAnsi="Century Gothic"/>
        </w:rPr>
        <w:lastRenderedPageBreak/>
        <w:t>Nº05/CM/</w:t>
      </w:r>
      <w:r w:rsidRPr="00535BBB">
        <w:rPr>
          <w:rFonts w:ascii="Century Gothic" w:hAnsi="Century Gothic"/>
        </w:rPr>
        <w:t xml:space="preserve">UEMOA relatif </w:t>
      </w:r>
      <w:r w:rsidR="0062521E" w:rsidRPr="00535BBB">
        <w:rPr>
          <w:rFonts w:ascii="Century Gothic" w:hAnsi="Century Gothic"/>
        </w:rPr>
        <w:t>à l’harmonisation des règles régissant la profession d’avocat dans l’espace UEMOA du 25 septembre 2014 (entré en vigueur le 1</w:t>
      </w:r>
      <w:r w:rsidR="0062521E" w:rsidRPr="00535BBB">
        <w:rPr>
          <w:rFonts w:ascii="Century Gothic" w:hAnsi="Century Gothic"/>
          <w:vertAlign w:val="superscript"/>
        </w:rPr>
        <w:t>er</w:t>
      </w:r>
      <w:r w:rsidR="0062521E" w:rsidRPr="00535BBB">
        <w:rPr>
          <w:rFonts w:ascii="Century Gothic" w:hAnsi="Century Gothic"/>
        </w:rPr>
        <w:t xml:space="preserve"> janvier 2015) consacre la présence de l’avocat en enquête préliminaire</w:t>
      </w:r>
      <w:r w:rsidRPr="00535BBB">
        <w:rPr>
          <w:rFonts w:ascii="Century Gothic" w:hAnsi="Century Gothic"/>
        </w:rPr>
        <w:t xml:space="preserve">. Nous saluons à cet effet la circulaire </w:t>
      </w:r>
      <w:r w:rsidR="002047BD" w:rsidRPr="00535BBB">
        <w:rPr>
          <w:rFonts w:ascii="Century Gothic" w:hAnsi="Century Gothic"/>
        </w:rPr>
        <w:t>2015-</w:t>
      </w:r>
      <w:r w:rsidR="00D97B91" w:rsidRPr="00535BBB">
        <w:rPr>
          <w:rFonts w:ascii="Century Gothic" w:hAnsi="Century Gothic"/>
        </w:rPr>
        <w:t xml:space="preserve">004/MJDHPC/CAB </w:t>
      </w:r>
      <w:r w:rsidR="002047BD" w:rsidRPr="00535BBB">
        <w:rPr>
          <w:rFonts w:ascii="Century Gothic" w:hAnsi="Century Gothic"/>
        </w:rPr>
        <w:t xml:space="preserve">du 5 mars 2015 </w:t>
      </w:r>
      <w:r w:rsidR="008A697F" w:rsidRPr="00535BBB">
        <w:rPr>
          <w:rFonts w:ascii="Century Gothic" w:hAnsi="Century Gothic"/>
        </w:rPr>
        <w:t>prise par</w:t>
      </w:r>
      <w:r w:rsidR="00D97B91" w:rsidRPr="00535BBB">
        <w:rPr>
          <w:rFonts w:ascii="Century Gothic" w:hAnsi="Century Gothic"/>
        </w:rPr>
        <w:t xml:space="preserve"> la M</w:t>
      </w:r>
      <w:r w:rsidRPr="00535BBB">
        <w:rPr>
          <w:rFonts w:ascii="Century Gothic" w:hAnsi="Century Gothic"/>
        </w:rPr>
        <w:t>inistre de la justice</w:t>
      </w:r>
      <w:r w:rsidR="00D97B91" w:rsidRPr="00535BBB">
        <w:rPr>
          <w:rFonts w:ascii="Century Gothic" w:hAnsi="Century Gothic"/>
        </w:rPr>
        <w:t>,</w:t>
      </w:r>
      <w:r w:rsidR="008A697F" w:rsidRPr="00535BBB">
        <w:rPr>
          <w:rFonts w:ascii="Century Gothic" w:hAnsi="Century Gothic"/>
        </w:rPr>
        <w:t xml:space="preserve"> des droits humains </w:t>
      </w:r>
      <w:r w:rsidR="00D97B91" w:rsidRPr="00535BBB">
        <w:rPr>
          <w:rFonts w:ascii="Century Gothic" w:hAnsi="Century Gothic"/>
        </w:rPr>
        <w:t>et de la pro</w:t>
      </w:r>
      <w:r w:rsidR="002047BD" w:rsidRPr="00535BBB">
        <w:rPr>
          <w:rFonts w:ascii="Century Gothic" w:hAnsi="Century Gothic"/>
        </w:rPr>
        <w:t>motion civique Garde des sceaux</w:t>
      </w:r>
      <w:r w:rsidR="00F76923" w:rsidRPr="00535BBB">
        <w:rPr>
          <w:rFonts w:ascii="Century Gothic" w:hAnsi="Century Gothic"/>
        </w:rPr>
        <w:t xml:space="preserve"> </w:t>
      </w:r>
      <w:r w:rsidR="008A697F" w:rsidRPr="00535BBB">
        <w:rPr>
          <w:rFonts w:ascii="Century Gothic" w:hAnsi="Century Gothic"/>
        </w:rPr>
        <w:t>visant à donner effet à ce règlement.</w:t>
      </w:r>
    </w:p>
    <w:p w14:paraId="0FA1B422" w14:textId="77777777" w:rsidR="005D64F6" w:rsidRPr="00535BBB" w:rsidRDefault="00D97B91" w:rsidP="00535BBB">
      <w:pPr>
        <w:autoSpaceDE w:val="0"/>
        <w:autoSpaceDN w:val="0"/>
        <w:adjustRightInd w:val="0"/>
        <w:spacing w:after="0" w:line="240" w:lineRule="auto"/>
        <w:jc w:val="both"/>
        <w:rPr>
          <w:rFonts w:ascii="Century Gothic" w:hAnsi="Century Gothic"/>
        </w:rPr>
      </w:pPr>
      <w:r w:rsidRPr="00535BBB">
        <w:rPr>
          <w:rFonts w:ascii="Century Gothic" w:hAnsi="Century Gothic"/>
        </w:rPr>
        <w:t>Il faut noter que le Burkina Faso a adopté une l</w:t>
      </w:r>
      <w:r w:rsidR="005D64F6" w:rsidRPr="00535BBB">
        <w:rPr>
          <w:rFonts w:ascii="Century Gothic" w:hAnsi="Century Gothic"/>
        </w:rPr>
        <w:t xml:space="preserve">oi de mise en œuvre </w:t>
      </w:r>
      <w:r w:rsidRPr="00535BBB">
        <w:rPr>
          <w:rFonts w:ascii="Century Gothic" w:hAnsi="Century Gothic"/>
        </w:rPr>
        <w:t>du S</w:t>
      </w:r>
      <w:r w:rsidR="005D64F6" w:rsidRPr="00535BBB">
        <w:rPr>
          <w:rFonts w:ascii="Century Gothic" w:hAnsi="Century Gothic"/>
        </w:rPr>
        <w:t>tatut de Rome (Loi nº52-2009/AN du 3 décembre 2009 portant détermination des compétences et de la procédure de mise en œuvre du Statut de Rome relatif à la CPI par les juridictions burkinabè</w:t>
      </w:r>
      <w:r w:rsidRPr="00535BBB">
        <w:rPr>
          <w:rFonts w:ascii="Century Gothic" w:hAnsi="Century Gothic"/>
        </w:rPr>
        <w:t>)</w:t>
      </w:r>
      <w:r w:rsidR="005D64F6" w:rsidRPr="00535BBB">
        <w:rPr>
          <w:rFonts w:ascii="Century Gothic" w:hAnsi="Century Gothic"/>
        </w:rPr>
        <w:t xml:space="preserve"> consacrant </w:t>
      </w:r>
      <w:r w:rsidRPr="00535BBB">
        <w:rPr>
          <w:rFonts w:ascii="Century Gothic" w:hAnsi="Century Gothic"/>
        </w:rPr>
        <w:t xml:space="preserve">ainsi </w:t>
      </w:r>
      <w:r w:rsidR="005D64F6" w:rsidRPr="00535BBB">
        <w:rPr>
          <w:rFonts w:ascii="Century Gothic" w:hAnsi="Century Gothic"/>
        </w:rPr>
        <w:t>la compétence universelle des juridictions burkinabè</w:t>
      </w:r>
      <w:r w:rsidR="005D64F6" w:rsidRPr="00535BBB">
        <w:rPr>
          <w:rStyle w:val="Marquenotebasdepage"/>
          <w:rFonts w:ascii="Century Gothic" w:hAnsi="Century Gothic"/>
        </w:rPr>
        <w:footnoteReference w:id="7"/>
      </w:r>
      <w:r w:rsidR="005D64F6" w:rsidRPr="00535BBB">
        <w:rPr>
          <w:rFonts w:ascii="Century Gothic" w:hAnsi="Century Gothic"/>
        </w:rPr>
        <w:t>.</w:t>
      </w:r>
    </w:p>
    <w:p w14:paraId="4988434F" w14:textId="77777777" w:rsidR="00285C74" w:rsidRDefault="00230B1A" w:rsidP="00535BBB">
      <w:pPr>
        <w:spacing w:after="0" w:line="240" w:lineRule="auto"/>
        <w:jc w:val="both"/>
        <w:rPr>
          <w:rFonts w:ascii="Century Gothic" w:hAnsi="Century Gothic"/>
        </w:rPr>
      </w:pPr>
      <w:r w:rsidRPr="00535BBB">
        <w:rPr>
          <w:rFonts w:ascii="Century Gothic" w:hAnsi="Century Gothic"/>
        </w:rPr>
        <w:t xml:space="preserve">La demande de justice a été une des demandes sociales qui a constitué le ferment de </w:t>
      </w:r>
      <w:r w:rsidR="00273D1C" w:rsidRPr="00535BBB">
        <w:rPr>
          <w:rFonts w:ascii="Century Gothic" w:hAnsi="Century Gothic"/>
        </w:rPr>
        <w:t xml:space="preserve">l’insurrection populaire </w:t>
      </w:r>
      <w:r w:rsidRPr="00535BBB">
        <w:rPr>
          <w:rFonts w:ascii="Century Gothic" w:hAnsi="Century Gothic"/>
        </w:rPr>
        <w:t>des 30 et 31 octobre 2014. C’est pourquoi les autorités de la transition ont, à leur prise de fonction, engagé des concertations qui ont abouti à</w:t>
      </w:r>
      <w:r w:rsidR="00273D1C" w:rsidRPr="00535BBB">
        <w:rPr>
          <w:rFonts w:ascii="Century Gothic" w:hAnsi="Century Gothic"/>
        </w:rPr>
        <w:t xml:space="preserve"> la tenue des </w:t>
      </w:r>
      <w:r w:rsidR="007706A3" w:rsidRPr="00535BBB">
        <w:rPr>
          <w:rFonts w:ascii="Century Gothic" w:hAnsi="Century Gothic"/>
        </w:rPr>
        <w:t xml:space="preserve">États généraux </w:t>
      </w:r>
      <w:r w:rsidR="00273D1C" w:rsidRPr="00535BBB">
        <w:rPr>
          <w:rFonts w:ascii="Century Gothic" w:hAnsi="Century Gothic"/>
        </w:rPr>
        <w:t xml:space="preserve">de la justice </w:t>
      </w:r>
      <w:r w:rsidRPr="00535BBB">
        <w:rPr>
          <w:rFonts w:ascii="Century Gothic" w:hAnsi="Century Gothic"/>
        </w:rPr>
        <w:t>et à</w:t>
      </w:r>
      <w:r w:rsidR="00273D1C" w:rsidRPr="00535BBB">
        <w:rPr>
          <w:rFonts w:ascii="Century Gothic" w:hAnsi="Century Gothic"/>
        </w:rPr>
        <w:t xml:space="preserve"> l’adoption d’un</w:t>
      </w:r>
      <w:r w:rsidR="00F76923" w:rsidRPr="00535BBB">
        <w:rPr>
          <w:rFonts w:ascii="Century Gothic" w:hAnsi="Century Gothic"/>
        </w:rPr>
        <w:t xml:space="preserve"> </w:t>
      </w:r>
      <w:r w:rsidR="00273D1C" w:rsidRPr="00535BBB">
        <w:rPr>
          <w:rFonts w:ascii="Century Gothic" w:hAnsi="Century Gothic"/>
        </w:rPr>
        <w:t>P</w:t>
      </w:r>
      <w:r w:rsidR="007706A3" w:rsidRPr="00535BBB">
        <w:rPr>
          <w:rFonts w:ascii="Century Gothic" w:hAnsi="Century Gothic"/>
        </w:rPr>
        <w:t>acte national pour le renouveau de la justice le 28 mars 2015</w:t>
      </w:r>
      <w:r w:rsidR="00273D1C" w:rsidRPr="00535BBB">
        <w:rPr>
          <w:rFonts w:ascii="Century Gothic" w:hAnsi="Century Gothic"/>
        </w:rPr>
        <w:t xml:space="preserve"> (cf. Annexe). </w:t>
      </w:r>
      <w:r w:rsidR="00D97B91" w:rsidRPr="00535BBB">
        <w:rPr>
          <w:rFonts w:ascii="Century Gothic" w:hAnsi="Century Gothic"/>
        </w:rPr>
        <w:t>Nous</w:t>
      </w:r>
      <w:r w:rsidR="00F76923" w:rsidRPr="00535BBB">
        <w:rPr>
          <w:rFonts w:ascii="Century Gothic" w:hAnsi="Century Gothic"/>
        </w:rPr>
        <w:t xml:space="preserve"> </w:t>
      </w:r>
      <w:r w:rsidR="00D97B91" w:rsidRPr="00535BBB">
        <w:rPr>
          <w:rFonts w:ascii="Century Gothic" w:hAnsi="Century Gothic"/>
        </w:rPr>
        <w:t>saluons</w:t>
      </w:r>
      <w:r w:rsidR="00273D1C" w:rsidRPr="00535BBB">
        <w:rPr>
          <w:rFonts w:ascii="Century Gothic" w:hAnsi="Century Gothic"/>
        </w:rPr>
        <w:t xml:space="preserve"> la démarche de concertation publique qui a abouti à l’adoption de ce pacte. Toutefois, la nature et la valeur juridique de ce pacte non contraignant en définitive limite</w:t>
      </w:r>
      <w:r w:rsidR="0023484F" w:rsidRPr="00535BBB">
        <w:rPr>
          <w:rFonts w:ascii="Century Gothic" w:hAnsi="Century Gothic"/>
        </w:rPr>
        <w:t>nt</w:t>
      </w:r>
      <w:r w:rsidR="0032337C" w:rsidRPr="00535BBB">
        <w:rPr>
          <w:rFonts w:ascii="Century Gothic" w:hAnsi="Century Gothic"/>
        </w:rPr>
        <w:t xml:space="preserve">, </w:t>
      </w:r>
      <w:r w:rsidR="00273D1C" w:rsidRPr="00535BBB">
        <w:rPr>
          <w:rFonts w:ascii="Century Gothic" w:hAnsi="Century Gothic"/>
        </w:rPr>
        <w:t>en fait</w:t>
      </w:r>
      <w:r w:rsidR="0032337C" w:rsidRPr="00535BBB">
        <w:rPr>
          <w:rFonts w:ascii="Century Gothic" w:hAnsi="Century Gothic"/>
        </w:rPr>
        <w:t>,</w:t>
      </w:r>
      <w:r w:rsidR="00273D1C" w:rsidRPr="00535BBB">
        <w:rPr>
          <w:rFonts w:ascii="Century Gothic" w:hAnsi="Century Gothic"/>
        </w:rPr>
        <w:t xml:space="preserve"> ses effets. L’actualité judiciaire (grève des avocats, des greffiers, humeurs des magistrats, report des assises criminelles, etc.) et les critiques soulevées finissent par convaincre de l’incapacité de ce pacte à répondre aux déf</w:t>
      </w:r>
      <w:r w:rsidR="0023484F" w:rsidRPr="00535BBB">
        <w:rPr>
          <w:rFonts w:ascii="Century Gothic" w:hAnsi="Century Gothic"/>
        </w:rPr>
        <w:t>is et à la demande sociale de</w:t>
      </w:r>
      <w:r w:rsidR="00273D1C" w:rsidRPr="00535BBB">
        <w:rPr>
          <w:rFonts w:ascii="Century Gothic" w:hAnsi="Century Gothic"/>
        </w:rPr>
        <w:t xml:space="preserve"> justice</w:t>
      </w:r>
      <w:r w:rsidR="0023484F" w:rsidRPr="00535BBB">
        <w:rPr>
          <w:rFonts w:ascii="Century Gothic" w:hAnsi="Century Gothic"/>
        </w:rPr>
        <w:t>. Nous déplorons</w:t>
      </w:r>
      <w:r w:rsidRPr="00535BBB">
        <w:rPr>
          <w:rFonts w:ascii="Century Gothic" w:hAnsi="Century Gothic"/>
        </w:rPr>
        <w:t xml:space="preserve"> par ailleurs qu’aucune mesure concrète n’</w:t>
      </w:r>
      <w:r w:rsidR="0032337C" w:rsidRPr="00535BBB">
        <w:rPr>
          <w:rFonts w:ascii="Century Gothic" w:hAnsi="Century Gothic"/>
        </w:rPr>
        <w:t>ait</w:t>
      </w:r>
      <w:r w:rsidRPr="00535BBB">
        <w:rPr>
          <w:rFonts w:ascii="Century Gothic" w:hAnsi="Century Gothic"/>
        </w:rPr>
        <w:t xml:space="preserve"> jusque-là été entreprise pour </w:t>
      </w:r>
      <w:r w:rsidR="002F0E4D" w:rsidRPr="00535BBB">
        <w:rPr>
          <w:rFonts w:ascii="Century Gothic" w:hAnsi="Century Gothic"/>
        </w:rPr>
        <w:t>donner effet à ce pacte et craignons que les nouvelles autorités de l’après transition n’en fassent pas une préoccupation.</w:t>
      </w:r>
    </w:p>
    <w:p w14:paraId="471F1486" w14:textId="77777777" w:rsidR="00BA3ADA" w:rsidRPr="00535BBB" w:rsidRDefault="00BA3ADA" w:rsidP="00535BBB">
      <w:pPr>
        <w:spacing w:after="0" w:line="240" w:lineRule="auto"/>
        <w:jc w:val="both"/>
        <w:rPr>
          <w:rFonts w:ascii="Century Gothic" w:hAnsi="Century Gothic"/>
        </w:rPr>
      </w:pPr>
    </w:p>
    <w:p w14:paraId="0B8B0811" w14:textId="77777777" w:rsidR="008303CC" w:rsidRPr="00535BBB" w:rsidRDefault="00B459EC" w:rsidP="00D060B8">
      <w:pPr>
        <w:pStyle w:val="Grillemoyenne1-Accent21"/>
        <w:numPr>
          <w:ilvl w:val="0"/>
          <w:numId w:val="8"/>
        </w:numPr>
        <w:spacing w:line="240" w:lineRule="auto"/>
        <w:jc w:val="both"/>
        <w:rPr>
          <w:rFonts w:ascii="Century Gothic" w:hAnsi="Century Gothic"/>
          <w:b/>
        </w:rPr>
      </w:pPr>
      <w:r w:rsidRPr="00535BBB">
        <w:rPr>
          <w:rFonts w:ascii="Century Gothic" w:hAnsi="Century Gothic"/>
          <w:b/>
        </w:rPr>
        <w:t>Des m</w:t>
      </w:r>
      <w:r w:rsidR="008303CC" w:rsidRPr="00535BBB">
        <w:rPr>
          <w:rFonts w:ascii="Century Gothic" w:hAnsi="Century Gothic"/>
          <w:b/>
        </w:rPr>
        <w:t>esures garantissant que toute nouvelle législation est compatible avec le Pacte</w:t>
      </w:r>
      <w:r w:rsidR="00F76923" w:rsidRPr="00535BBB">
        <w:rPr>
          <w:rFonts w:ascii="Century Gothic" w:hAnsi="Century Gothic"/>
          <w:b/>
        </w:rPr>
        <w:t xml:space="preserve"> </w:t>
      </w:r>
      <w:r w:rsidR="008303CC" w:rsidRPr="00535BBB">
        <w:rPr>
          <w:rFonts w:ascii="Century Gothic" w:hAnsi="Century Gothic"/>
          <w:b/>
        </w:rPr>
        <w:t>et révision des di</w:t>
      </w:r>
      <w:r w:rsidR="00F76923" w:rsidRPr="00535BBB">
        <w:rPr>
          <w:rFonts w:ascii="Century Gothic" w:hAnsi="Century Gothic"/>
          <w:b/>
        </w:rPr>
        <w:t>spositions contraires au Pacte </w:t>
      </w:r>
    </w:p>
    <w:p w14:paraId="6FC129E6" w14:textId="77777777" w:rsidR="00C1596E" w:rsidRPr="00535BBB" w:rsidRDefault="0023484F" w:rsidP="00535BBB">
      <w:pPr>
        <w:pStyle w:val="Grillemoyenne1-Accent21"/>
        <w:spacing w:line="240" w:lineRule="auto"/>
        <w:ind w:left="0"/>
        <w:jc w:val="both"/>
        <w:rPr>
          <w:rFonts w:ascii="Century Gothic" w:hAnsi="Century Gothic"/>
        </w:rPr>
      </w:pPr>
      <w:r w:rsidRPr="00535BBB">
        <w:rPr>
          <w:rFonts w:ascii="Century Gothic" w:hAnsi="Century Gothic"/>
        </w:rPr>
        <w:t xml:space="preserve">Le contrôle de constitutionnalité exercé par le Conseil constitutionnel </w:t>
      </w:r>
      <w:r w:rsidR="00B81E56" w:rsidRPr="00535BBB">
        <w:rPr>
          <w:rFonts w:ascii="Century Gothic" w:hAnsi="Century Gothic"/>
        </w:rPr>
        <w:t xml:space="preserve">(article 152 de la Constitution) </w:t>
      </w:r>
      <w:r w:rsidRPr="00535BBB">
        <w:rPr>
          <w:rFonts w:ascii="Century Gothic" w:hAnsi="Century Gothic"/>
        </w:rPr>
        <w:t xml:space="preserve">garantit la conformité de toute nouvelle législation et la compatibilité de celle-ci au PIDCP dont les dispositions pertinentes sont </w:t>
      </w:r>
      <w:r w:rsidR="00B81E56" w:rsidRPr="00535BBB">
        <w:rPr>
          <w:rFonts w:ascii="Century Gothic" w:hAnsi="Century Gothic"/>
        </w:rPr>
        <w:t xml:space="preserve">parties </w:t>
      </w:r>
      <w:r w:rsidRPr="00535BBB">
        <w:rPr>
          <w:rFonts w:ascii="Century Gothic" w:hAnsi="Century Gothic"/>
        </w:rPr>
        <w:t>intégr</w:t>
      </w:r>
      <w:r w:rsidR="00B81E56" w:rsidRPr="00535BBB">
        <w:rPr>
          <w:rFonts w:ascii="Century Gothic" w:hAnsi="Century Gothic"/>
        </w:rPr>
        <w:t>ant</w:t>
      </w:r>
      <w:r w:rsidRPr="00535BBB">
        <w:rPr>
          <w:rFonts w:ascii="Century Gothic" w:hAnsi="Century Gothic"/>
        </w:rPr>
        <w:t>es d</w:t>
      </w:r>
      <w:r w:rsidR="00B81E56" w:rsidRPr="00535BBB">
        <w:rPr>
          <w:rFonts w:ascii="Century Gothic" w:hAnsi="Century Gothic"/>
        </w:rPr>
        <w:t>e</w:t>
      </w:r>
      <w:r w:rsidRPr="00535BBB">
        <w:rPr>
          <w:rFonts w:ascii="Century Gothic" w:hAnsi="Century Gothic"/>
        </w:rPr>
        <w:t xml:space="preserve"> la Constitution</w:t>
      </w:r>
      <w:r w:rsidR="00B81E56" w:rsidRPr="00535BBB">
        <w:rPr>
          <w:rFonts w:ascii="Century Gothic" w:hAnsi="Century Gothic"/>
        </w:rPr>
        <w:t xml:space="preserve"> (art.1 à 13 de la Constitution)</w:t>
      </w:r>
      <w:r w:rsidRPr="00535BBB">
        <w:rPr>
          <w:rFonts w:ascii="Century Gothic" w:hAnsi="Century Gothic"/>
        </w:rPr>
        <w:t xml:space="preserve">. </w:t>
      </w:r>
    </w:p>
    <w:p w14:paraId="60713F75" w14:textId="77777777" w:rsidR="00C1596E" w:rsidRPr="00535BBB" w:rsidRDefault="00C1596E" w:rsidP="00535BBB">
      <w:pPr>
        <w:pStyle w:val="Grillemoyenne1-Accent21"/>
        <w:spacing w:line="240" w:lineRule="auto"/>
        <w:ind w:left="0"/>
        <w:jc w:val="both"/>
        <w:rPr>
          <w:rFonts w:ascii="Century Gothic" w:hAnsi="Century Gothic"/>
          <w:color w:val="FF0000"/>
          <w:highlight w:val="yellow"/>
        </w:rPr>
      </w:pPr>
    </w:p>
    <w:p w14:paraId="0F020600" w14:textId="77777777" w:rsidR="00BA3ADA" w:rsidRDefault="00B459EC" w:rsidP="00D060B8">
      <w:pPr>
        <w:pStyle w:val="Grillemoyenne1-Accent21"/>
        <w:numPr>
          <w:ilvl w:val="0"/>
          <w:numId w:val="8"/>
        </w:numPr>
        <w:spacing w:line="240" w:lineRule="auto"/>
        <w:jc w:val="both"/>
        <w:rPr>
          <w:rFonts w:ascii="Century Gothic" w:hAnsi="Century Gothic"/>
          <w:b/>
        </w:rPr>
      </w:pPr>
      <w:r w:rsidRPr="00535BBB">
        <w:rPr>
          <w:rFonts w:ascii="Century Gothic" w:hAnsi="Century Gothic"/>
          <w:b/>
        </w:rPr>
        <w:t>Du statut du PIDCP</w:t>
      </w:r>
      <w:r w:rsidR="008303CC" w:rsidRPr="00535BBB">
        <w:rPr>
          <w:rFonts w:ascii="Century Gothic" w:hAnsi="Century Gothic"/>
          <w:b/>
        </w:rPr>
        <w:t xml:space="preserve"> en droit interne </w:t>
      </w:r>
    </w:p>
    <w:p w14:paraId="5183DFF2" w14:textId="5BACF5EE" w:rsidR="002C0AFD" w:rsidRDefault="00230B1A" w:rsidP="00BA3ADA">
      <w:pPr>
        <w:pStyle w:val="Grillemoyenne1-Accent21"/>
        <w:spacing w:line="240" w:lineRule="auto"/>
        <w:ind w:left="0"/>
        <w:jc w:val="both"/>
        <w:rPr>
          <w:rFonts w:ascii="Century Gothic" w:hAnsi="Century Gothic"/>
        </w:rPr>
      </w:pPr>
      <w:r w:rsidRPr="00BA3ADA">
        <w:rPr>
          <w:rFonts w:ascii="Century Gothic" w:hAnsi="Century Gothic"/>
        </w:rPr>
        <w:t>Comme évoqué plus haut, aux termes de l’</w:t>
      </w:r>
      <w:r w:rsidR="002C0AFD" w:rsidRPr="00BA3ADA">
        <w:rPr>
          <w:rFonts w:ascii="Century Gothic" w:hAnsi="Century Gothic"/>
        </w:rPr>
        <w:t>a</w:t>
      </w:r>
      <w:r w:rsidR="007706A3" w:rsidRPr="00BA3ADA">
        <w:rPr>
          <w:rFonts w:ascii="Century Gothic" w:hAnsi="Century Gothic"/>
        </w:rPr>
        <w:t>rticle 151</w:t>
      </w:r>
      <w:r w:rsidRPr="00BA3ADA">
        <w:rPr>
          <w:rFonts w:ascii="Century Gothic" w:hAnsi="Century Gothic"/>
        </w:rPr>
        <w:t xml:space="preserve"> de la Constitution burkinabè</w:t>
      </w:r>
      <w:r w:rsidR="002C0AFD" w:rsidRPr="00BA3ADA">
        <w:rPr>
          <w:rFonts w:ascii="Century Gothic" w:hAnsi="Century Gothic"/>
        </w:rPr>
        <w:t xml:space="preserve"> du 02 juin 1991</w:t>
      </w:r>
      <w:r w:rsidRPr="00BA3ADA">
        <w:rPr>
          <w:rFonts w:ascii="Century Gothic" w:hAnsi="Century Gothic"/>
        </w:rPr>
        <w:t>, « </w:t>
      </w:r>
      <w:r w:rsidR="007706A3" w:rsidRPr="00BA3ADA">
        <w:rPr>
          <w:rFonts w:ascii="Century Gothic" w:hAnsi="Century Gothic"/>
          <w:i/>
        </w:rPr>
        <w:t>Les traités et accords régulièrement ratifiés ou approuvés ont, dès leur publication, une autorité supérieure à celle des lois, sous réserve, pour chaque accord ou traité, de son application par l'autre partie</w:t>
      </w:r>
      <w:r w:rsidRPr="00BA3ADA">
        <w:rPr>
          <w:rFonts w:ascii="Century Gothic" w:hAnsi="Century Gothic"/>
        </w:rPr>
        <w:t> »</w:t>
      </w:r>
      <w:r w:rsidR="002C0AFD" w:rsidRPr="00BA3ADA">
        <w:rPr>
          <w:rFonts w:ascii="Century Gothic" w:hAnsi="Century Gothic"/>
        </w:rPr>
        <w:t xml:space="preserve">. </w:t>
      </w:r>
      <w:r w:rsidR="002047BD" w:rsidRPr="00BA3ADA">
        <w:rPr>
          <w:rFonts w:ascii="Century Gothic" w:hAnsi="Century Gothic"/>
        </w:rPr>
        <w:t>Et en tant que telle le PIDCP a</w:t>
      </w:r>
      <w:r w:rsidR="00EB4497" w:rsidRPr="00BA3ADA">
        <w:rPr>
          <w:rFonts w:ascii="Century Gothic" w:hAnsi="Century Gothic"/>
        </w:rPr>
        <w:t>,</w:t>
      </w:r>
      <w:r w:rsidR="002047BD" w:rsidRPr="00BA3ADA">
        <w:rPr>
          <w:rFonts w:ascii="Century Gothic" w:hAnsi="Century Gothic"/>
        </w:rPr>
        <w:t xml:space="preserve"> depuis sa ratification en janvier 1999</w:t>
      </w:r>
      <w:r w:rsidR="00EB4497" w:rsidRPr="00BA3ADA">
        <w:rPr>
          <w:rFonts w:ascii="Century Gothic" w:hAnsi="Century Gothic"/>
        </w:rPr>
        <w:t>,</w:t>
      </w:r>
      <w:r w:rsidR="002047BD" w:rsidRPr="00BA3ADA">
        <w:rPr>
          <w:rFonts w:ascii="Century Gothic" w:hAnsi="Century Gothic"/>
        </w:rPr>
        <w:t xml:space="preserve"> une autorité supérieure à celle des lois, y compris de la Constitution. </w:t>
      </w:r>
    </w:p>
    <w:p w14:paraId="156393B0" w14:textId="77777777" w:rsidR="00BA3ADA" w:rsidRPr="00BA3ADA" w:rsidRDefault="00BA3ADA" w:rsidP="00BA3ADA">
      <w:pPr>
        <w:pStyle w:val="Grillemoyenne1-Accent21"/>
        <w:spacing w:line="240" w:lineRule="auto"/>
        <w:ind w:left="0"/>
        <w:jc w:val="both"/>
        <w:rPr>
          <w:rFonts w:ascii="Century Gothic" w:hAnsi="Century Gothic"/>
          <w:b/>
        </w:rPr>
      </w:pPr>
    </w:p>
    <w:p w14:paraId="4B331C42" w14:textId="77777777" w:rsidR="008303CC" w:rsidRPr="00535BBB" w:rsidRDefault="00B459EC" w:rsidP="00D060B8">
      <w:pPr>
        <w:pStyle w:val="Grillemoyenne1-Accent21"/>
        <w:numPr>
          <w:ilvl w:val="0"/>
          <w:numId w:val="8"/>
        </w:numPr>
        <w:spacing w:line="240" w:lineRule="auto"/>
        <w:jc w:val="both"/>
        <w:rPr>
          <w:rFonts w:ascii="Century Gothic" w:hAnsi="Century Gothic"/>
          <w:b/>
        </w:rPr>
      </w:pPr>
      <w:r w:rsidRPr="00535BBB">
        <w:rPr>
          <w:rFonts w:ascii="Century Gothic" w:hAnsi="Century Gothic"/>
          <w:b/>
        </w:rPr>
        <w:t>De la j</w:t>
      </w:r>
      <w:r w:rsidR="008303CC" w:rsidRPr="00535BBB">
        <w:rPr>
          <w:rFonts w:ascii="Century Gothic" w:hAnsi="Century Gothic"/>
          <w:b/>
        </w:rPr>
        <w:t>urisprudence des tribunaux nationaux se référant aux dispositions du Pacte</w:t>
      </w:r>
    </w:p>
    <w:p w14:paraId="02CFE58C" w14:textId="77777777" w:rsidR="006E0EB6" w:rsidRDefault="00413E22" w:rsidP="00535BBB">
      <w:pPr>
        <w:pStyle w:val="Grillemoyenne1-Accent21"/>
        <w:spacing w:line="240" w:lineRule="auto"/>
        <w:ind w:left="0"/>
        <w:jc w:val="both"/>
        <w:rPr>
          <w:rFonts w:ascii="Century Gothic" w:hAnsi="Century Gothic"/>
        </w:rPr>
      </w:pPr>
      <w:r w:rsidRPr="00535BBB">
        <w:rPr>
          <w:rFonts w:ascii="Century Gothic" w:hAnsi="Century Gothic"/>
        </w:rPr>
        <w:t>Il n’existe p</w:t>
      </w:r>
      <w:r w:rsidR="00014771" w:rsidRPr="00535BBB">
        <w:rPr>
          <w:rFonts w:ascii="Century Gothic" w:hAnsi="Century Gothic"/>
        </w:rPr>
        <w:t>as de jurisprudence d</w:t>
      </w:r>
      <w:r w:rsidR="002036FD" w:rsidRPr="00535BBB">
        <w:rPr>
          <w:rFonts w:ascii="Century Gothic" w:hAnsi="Century Gothic"/>
        </w:rPr>
        <w:t>isponible et connu</w:t>
      </w:r>
      <w:r w:rsidR="00F14FFA" w:rsidRPr="00535BBB">
        <w:rPr>
          <w:rFonts w:ascii="Century Gothic" w:hAnsi="Century Gothic"/>
        </w:rPr>
        <w:t>e se</w:t>
      </w:r>
      <w:r w:rsidR="002036FD" w:rsidRPr="00535BBB">
        <w:rPr>
          <w:rFonts w:ascii="Century Gothic" w:hAnsi="Century Gothic"/>
        </w:rPr>
        <w:t xml:space="preserve"> référant au PI</w:t>
      </w:r>
      <w:r w:rsidR="00014771" w:rsidRPr="00535BBB">
        <w:rPr>
          <w:rFonts w:ascii="Century Gothic" w:hAnsi="Century Gothic"/>
        </w:rPr>
        <w:t xml:space="preserve">DCP. </w:t>
      </w:r>
      <w:r w:rsidRPr="00535BBB">
        <w:rPr>
          <w:rFonts w:ascii="Century Gothic" w:hAnsi="Century Gothic"/>
        </w:rPr>
        <w:t>Toutefois, il convient de noter que</w:t>
      </w:r>
      <w:r w:rsidR="00F671C5" w:rsidRPr="00535BBB">
        <w:rPr>
          <w:rFonts w:ascii="Century Gothic" w:hAnsi="Century Gothic"/>
        </w:rPr>
        <w:t xml:space="preserve"> </w:t>
      </w:r>
      <w:r w:rsidRPr="00535BBB">
        <w:rPr>
          <w:rFonts w:ascii="Century Gothic" w:hAnsi="Century Gothic"/>
        </w:rPr>
        <w:t>dans la requête des députés du groupe parlementaire de l’Alliance pour la République (ex-majorité renversée par l’insurrection populaire</w:t>
      </w:r>
      <w:r w:rsidR="00FC0865" w:rsidRPr="00535BBB">
        <w:rPr>
          <w:rFonts w:ascii="Century Gothic" w:hAnsi="Century Gothic"/>
        </w:rPr>
        <w:t>)</w:t>
      </w:r>
      <w:r w:rsidR="00982E65" w:rsidRPr="00535BBB">
        <w:rPr>
          <w:rStyle w:val="Marquenotebasdepage"/>
          <w:rFonts w:ascii="Century Gothic" w:hAnsi="Century Gothic"/>
        </w:rPr>
        <w:footnoteReference w:id="8"/>
      </w:r>
      <w:r w:rsidRPr="00535BBB">
        <w:rPr>
          <w:rFonts w:ascii="Century Gothic" w:hAnsi="Century Gothic"/>
        </w:rPr>
        <w:t xml:space="preserve"> aux fins de déclarer </w:t>
      </w:r>
      <w:r w:rsidR="00F946F0" w:rsidRPr="00535BBB">
        <w:rPr>
          <w:rFonts w:ascii="Century Gothic" w:hAnsi="Century Gothic"/>
        </w:rPr>
        <w:t>anticonstitutionnelles</w:t>
      </w:r>
      <w:r w:rsidRPr="00535BBB">
        <w:rPr>
          <w:rFonts w:ascii="Century Gothic" w:hAnsi="Century Gothic"/>
        </w:rPr>
        <w:t xml:space="preserve"> les dispositions des articles 135, 166 et 242 de la loi Nº014-2001/AN du 03 juillet 2001 portant code électoral, la partie demanderesse fait référence à l’Observation générale nº25(57) du Comité des droits de l’homme relatif au paragraphe 4 de l’article 40 du PIDC</w:t>
      </w:r>
      <w:r w:rsidR="00801567" w:rsidRPr="00535BBB">
        <w:rPr>
          <w:rFonts w:ascii="Century Gothic" w:hAnsi="Century Gothic"/>
        </w:rPr>
        <w:t>P</w:t>
      </w:r>
      <w:r w:rsidRPr="00535BBB">
        <w:rPr>
          <w:rFonts w:ascii="Century Gothic" w:hAnsi="Century Gothic"/>
        </w:rPr>
        <w:t xml:space="preserve"> qui précise que : </w:t>
      </w:r>
      <w:r w:rsidRPr="00535BBB">
        <w:rPr>
          <w:rFonts w:ascii="Century Gothic" w:hAnsi="Century Gothic"/>
        </w:rPr>
        <w:lastRenderedPageBreak/>
        <w:t>« </w:t>
      </w:r>
      <w:r w:rsidRPr="00535BBB">
        <w:rPr>
          <w:rFonts w:ascii="Century Gothic" w:hAnsi="Century Gothic"/>
          <w:i/>
        </w:rPr>
        <w:t>L’opinion politique ne peut pas servir de motif pour priver une personne du droit de se présenter à une élection</w:t>
      </w:r>
      <w:r w:rsidRPr="00535BBB">
        <w:rPr>
          <w:rFonts w:ascii="Century Gothic" w:hAnsi="Century Gothic"/>
        </w:rPr>
        <w:t> »</w:t>
      </w:r>
      <w:r w:rsidRPr="00535BBB">
        <w:rPr>
          <w:rStyle w:val="Marquenotebasdepage"/>
          <w:rFonts w:ascii="Century Gothic" w:hAnsi="Century Gothic"/>
        </w:rPr>
        <w:footnoteReference w:id="9"/>
      </w:r>
      <w:r w:rsidRPr="00535BBB">
        <w:rPr>
          <w:rFonts w:ascii="Century Gothic" w:hAnsi="Century Gothic"/>
        </w:rPr>
        <w:t>. Toutefois, l’affaire n’aya</w:t>
      </w:r>
      <w:r w:rsidR="00467E22" w:rsidRPr="00535BBB">
        <w:rPr>
          <w:rFonts w:ascii="Century Gothic" w:hAnsi="Century Gothic"/>
        </w:rPr>
        <w:t>nt pas été jugée au fond (irrecevabl</w:t>
      </w:r>
      <w:r w:rsidRPr="00535BBB">
        <w:rPr>
          <w:rFonts w:ascii="Century Gothic" w:hAnsi="Century Gothic"/>
        </w:rPr>
        <w:t xml:space="preserve">e pour vice de forme) </w:t>
      </w:r>
      <w:r w:rsidR="00467E22" w:rsidRPr="00535BBB">
        <w:rPr>
          <w:rFonts w:ascii="Century Gothic" w:hAnsi="Century Gothic"/>
        </w:rPr>
        <w:t>nous ne disposons pas de jurisprudence connue s’appuyant sur les dispositions du PIDCP.</w:t>
      </w:r>
    </w:p>
    <w:p w14:paraId="7CA5EFF7" w14:textId="77777777" w:rsidR="00337F8C" w:rsidRPr="00535BBB" w:rsidRDefault="00337F8C" w:rsidP="00535BBB">
      <w:pPr>
        <w:pStyle w:val="Grillemoyenne1-Accent21"/>
        <w:spacing w:line="240" w:lineRule="auto"/>
        <w:ind w:left="0"/>
        <w:jc w:val="both"/>
        <w:rPr>
          <w:rFonts w:ascii="Century Gothic" w:hAnsi="Century Gothic"/>
        </w:rPr>
      </w:pPr>
    </w:p>
    <w:p w14:paraId="04F3DB36" w14:textId="77777777" w:rsidR="006A228F" w:rsidRDefault="006A228F" w:rsidP="00D060B8">
      <w:pPr>
        <w:pStyle w:val="Grillemoyenne1-Accent21"/>
        <w:numPr>
          <w:ilvl w:val="0"/>
          <w:numId w:val="8"/>
        </w:numPr>
        <w:spacing w:line="240" w:lineRule="auto"/>
        <w:jc w:val="both"/>
        <w:rPr>
          <w:rFonts w:ascii="Century Gothic" w:hAnsi="Century Gothic"/>
          <w:b/>
        </w:rPr>
      </w:pPr>
      <w:r w:rsidRPr="00535BBB">
        <w:rPr>
          <w:rFonts w:ascii="Century Gothic" w:hAnsi="Century Gothic"/>
          <w:b/>
        </w:rPr>
        <w:t>De l’é</w:t>
      </w:r>
      <w:r w:rsidR="008303CC" w:rsidRPr="00535BBB">
        <w:rPr>
          <w:rFonts w:ascii="Century Gothic" w:hAnsi="Century Gothic"/>
          <w:b/>
        </w:rPr>
        <w:t xml:space="preserve">tablissement </w:t>
      </w:r>
      <w:r w:rsidRPr="00535BBB">
        <w:rPr>
          <w:rFonts w:ascii="Century Gothic" w:hAnsi="Century Gothic"/>
          <w:b/>
        </w:rPr>
        <w:t>Institution Nationale des Droits de l’Homme (INDH) conformément aux Principes de Paris </w:t>
      </w:r>
    </w:p>
    <w:p w14:paraId="67AE1C4D" w14:textId="77777777" w:rsidR="00D47373" w:rsidRPr="00535BBB" w:rsidRDefault="00D47373" w:rsidP="00D47373">
      <w:pPr>
        <w:pStyle w:val="Grillemoyenne1-Accent21"/>
        <w:spacing w:line="240" w:lineRule="auto"/>
        <w:jc w:val="both"/>
        <w:rPr>
          <w:rFonts w:ascii="Century Gothic" w:hAnsi="Century Gothic"/>
          <w:b/>
        </w:rPr>
      </w:pPr>
    </w:p>
    <w:p w14:paraId="1A2D5034" w14:textId="77777777" w:rsidR="008303CC" w:rsidRPr="00535BBB" w:rsidRDefault="00CA1583" w:rsidP="00D060B8">
      <w:pPr>
        <w:pStyle w:val="Grillemoyenne1-Accent21"/>
        <w:numPr>
          <w:ilvl w:val="0"/>
          <w:numId w:val="34"/>
        </w:numPr>
        <w:spacing w:after="0" w:line="240" w:lineRule="auto"/>
        <w:jc w:val="both"/>
        <w:rPr>
          <w:rFonts w:ascii="Century Gothic" w:hAnsi="Century Gothic"/>
          <w:b/>
          <w:i/>
        </w:rPr>
      </w:pPr>
      <w:r w:rsidRPr="00535BBB">
        <w:rPr>
          <w:rFonts w:ascii="Century Gothic" w:hAnsi="Century Gothic"/>
          <w:b/>
          <w:i/>
        </w:rPr>
        <w:t xml:space="preserve">Sur le </w:t>
      </w:r>
      <w:r w:rsidR="008303CC" w:rsidRPr="00535BBB">
        <w:rPr>
          <w:rFonts w:ascii="Century Gothic" w:hAnsi="Century Gothic"/>
          <w:b/>
          <w:i/>
        </w:rPr>
        <w:t xml:space="preserve">mandat </w:t>
      </w:r>
      <w:r w:rsidR="009E7164" w:rsidRPr="00535BBB">
        <w:rPr>
          <w:rFonts w:ascii="Century Gothic" w:hAnsi="Century Gothic"/>
          <w:b/>
          <w:i/>
        </w:rPr>
        <w:t xml:space="preserve">de la </w:t>
      </w:r>
      <w:r w:rsidR="009E7164" w:rsidRPr="00535BBB">
        <w:rPr>
          <w:rFonts w:ascii="Century Gothic" w:hAnsi="Century Gothic"/>
          <w:b/>
          <w:i/>
          <w:color w:val="1A1A1A"/>
        </w:rPr>
        <w:t>Commission Nationale des Droits H</w:t>
      </w:r>
      <w:r w:rsidRPr="00535BBB">
        <w:rPr>
          <w:rFonts w:ascii="Century Gothic" w:hAnsi="Century Gothic"/>
          <w:b/>
          <w:i/>
          <w:color w:val="1A1A1A"/>
        </w:rPr>
        <w:t>umains (CNDH) du Burkina Faso</w:t>
      </w:r>
    </w:p>
    <w:p w14:paraId="576AAD76" w14:textId="77777777" w:rsidR="006F4888" w:rsidRDefault="006F4888" w:rsidP="00D47373">
      <w:pPr>
        <w:pStyle w:val="Listecouleur-Accent11"/>
        <w:spacing w:after="0" w:line="240" w:lineRule="auto"/>
        <w:ind w:left="0"/>
        <w:jc w:val="both"/>
        <w:rPr>
          <w:rFonts w:ascii="Century Gothic" w:hAnsi="Century Gothic"/>
          <w:color w:val="1A1A1A"/>
        </w:rPr>
      </w:pPr>
      <w:r w:rsidRPr="00535BBB">
        <w:rPr>
          <w:rFonts w:ascii="Century Gothic" w:hAnsi="Century Gothic"/>
          <w:color w:val="1A1A1A"/>
        </w:rPr>
        <w:t>L</w:t>
      </w:r>
      <w:r w:rsidR="00BE6118" w:rsidRPr="00535BBB">
        <w:rPr>
          <w:rFonts w:ascii="Century Gothic" w:hAnsi="Century Gothic"/>
          <w:color w:val="1A1A1A"/>
        </w:rPr>
        <w:t xml:space="preserve">a </w:t>
      </w:r>
      <w:r w:rsidR="006E34EB" w:rsidRPr="00535BBB">
        <w:rPr>
          <w:rFonts w:ascii="Century Gothic" w:hAnsi="Century Gothic"/>
          <w:color w:val="1A1A1A"/>
        </w:rPr>
        <w:t>Commission nationale des droits humains (</w:t>
      </w:r>
      <w:r w:rsidR="00BE6118" w:rsidRPr="00535BBB">
        <w:rPr>
          <w:rFonts w:ascii="Century Gothic" w:hAnsi="Century Gothic"/>
          <w:color w:val="1A1A1A"/>
        </w:rPr>
        <w:t>CNDH</w:t>
      </w:r>
      <w:r w:rsidR="006E34EB" w:rsidRPr="00535BBB">
        <w:rPr>
          <w:rFonts w:ascii="Century Gothic" w:hAnsi="Century Gothic"/>
          <w:color w:val="1A1A1A"/>
        </w:rPr>
        <w:t>) du Burkina Faso</w:t>
      </w:r>
      <w:r w:rsidR="00BE6118" w:rsidRPr="00535BBB">
        <w:rPr>
          <w:rFonts w:ascii="Century Gothic" w:hAnsi="Century Gothic"/>
          <w:color w:val="1A1A1A"/>
        </w:rPr>
        <w:t xml:space="preserve"> a été </w:t>
      </w:r>
      <w:r w:rsidR="002036FD" w:rsidRPr="00535BBB">
        <w:rPr>
          <w:rFonts w:ascii="Century Gothic" w:hAnsi="Century Gothic"/>
          <w:color w:val="1A1A1A"/>
        </w:rPr>
        <w:t xml:space="preserve">initialement </w:t>
      </w:r>
      <w:r w:rsidR="00BE6118" w:rsidRPr="00535BBB">
        <w:rPr>
          <w:rFonts w:ascii="Century Gothic" w:hAnsi="Century Gothic"/>
          <w:color w:val="1A1A1A"/>
        </w:rPr>
        <w:t>créée par le décret n°628-2001/PRES/MJPDH du 20 novembre 2001</w:t>
      </w:r>
      <w:r w:rsidR="002C7DB6" w:rsidRPr="00535BBB">
        <w:rPr>
          <w:rFonts w:ascii="Century Gothic" w:hAnsi="Century Gothic"/>
          <w:color w:val="1A1A1A"/>
        </w:rPr>
        <w:t xml:space="preserve">. </w:t>
      </w:r>
      <w:r w:rsidR="00E00BDD" w:rsidRPr="00535BBB">
        <w:rPr>
          <w:rFonts w:ascii="Century Gothic" w:hAnsi="Century Gothic"/>
          <w:color w:val="1A1A1A"/>
        </w:rPr>
        <w:t>E</w:t>
      </w:r>
      <w:r w:rsidR="00BE6118" w:rsidRPr="00535BBB">
        <w:rPr>
          <w:rFonts w:ascii="Century Gothic" w:hAnsi="Century Gothic"/>
          <w:color w:val="1A1A1A"/>
        </w:rPr>
        <w:t xml:space="preserve">lle est </w:t>
      </w:r>
      <w:r w:rsidR="0024526B" w:rsidRPr="00535BBB">
        <w:rPr>
          <w:rFonts w:ascii="Century Gothic" w:hAnsi="Century Gothic"/>
          <w:color w:val="1A1A1A"/>
        </w:rPr>
        <w:t xml:space="preserve">actuellement </w:t>
      </w:r>
      <w:r w:rsidR="00BE6118" w:rsidRPr="00535BBB">
        <w:rPr>
          <w:rFonts w:ascii="Century Gothic" w:hAnsi="Century Gothic"/>
          <w:color w:val="1A1A1A"/>
        </w:rPr>
        <w:t>régie par la loi n°062-2009/AN du 21 décembre 2009 portant institution d’une Commissi</w:t>
      </w:r>
      <w:r w:rsidR="0024526B" w:rsidRPr="00535BBB">
        <w:rPr>
          <w:rFonts w:ascii="Century Gothic" w:hAnsi="Century Gothic"/>
          <w:color w:val="1A1A1A"/>
        </w:rPr>
        <w:t>on nationale des droits humains</w:t>
      </w:r>
      <w:r w:rsidR="00BE6118" w:rsidRPr="00535BBB">
        <w:rPr>
          <w:rFonts w:ascii="Century Gothic" w:hAnsi="Century Gothic"/>
          <w:color w:val="1A1A1A"/>
        </w:rPr>
        <w:t>.</w:t>
      </w:r>
      <w:r w:rsidR="00F671C5" w:rsidRPr="00535BBB">
        <w:rPr>
          <w:rFonts w:ascii="Century Gothic" w:hAnsi="Century Gothic"/>
          <w:color w:val="1A1A1A"/>
        </w:rPr>
        <w:t xml:space="preserve"> </w:t>
      </w:r>
      <w:r w:rsidR="006E34EB" w:rsidRPr="00535BBB">
        <w:rPr>
          <w:rFonts w:ascii="Century Gothic" w:hAnsi="Century Gothic"/>
          <w:color w:val="1A1A1A"/>
        </w:rPr>
        <w:t>Elle a un statut consultatif</w:t>
      </w:r>
      <w:r w:rsidR="0024526B" w:rsidRPr="00535BBB">
        <w:rPr>
          <w:rFonts w:ascii="Century Gothic" w:hAnsi="Century Gothic"/>
          <w:color w:val="1A1A1A"/>
        </w:rPr>
        <w:t xml:space="preserve"> auprès des pouvoirs publics burkinabè. Elle n’est toutefois pas conforme à tous les principes de Paris, notamment en ce qui concerne l’autonomie budgétaire, l’indépendance vis-à-vis des pouvoirs publics</w:t>
      </w:r>
      <w:r w:rsidR="00F946F0" w:rsidRPr="00535BBB">
        <w:rPr>
          <w:rFonts w:ascii="Century Gothic" w:hAnsi="Century Gothic"/>
          <w:color w:val="1A1A1A"/>
        </w:rPr>
        <w:t xml:space="preserve"> et cela a une répercussion directe sur s</w:t>
      </w:r>
      <w:r w:rsidR="000704C2" w:rsidRPr="00535BBB">
        <w:rPr>
          <w:rFonts w:ascii="Century Gothic" w:hAnsi="Century Gothic"/>
          <w:color w:val="1A1A1A"/>
        </w:rPr>
        <w:t>on</w:t>
      </w:r>
      <w:r w:rsidRPr="00535BBB">
        <w:rPr>
          <w:rFonts w:ascii="Century Gothic" w:hAnsi="Century Gothic"/>
          <w:color w:val="1A1A1A"/>
        </w:rPr>
        <w:t xml:space="preserve"> fonctionnement </w:t>
      </w:r>
      <w:r w:rsidR="00F946F0" w:rsidRPr="00535BBB">
        <w:rPr>
          <w:rFonts w:ascii="Century Gothic" w:hAnsi="Century Gothic"/>
          <w:color w:val="1A1A1A"/>
        </w:rPr>
        <w:t>qui re</w:t>
      </w:r>
      <w:r w:rsidRPr="00535BBB">
        <w:rPr>
          <w:rFonts w:ascii="Century Gothic" w:hAnsi="Century Gothic"/>
          <w:color w:val="1A1A1A"/>
        </w:rPr>
        <w:t>st</w:t>
      </w:r>
      <w:r w:rsidR="00F946F0" w:rsidRPr="00535BBB">
        <w:rPr>
          <w:rFonts w:ascii="Century Gothic" w:hAnsi="Century Gothic"/>
          <w:color w:val="1A1A1A"/>
        </w:rPr>
        <w:t>e problématique</w:t>
      </w:r>
      <w:r w:rsidR="00C40E91" w:rsidRPr="00535BBB">
        <w:rPr>
          <w:rFonts w:ascii="Century Gothic" w:hAnsi="Century Gothic"/>
          <w:color w:val="1A1A1A"/>
          <w:vertAlign w:val="superscript"/>
        </w:rPr>
        <w:footnoteReference w:id="10"/>
      </w:r>
      <w:r w:rsidR="00F946F0" w:rsidRPr="00535BBB">
        <w:rPr>
          <w:rFonts w:ascii="Century Gothic" w:hAnsi="Century Gothic"/>
          <w:color w:val="1A1A1A"/>
        </w:rPr>
        <w:t>.</w:t>
      </w:r>
      <w:r w:rsidR="0099126A">
        <w:rPr>
          <w:rFonts w:ascii="Century Gothic" w:hAnsi="Century Gothic"/>
          <w:color w:val="1A1A1A"/>
        </w:rPr>
        <w:t xml:space="preserve"> </w:t>
      </w:r>
      <w:r w:rsidR="00F946F0" w:rsidRPr="00535BBB">
        <w:rPr>
          <w:rFonts w:ascii="Century Gothic" w:hAnsi="Century Gothic"/>
          <w:color w:val="1A1A1A"/>
        </w:rPr>
        <w:t xml:space="preserve">A ce titre, </w:t>
      </w:r>
      <w:r w:rsidR="0024526B" w:rsidRPr="00535BBB">
        <w:rPr>
          <w:rFonts w:ascii="Century Gothic" w:hAnsi="Century Gothic"/>
          <w:color w:val="1A1A1A"/>
        </w:rPr>
        <w:t>le</w:t>
      </w:r>
      <w:r w:rsidR="00F671C5" w:rsidRPr="00535BBB">
        <w:rPr>
          <w:rFonts w:ascii="Century Gothic" w:hAnsi="Century Gothic"/>
          <w:color w:val="1A1A1A"/>
        </w:rPr>
        <w:t xml:space="preserve"> </w:t>
      </w:r>
      <w:r w:rsidR="002036FD" w:rsidRPr="00535BBB">
        <w:rPr>
          <w:rFonts w:ascii="Century Gothic" w:hAnsi="Century Gothic"/>
        </w:rPr>
        <w:t xml:space="preserve">rapport de diagnostic des problèmes de </w:t>
      </w:r>
      <w:r w:rsidR="0024526B" w:rsidRPr="00535BBB">
        <w:rPr>
          <w:rFonts w:ascii="Century Gothic" w:hAnsi="Century Gothic"/>
        </w:rPr>
        <w:t xml:space="preserve">la CNDH fait ressortir entre autres handicaps </w:t>
      </w:r>
      <w:r w:rsidR="002F0E4D" w:rsidRPr="00535BBB">
        <w:rPr>
          <w:rFonts w:ascii="Century Gothic" w:hAnsi="Century Gothic"/>
        </w:rPr>
        <w:t>le manque d’autonomie, d’indépendance institutionnelle, le manque d’accréditation au statut A</w:t>
      </w:r>
      <w:r w:rsidR="0024526B" w:rsidRPr="00535BBB">
        <w:rPr>
          <w:rFonts w:ascii="Century Gothic" w:hAnsi="Century Gothic"/>
          <w:color w:val="1A1A1A"/>
          <w:vertAlign w:val="superscript"/>
        </w:rPr>
        <w:footnoteReference w:id="11"/>
      </w:r>
      <w:r w:rsidR="008732F9" w:rsidRPr="00535BBB">
        <w:rPr>
          <w:rFonts w:ascii="Century Gothic" w:hAnsi="Century Gothic"/>
          <w:color w:val="1A1A1A"/>
        </w:rPr>
        <w:t xml:space="preserve">. </w:t>
      </w:r>
      <w:r w:rsidR="008F5F53" w:rsidRPr="00535BBB">
        <w:rPr>
          <w:rFonts w:ascii="Century Gothic" w:hAnsi="Century Gothic"/>
          <w:color w:val="1A1A1A"/>
        </w:rPr>
        <w:t>Dans sa dynamique de refondation, l</w:t>
      </w:r>
      <w:r w:rsidRPr="00535BBB">
        <w:rPr>
          <w:rFonts w:ascii="Century Gothic" w:hAnsi="Century Gothic"/>
          <w:color w:val="1A1A1A"/>
        </w:rPr>
        <w:t xml:space="preserve">a CNDH </w:t>
      </w:r>
      <w:r w:rsidR="00840D58" w:rsidRPr="00535BBB">
        <w:rPr>
          <w:rFonts w:ascii="Century Gothic" w:hAnsi="Century Gothic"/>
          <w:color w:val="1A1A1A"/>
        </w:rPr>
        <w:t>s’</w:t>
      </w:r>
      <w:r w:rsidRPr="00535BBB">
        <w:rPr>
          <w:rFonts w:ascii="Century Gothic" w:hAnsi="Century Gothic"/>
          <w:color w:val="1A1A1A"/>
        </w:rPr>
        <w:t xml:space="preserve">est </w:t>
      </w:r>
      <w:r w:rsidR="00840D58" w:rsidRPr="00535BBB">
        <w:rPr>
          <w:rFonts w:ascii="Century Gothic" w:hAnsi="Century Gothic"/>
          <w:color w:val="1A1A1A"/>
        </w:rPr>
        <w:t>doté</w:t>
      </w:r>
      <w:r w:rsidR="006174A0" w:rsidRPr="00535BBB">
        <w:rPr>
          <w:rFonts w:ascii="Century Gothic" w:hAnsi="Century Gothic"/>
          <w:color w:val="1A1A1A"/>
        </w:rPr>
        <w:t>e</w:t>
      </w:r>
      <w:r w:rsidR="00840D58" w:rsidRPr="00535BBB">
        <w:rPr>
          <w:rFonts w:ascii="Century Gothic" w:hAnsi="Century Gothic"/>
          <w:color w:val="1A1A1A"/>
        </w:rPr>
        <w:t xml:space="preserve"> d’un </w:t>
      </w:r>
      <w:r w:rsidRPr="00535BBB">
        <w:rPr>
          <w:rFonts w:ascii="Century Gothic" w:hAnsi="Century Gothic"/>
          <w:color w:val="1A1A1A"/>
        </w:rPr>
        <w:t>plan stratégique</w:t>
      </w:r>
      <w:r w:rsidR="000704C2" w:rsidRPr="00535BBB">
        <w:rPr>
          <w:rFonts w:ascii="Century Gothic" w:hAnsi="Century Gothic"/>
          <w:color w:val="1A1A1A"/>
        </w:rPr>
        <w:t xml:space="preserve"> 2015-2018</w:t>
      </w:r>
      <w:r w:rsidR="00840D58" w:rsidRPr="00535BBB">
        <w:rPr>
          <w:rFonts w:ascii="Century Gothic" w:hAnsi="Century Gothic"/>
          <w:color w:val="1A1A1A"/>
        </w:rPr>
        <w:t xml:space="preserve"> en cours de mise en œuvre</w:t>
      </w:r>
      <w:r w:rsidR="008F5F53" w:rsidRPr="00535BBB">
        <w:rPr>
          <w:rFonts w:ascii="Century Gothic" w:hAnsi="Century Gothic"/>
          <w:color w:val="1A1A1A"/>
        </w:rPr>
        <w:t xml:space="preserve"> avec l’appui de la coopération japonaise</w:t>
      </w:r>
      <w:r w:rsidR="00840D58" w:rsidRPr="00535BBB">
        <w:rPr>
          <w:rFonts w:ascii="Century Gothic" w:hAnsi="Century Gothic"/>
          <w:color w:val="1A1A1A"/>
        </w:rPr>
        <w:t xml:space="preserve">. </w:t>
      </w:r>
      <w:r w:rsidR="008F5F53" w:rsidRPr="00535BBB">
        <w:rPr>
          <w:rFonts w:ascii="Century Gothic" w:hAnsi="Century Gothic"/>
          <w:color w:val="1A1A1A"/>
        </w:rPr>
        <w:t xml:space="preserve">Toutefois, </w:t>
      </w:r>
      <w:r w:rsidR="004F7E21" w:rsidRPr="00535BBB">
        <w:rPr>
          <w:rFonts w:ascii="Century Gothic" w:hAnsi="Century Gothic"/>
          <w:color w:val="1A1A1A"/>
        </w:rPr>
        <w:t xml:space="preserve">sans autonomie financière </w:t>
      </w:r>
      <w:r w:rsidR="008732F9" w:rsidRPr="00535BBB">
        <w:rPr>
          <w:rFonts w:ascii="Century Gothic" w:hAnsi="Century Gothic"/>
          <w:color w:val="1A1A1A"/>
        </w:rPr>
        <w:t xml:space="preserve">véritable </w:t>
      </w:r>
      <w:r w:rsidR="004F7E21" w:rsidRPr="00535BBB">
        <w:rPr>
          <w:rFonts w:ascii="Century Gothic" w:hAnsi="Century Gothic"/>
          <w:color w:val="1A1A1A"/>
        </w:rPr>
        <w:t>et sans disponibilité de ressources humaines suffisantes et compétentes, il sera difficile pour la CNDH de réaliser une véritable refondation</w:t>
      </w:r>
      <w:r w:rsidR="008732F9" w:rsidRPr="00535BBB">
        <w:rPr>
          <w:rFonts w:ascii="Century Gothic" w:hAnsi="Century Gothic"/>
          <w:color w:val="1A1A1A"/>
        </w:rPr>
        <w:t xml:space="preserve"> ou d’atteindre les objectifs qu’elle s’est assignée dans son plan stratégique</w:t>
      </w:r>
      <w:r w:rsidR="004F7E21" w:rsidRPr="00535BBB">
        <w:rPr>
          <w:rFonts w:ascii="Century Gothic" w:hAnsi="Century Gothic"/>
          <w:color w:val="1A1A1A"/>
        </w:rPr>
        <w:t>.</w:t>
      </w:r>
      <w:r w:rsidR="009E3DCB" w:rsidRPr="00535BBB">
        <w:rPr>
          <w:rFonts w:ascii="Century Gothic" w:hAnsi="Century Gothic"/>
          <w:color w:val="1A1A1A"/>
        </w:rPr>
        <w:t xml:space="preserve"> Sans réelle volonté politique, la CNDH risque de rester plongée pendant longtemps encore d</w:t>
      </w:r>
      <w:r w:rsidR="004267B6" w:rsidRPr="00535BBB">
        <w:rPr>
          <w:rFonts w:ascii="Century Gothic" w:hAnsi="Century Gothic"/>
          <w:color w:val="1A1A1A"/>
        </w:rPr>
        <w:t>a</w:t>
      </w:r>
      <w:r w:rsidR="009E3DCB" w:rsidRPr="00535BBB">
        <w:rPr>
          <w:rFonts w:ascii="Century Gothic" w:hAnsi="Century Gothic"/>
          <w:color w:val="1A1A1A"/>
        </w:rPr>
        <w:t xml:space="preserve">ns une relative léthargie. </w:t>
      </w:r>
    </w:p>
    <w:p w14:paraId="7EF5EF83" w14:textId="77777777" w:rsidR="00D47373" w:rsidRPr="00535BBB" w:rsidRDefault="00D47373" w:rsidP="00D47373">
      <w:pPr>
        <w:pStyle w:val="Listecouleur-Accent11"/>
        <w:spacing w:after="0" w:line="240" w:lineRule="auto"/>
        <w:ind w:left="0"/>
        <w:jc w:val="both"/>
        <w:rPr>
          <w:rFonts w:ascii="Century Gothic" w:hAnsi="Century Gothic"/>
          <w:color w:val="1A1A1A"/>
        </w:rPr>
      </w:pPr>
    </w:p>
    <w:p w14:paraId="328D6827" w14:textId="77777777" w:rsidR="00072CAB" w:rsidRPr="00535BBB" w:rsidRDefault="00072CAB" w:rsidP="00D060B8">
      <w:pPr>
        <w:pStyle w:val="Grillemoyenne1-Accent21"/>
        <w:numPr>
          <w:ilvl w:val="0"/>
          <w:numId w:val="34"/>
        </w:numPr>
        <w:spacing w:after="0" w:line="240" w:lineRule="auto"/>
        <w:jc w:val="both"/>
        <w:rPr>
          <w:rFonts w:ascii="Century Gothic" w:hAnsi="Century Gothic"/>
          <w:b/>
          <w:i/>
        </w:rPr>
      </w:pPr>
      <w:r w:rsidRPr="00535BBB">
        <w:rPr>
          <w:rFonts w:ascii="Century Gothic" w:hAnsi="Century Gothic"/>
          <w:b/>
          <w:i/>
          <w:color w:val="1A1A1A"/>
        </w:rPr>
        <w:t>Sur la compétence de l’Institution Nationale des droits de l’homme d’enquêter sur les violations des droits de l’homme </w:t>
      </w:r>
    </w:p>
    <w:p w14:paraId="75E1634D" w14:textId="77777777" w:rsidR="00072CAB" w:rsidRDefault="00072CAB" w:rsidP="00D47373">
      <w:pPr>
        <w:spacing w:after="0" w:line="240" w:lineRule="auto"/>
        <w:contextualSpacing/>
        <w:jc w:val="both"/>
        <w:rPr>
          <w:rFonts w:ascii="Century Gothic" w:hAnsi="Century Gothic"/>
        </w:rPr>
      </w:pPr>
      <w:r w:rsidRPr="00535BBB">
        <w:rPr>
          <w:rFonts w:ascii="Century Gothic" w:hAnsi="Century Gothic"/>
        </w:rPr>
        <w:t xml:space="preserve">Dans les textes, la CNDH dispose de prérogatives en matière d’investigation (art. 9) sur les allégations de violation des droits humains. Toutefois, dans la pratique, elle n’exerce pas cette prérogative malgré la survenance d’événements ayant entrainé de graves violations des droits humains telles que la mutinerie de 2011 et l’insurrection populaire ayant occasionné des morts et de nombreux blessés. Cette situation est sans doute liée au manque d’indépendance de la commission d’une part, au manque surtout de ressources financières et humaines d’autre part. Comme évoqué plus haut, la commission ne dispose pas, en effet, de budget autonome et ne peut engager d’initiative sans l’aval du ministère de tutelle. </w:t>
      </w:r>
    </w:p>
    <w:p w14:paraId="23215644" w14:textId="77777777" w:rsidR="00D47373" w:rsidRPr="00535BBB" w:rsidRDefault="00D47373" w:rsidP="00D47373">
      <w:pPr>
        <w:spacing w:after="0" w:line="240" w:lineRule="auto"/>
        <w:contextualSpacing/>
        <w:jc w:val="both"/>
        <w:rPr>
          <w:rFonts w:ascii="Century Gothic" w:hAnsi="Century Gothic"/>
        </w:rPr>
      </w:pPr>
    </w:p>
    <w:p w14:paraId="62AB7795" w14:textId="77777777" w:rsidR="008303CC" w:rsidRPr="00535BBB" w:rsidRDefault="008303CC" w:rsidP="00D060B8">
      <w:pPr>
        <w:pStyle w:val="Grillemoyenne1-Accent21"/>
        <w:numPr>
          <w:ilvl w:val="0"/>
          <w:numId w:val="8"/>
        </w:numPr>
        <w:spacing w:after="0" w:line="240" w:lineRule="auto"/>
        <w:ind w:left="714" w:hanging="357"/>
        <w:jc w:val="both"/>
        <w:rPr>
          <w:rFonts w:ascii="Century Gothic" w:hAnsi="Century Gothic"/>
          <w:b/>
        </w:rPr>
      </w:pPr>
      <w:r w:rsidRPr="00535BBB">
        <w:rPr>
          <w:rFonts w:ascii="Century Gothic" w:hAnsi="Century Gothic"/>
          <w:b/>
          <w:color w:val="1A1A1A"/>
        </w:rPr>
        <w:lastRenderedPageBreak/>
        <w:t xml:space="preserve">Mise en </w:t>
      </w:r>
      <w:r w:rsidR="002C7DB6" w:rsidRPr="00535BBB">
        <w:rPr>
          <w:rFonts w:ascii="Century Gothic" w:hAnsi="Century Gothic"/>
          <w:b/>
          <w:color w:val="1A1A1A"/>
        </w:rPr>
        <w:t>œuvre</w:t>
      </w:r>
      <w:r w:rsidRPr="00535BBB">
        <w:rPr>
          <w:rFonts w:ascii="Century Gothic" w:hAnsi="Century Gothic"/>
          <w:b/>
          <w:color w:val="1A1A1A"/>
        </w:rPr>
        <w:t xml:space="preserve"> des recommandations suite aux communications individuelles </w:t>
      </w:r>
    </w:p>
    <w:p w14:paraId="67177DA5" w14:textId="77777777" w:rsidR="00EE5D9A" w:rsidRDefault="00840D58" w:rsidP="00D47373">
      <w:pPr>
        <w:autoSpaceDE w:val="0"/>
        <w:autoSpaceDN w:val="0"/>
        <w:adjustRightInd w:val="0"/>
        <w:spacing w:after="0" w:line="240" w:lineRule="auto"/>
        <w:jc w:val="both"/>
        <w:rPr>
          <w:rFonts w:ascii="Century Gothic" w:hAnsi="Century Gothic"/>
          <w:color w:val="1A1A1A"/>
        </w:rPr>
      </w:pPr>
      <w:r w:rsidRPr="00535BBB">
        <w:rPr>
          <w:rFonts w:ascii="Century Gothic" w:hAnsi="Century Gothic"/>
          <w:color w:val="1A1A1A"/>
        </w:rPr>
        <w:t>Pendant très longtemps, et malgré la déci</w:t>
      </w:r>
      <w:r w:rsidR="00072CAB" w:rsidRPr="00535BBB">
        <w:rPr>
          <w:rFonts w:ascii="Century Gothic" w:hAnsi="Century Gothic"/>
          <w:color w:val="1A1A1A"/>
        </w:rPr>
        <w:t>sion du Comité des Droits de l’H</w:t>
      </w:r>
      <w:r w:rsidRPr="00535BBB">
        <w:rPr>
          <w:rFonts w:ascii="Century Gothic" w:hAnsi="Century Gothic"/>
          <w:color w:val="1A1A1A"/>
        </w:rPr>
        <w:t>omme de l’ONU</w:t>
      </w:r>
      <w:r w:rsidR="009E3DCB" w:rsidRPr="00535BBB">
        <w:rPr>
          <w:rFonts w:ascii="Century Gothic" w:hAnsi="Century Gothic"/>
          <w:color w:val="1A1A1A"/>
        </w:rPr>
        <w:t xml:space="preserve"> qui enjoignait au Burkina Faso </w:t>
      </w:r>
      <w:r w:rsidR="001A3B6B" w:rsidRPr="00535BBB">
        <w:rPr>
          <w:rFonts w:ascii="Century Gothic" w:hAnsi="Century Gothic"/>
          <w:color w:val="1A1A1A"/>
        </w:rPr>
        <w:t>« </w:t>
      </w:r>
      <w:r w:rsidR="009E3DCB" w:rsidRPr="00535BBB">
        <w:rPr>
          <w:rFonts w:ascii="Century Gothic" w:hAnsi="Century Gothic"/>
          <w:i/>
          <w:color w:val="1A1A1A"/>
        </w:rPr>
        <w:t xml:space="preserve">d’assurer un recours utile et effectif à Mme </w:t>
      </w:r>
      <w:proofErr w:type="spellStart"/>
      <w:r w:rsidR="009E3DCB" w:rsidRPr="00535BBB">
        <w:rPr>
          <w:rFonts w:ascii="Century Gothic" w:hAnsi="Century Gothic"/>
          <w:i/>
          <w:color w:val="1A1A1A"/>
        </w:rPr>
        <w:t>Sankara</w:t>
      </w:r>
      <w:proofErr w:type="spellEnd"/>
      <w:r w:rsidR="009E3DCB" w:rsidRPr="00535BBB">
        <w:rPr>
          <w:rFonts w:ascii="Century Gothic" w:hAnsi="Century Gothic"/>
          <w:i/>
          <w:color w:val="1A1A1A"/>
        </w:rPr>
        <w:t xml:space="preserve"> et ses fils consistant notamment en une reconnaissance officielle du lieu de sépulture de Thomas </w:t>
      </w:r>
      <w:proofErr w:type="spellStart"/>
      <w:r w:rsidR="009E3DCB" w:rsidRPr="00535BBB">
        <w:rPr>
          <w:rFonts w:ascii="Century Gothic" w:hAnsi="Century Gothic"/>
          <w:i/>
          <w:color w:val="1A1A1A"/>
        </w:rPr>
        <w:t>Sankara</w:t>
      </w:r>
      <w:proofErr w:type="spellEnd"/>
      <w:r w:rsidR="009E3DCB" w:rsidRPr="00535BBB">
        <w:rPr>
          <w:rFonts w:ascii="Century Gothic" w:hAnsi="Century Gothic"/>
          <w:i/>
          <w:color w:val="1A1A1A"/>
        </w:rPr>
        <w:t>, et une indemnisation pour l’angoisse que la</w:t>
      </w:r>
      <w:r w:rsidR="004267B6" w:rsidRPr="00535BBB">
        <w:rPr>
          <w:rFonts w:ascii="Century Gothic" w:hAnsi="Century Gothic"/>
          <w:i/>
          <w:color w:val="1A1A1A"/>
        </w:rPr>
        <w:t xml:space="preserve"> </w:t>
      </w:r>
      <w:r w:rsidR="009E3DCB" w:rsidRPr="00535BBB">
        <w:rPr>
          <w:rFonts w:ascii="Century Gothic" w:hAnsi="Century Gothic"/>
          <w:i/>
          <w:color w:val="1A1A1A"/>
        </w:rPr>
        <w:t>famille a subie</w:t>
      </w:r>
      <w:r w:rsidR="009E3DCB" w:rsidRPr="00535BBB">
        <w:rPr>
          <w:rFonts w:ascii="Century Gothic" w:hAnsi="Century Gothic"/>
          <w:color w:val="1A1A1A"/>
        </w:rPr>
        <w:t>.</w:t>
      </w:r>
      <w:r w:rsidR="001A3B6B" w:rsidRPr="00535BBB">
        <w:rPr>
          <w:rFonts w:ascii="Century Gothic" w:hAnsi="Century Gothic"/>
          <w:color w:val="1A1A1A"/>
        </w:rPr>
        <w:t> »</w:t>
      </w:r>
      <w:r w:rsidR="00FB424C" w:rsidRPr="00535BBB">
        <w:rPr>
          <w:rFonts w:ascii="Century Gothic" w:hAnsi="Century Gothic"/>
          <w:vertAlign w:val="superscript"/>
        </w:rPr>
        <w:footnoteReference w:id="12"/>
      </w:r>
      <w:r w:rsidR="001A3B6B" w:rsidRPr="00535BBB">
        <w:rPr>
          <w:rFonts w:ascii="Century Gothic" w:hAnsi="Century Gothic"/>
          <w:color w:val="1A1A1A"/>
        </w:rPr>
        <w:t>,</w:t>
      </w:r>
      <w:r w:rsidRPr="00535BBB">
        <w:rPr>
          <w:rFonts w:ascii="Century Gothic" w:hAnsi="Century Gothic"/>
          <w:color w:val="1A1A1A"/>
        </w:rPr>
        <w:t xml:space="preserve"> le dossier Thomas </w:t>
      </w:r>
      <w:proofErr w:type="spellStart"/>
      <w:r w:rsidRPr="00535BBB">
        <w:rPr>
          <w:rFonts w:ascii="Century Gothic" w:hAnsi="Century Gothic"/>
          <w:color w:val="1A1A1A"/>
        </w:rPr>
        <w:t>Sankara</w:t>
      </w:r>
      <w:proofErr w:type="spellEnd"/>
      <w:r w:rsidRPr="00535BBB">
        <w:rPr>
          <w:rFonts w:ascii="Century Gothic" w:hAnsi="Century Gothic"/>
          <w:color w:val="1A1A1A"/>
        </w:rPr>
        <w:t xml:space="preserve"> n’a</w:t>
      </w:r>
      <w:r w:rsidR="001A3B6B" w:rsidRPr="00535BBB">
        <w:rPr>
          <w:rFonts w:ascii="Century Gothic" w:hAnsi="Century Gothic"/>
          <w:color w:val="1A1A1A"/>
        </w:rPr>
        <w:t>vait</w:t>
      </w:r>
      <w:r w:rsidRPr="00535BBB">
        <w:rPr>
          <w:rFonts w:ascii="Century Gothic" w:hAnsi="Century Gothic"/>
          <w:color w:val="1A1A1A"/>
        </w:rPr>
        <w:t xml:space="preserve"> pas connu une évolution judiciaire significative compte tenu de son caractère hautement politique. Toutefois, à l’issue de l’insurrection populaire</w:t>
      </w:r>
      <w:r w:rsidR="00F5083D" w:rsidRPr="00535BBB">
        <w:rPr>
          <w:rFonts w:ascii="Century Gothic" w:hAnsi="Century Gothic"/>
          <w:color w:val="1A1A1A"/>
        </w:rPr>
        <w:t xml:space="preserve"> de</w:t>
      </w:r>
      <w:r w:rsidR="001A3B6B" w:rsidRPr="00535BBB">
        <w:rPr>
          <w:rFonts w:ascii="Century Gothic" w:hAnsi="Century Gothic"/>
          <w:color w:val="1A1A1A"/>
        </w:rPr>
        <w:t>s 30 et 31 octobre</w:t>
      </w:r>
      <w:r w:rsidR="00F5083D" w:rsidRPr="00535BBB">
        <w:rPr>
          <w:rFonts w:ascii="Century Gothic" w:hAnsi="Century Gothic"/>
          <w:color w:val="1A1A1A"/>
        </w:rPr>
        <w:t xml:space="preserve"> 2014</w:t>
      </w:r>
      <w:r w:rsidRPr="00535BBB">
        <w:rPr>
          <w:rFonts w:ascii="Century Gothic" w:hAnsi="Century Gothic"/>
          <w:color w:val="1A1A1A"/>
        </w:rPr>
        <w:t xml:space="preserve">, ce dossier </w:t>
      </w:r>
      <w:r w:rsidR="00F5598A" w:rsidRPr="00535BBB">
        <w:rPr>
          <w:rFonts w:ascii="Century Gothic" w:hAnsi="Century Gothic"/>
          <w:color w:val="1A1A1A"/>
        </w:rPr>
        <w:t>a évolué. L</w:t>
      </w:r>
      <w:r w:rsidR="00B52BCA" w:rsidRPr="00535BBB">
        <w:rPr>
          <w:rFonts w:ascii="Century Gothic" w:hAnsi="Century Gothic"/>
          <w:color w:val="1A1A1A"/>
        </w:rPr>
        <w:t xml:space="preserve">e </w:t>
      </w:r>
      <w:r w:rsidR="001A3B6B" w:rsidRPr="00535BBB">
        <w:rPr>
          <w:rFonts w:ascii="Century Gothic" w:hAnsi="Century Gothic"/>
          <w:color w:val="1A1A1A"/>
        </w:rPr>
        <w:t xml:space="preserve">Premier </w:t>
      </w:r>
      <w:r w:rsidR="00B52BCA" w:rsidRPr="00535BBB">
        <w:rPr>
          <w:rFonts w:ascii="Century Gothic" w:hAnsi="Century Gothic"/>
          <w:color w:val="1A1A1A"/>
        </w:rPr>
        <w:t>Ministre</w:t>
      </w:r>
      <w:r w:rsidR="001A3B6B" w:rsidRPr="00535BBB">
        <w:rPr>
          <w:rFonts w:ascii="Century Gothic" w:hAnsi="Century Gothic"/>
          <w:color w:val="1A1A1A"/>
        </w:rPr>
        <w:t xml:space="preserve"> agissant en sa qualité de Ministre</w:t>
      </w:r>
      <w:r w:rsidR="00B52BCA" w:rsidRPr="00535BBB">
        <w:rPr>
          <w:rFonts w:ascii="Century Gothic" w:hAnsi="Century Gothic"/>
          <w:color w:val="1A1A1A"/>
        </w:rPr>
        <w:t xml:space="preserve"> de la défense</w:t>
      </w:r>
      <w:r w:rsidR="00F5598A" w:rsidRPr="00535BBB">
        <w:rPr>
          <w:rFonts w:ascii="Century Gothic" w:hAnsi="Century Gothic"/>
          <w:color w:val="1A1A1A"/>
        </w:rPr>
        <w:t xml:space="preserve"> a délivré au tribunal militaire l’ordre de poursuite </w:t>
      </w:r>
      <w:r w:rsidR="007E09AF" w:rsidRPr="00535BBB">
        <w:rPr>
          <w:rFonts w:ascii="Century Gothic" w:hAnsi="Century Gothic"/>
          <w:color w:val="1A1A1A"/>
        </w:rPr>
        <w:t xml:space="preserve">le 25 mars 2015 </w:t>
      </w:r>
      <w:r w:rsidR="00F5598A" w:rsidRPr="00535BBB">
        <w:rPr>
          <w:rFonts w:ascii="Century Gothic" w:hAnsi="Century Gothic"/>
          <w:color w:val="1A1A1A"/>
        </w:rPr>
        <w:t>permettant la poursuite de la procédure. Un juge d’instruction a été désigné</w:t>
      </w:r>
      <w:r w:rsidR="00B52BCA" w:rsidRPr="00535BBB">
        <w:rPr>
          <w:rFonts w:ascii="Century Gothic" w:hAnsi="Century Gothic"/>
          <w:color w:val="1A1A1A"/>
        </w:rPr>
        <w:t xml:space="preserve">, </w:t>
      </w:r>
      <w:r w:rsidR="00F5598A" w:rsidRPr="00535BBB">
        <w:rPr>
          <w:rFonts w:ascii="Century Gothic" w:hAnsi="Century Gothic"/>
          <w:color w:val="1A1A1A"/>
        </w:rPr>
        <w:t>des personnes concernées par l’affaire ont été entendues, des experts ont été désignés et c</w:t>
      </w:r>
      <w:r w:rsidR="00B52BCA" w:rsidRPr="00535BBB">
        <w:rPr>
          <w:rFonts w:ascii="Century Gothic" w:hAnsi="Century Gothic"/>
          <w:color w:val="1A1A1A"/>
        </w:rPr>
        <w:t xml:space="preserve">es </w:t>
      </w:r>
      <w:r w:rsidR="00F5598A" w:rsidRPr="00535BBB">
        <w:rPr>
          <w:rFonts w:ascii="Century Gothic" w:hAnsi="Century Gothic"/>
          <w:color w:val="1A1A1A"/>
        </w:rPr>
        <w:t xml:space="preserve">derniers ont procédé à l’exhumation des </w:t>
      </w:r>
      <w:r w:rsidR="00B52BCA" w:rsidRPr="00535BBB">
        <w:rPr>
          <w:rFonts w:ascii="Century Gothic" w:hAnsi="Century Gothic"/>
          <w:color w:val="1A1A1A"/>
        </w:rPr>
        <w:t xml:space="preserve">tombes supposées des victimes du 15 octobre </w:t>
      </w:r>
      <w:r w:rsidR="00F5598A" w:rsidRPr="00535BBB">
        <w:rPr>
          <w:rFonts w:ascii="Century Gothic" w:hAnsi="Century Gothic"/>
          <w:color w:val="1A1A1A"/>
        </w:rPr>
        <w:t xml:space="preserve">1987, </w:t>
      </w:r>
      <w:r w:rsidR="007E09AF" w:rsidRPr="00535BBB">
        <w:rPr>
          <w:rFonts w:ascii="Century Gothic" w:hAnsi="Century Gothic"/>
          <w:color w:val="1A1A1A"/>
        </w:rPr>
        <w:t xml:space="preserve">en mai </w:t>
      </w:r>
      <w:r w:rsidR="00F5598A" w:rsidRPr="00535BBB">
        <w:rPr>
          <w:rFonts w:ascii="Century Gothic" w:hAnsi="Century Gothic"/>
          <w:color w:val="1A1A1A"/>
        </w:rPr>
        <w:t>2015</w:t>
      </w:r>
      <w:r w:rsidR="00B52BCA" w:rsidRPr="00535BBB">
        <w:rPr>
          <w:rFonts w:ascii="Century Gothic" w:hAnsi="Century Gothic"/>
          <w:color w:val="1A1A1A"/>
        </w:rPr>
        <w:t>.</w:t>
      </w:r>
      <w:r w:rsidR="00337F8C">
        <w:rPr>
          <w:rFonts w:ascii="Century Gothic" w:hAnsi="Century Gothic"/>
          <w:color w:val="1A1A1A"/>
        </w:rPr>
        <w:t xml:space="preserve"> </w:t>
      </w:r>
      <w:r w:rsidR="00FD4159" w:rsidRPr="00535BBB">
        <w:rPr>
          <w:rFonts w:ascii="Century Gothic" w:hAnsi="Century Gothic"/>
          <w:color w:val="1A1A1A"/>
        </w:rPr>
        <w:t xml:space="preserve">Cette opération d’exhumation et d’expertise des restes a été conduite par trois médecins, un Français et deux Burkinabè, en présence du commissaire du gouvernement et d’un juge d’instruction. La coalition </w:t>
      </w:r>
      <w:r w:rsidR="00EA5016" w:rsidRPr="00535BBB">
        <w:rPr>
          <w:rFonts w:ascii="Century Gothic" w:hAnsi="Century Gothic"/>
          <w:color w:val="1A1A1A"/>
        </w:rPr>
        <w:t>salu</w:t>
      </w:r>
      <w:r w:rsidR="00FD4159" w:rsidRPr="00535BBB">
        <w:rPr>
          <w:rFonts w:ascii="Century Gothic" w:hAnsi="Century Gothic"/>
          <w:color w:val="1A1A1A"/>
        </w:rPr>
        <w:t>e c</w:t>
      </w:r>
      <w:r w:rsidR="00EA5016" w:rsidRPr="00535BBB">
        <w:rPr>
          <w:rFonts w:ascii="Century Gothic" w:hAnsi="Century Gothic"/>
          <w:color w:val="1A1A1A"/>
        </w:rPr>
        <w:t xml:space="preserve">es récentes évolutions constatées dans le traitement de ce dossier et </w:t>
      </w:r>
      <w:r w:rsidR="00FD4159" w:rsidRPr="00535BBB">
        <w:rPr>
          <w:rFonts w:ascii="Century Gothic" w:hAnsi="Century Gothic"/>
          <w:color w:val="1A1A1A"/>
        </w:rPr>
        <w:t>invite</w:t>
      </w:r>
      <w:r w:rsidR="002F0E4D" w:rsidRPr="00535BBB">
        <w:rPr>
          <w:rFonts w:ascii="Century Gothic" w:hAnsi="Century Gothic"/>
          <w:color w:val="1A1A1A"/>
        </w:rPr>
        <w:t xml:space="preserve"> le gouvernement et le pouvoir judiciaire à </w:t>
      </w:r>
      <w:r w:rsidR="00FD4159" w:rsidRPr="00535BBB">
        <w:rPr>
          <w:rFonts w:ascii="Century Gothic" w:hAnsi="Century Gothic"/>
          <w:color w:val="1A1A1A"/>
        </w:rPr>
        <w:t xml:space="preserve">aller de l’avant et à </w:t>
      </w:r>
      <w:r w:rsidR="002F0E4D" w:rsidRPr="00535BBB">
        <w:rPr>
          <w:rFonts w:ascii="Century Gothic" w:hAnsi="Century Gothic"/>
          <w:color w:val="1A1A1A"/>
        </w:rPr>
        <w:t>travailler à la manifestation effective de la vérité</w:t>
      </w:r>
      <w:r w:rsidR="00EA5016" w:rsidRPr="00535BBB">
        <w:rPr>
          <w:rFonts w:ascii="Century Gothic" w:hAnsi="Century Gothic"/>
          <w:color w:val="1A1A1A"/>
        </w:rPr>
        <w:t xml:space="preserve"> sur les événements tragiques du 15 octobre 1987.</w:t>
      </w:r>
    </w:p>
    <w:p w14:paraId="0B3C2013" w14:textId="77777777" w:rsidR="00337F8C" w:rsidRPr="00535BBB" w:rsidRDefault="00337F8C" w:rsidP="00535BBB">
      <w:pPr>
        <w:autoSpaceDE w:val="0"/>
        <w:autoSpaceDN w:val="0"/>
        <w:adjustRightInd w:val="0"/>
        <w:spacing w:after="0" w:line="240" w:lineRule="auto"/>
        <w:jc w:val="both"/>
        <w:rPr>
          <w:rFonts w:ascii="Century Gothic" w:hAnsi="Century Gothic"/>
          <w:color w:val="1A1A1A"/>
        </w:rPr>
      </w:pPr>
    </w:p>
    <w:p w14:paraId="1CA7396B" w14:textId="4249F291" w:rsidR="008303CC" w:rsidRPr="00535BBB" w:rsidRDefault="008303CC" w:rsidP="00D060B8">
      <w:pPr>
        <w:pStyle w:val="Grillemoyenne1-Accent21"/>
        <w:numPr>
          <w:ilvl w:val="0"/>
          <w:numId w:val="8"/>
        </w:numPr>
        <w:spacing w:after="0" w:line="240" w:lineRule="auto"/>
        <w:jc w:val="both"/>
        <w:rPr>
          <w:rFonts w:ascii="Century Gothic" w:hAnsi="Century Gothic"/>
          <w:b/>
        </w:rPr>
      </w:pPr>
      <w:r w:rsidRPr="00535BBB">
        <w:rPr>
          <w:rFonts w:ascii="Century Gothic" w:hAnsi="Century Gothic"/>
          <w:b/>
          <w:color w:val="1A1A1A"/>
        </w:rPr>
        <w:t>Mesures garantissant l’exécution des décisions judiciaires </w:t>
      </w:r>
    </w:p>
    <w:p w14:paraId="56528068" w14:textId="77777777" w:rsidR="00985D96" w:rsidRPr="00535BBB" w:rsidRDefault="00716F4C" w:rsidP="00535BBB">
      <w:pPr>
        <w:spacing w:line="240" w:lineRule="auto"/>
        <w:contextualSpacing/>
        <w:jc w:val="both"/>
        <w:rPr>
          <w:rFonts w:ascii="Century Gothic" w:hAnsi="Century Gothic"/>
        </w:rPr>
      </w:pPr>
      <w:r w:rsidRPr="00535BBB">
        <w:rPr>
          <w:rFonts w:ascii="Century Gothic" w:hAnsi="Century Gothic"/>
        </w:rPr>
        <w:t>L’e</w:t>
      </w:r>
      <w:r w:rsidR="006F4888" w:rsidRPr="00535BBB">
        <w:rPr>
          <w:rFonts w:ascii="Century Gothic" w:hAnsi="Century Gothic"/>
        </w:rPr>
        <w:t>xécution des décisions judiciaires</w:t>
      </w:r>
      <w:r w:rsidRPr="00535BBB">
        <w:rPr>
          <w:rFonts w:ascii="Century Gothic" w:hAnsi="Century Gothic"/>
        </w:rPr>
        <w:t xml:space="preserve"> portant aussi </w:t>
      </w:r>
      <w:r w:rsidR="00473FAA" w:rsidRPr="00535BBB">
        <w:rPr>
          <w:rFonts w:ascii="Century Gothic" w:hAnsi="Century Gothic"/>
        </w:rPr>
        <w:t xml:space="preserve">bien </w:t>
      </w:r>
      <w:r w:rsidRPr="00535BBB">
        <w:rPr>
          <w:rFonts w:ascii="Century Gothic" w:hAnsi="Century Gothic"/>
        </w:rPr>
        <w:t xml:space="preserve">sur les atteintes aux droits de l’homme que sur les autres affaires de droit commun reste très problématique. Il en est ainsi par exemple du refus d’exécution </w:t>
      </w:r>
      <w:r w:rsidR="002958E0" w:rsidRPr="00535BBB">
        <w:rPr>
          <w:rFonts w:ascii="Century Gothic" w:hAnsi="Century Gothic"/>
        </w:rPr>
        <w:t xml:space="preserve">de </w:t>
      </w:r>
      <w:r w:rsidRPr="00535BBB">
        <w:rPr>
          <w:rFonts w:ascii="Century Gothic" w:hAnsi="Century Gothic"/>
        </w:rPr>
        <w:t>certaines décisions judiciaires impliquant des personnalités</w:t>
      </w:r>
      <w:r w:rsidR="00473FAA" w:rsidRPr="00535BBB">
        <w:rPr>
          <w:rFonts w:ascii="Century Gothic" w:hAnsi="Century Gothic"/>
        </w:rPr>
        <w:t> </w:t>
      </w:r>
      <w:r w:rsidR="002958E0" w:rsidRPr="00535BBB">
        <w:rPr>
          <w:rFonts w:ascii="Century Gothic" w:hAnsi="Century Gothic"/>
        </w:rPr>
        <w:t xml:space="preserve">ou l’État </w:t>
      </w:r>
      <w:r w:rsidR="00473FAA" w:rsidRPr="00535BBB">
        <w:rPr>
          <w:rFonts w:ascii="Century Gothic" w:hAnsi="Century Gothic"/>
        </w:rPr>
        <w:t xml:space="preserve">: </w:t>
      </w:r>
      <w:r w:rsidR="00337080" w:rsidRPr="00535BBB">
        <w:rPr>
          <w:rFonts w:ascii="Century Gothic" w:hAnsi="Century Gothic"/>
        </w:rPr>
        <w:t>l’</w:t>
      </w:r>
      <w:r w:rsidR="00EE5D9A" w:rsidRPr="00535BBB">
        <w:rPr>
          <w:rFonts w:ascii="Century Gothic" w:hAnsi="Century Gothic"/>
        </w:rPr>
        <w:t>affaire des 23kg d’or où le Ministre a refusé l’exécution de la décision de la justice et de restituer l’or</w:t>
      </w:r>
      <w:r w:rsidR="00473FAA" w:rsidRPr="00535BBB">
        <w:rPr>
          <w:rFonts w:ascii="Century Gothic" w:hAnsi="Century Gothic"/>
          <w:vertAlign w:val="superscript"/>
        </w:rPr>
        <w:footnoteReference w:id="13"/>
      </w:r>
      <w:r w:rsidR="00337080" w:rsidRPr="00535BBB">
        <w:rPr>
          <w:rFonts w:ascii="Century Gothic" w:hAnsi="Century Gothic"/>
        </w:rPr>
        <w:t xml:space="preserve"> en est une illustration</w:t>
      </w:r>
      <w:r w:rsidR="00B436CC" w:rsidRPr="00535BBB">
        <w:rPr>
          <w:rFonts w:ascii="Century Gothic" w:hAnsi="Century Gothic"/>
        </w:rPr>
        <w:t>.</w:t>
      </w:r>
      <w:r w:rsidR="00985D96" w:rsidRPr="00535BBB">
        <w:rPr>
          <w:rFonts w:ascii="Century Gothic" w:hAnsi="Century Gothic"/>
        </w:rPr>
        <w:t xml:space="preserve"> Comme l’a si bien souligné le MBDHP dans un rapport, « </w:t>
      </w:r>
      <w:r w:rsidR="002F0E4D" w:rsidRPr="00535BBB">
        <w:rPr>
          <w:rFonts w:ascii="Century Gothic" w:hAnsi="Century Gothic"/>
        </w:rPr>
        <w:t>Cette situation, qui contribue à rompre l’égalité de tous devant la justice porte un coup à l’image même du pouvoir judiciaire et conforte au sein de l’opinion nationale la thèse d’une justice à double vitesse</w:t>
      </w:r>
      <w:r w:rsidR="00985D96" w:rsidRPr="00535BBB">
        <w:rPr>
          <w:rFonts w:ascii="Century Gothic" w:hAnsi="Century Gothic"/>
        </w:rPr>
        <w:t>».</w:t>
      </w:r>
    </w:p>
    <w:p w14:paraId="3614FB03" w14:textId="77777777" w:rsidR="00EE5D9A" w:rsidRPr="00535BBB" w:rsidRDefault="002958E0" w:rsidP="00535BBB">
      <w:pPr>
        <w:spacing w:line="240" w:lineRule="auto"/>
        <w:contextualSpacing/>
        <w:jc w:val="both"/>
        <w:rPr>
          <w:rFonts w:ascii="Century Gothic" w:hAnsi="Century Gothic"/>
        </w:rPr>
      </w:pPr>
      <w:r w:rsidRPr="00535BBB">
        <w:rPr>
          <w:rFonts w:ascii="Century Gothic" w:hAnsi="Century Gothic"/>
        </w:rPr>
        <w:lastRenderedPageBreak/>
        <w:t>Par ailleurs la presse privée</w:t>
      </w:r>
      <w:r w:rsidR="00684085" w:rsidRPr="00535BBB">
        <w:rPr>
          <w:rStyle w:val="Marquenotebasdepage"/>
          <w:rFonts w:ascii="Century Gothic" w:hAnsi="Century Gothic"/>
        </w:rPr>
        <w:footnoteReference w:id="14"/>
      </w:r>
      <w:r w:rsidRPr="00535BBB">
        <w:rPr>
          <w:rFonts w:ascii="Century Gothic" w:hAnsi="Century Gothic"/>
        </w:rPr>
        <w:t xml:space="preserve"> fait état du refus d’exécuter une décision de justice par l</w:t>
      </w:r>
      <w:r w:rsidR="00F816FB" w:rsidRPr="00535BBB">
        <w:rPr>
          <w:rFonts w:ascii="Century Gothic" w:hAnsi="Century Gothic"/>
        </w:rPr>
        <w:t xml:space="preserve">’actuel </w:t>
      </w:r>
      <w:r w:rsidRPr="00535BBB">
        <w:rPr>
          <w:rFonts w:ascii="Century Gothic" w:hAnsi="Century Gothic"/>
        </w:rPr>
        <w:t xml:space="preserve">Premier ministre </w:t>
      </w:r>
      <w:proofErr w:type="spellStart"/>
      <w:r w:rsidRPr="00535BBB">
        <w:rPr>
          <w:rFonts w:ascii="Century Gothic" w:hAnsi="Century Gothic"/>
        </w:rPr>
        <w:t>Yacouba</w:t>
      </w:r>
      <w:proofErr w:type="spellEnd"/>
      <w:r w:rsidRPr="00535BBB">
        <w:rPr>
          <w:rFonts w:ascii="Century Gothic" w:hAnsi="Century Gothic"/>
        </w:rPr>
        <w:t xml:space="preserve"> Isaac </w:t>
      </w:r>
      <w:proofErr w:type="spellStart"/>
      <w:r w:rsidRPr="00535BBB">
        <w:rPr>
          <w:rFonts w:ascii="Century Gothic" w:hAnsi="Century Gothic"/>
        </w:rPr>
        <w:t>Zida</w:t>
      </w:r>
      <w:proofErr w:type="spellEnd"/>
      <w:r w:rsidRPr="00535BBB">
        <w:rPr>
          <w:rFonts w:ascii="Century Gothic" w:hAnsi="Century Gothic"/>
        </w:rPr>
        <w:t xml:space="preserve"> condamné par la Justice, dans une affaire de construction illégale à </w:t>
      </w:r>
      <w:proofErr w:type="spellStart"/>
      <w:r w:rsidRPr="00535BBB">
        <w:rPr>
          <w:rFonts w:ascii="Century Gothic" w:hAnsi="Century Gothic"/>
        </w:rPr>
        <w:t>Ouaga</w:t>
      </w:r>
      <w:proofErr w:type="spellEnd"/>
      <w:r w:rsidRPr="00535BBB">
        <w:rPr>
          <w:rFonts w:ascii="Century Gothic" w:hAnsi="Century Gothic"/>
        </w:rPr>
        <w:t xml:space="preserve"> 2000</w:t>
      </w:r>
      <w:r w:rsidRPr="00535BBB">
        <w:rPr>
          <w:rFonts w:ascii="Century Gothic" w:hAnsi="Century Gothic"/>
          <w:vertAlign w:val="superscript"/>
        </w:rPr>
        <w:footnoteReference w:id="15"/>
      </w:r>
      <w:r w:rsidRPr="00535BBB">
        <w:rPr>
          <w:rFonts w:ascii="Century Gothic" w:hAnsi="Century Gothic"/>
        </w:rPr>
        <w:t>.</w:t>
      </w:r>
    </w:p>
    <w:p w14:paraId="5DEE64C6" w14:textId="77777777" w:rsidR="006A4D9C" w:rsidRPr="00535BBB" w:rsidRDefault="00EE5D9A" w:rsidP="00535BBB">
      <w:pPr>
        <w:spacing w:line="240" w:lineRule="auto"/>
        <w:contextualSpacing/>
        <w:jc w:val="both"/>
        <w:rPr>
          <w:rFonts w:ascii="Century Gothic" w:hAnsi="Century Gothic"/>
        </w:rPr>
      </w:pPr>
      <w:r w:rsidRPr="00535BBB">
        <w:rPr>
          <w:rFonts w:ascii="Century Gothic" w:hAnsi="Century Gothic"/>
        </w:rPr>
        <w:t>Dans le Pacte sur le renouveau de la justi</w:t>
      </w:r>
      <w:r w:rsidR="00077207" w:rsidRPr="00535BBB">
        <w:rPr>
          <w:rFonts w:ascii="Century Gothic" w:hAnsi="Century Gothic"/>
        </w:rPr>
        <w:t xml:space="preserve">ce, il est prévu une sanction à l’encontre de </w:t>
      </w:r>
      <w:r w:rsidRPr="00535BBB">
        <w:rPr>
          <w:rFonts w:ascii="Century Gothic" w:hAnsi="Century Gothic"/>
        </w:rPr>
        <w:t>ceux qui refuse</w:t>
      </w:r>
      <w:r w:rsidR="00077207" w:rsidRPr="00535BBB">
        <w:rPr>
          <w:rFonts w:ascii="Century Gothic" w:hAnsi="Century Gothic"/>
        </w:rPr>
        <w:t>raie</w:t>
      </w:r>
      <w:r w:rsidRPr="00535BBB">
        <w:rPr>
          <w:rFonts w:ascii="Century Gothic" w:hAnsi="Century Gothic"/>
        </w:rPr>
        <w:t>nt d’exécuter les décisions de justice</w:t>
      </w:r>
      <w:r w:rsidR="00077207" w:rsidRPr="00535BBB">
        <w:rPr>
          <w:rFonts w:ascii="Century Gothic" w:hAnsi="Century Gothic"/>
        </w:rPr>
        <w:t xml:space="preserve"> (Art. 51 du Pacte sur le renouveau de la justice). Mais comme relevé plus haut ce pacte n’a pas de </w:t>
      </w:r>
      <w:r w:rsidR="002F0E4D" w:rsidRPr="00535BBB">
        <w:rPr>
          <w:rFonts w:ascii="Century Gothic" w:hAnsi="Century Gothic"/>
        </w:rPr>
        <w:t>valeur juridique contraignante et ses recommandations</w:t>
      </w:r>
      <w:r w:rsidR="00077207" w:rsidRPr="00535BBB">
        <w:rPr>
          <w:rFonts w:ascii="Century Gothic" w:hAnsi="Century Gothic"/>
        </w:rPr>
        <w:t xml:space="preserve"> restent à ce jour de simples vœux pieux</w:t>
      </w:r>
      <w:r w:rsidR="00E55684" w:rsidRPr="00535BBB">
        <w:rPr>
          <w:rStyle w:val="Marquenotebasdepage"/>
          <w:rFonts w:ascii="Century Gothic" w:hAnsi="Century Gothic"/>
        </w:rPr>
        <w:footnoteReference w:id="16"/>
      </w:r>
      <w:r w:rsidR="00077207" w:rsidRPr="00535BBB">
        <w:rPr>
          <w:rFonts w:ascii="Century Gothic" w:hAnsi="Century Gothic"/>
        </w:rPr>
        <w:t xml:space="preserve">. </w:t>
      </w:r>
    </w:p>
    <w:p w14:paraId="1D9CF319" w14:textId="77777777" w:rsidR="008303CC" w:rsidRPr="00535BBB" w:rsidRDefault="008303CC" w:rsidP="00D060B8">
      <w:pPr>
        <w:pStyle w:val="Grillemoyenne1-Accent21"/>
        <w:numPr>
          <w:ilvl w:val="0"/>
          <w:numId w:val="8"/>
        </w:numPr>
        <w:spacing w:after="0" w:line="240" w:lineRule="auto"/>
        <w:jc w:val="both"/>
        <w:rPr>
          <w:rFonts w:ascii="Century Gothic" w:hAnsi="Century Gothic"/>
          <w:b/>
        </w:rPr>
      </w:pPr>
      <w:r w:rsidRPr="00535BBB">
        <w:rPr>
          <w:rFonts w:ascii="Century Gothic" w:hAnsi="Century Gothic"/>
          <w:b/>
          <w:color w:val="1A1A1A"/>
        </w:rPr>
        <w:t>Enquêtes et poursuites des personnes responsables de violations des droits de</w:t>
      </w:r>
      <w:r w:rsidR="0048288E" w:rsidRPr="00535BBB">
        <w:rPr>
          <w:rFonts w:ascii="Century Gothic" w:hAnsi="Century Gothic"/>
          <w:b/>
          <w:color w:val="1A1A1A"/>
        </w:rPr>
        <w:t xml:space="preserve"> </w:t>
      </w:r>
      <w:r w:rsidRPr="00535BBB">
        <w:rPr>
          <w:rFonts w:ascii="Century Gothic" w:hAnsi="Century Gothic"/>
          <w:b/>
          <w:color w:val="1A1A1A"/>
        </w:rPr>
        <w:t>l’homme</w:t>
      </w:r>
      <w:r w:rsidR="008E65A8" w:rsidRPr="00535BBB">
        <w:rPr>
          <w:rFonts w:ascii="Century Gothic" w:hAnsi="Century Gothic"/>
          <w:b/>
          <w:color w:val="1A1A1A"/>
        </w:rPr>
        <w:t xml:space="preserve"> lors de périodes de conflits, de </w:t>
      </w:r>
      <w:r w:rsidRPr="00535BBB">
        <w:rPr>
          <w:rFonts w:ascii="Century Gothic" w:hAnsi="Century Gothic"/>
          <w:b/>
          <w:color w:val="1A1A1A"/>
        </w:rPr>
        <w:t>troubles nationaux et procédure de</w:t>
      </w:r>
      <w:r w:rsidR="0048288E" w:rsidRPr="00535BBB">
        <w:rPr>
          <w:rFonts w:ascii="Century Gothic" w:hAnsi="Century Gothic"/>
          <w:b/>
          <w:color w:val="1A1A1A"/>
        </w:rPr>
        <w:t xml:space="preserve"> </w:t>
      </w:r>
      <w:r w:rsidRPr="00535BBB">
        <w:rPr>
          <w:rFonts w:ascii="Century Gothic" w:hAnsi="Century Gothic"/>
          <w:b/>
          <w:color w:val="1A1A1A"/>
        </w:rPr>
        <w:t>réparation pour les victimes de ces violations</w:t>
      </w:r>
    </w:p>
    <w:p w14:paraId="2926C087" w14:textId="77777777" w:rsidR="006037CE" w:rsidRPr="00535BBB" w:rsidRDefault="006037CE" w:rsidP="00D47373">
      <w:pPr>
        <w:pStyle w:val="Listecouleur-Accent11"/>
        <w:spacing w:after="0" w:line="240" w:lineRule="auto"/>
        <w:ind w:left="0"/>
        <w:jc w:val="both"/>
        <w:rPr>
          <w:rFonts w:ascii="Century Gothic" w:hAnsi="Century Gothic"/>
        </w:rPr>
      </w:pPr>
      <w:r w:rsidRPr="00535BBB">
        <w:rPr>
          <w:rFonts w:ascii="Century Gothic" w:hAnsi="Century Gothic"/>
        </w:rPr>
        <w:t xml:space="preserve">Au cours de la mutinerie </w:t>
      </w:r>
      <w:r w:rsidR="00E927B1" w:rsidRPr="00535BBB">
        <w:rPr>
          <w:rFonts w:ascii="Century Gothic" w:hAnsi="Century Gothic"/>
        </w:rPr>
        <w:t xml:space="preserve">de 2011 </w:t>
      </w:r>
      <w:r w:rsidRPr="00535BBB">
        <w:rPr>
          <w:rFonts w:ascii="Century Gothic" w:hAnsi="Century Gothic"/>
        </w:rPr>
        <w:t>des enquêtes et des poursuites ont été engagées contre les soldats mutins. Toutefois on peut soulever plusieurs observations et critiques dans la gestion de cette situation. En effet, la détention préventive des personnes accusées</w:t>
      </w:r>
      <w:r w:rsidR="00F7091D" w:rsidRPr="00535BBB">
        <w:rPr>
          <w:rFonts w:ascii="Century Gothic" w:hAnsi="Century Gothic"/>
        </w:rPr>
        <w:t xml:space="preserve"> d’avoir participé à la mutinerie et aux pillages</w:t>
      </w:r>
      <w:r w:rsidRPr="00535BBB">
        <w:rPr>
          <w:rFonts w:ascii="Century Gothic" w:hAnsi="Century Gothic"/>
        </w:rPr>
        <w:t xml:space="preserve"> a été abusive et les enquêtes n’ont pas été </w:t>
      </w:r>
      <w:r w:rsidR="002F0E4D" w:rsidRPr="00535BBB">
        <w:rPr>
          <w:rFonts w:ascii="Century Gothic" w:hAnsi="Century Gothic"/>
        </w:rPr>
        <w:t>sérieuses</w:t>
      </w:r>
      <w:r w:rsidRPr="00535BBB">
        <w:rPr>
          <w:rFonts w:ascii="Century Gothic" w:hAnsi="Century Gothic"/>
        </w:rPr>
        <w:t xml:space="preserve">. </w:t>
      </w:r>
      <w:r w:rsidR="007A127F" w:rsidRPr="00535BBB">
        <w:rPr>
          <w:rFonts w:ascii="Century Gothic" w:hAnsi="Century Gothic"/>
        </w:rPr>
        <w:t>En effet, de nombreux militaires arrêtés et détenus</w:t>
      </w:r>
      <w:r w:rsidR="00F7091D" w:rsidRPr="00535BBB">
        <w:rPr>
          <w:rFonts w:ascii="Century Gothic" w:hAnsi="Century Gothic"/>
        </w:rPr>
        <w:t xml:space="preserve"> au-delà des délais réglementaires et sans qu’une suite judiciaire ne soit donné</w:t>
      </w:r>
      <w:r w:rsidR="00337F8C">
        <w:rPr>
          <w:rFonts w:ascii="Century Gothic" w:hAnsi="Century Gothic"/>
        </w:rPr>
        <w:t>e</w:t>
      </w:r>
      <w:r w:rsidR="00F7091D" w:rsidRPr="00535BBB">
        <w:rPr>
          <w:rFonts w:ascii="Century Gothic" w:hAnsi="Century Gothic"/>
        </w:rPr>
        <w:t>. Les enquêtes ont été bâclées et il nous revient que certains de ceux qui ont été jugés ont été condamnés sans que leur responsabilité individuelle et personnelle ait été établie de façon irréfutable</w:t>
      </w:r>
      <w:r w:rsidR="004E4F80" w:rsidRPr="00535BBB">
        <w:rPr>
          <w:rFonts w:ascii="Century Gothic" w:hAnsi="Century Gothic"/>
        </w:rPr>
        <w:t xml:space="preserve"> et sans moyen de recours</w:t>
      </w:r>
      <w:r w:rsidR="00F7091D" w:rsidRPr="00535BBB">
        <w:rPr>
          <w:rFonts w:ascii="Century Gothic" w:hAnsi="Century Gothic"/>
        </w:rPr>
        <w:t xml:space="preserve">. D’autres encore ont été abusivement </w:t>
      </w:r>
      <w:r w:rsidR="007A127F" w:rsidRPr="00535BBB">
        <w:rPr>
          <w:rFonts w:ascii="Century Gothic" w:hAnsi="Century Gothic"/>
        </w:rPr>
        <w:t>radiés</w:t>
      </w:r>
      <w:r w:rsidR="00F7091D" w:rsidRPr="00535BBB">
        <w:rPr>
          <w:rFonts w:ascii="Century Gothic" w:hAnsi="Century Gothic"/>
        </w:rPr>
        <w:t>.</w:t>
      </w:r>
      <w:r w:rsidR="009C3E34" w:rsidRPr="00535BBB">
        <w:rPr>
          <w:rFonts w:ascii="Century Gothic" w:hAnsi="Century Gothic"/>
        </w:rPr>
        <w:t xml:space="preserve"> </w:t>
      </w:r>
      <w:r w:rsidR="004E4F80" w:rsidRPr="00535BBB">
        <w:rPr>
          <w:rFonts w:ascii="Century Gothic" w:hAnsi="Century Gothic"/>
        </w:rPr>
        <w:t xml:space="preserve">Les initiatives de médiation engagées par les personnes radiées auprès des autorités coutumières en vue du pardon et de leur réintégration sont restées infructueuses. </w:t>
      </w:r>
      <w:r w:rsidRPr="00535BBB">
        <w:rPr>
          <w:rFonts w:ascii="Century Gothic" w:hAnsi="Century Gothic"/>
        </w:rPr>
        <w:t xml:space="preserve">Par ailleurs, si les victimes des pillages de leurs commerces ont été indemnisées, les </w:t>
      </w:r>
      <w:r w:rsidR="00E927B1" w:rsidRPr="00535BBB">
        <w:rPr>
          <w:rFonts w:ascii="Century Gothic" w:hAnsi="Century Gothic"/>
        </w:rPr>
        <w:t>cas</w:t>
      </w:r>
      <w:r w:rsidRPr="00535BBB">
        <w:rPr>
          <w:rFonts w:ascii="Century Gothic" w:hAnsi="Century Gothic"/>
        </w:rPr>
        <w:t xml:space="preserve"> d’atteintes graves </w:t>
      </w:r>
      <w:r w:rsidR="00E927B1" w:rsidRPr="00535BBB">
        <w:rPr>
          <w:rFonts w:ascii="Century Gothic" w:hAnsi="Century Gothic"/>
        </w:rPr>
        <w:t>à l’intégrité physique des personnes</w:t>
      </w:r>
      <w:r w:rsidR="004E4F80" w:rsidRPr="00535BBB">
        <w:rPr>
          <w:rFonts w:ascii="Century Gothic" w:hAnsi="Century Gothic"/>
        </w:rPr>
        <w:t xml:space="preserve"> notamment les victimes de </w:t>
      </w:r>
      <w:r w:rsidRPr="00535BBB">
        <w:rPr>
          <w:rFonts w:ascii="Century Gothic" w:hAnsi="Century Gothic"/>
        </w:rPr>
        <w:t>viols</w:t>
      </w:r>
      <w:r w:rsidR="004E4F80" w:rsidRPr="00535BBB">
        <w:rPr>
          <w:rFonts w:ascii="Century Gothic" w:hAnsi="Century Gothic"/>
        </w:rPr>
        <w:t xml:space="preserve"> et de meurtres</w:t>
      </w:r>
      <w:r w:rsidRPr="00535BBB">
        <w:rPr>
          <w:rFonts w:ascii="Century Gothic" w:hAnsi="Century Gothic"/>
        </w:rPr>
        <w:t xml:space="preserve"> n’ont</w:t>
      </w:r>
      <w:r w:rsidR="00E927B1" w:rsidRPr="00535BBB">
        <w:rPr>
          <w:rFonts w:ascii="Century Gothic" w:hAnsi="Century Gothic"/>
        </w:rPr>
        <w:t xml:space="preserve"> connu </w:t>
      </w:r>
      <w:r w:rsidR="00680755" w:rsidRPr="00535BBB">
        <w:rPr>
          <w:rFonts w:ascii="Century Gothic" w:hAnsi="Century Gothic"/>
        </w:rPr>
        <w:t>ni</w:t>
      </w:r>
      <w:r w:rsidR="004E4F80" w:rsidRPr="00535BBB">
        <w:rPr>
          <w:rFonts w:ascii="Century Gothic" w:hAnsi="Century Gothic"/>
        </w:rPr>
        <w:t xml:space="preserve"> un</w:t>
      </w:r>
      <w:r w:rsidR="009C3E34" w:rsidRPr="00535BBB">
        <w:rPr>
          <w:rFonts w:ascii="Century Gothic" w:hAnsi="Century Gothic"/>
        </w:rPr>
        <w:t xml:space="preserve"> </w:t>
      </w:r>
      <w:r w:rsidR="00E927B1" w:rsidRPr="00535BBB">
        <w:rPr>
          <w:rFonts w:ascii="Century Gothic" w:hAnsi="Century Gothic"/>
        </w:rPr>
        <w:t xml:space="preserve">traitement judiciaire </w:t>
      </w:r>
      <w:r w:rsidR="004E4F80" w:rsidRPr="00535BBB">
        <w:rPr>
          <w:rFonts w:ascii="Century Gothic" w:hAnsi="Century Gothic"/>
        </w:rPr>
        <w:t xml:space="preserve">de leur sort, </w:t>
      </w:r>
      <w:r w:rsidR="00E927B1" w:rsidRPr="00535BBB">
        <w:rPr>
          <w:rFonts w:ascii="Century Gothic" w:hAnsi="Century Gothic"/>
        </w:rPr>
        <w:t>n</w:t>
      </w:r>
      <w:r w:rsidR="00680755" w:rsidRPr="00535BBB">
        <w:rPr>
          <w:rFonts w:ascii="Century Gothic" w:hAnsi="Century Gothic"/>
        </w:rPr>
        <w:t xml:space="preserve">i </w:t>
      </w:r>
      <w:r w:rsidRPr="00535BBB">
        <w:rPr>
          <w:rFonts w:ascii="Century Gothic" w:hAnsi="Century Gothic"/>
        </w:rPr>
        <w:t>fait l’objet d’indemnisation.</w:t>
      </w:r>
    </w:p>
    <w:p w14:paraId="4EB4C898" w14:textId="77777777" w:rsidR="006F4888" w:rsidRPr="00535BBB" w:rsidRDefault="00680755" w:rsidP="00535BBB">
      <w:pPr>
        <w:pStyle w:val="Listecouleur-Accent11"/>
        <w:spacing w:line="240" w:lineRule="auto"/>
        <w:ind w:left="0"/>
        <w:jc w:val="both"/>
        <w:rPr>
          <w:rFonts w:ascii="Century Gothic" w:hAnsi="Century Gothic"/>
        </w:rPr>
      </w:pPr>
      <w:r w:rsidRPr="00535BBB">
        <w:rPr>
          <w:rFonts w:ascii="Century Gothic" w:hAnsi="Century Gothic"/>
        </w:rPr>
        <w:t>A la suite de</w:t>
      </w:r>
      <w:r w:rsidR="009C3E34" w:rsidRPr="00535BBB">
        <w:rPr>
          <w:rFonts w:ascii="Century Gothic" w:hAnsi="Century Gothic"/>
        </w:rPr>
        <w:t xml:space="preserve"> </w:t>
      </w:r>
      <w:r w:rsidRPr="00535BBB">
        <w:rPr>
          <w:rFonts w:ascii="Century Gothic" w:hAnsi="Century Gothic"/>
        </w:rPr>
        <w:t>l’insurrection populaire d’octobre 2014, de graves violations de dro</w:t>
      </w:r>
      <w:r w:rsidR="008F5F53" w:rsidRPr="00535BBB">
        <w:rPr>
          <w:rFonts w:ascii="Century Gothic" w:hAnsi="Century Gothic"/>
        </w:rPr>
        <w:t>its humains ont été constatées</w:t>
      </w:r>
      <w:r w:rsidR="008F5F53" w:rsidRPr="00535BBB">
        <w:rPr>
          <w:rStyle w:val="Marquenotebasdepage"/>
          <w:rFonts w:ascii="Century Gothic" w:hAnsi="Century Gothic"/>
        </w:rPr>
        <w:footnoteReference w:id="17"/>
      </w:r>
      <w:r w:rsidR="007301BF" w:rsidRPr="00535BBB">
        <w:rPr>
          <w:rFonts w:ascii="Century Gothic" w:hAnsi="Century Gothic"/>
        </w:rPr>
        <w:t>. Malgré les requêtes et plaintes du MBDHP (devant le TGI, devant le CNT et auprès du Ministre de la défense), la procédure judiciaire n</w:t>
      </w:r>
      <w:r w:rsidR="004E4F80" w:rsidRPr="00535BBB">
        <w:rPr>
          <w:rFonts w:ascii="Century Gothic" w:hAnsi="Century Gothic"/>
        </w:rPr>
        <w:t>’a pas connu</w:t>
      </w:r>
      <w:r w:rsidR="009C3E34" w:rsidRPr="00535BBB">
        <w:rPr>
          <w:rFonts w:ascii="Century Gothic" w:hAnsi="Century Gothic"/>
        </w:rPr>
        <w:t xml:space="preserve"> </w:t>
      </w:r>
      <w:r w:rsidR="004E4F80" w:rsidRPr="00535BBB">
        <w:rPr>
          <w:rFonts w:ascii="Century Gothic" w:hAnsi="Century Gothic"/>
        </w:rPr>
        <w:t xml:space="preserve">de véritable </w:t>
      </w:r>
      <w:r w:rsidR="007301BF" w:rsidRPr="00535BBB">
        <w:rPr>
          <w:rFonts w:ascii="Century Gothic" w:hAnsi="Century Gothic"/>
        </w:rPr>
        <w:t>avanc</w:t>
      </w:r>
      <w:r w:rsidR="004F5235" w:rsidRPr="00535BBB">
        <w:rPr>
          <w:rFonts w:ascii="Century Gothic" w:hAnsi="Century Gothic"/>
        </w:rPr>
        <w:t>é</w:t>
      </w:r>
      <w:r w:rsidR="007301BF" w:rsidRPr="00535BBB">
        <w:rPr>
          <w:rFonts w:ascii="Century Gothic" w:hAnsi="Century Gothic"/>
        </w:rPr>
        <w:t>e</w:t>
      </w:r>
      <w:r w:rsidR="008E65A8" w:rsidRPr="00535BBB">
        <w:rPr>
          <w:rFonts w:ascii="Century Gothic" w:hAnsi="Century Gothic"/>
        </w:rPr>
        <w:t>. Toutefois, après la mise en place de la Haute cour de justice, le Conseil national a procédé</w:t>
      </w:r>
      <w:r w:rsidR="009C3E34" w:rsidRPr="00535BBB">
        <w:rPr>
          <w:rFonts w:ascii="Century Gothic" w:hAnsi="Century Gothic"/>
        </w:rPr>
        <w:t xml:space="preserve"> </w:t>
      </w:r>
      <w:r w:rsidR="008E65A8" w:rsidRPr="00535BBB">
        <w:rPr>
          <w:rFonts w:ascii="Century Gothic" w:hAnsi="Century Gothic"/>
        </w:rPr>
        <w:t>à la mise en accusation de l’ex-président Blaise Compaoré et de ses ministres pour leur responsabilité dans les événements survenus les 30 et 31 octobre 2014.</w:t>
      </w:r>
    </w:p>
    <w:p w14:paraId="088048FD" w14:textId="77777777" w:rsidR="008303CC" w:rsidRPr="00535BBB" w:rsidRDefault="008303CC" w:rsidP="00D060B8">
      <w:pPr>
        <w:pStyle w:val="Grillemoyenne1-Accent21"/>
        <w:numPr>
          <w:ilvl w:val="0"/>
          <w:numId w:val="8"/>
        </w:numPr>
        <w:spacing w:line="240" w:lineRule="auto"/>
        <w:jc w:val="both"/>
        <w:rPr>
          <w:rFonts w:ascii="Century Gothic" w:hAnsi="Century Gothic"/>
          <w:b/>
        </w:rPr>
      </w:pPr>
      <w:r w:rsidRPr="00535BBB">
        <w:rPr>
          <w:rFonts w:ascii="Century Gothic" w:hAnsi="Century Gothic"/>
          <w:b/>
          <w:color w:val="1A1A1A"/>
        </w:rPr>
        <w:t>Impunité ou lois d’amnistie relatives aux violations des droits</w:t>
      </w:r>
      <w:r w:rsidR="000609E1" w:rsidRPr="00535BBB">
        <w:rPr>
          <w:rFonts w:ascii="Century Gothic" w:hAnsi="Century Gothic"/>
          <w:b/>
          <w:color w:val="1A1A1A"/>
        </w:rPr>
        <w:t xml:space="preserve"> de l’homme</w:t>
      </w:r>
    </w:p>
    <w:p w14:paraId="3C7CB640" w14:textId="2EC38C76" w:rsidR="00B15D45" w:rsidRDefault="00DD270A" w:rsidP="001C5C85">
      <w:pPr>
        <w:pStyle w:val="Grillemoyenne1-Accent21"/>
        <w:spacing w:line="240" w:lineRule="auto"/>
        <w:ind w:left="0"/>
        <w:jc w:val="both"/>
        <w:rPr>
          <w:rFonts w:ascii="Century Gothic" w:hAnsi="Century Gothic"/>
        </w:rPr>
      </w:pPr>
      <w:r w:rsidRPr="00535BBB">
        <w:rPr>
          <w:rFonts w:ascii="Century Gothic" w:hAnsi="Century Gothic"/>
        </w:rPr>
        <w:t>Le 11 juin 2012, l’A</w:t>
      </w:r>
      <w:r w:rsidR="004B487C" w:rsidRPr="00535BBB">
        <w:rPr>
          <w:rFonts w:ascii="Century Gothic" w:hAnsi="Century Gothic"/>
        </w:rPr>
        <w:t>ssemblée nationa</w:t>
      </w:r>
      <w:r w:rsidR="00E55EF1" w:rsidRPr="00535BBB">
        <w:rPr>
          <w:rFonts w:ascii="Century Gothic" w:hAnsi="Century Gothic"/>
        </w:rPr>
        <w:t>le du Burkina Faso a adopté</w:t>
      </w:r>
      <w:r w:rsidR="009C3E34" w:rsidRPr="00535BBB">
        <w:rPr>
          <w:rFonts w:ascii="Century Gothic" w:hAnsi="Century Gothic"/>
        </w:rPr>
        <w:t xml:space="preserve"> </w:t>
      </w:r>
      <w:r w:rsidR="00E55EF1" w:rsidRPr="00535BBB">
        <w:rPr>
          <w:rFonts w:ascii="Century Gothic" w:hAnsi="Century Gothic"/>
        </w:rPr>
        <w:t xml:space="preserve">une </w:t>
      </w:r>
      <w:r w:rsidR="00816261" w:rsidRPr="00535BBB">
        <w:rPr>
          <w:rFonts w:ascii="Century Gothic" w:hAnsi="Century Gothic"/>
        </w:rPr>
        <w:t xml:space="preserve">loi constitutionnelle </w:t>
      </w:r>
      <w:r w:rsidRPr="00535BBB">
        <w:rPr>
          <w:rFonts w:ascii="Century Gothic" w:hAnsi="Century Gothic"/>
        </w:rPr>
        <w:t>qui consacre</w:t>
      </w:r>
      <w:r w:rsidR="008556F2" w:rsidRPr="00535BBB">
        <w:rPr>
          <w:rFonts w:ascii="Century Gothic" w:hAnsi="Century Gothic"/>
        </w:rPr>
        <w:t>,</w:t>
      </w:r>
      <w:r w:rsidRPr="00535BBB">
        <w:rPr>
          <w:rFonts w:ascii="Century Gothic" w:hAnsi="Century Gothic"/>
        </w:rPr>
        <w:t xml:space="preserve"> entre autres</w:t>
      </w:r>
      <w:r w:rsidR="008556F2" w:rsidRPr="00535BBB">
        <w:rPr>
          <w:rFonts w:ascii="Century Gothic" w:hAnsi="Century Gothic"/>
        </w:rPr>
        <w:t>,</w:t>
      </w:r>
      <w:r w:rsidRPr="00535BBB">
        <w:rPr>
          <w:rFonts w:ascii="Century Gothic" w:hAnsi="Century Gothic"/>
        </w:rPr>
        <w:t xml:space="preserve"> une </w:t>
      </w:r>
      <w:r w:rsidR="00E55EF1" w:rsidRPr="00535BBB">
        <w:rPr>
          <w:rFonts w:ascii="Century Gothic" w:hAnsi="Century Gothic"/>
        </w:rPr>
        <w:t xml:space="preserve">amnistie </w:t>
      </w:r>
      <w:r w:rsidRPr="00535BBB">
        <w:rPr>
          <w:rFonts w:ascii="Century Gothic" w:hAnsi="Century Gothic"/>
        </w:rPr>
        <w:t xml:space="preserve">pour le chef de l’État et ses prédécesseurs </w:t>
      </w:r>
      <w:r w:rsidR="00E55EF1" w:rsidRPr="00535BBB">
        <w:rPr>
          <w:rFonts w:ascii="Century Gothic" w:hAnsi="Century Gothic"/>
        </w:rPr>
        <w:t xml:space="preserve">en ces termes </w:t>
      </w:r>
      <w:r w:rsidR="00816261" w:rsidRPr="00535BBB">
        <w:rPr>
          <w:rFonts w:ascii="Century Gothic" w:hAnsi="Century Gothic"/>
        </w:rPr>
        <w:t>: « </w:t>
      </w:r>
      <w:r w:rsidR="002F0E4D" w:rsidRPr="00535BBB">
        <w:rPr>
          <w:rFonts w:ascii="Century Gothic" w:hAnsi="Century Gothic"/>
          <w:i/>
        </w:rPr>
        <w:t>Une amnistie pleine et entière est accordée aux Chefs de l’Etat du Burkina Faso pour la période allant de 1960 à la date d’adoption des présentes dispositions.</w:t>
      </w:r>
      <w:r w:rsidR="00816261" w:rsidRPr="00535BBB">
        <w:rPr>
          <w:rFonts w:ascii="Century Gothic" w:hAnsi="Century Gothic"/>
        </w:rPr>
        <w:t>»</w:t>
      </w:r>
      <w:r w:rsidR="008556F2" w:rsidRPr="00535BBB">
        <w:rPr>
          <w:rStyle w:val="Marquenotebasdepage"/>
          <w:rFonts w:ascii="Century Gothic" w:hAnsi="Century Gothic"/>
        </w:rPr>
        <w:footnoteReference w:id="18"/>
      </w:r>
      <w:r w:rsidR="006C49B0" w:rsidRPr="00535BBB">
        <w:rPr>
          <w:rFonts w:ascii="Century Gothic" w:hAnsi="Century Gothic"/>
        </w:rPr>
        <w:t>. D</w:t>
      </w:r>
      <w:r w:rsidR="00E23A63" w:rsidRPr="00535BBB">
        <w:rPr>
          <w:rFonts w:ascii="Century Gothic" w:hAnsi="Century Gothic"/>
        </w:rPr>
        <w:t xml:space="preserve">ans les faits, cette loi </w:t>
      </w:r>
      <w:r w:rsidR="00E55EF1" w:rsidRPr="00535BBB">
        <w:rPr>
          <w:rFonts w:ascii="Century Gothic" w:hAnsi="Century Gothic"/>
        </w:rPr>
        <w:t xml:space="preserve">organise l’impunité pour le Président Compaoré </w:t>
      </w:r>
      <w:r w:rsidR="00CE4E39" w:rsidRPr="00535BBB">
        <w:rPr>
          <w:rFonts w:ascii="Century Gothic" w:hAnsi="Century Gothic"/>
        </w:rPr>
        <w:t xml:space="preserve">seul, </w:t>
      </w:r>
      <w:r w:rsidR="00E55EF1" w:rsidRPr="00535BBB">
        <w:rPr>
          <w:rFonts w:ascii="Century Gothic" w:hAnsi="Century Gothic"/>
        </w:rPr>
        <w:t>l’exonérant</w:t>
      </w:r>
      <w:r w:rsidR="006C49B0" w:rsidRPr="00535BBB">
        <w:rPr>
          <w:rFonts w:ascii="Century Gothic" w:hAnsi="Century Gothic"/>
        </w:rPr>
        <w:t xml:space="preserve"> de</w:t>
      </w:r>
      <w:r w:rsidR="00E23A63" w:rsidRPr="00535BBB">
        <w:rPr>
          <w:rFonts w:ascii="Century Gothic" w:hAnsi="Century Gothic"/>
        </w:rPr>
        <w:t xml:space="preserve"> nombreuses atteintes </w:t>
      </w:r>
      <w:r w:rsidR="00E55EF1" w:rsidRPr="00535BBB">
        <w:rPr>
          <w:rFonts w:ascii="Century Gothic" w:hAnsi="Century Gothic"/>
        </w:rPr>
        <w:t xml:space="preserve">réelles ou supposées </w:t>
      </w:r>
      <w:r w:rsidR="00E23A63" w:rsidRPr="00535BBB">
        <w:rPr>
          <w:rFonts w:ascii="Century Gothic" w:hAnsi="Century Gothic"/>
        </w:rPr>
        <w:t>aux droits de l’homme qui lui sont reprochées</w:t>
      </w:r>
      <w:r w:rsidR="00E55EF1" w:rsidRPr="00535BBB">
        <w:rPr>
          <w:rFonts w:ascii="Century Gothic" w:hAnsi="Century Gothic"/>
        </w:rPr>
        <w:t xml:space="preserve"> depuis son accession sanglante au pouvoir le 15 octobre 1987</w:t>
      </w:r>
      <w:r w:rsidR="00E23A63" w:rsidRPr="00535BBB">
        <w:rPr>
          <w:rFonts w:ascii="Century Gothic" w:hAnsi="Century Gothic"/>
        </w:rPr>
        <w:t>.</w:t>
      </w:r>
      <w:r w:rsidR="00850EB2">
        <w:rPr>
          <w:rFonts w:ascii="Century Gothic" w:hAnsi="Century Gothic"/>
        </w:rPr>
        <w:t xml:space="preserve"> </w:t>
      </w:r>
      <w:r w:rsidR="004E4F80" w:rsidRPr="00535BBB">
        <w:rPr>
          <w:rFonts w:ascii="Century Gothic" w:hAnsi="Century Gothic"/>
        </w:rPr>
        <w:t xml:space="preserve">Et pour preuve, </w:t>
      </w:r>
      <w:r w:rsidR="006C49B0" w:rsidRPr="00535BBB">
        <w:rPr>
          <w:rFonts w:ascii="Century Gothic" w:hAnsi="Century Gothic"/>
        </w:rPr>
        <w:t>après sa mise en accusation par le CNT</w:t>
      </w:r>
      <w:r w:rsidR="007354FA" w:rsidRPr="00535BBB">
        <w:rPr>
          <w:rFonts w:ascii="Century Gothic" w:hAnsi="Century Gothic"/>
        </w:rPr>
        <w:t>,</w:t>
      </w:r>
      <w:r w:rsidR="006C49B0" w:rsidRPr="00535BBB">
        <w:rPr>
          <w:rFonts w:ascii="Century Gothic" w:hAnsi="Century Gothic"/>
        </w:rPr>
        <w:t xml:space="preserve"> son parti, </w:t>
      </w:r>
      <w:r w:rsidR="004E4F80" w:rsidRPr="00535BBB">
        <w:rPr>
          <w:rFonts w:ascii="Century Gothic" w:hAnsi="Century Gothic"/>
        </w:rPr>
        <w:t xml:space="preserve">le Congrès pour la démocratie et le progrès (CDP) a </w:t>
      </w:r>
      <w:r w:rsidR="006C49B0" w:rsidRPr="00535BBB">
        <w:rPr>
          <w:rFonts w:ascii="Century Gothic" w:hAnsi="Century Gothic"/>
        </w:rPr>
        <w:t xml:space="preserve">introduit auprès le </w:t>
      </w:r>
      <w:r w:rsidR="006C49B0" w:rsidRPr="00535BBB">
        <w:rPr>
          <w:rFonts w:ascii="Century Gothic" w:hAnsi="Century Gothic"/>
        </w:rPr>
        <w:lastRenderedPageBreak/>
        <w:t>Conseil constitutionnel un recours pour contester cette</w:t>
      </w:r>
      <w:r w:rsidR="004E4F80" w:rsidRPr="00535BBB">
        <w:rPr>
          <w:rFonts w:ascii="Century Gothic" w:hAnsi="Century Gothic"/>
        </w:rPr>
        <w:t xml:space="preserve"> mise en accusation par le CNT </w:t>
      </w:r>
      <w:r w:rsidR="006C49B0" w:rsidRPr="00535BBB">
        <w:rPr>
          <w:rFonts w:ascii="Century Gothic" w:hAnsi="Century Gothic"/>
        </w:rPr>
        <w:t xml:space="preserve">y opposant entre autres </w:t>
      </w:r>
      <w:r w:rsidR="004E4F80" w:rsidRPr="00535BBB">
        <w:rPr>
          <w:rFonts w:ascii="Century Gothic" w:hAnsi="Century Gothic"/>
        </w:rPr>
        <w:t>la loi d’amnistie</w:t>
      </w:r>
      <w:r w:rsidR="006C49B0" w:rsidRPr="00535BBB">
        <w:rPr>
          <w:rFonts w:ascii="Century Gothic" w:hAnsi="Century Gothic"/>
        </w:rPr>
        <w:t xml:space="preserve"> pour les anciens chefs d’État du Burkina Faso qui rendrait</w:t>
      </w:r>
      <w:r w:rsidR="004E4F80" w:rsidRPr="00535BBB">
        <w:rPr>
          <w:rFonts w:ascii="Century Gothic" w:hAnsi="Century Gothic"/>
        </w:rPr>
        <w:t xml:space="preserve"> anticonstitutionnelle la mise en accusation. C’est la preuve qu’une telle loi a été adoptée pour </w:t>
      </w:r>
      <w:r w:rsidR="00850EB2">
        <w:rPr>
          <w:rFonts w:ascii="Century Gothic" w:hAnsi="Century Gothic"/>
        </w:rPr>
        <w:t>empêcher les enquêtes</w:t>
      </w:r>
      <w:r w:rsidR="004E4F80" w:rsidRPr="00535BBB">
        <w:rPr>
          <w:rFonts w:ascii="Century Gothic" w:hAnsi="Century Gothic"/>
        </w:rPr>
        <w:t xml:space="preserve"> sur les crimes imputés à M. Compaoré </w:t>
      </w:r>
      <w:r w:rsidR="005B11D9">
        <w:rPr>
          <w:rFonts w:ascii="Century Gothic" w:hAnsi="Century Gothic"/>
        </w:rPr>
        <w:t>avant et durant l’exercice du pouvoir</w:t>
      </w:r>
      <w:r w:rsidR="004E4F80" w:rsidRPr="00535BBB">
        <w:rPr>
          <w:rFonts w:ascii="Century Gothic" w:hAnsi="Century Gothic"/>
        </w:rPr>
        <w:t>.</w:t>
      </w:r>
      <w:r w:rsidR="006C49B0" w:rsidRPr="00535BBB">
        <w:rPr>
          <w:rFonts w:ascii="Century Gothic" w:hAnsi="Century Gothic"/>
        </w:rPr>
        <w:t xml:space="preserve"> Toutefois une telle loi </w:t>
      </w:r>
      <w:r w:rsidR="009F199A">
        <w:rPr>
          <w:rFonts w:ascii="Century Gothic" w:hAnsi="Century Gothic"/>
        </w:rPr>
        <w:t xml:space="preserve">d’amnistie </w:t>
      </w:r>
      <w:r w:rsidR="006C49B0" w:rsidRPr="00535BBB">
        <w:rPr>
          <w:rFonts w:ascii="Century Gothic" w:hAnsi="Century Gothic"/>
        </w:rPr>
        <w:t xml:space="preserve">ne devrait </w:t>
      </w:r>
      <w:r w:rsidR="009F199A">
        <w:rPr>
          <w:rFonts w:ascii="Century Gothic" w:hAnsi="Century Gothic"/>
        </w:rPr>
        <w:t>être invoquée pour perpétuer l’impunité des éventuels acteurs ou complices d’actes attentatoires aux droits humains</w:t>
      </w:r>
      <w:r w:rsidR="0056343F">
        <w:rPr>
          <w:rFonts w:ascii="Century Gothic" w:hAnsi="Century Gothic"/>
        </w:rPr>
        <w:t>.</w:t>
      </w:r>
    </w:p>
    <w:p w14:paraId="3E0F05D5" w14:textId="7031D944" w:rsidR="00990089" w:rsidRDefault="00B15D45" w:rsidP="0056343F">
      <w:pPr>
        <w:pStyle w:val="NormalWeb"/>
        <w:jc w:val="both"/>
        <w:rPr>
          <w:rFonts w:ascii="Century Gothic" w:eastAsia="Calibri" w:hAnsi="Century Gothic"/>
          <w:b/>
          <w:sz w:val="22"/>
          <w:szCs w:val="22"/>
          <w:lang w:val="es-AR"/>
        </w:rPr>
      </w:pPr>
      <w:r>
        <w:rPr>
          <w:rFonts w:ascii="Century Gothic" w:hAnsi="Century Gothic"/>
        </w:rPr>
        <w:t>Cette posi</w:t>
      </w:r>
      <w:r w:rsidRPr="0056343F">
        <w:rPr>
          <w:rFonts w:ascii="Century Gothic" w:hAnsi="Century Gothic"/>
          <w:sz w:val="22"/>
          <w:szCs w:val="22"/>
        </w:rPr>
        <w:t>tion a été affirmée lors de l’examen de l’E</w:t>
      </w:r>
      <w:r w:rsidR="0056343F">
        <w:rPr>
          <w:rFonts w:ascii="Century Gothic" w:hAnsi="Century Gothic"/>
          <w:sz w:val="22"/>
          <w:szCs w:val="22"/>
        </w:rPr>
        <w:t>spagne</w:t>
      </w:r>
      <w:r>
        <w:rPr>
          <w:rFonts w:ascii="Century Gothic" w:hAnsi="Century Gothic"/>
          <w:sz w:val="22"/>
          <w:szCs w:val="22"/>
        </w:rPr>
        <w:t> </w:t>
      </w:r>
      <w:r w:rsidR="0056343F">
        <w:rPr>
          <w:rFonts w:ascii="Century Gothic" w:hAnsi="Century Gothic"/>
          <w:sz w:val="22"/>
          <w:szCs w:val="22"/>
        </w:rPr>
        <w:t>par le Comité des droits de l’homme :</w:t>
      </w:r>
      <w:r>
        <w:rPr>
          <w:rFonts w:ascii="Century Gothic" w:hAnsi="Century Gothic"/>
          <w:sz w:val="22"/>
          <w:szCs w:val="22"/>
        </w:rPr>
        <w:t xml:space="preserve"> </w:t>
      </w:r>
      <w:r w:rsidRPr="0056343F">
        <w:rPr>
          <w:rFonts w:ascii="Century Gothic" w:hAnsi="Century Gothic"/>
          <w:sz w:val="22"/>
          <w:szCs w:val="22"/>
        </w:rPr>
        <w:t>« </w:t>
      </w:r>
      <w:r w:rsidR="0056343F" w:rsidRPr="0056343F">
        <w:rPr>
          <w:rFonts w:ascii="Century Gothic" w:hAnsi="Century Gothic"/>
          <w:lang w:val="es-AR"/>
        </w:rPr>
        <w:t xml:space="preserve">El Comité expresa y reitera su preocupación (CCPR/C/ESP/CO/5, párr. 9) por la posición del Estado parte de mantener en vigor la Ley de Amnistía de 1977, que impide la investigación de las violaciones de los derechos humanos del pasado, en particular los delitos de tortura, desapariciones forzadas y ejecuciones sumarias. </w:t>
      </w:r>
      <w:r w:rsidR="00990089">
        <w:rPr>
          <w:rFonts w:ascii="Century Gothic" w:hAnsi="Century Gothic"/>
          <w:lang w:val="es-ES"/>
        </w:rPr>
        <w:t xml:space="preserve">(…) </w:t>
      </w:r>
      <w:r w:rsidR="0056343F" w:rsidRPr="0056343F">
        <w:rPr>
          <w:rFonts w:ascii="Century Gothic" w:eastAsia="Calibri" w:hAnsi="Century Gothic"/>
          <w:b/>
          <w:sz w:val="22"/>
          <w:szCs w:val="22"/>
          <w:lang w:val="es-AR"/>
        </w:rPr>
        <w:t>El Comité reitera su recomendación en el sentido de que se derogue la Ley de Amnistía o se la enmiende para hacerla plenamente compatible con las disposiciones del Pacto. El Estado parte debe impulsar activamente las investigaciones respecto de todas las violaciones a los derechos humanos  del pasado. El Estado parte debe velar por que en estas investigaciones se identifiquen a los responsables, se los enjuicie y se les impongan sanciones apropiadas, proporcionales a la gravedad de los crím</w:t>
      </w:r>
      <w:r w:rsidR="00990089">
        <w:rPr>
          <w:rFonts w:ascii="Century Gothic" w:eastAsia="Calibri" w:hAnsi="Century Gothic"/>
          <w:b/>
          <w:sz w:val="22"/>
          <w:szCs w:val="22"/>
          <w:lang w:val="es-AR"/>
        </w:rPr>
        <w:t>enes y se repare a las víctimas.</w:t>
      </w:r>
      <w:r w:rsidR="00990089" w:rsidRPr="0056343F">
        <w:rPr>
          <w:rFonts w:ascii="Century Gothic" w:hAnsi="Century Gothic"/>
          <w:i/>
        </w:rPr>
        <w:t> </w:t>
      </w:r>
      <w:r w:rsidR="00990089" w:rsidRPr="001C5C85">
        <w:rPr>
          <w:rFonts w:ascii="Century Gothic" w:hAnsi="Century Gothic"/>
        </w:rPr>
        <w:t>»</w:t>
      </w:r>
      <w:r w:rsidR="00990089">
        <w:rPr>
          <w:rStyle w:val="Marquenotebasdepage"/>
          <w:rFonts w:ascii="Century Gothic" w:hAnsi="Century Gothic"/>
        </w:rPr>
        <w:footnoteReference w:id="19"/>
      </w:r>
    </w:p>
    <w:p w14:paraId="39342593" w14:textId="615F87AE" w:rsidR="006C49B0" w:rsidRPr="00990089" w:rsidRDefault="006C49B0" w:rsidP="0056343F">
      <w:pPr>
        <w:pStyle w:val="NormalWeb"/>
        <w:jc w:val="both"/>
        <w:rPr>
          <w:rFonts w:ascii="Century Gothic" w:hAnsi="Century Gothic"/>
          <w:u w:val="single"/>
          <w:lang w:val="es-ES"/>
        </w:rPr>
      </w:pPr>
      <w:r w:rsidRPr="00535BBB">
        <w:rPr>
          <w:rFonts w:ascii="Century Gothic" w:hAnsi="Century Gothic"/>
        </w:rPr>
        <w:t xml:space="preserve">C’est pourquoi </w:t>
      </w:r>
      <w:r w:rsidR="00EC3B03" w:rsidRPr="00535BBB">
        <w:rPr>
          <w:rFonts w:ascii="Century Gothic" w:hAnsi="Century Gothic"/>
        </w:rPr>
        <w:t>les membres de coalition veilleront à ce qu’en aucun cas, la loi d’amnistie ne puisse valablement être invoquée pour faire en sorte que M. Compaoré et toute autre personne suspectée d’atteintes graves aux droits de l’homme n’échappent à la justice. Elle exhorte le Conseil constitutionnel et tout autre juridiction nationale et internationale à faire preuve d’audace pour que justice soit faite dans les crimes restés jusque-là impunis.</w:t>
      </w:r>
    </w:p>
    <w:p w14:paraId="209258FD" w14:textId="77777777" w:rsidR="00B11447" w:rsidRDefault="00B11447" w:rsidP="0056343F">
      <w:pPr>
        <w:pStyle w:val="Grillemoyenne1-Accent21"/>
        <w:spacing w:line="240" w:lineRule="auto"/>
        <w:ind w:left="0"/>
        <w:jc w:val="both"/>
        <w:rPr>
          <w:rFonts w:ascii="Century Gothic" w:hAnsi="Century Gothic"/>
        </w:rPr>
      </w:pPr>
      <w:r w:rsidRPr="001C5C85">
        <w:rPr>
          <w:rFonts w:ascii="Century Gothic" w:hAnsi="Century Gothic"/>
        </w:rPr>
        <w:t xml:space="preserve">Par ailleurs, les députés du CNT ont le 16 juillet 2015 la mise en accusation de l’ex-président Blaise Compaoré devant la haute Cour de justice pour « haute trahison » et « attentat à la constitution ». Tous les membres de son dernier gouvernement et ceux qui étaient présents lors du conseil des ministres du 21 octobre 2014 </w:t>
      </w:r>
      <w:r w:rsidR="00BF7B8B" w:rsidRPr="001C5C85">
        <w:rPr>
          <w:rFonts w:ascii="Century Gothic" w:hAnsi="Century Gothic"/>
        </w:rPr>
        <w:t xml:space="preserve">qui a adopté le projet de modification de l’article 37 </w:t>
      </w:r>
      <w:r w:rsidRPr="001C5C85">
        <w:rPr>
          <w:rFonts w:ascii="Century Gothic" w:hAnsi="Century Gothic"/>
        </w:rPr>
        <w:t>ont été accusés</w:t>
      </w:r>
      <w:r w:rsidR="00BF7B8B" w:rsidRPr="001C5C85">
        <w:rPr>
          <w:rFonts w:ascii="Century Gothic" w:hAnsi="Century Gothic"/>
        </w:rPr>
        <w:t xml:space="preserve"> « </w:t>
      </w:r>
      <w:r w:rsidR="00BF7B8B" w:rsidRPr="0056343F">
        <w:rPr>
          <w:rFonts w:ascii="Century Gothic" w:hAnsi="Century Gothic"/>
          <w:i/>
        </w:rPr>
        <w:t>d’assassinat et de coups et blessures volontaires </w:t>
      </w:r>
      <w:r w:rsidR="00BF7B8B" w:rsidRPr="001C5C85">
        <w:rPr>
          <w:rFonts w:ascii="Century Gothic" w:hAnsi="Century Gothic"/>
        </w:rPr>
        <w:t>».</w:t>
      </w:r>
    </w:p>
    <w:p w14:paraId="6ACEFD8B" w14:textId="77777777" w:rsidR="00D47373" w:rsidRPr="001C5C85" w:rsidRDefault="00D47373" w:rsidP="0056343F">
      <w:pPr>
        <w:pStyle w:val="Grillemoyenne1-Accent21"/>
        <w:spacing w:line="240" w:lineRule="auto"/>
        <w:ind w:left="0"/>
        <w:jc w:val="both"/>
        <w:rPr>
          <w:rFonts w:ascii="Century Gothic" w:hAnsi="Century Gothic"/>
        </w:rPr>
      </w:pPr>
    </w:p>
    <w:p w14:paraId="296C9A8F" w14:textId="77777777" w:rsidR="00E23A63" w:rsidRDefault="004D1430" w:rsidP="0056343F">
      <w:pPr>
        <w:pStyle w:val="Grillemoyenne1-Accent21"/>
        <w:spacing w:line="240" w:lineRule="auto"/>
        <w:ind w:left="0"/>
        <w:jc w:val="both"/>
        <w:rPr>
          <w:rFonts w:ascii="Century Gothic" w:hAnsi="Century Gothic"/>
        </w:rPr>
      </w:pPr>
      <w:r w:rsidRPr="004B7B2E">
        <w:rPr>
          <w:rFonts w:ascii="Century Gothic" w:hAnsi="Century Gothic"/>
        </w:rPr>
        <w:t>Les députés proches de l’ancien président burkinabè s’étaient pourvus en cassation auprès du conseil constitutionnel pour tenter de suspendre la décision du parlement de transition de mettre Blaise Compaoré et son gouvernement en accusation devant la haute Cour de justice.</w:t>
      </w:r>
    </w:p>
    <w:p w14:paraId="21E19BE8" w14:textId="77777777" w:rsidR="00D47373" w:rsidRPr="00447D83" w:rsidRDefault="00D47373" w:rsidP="0056343F">
      <w:pPr>
        <w:pStyle w:val="Grillemoyenne1-Accent21"/>
        <w:spacing w:line="240" w:lineRule="auto"/>
        <w:ind w:left="0"/>
        <w:jc w:val="both"/>
        <w:rPr>
          <w:rFonts w:ascii="Century Gothic" w:hAnsi="Century Gothic"/>
        </w:rPr>
      </w:pPr>
    </w:p>
    <w:p w14:paraId="46721FB7" w14:textId="77777777" w:rsidR="004D1430" w:rsidRPr="001C5C85" w:rsidRDefault="004D1430" w:rsidP="0056343F">
      <w:pPr>
        <w:pStyle w:val="Grillemoyenne1-Accent21"/>
        <w:spacing w:line="240" w:lineRule="auto"/>
        <w:ind w:left="0"/>
        <w:jc w:val="both"/>
        <w:rPr>
          <w:rFonts w:ascii="Century Gothic" w:hAnsi="Century Gothic"/>
        </w:rPr>
      </w:pPr>
      <w:r w:rsidRPr="00B15D45">
        <w:rPr>
          <w:rFonts w:ascii="Century Gothic" w:hAnsi="Century Gothic"/>
        </w:rPr>
        <w:t>Le lundi 10 août 2015, le conseil constitutionnel s’est déclaré « par conséquent (…) incompétente » au motif que le vote du parlement « </w:t>
      </w:r>
      <w:r w:rsidRPr="00990089">
        <w:rPr>
          <w:rFonts w:ascii="Century Gothic" w:hAnsi="Century Gothic"/>
          <w:i/>
        </w:rPr>
        <w:t>ne rentre pas dans les domaines de contrôle de constitutionnalité exercés par le conseil constitutionnel </w:t>
      </w:r>
      <w:r w:rsidRPr="001C5C85">
        <w:rPr>
          <w:rFonts w:ascii="Century Gothic" w:hAnsi="Century Gothic"/>
        </w:rPr>
        <w:t>» qui ne peut pas se prononcer sur « </w:t>
      </w:r>
      <w:r w:rsidRPr="00990089">
        <w:rPr>
          <w:rFonts w:ascii="Century Gothic" w:hAnsi="Century Gothic"/>
          <w:i/>
        </w:rPr>
        <w:t>la constitutionnalité des lois déjà promulguées ou en vigueur </w:t>
      </w:r>
      <w:r w:rsidRPr="001C5C85">
        <w:rPr>
          <w:rFonts w:ascii="Century Gothic" w:hAnsi="Century Gothic"/>
        </w:rPr>
        <w:t>».</w:t>
      </w:r>
    </w:p>
    <w:p w14:paraId="23377910" w14:textId="77777777" w:rsidR="004D1430" w:rsidRDefault="004D1430" w:rsidP="0056343F">
      <w:pPr>
        <w:pStyle w:val="Grillemoyenne1-Accent21"/>
        <w:spacing w:line="240" w:lineRule="auto"/>
        <w:ind w:left="0"/>
        <w:jc w:val="both"/>
        <w:rPr>
          <w:rFonts w:ascii="Century Gothic" w:hAnsi="Century Gothic"/>
        </w:rPr>
      </w:pPr>
      <w:r w:rsidRPr="001C5C85">
        <w:rPr>
          <w:rFonts w:ascii="Century Gothic" w:hAnsi="Century Gothic"/>
        </w:rPr>
        <w:lastRenderedPageBreak/>
        <w:t>Par ailleurs, le procureur général de la Haute Cour de justice a affirmé vendredi 7 août 2015 que les premiers jugements auront lieu « avant la fin de la transition », le travail des cabinets d’instruction étant bien</w:t>
      </w:r>
      <w:r w:rsidRPr="004B7B2E">
        <w:rPr>
          <w:rFonts w:ascii="Century Gothic" w:hAnsi="Century Gothic"/>
        </w:rPr>
        <w:t xml:space="preserve"> avancé sur certains dossiers.</w:t>
      </w:r>
    </w:p>
    <w:p w14:paraId="222C1C87" w14:textId="77777777" w:rsidR="004D1430" w:rsidRPr="00535BBB" w:rsidRDefault="004D1430" w:rsidP="001C5C85">
      <w:pPr>
        <w:pStyle w:val="Grillemoyenne1-Accent21"/>
        <w:spacing w:line="240" w:lineRule="auto"/>
        <w:ind w:left="0"/>
        <w:jc w:val="both"/>
        <w:rPr>
          <w:rFonts w:ascii="Century Gothic" w:hAnsi="Century Gothic"/>
        </w:rPr>
      </w:pPr>
    </w:p>
    <w:p w14:paraId="114F25FC" w14:textId="77777777" w:rsidR="008214E1" w:rsidRPr="00535BBB" w:rsidRDefault="008303CC" w:rsidP="004B7B2E">
      <w:pPr>
        <w:pStyle w:val="Grillemoyenne1-Accent21"/>
        <w:spacing w:line="240" w:lineRule="auto"/>
        <w:ind w:left="0"/>
        <w:jc w:val="both"/>
        <w:rPr>
          <w:rStyle w:val="hps"/>
          <w:rFonts w:ascii="Century Gothic" w:hAnsi="Century Gothic"/>
          <w:b/>
        </w:rPr>
      </w:pPr>
      <w:r w:rsidRPr="00535BBB">
        <w:rPr>
          <w:rStyle w:val="hps"/>
          <w:rFonts w:ascii="Century Gothic" w:hAnsi="Century Gothic"/>
          <w:b/>
          <w:i/>
          <w:u w:val="single"/>
        </w:rPr>
        <w:t>Suggestions de questions provenant de la société civile relatives aux points ci-dessus</w:t>
      </w:r>
      <w:r w:rsidRPr="00535BBB">
        <w:rPr>
          <w:rStyle w:val="hps"/>
          <w:rFonts w:ascii="Century Gothic" w:hAnsi="Century Gothic"/>
          <w:b/>
        </w:rPr>
        <w:t> :</w:t>
      </w:r>
    </w:p>
    <w:p w14:paraId="2470FE34" w14:textId="77777777" w:rsidR="005E7DDB" w:rsidRPr="00535BBB" w:rsidRDefault="005E7DDB" w:rsidP="00D060B8">
      <w:pPr>
        <w:pStyle w:val="Grillemoyenne1-Accent21"/>
        <w:numPr>
          <w:ilvl w:val="0"/>
          <w:numId w:val="24"/>
        </w:numPr>
        <w:spacing w:line="240" w:lineRule="auto"/>
        <w:jc w:val="both"/>
        <w:rPr>
          <w:rFonts w:ascii="Century Gothic" w:hAnsi="Century Gothic"/>
        </w:rPr>
      </w:pPr>
      <w:r w:rsidRPr="00535BBB">
        <w:rPr>
          <w:rFonts w:ascii="Century Gothic" w:hAnsi="Century Gothic"/>
        </w:rPr>
        <w:t>Que</w:t>
      </w:r>
      <w:r w:rsidR="00271572" w:rsidRPr="00535BBB">
        <w:rPr>
          <w:rFonts w:ascii="Century Gothic" w:hAnsi="Century Gothic"/>
        </w:rPr>
        <w:t xml:space="preserve">lles mesures le gouvernement compte-t-il </w:t>
      </w:r>
      <w:r w:rsidRPr="00535BBB">
        <w:rPr>
          <w:rFonts w:ascii="Century Gothic" w:hAnsi="Century Gothic"/>
        </w:rPr>
        <w:t xml:space="preserve">prendre pour </w:t>
      </w:r>
      <w:r w:rsidR="00271572" w:rsidRPr="00535BBB">
        <w:rPr>
          <w:rFonts w:ascii="Century Gothic" w:hAnsi="Century Gothic"/>
        </w:rPr>
        <w:t xml:space="preserve">surmonter l’obstacle de la loi d’amnistie </w:t>
      </w:r>
      <w:r w:rsidR="00274425" w:rsidRPr="00535BBB">
        <w:rPr>
          <w:rFonts w:ascii="Century Gothic" w:hAnsi="Century Gothic"/>
        </w:rPr>
        <w:t xml:space="preserve">de 2012 </w:t>
      </w:r>
      <w:r w:rsidR="00271572" w:rsidRPr="00535BBB">
        <w:rPr>
          <w:rFonts w:ascii="Century Gothic" w:hAnsi="Century Gothic"/>
        </w:rPr>
        <w:t xml:space="preserve">et </w:t>
      </w:r>
      <w:r w:rsidR="00ED0E22">
        <w:rPr>
          <w:rFonts w:ascii="Century Gothic" w:hAnsi="Century Gothic"/>
        </w:rPr>
        <w:t>permettre que des enquêtes impartiales et indépendantes soient menées sur les violations de droits de l’homme commises durant l’exercice du pouvoir de Blaise Compaoré ?</w:t>
      </w:r>
      <w:r w:rsidRPr="00535BBB">
        <w:rPr>
          <w:rFonts w:ascii="Century Gothic" w:hAnsi="Century Gothic"/>
        </w:rPr>
        <w:t xml:space="preserve"> </w:t>
      </w:r>
    </w:p>
    <w:p w14:paraId="1DD4D993" w14:textId="77777777" w:rsidR="004602D8" w:rsidRPr="00535BBB" w:rsidRDefault="004602D8" w:rsidP="00D060B8">
      <w:pPr>
        <w:pStyle w:val="Grillemoyenne1-Accent21"/>
        <w:numPr>
          <w:ilvl w:val="0"/>
          <w:numId w:val="24"/>
        </w:numPr>
        <w:spacing w:line="240" w:lineRule="auto"/>
        <w:jc w:val="both"/>
        <w:rPr>
          <w:rFonts w:ascii="Century Gothic" w:hAnsi="Century Gothic"/>
        </w:rPr>
      </w:pPr>
      <w:r w:rsidRPr="00535BBB">
        <w:rPr>
          <w:rFonts w:ascii="Century Gothic" w:hAnsi="Century Gothic"/>
        </w:rPr>
        <w:t xml:space="preserve">L’insurrection populaire </w:t>
      </w:r>
      <w:r w:rsidR="00465748" w:rsidRPr="00535BBB">
        <w:rPr>
          <w:rFonts w:ascii="Century Gothic" w:hAnsi="Century Gothic"/>
        </w:rPr>
        <w:t>de</w:t>
      </w:r>
      <w:r w:rsidR="007A127F" w:rsidRPr="00535BBB">
        <w:rPr>
          <w:rFonts w:ascii="Century Gothic" w:hAnsi="Century Gothic"/>
        </w:rPr>
        <w:t>s 30 et 31 octobre</w:t>
      </w:r>
      <w:r w:rsidR="00465748" w:rsidRPr="00535BBB">
        <w:rPr>
          <w:rFonts w:ascii="Century Gothic" w:hAnsi="Century Gothic"/>
        </w:rPr>
        <w:t xml:space="preserve"> 2014 </w:t>
      </w:r>
      <w:r w:rsidRPr="00535BBB">
        <w:rPr>
          <w:rFonts w:ascii="Century Gothic" w:hAnsi="Century Gothic"/>
        </w:rPr>
        <w:t>a occasionné de</w:t>
      </w:r>
      <w:r w:rsidR="005F5349" w:rsidRPr="00535BBB">
        <w:rPr>
          <w:rFonts w:ascii="Century Gothic" w:hAnsi="Century Gothic"/>
        </w:rPr>
        <w:t>s</w:t>
      </w:r>
      <w:r w:rsidRPr="00535BBB">
        <w:rPr>
          <w:rFonts w:ascii="Century Gothic" w:hAnsi="Century Gothic"/>
        </w:rPr>
        <w:t xml:space="preserve"> atteintes </w:t>
      </w:r>
      <w:r w:rsidR="005F5349" w:rsidRPr="00535BBB">
        <w:rPr>
          <w:rFonts w:ascii="Century Gothic" w:hAnsi="Century Gothic"/>
        </w:rPr>
        <w:t>et violations des</w:t>
      </w:r>
      <w:r w:rsidRPr="00535BBB">
        <w:rPr>
          <w:rFonts w:ascii="Century Gothic" w:hAnsi="Century Gothic"/>
        </w:rPr>
        <w:t xml:space="preserve"> droits </w:t>
      </w:r>
      <w:r w:rsidR="005A4B10">
        <w:rPr>
          <w:rFonts w:ascii="Century Gothic" w:hAnsi="Century Gothic"/>
        </w:rPr>
        <w:t>de l’homme</w:t>
      </w:r>
      <w:r w:rsidR="005A4B10" w:rsidRPr="00535BBB">
        <w:rPr>
          <w:rFonts w:ascii="Century Gothic" w:hAnsi="Century Gothic"/>
        </w:rPr>
        <w:t xml:space="preserve"> </w:t>
      </w:r>
      <w:r w:rsidRPr="00535BBB">
        <w:rPr>
          <w:rFonts w:ascii="Century Gothic" w:hAnsi="Century Gothic"/>
        </w:rPr>
        <w:t xml:space="preserve">et rien ne semble indiquer que la justice </w:t>
      </w:r>
      <w:r w:rsidR="005A4B10">
        <w:rPr>
          <w:rFonts w:ascii="Century Gothic" w:hAnsi="Century Gothic"/>
        </w:rPr>
        <w:t>diligente les enquêtes nécessaire</w:t>
      </w:r>
      <w:r w:rsidR="006C2041">
        <w:rPr>
          <w:rFonts w:ascii="Century Gothic" w:hAnsi="Century Gothic"/>
        </w:rPr>
        <w:t>s</w:t>
      </w:r>
      <w:r w:rsidRPr="00535BBB">
        <w:rPr>
          <w:rFonts w:ascii="Century Gothic" w:hAnsi="Century Gothic"/>
        </w:rPr>
        <w:t xml:space="preserve">. Que compte faire le </w:t>
      </w:r>
      <w:r w:rsidR="00C743E0" w:rsidRPr="00535BBB">
        <w:rPr>
          <w:rFonts w:ascii="Century Gothic" w:hAnsi="Century Gothic"/>
        </w:rPr>
        <w:t xml:space="preserve">gouvernement pour élucider ces </w:t>
      </w:r>
      <w:r w:rsidR="006C2041">
        <w:rPr>
          <w:rFonts w:ascii="Century Gothic" w:hAnsi="Century Gothic"/>
        </w:rPr>
        <w:t xml:space="preserve">violations, poursuivre les auteurs de ces violations </w:t>
      </w:r>
      <w:r w:rsidR="00C743E0" w:rsidRPr="00535BBB">
        <w:rPr>
          <w:rFonts w:ascii="Century Gothic" w:hAnsi="Century Gothic"/>
        </w:rPr>
        <w:t>et indemniser les victimes ou leurs ayant-droits ?</w:t>
      </w:r>
    </w:p>
    <w:p w14:paraId="09AB973A" w14:textId="7776FA3A" w:rsidR="00C743E0" w:rsidRPr="00535BBB" w:rsidRDefault="001C5C85" w:rsidP="00D060B8">
      <w:pPr>
        <w:pStyle w:val="Grillemoyenne1-Accent21"/>
        <w:numPr>
          <w:ilvl w:val="0"/>
          <w:numId w:val="24"/>
        </w:numPr>
        <w:spacing w:line="240" w:lineRule="auto"/>
        <w:jc w:val="both"/>
        <w:rPr>
          <w:rFonts w:ascii="Century Gothic" w:hAnsi="Century Gothic"/>
        </w:rPr>
      </w:pPr>
      <w:r>
        <w:rPr>
          <w:rFonts w:ascii="Century Gothic" w:hAnsi="Century Gothic"/>
        </w:rPr>
        <w:t xml:space="preserve">Dans quelle mesure le processus de réconciliation national actuellement en cours intègre </w:t>
      </w:r>
      <w:r w:rsidR="00647D5D" w:rsidRPr="00535BBB">
        <w:rPr>
          <w:rFonts w:ascii="Century Gothic" w:hAnsi="Century Gothic"/>
        </w:rPr>
        <w:t>l’exigence de justice et de</w:t>
      </w:r>
      <w:r w:rsidR="00C743E0" w:rsidRPr="00535BBB">
        <w:rPr>
          <w:rFonts w:ascii="Century Gothic" w:hAnsi="Century Gothic"/>
        </w:rPr>
        <w:t xml:space="preserve"> lutte contre l’impunité au Burkina Faso ?</w:t>
      </w:r>
    </w:p>
    <w:p w14:paraId="16D52FBD" w14:textId="77777777" w:rsidR="004602D8" w:rsidRPr="004B7B2E" w:rsidRDefault="004602D8" w:rsidP="00D060B8">
      <w:pPr>
        <w:pStyle w:val="Grillemoyenne1-Accent21"/>
        <w:numPr>
          <w:ilvl w:val="0"/>
          <w:numId w:val="24"/>
        </w:numPr>
        <w:spacing w:line="240" w:lineRule="auto"/>
        <w:jc w:val="both"/>
        <w:rPr>
          <w:rFonts w:ascii="Century Gothic" w:hAnsi="Century Gothic"/>
        </w:rPr>
      </w:pPr>
      <w:r w:rsidRPr="00535BBB">
        <w:rPr>
          <w:rFonts w:ascii="Century Gothic" w:hAnsi="Century Gothic"/>
        </w:rPr>
        <w:t xml:space="preserve">Dans la dynamique de l’abolition effective de la peine de mort au Burkina Faso, le </w:t>
      </w:r>
      <w:r w:rsidRPr="004B7B2E">
        <w:rPr>
          <w:rFonts w:ascii="Century Gothic" w:hAnsi="Century Gothic"/>
        </w:rPr>
        <w:t>gouvernement compte-t-il signer et ratifier le deuxième protocole facultatif du pacte y relatif ?</w:t>
      </w:r>
    </w:p>
    <w:p w14:paraId="0B952AD3" w14:textId="77777777" w:rsidR="008303CC" w:rsidRPr="004E6D03" w:rsidRDefault="006F4888" w:rsidP="00D060B8">
      <w:pPr>
        <w:pStyle w:val="Grillemoyenne1-Accent21"/>
        <w:numPr>
          <w:ilvl w:val="0"/>
          <w:numId w:val="24"/>
        </w:numPr>
        <w:spacing w:line="240" w:lineRule="auto"/>
        <w:jc w:val="both"/>
        <w:rPr>
          <w:rStyle w:val="hps"/>
          <w:rFonts w:ascii="Century Gothic" w:hAnsi="Century Gothic"/>
        </w:rPr>
      </w:pPr>
      <w:r w:rsidRPr="00447D83">
        <w:rPr>
          <w:rStyle w:val="hps"/>
          <w:rFonts w:ascii="Century Gothic" w:hAnsi="Century Gothic"/>
        </w:rPr>
        <w:t xml:space="preserve">Quelles sont les mesures entreprises par le gouvernement pour </w:t>
      </w:r>
      <w:r w:rsidR="00274425" w:rsidRPr="00807AF6">
        <w:rPr>
          <w:rStyle w:val="hps"/>
          <w:rFonts w:ascii="Century Gothic" w:hAnsi="Century Gothic"/>
        </w:rPr>
        <w:t>la diffusion</w:t>
      </w:r>
      <w:r w:rsidRPr="005A4193">
        <w:rPr>
          <w:rStyle w:val="hps"/>
          <w:rFonts w:ascii="Century Gothic" w:hAnsi="Century Gothic"/>
        </w:rPr>
        <w:t xml:space="preserve"> du PIDCP</w:t>
      </w:r>
      <w:r w:rsidRPr="00B15D45">
        <w:rPr>
          <w:rStyle w:val="hps"/>
          <w:rFonts w:ascii="Century Gothic" w:hAnsi="Century Gothic"/>
        </w:rPr>
        <w:t xml:space="preserve"> </w:t>
      </w:r>
      <w:r w:rsidR="00274425" w:rsidRPr="00B15D45">
        <w:rPr>
          <w:rStyle w:val="hps"/>
          <w:rFonts w:ascii="Century Gothic" w:hAnsi="Century Gothic"/>
        </w:rPr>
        <w:t>et des instruments internationaux et régionaux</w:t>
      </w:r>
      <w:r w:rsidR="00271572" w:rsidRPr="00B15D45">
        <w:rPr>
          <w:rStyle w:val="hps"/>
          <w:rFonts w:ascii="Century Gothic" w:hAnsi="Century Gothic"/>
        </w:rPr>
        <w:t> </w:t>
      </w:r>
      <w:r w:rsidR="00274425" w:rsidRPr="00B15D45">
        <w:rPr>
          <w:rStyle w:val="hps"/>
          <w:rFonts w:ascii="Century Gothic" w:hAnsi="Century Gothic"/>
        </w:rPr>
        <w:t xml:space="preserve">afférents </w:t>
      </w:r>
      <w:r w:rsidR="00271572" w:rsidRPr="00D713BB">
        <w:rPr>
          <w:rStyle w:val="hps"/>
          <w:rFonts w:ascii="Century Gothic" w:hAnsi="Century Gothic"/>
        </w:rPr>
        <w:t>?</w:t>
      </w:r>
    </w:p>
    <w:p w14:paraId="749886DD" w14:textId="77777777" w:rsidR="00CD6929" w:rsidRPr="00990089" w:rsidRDefault="00230B1A" w:rsidP="00D060B8">
      <w:pPr>
        <w:pStyle w:val="Grillemoyenne1-Accent21"/>
        <w:numPr>
          <w:ilvl w:val="0"/>
          <w:numId w:val="24"/>
        </w:numPr>
        <w:spacing w:line="240" w:lineRule="auto"/>
        <w:jc w:val="both"/>
        <w:rPr>
          <w:rStyle w:val="hps"/>
          <w:rFonts w:ascii="Century Gothic" w:hAnsi="Century Gothic"/>
        </w:rPr>
      </w:pPr>
      <w:r w:rsidRPr="00990089">
        <w:rPr>
          <w:rStyle w:val="hps"/>
          <w:rFonts w:ascii="Century Gothic" w:hAnsi="Century Gothic"/>
        </w:rPr>
        <w:t xml:space="preserve">Comment </w:t>
      </w:r>
      <w:r w:rsidR="004602D8" w:rsidRPr="00990089">
        <w:rPr>
          <w:rStyle w:val="hps"/>
          <w:rFonts w:ascii="Century Gothic" w:hAnsi="Century Gothic"/>
        </w:rPr>
        <w:t xml:space="preserve">le gouvernement compte-t-il </w:t>
      </w:r>
      <w:r w:rsidRPr="00990089">
        <w:rPr>
          <w:rStyle w:val="hps"/>
          <w:rFonts w:ascii="Century Gothic" w:hAnsi="Century Gothic"/>
        </w:rPr>
        <w:t>donner effet au</w:t>
      </w:r>
      <w:r w:rsidR="004602D8" w:rsidRPr="00990089">
        <w:rPr>
          <w:rStyle w:val="hps"/>
          <w:rFonts w:ascii="Century Gothic" w:hAnsi="Century Gothic"/>
        </w:rPr>
        <w:t xml:space="preserve">x recommandations </w:t>
      </w:r>
      <w:r w:rsidR="00226266" w:rsidRPr="00990089">
        <w:rPr>
          <w:rStyle w:val="hps"/>
          <w:rFonts w:ascii="Century Gothic" w:hAnsi="Century Gothic"/>
        </w:rPr>
        <w:t xml:space="preserve">issues </w:t>
      </w:r>
      <w:r w:rsidR="004602D8" w:rsidRPr="00990089">
        <w:rPr>
          <w:rStyle w:val="hps"/>
          <w:rFonts w:ascii="Century Gothic" w:hAnsi="Century Gothic"/>
        </w:rPr>
        <w:t>du</w:t>
      </w:r>
      <w:r w:rsidRPr="00990089">
        <w:rPr>
          <w:rStyle w:val="hps"/>
          <w:rFonts w:ascii="Century Gothic" w:hAnsi="Century Gothic"/>
        </w:rPr>
        <w:t xml:space="preserve"> Pacte </w:t>
      </w:r>
      <w:r w:rsidR="004602D8" w:rsidRPr="00990089">
        <w:rPr>
          <w:rStyle w:val="hps"/>
          <w:rFonts w:ascii="Century Gothic" w:hAnsi="Century Gothic"/>
        </w:rPr>
        <w:t>national po</w:t>
      </w:r>
      <w:r w:rsidRPr="00990089">
        <w:rPr>
          <w:rStyle w:val="hps"/>
          <w:rFonts w:ascii="Century Gothic" w:hAnsi="Century Gothic"/>
        </w:rPr>
        <w:t>ur le renouveau de la justice</w:t>
      </w:r>
      <w:r w:rsidR="00CC7B45" w:rsidRPr="00990089">
        <w:rPr>
          <w:rStyle w:val="Marquenotebasdepage"/>
          <w:rFonts w:ascii="Century Gothic" w:hAnsi="Century Gothic"/>
        </w:rPr>
        <w:footnoteReference w:id="20"/>
      </w:r>
      <w:r w:rsidRPr="00990089">
        <w:rPr>
          <w:rStyle w:val="hps"/>
          <w:rFonts w:ascii="Century Gothic" w:hAnsi="Century Gothic"/>
        </w:rPr>
        <w:t> </w:t>
      </w:r>
      <w:r w:rsidR="00226266" w:rsidRPr="00990089">
        <w:rPr>
          <w:rStyle w:val="hps"/>
          <w:rFonts w:ascii="Century Gothic" w:hAnsi="Century Gothic"/>
        </w:rPr>
        <w:t>en vue de rendre la justice indépendante du pouvoir exécutif, crédible, accessible aux justiciables et efficace dans son travail</w:t>
      </w:r>
      <w:r w:rsidRPr="00990089">
        <w:rPr>
          <w:rStyle w:val="hps"/>
          <w:rFonts w:ascii="Century Gothic" w:hAnsi="Century Gothic"/>
        </w:rPr>
        <w:t>?</w:t>
      </w:r>
    </w:p>
    <w:p w14:paraId="1A7ABE8E" w14:textId="77777777" w:rsidR="004602D8" w:rsidRPr="00447D83" w:rsidRDefault="004602D8" w:rsidP="00D060B8">
      <w:pPr>
        <w:pStyle w:val="Grillemoyenne1-Accent21"/>
        <w:numPr>
          <w:ilvl w:val="0"/>
          <w:numId w:val="24"/>
        </w:numPr>
        <w:spacing w:line="240" w:lineRule="auto"/>
        <w:jc w:val="both"/>
        <w:rPr>
          <w:rStyle w:val="hps"/>
          <w:rFonts w:ascii="Century Gothic" w:hAnsi="Century Gothic"/>
        </w:rPr>
      </w:pPr>
      <w:r w:rsidRPr="004B7B2E">
        <w:rPr>
          <w:rStyle w:val="hps"/>
          <w:rFonts w:ascii="Century Gothic" w:hAnsi="Century Gothic"/>
        </w:rPr>
        <w:t>Quelles mesures le gouvernement compte-t-il prendre pour faire en sorte que la CNDH burkinabè se conforme entièrement aux principes de Paris, en particulier assurer son indépendance et son autono</w:t>
      </w:r>
      <w:r w:rsidRPr="00447D83">
        <w:rPr>
          <w:rStyle w:val="hps"/>
          <w:rFonts w:ascii="Century Gothic" w:hAnsi="Century Gothic"/>
        </w:rPr>
        <w:t>mie financière et fonctionnelle vis-à-vis des pouvoirs publics ?</w:t>
      </w:r>
    </w:p>
    <w:p w14:paraId="71ED0135" w14:textId="77777777" w:rsidR="00EC3B03" w:rsidRPr="00990089" w:rsidRDefault="004602D8" w:rsidP="00D060B8">
      <w:pPr>
        <w:pStyle w:val="Grillemoyenne1-Accent21"/>
        <w:numPr>
          <w:ilvl w:val="0"/>
          <w:numId w:val="24"/>
        </w:numPr>
        <w:spacing w:line="240" w:lineRule="auto"/>
        <w:jc w:val="both"/>
        <w:rPr>
          <w:rStyle w:val="hps"/>
          <w:rFonts w:ascii="Century Gothic" w:hAnsi="Century Gothic"/>
        </w:rPr>
      </w:pPr>
      <w:r w:rsidRPr="00990089">
        <w:rPr>
          <w:rStyle w:val="hps"/>
          <w:rFonts w:ascii="Century Gothic" w:hAnsi="Century Gothic"/>
        </w:rPr>
        <w:t>Face aux difficultés d’exécution des décisions judiciaires</w:t>
      </w:r>
      <w:r w:rsidR="00BC59B6" w:rsidRPr="00990089">
        <w:rPr>
          <w:rStyle w:val="hps"/>
          <w:rFonts w:ascii="Century Gothic" w:hAnsi="Century Gothic"/>
        </w:rPr>
        <w:t xml:space="preserve"> mettant généralement en cause des personnalités proches du pouvoir ou économiquement fortes et des responsables administratifs (refus de se soumettre à l’autorité de la chose jugée)</w:t>
      </w:r>
      <w:r w:rsidRPr="00990089">
        <w:rPr>
          <w:rStyle w:val="hps"/>
          <w:rFonts w:ascii="Century Gothic" w:hAnsi="Century Gothic"/>
        </w:rPr>
        <w:t xml:space="preserve">, quelles </w:t>
      </w:r>
      <w:r w:rsidR="00BC59B6" w:rsidRPr="00990089">
        <w:rPr>
          <w:rStyle w:val="hps"/>
          <w:rFonts w:ascii="Century Gothic" w:hAnsi="Century Gothic"/>
        </w:rPr>
        <w:t xml:space="preserve">mesures </w:t>
      </w:r>
      <w:r w:rsidRPr="00990089">
        <w:rPr>
          <w:rStyle w:val="hps"/>
          <w:rFonts w:ascii="Century Gothic" w:hAnsi="Century Gothic"/>
        </w:rPr>
        <w:t xml:space="preserve">le gouvernement compte-t-il prendre pour d’une part renforcer </w:t>
      </w:r>
      <w:r w:rsidR="00BC59B6" w:rsidRPr="00990089">
        <w:rPr>
          <w:rStyle w:val="hps"/>
          <w:rFonts w:ascii="Century Gothic" w:hAnsi="Century Gothic"/>
        </w:rPr>
        <w:t>la lutte contre l’impunité</w:t>
      </w:r>
      <w:r w:rsidRPr="00990089">
        <w:rPr>
          <w:rStyle w:val="hps"/>
          <w:rFonts w:ascii="Century Gothic" w:hAnsi="Century Gothic"/>
        </w:rPr>
        <w:t>, exiger l’exemplarité des responsables publics en la matière et garantir l’égalité de droits et de devoirs devant la loi/la justice ?</w:t>
      </w:r>
    </w:p>
    <w:p w14:paraId="2C54543A" w14:textId="77777777" w:rsidR="00EC3B03" w:rsidRPr="00535BBB" w:rsidRDefault="00EC3B03" w:rsidP="00591945">
      <w:pPr>
        <w:pStyle w:val="Grillemoyenne1-Accent21"/>
        <w:ind w:left="360"/>
        <w:jc w:val="both"/>
        <w:rPr>
          <w:rStyle w:val="hps"/>
          <w:rFonts w:ascii="Century Gothic" w:hAnsi="Century Gothic"/>
          <w:color w:val="5B9BD5"/>
          <w:szCs w:val="26"/>
        </w:rPr>
      </w:pPr>
    </w:p>
    <w:p w14:paraId="3A300638" w14:textId="77777777" w:rsidR="008214E1" w:rsidRPr="009D237A" w:rsidRDefault="00647A70" w:rsidP="00D060B8">
      <w:pPr>
        <w:pStyle w:val="Grillemoyenne1-Accent21"/>
        <w:numPr>
          <w:ilvl w:val="0"/>
          <w:numId w:val="35"/>
        </w:numPr>
        <w:spacing w:before="100" w:beforeAutospacing="1" w:after="100" w:afterAutospacing="1" w:line="240" w:lineRule="auto"/>
        <w:jc w:val="both"/>
        <w:outlineLvl w:val="0"/>
        <w:rPr>
          <w:rStyle w:val="hps"/>
          <w:rFonts w:ascii="Century Gothic" w:hAnsi="Century Gothic"/>
          <w:i/>
          <w:u w:val="single"/>
        </w:rPr>
      </w:pPr>
      <w:bookmarkStart w:id="7" w:name="_Toc426711283"/>
      <w:r w:rsidRPr="009D237A">
        <w:rPr>
          <w:rStyle w:val="hps"/>
          <w:rFonts w:ascii="Century Gothic" w:hAnsi="Century Gothic"/>
          <w:b/>
          <w:u w:val="single"/>
        </w:rPr>
        <w:t>L</w:t>
      </w:r>
      <w:r w:rsidR="003B53CD" w:rsidRPr="009D237A">
        <w:rPr>
          <w:rStyle w:val="hps"/>
          <w:rFonts w:ascii="Century Gothic" w:hAnsi="Century Gothic"/>
          <w:b/>
          <w:u w:val="single"/>
        </w:rPr>
        <w:t>'indépendance</w:t>
      </w:r>
      <w:r w:rsidR="00F722BA" w:rsidRPr="009D237A">
        <w:rPr>
          <w:rStyle w:val="hps"/>
          <w:rFonts w:ascii="Century Gothic" w:hAnsi="Century Gothic"/>
          <w:b/>
          <w:u w:val="single"/>
        </w:rPr>
        <w:t xml:space="preserve"> </w:t>
      </w:r>
      <w:r w:rsidR="003B53CD" w:rsidRPr="009D237A">
        <w:rPr>
          <w:rStyle w:val="hps"/>
          <w:rFonts w:ascii="Century Gothic" w:hAnsi="Century Gothic"/>
          <w:b/>
          <w:u w:val="single"/>
        </w:rPr>
        <w:t>du pouvoir judiciaire</w:t>
      </w:r>
      <w:r w:rsidR="00F722BA" w:rsidRPr="009D237A">
        <w:rPr>
          <w:rStyle w:val="hps"/>
          <w:rFonts w:ascii="Century Gothic" w:hAnsi="Century Gothic"/>
          <w:b/>
          <w:u w:val="single"/>
        </w:rPr>
        <w:t xml:space="preserve"> </w:t>
      </w:r>
      <w:r w:rsidR="003B53CD" w:rsidRPr="009D237A">
        <w:rPr>
          <w:rStyle w:val="hps"/>
          <w:rFonts w:ascii="Century Gothic" w:hAnsi="Century Gothic"/>
          <w:b/>
          <w:u w:val="single"/>
        </w:rPr>
        <w:t>et le droit à</w:t>
      </w:r>
      <w:r w:rsidR="00F722BA" w:rsidRPr="009D237A">
        <w:rPr>
          <w:rStyle w:val="hps"/>
          <w:rFonts w:ascii="Century Gothic" w:hAnsi="Century Gothic"/>
          <w:b/>
          <w:u w:val="single"/>
        </w:rPr>
        <w:t xml:space="preserve"> </w:t>
      </w:r>
      <w:r w:rsidR="003B53CD" w:rsidRPr="009D237A">
        <w:rPr>
          <w:rStyle w:val="hps"/>
          <w:rFonts w:ascii="Century Gothic" w:hAnsi="Century Gothic"/>
          <w:b/>
          <w:u w:val="single"/>
        </w:rPr>
        <w:t>un procès équitable</w:t>
      </w:r>
      <w:bookmarkEnd w:id="7"/>
    </w:p>
    <w:p w14:paraId="5F6B6151" w14:textId="77777777" w:rsidR="00C752EA" w:rsidRPr="009D237A" w:rsidRDefault="00C752EA" w:rsidP="009D237A">
      <w:pPr>
        <w:pStyle w:val="Grillemoyenne1-Accent21"/>
        <w:autoSpaceDE w:val="0"/>
        <w:autoSpaceDN w:val="0"/>
        <w:adjustRightInd w:val="0"/>
        <w:spacing w:before="100" w:beforeAutospacing="1" w:after="100" w:afterAutospacing="1" w:line="240" w:lineRule="auto"/>
        <w:ind w:left="0"/>
        <w:jc w:val="both"/>
        <w:rPr>
          <w:rFonts w:ascii="Century Gothic" w:hAnsi="Century Gothic"/>
          <w:b/>
        </w:rPr>
      </w:pPr>
    </w:p>
    <w:p w14:paraId="35814B80" w14:textId="77777777" w:rsidR="00197931" w:rsidRPr="009D237A" w:rsidRDefault="00197931" w:rsidP="00D060B8">
      <w:pPr>
        <w:pStyle w:val="Grillemoyenne1-Accent21"/>
        <w:numPr>
          <w:ilvl w:val="0"/>
          <w:numId w:val="7"/>
        </w:numPr>
        <w:autoSpaceDE w:val="0"/>
        <w:autoSpaceDN w:val="0"/>
        <w:adjustRightInd w:val="0"/>
        <w:spacing w:before="100" w:beforeAutospacing="1" w:after="100" w:afterAutospacing="1" w:line="240" w:lineRule="auto"/>
        <w:jc w:val="both"/>
        <w:rPr>
          <w:rFonts w:ascii="Century Gothic" w:hAnsi="Century Gothic"/>
          <w:b/>
        </w:rPr>
      </w:pPr>
      <w:r w:rsidRPr="009D237A">
        <w:rPr>
          <w:rFonts w:ascii="Century Gothic" w:hAnsi="Century Gothic"/>
          <w:b/>
          <w:color w:val="1A1A1A"/>
        </w:rPr>
        <w:t>Indépendance et impartialité du pouvoir judiciaire</w:t>
      </w:r>
      <w:r w:rsidR="007A2C17" w:rsidRPr="009D237A">
        <w:rPr>
          <w:rFonts w:ascii="Century Gothic" w:hAnsi="Century Gothic"/>
          <w:b/>
          <w:color w:val="1A1A1A"/>
        </w:rPr>
        <w:t xml:space="preserve"> et t</w:t>
      </w:r>
      <w:r w:rsidR="007A2C17" w:rsidRPr="009D237A">
        <w:rPr>
          <w:rFonts w:ascii="Century Gothic" w:hAnsi="Century Gothic"/>
          <w:b/>
        </w:rPr>
        <w:t>ransparence dans le fonctionnement des institutions publiques, y compris le pouvoir judiciaire</w:t>
      </w:r>
    </w:p>
    <w:p w14:paraId="3C3A36A1" w14:textId="77777777" w:rsidR="00780D3D" w:rsidRPr="009D237A" w:rsidRDefault="00503176" w:rsidP="009D237A">
      <w:pPr>
        <w:autoSpaceDE w:val="0"/>
        <w:autoSpaceDN w:val="0"/>
        <w:adjustRightInd w:val="0"/>
        <w:spacing w:after="0" w:line="240" w:lineRule="auto"/>
        <w:jc w:val="both"/>
        <w:rPr>
          <w:rFonts w:ascii="Century Gothic" w:hAnsi="Century Gothic"/>
        </w:rPr>
      </w:pPr>
      <w:r w:rsidRPr="009D237A">
        <w:rPr>
          <w:rFonts w:ascii="Century Gothic" w:hAnsi="Century Gothic"/>
        </w:rPr>
        <w:lastRenderedPageBreak/>
        <w:t>Il est acquis dans les textes</w:t>
      </w:r>
      <w:r w:rsidR="00AA3313" w:rsidRPr="009D237A">
        <w:rPr>
          <w:rFonts w:ascii="Century Gothic" w:hAnsi="Century Gothic"/>
        </w:rPr>
        <w:t>, notamment dans la Constitution</w:t>
      </w:r>
      <w:r w:rsidRPr="009D237A">
        <w:rPr>
          <w:rFonts w:ascii="Century Gothic" w:hAnsi="Century Gothic"/>
        </w:rPr>
        <w:t xml:space="preserve"> que le pouvoir judiciaire est indépendant</w:t>
      </w:r>
      <w:r w:rsidR="00780D3D" w:rsidRPr="009D237A">
        <w:rPr>
          <w:rStyle w:val="Marquenotebasdepage"/>
          <w:rFonts w:ascii="Century Gothic" w:hAnsi="Century Gothic"/>
        </w:rPr>
        <w:footnoteReference w:id="21"/>
      </w:r>
      <w:r w:rsidRPr="009D237A">
        <w:rPr>
          <w:rFonts w:ascii="Century Gothic" w:hAnsi="Century Gothic"/>
        </w:rPr>
        <w:t xml:space="preserve">. </w:t>
      </w:r>
      <w:r w:rsidR="00B23630" w:rsidRPr="009D237A">
        <w:rPr>
          <w:rFonts w:ascii="Century Gothic" w:hAnsi="Century Gothic"/>
        </w:rPr>
        <w:t xml:space="preserve">Selon KAMBOU </w:t>
      </w:r>
      <w:proofErr w:type="spellStart"/>
      <w:r w:rsidR="00B23630" w:rsidRPr="009D237A">
        <w:rPr>
          <w:rFonts w:ascii="Century Gothic" w:hAnsi="Century Gothic"/>
        </w:rPr>
        <w:t>Kassoum</w:t>
      </w:r>
      <w:proofErr w:type="spellEnd"/>
      <w:r w:rsidR="00B23630" w:rsidRPr="009D237A">
        <w:rPr>
          <w:rFonts w:ascii="Century Gothic" w:hAnsi="Century Gothic"/>
        </w:rPr>
        <w:t>, actuel Président du Conseil Constitutionnel, « </w:t>
      </w:r>
      <w:r w:rsidR="00AA3313" w:rsidRPr="009D237A">
        <w:rPr>
          <w:rFonts w:ascii="Century Gothic" w:hAnsi="Century Gothic"/>
          <w:i/>
        </w:rPr>
        <w:t xml:space="preserve">La Constitution a fait de la justice un pouvoir, en spécifiant en son article 124 que « le pouvoir judiciaire est confié aux juges ; il est exercé sur tout le territoire du Burkina Faso par les juridictions de l’ordre judiciaire et de l’ordre administratif déterminées par la loi </w:t>
      </w:r>
      <w:r w:rsidR="00AA3313" w:rsidRPr="009D237A">
        <w:rPr>
          <w:rFonts w:ascii="Century Gothic" w:hAnsi="Century Gothic"/>
        </w:rPr>
        <w:t xml:space="preserve">». Et l’article 125 précise que « </w:t>
      </w:r>
      <w:r w:rsidR="00AA3313" w:rsidRPr="009D237A">
        <w:rPr>
          <w:rFonts w:ascii="Century Gothic" w:hAnsi="Century Gothic"/>
          <w:i/>
        </w:rPr>
        <w:t>le pouvoir judiciaire est gardien des libertés individuelles et collectives. Il veille au respect des droits et libertés définis dans la présente Constitution</w:t>
      </w:r>
      <w:r w:rsidR="00AA3313" w:rsidRPr="009D237A">
        <w:rPr>
          <w:rFonts w:ascii="Century Gothic" w:hAnsi="Century Gothic"/>
        </w:rPr>
        <w:t xml:space="preserve"> ». Cela signifie que </w:t>
      </w:r>
      <w:r w:rsidR="00574980" w:rsidRPr="009D237A">
        <w:rPr>
          <w:rFonts w:ascii="Century Gothic" w:hAnsi="Century Gothic"/>
        </w:rPr>
        <w:t>l</w:t>
      </w:r>
      <w:r w:rsidR="00A2473C" w:rsidRPr="009D237A">
        <w:rPr>
          <w:rFonts w:ascii="Century Gothic" w:hAnsi="Century Gothic"/>
        </w:rPr>
        <w:t>e Constituant burkinabè</w:t>
      </w:r>
      <w:r w:rsidR="00FD71D0" w:rsidRPr="009D237A">
        <w:rPr>
          <w:rFonts w:ascii="Century Gothic" w:hAnsi="Century Gothic"/>
        </w:rPr>
        <w:t xml:space="preserve"> </w:t>
      </w:r>
      <w:r w:rsidR="00AA3313" w:rsidRPr="009D237A">
        <w:rPr>
          <w:rFonts w:ascii="Century Gothic" w:hAnsi="Century Gothic"/>
        </w:rPr>
        <w:t xml:space="preserve">a voulu faire du magistrat un personnage central dans un Etat de droit tel que proclamé dans son préambule. </w:t>
      </w:r>
      <w:r w:rsidR="00574980" w:rsidRPr="009D237A">
        <w:rPr>
          <w:rFonts w:ascii="Century Gothic" w:hAnsi="Century Gothic"/>
        </w:rPr>
        <w:t>P</w:t>
      </w:r>
      <w:r w:rsidR="00AA3313" w:rsidRPr="009D237A">
        <w:rPr>
          <w:rFonts w:ascii="Century Gothic" w:hAnsi="Century Gothic"/>
        </w:rPr>
        <w:t>our assurer cette mission, la Justice est un pouvoir</w:t>
      </w:r>
      <w:r w:rsidR="00FD71D0" w:rsidRPr="009D237A">
        <w:rPr>
          <w:rFonts w:ascii="Century Gothic" w:hAnsi="Century Gothic"/>
        </w:rPr>
        <w:t xml:space="preserve"> </w:t>
      </w:r>
      <w:r w:rsidR="00AA3313" w:rsidRPr="009D237A">
        <w:rPr>
          <w:rFonts w:ascii="Century Gothic" w:hAnsi="Century Gothic"/>
        </w:rPr>
        <w:t>comme l</w:t>
      </w:r>
      <w:r w:rsidR="007F0C9C" w:rsidRPr="009D237A">
        <w:rPr>
          <w:rFonts w:ascii="Century Gothic" w:hAnsi="Century Gothic"/>
        </w:rPr>
        <w:t>’</w:t>
      </w:r>
      <w:r w:rsidR="00AA3313" w:rsidRPr="009D237A">
        <w:rPr>
          <w:rFonts w:ascii="Century Gothic" w:hAnsi="Century Gothic"/>
        </w:rPr>
        <w:t xml:space="preserve">Exécutif et </w:t>
      </w:r>
      <w:r w:rsidR="007F0C9C" w:rsidRPr="009D237A">
        <w:rPr>
          <w:rFonts w:ascii="Century Gothic" w:hAnsi="Century Gothic"/>
        </w:rPr>
        <w:t xml:space="preserve">le </w:t>
      </w:r>
      <w:r w:rsidR="00AA3313" w:rsidRPr="009D237A">
        <w:rPr>
          <w:rFonts w:ascii="Century Gothic" w:hAnsi="Century Gothic"/>
        </w:rPr>
        <w:t>Législatif</w:t>
      </w:r>
      <w:r w:rsidR="00B23630" w:rsidRPr="009D237A">
        <w:rPr>
          <w:rStyle w:val="Marquenotebasdepage"/>
          <w:rFonts w:ascii="Century Gothic" w:hAnsi="Century Gothic"/>
          <w:lang w:eastAsia="fr-FR"/>
        </w:rPr>
        <w:footnoteReference w:id="22"/>
      </w:r>
      <w:r w:rsidR="00AA3313" w:rsidRPr="009D237A">
        <w:rPr>
          <w:rFonts w:ascii="Century Gothic" w:hAnsi="Century Gothic"/>
          <w:lang w:eastAsia="fr-FR"/>
        </w:rPr>
        <w:t xml:space="preserve">. </w:t>
      </w:r>
      <w:r w:rsidR="00EE18A6" w:rsidRPr="009D237A">
        <w:rPr>
          <w:rFonts w:ascii="Century Gothic" w:hAnsi="Century Gothic"/>
        </w:rPr>
        <w:t>En faisant donc de la justice un pouvoir à part, la</w:t>
      </w:r>
      <w:r w:rsidRPr="009D237A">
        <w:rPr>
          <w:rFonts w:ascii="Century Gothic" w:hAnsi="Century Gothic"/>
        </w:rPr>
        <w:t xml:space="preserve"> constitution </w:t>
      </w:r>
      <w:r w:rsidR="00EE18A6" w:rsidRPr="009D237A">
        <w:rPr>
          <w:rFonts w:ascii="Century Gothic" w:hAnsi="Century Gothic"/>
        </w:rPr>
        <w:t>a consacré</w:t>
      </w:r>
      <w:r w:rsidRPr="009D237A">
        <w:rPr>
          <w:rFonts w:ascii="Century Gothic" w:hAnsi="Century Gothic"/>
        </w:rPr>
        <w:t xml:space="preserve"> le principe de la séparation des pouvoirs et de l’indépendance du pouvoir judiciaire (Art. 129)</w:t>
      </w:r>
      <w:r w:rsidR="00DF66AD" w:rsidRPr="009D237A">
        <w:rPr>
          <w:rFonts w:ascii="Century Gothic" w:hAnsi="Century Gothic"/>
        </w:rPr>
        <w:t xml:space="preserve">. </w:t>
      </w:r>
      <w:r w:rsidR="00EE18A6" w:rsidRPr="009D237A">
        <w:rPr>
          <w:rFonts w:ascii="Century Gothic" w:hAnsi="Century Gothic"/>
        </w:rPr>
        <w:t>Et l</w:t>
      </w:r>
      <w:r w:rsidRPr="009D237A">
        <w:rPr>
          <w:rFonts w:ascii="Century Gothic" w:hAnsi="Century Gothic"/>
        </w:rPr>
        <w:t>e principe de l’inamovibilité des magistrats du siège (article 130 Constitution) vise à garantir l’indépendance de la justice</w:t>
      </w:r>
      <w:r w:rsidRPr="009D237A">
        <w:rPr>
          <w:rStyle w:val="Marquenotebasdepage"/>
          <w:rFonts w:ascii="Century Gothic" w:hAnsi="Century Gothic"/>
        </w:rPr>
        <w:footnoteReference w:id="23"/>
      </w:r>
      <w:r w:rsidRPr="009D237A">
        <w:rPr>
          <w:rFonts w:ascii="Century Gothic" w:hAnsi="Century Gothic"/>
        </w:rPr>
        <w:t xml:space="preserve">. Toutefois </w:t>
      </w:r>
      <w:r w:rsidR="00EE18A6" w:rsidRPr="009D237A">
        <w:rPr>
          <w:rFonts w:ascii="Century Gothic" w:hAnsi="Century Gothic"/>
        </w:rPr>
        <w:t xml:space="preserve">cette indépendance est mise à rude épreuve par d’autres dispositions notamment celles </w:t>
      </w:r>
      <w:r w:rsidRPr="009D237A">
        <w:rPr>
          <w:rFonts w:ascii="Century Gothic" w:hAnsi="Century Gothic"/>
        </w:rPr>
        <w:t xml:space="preserve">faisant du Président du </w:t>
      </w:r>
      <w:r w:rsidR="00BB3C23">
        <w:rPr>
          <w:rFonts w:ascii="Century Gothic" w:hAnsi="Century Gothic"/>
        </w:rPr>
        <w:t>Burkina</w:t>
      </w:r>
      <w:r w:rsidR="005F7E18">
        <w:rPr>
          <w:rFonts w:ascii="Century Gothic" w:hAnsi="Century Gothic"/>
        </w:rPr>
        <w:t xml:space="preserve"> </w:t>
      </w:r>
      <w:r w:rsidRPr="009D237A">
        <w:rPr>
          <w:rFonts w:ascii="Century Gothic" w:hAnsi="Century Gothic"/>
        </w:rPr>
        <w:t>Faso le garant de l'indépendance du pouvoir judiciaire et le Président du conseil supérieur de la magist</w:t>
      </w:r>
      <w:r w:rsidR="00EE18A6" w:rsidRPr="009D237A">
        <w:rPr>
          <w:rFonts w:ascii="Century Gothic" w:hAnsi="Century Gothic"/>
        </w:rPr>
        <w:t>rature (article 132)</w:t>
      </w:r>
      <w:r w:rsidRPr="009D237A">
        <w:rPr>
          <w:rStyle w:val="Marquenotebasdepage"/>
          <w:rFonts w:ascii="Century Gothic" w:hAnsi="Century Gothic"/>
        </w:rPr>
        <w:footnoteReference w:id="24"/>
      </w:r>
      <w:r w:rsidRPr="009D237A">
        <w:rPr>
          <w:rFonts w:ascii="Century Gothic" w:hAnsi="Century Gothic"/>
        </w:rPr>
        <w:t>.</w:t>
      </w:r>
    </w:p>
    <w:p w14:paraId="204EA31F" w14:textId="77777777" w:rsidR="00780D3D" w:rsidRPr="009D237A" w:rsidRDefault="00C41DE4" w:rsidP="009D237A">
      <w:pPr>
        <w:spacing w:line="240" w:lineRule="auto"/>
        <w:jc w:val="both"/>
        <w:rPr>
          <w:rFonts w:ascii="Century Gothic" w:hAnsi="Century Gothic"/>
        </w:rPr>
      </w:pPr>
      <w:r w:rsidRPr="009D237A">
        <w:rPr>
          <w:rFonts w:ascii="Century Gothic" w:hAnsi="Century Gothic"/>
        </w:rPr>
        <w:t xml:space="preserve">Dans le rapport relatif à l’état des lieux de la justice burkinabè (mars 2015), on aboutit à la conclusion que </w:t>
      </w:r>
      <w:r w:rsidR="00780D3D" w:rsidRPr="009D237A">
        <w:rPr>
          <w:rFonts w:ascii="Century Gothic" w:hAnsi="Century Gothic"/>
        </w:rPr>
        <w:t>« </w:t>
      </w:r>
      <w:r w:rsidR="002F0E4D" w:rsidRPr="009D237A">
        <w:rPr>
          <w:rFonts w:ascii="Century Gothic" w:hAnsi="Century Gothic"/>
          <w:i/>
        </w:rPr>
        <w:t>Les réflexions engagées au Burkina Faso, depuis plusieurs années, sur cette question essentielle de l’indépendance du pouvoir judiciaire permettent d'affirmer que si l’indépendance est proclamée et ses conditions d’exercice définies, cette indépendance n’est pas acquise</w:t>
      </w:r>
      <w:r w:rsidR="00FD71D0" w:rsidRPr="009D237A">
        <w:rPr>
          <w:rFonts w:ascii="Century Gothic" w:hAnsi="Century Gothic"/>
          <w:i/>
        </w:rPr>
        <w:t xml:space="preserve"> </w:t>
      </w:r>
      <w:r w:rsidR="002F0E4D" w:rsidRPr="009D237A">
        <w:rPr>
          <w:rFonts w:ascii="Century Gothic" w:hAnsi="Century Gothic"/>
          <w:i/>
        </w:rPr>
        <w:t>non seulement par les textes mais aussi la pratique. En effet, la réalité de l’indépendance du pouvoir judiciaire est ouvertement mise en doute par les acteurs judiciaires mais aussi par les organisations de la société civile. </w:t>
      </w:r>
      <w:r w:rsidR="00780D3D" w:rsidRPr="009D237A">
        <w:rPr>
          <w:rFonts w:ascii="Century Gothic" w:hAnsi="Century Gothic"/>
        </w:rPr>
        <w:t>»</w:t>
      </w:r>
    </w:p>
    <w:p w14:paraId="03D48D92" w14:textId="77777777" w:rsidR="00856D3E" w:rsidRPr="009D237A" w:rsidRDefault="00EE18A6" w:rsidP="009D237A">
      <w:pPr>
        <w:autoSpaceDE w:val="0"/>
        <w:autoSpaceDN w:val="0"/>
        <w:adjustRightInd w:val="0"/>
        <w:spacing w:after="0" w:line="240" w:lineRule="auto"/>
        <w:jc w:val="both"/>
        <w:rPr>
          <w:rFonts w:ascii="Century Gothic" w:hAnsi="Century Gothic"/>
        </w:rPr>
      </w:pPr>
      <w:r w:rsidRPr="009D237A">
        <w:rPr>
          <w:rFonts w:ascii="Century Gothic" w:hAnsi="Century Gothic"/>
        </w:rPr>
        <w:t xml:space="preserve">Dans les faits, cette indépendance vis-à-vis de l’Exécutif est bien souvent malmenée et l’impartialité du pouvoir judiciaire semble être davantage une vue de l’esprit aux yeux des citoyens. </w:t>
      </w:r>
      <w:r w:rsidR="00856D3E" w:rsidRPr="009D237A">
        <w:rPr>
          <w:rFonts w:ascii="Century Gothic" w:hAnsi="Century Gothic"/>
        </w:rPr>
        <w:t>Dans son exposé lors de la rencontre préparatoire des OSC aux états généraux de la justice, Me Guy Hervé KAM</w:t>
      </w:r>
      <w:r w:rsidR="00451CD7" w:rsidRPr="009D237A">
        <w:rPr>
          <w:rStyle w:val="Marquenotebasdepage"/>
          <w:rFonts w:ascii="Century Gothic" w:hAnsi="Century Gothic"/>
        </w:rPr>
        <w:footnoteReference w:id="25"/>
      </w:r>
      <w:r w:rsidR="00856D3E" w:rsidRPr="009D237A">
        <w:rPr>
          <w:rFonts w:ascii="Century Gothic" w:hAnsi="Century Gothic"/>
        </w:rPr>
        <w:t xml:space="preserve"> relevait que l’indépendance de la justice était controversée et </w:t>
      </w:r>
      <w:r w:rsidR="00F435D4" w:rsidRPr="009D237A">
        <w:rPr>
          <w:rFonts w:ascii="Century Gothic" w:hAnsi="Century Gothic"/>
        </w:rPr>
        <w:t xml:space="preserve">que </w:t>
      </w:r>
      <w:r w:rsidR="00856D3E" w:rsidRPr="009D237A">
        <w:rPr>
          <w:rFonts w:ascii="Century Gothic" w:hAnsi="Century Gothic"/>
        </w:rPr>
        <w:t xml:space="preserve">les problèmes suivants </w:t>
      </w:r>
      <w:r w:rsidR="00F435D4" w:rsidRPr="009D237A">
        <w:rPr>
          <w:rFonts w:ascii="Century Gothic" w:hAnsi="Century Gothic"/>
        </w:rPr>
        <w:t xml:space="preserve">y étaient </w:t>
      </w:r>
      <w:r w:rsidR="001B2451" w:rsidRPr="009D237A">
        <w:rPr>
          <w:rFonts w:ascii="Century Gothic" w:hAnsi="Century Gothic"/>
        </w:rPr>
        <w:t>récurrents :</w:t>
      </w:r>
    </w:p>
    <w:p w14:paraId="0C47BB16" w14:textId="77777777" w:rsidR="00856D3E" w:rsidRPr="009D237A" w:rsidRDefault="00856D3E" w:rsidP="00D060B8">
      <w:pPr>
        <w:pStyle w:val="Listecouleur-Accent11"/>
        <w:numPr>
          <w:ilvl w:val="0"/>
          <w:numId w:val="16"/>
        </w:numPr>
        <w:spacing w:after="0" w:line="240" w:lineRule="auto"/>
        <w:contextualSpacing/>
        <w:jc w:val="both"/>
        <w:rPr>
          <w:rFonts w:ascii="Century Gothic" w:hAnsi="Century Gothic"/>
        </w:rPr>
      </w:pPr>
      <w:r w:rsidRPr="009D237A">
        <w:rPr>
          <w:rFonts w:ascii="Century Gothic" w:hAnsi="Century Gothic"/>
        </w:rPr>
        <w:t>« si l’inamovibilité est consacrée, elle ne concerne que les magistrats de siège. En outre, les magistrats sont, en pratique, nommés aux postes qu’ils occupent en dernière analyse par l’exécutif ;</w:t>
      </w:r>
    </w:p>
    <w:p w14:paraId="36E0F271" w14:textId="77777777" w:rsidR="00856D3E" w:rsidRPr="009D237A" w:rsidRDefault="00856D3E" w:rsidP="00D060B8">
      <w:pPr>
        <w:pStyle w:val="Listecouleur-Accent11"/>
        <w:numPr>
          <w:ilvl w:val="0"/>
          <w:numId w:val="16"/>
        </w:numPr>
        <w:spacing w:after="0" w:line="240" w:lineRule="auto"/>
        <w:contextualSpacing/>
        <w:jc w:val="both"/>
        <w:rPr>
          <w:rFonts w:ascii="Century Gothic" w:hAnsi="Century Gothic"/>
        </w:rPr>
      </w:pPr>
      <w:r w:rsidRPr="009D237A">
        <w:rPr>
          <w:rFonts w:ascii="Century Gothic" w:hAnsi="Century Gothic"/>
        </w:rPr>
        <w:t>si l’avancement en échelon est automatique et dépend de l’ancienneté, l’avancement en grade</w:t>
      </w:r>
      <w:r w:rsidR="00A65979" w:rsidRPr="009D237A">
        <w:rPr>
          <w:rFonts w:ascii="Century Gothic" w:hAnsi="Century Gothic"/>
        </w:rPr>
        <w:t xml:space="preserve"> est soumis à l’appréciation du</w:t>
      </w:r>
      <w:r w:rsidRPr="009D237A">
        <w:rPr>
          <w:rFonts w:ascii="Century Gothic" w:hAnsi="Century Gothic"/>
        </w:rPr>
        <w:t xml:space="preserve"> ministre de la justice qui détermine discrétionnairement le nombre de magistrats susceptible d’être inscrit annuellement sur le tableau d’avancement.</w:t>
      </w:r>
    </w:p>
    <w:p w14:paraId="6EC19C69" w14:textId="77777777" w:rsidR="00856D3E" w:rsidRPr="009D237A" w:rsidRDefault="00856D3E" w:rsidP="00D060B8">
      <w:pPr>
        <w:pStyle w:val="Listecouleur-Accent11"/>
        <w:numPr>
          <w:ilvl w:val="0"/>
          <w:numId w:val="16"/>
        </w:numPr>
        <w:spacing w:after="0" w:line="240" w:lineRule="auto"/>
        <w:contextualSpacing/>
        <w:jc w:val="both"/>
        <w:rPr>
          <w:rFonts w:ascii="Century Gothic" w:hAnsi="Century Gothic"/>
        </w:rPr>
      </w:pPr>
      <w:r w:rsidRPr="009D237A">
        <w:rPr>
          <w:rFonts w:ascii="Century Gothic" w:hAnsi="Century Gothic"/>
        </w:rPr>
        <w:lastRenderedPageBreak/>
        <w:t>si les magistrats du siège sont soumis à un contrôle disciplinaire du Conseil supérieur de la magistrature et sont donc relativement à l’abri du pouvoir exécutif, les magistrats du parquet sont subordonnés au contrôle disciplinaire du ministère de la justice ;</w:t>
      </w:r>
    </w:p>
    <w:p w14:paraId="149A4D4D" w14:textId="77777777" w:rsidR="00856D3E" w:rsidRPr="009D237A" w:rsidRDefault="00856D3E" w:rsidP="00D060B8">
      <w:pPr>
        <w:pStyle w:val="Listecouleur-Accent11"/>
        <w:numPr>
          <w:ilvl w:val="0"/>
          <w:numId w:val="16"/>
        </w:numPr>
        <w:spacing w:after="0" w:line="240" w:lineRule="auto"/>
        <w:contextualSpacing/>
        <w:jc w:val="both"/>
        <w:rPr>
          <w:rFonts w:ascii="Century Gothic" w:hAnsi="Century Gothic"/>
        </w:rPr>
      </w:pPr>
      <w:r w:rsidRPr="009D237A">
        <w:rPr>
          <w:rFonts w:ascii="Century Gothic" w:hAnsi="Century Gothic"/>
        </w:rPr>
        <w:t>si le pouvoir hiérarchique n’existe pas à l’égard des magistrats de siège qui exercent librement leurs fonctions dans les limites posées par la loi, il est la règle pour les magistrats du parquet qui reçoivent des instructions de leur hiérarchie.</w:t>
      </w:r>
    </w:p>
    <w:p w14:paraId="7E943ED6" w14:textId="77777777" w:rsidR="00856D3E" w:rsidRPr="009D237A" w:rsidRDefault="00856D3E" w:rsidP="00D060B8">
      <w:pPr>
        <w:pStyle w:val="Listecouleur-Accent11"/>
        <w:numPr>
          <w:ilvl w:val="0"/>
          <w:numId w:val="16"/>
        </w:numPr>
        <w:spacing w:after="0" w:line="240" w:lineRule="auto"/>
        <w:contextualSpacing/>
        <w:jc w:val="both"/>
        <w:rPr>
          <w:rFonts w:ascii="Century Gothic" w:hAnsi="Century Gothic"/>
        </w:rPr>
      </w:pPr>
      <w:r w:rsidRPr="009D237A">
        <w:rPr>
          <w:rFonts w:ascii="Century Gothic" w:hAnsi="Century Gothic"/>
        </w:rPr>
        <w:t xml:space="preserve">concernant l’obligation de réserve, le syndicalisme est permis dans la magistrature et la politique est interdite, ce qui est un bon équilibre. Cependant, les dispositions légales encadrant l’activité politique des magistrats comportent des lacunes et surtout elles ne sont pas appliquées dans la pratique ; </w:t>
      </w:r>
    </w:p>
    <w:p w14:paraId="183B9CF8" w14:textId="77777777" w:rsidR="00C52459" w:rsidRDefault="00856D3E" w:rsidP="00D060B8">
      <w:pPr>
        <w:pStyle w:val="Listecouleur-Accent11"/>
        <w:numPr>
          <w:ilvl w:val="0"/>
          <w:numId w:val="16"/>
        </w:numPr>
        <w:spacing w:after="0" w:line="240" w:lineRule="auto"/>
        <w:contextualSpacing/>
        <w:jc w:val="both"/>
      </w:pPr>
      <w:r w:rsidRPr="009D237A">
        <w:rPr>
          <w:rFonts w:ascii="Century Gothic" w:hAnsi="Century Gothic"/>
        </w:rPr>
        <w:t xml:space="preserve">le Conseil supérieur de la magistrature est présidé par l’exécutif (le Président du </w:t>
      </w:r>
      <w:r w:rsidR="005F7E18">
        <w:rPr>
          <w:rFonts w:ascii="Century Gothic" w:hAnsi="Century Gothic"/>
        </w:rPr>
        <w:t xml:space="preserve">Burkina </w:t>
      </w:r>
      <w:r w:rsidRPr="009D237A">
        <w:rPr>
          <w:rFonts w:ascii="Century Gothic" w:hAnsi="Century Gothic"/>
        </w:rPr>
        <w:t>Fa</w:t>
      </w:r>
      <w:r w:rsidR="009A3BF5" w:rsidRPr="009D237A">
        <w:rPr>
          <w:rFonts w:ascii="Century Gothic" w:hAnsi="Century Gothic"/>
        </w:rPr>
        <w:t>so comme président et le minist</w:t>
      </w:r>
      <w:r w:rsidRPr="009D237A">
        <w:rPr>
          <w:rFonts w:ascii="Century Gothic" w:hAnsi="Century Gothic"/>
        </w:rPr>
        <w:t>re de la justice comme vice-président). En outre, le nombre de membres élus est égal, voir inférieur, au nombre des membres nommés ou de droit alors que les standards internationaux en la matière voudrait que les membres élus soient supérieurs aux membres non élus. »</w:t>
      </w:r>
      <w:r w:rsidR="00A65979" w:rsidRPr="009D237A">
        <w:rPr>
          <w:rFonts w:ascii="Century Gothic" w:hAnsi="Century Gothic"/>
        </w:rPr>
        <w:t xml:space="preserve"> Cf. Rapport de la rencontre des OSC.</w:t>
      </w:r>
    </w:p>
    <w:p w14:paraId="42018812" w14:textId="77777777" w:rsidR="009D237A" w:rsidRDefault="009D237A" w:rsidP="00A65979">
      <w:pPr>
        <w:autoSpaceDE w:val="0"/>
        <w:autoSpaceDN w:val="0"/>
        <w:adjustRightInd w:val="0"/>
        <w:spacing w:after="0"/>
        <w:jc w:val="both"/>
        <w:rPr>
          <w:rFonts w:ascii="Century Gothic" w:hAnsi="Century Gothic"/>
          <w:sz w:val="24"/>
        </w:rPr>
      </w:pPr>
    </w:p>
    <w:p w14:paraId="4FCDFA4C"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EXTRAIT DU RAPPORT DE SYNTHESE DES ETATS GENERAUX</w:t>
      </w:r>
    </w:p>
    <w:p w14:paraId="2C0814B2"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Le rapport Synthèse général des états généraux de la justice abonde dans le même sens en relevant que : « Les critiques formulées relatives à l'indépendance portent surtout sur la trop forte dépendance du pouvoir judiciaire par rapport au pouvoir exécutif. Ce qui est mis en avant, en premier lieu, par les acteurs pour expliquer ce manque d’indépendance, c’est le statut du Conseil supérieur de la magistrature (CSM) qui a des attributions en matière de nomination et de discipline ainsi que les prérogatives exorbitantes du Ministre de la Justice. En effet, présidé par le Président du Faso, le CSM demeure rattaché au pouvoir exécutif et contrôlé par lui. Le Président du Faso et/ou le Ministre de la Justice détiennent le pouvoir de convoquer les réunions et de fixer l’ordre du jour. Par ailleurs, si les décisions sont prises et avis arrêtés à la majorité des voix, en cas de partage des voix, celle du Président est prépondérante. Mais plus grave, le Ministre de la Justice dispose de pouvoirs exorbitants en matière d'avancements, de notations et de discipline. Ainsi:</w:t>
      </w:r>
    </w:p>
    <w:p w14:paraId="4D0EB765"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w:t>
      </w:r>
      <w:r w:rsidRPr="009D237A">
        <w:rPr>
          <w:rFonts w:ascii="Century Gothic" w:hAnsi="Century Gothic"/>
          <w:sz w:val="20"/>
          <w:szCs w:val="20"/>
        </w:rPr>
        <w:tab/>
        <w:t>il est à l’origine des propositions de nominations des magistrats à toutes les fonctions juridictionnelles et de l’administration centrale de la justice excepté les premiers présidents des Cours d’appel et les magistrats des hautes juridictions. Ainsi, il propose sans avis du CSM à la nomination aux fonctions de parquet et avec avis du CSM à la nomination des autres magistrats du siège (juges, juges d’instruction, président de tribunal) ;</w:t>
      </w:r>
    </w:p>
    <w:p w14:paraId="489E8983"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w:t>
      </w:r>
      <w:r w:rsidRPr="009D237A">
        <w:rPr>
          <w:rFonts w:ascii="Century Gothic" w:hAnsi="Century Gothic"/>
          <w:sz w:val="20"/>
          <w:szCs w:val="20"/>
        </w:rPr>
        <w:tab/>
        <w:t>il apprécie et attribue la note chiffrée à l’ensemble des magistrats du Burkina Faso qui sont candidats pour le passage à un grade supérieur et a le pouvoir de fixer par arrêté le nombre de magistrats susceptibles de passer audit grade supérieur. Il se dégage alors une suspicion permanente sur un système qui permettrait au Ministre de la Justice de noter sur des critères non objectifs et ainsi de favoriser des magistrats considérés comme « acquis » ou « proches » ou tout simplement mieux connus de la chancellerie ;</w:t>
      </w:r>
    </w:p>
    <w:p w14:paraId="050E4F0B"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w:t>
      </w:r>
      <w:r w:rsidRPr="009D237A">
        <w:rPr>
          <w:rFonts w:ascii="Century Gothic" w:hAnsi="Century Gothic"/>
          <w:sz w:val="20"/>
          <w:szCs w:val="20"/>
        </w:rPr>
        <w:tab/>
        <w:t xml:space="preserve">il est la seule autorité investie du pouvoir de saisir le conseil de discipline des magistrats. L'inutilisation de cette prérogative par le Ministre favorise le maintien à leur poste de magistrats dont le comportement n'est pas compatible avec le serment qu'ils ont prêté. </w:t>
      </w:r>
    </w:p>
    <w:p w14:paraId="10FB146B"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 xml:space="preserve">La gestion des carrières des magistrats est perçue comme trop dépendante de l’exécutif et trop aléatoire. Le pouvoir exécutif utilise la notion d'affectations pour nécessité de service" pour vider le principe de l’inamovibilité du magistrat du siège de tout son sens. Le recours aux « nécessités de service » apparaît abusif et excessif.  Abusif comme permettant de </w:t>
      </w:r>
      <w:r w:rsidRPr="009D237A">
        <w:rPr>
          <w:rFonts w:ascii="Century Gothic" w:hAnsi="Century Gothic"/>
          <w:sz w:val="20"/>
          <w:szCs w:val="20"/>
        </w:rPr>
        <w:lastRenderedPageBreak/>
        <w:t xml:space="preserve">justifier des déplacements de magistrats basés sur des considérations subjectives et/ou politiques. Excessif dès lors que la clause de « nécessités de service » pourtant exceptionnelle est largement utilisée. L’indépendance de la magistrature est contrariée également par les prérogatives exorbitantes, au profit du ministre de la justice relativement à la conduite de l’action publique. En effet, la hiérarchie exercée par le ministre de la justice sur les magistrats du parquet est exercée avec beaucoup d’excès mettant en péril la mise en mouvement de l’action publique notamment dans des dossiers impliquant des personnalités politiques, du milieu des affaires ou autres.   La subordination hiérarchique du parquet marque l’ingérence de l’exécutif dans </w:t>
      </w:r>
      <w:proofErr w:type="gramStart"/>
      <w:r w:rsidRPr="009D237A">
        <w:rPr>
          <w:rFonts w:ascii="Century Gothic" w:hAnsi="Century Gothic"/>
          <w:sz w:val="20"/>
          <w:szCs w:val="20"/>
        </w:rPr>
        <w:t>le</w:t>
      </w:r>
      <w:proofErr w:type="gramEnd"/>
      <w:r w:rsidRPr="009D237A">
        <w:rPr>
          <w:rFonts w:ascii="Century Gothic" w:hAnsi="Century Gothic"/>
          <w:sz w:val="20"/>
          <w:szCs w:val="20"/>
        </w:rPr>
        <w:t xml:space="preserve"> judiciaire et accentue l’impunité notamment des crimes économiques et des crimes de sang impliquant les animateurs du pouvoir politique ou leurs alliés. Le diagnostic général fait ressortir que le fonctionnement de la justice pénale en particulier ne présente pas toutes les garanties pour s’assurer du respect des droits humains et le diagnostic fait par les OSC en particulier à l’occasion des États généraux de la justice est très indicatif de la perception que l’opinion publique burkinabè a de sa justice. Il ressort du rapport synthèse des états généraux de la justice que la justice « est perçue comme partiale et, au total, fortement décriée car soupçonnée, parfois à raison, de corruption et d’interférences diverses qui entrainent l’impunité. »Il ressort par ailleurs que la surveillance et le contrôle de la police judiciaire, pourtant prévues par le code de procédure pénale, échappent largement au pouvoir judiciaire, toute chose qui facilite l’interférence du pouvoir exécutif dans l'activité de police judiciaire des officiers de police judiciaire, et favorise les violations des droits humains pendant la phase d’enquête.</w:t>
      </w:r>
    </w:p>
    <w:p w14:paraId="0B4B01ED"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L’indépendance et l’impartialité de la justice sont aussi mises à rude épreuve par la politisation excessive de la justice. Le rapport de Synthèse mentionné plus haut souligne que si les textes ne garantissent pas suffisamment actuellement l’indépendance du magistrat, l’impartialité des magistrats est également contrariée par d’autres facteurs :</w:t>
      </w:r>
    </w:p>
    <w:p w14:paraId="57958549"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 La magistrature est ainsi dénoncée comme trop fortement politisée pour être impartiale. En effet, bien que la politisation du corps soit proscrite en application du principe de l’obligation de réserve et des incompatibilités qui sont prévues par la loi, la politisation du corps des magistrats est unanimement reconnue par tous. La politisation de la magistrature est facilitée par la gestion de la carrière des magistrats qui demeure trop dépendante de l’exécutif.</w:t>
      </w:r>
    </w:p>
    <w:p w14:paraId="1E273776"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 xml:space="preserve"> Il est reproché aussi parfois aux syndicats de la magistrature de jouer un jeu politique pour influencer les nominations des magistrats et l’élection des membres élus du Conseil supérieur de la Magistrature. Selon les témoignages recueillis, la carrière des magistrats dépendrait largement de l’affiliation ou non à un syndicat ou à tel ou tel syndicat. Ce qui aurait pour conséquence de démotiver de nombreux magistrats et plus, d'inciter certains d’entre eux à chercher à quitter le corps ou à exercer d’autres fonctions dans le cadre d'un détachement dans d'autres ministères. </w:t>
      </w:r>
    </w:p>
    <w:p w14:paraId="61875998"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 xml:space="preserve">Mais sont également dénoncées d'autres interférences : il s'agit des pressions auxquelles sont soumis les magistrats eux-mêmes à raison de leur insertion dans le milieu socioculturel dans lequel ils évoluent. Autant de critiques qui favorisent la remise en cause même de la décision de justice, de son impartialité. </w:t>
      </w:r>
    </w:p>
    <w:p w14:paraId="2085111C" w14:textId="77777777" w:rsidR="009D237A" w:rsidRPr="009D237A" w:rsidRDefault="009D237A" w:rsidP="009D237A">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Century Gothic" w:hAnsi="Century Gothic"/>
          <w:sz w:val="20"/>
          <w:szCs w:val="20"/>
        </w:rPr>
      </w:pPr>
      <w:r w:rsidRPr="009D237A">
        <w:rPr>
          <w:rFonts w:ascii="Century Gothic" w:hAnsi="Century Gothic"/>
          <w:sz w:val="20"/>
          <w:szCs w:val="20"/>
        </w:rPr>
        <w:t>Le diagnostic révèle une certaine hypocrisie de tous les acteurs par rapport à l’indépendance de la justice. En effet, des hommes politiques aux simples gens en passant par les opérateurs économiques, les magistrats eux-mêmes, les autres acteurs de la justice, personne n’accepte que le juge exerce sa mission en toute indépendance et en toute impartialité lorsque celui-ci traite un dossier les concernant ou concernant des proches, alliés ou connaissances. Les interventions auprès du juge viennent donc de toute part même si l’influence de l’exécutif reste la plus prépondérante.»</w:t>
      </w:r>
    </w:p>
    <w:p w14:paraId="2BEE2070" w14:textId="77777777" w:rsidR="00CC5612" w:rsidRDefault="00CC5612" w:rsidP="00780D3D">
      <w:pPr>
        <w:autoSpaceDE w:val="0"/>
        <w:autoSpaceDN w:val="0"/>
        <w:adjustRightInd w:val="0"/>
        <w:spacing w:after="0"/>
        <w:jc w:val="both"/>
        <w:rPr>
          <w:rFonts w:ascii="Century Gothic" w:hAnsi="Century Gothic"/>
          <w:sz w:val="24"/>
        </w:rPr>
      </w:pPr>
    </w:p>
    <w:p w14:paraId="5C6BE20D" w14:textId="77777777" w:rsidR="00D47373" w:rsidRPr="00535BBB" w:rsidRDefault="00D47373" w:rsidP="00780D3D">
      <w:pPr>
        <w:autoSpaceDE w:val="0"/>
        <w:autoSpaceDN w:val="0"/>
        <w:adjustRightInd w:val="0"/>
        <w:spacing w:after="0"/>
        <w:jc w:val="both"/>
        <w:rPr>
          <w:rFonts w:ascii="Century Gothic" w:hAnsi="Century Gothic"/>
          <w:sz w:val="24"/>
        </w:rPr>
      </w:pPr>
    </w:p>
    <w:p w14:paraId="695F242E" w14:textId="77777777" w:rsidR="0087038C" w:rsidRPr="00535BBB" w:rsidRDefault="0087038C" w:rsidP="005E766C">
      <w:pPr>
        <w:pStyle w:val="Listecouleur-Accent11"/>
        <w:pBdr>
          <w:top w:val="single" w:sz="4" w:space="1" w:color="auto"/>
          <w:left w:val="single" w:sz="4" w:space="4" w:color="auto"/>
          <w:bottom w:val="single" w:sz="4" w:space="1" w:color="auto"/>
          <w:right w:val="single" w:sz="4" w:space="4" w:color="auto"/>
        </w:pBdr>
        <w:shd w:val="clear" w:color="auto" w:fill="E7E6E6"/>
        <w:spacing w:after="0"/>
        <w:ind w:left="0"/>
        <w:contextualSpacing/>
        <w:jc w:val="center"/>
        <w:rPr>
          <w:rFonts w:ascii="Century Gothic" w:hAnsi="Century Gothic"/>
          <w:b/>
          <w:sz w:val="20"/>
          <w:szCs w:val="20"/>
        </w:rPr>
      </w:pPr>
      <w:r w:rsidRPr="00535BBB">
        <w:rPr>
          <w:rFonts w:ascii="Century Gothic" w:hAnsi="Century Gothic"/>
          <w:b/>
          <w:sz w:val="20"/>
          <w:szCs w:val="20"/>
        </w:rPr>
        <w:lastRenderedPageBreak/>
        <w:t>Du diagnostic des organisations de la société civile il ressort que :</w:t>
      </w:r>
    </w:p>
    <w:p w14:paraId="01FBDB19" w14:textId="77777777" w:rsidR="00043BB2" w:rsidRPr="00535BBB" w:rsidRDefault="0087038C" w:rsidP="00967215">
      <w:pPr>
        <w:pStyle w:val="Listecouleur-Accent11"/>
        <w:pBdr>
          <w:top w:val="single" w:sz="4" w:space="1" w:color="auto"/>
          <w:left w:val="single" w:sz="4" w:space="4" w:color="auto"/>
          <w:bottom w:val="single" w:sz="4" w:space="1" w:color="auto"/>
          <w:right w:val="single" w:sz="4" w:space="4" w:color="auto"/>
        </w:pBdr>
        <w:shd w:val="clear" w:color="auto" w:fill="E7E6E6"/>
        <w:spacing w:after="0"/>
        <w:ind w:left="0"/>
        <w:contextualSpacing/>
        <w:jc w:val="both"/>
        <w:rPr>
          <w:rFonts w:ascii="Century Gothic" w:hAnsi="Century Gothic"/>
          <w:sz w:val="20"/>
          <w:szCs w:val="20"/>
        </w:rPr>
      </w:pPr>
      <w:r w:rsidRPr="00535BBB">
        <w:rPr>
          <w:rFonts w:ascii="Century Gothic" w:hAnsi="Century Gothic"/>
          <w:b/>
          <w:sz w:val="20"/>
          <w:szCs w:val="20"/>
        </w:rPr>
        <w:t>1- S</w:t>
      </w:r>
      <w:r w:rsidR="00043BB2" w:rsidRPr="00535BBB">
        <w:rPr>
          <w:rFonts w:ascii="Century Gothic" w:hAnsi="Century Gothic"/>
          <w:b/>
          <w:sz w:val="20"/>
          <w:szCs w:val="20"/>
        </w:rPr>
        <w:t>’agissant des entraves à l’indépendance de la magistrature :</w:t>
      </w:r>
    </w:p>
    <w:p w14:paraId="3610EE27"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contextualSpacing/>
        <w:jc w:val="both"/>
        <w:rPr>
          <w:rFonts w:ascii="Century Gothic" w:hAnsi="Century Gothic"/>
          <w:sz w:val="20"/>
          <w:szCs w:val="20"/>
        </w:rPr>
      </w:pPr>
      <w:r w:rsidRPr="00535BBB">
        <w:rPr>
          <w:rFonts w:ascii="Century Gothic" w:hAnsi="Century Gothic"/>
          <w:sz w:val="20"/>
          <w:szCs w:val="20"/>
        </w:rPr>
        <w:t>l’existence de textes qui limitent l’indépendance de la magistrature, notamment ceux portant nomination ou affectation de magistrat pour nécessité de service ;</w:t>
      </w:r>
    </w:p>
    <w:p w14:paraId="428D1E1E"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contextualSpacing/>
        <w:jc w:val="both"/>
        <w:rPr>
          <w:rFonts w:ascii="Century Gothic" w:hAnsi="Century Gothic"/>
          <w:sz w:val="20"/>
          <w:szCs w:val="20"/>
        </w:rPr>
      </w:pPr>
      <w:r w:rsidRPr="00535BBB">
        <w:rPr>
          <w:rFonts w:ascii="Century Gothic" w:hAnsi="Century Gothic"/>
          <w:sz w:val="20"/>
          <w:szCs w:val="20"/>
        </w:rPr>
        <w:t>l’immixtion de l’exécutif dans la carrière du juge, le manque de volonté politique pour définir une justice claire, la politisation de l’administration judiciaire ;</w:t>
      </w:r>
    </w:p>
    <w:p w14:paraId="3AC94E79"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contextualSpacing/>
        <w:jc w:val="both"/>
        <w:rPr>
          <w:rFonts w:ascii="Century Gothic" w:hAnsi="Century Gothic"/>
          <w:sz w:val="20"/>
          <w:szCs w:val="20"/>
        </w:rPr>
      </w:pPr>
      <w:r w:rsidRPr="00535BBB">
        <w:rPr>
          <w:rFonts w:ascii="Century Gothic" w:hAnsi="Century Gothic"/>
          <w:sz w:val="20"/>
          <w:szCs w:val="20"/>
        </w:rPr>
        <w:t xml:space="preserve">les pesanteurs </w:t>
      </w:r>
      <w:r w:rsidR="006B70C5" w:rsidRPr="00535BBB">
        <w:rPr>
          <w:rFonts w:ascii="Century Gothic" w:hAnsi="Century Gothic"/>
          <w:sz w:val="20"/>
          <w:szCs w:val="20"/>
        </w:rPr>
        <w:t>socioculturels</w:t>
      </w:r>
      <w:r w:rsidRPr="00535BBB">
        <w:rPr>
          <w:rFonts w:ascii="Century Gothic" w:hAnsi="Century Gothic"/>
          <w:sz w:val="20"/>
          <w:szCs w:val="20"/>
        </w:rPr>
        <w:t xml:space="preserve"> conduisant le justiciable à favoriser la corruption pour obtenir une décision de justice ;</w:t>
      </w:r>
    </w:p>
    <w:p w14:paraId="57D44F2C"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contextualSpacing/>
        <w:jc w:val="both"/>
        <w:rPr>
          <w:rFonts w:ascii="Century Gothic" w:hAnsi="Century Gothic"/>
          <w:sz w:val="20"/>
          <w:szCs w:val="20"/>
        </w:rPr>
      </w:pPr>
      <w:r w:rsidRPr="00535BBB">
        <w:rPr>
          <w:rFonts w:ascii="Century Gothic" w:hAnsi="Century Gothic"/>
          <w:sz w:val="20"/>
          <w:szCs w:val="20"/>
        </w:rPr>
        <w:t xml:space="preserve">le problème d’intégrité, de probité du juge, de corporatisme et de syndicalisme dévoyés qui </w:t>
      </w:r>
      <w:proofErr w:type="gramStart"/>
      <w:r w:rsidRPr="00535BBB">
        <w:rPr>
          <w:rFonts w:ascii="Century Gothic" w:hAnsi="Century Gothic"/>
          <w:sz w:val="20"/>
          <w:szCs w:val="20"/>
        </w:rPr>
        <w:t>freinent</w:t>
      </w:r>
      <w:proofErr w:type="gramEnd"/>
      <w:r w:rsidRPr="00535BBB">
        <w:rPr>
          <w:rFonts w:ascii="Century Gothic" w:hAnsi="Century Gothic"/>
          <w:sz w:val="20"/>
          <w:szCs w:val="20"/>
        </w:rPr>
        <w:t xml:space="preserve"> l’indépendance du juge ;</w:t>
      </w:r>
    </w:p>
    <w:p w14:paraId="06EE3550"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contextualSpacing/>
        <w:jc w:val="both"/>
        <w:rPr>
          <w:rFonts w:ascii="Century Gothic" w:hAnsi="Century Gothic"/>
          <w:sz w:val="20"/>
          <w:szCs w:val="20"/>
        </w:rPr>
      </w:pPr>
      <w:r w:rsidRPr="00535BBB">
        <w:rPr>
          <w:rFonts w:ascii="Century Gothic" w:hAnsi="Century Gothic"/>
          <w:sz w:val="20"/>
          <w:szCs w:val="20"/>
        </w:rPr>
        <w:t>la faiblesse des conditions économiques, notamment, le faible revenu du magistrat, les conditions difficiles de travail, le refus d’exécution des décisions impliquant l’appareil d’Etat.</w:t>
      </w:r>
    </w:p>
    <w:p w14:paraId="7B7FE7DF" w14:textId="77777777" w:rsidR="00043BB2" w:rsidRPr="00535BBB" w:rsidRDefault="0087038C" w:rsidP="00576C21">
      <w:pPr>
        <w:pStyle w:val="Listecouleur-Accent11"/>
        <w:pBdr>
          <w:top w:val="single" w:sz="4" w:space="1" w:color="auto"/>
          <w:left w:val="single" w:sz="4" w:space="4" w:color="auto"/>
          <w:bottom w:val="single" w:sz="4" w:space="1" w:color="auto"/>
          <w:right w:val="single" w:sz="4" w:space="4" w:color="auto"/>
        </w:pBdr>
        <w:shd w:val="clear" w:color="auto" w:fill="E7E6E6"/>
        <w:spacing w:before="100" w:beforeAutospacing="1" w:after="0"/>
        <w:ind w:left="0"/>
        <w:contextualSpacing/>
        <w:jc w:val="both"/>
        <w:rPr>
          <w:rFonts w:ascii="Century Gothic" w:hAnsi="Century Gothic"/>
          <w:b/>
          <w:sz w:val="20"/>
          <w:szCs w:val="20"/>
        </w:rPr>
      </w:pPr>
      <w:r w:rsidRPr="00535BBB">
        <w:rPr>
          <w:rFonts w:ascii="Century Gothic" w:hAnsi="Century Gothic"/>
          <w:b/>
          <w:sz w:val="20"/>
          <w:szCs w:val="20"/>
        </w:rPr>
        <w:t>2- S</w:t>
      </w:r>
      <w:r w:rsidR="00043BB2" w:rsidRPr="00535BBB">
        <w:rPr>
          <w:rFonts w:ascii="Century Gothic" w:hAnsi="Century Gothic"/>
          <w:b/>
          <w:sz w:val="20"/>
          <w:szCs w:val="20"/>
        </w:rPr>
        <w:t>’agissant le rapport entre les différents pouvoirs :</w:t>
      </w:r>
    </w:p>
    <w:p w14:paraId="74EF3D7C" w14:textId="77777777" w:rsidR="00043BB2" w:rsidRPr="00535BBB" w:rsidRDefault="0087038C"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contextualSpacing/>
        <w:jc w:val="both"/>
        <w:rPr>
          <w:rFonts w:ascii="Century Gothic" w:hAnsi="Century Gothic"/>
          <w:sz w:val="20"/>
          <w:szCs w:val="20"/>
        </w:rPr>
      </w:pPr>
      <w:r w:rsidRPr="00535BBB">
        <w:rPr>
          <w:rFonts w:ascii="Century Gothic" w:hAnsi="Century Gothic"/>
          <w:sz w:val="20"/>
          <w:szCs w:val="20"/>
        </w:rPr>
        <w:t>la hiérarchisation de fait</w:t>
      </w:r>
      <w:r w:rsidR="00043BB2" w:rsidRPr="00535BBB">
        <w:rPr>
          <w:rFonts w:ascii="Century Gothic" w:hAnsi="Century Gothic"/>
          <w:sz w:val="20"/>
          <w:szCs w:val="20"/>
        </w:rPr>
        <w:t xml:space="preserve"> des pouvoirs, le pouvoir judiciaire étant généralement considéré de fait comme le 3</w:t>
      </w:r>
      <w:r w:rsidR="00043BB2" w:rsidRPr="00535BBB">
        <w:rPr>
          <w:rFonts w:ascii="Century Gothic" w:hAnsi="Century Gothic"/>
          <w:sz w:val="20"/>
          <w:szCs w:val="20"/>
          <w:vertAlign w:val="superscript"/>
        </w:rPr>
        <w:t>ème</w:t>
      </w:r>
      <w:r w:rsidR="00043BB2" w:rsidRPr="00535BBB">
        <w:rPr>
          <w:rFonts w:ascii="Century Gothic" w:hAnsi="Century Gothic"/>
          <w:sz w:val="20"/>
          <w:szCs w:val="20"/>
        </w:rPr>
        <w:t xml:space="preserve"> pouvoir ;</w:t>
      </w:r>
    </w:p>
    <w:p w14:paraId="1916B868"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line="240" w:lineRule="auto"/>
        <w:contextualSpacing/>
        <w:jc w:val="both"/>
        <w:rPr>
          <w:rFonts w:ascii="Century Gothic" w:hAnsi="Century Gothic"/>
          <w:sz w:val="20"/>
          <w:szCs w:val="20"/>
        </w:rPr>
      </w:pPr>
      <w:r w:rsidRPr="00535BBB">
        <w:rPr>
          <w:rFonts w:ascii="Century Gothic" w:hAnsi="Century Gothic"/>
          <w:sz w:val="20"/>
          <w:szCs w:val="20"/>
        </w:rPr>
        <w:t>le défaut de textes pour protéger les magistrats chargés de l’application et de l’interprétation de la loi ;</w:t>
      </w:r>
    </w:p>
    <w:p w14:paraId="17AD3916"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line="240" w:lineRule="auto"/>
        <w:contextualSpacing/>
        <w:jc w:val="both"/>
        <w:rPr>
          <w:rFonts w:ascii="Century Gothic" w:hAnsi="Century Gothic"/>
          <w:sz w:val="20"/>
          <w:szCs w:val="20"/>
        </w:rPr>
      </w:pPr>
      <w:r w:rsidRPr="00535BBB">
        <w:rPr>
          <w:rFonts w:ascii="Century Gothic" w:hAnsi="Century Gothic"/>
          <w:sz w:val="20"/>
          <w:szCs w:val="20"/>
        </w:rPr>
        <w:t xml:space="preserve">le fait que la gestion des carrières des magistrats </w:t>
      </w:r>
      <w:proofErr w:type="gramStart"/>
      <w:r w:rsidRPr="00535BBB">
        <w:rPr>
          <w:rFonts w:ascii="Century Gothic" w:hAnsi="Century Gothic"/>
          <w:sz w:val="20"/>
          <w:szCs w:val="20"/>
        </w:rPr>
        <w:t>est</w:t>
      </w:r>
      <w:proofErr w:type="gramEnd"/>
      <w:r w:rsidRPr="00535BBB">
        <w:rPr>
          <w:rFonts w:ascii="Century Gothic" w:hAnsi="Century Gothic"/>
          <w:sz w:val="20"/>
          <w:szCs w:val="20"/>
        </w:rPr>
        <w:t xml:space="preserve"> confiée à l’exécutif ;</w:t>
      </w:r>
    </w:p>
    <w:p w14:paraId="6B73C985" w14:textId="77777777" w:rsidR="00043BB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0" w:line="240" w:lineRule="auto"/>
        <w:contextualSpacing/>
        <w:jc w:val="both"/>
        <w:rPr>
          <w:rFonts w:ascii="Century Gothic" w:hAnsi="Century Gothic"/>
          <w:sz w:val="20"/>
          <w:szCs w:val="20"/>
        </w:rPr>
      </w:pPr>
      <w:r w:rsidRPr="00535BBB">
        <w:rPr>
          <w:rFonts w:ascii="Century Gothic" w:hAnsi="Century Gothic"/>
          <w:sz w:val="20"/>
          <w:szCs w:val="20"/>
        </w:rPr>
        <w:t>l’existence de textes favorisant l’immixtion de l’exécutif dans la magistrature ;</w:t>
      </w:r>
    </w:p>
    <w:p w14:paraId="5406ECED" w14:textId="77777777" w:rsidR="00D91062" w:rsidRPr="00535BBB" w:rsidRDefault="00043BB2" w:rsidP="00D060B8">
      <w:pPr>
        <w:pStyle w:val="Listecouleur-Accent11"/>
        <w:numPr>
          <w:ilvl w:val="0"/>
          <w:numId w:val="17"/>
        </w:numPr>
        <w:pBdr>
          <w:top w:val="single" w:sz="4" w:space="1" w:color="auto"/>
          <w:left w:val="single" w:sz="4" w:space="4" w:color="auto"/>
          <w:bottom w:val="single" w:sz="4" w:space="1" w:color="auto"/>
          <w:right w:val="single" w:sz="4" w:space="4" w:color="auto"/>
        </w:pBdr>
        <w:shd w:val="clear" w:color="auto" w:fill="E7E6E6"/>
        <w:spacing w:after="100" w:afterAutospacing="1" w:line="240" w:lineRule="auto"/>
        <w:contextualSpacing/>
        <w:jc w:val="both"/>
        <w:rPr>
          <w:rFonts w:ascii="Century Gothic" w:hAnsi="Century Gothic"/>
          <w:sz w:val="20"/>
          <w:szCs w:val="20"/>
        </w:rPr>
      </w:pPr>
      <w:r w:rsidRPr="00535BBB">
        <w:rPr>
          <w:rFonts w:ascii="Century Gothic" w:hAnsi="Century Gothic"/>
          <w:sz w:val="20"/>
          <w:szCs w:val="20"/>
        </w:rPr>
        <w:t>le caractère non contraignant des décisions prises par le CSM.</w:t>
      </w:r>
    </w:p>
    <w:p w14:paraId="28BC1272" w14:textId="77777777" w:rsidR="00197931" w:rsidRPr="00C669D8" w:rsidRDefault="00197931" w:rsidP="00D060B8">
      <w:pPr>
        <w:pStyle w:val="Grillemoyenne1-Accent21"/>
        <w:numPr>
          <w:ilvl w:val="0"/>
          <w:numId w:val="7"/>
        </w:numPr>
        <w:autoSpaceDE w:val="0"/>
        <w:autoSpaceDN w:val="0"/>
        <w:adjustRightInd w:val="0"/>
        <w:spacing w:after="0" w:line="240" w:lineRule="auto"/>
        <w:jc w:val="both"/>
        <w:rPr>
          <w:rFonts w:ascii="Century Gothic" w:hAnsi="Century Gothic"/>
          <w:b/>
          <w:sz w:val="20"/>
          <w:szCs w:val="20"/>
        </w:rPr>
      </w:pPr>
      <w:r w:rsidRPr="00C669D8">
        <w:rPr>
          <w:rFonts w:ascii="Century Gothic" w:hAnsi="Century Gothic"/>
          <w:b/>
          <w:sz w:val="20"/>
          <w:szCs w:val="20"/>
        </w:rPr>
        <w:t>Poursuites et condamnations des membres du pouvoir judiciaire en cas de corruption ;</w:t>
      </w:r>
    </w:p>
    <w:p w14:paraId="521C6ACB" w14:textId="77777777" w:rsidR="008214E1" w:rsidRPr="00C669D8" w:rsidRDefault="001C3B8A" w:rsidP="00C669D8">
      <w:pPr>
        <w:autoSpaceDE w:val="0"/>
        <w:autoSpaceDN w:val="0"/>
        <w:adjustRightInd w:val="0"/>
        <w:spacing w:after="0" w:line="240" w:lineRule="auto"/>
        <w:jc w:val="both"/>
        <w:rPr>
          <w:rFonts w:ascii="Century Gothic" w:hAnsi="Century Gothic"/>
          <w:sz w:val="20"/>
          <w:szCs w:val="20"/>
        </w:rPr>
      </w:pPr>
      <w:r w:rsidRPr="00C669D8">
        <w:rPr>
          <w:rFonts w:ascii="Century Gothic" w:hAnsi="Century Gothic"/>
          <w:sz w:val="20"/>
          <w:szCs w:val="20"/>
        </w:rPr>
        <w:t xml:space="preserve">Le système judiciaire au Burkina-Faso est gangrené par le phénomène de la corruption au point où les justiciables en arrivent à penser qu’il est impossible d’obtenir une décision favorable sans paiement d’argent, trafic d’influence ou fourniture d’avantages quelconques. </w:t>
      </w:r>
    </w:p>
    <w:p w14:paraId="2739BD3F" w14:textId="77777777" w:rsidR="008214E1" w:rsidRPr="00535BBB" w:rsidRDefault="008214E1" w:rsidP="00A403C4">
      <w:pPr>
        <w:autoSpaceDE w:val="0"/>
        <w:autoSpaceDN w:val="0"/>
        <w:adjustRightInd w:val="0"/>
        <w:spacing w:after="0"/>
        <w:jc w:val="both"/>
        <w:rPr>
          <w:rFonts w:ascii="Century Gothic" w:hAnsi="Century Gothic"/>
          <w:sz w:val="24"/>
          <w:szCs w:val="24"/>
        </w:rPr>
      </w:pPr>
    </w:p>
    <w:p w14:paraId="6D1DE902" w14:textId="77777777" w:rsidR="005F7E18" w:rsidRPr="00C77A20"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b/>
          <w:color w:val="auto"/>
          <w:sz w:val="20"/>
          <w:szCs w:val="20"/>
          <w:lang w:eastAsia="en-US"/>
        </w:rPr>
      </w:pPr>
      <w:r w:rsidRPr="00C77A20">
        <w:rPr>
          <w:rFonts w:ascii="Century Gothic" w:hAnsi="Century Gothic" w:cs="Times New Roman"/>
          <w:b/>
          <w:color w:val="auto"/>
          <w:sz w:val="20"/>
          <w:szCs w:val="20"/>
          <w:lang w:eastAsia="en-US"/>
        </w:rPr>
        <w:t>Extrait du rapport d’état des lieux de la justice burkinabè</w:t>
      </w:r>
    </w:p>
    <w:p w14:paraId="2F80EABD"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t xml:space="preserve">4. Une justice corrompue et qui favorise l'impunité.   </w:t>
      </w:r>
    </w:p>
    <w:p w14:paraId="7FBA159F"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t>« Ce serait très profondément trahir la population que ne pas nous attarder pour finir sur les critiques les plus virulentes qui sont faites à la justice : celles d’être corrompue et de favoriser l’impunité. Les témoignages des auditeurs qui se sont exprimés lors émissions radiophoniques préparatoires aux Etats Généraux sont particulièrement clairs sur ce point : la justice est perçue comme gangrénée par la corruption. La corruption est suffisamment répandue pour que la population en vienne à croire, même si ce n’est heureusement pas toujours vrai, qu’il est impossible d’obtenir une décision favorable sans paiement d’argent, trafic d’influence ou fourniture d’avantages quelconques. Les personnes contre qui des décisions défavorables sont prises soupçonnent très souvent, à tort ou à raison, leurs adversaires d’avoir corrompu les magistrats ou d’avoir usé de leur influence. Tout cela dénote une absence de confiance de la population envers la justice.</w:t>
      </w:r>
    </w:p>
    <w:p w14:paraId="20DC611C"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t>La corruption dans le secteur judiciaire est une réalité reconnue par tous, elle peut concerner les magistrats, les greffiers, les avocats, les huissiers, les notaires, les interprètes, les GSP mais aussi les intermédiaires qui gravitent autour des juridictions et qui sollicitent de l’argent en prétendant faciliter l’accès aux magistrats.</w:t>
      </w:r>
    </w:p>
    <w:p w14:paraId="41863BD3"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t xml:space="preserve">La corruption peut être le fait des agents économiques, comme des simples justiciables qui veulent s’assurer que leur dossier sera traité avec diligence. Elle prend des formes variées : le versement de sommes d’argent par les justiciables aux magistrats (procureurs et substituts, juges d’instruction et magistrats du siège). Ces sommes peuvent être spontanément proposées par les justiciables ou être sollicitées par les magistrats, dans le but par exemple, d’obtenir une décision favorable (classement sans suite, condamnation avec sursis ou à l’amende), la rédaction ou la délivrance rapide d’une décision ou d'une liberté provisoire.  </w:t>
      </w:r>
    </w:p>
    <w:p w14:paraId="55B1E086"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lastRenderedPageBreak/>
        <w:t xml:space="preserve"> Si certains acteurs de la justice estiment, à raison dans une large mesure, que les mauvaises conditions de vie et de travail des magistrats constituent un terreau fertile pour la corruption, d’autres, par contre, pensent que quel que soit le niveau de leur rémunération (traitement et indemnités), seule la moralité individuelle de magistrats motivés par leur noble fonction, permettrait de résister aux multiples influences, interventions, menaces, incitations et pressions économiques, sociales, familiales, ethniques et politiques qui s’exercent sur eux.[…] </w:t>
      </w:r>
    </w:p>
    <w:p w14:paraId="23FF4A7A"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t>Cependant le personnel judiciaire qui s'adonne à des pratiques corruptives est encouragé par le caractère limité des risques encourus. En effet, les dénonciations de ce type de comportement, fréquentes dans les conversations, sont rares auprès des autorités compétentes ou insuffisamment étayées. En outre les organes de contrôle (supérieur hiérarchique, Inspection générale des services et Conseil supérieur de la magistrature) sont largement défaillants. A titre d’exemple, malgré la perception négative d’une justice corrompue, la dernière procédure disciplinaire contre un magistrat pour manquement à son obligation de probité sous-tendu par des faits de corruption remonte à novembre 2005. Cela est favorisé par l’exclusivité du pouvoir de saisine du conseil de discipline des magistrats notamment réservée au Ministre de la Justice.</w:t>
      </w:r>
    </w:p>
    <w:p w14:paraId="13D8DCFA" w14:textId="77777777" w:rsidR="005F7E18" w:rsidRPr="005F7E18" w:rsidRDefault="005F7E18" w:rsidP="005F7E18">
      <w:pPr>
        <w:pStyle w:val="Default"/>
        <w:pBdr>
          <w:top w:val="single" w:sz="4" w:space="1" w:color="auto"/>
          <w:left w:val="single" w:sz="4" w:space="4" w:color="auto"/>
          <w:bottom w:val="single" w:sz="4" w:space="1" w:color="auto"/>
          <w:right w:val="single" w:sz="4" w:space="4" w:color="auto"/>
        </w:pBdr>
        <w:jc w:val="both"/>
        <w:rPr>
          <w:rFonts w:ascii="Century Gothic" w:hAnsi="Century Gothic" w:cs="Times New Roman"/>
          <w:color w:val="auto"/>
          <w:sz w:val="20"/>
          <w:szCs w:val="20"/>
          <w:lang w:eastAsia="en-US"/>
        </w:rPr>
      </w:pPr>
      <w:r w:rsidRPr="005F7E18">
        <w:rPr>
          <w:rFonts w:ascii="Century Gothic" w:hAnsi="Century Gothic" w:cs="Times New Roman"/>
          <w:color w:val="auto"/>
          <w:sz w:val="20"/>
          <w:szCs w:val="20"/>
          <w:lang w:eastAsia="en-US"/>
        </w:rPr>
        <w:t>L’absence de sanctions pénales et disciplinaires à l’encontre du personnel judiciaire qui se livre à des actes de corruption, l’impunité dont semblent jouir les plus riches lorsqu’ils sont confrontés à la justice, l'absence de décisions dans quelques dossiers emblématiques de crimes de sang et de crimes économiques contribuent fortement à dégrader l'image de la justice. »</w:t>
      </w:r>
    </w:p>
    <w:p w14:paraId="01A20E35" w14:textId="77777777" w:rsidR="005F7E18" w:rsidRPr="005F7E18" w:rsidRDefault="005F7E18" w:rsidP="005F7E18">
      <w:pPr>
        <w:pStyle w:val="Default"/>
        <w:jc w:val="both"/>
        <w:rPr>
          <w:rFonts w:ascii="Century Gothic" w:hAnsi="Century Gothic" w:cs="Times New Roman"/>
          <w:color w:val="auto"/>
          <w:lang w:eastAsia="en-US"/>
        </w:rPr>
      </w:pPr>
    </w:p>
    <w:p w14:paraId="4107C140" w14:textId="77777777" w:rsidR="001C3B8A" w:rsidRPr="00535BBB" w:rsidRDefault="001C3B8A" w:rsidP="00964CEA">
      <w:pPr>
        <w:pStyle w:val="Default"/>
        <w:spacing w:line="276" w:lineRule="auto"/>
        <w:jc w:val="both"/>
        <w:rPr>
          <w:rFonts w:ascii="Century Gothic" w:hAnsi="Century Gothic" w:cs="Times New Roman"/>
          <w:color w:val="auto"/>
          <w:lang w:eastAsia="en-US"/>
        </w:rPr>
      </w:pPr>
    </w:p>
    <w:p w14:paraId="618D7E5B" w14:textId="77777777" w:rsidR="00582DEF" w:rsidRPr="00C77A20" w:rsidRDefault="00964CEA" w:rsidP="00C77A20">
      <w:pPr>
        <w:pStyle w:val="Default"/>
        <w:jc w:val="both"/>
        <w:rPr>
          <w:rFonts w:ascii="Century Gothic" w:hAnsi="Century Gothic"/>
          <w:color w:val="auto"/>
          <w:sz w:val="22"/>
          <w:szCs w:val="22"/>
          <w:lang w:eastAsia="en-US"/>
        </w:rPr>
      </w:pPr>
      <w:r w:rsidRPr="00C77A20">
        <w:rPr>
          <w:rFonts w:ascii="Century Gothic" w:hAnsi="Century Gothic"/>
          <w:b/>
          <w:color w:val="auto"/>
          <w:sz w:val="22"/>
          <w:szCs w:val="22"/>
          <w:lang w:eastAsia="en-US"/>
        </w:rPr>
        <w:t xml:space="preserve">Le </w:t>
      </w:r>
      <w:r w:rsidR="0063244F" w:rsidRPr="00C77A20">
        <w:rPr>
          <w:rFonts w:ascii="Century Gothic" w:hAnsi="Century Gothic"/>
          <w:b/>
          <w:color w:val="auto"/>
          <w:sz w:val="22"/>
          <w:szCs w:val="22"/>
          <w:lang w:eastAsia="en-US"/>
        </w:rPr>
        <w:t>magistrat qui se rend coupable de corruption est passible théoriquement aussi bien de poursuites judiciaires que de mesures disciplinaires</w:t>
      </w:r>
      <w:r w:rsidR="00053EB4" w:rsidRPr="00C77A20">
        <w:rPr>
          <w:rFonts w:ascii="Century Gothic" w:hAnsi="Century Gothic"/>
          <w:b/>
          <w:color w:val="auto"/>
          <w:sz w:val="22"/>
          <w:szCs w:val="22"/>
          <w:lang w:eastAsia="en-US"/>
        </w:rPr>
        <w:t xml:space="preserve"> </w:t>
      </w:r>
      <w:r w:rsidRPr="00C77A20">
        <w:rPr>
          <w:rFonts w:ascii="Century Gothic" w:hAnsi="Century Gothic" w:cs="Times New Roman"/>
          <w:color w:val="auto"/>
          <w:sz w:val="22"/>
          <w:szCs w:val="22"/>
          <w:lang w:eastAsia="en-US"/>
        </w:rPr>
        <w:t>puisqu’a</w:t>
      </w:r>
      <w:r w:rsidR="00582DEF" w:rsidRPr="00C77A20">
        <w:rPr>
          <w:rFonts w:ascii="Century Gothic" w:hAnsi="Century Gothic"/>
          <w:color w:val="auto"/>
          <w:sz w:val="22"/>
          <w:szCs w:val="22"/>
          <w:lang w:eastAsia="en-US"/>
        </w:rPr>
        <w:t xml:space="preserve">ux termes de l’article 50 de la loi organique N° 036-2001/AN du 13 décembre 2001 portant statut du corps de la magistrature, « </w:t>
      </w:r>
      <w:r w:rsidR="002F0E4D" w:rsidRPr="00C77A20">
        <w:rPr>
          <w:rFonts w:ascii="Century Gothic" w:hAnsi="Century Gothic"/>
          <w:i/>
          <w:color w:val="auto"/>
          <w:sz w:val="22"/>
          <w:szCs w:val="22"/>
          <w:lang w:eastAsia="en-US"/>
        </w:rPr>
        <w:t>tout manquement par un magistrat aux devoirs de son état, à la réserve, à l’honneur à la délicatesse ou à la dignité, constitue une faute disciplinaire. Cette faute s’apprécie, pour le magistrat du parquet, compte tenu des obligations qui découlent de sa subordination hiérarchique</w:t>
      </w:r>
      <w:r w:rsidR="00582DEF" w:rsidRPr="00C77A20">
        <w:rPr>
          <w:rFonts w:ascii="Century Gothic" w:hAnsi="Century Gothic"/>
          <w:color w:val="auto"/>
          <w:sz w:val="22"/>
          <w:szCs w:val="22"/>
          <w:lang w:eastAsia="en-US"/>
        </w:rPr>
        <w:t xml:space="preserve"> ». Le pouvoir disciplinaire est exercé, à l’égard des magistrats du siège, par le Conseil supérieur de la magistrature, siég</w:t>
      </w:r>
      <w:r w:rsidR="0063244F" w:rsidRPr="00C77A20">
        <w:rPr>
          <w:rFonts w:ascii="Century Gothic" w:hAnsi="Century Gothic"/>
          <w:color w:val="auto"/>
          <w:sz w:val="22"/>
          <w:szCs w:val="22"/>
          <w:lang w:eastAsia="en-US"/>
        </w:rPr>
        <w:t>eant en formation disciplinaire et par le</w:t>
      </w:r>
      <w:r w:rsidR="0063244F" w:rsidRPr="00C77A20">
        <w:rPr>
          <w:rFonts w:ascii="Century Gothic" w:hAnsi="Century Gothic"/>
          <w:color w:val="auto"/>
          <w:sz w:val="22"/>
          <w:szCs w:val="22"/>
        </w:rPr>
        <w:t xml:space="preserve"> Ministre </w:t>
      </w:r>
      <w:r w:rsidR="0063244F" w:rsidRPr="00C77A20">
        <w:rPr>
          <w:rFonts w:ascii="Century Gothic" w:hAnsi="Century Gothic"/>
          <w:color w:val="auto"/>
          <w:sz w:val="22"/>
          <w:szCs w:val="22"/>
          <w:lang w:eastAsia="en-US"/>
        </w:rPr>
        <w:t xml:space="preserve">chargé de la justice, après avis du Conseil supérieur de la magistrature, siégeant en formation disciplinaire en ce qui concerne les </w:t>
      </w:r>
      <w:r w:rsidR="0016777A" w:rsidRPr="00C77A20">
        <w:rPr>
          <w:rFonts w:ascii="Century Gothic" w:hAnsi="Century Gothic"/>
          <w:color w:val="auto"/>
          <w:sz w:val="22"/>
          <w:szCs w:val="22"/>
          <w:lang w:eastAsia="en-US"/>
        </w:rPr>
        <w:t>magistrat</w:t>
      </w:r>
      <w:r w:rsidR="0063244F" w:rsidRPr="00C77A20">
        <w:rPr>
          <w:rFonts w:ascii="Century Gothic" w:hAnsi="Century Gothic"/>
          <w:color w:val="auto"/>
          <w:sz w:val="22"/>
          <w:szCs w:val="22"/>
          <w:lang w:eastAsia="en-US"/>
        </w:rPr>
        <w:t>s</w:t>
      </w:r>
      <w:r w:rsidR="0016777A" w:rsidRPr="00C77A20">
        <w:rPr>
          <w:rFonts w:ascii="Century Gothic" w:hAnsi="Century Gothic"/>
          <w:color w:val="auto"/>
          <w:sz w:val="22"/>
          <w:szCs w:val="22"/>
          <w:lang w:eastAsia="en-US"/>
        </w:rPr>
        <w:t xml:space="preserve"> du parquet et de ce</w:t>
      </w:r>
      <w:r w:rsidR="0063244F" w:rsidRPr="00C77A20">
        <w:rPr>
          <w:rFonts w:ascii="Century Gothic" w:hAnsi="Century Gothic"/>
          <w:color w:val="auto"/>
          <w:sz w:val="22"/>
          <w:szCs w:val="22"/>
          <w:lang w:eastAsia="en-US"/>
        </w:rPr>
        <w:t>ux</w:t>
      </w:r>
      <w:r w:rsidR="0016777A" w:rsidRPr="00C77A20">
        <w:rPr>
          <w:rFonts w:ascii="Century Gothic" w:hAnsi="Century Gothic"/>
          <w:color w:val="auto"/>
          <w:sz w:val="22"/>
          <w:szCs w:val="22"/>
          <w:lang w:eastAsia="en-US"/>
        </w:rPr>
        <w:t xml:space="preserve"> affecté</w:t>
      </w:r>
      <w:r w:rsidR="0063244F" w:rsidRPr="00C77A20">
        <w:rPr>
          <w:rFonts w:ascii="Century Gothic" w:hAnsi="Century Gothic"/>
          <w:color w:val="auto"/>
          <w:sz w:val="22"/>
          <w:szCs w:val="22"/>
          <w:lang w:eastAsia="en-US"/>
        </w:rPr>
        <w:t>s</w:t>
      </w:r>
      <w:r w:rsidR="0016777A" w:rsidRPr="00C77A20">
        <w:rPr>
          <w:rFonts w:ascii="Century Gothic" w:hAnsi="Century Gothic"/>
          <w:color w:val="auto"/>
          <w:sz w:val="22"/>
          <w:szCs w:val="22"/>
          <w:lang w:eastAsia="en-US"/>
        </w:rPr>
        <w:t xml:space="preserve"> à l’administration centrale du mi</w:t>
      </w:r>
      <w:r w:rsidR="0063244F" w:rsidRPr="00C77A20">
        <w:rPr>
          <w:rFonts w:ascii="Century Gothic" w:hAnsi="Century Gothic"/>
          <w:color w:val="auto"/>
          <w:sz w:val="22"/>
          <w:szCs w:val="22"/>
          <w:lang w:eastAsia="en-US"/>
        </w:rPr>
        <w:t>nistère de la justice</w:t>
      </w:r>
      <w:r w:rsidR="0016777A" w:rsidRPr="00C77A20">
        <w:rPr>
          <w:rFonts w:ascii="Century Gothic" w:hAnsi="Century Gothic"/>
          <w:color w:val="auto"/>
          <w:sz w:val="22"/>
          <w:szCs w:val="22"/>
          <w:lang w:eastAsia="en-US"/>
        </w:rPr>
        <w:t>.</w:t>
      </w:r>
      <w:r w:rsidR="0063244F" w:rsidRPr="00C77A20">
        <w:rPr>
          <w:rFonts w:ascii="Century Gothic" w:hAnsi="Century Gothic"/>
          <w:color w:val="auto"/>
          <w:sz w:val="22"/>
          <w:szCs w:val="22"/>
          <w:lang w:eastAsia="en-US"/>
        </w:rPr>
        <w:t xml:space="preserve"> La loi ne donnant pas la possibilité à un justiciable de saisir le Conseil supérieur de la magistrature (CSM) pour se plaindre du comportement d'un magistrat lors d'un procès, c’est le Ministre chargé de la Justice, informé des faits de nature à entraîner des poursuites disciplinaires contre un magistrat, qui les dénonce au conseil de discipline. </w:t>
      </w:r>
    </w:p>
    <w:p w14:paraId="0C3540A7" w14:textId="77777777" w:rsidR="00582DEF" w:rsidRPr="00C77A20" w:rsidRDefault="0063244F" w:rsidP="00C77A20">
      <w:pPr>
        <w:spacing w:line="240" w:lineRule="auto"/>
        <w:jc w:val="both"/>
        <w:rPr>
          <w:rFonts w:ascii="Century Gothic" w:hAnsi="Century Gothic" w:cs="Book Antiqua"/>
        </w:rPr>
      </w:pPr>
      <w:r w:rsidRPr="00C77A20">
        <w:rPr>
          <w:rFonts w:ascii="Century Gothic" w:hAnsi="Century Gothic" w:cs="Book Antiqua"/>
        </w:rPr>
        <w:t>Le nouveau statut en cours d’adoption devrait corriger cet écueil et permettre au citoyen de saisir le CSM</w:t>
      </w:r>
      <w:r w:rsidR="00C2204F" w:rsidRPr="00C77A20">
        <w:rPr>
          <w:rFonts w:ascii="Century Gothic" w:hAnsi="Century Gothic" w:cs="Book Antiqua"/>
        </w:rPr>
        <w:t> : « </w:t>
      </w:r>
      <w:r w:rsidR="00C2204F" w:rsidRPr="00C77A20">
        <w:rPr>
          <w:rFonts w:ascii="Century Gothic" w:hAnsi="Century Gothic" w:cs="Book Antiqua"/>
          <w:i/>
        </w:rPr>
        <w:t>Avec les présents avant-projets de loi, même les justiciables peuvent saisir le Conseil de discipline pour voir sanctionner un magistrat </w:t>
      </w:r>
      <w:r w:rsidR="00C2204F" w:rsidRPr="00C77A20">
        <w:rPr>
          <w:rFonts w:ascii="Century Gothic" w:hAnsi="Century Gothic" w:cs="Book Antiqua"/>
        </w:rPr>
        <w:t>»</w:t>
      </w:r>
      <w:r w:rsidR="00C2204F" w:rsidRPr="00C77A20">
        <w:rPr>
          <w:rStyle w:val="Marquenotebasdepage"/>
          <w:rFonts w:ascii="Century Gothic" w:hAnsi="Century Gothic" w:cs="Book Antiqua"/>
        </w:rPr>
        <w:footnoteReference w:id="26"/>
      </w:r>
      <w:r w:rsidR="00C2204F" w:rsidRPr="00C77A20">
        <w:rPr>
          <w:rFonts w:ascii="Century Gothic" w:hAnsi="Century Gothic" w:cs="Book Antiqua"/>
        </w:rPr>
        <w:t>.</w:t>
      </w:r>
      <w:r w:rsidR="008A5A0D" w:rsidRPr="00C77A20">
        <w:rPr>
          <w:rFonts w:ascii="Century Gothic" w:hAnsi="Century Gothic" w:cs="Book Antiqua"/>
        </w:rPr>
        <w:t xml:space="preserve">Les organisations de la société civile </w:t>
      </w:r>
      <w:r w:rsidRPr="00C77A20">
        <w:rPr>
          <w:rFonts w:ascii="Century Gothic" w:hAnsi="Century Gothic" w:cs="Book Antiqua"/>
        </w:rPr>
        <w:t>salu</w:t>
      </w:r>
      <w:r w:rsidR="008A5A0D" w:rsidRPr="00C77A20">
        <w:rPr>
          <w:rFonts w:ascii="Century Gothic" w:hAnsi="Century Gothic" w:cs="Book Antiqua"/>
        </w:rPr>
        <w:t>ent</w:t>
      </w:r>
      <w:r w:rsidRPr="00C77A20">
        <w:rPr>
          <w:rFonts w:ascii="Century Gothic" w:hAnsi="Century Gothic" w:cs="Book Antiqua"/>
        </w:rPr>
        <w:t xml:space="preserve"> cette évolution très positive qui marque une étape essentielle dans la mise en œuvre des recommandations des</w:t>
      </w:r>
      <w:r w:rsidR="002D1B5E" w:rsidRPr="00C77A20">
        <w:rPr>
          <w:rFonts w:ascii="Century Gothic" w:hAnsi="Century Gothic" w:cs="Book Antiqua"/>
        </w:rPr>
        <w:t xml:space="preserve"> états généraux de la justice.</w:t>
      </w:r>
    </w:p>
    <w:p w14:paraId="71FE071B" w14:textId="77777777" w:rsidR="000B5197" w:rsidRPr="00C77A20" w:rsidRDefault="000B5197" w:rsidP="00D060B8">
      <w:pPr>
        <w:pStyle w:val="Grillemoyenne1-Accent21"/>
        <w:numPr>
          <w:ilvl w:val="0"/>
          <w:numId w:val="7"/>
        </w:numPr>
        <w:autoSpaceDE w:val="0"/>
        <w:autoSpaceDN w:val="0"/>
        <w:adjustRightInd w:val="0"/>
        <w:spacing w:after="0" w:line="240" w:lineRule="auto"/>
        <w:jc w:val="both"/>
        <w:rPr>
          <w:rFonts w:ascii="Century Gothic" w:hAnsi="Century Gothic"/>
          <w:b/>
        </w:rPr>
      </w:pPr>
      <w:r w:rsidRPr="00C77A20">
        <w:rPr>
          <w:rFonts w:ascii="Century Gothic" w:hAnsi="Century Gothic"/>
          <w:b/>
        </w:rPr>
        <w:t>Exécution des décisions judiciaires</w:t>
      </w:r>
    </w:p>
    <w:p w14:paraId="396378BE" w14:textId="77777777" w:rsidR="00773598" w:rsidRPr="00C77A20" w:rsidRDefault="00957647" w:rsidP="00C77A20">
      <w:pPr>
        <w:pStyle w:val="Listecouleur-Accent11"/>
        <w:spacing w:line="240" w:lineRule="auto"/>
        <w:ind w:left="0"/>
        <w:jc w:val="both"/>
        <w:rPr>
          <w:rFonts w:ascii="Century Gothic" w:hAnsi="Century Gothic"/>
        </w:rPr>
      </w:pPr>
      <w:r>
        <w:rPr>
          <w:rFonts w:ascii="Century Gothic" w:hAnsi="Century Gothic"/>
        </w:rPr>
        <w:t>L</w:t>
      </w:r>
      <w:r w:rsidR="00276897" w:rsidRPr="00C77A20">
        <w:rPr>
          <w:rFonts w:ascii="Century Gothic" w:hAnsi="Century Gothic"/>
        </w:rPr>
        <w:t xml:space="preserve">’exécution des décisions de justice constitue une des problématiques qui se pose au sein de la justice </w:t>
      </w:r>
      <w:r w:rsidR="00065CEF" w:rsidRPr="00C77A20">
        <w:rPr>
          <w:rFonts w:ascii="Century Gothic" w:hAnsi="Century Gothic"/>
        </w:rPr>
        <w:t>b</w:t>
      </w:r>
      <w:r w:rsidR="00276897" w:rsidRPr="00C77A20">
        <w:rPr>
          <w:rFonts w:ascii="Century Gothic" w:hAnsi="Century Gothic"/>
        </w:rPr>
        <w:t>urkinabè et les états généraux de la justice n’ont pas manqué de le relever en ces termes : « </w:t>
      </w:r>
      <w:r w:rsidR="00276897" w:rsidRPr="00C77A20">
        <w:rPr>
          <w:rFonts w:ascii="Century Gothic" w:hAnsi="Century Gothic"/>
          <w:i/>
        </w:rPr>
        <w:t>[…]</w:t>
      </w:r>
      <w:r w:rsidR="00B17E9F" w:rsidRPr="00C77A20">
        <w:rPr>
          <w:rFonts w:ascii="Century Gothic" w:hAnsi="Century Gothic"/>
          <w:i/>
        </w:rPr>
        <w:t xml:space="preserve"> les justiciables et les acteurs judiciaires s'accordent pour s'inquiéter de l'inexécution des décisions de justice.  Sur ce point deux préoccupations majeures sont relevées : la difficulté d'obtenir les décisions </w:t>
      </w:r>
      <w:r w:rsidR="00B17E9F" w:rsidRPr="00C77A20">
        <w:rPr>
          <w:rFonts w:ascii="Century Gothic" w:hAnsi="Century Gothic"/>
          <w:i/>
        </w:rPr>
        <w:lastRenderedPageBreak/>
        <w:t>rédigées du magistrat et le manque criant d'huissiers pour faire exécuter les décisions</w:t>
      </w:r>
      <w:r w:rsidR="00276897" w:rsidRPr="00C77A20">
        <w:rPr>
          <w:rFonts w:ascii="Century Gothic" w:hAnsi="Century Gothic"/>
        </w:rPr>
        <w:t> »</w:t>
      </w:r>
      <w:r w:rsidR="00607754" w:rsidRPr="00C77A20">
        <w:rPr>
          <w:rFonts w:ascii="Century Gothic" w:hAnsi="Century Gothic"/>
        </w:rPr>
        <w:t>.</w:t>
      </w:r>
    </w:p>
    <w:p w14:paraId="381BD416" w14:textId="77777777" w:rsidR="000B5197" w:rsidRPr="00C77A20" w:rsidRDefault="00D91062" w:rsidP="00D060B8">
      <w:pPr>
        <w:pStyle w:val="Grillemoyenne1-Accent21"/>
        <w:numPr>
          <w:ilvl w:val="0"/>
          <w:numId w:val="7"/>
        </w:numPr>
        <w:autoSpaceDE w:val="0"/>
        <w:autoSpaceDN w:val="0"/>
        <w:adjustRightInd w:val="0"/>
        <w:spacing w:after="0" w:line="240" w:lineRule="auto"/>
        <w:jc w:val="both"/>
        <w:rPr>
          <w:rFonts w:ascii="Century Gothic" w:hAnsi="Century Gothic"/>
          <w:b/>
          <w:color w:val="1A1A1A"/>
        </w:rPr>
      </w:pPr>
      <w:r w:rsidRPr="00C77A20">
        <w:rPr>
          <w:rFonts w:ascii="Century Gothic" w:hAnsi="Century Gothic"/>
          <w:b/>
          <w:color w:val="1A1A1A"/>
        </w:rPr>
        <w:t>Justice des mineurs </w:t>
      </w:r>
    </w:p>
    <w:p w14:paraId="1EA41946" w14:textId="77777777" w:rsidR="004B0364" w:rsidRPr="00C77A20" w:rsidRDefault="00276897" w:rsidP="00C77A20">
      <w:pPr>
        <w:spacing w:line="240" w:lineRule="auto"/>
        <w:jc w:val="both"/>
        <w:rPr>
          <w:rFonts w:ascii="Century Gothic" w:hAnsi="Century Gothic"/>
          <w:b/>
          <w:bCs/>
          <w:lang w:eastAsia="fr-FR"/>
        </w:rPr>
      </w:pPr>
      <w:r w:rsidRPr="00C77A20">
        <w:rPr>
          <w:rFonts w:ascii="Century Gothic" w:hAnsi="Century Gothic"/>
        </w:rPr>
        <w:t>Il ressort d</w:t>
      </w:r>
      <w:r w:rsidR="005D297B" w:rsidRPr="00C77A20">
        <w:rPr>
          <w:rFonts w:ascii="Century Gothic" w:hAnsi="Century Gothic"/>
        </w:rPr>
        <w:t xml:space="preserve">e manière plus générale, </w:t>
      </w:r>
      <w:r w:rsidRPr="00C77A20">
        <w:rPr>
          <w:rFonts w:ascii="Century Gothic" w:hAnsi="Century Gothic"/>
        </w:rPr>
        <w:t xml:space="preserve">un manque criard </w:t>
      </w:r>
      <w:r w:rsidR="005D297B" w:rsidRPr="00C77A20">
        <w:rPr>
          <w:rFonts w:ascii="Century Gothic" w:hAnsi="Century Gothic"/>
        </w:rPr>
        <w:t xml:space="preserve">de spécialisation des magistrats </w:t>
      </w:r>
      <w:r w:rsidRPr="00C77A20">
        <w:rPr>
          <w:rFonts w:ascii="Century Gothic" w:hAnsi="Century Gothic"/>
        </w:rPr>
        <w:t>burkinabè, y compris dans le domaine de la justice des mineurs</w:t>
      </w:r>
      <w:r w:rsidR="005D297B" w:rsidRPr="00C77A20">
        <w:rPr>
          <w:rFonts w:ascii="Century Gothic" w:hAnsi="Century Gothic"/>
        </w:rPr>
        <w:t xml:space="preserve">. </w:t>
      </w:r>
      <w:r w:rsidRPr="00C77A20">
        <w:rPr>
          <w:rFonts w:ascii="Century Gothic" w:hAnsi="Century Gothic"/>
        </w:rPr>
        <w:t>Par ailleurs le cumul des fonctions de juge des enfants avec d’autres fonctions handicape la bonne conduite de la justice des mineurs. Le rapport final de l’étude citée plus haut se fait très explicite sur les problématiques de la justice des mineurs</w:t>
      </w:r>
      <w:r w:rsidR="00236323" w:rsidRPr="00C77A20">
        <w:rPr>
          <w:rStyle w:val="Marquenotebasdepage"/>
          <w:rFonts w:ascii="Century Gothic" w:hAnsi="Century Gothic"/>
        </w:rPr>
        <w:footnoteReference w:id="27"/>
      </w:r>
    </w:p>
    <w:p w14:paraId="186A5EA2" w14:textId="77777777" w:rsidR="000B5197" w:rsidRPr="00C77A20" w:rsidRDefault="002F0E4D" w:rsidP="00D060B8">
      <w:pPr>
        <w:pStyle w:val="Grillemoyenne1-Accent21"/>
        <w:numPr>
          <w:ilvl w:val="0"/>
          <w:numId w:val="7"/>
        </w:numPr>
        <w:autoSpaceDE w:val="0"/>
        <w:autoSpaceDN w:val="0"/>
        <w:adjustRightInd w:val="0"/>
        <w:spacing w:after="0" w:line="240" w:lineRule="auto"/>
        <w:jc w:val="both"/>
        <w:rPr>
          <w:rFonts w:ascii="Century Gothic" w:hAnsi="Century Gothic"/>
          <w:b/>
        </w:rPr>
      </w:pPr>
      <w:r w:rsidRPr="00C77A20">
        <w:rPr>
          <w:rFonts w:ascii="Century Gothic" w:hAnsi="Century Gothic"/>
          <w:b/>
        </w:rPr>
        <w:t>Droit d’avoir sa cause entendue</w:t>
      </w:r>
      <w:r w:rsidR="00547B55" w:rsidRPr="00C77A20">
        <w:rPr>
          <w:rFonts w:ascii="Century Gothic" w:hAnsi="Century Gothic"/>
          <w:b/>
        </w:rPr>
        <w:t xml:space="preserve"> par une juridiction régulière et g</w:t>
      </w:r>
      <w:r w:rsidRPr="00C77A20">
        <w:rPr>
          <w:rFonts w:ascii="Century Gothic" w:hAnsi="Century Gothic"/>
          <w:b/>
        </w:rPr>
        <w:t>arantie</w:t>
      </w:r>
      <w:r w:rsidR="00547B55" w:rsidRPr="00C77A20">
        <w:rPr>
          <w:rFonts w:ascii="Century Gothic" w:hAnsi="Century Gothic"/>
          <w:b/>
        </w:rPr>
        <w:t>s</w:t>
      </w:r>
      <w:r w:rsidRPr="00C77A20">
        <w:rPr>
          <w:rFonts w:ascii="Century Gothic" w:hAnsi="Century Gothic"/>
          <w:b/>
        </w:rPr>
        <w:t xml:space="preserve"> légale</w:t>
      </w:r>
      <w:r w:rsidR="00547B55" w:rsidRPr="00C77A20">
        <w:rPr>
          <w:rFonts w:ascii="Century Gothic" w:hAnsi="Century Gothic"/>
          <w:b/>
        </w:rPr>
        <w:t>s</w:t>
      </w:r>
      <w:r w:rsidR="00597778" w:rsidRPr="00C77A20">
        <w:rPr>
          <w:rFonts w:ascii="Century Gothic" w:hAnsi="Century Gothic"/>
          <w:b/>
        </w:rPr>
        <w:t xml:space="preserve"> </w:t>
      </w:r>
      <w:r w:rsidR="00547B55" w:rsidRPr="00C77A20">
        <w:rPr>
          <w:rFonts w:ascii="Century Gothic" w:hAnsi="Century Gothic"/>
          <w:b/>
        </w:rPr>
        <w:t>de</w:t>
      </w:r>
      <w:r w:rsidRPr="00C77A20">
        <w:rPr>
          <w:rFonts w:ascii="Century Gothic" w:hAnsi="Century Gothic"/>
          <w:b/>
        </w:rPr>
        <w:t xml:space="preserve"> la présomption d’innocence et de la détention préventive :</w:t>
      </w:r>
    </w:p>
    <w:p w14:paraId="43BD3C47" w14:textId="77777777" w:rsidR="007E1BEE" w:rsidRPr="00C77A20" w:rsidRDefault="007E1BEE" w:rsidP="00C77A20">
      <w:pPr>
        <w:autoSpaceDE w:val="0"/>
        <w:autoSpaceDN w:val="0"/>
        <w:adjustRightInd w:val="0"/>
        <w:spacing w:after="0" w:line="240" w:lineRule="auto"/>
        <w:jc w:val="both"/>
        <w:rPr>
          <w:rFonts w:ascii="Century Gothic" w:hAnsi="Century Gothic"/>
          <w:i/>
        </w:rPr>
      </w:pPr>
      <w:r w:rsidRPr="00C77A20">
        <w:rPr>
          <w:rFonts w:ascii="Century Gothic" w:hAnsi="Century Gothic"/>
        </w:rPr>
        <w:t>L’art. 4 de la Constitution (1991) stipule que : « </w:t>
      </w:r>
      <w:r w:rsidRPr="00C77A20">
        <w:rPr>
          <w:rFonts w:ascii="Century Gothic" w:hAnsi="Century Gothic"/>
          <w:i/>
        </w:rPr>
        <w:t>Tous les Burkinabé et toute personne vivant au Burkina Faso bénéficient d'une égale protection de la loi. Tous ont droit à ce que leur cause soit entendue par une juridiction indépendante et impartiale.</w:t>
      </w:r>
    </w:p>
    <w:p w14:paraId="4DBE37F3" w14:textId="77777777" w:rsidR="007E1BEE" w:rsidRPr="00C77A20" w:rsidRDefault="007E1BEE" w:rsidP="00C77A20">
      <w:pPr>
        <w:autoSpaceDE w:val="0"/>
        <w:autoSpaceDN w:val="0"/>
        <w:adjustRightInd w:val="0"/>
        <w:spacing w:after="0" w:line="240" w:lineRule="auto"/>
        <w:jc w:val="both"/>
        <w:rPr>
          <w:rFonts w:ascii="Century Gothic" w:hAnsi="Century Gothic"/>
        </w:rPr>
      </w:pPr>
      <w:r w:rsidRPr="00EB7E14">
        <w:rPr>
          <w:rFonts w:ascii="Century Gothic" w:hAnsi="Century Gothic"/>
          <w:i/>
        </w:rPr>
        <w:t>Tout prévenu est présumé innocent jusqu'à ce que sa culpabilité soit établie</w:t>
      </w:r>
      <w:r w:rsidRPr="00C77A20">
        <w:rPr>
          <w:rFonts w:ascii="Century Gothic" w:hAnsi="Century Gothic"/>
          <w:i/>
        </w:rPr>
        <w:t>. Le droit à la défense y compris celui de choisir librement son défenseur est garanti devant toutes les juridictions. </w:t>
      </w:r>
      <w:r w:rsidRPr="00C77A20">
        <w:rPr>
          <w:rFonts w:ascii="Century Gothic" w:hAnsi="Century Gothic"/>
        </w:rPr>
        <w:t xml:space="preserve">» </w:t>
      </w:r>
    </w:p>
    <w:p w14:paraId="15753C0C" w14:textId="77777777" w:rsidR="00D0275A" w:rsidRPr="001479DF" w:rsidRDefault="007E1BEE" w:rsidP="00C77A20">
      <w:pPr>
        <w:pStyle w:val="Grillemoyenne1-Accent21"/>
        <w:autoSpaceDE w:val="0"/>
        <w:autoSpaceDN w:val="0"/>
        <w:adjustRightInd w:val="0"/>
        <w:spacing w:after="0" w:line="240" w:lineRule="auto"/>
        <w:ind w:left="0"/>
        <w:jc w:val="both"/>
        <w:rPr>
          <w:rFonts w:ascii="Century Gothic" w:hAnsi="Century Gothic"/>
        </w:rPr>
      </w:pPr>
      <w:r w:rsidRPr="00C77A20">
        <w:rPr>
          <w:rFonts w:ascii="Century Gothic" w:hAnsi="Century Gothic"/>
        </w:rPr>
        <w:t xml:space="preserve">Le Code de procédure civile (loi n°22-99/AN du 18 mai 1999) garantit ce droit en disposant que « </w:t>
      </w:r>
      <w:r w:rsidRPr="00C77A20">
        <w:rPr>
          <w:rFonts w:ascii="Century Gothic" w:hAnsi="Century Gothic"/>
          <w:i/>
        </w:rPr>
        <w:t>toute personne a droit à ce que sa cause soit entendue par une juridiction indépendante et impartiale, dans un délai raisonnable</w:t>
      </w:r>
      <w:r w:rsidRPr="00C77A20">
        <w:rPr>
          <w:rFonts w:ascii="Century Gothic" w:hAnsi="Century Gothic"/>
        </w:rPr>
        <w:t xml:space="preserve"> ». Il interdit, en son article 5 </w:t>
      </w:r>
      <w:proofErr w:type="gramStart"/>
      <w:r w:rsidRPr="00C77A20">
        <w:rPr>
          <w:rFonts w:ascii="Century Gothic" w:hAnsi="Century Gothic"/>
        </w:rPr>
        <w:t>de juger une personne sans l’avoir entendue ou appelée</w:t>
      </w:r>
      <w:proofErr w:type="gramEnd"/>
      <w:r w:rsidRPr="00C77A20">
        <w:rPr>
          <w:rFonts w:ascii="Century Gothic" w:hAnsi="Century Gothic"/>
        </w:rPr>
        <w:t xml:space="preserve"> et consacre le principe de la publicité des audiences. Mais l</w:t>
      </w:r>
      <w:r w:rsidR="00D0275A" w:rsidRPr="00C77A20">
        <w:rPr>
          <w:rFonts w:ascii="Century Gothic" w:hAnsi="Century Gothic"/>
        </w:rPr>
        <w:t xml:space="preserve">e diagnostic fait ressortir que le fonctionnement de la justice pénale en particulier ne présente pas toutes les garanties </w:t>
      </w:r>
      <w:r w:rsidR="00D0275A" w:rsidRPr="001479DF">
        <w:rPr>
          <w:rFonts w:ascii="Century Gothic" w:hAnsi="Century Gothic"/>
        </w:rPr>
        <w:t xml:space="preserve">pour s’assurer du respect des droits humains en ce qu’elle comporte de nombreux manquements aux droits des prévenus : </w:t>
      </w:r>
    </w:p>
    <w:p w14:paraId="4D8D58DF" w14:textId="77777777" w:rsidR="003C17D2" w:rsidRPr="00990089" w:rsidRDefault="003C17D2" w:rsidP="003C17D2">
      <w:pPr>
        <w:spacing w:line="240" w:lineRule="auto"/>
        <w:jc w:val="both"/>
        <w:rPr>
          <w:rFonts w:ascii="Century Gothic" w:hAnsi="Century Gothic"/>
        </w:rPr>
      </w:pPr>
      <w:r w:rsidRPr="00990089">
        <w:rPr>
          <w:rFonts w:ascii="Century Gothic" w:hAnsi="Century Gothic"/>
        </w:rPr>
        <w:t>En effet, la FIACAT dans son exposé écrit présenté lors de la dixième session du Conseil des Droits de l’Homme</w:t>
      </w:r>
      <w:r w:rsidRPr="00990089">
        <w:rPr>
          <w:rStyle w:val="Marquenotebasdepage"/>
          <w:rFonts w:ascii="Century Gothic" w:hAnsi="Century Gothic"/>
        </w:rPr>
        <w:footnoteReference w:id="28"/>
      </w:r>
      <w:r w:rsidRPr="00990089">
        <w:rPr>
          <w:rFonts w:ascii="Century Gothic" w:hAnsi="Century Gothic"/>
        </w:rPr>
        <w:t xml:space="preserve"> se disait fortement préoccupée par la pratique très courante au Burkina Faso dite de l’Ordre de mise à disposition (OMD). Cette pratique, qui n’a aucun fondement juridique, consiste pour les magistrats du Parquet à délivrer des OMD aux policiers ou au gendarmes qui leurs défèrent des gardés à vues lorsqu’ils n’ont pas le temps de les entendre pour les mettre en liberté ou en détention préventive. Ces personnes sont alors placées à la maison d’arrêt, sans statut juridique, en attendant de voir un juge qui puisse ouvrir une procédure à leur encontre. Une telle forme de détention, qui s’apparente à de la détention arbitraire, dure en général quelques jours mais peut atteindre plusieurs mois.</w:t>
      </w:r>
    </w:p>
    <w:p w14:paraId="42974BE9" w14:textId="77777777" w:rsidR="003C17D2" w:rsidRPr="00990089" w:rsidRDefault="003C17D2" w:rsidP="003C17D2">
      <w:pPr>
        <w:spacing w:line="240" w:lineRule="auto"/>
        <w:jc w:val="both"/>
        <w:rPr>
          <w:rFonts w:ascii="Century Gothic" w:hAnsi="Century Gothic"/>
        </w:rPr>
      </w:pPr>
      <w:r w:rsidRPr="00990089">
        <w:rPr>
          <w:rFonts w:ascii="Century Gothic" w:hAnsi="Century Gothic"/>
        </w:rPr>
        <w:t>On constate, en outre, que les OMD sont souvent utilisés comme un moyen d’intimidation ou de pression pour obtenir des aveux. Les officiers de police judiciaire défèrent souvent les gardés à vues le vendredi soir après 17 heure en espérant que, du fait de l’engorgement des Parquets, les individus seront placés en OMD.</w:t>
      </w:r>
    </w:p>
    <w:p w14:paraId="046F6A11" w14:textId="2A6A6D8C" w:rsidR="003C17D2" w:rsidRPr="00990089" w:rsidRDefault="003C17D2" w:rsidP="003C17D2">
      <w:pPr>
        <w:spacing w:line="240" w:lineRule="auto"/>
        <w:jc w:val="both"/>
        <w:rPr>
          <w:rFonts w:ascii="Century Gothic" w:hAnsi="Century Gothic"/>
        </w:rPr>
      </w:pPr>
      <w:r w:rsidRPr="00990089">
        <w:rPr>
          <w:rFonts w:ascii="Century Gothic" w:hAnsi="Century Gothic"/>
        </w:rPr>
        <w:t xml:space="preserve">Dans certaines maisons d’arrêt du Burkina Faso, les personnes qui y sont placées en OMD ne sont </w:t>
      </w:r>
      <w:proofErr w:type="gramStart"/>
      <w:r w:rsidRPr="00990089">
        <w:rPr>
          <w:rFonts w:ascii="Century Gothic" w:hAnsi="Century Gothic"/>
        </w:rPr>
        <w:t>même pas enregistrées</w:t>
      </w:r>
      <w:proofErr w:type="gramEnd"/>
      <w:r w:rsidRPr="00990089">
        <w:rPr>
          <w:rFonts w:ascii="Century Gothic" w:hAnsi="Century Gothic"/>
        </w:rPr>
        <w:t xml:space="preserve"> sur le registre du greffe.</w:t>
      </w:r>
      <w:r w:rsidR="001479DF">
        <w:rPr>
          <w:rFonts w:ascii="Century Gothic" w:hAnsi="Century Gothic"/>
        </w:rPr>
        <w:t xml:space="preserve"> </w:t>
      </w:r>
      <w:r w:rsidRPr="00990089">
        <w:rPr>
          <w:rFonts w:ascii="Century Gothic" w:hAnsi="Century Gothic"/>
        </w:rPr>
        <w:t>Cette pratique n’a aucune base légale.</w:t>
      </w:r>
    </w:p>
    <w:p w14:paraId="4144B49D" w14:textId="77777777" w:rsidR="003C17D2" w:rsidRPr="001479DF" w:rsidRDefault="003C17D2" w:rsidP="003C17D2">
      <w:pPr>
        <w:spacing w:line="240" w:lineRule="auto"/>
        <w:jc w:val="both"/>
        <w:rPr>
          <w:rFonts w:ascii="Century Gothic" w:hAnsi="Century Gothic"/>
        </w:rPr>
      </w:pPr>
      <w:r w:rsidRPr="00990089">
        <w:rPr>
          <w:rFonts w:ascii="Century Gothic" w:hAnsi="Century Gothic"/>
        </w:rPr>
        <w:t>Selon la FIACAT, l’utilisation excessive de la détention préventive et des OMD est une des causes principales de la surpopulation carcérale.</w:t>
      </w:r>
      <w:r w:rsidRPr="001479DF">
        <w:rPr>
          <w:rFonts w:ascii="Century Gothic" w:hAnsi="Century Gothic"/>
        </w:rPr>
        <w:t xml:space="preserve"> </w:t>
      </w:r>
    </w:p>
    <w:p w14:paraId="03D1CBD9" w14:textId="77777777" w:rsidR="00AF3EAD" w:rsidRPr="001479DF" w:rsidRDefault="00AF3EAD" w:rsidP="00C77A20">
      <w:pPr>
        <w:spacing w:after="0" w:line="240" w:lineRule="auto"/>
        <w:jc w:val="both"/>
        <w:rPr>
          <w:rFonts w:ascii="Century Gothic" w:hAnsi="Century Gothic"/>
        </w:rPr>
      </w:pPr>
      <w:r w:rsidRPr="001479DF">
        <w:rPr>
          <w:rFonts w:ascii="Century Gothic" w:hAnsi="Century Gothic"/>
        </w:rPr>
        <w:lastRenderedPageBreak/>
        <w:t>Selon les textes en vigueur</w:t>
      </w:r>
      <w:r w:rsidR="009106EA" w:rsidRPr="001479DF">
        <w:rPr>
          <w:rStyle w:val="Marquenotebasdepage"/>
          <w:rFonts w:ascii="Century Gothic" w:hAnsi="Century Gothic"/>
        </w:rPr>
        <w:footnoteReference w:id="29"/>
      </w:r>
      <w:r w:rsidRPr="001479DF">
        <w:rPr>
          <w:rFonts w:ascii="Century Gothic" w:hAnsi="Century Gothic"/>
        </w:rPr>
        <w:t>, la durée de la détention préventive est</w:t>
      </w:r>
      <w:r w:rsidRPr="00447D83">
        <w:rPr>
          <w:rFonts w:ascii="Century Gothic" w:hAnsi="Century Gothic"/>
        </w:rPr>
        <w:t xml:space="preserve"> de 72</w:t>
      </w:r>
      <w:r w:rsidR="005113C9" w:rsidRPr="00B15D45">
        <w:rPr>
          <w:rFonts w:ascii="Century Gothic" w:hAnsi="Century Gothic"/>
        </w:rPr>
        <w:t>h</w:t>
      </w:r>
      <w:r w:rsidRPr="00B15D45">
        <w:rPr>
          <w:rFonts w:ascii="Century Gothic" w:hAnsi="Century Gothic"/>
        </w:rPr>
        <w:t xml:space="preserve"> susceptible d’être prolongée de 48h</w:t>
      </w:r>
      <w:r w:rsidR="00B97A76" w:rsidRPr="00D713BB">
        <w:rPr>
          <w:rFonts w:ascii="Century Gothic" w:hAnsi="Century Gothic"/>
        </w:rPr>
        <w:t xml:space="preserve"> en plus</w:t>
      </w:r>
      <w:r w:rsidRPr="004E6D03">
        <w:rPr>
          <w:rFonts w:ascii="Century Gothic" w:hAnsi="Century Gothic"/>
        </w:rPr>
        <w:t>. Toutefois, ce délai n’</w:t>
      </w:r>
      <w:r w:rsidRPr="001479DF">
        <w:rPr>
          <w:rFonts w:ascii="Century Gothic" w:hAnsi="Century Gothic"/>
        </w:rPr>
        <w:t>est quasiment jamais respecté.</w:t>
      </w:r>
    </w:p>
    <w:p w14:paraId="2285EB06" w14:textId="77777777" w:rsidR="00622815" w:rsidRDefault="00B17E9F" w:rsidP="00622815">
      <w:pPr>
        <w:jc w:val="both"/>
        <w:rPr>
          <w:rFonts w:ascii="Amnesty Trade Gothics" w:hAnsi="Amnesty Trade Gothics"/>
          <w:b/>
          <w:u w:val="single"/>
        </w:rPr>
      </w:pPr>
      <w:r w:rsidRPr="00990089">
        <w:rPr>
          <w:rFonts w:ascii="Century Gothic" w:hAnsi="Century Gothic"/>
        </w:rPr>
        <w:t>Dans les établissements pénitentiaires, il est ressorti que la surpopulation, l’absence de distinction des détenus selon leur statut</w:t>
      </w:r>
      <w:r w:rsidR="00622815" w:rsidRPr="00990089">
        <w:rPr>
          <w:rFonts w:ascii="Century Gothic" w:hAnsi="Century Gothic"/>
        </w:rPr>
        <w:t xml:space="preserve"> (prévenu / condamné)</w:t>
      </w:r>
      <w:r w:rsidRPr="00990089">
        <w:rPr>
          <w:rFonts w:ascii="Century Gothic" w:hAnsi="Century Gothic"/>
        </w:rPr>
        <w:t>, l’insalubrité, les maladies, les difficultés de contact avec l’extérieur et avec les autorités judiciaires sont autant d’atteintes aux droits humains.</w:t>
      </w:r>
      <w:r w:rsidR="003114AB" w:rsidRPr="00990089">
        <w:rPr>
          <w:rFonts w:ascii="Century Gothic" w:hAnsi="Century Gothic"/>
        </w:rPr>
        <w:t xml:space="preserve"> </w:t>
      </w:r>
      <w:r w:rsidRPr="00990089">
        <w:rPr>
          <w:rFonts w:ascii="Century Gothic" w:hAnsi="Century Gothic"/>
        </w:rPr>
        <w:t xml:space="preserve">Particulièrement en ce qui concerne les populations carcérales, </w:t>
      </w:r>
      <w:r w:rsidR="00622815" w:rsidRPr="00990089">
        <w:rPr>
          <w:rFonts w:ascii="Century Gothic" w:hAnsi="Century Gothic"/>
        </w:rPr>
        <w:t>le</w:t>
      </w:r>
      <w:r w:rsidR="00FF01AB" w:rsidRPr="00990089">
        <w:rPr>
          <w:rFonts w:ascii="Century Gothic" w:hAnsi="Century Gothic"/>
        </w:rPr>
        <w:t xml:space="preserve"> taux</w:t>
      </w:r>
      <w:r w:rsidR="00622815" w:rsidRPr="00990089">
        <w:rPr>
          <w:rFonts w:ascii="Century Gothic" w:hAnsi="Century Gothic"/>
        </w:rPr>
        <w:t xml:space="preserve"> moyen</w:t>
      </w:r>
      <w:r w:rsidR="00FF01AB" w:rsidRPr="00990089">
        <w:rPr>
          <w:rFonts w:ascii="Century Gothic" w:hAnsi="Century Gothic"/>
        </w:rPr>
        <w:t xml:space="preserve"> de surpopulation </w:t>
      </w:r>
      <w:r w:rsidR="00622815" w:rsidRPr="00990089">
        <w:rPr>
          <w:rFonts w:ascii="Century Gothic" w:hAnsi="Century Gothic"/>
        </w:rPr>
        <w:t xml:space="preserve">carcérale est </w:t>
      </w:r>
      <w:r w:rsidR="00FF01AB" w:rsidRPr="00990089">
        <w:rPr>
          <w:rFonts w:ascii="Century Gothic" w:hAnsi="Century Gothic"/>
        </w:rPr>
        <w:t>de 1</w:t>
      </w:r>
      <w:r w:rsidR="00622815" w:rsidRPr="00990089">
        <w:rPr>
          <w:rFonts w:ascii="Century Gothic" w:hAnsi="Century Gothic"/>
        </w:rPr>
        <w:t>71</w:t>
      </w:r>
      <w:r w:rsidR="00FF01AB" w:rsidRPr="00990089">
        <w:rPr>
          <w:rFonts w:ascii="Century Gothic" w:hAnsi="Century Gothic"/>
        </w:rPr>
        <w:t xml:space="preserve">% </w:t>
      </w:r>
      <w:r w:rsidR="00622815" w:rsidRPr="00990089">
        <w:rPr>
          <w:rFonts w:ascii="Century Gothic" w:hAnsi="Century Gothic"/>
        </w:rPr>
        <w:t xml:space="preserve">au Burkina Faso avec toutefois beaucoup de disparités d’une maison d’arrêt et de correction à l’autre. Si par exemple dans les MAC de Tenkodogo (qui a le taux le plus élevé), Bobo-Dioulasso et Ouagadougou ce taux est respectivement de 263%, 236% et 205 %, il est de 9% à </w:t>
      </w:r>
      <w:proofErr w:type="spellStart"/>
      <w:r w:rsidR="00622815" w:rsidRPr="00990089">
        <w:rPr>
          <w:rFonts w:ascii="Century Gothic" w:hAnsi="Century Gothic"/>
        </w:rPr>
        <w:t>Diébougou</w:t>
      </w:r>
      <w:proofErr w:type="spellEnd"/>
      <w:r w:rsidR="00622815" w:rsidRPr="00990089">
        <w:rPr>
          <w:rStyle w:val="Marquenotebasdepage"/>
          <w:rFonts w:ascii="Century Gothic" w:hAnsi="Century Gothic"/>
        </w:rPr>
        <w:footnoteReference w:id="30"/>
      </w:r>
      <w:r w:rsidR="00622815" w:rsidRPr="00990089">
        <w:rPr>
          <w:rFonts w:ascii="Century Gothic" w:hAnsi="Century Gothic"/>
        </w:rPr>
        <w:t>.</w:t>
      </w:r>
      <w:r w:rsidR="006801FC" w:rsidRPr="001479DF">
        <w:rPr>
          <w:rFonts w:ascii="Century Gothic" w:hAnsi="Century Gothic"/>
        </w:rPr>
        <w:t xml:space="preserve"> </w:t>
      </w:r>
      <w:r w:rsidR="006801FC" w:rsidRPr="00990089">
        <w:rPr>
          <w:rFonts w:ascii="Century Gothic" w:hAnsi="Century Gothic"/>
        </w:rPr>
        <w:t>En général, les hommes et les femmes sont détenus séparément</w:t>
      </w:r>
      <w:r w:rsidR="00661864" w:rsidRPr="00990089">
        <w:rPr>
          <w:rFonts w:ascii="Century Gothic" w:hAnsi="Century Gothic"/>
        </w:rPr>
        <w:t>. Les mineurs et les adultes ne sont pas détenus ensemble à Ouagadougou ; toutefois dans les prisons hors de la capitale, ils sont souvent détenus ensemble parce qu’il n’y a pas d’établissement séparé pour les mineurs. Par ailleurs, les détenus qui attendent d’être jugés sont en général incarcérés avec les détenus déjà condamnés</w:t>
      </w:r>
      <w:r w:rsidR="00CC7B45" w:rsidRPr="00990089">
        <w:rPr>
          <w:rStyle w:val="Marquenotebasdepage"/>
          <w:rFonts w:ascii="Century Gothic" w:hAnsi="Century Gothic"/>
        </w:rPr>
        <w:footnoteReference w:id="31"/>
      </w:r>
      <w:r w:rsidR="00661864" w:rsidRPr="00990089">
        <w:rPr>
          <w:rFonts w:ascii="Century Gothic" w:hAnsi="Century Gothic"/>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6"/>
      </w:tblGrid>
      <w:tr w:rsidR="001536C0" w:rsidRPr="009C096C" w14:paraId="3B91F46A" w14:textId="77777777" w:rsidTr="009C096C">
        <w:tc>
          <w:tcPr>
            <w:tcW w:w="9166" w:type="dxa"/>
            <w:shd w:val="clear" w:color="auto" w:fill="D9D9D9"/>
          </w:tcPr>
          <w:p w14:paraId="0695F896" w14:textId="77777777" w:rsidR="001536C0" w:rsidRPr="009C096C" w:rsidRDefault="001536C0" w:rsidP="009C096C">
            <w:pPr>
              <w:jc w:val="center"/>
              <w:rPr>
                <w:rFonts w:ascii="Century Gothic" w:hAnsi="Century Gothic"/>
                <w:b/>
              </w:rPr>
            </w:pPr>
            <w:r w:rsidRPr="009C096C">
              <w:rPr>
                <w:rFonts w:ascii="Century Gothic" w:hAnsi="Century Gothic"/>
                <w:b/>
              </w:rPr>
              <w:t>Le taux de surpopulation carcérale des maisons d’arrêt et de correction du Burkina Faso au 8 juin 2015(Source: service des statistiques pénitentiaires de la DGGSP)</w:t>
            </w:r>
          </w:p>
          <w:p w14:paraId="426E36D5" w14:textId="77777777" w:rsidR="001536C0" w:rsidRPr="009C096C" w:rsidRDefault="001536C0" w:rsidP="009C096C">
            <w:pPr>
              <w:jc w:val="both"/>
              <w:rPr>
                <w:rFonts w:ascii="Century Gothic" w:hAnsi="Century Gothic"/>
              </w:rPr>
            </w:pPr>
          </w:p>
          <w:p w14:paraId="708A06AD" w14:textId="4FF94BAE" w:rsidR="001536C0" w:rsidRPr="009C096C" w:rsidRDefault="001536C0" w:rsidP="00990089">
            <w:pPr>
              <w:jc w:val="both"/>
              <w:rPr>
                <w:rFonts w:ascii="Century Gothic" w:hAnsi="Century Gothic"/>
                <w:lang w:val="x-none"/>
              </w:rPr>
            </w:pPr>
            <w:r w:rsidRPr="009C096C">
              <w:rPr>
                <w:rFonts w:ascii="Century Gothic" w:hAnsi="Century Gothic"/>
                <w:b/>
              </w:rPr>
              <w:t xml:space="preserve">Etablissements pénitentiaires   </w:t>
            </w:r>
            <w:r w:rsidRPr="009C096C">
              <w:rPr>
                <w:rFonts w:ascii="Century Gothic" w:hAnsi="Century Gothic"/>
                <w:b/>
              </w:rPr>
              <w:tab/>
            </w:r>
            <w:r w:rsidRPr="009C096C">
              <w:rPr>
                <w:rFonts w:ascii="Century Gothic" w:hAnsi="Century Gothic"/>
                <w:b/>
              </w:rPr>
              <w:tab/>
            </w:r>
            <w:r w:rsidRPr="009C096C">
              <w:rPr>
                <w:rFonts w:ascii="Century Gothic" w:hAnsi="Century Gothic"/>
                <w:b/>
              </w:rPr>
              <w:tab/>
              <w:t xml:space="preserve">Taux de surpopulation </w:t>
            </w:r>
          </w:p>
          <w:p w14:paraId="7A2F107B"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MAC de Tenkodogo</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263%</w:t>
            </w:r>
          </w:p>
          <w:p w14:paraId="7A9845C7"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Bobo-Dioulasso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236%</w:t>
            </w:r>
          </w:p>
          <w:p w14:paraId="3EB9D050"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Ouagadougou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205%</w:t>
            </w:r>
          </w:p>
          <w:p w14:paraId="797971FD"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Kaya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194%</w:t>
            </w:r>
          </w:p>
          <w:p w14:paraId="4316EA73"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w:t>
            </w:r>
            <w:proofErr w:type="spellStart"/>
            <w:r w:rsidRPr="009C096C">
              <w:rPr>
                <w:rFonts w:ascii="Century Gothic" w:hAnsi="Century Gothic"/>
              </w:rPr>
              <w:t>Bogandé</w:t>
            </w:r>
            <w:proofErr w:type="spellEnd"/>
            <w:r w:rsidRPr="009C096C">
              <w:rPr>
                <w:rFonts w:ascii="Century Gothic" w:hAnsi="Century Gothic"/>
              </w:rPr>
              <w:t xml:space="preserve">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178%</w:t>
            </w:r>
          </w:p>
          <w:p w14:paraId="612D1B36"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Fada N’Gourma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123%</w:t>
            </w:r>
          </w:p>
          <w:p w14:paraId="1A79D3DE"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Boromo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112%</w:t>
            </w:r>
          </w:p>
          <w:p w14:paraId="4EC198AE"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Banfora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107%</w:t>
            </w:r>
          </w:p>
          <w:p w14:paraId="740B2B6A"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Manga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 xml:space="preserve">101% </w:t>
            </w:r>
          </w:p>
          <w:p w14:paraId="6B8D8A66"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Ouahigouya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93%</w:t>
            </w:r>
          </w:p>
          <w:p w14:paraId="300365DD"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Koudougou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87%</w:t>
            </w:r>
          </w:p>
          <w:p w14:paraId="0D679E0A"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lastRenderedPageBreak/>
              <w:t xml:space="preserve">MAC de </w:t>
            </w:r>
            <w:proofErr w:type="spellStart"/>
            <w:r w:rsidRPr="009C096C">
              <w:rPr>
                <w:rFonts w:ascii="Century Gothic" w:hAnsi="Century Gothic"/>
              </w:rPr>
              <w:t>Dori</w:t>
            </w:r>
            <w:proofErr w:type="spellEnd"/>
            <w:r w:rsidRPr="009C096C">
              <w:rPr>
                <w:rFonts w:ascii="Century Gothic" w:hAnsi="Century Gothic"/>
              </w:rPr>
              <w:t xml:space="preserve">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62%</w:t>
            </w:r>
          </w:p>
          <w:p w14:paraId="5B269570"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Diapaga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62%</w:t>
            </w:r>
          </w:p>
          <w:p w14:paraId="723FBF2E"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Dédougou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58%</w:t>
            </w:r>
          </w:p>
          <w:p w14:paraId="12962B38"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Léo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41%</w:t>
            </w:r>
          </w:p>
          <w:p w14:paraId="2604BF37"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w:t>
            </w:r>
            <w:proofErr w:type="spellStart"/>
            <w:r w:rsidRPr="009C096C">
              <w:rPr>
                <w:rFonts w:ascii="Century Gothic" w:hAnsi="Century Gothic"/>
              </w:rPr>
              <w:t>Orodara</w:t>
            </w:r>
            <w:proofErr w:type="spellEnd"/>
            <w:r w:rsidRPr="009C096C">
              <w:rPr>
                <w:rFonts w:ascii="Century Gothic" w:hAnsi="Century Gothic"/>
              </w:rPr>
              <w:t xml:space="preserve">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36%</w:t>
            </w:r>
          </w:p>
          <w:p w14:paraId="1F28597B" w14:textId="77777777" w:rsidR="001536C0" w:rsidRPr="009C096C" w:rsidRDefault="001536C0" w:rsidP="009C096C">
            <w:pPr>
              <w:spacing w:line="240" w:lineRule="auto"/>
              <w:jc w:val="both"/>
              <w:rPr>
                <w:rFonts w:ascii="Century Gothic" w:hAnsi="Century Gothic"/>
              </w:rPr>
            </w:pPr>
            <w:r w:rsidRPr="009C096C">
              <w:rPr>
                <w:rFonts w:ascii="Century Gothic" w:hAnsi="Century Gothic"/>
              </w:rPr>
              <w:t xml:space="preserve">MAC de </w:t>
            </w:r>
            <w:proofErr w:type="spellStart"/>
            <w:r w:rsidRPr="009C096C">
              <w:rPr>
                <w:rFonts w:ascii="Century Gothic" w:hAnsi="Century Gothic"/>
              </w:rPr>
              <w:t>Diébougou</w:t>
            </w:r>
            <w:proofErr w:type="spellEnd"/>
            <w:r w:rsidRPr="009C096C">
              <w:rPr>
                <w:rFonts w:ascii="Century Gothic" w:hAnsi="Century Gothic"/>
              </w:rPr>
              <w:t xml:space="preserve"> </w:t>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r>
            <w:r w:rsidRPr="009C096C">
              <w:rPr>
                <w:rFonts w:ascii="Century Gothic" w:hAnsi="Century Gothic"/>
              </w:rPr>
              <w:tab/>
              <w:t>9%</w:t>
            </w:r>
          </w:p>
          <w:p w14:paraId="69FD7582" w14:textId="77777777" w:rsidR="001536C0" w:rsidRPr="009C096C" w:rsidRDefault="001536C0" w:rsidP="009C096C">
            <w:pPr>
              <w:spacing w:after="0" w:line="240" w:lineRule="auto"/>
              <w:jc w:val="both"/>
              <w:rPr>
                <w:rFonts w:ascii="Century Gothic" w:hAnsi="Century Gothic"/>
              </w:rPr>
            </w:pPr>
          </w:p>
        </w:tc>
      </w:tr>
    </w:tbl>
    <w:p w14:paraId="695A4778" w14:textId="77777777" w:rsidR="00A403C4" w:rsidRPr="00C77A20" w:rsidRDefault="00A403C4" w:rsidP="00C77A20">
      <w:pPr>
        <w:spacing w:after="0" w:line="240" w:lineRule="auto"/>
        <w:jc w:val="both"/>
        <w:rPr>
          <w:rFonts w:ascii="Century Gothic" w:hAnsi="Century Gothic"/>
        </w:rPr>
      </w:pPr>
    </w:p>
    <w:p w14:paraId="4774B2F1" w14:textId="77777777" w:rsidR="00A403C4" w:rsidRPr="00C77A20" w:rsidRDefault="00A403C4" w:rsidP="00C77A20">
      <w:pPr>
        <w:pStyle w:val="Grillemoyenne1-Accent21"/>
        <w:autoSpaceDE w:val="0"/>
        <w:autoSpaceDN w:val="0"/>
        <w:adjustRightInd w:val="0"/>
        <w:spacing w:after="0" w:line="240" w:lineRule="auto"/>
        <w:ind w:left="0"/>
        <w:jc w:val="both"/>
        <w:rPr>
          <w:rFonts w:ascii="Century Gothic" w:hAnsi="Century Gothic"/>
          <w:color w:val="1A1A1A"/>
        </w:rPr>
      </w:pPr>
    </w:p>
    <w:p w14:paraId="6301940D" w14:textId="77777777" w:rsidR="0023542B" w:rsidRPr="00C77A20" w:rsidRDefault="000B5197" w:rsidP="00D060B8">
      <w:pPr>
        <w:pStyle w:val="Grillemoyenne1-Accent21"/>
        <w:numPr>
          <w:ilvl w:val="0"/>
          <w:numId w:val="7"/>
        </w:numPr>
        <w:autoSpaceDE w:val="0"/>
        <w:autoSpaceDN w:val="0"/>
        <w:adjustRightInd w:val="0"/>
        <w:spacing w:after="0" w:line="240" w:lineRule="auto"/>
        <w:jc w:val="both"/>
        <w:rPr>
          <w:rFonts w:ascii="Century Gothic" w:hAnsi="Century Gothic"/>
          <w:color w:val="1A1A1A"/>
        </w:rPr>
      </w:pPr>
      <w:r w:rsidRPr="00C77A20">
        <w:rPr>
          <w:rFonts w:ascii="Century Gothic" w:hAnsi="Century Gothic"/>
          <w:b/>
          <w:color w:val="1A1A1A"/>
        </w:rPr>
        <w:t>Accès à l’aide juridictionnelle, y compris les dispositions pratiques pour y avoir</w:t>
      </w:r>
      <w:r w:rsidR="003114AB" w:rsidRPr="00C77A20">
        <w:rPr>
          <w:rFonts w:ascii="Century Gothic" w:hAnsi="Century Gothic"/>
          <w:b/>
          <w:color w:val="1A1A1A"/>
        </w:rPr>
        <w:t xml:space="preserve"> </w:t>
      </w:r>
      <w:r w:rsidRPr="00C77A20">
        <w:rPr>
          <w:rFonts w:ascii="Century Gothic" w:hAnsi="Century Gothic"/>
          <w:b/>
          <w:color w:val="1A1A1A"/>
        </w:rPr>
        <w:t>accès</w:t>
      </w:r>
      <w:r w:rsidR="00DD32B6" w:rsidRPr="00C77A20">
        <w:rPr>
          <w:rFonts w:ascii="Century Gothic" w:hAnsi="Century Gothic"/>
          <w:color w:val="1A1A1A"/>
        </w:rPr>
        <w:t>.</w:t>
      </w:r>
    </w:p>
    <w:p w14:paraId="4E99A205" w14:textId="77777777" w:rsidR="00635EA1" w:rsidRPr="001479DF" w:rsidRDefault="00503176" w:rsidP="00C77A20">
      <w:pPr>
        <w:pStyle w:val="Grillemoyenne1-Accent21"/>
        <w:autoSpaceDE w:val="0"/>
        <w:autoSpaceDN w:val="0"/>
        <w:adjustRightInd w:val="0"/>
        <w:spacing w:after="0" w:line="240" w:lineRule="auto"/>
        <w:ind w:left="0"/>
        <w:jc w:val="both"/>
        <w:rPr>
          <w:rFonts w:ascii="Century Gothic" w:hAnsi="Century Gothic"/>
          <w:b/>
        </w:rPr>
      </w:pPr>
      <w:r w:rsidRPr="00C77A20">
        <w:rPr>
          <w:rFonts w:ascii="Century Gothic" w:hAnsi="Century Gothic"/>
        </w:rPr>
        <w:t>Le principe du libre accès à la Justice est consacré par la Constitution et les lois de la République</w:t>
      </w:r>
      <w:r w:rsidR="00ED0568" w:rsidRPr="00C77A20">
        <w:rPr>
          <w:rFonts w:ascii="Century Gothic" w:hAnsi="Century Gothic"/>
        </w:rPr>
        <w:t xml:space="preserve">. </w:t>
      </w:r>
      <w:r w:rsidRPr="00C77A20">
        <w:rPr>
          <w:rFonts w:ascii="Century Gothic" w:hAnsi="Century Gothic"/>
        </w:rPr>
        <w:t xml:space="preserve">Le diagnostic </w:t>
      </w:r>
      <w:r w:rsidR="00ED0568" w:rsidRPr="00C77A20">
        <w:rPr>
          <w:rFonts w:ascii="Century Gothic" w:hAnsi="Century Gothic"/>
        </w:rPr>
        <w:t xml:space="preserve">mené lors des états généraux de la justice </w:t>
      </w:r>
      <w:r w:rsidRPr="00C77A20">
        <w:rPr>
          <w:rFonts w:ascii="Century Gothic" w:hAnsi="Century Gothic"/>
        </w:rPr>
        <w:t>révèle que ce principe essentiel de l’accessibilité de la justice n’est pas effectif.</w:t>
      </w:r>
      <w:r w:rsidR="0074475B" w:rsidRPr="00C77A20">
        <w:rPr>
          <w:rFonts w:ascii="Century Gothic" w:hAnsi="Century Gothic"/>
        </w:rPr>
        <w:t xml:space="preserve"> Et au titre des </w:t>
      </w:r>
      <w:r w:rsidR="0074475B" w:rsidRPr="001479DF">
        <w:rPr>
          <w:rFonts w:ascii="Century Gothic" w:hAnsi="Century Gothic"/>
        </w:rPr>
        <w:t>obstacles à l’accès à la justice, on note :</w:t>
      </w:r>
      <w:r w:rsidR="003114AB" w:rsidRPr="001479DF">
        <w:rPr>
          <w:rFonts w:ascii="Century Gothic" w:hAnsi="Century Gothic"/>
        </w:rPr>
        <w:t xml:space="preserve"> </w:t>
      </w:r>
      <w:r w:rsidR="00E46615" w:rsidRPr="001479DF">
        <w:rPr>
          <w:rFonts w:ascii="Century Gothic" w:hAnsi="Century Gothic"/>
        </w:rPr>
        <w:t xml:space="preserve">le </w:t>
      </w:r>
      <w:r w:rsidR="006E5263" w:rsidRPr="00447D83">
        <w:rPr>
          <w:rFonts w:ascii="Century Gothic" w:hAnsi="Century Gothic"/>
        </w:rPr>
        <w:t xml:space="preserve">manque d’information sur l’existence même de l’aide juridictionnelle, le </w:t>
      </w:r>
      <w:r w:rsidR="00E46615" w:rsidRPr="00B15D45">
        <w:rPr>
          <w:rFonts w:ascii="Century Gothic" w:hAnsi="Century Gothic"/>
        </w:rPr>
        <w:t>nombre limité et éloignement des tribunaux</w:t>
      </w:r>
      <w:r w:rsidR="006E5263" w:rsidRPr="00D713BB">
        <w:rPr>
          <w:rStyle w:val="Marquenotebasdepage"/>
          <w:rFonts w:ascii="Century Gothic" w:hAnsi="Century Gothic"/>
        </w:rPr>
        <w:footnoteReference w:id="32"/>
      </w:r>
      <w:r w:rsidR="00635EA1" w:rsidRPr="004E6D03">
        <w:rPr>
          <w:rFonts w:ascii="Century Gothic" w:hAnsi="Century Gothic"/>
        </w:rPr>
        <w:t xml:space="preserve"> l’i</w:t>
      </w:r>
      <w:r w:rsidR="004B1712" w:rsidRPr="001479DF">
        <w:rPr>
          <w:rFonts w:ascii="Century Gothic" w:hAnsi="Century Gothic"/>
        </w:rPr>
        <w:t>naccessibilité financière</w:t>
      </w:r>
      <w:r w:rsidR="002D1B5E" w:rsidRPr="001479DF">
        <w:rPr>
          <w:rStyle w:val="Marquenotebasdepage"/>
          <w:rFonts w:ascii="Century Gothic" w:hAnsi="Century Gothic"/>
        </w:rPr>
        <w:footnoteReference w:id="33"/>
      </w:r>
      <w:r w:rsidR="00635EA1" w:rsidRPr="001479DF">
        <w:rPr>
          <w:rFonts w:ascii="Century Gothic" w:hAnsi="Century Gothic"/>
          <w:b/>
        </w:rPr>
        <w:t>.</w:t>
      </w:r>
    </w:p>
    <w:p w14:paraId="76E977D9" w14:textId="77777777" w:rsidR="00E5494F" w:rsidRPr="001479DF" w:rsidRDefault="002D1B5E" w:rsidP="00C77A20">
      <w:pPr>
        <w:pStyle w:val="Grillemoyenne1-Accent21"/>
        <w:autoSpaceDE w:val="0"/>
        <w:autoSpaceDN w:val="0"/>
        <w:adjustRightInd w:val="0"/>
        <w:spacing w:after="0" w:line="240" w:lineRule="auto"/>
        <w:ind w:left="0"/>
        <w:jc w:val="both"/>
        <w:rPr>
          <w:rStyle w:val="hps"/>
          <w:rFonts w:ascii="Century Gothic" w:hAnsi="Century Gothic"/>
        </w:rPr>
      </w:pPr>
      <w:r w:rsidRPr="00D80D55">
        <w:rPr>
          <w:rFonts w:ascii="Century Gothic" w:hAnsi="Century Gothic"/>
        </w:rPr>
        <w:t xml:space="preserve">C’est pour répondre à la problématique de </w:t>
      </w:r>
      <w:r w:rsidR="00FB2CFF" w:rsidRPr="00D80D55">
        <w:rPr>
          <w:rFonts w:ascii="Century Gothic" w:hAnsi="Century Gothic"/>
        </w:rPr>
        <w:t>manque de r</w:t>
      </w:r>
      <w:r w:rsidR="002046E7" w:rsidRPr="00D80D55">
        <w:rPr>
          <w:rFonts w:ascii="Century Gothic" w:hAnsi="Century Gothic"/>
        </w:rPr>
        <w:t>essources financières adéquates</w:t>
      </w:r>
      <w:r w:rsidRPr="00D80D55">
        <w:rPr>
          <w:rFonts w:ascii="Century Gothic" w:hAnsi="Century Gothic"/>
        </w:rPr>
        <w:t xml:space="preserve"> qu’un </w:t>
      </w:r>
      <w:r w:rsidR="00ED0568" w:rsidRPr="00D80D55">
        <w:rPr>
          <w:rStyle w:val="hps"/>
          <w:rFonts w:ascii="Century Gothic" w:hAnsi="Century Gothic"/>
        </w:rPr>
        <w:t>sys</w:t>
      </w:r>
      <w:r w:rsidRPr="00D80D55">
        <w:rPr>
          <w:rStyle w:val="hps"/>
          <w:rFonts w:ascii="Century Gothic" w:hAnsi="Century Gothic"/>
        </w:rPr>
        <w:t>tème d’assistance judiciaire</w:t>
      </w:r>
      <w:r w:rsidR="003114AB" w:rsidRPr="00D80D55">
        <w:rPr>
          <w:rStyle w:val="hps"/>
          <w:rFonts w:ascii="Century Gothic" w:hAnsi="Century Gothic"/>
        </w:rPr>
        <w:t xml:space="preserve"> </w:t>
      </w:r>
      <w:r w:rsidRPr="00D80D55">
        <w:rPr>
          <w:rStyle w:val="hps"/>
          <w:rFonts w:ascii="Century Gothic" w:hAnsi="Century Gothic"/>
        </w:rPr>
        <w:t xml:space="preserve">a été mis en place avec un fonds alimenté à hauteur de </w:t>
      </w:r>
      <w:r w:rsidR="004F15C3" w:rsidRPr="00D80D55">
        <w:rPr>
          <w:rStyle w:val="hps"/>
          <w:rFonts w:ascii="Century Gothic" w:hAnsi="Century Gothic"/>
        </w:rPr>
        <w:t>1</w:t>
      </w:r>
      <w:r w:rsidRPr="00D80D55">
        <w:rPr>
          <w:rStyle w:val="hps"/>
          <w:rFonts w:ascii="Century Gothic" w:hAnsi="Century Gothic"/>
        </w:rPr>
        <w:t>00 millions</w:t>
      </w:r>
      <w:r w:rsidR="00DD6642" w:rsidRPr="00D80D55">
        <w:rPr>
          <w:rStyle w:val="hps"/>
          <w:rFonts w:ascii="Century Gothic" w:hAnsi="Century Gothic"/>
        </w:rPr>
        <w:t xml:space="preserve"> CFA</w:t>
      </w:r>
      <w:r w:rsidRPr="00D80D55">
        <w:rPr>
          <w:rStyle w:val="hps"/>
          <w:rFonts w:ascii="Century Gothic" w:hAnsi="Century Gothic"/>
        </w:rPr>
        <w:t xml:space="preserve">. Ce système est </w:t>
      </w:r>
      <w:r w:rsidR="00ED0568" w:rsidRPr="00D80D55">
        <w:rPr>
          <w:rStyle w:val="hps"/>
          <w:rFonts w:ascii="Century Gothic" w:hAnsi="Century Gothic"/>
        </w:rPr>
        <w:t xml:space="preserve">régi par le </w:t>
      </w:r>
      <w:r w:rsidR="000979E7" w:rsidRPr="00D80D55">
        <w:rPr>
          <w:rStyle w:val="hps"/>
          <w:rFonts w:ascii="Century Gothic" w:hAnsi="Century Gothic"/>
        </w:rPr>
        <w:t xml:space="preserve">Décret 2009-558/PRES/PM/MJ/MEF/MATD du 22 juillet 2009 portant assistance judiciaire au Burkina Faso </w:t>
      </w:r>
      <w:r w:rsidR="00ED0568" w:rsidRPr="00D80D55">
        <w:rPr>
          <w:rStyle w:val="hps"/>
          <w:rFonts w:ascii="Century Gothic" w:hAnsi="Century Gothic"/>
        </w:rPr>
        <w:t xml:space="preserve">et le </w:t>
      </w:r>
      <w:r w:rsidR="002059F0" w:rsidRPr="00D80D55">
        <w:rPr>
          <w:rStyle w:val="hps"/>
          <w:rFonts w:ascii="Century Gothic" w:hAnsi="Century Gothic"/>
        </w:rPr>
        <w:t xml:space="preserve">Décret </w:t>
      </w:r>
      <w:r w:rsidR="000979E7" w:rsidRPr="00D80D55">
        <w:rPr>
          <w:rStyle w:val="hps"/>
          <w:rFonts w:ascii="Century Gothic" w:hAnsi="Century Gothic"/>
        </w:rPr>
        <w:t>2013/477PRES/PM/MJ/MEF du 11 juin 2013 portant création, organisation, attribution et fonctionnement d’un fonds d’assistance judiciaire. JO N</w:t>
      </w:r>
      <w:r w:rsidR="002059F0" w:rsidRPr="00D80D55">
        <w:rPr>
          <w:rStyle w:val="hps"/>
          <w:rFonts w:ascii="Century Gothic" w:hAnsi="Century Gothic"/>
        </w:rPr>
        <w:t>º</w:t>
      </w:r>
      <w:r w:rsidRPr="00D80D55">
        <w:rPr>
          <w:rStyle w:val="hps"/>
          <w:rFonts w:ascii="Century Gothic" w:hAnsi="Century Gothic"/>
        </w:rPr>
        <w:t>36 du 5 septembre 2013</w:t>
      </w:r>
      <w:r w:rsidR="00ED0568" w:rsidRPr="00D80D55">
        <w:rPr>
          <w:rStyle w:val="hps"/>
          <w:rFonts w:ascii="Century Gothic" w:hAnsi="Century Gothic"/>
        </w:rPr>
        <w:t xml:space="preserve">. </w:t>
      </w:r>
      <w:r w:rsidR="00CE71F3" w:rsidRPr="00D80D55">
        <w:rPr>
          <w:rStyle w:val="hps"/>
          <w:rFonts w:ascii="Century Gothic" w:hAnsi="Century Gothic"/>
        </w:rPr>
        <w:t xml:space="preserve">L’opérationnalisation du fonds étant à ses débuts, </w:t>
      </w:r>
      <w:r w:rsidR="004F15C3" w:rsidRPr="00D80D55">
        <w:rPr>
          <w:rStyle w:val="hps"/>
          <w:rFonts w:ascii="Century Gothic" w:hAnsi="Century Gothic"/>
        </w:rPr>
        <w:t>il n’a pas été possible d’apprécier son fonctionnement. Toutefois, il faut noter que certains acteurs impliqués dans la gestion du fonds ont souligné le montant insuffisant du budget alloué au fonds au regard</w:t>
      </w:r>
      <w:r w:rsidR="00187D4D" w:rsidRPr="00D80D55">
        <w:rPr>
          <w:rStyle w:val="hps"/>
          <w:rFonts w:ascii="Century Gothic" w:hAnsi="Century Gothic"/>
        </w:rPr>
        <w:t xml:space="preserve"> du grand nombre de personnes éligibles à ce fonds. Au sien de chaque tribunal de grande instance, il est institué une commission d’assistance judiciaire chargée de recevoir les différentes requêtes initiées par les justiciables</w:t>
      </w:r>
      <w:r w:rsidR="00D8286B" w:rsidRPr="00D80D55">
        <w:rPr>
          <w:rStyle w:val="Marquenotebasdepage"/>
          <w:rFonts w:ascii="Century Gothic" w:hAnsi="Century Gothic"/>
        </w:rPr>
        <w:footnoteReference w:id="34"/>
      </w:r>
      <w:r w:rsidR="00187D4D" w:rsidRPr="00D80D55">
        <w:rPr>
          <w:rStyle w:val="hps"/>
          <w:rFonts w:ascii="Century Gothic" w:hAnsi="Century Gothic"/>
        </w:rPr>
        <w:t>.</w:t>
      </w:r>
    </w:p>
    <w:p w14:paraId="75A7BE75" w14:textId="77777777" w:rsidR="00D466FD" w:rsidRPr="00C77A20" w:rsidRDefault="00E46615" w:rsidP="00C77A20">
      <w:pPr>
        <w:autoSpaceDE w:val="0"/>
        <w:autoSpaceDN w:val="0"/>
        <w:adjustRightInd w:val="0"/>
        <w:spacing w:after="0" w:line="240" w:lineRule="auto"/>
        <w:contextualSpacing/>
        <w:jc w:val="both"/>
        <w:rPr>
          <w:rStyle w:val="hps"/>
          <w:rFonts w:ascii="Century Gothic" w:hAnsi="Century Gothic"/>
          <w:b/>
          <w:bCs/>
        </w:rPr>
      </w:pPr>
      <w:r w:rsidRPr="00447D83">
        <w:rPr>
          <w:rStyle w:val="hps"/>
          <w:rFonts w:ascii="Century Gothic" w:hAnsi="Century Gothic"/>
        </w:rPr>
        <w:t>Le gouvernement a engagé le</w:t>
      </w:r>
      <w:r w:rsidRPr="00C77A20">
        <w:rPr>
          <w:rFonts w:ascii="Century Gothic" w:hAnsi="Century Gothic"/>
          <w:bCs/>
        </w:rPr>
        <w:t xml:space="preserve"> jeudi 16 octobre 2014</w:t>
      </w:r>
      <w:r w:rsidR="00EB7E14">
        <w:rPr>
          <w:rFonts w:ascii="Century Gothic" w:hAnsi="Century Gothic"/>
          <w:bCs/>
        </w:rPr>
        <w:t xml:space="preserve"> </w:t>
      </w:r>
      <w:r w:rsidRPr="00C77A20">
        <w:rPr>
          <w:rFonts w:ascii="Century Gothic" w:hAnsi="Century Gothic"/>
          <w:bCs/>
        </w:rPr>
        <w:t xml:space="preserve">à </w:t>
      </w:r>
      <w:proofErr w:type="spellStart"/>
      <w:r w:rsidRPr="00C77A20">
        <w:rPr>
          <w:rFonts w:ascii="Century Gothic" w:hAnsi="Century Gothic"/>
          <w:bCs/>
        </w:rPr>
        <w:t>Ziniaré</w:t>
      </w:r>
      <w:proofErr w:type="spellEnd"/>
      <w:r w:rsidRPr="00C77A20">
        <w:rPr>
          <w:rFonts w:ascii="Century Gothic" w:hAnsi="Century Gothic"/>
          <w:bCs/>
        </w:rPr>
        <w:t xml:space="preserve">, une campagne d'information et de sensibilisation des acteurs locaux sur le système d'assistance judiciaire au profit des populations démunies devant </w:t>
      </w:r>
      <w:r w:rsidRPr="00C77A20">
        <w:rPr>
          <w:rFonts w:ascii="Century Gothic" w:hAnsi="Century Gothic"/>
        </w:rPr>
        <w:t>leur permettre d'exercer des actions en justice pour la défense de leurs droits en qualité de demandeur ou de défenseur. C'est donc un outil de solidarité dont le but principal est d'assurer l'égalité de tous les citoyens devant la justice</w:t>
      </w:r>
      <w:r w:rsidR="00B04720" w:rsidRPr="00C77A20">
        <w:rPr>
          <w:rFonts w:ascii="Century Gothic" w:hAnsi="Century Gothic"/>
        </w:rPr>
        <w:t>.</w:t>
      </w:r>
    </w:p>
    <w:p w14:paraId="3F428DCF" w14:textId="77777777" w:rsidR="008214E1" w:rsidRPr="00B15D45" w:rsidRDefault="00AF1816" w:rsidP="00C77A20">
      <w:pPr>
        <w:pStyle w:val="Grillemoyenne1-Accent21"/>
        <w:spacing w:before="100" w:beforeAutospacing="1" w:line="240" w:lineRule="auto"/>
        <w:ind w:left="0"/>
        <w:jc w:val="both"/>
        <w:rPr>
          <w:rStyle w:val="hps"/>
          <w:rFonts w:ascii="Century Gothic" w:hAnsi="Century Gothic"/>
          <w:b/>
        </w:rPr>
      </w:pPr>
      <w:r w:rsidRPr="00C77A20">
        <w:rPr>
          <w:rStyle w:val="hps"/>
          <w:rFonts w:ascii="Century Gothic" w:hAnsi="Century Gothic"/>
          <w:b/>
          <w:i/>
          <w:u w:val="single"/>
        </w:rPr>
        <w:t xml:space="preserve">Suggestions de </w:t>
      </w:r>
      <w:r w:rsidRPr="001479DF">
        <w:rPr>
          <w:rStyle w:val="hps"/>
          <w:rFonts w:ascii="Century Gothic" w:hAnsi="Century Gothic"/>
          <w:b/>
          <w:i/>
          <w:u w:val="single"/>
        </w:rPr>
        <w:t>questions provenant</w:t>
      </w:r>
      <w:r w:rsidR="006131B0" w:rsidRPr="001479DF">
        <w:rPr>
          <w:rStyle w:val="hps"/>
          <w:rFonts w:ascii="Century Gothic" w:hAnsi="Century Gothic"/>
          <w:b/>
          <w:i/>
          <w:u w:val="single"/>
        </w:rPr>
        <w:t xml:space="preserve"> de la société c</w:t>
      </w:r>
      <w:r w:rsidR="006131B0" w:rsidRPr="00447D83">
        <w:rPr>
          <w:rStyle w:val="hps"/>
          <w:rFonts w:ascii="Century Gothic" w:hAnsi="Century Gothic"/>
          <w:b/>
          <w:i/>
          <w:u w:val="single"/>
        </w:rPr>
        <w:t>ivile relatives aux points ci-dessus</w:t>
      </w:r>
      <w:r w:rsidR="006131B0" w:rsidRPr="00B15D45">
        <w:rPr>
          <w:rStyle w:val="hps"/>
          <w:rFonts w:ascii="Century Gothic" w:hAnsi="Century Gothic"/>
          <w:b/>
        </w:rPr>
        <w:t> :</w:t>
      </w:r>
    </w:p>
    <w:p w14:paraId="7747090D" w14:textId="77777777" w:rsidR="009E3711" w:rsidRPr="00D80D55" w:rsidRDefault="009E3711" w:rsidP="00D060B8">
      <w:pPr>
        <w:pStyle w:val="Grillemoyenne1-Accent21"/>
        <w:numPr>
          <w:ilvl w:val="0"/>
          <w:numId w:val="25"/>
        </w:numPr>
        <w:spacing w:line="240" w:lineRule="auto"/>
        <w:jc w:val="both"/>
        <w:rPr>
          <w:rStyle w:val="hps"/>
          <w:rFonts w:ascii="Century Gothic" w:hAnsi="Century Gothic"/>
        </w:rPr>
      </w:pPr>
      <w:r w:rsidRPr="00D80D55">
        <w:rPr>
          <w:rStyle w:val="hps"/>
          <w:rFonts w:ascii="Century Gothic" w:hAnsi="Century Gothic"/>
        </w:rPr>
        <w:t>Quelles mesures concrètes et définitives le gouvernement compte-t-il prendre en vue de garantir efficacement l’indépendance de la justice vis-à-vis des autres pouvoirs au Burkina Faso ?</w:t>
      </w:r>
    </w:p>
    <w:p w14:paraId="7B33232B" w14:textId="77777777" w:rsidR="006131B0" w:rsidRDefault="003F16DD" w:rsidP="00D060B8">
      <w:pPr>
        <w:pStyle w:val="Grillemoyenne1-Accent21"/>
        <w:numPr>
          <w:ilvl w:val="0"/>
          <w:numId w:val="25"/>
        </w:numPr>
        <w:spacing w:line="240" w:lineRule="auto"/>
        <w:jc w:val="both"/>
        <w:rPr>
          <w:rStyle w:val="hps"/>
          <w:rFonts w:ascii="Century Gothic" w:hAnsi="Century Gothic"/>
        </w:rPr>
      </w:pPr>
      <w:r w:rsidRPr="001479DF">
        <w:rPr>
          <w:rStyle w:val="hps"/>
          <w:rFonts w:ascii="Century Gothic" w:hAnsi="Century Gothic"/>
        </w:rPr>
        <w:lastRenderedPageBreak/>
        <w:t>Quelle</w:t>
      </w:r>
      <w:r w:rsidR="00B130A7" w:rsidRPr="001479DF">
        <w:rPr>
          <w:rStyle w:val="hps"/>
          <w:rFonts w:ascii="Century Gothic" w:hAnsi="Century Gothic"/>
        </w:rPr>
        <w:t>s</w:t>
      </w:r>
      <w:r w:rsidRPr="00447D83">
        <w:rPr>
          <w:rStyle w:val="hps"/>
          <w:rFonts w:ascii="Century Gothic" w:hAnsi="Century Gothic"/>
        </w:rPr>
        <w:t xml:space="preserve"> mesure</w:t>
      </w:r>
      <w:r w:rsidR="00B130A7" w:rsidRPr="00B15D45">
        <w:rPr>
          <w:rStyle w:val="hps"/>
          <w:rFonts w:ascii="Century Gothic" w:hAnsi="Century Gothic"/>
        </w:rPr>
        <w:t>s</w:t>
      </w:r>
      <w:r w:rsidR="00FF01AB" w:rsidRPr="00B15D45">
        <w:rPr>
          <w:rStyle w:val="hps"/>
          <w:rFonts w:ascii="Century Gothic" w:hAnsi="Century Gothic"/>
        </w:rPr>
        <w:t xml:space="preserve"> l’État compte-</w:t>
      </w:r>
      <w:r w:rsidR="00FF01AB" w:rsidRPr="00D713BB">
        <w:rPr>
          <w:rStyle w:val="hps"/>
          <w:rFonts w:ascii="Century Gothic" w:hAnsi="Century Gothic"/>
        </w:rPr>
        <w:t xml:space="preserve">t-il </w:t>
      </w:r>
      <w:r w:rsidRPr="004E6D03">
        <w:rPr>
          <w:rStyle w:val="hps"/>
          <w:rFonts w:ascii="Century Gothic" w:hAnsi="Century Gothic"/>
        </w:rPr>
        <w:t>prendre</w:t>
      </w:r>
      <w:r w:rsidRPr="00C77A20">
        <w:rPr>
          <w:rStyle w:val="hps"/>
          <w:rFonts w:ascii="Century Gothic" w:hAnsi="Century Gothic"/>
        </w:rPr>
        <w:t xml:space="preserve"> pour faciliter l’accès à la justice et lever les craintes, </w:t>
      </w:r>
      <w:r w:rsidR="005113C9" w:rsidRPr="00C77A20">
        <w:rPr>
          <w:rStyle w:val="hps"/>
          <w:rFonts w:ascii="Century Gothic" w:hAnsi="Century Gothic"/>
        </w:rPr>
        <w:t xml:space="preserve">les </w:t>
      </w:r>
      <w:r w:rsidRPr="00C77A20">
        <w:rPr>
          <w:rStyle w:val="hps"/>
          <w:rFonts w:ascii="Century Gothic" w:hAnsi="Century Gothic"/>
        </w:rPr>
        <w:t xml:space="preserve">réticences et </w:t>
      </w:r>
      <w:r w:rsidR="005D2671" w:rsidRPr="00C77A20">
        <w:rPr>
          <w:rStyle w:val="hps"/>
          <w:rFonts w:ascii="Century Gothic" w:hAnsi="Century Gothic"/>
        </w:rPr>
        <w:t>les-a-</w:t>
      </w:r>
      <w:r w:rsidRPr="00C77A20">
        <w:rPr>
          <w:rStyle w:val="hps"/>
          <w:rFonts w:ascii="Century Gothic" w:hAnsi="Century Gothic"/>
        </w:rPr>
        <w:t>priori défavorables vis-à-vis de l’institution judiciaire ? </w:t>
      </w:r>
    </w:p>
    <w:p w14:paraId="73D914BD" w14:textId="77777777" w:rsidR="00C50C07" w:rsidRPr="00C77A20" w:rsidRDefault="00C50C07" w:rsidP="00D060B8">
      <w:pPr>
        <w:pStyle w:val="Grillemoyenne1-Accent21"/>
        <w:numPr>
          <w:ilvl w:val="0"/>
          <w:numId w:val="25"/>
        </w:numPr>
        <w:spacing w:line="240" w:lineRule="auto"/>
        <w:jc w:val="both"/>
        <w:rPr>
          <w:rStyle w:val="hps"/>
          <w:rFonts w:ascii="Century Gothic" w:hAnsi="Century Gothic"/>
        </w:rPr>
      </w:pPr>
      <w:r w:rsidRPr="00535BBB">
        <w:rPr>
          <w:rStyle w:val="hps"/>
          <w:rFonts w:ascii="Century Gothic" w:hAnsi="Century Gothic"/>
        </w:rPr>
        <w:t>Que compte faire le gouvernement dans l’optique de l’opérationnalisation du Fonds d’assistance judiciaire ?</w:t>
      </w:r>
    </w:p>
    <w:p w14:paraId="69FD9B0E" w14:textId="77777777" w:rsidR="004E0194" w:rsidRPr="00B15D45" w:rsidRDefault="004E0194" w:rsidP="00D060B8">
      <w:pPr>
        <w:pStyle w:val="Grillemoyenne1-Accent21"/>
        <w:numPr>
          <w:ilvl w:val="0"/>
          <w:numId w:val="25"/>
        </w:numPr>
        <w:spacing w:line="240" w:lineRule="auto"/>
        <w:jc w:val="both"/>
        <w:rPr>
          <w:rStyle w:val="hps"/>
          <w:rFonts w:ascii="Century Gothic" w:hAnsi="Century Gothic"/>
        </w:rPr>
      </w:pPr>
      <w:r w:rsidRPr="00C77A20">
        <w:rPr>
          <w:rStyle w:val="hps"/>
          <w:rFonts w:ascii="Century Gothic" w:hAnsi="Century Gothic"/>
        </w:rPr>
        <w:t xml:space="preserve">Quelles mesures </w:t>
      </w:r>
      <w:r w:rsidRPr="001479DF">
        <w:rPr>
          <w:rStyle w:val="hps"/>
          <w:rFonts w:ascii="Century Gothic" w:hAnsi="Century Gothic"/>
        </w:rPr>
        <w:t>l’É</w:t>
      </w:r>
      <w:r w:rsidR="006C1678" w:rsidRPr="00447D83">
        <w:rPr>
          <w:rStyle w:val="hps"/>
          <w:rFonts w:ascii="Century Gothic" w:hAnsi="Century Gothic"/>
        </w:rPr>
        <w:t>tat prendre pour lutter contre l</w:t>
      </w:r>
      <w:r w:rsidRPr="00B15D45">
        <w:rPr>
          <w:rStyle w:val="hps"/>
          <w:rFonts w:ascii="Century Gothic" w:hAnsi="Century Gothic"/>
        </w:rPr>
        <w:t>a corruption dans le milieu judiciaire ?</w:t>
      </w:r>
    </w:p>
    <w:p w14:paraId="413266CA" w14:textId="77777777" w:rsidR="0098294C" w:rsidRPr="00D80D55" w:rsidRDefault="009E3711" w:rsidP="00D060B8">
      <w:pPr>
        <w:pStyle w:val="Grillemoyenne1-Accent21"/>
        <w:numPr>
          <w:ilvl w:val="0"/>
          <w:numId w:val="25"/>
        </w:numPr>
        <w:spacing w:line="240" w:lineRule="auto"/>
        <w:jc w:val="both"/>
        <w:rPr>
          <w:rStyle w:val="hps"/>
          <w:rFonts w:ascii="Century Gothic" w:hAnsi="Century Gothic"/>
        </w:rPr>
      </w:pPr>
      <w:r w:rsidRPr="00D80D55">
        <w:rPr>
          <w:rStyle w:val="hps"/>
          <w:rFonts w:ascii="Century Gothic" w:hAnsi="Century Gothic"/>
        </w:rPr>
        <w:t>Quelles sont les mesures concrètes que compte prendre le gouvernement afin de juguler le problème de la surpopulation carcérale observée dans les maisons d’arrêt et de correction du pays ?</w:t>
      </w:r>
    </w:p>
    <w:p w14:paraId="459E3324" w14:textId="77777777" w:rsidR="000B2D9A" w:rsidRPr="00535BBB" w:rsidRDefault="000B2D9A" w:rsidP="00D91062">
      <w:pPr>
        <w:pStyle w:val="Grillemoyenne1-Accent21"/>
        <w:ind w:left="0"/>
        <w:jc w:val="both"/>
        <w:rPr>
          <w:rStyle w:val="hps"/>
          <w:rFonts w:ascii="Century Gothic" w:hAnsi="Century Gothic"/>
          <w:sz w:val="26"/>
          <w:szCs w:val="26"/>
        </w:rPr>
      </w:pPr>
    </w:p>
    <w:p w14:paraId="611CCB29" w14:textId="77777777" w:rsidR="001914A3" w:rsidRPr="00C669D8" w:rsidRDefault="000B2D9A" w:rsidP="00D060B8">
      <w:pPr>
        <w:pStyle w:val="Grillemoyenne1-Accent21"/>
        <w:numPr>
          <w:ilvl w:val="0"/>
          <w:numId w:val="36"/>
        </w:numPr>
        <w:spacing w:before="240" w:line="240" w:lineRule="auto"/>
        <w:jc w:val="both"/>
        <w:outlineLvl w:val="0"/>
        <w:rPr>
          <w:rFonts w:ascii="Century Gothic" w:hAnsi="Century Gothic"/>
        </w:rPr>
      </w:pPr>
      <w:bookmarkStart w:id="8" w:name="_Toc426711284"/>
      <w:r w:rsidRPr="00C669D8">
        <w:rPr>
          <w:rStyle w:val="hps"/>
          <w:rFonts w:ascii="Century Gothic" w:hAnsi="Century Gothic"/>
          <w:b/>
          <w:u w:val="single"/>
        </w:rPr>
        <w:t>Droits à la vie</w:t>
      </w:r>
      <w:r w:rsidRPr="00C669D8">
        <w:rPr>
          <w:rFonts w:ascii="Century Gothic" w:hAnsi="Century Gothic"/>
          <w:b/>
          <w:u w:val="single"/>
        </w:rPr>
        <w:t xml:space="preserve">, lutte contre la torture, </w:t>
      </w:r>
      <w:r w:rsidRPr="00C669D8">
        <w:rPr>
          <w:rStyle w:val="hps"/>
          <w:rFonts w:ascii="Century Gothic" w:hAnsi="Century Gothic"/>
          <w:b/>
          <w:u w:val="single"/>
        </w:rPr>
        <w:t>la liberté et la</w:t>
      </w:r>
      <w:r w:rsidR="00D46645" w:rsidRPr="00C669D8">
        <w:rPr>
          <w:rStyle w:val="hps"/>
          <w:rFonts w:ascii="Century Gothic" w:hAnsi="Century Gothic"/>
          <w:b/>
          <w:u w:val="single"/>
        </w:rPr>
        <w:t xml:space="preserve"> </w:t>
      </w:r>
      <w:r w:rsidRPr="00C669D8">
        <w:rPr>
          <w:rStyle w:val="hps"/>
          <w:rFonts w:ascii="Century Gothic" w:hAnsi="Century Gothic"/>
          <w:b/>
          <w:u w:val="single"/>
        </w:rPr>
        <w:t>sécurité de la personne</w:t>
      </w:r>
      <w:r w:rsidR="00D46645" w:rsidRPr="00C669D8">
        <w:rPr>
          <w:rStyle w:val="hps"/>
          <w:rFonts w:ascii="Century Gothic" w:hAnsi="Century Gothic"/>
          <w:b/>
          <w:u w:val="single"/>
        </w:rPr>
        <w:t xml:space="preserve"> </w:t>
      </w:r>
      <w:r w:rsidRPr="00C669D8">
        <w:rPr>
          <w:rStyle w:val="hps"/>
          <w:rFonts w:ascii="Century Gothic" w:hAnsi="Century Gothic"/>
          <w:b/>
          <w:u w:val="single"/>
        </w:rPr>
        <w:t>et de l'esclavage</w:t>
      </w:r>
      <w:r w:rsidR="0033521B" w:rsidRPr="00C669D8">
        <w:rPr>
          <w:rStyle w:val="hps"/>
          <w:rFonts w:ascii="Century Gothic" w:hAnsi="Century Gothic"/>
          <w:b/>
          <w:u w:val="single"/>
        </w:rPr>
        <w:t>.</w:t>
      </w:r>
      <w:bookmarkEnd w:id="8"/>
    </w:p>
    <w:p w14:paraId="28AAD0FE" w14:textId="77777777" w:rsidR="001914A3" w:rsidRPr="00C669D8" w:rsidRDefault="001914A3" w:rsidP="00D060B8">
      <w:pPr>
        <w:numPr>
          <w:ilvl w:val="0"/>
          <w:numId w:val="4"/>
        </w:numPr>
        <w:tabs>
          <w:tab w:val="left" w:pos="709"/>
        </w:tabs>
        <w:spacing w:line="240" w:lineRule="auto"/>
        <w:ind w:left="709" w:hanging="283"/>
        <w:contextualSpacing/>
        <w:jc w:val="both"/>
        <w:outlineLvl w:val="0"/>
        <w:rPr>
          <w:rStyle w:val="hps"/>
          <w:rFonts w:ascii="Century Gothic" w:hAnsi="Century Gothic"/>
          <w:b/>
        </w:rPr>
      </w:pPr>
      <w:bookmarkStart w:id="9" w:name="_Toc426711285"/>
      <w:r w:rsidRPr="00C669D8">
        <w:rPr>
          <w:rStyle w:val="hps"/>
          <w:rFonts w:ascii="Century Gothic" w:hAnsi="Century Gothic"/>
          <w:b/>
        </w:rPr>
        <w:t>Droit à la vie</w:t>
      </w:r>
      <w:r w:rsidR="00A36266" w:rsidRPr="00C669D8">
        <w:rPr>
          <w:rStyle w:val="hps"/>
          <w:rFonts w:ascii="Century Gothic" w:hAnsi="Century Gothic"/>
          <w:b/>
        </w:rPr>
        <w:t xml:space="preserve"> </w:t>
      </w:r>
      <w:r w:rsidRPr="00C669D8">
        <w:rPr>
          <w:rStyle w:val="hps"/>
          <w:rFonts w:ascii="Century Gothic" w:hAnsi="Century Gothic"/>
          <w:b/>
        </w:rPr>
        <w:t>(art</w:t>
      </w:r>
      <w:r w:rsidRPr="00C669D8">
        <w:rPr>
          <w:rFonts w:ascii="Century Gothic" w:hAnsi="Century Gothic"/>
          <w:b/>
        </w:rPr>
        <w:t xml:space="preserve">. </w:t>
      </w:r>
      <w:r w:rsidRPr="00C669D8">
        <w:rPr>
          <w:rStyle w:val="hps"/>
          <w:rFonts w:ascii="Century Gothic" w:hAnsi="Century Gothic"/>
          <w:b/>
        </w:rPr>
        <w:t>6</w:t>
      </w:r>
      <w:r w:rsidRPr="00C669D8">
        <w:rPr>
          <w:rFonts w:ascii="Century Gothic" w:hAnsi="Century Gothic"/>
          <w:b/>
        </w:rPr>
        <w:t>)</w:t>
      </w:r>
      <w:bookmarkEnd w:id="9"/>
    </w:p>
    <w:p w14:paraId="3C2065BC" w14:textId="77777777" w:rsidR="00281C89" w:rsidRPr="00C669D8" w:rsidRDefault="00D76911" w:rsidP="00C669D8">
      <w:pPr>
        <w:spacing w:line="240" w:lineRule="auto"/>
        <w:jc w:val="both"/>
        <w:rPr>
          <w:rStyle w:val="hps"/>
          <w:rFonts w:ascii="Century Gothic" w:hAnsi="Century Gothic"/>
          <w:color w:val="8496B0"/>
        </w:rPr>
      </w:pPr>
      <w:r w:rsidRPr="00C669D8">
        <w:rPr>
          <w:rStyle w:val="hps"/>
          <w:rFonts w:ascii="Century Gothic" w:hAnsi="Century Gothic"/>
        </w:rPr>
        <w:t>La</w:t>
      </w:r>
      <w:r w:rsidR="001914A3" w:rsidRPr="00C669D8">
        <w:rPr>
          <w:rStyle w:val="hps"/>
          <w:rFonts w:ascii="Century Gothic" w:hAnsi="Century Gothic"/>
        </w:rPr>
        <w:t xml:space="preserve"> constitution du Burkina Faso garantit le droit à la vie</w:t>
      </w:r>
      <w:r w:rsidR="00BD4EBC">
        <w:rPr>
          <w:rStyle w:val="Marquenotebasdepage"/>
          <w:rFonts w:ascii="Century Gothic" w:hAnsi="Century Gothic"/>
        </w:rPr>
        <w:footnoteReference w:id="35"/>
      </w:r>
      <w:r w:rsidR="001914A3" w:rsidRPr="00C669D8">
        <w:rPr>
          <w:rStyle w:val="hps"/>
          <w:rFonts w:ascii="Century Gothic" w:hAnsi="Century Gothic"/>
        </w:rPr>
        <w:t>, la sûreté et l’intégrité physique en même temps qu’il interdit les traitements inhumains et cruels, dégradants et humiliants, la torture physique ou morale, les sévices et les mauvais traitements infligés aux enfants et toutes les formes d’avilissement de l’homme</w:t>
      </w:r>
      <w:r w:rsidR="00F81B4C">
        <w:rPr>
          <w:rStyle w:val="Marquenotebasdepage"/>
          <w:rFonts w:ascii="Century Gothic" w:hAnsi="Century Gothic"/>
        </w:rPr>
        <w:footnoteReference w:id="36"/>
      </w:r>
      <w:r w:rsidR="001914A3" w:rsidRPr="00C669D8">
        <w:rPr>
          <w:rStyle w:val="hps"/>
          <w:rFonts w:ascii="Century Gothic" w:hAnsi="Century Gothic"/>
        </w:rPr>
        <w:t xml:space="preserve">. Toutefois, </w:t>
      </w:r>
      <w:r w:rsidR="00281C89" w:rsidRPr="00C669D8">
        <w:rPr>
          <w:rStyle w:val="hps"/>
          <w:rFonts w:ascii="Century Gothic" w:hAnsi="Century Gothic"/>
        </w:rPr>
        <w:t xml:space="preserve">de </w:t>
      </w:r>
      <w:r w:rsidR="001914A3" w:rsidRPr="00C669D8">
        <w:rPr>
          <w:rStyle w:val="hps"/>
          <w:rFonts w:ascii="Century Gothic" w:hAnsi="Century Gothic"/>
        </w:rPr>
        <w:t>grave</w:t>
      </w:r>
      <w:r w:rsidR="00281C89" w:rsidRPr="00C669D8">
        <w:rPr>
          <w:rStyle w:val="hps"/>
          <w:rFonts w:ascii="Century Gothic" w:hAnsi="Century Gothic"/>
        </w:rPr>
        <w:t>s</w:t>
      </w:r>
      <w:r w:rsidR="001914A3" w:rsidRPr="00C669D8">
        <w:rPr>
          <w:rStyle w:val="hps"/>
          <w:rFonts w:ascii="Century Gothic" w:hAnsi="Century Gothic"/>
        </w:rPr>
        <w:t xml:space="preserve"> atteinte</w:t>
      </w:r>
      <w:r w:rsidR="00281C89" w:rsidRPr="00C669D8">
        <w:rPr>
          <w:rStyle w:val="hps"/>
          <w:rFonts w:ascii="Century Gothic" w:hAnsi="Century Gothic"/>
        </w:rPr>
        <w:t>s</w:t>
      </w:r>
      <w:r w:rsidR="001914A3" w:rsidRPr="00C669D8">
        <w:rPr>
          <w:rStyle w:val="hps"/>
          <w:rFonts w:ascii="Century Gothic" w:hAnsi="Century Gothic"/>
        </w:rPr>
        <w:t xml:space="preserve"> au droit à la vie, à la sûreté, à l’intégrité physique de plusieurs individus ainsi qu</w:t>
      </w:r>
      <w:r w:rsidR="00281C89" w:rsidRPr="00C669D8">
        <w:rPr>
          <w:rStyle w:val="hps"/>
          <w:rFonts w:ascii="Century Gothic" w:hAnsi="Century Gothic"/>
        </w:rPr>
        <w:t xml:space="preserve">e </w:t>
      </w:r>
      <w:r w:rsidR="001914A3" w:rsidRPr="00C669D8">
        <w:rPr>
          <w:rStyle w:val="hps"/>
          <w:rFonts w:ascii="Century Gothic" w:hAnsi="Century Gothic"/>
        </w:rPr>
        <w:t>des cas de torture, d’actes de tr</w:t>
      </w:r>
      <w:r w:rsidR="00281C89" w:rsidRPr="00C669D8">
        <w:rPr>
          <w:rStyle w:val="hps"/>
          <w:rFonts w:ascii="Century Gothic" w:hAnsi="Century Gothic"/>
        </w:rPr>
        <w:t>aitements inhumains, dégradants ont été constatées lors des graves crises survenues sociopolitiques en 2011 et surtout en 2014 avec l’insurrection populaire.</w:t>
      </w:r>
    </w:p>
    <w:p w14:paraId="41EB9F62" w14:textId="77777777" w:rsidR="001914A3" w:rsidRPr="00C669D8" w:rsidRDefault="001914A3" w:rsidP="00C669D8">
      <w:pPr>
        <w:tabs>
          <w:tab w:val="left" w:pos="709"/>
        </w:tabs>
        <w:spacing w:line="240" w:lineRule="auto"/>
        <w:contextualSpacing/>
        <w:jc w:val="both"/>
        <w:rPr>
          <w:rFonts w:ascii="Century Gothic" w:hAnsi="Century Gothic"/>
          <w:b/>
          <w:color w:val="1A1A1A"/>
        </w:rPr>
      </w:pPr>
      <w:r w:rsidRPr="00C669D8">
        <w:rPr>
          <w:rFonts w:ascii="Century Gothic" w:hAnsi="Century Gothic"/>
          <w:b/>
          <w:color w:val="1A1A1A"/>
        </w:rPr>
        <w:t>Bilan des événements de 2011</w:t>
      </w:r>
      <w:r w:rsidR="00331925" w:rsidRPr="00C669D8">
        <w:rPr>
          <w:rFonts w:ascii="Century Gothic" w:hAnsi="Century Gothic"/>
          <w:b/>
          <w:color w:val="1A1A1A"/>
        </w:rPr>
        <w:t xml:space="preserve"> : </w:t>
      </w:r>
    </w:p>
    <w:p w14:paraId="074E5463" w14:textId="77777777" w:rsidR="00733E44" w:rsidRPr="00C669D8" w:rsidRDefault="00733E44" w:rsidP="00C669D8">
      <w:p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 xml:space="preserve">La mort dans des circonstances troubles de Justin </w:t>
      </w:r>
      <w:proofErr w:type="spellStart"/>
      <w:r w:rsidRPr="00C669D8">
        <w:rPr>
          <w:rFonts w:ascii="Century Gothic" w:hAnsi="Century Gothic"/>
          <w:color w:val="1A1A1A"/>
        </w:rPr>
        <w:t>Zongo</w:t>
      </w:r>
      <w:proofErr w:type="spellEnd"/>
      <w:r w:rsidRPr="00C669D8">
        <w:rPr>
          <w:rFonts w:ascii="Century Gothic" w:hAnsi="Century Gothic"/>
          <w:color w:val="1A1A1A"/>
        </w:rPr>
        <w:t>, élève à Koudougou des suites de tortures, traitements cruels, inhumains à lui infligés par des élémen</w:t>
      </w:r>
      <w:r w:rsidR="00663B71" w:rsidRPr="00C669D8">
        <w:rPr>
          <w:rFonts w:ascii="Century Gothic" w:hAnsi="Century Gothic"/>
          <w:color w:val="1A1A1A"/>
        </w:rPr>
        <w:t>ts de la police de ladite ville</w:t>
      </w:r>
      <w:r w:rsidRPr="00C669D8">
        <w:rPr>
          <w:rFonts w:ascii="Century Gothic" w:hAnsi="Century Gothic"/>
          <w:color w:val="1A1A1A"/>
        </w:rPr>
        <w:t xml:space="preserve"> a entrainé une vive réaction du milieu académique et scolaire s’étendant à la population de façon plus général. La jeunesse en particulier s’est mobilisée pour réclamer justice. Les manifestations qui ont gagné l’ensemble du territoire </w:t>
      </w:r>
      <w:r w:rsidR="00C669D8">
        <w:rPr>
          <w:rFonts w:ascii="Century Gothic" w:hAnsi="Century Gothic"/>
          <w:color w:val="1A1A1A"/>
        </w:rPr>
        <w:t>ont</w:t>
      </w:r>
      <w:r w:rsidR="00C669D8" w:rsidRPr="00C669D8">
        <w:rPr>
          <w:rFonts w:ascii="Century Gothic" w:hAnsi="Century Gothic"/>
          <w:color w:val="1A1A1A"/>
        </w:rPr>
        <w:t xml:space="preserve"> </w:t>
      </w:r>
      <w:r w:rsidRPr="00C669D8">
        <w:rPr>
          <w:rFonts w:ascii="Century Gothic" w:hAnsi="Century Gothic"/>
          <w:color w:val="1A1A1A"/>
        </w:rPr>
        <w:t>touché toutes les couches de la société y compris les garnisons. La quasi-totalité des garnisons du pays, y compris le Régiment de sécurité présidentielle (RSP) s’est mutinée et ont occasionnées de nombreuses destructions de biens publics et privés. Cette crise a livré un bilan lourd sur le plan humain</w:t>
      </w:r>
      <w:r w:rsidR="00AC3470" w:rsidRPr="00C669D8">
        <w:rPr>
          <w:rFonts w:ascii="Century Gothic" w:hAnsi="Century Gothic"/>
          <w:color w:val="1A1A1A"/>
        </w:rPr>
        <w:t xml:space="preserve">. Selon un rapport </w:t>
      </w:r>
      <w:r w:rsidR="00C051C7" w:rsidRPr="00C669D8">
        <w:rPr>
          <w:rFonts w:ascii="Century Gothic" w:hAnsi="Century Gothic"/>
          <w:color w:val="1A1A1A"/>
        </w:rPr>
        <w:t>d’International</w:t>
      </w:r>
      <w:r w:rsidR="00AC3470" w:rsidRPr="00C669D8">
        <w:rPr>
          <w:rFonts w:ascii="Century Gothic" w:hAnsi="Century Gothic"/>
          <w:color w:val="1A1A1A"/>
        </w:rPr>
        <w:t xml:space="preserve"> </w:t>
      </w:r>
      <w:proofErr w:type="spellStart"/>
      <w:r w:rsidR="00AC3470" w:rsidRPr="00C669D8">
        <w:rPr>
          <w:rFonts w:ascii="Century Gothic" w:hAnsi="Century Gothic"/>
          <w:color w:val="1A1A1A"/>
        </w:rPr>
        <w:t>Crisis</w:t>
      </w:r>
      <w:proofErr w:type="spellEnd"/>
      <w:r w:rsidR="00AC3470" w:rsidRPr="00C669D8">
        <w:rPr>
          <w:rFonts w:ascii="Century Gothic" w:hAnsi="Century Gothic"/>
          <w:color w:val="1A1A1A"/>
        </w:rPr>
        <w:t xml:space="preserve"> Group, la crise du printemps 2011</w:t>
      </w:r>
      <w:r w:rsidR="00C051C7" w:rsidRPr="00C669D8">
        <w:rPr>
          <w:rFonts w:ascii="Century Gothic" w:hAnsi="Century Gothic"/>
          <w:color w:val="1A1A1A"/>
        </w:rPr>
        <w:t xml:space="preserve"> s’est </w:t>
      </w:r>
      <w:r w:rsidR="00A36266" w:rsidRPr="00C669D8">
        <w:rPr>
          <w:rFonts w:ascii="Century Gothic" w:hAnsi="Century Gothic"/>
          <w:color w:val="1A1A1A"/>
        </w:rPr>
        <w:t>soldée</w:t>
      </w:r>
      <w:r w:rsidR="00C051C7" w:rsidRPr="00C669D8">
        <w:rPr>
          <w:rFonts w:ascii="Century Gothic" w:hAnsi="Century Gothic"/>
          <w:color w:val="1A1A1A"/>
        </w:rPr>
        <w:t xml:space="preserve"> par 19 morts (Rapport, p. 33)</w:t>
      </w:r>
      <w:r w:rsidR="00C051C7" w:rsidRPr="00C669D8">
        <w:rPr>
          <w:rStyle w:val="Marquenotebasdepage"/>
          <w:rFonts w:ascii="Century Gothic" w:hAnsi="Century Gothic"/>
          <w:color w:val="1A1A1A"/>
        </w:rPr>
        <w:footnoteReference w:id="37"/>
      </w:r>
    </w:p>
    <w:p w14:paraId="63080F03" w14:textId="77777777" w:rsidR="00733E44" w:rsidRPr="00C669D8" w:rsidRDefault="00733E44" w:rsidP="00C669D8">
      <w:pPr>
        <w:tabs>
          <w:tab w:val="left" w:pos="709"/>
        </w:tabs>
        <w:spacing w:line="240" w:lineRule="auto"/>
        <w:contextualSpacing/>
        <w:jc w:val="both"/>
        <w:rPr>
          <w:rFonts w:ascii="Century Gothic" w:hAnsi="Century Gothic"/>
          <w:color w:val="1A1A1A"/>
        </w:rPr>
      </w:pPr>
    </w:p>
    <w:p w14:paraId="4734D702" w14:textId="77777777" w:rsidR="001914A3" w:rsidRPr="00C669D8" w:rsidRDefault="001914A3" w:rsidP="00C669D8">
      <w:pPr>
        <w:tabs>
          <w:tab w:val="left" w:pos="709"/>
        </w:tabs>
        <w:spacing w:line="240" w:lineRule="auto"/>
        <w:contextualSpacing/>
        <w:jc w:val="both"/>
        <w:rPr>
          <w:rFonts w:ascii="Century Gothic" w:hAnsi="Century Gothic"/>
          <w:color w:val="1A1A1A"/>
        </w:rPr>
      </w:pPr>
      <w:r w:rsidRPr="00C669D8">
        <w:rPr>
          <w:rFonts w:ascii="Century Gothic" w:hAnsi="Century Gothic"/>
          <w:b/>
          <w:color w:val="1A1A1A"/>
        </w:rPr>
        <w:t xml:space="preserve">Meurtre /assassinat (affaire juge </w:t>
      </w:r>
      <w:proofErr w:type="spellStart"/>
      <w:r w:rsidRPr="00C669D8">
        <w:rPr>
          <w:rFonts w:ascii="Century Gothic" w:hAnsi="Century Gothic"/>
          <w:b/>
          <w:color w:val="1A1A1A"/>
        </w:rPr>
        <w:t>Salifou</w:t>
      </w:r>
      <w:proofErr w:type="spellEnd"/>
      <w:r w:rsidRPr="00C669D8">
        <w:rPr>
          <w:rFonts w:ascii="Century Gothic" w:hAnsi="Century Gothic"/>
          <w:b/>
          <w:color w:val="1A1A1A"/>
        </w:rPr>
        <w:t xml:space="preserve"> NEBIE)</w:t>
      </w:r>
      <w:r w:rsidR="00AC3470" w:rsidRPr="00C669D8">
        <w:rPr>
          <w:rStyle w:val="Marquenotebasdepage"/>
          <w:rFonts w:ascii="Century Gothic" w:hAnsi="Century Gothic"/>
          <w:b/>
          <w:color w:val="1A1A1A"/>
        </w:rPr>
        <w:footnoteReference w:id="38"/>
      </w:r>
      <w:r w:rsidR="00331925" w:rsidRPr="00C669D8">
        <w:rPr>
          <w:rFonts w:ascii="Century Gothic" w:hAnsi="Century Gothic"/>
          <w:b/>
          <w:color w:val="1A1A1A"/>
        </w:rPr>
        <w:t> </w:t>
      </w:r>
      <w:r w:rsidR="00331925" w:rsidRPr="00C669D8">
        <w:rPr>
          <w:rFonts w:ascii="Century Gothic" w:hAnsi="Century Gothic"/>
          <w:color w:val="1A1A1A"/>
        </w:rPr>
        <w:t>:</w:t>
      </w:r>
    </w:p>
    <w:p w14:paraId="5129374D" w14:textId="77777777" w:rsidR="00663B71" w:rsidRPr="00C669D8" w:rsidRDefault="00663B71" w:rsidP="00C669D8">
      <w:p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 xml:space="preserve">Alors même que le pays était plongé dans un débat sur la constitutionnalité d’une révision de l’article 37 de la Constitution, </w:t>
      </w:r>
      <w:proofErr w:type="spellStart"/>
      <w:r w:rsidRPr="00C669D8">
        <w:rPr>
          <w:rFonts w:ascii="Century Gothic" w:hAnsi="Century Gothic"/>
          <w:color w:val="1A1A1A"/>
        </w:rPr>
        <w:t>Salifou</w:t>
      </w:r>
      <w:proofErr w:type="spellEnd"/>
      <w:r w:rsidRPr="00C669D8">
        <w:rPr>
          <w:rFonts w:ascii="Century Gothic" w:hAnsi="Century Gothic"/>
          <w:color w:val="1A1A1A"/>
        </w:rPr>
        <w:t xml:space="preserve"> </w:t>
      </w:r>
      <w:proofErr w:type="spellStart"/>
      <w:r w:rsidRPr="00C669D8">
        <w:rPr>
          <w:rFonts w:ascii="Century Gothic" w:hAnsi="Century Gothic"/>
          <w:color w:val="1A1A1A"/>
        </w:rPr>
        <w:t>Nébié</w:t>
      </w:r>
      <w:proofErr w:type="spellEnd"/>
      <w:r w:rsidRPr="00C669D8">
        <w:rPr>
          <w:rFonts w:ascii="Century Gothic" w:hAnsi="Century Gothic"/>
          <w:color w:val="1A1A1A"/>
        </w:rPr>
        <w:t xml:space="preserve">, juge constitutionnel de son </w:t>
      </w:r>
      <w:r w:rsidRPr="00C669D8">
        <w:rPr>
          <w:rFonts w:ascii="Century Gothic" w:hAnsi="Century Gothic"/>
          <w:color w:val="1A1A1A"/>
        </w:rPr>
        <w:lastRenderedPageBreak/>
        <w:t xml:space="preserve">état </w:t>
      </w:r>
      <w:r w:rsidR="00106B62" w:rsidRPr="00C669D8">
        <w:rPr>
          <w:rFonts w:ascii="Century Gothic" w:hAnsi="Century Gothic"/>
          <w:color w:val="1A1A1A"/>
        </w:rPr>
        <w:t>a été</w:t>
      </w:r>
      <w:r w:rsidR="00A36266" w:rsidRPr="00C669D8">
        <w:rPr>
          <w:rFonts w:ascii="Century Gothic" w:hAnsi="Century Gothic"/>
          <w:color w:val="1A1A1A"/>
        </w:rPr>
        <w:t xml:space="preserve"> </w:t>
      </w:r>
      <w:r w:rsidR="00106B62" w:rsidRPr="00C669D8">
        <w:rPr>
          <w:rFonts w:ascii="Century Gothic" w:hAnsi="Century Gothic"/>
        </w:rPr>
        <w:t xml:space="preserve">retrouvé mort le 24 mai </w:t>
      </w:r>
      <w:r w:rsidR="00E41A5E">
        <w:rPr>
          <w:rFonts w:ascii="Century Gothic" w:hAnsi="Century Gothic"/>
        </w:rPr>
        <w:t xml:space="preserve">2014 </w:t>
      </w:r>
      <w:r w:rsidR="00106B62" w:rsidRPr="00C669D8">
        <w:rPr>
          <w:rFonts w:ascii="Century Gothic" w:hAnsi="Century Gothic"/>
        </w:rPr>
        <w:t xml:space="preserve">à Saponé </w:t>
      </w:r>
      <w:r w:rsidRPr="00C669D8">
        <w:rPr>
          <w:rFonts w:ascii="Century Gothic" w:hAnsi="Century Gothic"/>
          <w:color w:val="1A1A1A"/>
        </w:rPr>
        <w:t>dans des circonstances très mystérieuse.</w:t>
      </w:r>
      <w:r w:rsidR="00106B62" w:rsidRPr="00C669D8">
        <w:rPr>
          <w:rFonts w:ascii="Century Gothic" w:hAnsi="Century Gothic"/>
          <w:color w:val="1A1A1A"/>
        </w:rPr>
        <w:t xml:space="preserve"> Alors que l’opinion publique pens</w:t>
      </w:r>
      <w:r w:rsidR="00C051C7" w:rsidRPr="00C669D8">
        <w:rPr>
          <w:rFonts w:ascii="Century Gothic" w:hAnsi="Century Gothic"/>
          <w:color w:val="1A1A1A"/>
        </w:rPr>
        <w:t>e à un assassinat</w:t>
      </w:r>
      <w:r w:rsidR="00106B62" w:rsidRPr="00C669D8">
        <w:rPr>
          <w:rFonts w:ascii="Century Gothic" w:hAnsi="Century Gothic"/>
          <w:color w:val="1A1A1A"/>
        </w:rPr>
        <w:t xml:space="preserve">, un rapport d d’autopsie très contesté effectué par le médecin légiste français, Stéphane </w:t>
      </w:r>
      <w:proofErr w:type="spellStart"/>
      <w:r w:rsidR="00106B62" w:rsidRPr="00C669D8">
        <w:rPr>
          <w:rFonts w:ascii="Century Gothic" w:hAnsi="Century Gothic"/>
          <w:color w:val="1A1A1A"/>
        </w:rPr>
        <w:t>Chochois</w:t>
      </w:r>
      <w:proofErr w:type="spellEnd"/>
      <w:r w:rsidR="00106B62" w:rsidRPr="00C669D8">
        <w:rPr>
          <w:rFonts w:ascii="Century Gothic" w:hAnsi="Century Gothic"/>
          <w:color w:val="1A1A1A"/>
        </w:rPr>
        <w:t xml:space="preserve"> conclut à une mort accidentelle du juge </w:t>
      </w:r>
      <w:proofErr w:type="spellStart"/>
      <w:r w:rsidR="00106B62" w:rsidRPr="00C669D8">
        <w:rPr>
          <w:rFonts w:ascii="Century Gothic" w:hAnsi="Century Gothic"/>
          <w:color w:val="1A1A1A"/>
        </w:rPr>
        <w:t>Nébié</w:t>
      </w:r>
      <w:proofErr w:type="spellEnd"/>
      <w:r w:rsidR="00106B62" w:rsidRPr="00C669D8">
        <w:rPr>
          <w:rFonts w:ascii="Century Gothic" w:hAnsi="Century Gothic"/>
          <w:color w:val="1A1A1A"/>
        </w:rPr>
        <w:t xml:space="preserve">. Depuis lors, </w:t>
      </w:r>
      <w:r w:rsidR="00C051C7" w:rsidRPr="00C669D8">
        <w:rPr>
          <w:rFonts w:ascii="Century Gothic" w:hAnsi="Century Gothic"/>
          <w:color w:val="1A1A1A"/>
        </w:rPr>
        <w:t>rien</w:t>
      </w:r>
      <w:r w:rsidR="00C957C2" w:rsidRPr="00C669D8">
        <w:rPr>
          <w:rFonts w:ascii="Century Gothic" w:hAnsi="Century Gothic"/>
          <w:color w:val="1A1A1A"/>
        </w:rPr>
        <w:t xml:space="preserve"> </w:t>
      </w:r>
      <w:r w:rsidR="00106B62" w:rsidRPr="00C669D8">
        <w:rPr>
          <w:rFonts w:ascii="Century Gothic" w:hAnsi="Century Gothic"/>
          <w:color w:val="1A1A1A"/>
        </w:rPr>
        <w:t>n’</w:t>
      </w:r>
      <w:r w:rsidR="00C051C7" w:rsidRPr="00C669D8">
        <w:rPr>
          <w:rFonts w:ascii="Century Gothic" w:hAnsi="Century Gothic"/>
          <w:color w:val="1A1A1A"/>
        </w:rPr>
        <w:t>a été fait dans le but</w:t>
      </w:r>
      <w:r w:rsidR="00C957C2" w:rsidRPr="00C669D8">
        <w:rPr>
          <w:rFonts w:ascii="Century Gothic" w:hAnsi="Century Gothic"/>
          <w:color w:val="1A1A1A"/>
        </w:rPr>
        <w:t xml:space="preserve"> </w:t>
      </w:r>
      <w:r w:rsidR="00C051C7" w:rsidRPr="00C669D8">
        <w:rPr>
          <w:rFonts w:ascii="Century Gothic" w:hAnsi="Century Gothic"/>
          <w:color w:val="1A1A1A"/>
        </w:rPr>
        <w:t>d’</w:t>
      </w:r>
      <w:r w:rsidR="00106B62" w:rsidRPr="00C669D8">
        <w:rPr>
          <w:rFonts w:ascii="Century Gothic" w:hAnsi="Century Gothic"/>
          <w:color w:val="1A1A1A"/>
        </w:rPr>
        <w:t xml:space="preserve">élucider cette affaire </w:t>
      </w:r>
      <w:r w:rsidR="00C051C7" w:rsidRPr="00C669D8">
        <w:rPr>
          <w:rFonts w:ascii="Century Gothic" w:hAnsi="Century Gothic"/>
          <w:color w:val="1A1A1A"/>
        </w:rPr>
        <w:t>suspectée pourtant d’être un</w:t>
      </w:r>
      <w:r w:rsidR="00106B62" w:rsidRPr="00C669D8">
        <w:rPr>
          <w:rFonts w:ascii="Century Gothic" w:hAnsi="Century Gothic"/>
          <w:color w:val="1A1A1A"/>
        </w:rPr>
        <w:t xml:space="preserve"> crime politique. </w:t>
      </w:r>
      <w:r w:rsidR="00C051C7" w:rsidRPr="00C669D8">
        <w:rPr>
          <w:rFonts w:ascii="Century Gothic" w:hAnsi="Century Gothic"/>
          <w:color w:val="1A1A1A"/>
        </w:rPr>
        <w:t>La coalition appelle à une reprise des investigations afin d’élucider cette affaire.</w:t>
      </w:r>
    </w:p>
    <w:p w14:paraId="353B5B11" w14:textId="77777777" w:rsidR="00106B62" w:rsidRPr="00C669D8" w:rsidRDefault="00106B62" w:rsidP="00C669D8">
      <w:pPr>
        <w:tabs>
          <w:tab w:val="left" w:pos="709"/>
        </w:tabs>
        <w:spacing w:line="240" w:lineRule="auto"/>
        <w:contextualSpacing/>
        <w:jc w:val="both"/>
        <w:rPr>
          <w:rFonts w:ascii="Century Gothic" w:hAnsi="Century Gothic"/>
          <w:b/>
          <w:color w:val="1A1A1A"/>
        </w:rPr>
      </w:pPr>
    </w:p>
    <w:p w14:paraId="412169B3" w14:textId="77777777" w:rsidR="001914A3" w:rsidRPr="00C669D8" w:rsidRDefault="001914A3" w:rsidP="00C669D8">
      <w:pPr>
        <w:tabs>
          <w:tab w:val="left" w:pos="709"/>
        </w:tabs>
        <w:spacing w:line="240" w:lineRule="auto"/>
        <w:contextualSpacing/>
        <w:jc w:val="both"/>
        <w:rPr>
          <w:rFonts w:ascii="Century Gothic" w:hAnsi="Century Gothic"/>
          <w:b/>
          <w:color w:val="1A1A1A"/>
        </w:rPr>
      </w:pPr>
      <w:r w:rsidRPr="00C669D8">
        <w:rPr>
          <w:rFonts w:ascii="Century Gothic" w:hAnsi="Century Gothic"/>
          <w:b/>
          <w:color w:val="1A1A1A"/>
        </w:rPr>
        <w:t>Bilan de l’insurrection populaire</w:t>
      </w:r>
      <w:r w:rsidR="00331925" w:rsidRPr="00C669D8">
        <w:rPr>
          <w:rFonts w:ascii="Century Gothic" w:hAnsi="Century Gothic"/>
          <w:b/>
          <w:color w:val="1A1A1A"/>
        </w:rPr>
        <w:t> </w:t>
      </w:r>
      <w:r w:rsidR="00A37AFE">
        <w:rPr>
          <w:rFonts w:ascii="Century Gothic" w:hAnsi="Century Gothic"/>
          <w:b/>
          <w:color w:val="1A1A1A"/>
        </w:rPr>
        <w:t>des 30 et 31 octobre 2014</w:t>
      </w:r>
      <w:r w:rsidR="00331925" w:rsidRPr="00C669D8">
        <w:rPr>
          <w:rFonts w:ascii="Century Gothic" w:hAnsi="Century Gothic"/>
          <w:b/>
          <w:color w:val="1A1A1A"/>
        </w:rPr>
        <w:t xml:space="preserve">: </w:t>
      </w:r>
    </w:p>
    <w:p w14:paraId="39E0DFA7" w14:textId="77777777" w:rsidR="00EE7E90" w:rsidRDefault="00EE7E90" w:rsidP="00C669D8">
      <w:pPr>
        <w:tabs>
          <w:tab w:val="left" w:pos="709"/>
        </w:tabs>
        <w:spacing w:after="0" w:line="240" w:lineRule="auto"/>
        <w:contextualSpacing/>
        <w:jc w:val="both"/>
        <w:rPr>
          <w:rFonts w:ascii="Century Gothic" w:hAnsi="Century Gothic"/>
          <w:color w:val="1A1A1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6"/>
      </w:tblGrid>
      <w:tr w:rsidR="00EE7E90" w:rsidRPr="009C096C" w14:paraId="19FC1F76" w14:textId="77777777" w:rsidTr="009C096C">
        <w:tc>
          <w:tcPr>
            <w:tcW w:w="9166" w:type="dxa"/>
            <w:shd w:val="clear" w:color="auto" w:fill="D9D9D9"/>
          </w:tcPr>
          <w:p w14:paraId="02F0EB87" w14:textId="77777777" w:rsidR="000B7435" w:rsidRPr="009C096C" w:rsidRDefault="000B7435" w:rsidP="009C096C">
            <w:pPr>
              <w:spacing w:after="0" w:line="360" w:lineRule="auto"/>
              <w:jc w:val="center"/>
              <w:rPr>
                <w:rFonts w:ascii="Century Gothic" w:hAnsi="Century Gothic"/>
                <w:b/>
                <w:color w:val="1A1A1A"/>
              </w:rPr>
            </w:pPr>
            <w:r w:rsidRPr="009C096C">
              <w:rPr>
                <w:rFonts w:ascii="Century Gothic" w:hAnsi="Century Gothic"/>
                <w:b/>
                <w:color w:val="1A1A1A"/>
              </w:rPr>
              <w:t>Extrait du Projet de rapport du comité ad ’hoc sur les atteintes aux droits humains  pendant l’insurrection populaire des 30 et 31 octobre et au cours des journées des 1er et 02 novembre 2014 au Burkina Faso</w:t>
            </w:r>
            <w:r w:rsidR="00AA1C7B" w:rsidRPr="009C096C">
              <w:rPr>
                <w:rFonts w:ascii="Century Gothic" w:hAnsi="Century Gothic"/>
                <w:b/>
                <w:color w:val="1A1A1A"/>
              </w:rPr>
              <w:t>, publié en novembre 2014</w:t>
            </w:r>
          </w:p>
          <w:p w14:paraId="6F88560F" w14:textId="77777777" w:rsidR="000B7435" w:rsidRPr="009C096C" w:rsidRDefault="000B7435" w:rsidP="009C096C">
            <w:pPr>
              <w:spacing w:after="0"/>
              <w:jc w:val="both"/>
              <w:rPr>
                <w:rFonts w:ascii="Century Gothic" w:hAnsi="Century Gothic"/>
                <w:color w:val="1A1A1A"/>
              </w:rPr>
            </w:pPr>
          </w:p>
          <w:p w14:paraId="5C5A6A3F" w14:textId="77777777"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 xml:space="preserve">L’actualité sociopolitique au Burkina a été marquée au cours de l’année 2014 par des opinions et débats contradictoires, notamment sur la tenue d’un référendum visant à modifier la clause limitative du nombre de mandats présidentiels. Ces contradictions ont atteint leur paroxysme avec la décision du Gouvernement de soumettre la question au Parlement à la fin du mois d’octobre 2014. Plus précisément la question devrait être tranchée au niveau de l’Assemblée Nationale le 30 octobre. </w:t>
            </w:r>
          </w:p>
          <w:p w14:paraId="13AAD9EB" w14:textId="77777777" w:rsidR="00EE7E90" w:rsidRPr="009C096C" w:rsidRDefault="00EE7E90" w:rsidP="009C096C">
            <w:pPr>
              <w:spacing w:after="0"/>
              <w:jc w:val="both"/>
              <w:rPr>
                <w:rFonts w:ascii="Century Gothic" w:hAnsi="Century Gothic"/>
                <w:color w:val="1A1A1A"/>
              </w:rPr>
            </w:pPr>
          </w:p>
          <w:p w14:paraId="1C76B67C" w14:textId="77777777"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Face à cette volonté clairement affichée par le pouvoir sur une question qui divise profondément l’opinion nationale, les partis politiques de l’opposition, regroupés derrière le Chef de file de l’Opposition Burkinabé (CFOB) ont lancé, à partir du 28 octobre 2014, un appel à la désobéissance civile sur l’ensemble du territoire national. Ils ont été appuyés en cela par nombre d’organisations de la société civile. La réponse massive des populations à cet appel dans les principaux centres urbains du pays tourna à une insurrection populaire les 30 et 31 octobre 2014, qui a entraîné la chute</w:t>
            </w:r>
            <w:r w:rsidR="000E4F58" w:rsidRPr="009C096C">
              <w:rPr>
                <w:rStyle w:val="Marquenotebasdepage"/>
                <w:rFonts w:ascii="Century Gothic" w:hAnsi="Century Gothic"/>
                <w:color w:val="1A1A1A"/>
              </w:rPr>
              <w:footnoteReference w:id="39"/>
            </w:r>
            <w:r w:rsidRPr="009C096C">
              <w:rPr>
                <w:rFonts w:ascii="Century Gothic" w:hAnsi="Century Gothic"/>
                <w:color w:val="1A1A1A"/>
              </w:rPr>
              <w:t xml:space="preserve"> du régime du Président Blaise COMPAORE. D’autres manifestations se poursuivront également après ces dates. </w:t>
            </w:r>
          </w:p>
          <w:p w14:paraId="114369AC" w14:textId="77777777" w:rsidR="00EE7E90" w:rsidRPr="009C096C" w:rsidRDefault="00EE7E90" w:rsidP="009C096C">
            <w:pPr>
              <w:spacing w:after="0"/>
              <w:jc w:val="both"/>
              <w:rPr>
                <w:rFonts w:ascii="Century Gothic" w:hAnsi="Century Gothic"/>
                <w:color w:val="1A1A1A"/>
              </w:rPr>
            </w:pPr>
          </w:p>
          <w:p w14:paraId="6239AEEB" w14:textId="77777777"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 xml:space="preserve">Dans cette dynamique revendicative d’une démocratie plus accrue par les acteurs de la vie politique du pays, des actions attentatoires aux droits humains ont hélas été constatées. </w:t>
            </w:r>
          </w:p>
          <w:p w14:paraId="59F8597E" w14:textId="77777777" w:rsidR="00EE7E90" w:rsidRPr="009C096C" w:rsidRDefault="00EE7E90" w:rsidP="009C096C">
            <w:pPr>
              <w:spacing w:after="0"/>
              <w:jc w:val="both"/>
              <w:rPr>
                <w:rFonts w:ascii="Century Gothic" w:hAnsi="Century Gothic"/>
                <w:color w:val="1A1A1A"/>
              </w:rPr>
            </w:pPr>
          </w:p>
          <w:p w14:paraId="278E14BC" w14:textId="77777777"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 xml:space="preserve">En effet, des pertes en vies humaines, des destructions de biens publics et privés dans plusieurs localités du pays sont à déplorer. </w:t>
            </w:r>
          </w:p>
          <w:p w14:paraId="10BE4199" w14:textId="77777777" w:rsidR="00EE7E90" w:rsidRPr="009C096C" w:rsidRDefault="00EE7E90" w:rsidP="009C096C">
            <w:pPr>
              <w:tabs>
                <w:tab w:val="left" w:pos="709"/>
              </w:tabs>
              <w:spacing w:after="0" w:line="240" w:lineRule="auto"/>
              <w:contextualSpacing/>
              <w:jc w:val="both"/>
              <w:rPr>
                <w:rFonts w:ascii="Century Gothic" w:hAnsi="Century Gothic"/>
                <w:color w:val="1A1A1A"/>
              </w:rPr>
            </w:pPr>
            <w:r w:rsidRPr="009C096C">
              <w:rPr>
                <w:rFonts w:ascii="Century Gothic" w:hAnsi="Century Gothic"/>
                <w:color w:val="1A1A1A"/>
              </w:rPr>
              <w:t>(…)</w:t>
            </w:r>
          </w:p>
          <w:p w14:paraId="6DE74121" w14:textId="77777777"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 xml:space="preserve">Une situation de crise qui a mis le Burkina Faso sous les feux des projecteurs de la communauté internationale qui, si elle a souvent et dans un large consensus salué les acquis enregistrés ces dernières années par le pays en matière de garantie des </w:t>
            </w:r>
            <w:r w:rsidRPr="009C096C">
              <w:rPr>
                <w:rFonts w:ascii="Century Gothic" w:hAnsi="Century Gothic"/>
                <w:color w:val="1A1A1A"/>
              </w:rPr>
              <w:lastRenderedPageBreak/>
              <w:t>droits et libertés individuels et collectifs, ne tardera sans doute pas à l’interpeller au sein de certaines instances internationales sur la base des atteintes enregistrées pendant l’insurrection.</w:t>
            </w:r>
          </w:p>
          <w:p w14:paraId="5BBA71D1" w14:textId="77777777" w:rsidR="00EE7E90" w:rsidRPr="009C096C" w:rsidRDefault="00EE7E90" w:rsidP="009C096C">
            <w:pPr>
              <w:spacing w:after="0"/>
              <w:jc w:val="both"/>
              <w:rPr>
                <w:rFonts w:ascii="Century Gothic" w:hAnsi="Century Gothic"/>
                <w:color w:val="1A1A1A"/>
              </w:rPr>
            </w:pPr>
          </w:p>
          <w:p w14:paraId="1AAD4F3F" w14:textId="77777777"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En effet, les actes ayant entraîné les pertes en vies humaines, des blessés et des destructions de biens publics et privés, s’inscrivent aisément  dans  les éléments constitutifs de violations des droits humains, condamnées par l’ensemble des instruments nationaux, régionaux et internationaux relatifs à la promotion et à la protection des droits de l’homme, parties intégrante  du droit positif  burkinabè.</w:t>
            </w:r>
          </w:p>
          <w:p w14:paraId="05C5E215" w14:textId="77777777" w:rsidR="00EE7E90" w:rsidRPr="009C096C" w:rsidRDefault="00EE7E90" w:rsidP="009C096C">
            <w:pPr>
              <w:spacing w:after="0"/>
              <w:jc w:val="both"/>
              <w:rPr>
                <w:rFonts w:ascii="Century Gothic" w:hAnsi="Century Gothic"/>
                <w:color w:val="1A1A1A"/>
              </w:rPr>
            </w:pPr>
          </w:p>
          <w:p w14:paraId="137EE9F7" w14:textId="38F2FC0B" w:rsidR="00EE7E90" w:rsidRPr="009C096C" w:rsidRDefault="00EE7E90" w:rsidP="009C096C">
            <w:pPr>
              <w:spacing w:after="0"/>
              <w:jc w:val="both"/>
              <w:rPr>
                <w:rFonts w:ascii="Century Gothic" w:hAnsi="Century Gothic"/>
                <w:color w:val="1A1A1A"/>
              </w:rPr>
            </w:pPr>
            <w:r w:rsidRPr="009C096C">
              <w:rPr>
                <w:rFonts w:ascii="Century Gothic" w:hAnsi="Century Gothic"/>
                <w:color w:val="1A1A1A"/>
              </w:rPr>
              <w:t xml:space="preserve">Aussi, est-il du devoir de l’Etat, de veiller à ce que l’ensemble des faits condamnables soient constatés et unanimement regrettés par l’ensemble des acteurs sociaux et politiques, afin que les fils et filles du Burkina Faso puissent entamer un processus de réconciliation apaisé. Cette démarche qui devra s’accompagner de larges et grandes actions de sensibilisation sur les droits humains et le civisme, impliquant l’ensemble des acteurs sociaux et politiques de la vie de notre nation (responsables politiques, chefs religieux, leaders coutumiers, organisations de la société civile, imminentes </w:t>
            </w:r>
            <w:r w:rsidR="00B74411" w:rsidRPr="009C096C">
              <w:rPr>
                <w:rFonts w:ascii="Century Gothic" w:hAnsi="Century Gothic"/>
                <w:color w:val="1A1A1A"/>
              </w:rPr>
              <w:t>personnalités)</w:t>
            </w:r>
            <w:r w:rsidRPr="009C096C">
              <w:rPr>
                <w:rFonts w:ascii="Century Gothic" w:hAnsi="Century Gothic"/>
                <w:color w:val="1A1A1A"/>
              </w:rPr>
              <w:t xml:space="preserve">, pour un retour définitif au calme et à la paix dans le pays. </w:t>
            </w:r>
          </w:p>
          <w:p w14:paraId="06E27443" w14:textId="77777777" w:rsidR="00EE7E90" w:rsidRPr="009C096C" w:rsidRDefault="00EE7E90" w:rsidP="009C096C">
            <w:pPr>
              <w:shd w:val="clear" w:color="auto" w:fill="D9D9D9"/>
              <w:spacing w:after="0"/>
              <w:jc w:val="both"/>
              <w:rPr>
                <w:rFonts w:ascii="Century Gothic" w:hAnsi="Century Gothic"/>
                <w:color w:val="1A1A1A"/>
              </w:rPr>
            </w:pPr>
            <w:r w:rsidRPr="009C096C">
              <w:rPr>
                <w:rFonts w:ascii="Century Gothic" w:hAnsi="Century Gothic"/>
                <w:color w:val="1A1A1A"/>
              </w:rPr>
              <w:t xml:space="preserve">Le rapport sur l’état des lieux des atteintes aux droits humains constatées pendant l’insurrection populaire est une photographie des faits de violations flagrantes de ces droits, spécifiquement et exclusivement pendant cette période de la vie sociopolitique burkinabè. L’objectif principal est de procéder au recensement des personnes physiques et/ou morales qui ont été victimes ou qui ont subi divers dommages au cours de l’insurrection, afin de fournir des informations fiables à l’opinion nationale et internationale sur les conséquences de la crise, en toute objectivité.  </w:t>
            </w:r>
          </w:p>
          <w:p w14:paraId="3892E56A" w14:textId="77777777" w:rsidR="00EE7E90" w:rsidRPr="009C096C" w:rsidRDefault="00EE7E90" w:rsidP="009C096C">
            <w:pPr>
              <w:shd w:val="clear" w:color="auto" w:fill="D9D9D9"/>
              <w:spacing w:after="0"/>
              <w:jc w:val="both"/>
              <w:rPr>
                <w:rFonts w:ascii="Century Gothic" w:hAnsi="Century Gothic"/>
                <w:color w:val="1A1A1A"/>
              </w:rPr>
            </w:pPr>
            <w:r w:rsidRPr="009C096C">
              <w:rPr>
                <w:rFonts w:ascii="Century Gothic" w:hAnsi="Century Gothic"/>
                <w:color w:val="1A1A1A"/>
              </w:rPr>
              <w:t xml:space="preserve">Pour ce faire, l’autorité militaire de la transition a souhaité la mise en place d’un Comité Ad ‘hoc, pour l’évaluation de l’état des atteintes aux droits humains. L’objectif étant de traduire de manière transparente, la préoccupation des autorités burkinabè en la matière (Circulaire numéro 2014-013/PF/CAB du 17 novembre 2014, signée du Chef de l’Etat, le Lieutenant-colonel </w:t>
            </w:r>
            <w:proofErr w:type="spellStart"/>
            <w:r w:rsidRPr="009C096C">
              <w:rPr>
                <w:rFonts w:ascii="Century Gothic" w:hAnsi="Century Gothic"/>
                <w:color w:val="1A1A1A"/>
              </w:rPr>
              <w:t>Yacouba</w:t>
            </w:r>
            <w:proofErr w:type="spellEnd"/>
            <w:r w:rsidRPr="009C096C">
              <w:rPr>
                <w:rFonts w:ascii="Century Gothic" w:hAnsi="Century Gothic"/>
                <w:color w:val="1A1A1A"/>
              </w:rPr>
              <w:t xml:space="preserve"> Isaac ZIDA). </w:t>
            </w:r>
          </w:p>
          <w:p w14:paraId="7677DA63" w14:textId="77777777" w:rsidR="00EE7E90" w:rsidRPr="009C096C" w:rsidRDefault="00EE7E90" w:rsidP="009C096C">
            <w:pPr>
              <w:shd w:val="clear" w:color="auto" w:fill="D9D9D9"/>
              <w:spacing w:after="0"/>
              <w:jc w:val="both"/>
              <w:rPr>
                <w:rFonts w:ascii="Century Gothic" w:hAnsi="Century Gothic"/>
                <w:color w:val="1A1A1A"/>
              </w:rPr>
            </w:pPr>
          </w:p>
          <w:p w14:paraId="6F0201B9" w14:textId="77777777" w:rsidR="00EE7E90" w:rsidRPr="009C096C" w:rsidRDefault="00EE7E90" w:rsidP="009C096C">
            <w:pPr>
              <w:shd w:val="clear" w:color="auto" w:fill="D9D9D9"/>
              <w:spacing w:after="0"/>
              <w:jc w:val="both"/>
              <w:rPr>
                <w:rFonts w:ascii="Century Gothic" w:hAnsi="Century Gothic"/>
                <w:color w:val="1A1A1A"/>
              </w:rPr>
            </w:pPr>
            <w:r w:rsidRPr="009C096C">
              <w:rPr>
                <w:rFonts w:ascii="Century Gothic" w:hAnsi="Century Gothic"/>
                <w:color w:val="1A1A1A"/>
              </w:rPr>
              <w:t xml:space="preserve"> Il faut souligner qu’aucun mandat n’a été donné au Comité, ni pour enquêter sur les responsables des atteintes, ni pour définir ou envisager des sanctions résultant des actes attentatoires aux droits humains. </w:t>
            </w:r>
          </w:p>
          <w:p w14:paraId="3B08F67E" w14:textId="77777777" w:rsidR="001A4A78" w:rsidRPr="009C096C" w:rsidRDefault="001A4A78" w:rsidP="009C096C">
            <w:pPr>
              <w:shd w:val="clear" w:color="auto" w:fill="D9D9D9"/>
              <w:spacing w:after="0"/>
              <w:jc w:val="both"/>
              <w:rPr>
                <w:rFonts w:ascii="Century Gothic" w:hAnsi="Century Gothic"/>
                <w:color w:val="1A1A1A"/>
              </w:rPr>
            </w:pPr>
            <w:r w:rsidRPr="009C096C">
              <w:rPr>
                <w:rFonts w:ascii="Century Gothic" w:hAnsi="Century Gothic"/>
                <w:color w:val="1A1A1A"/>
              </w:rPr>
              <w:t>(…)</w:t>
            </w:r>
          </w:p>
          <w:p w14:paraId="29B054C4" w14:textId="5CBBF14F" w:rsidR="002659FA" w:rsidRPr="00D80D55" w:rsidRDefault="002659FA" w:rsidP="00D060B8">
            <w:pPr>
              <w:pStyle w:val="Paragraphedeliste1"/>
              <w:numPr>
                <w:ilvl w:val="0"/>
                <w:numId w:val="38"/>
              </w:numPr>
              <w:spacing w:before="120" w:after="120" w:line="360" w:lineRule="auto"/>
              <w:jc w:val="both"/>
              <w:rPr>
                <w:rFonts w:ascii="Century Gothic" w:hAnsi="Century Gothic"/>
                <w:color w:val="1A1A1A"/>
              </w:rPr>
            </w:pPr>
            <w:r w:rsidRPr="009C096C">
              <w:rPr>
                <w:rFonts w:ascii="Century Gothic" w:eastAsia="Calibri" w:hAnsi="Century Gothic"/>
                <w:b/>
                <w:color w:val="1A1A1A"/>
                <w:lang w:eastAsia="en-US"/>
              </w:rPr>
              <w:t>La situation des atteintes au droit à la vie</w:t>
            </w:r>
          </w:p>
          <w:p w14:paraId="6CB0A729" w14:textId="77777777" w:rsidR="001A4A78" w:rsidRPr="00D80D55" w:rsidRDefault="001A4A78" w:rsidP="009C096C">
            <w:pPr>
              <w:jc w:val="both"/>
              <w:rPr>
                <w:rFonts w:ascii="Century Gothic" w:hAnsi="Century Gothic"/>
                <w:color w:val="1A1A1A"/>
              </w:rPr>
            </w:pPr>
            <w:r w:rsidRPr="00D80D55">
              <w:rPr>
                <w:rFonts w:ascii="Century Gothic" w:hAnsi="Century Gothic"/>
                <w:color w:val="1A1A1A"/>
              </w:rPr>
              <w:t>Malheureusement, malgré l’existence (de ce) du cadre normatif qui protège tout individu vivant au Burkina Faso contre toute atteinte à sa vie, ce droit a connu des atteintes lors de l’insurrection populaire et démocratique des 30 et 31 octobre 2014.</w:t>
            </w:r>
          </w:p>
          <w:p w14:paraId="5009C66E" w14:textId="77777777" w:rsidR="001A4A78" w:rsidRPr="00B74411" w:rsidRDefault="001A4A78" w:rsidP="009C096C">
            <w:pPr>
              <w:shd w:val="clear" w:color="auto" w:fill="D9D9D9"/>
              <w:spacing w:after="0"/>
              <w:jc w:val="both"/>
              <w:rPr>
                <w:rFonts w:ascii="Century Gothic" w:hAnsi="Century Gothic"/>
                <w:color w:val="1A1A1A"/>
              </w:rPr>
            </w:pPr>
          </w:p>
          <w:p w14:paraId="220E5197" w14:textId="77777777" w:rsidR="001A4A78" w:rsidRPr="00D80D55" w:rsidRDefault="001A4A78" w:rsidP="009C096C">
            <w:pPr>
              <w:jc w:val="both"/>
              <w:rPr>
                <w:rFonts w:ascii="Century Gothic" w:hAnsi="Century Gothic"/>
                <w:color w:val="1A1A1A"/>
              </w:rPr>
            </w:pPr>
            <w:r w:rsidRPr="00D80D55">
              <w:rPr>
                <w:rFonts w:ascii="Century Gothic" w:hAnsi="Century Gothic"/>
                <w:color w:val="1A1A1A"/>
              </w:rPr>
              <w:t xml:space="preserve">Au niveau des formations sanitaires, à la date du 10 novembre 2014, la situation des </w:t>
            </w:r>
            <w:r w:rsidRPr="00D80D55">
              <w:rPr>
                <w:rFonts w:ascii="Century Gothic" w:hAnsi="Century Gothic"/>
                <w:color w:val="1A1A1A"/>
              </w:rPr>
              <w:lastRenderedPageBreak/>
              <w:t xml:space="preserve">pertes en vies humaines fait ressortir un total de dix-neuf (19) morts constatés et enregistrés par le Ministère de la Santé. Quatorze personnes (14) ont perdu la vie dans les structures sanitaires et cinq (05) ont fait l’objet de constat par les services de santé dans les domiciles. Les causes de ces décès seraient liées aux complications des blessures par balles,  à une noyade, à des asphyxies, aux complications de traumatismes et de brûlures graves. </w:t>
            </w:r>
          </w:p>
          <w:p w14:paraId="1A5CC95A" w14:textId="77777777" w:rsidR="002659FA" w:rsidRPr="00D80D55" w:rsidRDefault="001A4A78" w:rsidP="009C096C">
            <w:pPr>
              <w:jc w:val="both"/>
              <w:rPr>
                <w:rFonts w:ascii="Century Gothic" w:hAnsi="Century Gothic"/>
                <w:color w:val="1A1A1A"/>
              </w:rPr>
            </w:pPr>
            <w:r w:rsidRPr="00D80D55">
              <w:rPr>
                <w:rFonts w:ascii="Century Gothic" w:hAnsi="Century Gothic"/>
                <w:color w:val="1A1A1A"/>
              </w:rPr>
              <w:t xml:space="preserve">Le croisement de toutes les données exploitées par le Comité fait ressortir à la date du 19 novembre 2014, que courant les journées du 30 octobre au 02 novembre 2014, les pertes en vies humaines liées à l’insurrection populaire s’élève au total à dix-neuf  (19). Sur ces dix-neuf décès à déplorer, 2 personnes n’ont toujours pas été identifiées. </w:t>
            </w:r>
          </w:p>
          <w:p w14:paraId="74A53DB6" w14:textId="4AB85A3A" w:rsidR="002659FA" w:rsidRPr="009C096C" w:rsidRDefault="00D060B8" w:rsidP="00D060B8">
            <w:pPr>
              <w:pStyle w:val="Paragraphedeliste1"/>
              <w:numPr>
                <w:ilvl w:val="0"/>
                <w:numId w:val="38"/>
              </w:numPr>
              <w:spacing w:before="120" w:after="0" w:line="240" w:lineRule="auto"/>
              <w:jc w:val="both"/>
              <w:rPr>
                <w:rFonts w:ascii="Century Gothic" w:eastAsia="Calibri" w:hAnsi="Century Gothic"/>
                <w:b/>
                <w:color w:val="1A1A1A"/>
                <w:lang w:eastAsia="en-US"/>
              </w:rPr>
            </w:pPr>
            <w:r>
              <w:rPr>
                <w:rFonts w:ascii="Century Gothic" w:eastAsia="Calibri" w:hAnsi="Century Gothic"/>
                <w:b/>
                <w:color w:val="1A1A1A"/>
                <w:lang w:eastAsia="en-US"/>
              </w:rPr>
              <w:t>L</w:t>
            </w:r>
            <w:r w:rsidR="002659FA" w:rsidRPr="009C096C">
              <w:rPr>
                <w:rFonts w:ascii="Century Gothic" w:eastAsia="Calibri" w:hAnsi="Century Gothic"/>
                <w:b/>
                <w:color w:val="1A1A1A"/>
                <w:lang w:eastAsia="en-US"/>
              </w:rPr>
              <w:t>a situation des atteintes à la protection de l’intégrité physique et au droit de la santé</w:t>
            </w:r>
          </w:p>
          <w:p w14:paraId="023D5BEB" w14:textId="77777777" w:rsidR="001A4A78" w:rsidRPr="009C096C" w:rsidRDefault="001A4A78" w:rsidP="009C096C">
            <w:pPr>
              <w:jc w:val="both"/>
              <w:rPr>
                <w:rFonts w:ascii="Century Gothic" w:hAnsi="Century Gothic"/>
                <w:b/>
                <w:color w:val="1A1A1A"/>
              </w:rPr>
            </w:pPr>
            <w:r w:rsidRPr="009C096C">
              <w:rPr>
                <w:rFonts w:ascii="Century Gothic" w:hAnsi="Century Gothic"/>
                <w:b/>
                <w:color w:val="1A1A1A"/>
              </w:rPr>
              <w:t xml:space="preserve"> </w:t>
            </w:r>
          </w:p>
          <w:p w14:paraId="06FBEFF6" w14:textId="77777777" w:rsidR="002659FA" w:rsidRPr="00D80D55" w:rsidRDefault="002659FA" w:rsidP="009C096C">
            <w:pPr>
              <w:jc w:val="both"/>
              <w:rPr>
                <w:rFonts w:ascii="Century Gothic" w:hAnsi="Century Gothic"/>
                <w:color w:val="1A1A1A"/>
              </w:rPr>
            </w:pPr>
            <w:r w:rsidRPr="00D80D55">
              <w:rPr>
                <w:rFonts w:ascii="Century Gothic" w:hAnsi="Century Gothic"/>
                <w:color w:val="1A1A1A"/>
              </w:rPr>
              <w:t>Pendant l’insurrection populaire des 30 et 31 octobre 2014 et des manifestations qui s’en sont suivies, il y a eu des atteintes au droit à l’intégrité physique qui se sont matérialisées par plusieurs blessés. Ce sont six cent vingt</w:t>
            </w:r>
            <w:r w:rsidR="003C6F57" w:rsidRPr="00D80D55">
              <w:rPr>
                <w:rFonts w:ascii="Century Gothic" w:hAnsi="Century Gothic"/>
                <w:color w:val="1A1A1A"/>
              </w:rPr>
              <w:t>-et-</w:t>
            </w:r>
            <w:r w:rsidRPr="00D80D55">
              <w:rPr>
                <w:rFonts w:ascii="Century Gothic" w:hAnsi="Century Gothic"/>
                <w:color w:val="1A1A1A"/>
              </w:rPr>
              <w:t>cinq (625) blessés présentant des lésions  de toutes natures (plaies pénétrantes par balles ou objets tranchants, excoriations multiples, inhalation de gaz lacrymogène, brûlures à plusieurs degrés, traumatismes, ..) qui ont été reçus dans les formations sanitaires du pays. La plus part des cas soit 550 (88%) ont été enregistrés dans les structures sanitaires de la région du centre, particulièrement dans la ville de Ouagadougou. Toutefois, il convient de préciser que certains blessés ne se sont pas présentés dans les services de santé ne permettant pas de ce fait de les prendre en compte à ce jour dans la présente situation.</w:t>
            </w:r>
          </w:p>
          <w:p w14:paraId="0A315C95" w14:textId="77777777" w:rsidR="002659FA" w:rsidRPr="00D80D55" w:rsidRDefault="002659FA" w:rsidP="009C096C">
            <w:pPr>
              <w:tabs>
                <w:tab w:val="left" w:pos="1605"/>
              </w:tabs>
              <w:jc w:val="both"/>
              <w:rPr>
                <w:rFonts w:ascii="Century Gothic" w:hAnsi="Century Gothic"/>
                <w:color w:val="1A1A1A"/>
              </w:rPr>
            </w:pPr>
            <w:r w:rsidRPr="00D80D55">
              <w:rPr>
                <w:rFonts w:ascii="Century Gothic" w:hAnsi="Century Gothic"/>
                <w:color w:val="1A1A1A"/>
              </w:rPr>
              <w:t xml:space="preserve">A la date du 10 novembre 2014, la situation des blessés toujours hospitalisés dans les structures de soins est la façon suivante : CHU </w:t>
            </w:r>
            <w:proofErr w:type="spellStart"/>
            <w:r w:rsidRPr="00D80D55">
              <w:rPr>
                <w:rFonts w:ascii="Century Gothic" w:hAnsi="Century Gothic"/>
                <w:color w:val="1A1A1A"/>
              </w:rPr>
              <w:t>Yalgado</w:t>
            </w:r>
            <w:proofErr w:type="spellEnd"/>
            <w:r w:rsidRPr="00D80D55">
              <w:rPr>
                <w:rFonts w:ascii="Century Gothic" w:hAnsi="Century Gothic"/>
                <w:color w:val="1A1A1A"/>
              </w:rPr>
              <w:t xml:space="preserve"> OUEDRAOGO : neuf  (09) blessés ; Hôpital Blaise COMPAORE : six (06) blessés ; CHU </w:t>
            </w:r>
            <w:proofErr w:type="spellStart"/>
            <w:r w:rsidRPr="00D80D55">
              <w:rPr>
                <w:rFonts w:ascii="Century Gothic" w:hAnsi="Century Gothic"/>
                <w:color w:val="1A1A1A"/>
              </w:rPr>
              <w:t>Souro</w:t>
            </w:r>
            <w:proofErr w:type="spellEnd"/>
            <w:r w:rsidRPr="00D80D55">
              <w:rPr>
                <w:rFonts w:ascii="Century Gothic" w:hAnsi="Century Gothic"/>
                <w:color w:val="1A1A1A"/>
              </w:rPr>
              <w:t xml:space="preserve"> SANOU de Bobo : cinq (05)  blessés ; Hôpital  Pédiatrique Charles DE GAULLE: un  (01)  blessé ; CHR de Koudougou : trois (03) blessés. </w:t>
            </w:r>
          </w:p>
          <w:p w14:paraId="22B96AAE" w14:textId="77777777" w:rsidR="002659FA" w:rsidRPr="00D80D55" w:rsidRDefault="002659FA" w:rsidP="009C096C">
            <w:pPr>
              <w:jc w:val="both"/>
              <w:rPr>
                <w:rFonts w:ascii="Century Gothic" w:hAnsi="Century Gothic"/>
                <w:color w:val="1A1A1A"/>
              </w:rPr>
            </w:pPr>
            <w:r w:rsidRPr="00D80D55">
              <w:rPr>
                <w:rFonts w:ascii="Century Gothic" w:hAnsi="Century Gothic"/>
                <w:color w:val="1A1A1A"/>
              </w:rPr>
              <w:t>Soit au total, vingt</w:t>
            </w:r>
            <w:r w:rsidR="003A64CB" w:rsidRPr="00D80D55">
              <w:rPr>
                <w:rFonts w:ascii="Century Gothic" w:hAnsi="Century Gothic"/>
                <w:color w:val="1A1A1A"/>
              </w:rPr>
              <w:t>-et-</w:t>
            </w:r>
            <w:r w:rsidRPr="00D80D55">
              <w:rPr>
                <w:rFonts w:ascii="Century Gothic" w:hAnsi="Century Gothic"/>
                <w:color w:val="1A1A1A"/>
              </w:rPr>
              <w:t>quatre (24)  blessés.</w:t>
            </w:r>
          </w:p>
          <w:p w14:paraId="3E3E6663" w14:textId="77777777" w:rsidR="00796A57" w:rsidRPr="00D80D55" w:rsidRDefault="00796A57" w:rsidP="009C096C">
            <w:pPr>
              <w:jc w:val="both"/>
              <w:rPr>
                <w:rFonts w:ascii="Century Gothic" w:hAnsi="Century Gothic"/>
                <w:color w:val="1A1A1A"/>
              </w:rPr>
            </w:pPr>
            <w:r w:rsidRPr="00D80D55">
              <w:rPr>
                <w:rFonts w:ascii="Century Gothic" w:hAnsi="Century Gothic"/>
                <w:color w:val="1A1A1A"/>
              </w:rPr>
              <w:t xml:space="preserve">Les blessés admis dans les services de santé ont été gratuitement pris en charge par l’Etat, soutenu par les contributions volontaires des personnes physiques et morales. </w:t>
            </w:r>
          </w:p>
          <w:p w14:paraId="7AEABA5B" w14:textId="77777777" w:rsidR="00EE7E90" w:rsidRPr="009C096C" w:rsidRDefault="00EE7E90" w:rsidP="009C096C">
            <w:pPr>
              <w:tabs>
                <w:tab w:val="left" w:pos="709"/>
              </w:tabs>
              <w:spacing w:after="0" w:line="240" w:lineRule="auto"/>
              <w:contextualSpacing/>
              <w:jc w:val="both"/>
              <w:rPr>
                <w:rFonts w:ascii="Century Gothic" w:hAnsi="Century Gothic"/>
                <w:color w:val="1A1A1A"/>
              </w:rPr>
            </w:pPr>
          </w:p>
        </w:tc>
      </w:tr>
    </w:tbl>
    <w:p w14:paraId="784FA2A4" w14:textId="77777777" w:rsidR="00EE7E90" w:rsidRDefault="00EE7E90" w:rsidP="00C669D8">
      <w:pPr>
        <w:tabs>
          <w:tab w:val="left" w:pos="709"/>
        </w:tabs>
        <w:spacing w:after="0" w:line="240" w:lineRule="auto"/>
        <w:contextualSpacing/>
        <w:jc w:val="both"/>
        <w:rPr>
          <w:rFonts w:ascii="Century Gothic" w:hAnsi="Century Gothic"/>
          <w:color w:val="1A1A1A"/>
        </w:rPr>
      </w:pPr>
    </w:p>
    <w:p w14:paraId="221F774C" w14:textId="77777777" w:rsidR="00C63BAF" w:rsidRDefault="00C63BAF" w:rsidP="00C669D8">
      <w:pPr>
        <w:tabs>
          <w:tab w:val="left" w:pos="709"/>
        </w:tabs>
        <w:spacing w:after="0" w:line="240" w:lineRule="auto"/>
        <w:contextualSpacing/>
        <w:jc w:val="both"/>
        <w:rPr>
          <w:rFonts w:ascii="Century Gothic" w:hAnsi="Century Gothic"/>
          <w:color w:val="1A1A1A"/>
        </w:rPr>
      </w:pPr>
      <w:r>
        <w:rPr>
          <w:rFonts w:ascii="Century Gothic" w:hAnsi="Century Gothic"/>
          <w:color w:val="1A1A1A"/>
        </w:rPr>
        <w:t>En plus de ce rapport du Comité ad ‘hoc, des structures de la société civile en l’occurrence le Mouvement Burkinabè des Droits de l’Homme et des Peuples (MBDHP) et Amnesty International ont mené des investigations sur les violations des droits humains perpétrées au cours de l’insurrection populaire.</w:t>
      </w:r>
    </w:p>
    <w:p w14:paraId="2C30730E" w14:textId="77777777" w:rsidR="00663B71" w:rsidRPr="00C669D8" w:rsidRDefault="00C63BAF" w:rsidP="00C669D8">
      <w:pPr>
        <w:tabs>
          <w:tab w:val="left" w:pos="709"/>
        </w:tabs>
        <w:spacing w:after="0" w:line="240" w:lineRule="auto"/>
        <w:contextualSpacing/>
        <w:jc w:val="both"/>
        <w:rPr>
          <w:rFonts w:ascii="Century Gothic" w:hAnsi="Century Gothic"/>
          <w:color w:val="1A1A1A"/>
        </w:rPr>
      </w:pPr>
      <w:r>
        <w:rPr>
          <w:rFonts w:ascii="Century Gothic" w:hAnsi="Century Gothic"/>
          <w:color w:val="1A1A1A"/>
        </w:rPr>
        <w:lastRenderedPageBreak/>
        <w:t>C’est ainsi que l</w:t>
      </w:r>
      <w:r w:rsidR="006F1094" w:rsidRPr="00C669D8">
        <w:rPr>
          <w:rFonts w:ascii="Century Gothic" w:hAnsi="Century Gothic"/>
          <w:color w:val="1A1A1A"/>
        </w:rPr>
        <w:t>a coordination des associations pour l’assistance et le secours populaire (CAASP) dont le MBDHP est membre a dénombré au total trente-quatre (34) personnes tuées sur l’ensemble du territoire national, et réparti comme suit</w:t>
      </w:r>
      <w:r w:rsidR="00106B62" w:rsidRPr="00C669D8">
        <w:rPr>
          <w:rStyle w:val="Marquenotebasdepage"/>
          <w:rFonts w:ascii="Century Gothic" w:hAnsi="Century Gothic"/>
          <w:color w:val="1A1A1A"/>
        </w:rPr>
        <w:footnoteReference w:id="40"/>
      </w:r>
      <w:r w:rsidR="006F1094" w:rsidRPr="00C669D8">
        <w:rPr>
          <w:rFonts w:ascii="Century Gothic" w:hAnsi="Century Gothic"/>
          <w:color w:val="1A1A1A"/>
        </w:rPr>
        <w:t> :</w:t>
      </w:r>
    </w:p>
    <w:p w14:paraId="59BAAEC2" w14:textId="77777777" w:rsidR="006F1094" w:rsidRPr="00C669D8" w:rsidRDefault="006F1094" w:rsidP="00D060B8">
      <w:pPr>
        <w:pStyle w:val="Listecouleur-Accent12"/>
        <w:numPr>
          <w:ilvl w:val="0"/>
          <w:numId w:val="15"/>
        </w:numPr>
        <w:tabs>
          <w:tab w:val="left" w:pos="709"/>
        </w:tabs>
        <w:spacing w:after="0" w:line="240" w:lineRule="auto"/>
        <w:contextualSpacing/>
        <w:jc w:val="both"/>
        <w:rPr>
          <w:rFonts w:ascii="Century Gothic" w:hAnsi="Century Gothic"/>
          <w:color w:val="1A1A1A"/>
        </w:rPr>
      </w:pPr>
      <w:r w:rsidRPr="00C669D8">
        <w:rPr>
          <w:rFonts w:ascii="Century Gothic" w:hAnsi="Century Gothic"/>
          <w:color w:val="1A1A1A"/>
        </w:rPr>
        <w:t>21 à Ouagadougou</w:t>
      </w:r>
    </w:p>
    <w:p w14:paraId="69CF3E09" w14:textId="77777777" w:rsidR="006F1094" w:rsidRPr="00C669D8" w:rsidRDefault="006F1094" w:rsidP="00D060B8">
      <w:pPr>
        <w:pStyle w:val="Listecouleur-Accent12"/>
        <w:numPr>
          <w:ilvl w:val="0"/>
          <w:numId w:val="15"/>
        </w:numPr>
        <w:tabs>
          <w:tab w:val="left" w:pos="709"/>
        </w:tabs>
        <w:spacing w:after="0" w:line="240" w:lineRule="auto"/>
        <w:contextualSpacing/>
        <w:jc w:val="both"/>
        <w:rPr>
          <w:rFonts w:ascii="Century Gothic" w:hAnsi="Century Gothic"/>
          <w:color w:val="1A1A1A"/>
        </w:rPr>
      </w:pPr>
      <w:r w:rsidRPr="00C669D8">
        <w:rPr>
          <w:rFonts w:ascii="Century Gothic" w:hAnsi="Century Gothic"/>
          <w:color w:val="1A1A1A"/>
        </w:rPr>
        <w:t xml:space="preserve">7 à </w:t>
      </w:r>
      <w:proofErr w:type="spellStart"/>
      <w:r w:rsidRPr="00C669D8">
        <w:rPr>
          <w:rFonts w:ascii="Century Gothic" w:hAnsi="Century Gothic"/>
          <w:color w:val="1A1A1A"/>
        </w:rPr>
        <w:t>Sèbba</w:t>
      </w:r>
      <w:proofErr w:type="spellEnd"/>
    </w:p>
    <w:p w14:paraId="4E8BDF3F" w14:textId="77777777" w:rsidR="006F1094" w:rsidRPr="00C669D8" w:rsidRDefault="006F1094" w:rsidP="00D060B8">
      <w:pPr>
        <w:pStyle w:val="Listecouleur-Accent12"/>
        <w:numPr>
          <w:ilvl w:val="0"/>
          <w:numId w:val="15"/>
        </w:numPr>
        <w:tabs>
          <w:tab w:val="left" w:pos="709"/>
        </w:tabs>
        <w:spacing w:after="0" w:line="240" w:lineRule="auto"/>
        <w:contextualSpacing/>
        <w:jc w:val="both"/>
        <w:rPr>
          <w:rFonts w:ascii="Century Gothic" w:hAnsi="Century Gothic"/>
          <w:color w:val="1A1A1A"/>
        </w:rPr>
      </w:pPr>
      <w:r w:rsidRPr="00C669D8">
        <w:rPr>
          <w:rFonts w:ascii="Century Gothic" w:hAnsi="Century Gothic"/>
          <w:color w:val="1A1A1A"/>
        </w:rPr>
        <w:t>3 à Ouahigouya</w:t>
      </w:r>
    </w:p>
    <w:p w14:paraId="67005704" w14:textId="77777777" w:rsidR="006F1094" w:rsidRPr="00C669D8" w:rsidRDefault="006F1094" w:rsidP="00D060B8">
      <w:pPr>
        <w:pStyle w:val="Listecouleur-Accent12"/>
        <w:numPr>
          <w:ilvl w:val="0"/>
          <w:numId w:val="15"/>
        </w:numPr>
        <w:tabs>
          <w:tab w:val="left" w:pos="709"/>
        </w:tabs>
        <w:spacing w:after="0" w:line="240" w:lineRule="auto"/>
        <w:contextualSpacing/>
        <w:jc w:val="both"/>
        <w:rPr>
          <w:rFonts w:ascii="Century Gothic" w:hAnsi="Century Gothic"/>
          <w:color w:val="1A1A1A"/>
        </w:rPr>
      </w:pPr>
      <w:r w:rsidRPr="00C669D8">
        <w:rPr>
          <w:rFonts w:ascii="Century Gothic" w:hAnsi="Century Gothic"/>
          <w:color w:val="1A1A1A"/>
        </w:rPr>
        <w:t>2 à Bobo-Dioulasso</w:t>
      </w:r>
    </w:p>
    <w:p w14:paraId="13171A35" w14:textId="77777777" w:rsidR="006F1094" w:rsidRDefault="006F1094" w:rsidP="00D060B8">
      <w:pPr>
        <w:pStyle w:val="Listecouleur-Accent12"/>
        <w:numPr>
          <w:ilvl w:val="0"/>
          <w:numId w:val="15"/>
        </w:numPr>
        <w:tabs>
          <w:tab w:val="left" w:pos="709"/>
        </w:tabs>
        <w:spacing w:after="0" w:line="240" w:lineRule="auto"/>
        <w:contextualSpacing/>
        <w:jc w:val="both"/>
        <w:rPr>
          <w:rFonts w:ascii="Century Gothic" w:hAnsi="Century Gothic"/>
          <w:color w:val="1A1A1A"/>
        </w:rPr>
      </w:pPr>
      <w:r w:rsidRPr="00C669D8">
        <w:rPr>
          <w:rFonts w:ascii="Century Gothic" w:hAnsi="Century Gothic"/>
          <w:color w:val="1A1A1A"/>
        </w:rPr>
        <w:t>1 à Léo.</w:t>
      </w:r>
    </w:p>
    <w:p w14:paraId="7855305A" w14:textId="77777777" w:rsidR="00C669D8" w:rsidRPr="00C669D8" w:rsidRDefault="00C669D8" w:rsidP="00E262DB">
      <w:pPr>
        <w:pStyle w:val="Listecouleur-Accent12"/>
        <w:tabs>
          <w:tab w:val="left" w:pos="709"/>
        </w:tabs>
        <w:spacing w:after="0" w:line="240" w:lineRule="auto"/>
        <w:ind w:left="360"/>
        <w:contextualSpacing/>
        <w:jc w:val="both"/>
        <w:rPr>
          <w:rFonts w:ascii="Century Gothic" w:hAnsi="Century Gothic"/>
          <w:color w:val="1A1A1A"/>
        </w:rPr>
      </w:pPr>
    </w:p>
    <w:p w14:paraId="772CE95F" w14:textId="77777777" w:rsidR="00C85FDA" w:rsidRPr="00C669D8" w:rsidRDefault="006F1094" w:rsidP="00C669D8">
      <w:p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De ces 34 victimes, 19 ont été tuées par balle, au moins 6 sont mortes calcinées (</w:t>
      </w:r>
      <w:r w:rsidRPr="000F2548">
        <w:rPr>
          <w:rFonts w:ascii="Century Gothic" w:hAnsi="Century Gothic"/>
          <w:b/>
          <w:color w:val="1A1A1A"/>
        </w:rPr>
        <w:t>Extrait du rapport du MBDHP sur la situation des droits humains au Burkina depuis l’insurrection populaire octobre 2014-avril 2015</w:t>
      </w:r>
      <w:r w:rsidR="00C669D8">
        <w:rPr>
          <w:rFonts w:ascii="Century Gothic" w:hAnsi="Century Gothic"/>
          <w:color w:val="1A1A1A"/>
        </w:rPr>
        <w:t>)</w:t>
      </w:r>
      <w:r w:rsidRPr="00C669D8">
        <w:rPr>
          <w:rFonts w:ascii="Century Gothic" w:hAnsi="Century Gothic"/>
          <w:color w:val="1A1A1A"/>
        </w:rPr>
        <w:t>.</w:t>
      </w:r>
    </w:p>
    <w:p w14:paraId="1101EB4F" w14:textId="77777777" w:rsidR="003B43C4"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color w:val="1A1A1A"/>
        </w:rPr>
        <w:t xml:space="preserve">Amnesty International </w:t>
      </w:r>
      <w:r w:rsidR="00222BFE">
        <w:rPr>
          <w:rFonts w:ascii="Century Gothic" w:hAnsi="Century Gothic"/>
          <w:color w:val="1A1A1A"/>
        </w:rPr>
        <w:t xml:space="preserve">pour sa part </w:t>
      </w:r>
      <w:r w:rsidRPr="00C669D8">
        <w:rPr>
          <w:rFonts w:ascii="Century Gothic" w:hAnsi="Century Gothic"/>
          <w:color w:val="1A1A1A"/>
        </w:rPr>
        <w:t xml:space="preserve">a fait des constatations relativement aux atteintes au droit à la vie dans un rapport </w:t>
      </w:r>
      <w:r w:rsidR="00222BFE">
        <w:rPr>
          <w:rFonts w:ascii="Century Gothic" w:hAnsi="Century Gothic"/>
          <w:color w:val="1A1A1A"/>
        </w:rPr>
        <w:t xml:space="preserve">axé </w:t>
      </w:r>
      <w:r w:rsidRPr="00C669D8">
        <w:rPr>
          <w:rFonts w:ascii="Century Gothic" w:hAnsi="Century Gothic"/>
          <w:color w:val="1A1A1A"/>
        </w:rPr>
        <w:t>sur l’usage excessif de la force</w:t>
      </w:r>
      <w:r w:rsidR="00103997" w:rsidRPr="00C669D8">
        <w:rPr>
          <w:rStyle w:val="Marquenotebasdepage"/>
          <w:rFonts w:ascii="Century Gothic" w:hAnsi="Century Gothic"/>
          <w:color w:val="1A1A1A"/>
        </w:rPr>
        <w:footnoteReference w:id="41"/>
      </w:r>
      <w:r w:rsidRPr="00C669D8">
        <w:rPr>
          <w:rFonts w:ascii="Century Gothic" w:hAnsi="Century Gothic"/>
          <w:color w:val="1A1A1A"/>
        </w:rPr>
        <w:t xml:space="preserve">. </w:t>
      </w:r>
      <w:r w:rsidRPr="00C669D8">
        <w:rPr>
          <w:rFonts w:ascii="Century Gothic" w:hAnsi="Century Gothic"/>
        </w:rPr>
        <w:t xml:space="preserve">L’organisation </w:t>
      </w:r>
      <w:r w:rsidR="003B43C4">
        <w:rPr>
          <w:rFonts w:ascii="Century Gothic" w:hAnsi="Century Gothic"/>
        </w:rPr>
        <w:t xml:space="preserve">dans un rapport publié le 15 janvier 2015 </w:t>
      </w:r>
      <w:r w:rsidRPr="00C669D8">
        <w:rPr>
          <w:rFonts w:ascii="Century Gothic" w:hAnsi="Century Gothic"/>
        </w:rPr>
        <w:t xml:space="preserve">y présente les conclusions des recherches concernant les victimes, tuées ou blessées, lors des manifestations qui ont eu lieu au Burkina Faso entre le 30 octobre et le 2 novembre 2014. </w:t>
      </w:r>
    </w:p>
    <w:p w14:paraId="11ACEAAD" w14:textId="77777777" w:rsidR="00CE3BFA" w:rsidRPr="00C669D8"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Les recherches d'Amnesty International ont abouti aux principales conclusions suivantes :</w:t>
      </w:r>
    </w:p>
    <w:p w14:paraId="31B3B26F" w14:textId="77777777" w:rsidR="00CE3BFA" w:rsidRPr="00C669D8" w:rsidRDefault="004251E4" w:rsidP="00C669D8">
      <w:pPr>
        <w:tabs>
          <w:tab w:val="left" w:pos="709"/>
        </w:tabs>
        <w:spacing w:line="240" w:lineRule="auto"/>
        <w:contextualSpacing/>
        <w:jc w:val="both"/>
        <w:rPr>
          <w:rFonts w:ascii="Century Gothic" w:hAnsi="Century Gothic"/>
        </w:rPr>
      </w:pPr>
      <w:r>
        <w:rPr>
          <w:rFonts w:ascii="Century Gothic" w:hAnsi="Century Gothic"/>
        </w:rPr>
        <w:t xml:space="preserve">- </w:t>
      </w:r>
      <w:r w:rsidR="00CE3BFA" w:rsidRPr="00C669D8">
        <w:rPr>
          <w:rFonts w:ascii="Century Gothic" w:hAnsi="Century Gothic"/>
        </w:rPr>
        <w:t>Des militaires, y compris le RSP, et gendarmes, (ci-après forces de sécurité), ont tiré à balles réelles sur les manifestants, faisant de nombreux blessés et au moins dix morts. Des éléments d’information recueillis montrent aussi que les forces de sécurité ont frappé des manifestants et des passants à l'aide de bâtons et de cordelettes.</w:t>
      </w:r>
    </w:p>
    <w:p w14:paraId="55D12005" w14:textId="77777777" w:rsidR="00CE3BFA" w:rsidRDefault="004251E4" w:rsidP="00C669D8">
      <w:pPr>
        <w:tabs>
          <w:tab w:val="left" w:pos="709"/>
        </w:tabs>
        <w:spacing w:line="240" w:lineRule="auto"/>
        <w:contextualSpacing/>
        <w:jc w:val="both"/>
        <w:rPr>
          <w:rFonts w:ascii="Century Gothic" w:hAnsi="Century Gothic"/>
        </w:rPr>
      </w:pPr>
      <w:r>
        <w:rPr>
          <w:rFonts w:ascii="Century Gothic" w:hAnsi="Century Gothic"/>
        </w:rPr>
        <w:t xml:space="preserve">- </w:t>
      </w:r>
      <w:r w:rsidR="00CE3BFA" w:rsidRPr="00C669D8">
        <w:rPr>
          <w:rFonts w:ascii="Century Gothic" w:hAnsi="Century Gothic"/>
        </w:rPr>
        <w:t xml:space="preserve">Une majorité des incidents et cas de blessures portés à la connaissance d'Amnesty International où les forces de sécurité ont tiré à balles réelles ont eu lieu alors que les manifestants se dirigeaient vers le palais de </w:t>
      </w:r>
      <w:proofErr w:type="spellStart"/>
      <w:r w:rsidR="00CE3BFA" w:rsidRPr="00C669D8">
        <w:rPr>
          <w:rFonts w:ascii="Century Gothic" w:hAnsi="Century Gothic"/>
        </w:rPr>
        <w:t>Kosyam</w:t>
      </w:r>
      <w:proofErr w:type="spellEnd"/>
      <w:r w:rsidR="00CE3BFA" w:rsidRPr="00C669D8">
        <w:rPr>
          <w:rFonts w:ascii="Century Gothic" w:hAnsi="Century Gothic"/>
        </w:rPr>
        <w:t xml:space="preserve"> (siège de la présidence) ou aux environs de la résidence de François Compaoré (frère et conseiller du président) à Ouagadougou.</w:t>
      </w:r>
    </w:p>
    <w:p w14:paraId="52C63589" w14:textId="77777777" w:rsidR="004251E4" w:rsidRPr="00C669D8" w:rsidRDefault="004251E4" w:rsidP="00C669D8">
      <w:pPr>
        <w:tabs>
          <w:tab w:val="left" w:pos="709"/>
        </w:tabs>
        <w:spacing w:line="240" w:lineRule="auto"/>
        <w:contextualSpacing/>
        <w:jc w:val="both"/>
        <w:rPr>
          <w:rFonts w:ascii="Century Gothic" w:hAnsi="Century Gothic"/>
        </w:rPr>
      </w:pPr>
    </w:p>
    <w:p w14:paraId="19009AD2" w14:textId="77777777" w:rsidR="004251E4"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Les éléments d’informations recueillis tendent à prouver que les forces de sécurité n'ont pas donné de préavis de recours à la force meurtrière et qu'elles ont parfois tiré sur des manifestants qui avaient levé les bras afin de montrer qu'ils n'étaient pas armés. D'après les informations reçues par Amnesty International, les forces de sécurité n'ont pas essayé d'employer d'autres méthodes plus pacifiques avant d'ouvrir le feu sur les manifestants. Rien ne prouve non plus que les forces de sécurité aient des raisons légitimes pour recourir à la force. Cela fait des dizaines d'années qu'on n’a pas été témoin d'une répression aussi violente par les forces de sécurité au Burkina Faso.</w:t>
      </w:r>
    </w:p>
    <w:p w14:paraId="474019CB" w14:textId="77777777" w:rsidR="00CE3BFA" w:rsidRPr="00C669D8" w:rsidRDefault="00CE3BFA" w:rsidP="00C669D8">
      <w:pPr>
        <w:tabs>
          <w:tab w:val="left" w:pos="709"/>
        </w:tabs>
        <w:spacing w:line="240" w:lineRule="auto"/>
        <w:contextualSpacing/>
        <w:jc w:val="both"/>
        <w:rPr>
          <w:rFonts w:ascii="Century Gothic" w:hAnsi="Century Gothic"/>
        </w:rPr>
      </w:pPr>
    </w:p>
    <w:p w14:paraId="012A60BC" w14:textId="77777777" w:rsidR="004251E4"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Durant la mission, tous les manifestants, journalistes et défenseurs des droits humains interrogés ont confirmé que la police était présente pendant les manifestations, à côté de l'Assemblée nationale à Ouagadougou, mais qu'elle n'était pas armée et n'avait pas tiré sur les manifestants.</w:t>
      </w:r>
    </w:p>
    <w:p w14:paraId="51CDB38F" w14:textId="77777777" w:rsidR="00CE3BFA"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br/>
        <w:t>Le recours délibéré à la force meurtrière, face à des individus qui, de toute évidence, ne constituaient aucune menace, constitue un recours arbitraire et abusif à la force qui doit être considéré comme une infraction pénale.</w:t>
      </w:r>
    </w:p>
    <w:p w14:paraId="5B6E55AE" w14:textId="77777777" w:rsidR="004251E4" w:rsidRPr="00C669D8" w:rsidRDefault="004251E4" w:rsidP="00C669D8">
      <w:pPr>
        <w:tabs>
          <w:tab w:val="left" w:pos="709"/>
        </w:tabs>
        <w:spacing w:line="240" w:lineRule="auto"/>
        <w:contextualSpacing/>
        <w:jc w:val="both"/>
        <w:rPr>
          <w:rFonts w:ascii="Century Gothic" w:hAnsi="Century Gothic"/>
        </w:rPr>
      </w:pPr>
    </w:p>
    <w:p w14:paraId="32D9EC9F" w14:textId="77777777" w:rsidR="00103997" w:rsidRPr="00C669D8"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lastRenderedPageBreak/>
        <w:t>Par ailleurs, Amnesty International s'inquiète du fait que des bâtons et des cordelettes ont été utilisés pour punir et frapper sans discrimination des manifestants, y compris des enfants, souvent au seul motif qu'ils avaient exercé leur droit à manifester pacifiquement. Il y a eu au moins un incident de passage à tabac d'un journaliste par des soldats alors qu'il essayait de couvrir les événements.</w:t>
      </w:r>
    </w:p>
    <w:p w14:paraId="6D5765A1" w14:textId="77777777" w:rsidR="004251E4" w:rsidRDefault="004251E4" w:rsidP="00C669D8">
      <w:pPr>
        <w:tabs>
          <w:tab w:val="left" w:pos="709"/>
        </w:tabs>
        <w:spacing w:line="240" w:lineRule="auto"/>
        <w:contextualSpacing/>
        <w:jc w:val="both"/>
        <w:rPr>
          <w:rFonts w:ascii="Century Gothic" w:hAnsi="Century Gothic"/>
        </w:rPr>
      </w:pPr>
    </w:p>
    <w:p w14:paraId="4CE2B179" w14:textId="77777777" w:rsidR="004251E4"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En droit burkinabé, l'armée nationale, le RSP et la gendarmerie ne peuvent intervenir dans le domaine de l'application des lois que dans certaines conditions très spécifiques.</w:t>
      </w:r>
      <w:r w:rsidRPr="00C669D8">
        <w:rPr>
          <w:rFonts w:ascii="Century Gothic" w:hAnsi="Century Gothic"/>
        </w:rPr>
        <w:br/>
      </w:r>
    </w:p>
    <w:p w14:paraId="2FBF3CA9" w14:textId="77777777" w:rsidR="00CE3BFA" w:rsidRPr="00C669D8"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D'après les éléments de preuve recueillis par Amnesty International, ces conditions n'étaient pas réunies lors des évènements récents.</w:t>
      </w:r>
    </w:p>
    <w:p w14:paraId="5686E0BB" w14:textId="77777777" w:rsidR="00CE3BFA" w:rsidRPr="00C669D8"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Des informations recueillies par Amnesty International et confirmées par le procureur du</w:t>
      </w:r>
      <w:r w:rsidR="004251E4">
        <w:rPr>
          <w:rFonts w:ascii="Century Gothic" w:hAnsi="Century Gothic"/>
        </w:rPr>
        <w:t xml:space="preserve"> </w:t>
      </w:r>
      <w:r w:rsidRPr="00C669D8">
        <w:rPr>
          <w:rFonts w:ascii="Century Gothic" w:hAnsi="Century Gothic"/>
        </w:rPr>
        <w:t>Faso indiquent que trois prisonniers de la MACO ont été tués par balles à la suite de troubles et d'une tentative d'évasion dans la soirée du 30 octobre. Deux autres prisonniers sont décédés, probablement en raison de leur déshydratation et de l'absence de ventilation dans la cellule où ils étaient détenus, les prisonniers ayant été enfermés juste après les émeutes.</w:t>
      </w:r>
    </w:p>
    <w:p w14:paraId="0F684EC3" w14:textId="77777777" w:rsidR="004251E4"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D'après les témoignages recueillis par Amnesty International, les surveillants de la prison et des membres de la gendarmerie appelés en renfort auraient fa</w:t>
      </w:r>
      <w:r w:rsidR="004251E4">
        <w:rPr>
          <w:rFonts w:ascii="Century Gothic" w:hAnsi="Century Gothic"/>
        </w:rPr>
        <w:t>i</w:t>
      </w:r>
      <w:r w:rsidRPr="00C669D8">
        <w:rPr>
          <w:rFonts w:ascii="Century Gothic" w:hAnsi="Century Gothic"/>
        </w:rPr>
        <w:t xml:space="preserve">t un usage excessif de la force, qui a parfois entraîné la mort, à l'encontre de détenus non armés. </w:t>
      </w:r>
    </w:p>
    <w:p w14:paraId="2FA246BD" w14:textId="77777777" w:rsidR="00CE3BFA" w:rsidRPr="00C669D8" w:rsidRDefault="00CE3BFA" w:rsidP="00C669D8">
      <w:pPr>
        <w:tabs>
          <w:tab w:val="left" w:pos="709"/>
        </w:tabs>
        <w:spacing w:line="240" w:lineRule="auto"/>
        <w:contextualSpacing/>
        <w:jc w:val="both"/>
        <w:rPr>
          <w:rFonts w:ascii="Century Gothic" w:hAnsi="Century Gothic"/>
        </w:rPr>
      </w:pPr>
      <w:r w:rsidRPr="00C669D8">
        <w:rPr>
          <w:rFonts w:ascii="Century Gothic" w:hAnsi="Century Gothic"/>
        </w:rPr>
        <w:t>Par ailleurs, dans la soirée du 30 octobre des prisonniers détenus à la MACO ont été passés à tabac et maltraités</w:t>
      </w:r>
      <w:r w:rsidR="004251E4">
        <w:rPr>
          <w:rFonts w:ascii="Century Gothic" w:hAnsi="Century Gothic"/>
        </w:rPr>
        <w:t xml:space="preserve"> </w:t>
      </w:r>
      <w:r w:rsidRPr="00C669D8">
        <w:rPr>
          <w:rFonts w:ascii="Century Gothic" w:hAnsi="Century Gothic"/>
        </w:rPr>
        <w:t>Burkina Faso par des surveillants pour les punir de leur participation aux troubles et de la tentative d'évasion. Certains prisonniers ont par la suite été enfermés dans leur cellule pendant plusieurs jours, sans eau en quantité suffisante.</w:t>
      </w:r>
    </w:p>
    <w:p w14:paraId="7F808777" w14:textId="77777777" w:rsidR="00CE3BFA" w:rsidRPr="00C669D8" w:rsidRDefault="00CE3BFA" w:rsidP="00C669D8">
      <w:pPr>
        <w:tabs>
          <w:tab w:val="left" w:pos="709"/>
        </w:tabs>
        <w:spacing w:line="240" w:lineRule="auto"/>
        <w:contextualSpacing/>
        <w:jc w:val="both"/>
        <w:rPr>
          <w:rFonts w:ascii="Century Gothic" w:hAnsi="Century Gothic"/>
          <w:color w:val="1A1A1A"/>
        </w:rPr>
      </w:pPr>
      <w:r w:rsidRPr="00C669D8">
        <w:rPr>
          <w:rFonts w:ascii="Century Gothic" w:hAnsi="Century Gothic"/>
        </w:rPr>
        <w:t xml:space="preserve">Malheureusement, jusqu’à présent aucun dossier se rapportant aux événements de l’insurrection de 2014 n’a été élucidé. D’ailleurs la structure des victimes de l’insurrection populaire des 30 et 31 octobre 2014 </w:t>
      </w:r>
      <w:proofErr w:type="gramStart"/>
      <w:r w:rsidRPr="00C669D8">
        <w:rPr>
          <w:rFonts w:ascii="Century Gothic" w:hAnsi="Century Gothic"/>
        </w:rPr>
        <w:t>continuent</w:t>
      </w:r>
      <w:proofErr w:type="gramEnd"/>
      <w:r w:rsidRPr="00C669D8">
        <w:rPr>
          <w:rFonts w:ascii="Century Gothic" w:hAnsi="Century Gothic"/>
        </w:rPr>
        <w:t xml:space="preserve"> de dénoncer la lenteur des procédures judiciaires</w:t>
      </w:r>
    </w:p>
    <w:p w14:paraId="00D9D306" w14:textId="77777777" w:rsidR="00663B71" w:rsidRPr="00C669D8" w:rsidRDefault="00663B71" w:rsidP="00C669D8">
      <w:pPr>
        <w:tabs>
          <w:tab w:val="left" w:pos="709"/>
        </w:tabs>
        <w:spacing w:line="240" w:lineRule="auto"/>
        <w:contextualSpacing/>
        <w:jc w:val="both"/>
        <w:rPr>
          <w:rFonts w:ascii="Century Gothic" w:hAnsi="Century Gothic"/>
          <w:color w:val="1A1A1A"/>
        </w:rPr>
      </w:pPr>
    </w:p>
    <w:p w14:paraId="3F814B25" w14:textId="77777777" w:rsidR="007354FA" w:rsidRPr="00C669D8" w:rsidRDefault="001914A3" w:rsidP="00C669D8">
      <w:pPr>
        <w:tabs>
          <w:tab w:val="left" w:pos="709"/>
        </w:tabs>
        <w:spacing w:line="240" w:lineRule="auto"/>
        <w:contextualSpacing/>
        <w:jc w:val="both"/>
        <w:rPr>
          <w:rFonts w:ascii="Century Gothic" w:hAnsi="Century Gothic"/>
          <w:color w:val="1A1A1A"/>
        </w:rPr>
      </w:pPr>
      <w:r w:rsidRPr="00C669D8">
        <w:rPr>
          <w:rFonts w:ascii="Century Gothic" w:hAnsi="Century Gothic"/>
          <w:b/>
          <w:color w:val="1A1A1A"/>
        </w:rPr>
        <w:t>Les éboulements et l’insécurité (attaques à main armée)</w:t>
      </w:r>
      <w:r w:rsidR="00331925" w:rsidRPr="00C669D8">
        <w:rPr>
          <w:rFonts w:ascii="Century Gothic" w:hAnsi="Century Gothic"/>
          <w:b/>
          <w:color w:val="1A1A1A"/>
        </w:rPr>
        <w:t xml:space="preserve"> : </w:t>
      </w:r>
    </w:p>
    <w:p w14:paraId="5E2CAC99" w14:textId="77777777" w:rsidR="007354FA" w:rsidRPr="00C669D8" w:rsidRDefault="00CE3BFA" w:rsidP="00C669D8">
      <w:pPr>
        <w:tabs>
          <w:tab w:val="left" w:pos="709"/>
        </w:tabs>
        <w:spacing w:after="0" w:line="240" w:lineRule="auto"/>
        <w:contextualSpacing/>
        <w:jc w:val="both"/>
        <w:rPr>
          <w:rFonts w:ascii="Century Gothic" w:hAnsi="Century Gothic"/>
          <w:color w:val="1A1A1A"/>
        </w:rPr>
      </w:pPr>
      <w:r w:rsidRPr="00C669D8">
        <w:rPr>
          <w:rFonts w:ascii="Century Gothic" w:hAnsi="Century Gothic"/>
          <w:color w:val="1A1A1A"/>
        </w:rPr>
        <w:t xml:space="preserve">L’exploitation </w:t>
      </w:r>
      <w:proofErr w:type="gramStart"/>
      <w:r w:rsidRPr="00C669D8">
        <w:rPr>
          <w:rFonts w:ascii="Century Gothic" w:hAnsi="Century Gothic"/>
          <w:color w:val="1A1A1A"/>
        </w:rPr>
        <w:t>artisanale</w:t>
      </w:r>
      <w:proofErr w:type="gramEnd"/>
      <w:r w:rsidRPr="00C669D8">
        <w:rPr>
          <w:rFonts w:ascii="Century Gothic" w:hAnsi="Century Gothic"/>
          <w:color w:val="1A1A1A"/>
        </w:rPr>
        <w:t xml:space="preserve"> de l’or n’est pas sans conséquence sur la vie des personnes qui s’y adonnent. Plusieurs personnes ont été tuées par des éboulements de sites miniers. On peut citer :</w:t>
      </w:r>
    </w:p>
    <w:p w14:paraId="72E64CEF" w14:textId="77777777" w:rsidR="008F5F3E" w:rsidRPr="00C669D8" w:rsidRDefault="008F5F3E" w:rsidP="00D060B8">
      <w:pPr>
        <w:pStyle w:val="Listecouleur-Accent12"/>
        <w:numPr>
          <w:ilvl w:val="0"/>
          <w:numId w:val="32"/>
        </w:num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 xml:space="preserve">Mercredi 5 août 2015, 2 personnes ont perdu la vie et une personne </w:t>
      </w:r>
      <w:proofErr w:type="gramStart"/>
      <w:r w:rsidRPr="00C669D8">
        <w:rPr>
          <w:rFonts w:ascii="Century Gothic" w:hAnsi="Century Gothic"/>
          <w:color w:val="1A1A1A"/>
        </w:rPr>
        <w:t>blessé</w:t>
      </w:r>
      <w:proofErr w:type="gramEnd"/>
      <w:r w:rsidRPr="00C669D8">
        <w:rPr>
          <w:rFonts w:ascii="Century Gothic" w:hAnsi="Century Gothic"/>
          <w:color w:val="1A1A1A"/>
        </w:rPr>
        <w:t xml:space="preserve"> dans l'</w:t>
      </w:r>
      <w:r w:rsidRPr="00C669D8">
        <w:rPr>
          <w:rFonts w:ascii="Century Gothic" w:hAnsi="Century Gothic"/>
          <w:i/>
          <w:iCs/>
          <w:color w:val="1A1A1A"/>
        </w:rPr>
        <w:t>éboulement</w:t>
      </w:r>
      <w:r w:rsidRPr="00C669D8">
        <w:rPr>
          <w:rFonts w:ascii="Century Gothic" w:hAnsi="Century Gothic"/>
          <w:color w:val="1A1A1A"/>
        </w:rPr>
        <w:t xml:space="preserve"> d'un site minier à </w:t>
      </w:r>
      <w:proofErr w:type="spellStart"/>
      <w:r w:rsidRPr="00C669D8">
        <w:rPr>
          <w:rFonts w:ascii="Century Gothic" w:hAnsi="Century Gothic"/>
          <w:color w:val="1A1A1A"/>
        </w:rPr>
        <w:t>Djibo</w:t>
      </w:r>
      <w:proofErr w:type="spellEnd"/>
      <w:r w:rsidRPr="00C669D8">
        <w:rPr>
          <w:rFonts w:ascii="Century Gothic" w:hAnsi="Century Gothic"/>
          <w:color w:val="1A1A1A"/>
        </w:rPr>
        <w:t> ;</w:t>
      </w:r>
    </w:p>
    <w:p w14:paraId="0822677C" w14:textId="77777777" w:rsidR="008F5F3E" w:rsidRPr="00C669D8" w:rsidRDefault="008F5F3E" w:rsidP="00D060B8">
      <w:pPr>
        <w:pStyle w:val="Listecouleur-Accent12"/>
        <w:numPr>
          <w:ilvl w:val="0"/>
          <w:numId w:val="32"/>
        </w:num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le jeudi 30 avril 2015 dernier, dans la même localité, un éboulement meurtrier s’est produit causant des blessés et des pertes en vies humaines...une dizaine de morts et une quarantaine</w:t>
      </w:r>
      <w:r w:rsidRPr="00C669D8">
        <w:rPr>
          <w:rFonts w:ascii="Century Gothic" w:hAnsi="Century Gothic"/>
        </w:rPr>
        <w:t xml:space="preserve"> de personnes toujours sous les décombres</w:t>
      </w:r>
      <w:r w:rsidRPr="00C669D8">
        <w:rPr>
          <w:rStyle w:val="Marquenotebasdepage"/>
          <w:rFonts w:ascii="Century Gothic" w:hAnsi="Century Gothic"/>
        </w:rPr>
        <w:footnoteReference w:id="42"/>
      </w:r>
    </w:p>
    <w:p w14:paraId="2AE8C0DD" w14:textId="77777777" w:rsidR="00C051C7" w:rsidRPr="00C669D8" w:rsidRDefault="008F5F3E" w:rsidP="00D060B8">
      <w:pPr>
        <w:pStyle w:val="Listecouleur-Accent12"/>
        <w:numPr>
          <w:ilvl w:val="0"/>
          <w:numId w:val="32"/>
        </w:num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 xml:space="preserve">le </w:t>
      </w:r>
      <w:r w:rsidR="00C051C7" w:rsidRPr="00C669D8">
        <w:rPr>
          <w:rFonts w:ascii="Century Gothic" w:hAnsi="Century Gothic"/>
          <w:color w:val="1A1A1A"/>
        </w:rPr>
        <w:t xml:space="preserve">18 février </w:t>
      </w:r>
      <w:r w:rsidR="009B3AF6">
        <w:rPr>
          <w:rFonts w:ascii="Century Gothic" w:hAnsi="Century Gothic"/>
          <w:color w:val="1A1A1A"/>
        </w:rPr>
        <w:t xml:space="preserve">2015 </w:t>
      </w:r>
      <w:r w:rsidR="00C051C7" w:rsidRPr="00C669D8">
        <w:rPr>
          <w:rFonts w:ascii="Century Gothic" w:hAnsi="Century Gothic"/>
          <w:color w:val="1A1A1A"/>
        </w:rPr>
        <w:t xml:space="preserve">à </w:t>
      </w:r>
      <w:proofErr w:type="spellStart"/>
      <w:r w:rsidR="00C051C7" w:rsidRPr="00C669D8">
        <w:rPr>
          <w:rFonts w:ascii="Century Gothic" w:hAnsi="Century Gothic"/>
          <w:color w:val="1A1A1A"/>
        </w:rPr>
        <w:t>Titao</w:t>
      </w:r>
      <w:proofErr w:type="spellEnd"/>
      <w:r w:rsidR="00C051C7" w:rsidRPr="00C669D8">
        <w:rPr>
          <w:rFonts w:ascii="Century Gothic" w:hAnsi="Century Gothic"/>
          <w:color w:val="1A1A1A"/>
        </w:rPr>
        <w:t xml:space="preserve">, province du </w:t>
      </w:r>
      <w:proofErr w:type="spellStart"/>
      <w:r w:rsidR="00C051C7" w:rsidRPr="00C669D8">
        <w:rPr>
          <w:rFonts w:ascii="Century Gothic" w:hAnsi="Century Gothic"/>
          <w:color w:val="1A1A1A"/>
        </w:rPr>
        <w:t>Loroum</w:t>
      </w:r>
      <w:proofErr w:type="spellEnd"/>
      <w:r w:rsidR="00C051C7" w:rsidRPr="00C669D8">
        <w:rPr>
          <w:rFonts w:ascii="Century Gothic" w:hAnsi="Century Gothic"/>
          <w:color w:val="1A1A1A"/>
        </w:rPr>
        <w:t xml:space="preserve">, localité située à une quarantaine de kilomètres </w:t>
      </w:r>
      <w:r w:rsidR="00C001FF" w:rsidRPr="00C669D8">
        <w:rPr>
          <w:rFonts w:ascii="Century Gothic" w:hAnsi="Century Gothic"/>
          <w:color w:val="1A1A1A"/>
        </w:rPr>
        <w:t>d’Ouahigouya</w:t>
      </w:r>
      <w:r w:rsidR="00C051C7" w:rsidRPr="00C669D8">
        <w:rPr>
          <w:rFonts w:ascii="Century Gothic" w:hAnsi="Century Gothic"/>
          <w:color w:val="1A1A1A"/>
        </w:rPr>
        <w:t>, dans la région du Nord, soit un mois après le premier éboulement qui avait fait 09 morts.</w:t>
      </w:r>
    </w:p>
    <w:p w14:paraId="3E3B9655" w14:textId="77777777" w:rsidR="00CE3BFA" w:rsidRPr="00C669D8" w:rsidRDefault="00C051C7" w:rsidP="00D060B8">
      <w:pPr>
        <w:pStyle w:val="Listecouleur-Accent12"/>
        <w:numPr>
          <w:ilvl w:val="0"/>
          <w:numId w:val="32"/>
        </w:numPr>
        <w:tabs>
          <w:tab w:val="left" w:pos="709"/>
        </w:tabs>
        <w:spacing w:line="240" w:lineRule="auto"/>
        <w:contextualSpacing/>
        <w:jc w:val="both"/>
        <w:rPr>
          <w:rFonts w:ascii="Century Gothic" w:hAnsi="Century Gothic"/>
          <w:color w:val="1A1A1A"/>
        </w:rPr>
      </w:pPr>
      <w:r w:rsidRPr="00C669D8">
        <w:rPr>
          <w:rFonts w:ascii="Century Gothic" w:hAnsi="Century Gothic"/>
          <w:color w:val="1A1A1A"/>
        </w:rPr>
        <w:t xml:space="preserve">Le 18 </w:t>
      </w:r>
      <w:r w:rsidR="009B3AF6" w:rsidRPr="00C669D8">
        <w:rPr>
          <w:rFonts w:ascii="Century Gothic" w:hAnsi="Century Gothic"/>
          <w:color w:val="1A1A1A"/>
        </w:rPr>
        <w:t>janvier</w:t>
      </w:r>
      <w:r w:rsidR="009B3AF6">
        <w:rPr>
          <w:rFonts w:ascii="Century Gothic" w:hAnsi="Century Gothic"/>
          <w:color w:val="1A1A1A"/>
        </w:rPr>
        <w:t xml:space="preserve"> 2015 </w:t>
      </w:r>
      <w:r w:rsidR="00CE3BFA" w:rsidRPr="00C669D8">
        <w:rPr>
          <w:rFonts w:ascii="Century Gothic" w:hAnsi="Century Gothic"/>
          <w:color w:val="1A1A1A"/>
        </w:rPr>
        <w:t xml:space="preserve">9 morts et 10 blessés dans l’éboulement du site d’orpaillage dans le village de </w:t>
      </w:r>
      <w:proofErr w:type="spellStart"/>
      <w:r w:rsidR="00CE3BFA" w:rsidRPr="00C669D8">
        <w:rPr>
          <w:rFonts w:ascii="Century Gothic" w:hAnsi="Century Gothic"/>
          <w:color w:val="1A1A1A"/>
        </w:rPr>
        <w:t>Noogo</w:t>
      </w:r>
      <w:proofErr w:type="spellEnd"/>
      <w:r w:rsidR="00CE3BFA" w:rsidRPr="00C669D8">
        <w:rPr>
          <w:rFonts w:ascii="Century Gothic" w:hAnsi="Century Gothic"/>
          <w:color w:val="1A1A1A"/>
        </w:rPr>
        <w:t>, dans le nord-est du pays</w:t>
      </w:r>
      <w:r w:rsidR="008F5F3E" w:rsidRPr="00C669D8">
        <w:rPr>
          <w:rFonts w:ascii="Century Gothic" w:hAnsi="Century Gothic"/>
          <w:color w:val="1A1A1A"/>
        </w:rPr>
        <w:t>.</w:t>
      </w:r>
    </w:p>
    <w:p w14:paraId="0F030FA0" w14:textId="77777777" w:rsidR="008F5F3E" w:rsidRPr="00C669D8" w:rsidRDefault="008F5F3E" w:rsidP="00C669D8">
      <w:pPr>
        <w:tabs>
          <w:tab w:val="left" w:pos="709"/>
        </w:tabs>
        <w:spacing w:line="240" w:lineRule="auto"/>
        <w:contextualSpacing/>
        <w:jc w:val="both"/>
        <w:rPr>
          <w:rStyle w:val="hps"/>
          <w:rFonts w:ascii="Century Gothic" w:hAnsi="Century Gothic"/>
        </w:rPr>
      </w:pPr>
      <w:r w:rsidRPr="00C669D8">
        <w:rPr>
          <w:rStyle w:val="hps"/>
          <w:rFonts w:ascii="Century Gothic" w:hAnsi="Century Gothic"/>
        </w:rPr>
        <w:t xml:space="preserve">Malgré les risques avérés pour la vie des orpailleurs, et l’interdiction officielle de l’orpaillage pendant </w:t>
      </w:r>
      <w:r w:rsidRPr="006753A5">
        <w:rPr>
          <w:rStyle w:val="hps"/>
          <w:rFonts w:ascii="Century Gothic" w:hAnsi="Century Gothic"/>
        </w:rPr>
        <w:t>la saison hivernale, rien n’est fait pour mettre un terme à cette hécatombe.</w:t>
      </w:r>
      <w:r w:rsidR="005C5077" w:rsidRPr="00447D83">
        <w:rPr>
          <w:rStyle w:val="hps"/>
          <w:rFonts w:ascii="Century Gothic" w:hAnsi="Century Gothic"/>
        </w:rPr>
        <w:t xml:space="preserve"> </w:t>
      </w:r>
      <w:r w:rsidR="005C5077" w:rsidRPr="00D80D55">
        <w:rPr>
          <w:rStyle w:val="hps"/>
          <w:rFonts w:ascii="Century Gothic" w:hAnsi="Century Gothic"/>
        </w:rPr>
        <w:t xml:space="preserve">Il faut noter que l’interdiction que le gouvernement émet chaque </w:t>
      </w:r>
      <w:r w:rsidR="005C5077" w:rsidRPr="00D80D55">
        <w:rPr>
          <w:rStyle w:val="hps"/>
          <w:rFonts w:ascii="Century Gothic" w:hAnsi="Century Gothic"/>
        </w:rPr>
        <w:lastRenderedPageBreak/>
        <w:t>année à travers un communiqué officiel n’est pas suivi</w:t>
      </w:r>
      <w:r w:rsidR="006149FE" w:rsidRPr="00D80D55">
        <w:rPr>
          <w:rStyle w:val="hps"/>
          <w:rFonts w:ascii="Century Gothic" w:hAnsi="Century Gothic"/>
        </w:rPr>
        <w:t>e</w:t>
      </w:r>
      <w:r w:rsidR="005C5077" w:rsidRPr="00D80D55">
        <w:rPr>
          <w:rStyle w:val="hps"/>
          <w:rFonts w:ascii="Century Gothic" w:hAnsi="Century Gothic"/>
        </w:rPr>
        <w:t xml:space="preserve"> de mesure de sécurité concrète pour empêcher les gens d’accéder aux sites dont l’accès est défendu.</w:t>
      </w:r>
      <w:r w:rsidRPr="006753A5">
        <w:rPr>
          <w:rStyle w:val="hps"/>
          <w:rFonts w:ascii="Century Gothic" w:hAnsi="Century Gothic"/>
        </w:rPr>
        <w:t xml:space="preserve"> Nous interpellons </w:t>
      </w:r>
      <w:r w:rsidR="00BF719D" w:rsidRPr="00447D83">
        <w:rPr>
          <w:rStyle w:val="hps"/>
          <w:rFonts w:ascii="Century Gothic" w:hAnsi="Century Gothic"/>
        </w:rPr>
        <w:t xml:space="preserve">par conséquent </w:t>
      </w:r>
      <w:r w:rsidRPr="00B15D45">
        <w:rPr>
          <w:rStyle w:val="hps"/>
          <w:rFonts w:ascii="Century Gothic" w:hAnsi="Century Gothic"/>
        </w:rPr>
        <w:t>le gouvernement sur sa responsabilité de protéger la vie des populations et</w:t>
      </w:r>
      <w:r w:rsidRPr="00C669D8">
        <w:rPr>
          <w:rStyle w:val="hps"/>
          <w:rFonts w:ascii="Century Gothic" w:hAnsi="Century Gothic"/>
        </w:rPr>
        <w:t xml:space="preserve"> en particulier les orpailleurs. Des mesures fortes doivent être prises pour cesser la série des éboulements qui continuent d’endeuiller les familles.</w:t>
      </w:r>
    </w:p>
    <w:p w14:paraId="037B3150" w14:textId="77777777" w:rsidR="00BC4ACB" w:rsidRPr="00C669D8" w:rsidRDefault="00BC4ACB" w:rsidP="00C669D8">
      <w:pPr>
        <w:tabs>
          <w:tab w:val="left" w:pos="709"/>
        </w:tabs>
        <w:spacing w:line="240" w:lineRule="auto"/>
        <w:contextualSpacing/>
        <w:jc w:val="both"/>
        <w:rPr>
          <w:rStyle w:val="hps"/>
          <w:rFonts w:ascii="Century Gothic" w:hAnsi="Century Gothic"/>
        </w:rPr>
      </w:pPr>
    </w:p>
    <w:p w14:paraId="281F88C7" w14:textId="77777777" w:rsidR="001914A3" w:rsidRPr="00C669D8" w:rsidRDefault="001914A3" w:rsidP="00D060B8">
      <w:pPr>
        <w:numPr>
          <w:ilvl w:val="0"/>
          <w:numId w:val="9"/>
        </w:numPr>
        <w:tabs>
          <w:tab w:val="left" w:pos="709"/>
        </w:tabs>
        <w:spacing w:line="240" w:lineRule="auto"/>
        <w:ind w:left="720"/>
        <w:contextualSpacing/>
        <w:jc w:val="both"/>
        <w:rPr>
          <w:rFonts w:ascii="Century Gothic" w:hAnsi="Century Gothic"/>
          <w:b/>
          <w:color w:val="1A1A1A"/>
        </w:rPr>
      </w:pPr>
      <w:r w:rsidRPr="00C669D8">
        <w:rPr>
          <w:rFonts w:ascii="Century Gothic" w:hAnsi="Century Gothic"/>
          <w:b/>
          <w:color w:val="1A1A1A"/>
        </w:rPr>
        <w:t>Peine de mort</w:t>
      </w:r>
    </w:p>
    <w:p w14:paraId="5CCF1568" w14:textId="77777777" w:rsidR="001914A3" w:rsidRPr="00C669D8" w:rsidRDefault="001914A3" w:rsidP="00C669D8">
      <w:pPr>
        <w:pStyle w:val="NormalWeb"/>
        <w:spacing w:before="120" w:beforeAutospacing="0" w:after="120" w:afterAutospacing="0"/>
        <w:jc w:val="both"/>
        <w:rPr>
          <w:rFonts w:ascii="Century Gothic" w:hAnsi="Century Gothic"/>
          <w:sz w:val="22"/>
          <w:szCs w:val="22"/>
        </w:rPr>
      </w:pPr>
      <w:r w:rsidRPr="00C669D8">
        <w:rPr>
          <w:rFonts w:ascii="Century Gothic" w:hAnsi="Century Gothic"/>
          <w:sz w:val="22"/>
          <w:szCs w:val="22"/>
        </w:rPr>
        <w:t>Bien que le Burkina Faso n’ait plus procédé à aucune exécution depuis près de trente (30) ans</w:t>
      </w:r>
      <w:r w:rsidR="00331925" w:rsidRPr="00C669D8">
        <w:rPr>
          <w:rStyle w:val="Marquenotebasdepage"/>
          <w:rFonts w:ascii="Century Gothic" w:hAnsi="Century Gothic"/>
          <w:sz w:val="22"/>
          <w:szCs w:val="22"/>
        </w:rPr>
        <w:footnoteReference w:id="43"/>
      </w:r>
      <w:r w:rsidRPr="00C669D8">
        <w:rPr>
          <w:rFonts w:ascii="Century Gothic" w:hAnsi="Century Gothic"/>
          <w:sz w:val="22"/>
          <w:szCs w:val="22"/>
        </w:rPr>
        <w:t xml:space="preserve">, la législation du pays maintient la peine de mort </w:t>
      </w:r>
      <w:r w:rsidR="00D77E06" w:rsidRPr="00C669D8">
        <w:rPr>
          <w:rFonts w:ascii="Century Gothic" w:hAnsi="Century Gothic"/>
          <w:sz w:val="22"/>
          <w:szCs w:val="22"/>
        </w:rPr>
        <w:t xml:space="preserve">notamment dans le </w:t>
      </w:r>
      <w:r w:rsidRPr="00C669D8">
        <w:rPr>
          <w:rFonts w:ascii="Century Gothic" w:hAnsi="Century Gothic"/>
          <w:sz w:val="22"/>
          <w:szCs w:val="22"/>
        </w:rPr>
        <w:t>Code pénal</w:t>
      </w:r>
      <w:r w:rsidR="00CC31D2" w:rsidRPr="00C669D8">
        <w:rPr>
          <w:rStyle w:val="Marquenotebasdepage"/>
          <w:rFonts w:ascii="Century Gothic" w:hAnsi="Century Gothic"/>
          <w:sz w:val="22"/>
          <w:szCs w:val="22"/>
        </w:rPr>
        <w:footnoteReference w:id="44"/>
      </w:r>
      <w:r w:rsidR="00E11310" w:rsidRPr="00C669D8">
        <w:rPr>
          <w:rFonts w:ascii="Century Gothic" w:hAnsi="Century Gothic"/>
          <w:sz w:val="22"/>
          <w:szCs w:val="22"/>
        </w:rPr>
        <w:t xml:space="preserve">, </w:t>
      </w:r>
      <w:r w:rsidRPr="00C669D8">
        <w:rPr>
          <w:rFonts w:ascii="Century Gothic" w:hAnsi="Century Gothic"/>
          <w:sz w:val="22"/>
          <w:szCs w:val="22"/>
        </w:rPr>
        <w:t>le code de justice militaire</w:t>
      </w:r>
      <w:r w:rsidR="00CC31D2" w:rsidRPr="00C669D8">
        <w:rPr>
          <w:rStyle w:val="Marquenotebasdepage"/>
          <w:rFonts w:ascii="Century Gothic" w:hAnsi="Century Gothic"/>
          <w:sz w:val="22"/>
          <w:szCs w:val="22"/>
        </w:rPr>
        <w:footnoteReference w:id="45"/>
      </w:r>
      <w:r w:rsidRPr="00C669D8">
        <w:rPr>
          <w:rFonts w:ascii="Century Gothic" w:hAnsi="Century Gothic"/>
          <w:sz w:val="22"/>
          <w:szCs w:val="22"/>
        </w:rPr>
        <w:t xml:space="preserve"> ainsi que dans la loi 6-72 du 22 juin 1972 relative à la police des voies ferrées</w:t>
      </w:r>
      <w:r w:rsidR="00E11310" w:rsidRPr="00C669D8">
        <w:rPr>
          <w:rStyle w:val="Marquenotebasdepage"/>
          <w:rFonts w:ascii="Century Gothic" w:hAnsi="Century Gothic"/>
          <w:sz w:val="22"/>
          <w:szCs w:val="22"/>
        </w:rPr>
        <w:footnoteReference w:id="46"/>
      </w:r>
      <w:r w:rsidRPr="00C669D8">
        <w:rPr>
          <w:rFonts w:ascii="Century Gothic" w:hAnsi="Century Gothic"/>
          <w:sz w:val="22"/>
          <w:szCs w:val="22"/>
        </w:rPr>
        <w:t xml:space="preserve">. </w:t>
      </w:r>
    </w:p>
    <w:p w14:paraId="0F750BD4" w14:textId="77777777" w:rsidR="001914A3" w:rsidRPr="00C669D8" w:rsidRDefault="001914A3" w:rsidP="00C669D8">
      <w:pPr>
        <w:pStyle w:val="NormalWeb"/>
        <w:spacing w:before="120" w:beforeAutospacing="0" w:after="120" w:afterAutospacing="0"/>
        <w:jc w:val="both"/>
        <w:rPr>
          <w:rFonts w:ascii="Century Gothic" w:hAnsi="Century Gothic"/>
          <w:sz w:val="22"/>
          <w:szCs w:val="22"/>
        </w:rPr>
      </w:pPr>
      <w:r w:rsidRPr="00C669D8">
        <w:rPr>
          <w:rFonts w:ascii="Century Gothic" w:hAnsi="Century Gothic"/>
          <w:sz w:val="22"/>
          <w:szCs w:val="22"/>
        </w:rPr>
        <w:t xml:space="preserve">Si le Code pénal burkinabé prévoit des dispositions relatives à la peine de mort, il faut noter que l’avènement du processus de démocratisation de 1991, avec pour corollaire, la défense et la promotion des droits humains, a fait rejaillir la question sur la nécessité d’abolir la peine de mort. </w:t>
      </w:r>
    </w:p>
    <w:p w14:paraId="18537DB7" w14:textId="77777777" w:rsidR="009910B7" w:rsidRPr="00C669D8" w:rsidRDefault="001914A3" w:rsidP="00C669D8">
      <w:pPr>
        <w:pStyle w:val="NormalWeb"/>
        <w:spacing w:before="0" w:beforeAutospacing="0" w:after="0" w:afterAutospacing="0"/>
        <w:jc w:val="both"/>
        <w:rPr>
          <w:rFonts w:ascii="Century Gothic" w:hAnsi="Century Gothic"/>
          <w:sz w:val="22"/>
          <w:szCs w:val="22"/>
        </w:rPr>
      </w:pPr>
      <w:r w:rsidRPr="00C669D8">
        <w:rPr>
          <w:rFonts w:ascii="Century Gothic" w:hAnsi="Century Gothic"/>
          <w:sz w:val="22"/>
          <w:szCs w:val="22"/>
        </w:rPr>
        <w:t xml:space="preserve">Selon les statistiques officielles du gouvernement, les juridictions du Burkina Faso n’ont procédé à aucune condamnation à la peine capitale depuis 2012. A la date du 22 janvier 2013, dix (10) personnes étaient </w:t>
      </w:r>
      <w:r w:rsidR="00C246CA" w:rsidRPr="00C669D8">
        <w:rPr>
          <w:rFonts w:ascii="Century Gothic" w:hAnsi="Century Gothic"/>
          <w:sz w:val="22"/>
          <w:szCs w:val="22"/>
        </w:rPr>
        <w:t xml:space="preserve">pourtant </w:t>
      </w:r>
      <w:r w:rsidRPr="00C669D8">
        <w:rPr>
          <w:rFonts w:ascii="Century Gothic" w:hAnsi="Century Gothic"/>
          <w:sz w:val="22"/>
          <w:szCs w:val="22"/>
        </w:rPr>
        <w:t xml:space="preserve">dans les couloirs de la mort </w:t>
      </w:r>
      <w:r w:rsidR="00C246CA" w:rsidRPr="00C669D8">
        <w:rPr>
          <w:rFonts w:ascii="Century Gothic" w:hAnsi="Century Gothic"/>
          <w:sz w:val="22"/>
          <w:szCs w:val="22"/>
        </w:rPr>
        <w:t>dans le pays</w:t>
      </w:r>
      <w:r w:rsidRPr="00C669D8">
        <w:rPr>
          <w:rFonts w:ascii="Century Gothic" w:hAnsi="Century Gothic"/>
          <w:sz w:val="22"/>
          <w:szCs w:val="22"/>
        </w:rPr>
        <w:t>.</w:t>
      </w:r>
      <w:r w:rsidR="00BC4ACB" w:rsidRPr="00C669D8">
        <w:rPr>
          <w:rFonts w:ascii="Century Gothic" w:hAnsi="Century Gothic"/>
          <w:sz w:val="22"/>
          <w:szCs w:val="22"/>
        </w:rPr>
        <w:t xml:space="preserve"> </w:t>
      </w:r>
      <w:r w:rsidR="009910B7" w:rsidRPr="00C669D8">
        <w:rPr>
          <w:rFonts w:ascii="Century Gothic" w:hAnsi="Century Gothic"/>
          <w:sz w:val="22"/>
          <w:szCs w:val="22"/>
        </w:rPr>
        <w:t>Mais lors d</w:t>
      </w:r>
      <w:r w:rsidRPr="00C669D8">
        <w:rPr>
          <w:rFonts w:ascii="Century Gothic" w:hAnsi="Century Gothic"/>
          <w:sz w:val="22"/>
          <w:szCs w:val="22"/>
        </w:rPr>
        <w:t>es assises criminelles de 2015</w:t>
      </w:r>
      <w:r w:rsidR="009910B7" w:rsidRPr="00C669D8">
        <w:rPr>
          <w:rFonts w:ascii="Century Gothic" w:hAnsi="Century Gothic"/>
          <w:sz w:val="22"/>
          <w:szCs w:val="22"/>
        </w:rPr>
        <w:t>,</w:t>
      </w:r>
      <w:r w:rsidR="00C85FDA" w:rsidRPr="00C669D8">
        <w:rPr>
          <w:rFonts w:ascii="Century Gothic" w:hAnsi="Century Gothic"/>
          <w:sz w:val="22"/>
          <w:szCs w:val="22"/>
        </w:rPr>
        <w:t xml:space="preserve"> on</w:t>
      </w:r>
      <w:r w:rsidR="009910B7" w:rsidRPr="00C669D8">
        <w:rPr>
          <w:rFonts w:ascii="Century Gothic" w:hAnsi="Century Gothic"/>
          <w:sz w:val="22"/>
          <w:szCs w:val="22"/>
        </w:rPr>
        <w:t xml:space="preserve"> a</w:t>
      </w:r>
      <w:r w:rsidR="00C85FDA" w:rsidRPr="00C669D8">
        <w:rPr>
          <w:rFonts w:ascii="Century Gothic" w:hAnsi="Century Gothic"/>
          <w:sz w:val="22"/>
          <w:szCs w:val="22"/>
        </w:rPr>
        <w:t xml:space="preserve"> enregistré un retour inquiétant des condamnations à la peine capitale</w:t>
      </w:r>
      <w:r w:rsidR="009910B7" w:rsidRPr="00C669D8">
        <w:rPr>
          <w:rFonts w:ascii="Century Gothic" w:hAnsi="Century Gothic"/>
          <w:sz w:val="22"/>
          <w:szCs w:val="22"/>
        </w:rPr>
        <w:t xml:space="preserve"> au Burkina Faso</w:t>
      </w:r>
      <w:r w:rsidR="00C85FDA" w:rsidRPr="00C669D8">
        <w:rPr>
          <w:rFonts w:ascii="Century Gothic" w:hAnsi="Century Gothic"/>
          <w:sz w:val="22"/>
          <w:szCs w:val="22"/>
        </w:rPr>
        <w:t>.</w:t>
      </w:r>
      <w:r w:rsidR="00BC4ACB" w:rsidRPr="00C669D8">
        <w:rPr>
          <w:rFonts w:ascii="Century Gothic" w:hAnsi="Century Gothic"/>
          <w:sz w:val="22"/>
          <w:szCs w:val="22"/>
        </w:rPr>
        <w:t xml:space="preserve"> </w:t>
      </w:r>
      <w:r w:rsidR="00C85FDA" w:rsidRPr="00C669D8">
        <w:rPr>
          <w:rFonts w:ascii="Century Gothic" w:hAnsi="Century Gothic"/>
          <w:sz w:val="22"/>
          <w:szCs w:val="22"/>
        </w:rPr>
        <w:t xml:space="preserve">A Bobo </w:t>
      </w:r>
      <w:r w:rsidR="009910B7" w:rsidRPr="00C669D8">
        <w:rPr>
          <w:rFonts w:ascii="Century Gothic" w:hAnsi="Century Gothic"/>
          <w:sz w:val="22"/>
          <w:szCs w:val="22"/>
        </w:rPr>
        <w:t>une personne a</w:t>
      </w:r>
      <w:r w:rsidRPr="00C669D8">
        <w:rPr>
          <w:rFonts w:ascii="Century Gothic" w:hAnsi="Century Gothic"/>
          <w:sz w:val="22"/>
          <w:szCs w:val="22"/>
        </w:rPr>
        <w:t xml:space="preserve"> été</w:t>
      </w:r>
      <w:r w:rsidR="00BC4ACB" w:rsidRPr="00C669D8">
        <w:rPr>
          <w:rFonts w:ascii="Century Gothic" w:hAnsi="Century Gothic"/>
          <w:sz w:val="22"/>
          <w:szCs w:val="22"/>
        </w:rPr>
        <w:t xml:space="preserve"> </w:t>
      </w:r>
      <w:r w:rsidRPr="00C669D8">
        <w:rPr>
          <w:rFonts w:ascii="Century Gothic" w:hAnsi="Century Gothic"/>
          <w:sz w:val="22"/>
          <w:szCs w:val="22"/>
        </w:rPr>
        <w:t>condamnée par contumace pour parricide le 23 juin 2015.</w:t>
      </w:r>
      <w:r w:rsidR="006F1B5F">
        <w:rPr>
          <w:rFonts w:ascii="Century Gothic" w:hAnsi="Century Gothic"/>
          <w:sz w:val="22"/>
          <w:szCs w:val="22"/>
        </w:rPr>
        <w:t xml:space="preserve"> </w:t>
      </w:r>
      <w:r w:rsidR="009910B7" w:rsidRPr="00C669D8">
        <w:rPr>
          <w:rStyle w:val="st"/>
          <w:rFonts w:ascii="Century Gothic" w:hAnsi="Century Gothic"/>
          <w:sz w:val="22"/>
          <w:szCs w:val="22"/>
        </w:rPr>
        <w:t xml:space="preserve">Le caporal </w:t>
      </w:r>
      <w:proofErr w:type="spellStart"/>
      <w:r w:rsidR="009910B7" w:rsidRPr="00C669D8">
        <w:rPr>
          <w:rStyle w:val="st"/>
          <w:rFonts w:ascii="Century Gothic" w:hAnsi="Century Gothic"/>
          <w:sz w:val="22"/>
          <w:szCs w:val="22"/>
        </w:rPr>
        <w:t>Bahanla</w:t>
      </w:r>
      <w:proofErr w:type="spellEnd"/>
      <w:r w:rsidR="009910B7" w:rsidRPr="00C669D8">
        <w:rPr>
          <w:rStyle w:val="st"/>
          <w:rFonts w:ascii="Century Gothic" w:hAnsi="Century Gothic"/>
          <w:sz w:val="22"/>
          <w:szCs w:val="22"/>
        </w:rPr>
        <w:t xml:space="preserve"> </w:t>
      </w:r>
      <w:proofErr w:type="spellStart"/>
      <w:r w:rsidR="009910B7" w:rsidRPr="00C669D8">
        <w:rPr>
          <w:rStyle w:val="st"/>
          <w:rFonts w:ascii="Century Gothic" w:hAnsi="Century Gothic"/>
          <w:sz w:val="22"/>
          <w:szCs w:val="22"/>
        </w:rPr>
        <w:t>Lompo</w:t>
      </w:r>
      <w:proofErr w:type="spellEnd"/>
      <w:r w:rsidR="009910B7" w:rsidRPr="00C669D8">
        <w:rPr>
          <w:rStyle w:val="st"/>
          <w:rFonts w:ascii="Century Gothic" w:hAnsi="Century Gothic"/>
          <w:sz w:val="22"/>
          <w:szCs w:val="22"/>
        </w:rPr>
        <w:t xml:space="preserve"> a écopé de la </w:t>
      </w:r>
      <w:r w:rsidR="009910B7" w:rsidRPr="00C669D8">
        <w:rPr>
          <w:rStyle w:val="Accentuation"/>
          <w:rFonts w:ascii="Century Gothic" w:hAnsi="Century Gothic"/>
          <w:sz w:val="22"/>
          <w:szCs w:val="22"/>
        </w:rPr>
        <w:t>peine de mort</w:t>
      </w:r>
      <w:r w:rsidR="009910B7" w:rsidRPr="00C669D8">
        <w:rPr>
          <w:rStyle w:val="st"/>
          <w:rFonts w:ascii="Century Gothic" w:hAnsi="Century Gothic"/>
          <w:sz w:val="22"/>
          <w:szCs w:val="22"/>
        </w:rPr>
        <w:t xml:space="preserve">, le 30 juin 2015 pour le meurtre de Bernadette </w:t>
      </w:r>
      <w:proofErr w:type="spellStart"/>
      <w:r w:rsidR="009910B7" w:rsidRPr="00C669D8">
        <w:rPr>
          <w:rStyle w:val="st"/>
          <w:rFonts w:ascii="Century Gothic" w:hAnsi="Century Gothic"/>
          <w:sz w:val="22"/>
          <w:szCs w:val="22"/>
        </w:rPr>
        <w:t>Tiendrébéogo</w:t>
      </w:r>
      <w:proofErr w:type="spellEnd"/>
      <w:r w:rsidR="0079742C" w:rsidRPr="00C669D8">
        <w:rPr>
          <w:rStyle w:val="st"/>
          <w:rFonts w:ascii="Century Gothic" w:hAnsi="Century Gothic"/>
          <w:sz w:val="22"/>
          <w:szCs w:val="22"/>
        </w:rPr>
        <w:t xml:space="preserve"> tandis qu’une autre personne a écopé de la même peine à Koudougou.</w:t>
      </w:r>
    </w:p>
    <w:p w14:paraId="560A83B6" w14:textId="77777777" w:rsidR="009910B7" w:rsidRPr="00C669D8" w:rsidRDefault="00C85FDA" w:rsidP="00C669D8">
      <w:pPr>
        <w:pStyle w:val="NormalWeb"/>
        <w:spacing w:before="0" w:beforeAutospacing="0" w:after="0" w:afterAutospacing="0"/>
        <w:jc w:val="both"/>
        <w:rPr>
          <w:rFonts w:ascii="Century Gothic" w:hAnsi="Century Gothic"/>
          <w:sz w:val="22"/>
          <w:szCs w:val="22"/>
        </w:rPr>
      </w:pPr>
      <w:r w:rsidRPr="00C669D8">
        <w:rPr>
          <w:rFonts w:ascii="Century Gothic" w:hAnsi="Century Gothic"/>
          <w:sz w:val="22"/>
          <w:szCs w:val="22"/>
        </w:rPr>
        <w:t>Ces</w:t>
      </w:r>
      <w:r w:rsidR="001914A3" w:rsidRPr="00C669D8">
        <w:rPr>
          <w:rFonts w:ascii="Century Gothic" w:hAnsi="Century Gothic"/>
          <w:sz w:val="22"/>
          <w:szCs w:val="22"/>
        </w:rPr>
        <w:t xml:space="preserve"> condamnation</w:t>
      </w:r>
      <w:r w:rsidRPr="00C669D8">
        <w:rPr>
          <w:rFonts w:ascii="Century Gothic" w:hAnsi="Century Gothic"/>
          <w:sz w:val="22"/>
          <w:szCs w:val="22"/>
        </w:rPr>
        <w:t>s</w:t>
      </w:r>
      <w:r w:rsidR="001914A3" w:rsidRPr="00C669D8">
        <w:rPr>
          <w:rFonts w:ascii="Century Gothic" w:hAnsi="Century Gothic"/>
          <w:sz w:val="22"/>
          <w:szCs w:val="22"/>
        </w:rPr>
        <w:t xml:space="preserve"> constitue</w:t>
      </w:r>
      <w:r w:rsidRPr="00C669D8">
        <w:rPr>
          <w:rFonts w:ascii="Century Gothic" w:hAnsi="Century Gothic"/>
          <w:sz w:val="22"/>
          <w:szCs w:val="22"/>
        </w:rPr>
        <w:t>nt</w:t>
      </w:r>
      <w:r w:rsidR="001914A3" w:rsidRPr="00C669D8">
        <w:rPr>
          <w:rFonts w:ascii="Century Gothic" w:hAnsi="Century Gothic"/>
          <w:sz w:val="22"/>
          <w:szCs w:val="22"/>
        </w:rPr>
        <w:t xml:space="preserve"> un revers après une accalmie de trois (3) ans</w:t>
      </w:r>
      <w:r w:rsidRPr="00C669D8">
        <w:rPr>
          <w:rFonts w:ascii="Century Gothic" w:hAnsi="Century Gothic"/>
          <w:sz w:val="22"/>
          <w:szCs w:val="22"/>
        </w:rPr>
        <w:t xml:space="preserve"> et vont à contre-courant de la volonté abolitionniste marquée des autorités de la transition, en particulier du Conseil national de transition</w:t>
      </w:r>
      <w:r w:rsidR="009910B7" w:rsidRPr="00C669D8">
        <w:rPr>
          <w:rFonts w:ascii="Century Gothic" w:hAnsi="Century Gothic"/>
          <w:sz w:val="22"/>
          <w:szCs w:val="22"/>
        </w:rPr>
        <w:t xml:space="preserve"> et de l’action des organisations de la société civile réunies au sein de la Coalition peine de mort</w:t>
      </w:r>
      <w:r w:rsidR="009910B7" w:rsidRPr="00C669D8">
        <w:rPr>
          <w:rStyle w:val="Marquenotebasdepage"/>
          <w:rFonts w:ascii="Century Gothic" w:hAnsi="Century Gothic"/>
          <w:sz w:val="22"/>
          <w:szCs w:val="22"/>
        </w:rPr>
        <w:footnoteReference w:id="47"/>
      </w:r>
      <w:r w:rsidR="001914A3" w:rsidRPr="00C669D8">
        <w:rPr>
          <w:rFonts w:ascii="Century Gothic" w:hAnsi="Century Gothic"/>
          <w:sz w:val="22"/>
          <w:szCs w:val="22"/>
        </w:rPr>
        <w:t>.</w:t>
      </w:r>
      <w:r w:rsidR="009910B7" w:rsidRPr="00C669D8">
        <w:rPr>
          <w:rFonts w:ascii="Century Gothic" w:hAnsi="Century Gothic"/>
          <w:sz w:val="22"/>
          <w:szCs w:val="22"/>
        </w:rPr>
        <w:t xml:space="preserve"> Le développement de la grande criminalité et de certains crimes atroces influence très négativement l’opinion publique de moins en moins favorable à son abolition. Et pour s’en rendre compte un journal titrait en éditorial : « </w:t>
      </w:r>
      <w:r w:rsidR="009910B7" w:rsidRPr="00C669D8">
        <w:rPr>
          <w:rStyle w:val="fontarticlemaintitle"/>
          <w:rFonts w:ascii="Century Gothic" w:hAnsi="Century Gothic"/>
          <w:sz w:val="22"/>
          <w:szCs w:val="22"/>
        </w:rPr>
        <w:t>Grande criminalité au Burkina : la peine de mort devient incontournable »</w:t>
      </w:r>
      <w:r w:rsidR="009910B7" w:rsidRPr="00C669D8">
        <w:rPr>
          <w:rStyle w:val="Marquenotebasdepage"/>
          <w:rFonts w:ascii="Century Gothic" w:hAnsi="Century Gothic"/>
          <w:sz w:val="22"/>
          <w:szCs w:val="22"/>
        </w:rPr>
        <w:footnoteReference w:id="48"/>
      </w:r>
      <w:r w:rsidR="009910B7" w:rsidRPr="00C669D8">
        <w:rPr>
          <w:rStyle w:val="fontarticlemaintitle"/>
          <w:rFonts w:ascii="Century Gothic" w:hAnsi="Century Gothic"/>
          <w:sz w:val="22"/>
          <w:szCs w:val="22"/>
        </w:rPr>
        <w:t xml:space="preserve">. Le meurtre récent de </w:t>
      </w:r>
      <w:proofErr w:type="spellStart"/>
      <w:r w:rsidR="009910B7" w:rsidRPr="00C669D8">
        <w:rPr>
          <w:rStyle w:val="fontarticlemaintitle"/>
          <w:rFonts w:ascii="Century Gothic" w:hAnsi="Century Gothic"/>
          <w:sz w:val="22"/>
          <w:szCs w:val="22"/>
        </w:rPr>
        <w:t>Bertine</w:t>
      </w:r>
      <w:proofErr w:type="spellEnd"/>
      <w:r w:rsidR="009910B7" w:rsidRPr="00C669D8">
        <w:rPr>
          <w:rStyle w:val="fontarticlemaintitle"/>
          <w:rFonts w:ascii="Century Gothic" w:hAnsi="Century Gothic"/>
          <w:sz w:val="22"/>
          <w:szCs w:val="22"/>
        </w:rPr>
        <w:t xml:space="preserve"> Bambara par 2 jeunes de 22 et 23 ans a aussi vu des appels à l’application de la peine de mort contre les meurtriers.</w:t>
      </w:r>
    </w:p>
    <w:p w14:paraId="6C6BB9BA" w14:textId="77777777" w:rsidR="00D5192C" w:rsidRPr="00C669D8" w:rsidRDefault="00C246CA" w:rsidP="00C669D8">
      <w:pPr>
        <w:pStyle w:val="NormalWeb"/>
        <w:spacing w:before="0" w:beforeAutospacing="0" w:after="0" w:afterAutospacing="0"/>
        <w:jc w:val="both"/>
        <w:rPr>
          <w:rFonts w:ascii="Century Gothic" w:hAnsi="Century Gothic"/>
          <w:sz w:val="22"/>
          <w:szCs w:val="22"/>
        </w:rPr>
      </w:pPr>
      <w:r w:rsidRPr="00C669D8">
        <w:rPr>
          <w:rFonts w:ascii="Century Gothic" w:hAnsi="Century Gothic"/>
          <w:sz w:val="22"/>
          <w:szCs w:val="22"/>
        </w:rPr>
        <w:t>Soucieuses de contribuer à l’a</w:t>
      </w:r>
      <w:r w:rsidR="00C428EB" w:rsidRPr="00C669D8">
        <w:rPr>
          <w:rFonts w:ascii="Century Gothic" w:hAnsi="Century Gothic"/>
          <w:sz w:val="22"/>
          <w:szCs w:val="22"/>
        </w:rPr>
        <w:t>bolition effective et définitive de la peine de mort, l</w:t>
      </w:r>
      <w:r w:rsidR="001914A3" w:rsidRPr="00C669D8">
        <w:rPr>
          <w:rFonts w:ascii="Century Gothic" w:hAnsi="Century Gothic"/>
          <w:sz w:val="22"/>
          <w:szCs w:val="22"/>
        </w:rPr>
        <w:t>es organisations de défense des droits humains en collaboration avec le Ministère en  charge des droits humains</w:t>
      </w:r>
      <w:r w:rsidR="00025E50" w:rsidRPr="00C669D8">
        <w:rPr>
          <w:rFonts w:ascii="Century Gothic" w:hAnsi="Century Gothic"/>
          <w:sz w:val="22"/>
          <w:szCs w:val="22"/>
        </w:rPr>
        <w:t>,</w:t>
      </w:r>
      <w:r w:rsidR="001914A3" w:rsidRPr="00C669D8">
        <w:rPr>
          <w:rFonts w:ascii="Century Gothic" w:hAnsi="Century Gothic"/>
          <w:sz w:val="22"/>
          <w:szCs w:val="22"/>
        </w:rPr>
        <w:t xml:space="preserve"> ont depuis 2001 mené des actions visant l’abolition de la peine de mort. Les efforts de ses différents acteurs ont conduit le Gouvernement en </w:t>
      </w:r>
      <w:r w:rsidR="001914A3" w:rsidRPr="00C669D8">
        <w:rPr>
          <w:rFonts w:ascii="Century Gothic" w:hAnsi="Century Gothic"/>
          <w:sz w:val="22"/>
          <w:szCs w:val="22"/>
        </w:rPr>
        <w:lastRenderedPageBreak/>
        <w:t xml:space="preserve">2012 à mettre sur table la question de l’abolition de la peine de mort aux débats du Cadre de concertation sur les réformes politiques (CCRP). La question de l’abolition n’y a pas fait l’objet de consensus. </w:t>
      </w:r>
    </w:p>
    <w:p w14:paraId="7BC101E3" w14:textId="77777777" w:rsidR="001914A3" w:rsidRPr="00D713BB" w:rsidRDefault="00D5192C" w:rsidP="00C669D8">
      <w:pPr>
        <w:pStyle w:val="NormalWeb"/>
        <w:spacing w:before="0" w:beforeAutospacing="0" w:after="0" w:afterAutospacing="0"/>
        <w:jc w:val="both"/>
        <w:rPr>
          <w:rFonts w:ascii="Century Gothic" w:hAnsi="Century Gothic"/>
          <w:sz w:val="22"/>
          <w:szCs w:val="22"/>
        </w:rPr>
      </w:pPr>
      <w:r w:rsidRPr="00C669D8">
        <w:rPr>
          <w:rFonts w:ascii="Century Gothic" w:hAnsi="Century Gothic"/>
          <w:sz w:val="22"/>
          <w:szCs w:val="22"/>
        </w:rPr>
        <w:t xml:space="preserve">Mais convaincus </w:t>
      </w:r>
      <w:r w:rsidR="001914A3" w:rsidRPr="00C669D8">
        <w:rPr>
          <w:rFonts w:ascii="Century Gothic" w:hAnsi="Century Gothic"/>
          <w:sz w:val="22"/>
          <w:szCs w:val="22"/>
        </w:rPr>
        <w:t xml:space="preserve">du bien-fondé de l’abolition de la peine de mort au Burkina Faso et au regard des conventions internationales qui lient </w:t>
      </w:r>
      <w:r w:rsidR="00B30DE7" w:rsidRPr="00C669D8">
        <w:rPr>
          <w:rFonts w:ascii="Century Gothic" w:hAnsi="Century Gothic"/>
          <w:sz w:val="22"/>
          <w:szCs w:val="22"/>
        </w:rPr>
        <w:t>le</w:t>
      </w:r>
      <w:r w:rsidR="001914A3" w:rsidRPr="00C669D8">
        <w:rPr>
          <w:rFonts w:ascii="Century Gothic" w:hAnsi="Century Gothic"/>
          <w:sz w:val="22"/>
          <w:szCs w:val="22"/>
        </w:rPr>
        <w:t xml:space="preserve"> pays en matière de droits humains, le Ministère en charge des droits humains et des organisations de défense des droits humains ont mené des actions de sensibilisation et les plaidoyers sur la nécessité de </w:t>
      </w:r>
      <w:r w:rsidR="001914A3" w:rsidRPr="006753A5">
        <w:rPr>
          <w:rFonts w:ascii="Century Gothic" w:hAnsi="Century Gothic"/>
          <w:sz w:val="22"/>
          <w:szCs w:val="22"/>
        </w:rPr>
        <w:t xml:space="preserve">l’abolition de la peine </w:t>
      </w:r>
      <w:r w:rsidR="00CB0080" w:rsidRPr="00447D83">
        <w:rPr>
          <w:rFonts w:ascii="Century Gothic" w:hAnsi="Century Gothic"/>
          <w:sz w:val="22"/>
          <w:szCs w:val="22"/>
        </w:rPr>
        <w:t xml:space="preserve">de </w:t>
      </w:r>
      <w:r w:rsidR="001914A3" w:rsidRPr="00B15D45">
        <w:rPr>
          <w:rFonts w:ascii="Century Gothic" w:hAnsi="Century Gothic"/>
          <w:sz w:val="22"/>
          <w:szCs w:val="22"/>
        </w:rPr>
        <w:t xml:space="preserve">mort dans </w:t>
      </w:r>
      <w:r w:rsidR="003B0439" w:rsidRPr="00B15D45">
        <w:rPr>
          <w:rFonts w:ascii="Century Gothic" w:hAnsi="Century Gothic"/>
          <w:sz w:val="22"/>
          <w:szCs w:val="22"/>
        </w:rPr>
        <w:t>le</w:t>
      </w:r>
      <w:r w:rsidR="001914A3" w:rsidRPr="00D713BB">
        <w:rPr>
          <w:rFonts w:ascii="Century Gothic" w:hAnsi="Century Gothic"/>
          <w:sz w:val="22"/>
          <w:szCs w:val="22"/>
        </w:rPr>
        <w:t xml:space="preserve"> pays.   </w:t>
      </w:r>
    </w:p>
    <w:p w14:paraId="36726244" w14:textId="77777777" w:rsidR="001914A3" w:rsidRPr="00C669D8" w:rsidRDefault="001914A3" w:rsidP="00C669D8">
      <w:pPr>
        <w:pStyle w:val="NormalWeb"/>
        <w:spacing w:before="0" w:beforeAutospacing="0" w:after="0" w:afterAutospacing="0"/>
        <w:jc w:val="both"/>
        <w:rPr>
          <w:rFonts w:ascii="Century Gothic" w:hAnsi="Century Gothic"/>
          <w:sz w:val="22"/>
          <w:szCs w:val="22"/>
        </w:rPr>
      </w:pPr>
      <w:r w:rsidRPr="004E6D03">
        <w:rPr>
          <w:rFonts w:ascii="Century Gothic" w:hAnsi="Century Gothic"/>
          <w:sz w:val="22"/>
          <w:szCs w:val="22"/>
        </w:rPr>
        <w:t xml:space="preserve">Par ailleurs, </w:t>
      </w:r>
      <w:r w:rsidRPr="00D80D55">
        <w:rPr>
          <w:rFonts w:ascii="Century Gothic" w:hAnsi="Century Gothic"/>
          <w:sz w:val="22"/>
          <w:szCs w:val="22"/>
        </w:rPr>
        <w:t xml:space="preserve">un avant-projet de loi </w:t>
      </w:r>
      <w:r w:rsidR="0047262A" w:rsidRPr="00D80D55">
        <w:rPr>
          <w:rFonts w:ascii="Century Gothic" w:hAnsi="Century Gothic"/>
          <w:sz w:val="22"/>
          <w:szCs w:val="22"/>
        </w:rPr>
        <w:t xml:space="preserve">initié par le Ministère des Droits Humains et de la promotion civique </w:t>
      </w:r>
      <w:r w:rsidR="005D7BFB" w:rsidRPr="00D80D55">
        <w:rPr>
          <w:rFonts w:ascii="Century Gothic" w:hAnsi="Century Gothic"/>
          <w:sz w:val="22"/>
          <w:szCs w:val="22"/>
        </w:rPr>
        <w:t>et</w:t>
      </w:r>
      <w:r w:rsidR="005D7BFB" w:rsidRPr="006753A5">
        <w:rPr>
          <w:rFonts w:ascii="Century Gothic" w:hAnsi="Century Gothic"/>
          <w:sz w:val="22"/>
          <w:szCs w:val="22"/>
        </w:rPr>
        <w:t xml:space="preserve"> </w:t>
      </w:r>
      <w:r w:rsidRPr="00447D83">
        <w:rPr>
          <w:rFonts w:ascii="Century Gothic" w:hAnsi="Century Gothic"/>
          <w:sz w:val="22"/>
          <w:szCs w:val="22"/>
        </w:rPr>
        <w:t xml:space="preserve">portant abolition de la peine de mort au Burkina Faso avait </w:t>
      </w:r>
      <w:r w:rsidRPr="00B15D45">
        <w:rPr>
          <w:rFonts w:ascii="Century Gothic" w:hAnsi="Century Gothic"/>
          <w:sz w:val="22"/>
          <w:szCs w:val="22"/>
        </w:rPr>
        <w:t>été adopté par le conseil des</w:t>
      </w:r>
      <w:r w:rsidRPr="00C669D8">
        <w:rPr>
          <w:rFonts w:ascii="Century Gothic" w:hAnsi="Century Gothic"/>
          <w:sz w:val="22"/>
          <w:szCs w:val="22"/>
        </w:rPr>
        <w:t xml:space="preserve"> ministres en octobre 2014 mais n’a pu être adopté par l’Assemblée Nationale en raison de la survenue de l’insurrection populaire les 30 et 31 octobre 2014.</w:t>
      </w:r>
    </w:p>
    <w:p w14:paraId="5D30ADD5" w14:textId="77777777" w:rsidR="001914A3" w:rsidRPr="00C669D8" w:rsidRDefault="001914A3" w:rsidP="00C669D8">
      <w:pPr>
        <w:pStyle w:val="NormalWeb"/>
        <w:spacing w:before="120" w:beforeAutospacing="0" w:after="120" w:afterAutospacing="0"/>
        <w:jc w:val="both"/>
        <w:rPr>
          <w:rFonts w:ascii="Century Gothic" w:hAnsi="Century Gothic"/>
          <w:sz w:val="22"/>
          <w:szCs w:val="22"/>
        </w:rPr>
      </w:pPr>
      <w:r w:rsidRPr="00C669D8">
        <w:rPr>
          <w:rFonts w:ascii="Century Gothic" w:hAnsi="Century Gothic"/>
          <w:sz w:val="22"/>
          <w:szCs w:val="22"/>
        </w:rPr>
        <w:t>Le Burkina</w:t>
      </w:r>
      <w:r w:rsidR="00641B29" w:rsidRPr="00C669D8">
        <w:rPr>
          <w:rFonts w:ascii="Century Gothic" w:hAnsi="Century Gothic"/>
          <w:sz w:val="22"/>
          <w:szCs w:val="22"/>
        </w:rPr>
        <w:t>-</w:t>
      </w:r>
      <w:r w:rsidRPr="00C669D8">
        <w:rPr>
          <w:rFonts w:ascii="Century Gothic" w:hAnsi="Century Gothic"/>
          <w:sz w:val="22"/>
          <w:szCs w:val="22"/>
        </w:rPr>
        <w:t>Faso a régulièrement fait partie des pays ayant voté en faveur des Résolutions des Nations Unies demandant un moratoire sur les exécutions. Il a surtout fait partie des cent dix-sept (117) pays qui ont soutenu l’adoption de la cinquième Résolution 62/149 de l’Assemblée Générale des Nations Unies adoptée le 18 décembre 2014 intitulée «</w:t>
      </w:r>
      <w:r w:rsidR="006F1B5F">
        <w:rPr>
          <w:rFonts w:ascii="Century Gothic" w:hAnsi="Century Gothic"/>
          <w:sz w:val="22"/>
          <w:szCs w:val="22"/>
        </w:rPr>
        <w:t xml:space="preserve"> </w:t>
      </w:r>
      <w:r w:rsidRPr="00C669D8">
        <w:rPr>
          <w:rFonts w:ascii="Century Gothic" w:hAnsi="Century Gothic"/>
          <w:sz w:val="22"/>
          <w:szCs w:val="22"/>
        </w:rPr>
        <w:t>Moratoire sur l’application de la peine de mort ».</w:t>
      </w:r>
    </w:p>
    <w:p w14:paraId="2F89AA22" w14:textId="31255032" w:rsidR="008F5F3E" w:rsidRPr="00C669D8" w:rsidRDefault="001914A3" w:rsidP="00C669D8">
      <w:pPr>
        <w:pStyle w:val="NormalWeb"/>
        <w:spacing w:before="120" w:beforeAutospacing="0" w:after="120" w:afterAutospacing="0"/>
        <w:jc w:val="both"/>
        <w:rPr>
          <w:rFonts w:ascii="Century Gothic" w:hAnsi="Century Gothic"/>
          <w:sz w:val="22"/>
          <w:szCs w:val="22"/>
        </w:rPr>
      </w:pPr>
      <w:r w:rsidRPr="00C669D8">
        <w:rPr>
          <w:rFonts w:ascii="Century Gothic" w:hAnsi="Century Gothic"/>
          <w:sz w:val="22"/>
          <w:szCs w:val="22"/>
        </w:rPr>
        <w:t xml:space="preserve">Le </w:t>
      </w:r>
      <w:r w:rsidR="00641B29" w:rsidRPr="00C669D8">
        <w:rPr>
          <w:rFonts w:ascii="Century Gothic" w:hAnsi="Century Gothic"/>
          <w:sz w:val="22"/>
          <w:szCs w:val="22"/>
        </w:rPr>
        <w:t xml:space="preserve">10 juin 2015, le </w:t>
      </w:r>
      <w:r w:rsidRPr="00C669D8">
        <w:rPr>
          <w:rFonts w:ascii="Century Gothic" w:hAnsi="Century Gothic"/>
          <w:sz w:val="22"/>
          <w:szCs w:val="22"/>
        </w:rPr>
        <w:t>bureau du Conseil National de la Transition (CNT)</w:t>
      </w:r>
      <w:r w:rsidR="00641B29" w:rsidRPr="00C669D8">
        <w:rPr>
          <w:rFonts w:ascii="Century Gothic" w:hAnsi="Century Gothic"/>
          <w:sz w:val="22"/>
          <w:szCs w:val="22"/>
        </w:rPr>
        <w:t xml:space="preserve"> a </w:t>
      </w:r>
      <w:r w:rsidRPr="00C669D8">
        <w:rPr>
          <w:rFonts w:ascii="Century Gothic" w:hAnsi="Century Gothic"/>
          <w:sz w:val="22"/>
          <w:szCs w:val="22"/>
        </w:rPr>
        <w:t>valid</w:t>
      </w:r>
      <w:r w:rsidR="00641B29" w:rsidRPr="00C669D8">
        <w:rPr>
          <w:rFonts w:ascii="Century Gothic" w:hAnsi="Century Gothic"/>
          <w:sz w:val="22"/>
          <w:szCs w:val="22"/>
        </w:rPr>
        <w:t>é</w:t>
      </w:r>
      <w:r w:rsidRPr="00C669D8">
        <w:rPr>
          <w:rFonts w:ascii="Century Gothic" w:hAnsi="Century Gothic"/>
          <w:sz w:val="22"/>
          <w:szCs w:val="22"/>
        </w:rPr>
        <w:t xml:space="preserve"> une proposition de loi portant abolition de la peine de mort</w:t>
      </w:r>
      <w:r w:rsidR="001F117C">
        <w:rPr>
          <w:rFonts w:ascii="Century Gothic" w:hAnsi="Century Gothic"/>
          <w:sz w:val="22"/>
          <w:szCs w:val="22"/>
        </w:rPr>
        <w:t>.</w:t>
      </w:r>
      <w:r w:rsidR="001F117C" w:rsidRPr="00C669D8">
        <w:rPr>
          <w:rFonts w:ascii="Century Gothic" w:hAnsi="Century Gothic"/>
          <w:sz w:val="22"/>
          <w:szCs w:val="22"/>
        </w:rPr>
        <w:t xml:space="preserve"> </w:t>
      </w:r>
      <w:r w:rsidR="001F117C">
        <w:rPr>
          <w:rFonts w:ascii="Century Gothic" w:hAnsi="Century Gothic"/>
          <w:sz w:val="22"/>
          <w:szCs w:val="22"/>
        </w:rPr>
        <w:t>S</w:t>
      </w:r>
      <w:r w:rsidR="001F117C" w:rsidRPr="00C669D8">
        <w:rPr>
          <w:rFonts w:ascii="Century Gothic" w:hAnsi="Century Gothic"/>
          <w:sz w:val="22"/>
          <w:szCs w:val="22"/>
        </w:rPr>
        <w:t xml:space="preserve">elon </w:t>
      </w:r>
      <w:r w:rsidR="008858E5" w:rsidRPr="00C669D8">
        <w:rPr>
          <w:rFonts w:ascii="Century Gothic" w:hAnsi="Century Gothic"/>
          <w:sz w:val="22"/>
          <w:szCs w:val="22"/>
        </w:rPr>
        <w:t xml:space="preserve">les informations recueillies par nos organisations, </w:t>
      </w:r>
      <w:r w:rsidR="00641B29" w:rsidRPr="00C669D8">
        <w:rPr>
          <w:rFonts w:ascii="Century Gothic" w:hAnsi="Century Gothic"/>
          <w:sz w:val="22"/>
          <w:szCs w:val="22"/>
        </w:rPr>
        <w:t xml:space="preserve">celle-ci </w:t>
      </w:r>
      <w:r w:rsidRPr="00C669D8">
        <w:rPr>
          <w:rFonts w:ascii="Century Gothic" w:hAnsi="Century Gothic"/>
          <w:sz w:val="22"/>
          <w:szCs w:val="22"/>
        </w:rPr>
        <w:t>sera soumise au gouvernement pour adoption en conseil des ministres avant son adoption finale par le CNT.</w:t>
      </w:r>
      <w:r w:rsidR="00FC3A2E" w:rsidRPr="00C669D8">
        <w:rPr>
          <w:rFonts w:ascii="Century Gothic" w:hAnsi="Century Gothic"/>
          <w:sz w:val="22"/>
          <w:szCs w:val="22"/>
        </w:rPr>
        <w:t xml:space="preserve"> Transmis au gouvernement le 15 juin 2015 pour avis et sans réaction de sa part, le Conseil national de transition (CNT) attend l’expiration du délai de 2 mois pour reprendre la main sur le processus et entamer le processus d’adoption de la loi abolissant la peine de mort.</w:t>
      </w:r>
    </w:p>
    <w:p w14:paraId="4F50A774" w14:textId="77777777" w:rsidR="001914A3" w:rsidRPr="00C669D8" w:rsidRDefault="001914A3" w:rsidP="00D060B8">
      <w:pPr>
        <w:pStyle w:val="Listecouleur-Accent12"/>
        <w:numPr>
          <w:ilvl w:val="0"/>
          <w:numId w:val="9"/>
        </w:numPr>
        <w:autoSpaceDE w:val="0"/>
        <w:autoSpaceDN w:val="0"/>
        <w:adjustRightInd w:val="0"/>
        <w:spacing w:after="0" w:line="240" w:lineRule="auto"/>
        <w:jc w:val="both"/>
        <w:rPr>
          <w:rFonts w:ascii="Century Gothic" w:hAnsi="Century Gothic"/>
          <w:b/>
          <w:color w:val="1A1A1A"/>
        </w:rPr>
      </w:pPr>
      <w:r w:rsidRPr="00C669D8">
        <w:rPr>
          <w:rFonts w:ascii="Century Gothic" w:hAnsi="Century Gothic"/>
          <w:b/>
          <w:color w:val="1A1A1A"/>
        </w:rPr>
        <w:t>Exécutions extrajudiciaires</w:t>
      </w:r>
    </w:p>
    <w:p w14:paraId="6434E375" w14:textId="77777777" w:rsidR="002642BF" w:rsidRPr="00447D83" w:rsidRDefault="00C87581" w:rsidP="00C669D8">
      <w:pPr>
        <w:spacing w:after="0" w:line="240" w:lineRule="auto"/>
        <w:jc w:val="both"/>
        <w:rPr>
          <w:rFonts w:ascii="Century Gothic" w:hAnsi="Century Gothic"/>
        </w:rPr>
      </w:pPr>
      <w:r w:rsidRPr="00C669D8">
        <w:rPr>
          <w:rFonts w:ascii="Century Gothic" w:hAnsi="Century Gothic"/>
        </w:rPr>
        <w:t xml:space="preserve">Les forces de défense et de sécurité sont souvent accusées de recourir à des exécutions extrajudiciaires dans le cadre </w:t>
      </w:r>
      <w:r w:rsidR="002D47D6">
        <w:rPr>
          <w:rFonts w:ascii="Century Gothic" w:hAnsi="Century Gothic"/>
        </w:rPr>
        <w:t xml:space="preserve">du maintien de l’ordre ou durant la période de garde à vue et surtout dans le cadre </w:t>
      </w:r>
      <w:r w:rsidRPr="00C669D8">
        <w:rPr>
          <w:rFonts w:ascii="Century Gothic" w:hAnsi="Century Gothic"/>
        </w:rPr>
        <w:t xml:space="preserve">de la lutte contre le grand banditisme. </w:t>
      </w:r>
      <w:r w:rsidR="00D22927" w:rsidRPr="00C669D8">
        <w:rPr>
          <w:rFonts w:ascii="Century Gothic" w:hAnsi="Century Gothic"/>
        </w:rPr>
        <w:t xml:space="preserve">Entre les mois d’octobre 2001 et de janvier 2002, le </w:t>
      </w:r>
      <w:r w:rsidRPr="00C669D8">
        <w:rPr>
          <w:rFonts w:ascii="Century Gothic" w:hAnsi="Century Gothic"/>
        </w:rPr>
        <w:t>MBDHP a dénombré</w:t>
      </w:r>
      <w:r w:rsidR="007176BC" w:rsidRPr="00C669D8">
        <w:rPr>
          <w:rFonts w:ascii="Century Gothic" w:hAnsi="Century Gothic"/>
        </w:rPr>
        <w:t xml:space="preserve"> 106</w:t>
      </w:r>
      <w:r w:rsidRPr="00C669D8">
        <w:rPr>
          <w:rFonts w:ascii="Century Gothic" w:hAnsi="Century Gothic"/>
        </w:rPr>
        <w:t xml:space="preserve"> cadavres, menottes aux poignets et criblés de balles, visiblement victimes d’exécution extrajudiciaire. Les autorités qui avaient promis la mise en place d’une commission </w:t>
      </w:r>
      <w:r w:rsidRPr="006753A5">
        <w:rPr>
          <w:rFonts w:ascii="Century Gothic" w:hAnsi="Century Gothic"/>
        </w:rPr>
        <w:t xml:space="preserve">d’enquête judiciaire pour faire la lumière sur cette affaire n’y ont jamais donné suite. </w:t>
      </w:r>
    </w:p>
    <w:p w14:paraId="5C06E2EF" w14:textId="77777777" w:rsidR="00F11728" w:rsidRPr="00D80D55" w:rsidRDefault="002D47D6" w:rsidP="00F11728">
      <w:pPr>
        <w:pStyle w:val="Default"/>
        <w:jc w:val="both"/>
        <w:rPr>
          <w:rFonts w:ascii="Century Gothic" w:hAnsi="Century Gothic"/>
          <w:color w:val="auto"/>
          <w:sz w:val="22"/>
          <w:szCs w:val="22"/>
        </w:rPr>
      </w:pPr>
      <w:r w:rsidRPr="00D80D55">
        <w:rPr>
          <w:rFonts w:ascii="Century Gothic" w:hAnsi="Century Gothic"/>
        </w:rPr>
        <w:t xml:space="preserve">Par ailleurs, </w:t>
      </w:r>
      <w:r w:rsidR="00F11728" w:rsidRPr="00D80D55">
        <w:rPr>
          <w:rFonts w:ascii="Century Gothic" w:hAnsi="Century Gothic"/>
          <w:color w:val="auto"/>
          <w:sz w:val="22"/>
          <w:szCs w:val="22"/>
        </w:rPr>
        <w:t xml:space="preserve">le 30 juin </w:t>
      </w:r>
      <w:r w:rsidR="005D7701" w:rsidRPr="00D80D55">
        <w:rPr>
          <w:rFonts w:ascii="Century Gothic" w:hAnsi="Century Gothic"/>
          <w:color w:val="auto"/>
          <w:sz w:val="22"/>
          <w:szCs w:val="22"/>
        </w:rPr>
        <w:t>2010</w:t>
      </w:r>
      <w:r w:rsidR="00F11728" w:rsidRPr="00D80D55">
        <w:rPr>
          <w:rFonts w:ascii="Century Gothic" w:hAnsi="Century Gothic"/>
          <w:color w:val="auto"/>
          <w:sz w:val="22"/>
          <w:szCs w:val="22"/>
        </w:rPr>
        <w:t xml:space="preserve">, Da Arnaud </w:t>
      </w:r>
      <w:proofErr w:type="spellStart"/>
      <w:r w:rsidR="00F11728" w:rsidRPr="00D80D55">
        <w:rPr>
          <w:rFonts w:ascii="Century Gothic" w:hAnsi="Century Gothic"/>
          <w:color w:val="auto"/>
          <w:sz w:val="22"/>
          <w:szCs w:val="22"/>
        </w:rPr>
        <w:t>Somé</w:t>
      </w:r>
      <w:proofErr w:type="spellEnd"/>
      <w:r w:rsidR="00F11728" w:rsidRPr="00D80D55">
        <w:rPr>
          <w:rFonts w:ascii="Century Gothic" w:hAnsi="Century Gothic"/>
          <w:color w:val="auto"/>
          <w:sz w:val="22"/>
          <w:szCs w:val="22"/>
        </w:rPr>
        <w:t>, 23 ans</w:t>
      </w:r>
      <w:r w:rsidR="00691F70" w:rsidRPr="00D80D55">
        <w:rPr>
          <w:rFonts w:ascii="Century Gothic" w:hAnsi="Century Gothic"/>
          <w:color w:val="auto"/>
          <w:sz w:val="22"/>
          <w:szCs w:val="22"/>
        </w:rPr>
        <w:t>,</w:t>
      </w:r>
      <w:r w:rsidR="00F11728" w:rsidRPr="00D80D55">
        <w:rPr>
          <w:rFonts w:ascii="Century Gothic" w:hAnsi="Century Gothic"/>
          <w:color w:val="auto"/>
          <w:sz w:val="22"/>
          <w:szCs w:val="22"/>
        </w:rPr>
        <w:t xml:space="preserve"> est décédé alors qu’il était détenu par la police quelques heures après avoir été arrêté pour possession présumée de drogue</w:t>
      </w:r>
      <w:r w:rsidR="00E1202A" w:rsidRPr="00D80D55">
        <w:rPr>
          <w:rStyle w:val="Marquenotebasdepage"/>
          <w:rFonts w:ascii="Century Gothic" w:hAnsi="Century Gothic"/>
          <w:color w:val="auto"/>
          <w:sz w:val="22"/>
          <w:szCs w:val="22"/>
        </w:rPr>
        <w:footnoteReference w:id="49"/>
      </w:r>
      <w:r w:rsidR="00F11728" w:rsidRPr="00D80D55">
        <w:rPr>
          <w:rFonts w:ascii="Century Gothic" w:hAnsi="Century Gothic"/>
          <w:color w:val="auto"/>
          <w:sz w:val="22"/>
          <w:szCs w:val="22"/>
        </w:rPr>
        <w:t xml:space="preserve">. Il est mort dans des circonstances peu claires à l’hôpital de </w:t>
      </w:r>
      <w:proofErr w:type="spellStart"/>
      <w:r w:rsidR="00F11728" w:rsidRPr="00D80D55">
        <w:rPr>
          <w:rFonts w:ascii="Century Gothic" w:hAnsi="Century Gothic"/>
          <w:color w:val="auto"/>
          <w:sz w:val="22"/>
          <w:szCs w:val="22"/>
        </w:rPr>
        <w:t>Gaoua</w:t>
      </w:r>
      <w:proofErr w:type="spellEnd"/>
      <w:r w:rsidR="00F11728" w:rsidRPr="00D80D55">
        <w:rPr>
          <w:rFonts w:ascii="Century Gothic" w:hAnsi="Century Gothic"/>
          <w:color w:val="auto"/>
          <w:sz w:val="22"/>
          <w:szCs w:val="22"/>
        </w:rPr>
        <w:t xml:space="preserve"> après avoir été arrêté par des policiers à </w:t>
      </w:r>
      <w:proofErr w:type="spellStart"/>
      <w:r w:rsidR="00F11728" w:rsidRPr="00D80D55">
        <w:rPr>
          <w:rFonts w:ascii="Century Gothic" w:hAnsi="Century Gothic"/>
          <w:color w:val="auto"/>
          <w:sz w:val="22"/>
          <w:szCs w:val="22"/>
        </w:rPr>
        <w:t>Danyoro</w:t>
      </w:r>
      <w:proofErr w:type="spellEnd"/>
      <w:r w:rsidR="00F11728" w:rsidRPr="00D80D55">
        <w:rPr>
          <w:rFonts w:ascii="Century Gothic" w:hAnsi="Century Gothic"/>
          <w:color w:val="auto"/>
          <w:sz w:val="22"/>
          <w:szCs w:val="22"/>
        </w:rPr>
        <w:t xml:space="preserve"> pour une affaire de drogue. </w:t>
      </w:r>
      <w:proofErr w:type="spellStart"/>
      <w:r w:rsidR="00F11728" w:rsidRPr="00D80D55">
        <w:rPr>
          <w:rFonts w:ascii="Century Gothic" w:hAnsi="Century Gothic"/>
          <w:color w:val="auto"/>
          <w:sz w:val="22"/>
          <w:szCs w:val="22"/>
        </w:rPr>
        <w:t>Somé</w:t>
      </w:r>
      <w:proofErr w:type="spellEnd"/>
      <w:r w:rsidR="00F11728" w:rsidRPr="00D80D55">
        <w:rPr>
          <w:rFonts w:ascii="Century Gothic" w:hAnsi="Century Gothic"/>
          <w:color w:val="auto"/>
          <w:sz w:val="22"/>
          <w:szCs w:val="22"/>
        </w:rPr>
        <w:t xml:space="preserve"> a tenté de prendre la fuite et s’est blessé en tombant dans un ravin. Il est décédé quelques heures plus tard à l’hôpital où il recevait des soins. Des organisations de défense des droits de l’homme, dont le Mouvement burkinabè des droits de l’homme et des peuples (MBDHP), ont mené une enquête et conclu que </w:t>
      </w:r>
      <w:proofErr w:type="spellStart"/>
      <w:r w:rsidR="00F11728" w:rsidRPr="00D80D55">
        <w:rPr>
          <w:rFonts w:ascii="Century Gothic" w:hAnsi="Century Gothic"/>
          <w:color w:val="auto"/>
          <w:sz w:val="22"/>
          <w:szCs w:val="22"/>
        </w:rPr>
        <w:t>Somé</w:t>
      </w:r>
      <w:proofErr w:type="spellEnd"/>
      <w:r w:rsidR="00F11728" w:rsidRPr="00D80D55">
        <w:rPr>
          <w:rFonts w:ascii="Century Gothic" w:hAnsi="Century Gothic"/>
          <w:color w:val="auto"/>
          <w:sz w:val="22"/>
          <w:szCs w:val="22"/>
        </w:rPr>
        <w:t xml:space="preserve"> avait succombé parce qu’il avait été battu brutalement par des policiers et non pas parce qu’il se serait blessé en tombant. Le MBDHP a réclamé une enquête indépendante et l’arrestation des responsables de la mort de </w:t>
      </w:r>
      <w:proofErr w:type="spellStart"/>
      <w:r w:rsidR="00F11728" w:rsidRPr="00D80D55">
        <w:rPr>
          <w:rFonts w:ascii="Century Gothic" w:hAnsi="Century Gothic"/>
          <w:color w:val="auto"/>
          <w:sz w:val="22"/>
          <w:szCs w:val="22"/>
        </w:rPr>
        <w:t>Somé</w:t>
      </w:r>
      <w:proofErr w:type="spellEnd"/>
      <w:r w:rsidR="00F11728" w:rsidRPr="00D80D55">
        <w:rPr>
          <w:rFonts w:ascii="Century Gothic" w:hAnsi="Century Gothic"/>
          <w:color w:val="auto"/>
          <w:sz w:val="22"/>
          <w:szCs w:val="22"/>
        </w:rPr>
        <w:t xml:space="preserve">. Le gouvernement a pris rapidement des mesures disciplinaires : les trois policiers impliqués dans le décès de </w:t>
      </w:r>
      <w:proofErr w:type="spellStart"/>
      <w:r w:rsidR="00F11728" w:rsidRPr="00D80D55">
        <w:rPr>
          <w:rFonts w:ascii="Century Gothic" w:hAnsi="Century Gothic"/>
          <w:color w:val="auto"/>
          <w:sz w:val="22"/>
          <w:szCs w:val="22"/>
        </w:rPr>
        <w:t>Somé</w:t>
      </w:r>
      <w:proofErr w:type="spellEnd"/>
      <w:r w:rsidR="00F11728" w:rsidRPr="00D80D55">
        <w:rPr>
          <w:rFonts w:ascii="Century Gothic" w:hAnsi="Century Gothic"/>
          <w:color w:val="auto"/>
          <w:sz w:val="22"/>
          <w:szCs w:val="22"/>
        </w:rPr>
        <w:t xml:space="preserve"> ont été mis aux arrêts et tout le personnel de la police, dont les directeurs de la police de </w:t>
      </w:r>
      <w:proofErr w:type="spellStart"/>
      <w:r w:rsidR="00F11728" w:rsidRPr="00D80D55">
        <w:rPr>
          <w:rFonts w:ascii="Century Gothic" w:hAnsi="Century Gothic"/>
          <w:color w:val="auto"/>
          <w:sz w:val="22"/>
          <w:szCs w:val="22"/>
        </w:rPr>
        <w:t>Danyoro</w:t>
      </w:r>
      <w:proofErr w:type="spellEnd"/>
      <w:r w:rsidR="00F11728" w:rsidRPr="00D80D55">
        <w:rPr>
          <w:rFonts w:ascii="Century Gothic" w:hAnsi="Century Gothic"/>
          <w:color w:val="auto"/>
          <w:sz w:val="22"/>
          <w:szCs w:val="22"/>
        </w:rPr>
        <w:t xml:space="preserve"> et </w:t>
      </w:r>
      <w:proofErr w:type="spellStart"/>
      <w:r w:rsidR="00F11728" w:rsidRPr="00D80D55">
        <w:rPr>
          <w:rFonts w:ascii="Century Gothic" w:hAnsi="Century Gothic"/>
          <w:color w:val="auto"/>
          <w:sz w:val="22"/>
          <w:szCs w:val="22"/>
        </w:rPr>
        <w:t>Gaoua</w:t>
      </w:r>
      <w:proofErr w:type="spellEnd"/>
      <w:r w:rsidR="00F11728" w:rsidRPr="00D80D55">
        <w:rPr>
          <w:rFonts w:ascii="Century Gothic" w:hAnsi="Century Gothic"/>
          <w:color w:val="auto"/>
          <w:sz w:val="22"/>
          <w:szCs w:val="22"/>
        </w:rPr>
        <w:t xml:space="preserve">, ont été mutés dans </w:t>
      </w:r>
      <w:r w:rsidR="00F11728" w:rsidRPr="00D80D55">
        <w:rPr>
          <w:rFonts w:ascii="Century Gothic" w:hAnsi="Century Gothic"/>
          <w:color w:val="auto"/>
          <w:sz w:val="22"/>
          <w:szCs w:val="22"/>
        </w:rPr>
        <w:lastRenderedPageBreak/>
        <w:t>d’autres commissariats de police.</w:t>
      </w:r>
      <w:r w:rsidR="002651CF" w:rsidRPr="00D80D55">
        <w:rPr>
          <w:rFonts w:ascii="Century Gothic" w:hAnsi="Century Gothic"/>
          <w:color w:val="auto"/>
          <w:sz w:val="22"/>
          <w:szCs w:val="22"/>
        </w:rPr>
        <w:t xml:space="preserve"> </w:t>
      </w:r>
      <w:r w:rsidR="00F11728" w:rsidRPr="00D80D55">
        <w:rPr>
          <w:rFonts w:ascii="Century Gothic" w:hAnsi="Century Gothic"/>
          <w:color w:val="auto"/>
          <w:sz w:val="22"/>
          <w:szCs w:val="22"/>
        </w:rPr>
        <w:t xml:space="preserve"> Ce décès a provoqué de violentes manifestations le 1er juillet à </w:t>
      </w:r>
      <w:proofErr w:type="spellStart"/>
      <w:r w:rsidR="00F11728" w:rsidRPr="00D80D55">
        <w:rPr>
          <w:rFonts w:ascii="Century Gothic" w:hAnsi="Century Gothic"/>
          <w:color w:val="auto"/>
          <w:sz w:val="22"/>
          <w:szCs w:val="22"/>
        </w:rPr>
        <w:t>Gaoua</w:t>
      </w:r>
      <w:proofErr w:type="spellEnd"/>
      <w:r w:rsidR="00F11728" w:rsidRPr="00D80D55">
        <w:rPr>
          <w:rFonts w:ascii="Century Gothic" w:hAnsi="Century Gothic"/>
          <w:color w:val="auto"/>
          <w:sz w:val="22"/>
          <w:szCs w:val="22"/>
        </w:rPr>
        <w:t xml:space="preserve">. </w:t>
      </w:r>
      <w:r w:rsidR="002651CF" w:rsidRPr="00D80D55">
        <w:rPr>
          <w:rFonts w:ascii="Century Gothic" w:hAnsi="Century Gothic"/>
          <w:color w:val="auto"/>
          <w:sz w:val="22"/>
          <w:szCs w:val="22"/>
        </w:rPr>
        <w:t xml:space="preserve">Le 17 juin 2011, deux policiers ont été reconnus coupables de coups et blessures mortels et condamnés à cinq ans de prison ferme pour leur implication dans la mort de Arnaud </w:t>
      </w:r>
      <w:proofErr w:type="spellStart"/>
      <w:r w:rsidR="002651CF" w:rsidRPr="00D80D55">
        <w:rPr>
          <w:rFonts w:ascii="Century Gothic" w:hAnsi="Century Gothic"/>
          <w:color w:val="auto"/>
          <w:sz w:val="22"/>
          <w:szCs w:val="22"/>
        </w:rPr>
        <w:t>Somé</w:t>
      </w:r>
      <w:proofErr w:type="spellEnd"/>
      <w:r w:rsidR="002651CF" w:rsidRPr="00D80D55">
        <w:rPr>
          <w:rFonts w:ascii="Century Gothic" w:hAnsi="Century Gothic"/>
          <w:color w:val="auto"/>
          <w:sz w:val="22"/>
          <w:szCs w:val="22"/>
        </w:rPr>
        <w:t>. Le verdict a été prononcé par la chambre criminelle de la cour d’appel de Bobo-Dioulasso</w:t>
      </w:r>
      <w:r w:rsidR="00691F70" w:rsidRPr="00D80D55">
        <w:rPr>
          <w:rStyle w:val="Marquenotebasdepage"/>
          <w:rFonts w:ascii="Century Gothic" w:hAnsi="Century Gothic"/>
          <w:color w:val="auto"/>
          <w:sz w:val="22"/>
          <w:szCs w:val="22"/>
        </w:rPr>
        <w:footnoteReference w:id="50"/>
      </w:r>
      <w:r w:rsidR="002651CF" w:rsidRPr="00D80D55">
        <w:rPr>
          <w:rFonts w:ascii="Century Gothic" w:hAnsi="Century Gothic"/>
          <w:color w:val="auto"/>
          <w:sz w:val="22"/>
          <w:szCs w:val="22"/>
        </w:rPr>
        <w:t>.</w:t>
      </w:r>
    </w:p>
    <w:p w14:paraId="0F3CC617" w14:textId="77777777" w:rsidR="00F11728" w:rsidRPr="00D80D55" w:rsidRDefault="00F11728" w:rsidP="00F11728">
      <w:pPr>
        <w:pStyle w:val="Default"/>
        <w:jc w:val="both"/>
        <w:rPr>
          <w:rFonts w:ascii="Century Gothic" w:hAnsi="Century Gothic"/>
          <w:color w:val="auto"/>
          <w:sz w:val="22"/>
          <w:szCs w:val="22"/>
        </w:rPr>
      </w:pPr>
      <w:r w:rsidRPr="00D80D55">
        <w:rPr>
          <w:rFonts w:ascii="Century Gothic" w:hAnsi="Century Gothic"/>
          <w:color w:val="auto"/>
          <w:sz w:val="22"/>
          <w:szCs w:val="22"/>
        </w:rPr>
        <w:t>Le 1</w:t>
      </w:r>
      <w:r w:rsidRPr="00D80D55">
        <w:rPr>
          <w:rFonts w:ascii="Century Gothic" w:hAnsi="Century Gothic"/>
          <w:color w:val="auto"/>
          <w:sz w:val="22"/>
          <w:szCs w:val="22"/>
          <w:vertAlign w:val="superscript"/>
        </w:rPr>
        <w:t>er</w:t>
      </w:r>
      <w:r w:rsidR="002651CF" w:rsidRPr="00D80D55">
        <w:rPr>
          <w:rFonts w:ascii="Century Gothic" w:hAnsi="Century Gothic"/>
          <w:color w:val="auto"/>
          <w:sz w:val="22"/>
          <w:szCs w:val="22"/>
        </w:rPr>
        <w:t xml:space="preserve"> </w:t>
      </w:r>
      <w:r w:rsidRPr="00D80D55">
        <w:rPr>
          <w:rFonts w:ascii="Century Gothic" w:hAnsi="Century Gothic"/>
          <w:color w:val="auto"/>
          <w:sz w:val="22"/>
          <w:szCs w:val="22"/>
        </w:rPr>
        <w:t>juillet</w:t>
      </w:r>
      <w:r w:rsidR="002651CF" w:rsidRPr="00D80D55">
        <w:rPr>
          <w:rFonts w:ascii="Century Gothic" w:hAnsi="Century Gothic"/>
          <w:color w:val="auto"/>
          <w:sz w:val="22"/>
          <w:szCs w:val="22"/>
        </w:rPr>
        <w:t xml:space="preserve"> 2010</w:t>
      </w:r>
      <w:r w:rsidRPr="00D80D55">
        <w:rPr>
          <w:rFonts w:ascii="Century Gothic" w:hAnsi="Century Gothic"/>
          <w:color w:val="auto"/>
          <w:sz w:val="22"/>
          <w:szCs w:val="22"/>
        </w:rPr>
        <w:t xml:space="preserve">, les forces de sécurité ont tué deux jeunes gens à </w:t>
      </w:r>
      <w:proofErr w:type="spellStart"/>
      <w:r w:rsidRPr="00D80D55">
        <w:rPr>
          <w:rFonts w:ascii="Century Gothic" w:hAnsi="Century Gothic"/>
          <w:color w:val="auto"/>
          <w:sz w:val="22"/>
          <w:szCs w:val="22"/>
        </w:rPr>
        <w:t>Gaoua</w:t>
      </w:r>
      <w:proofErr w:type="spellEnd"/>
      <w:r w:rsidRPr="00D80D55">
        <w:rPr>
          <w:rFonts w:ascii="Century Gothic" w:hAnsi="Century Gothic"/>
          <w:color w:val="auto"/>
          <w:sz w:val="22"/>
          <w:szCs w:val="22"/>
        </w:rPr>
        <w:t xml:space="preserve"> lorsque des manifestations organisées pour protester contre le décès du 30 juin </w:t>
      </w:r>
      <w:proofErr w:type="gramStart"/>
      <w:r w:rsidRPr="00D80D55">
        <w:rPr>
          <w:rFonts w:ascii="Century Gothic" w:hAnsi="Century Gothic"/>
          <w:color w:val="auto"/>
          <w:sz w:val="22"/>
          <w:szCs w:val="22"/>
        </w:rPr>
        <w:t>sont</w:t>
      </w:r>
      <w:proofErr w:type="gramEnd"/>
      <w:r w:rsidRPr="00D80D55">
        <w:rPr>
          <w:rFonts w:ascii="Century Gothic" w:hAnsi="Century Gothic"/>
          <w:color w:val="auto"/>
          <w:sz w:val="22"/>
          <w:szCs w:val="22"/>
        </w:rPr>
        <w:t xml:space="preserve"> devenues violentes. Selon des rapports officiels, les forces de sécurité ont utilisé des fusils pour rétablir l’ordre. Des membres d’associations de défense des droits de l’homme ont ramassé des cartouches vides après les violences et les blessures correspondaient à celles faites par des tirs à balles réelles. Les rapports officiels publiés après les événements ont parlé de décès « accidentels ». </w:t>
      </w:r>
    </w:p>
    <w:p w14:paraId="6AC9D6C5" w14:textId="30E52A5B" w:rsidR="0098294C" w:rsidRPr="00C669D8" w:rsidRDefault="00F11728" w:rsidP="00D060B8">
      <w:pPr>
        <w:jc w:val="both"/>
        <w:rPr>
          <w:rFonts w:ascii="Century Gothic" w:hAnsi="Century Gothic"/>
        </w:rPr>
      </w:pPr>
      <w:r w:rsidRPr="00D80D55">
        <w:rPr>
          <w:rFonts w:ascii="Century Gothic" w:hAnsi="Century Gothic"/>
        </w:rPr>
        <w:t>En septembre 2009, des gardiens de prison ont tiré sur des prisonniers, faisant six morts et huit blessés graves parmi ceux-ci, pendant qu’ils cherchaient à réprimer un mouvement de protestation contre le traitement préférentiel accordé aux prisonniers plus riches. Le Mouvement burkinabè pour l’émergence de la justice sociale (MBEJUS) a réclamé une enquête, mais aucune mesure n’avait été prise à la fin de l’année</w:t>
      </w:r>
      <w:r w:rsidR="00A97B36" w:rsidRPr="00D80D55">
        <w:rPr>
          <w:rStyle w:val="Marquenotebasdepage"/>
          <w:rFonts w:ascii="Century Gothic" w:hAnsi="Century Gothic"/>
        </w:rPr>
        <w:footnoteReference w:id="51"/>
      </w:r>
      <w:r w:rsidRPr="00D80D55">
        <w:rPr>
          <w:rFonts w:ascii="Century Gothic" w:hAnsi="Century Gothic"/>
        </w:rPr>
        <w:t>.</w:t>
      </w:r>
    </w:p>
    <w:p w14:paraId="5C413F7F" w14:textId="77777777" w:rsidR="00460154" w:rsidRPr="00C669D8" w:rsidRDefault="00C87581" w:rsidP="00C669D8">
      <w:pPr>
        <w:spacing w:after="0" w:line="240" w:lineRule="auto"/>
        <w:jc w:val="both"/>
        <w:rPr>
          <w:rFonts w:ascii="Century Gothic" w:hAnsi="Century Gothic"/>
        </w:rPr>
      </w:pPr>
      <w:r w:rsidRPr="00C669D8">
        <w:rPr>
          <w:rFonts w:ascii="Century Gothic" w:hAnsi="Century Gothic"/>
        </w:rPr>
        <w:t>On note</w:t>
      </w:r>
      <w:r w:rsidR="002642BF" w:rsidRPr="00C669D8">
        <w:rPr>
          <w:rFonts w:ascii="Century Gothic" w:hAnsi="Century Gothic"/>
        </w:rPr>
        <w:t>,</w:t>
      </w:r>
      <w:r w:rsidRPr="00C669D8">
        <w:rPr>
          <w:rFonts w:ascii="Century Gothic" w:hAnsi="Century Gothic"/>
        </w:rPr>
        <w:t xml:space="preserve"> </w:t>
      </w:r>
      <w:r w:rsidR="00FF1CC3">
        <w:rPr>
          <w:rFonts w:ascii="Century Gothic" w:hAnsi="Century Gothic"/>
        </w:rPr>
        <w:t>également</w:t>
      </w:r>
      <w:r w:rsidR="002642BF" w:rsidRPr="00C669D8">
        <w:rPr>
          <w:rFonts w:ascii="Century Gothic" w:hAnsi="Century Gothic"/>
        </w:rPr>
        <w:t>,</w:t>
      </w:r>
      <w:r w:rsidRPr="00C669D8">
        <w:rPr>
          <w:rFonts w:ascii="Century Gothic" w:hAnsi="Century Gothic"/>
        </w:rPr>
        <w:t xml:space="preserve"> la multiplication des pratiques de lynchages publics</w:t>
      </w:r>
      <w:r w:rsidR="00460154" w:rsidRPr="00C669D8">
        <w:rPr>
          <w:rFonts w:ascii="Century Gothic" w:hAnsi="Century Gothic"/>
        </w:rPr>
        <w:t> :</w:t>
      </w:r>
    </w:p>
    <w:p w14:paraId="4E2DD5C2" w14:textId="77777777" w:rsidR="008214E1" w:rsidRPr="00C669D8" w:rsidRDefault="002F0E4D" w:rsidP="00D060B8">
      <w:pPr>
        <w:pStyle w:val="Listecouleur-Accent12"/>
        <w:numPr>
          <w:ilvl w:val="0"/>
          <w:numId w:val="22"/>
        </w:numPr>
        <w:spacing w:after="0" w:line="240" w:lineRule="auto"/>
        <w:jc w:val="both"/>
        <w:rPr>
          <w:rFonts w:ascii="Century Gothic" w:hAnsi="Century Gothic"/>
        </w:rPr>
      </w:pPr>
      <w:r w:rsidRPr="00C669D8">
        <w:rPr>
          <w:rFonts w:ascii="Century Gothic" w:hAnsi="Century Gothic"/>
        </w:rPr>
        <w:t xml:space="preserve">le 1er juillet 2012, cinq (5) présumés délinquants ont été lynchés à mort </w:t>
      </w:r>
      <w:r w:rsidR="00B23DAC">
        <w:rPr>
          <w:rFonts w:ascii="Century Gothic" w:hAnsi="Century Gothic"/>
        </w:rPr>
        <w:t>à</w:t>
      </w:r>
      <w:r w:rsidRPr="00C669D8">
        <w:rPr>
          <w:rFonts w:ascii="Century Gothic" w:hAnsi="Century Gothic"/>
        </w:rPr>
        <w:t xml:space="preserve"> Ouagadougou. La police appelée sur les lieux s’est abstenue d’intervenir, abandonnant ainsi les cinq individus à la vindicte populaire</w:t>
      </w:r>
      <w:r w:rsidR="00460154" w:rsidRPr="00C669D8">
        <w:rPr>
          <w:rFonts w:ascii="Century Gothic" w:hAnsi="Century Gothic"/>
        </w:rPr>
        <w:t> ;</w:t>
      </w:r>
    </w:p>
    <w:p w14:paraId="4F6E5F86" w14:textId="77777777" w:rsidR="008214E1" w:rsidRPr="00C669D8" w:rsidRDefault="002F0E4D" w:rsidP="00D060B8">
      <w:pPr>
        <w:pStyle w:val="Listecouleur-Accent12"/>
        <w:numPr>
          <w:ilvl w:val="0"/>
          <w:numId w:val="22"/>
        </w:numPr>
        <w:spacing w:after="0" w:line="240" w:lineRule="auto"/>
        <w:jc w:val="both"/>
        <w:rPr>
          <w:rFonts w:ascii="Century Gothic" w:hAnsi="Century Gothic"/>
        </w:rPr>
      </w:pPr>
      <w:r w:rsidRPr="00C669D8">
        <w:rPr>
          <w:rFonts w:ascii="Century Gothic" w:hAnsi="Century Gothic"/>
        </w:rPr>
        <w:t xml:space="preserve">les 16 et 17 octobre 2013, quatre (4) jeunes hommes accusés de tentative de viol sur une jeune fille et de meurtre de </w:t>
      </w:r>
      <w:proofErr w:type="spellStart"/>
      <w:r w:rsidRPr="00C669D8">
        <w:rPr>
          <w:rFonts w:ascii="Century Gothic" w:hAnsi="Century Gothic"/>
        </w:rPr>
        <w:t>Massahoudou</w:t>
      </w:r>
      <w:proofErr w:type="spellEnd"/>
      <w:r w:rsidRPr="00C669D8">
        <w:rPr>
          <w:rFonts w:ascii="Century Gothic" w:hAnsi="Century Gothic"/>
        </w:rPr>
        <w:t xml:space="preserve"> ZAMPALIGRE ont été lynchés à mort à </w:t>
      </w:r>
      <w:proofErr w:type="spellStart"/>
      <w:r w:rsidRPr="00C669D8">
        <w:rPr>
          <w:rFonts w:ascii="Century Gothic" w:hAnsi="Century Gothic"/>
        </w:rPr>
        <w:t>Bitou</w:t>
      </w:r>
      <w:proofErr w:type="spellEnd"/>
      <w:r w:rsidRPr="00C669D8">
        <w:rPr>
          <w:rFonts w:ascii="Century Gothic" w:hAnsi="Century Gothic"/>
        </w:rPr>
        <w:t xml:space="preserve">, dans la province du </w:t>
      </w:r>
      <w:proofErr w:type="spellStart"/>
      <w:r w:rsidRPr="00C669D8">
        <w:rPr>
          <w:rFonts w:ascii="Century Gothic" w:hAnsi="Century Gothic"/>
        </w:rPr>
        <w:t>Boulgou</w:t>
      </w:r>
      <w:proofErr w:type="spellEnd"/>
      <w:r w:rsidRPr="00C669D8">
        <w:rPr>
          <w:rFonts w:ascii="Century Gothic" w:hAnsi="Century Gothic"/>
        </w:rPr>
        <w:t xml:space="preserve"> dans le centre-est du pays</w:t>
      </w:r>
      <w:r w:rsidR="00460154" w:rsidRPr="00C669D8">
        <w:rPr>
          <w:rFonts w:ascii="Century Gothic" w:hAnsi="Century Gothic"/>
        </w:rPr>
        <w:t> ;</w:t>
      </w:r>
    </w:p>
    <w:p w14:paraId="58536EAC" w14:textId="77777777" w:rsidR="008214E1" w:rsidRPr="00C669D8" w:rsidRDefault="00460154" w:rsidP="00D060B8">
      <w:pPr>
        <w:pStyle w:val="Listecouleur-Accent12"/>
        <w:numPr>
          <w:ilvl w:val="0"/>
          <w:numId w:val="22"/>
        </w:numPr>
        <w:spacing w:after="0" w:line="240" w:lineRule="auto"/>
        <w:jc w:val="both"/>
        <w:rPr>
          <w:rFonts w:ascii="Century Gothic" w:hAnsi="Century Gothic"/>
        </w:rPr>
      </w:pPr>
      <w:r w:rsidRPr="00C669D8">
        <w:rPr>
          <w:rFonts w:ascii="Century Gothic" w:hAnsi="Century Gothic"/>
        </w:rPr>
        <w:t>l</w:t>
      </w:r>
      <w:r w:rsidR="002F0E4D" w:rsidRPr="00C669D8">
        <w:rPr>
          <w:rFonts w:ascii="Century Gothic" w:hAnsi="Century Gothic"/>
        </w:rPr>
        <w:t xml:space="preserve">e 28 octobre 2013, un homme accusé de meurtre d’une jeune fille fut à son tour lynché à mort par une foule en furie. Là encore, la police appelée sur les lieux par le MBDHP s’est abstenue d’intervenir. </w:t>
      </w:r>
    </w:p>
    <w:p w14:paraId="13C991E8" w14:textId="77777777" w:rsidR="00C87581" w:rsidRPr="00C669D8" w:rsidRDefault="00C87581" w:rsidP="00C669D8">
      <w:pPr>
        <w:tabs>
          <w:tab w:val="left" w:pos="709"/>
        </w:tabs>
        <w:spacing w:line="240" w:lineRule="auto"/>
        <w:contextualSpacing/>
        <w:jc w:val="both"/>
        <w:rPr>
          <w:rFonts w:ascii="Century Gothic" w:hAnsi="Century Gothic"/>
          <w:bCs/>
        </w:rPr>
      </w:pPr>
      <w:r w:rsidRPr="00C669D8">
        <w:rPr>
          <w:rFonts w:ascii="Century Gothic" w:hAnsi="Century Gothic"/>
        </w:rPr>
        <w:t xml:space="preserve">Cette forme d’expression de la justice populaire s’explique par le manque de confiance des populations vis-à-vis des institutions notamment de la justice perçue comme l’une des institutions les plus corrompues du pays. On note ainsi la mise en place de structure de justice privée par des communautés qui n’hésite pas à recourir à la torture et au lynchage public de présumés délinquants en réponse à l’insécurité grandissante. </w:t>
      </w:r>
      <w:r w:rsidR="00460154" w:rsidRPr="00C669D8">
        <w:rPr>
          <w:rFonts w:ascii="Century Gothic" w:hAnsi="Century Gothic"/>
        </w:rPr>
        <w:t>L</w:t>
      </w:r>
      <w:r w:rsidRPr="00C669D8">
        <w:rPr>
          <w:rFonts w:ascii="Century Gothic" w:hAnsi="Century Gothic"/>
        </w:rPr>
        <w:t xml:space="preserve">es tribunaux populaires </w:t>
      </w:r>
      <w:r w:rsidRPr="00C669D8">
        <w:rPr>
          <w:rFonts w:ascii="Century Gothic" w:hAnsi="Century Gothic"/>
          <w:bCs/>
        </w:rPr>
        <w:t xml:space="preserve">en place dans la région du Plateau central à </w:t>
      </w:r>
      <w:proofErr w:type="spellStart"/>
      <w:r w:rsidRPr="00C669D8">
        <w:rPr>
          <w:rFonts w:ascii="Century Gothic" w:hAnsi="Century Gothic"/>
          <w:bCs/>
        </w:rPr>
        <w:t>Zorgho</w:t>
      </w:r>
      <w:proofErr w:type="spellEnd"/>
      <w:r w:rsidRPr="00C669D8">
        <w:rPr>
          <w:rFonts w:ascii="Century Gothic" w:hAnsi="Century Gothic"/>
          <w:bCs/>
        </w:rPr>
        <w:t xml:space="preserve"> (association « </w:t>
      </w:r>
      <w:proofErr w:type="spellStart"/>
      <w:r w:rsidRPr="00C669D8">
        <w:rPr>
          <w:rFonts w:ascii="Century Gothic" w:hAnsi="Century Gothic"/>
          <w:bCs/>
        </w:rPr>
        <w:t>Kogl-wéogo</w:t>
      </w:r>
      <w:proofErr w:type="spellEnd"/>
      <w:r w:rsidRPr="00C669D8">
        <w:rPr>
          <w:rFonts w:ascii="Century Gothic" w:hAnsi="Century Gothic"/>
          <w:bCs/>
        </w:rPr>
        <w:t xml:space="preserve"> »)</w:t>
      </w:r>
      <w:r w:rsidRPr="00C669D8">
        <w:rPr>
          <w:rStyle w:val="Marquenotebasdepage"/>
          <w:rFonts w:ascii="Century Gothic" w:hAnsi="Century Gothic"/>
          <w:bCs/>
        </w:rPr>
        <w:footnoteReference w:id="52"/>
      </w:r>
      <w:r w:rsidRPr="00C669D8">
        <w:rPr>
          <w:rFonts w:ascii="Century Gothic" w:hAnsi="Century Gothic"/>
          <w:bCs/>
        </w:rPr>
        <w:t xml:space="preserve"> et </w:t>
      </w:r>
      <w:proofErr w:type="spellStart"/>
      <w:r w:rsidRPr="00C669D8">
        <w:rPr>
          <w:rFonts w:ascii="Century Gothic" w:hAnsi="Century Gothic"/>
          <w:bCs/>
        </w:rPr>
        <w:t>Boussé</w:t>
      </w:r>
      <w:proofErr w:type="spellEnd"/>
      <w:r w:rsidRPr="00C669D8">
        <w:rPr>
          <w:rFonts w:ascii="Century Gothic" w:hAnsi="Century Gothic"/>
          <w:bCs/>
        </w:rPr>
        <w:t xml:space="preserve">, ainsi </w:t>
      </w:r>
      <w:r w:rsidRPr="00C669D8">
        <w:rPr>
          <w:rFonts w:ascii="Century Gothic" w:hAnsi="Century Gothic"/>
        </w:rPr>
        <w:t xml:space="preserve">que dans la région du Centre-sud à Manga, dans le </w:t>
      </w:r>
      <w:proofErr w:type="spellStart"/>
      <w:r w:rsidRPr="00C669D8">
        <w:rPr>
          <w:rFonts w:ascii="Century Gothic" w:hAnsi="Century Gothic"/>
        </w:rPr>
        <w:t>Bazèga</w:t>
      </w:r>
      <w:proofErr w:type="spellEnd"/>
      <w:r w:rsidRPr="00C669D8">
        <w:rPr>
          <w:rFonts w:ascii="Century Gothic" w:hAnsi="Century Gothic"/>
        </w:rPr>
        <w:t xml:space="preserve"> et le </w:t>
      </w:r>
      <w:proofErr w:type="spellStart"/>
      <w:r w:rsidRPr="00C669D8">
        <w:rPr>
          <w:rFonts w:ascii="Century Gothic" w:hAnsi="Century Gothic"/>
        </w:rPr>
        <w:t>Nahouri</w:t>
      </w:r>
      <w:proofErr w:type="spellEnd"/>
      <w:r w:rsidRPr="00C669D8">
        <w:rPr>
          <w:rStyle w:val="Marquenotebasdepage"/>
          <w:rFonts w:ascii="Century Gothic" w:hAnsi="Century Gothic"/>
          <w:bCs/>
        </w:rPr>
        <w:footnoteReference w:id="53"/>
      </w:r>
      <w:r w:rsidR="00A245FF" w:rsidRPr="00C669D8">
        <w:rPr>
          <w:rFonts w:ascii="Century Gothic" w:hAnsi="Century Gothic"/>
          <w:bCs/>
        </w:rPr>
        <w:t xml:space="preserve">. Le </w:t>
      </w:r>
      <w:r w:rsidRPr="00C669D8">
        <w:rPr>
          <w:rFonts w:ascii="Century Gothic" w:hAnsi="Century Gothic"/>
          <w:bCs/>
        </w:rPr>
        <w:t xml:space="preserve">gouvernement a </w:t>
      </w:r>
      <w:r w:rsidRPr="00C669D8">
        <w:rPr>
          <w:rFonts w:ascii="Century Gothic" w:hAnsi="Century Gothic"/>
          <w:bCs/>
        </w:rPr>
        <w:lastRenderedPageBreak/>
        <w:t>rendu public un communiqué relevant l’illégalité de ces groupes d’auto-défense</w:t>
      </w:r>
      <w:r w:rsidRPr="00C669D8">
        <w:rPr>
          <w:rStyle w:val="Marquenotebasdepage"/>
          <w:rFonts w:ascii="Century Gothic" w:hAnsi="Century Gothic"/>
          <w:bCs/>
        </w:rPr>
        <w:footnoteReference w:id="54"/>
      </w:r>
      <w:r w:rsidRPr="00C669D8">
        <w:rPr>
          <w:rFonts w:ascii="Century Gothic" w:hAnsi="Century Gothic"/>
          <w:bCs/>
        </w:rPr>
        <w:t>. Toutefois, au nom de la paix, les personnes membres de ces groupes qui ont été interpellées ont été simplement libérées et aucune suite judiciaire n’est donnée aux exactions de ces groupes.</w:t>
      </w:r>
    </w:p>
    <w:p w14:paraId="36EF2775" w14:textId="77777777" w:rsidR="000D55E7" w:rsidRPr="00C669D8" w:rsidRDefault="000D55E7" w:rsidP="00C669D8">
      <w:pPr>
        <w:tabs>
          <w:tab w:val="left" w:pos="709"/>
        </w:tabs>
        <w:spacing w:line="240" w:lineRule="auto"/>
        <w:contextualSpacing/>
        <w:jc w:val="both"/>
        <w:rPr>
          <w:rFonts w:ascii="Century Gothic" w:hAnsi="Century Gothic"/>
        </w:rPr>
      </w:pPr>
    </w:p>
    <w:p w14:paraId="0FC9737F" w14:textId="77777777" w:rsidR="00C87581" w:rsidRPr="00C669D8" w:rsidRDefault="00C87581" w:rsidP="00D060B8">
      <w:pPr>
        <w:numPr>
          <w:ilvl w:val="0"/>
          <w:numId w:val="9"/>
        </w:numPr>
        <w:tabs>
          <w:tab w:val="left" w:pos="709"/>
        </w:tabs>
        <w:spacing w:line="240" w:lineRule="auto"/>
        <w:ind w:left="720"/>
        <w:contextualSpacing/>
        <w:jc w:val="both"/>
        <w:rPr>
          <w:rFonts w:ascii="Century Gothic" w:hAnsi="Century Gothic"/>
          <w:b/>
        </w:rPr>
      </w:pPr>
      <w:r w:rsidRPr="00C669D8">
        <w:rPr>
          <w:rFonts w:ascii="Century Gothic" w:hAnsi="Century Gothic"/>
          <w:b/>
        </w:rPr>
        <w:t>Conflits intercommunautaires</w:t>
      </w:r>
    </w:p>
    <w:p w14:paraId="3E608742" w14:textId="77777777" w:rsidR="00C87581" w:rsidRPr="00B23DAC" w:rsidRDefault="00C87581" w:rsidP="00C669D8">
      <w:pPr>
        <w:spacing w:after="240" w:line="240" w:lineRule="auto"/>
        <w:jc w:val="both"/>
        <w:rPr>
          <w:rFonts w:ascii="Century Gothic" w:hAnsi="Century Gothic"/>
        </w:rPr>
      </w:pPr>
      <w:r w:rsidRPr="00C669D8">
        <w:rPr>
          <w:rFonts w:ascii="Century Gothic" w:hAnsi="Century Gothic"/>
        </w:rPr>
        <w:t>On note ces dernières années la recrudescence de conflits intercommunautaires liés au foncier, à la chefferie traditionnelle, à la gestion des espaces agropastoraux et la pratique religieuse. Mais les conflits les plus récurrents opposent agriculteurs et éleveurs</w:t>
      </w:r>
      <w:r w:rsidR="00A245FF" w:rsidRPr="00C669D8">
        <w:rPr>
          <w:rFonts w:ascii="Century Gothic" w:hAnsi="Century Gothic"/>
        </w:rPr>
        <w:t xml:space="preserve"> et </w:t>
      </w:r>
      <w:proofErr w:type="gramStart"/>
      <w:r w:rsidR="00A245FF" w:rsidRPr="00C669D8">
        <w:rPr>
          <w:rFonts w:ascii="Century Gothic" w:hAnsi="Century Gothic"/>
        </w:rPr>
        <w:t>ce sont</w:t>
      </w:r>
      <w:proofErr w:type="gramEnd"/>
      <w:r w:rsidR="00A245FF" w:rsidRPr="00C669D8">
        <w:rPr>
          <w:rFonts w:ascii="Century Gothic" w:hAnsi="Century Gothic"/>
        </w:rPr>
        <w:t xml:space="preserve"> souvent soldés par des pertes en vie humaines, des destructions de biens et d’habitats et à des déplacements de populations. C’est notamment ce qui est arrivé à </w:t>
      </w:r>
      <w:proofErr w:type="spellStart"/>
      <w:r w:rsidR="00A245FF" w:rsidRPr="00C669D8">
        <w:rPr>
          <w:rFonts w:ascii="Century Gothic" w:hAnsi="Century Gothic"/>
        </w:rPr>
        <w:t>Zabré</w:t>
      </w:r>
      <w:proofErr w:type="spellEnd"/>
      <w:r w:rsidR="00A245FF" w:rsidRPr="00C669D8">
        <w:rPr>
          <w:rFonts w:ascii="Century Gothic" w:hAnsi="Century Gothic"/>
        </w:rPr>
        <w:t xml:space="preserve">, à Pô et plus récemment encore à </w:t>
      </w:r>
      <w:proofErr w:type="spellStart"/>
      <w:r w:rsidR="00A245FF" w:rsidRPr="00C669D8">
        <w:rPr>
          <w:rFonts w:ascii="Century Gothic" w:hAnsi="Century Gothic"/>
        </w:rPr>
        <w:t>Ziniaré</w:t>
      </w:r>
      <w:proofErr w:type="spellEnd"/>
      <w:r w:rsidR="00A245FF" w:rsidRPr="00C669D8">
        <w:rPr>
          <w:rFonts w:ascii="Century Gothic" w:hAnsi="Century Gothic"/>
        </w:rPr>
        <w:t xml:space="preserve"> (</w:t>
      </w:r>
      <w:proofErr w:type="spellStart"/>
      <w:r w:rsidR="00A245FF" w:rsidRPr="00C669D8">
        <w:rPr>
          <w:rFonts w:ascii="Century Gothic" w:hAnsi="Century Gothic"/>
        </w:rPr>
        <w:t>Pousga</w:t>
      </w:r>
      <w:proofErr w:type="spellEnd"/>
      <w:r w:rsidR="00A245FF" w:rsidRPr="00C669D8">
        <w:rPr>
          <w:rFonts w:ascii="Century Gothic" w:hAnsi="Century Gothic"/>
        </w:rPr>
        <w:t>)</w:t>
      </w:r>
      <w:r w:rsidR="003748F3" w:rsidRPr="00B23DAC">
        <w:rPr>
          <w:rStyle w:val="Marquenotebasdepage"/>
          <w:rFonts w:ascii="Century Gothic" w:hAnsi="Century Gothic"/>
        </w:rPr>
        <w:footnoteReference w:id="55"/>
      </w:r>
      <w:r w:rsidR="00A245FF" w:rsidRPr="00B23DAC">
        <w:rPr>
          <w:rFonts w:ascii="Century Gothic" w:hAnsi="Century Gothic"/>
        </w:rPr>
        <w:t>.</w:t>
      </w:r>
      <w:r w:rsidR="00B23DAC">
        <w:rPr>
          <w:rFonts w:ascii="Century Gothic" w:hAnsi="Century Gothic"/>
        </w:rPr>
        <w:t xml:space="preserve"> </w:t>
      </w:r>
      <w:r w:rsidRPr="00B23DAC">
        <w:rPr>
          <w:rFonts w:ascii="Century Gothic" w:hAnsi="Century Gothic"/>
        </w:rPr>
        <w:t>Au regard de la persistance de ces conflits, une étude a été menée et il est envisagé la création d’un observatoire national de prévention et de gestion des conflits intercommunautaires</w:t>
      </w:r>
      <w:r w:rsidRPr="00B23DAC">
        <w:rPr>
          <w:rStyle w:val="Marquenotebasdepage"/>
          <w:rFonts w:ascii="Century Gothic" w:hAnsi="Century Gothic"/>
        </w:rPr>
        <w:footnoteReference w:id="56"/>
      </w:r>
      <w:r w:rsidRPr="00B23DAC">
        <w:rPr>
          <w:rFonts w:ascii="Century Gothic" w:hAnsi="Century Gothic"/>
        </w:rPr>
        <w:t>.</w:t>
      </w:r>
    </w:p>
    <w:p w14:paraId="1831CAB1" w14:textId="77777777" w:rsidR="00C87581" w:rsidRPr="00B23DAC" w:rsidRDefault="002F0E4D" w:rsidP="00D060B8">
      <w:pPr>
        <w:numPr>
          <w:ilvl w:val="0"/>
          <w:numId w:val="9"/>
        </w:numPr>
        <w:tabs>
          <w:tab w:val="left" w:pos="709"/>
        </w:tabs>
        <w:spacing w:line="240" w:lineRule="auto"/>
        <w:ind w:left="720"/>
        <w:contextualSpacing/>
        <w:jc w:val="both"/>
        <w:rPr>
          <w:rFonts w:ascii="Century Gothic" w:hAnsi="Century Gothic"/>
        </w:rPr>
      </w:pPr>
      <w:r w:rsidRPr="00B23DAC">
        <w:rPr>
          <w:rFonts w:ascii="Century Gothic" w:hAnsi="Century Gothic"/>
          <w:b/>
        </w:rPr>
        <w:t>Décès dans les lieux de détention</w:t>
      </w:r>
    </w:p>
    <w:p w14:paraId="4939A85D" w14:textId="77777777" w:rsidR="00C87581" w:rsidRPr="00B23DAC" w:rsidRDefault="00C87581" w:rsidP="00C669D8">
      <w:pPr>
        <w:tabs>
          <w:tab w:val="left" w:pos="709"/>
        </w:tabs>
        <w:spacing w:line="240" w:lineRule="auto"/>
        <w:jc w:val="both"/>
        <w:rPr>
          <w:rFonts w:ascii="Century Gothic" w:hAnsi="Century Gothic"/>
        </w:rPr>
      </w:pPr>
      <w:r w:rsidRPr="00B23DAC">
        <w:rPr>
          <w:rFonts w:ascii="Century Gothic" w:hAnsi="Century Gothic"/>
        </w:rPr>
        <w:t xml:space="preserve">A la suite du meurtre de l’adjudant-chef de gendarmerie, Ernest LOMPO tué le 15 mars 2013 par des bandits au cours d’une opération de reconnaissance dans le cadre de la lutte contre le grand banditisme,  les forces de défense et de sécurité ont mené une vaste opération de sécurisation dans la région de l’Est. Cette opération a, à son tour, donné lieu à diverses autres violations des droits humains en détention. Ainsi à </w:t>
      </w:r>
      <w:r w:rsidR="002F0E4D" w:rsidRPr="00B23DAC">
        <w:rPr>
          <w:rFonts w:ascii="Century Gothic" w:hAnsi="Century Gothic"/>
          <w:b/>
        </w:rPr>
        <w:t>Fada N’Gourma</w:t>
      </w:r>
      <w:r w:rsidRPr="00B23DAC">
        <w:rPr>
          <w:rFonts w:ascii="Century Gothic" w:hAnsi="Century Gothic"/>
        </w:rPr>
        <w:t xml:space="preserve">, les sieurs </w:t>
      </w:r>
      <w:r w:rsidR="002F0E4D" w:rsidRPr="00B23DAC">
        <w:rPr>
          <w:rFonts w:ascii="Century Gothic" w:hAnsi="Century Gothic"/>
          <w:b/>
        </w:rPr>
        <w:t xml:space="preserve">CISSE </w:t>
      </w:r>
      <w:proofErr w:type="spellStart"/>
      <w:r w:rsidR="002F0E4D" w:rsidRPr="00B23DAC">
        <w:rPr>
          <w:rFonts w:ascii="Century Gothic" w:hAnsi="Century Gothic"/>
          <w:b/>
        </w:rPr>
        <w:t>Boubakari</w:t>
      </w:r>
      <w:proofErr w:type="spellEnd"/>
      <w:r w:rsidR="002F0E4D" w:rsidRPr="00B23DAC">
        <w:rPr>
          <w:rFonts w:ascii="Century Gothic" w:hAnsi="Century Gothic"/>
          <w:b/>
        </w:rPr>
        <w:t xml:space="preserve">, DICKO </w:t>
      </w:r>
      <w:proofErr w:type="spellStart"/>
      <w:r w:rsidR="002F0E4D" w:rsidRPr="00B23DAC">
        <w:rPr>
          <w:rFonts w:ascii="Century Gothic" w:hAnsi="Century Gothic"/>
          <w:b/>
        </w:rPr>
        <w:t>Saydou</w:t>
      </w:r>
      <w:proofErr w:type="spellEnd"/>
      <w:r w:rsidRPr="00B23DAC">
        <w:rPr>
          <w:rFonts w:ascii="Century Gothic" w:hAnsi="Century Gothic"/>
        </w:rPr>
        <w:t xml:space="preserve"> et </w:t>
      </w:r>
      <w:r w:rsidR="002F0E4D" w:rsidRPr="00B23DAC">
        <w:rPr>
          <w:rFonts w:ascii="Century Gothic" w:hAnsi="Century Gothic"/>
          <w:b/>
        </w:rPr>
        <w:t xml:space="preserve">OUOBA </w:t>
      </w:r>
      <w:proofErr w:type="spellStart"/>
      <w:r w:rsidR="002F0E4D" w:rsidRPr="00B23DAC">
        <w:rPr>
          <w:rFonts w:ascii="Century Gothic" w:hAnsi="Century Gothic"/>
          <w:b/>
        </w:rPr>
        <w:t>Adou</w:t>
      </w:r>
      <w:proofErr w:type="spellEnd"/>
      <w:r w:rsidRPr="00B23DAC">
        <w:rPr>
          <w:rFonts w:ascii="Century Gothic" w:hAnsi="Century Gothic"/>
        </w:rPr>
        <w:t xml:space="preserve"> arrêtés et détenus à la compagnie républicaine de sécurité (CRS) y ont perdu la vie le 23 mars 2013 dans des circonstances non élucidées. Aucune information n’est disponible sur l’ouverture d’enquêtes pour déterminer les circonstances de la mort de ces trois (3) hommes. En plus, les lieux exacts de leur enterrement n’ont pas été indiqués à leurs familles.  </w:t>
      </w:r>
    </w:p>
    <w:p w14:paraId="43FCDD3D" w14:textId="77777777" w:rsidR="00C87581" w:rsidRPr="00C669D8" w:rsidRDefault="00C87581" w:rsidP="00C669D8">
      <w:pPr>
        <w:autoSpaceDE w:val="0"/>
        <w:autoSpaceDN w:val="0"/>
        <w:adjustRightInd w:val="0"/>
        <w:spacing w:after="0" w:line="240" w:lineRule="auto"/>
        <w:jc w:val="both"/>
        <w:rPr>
          <w:rFonts w:ascii="Century Gothic" w:hAnsi="Century Gothic"/>
        </w:rPr>
      </w:pPr>
      <w:r w:rsidRPr="00B23DAC">
        <w:rPr>
          <w:rFonts w:ascii="Century Gothic" w:hAnsi="Century Gothic"/>
        </w:rPr>
        <w:t xml:space="preserve">Par ailleurs, pendant l’insurrection populaire des 30 et 31 octobre 2014, une tentative d’évasion à la Maison d’Arrêt et de Correction de Ouagadougou (MACO) a été </w:t>
      </w:r>
      <w:r w:rsidRPr="00B23DAC">
        <w:rPr>
          <w:rFonts w:ascii="Century Gothic" w:hAnsi="Century Gothic"/>
        </w:rPr>
        <w:lastRenderedPageBreak/>
        <w:t>réprimée. En effet, la Garde de sécurité pénitentiaire, soutenue par la gendarmerie (police militaire), est intervenue pour rétablir l’ordre en recourant, dans un premier temps, à des tirs de sommation. D'après le directeur de la prison, au moins 15 détenus se trouvant dans les cours ont regagné leurs cellules « de gré ou de force ». Trois autres ont été abattus par les surveillants ou par la gendarmerie. Le procureur du Faso, qui a depuis ouvert une enquête sur ces événements, a déclaré que les trois détenus tués essayaient de s'évader mais n'a pas pu confirmer les circonstances de leur mort car l'enquête est en cours. Les détenus qui ont reçu des balles n'étaient pas armés. Ces actes interviennent malgré les prescriptions légales du Burkina Faso qui imposent formellement de tirer en pareilles circonstances sur les jambes des détenus</w:t>
      </w:r>
      <w:r w:rsidRPr="00C669D8">
        <w:rPr>
          <w:rStyle w:val="Marquenotebasdepage"/>
          <w:rFonts w:ascii="Century Gothic" w:hAnsi="Century Gothic"/>
        </w:rPr>
        <w:footnoteReference w:id="57"/>
      </w:r>
      <w:r w:rsidRPr="00C669D8">
        <w:rPr>
          <w:rFonts w:ascii="Century Gothic" w:hAnsi="Century Gothic"/>
        </w:rPr>
        <w:t>. L</w:t>
      </w:r>
      <w:r w:rsidR="00F415FF" w:rsidRPr="00C669D8">
        <w:rPr>
          <w:rFonts w:ascii="Century Gothic" w:hAnsi="Century Gothic"/>
        </w:rPr>
        <w:t>es ONG auteurs du présent rapport</w:t>
      </w:r>
      <w:r w:rsidR="000D55E7" w:rsidRPr="00C669D8">
        <w:rPr>
          <w:rFonts w:ascii="Century Gothic" w:hAnsi="Century Gothic"/>
        </w:rPr>
        <w:t xml:space="preserve"> </w:t>
      </w:r>
      <w:r w:rsidR="00F415FF" w:rsidRPr="00C669D8">
        <w:rPr>
          <w:rFonts w:ascii="Century Gothic" w:hAnsi="Century Gothic"/>
        </w:rPr>
        <w:t>sont</w:t>
      </w:r>
      <w:r w:rsidRPr="00C669D8">
        <w:rPr>
          <w:rFonts w:ascii="Century Gothic" w:hAnsi="Century Gothic"/>
        </w:rPr>
        <w:t xml:space="preserve"> préoccupée</w:t>
      </w:r>
      <w:r w:rsidR="00F415FF" w:rsidRPr="00C669D8">
        <w:rPr>
          <w:rFonts w:ascii="Century Gothic" w:hAnsi="Century Gothic"/>
        </w:rPr>
        <w:t>s</w:t>
      </w:r>
      <w:r w:rsidRPr="00C669D8">
        <w:rPr>
          <w:rFonts w:ascii="Century Gothic" w:hAnsi="Century Gothic"/>
        </w:rPr>
        <w:t xml:space="preserve"> par le non-respect des normes internationales et du règlement de la prison.</w:t>
      </w:r>
    </w:p>
    <w:p w14:paraId="56C044C0" w14:textId="77777777" w:rsidR="00C87581" w:rsidRPr="00C669D8" w:rsidRDefault="00C87581" w:rsidP="00C669D8">
      <w:pPr>
        <w:tabs>
          <w:tab w:val="left" w:pos="709"/>
        </w:tabs>
        <w:spacing w:line="240" w:lineRule="auto"/>
        <w:contextualSpacing/>
        <w:jc w:val="both"/>
        <w:rPr>
          <w:rFonts w:ascii="Century Gothic" w:hAnsi="Century Gothic"/>
          <w:b/>
          <w:color w:val="FF0000"/>
        </w:rPr>
      </w:pPr>
    </w:p>
    <w:p w14:paraId="291A608E" w14:textId="77777777" w:rsidR="008214E1" w:rsidRPr="00C669D8" w:rsidRDefault="00C87581" w:rsidP="00C669D8">
      <w:pPr>
        <w:spacing w:line="240" w:lineRule="auto"/>
        <w:contextualSpacing/>
        <w:jc w:val="both"/>
        <w:rPr>
          <w:rStyle w:val="hps"/>
          <w:rFonts w:ascii="Century Gothic" w:hAnsi="Century Gothic"/>
        </w:rPr>
      </w:pPr>
      <w:r w:rsidRPr="00C669D8">
        <w:rPr>
          <w:rStyle w:val="hps"/>
          <w:rFonts w:ascii="Century Gothic" w:hAnsi="Century Gothic"/>
          <w:b/>
          <w:i/>
          <w:u w:val="single"/>
        </w:rPr>
        <w:t>Suggestions de questions provenant de la société civile relatives aux points ci-dessus</w:t>
      </w:r>
      <w:r w:rsidRPr="00C669D8">
        <w:rPr>
          <w:rStyle w:val="hps"/>
          <w:rFonts w:ascii="Century Gothic" w:hAnsi="Century Gothic"/>
        </w:rPr>
        <w:t>:</w:t>
      </w:r>
    </w:p>
    <w:p w14:paraId="73F6E327" w14:textId="77777777" w:rsidR="00C87581" w:rsidRPr="00C669D8" w:rsidRDefault="00C87581" w:rsidP="00D060B8">
      <w:pPr>
        <w:pStyle w:val="Listecouleur-Accent12"/>
        <w:numPr>
          <w:ilvl w:val="0"/>
          <w:numId w:val="26"/>
        </w:numPr>
        <w:spacing w:line="240" w:lineRule="auto"/>
        <w:contextualSpacing/>
        <w:jc w:val="both"/>
        <w:rPr>
          <w:rStyle w:val="hps"/>
          <w:rFonts w:ascii="Century Gothic" w:hAnsi="Century Gothic"/>
        </w:rPr>
      </w:pPr>
      <w:r w:rsidRPr="00C669D8">
        <w:rPr>
          <w:rStyle w:val="hps"/>
          <w:rFonts w:ascii="Century Gothic" w:hAnsi="Century Gothic"/>
        </w:rPr>
        <w:t>Quelles sont les mesures envisagées ou entreprises par le gouvernement pour pallier aux conflits intercommunautaires ?</w:t>
      </w:r>
    </w:p>
    <w:p w14:paraId="61753884" w14:textId="77777777" w:rsidR="00C87581" w:rsidRPr="00C669D8" w:rsidRDefault="00C87581" w:rsidP="00D060B8">
      <w:pPr>
        <w:pStyle w:val="Listecouleur-Accent12"/>
        <w:numPr>
          <w:ilvl w:val="0"/>
          <w:numId w:val="26"/>
        </w:numPr>
        <w:spacing w:line="240" w:lineRule="auto"/>
        <w:contextualSpacing/>
        <w:jc w:val="both"/>
        <w:rPr>
          <w:rStyle w:val="hps"/>
          <w:rFonts w:ascii="Century Gothic" w:hAnsi="Century Gothic"/>
        </w:rPr>
      </w:pPr>
      <w:r w:rsidRPr="00C669D8">
        <w:rPr>
          <w:rStyle w:val="hps"/>
          <w:rFonts w:ascii="Century Gothic" w:hAnsi="Century Gothic"/>
        </w:rPr>
        <w:t>Quelles suites judiciaires le gouvernement entend-il donner aux conflits intercommunautaires et comment éviter qu’au nom de la paix, l’impunité ne se perpétue à travers de tels conflits?</w:t>
      </w:r>
    </w:p>
    <w:p w14:paraId="690608C7" w14:textId="77777777" w:rsidR="00C87581" w:rsidRPr="006753A5" w:rsidRDefault="00C87581" w:rsidP="00D060B8">
      <w:pPr>
        <w:pStyle w:val="Listecouleur-Accent12"/>
        <w:numPr>
          <w:ilvl w:val="0"/>
          <w:numId w:val="26"/>
        </w:numPr>
        <w:spacing w:line="240" w:lineRule="auto"/>
        <w:contextualSpacing/>
        <w:jc w:val="both"/>
        <w:rPr>
          <w:rStyle w:val="hps"/>
          <w:rFonts w:ascii="Century Gothic" w:hAnsi="Century Gothic"/>
        </w:rPr>
      </w:pPr>
      <w:r w:rsidRPr="006753A5">
        <w:rPr>
          <w:rStyle w:val="hps"/>
          <w:rFonts w:ascii="Century Gothic" w:hAnsi="Century Gothic"/>
        </w:rPr>
        <w:t>Quelles mesures fortes le gouvernement compte-t-il prendre pour mettre un terme au développement du phénomène des groupes d’auto-défense ?</w:t>
      </w:r>
    </w:p>
    <w:p w14:paraId="278B988E" w14:textId="77777777" w:rsidR="006E4C49" w:rsidRPr="004E6D03" w:rsidRDefault="00C87581" w:rsidP="00D060B8">
      <w:pPr>
        <w:pStyle w:val="Listecouleur-Accent12"/>
        <w:numPr>
          <w:ilvl w:val="0"/>
          <w:numId w:val="26"/>
        </w:numPr>
        <w:spacing w:line="240" w:lineRule="auto"/>
        <w:contextualSpacing/>
        <w:jc w:val="both"/>
        <w:rPr>
          <w:rStyle w:val="hps"/>
          <w:rFonts w:ascii="Century Gothic" w:hAnsi="Century Gothic"/>
        </w:rPr>
      </w:pPr>
      <w:r w:rsidRPr="00447D83">
        <w:rPr>
          <w:rStyle w:val="hps"/>
          <w:rFonts w:ascii="Century Gothic" w:hAnsi="Century Gothic"/>
        </w:rPr>
        <w:t>Quelles mesures</w:t>
      </w:r>
      <w:r w:rsidR="004776D1" w:rsidRPr="00B15D45">
        <w:rPr>
          <w:rStyle w:val="hps"/>
          <w:rFonts w:ascii="Century Gothic" w:hAnsi="Century Gothic"/>
        </w:rPr>
        <w:t xml:space="preserve">, </w:t>
      </w:r>
      <w:r w:rsidRPr="00B15D45">
        <w:rPr>
          <w:rStyle w:val="hps"/>
          <w:rFonts w:ascii="Century Gothic" w:hAnsi="Century Gothic"/>
        </w:rPr>
        <w:t>le gouvernement entend-il prendre</w:t>
      </w:r>
      <w:r w:rsidRPr="00D713BB">
        <w:rPr>
          <w:rStyle w:val="hps"/>
          <w:rFonts w:ascii="Century Gothic" w:hAnsi="Century Gothic"/>
        </w:rPr>
        <w:t xml:space="preserve"> afin d’éviter une recrudescence des lynchages publics et exécutions extrajudiciaires ?</w:t>
      </w:r>
    </w:p>
    <w:p w14:paraId="31684665" w14:textId="77777777" w:rsidR="00C87581" w:rsidRPr="00D80D55" w:rsidRDefault="006E4C49" w:rsidP="00D060B8">
      <w:pPr>
        <w:pStyle w:val="Listecouleur-Accent12"/>
        <w:numPr>
          <w:ilvl w:val="0"/>
          <w:numId w:val="26"/>
        </w:numPr>
        <w:spacing w:line="240" w:lineRule="auto"/>
        <w:contextualSpacing/>
        <w:jc w:val="both"/>
        <w:rPr>
          <w:rStyle w:val="hps"/>
          <w:rFonts w:ascii="Century Gothic" w:hAnsi="Century Gothic"/>
        </w:rPr>
      </w:pPr>
      <w:r w:rsidRPr="00D80D55">
        <w:rPr>
          <w:rStyle w:val="hps"/>
          <w:rFonts w:ascii="Century Gothic" w:hAnsi="Century Gothic"/>
        </w:rPr>
        <w:t>Quelles actions le gouvernement entend-il mener pour répondre au</w:t>
      </w:r>
      <w:r w:rsidR="00AB7E80" w:rsidRPr="00D80D55">
        <w:rPr>
          <w:rStyle w:val="hps"/>
          <w:rFonts w:ascii="Century Gothic" w:hAnsi="Century Gothic"/>
        </w:rPr>
        <w:t>x demandes</w:t>
      </w:r>
      <w:r w:rsidRPr="00D80D55">
        <w:rPr>
          <w:rStyle w:val="hps"/>
          <w:rFonts w:ascii="Century Gothic" w:hAnsi="Century Gothic"/>
        </w:rPr>
        <w:t xml:space="preserve"> de justice pour les victimes par balles réelles lors de l’insurrection populaire d’octobre 2014</w:t>
      </w:r>
      <w:r w:rsidR="004F6EC2" w:rsidRPr="00D80D55">
        <w:rPr>
          <w:rStyle w:val="hps"/>
          <w:rFonts w:ascii="Century Gothic" w:hAnsi="Century Gothic"/>
        </w:rPr>
        <w:t>?</w:t>
      </w:r>
      <w:r w:rsidR="00A245FF" w:rsidRPr="00D80D55">
        <w:rPr>
          <w:rStyle w:val="hps"/>
          <w:rFonts w:ascii="Century Gothic" w:hAnsi="Century Gothic"/>
        </w:rPr>
        <w:t xml:space="preserve"> Est-il envisagé u</w:t>
      </w:r>
      <w:r w:rsidR="00C87581" w:rsidRPr="00D80D55">
        <w:rPr>
          <w:rStyle w:val="hps"/>
          <w:rFonts w:ascii="Century Gothic" w:hAnsi="Century Gothic"/>
        </w:rPr>
        <w:t>ne commission d’enquête indépendante et impartiale pour élucider les événements ?</w:t>
      </w:r>
    </w:p>
    <w:p w14:paraId="08615D1F" w14:textId="77777777" w:rsidR="00C87581" w:rsidRPr="00C669D8" w:rsidRDefault="00A245FF" w:rsidP="00D060B8">
      <w:pPr>
        <w:pStyle w:val="Listecouleur-Accent12"/>
        <w:numPr>
          <w:ilvl w:val="0"/>
          <w:numId w:val="26"/>
        </w:numPr>
        <w:spacing w:line="240" w:lineRule="auto"/>
        <w:contextualSpacing/>
        <w:jc w:val="both"/>
        <w:rPr>
          <w:rStyle w:val="hps"/>
          <w:rFonts w:ascii="Century Gothic" w:hAnsi="Century Gothic"/>
        </w:rPr>
      </w:pPr>
      <w:r w:rsidRPr="006753A5">
        <w:rPr>
          <w:rStyle w:val="hps"/>
          <w:rFonts w:ascii="Century Gothic" w:hAnsi="Century Gothic"/>
        </w:rPr>
        <w:t xml:space="preserve">Que compte faire le gouvernement pour renforcer la </w:t>
      </w:r>
      <w:proofErr w:type="spellStart"/>
      <w:r w:rsidRPr="006753A5">
        <w:rPr>
          <w:rStyle w:val="hps"/>
          <w:rFonts w:ascii="Century Gothic" w:hAnsi="Century Gothic"/>
        </w:rPr>
        <w:t>justiciabilité</w:t>
      </w:r>
      <w:proofErr w:type="spellEnd"/>
      <w:r w:rsidRPr="006753A5">
        <w:rPr>
          <w:rStyle w:val="hps"/>
          <w:rFonts w:ascii="Century Gothic" w:hAnsi="Century Gothic"/>
        </w:rPr>
        <w:t xml:space="preserve"> des militaires au regard de l</w:t>
      </w:r>
      <w:r w:rsidR="00C87581" w:rsidRPr="00447D83">
        <w:rPr>
          <w:rStyle w:val="hps"/>
          <w:rFonts w:ascii="Century Gothic" w:hAnsi="Century Gothic"/>
        </w:rPr>
        <w:t>a forte implication du ministère de la défense dans l’oppo</w:t>
      </w:r>
      <w:r w:rsidR="00C87581" w:rsidRPr="00B15D45">
        <w:rPr>
          <w:rStyle w:val="hps"/>
          <w:rFonts w:ascii="Century Gothic" w:hAnsi="Century Gothic"/>
        </w:rPr>
        <w:t xml:space="preserve">rtunité des poursuites lorsque des éléments de </w:t>
      </w:r>
      <w:r w:rsidRPr="00B15D45">
        <w:rPr>
          <w:rStyle w:val="hps"/>
          <w:rFonts w:ascii="Century Gothic" w:hAnsi="Century Gothic"/>
        </w:rPr>
        <w:t>forces de défense</w:t>
      </w:r>
      <w:r w:rsidRPr="00C669D8">
        <w:rPr>
          <w:rStyle w:val="hps"/>
          <w:rFonts w:ascii="Century Gothic" w:hAnsi="Century Gothic"/>
        </w:rPr>
        <w:t xml:space="preserve"> sont en cause ?</w:t>
      </w:r>
    </w:p>
    <w:p w14:paraId="1A3E2C3B" w14:textId="77777777" w:rsidR="00C87581" w:rsidRPr="00C669D8" w:rsidRDefault="00A245FF" w:rsidP="00D060B8">
      <w:pPr>
        <w:pStyle w:val="Listecouleur-Accent12"/>
        <w:numPr>
          <w:ilvl w:val="0"/>
          <w:numId w:val="26"/>
        </w:numPr>
        <w:spacing w:line="240" w:lineRule="auto"/>
        <w:contextualSpacing/>
        <w:jc w:val="both"/>
        <w:rPr>
          <w:rStyle w:val="hps"/>
          <w:rFonts w:ascii="Century Gothic" w:hAnsi="Century Gothic"/>
        </w:rPr>
      </w:pPr>
      <w:r w:rsidRPr="00C669D8">
        <w:rPr>
          <w:rStyle w:val="hps"/>
          <w:rFonts w:ascii="Century Gothic" w:hAnsi="Century Gothic"/>
        </w:rPr>
        <w:t>Quel type de m</w:t>
      </w:r>
      <w:r w:rsidR="00C87581" w:rsidRPr="00C669D8">
        <w:rPr>
          <w:rStyle w:val="hps"/>
          <w:rFonts w:ascii="Century Gothic" w:hAnsi="Century Gothic"/>
        </w:rPr>
        <w:t xml:space="preserve">écanisme </w:t>
      </w:r>
      <w:r w:rsidRPr="00C669D8">
        <w:rPr>
          <w:rStyle w:val="hps"/>
          <w:rFonts w:ascii="Century Gothic" w:hAnsi="Century Gothic"/>
        </w:rPr>
        <w:t>le gouvernement juge-t-il opportun de mettre en place pour réguler/</w:t>
      </w:r>
      <w:r w:rsidR="00C87581" w:rsidRPr="00C669D8">
        <w:rPr>
          <w:rStyle w:val="hps"/>
          <w:rFonts w:ascii="Century Gothic" w:hAnsi="Century Gothic"/>
        </w:rPr>
        <w:t>contrôle</w:t>
      </w:r>
      <w:r w:rsidRPr="00C669D8">
        <w:rPr>
          <w:rStyle w:val="hps"/>
          <w:rFonts w:ascii="Century Gothic" w:hAnsi="Century Gothic"/>
        </w:rPr>
        <w:t>r</w:t>
      </w:r>
      <w:r w:rsidR="001C4847" w:rsidRPr="00C669D8">
        <w:rPr>
          <w:rStyle w:val="hps"/>
          <w:rFonts w:ascii="Century Gothic" w:hAnsi="Century Gothic"/>
        </w:rPr>
        <w:t xml:space="preserve"> </w:t>
      </w:r>
      <w:r w:rsidRPr="00C669D8">
        <w:rPr>
          <w:rStyle w:val="hps"/>
          <w:rFonts w:ascii="Century Gothic" w:hAnsi="Century Gothic"/>
        </w:rPr>
        <w:t>le</w:t>
      </w:r>
      <w:r w:rsidR="00C87581" w:rsidRPr="00C669D8">
        <w:rPr>
          <w:rStyle w:val="hps"/>
          <w:rFonts w:ascii="Century Gothic" w:hAnsi="Century Gothic"/>
        </w:rPr>
        <w:t xml:space="preserve"> port et de l’utilisation des armes par les forces de défense et de sécurité ainsi que par les particuliers en vue de juguler les questions de l’insécurité et de l’usage </w:t>
      </w:r>
      <w:r w:rsidR="007829DB" w:rsidRPr="00C669D8">
        <w:rPr>
          <w:rStyle w:val="hps"/>
          <w:rFonts w:ascii="Century Gothic" w:hAnsi="Century Gothic"/>
        </w:rPr>
        <w:t xml:space="preserve">abusif et </w:t>
      </w:r>
      <w:r w:rsidR="00C87581" w:rsidRPr="00C669D8">
        <w:rPr>
          <w:rStyle w:val="hps"/>
          <w:rFonts w:ascii="Century Gothic" w:hAnsi="Century Gothic"/>
        </w:rPr>
        <w:t>excessif de la force ?</w:t>
      </w:r>
    </w:p>
    <w:p w14:paraId="5E338F3A" w14:textId="77777777" w:rsidR="00C87581" w:rsidRPr="00C669D8" w:rsidRDefault="007829DB" w:rsidP="00D060B8">
      <w:pPr>
        <w:pStyle w:val="Listecouleur-Accent12"/>
        <w:numPr>
          <w:ilvl w:val="0"/>
          <w:numId w:val="26"/>
        </w:numPr>
        <w:spacing w:line="240" w:lineRule="auto"/>
        <w:contextualSpacing/>
        <w:jc w:val="both"/>
        <w:rPr>
          <w:rStyle w:val="hps"/>
          <w:rFonts w:ascii="Century Gothic" w:hAnsi="Century Gothic"/>
        </w:rPr>
      </w:pPr>
      <w:r w:rsidRPr="00C669D8">
        <w:rPr>
          <w:rStyle w:val="hps"/>
          <w:rFonts w:ascii="Century Gothic" w:hAnsi="Century Gothic"/>
        </w:rPr>
        <w:t>Quelles mesures le gouvernement entend-il prendre en vue de l</w:t>
      </w:r>
      <w:r w:rsidR="00C87581" w:rsidRPr="00C669D8">
        <w:rPr>
          <w:rStyle w:val="hps"/>
          <w:rFonts w:ascii="Century Gothic" w:hAnsi="Century Gothic"/>
        </w:rPr>
        <w:t>’amélioration des conditions de détention des détenus et l’application de peines alternatives à l’emprisonnement au Burkina Faso</w:t>
      </w:r>
      <w:r w:rsidRPr="00C669D8">
        <w:rPr>
          <w:rStyle w:val="hps"/>
          <w:rFonts w:ascii="Century Gothic" w:hAnsi="Century Gothic"/>
        </w:rPr>
        <w:t> ?</w:t>
      </w:r>
    </w:p>
    <w:p w14:paraId="7B0A7BF5" w14:textId="77777777" w:rsidR="00C669D8" w:rsidRDefault="007829DB" w:rsidP="00B23DAC">
      <w:pPr>
        <w:pStyle w:val="Listecouleur-Accent12"/>
        <w:spacing w:line="240" w:lineRule="auto"/>
        <w:ind w:left="720"/>
        <w:contextualSpacing/>
        <w:jc w:val="both"/>
        <w:rPr>
          <w:rStyle w:val="hps"/>
          <w:rFonts w:ascii="Century Gothic" w:hAnsi="Century Gothic"/>
        </w:rPr>
      </w:pPr>
      <w:r w:rsidRPr="00C669D8">
        <w:rPr>
          <w:rStyle w:val="hps"/>
          <w:rFonts w:ascii="Century Gothic" w:hAnsi="Century Gothic"/>
        </w:rPr>
        <w:t>Quelles réponses adéquates le gouvernement peut-il apporter à l</w:t>
      </w:r>
      <w:r w:rsidR="00C87581" w:rsidRPr="00C669D8">
        <w:rPr>
          <w:rStyle w:val="hps"/>
          <w:rFonts w:ascii="Century Gothic" w:hAnsi="Century Gothic"/>
        </w:rPr>
        <w:t>a persistance des cas de torture dans les lieux de détentions au Burkina Faso</w:t>
      </w:r>
      <w:r w:rsidR="00140073">
        <w:rPr>
          <w:rStyle w:val="hps"/>
          <w:rFonts w:ascii="Century Gothic" w:hAnsi="Century Gothic"/>
        </w:rPr>
        <w:t>.</w:t>
      </w:r>
    </w:p>
    <w:p w14:paraId="5C4268AD" w14:textId="77777777" w:rsidR="00B11447" w:rsidRDefault="00B11447" w:rsidP="00B23DAC">
      <w:pPr>
        <w:pStyle w:val="Listecouleur-Accent12"/>
        <w:spacing w:line="240" w:lineRule="auto"/>
        <w:ind w:left="720"/>
        <w:contextualSpacing/>
        <w:jc w:val="both"/>
        <w:rPr>
          <w:rStyle w:val="hps"/>
          <w:rFonts w:ascii="Century Gothic" w:hAnsi="Century Gothic"/>
        </w:rPr>
      </w:pPr>
    </w:p>
    <w:p w14:paraId="7AB6ACA8" w14:textId="77777777" w:rsidR="00C669D8" w:rsidRDefault="00C669D8" w:rsidP="00B23DAC">
      <w:pPr>
        <w:pStyle w:val="Listecouleur-Accent12"/>
        <w:spacing w:line="240" w:lineRule="auto"/>
        <w:ind w:left="720"/>
        <w:contextualSpacing/>
        <w:jc w:val="both"/>
        <w:rPr>
          <w:rStyle w:val="hps"/>
          <w:rFonts w:ascii="Century Gothic" w:hAnsi="Century Gothic"/>
        </w:rPr>
      </w:pPr>
    </w:p>
    <w:p w14:paraId="4D0A93E1" w14:textId="77777777" w:rsidR="008214E1" w:rsidRPr="00AB79EF" w:rsidRDefault="001914A3" w:rsidP="00D060B8">
      <w:pPr>
        <w:numPr>
          <w:ilvl w:val="0"/>
          <w:numId w:val="4"/>
        </w:numPr>
        <w:tabs>
          <w:tab w:val="left" w:pos="709"/>
        </w:tabs>
        <w:spacing w:line="240" w:lineRule="auto"/>
        <w:ind w:left="709" w:hanging="283"/>
        <w:contextualSpacing/>
        <w:jc w:val="both"/>
        <w:outlineLvl w:val="0"/>
        <w:rPr>
          <w:rStyle w:val="hps"/>
          <w:rFonts w:ascii="Century Gothic" w:hAnsi="Century Gothic"/>
          <w:b/>
        </w:rPr>
      </w:pPr>
      <w:bookmarkStart w:id="10" w:name="_Toc426711286"/>
      <w:r w:rsidRPr="003B697F">
        <w:rPr>
          <w:rStyle w:val="hps"/>
          <w:rFonts w:ascii="Century Gothic" w:hAnsi="Century Gothic"/>
          <w:b/>
        </w:rPr>
        <w:t>Interdiction de la torture et des traitements inhumains ou dégradants</w:t>
      </w:r>
      <w:r w:rsidR="0054635E" w:rsidRPr="003B697F">
        <w:rPr>
          <w:rFonts w:ascii="Century Gothic" w:hAnsi="Century Gothic"/>
          <w:b/>
        </w:rPr>
        <w:t xml:space="preserve">, </w:t>
      </w:r>
      <w:r w:rsidRPr="003B697F">
        <w:rPr>
          <w:rStyle w:val="hps"/>
          <w:rFonts w:ascii="Century Gothic" w:hAnsi="Century Gothic"/>
          <w:b/>
        </w:rPr>
        <w:t>liberté et sécurité de la personne, traitement des personnes privées de liberté (art</w:t>
      </w:r>
      <w:r w:rsidRPr="003B697F">
        <w:rPr>
          <w:rFonts w:ascii="Century Gothic" w:hAnsi="Century Gothic"/>
          <w:b/>
        </w:rPr>
        <w:t xml:space="preserve">. </w:t>
      </w:r>
      <w:r w:rsidRPr="003B697F">
        <w:rPr>
          <w:rStyle w:val="hps"/>
          <w:rFonts w:ascii="Century Gothic" w:hAnsi="Century Gothic"/>
          <w:b/>
        </w:rPr>
        <w:t>7</w:t>
      </w:r>
      <w:r w:rsidRPr="003B697F">
        <w:rPr>
          <w:rFonts w:ascii="Century Gothic" w:hAnsi="Century Gothic"/>
          <w:b/>
        </w:rPr>
        <w:t xml:space="preserve">, </w:t>
      </w:r>
      <w:r w:rsidRPr="003B697F">
        <w:rPr>
          <w:rStyle w:val="hps"/>
          <w:rFonts w:ascii="Century Gothic" w:hAnsi="Century Gothic"/>
          <w:b/>
        </w:rPr>
        <w:t>9 et 10</w:t>
      </w:r>
      <w:r w:rsidRPr="003B697F">
        <w:rPr>
          <w:rFonts w:ascii="Century Gothic" w:hAnsi="Century Gothic"/>
          <w:b/>
        </w:rPr>
        <w:t>)</w:t>
      </w:r>
      <w:bookmarkEnd w:id="10"/>
    </w:p>
    <w:p w14:paraId="29D7F97A" w14:textId="77777777" w:rsidR="001914A3" w:rsidRPr="00AB79EF" w:rsidRDefault="001914A3" w:rsidP="00D060B8">
      <w:pPr>
        <w:numPr>
          <w:ilvl w:val="0"/>
          <w:numId w:val="10"/>
        </w:numPr>
        <w:autoSpaceDE w:val="0"/>
        <w:autoSpaceDN w:val="0"/>
        <w:adjustRightInd w:val="0"/>
        <w:spacing w:after="0" w:line="240" w:lineRule="auto"/>
        <w:contextualSpacing/>
        <w:jc w:val="both"/>
        <w:rPr>
          <w:rFonts w:ascii="Century Gothic" w:hAnsi="Century Gothic"/>
          <w:b/>
          <w:color w:val="1A1A1A"/>
        </w:rPr>
      </w:pPr>
      <w:r w:rsidRPr="00AB79EF">
        <w:rPr>
          <w:rFonts w:ascii="Century Gothic" w:hAnsi="Century Gothic"/>
          <w:b/>
          <w:color w:val="1A1A1A"/>
        </w:rPr>
        <w:t>Législation nationale interdisant la torture</w:t>
      </w:r>
      <w:r w:rsidR="00896FF1" w:rsidRPr="00AB79EF">
        <w:rPr>
          <w:rFonts w:ascii="Century Gothic" w:hAnsi="Century Gothic"/>
          <w:b/>
          <w:color w:val="1A1A1A"/>
        </w:rPr>
        <w:t>, Accès à la réhabilitation et aux compensations pour les victimes </w:t>
      </w:r>
    </w:p>
    <w:p w14:paraId="5D8A95E2" w14:textId="77777777" w:rsidR="00336661" w:rsidRPr="00AB79EF" w:rsidRDefault="00053AE4" w:rsidP="00AB79EF">
      <w:pPr>
        <w:autoSpaceDE w:val="0"/>
        <w:autoSpaceDN w:val="0"/>
        <w:adjustRightInd w:val="0"/>
        <w:spacing w:after="100" w:afterAutospacing="1" w:line="240" w:lineRule="auto"/>
        <w:contextualSpacing/>
        <w:jc w:val="both"/>
        <w:rPr>
          <w:rFonts w:ascii="Century Gothic" w:hAnsi="Century Gothic"/>
        </w:rPr>
      </w:pPr>
      <w:r w:rsidRPr="00AB79EF">
        <w:rPr>
          <w:rFonts w:ascii="Century Gothic" w:hAnsi="Century Gothic"/>
        </w:rPr>
        <w:lastRenderedPageBreak/>
        <w:t>Le Burkina Faso a adopté la Loi n°22-2014/AN du 27 mai 2014 portant prévention et répression de la torture et des pratiques assimilées. Celle-c</w:t>
      </w:r>
      <w:r w:rsidR="001769C7">
        <w:rPr>
          <w:rFonts w:ascii="Century Gothic" w:hAnsi="Century Gothic"/>
        </w:rPr>
        <w:t xml:space="preserve">i prévoit la mise en place d’un </w:t>
      </w:r>
      <w:r w:rsidRPr="00AB79EF">
        <w:rPr>
          <w:rFonts w:ascii="Century Gothic" w:hAnsi="Century Gothic"/>
        </w:rPr>
        <w:t>Observatoire des lieux de détention. Cependant, jusqu’à présent cet Observ</w:t>
      </w:r>
      <w:r w:rsidR="001769C7">
        <w:rPr>
          <w:rFonts w:ascii="Century Gothic" w:hAnsi="Century Gothic"/>
        </w:rPr>
        <w:t>atoire n’est pas opérationnel</w:t>
      </w:r>
      <w:r w:rsidRPr="00AB79EF">
        <w:rPr>
          <w:rFonts w:ascii="Century Gothic" w:hAnsi="Century Gothic"/>
        </w:rPr>
        <w:t>.</w:t>
      </w:r>
    </w:p>
    <w:p w14:paraId="28A4F3C4" w14:textId="77777777" w:rsidR="00053AE4" w:rsidRPr="00AB79EF" w:rsidRDefault="00053AE4" w:rsidP="00D060B8">
      <w:pPr>
        <w:numPr>
          <w:ilvl w:val="0"/>
          <w:numId w:val="10"/>
        </w:numPr>
        <w:autoSpaceDE w:val="0"/>
        <w:autoSpaceDN w:val="0"/>
        <w:adjustRightInd w:val="0"/>
        <w:spacing w:before="100" w:beforeAutospacing="1" w:after="0" w:line="240" w:lineRule="auto"/>
        <w:contextualSpacing/>
        <w:jc w:val="both"/>
        <w:rPr>
          <w:rFonts w:ascii="Century Gothic" w:hAnsi="Century Gothic"/>
          <w:b/>
          <w:color w:val="1A1A1A"/>
        </w:rPr>
      </w:pPr>
      <w:r w:rsidRPr="00AB79EF">
        <w:rPr>
          <w:rFonts w:ascii="Century Gothic" w:hAnsi="Century Gothic"/>
          <w:b/>
          <w:color w:val="1A1A1A"/>
        </w:rPr>
        <w:t>Accès à la réhabilitation et aux c</w:t>
      </w:r>
      <w:r w:rsidR="00336661" w:rsidRPr="00AB79EF">
        <w:rPr>
          <w:rFonts w:ascii="Century Gothic" w:hAnsi="Century Gothic"/>
          <w:b/>
          <w:color w:val="1A1A1A"/>
        </w:rPr>
        <w:t>ompensations pour les victimes</w:t>
      </w:r>
    </w:p>
    <w:p w14:paraId="5B2878EC" w14:textId="77777777" w:rsidR="00053AE4" w:rsidRPr="00AB79EF" w:rsidRDefault="00053AE4"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L’article 17 de la loi contre la torture et les pratiques assimilées stipule que « </w:t>
      </w:r>
      <w:r w:rsidRPr="00AB79EF">
        <w:rPr>
          <w:rFonts w:ascii="Century Gothic" w:hAnsi="Century Gothic"/>
          <w:i/>
        </w:rPr>
        <w:t>la victime a droit à une réparation et à une indemnisation équitable et adéquate, y compris des moyens nécessaires à sa réadaptation la plus complète possible.</w:t>
      </w:r>
      <w:r w:rsidR="00174E69" w:rsidRPr="00AB79EF">
        <w:rPr>
          <w:rFonts w:ascii="Century Gothic" w:hAnsi="Century Gothic"/>
          <w:i/>
        </w:rPr>
        <w:t xml:space="preserve"> </w:t>
      </w:r>
      <w:r w:rsidRPr="00AB79EF">
        <w:rPr>
          <w:rFonts w:ascii="Century Gothic" w:hAnsi="Century Gothic"/>
          <w:i/>
        </w:rPr>
        <w:t>En cas de décès de la victime résultant d’un acte de torture ou de pratiques assimilées, les ayants droit de celle-ci ont droit à indemnisation.</w:t>
      </w:r>
      <w:r w:rsidR="00174E69" w:rsidRPr="00AB79EF">
        <w:rPr>
          <w:rFonts w:ascii="Century Gothic" w:hAnsi="Century Gothic"/>
          <w:i/>
        </w:rPr>
        <w:t xml:space="preserve"> </w:t>
      </w:r>
      <w:r w:rsidRPr="00AB79EF">
        <w:rPr>
          <w:rFonts w:ascii="Century Gothic" w:hAnsi="Century Gothic"/>
          <w:i/>
        </w:rPr>
        <w:t>Nonobstant toutes poursuites pénales, l’Etat a l’obligation d’accorder réparation aux victimes.</w:t>
      </w:r>
      <w:r w:rsidRPr="00AB79EF">
        <w:rPr>
          <w:rFonts w:ascii="Century Gothic" w:hAnsi="Century Gothic"/>
        </w:rPr>
        <w:t xml:space="preserve">» </w:t>
      </w:r>
    </w:p>
    <w:p w14:paraId="3AB3E3F4" w14:textId="77777777" w:rsidR="00053AE4" w:rsidRPr="00AB79EF" w:rsidRDefault="00053AE4" w:rsidP="00D060B8">
      <w:pPr>
        <w:numPr>
          <w:ilvl w:val="0"/>
          <w:numId w:val="10"/>
        </w:numPr>
        <w:autoSpaceDE w:val="0"/>
        <w:autoSpaceDN w:val="0"/>
        <w:adjustRightInd w:val="0"/>
        <w:spacing w:after="0" w:line="240" w:lineRule="auto"/>
        <w:contextualSpacing/>
        <w:jc w:val="both"/>
        <w:rPr>
          <w:rFonts w:ascii="Century Gothic" w:hAnsi="Century Gothic"/>
          <w:b/>
          <w:color w:val="1A1A1A"/>
        </w:rPr>
      </w:pPr>
      <w:r w:rsidRPr="00AB79EF">
        <w:rPr>
          <w:rFonts w:ascii="Century Gothic" w:hAnsi="Century Gothic"/>
          <w:b/>
          <w:color w:val="1A1A1A"/>
        </w:rPr>
        <w:t>Interdiction de l’utilisation des aveux obtenus sous la torture ou les mauvais traitements au cours des procédures judiciaires </w:t>
      </w:r>
    </w:p>
    <w:p w14:paraId="223CE8E6" w14:textId="77777777" w:rsidR="00053AE4" w:rsidRPr="00AB79EF" w:rsidRDefault="00053AE4"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 xml:space="preserve">L’article 10 de la loi </w:t>
      </w:r>
      <w:r w:rsidR="007354FA" w:rsidRPr="00AB79EF">
        <w:rPr>
          <w:rFonts w:ascii="Century Gothic" w:hAnsi="Century Gothic"/>
        </w:rPr>
        <w:t xml:space="preserve">contre la torture </w:t>
      </w:r>
      <w:r w:rsidRPr="00AB79EF">
        <w:rPr>
          <w:rFonts w:ascii="Century Gothic" w:hAnsi="Century Gothic"/>
        </w:rPr>
        <w:t>dispose que : « </w:t>
      </w:r>
      <w:r w:rsidR="002F0E4D" w:rsidRPr="00AB79EF">
        <w:rPr>
          <w:rFonts w:ascii="Century Gothic" w:hAnsi="Century Gothic"/>
          <w:i/>
        </w:rPr>
        <w:t>Toute déclaration obtenue par suite de torture ou de pratiques assimilées ne peut être utilisée comme un élément de preuve dans une procédure, sauf pour établir la responsabilité de l’auteur de l’infraction.</w:t>
      </w:r>
      <w:r w:rsidRPr="00AB79EF">
        <w:rPr>
          <w:rFonts w:ascii="Century Gothic" w:hAnsi="Century Gothic"/>
        </w:rPr>
        <w:t>»</w:t>
      </w:r>
      <w:r w:rsidR="001769C7">
        <w:rPr>
          <w:rFonts w:ascii="Century Gothic" w:hAnsi="Century Gothic"/>
        </w:rPr>
        <w:t xml:space="preserve"> </w:t>
      </w:r>
      <w:r w:rsidRPr="00AB79EF">
        <w:rPr>
          <w:rFonts w:ascii="Century Gothic" w:hAnsi="Century Gothic"/>
        </w:rPr>
        <w:t>Mais dans la pratique</w:t>
      </w:r>
      <w:r w:rsidR="007354FA" w:rsidRPr="00AB79EF">
        <w:rPr>
          <w:rFonts w:ascii="Century Gothic" w:hAnsi="Century Gothic"/>
        </w:rPr>
        <w:t xml:space="preserve"> cette pratique persiste</w:t>
      </w:r>
      <w:r w:rsidR="00174E69" w:rsidRPr="00AB79EF">
        <w:rPr>
          <w:rFonts w:ascii="Century Gothic" w:hAnsi="Century Gothic"/>
        </w:rPr>
        <w:t xml:space="preserve"> </w:t>
      </w:r>
      <w:r w:rsidR="007354FA" w:rsidRPr="00AB79EF">
        <w:rPr>
          <w:rFonts w:ascii="Century Gothic" w:hAnsi="Century Gothic"/>
        </w:rPr>
        <w:t>aussi bien dans les commissariats, les postes de gendarmerie que dans les prisons. P</w:t>
      </w:r>
      <w:r w:rsidRPr="00AB79EF">
        <w:rPr>
          <w:rFonts w:ascii="Century Gothic" w:hAnsi="Century Gothic"/>
        </w:rPr>
        <w:t>lusieurs détenus ont affirmé à Amnesty International avoir indiqué au tribunal des aveux extorqués sous torture sans que cela ne soit suivi d’effet.</w:t>
      </w:r>
    </w:p>
    <w:p w14:paraId="15BF908E" w14:textId="77777777" w:rsidR="00053AE4" w:rsidRPr="00AB79EF" w:rsidRDefault="00053AE4" w:rsidP="00D060B8">
      <w:pPr>
        <w:numPr>
          <w:ilvl w:val="0"/>
          <w:numId w:val="10"/>
        </w:numPr>
        <w:autoSpaceDE w:val="0"/>
        <w:autoSpaceDN w:val="0"/>
        <w:adjustRightInd w:val="0"/>
        <w:spacing w:after="0" w:line="240" w:lineRule="auto"/>
        <w:contextualSpacing/>
        <w:jc w:val="both"/>
        <w:rPr>
          <w:rFonts w:ascii="Century Gothic" w:hAnsi="Century Gothic"/>
          <w:b/>
          <w:color w:val="1A1A1A"/>
        </w:rPr>
      </w:pPr>
      <w:r w:rsidRPr="00AB79EF">
        <w:rPr>
          <w:rFonts w:ascii="Century Gothic" w:hAnsi="Century Gothic"/>
          <w:b/>
          <w:color w:val="1A1A1A"/>
        </w:rPr>
        <w:t>Torture et mauvais traitements des détenus ;</w:t>
      </w:r>
    </w:p>
    <w:p w14:paraId="7119589F" w14:textId="77777777" w:rsidR="00053AE4" w:rsidRPr="00AB79EF" w:rsidRDefault="00053AE4" w:rsidP="00AB79EF">
      <w:pPr>
        <w:spacing w:line="240" w:lineRule="auto"/>
        <w:jc w:val="both"/>
        <w:rPr>
          <w:rFonts w:ascii="Century Gothic" w:hAnsi="Century Gothic"/>
        </w:rPr>
      </w:pPr>
      <w:r w:rsidRPr="00AB79EF">
        <w:rPr>
          <w:rFonts w:ascii="Century Gothic" w:hAnsi="Century Gothic"/>
        </w:rPr>
        <w:t>Malgré l’existence de textes de lois proscrivant les actes de torture et les traitements cruels, inhumains et dégradants, l</w:t>
      </w:r>
      <w:r w:rsidR="007A1061" w:rsidRPr="00AB79EF">
        <w:rPr>
          <w:rFonts w:ascii="Century Gothic" w:hAnsi="Century Gothic"/>
        </w:rPr>
        <w:t>es associations et ONG auteurs du présent rapport</w:t>
      </w:r>
      <w:r w:rsidR="00E64C61" w:rsidRPr="00AB79EF">
        <w:rPr>
          <w:rFonts w:ascii="Century Gothic" w:hAnsi="Century Gothic"/>
        </w:rPr>
        <w:t xml:space="preserve"> </w:t>
      </w:r>
      <w:r w:rsidR="007A1061" w:rsidRPr="00AB79EF">
        <w:rPr>
          <w:rFonts w:ascii="Century Gothic" w:hAnsi="Century Gothic"/>
        </w:rPr>
        <w:t>ont</w:t>
      </w:r>
      <w:r w:rsidRPr="00AB79EF">
        <w:rPr>
          <w:rFonts w:ascii="Century Gothic" w:hAnsi="Century Gothic"/>
        </w:rPr>
        <w:t xml:space="preserve"> constaté la persistance de tels faits au Burkina Faso. A titre illustratif, </w:t>
      </w:r>
      <w:r w:rsidR="002F0E4D" w:rsidRPr="00AB79EF">
        <w:rPr>
          <w:rFonts w:ascii="Century Gothic" w:hAnsi="Century Gothic"/>
          <w:b/>
        </w:rPr>
        <w:t xml:space="preserve">Diallo </w:t>
      </w:r>
      <w:proofErr w:type="spellStart"/>
      <w:r w:rsidR="002F0E4D" w:rsidRPr="00AB79EF">
        <w:rPr>
          <w:rFonts w:ascii="Century Gothic" w:hAnsi="Century Gothic"/>
          <w:b/>
        </w:rPr>
        <w:t>Alaye</w:t>
      </w:r>
      <w:proofErr w:type="spellEnd"/>
      <w:r w:rsidRPr="00AB79EF">
        <w:rPr>
          <w:rFonts w:ascii="Century Gothic" w:hAnsi="Century Gothic"/>
        </w:rPr>
        <w:t xml:space="preserve"> et </w:t>
      </w:r>
      <w:r w:rsidR="002F0E4D" w:rsidRPr="00AB79EF">
        <w:rPr>
          <w:rFonts w:ascii="Century Gothic" w:hAnsi="Century Gothic"/>
          <w:b/>
        </w:rPr>
        <w:t xml:space="preserve">Diallo </w:t>
      </w:r>
      <w:proofErr w:type="spellStart"/>
      <w:r w:rsidR="002F0E4D" w:rsidRPr="00AB79EF">
        <w:rPr>
          <w:rFonts w:ascii="Century Gothic" w:hAnsi="Century Gothic"/>
          <w:b/>
        </w:rPr>
        <w:t>Hagui</w:t>
      </w:r>
      <w:proofErr w:type="spellEnd"/>
      <w:r w:rsidRPr="00AB79EF">
        <w:rPr>
          <w:rFonts w:ascii="Century Gothic" w:hAnsi="Century Gothic"/>
        </w:rPr>
        <w:t xml:space="preserve">, deux éleveurs du village de </w:t>
      </w:r>
      <w:proofErr w:type="spellStart"/>
      <w:r w:rsidRPr="00AB79EF">
        <w:rPr>
          <w:rFonts w:ascii="Century Gothic" w:hAnsi="Century Gothic"/>
        </w:rPr>
        <w:t>Ouéra</w:t>
      </w:r>
      <w:proofErr w:type="spellEnd"/>
      <w:r w:rsidRPr="00AB79EF">
        <w:rPr>
          <w:rFonts w:ascii="Century Gothic" w:hAnsi="Century Gothic"/>
        </w:rPr>
        <w:t xml:space="preserve"> dans la province du </w:t>
      </w:r>
      <w:proofErr w:type="spellStart"/>
      <w:r w:rsidRPr="00AB79EF">
        <w:rPr>
          <w:rFonts w:ascii="Century Gothic" w:hAnsi="Century Gothic"/>
        </w:rPr>
        <w:t>Boulkiemdé</w:t>
      </w:r>
      <w:proofErr w:type="spellEnd"/>
      <w:r w:rsidRPr="00AB79EF">
        <w:rPr>
          <w:rFonts w:ascii="Century Gothic" w:hAnsi="Century Gothic"/>
        </w:rPr>
        <w:t xml:space="preserve">, ont été accusés du vol de dix (10) bœufs par </w:t>
      </w:r>
      <w:proofErr w:type="spellStart"/>
      <w:r w:rsidRPr="00AB79EF">
        <w:rPr>
          <w:rFonts w:ascii="Century Gothic" w:hAnsi="Century Gothic"/>
        </w:rPr>
        <w:t>NabaBaogo</w:t>
      </w:r>
      <w:proofErr w:type="spellEnd"/>
      <w:r w:rsidRPr="00AB79EF">
        <w:rPr>
          <w:rFonts w:ascii="Century Gothic" w:hAnsi="Century Gothic"/>
        </w:rPr>
        <w:t xml:space="preserve">, chef du village de </w:t>
      </w:r>
      <w:proofErr w:type="spellStart"/>
      <w:r w:rsidRPr="00AB79EF">
        <w:rPr>
          <w:rFonts w:ascii="Century Gothic" w:hAnsi="Century Gothic"/>
        </w:rPr>
        <w:t>Zetgomdé</w:t>
      </w:r>
      <w:proofErr w:type="spellEnd"/>
      <w:r w:rsidRPr="00AB79EF">
        <w:rPr>
          <w:rFonts w:ascii="Century Gothic" w:hAnsi="Century Gothic"/>
        </w:rPr>
        <w:t xml:space="preserve">. Ils ont alors été interpellés par la brigade de gendarmerie de </w:t>
      </w:r>
      <w:proofErr w:type="spellStart"/>
      <w:r w:rsidRPr="00AB79EF">
        <w:rPr>
          <w:rFonts w:ascii="Century Gothic" w:hAnsi="Century Gothic"/>
        </w:rPr>
        <w:t>Soaw</w:t>
      </w:r>
      <w:proofErr w:type="spellEnd"/>
      <w:r w:rsidRPr="00AB79EF">
        <w:rPr>
          <w:rFonts w:ascii="Century Gothic" w:hAnsi="Century Gothic"/>
        </w:rPr>
        <w:t xml:space="preserve"> puis gardés à vue pendant au moins trois (3) semaines courant juin-juillet 2014. C’est pendant leur grade à vue à la gendarmerie qu’ils ont été torturés au feu par un des gendarme</w:t>
      </w:r>
      <w:r w:rsidR="007A1061" w:rsidRPr="00AB79EF">
        <w:rPr>
          <w:rFonts w:ascii="Century Gothic" w:hAnsi="Century Gothic"/>
        </w:rPr>
        <w:t>s</w:t>
      </w:r>
      <w:r w:rsidRPr="00AB79EF">
        <w:rPr>
          <w:rFonts w:ascii="Century Gothic" w:hAnsi="Century Gothic"/>
        </w:rPr>
        <w:t xml:space="preserve"> prénommé Emile. La justice a été saisie et nos organisations suivent de près l’évolution de ce dossier.</w:t>
      </w:r>
      <w:r w:rsidR="00E64C61" w:rsidRPr="00AB79EF">
        <w:rPr>
          <w:rFonts w:ascii="Century Gothic" w:hAnsi="Century Gothic"/>
        </w:rPr>
        <w:t xml:space="preserve"> </w:t>
      </w:r>
      <w:r w:rsidRPr="00AB79EF">
        <w:rPr>
          <w:rFonts w:ascii="Century Gothic" w:hAnsi="Century Gothic"/>
        </w:rPr>
        <w:t>Par ailleurs, lors de l’insurrection populaire d’octobre 2014, des cas d’allégations de torture ont été signalés au sein de la Maison d’Arrêt et de Correction de Ouagadougou (MACO)</w:t>
      </w:r>
      <w:r w:rsidRPr="00AB79EF">
        <w:rPr>
          <w:rStyle w:val="Marquenotebasdepage"/>
          <w:rFonts w:ascii="Century Gothic" w:hAnsi="Century Gothic"/>
        </w:rPr>
        <w:footnoteReference w:id="58"/>
      </w:r>
      <w:r w:rsidRPr="00AB79EF">
        <w:rPr>
          <w:rFonts w:ascii="Century Gothic" w:hAnsi="Century Gothic"/>
        </w:rPr>
        <w:t xml:space="preserve">. » </w:t>
      </w:r>
      <w:r w:rsidR="007354FA" w:rsidRPr="00AB79EF">
        <w:rPr>
          <w:rFonts w:ascii="Century Gothic" w:hAnsi="Century Gothic"/>
        </w:rPr>
        <w:t xml:space="preserve">Ces situations sont favorisées par le fait de </w:t>
      </w:r>
      <w:r w:rsidRPr="00AB79EF">
        <w:rPr>
          <w:rFonts w:ascii="Century Gothic" w:hAnsi="Century Gothic"/>
        </w:rPr>
        <w:t xml:space="preserve">la méconnaissance de la loi contre la torture </w:t>
      </w:r>
      <w:r w:rsidR="007354FA" w:rsidRPr="00AB79EF">
        <w:rPr>
          <w:rFonts w:ascii="Century Gothic" w:hAnsi="Century Gothic"/>
        </w:rPr>
        <w:t>aussi bien p</w:t>
      </w:r>
      <w:r w:rsidR="00EE66A1" w:rsidRPr="00AB79EF">
        <w:rPr>
          <w:rFonts w:ascii="Century Gothic" w:hAnsi="Century Gothic"/>
        </w:rPr>
        <w:t>ar les populations que par l</w:t>
      </w:r>
      <w:r w:rsidRPr="00AB79EF">
        <w:rPr>
          <w:rFonts w:ascii="Century Gothic" w:hAnsi="Century Gothic"/>
        </w:rPr>
        <w:t>es agents chargés de l’application des lois.</w:t>
      </w:r>
    </w:p>
    <w:p w14:paraId="7469BF13" w14:textId="77777777" w:rsidR="00051BD1" w:rsidRPr="00AB79EF" w:rsidRDefault="001914A3" w:rsidP="00D060B8">
      <w:pPr>
        <w:numPr>
          <w:ilvl w:val="0"/>
          <w:numId w:val="10"/>
        </w:numPr>
        <w:autoSpaceDE w:val="0"/>
        <w:autoSpaceDN w:val="0"/>
        <w:adjustRightInd w:val="0"/>
        <w:spacing w:after="100" w:afterAutospacing="1" w:line="240" w:lineRule="auto"/>
        <w:contextualSpacing/>
        <w:jc w:val="both"/>
        <w:rPr>
          <w:rFonts w:ascii="Century Gothic" w:eastAsia="Times New Roman" w:hAnsi="Century Gothic"/>
          <w:lang w:eastAsia="fr-FR"/>
        </w:rPr>
      </w:pPr>
      <w:r w:rsidRPr="00AB79EF">
        <w:rPr>
          <w:rFonts w:ascii="Century Gothic" w:hAnsi="Century Gothic"/>
          <w:b/>
          <w:color w:val="1A1A1A"/>
        </w:rPr>
        <w:t xml:space="preserve">Mesures pour protéger et assister les </w:t>
      </w:r>
      <w:r w:rsidR="00051BD1" w:rsidRPr="00AB79EF">
        <w:rPr>
          <w:rFonts w:ascii="Century Gothic" w:hAnsi="Century Gothic"/>
          <w:b/>
          <w:color w:val="1A1A1A"/>
        </w:rPr>
        <w:t>victimes de violence conjugale</w:t>
      </w:r>
    </w:p>
    <w:p w14:paraId="17D42AB9" w14:textId="77777777" w:rsidR="0054635E" w:rsidRDefault="0054635E" w:rsidP="00AB79EF">
      <w:pPr>
        <w:autoSpaceDE w:val="0"/>
        <w:autoSpaceDN w:val="0"/>
        <w:adjustRightInd w:val="0"/>
        <w:spacing w:after="100" w:afterAutospacing="1" w:line="240" w:lineRule="auto"/>
        <w:contextualSpacing/>
        <w:jc w:val="both"/>
        <w:rPr>
          <w:rFonts w:ascii="Century Gothic" w:eastAsia="Times New Roman" w:hAnsi="Century Gothic"/>
          <w:lang w:eastAsia="fr-FR"/>
        </w:rPr>
      </w:pPr>
      <w:r w:rsidRPr="00AB79EF">
        <w:rPr>
          <w:rFonts w:ascii="Century Gothic" w:eastAsia="Times New Roman" w:hAnsi="Century Gothic"/>
          <w:lang w:eastAsia="fr-FR"/>
        </w:rPr>
        <w:t>L’Assemblée nationale du Burkina Faso et l’</w:t>
      </w:r>
      <w:r w:rsidR="00F34750" w:rsidRPr="00AB79EF">
        <w:rPr>
          <w:rFonts w:ascii="Century Gothic" w:eastAsia="Times New Roman" w:hAnsi="Century Gothic"/>
          <w:lang w:eastAsia="fr-FR"/>
        </w:rPr>
        <w:t>Union interparlementaire (</w:t>
      </w:r>
      <w:r w:rsidRPr="00AB79EF">
        <w:rPr>
          <w:rFonts w:ascii="Century Gothic" w:eastAsia="Times New Roman" w:hAnsi="Century Gothic"/>
          <w:lang w:eastAsia="fr-FR"/>
        </w:rPr>
        <w:t>UIP</w:t>
      </w:r>
      <w:r w:rsidR="00F34750" w:rsidRPr="00AB79EF">
        <w:rPr>
          <w:rFonts w:ascii="Century Gothic" w:eastAsia="Times New Roman" w:hAnsi="Century Gothic"/>
          <w:lang w:eastAsia="fr-FR"/>
        </w:rPr>
        <w:t>)</w:t>
      </w:r>
      <w:r w:rsidRPr="00AB79EF">
        <w:rPr>
          <w:rFonts w:ascii="Century Gothic" w:eastAsia="Times New Roman" w:hAnsi="Century Gothic"/>
          <w:lang w:eastAsia="fr-FR"/>
        </w:rPr>
        <w:t xml:space="preserve"> ont organisé, deux jours durant, une consultation publique sur les différentes formes de violence, leurs causes, leur ampleur, ainsi que leurs conséquences et les difficultés qui se posent pour y remédier. Il s’agissait là de la première étape en vue de la rédaction d’un projet de loi visant à combattre la violence f</w:t>
      </w:r>
      <w:r w:rsidR="003B697F">
        <w:rPr>
          <w:rFonts w:ascii="Century Gothic" w:eastAsia="Times New Roman" w:hAnsi="Century Gothic"/>
          <w:lang w:eastAsia="fr-FR"/>
        </w:rPr>
        <w:t xml:space="preserve">aite aux femmes et aux filles. </w:t>
      </w:r>
      <w:r w:rsidRPr="00AB79EF">
        <w:rPr>
          <w:rFonts w:ascii="Century Gothic" w:eastAsia="Times New Roman" w:hAnsi="Century Gothic"/>
          <w:lang w:eastAsia="fr-FR"/>
        </w:rPr>
        <w:t xml:space="preserve">A la suite de cette consultation, un comité de rédaction composé de parlementaires et de représentant de la société civile </w:t>
      </w:r>
      <w:r w:rsidRPr="006753A5">
        <w:rPr>
          <w:rFonts w:ascii="Century Gothic" w:eastAsia="Times New Roman" w:hAnsi="Century Gothic"/>
          <w:lang w:eastAsia="fr-FR"/>
        </w:rPr>
        <w:t xml:space="preserve">a été mis en place pour rédiger le projet de loi, avec le concours de l’UIP. </w:t>
      </w:r>
      <w:r w:rsidRPr="00D80D55">
        <w:rPr>
          <w:rFonts w:ascii="Century Gothic" w:eastAsia="Times New Roman" w:hAnsi="Century Gothic"/>
          <w:lang w:eastAsia="fr-FR"/>
        </w:rPr>
        <w:t xml:space="preserve">Le texte en question a été </w:t>
      </w:r>
      <w:r w:rsidR="00D91624" w:rsidRPr="00D80D55">
        <w:rPr>
          <w:rFonts w:ascii="Century Gothic" w:eastAsia="Times New Roman" w:hAnsi="Century Gothic"/>
          <w:lang w:eastAsia="fr-FR"/>
        </w:rPr>
        <w:t>validé le 10 juin 2015 par la conférence des présidents du CNT</w:t>
      </w:r>
      <w:r w:rsidRPr="00D80D55">
        <w:rPr>
          <w:rFonts w:ascii="Century Gothic" w:eastAsia="Times New Roman" w:hAnsi="Century Gothic"/>
          <w:lang w:eastAsia="fr-FR"/>
        </w:rPr>
        <w:t xml:space="preserve"> et transmis au Gouvernement </w:t>
      </w:r>
      <w:r w:rsidR="00D91624" w:rsidRPr="00D80D55">
        <w:rPr>
          <w:rFonts w:ascii="Century Gothic" w:eastAsia="Times New Roman" w:hAnsi="Century Gothic"/>
          <w:lang w:eastAsia="fr-FR"/>
        </w:rPr>
        <w:t xml:space="preserve">le 15 juin 2015 </w:t>
      </w:r>
      <w:r w:rsidRPr="00D80D55">
        <w:rPr>
          <w:rFonts w:ascii="Century Gothic" w:eastAsia="Times New Roman" w:hAnsi="Century Gothic"/>
          <w:lang w:eastAsia="fr-FR"/>
        </w:rPr>
        <w:t>pour observations et modifications.</w:t>
      </w:r>
      <w:r w:rsidRPr="006753A5">
        <w:rPr>
          <w:rFonts w:ascii="Century Gothic" w:eastAsia="Times New Roman" w:hAnsi="Century Gothic"/>
          <w:lang w:eastAsia="fr-FR"/>
        </w:rPr>
        <w:t xml:space="preserve"> Il vise à apporter une solution globale à la v</w:t>
      </w:r>
      <w:r w:rsidRPr="00447D83">
        <w:rPr>
          <w:rFonts w:ascii="Century Gothic" w:eastAsia="Times New Roman" w:hAnsi="Century Gothic"/>
          <w:lang w:eastAsia="fr-FR"/>
        </w:rPr>
        <w:t>iolence faite aux femmes et aux filles et</w:t>
      </w:r>
      <w:r w:rsidRPr="00AB79EF">
        <w:rPr>
          <w:rFonts w:ascii="Century Gothic" w:eastAsia="Times New Roman" w:hAnsi="Century Gothic"/>
          <w:lang w:eastAsia="fr-FR"/>
        </w:rPr>
        <w:t xml:space="preserve"> comporte à ce titre non seulement des dispositions destinées à réprimer les auteurs de violences, </w:t>
      </w:r>
      <w:r w:rsidRPr="00AB79EF">
        <w:rPr>
          <w:rFonts w:ascii="Century Gothic" w:eastAsia="Times New Roman" w:hAnsi="Century Gothic"/>
          <w:lang w:eastAsia="fr-FR"/>
        </w:rPr>
        <w:lastRenderedPageBreak/>
        <w:t xml:space="preserve">mais aussi à prévenir ces actes et à protéger et accompagner les </w:t>
      </w:r>
      <w:r w:rsidRPr="006753A5">
        <w:rPr>
          <w:rFonts w:ascii="Century Gothic" w:eastAsia="Times New Roman" w:hAnsi="Century Gothic"/>
          <w:lang w:eastAsia="fr-FR"/>
        </w:rPr>
        <w:t>victimes. Enfin, ce texte englobe différentes forme</w:t>
      </w:r>
      <w:r w:rsidRPr="00447D83">
        <w:rPr>
          <w:rFonts w:ascii="Century Gothic" w:eastAsia="Times New Roman" w:hAnsi="Century Gothic"/>
          <w:lang w:eastAsia="fr-FR"/>
        </w:rPr>
        <w:t>s de violence, parmi lesquelles les violences conjugales, le mariage précoce ou forcé et d’autres traditions préjudiciables, le viol au sein du couple, la violence sexuelle et le harcèlement sexuel</w:t>
      </w:r>
      <w:r w:rsidRPr="00447D83">
        <w:rPr>
          <w:rStyle w:val="Marquenotebasdepage"/>
          <w:rFonts w:ascii="Century Gothic" w:eastAsia="Times New Roman" w:hAnsi="Century Gothic"/>
          <w:lang w:eastAsia="fr-FR"/>
        </w:rPr>
        <w:footnoteReference w:id="59"/>
      </w:r>
      <w:r w:rsidRPr="00447D83">
        <w:rPr>
          <w:rFonts w:ascii="Century Gothic" w:eastAsia="Times New Roman" w:hAnsi="Century Gothic"/>
          <w:lang w:eastAsia="fr-FR"/>
        </w:rPr>
        <w:t>.</w:t>
      </w:r>
      <w:r w:rsidR="00E312EF" w:rsidRPr="00B15D45">
        <w:rPr>
          <w:rFonts w:ascii="Century Gothic" w:eastAsia="Times New Roman" w:hAnsi="Century Gothic"/>
          <w:lang w:eastAsia="fr-FR"/>
        </w:rPr>
        <w:t xml:space="preserve"> </w:t>
      </w:r>
      <w:r w:rsidR="00404B3C" w:rsidRPr="00D80D55">
        <w:rPr>
          <w:rFonts w:ascii="Century Gothic" w:eastAsia="Times New Roman" w:hAnsi="Century Gothic"/>
          <w:lang w:eastAsia="fr-FR"/>
        </w:rPr>
        <w:t>Le gouvernement ne s’est pas encore prononcé sur la proposition de loi. Toutefois, le CNT peut toujours adopter ce texte à l’expiration d’un délai de 2 mois, soit après le 15 août 2015.</w:t>
      </w:r>
    </w:p>
    <w:p w14:paraId="4177C78F" w14:textId="77777777" w:rsidR="00404B3C" w:rsidRPr="00AB79EF" w:rsidRDefault="00404B3C" w:rsidP="00AB79EF">
      <w:pPr>
        <w:autoSpaceDE w:val="0"/>
        <w:autoSpaceDN w:val="0"/>
        <w:adjustRightInd w:val="0"/>
        <w:spacing w:after="100" w:afterAutospacing="1" w:line="240" w:lineRule="auto"/>
        <w:contextualSpacing/>
        <w:jc w:val="both"/>
        <w:rPr>
          <w:rFonts w:ascii="Century Gothic" w:eastAsia="Times New Roman" w:hAnsi="Century Gothic"/>
          <w:lang w:eastAsia="fr-FR"/>
        </w:rPr>
      </w:pPr>
    </w:p>
    <w:p w14:paraId="2B2F9650" w14:textId="77777777" w:rsidR="0054635E" w:rsidRPr="00AB79EF" w:rsidRDefault="0054635E" w:rsidP="00D060B8">
      <w:pPr>
        <w:numPr>
          <w:ilvl w:val="0"/>
          <w:numId w:val="10"/>
        </w:numPr>
        <w:autoSpaceDE w:val="0"/>
        <w:autoSpaceDN w:val="0"/>
        <w:adjustRightInd w:val="0"/>
        <w:spacing w:before="100" w:beforeAutospacing="1" w:after="0" w:line="240" w:lineRule="auto"/>
        <w:contextualSpacing/>
        <w:jc w:val="both"/>
        <w:rPr>
          <w:rFonts w:ascii="Century Gothic" w:hAnsi="Century Gothic"/>
          <w:b/>
          <w:color w:val="1A1A1A"/>
        </w:rPr>
      </w:pPr>
      <w:r w:rsidRPr="00AB79EF">
        <w:rPr>
          <w:rFonts w:ascii="Century Gothic" w:hAnsi="Century Gothic"/>
          <w:b/>
          <w:color w:val="1A1A1A"/>
        </w:rPr>
        <w:t>Mutilation génitale féminine </w:t>
      </w:r>
    </w:p>
    <w:p w14:paraId="5BA63AFA" w14:textId="77777777" w:rsidR="00F34750" w:rsidRPr="00AB79EF" w:rsidRDefault="0054635E" w:rsidP="00AB79EF">
      <w:pPr>
        <w:autoSpaceDE w:val="0"/>
        <w:autoSpaceDN w:val="0"/>
        <w:adjustRightInd w:val="0"/>
        <w:spacing w:after="0" w:line="240" w:lineRule="auto"/>
        <w:contextualSpacing/>
        <w:jc w:val="both"/>
        <w:rPr>
          <w:rFonts w:ascii="Century Gothic" w:eastAsia="Times New Roman" w:hAnsi="Century Gothic"/>
          <w:lang w:eastAsia="fr-FR"/>
        </w:rPr>
      </w:pPr>
      <w:r w:rsidRPr="00AB79EF">
        <w:rPr>
          <w:rFonts w:ascii="Century Gothic" w:eastAsia="Times New Roman" w:hAnsi="Century Gothic"/>
          <w:lang w:eastAsia="fr-FR"/>
        </w:rPr>
        <w:t>Une loi adoptée en 1996 et inscrite dans le code pénal punit les mutilations génitales féminines et un secrétariat permanent de lutte contre la pratique a été mise en place en 1997 pour lutter contre la pratique. Néanmoins, on constate une persistance du phénomène malgré le travail de sensibilisation</w:t>
      </w:r>
      <w:r w:rsidR="00006F24" w:rsidRPr="00AB79EF">
        <w:rPr>
          <w:rFonts w:ascii="Century Gothic" w:eastAsia="Times New Roman" w:hAnsi="Century Gothic"/>
          <w:lang w:eastAsia="fr-FR"/>
        </w:rPr>
        <w:t xml:space="preserve"> et</w:t>
      </w:r>
      <w:r w:rsidRPr="00AB79EF">
        <w:rPr>
          <w:rFonts w:ascii="Century Gothic" w:eastAsia="Times New Roman" w:hAnsi="Century Gothic"/>
          <w:lang w:eastAsia="fr-FR"/>
        </w:rPr>
        <w:t xml:space="preserve"> les sanctions infligées aux personnes qui se rendent coupables de telles pratiques. </w:t>
      </w:r>
      <w:r w:rsidR="007E0CA1" w:rsidRPr="00AB79EF">
        <w:rPr>
          <w:rFonts w:ascii="Century Gothic" w:eastAsia="Times New Roman" w:hAnsi="Century Gothic"/>
          <w:lang w:eastAsia="fr-FR"/>
        </w:rPr>
        <w:t>Courant août 2014, u</w:t>
      </w:r>
      <w:r w:rsidR="00F34750" w:rsidRPr="00AB79EF">
        <w:rPr>
          <w:rFonts w:ascii="Century Gothic" w:eastAsia="Times New Roman" w:hAnsi="Century Gothic"/>
          <w:lang w:eastAsia="fr-FR"/>
        </w:rPr>
        <w:t>ne dame de 49 ans qui s’apprêt</w:t>
      </w:r>
      <w:r w:rsidR="009D549B">
        <w:rPr>
          <w:rFonts w:ascii="Century Gothic" w:eastAsia="Times New Roman" w:hAnsi="Century Gothic"/>
          <w:lang w:eastAsia="fr-FR"/>
        </w:rPr>
        <w:t>ait</w:t>
      </w:r>
      <w:r w:rsidR="00F34750" w:rsidRPr="00AB79EF">
        <w:rPr>
          <w:rFonts w:ascii="Century Gothic" w:eastAsia="Times New Roman" w:hAnsi="Century Gothic"/>
          <w:lang w:eastAsia="fr-FR"/>
        </w:rPr>
        <w:t xml:space="preserve"> à exciser une quinzaine de filles, a été appréhendée par la brigade d</w:t>
      </w:r>
      <w:r w:rsidR="007E0CA1" w:rsidRPr="00AB79EF">
        <w:rPr>
          <w:rFonts w:ascii="Century Gothic" w:eastAsia="Times New Roman" w:hAnsi="Century Gothic"/>
          <w:lang w:eastAsia="fr-FR"/>
        </w:rPr>
        <w:t xml:space="preserve">e la gendarmerie de </w:t>
      </w:r>
      <w:proofErr w:type="spellStart"/>
      <w:r w:rsidR="007E0CA1" w:rsidRPr="00AB79EF">
        <w:rPr>
          <w:rFonts w:ascii="Century Gothic" w:eastAsia="Times New Roman" w:hAnsi="Century Gothic"/>
          <w:lang w:eastAsia="fr-FR"/>
        </w:rPr>
        <w:t>Koupéla</w:t>
      </w:r>
      <w:proofErr w:type="spellEnd"/>
      <w:r w:rsidR="007E0CA1" w:rsidRPr="00AB79EF">
        <w:rPr>
          <w:rFonts w:ascii="Century Gothic" w:eastAsia="Times New Roman" w:hAnsi="Century Gothic"/>
          <w:lang w:eastAsia="fr-FR"/>
        </w:rPr>
        <w:t xml:space="preserve">, (région du </w:t>
      </w:r>
      <w:r w:rsidR="00F34750" w:rsidRPr="00AB79EF">
        <w:rPr>
          <w:rFonts w:ascii="Century Gothic" w:eastAsia="Times New Roman" w:hAnsi="Century Gothic"/>
          <w:lang w:eastAsia="fr-FR"/>
        </w:rPr>
        <w:t>Centre-est du Burkina Faso</w:t>
      </w:r>
      <w:r w:rsidR="007E0CA1" w:rsidRPr="00AB79EF">
        <w:rPr>
          <w:rFonts w:ascii="Century Gothic" w:eastAsia="Times New Roman" w:hAnsi="Century Gothic"/>
          <w:lang w:eastAsia="fr-FR"/>
        </w:rPr>
        <w:t xml:space="preserve">). Les </w:t>
      </w:r>
      <w:r w:rsidR="009D549B">
        <w:rPr>
          <w:rFonts w:ascii="Century Gothic" w:eastAsia="Times New Roman" w:hAnsi="Century Gothic"/>
          <w:lang w:eastAsia="fr-FR"/>
        </w:rPr>
        <w:t xml:space="preserve">faits </w:t>
      </w:r>
      <w:r w:rsidR="007E0CA1" w:rsidRPr="00AB79EF">
        <w:rPr>
          <w:rFonts w:ascii="Century Gothic" w:eastAsia="Times New Roman" w:hAnsi="Century Gothic"/>
          <w:lang w:eastAsia="fr-FR"/>
        </w:rPr>
        <w:t>se seraie</w:t>
      </w:r>
      <w:r w:rsidR="00F34750" w:rsidRPr="00AB79EF">
        <w:rPr>
          <w:rFonts w:ascii="Century Gothic" w:eastAsia="Times New Roman" w:hAnsi="Century Gothic"/>
          <w:lang w:eastAsia="fr-FR"/>
        </w:rPr>
        <w:t xml:space="preserve">nt déroulés dans le village de </w:t>
      </w:r>
      <w:proofErr w:type="spellStart"/>
      <w:r w:rsidR="00F34750" w:rsidRPr="00AB79EF">
        <w:rPr>
          <w:rFonts w:ascii="Century Gothic" w:eastAsia="Times New Roman" w:hAnsi="Century Gothic"/>
          <w:lang w:eastAsia="fr-FR"/>
        </w:rPr>
        <w:t>Zorbimba</w:t>
      </w:r>
      <w:proofErr w:type="spellEnd"/>
      <w:r w:rsidR="00F34750" w:rsidRPr="00AB79EF">
        <w:rPr>
          <w:rFonts w:ascii="Century Gothic" w:eastAsia="Times New Roman" w:hAnsi="Century Gothic"/>
          <w:lang w:eastAsia="fr-FR"/>
        </w:rPr>
        <w:t>,</w:t>
      </w:r>
      <w:r w:rsidR="00330DFE">
        <w:rPr>
          <w:rFonts w:ascii="Century Gothic" w:eastAsia="Times New Roman" w:hAnsi="Century Gothic"/>
          <w:lang w:eastAsia="fr-FR"/>
        </w:rPr>
        <w:t xml:space="preserve"> localité située à environ 150 Km de la capitale.</w:t>
      </w:r>
      <w:r w:rsidR="00F34750" w:rsidRPr="00AB79EF">
        <w:rPr>
          <w:rFonts w:ascii="Century Gothic" w:eastAsia="Times New Roman" w:hAnsi="Century Gothic"/>
          <w:lang w:eastAsia="fr-FR"/>
        </w:rPr>
        <w:t xml:space="preserve"> </w:t>
      </w:r>
      <w:r w:rsidR="00330DFE">
        <w:rPr>
          <w:rFonts w:ascii="Century Gothic" w:eastAsia="Times New Roman" w:hAnsi="Century Gothic"/>
          <w:lang w:eastAsia="fr-FR"/>
        </w:rPr>
        <w:t>L</w:t>
      </w:r>
      <w:r w:rsidR="007E0CA1" w:rsidRPr="00AB79EF">
        <w:rPr>
          <w:rFonts w:ascii="Century Gothic" w:eastAsia="Times New Roman" w:hAnsi="Century Gothic"/>
          <w:lang w:eastAsia="fr-FR"/>
        </w:rPr>
        <w:t>a dame,</w:t>
      </w:r>
      <w:r w:rsidR="00F34750" w:rsidRPr="00AB79EF">
        <w:rPr>
          <w:rFonts w:ascii="Century Gothic" w:eastAsia="Times New Roman" w:hAnsi="Century Gothic"/>
          <w:lang w:eastAsia="fr-FR"/>
        </w:rPr>
        <w:t xml:space="preserve"> une </w:t>
      </w:r>
      <w:r w:rsidR="007E0CA1" w:rsidRPr="00AB79EF">
        <w:rPr>
          <w:rFonts w:ascii="Century Gothic" w:eastAsia="Times New Roman" w:hAnsi="Century Gothic"/>
          <w:lang w:eastAsia="fr-FR"/>
        </w:rPr>
        <w:t>« </w:t>
      </w:r>
      <w:r w:rsidR="00F34750" w:rsidRPr="00AB79EF">
        <w:rPr>
          <w:rFonts w:ascii="Century Gothic" w:eastAsia="Times New Roman" w:hAnsi="Century Gothic"/>
          <w:lang w:eastAsia="fr-FR"/>
        </w:rPr>
        <w:t>exciseuse pro</w:t>
      </w:r>
      <w:r w:rsidR="007E0CA1" w:rsidRPr="00AB79EF">
        <w:rPr>
          <w:rFonts w:ascii="Century Gothic" w:eastAsia="Times New Roman" w:hAnsi="Century Gothic"/>
          <w:lang w:eastAsia="fr-FR"/>
        </w:rPr>
        <w:t>fessionnelle »</w:t>
      </w:r>
      <w:r w:rsidR="007E0CA1" w:rsidRPr="00AB79EF">
        <w:rPr>
          <w:rStyle w:val="Marquenotebasdepage"/>
          <w:rFonts w:ascii="Century Gothic" w:eastAsia="Times New Roman" w:hAnsi="Century Gothic"/>
          <w:lang w:eastAsia="fr-FR"/>
        </w:rPr>
        <w:footnoteReference w:id="60"/>
      </w:r>
      <w:r w:rsidR="00F34750" w:rsidRPr="00AB79EF">
        <w:rPr>
          <w:rFonts w:ascii="Century Gothic" w:eastAsia="Times New Roman" w:hAnsi="Century Gothic"/>
          <w:lang w:eastAsia="fr-FR"/>
        </w:rPr>
        <w:t xml:space="preserve">, </w:t>
      </w:r>
      <w:r w:rsidR="007E0CA1" w:rsidRPr="00AB79EF">
        <w:rPr>
          <w:rFonts w:ascii="Century Gothic" w:eastAsia="Times New Roman" w:hAnsi="Century Gothic"/>
          <w:lang w:eastAsia="fr-FR"/>
        </w:rPr>
        <w:t>a été prise</w:t>
      </w:r>
      <w:r w:rsidR="00F34750" w:rsidRPr="00AB79EF">
        <w:rPr>
          <w:rFonts w:ascii="Century Gothic" w:eastAsia="Times New Roman" w:hAnsi="Century Gothic"/>
          <w:lang w:eastAsia="fr-FR"/>
        </w:rPr>
        <w:t xml:space="preserve"> en flagrant délit avec</w:t>
      </w:r>
      <w:r w:rsidR="007E0CA1" w:rsidRPr="00AB79EF">
        <w:rPr>
          <w:rFonts w:ascii="Century Gothic" w:eastAsia="Times New Roman" w:hAnsi="Century Gothic"/>
          <w:lang w:eastAsia="fr-FR"/>
        </w:rPr>
        <w:t xml:space="preserve"> 13 victimes et deux rescapées : « </w:t>
      </w:r>
      <w:r w:rsidR="00F34750" w:rsidRPr="00AB79EF">
        <w:rPr>
          <w:rFonts w:ascii="Century Gothic" w:eastAsia="Times New Roman" w:hAnsi="Century Gothic"/>
          <w:lang w:eastAsia="fr-FR"/>
        </w:rPr>
        <w:t>15 fillettes dont l’âge est compris entre un et onze ans, ont été programmées pour être excisées, hier mercredi. Deux d’entre elles ont pu échapper avant l</w:t>
      </w:r>
      <w:r w:rsidR="007E0CA1" w:rsidRPr="00AB79EF">
        <w:rPr>
          <w:rFonts w:ascii="Century Gothic" w:eastAsia="Times New Roman" w:hAnsi="Century Gothic"/>
          <w:lang w:eastAsia="fr-FR"/>
        </w:rPr>
        <w:t>’arrivée des forces de l’ordre</w:t>
      </w:r>
      <w:r w:rsidR="00330DFE">
        <w:rPr>
          <w:rStyle w:val="Marquenotebasdepage"/>
          <w:rFonts w:ascii="Century Gothic" w:eastAsia="Times New Roman" w:hAnsi="Century Gothic"/>
          <w:lang w:eastAsia="fr-FR"/>
        </w:rPr>
        <w:footnoteReference w:id="61"/>
      </w:r>
      <w:r w:rsidR="007E0CA1" w:rsidRPr="00AB79EF">
        <w:rPr>
          <w:rFonts w:ascii="Century Gothic" w:eastAsia="Times New Roman" w:hAnsi="Century Gothic"/>
          <w:lang w:eastAsia="fr-FR"/>
        </w:rPr>
        <w:t> ». A</w:t>
      </w:r>
      <w:r w:rsidR="00F34750" w:rsidRPr="00AB79EF">
        <w:rPr>
          <w:rFonts w:ascii="Century Gothic" w:eastAsia="Times New Roman" w:hAnsi="Century Gothic"/>
          <w:lang w:eastAsia="fr-FR"/>
        </w:rPr>
        <w:t>lertée par un appel anonyme sur l’un des numéros verts mis à la disposition des populations</w:t>
      </w:r>
      <w:r w:rsidR="007E0CA1" w:rsidRPr="00AB79EF">
        <w:rPr>
          <w:rFonts w:ascii="Century Gothic" w:eastAsia="Times New Roman" w:hAnsi="Century Gothic"/>
          <w:lang w:eastAsia="fr-FR"/>
        </w:rPr>
        <w:t xml:space="preserve"> la gendarmerie est intervenue pour délivrer les</w:t>
      </w:r>
      <w:r w:rsidR="00F34750" w:rsidRPr="00AB79EF">
        <w:rPr>
          <w:rFonts w:ascii="Century Gothic" w:eastAsia="Times New Roman" w:hAnsi="Century Gothic"/>
          <w:lang w:eastAsia="fr-FR"/>
        </w:rPr>
        <w:t xml:space="preserve"> fillettes </w:t>
      </w:r>
      <w:r w:rsidR="007E0CA1" w:rsidRPr="00AB79EF">
        <w:rPr>
          <w:rFonts w:ascii="Century Gothic" w:eastAsia="Times New Roman" w:hAnsi="Century Gothic"/>
          <w:lang w:eastAsia="fr-FR"/>
        </w:rPr>
        <w:t xml:space="preserve">qui </w:t>
      </w:r>
      <w:r w:rsidR="00F34750" w:rsidRPr="00AB79EF">
        <w:rPr>
          <w:rFonts w:ascii="Century Gothic" w:eastAsia="Times New Roman" w:hAnsi="Century Gothic"/>
          <w:lang w:eastAsia="fr-FR"/>
        </w:rPr>
        <w:t xml:space="preserve">viendraient de cinq villages à savoir </w:t>
      </w:r>
      <w:proofErr w:type="spellStart"/>
      <w:r w:rsidR="00F34750" w:rsidRPr="00AB79EF">
        <w:rPr>
          <w:rFonts w:ascii="Century Gothic" w:eastAsia="Times New Roman" w:hAnsi="Century Gothic"/>
          <w:lang w:eastAsia="fr-FR"/>
        </w:rPr>
        <w:t>Pouytenga</w:t>
      </w:r>
      <w:proofErr w:type="spellEnd"/>
      <w:r w:rsidR="00F34750" w:rsidRPr="00AB79EF">
        <w:rPr>
          <w:rFonts w:ascii="Century Gothic" w:eastAsia="Times New Roman" w:hAnsi="Century Gothic"/>
          <w:lang w:eastAsia="fr-FR"/>
        </w:rPr>
        <w:t xml:space="preserve">, </w:t>
      </w:r>
      <w:proofErr w:type="spellStart"/>
      <w:r w:rsidR="00F34750" w:rsidRPr="00AB79EF">
        <w:rPr>
          <w:rFonts w:ascii="Century Gothic" w:eastAsia="Times New Roman" w:hAnsi="Century Gothic"/>
          <w:lang w:eastAsia="fr-FR"/>
        </w:rPr>
        <w:t>Zamsé</w:t>
      </w:r>
      <w:proofErr w:type="spellEnd"/>
      <w:r w:rsidR="00F34750" w:rsidRPr="00AB79EF">
        <w:rPr>
          <w:rFonts w:ascii="Century Gothic" w:eastAsia="Times New Roman" w:hAnsi="Century Gothic"/>
          <w:lang w:eastAsia="fr-FR"/>
        </w:rPr>
        <w:t xml:space="preserve">, </w:t>
      </w:r>
      <w:proofErr w:type="spellStart"/>
      <w:r w:rsidR="00F34750" w:rsidRPr="00AB79EF">
        <w:rPr>
          <w:rFonts w:ascii="Century Gothic" w:eastAsia="Times New Roman" w:hAnsi="Century Gothic"/>
          <w:lang w:eastAsia="fr-FR"/>
        </w:rPr>
        <w:t>Koumbilin</w:t>
      </w:r>
      <w:proofErr w:type="spellEnd"/>
      <w:r w:rsidR="00F34750" w:rsidRPr="00AB79EF">
        <w:rPr>
          <w:rFonts w:ascii="Century Gothic" w:eastAsia="Times New Roman" w:hAnsi="Century Gothic"/>
          <w:lang w:eastAsia="fr-FR"/>
        </w:rPr>
        <w:t xml:space="preserve">, </w:t>
      </w:r>
      <w:proofErr w:type="spellStart"/>
      <w:r w:rsidR="00F34750" w:rsidRPr="00AB79EF">
        <w:rPr>
          <w:rFonts w:ascii="Century Gothic" w:eastAsia="Times New Roman" w:hAnsi="Century Gothic"/>
          <w:lang w:eastAsia="fr-FR"/>
        </w:rPr>
        <w:t>Wavousé</w:t>
      </w:r>
      <w:proofErr w:type="spellEnd"/>
      <w:r w:rsidR="00F34750" w:rsidRPr="00AB79EF">
        <w:rPr>
          <w:rFonts w:ascii="Century Gothic" w:eastAsia="Times New Roman" w:hAnsi="Century Gothic"/>
          <w:lang w:eastAsia="fr-FR"/>
        </w:rPr>
        <w:t xml:space="preserve"> et </w:t>
      </w:r>
      <w:proofErr w:type="spellStart"/>
      <w:r w:rsidR="00F34750" w:rsidRPr="00AB79EF">
        <w:rPr>
          <w:rFonts w:ascii="Century Gothic" w:eastAsia="Times New Roman" w:hAnsi="Century Gothic"/>
          <w:lang w:eastAsia="fr-FR"/>
        </w:rPr>
        <w:t>Zorbimba</w:t>
      </w:r>
      <w:proofErr w:type="spellEnd"/>
      <w:r w:rsidR="007E0CA1" w:rsidRPr="00AB79EF">
        <w:rPr>
          <w:rStyle w:val="Marquenotebasdepage"/>
          <w:rFonts w:ascii="Century Gothic" w:eastAsia="Times New Roman" w:hAnsi="Century Gothic"/>
          <w:lang w:eastAsia="fr-FR"/>
        </w:rPr>
        <w:footnoteReference w:id="62"/>
      </w:r>
      <w:r w:rsidR="00F34750" w:rsidRPr="00AB79EF">
        <w:rPr>
          <w:rFonts w:ascii="Century Gothic" w:eastAsia="Times New Roman" w:hAnsi="Century Gothic"/>
          <w:lang w:eastAsia="fr-FR"/>
        </w:rPr>
        <w:t>.</w:t>
      </w:r>
    </w:p>
    <w:p w14:paraId="13316057" w14:textId="77777777" w:rsidR="0054635E" w:rsidRPr="00AB79EF" w:rsidRDefault="00A968BF" w:rsidP="00AB79EF">
      <w:pPr>
        <w:autoSpaceDE w:val="0"/>
        <w:autoSpaceDN w:val="0"/>
        <w:adjustRightInd w:val="0"/>
        <w:spacing w:after="100" w:afterAutospacing="1" w:line="240" w:lineRule="auto"/>
        <w:contextualSpacing/>
        <w:jc w:val="both"/>
        <w:rPr>
          <w:rFonts w:ascii="Century Gothic" w:eastAsia="Times New Roman" w:hAnsi="Century Gothic"/>
          <w:lang w:eastAsia="fr-FR"/>
        </w:rPr>
      </w:pPr>
      <w:r w:rsidRPr="00AB79EF">
        <w:rPr>
          <w:rFonts w:ascii="Century Gothic" w:eastAsia="Times New Roman" w:hAnsi="Century Gothic"/>
          <w:lang w:eastAsia="fr-FR"/>
        </w:rPr>
        <w:t>Aussi bien les autorités publiques que les organisations de la société civile intervenant sur ces questions doivent redoubler d’ingéniosité pour trouver des stratégies d’intervention plus adaptées et plus efficaces pour éradiquer les mutilations génitales féminines. Même le travail d’implication des leaders religieux et coutumiers semble avoir montré ses limites.</w:t>
      </w:r>
    </w:p>
    <w:p w14:paraId="6849A313" w14:textId="77777777" w:rsidR="007E0CA1" w:rsidRPr="00AB79EF" w:rsidRDefault="007E0CA1" w:rsidP="00AB79EF">
      <w:pPr>
        <w:autoSpaceDE w:val="0"/>
        <w:autoSpaceDN w:val="0"/>
        <w:adjustRightInd w:val="0"/>
        <w:spacing w:after="100" w:afterAutospacing="1" w:line="240" w:lineRule="auto"/>
        <w:contextualSpacing/>
        <w:jc w:val="both"/>
        <w:rPr>
          <w:rFonts w:ascii="Century Gothic" w:eastAsia="Times New Roman" w:hAnsi="Century Gothic"/>
          <w:lang w:eastAsia="fr-FR"/>
        </w:rPr>
      </w:pPr>
    </w:p>
    <w:p w14:paraId="6C01F5F4" w14:textId="77777777" w:rsidR="0054635E" w:rsidRPr="00AB79EF" w:rsidRDefault="0054635E" w:rsidP="00D060B8">
      <w:pPr>
        <w:numPr>
          <w:ilvl w:val="0"/>
          <w:numId w:val="10"/>
        </w:numPr>
        <w:autoSpaceDE w:val="0"/>
        <w:autoSpaceDN w:val="0"/>
        <w:adjustRightInd w:val="0"/>
        <w:spacing w:before="100" w:beforeAutospacing="1" w:after="0" w:line="240" w:lineRule="auto"/>
        <w:contextualSpacing/>
        <w:jc w:val="both"/>
        <w:rPr>
          <w:rFonts w:ascii="Century Gothic" w:hAnsi="Century Gothic"/>
          <w:b/>
          <w:color w:val="1A1A1A"/>
        </w:rPr>
      </w:pPr>
      <w:r w:rsidRPr="00AB79EF">
        <w:rPr>
          <w:rFonts w:ascii="Century Gothic" w:hAnsi="Century Gothic"/>
          <w:b/>
          <w:color w:val="1A1A1A"/>
        </w:rPr>
        <w:t xml:space="preserve">Travail forcé, traite d’êtres humains, exploitation sexuelle et autre abus des enfants, travail des enfants, et travail des personnes </w:t>
      </w:r>
      <w:r w:rsidR="00006F24" w:rsidRPr="00AB79EF">
        <w:rPr>
          <w:rFonts w:ascii="Century Gothic" w:hAnsi="Century Gothic"/>
          <w:b/>
          <w:color w:val="1A1A1A"/>
        </w:rPr>
        <w:t>détenues</w:t>
      </w:r>
    </w:p>
    <w:p w14:paraId="22457A9E" w14:textId="77777777" w:rsidR="0054635E" w:rsidRPr="00AB79EF" w:rsidRDefault="0054635E"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Toutes les huit (8) c</w:t>
      </w:r>
      <w:r w:rsidR="00096800">
        <w:rPr>
          <w:rFonts w:ascii="Century Gothic" w:hAnsi="Century Gothic" w:cs="Times New Roman"/>
          <w:color w:val="auto"/>
          <w:sz w:val="22"/>
          <w:szCs w:val="22"/>
        </w:rPr>
        <w:t>onventions fondamentales de l’OI</w:t>
      </w:r>
      <w:r w:rsidRPr="00AB79EF">
        <w:rPr>
          <w:rFonts w:ascii="Century Gothic" w:hAnsi="Century Gothic" w:cs="Times New Roman"/>
          <w:color w:val="auto"/>
          <w:sz w:val="22"/>
          <w:szCs w:val="22"/>
        </w:rPr>
        <w:t>T ont été ratifiées par le Burkina Faso. Par ailleurs différentes lois ont été adoptées internalisant les dispositions des conventions fondamentales dans le droit interne. L’article 5 du code du travail de 2008 par exemple interdit formellement le travail forcé</w:t>
      </w:r>
      <w:r w:rsidRPr="00AB79EF">
        <w:rPr>
          <w:rStyle w:val="Marquenotebasdepage"/>
          <w:rFonts w:ascii="Century Gothic" w:hAnsi="Century Gothic" w:cs="Times New Roman"/>
          <w:color w:val="auto"/>
          <w:sz w:val="22"/>
          <w:szCs w:val="22"/>
        </w:rPr>
        <w:footnoteReference w:id="63"/>
      </w:r>
      <w:r w:rsidRPr="00AB79EF">
        <w:rPr>
          <w:rFonts w:ascii="Century Gothic" w:hAnsi="Century Gothic" w:cs="Times New Roman"/>
          <w:color w:val="auto"/>
          <w:sz w:val="22"/>
          <w:szCs w:val="22"/>
        </w:rPr>
        <w:t>.</w:t>
      </w:r>
      <w:r w:rsidRPr="00AB79EF">
        <w:rPr>
          <w:rFonts w:ascii="Century Gothic" w:hAnsi="Century Gothic" w:cs="Times New Roman"/>
          <w:b/>
          <w:bCs/>
          <w:color w:val="auto"/>
          <w:sz w:val="22"/>
          <w:szCs w:val="22"/>
        </w:rPr>
        <w:t xml:space="preserve"> </w:t>
      </w:r>
      <w:r w:rsidRPr="00096800">
        <w:rPr>
          <w:rFonts w:ascii="Century Gothic" w:hAnsi="Century Gothic" w:cs="Times New Roman"/>
          <w:bCs/>
          <w:color w:val="auto"/>
          <w:sz w:val="22"/>
          <w:szCs w:val="22"/>
        </w:rPr>
        <w:t>Le code du travail en ses</w:t>
      </w:r>
      <w:r w:rsidRPr="00AB79EF">
        <w:rPr>
          <w:rFonts w:ascii="Century Gothic" w:hAnsi="Century Gothic" w:cs="Times New Roman"/>
          <w:b/>
          <w:bCs/>
          <w:color w:val="auto"/>
          <w:sz w:val="22"/>
          <w:szCs w:val="22"/>
        </w:rPr>
        <w:t xml:space="preserve"> </w:t>
      </w:r>
      <w:r w:rsidRPr="00AB79EF">
        <w:rPr>
          <w:rFonts w:ascii="Century Gothic" w:hAnsi="Century Gothic" w:cs="Times New Roman"/>
          <w:color w:val="auto"/>
          <w:sz w:val="22"/>
          <w:szCs w:val="22"/>
        </w:rPr>
        <w:t>articles 149 à 154 réglemente le travail des enfants et des adolescents, interdisant interdit le travail des enfants de moins de 16 ans</w:t>
      </w:r>
      <w:r w:rsidRPr="00AB79EF">
        <w:rPr>
          <w:rStyle w:val="Marquenotebasdepage"/>
          <w:rFonts w:ascii="Century Gothic" w:hAnsi="Century Gothic" w:cs="Times New Roman"/>
          <w:color w:val="auto"/>
          <w:sz w:val="22"/>
          <w:szCs w:val="22"/>
        </w:rPr>
        <w:footnoteReference w:id="64"/>
      </w:r>
      <w:r w:rsidRPr="00AB79EF">
        <w:rPr>
          <w:rFonts w:ascii="Century Gothic" w:hAnsi="Century Gothic" w:cs="Times New Roman"/>
          <w:color w:val="auto"/>
          <w:sz w:val="22"/>
          <w:szCs w:val="22"/>
        </w:rPr>
        <w:t xml:space="preserve">. </w:t>
      </w:r>
    </w:p>
    <w:p w14:paraId="5E7DC54E" w14:textId="77777777" w:rsidR="0054635E" w:rsidRPr="00AB79EF" w:rsidRDefault="0054635E" w:rsidP="00485396">
      <w:pPr>
        <w:spacing w:line="240" w:lineRule="auto"/>
        <w:jc w:val="both"/>
      </w:pPr>
      <w:r w:rsidRPr="00AB79EF">
        <w:rPr>
          <w:rFonts w:ascii="Century Gothic" w:hAnsi="Century Gothic"/>
        </w:rPr>
        <w:t xml:space="preserve">La Constitution en son article 2 interdit clairement l’esclavage et sa répression est prévue par le Code pénal en ses articles 314 et 315. En ce qui concerne le travail domestique les conditions sont souvent déplorables. Il faut noter que le Burkina Faso n’a pas encore ratifié la Convention 189 de l’OIT sur les travailleuses et travailleurs domestiques et il n’existe pas de législation spécifique en la matière. Et pourtant les conditions de travail des employés domestiques sont déplorables et le droit du </w:t>
      </w:r>
      <w:r w:rsidRPr="00AB79EF">
        <w:rPr>
          <w:rFonts w:ascii="Century Gothic" w:hAnsi="Century Gothic"/>
        </w:rPr>
        <w:lastRenderedPageBreak/>
        <w:t xml:space="preserve">travail n’est pas respecté par les employeurs. On note la méconnaissance des textes aussi bien par les employés que par les employeurs. </w:t>
      </w:r>
    </w:p>
    <w:p w14:paraId="1A072D3C" w14:textId="77777777" w:rsidR="0054635E" w:rsidRPr="00AB79EF" w:rsidRDefault="0054635E"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Il faut noter que le Burkina Faso est un pays pourvoyeur, de transit d’enfants à des fins de travail forcé et d’exploitation sexuelle. Le trafic d’enfants à l’intérieur du pays se fait des zones rurales vers les villes où ils sont employés comme domestiques. Ils sont aussi utilisés à des fins d’exploitation sexuelle et de travail forcé dans les secteurs de l’agriculture, des mines d’or et des carrières. Des enfants burkinabé sont aussi victimes de trafic vers d’autres pays ouest africains, notamment la Côte d’Ivoire, le Mali, le Bénin, le Nigéria et le Togo. Ces derniers temps on a observé le développement des trafics de filles vers les pays arabes notamment le Moyen Orient (Liban, Arabie Saoudite, etc.) à des fins domestiques</w:t>
      </w:r>
      <w:r w:rsidRPr="00AB79EF">
        <w:rPr>
          <w:rStyle w:val="Marquenotebasdepage"/>
          <w:rFonts w:ascii="Century Gothic" w:hAnsi="Century Gothic"/>
        </w:rPr>
        <w:footnoteReference w:id="65"/>
      </w:r>
      <w:r w:rsidRPr="00AB79EF">
        <w:rPr>
          <w:rFonts w:ascii="Century Gothic" w:hAnsi="Century Gothic"/>
        </w:rPr>
        <w:t>. Toutefois elles se retrouvent victimes d’exploitation sexuelle. La coalition salue l’effort fourni ces dernières années par les forces de défense et de sécurité pour démanteler les réseaux de trafic des personnes, notamment des filles</w:t>
      </w:r>
      <w:r w:rsidRPr="00AB79EF">
        <w:rPr>
          <w:rStyle w:val="Marquenotebasdepage"/>
          <w:rFonts w:ascii="Century Gothic" w:hAnsi="Century Gothic"/>
        </w:rPr>
        <w:footnoteReference w:id="66"/>
      </w:r>
      <w:r w:rsidRPr="00AB79EF">
        <w:rPr>
          <w:rFonts w:ascii="Century Gothic" w:hAnsi="Century Gothic"/>
        </w:rPr>
        <w:t xml:space="preserve">. Le trafic de personnes vers le Burkina concerne des femmes originaires du Nigéria, du Togo, du Bénin et du Niger, </w:t>
      </w:r>
      <w:r w:rsidR="002F0E4D" w:rsidRPr="00AB79EF">
        <w:rPr>
          <w:rFonts w:ascii="Century Gothic" w:hAnsi="Century Gothic"/>
        </w:rPr>
        <w:t xml:space="preserve">employées à des fins d’exploitation sexuelle de travail dans les bars et maquis des grandes villes. </w:t>
      </w:r>
      <w:r w:rsidR="002F0E4D" w:rsidRPr="00AB79EF">
        <w:rPr>
          <w:rFonts w:ascii="Century Gothic" w:hAnsi="Century Gothic"/>
          <w:bCs/>
        </w:rPr>
        <w:t>Des mesures préventives ont été prises de façon concertée entre le Burkina Faso et les autres pays de la Communauté économique des Etats de l’Afrique de l’Ouest (CEDEAO) comme la mise en place de dispositifs de surveillance des frontières afin de lutter contre le trafic transfrontalier des êtres humains. Des Comités de vigilance ont été créés dans les différentes localités en vue d’intercepter les mouvements suspects et de prévenir la traite des personnes.</w:t>
      </w:r>
      <w:r w:rsidR="007B7D8B" w:rsidRPr="00AB79EF">
        <w:rPr>
          <w:rFonts w:ascii="Century Gothic" w:hAnsi="Century Gothic"/>
          <w:bCs/>
        </w:rPr>
        <w:t xml:space="preserve"> </w:t>
      </w:r>
      <w:r w:rsidR="002F0E4D" w:rsidRPr="00AB79EF">
        <w:rPr>
          <w:rFonts w:ascii="Century Gothic" w:hAnsi="Century Gothic"/>
        </w:rPr>
        <w:t xml:space="preserve">Le Burkina Faso, tout comme de nombreux pas de la sous-région ouest africaine a été secoué par </w:t>
      </w:r>
      <w:r w:rsidR="002F0E4D" w:rsidRPr="00AB79EF">
        <w:rPr>
          <w:rFonts w:ascii="Century Gothic" w:hAnsi="Century Gothic"/>
          <w:b/>
        </w:rPr>
        <w:t>l’affaire des trafics de bébés</w:t>
      </w:r>
      <w:r w:rsidR="003C181F" w:rsidRPr="00AB79EF">
        <w:rPr>
          <w:rStyle w:val="Marquenotebasdepage"/>
          <w:rFonts w:ascii="Century Gothic" w:hAnsi="Century Gothic"/>
          <w:b/>
        </w:rPr>
        <w:footnoteReference w:id="67"/>
      </w:r>
      <w:r w:rsidR="002F0E4D" w:rsidRPr="00AB79EF">
        <w:rPr>
          <w:rFonts w:ascii="Century Gothic" w:hAnsi="Century Gothic"/>
        </w:rPr>
        <w:t>. Une femme burkinabè a été arrêtée au Bénin dans ce cadre et plusieurs personnalités ont été citées dans les enquêtes diligentées par d’autres pays. Toutefois, au niveau du Burkina Faso, rien n’a été fait dans ce cadre.</w:t>
      </w:r>
    </w:p>
    <w:p w14:paraId="205F1FDB" w14:textId="77777777" w:rsidR="0054635E" w:rsidRPr="00AB79EF" w:rsidRDefault="002F0E4D"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 xml:space="preserve">Le gouvernement du Burkina Faso ne se conforme pas entièrement aux normes minimales pour éradiquer la traite. Cependant, en dépit de ses ressources limitées, le pays fait des efforts significatifs pour y parvenir. </w:t>
      </w:r>
      <w:r w:rsidR="00F26CA4">
        <w:rPr>
          <w:rFonts w:ascii="Century Gothic" w:hAnsi="Century Gothic"/>
        </w:rPr>
        <w:t>L</w:t>
      </w:r>
      <w:r w:rsidRPr="00AB79EF">
        <w:rPr>
          <w:rFonts w:ascii="Century Gothic" w:hAnsi="Century Gothic"/>
        </w:rPr>
        <w:t xml:space="preserve">a </w:t>
      </w:r>
      <w:r w:rsidRPr="00AB79EF">
        <w:rPr>
          <w:rFonts w:ascii="Century Gothic" w:hAnsi="Century Gothic"/>
          <w:bCs/>
        </w:rPr>
        <w:t xml:space="preserve">loi n°29-2008/AN du 15 mai 2008 portant </w:t>
      </w:r>
      <w:r w:rsidRPr="00485396">
        <w:rPr>
          <w:rFonts w:ascii="Century Gothic" w:hAnsi="Century Gothic"/>
          <w:b/>
          <w:bCs/>
        </w:rPr>
        <w:t>lutte contre la traite des personnes et les pratiques assimilées</w:t>
      </w:r>
      <w:r w:rsidRPr="00AB79EF">
        <w:rPr>
          <w:rFonts w:ascii="Century Gothic" w:hAnsi="Century Gothic"/>
          <w:bCs/>
        </w:rPr>
        <w:t xml:space="preserve"> a été adoptée</w:t>
      </w:r>
      <w:r w:rsidRPr="00AB79EF">
        <w:rPr>
          <w:rStyle w:val="Marquenotebasdepage"/>
          <w:rFonts w:ascii="Century Gothic" w:hAnsi="Century Gothic"/>
          <w:bCs/>
        </w:rPr>
        <w:footnoteReference w:id="68"/>
      </w:r>
      <w:r w:rsidRPr="00AB79EF">
        <w:rPr>
          <w:rFonts w:ascii="Century Gothic" w:hAnsi="Century Gothic"/>
          <w:bCs/>
        </w:rPr>
        <w:t xml:space="preserve">. Elle prévoit des sanctions pénales contre les personnes reconnues coupables notamment d’exploitation de la prostitution d’autrui et d'autres formes d’exploitation sexuelle, de travail ou de services forcés, d’esclavage ou de pratiques analogues à l’esclavage, de servitude ou de prélèvement d’organes. </w:t>
      </w:r>
    </w:p>
    <w:p w14:paraId="7C55CBDA" w14:textId="77777777" w:rsidR="0054635E" w:rsidRPr="00AB79EF" w:rsidRDefault="002F0E4D" w:rsidP="00AB79EF">
      <w:pPr>
        <w:spacing w:line="240" w:lineRule="auto"/>
        <w:jc w:val="both"/>
        <w:rPr>
          <w:rFonts w:ascii="Century Gothic" w:hAnsi="Century Gothic"/>
        </w:rPr>
      </w:pPr>
      <w:r w:rsidRPr="00AB79EF">
        <w:rPr>
          <w:rFonts w:ascii="Century Gothic" w:hAnsi="Century Gothic"/>
          <w:bCs/>
        </w:rPr>
        <w:t xml:space="preserve">Le </w:t>
      </w:r>
      <w:r w:rsidRPr="00485396">
        <w:rPr>
          <w:rFonts w:ascii="Century Gothic" w:hAnsi="Century Gothic"/>
          <w:b/>
          <w:bCs/>
        </w:rPr>
        <w:t>travail des détenus au sein des établissements pénitentiaires</w:t>
      </w:r>
      <w:r w:rsidRPr="00AB79EF">
        <w:rPr>
          <w:rFonts w:ascii="Century Gothic" w:hAnsi="Century Gothic"/>
          <w:bCs/>
        </w:rPr>
        <w:t xml:space="preserve"> est soumis à une réglementation rigoureuse qui les protège contre d’éventuelles pratiques </w:t>
      </w:r>
      <w:r w:rsidR="003C181F" w:rsidRPr="00AB79EF">
        <w:rPr>
          <w:rFonts w:ascii="Century Gothic" w:hAnsi="Century Gothic"/>
          <w:bCs/>
        </w:rPr>
        <w:t xml:space="preserve">esclavagiste. L’article 102 du </w:t>
      </w:r>
      <w:proofErr w:type="spellStart"/>
      <w:r w:rsidR="003C181F" w:rsidRPr="00AB79EF">
        <w:rPr>
          <w:rFonts w:ascii="Century Gothic" w:hAnsi="Century Gothic"/>
          <w:bCs/>
        </w:rPr>
        <w:t>K</w:t>
      </w:r>
      <w:r w:rsidRPr="00AB79EF">
        <w:rPr>
          <w:rFonts w:ascii="Century Gothic" w:hAnsi="Century Gothic"/>
          <w:bCs/>
        </w:rPr>
        <w:t>iti</w:t>
      </w:r>
      <w:proofErr w:type="spellEnd"/>
      <w:r w:rsidRPr="00AB79EF">
        <w:rPr>
          <w:rFonts w:ascii="Century Gothic" w:hAnsi="Century Gothic"/>
          <w:bCs/>
        </w:rPr>
        <w:t xml:space="preserve"> (décret) du 1</w:t>
      </w:r>
      <w:r w:rsidRPr="00AB79EF">
        <w:rPr>
          <w:rFonts w:ascii="Century Gothic" w:hAnsi="Century Gothic"/>
          <w:bCs/>
          <w:vertAlign w:val="superscript"/>
        </w:rPr>
        <w:t>er</w:t>
      </w:r>
      <w:r w:rsidRPr="00AB79EF">
        <w:rPr>
          <w:rFonts w:ascii="Century Gothic" w:hAnsi="Century Gothic"/>
          <w:bCs/>
        </w:rPr>
        <w:t xml:space="preserve"> décembre 1988 relatif à l’organisation, au régime et à la réglementation des établissements pénitentiaires précise que le travail ne doit pas être considéré comme un complément de peine mais comme un moyen de réadaptation sociale du détenu.</w:t>
      </w:r>
      <w:r w:rsidR="007B7D8B" w:rsidRPr="00AB79EF">
        <w:rPr>
          <w:rFonts w:ascii="Century Gothic" w:hAnsi="Century Gothic"/>
          <w:bCs/>
        </w:rPr>
        <w:t xml:space="preserve"> </w:t>
      </w:r>
      <w:r w:rsidRPr="00AB79EF">
        <w:rPr>
          <w:rFonts w:ascii="Century Gothic" w:hAnsi="Century Gothic"/>
        </w:rPr>
        <w:t xml:space="preserve">Ainsi, les détenus sont astreints au travail avec un maximum d’heure de 8h par jour et non rémunéré. Ils </w:t>
      </w:r>
      <w:r w:rsidRPr="00AB79EF">
        <w:rPr>
          <w:rFonts w:ascii="Century Gothic" w:hAnsi="Century Gothic"/>
        </w:rPr>
        <w:lastRenderedPageBreak/>
        <w:t>sont généralement employés à des travaux de propreté et d’entretien des bâtiments, dans les divers services assurant le fonctionnement de l’établissement et dans les ateliers techniques et agricoles. Dans la pratique, il existe des ateliers dirigés</w:t>
      </w:r>
      <w:r w:rsidR="0054635E" w:rsidRPr="00AB79EF">
        <w:rPr>
          <w:rFonts w:ascii="Century Gothic" w:hAnsi="Century Gothic"/>
        </w:rPr>
        <w:t xml:space="preserve"> par les Gardes de Sécurité Pénitentiaire (boulangerie, savonnerie, menuiserie, soudure, etc.) mais ceux sont les détenus eux-mêmes qui choisissent de prendre part aux ateliers. Tout travail rémunéré, exécuté par les détenus doit également se faire dans le respect des conditions ou règles générales en matière de travail telles la sécurité, l’hygiène, la santé, la réparation des accidents de travail.  </w:t>
      </w:r>
    </w:p>
    <w:p w14:paraId="027A6C5A" w14:textId="77777777" w:rsidR="008214E1" w:rsidRPr="00AB79EF" w:rsidRDefault="0054635E" w:rsidP="00AB79EF">
      <w:pPr>
        <w:spacing w:after="0" w:line="240" w:lineRule="auto"/>
        <w:contextualSpacing/>
        <w:jc w:val="both"/>
        <w:rPr>
          <w:rStyle w:val="hps"/>
          <w:rFonts w:ascii="Century Gothic" w:hAnsi="Century Gothic"/>
        </w:rPr>
      </w:pPr>
      <w:r w:rsidRPr="00AB79EF">
        <w:rPr>
          <w:rStyle w:val="hps"/>
          <w:rFonts w:ascii="Century Gothic" w:hAnsi="Century Gothic"/>
          <w:b/>
          <w:i/>
          <w:u w:val="single"/>
        </w:rPr>
        <w:t>Suggestions de questions provenant de la société civile</w:t>
      </w:r>
      <w:r w:rsidR="0046095F" w:rsidRPr="00AB79EF">
        <w:rPr>
          <w:rStyle w:val="hps"/>
          <w:rFonts w:ascii="Century Gothic" w:hAnsi="Century Gothic"/>
          <w:b/>
          <w:i/>
          <w:u w:val="single"/>
        </w:rPr>
        <w:t> :</w:t>
      </w:r>
    </w:p>
    <w:p w14:paraId="2D9B5971" w14:textId="77777777" w:rsidR="0054635E" w:rsidRPr="00AB79EF" w:rsidRDefault="002C633D" w:rsidP="00D060B8">
      <w:pPr>
        <w:pStyle w:val="Listecouleur-Accent12"/>
        <w:numPr>
          <w:ilvl w:val="0"/>
          <w:numId w:val="27"/>
        </w:numPr>
        <w:spacing w:line="240" w:lineRule="auto"/>
        <w:contextualSpacing/>
        <w:jc w:val="both"/>
        <w:rPr>
          <w:rStyle w:val="hps"/>
          <w:rFonts w:ascii="Century Gothic" w:hAnsi="Century Gothic"/>
        </w:rPr>
      </w:pPr>
      <w:r w:rsidRPr="00AB79EF">
        <w:rPr>
          <w:rStyle w:val="hps"/>
          <w:rFonts w:ascii="Century Gothic" w:hAnsi="Century Gothic"/>
        </w:rPr>
        <w:t>Courant 2014, l</w:t>
      </w:r>
      <w:r w:rsidR="0054635E" w:rsidRPr="00AB79EF">
        <w:rPr>
          <w:rStyle w:val="hps"/>
          <w:rFonts w:ascii="Century Gothic" w:hAnsi="Century Gothic"/>
        </w:rPr>
        <w:t>a sous-région ouest africaine a été secouée par une affaire de trafic de bébé et des personnalités burkinabè ont été citées. Qu’est-ce que le gouvernement a pris comme mesure pour faire la lumière sur cette affaire, pour juguler ou prévenir le phénomène ?</w:t>
      </w:r>
    </w:p>
    <w:p w14:paraId="3BC305FE" w14:textId="77777777" w:rsidR="0054635E" w:rsidRPr="00AB79EF" w:rsidRDefault="0054635E" w:rsidP="00D060B8">
      <w:pPr>
        <w:pStyle w:val="Listecouleur-Accent12"/>
        <w:numPr>
          <w:ilvl w:val="0"/>
          <w:numId w:val="27"/>
        </w:numPr>
        <w:spacing w:line="240" w:lineRule="auto"/>
        <w:contextualSpacing/>
        <w:jc w:val="both"/>
        <w:rPr>
          <w:rStyle w:val="hps"/>
          <w:rFonts w:ascii="Century Gothic" w:hAnsi="Century Gothic"/>
        </w:rPr>
      </w:pPr>
      <w:r w:rsidRPr="00AB79EF">
        <w:rPr>
          <w:rStyle w:val="hps"/>
          <w:rFonts w:ascii="Century Gothic" w:hAnsi="Century Gothic"/>
        </w:rPr>
        <w:t>Quelles</w:t>
      </w:r>
      <w:r w:rsidR="00880635" w:rsidRPr="00AB79EF">
        <w:rPr>
          <w:rStyle w:val="hps"/>
          <w:rFonts w:ascii="Century Gothic" w:hAnsi="Century Gothic"/>
        </w:rPr>
        <w:t xml:space="preserve"> </w:t>
      </w:r>
      <w:r w:rsidRPr="00AB79EF">
        <w:rPr>
          <w:rStyle w:val="hps"/>
          <w:rFonts w:ascii="Century Gothic" w:hAnsi="Century Gothic"/>
        </w:rPr>
        <w:t>stratégies</w:t>
      </w:r>
      <w:r w:rsidR="00880635" w:rsidRPr="00AB79EF">
        <w:rPr>
          <w:rStyle w:val="hps"/>
          <w:rFonts w:ascii="Century Gothic" w:hAnsi="Century Gothic"/>
        </w:rPr>
        <w:t xml:space="preserve"> </w:t>
      </w:r>
      <w:r w:rsidRPr="00AB79EF">
        <w:rPr>
          <w:rStyle w:val="hps"/>
          <w:rFonts w:ascii="Century Gothic" w:hAnsi="Century Gothic"/>
        </w:rPr>
        <w:t>nouvelles envisage le gouvernement pour faire face à la persistance du phénomène des MGF?</w:t>
      </w:r>
    </w:p>
    <w:p w14:paraId="43C9A5C2" w14:textId="77777777" w:rsidR="0054635E" w:rsidRPr="00AB79EF" w:rsidRDefault="0054635E" w:rsidP="00D060B8">
      <w:pPr>
        <w:pStyle w:val="Listecouleur-Accent12"/>
        <w:numPr>
          <w:ilvl w:val="0"/>
          <w:numId w:val="27"/>
        </w:numPr>
        <w:spacing w:line="240" w:lineRule="auto"/>
        <w:contextualSpacing/>
        <w:jc w:val="both"/>
        <w:rPr>
          <w:rStyle w:val="hps"/>
          <w:rFonts w:ascii="Century Gothic" w:hAnsi="Century Gothic"/>
        </w:rPr>
      </w:pPr>
      <w:r w:rsidRPr="00AB79EF">
        <w:rPr>
          <w:rStyle w:val="hps"/>
          <w:rFonts w:ascii="Century Gothic" w:hAnsi="Century Gothic"/>
        </w:rPr>
        <w:t>Quelles sont les mesures envisagées pour vulgariser la loi contre la torture ?</w:t>
      </w:r>
    </w:p>
    <w:p w14:paraId="29E8DE11" w14:textId="77777777" w:rsidR="0054635E" w:rsidRPr="00AB79EF" w:rsidRDefault="0054635E" w:rsidP="00D060B8">
      <w:pPr>
        <w:pStyle w:val="Listecouleur-Accent12"/>
        <w:numPr>
          <w:ilvl w:val="0"/>
          <w:numId w:val="27"/>
        </w:numPr>
        <w:spacing w:line="240" w:lineRule="auto"/>
        <w:contextualSpacing/>
        <w:jc w:val="both"/>
        <w:rPr>
          <w:rStyle w:val="hps"/>
          <w:rFonts w:ascii="Century Gothic" w:hAnsi="Century Gothic"/>
        </w:rPr>
      </w:pPr>
      <w:r w:rsidRPr="00AB79EF">
        <w:rPr>
          <w:rStyle w:val="hps"/>
          <w:rFonts w:ascii="Century Gothic" w:hAnsi="Century Gothic"/>
        </w:rPr>
        <w:t>Quelles sont les mesures envisagées pour répondre à la problématique du travail domestique et en particulier de l’exploitation des enfants, des jeunes filles dans un tel contexte ?</w:t>
      </w:r>
    </w:p>
    <w:p w14:paraId="659BFCCD" w14:textId="77777777" w:rsidR="0064339D" w:rsidRPr="00AB79EF" w:rsidRDefault="0054635E" w:rsidP="00D060B8">
      <w:pPr>
        <w:pStyle w:val="Listecouleur-Accent12"/>
        <w:numPr>
          <w:ilvl w:val="0"/>
          <w:numId w:val="27"/>
        </w:numPr>
        <w:spacing w:line="240" w:lineRule="auto"/>
        <w:contextualSpacing/>
        <w:jc w:val="both"/>
        <w:rPr>
          <w:rFonts w:ascii="Century Gothic" w:hAnsi="Century Gothic"/>
        </w:rPr>
      </w:pPr>
      <w:r w:rsidRPr="00AB79EF">
        <w:rPr>
          <w:rStyle w:val="hps"/>
          <w:rFonts w:ascii="Century Gothic" w:hAnsi="Century Gothic"/>
        </w:rPr>
        <w:t>Comment est-ce le gouvernement entend-il opérationnaliser l’observatoire des lieux de détention</w:t>
      </w:r>
      <w:r w:rsidR="00666D22" w:rsidRPr="00AB79EF">
        <w:rPr>
          <w:rStyle w:val="hps"/>
          <w:rFonts w:ascii="Century Gothic" w:hAnsi="Century Gothic"/>
        </w:rPr>
        <w:t> ?</w:t>
      </w:r>
    </w:p>
    <w:p w14:paraId="2C3E4161" w14:textId="77777777" w:rsidR="00F46DF1" w:rsidRPr="00AB79EF" w:rsidRDefault="00B84899" w:rsidP="00D060B8">
      <w:pPr>
        <w:pStyle w:val="Grillemoyenne1-Accent21"/>
        <w:numPr>
          <w:ilvl w:val="0"/>
          <w:numId w:val="36"/>
        </w:numPr>
        <w:spacing w:before="240" w:line="240" w:lineRule="auto"/>
        <w:jc w:val="both"/>
        <w:outlineLvl w:val="0"/>
        <w:rPr>
          <w:rStyle w:val="hps"/>
          <w:rFonts w:ascii="Century Gothic" w:hAnsi="Century Gothic"/>
          <w:b/>
          <w:u w:val="single"/>
        </w:rPr>
      </w:pPr>
      <w:bookmarkStart w:id="11" w:name="_Toc426711287"/>
      <w:r w:rsidRPr="00AB79EF">
        <w:rPr>
          <w:rStyle w:val="hps"/>
          <w:rFonts w:ascii="Century Gothic" w:hAnsi="Century Gothic"/>
          <w:b/>
          <w:u w:val="single"/>
        </w:rPr>
        <w:t>Les libertés civiles</w:t>
      </w:r>
      <w:bookmarkEnd w:id="11"/>
    </w:p>
    <w:p w14:paraId="6B5EF835" w14:textId="77777777" w:rsidR="001A05CC" w:rsidRPr="00AB79EF" w:rsidRDefault="00892685" w:rsidP="00D060B8">
      <w:pPr>
        <w:numPr>
          <w:ilvl w:val="0"/>
          <w:numId w:val="5"/>
        </w:numPr>
        <w:tabs>
          <w:tab w:val="left" w:pos="709"/>
        </w:tabs>
        <w:spacing w:before="100" w:beforeAutospacing="1" w:after="0" w:line="240" w:lineRule="auto"/>
        <w:ind w:left="706"/>
        <w:contextualSpacing/>
        <w:jc w:val="both"/>
        <w:outlineLvl w:val="0"/>
        <w:rPr>
          <w:rStyle w:val="hps"/>
          <w:rFonts w:ascii="Century Gothic" w:hAnsi="Century Gothic"/>
          <w:b/>
        </w:rPr>
      </w:pPr>
      <w:bookmarkStart w:id="12" w:name="_Toc426711288"/>
      <w:r w:rsidRPr="00AB79EF">
        <w:rPr>
          <w:rStyle w:val="hps"/>
          <w:rFonts w:ascii="Century Gothic" w:hAnsi="Century Gothic"/>
          <w:b/>
        </w:rPr>
        <w:t>La liberté de mouvement et le droit à la vie privée et à domicile (arts</w:t>
      </w:r>
      <w:r w:rsidRPr="00AB79EF">
        <w:rPr>
          <w:rFonts w:ascii="Century Gothic" w:hAnsi="Century Gothic"/>
          <w:b/>
        </w:rPr>
        <w:t xml:space="preserve">.12 </w:t>
      </w:r>
      <w:r w:rsidRPr="00AB79EF">
        <w:rPr>
          <w:rStyle w:val="hps"/>
          <w:rFonts w:ascii="Century Gothic" w:hAnsi="Century Gothic"/>
          <w:b/>
        </w:rPr>
        <w:t>et 17</w:t>
      </w:r>
      <w:r w:rsidRPr="00AB79EF">
        <w:rPr>
          <w:rFonts w:ascii="Century Gothic" w:hAnsi="Century Gothic"/>
          <w:b/>
        </w:rPr>
        <w:t>)</w:t>
      </w:r>
      <w:bookmarkEnd w:id="12"/>
    </w:p>
    <w:p w14:paraId="3564FE85" w14:textId="77777777" w:rsidR="00F46DF1" w:rsidRPr="00AB79EF" w:rsidRDefault="002F0E4D" w:rsidP="00D060B8">
      <w:pPr>
        <w:pStyle w:val="Listecouleur-Accent12"/>
        <w:numPr>
          <w:ilvl w:val="0"/>
          <w:numId w:val="10"/>
        </w:numPr>
        <w:tabs>
          <w:tab w:val="left" w:pos="709"/>
        </w:tabs>
        <w:spacing w:after="0" w:line="240" w:lineRule="auto"/>
        <w:contextualSpacing/>
        <w:jc w:val="both"/>
        <w:outlineLvl w:val="0"/>
        <w:rPr>
          <w:rStyle w:val="hps"/>
          <w:rFonts w:ascii="Century Gothic" w:hAnsi="Century Gothic"/>
          <w:b/>
        </w:rPr>
      </w:pPr>
      <w:bookmarkStart w:id="13" w:name="_Toc426711289"/>
      <w:r w:rsidRPr="00AB79EF">
        <w:rPr>
          <w:rStyle w:val="hps"/>
          <w:rFonts w:ascii="Century Gothic" w:hAnsi="Century Gothic"/>
          <w:b/>
        </w:rPr>
        <w:t>La liberté de mouvement </w:t>
      </w:r>
      <w:r w:rsidR="00FF02A8" w:rsidRPr="00AB79EF">
        <w:rPr>
          <w:rStyle w:val="hps"/>
          <w:rFonts w:ascii="Century Gothic" w:hAnsi="Century Gothic"/>
          <w:b/>
        </w:rPr>
        <w:t>:</w:t>
      </w:r>
      <w:bookmarkEnd w:id="13"/>
      <w:r w:rsidR="00FF02A8" w:rsidRPr="00AB79EF">
        <w:rPr>
          <w:rStyle w:val="hps"/>
          <w:rFonts w:ascii="Century Gothic" w:hAnsi="Century Gothic"/>
          <w:b/>
        </w:rPr>
        <w:t xml:space="preserve"> </w:t>
      </w:r>
    </w:p>
    <w:p w14:paraId="7E84F221" w14:textId="77777777" w:rsidR="008214E1" w:rsidRPr="00AB79EF" w:rsidRDefault="00F46DF1" w:rsidP="00AB79EF">
      <w:pPr>
        <w:spacing w:line="240" w:lineRule="auto"/>
        <w:contextualSpacing/>
        <w:jc w:val="both"/>
        <w:rPr>
          <w:rFonts w:ascii="Century Gothic" w:hAnsi="Century Gothic"/>
        </w:rPr>
      </w:pPr>
      <w:r w:rsidRPr="00AB79EF">
        <w:rPr>
          <w:rStyle w:val="hps"/>
          <w:rFonts w:ascii="Century Gothic" w:hAnsi="Century Gothic"/>
        </w:rPr>
        <w:t>E</w:t>
      </w:r>
      <w:r w:rsidR="00FF02A8" w:rsidRPr="00AB79EF">
        <w:rPr>
          <w:rStyle w:val="hps"/>
          <w:rFonts w:ascii="Century Gothic" w:hAnsi="Century Gothic"/>
        </w:rPr>
        <w:t>lle</w:t>
      </w:r>
      <w:r w:rsidR="00892685" w:rsidRPr="00AB79EF">
        <w:rPr>
          <w:rStyle w:val="hps"/>
          <w:rFonts w:ascii="Century Gothic" w:hAnsi="Century Gothic"/>
        </w:rPr>
        <w:t xml:space="preserve"> est garantie au Burkina-Faso. Outre la Constitution</w:t>
      </w:r>
      <w:r w:rsidR="00892685" w:rsidRPr="00AB79EF">
        <w:rPr>
          <w:rStyle w:val="Marquenotebasdepage"/>
          <w:rFonts w:ascii="Century Gothic" w:hAnsi="Century Gothic"/>
        </w:rPr>
        <w:footnoteReference w:id="69"/>
      </w:r>
      <w:r w:rsidR="00820555">
        <w:rPr>
          <w:rStyle w:val="hps"/>
          <w:rFonts w:ascii="Century Gothic" w:hAnsi="Century Gothic"/>
        </w:rPr>
        <w:t xml:space="preserve"> </w:t>
      </w:r>
      <w:r w:rsidR="00892685" w:rsidRPr="00AB79EF">
        <w:rPr>
          <w:rFonts w:ascii="Century Gothic" w:hAnsi="Century Gothic"/>
        </w:rPr>
        <w:t>plusieurs textes législatifs et règlementaires</w:t>
      </w:r>
      <w:r w:rsidR="00892685" w:rsidRPr="00AB79EF">
        <w:rPr>
          <w:rStyle w:val="Marquenotebasdepage"/>
          <w:rFonts w:ascii="Century Gothic" w:hAnsi="Century Gothic"/>
        </w:rPr>
        <w:footnoteReference w:id="70"/>
      </w:r>
      <w:r w:rsidR="00892685" w:rsidRPr="00AB79EF">
        <w:rPr>
          <w:rFonts w:ascii="Century Gothic" w:hAnsi="Century Gothic"/>
        </w:rPr>
        <w:t xml:space="preserve"> ainsi que des conventions</w:t>
      </w:r>
      <w:r w:rsidR="00892685" w:rsidRPr="00AB79EF">
        <w:rPr>
          <w:rStyle w:val="Marquenotebasdepage"/>
          <w:rFonts w:ascii="Century Gothic" w:hAnsi="Century Gothic"/>
        </w:rPr>
        <w:footnoteReference w:id="71"/>
      </w:r>
      <w:r w:rsidR="00892685" w:rsidRPr="00AB79EF">
        <w:rPr>
          <w:rFonts w:ascii="Century Gothic" w:hAnsi="Century Gothic"/>
        </w:rPr>
        <w:t xml:space="preserve"> internationales auxquels le Burkina Faso est partie</w:t>
      </w:r>
      <w:r w:rsidR="001A05CC" w:rsidRPr="00AB79EF">
        <w:rPr>
          <w:rFonts w:ascii="Century Gothic" w:hAnsi="Century Gothic"/>
        </w:rPr>
        <w:t xml:space="preserve"> </w:t>
      </w:r>
      <w:r w:rsidR="00892685" w:rsidRPr="00AB79EF">
        <w:rPr>
          <w:rFonts w:ascii="Century Gothic" w:hAnsi="Century Gothic"/>
        </w:rPr>
        <w:t xml:space="preserve">garantissent et protègent l’exercice </w:t>
      </w:r>
      <w:r w:rsidR="00820555">
        <w:rPr>
          <w:rFonts w:ascii="Century Gothic" w:hAnsi="Century Gothic"/>
        </w:rPr>
        <w:t>de la liberté de mouvement</w:t>
      </w:r>
      <w:r w:rsidR="00892685" w:rsidRPr="00AB79EF">
        <w:rPr>
          <w:rFonts w:ascii="Century Gothic" w:hAnsi="Century Gothic"/>
        </w:rPr>
        <w:t xml:space="preserve">. Ces textes, ajoutés à l’adoption du passeport commun à l’espace CEDEAO facilitent la libre circulation des personnes au sein de l’espace communautaire. </w:t>
      </w:r>
    </w:p>
    <w:p w14:paraId="4D49D692"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En ce qui concerne les réfugiés, le pays coopère régulièrement avec le Haut-Commissariat des Nations Unies pour les réfugiés (</w:t>
      </w:r>
      <w:r w:rsidR="00820555">
        <w:rPr>
          <w:rFonts w:ascii="Century Gothic" w:hAnsi="Century Gothic"/>
        </w:rPr>
        <w:t>UN</w:t>
      </w:r>
      <w:r w:rsidRPr="00AB79EF">
        <w:rPr>
          <w:rFonts w:ascii="Century Gothic" w:hAnsi="Century Gothic"/>
        </w:rPr>
        <w:t xml:space="preserve">HCR) et d’autres organisations humanitaires comme la Croix Rouge pour fournir protection et assistance aux personnes déplacées à l’intérieur du pays, aux réfugiés de retour dans leur pays, aux demandeurs d’asile, aux personnes apatrides et aux autres personnes relevant de la compétence du </w:t>
      </w:r>
      <w:r w:rsidR="00820555">
        <w:rPr>
          <w:rFonts w:ascii="Century Gothic" w:hAnsi="Century Gothic"/>
        </w:rPr>
        <w:t>UN</w:t>
      </w:r>
      <w:r w:rsidRPr="00AB79EF">
        <w:rPr>
          <w:rFonts w:ascii="Century Gothic" w:hAnsi="Century Gothic"/>
        </w:rPr>
        <w:t>HCR. A ce jour, les défis que l’on observe relativement à la liberté de mouvements sont relatifs à la persistance des rackets commis par les forces de sécurité déployés pour assurer la protection des personnes et des biens sur les routes et surtout aux conditions de vie des personnes déplacées</w:t>
      </w:r>
      <w:r w:rsidR="006E40C7" w:rsidRPr="00AB79EF">
        <w:rPr>
          <w:rStyle w:val="Marquenotebasdepage"/>
          <w:rFonts w:ascii="Century Gothic" w:hAnsi="Century Gothic"/>
        </w:rPr>
        <w:footnoteReference w:id="72"/>
      </w:r>
      <w:r w:rsidRPr="00AB79EF">
        <w:rPr>
          <w:rFonts w:ascii="Century Gothic" w:hAnsi="Century Gothic"/>
        </w:rPr>
        <w:t>.</w:t>
      </w:r>
    </w:p>
    <w:p w14:paraId="24B97F2D" w14:textId="77777777" w:rsidR="00892685" w:rsidRPr="00AB79EF" w:rsidRDefault="00892685" w:rsidP="00D060B8">
      <w:pPr>
        <w:autoSpaceDE w:val="0"/>
        <w:autoSpaceDN w:val="0"/>
        <w:adjustRightInd w:val="0"/>
        <w:spacing w:after="0" w:line="240" w:lineRule="auto"/>
        <w:jc w:val="both"/>
        <w:rPr>
          <w:rFonts w:ascii="Century Gothic" w:hAnsi="Century Gothic"/>
        </w:rPr>
      </w:pPr>
      <w:r w:rsidRPr="00AB79EF">
        <w:rPr>
          <w:rFonts w:ascii="Century Gothic" w:hAnsi="Century Gothic"/>
        </w:rPr>
        <w:lastRenderedPageBreak/>
        <w:t>Le statut de réfugiés est encadré au Burkina-Faso par des textes conformes</w:t>
      </w:r>
      <w:r w:rsidRPr="00AB79EF">
        <w:rPr>
          <w:rStyle w:val="Marquenotebasdepage"/>
          <w:rFonts w:ascii="Century Gothic" w:hAnsi="Century Gothic"/>
        </w:rPr>
        <w:footnoteReference w:id="73"/>
      </w:r>
      <w:r w:rsidRPr="00AB79EF">
        <w:rPr>
          <w:rFonts w:ascii="Century Gothic" w:hAnsi="Century Gothic"/>
        </w:rPr>
        <w:t xml:space="preserve"> aux pratiques à l’échelle internationale. A ce jour, </w:t>
      </w:r>
      <w:r w:rsidR="00E87168" w:rsidRPr="00AB79EF">
        <w:rPr>
          <w:rFonts w:ascii="Century Gothic" w:hAnsi="Century Gothic"/>
        </w:rPr>
        <w:t>e</w:t>
      </w:r>
      <w:r w:rsidRPr="00AB79EF">
        <w:rPr>
          <w:rFonts w:ascii="Century Gothic" w:hAnsi="Century Gothic"/>
        </w:rPr>
        <w:t>nviron une quinzaine de nationalités bénéficient du statut de réfugiés au Burkina Faso. Depuis 2012, avec la crise du Nord Mali, la grande majorité des personnes réfugiées sont d’origine malienne regroupées dans deux camps dans la région du Sahel (</w:t>
      </w:r>
      <w:proofErr w:type="spellStart"/>
      <w:r w:rsidRPr="00AB79EF">
        <w:rPr>
          <w:rFonts w:ascii="Century Gothic" w:hAnsi="Century Gothic"/>
        </w:rPr>
        <w:t>Goudoubo</w:t>
      </w:r>
      <w:proofErr w:type="spellEnd"/>
      <w:r w:rsidRPr="00AB79EF">
        <w:rPr>
          <w:rFonts w:ascii="Century Gothic" w:hAnsi="Century Gothic"/>
        </w:rPr>
        <w:t xml:space="preserve"> dans la province de </w:t>
      </w:r>
      <w:proofErr w:type="spellStart"/>
      <w:r w:rsidRPr="00AB79EF">
        <w:rPr>
          <w:rFonts w:ascii="Century Gothic" w:hAnsi="Century Gothic"/>
        </w:rPr>
        <w:t>Seno</w:t>
      </w:r>
      <w:proofErr w:type="spellEnd"/>
      <w:r w:rsidRPr="00AB79EF">
        <w:rPr>
          <w:rFonts w:ascii="Century Gothic" w:hAnsi="Century Gothic"/>
        </w:rPr>
        <w:t xml:space="preserve"> et </w:t>
      </w:r>
      <w:proofErr w:type="spellStart"/>
      <w:r w:rsidRPr="00AB79EF">
        <w:rPr>
          <w:rFonts w:ascii="Century Gothic" w:hAnsi="Century Gothic"/>
        </w:rPr>
        <w:t>Mentao</w:t>
      </w:r>
      <w:proofErr w:type="spellEnd"/>
      <w:r w:rsidRPr="00AB79EF">
        <w:rPr>
          <w:rFonts w:ascii="Century Gothic" w:hAnsi="Century Gothic"/>
        </w:rPr>
        <w:t xml:space="preserve"> dans la province du Soum). Pendant la crise ivoirienne, le Burkina Faso a accueilli quelques illustres réfugiés politiques dont Balla Keita qui fut assassiné à la maison des hôtes en 2002</w:t>
      </w:r>
      <w:r w:rsidRPr="00AB79EF">
        <w:rPr>
          <w:rStyle w:val="Marquenotebasdepage"/>
          <w:rFonts w:ascii="Century Gothic" w:hAnsi="Century Gothic"/>
        </w:rPr>
        <w:footnoteReference w:id="74"/>
      </w:r>
      <w:r w:rsidRPr="00AB79EF">
        <w:rPr>
          <w:rFonts w:ascii="Century Gothic" w:hAnsi="Century Gothic"/>
        </w:rPr>
        <w:t xml:space="preserve">. </w:t>
      </w:r>
      <w:r w:rsidR="002F0E4D" w:rsidRPr="00AB79EF">
        <w:rPr>
          <w:rFonts w:ascii="Century Gothic" w:hAnsi="Century Gothic"/>
        </w:rPr>
        <w:t>Jusqu’à présent, les circonstances de son assassinat reste</w:t>
      </w:r>
      <w:r w:rsidR="00820555">
        <w:rPr>
          <w:rFonts w:ascii="Century Gothic" w:hAnsi="Century Gothic"/>
        </w:rPr>
        <w:t>nt</w:t>
      </w:r>
      <w:r w:rsidR="002F0E4D" w:rsidRPr="00AB79EF">
        <w:rPr>
          <w:rFonts w:ascii="Century Gothic" w:hAnsi="Century Gothic"/>
        </w:rPr>
        <w:t xml:space="preserve"> non élucidées</w:t>
      </w:r>
      <w:r w:rsidRPr="00AB79EF">
        <w:rPr>
          <w:rFonts w:ascii="Century Gothic" w:hAnsi="Century Gothic"/>
        </w:rPr>
        <w:t>.</w:t>
      </w:r>
    </w:p>
    <w:p w14:paraId="055DF47C" w14:textId="77777777" w:rsidR="00D060B8" w:rsidRDefault="00D060B8" w:rsidP="00D060B8">
      <w:pPr>
        <w:autoSpaceDE w:val="0"/>
        <w:autoSpaceDN w:val="0"/>
        <w:adjustRightInd w:val="0"/>
        <w:spacing w:after="0" w:line="240" w:lineRule="auto"/>
        <w:jc w:val="both"/>
        <w:rPr>
          <w:rFonts w:ascii="Century Gothic" w:hAnsi="Century Gothic"/>
        </w:rPr>
      </w:pPr>
    </w:p>
    <w:p w14:paraId="7B50968B" w14:textId="77777777" w:rsidR="00892685" w:rsidRPr="00AB79EF" w:rsidRDefault="00892685" w:rsidP="00D060B8">
      <w:pPr>
        <w:autoSpaceDE w:val="0"/>
        <w:autoSpaceDN w:val="0"/>
        <w:adjustRightInd w:val="0"/>
        <w:spacing w:after="0" w:line="240" w:lineRule="auto"/>
        <w:jc w:val="both"/>
        <w:rPr>
          <w:rFonts w:ascii="Century Gothic" w:hAnsi="Century Gothic"/>
        </w:rPr>
      </w:pPr>
      <w:r w:rsidRPr="00AB79EF">
        <w:rPr>
          <w:rFonts w:ascii="Century Gothic" w:hAnsi="Century Gothic"/>
        </w:rPr>
        <w:t xml:space="preserve">L’Etat a mis en place une Commission Nationale pour les Réfugiés (CONAREF) par </w:t>
      </w:r>
      <w:proofErr w:type="spellStart"/>
      <w:r w:rsidRPr="00AB79EF">
        <w:rPr>
          <w:rFonts w:ascii="Century Gothic" w:hAnsi="Century Gothic"/>
        </w:rPr>
        <w:t>Zatu</w:t>
      </w:r>
      <w:proofErr w:type="spellEnd"/>
      <w:r w:rsidRPr="00AB79EF">
        <w:rPr>
          <w:rFonts w:ascii="Century Gothic" w:hAnsi="Century Gothic"/>
        </w:rPr>
        <w:t xml:space="preserve"> AN V-28/FP/PRES du 3 Août 1988, placée sous la tutelle du Ministère des Affaires Etrangères et de la Coopération Régionale. Cette structure est chargée de la gestion de toutes les questions liées à la protection des réfugiés et des demandeurs d’asile et œuvre à l’intégration des étrangers et à la promotion de la cohésion pacifique avec les populations locales. Bien que ne disposant pas d’éléments très fiables pour apprécier le travail de la CONAREF, Amnesty International Burkina Faso a </w:t>
      </w:r>
      <w:r w:rsidR="002340CB" w:rsidRPr="00AB79EF">
        <w:rPr>
          <w:rFonts w:ascii="Century Gothic" w:hAnsi="Century Gothic"/>
        </w:rPr>
        <w:t xml:space="preserve">signalé avoir </w:t>
      </w:r>
      <w:r w:rsidRPr="00AB79EF">
        <w:rPr>
          <w:rFonts w:ascii="Century Gothic" w:hAnsi="Century Gothic"/>
        </w:rPr>
        <w:t xml:space="preserve">reçu en date du 3 juillet 2015, un ressortissant tchadien du nom de </w:t>
      </w:r>
      <w:proofErr w:type="spellStart"/>
      <w:r w:rsidRPr="00AB79EF">
        <w:rPr>
          <w:rFonts w:ascii="Century Gothic" w:hAnsi="Century Gothic"/>
        </w:rPr>
        <w:t>Djibrine</w:t>
      </w:r>
      <w:proofErr w:type="spellEnd"/>
      <w:r w:rsidR="003F3262" w:rsidRPr="00AB79EF">
        <w:rPr>
          <w:rFonts w:ascii="Century Gothic" w:hAnsi="Century Gothic"/>
        </w:rPr>
        <w:t xml:space="preserve"> </w:t>
      </w:r>
      <w:proofErr w:type="spellStart"/>
      <w:r w:rsidRPr="00AB79EF">
        <w:rPr>
          <w:rFonts w:ascii="Century Gothic" w:hAnsi="Century Gothic"/>
        </w:rPr>
        <w:t>Asali</w:t>
      </w:r>
      <w:proofErr w:type="spellEnd"/>
      <w:r w:rsidR="003F3262" w:rsidRPr="00AB79EF">
        <w:rPr>
          <w:rFonts w:ascii="Century Gothic" w:hAnsi="Century Gothic"/>
        </w:rPr>
        <w:t xml:space="preserve"> </w:t>
      </w:r>
      <w:proofErr w:type="spellStart"/>
      <w:r w:rsidRPr="00AB79EF">
        <w:rPr>
          <w:rFonts w:ascii="Century Gothic" w:hAnsi="Century Gothic"/>
        </w:rPr>
        <w:t>Hamdallah</w:t>
      </w:r>
      <w:proofErr w:type="spellEnd"/>
      <w:r w:rsidRPr="00AB79EF">
        <w:rPr>
          <w:rFonts w:ascii="Century Gothic" w:hAnsi="Century Gothic"/>
        </w:rPr>
        <w:t xml:space="preserve">, venu chercher l’aide d’Amnesty International </w:t>
      </w:r>
      <w:r w:rsidR="00536DD7">
        <w:rPr>
          <w:rFonts w:ascii="Century Gothic" w:hAnsi="Century Gothic"/>
        </w:rPr>
        <w:t xml:space="preserve">Burkina Faso </w:t>
      </w:r>
      <w:r w:rsidRPr="00AB79EF">
        <w:rPr>
          <w:rFonts w:ascii="Century Gothic" w:hAnsi="Century Gothic"/>
        </w:rPr>
        <w:t>pour l’obtention du titre de réfugié au Burkina Faso. Il a ex</w:t>
      </w:r>
      <w:r w:rsidRPr="006753A5">
        <w:rPr>
          <w:rFonts w:ascii="Century Gothic" w:hAnsi="Century Gothic"/>
        </w:rPr>
        <w:t>pliqué avoir introduit une demande d’asile auprès de ladite structure (CONARE</w:t>
      </w:r>
      <w:r w:rsidRPr="00447D83">
        <w:rPr>
          <w:rFonts w:ascii="Century Gothic" w:hAnsi="Century Gothic"/>
        </w:rPr>
        <w:t>F) depuis mai 2013</w:t>
      </w:r>
      <w:r w:rsidR="00536DD7" w:rsidRPr="00B15D45">
        <w:rPr>
          <w:rFonts w:ascii="Century Gothic" w:hAnsi="Century Gothic"/>
        </w:rPr>
        <w:t xml:space="preserve">. </w:t>
      </w:r>
      <w:r w:rsidR="00F26CA4" w:rsidRPr="00D80D55">
        <w:rPr>
          <w:rFonts w:ascii="Century Gothic" w:hAnsi="Century Gothic"/>
        </w:rPr>
        <w:t>Selon les dires de l’intéressé, l</w:t>
      </w:r>
      <w:r w:rsidR="00536DD7" w:rsidRPr="00D80D55">
        <w:rPr>
          <w:rFonts w:ascii="Century Gothic" w:hAnsi="Century Gothic"/>
        </w:rPr>
        <w:t xml:space="preserve">a CONAREF a, dans une première décision, estimé </w:t>
      </w:r>
      <w:r w:rsidR="00F26CA4" w:rsidRPr="00D80D55">
        <w:rPr>
          <w:rFonts w:ascii="Century Gothic" w:hAnsi="Century Gothic"/>
        </w:rPr>
        <w:t>qu’il</w:t>
      </w:r>
      <w:r w:rsidR="00536DD7" w:rsidRPr="00D80D55">
        <w:rPr>
          <w:rFonts w:ascii="Century Gothic" w:hAnsi="Century Gothic"/>
        </w:rPr>
        <w:t xml:space="preserve"> ne pouvait pas bénéficier du statut de réfugié car</w:t>
      </w:r>
      <w:r w:rsidRPr="00D80D55">
        <w:rPr>
          <w:rFonts w:ascii="Century Gothic" w:hAnsi="Century Gothic"/>
        </w:rPr>
        <w:t xml:space="preserve"> </w:t>
      </w:r>
      <w:r w:rsidR="00536DD7" w:rsidRPr="00D80D55">
        <w:rPr>
          <w:rFonts w:ascii="Century Gothic" w:hAnsi="Century Gothic"/>
        </w:rPr>
        <w:t xml:space="preserve">ayant déclaré devant la commission son intention de militer politiquement pour conquérir le pouvoir tchadien. Toutefois, Monsieur </w:t>
      </w:r>
      <w:proofErr w:type="spellStart"/>
      <w:r w:rsidR="00536DD7" w:rsidRPr="00D80D55">
        <w:rPr>
          <w:rFonts w:ascii="Century Gothic" w:hAnsi="Century Gothic"/>
        </w:rPr>
        <w:t>Djibrine</w:t>
      </w:r>
      <w:proofErr w:type="spellEnd"/>
      <w:r w:rsidR="00536DD7" w:rsidRPr="00D80D55">
        <w:rPr>
          <w:rFonts w:ascii="Century Gothic" w:hAnsi="Century Gothic"/>
        </w:rPr>
        <w:t xml:space="preserve"> indique avoir envoyé une déclaration de renonciation officielle à toute idée de continuer des actions politiques depuis le Burkina Faso à la CONAREF en soutien </w:t>
      </w:r>
      <w:r w:rsidR="00583CCD" w:rsidRPr="00D80D55">
        <w:rPr>
          <w:rFonts w:ascii="Century Gothic" w:hAnsi="Century Gothic"/>
        </w:rPr>
        <w:t>au recours qu’il a formé le 1</w:t>
      </w:r>
      <w:r w:rsidR="00583CCD" w:rsidRPr="00D80D55">
        <w:rPr>
          <w:rFonts w:ascii="Century Gothic" w:hAnsi="Century Gothic"/>
          <w:vertAlign w:val="superscript"/>
        </w:rPr>
        <w:t>er</w:t>
      </w:r>
      <w:r w:rsidR="00583CCD" w:rsidRPr="00D80D55">
        <w:rPr>
          <w:rFonts w:ascii="Century Gothic" w:hAnsi="Century Gothic"/>
        </w:rPr>
        <w:t xml:space="preserve"> avril 2014</w:t>
      </w:r>
      <w:r w:rsidR="00536DD7" w:rsidRPr="00D80D55">
        <w:rPr>
          <w:rFonts w:ascii="Century Gothic" w:hAnsi="Century Gothic"/>
        </w:rPr>
        <w:t xml:space="preserve"> </w:t>
      </w:r>
      <w:r w:rsidRPr="00D80D55">
        <w:rPr>
          <w:rFonts w:ascii="Century Gothic" w:hAnsi="Century Gothic"/>
        </w:rPr>
        <w:t>mais jusqu’à la date du 3 juillet 2015 n’avait pas encore obtenu le statut de réfugié.</w:t>
      </w:r>
      <w:r w:rsidRPr="00AB79EF">
        <w:rPr>
          <w:rFonts w:ascii="Century Gothic" w:hAnsi="Century Gothic"/>
        </w:rPr>
        <w:t xml:space="preserve"> </w:t>
      </w:r>
    </w:p>
    <w:p w14:paraId="5DAC5159" w14:textId="77777777" w:rsidR="00F96401" w:rsidRPr="00AB79EF" w:rsidRDefault="00F96401" w:rsidP="00AB79EF">
      <w:pPr>
        <w:autoSpaceDE w:val="0"/>
        <w:autoSpaceDN w:val="0"/>
        <w:adjustRightInd w:val="0"/>
        <w:spacing w:after="0" w:line="240" w:lineRule="auto"/>
        <w:ind w:firstLine="709"/>
        <w:jc w:val="both"/>
        <w:rPr>
          <w:rFonts w:ascii="Century Gothic" w:hAnsi="Century Gothic"/>
        </w:rPr>
      </w:pPr>
    </w:p>
    <w:p w14:paraId="36B9B11A" w14:textId="77777777" w:rsidR="00892685" w:rsidRPr="00AB79EF" w:rsidRDefault="00892685" w:rsidP="00D060B8">
      <w:pPr>
        <w:pStyle w:val="Listecouleur-Accent12"/>
        <w:numPr>
          <w:ilvl w:val="0"/>
          <w:numId w:val="21"/>
        </w:numPr>
        <w:autoSpaceDE w:val="0"/>
        <w:autoSpaceDN w:val="0"/>
        <w:adjustRightInd w:val="0"/>
        <w:spacing w:after="0" w:line="240" w:lineRule="auto"/>
        <w:contextualSpacing/>
        <w:rPr>
          <w:rFonts w:ascii="Century Gothic" w:hAnsi="Century Gothic"/>
        </w:rPr>
      </w:pPr>
      <w:r w:rsidRPr="00AB79EF">
        <w:rPr>
          <w:rFonts w:ascii="Century Gothic" w:hAnsi="Century Gothic"/>
          <w:b/>
        </w:rPr>
        <w:t>Le droit à la vie privée</w:t>
      </w:r>
      <w:r w:rsidRPr="00AB79EF">
        <w:rPr>
          <w:rFonts w:ascii="Century Gothic" w:hAnsi="Century Gothic"/>
        </w:rPr>
        <w:t> </w:t>
      </w:r>
    </w:p>
    <w:p w14:paraId="0CCC1042"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Reconnu et encadré par des textes, le droit à la vie privée fait néanmoins l’objet de certaines entraves liées, entre autres, au contrôle des moyens de communication.</w:t>
      </w:r>
    </w:p>
    <w:p w14:paraId="0B987757"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 xml:space="preserve">La règlementation et le contrôle des communications et des moyens y afférents au Burkina Faso relèvent du champ de compétence d’une multitude d’institutions : la Commission de l’Informatique et des Libertés (CIL), l’Autorité de Régulation des </w:t>
      </w:r>
      <w:r w:rsidRPr="00AB79EF">
        <w:rPr>
          <w:rFonts w:ascii="Century Gothic" w:hAnsi="Century Gothic"/>
        </w:rPr>
        <w:lastRenderedPageBreak/>
        <w:t>Communications Electroniques et des Postes (ARCEP)</w:t>
      </w:r>
      <w:r w:rsidRPr="00AB79EF">
        <w:rPr>
          <w:rStyle w:val="Marquenotebasdepage"/>
          <w:rFonts w:ascii="Century Gothic" w:hAnsi="Century Gothic"/>
        </w:rPr>
        <w:footnoteReference w:id="75"/>
      </w:r>
      <w:r w:rsidRPr="00AB79EF">
        <w:rPr>
          <w:rFonts w:ascii="Century Gothic" w:hAnsi="Century Gothic"/>
        </w:rPr>
        <w:t xml:space="preserve"> et le Conseil Supérieur de la Communication (CSC)</w:t>
      </w:r>
      <w:r w:rsidRPr="00AB79EF">
        <w:rPr>
          <w:rStyle w:val="Marquenotebasdepage"/>
          <w:rFonts w:ascii="Century Gothic" w:hAnsi="Century Gothic"/>
        </w:rPr>
        <w:footnoteReference w:id="76"/>
      </w:r>
      <w:r w:rsidRPr="00AB79EF">
        <w:rPr>
          <w:rFonts w:ascii="Century Gothic" w:hAnsi="Century Gothic"/>
        </w:rPr>
        <w:t>.</w:t>
      </w:r>
    </w:p>
    <w:p w14:paraId="73270365" w14:textId="77777777" w:rsidR="00892685" w:rsidRPr="00AB79EF"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Dans les affaires relevant de la sécurité nationale, la loi autorise la surveillance, les perquisitions, la mise sur écoute téléphonique et la surveillance de la correspondance privée.</w:t>
      </w:r>
      <w:r w:rsidR="00F96401" w:rsidRPr="00AB79EF">
        <w:rPr>
          <w:rFonts w:ascii="Century Gothic" w:hAnsi="Century Gothic"/>
        </w:rPr>
        <w:t xml:space="preserve"> </w:t>
      </w:r>
      <w:r w:rsidRPr="00AB79EF">
        <w:rPr>
          <w:rFonts w:ascii="Century Gothic" w:hAnsi="Century Gothic"/>
        </w:rPr>
        <w:t>Officiellement, il n’y a pas de restrictions gouvernementales concernant l’accès à l’Internet, ni d’informations selon lesquelles le gouvernement aurait surveillé le courrier électronique ou les forums de discussion en ligne. Les individus et les groupes sont libres de procéder à l’expression pacifique de leurs points de vue par l’intermédiaire de l’Internet, y compris par courrier électronique.</w:t>
      </w:r>
    </w:p>
    <w:p w14:paraId="3ABA1BC6" w14:textId="77777777" w:rsidR="00892685" w:rsidRPr="00AB79EF"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 xml:space="preserve">Mais, il est apparu que </w:t>
      </w:r>
      <w:r w:rsidRPr="00AB79EF">
        <w:rPr>
          <w:rFonts w:ascii="Century Gothic" w:hAnsi="Century Gothic"/>
          <w:b/>
        </w:rPr>
        <w:t xml:space="preserve">lors des crises de 2011 et 2014, </w:t>
      </w:r>
      <w:proofErr w:type="gramStart"/>
      <w:r w:rsidRPr="00AB79EF">
        <w:rPr>
          <w:rFonts w:ascii="Century Gothic" w:hAnsi="Century Gothic"/>
          <w:b/>
        </w:rPr>
        <w:t>le gouvernement</w:t>
      </w:r>
      <w:proofErr w:type="gramEnd"/>
      <w:r w:rsidRPr="00AB79EF">
        <w:rPr>
          <w:rFonts w:ascii="Century Gothic" w:hAnsi="Century Gothic"/>
          <w:b/>
        </w:rPr>
        <w:t xml:space="preserve"> de Blaise Compaoré a procédé à une restriction des moyens de communication et en particulier des SMS</w:t>
      </w:r>
      <w:r w:rsidRPr="00AB79EF">
        <w:rPr>
          <w:rFonts w:ascii="Century Gothic" w:hAnsi="Century Gothic"/>
        </w:rPr>
        <w:t>. Les pouvoirs publics ont ainsi brouillé les services de télécommunications et notamment suspendu les services de SMS alors que des partis politiques et mouvements associatifs avaient planifié des activités</w:t>
      </w:r>
      <w:r w:rsidRPr="00AB79EF">
        <w:rPr>
          <w:rStyle w:val="Marquenotebasdepage"/>
          <w:rFonts w:ascii="Century Gothic" w:hAnsi="Century Gothic"/>
        </w:rPr>
        <w:footnoteReference w:id="77"/>
      </w:r>
      <w:r w:rsidRPr="00AB79EF">
        <w:rPr>
          <w:rFonts w:ascii="Century Gothic" w:hAnsi="Century Gothic"/>
        </w:rPr>
        <w:t>. Cette suspension a été confirmée par le ministre de l’administration territoriale et de la sécurité de l’époque Jérôme BOUGOUMA qui a reconnu que le 30 avril</w:t>
      </w:r>
      <w:r w:rsidR="009E07AE">
        <w:rPr>
          <w:rFonts w:ascii="Century Gothic" w:hAnsi="Century Gothic"/>
        </w:rPr>
        <w:t xml:space="preserve"> 2014</w:t>
      </w:r>
      <w:r w:rsidRPr="00AB79EF">
        <w:rPr>
          <w:rFonts w:ascii="Century Gothic" w:hAnsi="Century Gothic"/>
        </w:rPr>
        <w:t xml:space="preserve">, les opérateurs de téléphonie ont effectivement suspendu le service SMS à la demande des autorités. En outre, en octobre 2014, lors de la forte pression politique, menée par les partis politiques de l’opposition et de la société civile contre la modification de l’article 37 de la constitution, les services de messagerie ont été encore suspendus même si cette suspension n’a été confirmée par aucune source officielle. Ce recours abusif aux suspensions des messageries est « facilité » par de </w:t>
      </w:r>
      <w:r w:rsidRPr="00AB79EF">
        <w:rPr>
          <w:rFonts w:ascii="Century Gothic" w:hAnsi="Century Gothic"/>
          <w:b/>
        </w:rPr>
        <w:t>l’inexistence de procédures, de mécanisme régissant le contrôle judiciaire et indépendant des procédures</w:t>
      </w:r>
      <w:r w:rsidRPr="00AB79EF">
        <w:rPr>
          <w:rFonts w:ascii="Century Gothic" w:hAnsi="Century Gothic"/>
        </w:rPr>
        <w:t xml:space="preserve"> de suspension des services de messagerie et des moyens de communication de citoyens en général.</w:t>
      </w:r>
    </w:p>
    <w:p w14:paraId="10C84BEE" w14:textId="77777777" w:rsidR="0035150F" w:rsidRDefault="0035150F" w:rsidP="00AB79EF">
      <w:pPr>
        <w:autoSpaceDE w:val="0"/>
        <w:autoSpaceDN w:val="0"/>
        <w:adjustRightInd w:val="0"/>
        <w:spacing w:after="100" w:afterAutospacing="1" w:line="240" w:lineRule="auto"/>
        <w:jc w:val="both"/>
        <w:rPr>
          <w:rFonts w:ascii="Century Gothic" w:hAnsi="Century Gothic"/>
          <w:b/>
        </w:rPr>
      </w:pPr>
    </w:p>
    <w:p w14:paraId="6F15AA7F" w14:textId="77777777" w:rsidR="00892685" w:rsidRPr="00AB79EF" w:rsidRDefault="0035150F" w:rsidP="00AB79EF">
      <w:pPr>
        <w:autoSpaceDE w:val="0"/>
        <w:autoSpaceDN w:val="0"/>
        <w:adjustRightInd w:val="0"/>
        <w:spacing w:after="100" w:afterAutospacing="1" w:line="240" w:lineRule="auto"/>
        <w:jc w:val="both"/>
        <w:rPr>
          <w:rFonts w:ascii="Century Gothic" w:hAnsi="Century Gothic"/>
        </w:rPr>
      </w:pPr>
      <w:r w:rsidRPr="0035150F">
        <w:rPr>
          <w:rFonts w:ascii="Century Gothic" w:hAnsi="Century Gothic"/>
        </w:rPr>
        <w:t xml:space="preserve">Même si </w:t>
      </w:r>
      <w:r>
        <w:rPr>
          <w:rFonts w:ascii="Century Gothic" w:hAnsi="Century Gothic"/>
        </w:rPr>
        <w:t>l</w:t>
      </w:r>
      <w:r w:rsidR="00892685" w:rsidRPr="00AB79EF">
        <w:rPr>
          <w:rFonts w:ascii="Century Gothic" w:hAnsi="Century Gothic"/>
        </w:rPr>
        <w:t>a loi protège le citoyen contre toute immixtion dans sa vie privée y compris dans sa communication avec autrui</w:t>
      </w:r>
      <w:r w:rsidR="00892685" w:rsidRPr="00AB79EF">
        <w:rPr>
          <w:rStyle w:val="Marquenotebasdepage"/>
          <w:rFonts w:ascii="Century Gothic" w:hAnsi="Century Gothic"/>
        </w:rPr>
        <w:footnoteReference w:id="78"/>
      </w:r>
      <w:r>
        <w:rPr>
          <w:rFonts w:ascii="Century Gothic" w:hAnsi="Century Gothic"/>
        </w:rPr>
        <w:t>, i</w:t>
      </w:r>
      <w:r w:rsidR="00892685" w:rsidRPr="00AB79EF">
        <w:rPr>
          <w:rFonts w:ascii="Century Gothic" w:hAnsi="Century Gothic"/>
        </w:rPr>
        <w:t xml:space="preserve">l convient toutefois de noter l’impossibilité matérielle pour le citoyen de faire la preuve de certaines atteintes à sa vie privée notamment les contrôles abusifs de communications opérés par les pouvoirs publics (écoutes téléphoniques, surveillances électroniques etc.). Les mesures de suspension des services de messagerie ordonnées par le gouvernement dans le contexte de crises n’ont jamais fait l’objet de réparation des dommages subis par les clients abonnés auxdits services. </w:t>
      </w:r>
    </w:p>
    <w:p w14:paraId="2D3ABD74" w14:textId="77777777" w:rsidR="00892685" w:rsidRPr="00AB79EF" w:rsidRDefault="0035150F" w:rsidP="00D060B8">
      <w:pPr>
        <w:numPr>
          <w:ilvl w:val="0"/>
          <w:numId w:val="11"/>
        </w:numPr>
        <w:autoSpaceDE w:val="0"/>
        <w:autoSpaceDN w:val="0"/>
        <w:adjustRightInd w:val="0"/>
        <w:spacing w:before="100" w:beforeAutospacing="1" w:after="0" w:line="240" w:lineRule="auto"/>
        <w:contextualSpacing/>
        <w:rPr>
          <w:rFonts w:ascii="Century Gothic" w:hAnsi="Century Gothic"/>
        </w:rPr>
      </w:pPr>
      <w:r>
        <w:rPr>
          <w:rFonts w:ascii="Century Gothic" w:hAnsi="Century Gothic"/>
          <w:b/>
        </w:rPr>
        <w:t>Protection des</w:t>
      </w:r>
      <w:r w:rsidR="00892685" w:rsidRPr="00AB79EF">
        <w:rPr>
          <w:rFonts w:ascii="Century Gothic" w:hAnsi="Century Gothic"/>
          <w:b/>
        </w:rPr>
        <w:t xml:space="preserve"> données</w:t>
      </w:r>
      <w:r>
        <w:rPr>
          <w:rFonts w:ascii="Century Gothic" w:hAnsi="Century Gothic"/>
          <w:b/>
        </w:rPr>
        <w:t xml:space="preserve"> </w:t>
      </w:r>
      <w:r w:rsidR="009E07AE">
        <w:rPr>
          <w:rFonts w:ascii="Century Gothic" w:hAnsi="Century Gothic"/>
          <w:b/>
        </w:rPr>
        <w:t>personnelles</w:t>
      </w:r>
    </w:p>
    <w:p w14:paraId="4182D399" w14:textId="77777777" w:rsidR="0035150F" w:rsidRDefault="0079123D" w:rsidP="00AB79EF">
      <w:pPr>
        <w:spacing w:after="0" w:line="240" w:lineRule="auto"/>
        <w:jc w:val="both"/>
        <w:rPr>
          <w:rFonts w:ascii="Century Gothic" w:eastAsia="Times New Roman" w:hAnsi="Century Gothic"/>
          <w:lang w:eastAsia="fr-FR"/>
        </w:rPr>
      </w:pPr>
      <w:r w:rsidRPr="00AB79EF">
        <w:rPr>
          <w:rFonts w:ascii="Century Gothic" w:eastAsia="Times New Roman" w:hAnsi="Century Gothic"/>
          <w:lang w:eastAsia="fr-FR"/>
        </w:rPr>
        <w:t xml:space="preserve">Depuis 2004, le Burkina Faso dispose d’une législation en matière de protection des données qui encadre la conservation des données personnelles, mais cette loi </w:t>
      </w:r>
      <w:r w:rsidRPr="00AB79EF">
        <w:rPr>
          <w:rFonts w:ascii="Century Gothic" w:eastAsia="Times New Roman" w:hAnsi="Century Gothic"/>
          <w:lang w:eastAsia="fr-FR"/>
        </w:rPr>
        <w:lastRenderedPageBreak/>
        <w:t xml:space="preserve">demeure mal connue par les acteurs. La Commission de l’Informatique et des Libertés (CIL) créée par la </w:t>
      </w:r>
      <w:r w:rsidRPr="00AB79EF">
        <w:rPr>
          <w:rFonts w:ascii="Century Gothic" w:eastAsia="Times New Roman" w:hAnsi="Century Gothic"/>
          <w:b/>
          <w:bCs/>
          <w:lang w:eastAsia="fr-FR"/>
        </w:rPr>
        <w:t>loi n°10-2004/AN du 20 Avril 2004</w:t>
      </w:r>
      <w:r w:rsidRPr="00AB79EF">
        <w:rPr>
          <w:rFonts w:ascii="Century Gothic" w:eastAsia="Times New Roman" w:hAnsi="Century Gothic"/>
          <w:lang w:eastAsia="fr-FR"/>
        </w:rPr>
        <w:t xml:space="preserve"> portant </w:t>
      </w:r>
      <w:r w:rsidRPr="00AB79EF">
        <w:rPr>
          <w:rFonts w:ascii="Century Gothic" w:eastAsia="Times New Roman" w:hAnsi="Century Gothic"/>
          <w:b/>
          <w:bCs/>
          <w:lang w:eastAsia="fr-FR"/>
        </w:rPr>
        <w:t>protection des données à caractère personnel</w:t>
      </w:r>
      <w:r w:rsidRPr="00AB79EF">
        <w:rPr>
          <w:rFonts w:ascii="Century Gothic" w:eastAsia="Times New Roman" w:hAnsi="Century Gothic"/>
          <w:lang w:eastAsia="fr-FR"/>
        </w:rPr>
        <w:t xml:space="preserve"> travaille à la vulgarisation de la loi et à la sensibilisation des citoyens sur leurs droits et obligations conformément à sa mission qui est de veiller à la protection des personnes, de leurs libertés et droits fondamentaux dans l’utilisation des fichiers et le traitement de données à caractère personnel. Bien qu’elle dispose d’un pouvoir de sanction et de répression des infractions liées à la violation des principes et obligations de la protection des données personnelles, elle met l’accent sur les activités de sensibilisation. Le groupe de travail salue cette démarche et l’effort de sensibilisation entrepris par la CIL ces dernières années. </w:t>
      </w:r>
    </w:p>
    <w:p w14:paraId="52FC60DC" w14:textId="77777777" w:rsidR="0079123D" w:rsidRPr="00AB79EF" w:rsidRDefault="0079123D" w:rsidP="00AB79EF">
      <w:pPr>
        <w:spacing w:after="0" w:line="240" w:lineRule="auto"/>
        <w:jc w:val="both"/>
        <w:rPr>
          <w:rFonts w:ascii="Century Gothic" w:eastAsia="Times New Roman" w:hAnsi="Century Gothic"/>
          <w:lang w:eastAsia="fr-FR"/>
        </w:rPr>
      </w:pPr>
      <w:r w:rsidRPr="00AB79EF">
        <w:rPr>
          <w:rFonts w:ascii="Century Gothic" w:eastAsia="Times New Roman" w:hAnsi="Century Gothic"/>
          <w:lang w:eastAsia="fr-FR"/>
        </w:rPr>
        <w:t xml:space="preserve">Au regard du développement de la cybercriminalité dans la sous-région (phénomène des brouteurs), la coalition appelle les autorités, notamment la police à davantage de mesures de protection des citoyens. On note par ailleurs le développement des phénomènes de collecte et de commercialisation/diffusion illégales de coordonnées personnelles. En effet, il est courant que des personnes ayant participé à une rencontre ou un atelier et qui se sont enregistrés sur des listes de présence se </w:t>
      </w:r>
      <w:proofErr w:type="gramStart"/>
      <w:r w:rsidRPr="00AB79EF">
        <w:rPr>
          <w:rFonts w:ascii="Century Gothic" w:eastAsia="Times New Roman" w:hAnsi="Century Gothic"/>
          <w:lang w:eastAsia="fr-FR"/>
        </w:rPr>
        <w:t>fassent</w:t>
      </w:r>
      <w:proofErr w:type="gramEnd"/>
      <w:r w:rsidRPr="00AB79EF">
        <w:rPr>
          <w:rFonts w:ascii="Century Gothic" w:eastAsia="Times New Roman" w:hAnsi="Century Gothic"/>
          <w:lang w:eastAsia="fr-FR"/>
        </w:rPr>
        <w:t xml:space="preserve"> démarcher par mail ou par téléphone par des entreprises.</w:t>
      </w:r>
    </w:p>
    <w:p w14:paraId="371CAE51" w14:textId="77777777" w:rsidR="0079123D" w:rsidRPr="00AB79EF" w:rsidRDefault="0079123D" w:rsidP="00AB79EF">
      <w:pPr>
        <w:spacing w:after="0" w:line="240" w:lineRule="auto"/>
        <w:jc w:val="both"/>
        <w:rPr>
          <w:rFonts w:ascii="Century Gothic" w:eastAsia="Times New Roman" w:hAnsi="Century Gothic"/>
          <w:lang w:eastAsia="fr-FR"/>
        </w:rPr>
      </w:pPr>
      <w:r w:rsidRPr="00AB79EF">
        <w:rPr>
          <w:rFonts w:ascii="Century Gothic" w:eastAsia="Times New Roman" w:hAnsi="Century Gothic"/>
          <w:lang w:eastAsia="fr-FR"/>
        </w:rPr>
        <w:t>Il est alors important de savoir quelles sont les mesures concrètes prises par la CIL ainsi que les mécanismes pour amener les contrevenants aux dispositions législatives relatives à la protection des données personnelles à rendre des comptes. La CIL mène des missions de contrôle et lorsqu’elle découvre un cas d’infraction grave elle a le pouvoir de dénonciation auprès du parquet. Mais un tel cas ne s’est pas encore présenté. Elle produit des communiqués qu’elle fait passer dans la presse écrite pour prévenir l’utilisation abusive des données par les responsables de traitement.</w:t>
      </w:r>
    </w:p>
    <w:p w14:paraId="62581D75" w14:textId="77777777" w:rsidR="0079123D" w:rsidRPr="00AB79EF" w:rsidRDefault="0079123D" w:rsidP="00AB79EF">
      <w:pPr>
        <w:spacing w:after="0" w:line="240" w:lineRule="auto"/>
        <w:jc w:val="both"/>
        <w:rPr>
          <w:rFonts w:ascii="Century Gothic" w:eastAsia="Times New Roman" w:hAnsi="Century Gothic"/>
          <w:lang w:eastAsia="fr-FR"/>
        </w:rPr>
      </w:pPr>
      <w:r w:rsidRPr="00AB79EF">
        <w:rPr>
          <w:rFonts w:ascii="Century Gothic" w:eastAsia="Times New Roman" w:hAnsi="Century Gothic"/>
          <w:lang w:eastAsia="fr-FR"/>
        </w:rPr>
        <w:t>Toutefois la CIL a besoin d</w:t>
      </w:r>
      <w:r w:rsidR="0035150F">
        <w:rPr>
          <w:rFonts w:ascii="Century Gothic" w:eastAsia="Times New Roman" w:hAnsi="Century Gothic"/>
          <w:lang w:eastAsia="fr-FR"/>
        </w:rPr>
        <w:t>es</w:t>
      </w:r>
      <w:r w:rsidRPr="00AB79EF">
        <w:rPr>
          <w:rFonts w:ascii="Century Gothic" w:eastAsia="Times New Roman" w:hAnsi="Century Gothic"/>
          <w:lang w:eastAsia="fr-FR"/>
        </w:rPr>
        <w:t xml:space="preserve"> ressource</w:t>
      </w:r>
      <w:r w:rsidR="0035150F">
        <w:rPr>
          <w:rFonts w:ascii="Century Gothic" w:eastAsia="Times New Roman" w:hAnsi="Century Gothic"/>
          <w:lang w:eastAsia="fr-FR"/>
        </w:rPr>
        <w:t>s</w:t>
      </w:r>
      <w:r w:rsidRPr="00AB79EF">
        <w:rPr>
          <w:rFonts w:ascii="Century Gothic" w:eastAsia="Times New Roman" w:hAnsi="Century Gothic"/>
          <w:lang w:eastAsia="fr-FR"/>
        </w:rPr>
        <w:t xml:space="preserve"> humaine</w:t>
      </w:r>
      <w:r w:rsidR="0035150F">
        <w:rPr>
          <w:rFonts w:ascii="Century Gothic" w:eastAsia="Times New Roman" w:hAnsi="Century Gothic"/>
          <w:lang w:eastAsia="fr-FR"/>
        </w:rPr>
        <w:t>s</w:t>
      </w:r>
      <w:r w:rsidRPr="00AB79EF">
        <w:rPr>
          <w:rFonts w:ascii="Century Gothic" w:eastAsia="Times New Roman" w:hAnsi="Century Gothic"/>
          <w:lang w:eastAsia="fr-FR"/>
        </w:rPr>
        <w:t xml:space="preserve"> qualifiée</w:t>
      </w:r>
      <w:r w:rsidR="0035150F">
        <w:rPr>
          <w:rFonts w:ascii="Century Gothic" w:eastAsia="Times New Roman" w:hAnsi="Century Gothic"/>
          <w:lang w:eastAsia="fr-FR"/>
        </w:rPr>
        <w:t>s</w:t>
      </w:r>
      <w:r w:rsidRPr="00AB79EF">
        <w:rPr>
          <w:rFonts w:ascii="Century Gothic" w:eastAsia="Times New Roman" w:hAnsi="Century Gothic"/>
          <w:lang w:eastAsia="fr-FR"/>
        </w:rPr>
        <w:t xml:space="preserve"> au regard de la nouveauté de la matière et du développement exponentiel des technologies. Pour cela, il faut envisager dans quelle mesure lui donner une autonomie dans le recrutement de son personnel. Deuxièmement, elle a besoin d’un rehaussement de son budget de renforcement des capacités car la vitesse de l’évolution technologique le requiert. Troisièmement, il y a lieu d’envisager une relecture de la loi portant protection des données à caractère personnel pour accroître les pouvoirs de sanction administrative de la Commission et pour tenir compte des évolutions législatives, au plan sous régional, régional et international.</w:t>
      </w:r>
    </w:p>
    <w:p w14:paraId="696F0F02" w14:textId="77777777" w:rsidR="00892685" w:rsidRPr="00AB79EF" w:rsidRDefault="00892685" w:rsidP="00AB79EF">
      <w:pPr>
        <w:autoSpaceDE w:val="0"/>
        <w:autoSpaceDN w:val="0"/>
        <w:adjustRightInd w:val="0"/>
        <w:spacing w:after="0" w:line="240" w:lineRule="auto"/>
        <w:jc w:val="both"/>
        <w:rPr>
          <w:rFonts w:ascii="Century Gothic" w:hAnsi="Century Gothic"/>
        </w:rPr>
      </w:pPr>
    </w:p>
    <w:p w14:paraId="649FA314" w14:textId="77777777" w:rsidR="008214E1" w:rsidRPr="00AB79EF" w:rsidRDefault="00892685" w:rsidP="00AB79EF">
      <w:pPr>
        <w:spacing w:line="240" w:lineRule="auto"/>
        <w:contextualSpacing/>
        <w:jc w:val="both"/>
        <w:rPr>
          <w:rStyle w:val="hps"/>
          <w:rFonts w:ascii="Century Gothic" w:hAnsi="Century Gothic"/>
          <w:b/>
        </w:rPr>
      </w:pPr>
      <w:r w:rsidRPr="00AB79EF">
        <w:rPr>
          <w:rStyle w:val="hps"/>
          <w:rFonts w:ascii="Century Gothic" w:hAnsi="Century Gothic"/>
          <w:b/>
          <w:i/>
          <w:u w:val="single"/>
        </w:rPr>
        <w:t>Suggestions de questions provenant de la société civile relatives aux points ci-dessus</w:t>
      </w:r>
      <w:r w:rsidRPr="00AB79EF">
        <w:rPr>
          <w:rStyle w:val="hps"/>
          <w:rFonts w:ascii="Century Gothic" w:hAnsi="Century Gothic"/>
          <w:b/>
        </w:rPr>
        <w:t> </w:t>
      </w:r>
    </w:p>
    <w:p w14:paraId="5B4030EC" w14:textId="77777777" w:rsidR="00892685" w:rsidRPr="00AB79EF" w:rsidRDefault="00892685" w:rsidP="00D060B8">
      <w:pPr>
        <w:pStyle w:val="Listecouleur-Accent12"/>
        <w:numPr>
          <w:ilvl w:val="0"/>
          <w:numId w:val="28"/>
        </w:numPr>
        <w:spacing w:line="240" w:lineRule="auto"/>
        <w:contextualSpacing/>
        <w:jc w:val="both"/>
        <w:rPr>
          <w:rStyle w:val="hps"/>
          <w:rFonts w:ascii="Century Gothic" w:hAnsi="Century Gothic"/>
        </w:rPr>
      </w:pPr>
      <w:r w:rsidRPr="00AB79EF">
        <w:rPr>
          <w:rStyle w:val="hps"/>
          <w:rFonts w:ascii="Century Gothic" w:hAnsi="Century Gothic"/>
        </w:rPr>
        <w:t>Quelles mesures le gouvernement compte-t-il prendre pour améliorer la prise en charge des déplacées internes, notamment celles victimes des conflits intercommunautaires ?</w:t>
      </w:r>
    </w:p>
    <w:p w14:paraId="48A1B4D6" w14:textId="77777777" w:rsidR="00892685" w:rsidRPr="00AB79EF" w:rsidRDefault="00892685" w:rsidP="00D060B8">
      <w:pPr>
        <w:pStyle w:val="Listecouleur-Accent12"/>
        <w:numPr>
          <w:ilvl w:val="0"/>
          <w:numId w:val="28"/>
        </w:numPr>
        <w:spacing w:line="240" w:lineRule="auto"/>
        <w:contextualSpacing/>
        <w:jc w:val="both"/>
        <w:rPr>
          <w:rStyle w:val="hps"/>
          <w:rFonts w:ascii="Century Gothic" w:hAnsi="Century Gothic"/>
        </w:rPr>
      </w:pPr>
      <w:r w:rsidRPr="00AB79EF">
        <w:rPr>
          <w:rStyle w:val="hps"/>
          <w:rFonts w:ascii="Century Gothic" w:hAnsi="Century Gothic"/>
        </w:rPr>
        <w:t>De nombreux burkinabè ont été rapatriés du Gabon, de Libye, du Nigeria, de Guinée équatoriale dans des conditions particulièrement éprouvantes. Quelles mesures et moyens d’accompagnement le gouvernement compte-t-il mettre en place pour faciliter la réinsertion sociale les personnes rapatriées?</w:t>
      </w:r>
    </w:p>
    <w:p w14:paraId="7EA34D2E" w14:textId="77777777" w:rsidR="00892685" w:rsidRPr="00AB79EF" w:rsidRDefault="00892685" w:rsidP="00D060B8">
      <w:pPr>
        <w:pStyle w:val="Listecouleur-Accent12"/>
        <w:numPr>
          <w:ilvl w:val="0"/>
          <w:numId w:val="28"/>
        </w:num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Le gouvernement peut-il donner des clarifications sur les conditions et la procédure à suivre pour aboutir à une interruption, fut-elle momentanée des communications par messagerie à la demande d’une autorité publique ?</w:t>
      </w:r>
    </w:p>
    <w:p w14:paraId="59D4DCF0" w14:textId="77777777" w:rsidR="00892685" w:rsidRPr="00AB79EF" w:rsidRDefault="00892685" w:rsidP="00D060B8">
      <w:pPr>
        <w:pStyle w:val="Listecouleur-Accent12"/>
        <w:numPr>
          <w:ilvl w:val="0"/>
          <w:numId w:val="28"/>
        </w:numPr>
        <w:autoSpaceDE w:val="0"/>
        <w:autoSpaceDN w:val="0"/>
        <w:adjustRightInd w:val="0"/>
        <w:spacing w:after="0" w:line="240" w:lineRule="auto"/>
        <w:contextualSpacing/>
        <w:jc w:val="both"/>
        <w:rPr>
          <w:rStyle w:val="hps"/>
          <w:rFonts w:ascii="Century Gothic" w:hAnsi="Century Gothic"/>
        </w:rPr>
      </w:pPr>
      <w:r w:rsidRPr="00AB79EF">
        <w:rPr>
          <w:rStyle w:val="hps"/>
          <w:rFonts w:ascii="Century Gothic" w:hAnsi="Century Gothic"/>
        </w:rPr>
        <w:t>Dans quelle mesure les procédures ou mécanismes de restrictions/coupures</w:t>
      </w:r>
      <w:r w:rsidR="003B6A4A" w:rsidRPr="00AB79EF">
        <w:rPr>
          <w:rStyle w:val="hps"/>
          <w:rFonts w:ascii="Century Gothic" w:hAnsi="Century Gothic"/>
        </w:rPr>
        <w:t xml:space="preserve"> </w:t>
      </w:r>
      <w:r w:rsidRPr="00AB79EF">
        <w:rPr>
          <w:rStyle w:val="hps"/>
          <w:rFonts w:ascii="Century Gothic" w:hAnsi="Century Gothic"/>
        </w:rPr>
        <w:t>de moyens de communication pourraient-elles être mieux encadré pour éviter les abus ?</w:t>
      </w:r>
    </w:p>
    <w:p w14:paraId="562CCD82" w14:textId="77777777" w:rsidR="0079123D" w:rsidRPr="00AB79EF" w:rsidRDefault="0079123D" w:rsidP="00D060B8">
      <w:pPr>
        <w:pStyle w:val="Listecouleur-Accent12"/>
        <w:numPr>
          <w:ilvl w:val="0"/>
          <w:numId w:val="28"/>
        </w:numPr>
        <w:spacing w:after="0" w:line="240" w:lineRule="auto"/>
        <w:contextualSpacing/>
        <w:jc w:val="both"/>
        <w:rPr>
          <w:rFonts w:ascii="Century Gothic" w:eastAsia="Times New Roman" w:hAnsi="Century Gothic"/>
          <w:lang w:eastAsia="fr-FR"/>
        </w:rPr>
      </w:pPr>
      <w:r w:rsidRPr="00AB79EF">
        <w:rPr>
          <w:rFonts w:ascii="Century Gothic" w:eastAsia="Times New Roman" w:hAnsi="Century Gothic"/>
          <w:lang w:eastAsia="fr-FR"/>
        </w:rPr>
        <w:lastRenderedPageBreak/>
        <w:t xml:space="preserve">Dans quelle mesure le Gouvernement lui-même donne-t-il l’exemple en termes de respect des droits des personnes en matière de traitement de leurs données ? </w:t>
      </w:r>
    </w:p>
    <w:p w14:paraId="0FD4EAC4" w14:textId="77777777" w:rsidR="0079123D" w:rsidRPr="00AB79EF" w:rsidRDefault="0079123D" w:rsidP="00D060B8">
      <w:pPr>
        <w:pStyle w:val="Listecouleur-Accent12"/>
        <w:numPr>
          <w:ilvl w:val="0"/>
          <w:numId w:val="28"/>
        </w:numPr>
        <w:spacing w:after="0" w:line="240" w:lineRule="auto"/>
        <w:contextualSpacing/>
        <w:jc w:val="both"/>
        <w:rPr>
          <w:rFonts w:ascii="Century Gothic" w:eastAsia="Times New Roman" w:hAnsi="Century Gothic"/>
          <w:lang w:eastAsia="fr-FR"/>
        </w:rPr>
      </w:pPr>
      <w:r w:rsidRPr="00AB79EF">
        <w:rPr>
          <w:rFonts w:ascii="Century Gothic" w:eastAsia="Times New Roman" w:hAnsi="Century Gothic"/>
          <w:lang w:eastAsia="fr-FR"/>
        </w:rPr>
        <w:t xml:space="preserve">Qu’en est-il de la pratique des administrations publiques en matière de création de fichiers et de respect des procédures imposées par la loi ? </w:t>
      </w:r>
    </w:p>
    <w:p w14:paraId="763F2250" w14:textId="77777777" w:rsidR="00225114" w:rsidRPr="00AB79EF" w:rsidRDefault="0079123D" w:rsidP="00D060B8">
      <w:pPr>
        <w:pStyle w:val="Listecouleur-Accent12"/>
        <w:numPr>
          <w:ilvl w:val="0"/>
          <w:numId w:val="28"/>
        </w:numPr>
        <w:spacing w:after="0" w:line="240" w:lineRule="auto"/>
        <w:contextualSpacing/>
        <w:jc w:val="both"/>
        <w:rPr>
          <w:rFonts w:ascii="Century Gothic" w:eastAsia="Times New Roman" w:hAnsi="Century Gothic"/>
          <w:lang w:eastAsia="fr-FR"/>
        </w:rPr>
      </w:pPr>
      <w:r w:rsidRPr="00AB79EF">
        <w:rPr>
          <w:rFonts w:ascii="Century Gothic" w:eastAsia="Times New Roman" w:hAnsi="Century Gothic"/>
          <w:lang w:eastAsia="fr-FR"/>
        </w:rPr>
        <w:t>Dans quelle mesure le gouvernement respecte-t-il les délibérations de la Commission </w:t>
      </w:r>
      <w:r w:rsidR="0035150F" w:rsidRPr="00AB79EF">
        <w:rPr>
          <w:rFonts w:ascii="Century Gothic" w:eastAsia="Times New Roman" w:hAnsi="Century Gothic"/>
          <w:lang w:eastAsia="fr-FR"/>
        </w:rPr>
        <w:t>de l’Informatique et des Libertés</w:t>
      </w:r>
      <w:r w:rsidRPr="00AB79EF">
        <w:rPr>
          <w:rFonts w:ascii="Century Gothic" w:eastAsia="Times New Roman" w:hAnsi="Century Gothic"/>
          <w:lang w:eastAsia="fr-FR"/>
        </w:rPr>
        <w:t>?</w:t>
      </w:r>
    </w:p>
    <w:p w14:paraId="6F145158" w14:textId="77777777" w:rsidR="003B6A4A" w:rsidRPr="00AB79EF" w:rsidRDefault="003B6A4A" w:rsidP="00AB79EF">
      <w:pPr>
        <w:pStyle w:val="Listecouleur-Accent12"/>
        <w:spacing w:after="0" w:line="240" w:lineRule="auto"/>
        <w:ind w:left="720"/>
        <w:contextualSpacing/>
        <w:jc w:val="both"/>
        <w:rPr>
          <w:rFonts w:ascii="Century Gothic" w:eastAsia="Times New Roman" w:hAnsi="Century Gothic"/>
          <w:lang w:eastAsia="fr-FR"/>
        </w:rPr>
      </w:pPr>
    </w:p>
    <w:p w14:paraId="79818797" w14:textId="77777777" w:rsidR="00B84C17" w:rsidRPr="00D060B8" w:rsidRDefault="00892685" w:rsidP="00D060B8">
      <w:pPr>
        <w:numPr>
          <w:ilvl w:val="0"/>
          <w:numId w:val="5"/>
        </w:numPr>
        <w:tabs>
          <w:tab w:val="left" w:pos="709"/>
        </w:tabs>
        <w:spacing w:after="0" w:line="240" w:lineRule="auto"/>
        <w:ind w:left="709"/>
        <w:contextualSpacing/>
        <w:jc w:val="both"/>
        <w:outlineLvl w:val="0"/>
        <w:rPr>
          <w:rFonts w:ascii="Century Gothic" w:hAnsi="Century Gothic"/>
          <w:i/>
          <w:u w:val="single"/>
        </w:rPr>
      </w:pPr>
      <w:bookmarkStart w:id="14" w:name="_Toc426711290"/>
      <w:r w:rsidRPr="00AB79EF">
        <w:rPr>
          <w:rStyle w:val="hps"/>
          <w:rFonts w:ascii="Century Gothic" w:hAnsi="Century Gothic"/>
          <w:b/>
        </w:rPr>
        <w:t>La liberté d'opinion et d'expression, et la liberté d'association (art</w:t>
      </w:r>
      <w:r w:rsidRPr="00AB79EF">
        <w:rPr>
          <w:rFonts w:ascii="Century Gothic" w:hAnsi="Century Gothic"/>
          <w:b/>
        </w:rPr>
        <w:t xml:space="preserve">. </w:t>
      </w:r>
      <w:r w:rsidRPr="00AB79EF">
        <w:rPr>
          <w:rStyle w:val="hps"/>
          <w:rFonts w:ascii="Century Gothic" w:hAnsi="Century Gothic"/>
          <w:b/>
        </w:rPr>
        <w:t>19 et 22</w:t>
      </w:r>
      <w:r w:rsidRPr="00AB79EF">
        <w:rPr>
          <w:rFonts w:ascii="Century Gothic" w:hAnsi="Century Gothic"/>
          <w:b/>
        </w:rPr>
        <w:t>)</w:t>
      </w:r>
      <w:bookmarkEnd w:id="14"/>
    </w:p>
    <w:p w14:paraId="33A0F8EE" w14:textId="77777777" w:rsidR="00D060B8" w:rsidRPr="00AB79EF" w:rsidRDefault="00D060B8" w:rsidP="00D060B8">
      <w:pPr>
        <w:tabs>
          <w:tab w:val="left" w:pos="709"/>
        </w:tabs>
        <w:spacing w:after="0" w:line="240" w:lineRule="auto"/>
        <w:ind w:left="709"/>
        <w:contextualSpacing/>
        <w:jc w:val="both"/>
        <w:outlineLvl w:val="0"/>
        <w:rPr>
          <w:rFonts w:ascii="Century Gothic" w:hAnsi="Century Gothic"/>
          <w:i/>
          <w:u w:val="single"/>
        </w:rPr>
      </w:pPr>
    </w:p>
    <w:p w14:paraId="793B97F9" w14:textId="77777777" w:rsidR="00892685" w:rsidRPr="00AB79EF" w:rsidRDefault="00892685" w:rsidP="00D060B8">
      <w:pPr>
        <w:pStyle w:val="Listecouleur-Accent12"/>
        <w:numPr>
          <w:ilvl w:val="0"/>
          <w:numId w:val="21"/>
        </w:numPr>
        <w:autoSpaceDE w:val="0"/>
        <w:autoSpaceDN w:val="0"/>
        <w:adjustRightInd w:val="0"/>
        <w:spacing w:after="0" w:line="240" w:lineRule="auto"/>
        <w:jc w:val="both"/>
        <w:rPr>
          <w:rFonts w:ascii="Century Gothic" w:hAnsi="Century Gothic"/>
          <w:b/>
          <w:color w:val="1F497D"/>
        </w:rPr>
      </w:pPr>
      <w:r w:rsidRPr="00AB79EF">
        <w:rPr>
          <w:rFonts w:ascii="Century Gothic" w:hAnsi="Century Gothic"/>
          <w:b/>
          <w:color w:val="1A1A1A"/>
        </w:rPr>
        <w:t xml:space="preserve">Liberté d’expression : législation, restrictions et garanties </w:t>
      </w:r>
    </w:p>
    <w:p w14:paraId="7E422FDA" w14:textId="77777777" w:rsidR="00892685" w:rsidRPr="00AB79EF" w:rsidRDefault="00892685"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La liberté d’expression est constitutionnellement consacrée</w:t>
      </w:r>
      <w:r w:rsidRPr="00AB79EF">
        <w:rPr>
          <w:rStyle w:val="Marquenotebasdepage"/>
          <w:rFonts w:ascii="Century Gothic" w:hAnsi="Century Gothic" w:cs="Times New Roman"/>
          <w:color w:val="auto"/>
          <w:sz w:val="22"/>
          <w:szCs w:val="22"/>
        </w:rPr>
        <w:footnoteReference w:id="79"/>
      </w:r>
      <w:r w:rsidRPr="00AB79EF">
        <w:rPr>
          <w:rFonts w:ascii="Century Gothic" w:hAnsi="Century Gothic" w:cs="Times New Roman"/>
          <w:color w:val="auto"/>
          <w:sz w:val="22"/>
          <w:szCs w:val="22"/>
        </w:rPr>
        <w:t>.</w:t>
      </w:r>
      <w:r w:rsidR="006751C8">
        <w:rPr>
          <w:rFonts w:ascii="Century Gothic" w:hAnsi="Century Gothic" w:cs="Times New Roman"/>
          <w:color w:val="auto"/>
          <w:sz w:val="22"/>
          <w:szCs w:val="22"/>
        </w:rPr>
        <w:t xml:space="preserve"> </w:t>
      </w:r>
      <w:r w:rsidRPr="00AB79EF">
        <w:rPr>
          <w:rFonts w:ascii="Century Gothic" w:hAnsi="Century Gothic" w:cs="Times New Roman"/>
          <w:color w:val="auto"/>
          <w:sz w:val="22"/>
          <w:szCs w:val="22"/>
        </w:rPr>
        <w:t>Par ailleurs, le code de l’Information dispose que le droit à l’information fait partie des droits fondamentaux du citoyen burkinabé (art.1) et consacre la liberté de création et d’exploitation d’agences d’informations et d’organismes de communication (art. 4).</w:t>
      </w:r>
      <w:r w:rsidR="006751C8">
        <w:rPr>
          <w:rFonts w:ascii="Century Gothic" w:hAnsi="Century Gothic" w:cs="Times New Roman"/>
          <w:color w:val="auto"/>
          <w:sz w:val="22"/>
          <w:szCs w:val="22"/>
        </w:rPr>
        <w:t xml:space="preserve"> </w:t>
      </w:r>
      <w:r w:rsidRPr="00AB79EF">
        <w:rPr>
          <w:rFonts w:ascii="Century Gothic" w:hAnsi="Century Gothic" w:cs="Times New Roman"/>
          <w:color w:val="auto"/>
          <w:sz w:val="22"/>
          <w:szCs w:val="22"/>
        </w:rPr>
        <w:t xml:space="preserve">La liberté d’expression et de presse s’exerce au Burkina Faso sous l’autorité du </w:t>
      </w:r>
      <w:r w:rsidRPr="00AB79EF">
        <w:rPr>
          <w:rFonts w:ascii="Century Gothic" w:hAnsi="Century Gothic" w:cs="Times New Roman"/>
          <w:b/>
          <w:color w:val="auto"/>
          <w:sz w:val="22"/>
          <w:szCs w:val="22"/>
        </w:rPr>
        <w:t>Conseil supérieur de la communication</w:t>
      </w:r>
      <w:r w:rsidRPr="00AB79EF">
        <w:rPr>
          <w:rFonts w:ascii="Century Gothic" w:hAnsi="Century Gothic" w:cs="Times New Roman"/>
          <w:color w:val="auto"/>
          <w:sz w:val="22"/>
          <w:szCs w:val="22"/>
        </w:rPr>
        <w:t xml:space="preserve"> (CSC) en réglementant les médias et en surveillant le contenu des émissions et des écrits. </w:t>
      </w:r>
    </w:p>
    <w:p w14:paraId="4C32BCE6" w14:textId="77777777" w:rsidR="00892685" w:rsidRPr="00AB79EF" w:rsidRDefault="00892685" w:rsidP="00D060B8">
      <w:pPr>
        <w:pStyle w:val="Default"/>
        <w:numPr>
          <w:ilvl w:val="0"/>
          <w:numId w:val="12"/>
        </w:numPr>
        <w:spacing w:before="100" w:beforeAutospacing="1"/>
        <w:jc w:val="both"/>
        <w:rPr>
          <w:rFonts w:ascii="Century Gothic" w:hAnsi="Century Gothic" w:cs="Times New Roman"/>
          <w:color w:val="auto"/>
          <w:sz w:val="22"/>
          <w:szCs w:val="22"/>
        </w:rPr>
      </w:pPr>
      <w:r w:rsidRPr="00AB79EF">
        <w:rPr>
          <w:rFonts w:ascii="Century Gothic" w:hAnsi="Century Gothic" w:cs="Times New Roman"/>
          <w:b/>
          <w:color w:val="auto"/>
          <w:sz w:val="22"/>
          <w:szCs w:val="22"/>
        </w:rPr>
        <w:t>Entraves à la libre expression des opinions par voie de médias</w:t>
      </w:r>
    </w:p>
    <w:p w14:paraId="2A87E354" w14:textId="77777777" w:rsidR="00D060B8" w:rsidRDefault="00892685"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Lors de la crise socio-politique et militaire que le pays a connue en 2011, le CSC a tenté par des recommandations adressées aux médias d’influencer le traitement par ceux-ci des informations relatives à la crise. Sous le prétexte de la préservation de la paix ou de la cohésion social</w:t>
      </w:r>
      <w:r w:rsidR="006751C8">
        <w:rPr>
          <w:rFonts w:ascii="Century Gothic" w:hAnsi="Century Gothic" w:cs="Times New Roman"/>
          <w:color w:val="auto"/>
          <w:sz w:val="22"/>
          <w:szCs w:val="22"/>
        </w:rPr>
        <w:t>e, le CSC a porté des critiques</w:t>
      </w:r>
      <w:r w:rsidRPr="00AB79EF">
        <w:rPr>
          <w:rFonts w:ascii="Century Gothic" w:hAnsi="Century Gothic" w:cs="Times New Roman"/>
          <w:color w:val="auto"/>
          <w:sz w:val="22"/>
          <w:szCs w:val="22"/>
        </w:rPr>
        <w:t xml:space="preserve"> tendant à remettre en cause la liberté de ton et le traitement de l’information par les médias privés, notamment en ce qui concerne les émissions radiophoniques d’expression directe et les forums électroniques. Mais c’est surtout à l’issue de l’insurrection populaire que le CSC a été critiqué aussi pour plusieurs de ces décisions notamment celles relatives à la suspension des émissions d’expression directe : le 7 mai 2015, la présidente du CSC a suspendu les émissions d’expression directe sur les radiodiffusions sonores et télévisuelles a l’exception des programmes portant sur la santé et ceux à caractère ludique, sentimental et culturel pour une durée de 3 mois. Cette mesure a suscité de vives réactions de la population et des professionnels des médias et des acteurs de la société. La coalition saisit une fois de plus l’occasion pour dénoncer cette sanction généralisée des médias sous prétexte du dérapage de certains dans la conduite de ces émissions. Il est important d’attirer l’attention sur le fait que la régulation ne saurait donner lieu à la censure institutionnelle quelle que soit sa forme, sa durée</w:t>
      </w:r>
      <w:r w:rsidR="00B57F11" w:rsidRPr="00AB79EF">
        <w:rPr>
          <w:rFonts w:ascii="Century Gothic" w:hAnsi="Century Gothic" w:cs="Times New Roman"/>
          <w:color w:val="auto"/>
          <w:sz w:val="22"/>
          <w:szCs w:val="22"/>
        </w:rPr>
        <w:t xml:space="preserve"> </w:t>
      </w:r>
      <w:r w:rsidRPr="00AB79EF">
        <w:rPr>
          <w:rFonts w:ascii="Century Gothic" w:hAnsi="Century Gothic" w:cs="Times New Roman"/>
          <w:color w:val="auto"/>
          <w:sz w:val="22"/>
          <w:szCs w:val="22"/>
        </w:rPr>
        <w:t>et les motifs qui la sous-tendent. Il est inconcevable voire très dommageable qu’une institution utilise l’indépendance à elle conférée par la loi pour faire dans l’arbitraire et dans l’abus de pouvoir. Le tollé suscité a contraint l’institution à lever sa mesure de suspension avant terme le 29 mai 2015, alors même que les médias, après plusieurs tractations et face à l’attitude de la Présidente du CSC ont décidé de passer outre la sanction et de reprendre sans attendre lesdites émissions</w:t>
      </w:r>
      <w:r w:rsidRPr="00AB79EF">
        <w:rPr>
          <w:rStyle w:val="Marquenotebasdepage"/>
          <w:rFonts w:ascii="Century Gothic" w:hAnsi="Century Gothic" w:cs="Times New Roman"/>
          <w:color w:val="auto"/>
          <w:sz w:val="22"/>
          <w:szCs w:val="22"/>
        </w:rPr>
        <w:footnoteReference w:id="80"/>
      </w:r>
      <w:r w:rsidRPr="00AB79EF">
        <w:rPr>
          <w:rFonts w:ascii="Century Gothic" w:hAnsi="Century Gothic" w:cs="Times New Roman"/>
          <w:color w:val="auto"/>
          <w:sz w:val="22"/>
          <w:szCs w:val="22"/>
        </w:rPr>
        <w:t>. Cette épisode a beaucoup nuit à l’image et à l’autorité de l’institution. Elle devrait travailler à reconquérir une nouvelle légitimité.</w:t>
      </w:r>
    </w:p>
    <w:p w14:paraId="4D436B1C" w14:textId="77777777" w:rsidR="00D060B8" w:rsidRDefault="00D060B8" w:rsidP="00AB79EF">
      <w:pPr>
        <w:pStyle w:val="Default"/>
        <w:jc w:val="both"/>
        <w:rPr>
          <w:rFonts w:ascii="Century Gothic" w:hAnsi="Century Gothic" w:cs="Times New Roman"/>
          <w:color w:val="auto"/>
          <w:sz w:val="22"/>
          <w:szCs w:val="22"/>
        </w:rPr>
      </w:pPr>
    </w:p>
    <w:p w14:paraId="5185A363" w14:textId="3A28E0C3" w:rsidR="00892685" w:rsidRPr="00AB79EF" w:rsidRDefault="00892685"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 xml:space="preserve"> </w:t>
      </w:r>
    </w:p>
    <w:p w14:paraId="0ED9F305" w14:textId="77777777" w:rsidR="00892685" w:rsidRPr="00AB79EF" w:rsidRDefault="006751C8" w:rsidP="00D060B8">
      <w:pPr>
        <w:pStyle w:val="Default"/>
        <w:numPr>
          <w:ilvl w:val="0"/>
          <w:numId w:val="12"/>
        </w:numPr>
        <w:spacing w:before="100" w:beforeAutospacing="1"/>
        <w:jc w:val="both"/>
        <w:rPr>
          <w:rFonts w:ascii="Century Gothic" w:hAnsi="Century Gothic" w:cs="Times New Roman"/>
          <w:color w:val="auto"/>
          <w:sz w:val="22"/>
          <w:szCs w:val="22"/>
        </w:rPr>
      </w:pPr>
      <w:r>
        <w:rPr>
          <w:rFonts w:ascii="Century Gothic" w:hAnsi="Century Gothic" w:cs="Times New Roman"/>
          <w:b/>
          <w:color w:val="auto"/>
          <w:sz w:val="22"/>
          <w:szCs w:val="22"/>
        </w:rPr>
        <w:lastRenderedPageBreak/>
        <w:t>A</w:t>
      </w:r>
      <w:r w:rsidR="00892685" w:rsidRPr="00AB79EF">
        <w:rPr>
          <w:rFonts w:ascii="Century Gothic" w:hAnsi="Century Gothic" w:cs="Times New Roman"/>
          <w:b/>
          <w:color w:val="auto"/>
          <w:sz w:val="22"/>
          <w:szCs w:val="22"/>
        </w:rPr>
        <w:t>ccès à l’information publique</w:t>
      </w:r>
    </w:p>
    <w:p w14:paraId="5A4CC96D" w14:textId="77777777" w:rsidR="00892685" w:rsidRPr="00AB79EF" w:rsidRDefault="00892685"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La question de l’accès du citoyen à l’information officielle fiable auprès de l’administration publique demeure un enjeu essentiel. En l’absence de tout encadrement législatif, cet accès dépend du bon vouloir de l’autorité administrative qui, bien souvent, ne fait aucune diligence. Il existe comme un secret de rendre publiques les informations nécessaires pour promouvoir la transparence dans la gestion de la chose publique ou même faciliter la recherche. Les membres de la société civile y compris les hommes de média peinent par conséquent à obtenir des documents et es informations fiables.</w:t>
      </w:r>
      <w:r w:rsidR="00B57F11" w:rsidRPr="00AB79EF">
        <w:rPr>
          <w:rFonts w:ascii="Century Gothic" w:hAnsi="Century Gothic" w:cs="Times New Roman"/>
          <w:color w:val="auto"/>
          <w:sz w:val="22"/>
          <w:szCs w:val="22"/>
        </w:rPr>
        <w:t xml:space="preserve"> </w:t>
      </w:r>
      <w:r w:rsidRPr="00AB79EF">
        <w:rPr>
          <w:rFonts w:ascii="Century Gothic" w:hAnsi="Century Gothic" w:cs="Times New Roman"/>
          <w:color w:val="auto"/>
          <w:sz w:val="22"/>
          <w:szCs w:val="22"/>
        </w:rPr>
        <w:t xml:space="preserve">Les autorités et autres acteurs profitent de ces failles pour tronquer les sources et informations jugées importantes pour les populations. Conscient de ce fait, le Conseil national de transition est porteur d’une proposition de loi sur le droit d’accès à l’information publique et aux documents administratifs. Tout en saluant cette initiative du CNT, les ONG membres de la coalition espèrent que l’adoption de cette loi renforcera l’accès des journalistes et du public en général aux sources d’information. </w:t>
      </w:r>
    </w:p>
    <w:p w14:paraId="4ED846CB" w14:textId="77777777" w:rsidR="00892685" w:rsidRPr="00AB79EF" w:rsidRDefault="00892685" w:rsidP="00AB79EF">
      <w:pPr>
        <w:pStyle w:val="Default"/>
        <w:jc w:val="both"/>
        <w:rPr>
          <w:rFonts w:ascii="Century Gothic" w:hAnsi="Century Gothic" w:cs="Times New Roman"/>
          <w:color w:val="auto"/>
          <w:sz w:val="22"/>
          <w:szCs w:val="22"/>
        </w:rPr>
      </w:pPr>
    </w:p>
    <w:p w14:paraId="5A20BEAC" w14:textId="77777777" w:rsidR="00892685" w:rsidRPr="00AB79EF" w:rsidRDefault="00892685" w:rsidP="00D060B8">
      <w:pPr>
        <w:pStyle w:val="Default"/>
        <w:numPr>
          <w:ilvl w:val="0"/>
          <w:numId w:val="12"/>
        </w:numPr>
        <w:jc w:val="both"/>
        <w:rPr>
          <w:rFonts w:ascii="Century Gothic" w:hAnsi="Century Gothic" w:cs="Times New Roman"/>
          <w:color w:val="auto"/>
          <w:sz w:val="22"/>
          <w:szCs w:val="22"/>
        </w:rPr>
      </w:pPr>
      <w:r w:rsidRPr="00AB79EF">
        <w:rPr>
          <w:rFonts w:ascii="Century Gothic" w:hAnsi="Century Gothic" w:cs="Times New Roman"/>
          <w:b/>
          <w:color w:val="auto"/>
          <w:sz w:val="22"/>
          <w:szCs w:val="22"/>
        </w:rPr>
        <w:t>Accès inéquitable aux médias pour les partis et groupes d’opposition</w:t>
      </w:r>
      <w:r w:rsidRPr="00AB79EF">
        <w:rPr>
          <w:rFonts w:ascii="Century Gothic" w:hAnsi="Century Gothic" w:cs="Times New Roman"/>
          <w:color w:val="auto"/>
          <w:sz w:val="22"/>
          <w:szCs w:val="22"/>
        </w:rPr>
        <w:t> </w:t>
      </w:r>
    </w:p>
    <w:p w14:paraId="353FC006" w14:textId="77777777" w:rsidR="00892685" w:rsidRPr="00AB79EF" w:rsidRDefault="00892685"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 xml:space="preserve">La Constitution et la loi garantissent la liberté d’expression et de la presse, et la population ne manque pas de canal et d’opportunité pour exprimer leurs points de vue ou des critiquent sur la conduite des affaires publiques. Les émissions radiophoniques interactives d’expression directe malgré quelques excès témoignent de cette volonté des populations de participer, par leurs critiques à la gestion de la chose publique. Le gouvernement a été suspecté d’avoir inspiré la mesure de suspension généralisée de ces émissions par le CSC mais rien ne nous permet de soutenir de telles allégations. </w:t>
      </w:r>
    </w:p>
    <w:p w14:paraId="69B68377" w14:textId="77777777" w:rsidR="00892685" w:rsidRPr="00AB79EF" w:rsidRDefault="00892685" w:rsidP="00AB79EF">
      <w:pPr>
        <w:pStyle w:val="Default"/>
        <w:jc w:val="both"/>
        <w:rPr>
          <w:rFonts w:ascii="Century Gothic" w:hAnsi="Century Gothic" w:cs="Times New Roman"/>
          <w:color w:val="auto"/>
          <w:sz w:val="22"/>
          <w:szCs w:val="22"/>
        </w:rPr>
      </w:pPr>
      <w:r w:rsidRPr="00AB79EF">
        <w:rPr>
          <w:rFonts w:ascii="Century Gothic" w:hAnsi="Century Gothic" w:cs="Times New Roman"/>
          <w:color w:val="auto"/>
          <w:sz w:val="22"/>
          <w:szCs w:val="22"/>
        </w:rPr>
        <w:t>Il convient de saluer donc le fait que les citoyens peuvent critiquer en public ou en privé et sans véritable crainte les gouvernants, que les médias dans leur diversité (les journaux, les hebdomadaires satiriques, les stations de radio et de télévision indépendants etc.) usent d’une liberté de ton dans l’analyse et sont parfois critiques à l’égard du gouvernement et les émissions des radios étrangères sont diffusées sans interférence gouvernementale.</w:t>
      </w:r>
      <w:r w:rsidR="0035697A" w:rsidRPr="00AB79EF">
        <w:rPr>
          <w:rFonts w:ascii="Century Gothic" w:hAnsi="Century Gothic" w:cs="Times New Roman"/>
          <w:color w:val="auto"/>
          <w:sz w:val="22"/>
          <w:szCs w:val="22"/>
        </w:rPr>
        <w:t xml:space="preserve"> </w:t>
      </w:r>
      <w:r w:rsidRPr="00AB79EF">
        <w:rPr>
          <w:rFonts w:ascii="Century Gothic" w:hAnsi="Century Gothic" w:cs="Times New Roman"/>
          <w:color w:val="auto"/>
          <w:sz w:val="22"/>
          <w:szCs w:val="22"/>
        </w:rPr>
        <w:t>Toutefois, le rôle et la place des médias publics demeurent problématiques. Et pour cause, de médias de service public, ces médias passent pour des instruments de communication gouvernementale voire de défense du pouvoir en place. Et les partis politiques de l’opposition se plaignent toujours d’un déséquilibre d’accès aux médias publics. Si cet accès est bien tenu et surveillée par la CENI et le CSC pendant les périodes électorales, elle n’est pas du tout facilitée hors ces périodes. Certains syndicats et organisations de société civile trouvent parfois la diffusion de couverture médiatique de leurs activités censurées par les autorités lorsque celle-ci doit se faire sur la chaîne de télévision nationale ou dans les colonnes du journal étatique. Pourtant, seules la radio et la télévision nationale couvrent une grande partie du territoire national. Par conséquent, les difficultés d’accès à ces deux médias privent une bonne partie de la population ayant un accès limité aux médias privés de son droit à l’information en même temps qu’elles bafouent les règles du journalisme notamment l’équilibre et l’impartialité de l’information.</w:t>
      </w:r>
    </w:p>
    <w:p w14:paraId="19DE4B8B" w14:textId="77777777" w:rsidR="00892685" w:rsidRPr="00AB79EF" w:rsidRDefault="00892685" w:rsidP="00AB79EF">
      <w:pPr>
        <w:autoSpaceDE w:val="0"/>
        <w:autoSpaceDN w:val="0"/>
        <w:adjustRightInd w:val="0"/>
        <w:spacing w:after="0" w:line="240" w:lineRule="auto"/>
        <w:ind w:firstLine="709"/>
        <w:jc w:val="both"/>
        <w:rPr>
          <w:rFonts w:ascii="Century Gothic" w:hAnsi="Century Gothic"/>
        </w:rPr>
      </w:pPr>
    </w:p>
    <w:p w14:paraId="0004C8C6" w14:textId="77777777" w:rsidR="00892685" w:rsidRPr="00AB79EF" w:rsidRDefault="00892685" w:rsidP="00D060B8">
      <w:pPr>
        <w:numPr>
          <w:ilvl w:val="0"/>
          <w:numId w:val="12"/>
        </w:numPr>
        <w:autoSpaceDE w:val="0"/>
        <w:autoSpaceDN w:val="0"/>
        <w:adjustRightInd w:val="0"/>
        <w:spacing w:after="0" w:line="240" w:lineRule="auto"/>
        <w:contextualSpacing/>
        <w:jc w:val="both"/>
        <w:rPr>
          <w:rFonts w:ascii="Century Gothic" w:hAnsi="Century Gothic"/>
        </w:rPr>
      </w:pPr>
      <w:r w:rsidRPr="00AB79EF">
        <w:rPr>
          <w:rFonts w:ascii="Century Gothic" w:hAnsi="Century Gothic"/>
          <w:b/>
        </w:rPr>
        <w:t>La manifestation de la liberté de culte </w:t>
      </w:r>
    </w:p>
    <w:p w14:paraId="52970D06"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Le Burkina Faso est un État laïque et la Constitution garantit les mêmes droits pour tous dans le choix et la pratique de sa religion. Les</w:t>
      </w:r>
      <w:r w:rsidR="00637765" w:rsidRPr="00AB79EF">
        <w:rPr>
          <w:rFonts w:ascii="Century Gothic" w:hAnsi="Century Gothic"/>
        </w:rPr>
        <w:t xml:space="preserve"> libertés de croyance ou de non </w:t>
      </w:r>
      <w:r w:rsidRPr="00AB79EF">
        <w:rPr>
          <w:rFonts w:ascii="Century Gothic" w:hAnsi="Century Gothic"/>
        </w:rPr>
        <w:t xml:space="preserve">croyance, de conscience, d’opinion religieuse, d’exercice de culte et celle de pratiquer une coutume de son choix sont garanties par la Constitution (article 7). Chacun peut jouir de ces </w:t>
      </w:r>
      <w:r w:rsidRPr="00447D83">
        <w:rPr>
          <w:rFonts w:ascii="Century Gothic" w:hAnsi="Century Gothic"/>
        </w:rPr>
        <w:t xml:space="preserve">libertés sous réserve du respect de la loi, de l’ordre public, </w:t>
      </w:r>
      <w:r w:rsidRPr="00447D83">
        <w:rPr>
          <w:rFonts w:ascii="Century Gothic" w:hAnsi="Century Gothic"/>
        </w:rPr>
        <w:lastRenderedPageBreak/>
        <w:t xml:space="preserve">des bonnes mœurs et de la personne humaine. </w:t>
      </w:r>
      <w:r w:rsidRPr="00D80D55">
        <w:rPr>
          <w:rFonts w:ascii="Century Gothic" w:hAnsi="Century Gothic"/>
        </w:rPr>
        <w:t>Cependant dans la manifestation de la liberté de culte, le Burkina Faso est de plus en plus confronté à un problème de règlementation de l’exercice de cette liberté de croyance et de culte, notamment l’implantation des lieux de culte. En effet, les églises et les mosquées prolifèrent de façon anarchique dans les quartiers des villes et</w:t>
      </w:r>
      <w:r w:rsidR="00447D83">
        <w:rPr>
          <w:rFonts w:ascii="Century Gothic" w:hAnsi="Century Gothic"/>
        </w:rPr>
        <w:t xml:space="preserve">, dans leurs activités, </w:t>
      </w:r>
      <w:r w:rsidRPr="00D80D55">
        <w:rPr>
          <w:rFonts w:ascii="Century Gothic" w:hAnsi="Century Gothic"/>
        </w:rPr>
        <w:t xml:space="preserve"> troublent la quiétude des citoyens. Ces églises et mosquées qui utilisent en général des mégaphones pour l’appel à la prière causent des nuisances sonores pour le voisinage. Il y a lieu de réfléchir au meilleur moyen de concilier la liberté de culte et la préservation de la quiétude des populations.</w:t>
      </w:r>
    </w:p>
    <w:p w14:paraId="07DB88C2"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p>
    <w:p w14:paraId="0C1A3932" w14:textId="77777777" w:rsidR="00892685" w:rsidRPr="00AB79EF" w:rsidRDefault="00892685" w:rsidP="00D060B8">
      <w:pPr>
        <w:numPr>
          <w:ilvl w:val="0"/>
          <w:numId w:val="12"/>
        </w:numPr>
        <w:autoSpaceDE w:val="0"/>
        <w:autoSpaceDN w:val="0"/>
        <w:adjustRightInd w:val="0"/>
        <w:spacing w:after="0" w:line="240" w:lineRule="auto"/>
        <w:contextualSpacing/>
        <w:jc w:val="both"/>
        <w:rPr>
          <w:rFonts w:ascii="Century Gothic" w:hAnsi="Century Gothic"/>
          <w:b/>
        </w:rPr>
      </w:pPr>
      <w:r w:rsidRPr="00AB79EF">
        <w:rPr>
          <w:rFonts w:ascii="Century Gothic" w:hAnsi="Century Gothic"/>
          <w:b/>
        </w:rPr>
        <w:t>La liberté de manifestation</w:t>
      </w:r>
    </w:p>
    <w:p w14:paraId="6510E7E9"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Le Burkina Faso a traversé de nombreuses crises et</w:t>
      </w:r>
      <w:r w:rsidR="0035697A" w:rsidRPr="00AB79EF">
        <w:rPr>
          <w:rFonts w:ascii="Century Gothic" w:hAnsi="Century Gothic"/>
        </w:rPr>
        <w:t xml:space="preserve"> </w:t>
      </w:r>
      <w:r w:rsidRPr="00AB79EF">
        <w:rPr>
          <w:rFonts w:ascii="Century Gothic" w:hAnsi="Century Gothic"/>
        </w:rPr>
        <w:t>les grognes sociales se sont multipliée es dernières années. La population a manifesté à de nombreuses reprises son insatisfaction dans la gestion des affaires publiques,</w:t>
      </w:r>
      <w:r w:rsidR="0035697A" w:rsidRPr="00AB79EF">
        <w:rPr>
          <w:rFonts w:ascii="Century Gothic" w:hAnsi="Century Gothic"/>
        </w:rPr>
        <w:t xml:space="preserve"> </w:t>
      </w:r>
      <w:r w:rsidRPr="00AB79EF">
        <w:rPr>
          <w:rFonts w:ascii="Century Gothic" w:hAnsi="Century Gothic"/>
        </w:rPr>
        <w:t>contre l’impunité ou encore contre la vie chère</w:t>
      </w:r>
      <w:r w:rsidRPr="00AB79EF">
        <w:rPr>
          <w:rStyle w:val="Marquenotebasdepage"/>
          <w:rFonts w:ascii="Century Gothic" w:hAnsi="Century Gothic"/>
        </w:rPr>
        <w:footnoteReference w:id="81"/>
      </w:r>
      <w:r w:rsidRPr="00AB79EF">
        <w:rPr>
          <w:rFonts w:ascii="Century Gothic" w:hAnsi="Century Gothic"/>
        </w:rPr>
        <w:t>. Bien que la liberté de manifestation soit consacrée et reconnue, les manifestations ont parfois fait l’objet de violentes répressions</w:t>
      </w:r>
      <w:r w:rsidR="0035697A" w:rsidRPr="00AB79EF">
        <w:rPr>
          <w:rFonts w:ascii="Century Gothic" w:hAnsi="Century Gothic"/>
        </w:rPr>
        <w:t xml:space="preserve"> </w:t>
      </w:r>
      <w:r w:rsidRPr="00AB79EF">
        <w:rPr>
          <w:rFonts w:ascii="Century Gothic" w:hAnsi="Century Gothic"/>
        </w:rPr>
        <w:t>et</w:t>
      </w:r>
      <w:r w:rsidR="00637765" w:rsidRPr="00AB79EF">
        <w:rPr>
          <w:rFonts w:ascii="Century Gothic" w:hAnsi="Century Gothic"/>
        </w:rPr>
        <w:t xml:space="preserve"> s</w:t>
      </w:r>
      <w:r w:rsidRPr="00AB79EF">
        <w:rPr>
          <w:rFonts w:ascii="Century Gothic" w:hAnsi="Century Gothic"/>
        </w:rPr>
        <w:t>e soldées par des arrestations et des pertes en vies humaines. Ainsi pendant les manifestations du Collectif contre l’impunité organisées suite à l’assassinat du journaliste Norbert ZONGO, des zones rouges interdites de manifestations ont été instituées à Ouagadougou</w:t>
      </w:r>
      <w:r w:rsidR="00BB17F4">
        <w:rPr>
          <w:rFonts w:ascii="Century Gothic" w:hAnsi="Century Gothic"/>
        </w:rPr>
        <w:t xml:space="preserve"> en 1998</w:t>
      </w:r>
      <w:r w:rsidRPr="00AB79EF">
        <w:rPr>
          <w:rFonts w:ascii="Century Gothic" w:hAnsi="Century Gothic"/>
        </w:rPr>
        <w:t>. Une telle mesure constitue une restriction des libertés de manifestations et a servi de prétexte à la répression des manifestations pacifiques.</w:t>
      </w:r>
    </w:p>
    <w:p w14:paraId="549DD10D" w14:textId="77777777" w:rsidR="00CA781D"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 xml:space="preserve">Le 29 juin 2013 lors d’une marche organisée par l’opposition politique à Ouagadougou. Sous le prétexte que les manifestants avaient franchi la zone rouge, les forces de l’ordre ont brutalement réprimé la manifestation occasionnant plusieurs blessés. Par ailleurs, en 2011, suite à la mort dans des conditions suspectes de l’élève Justin </w:t>
      </w:r>
      <w:proofErr w:type="spellStart"/>
      <w:r w:rsidRPr="00AB79EF">
        <w:rPr>
          <w:rFonts w:ascii="Century Gothic" w:hAnsi="Century Gothic"/>
        </w:rPr>
        <w:t>Zongo</w:t>
      </w:r>
      <w:proofErr w:type="spellEnd"/>
      <w:r w:rsidRPr="00AB79EF">
        <w:rPr>
          <w:rFonts w:ascii="Century Gothic" w:hAnsi="Century Gothic"/>
        </w:rPr>
        <w:t>, de violentes répressions de manifestations par les forces de l’ordre ont fait six (6) morts dont un policier</w:t>
      </w:r>
      <w:r w:rsidRPr="00AB79EF">
        <w:rPr>
          <w:rStyle w:val="Marquenotebasdepage"/>
          <w:rFonts w:ascii="Century Gothic" w:hAnsi="Century Gothic"/>
        </w:rPr>
        <w:footnoteReference w:id="82"/>
      </w:r>
      <w:r w:rsidRPr="00AB79EF">
        <w:rPr>
          <w:rFonts w:ascii="Century Gothic" w:hAnsi="Century Gothic"/>
        </w:rPr>
        <w:t>. Les manifestations contre l’institution du sénat (2</w:t>
      </w:r>
      <w:r w:rsidRPr="00AB79EF">
        <w:rPr>
          <w:rFonts w:ascii="Century Gothic" w:hAnsi="Century Gothic"/>
          <w:vertAlign w:val="superscript"/>
        </w:rPr>
        <w:t>ème</w:t>
      </w:r>
      <w:r w:rsidRPr="00AB79EF">
        <w:rPr>
          <w:rFonts w:ascii="Century Gothic" w:hAnsi="Century Gothic"/>
        </w:rPr>
        <w:t xml:space="preserve"> chambre parlementaire)</w:t>
      </w:r>
      <w:r w:rsidR="00CA0DA9">
        <w:rPr>
          <w:rFonts w:ascii="Century Gothic" w:hAnsi="Century Gothic"/>
        </w:rPr>
        <w:t xml:space="preserve"> en 2013</w:t>
      </w:r>
      <w:r w:rsidRPr="00AB79EF">
        <w:rPr>
          <w:rFonts w:ascii="Century Gothic" w:hAnsi="Century Gothic"/>
        </w:rPr>
        <w:t xml:space="preserve"> au Burkina Faso et à la modification de l’article 37 de la Constitution </w:t>
      </w:r>
      <w:r w:rsidR="00CA0DA9">
        <w:rPr>
          <w:rFonts w:ascii="Century Gothic" w:hAnsi="Century Gothic"/>
        </w:rPr>
        <w:t xml:space="preserve">en 2014 </w:t>
      </w:r>
      <w:r w:rsidRPr="00AB79EF">
        <w:rPr>
          <w:rFonts w:ascii="Century Gothic" w:hAnsi="Century Gothic"/>
        </w:rPr>
        <w:t xml:space="preserve">pour permettre au Président Compaoré de se représenter ont fait de nombreux morts et blessés. Différents rapports, notamment ceux établis par Amnesty International mais aussi par le MBDHP, font le bilan de l’usage excessif de la force lors des événements </w:t>
      </w:r>
      <w:r w:rsidR="007E7BDF">
        <w:rPr>
          <w:rFonts w:ascii="Century Gothic" w:hAnsi="Century Gothic"/>
        </w:rPr>
        <w:t xml:space="preserve">des </w:t>
      </w:r>
      <w:r w:rsidRPr="00AB79EF">
        <w:rPr>
          <w:rFonts w:ascii="Century Gothic" w:hAnsi="Century Gothic"/>
        </w:rPr>
        <w:t>30 et 31 octobre 2014.</w:t>
      </w:r>
    </w:p>
    <w:p w14:paraId="4569BFC8" w14:textId="77777777" w:rsidR="00CA781D" w:rsidRDefault="00CA781D" w:rsidP="00AB79EF">
      <w:pPr>
        <w:autoSpaceDE w:val="0"/>
        <w:autoSpaceDN w:val="0"/>
        <w:adjustRightInd w:val="0"/>
        <w:spacing w:after="0" w:line="240" w:lineRule="auto"/>
        <w:contextualSpacing/>
        <w:jc w:val="both"/>
        <w:rPr>
          <w:rFonts w:ascii="Century Gothic" w:hAnsi="Century Gothic"/>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6"/>
      </w:tblGrid>
      <w:tr w:rsidR="00CA781D" w:rsidRPr="009C096C" w14:paraId="0D3719FC" w14:textId="77777777" w:rsidTr="009C096C">
        <w:tc>
          <w:tcPr>
            <w:tcW w:w="9166" w:type="dxa"/>
            <w:shd w:val="clear" w:color="auto" w:fill="D9D9D9"/>
          </w:tcPr>
          <w:p w14:paraId="04EF3041" w14:textId="77777777" w:rsidR="00CA781D" w:rsidRPr="009C096C" w:rsidRDefault="00CA781D" w:rsidP="009C096C">
            <w:pPr>
              <w:autoSpaceDE w:val="0"/>
              <w:autoSpaceDN w:val="0"/>
              <w:adjustRightInd w:val="0"/>
              <w:spacing w:after="0" w:line="240" w:lineRule="auto"/>
              <w:jc w:val="center"/>
              <w:rPr>
                <w:rFonts w:ascii="Century Gothic" w:hAnsi="Century Gothic"/>
                <w:b/>
                <w:lang w:eastAsia="fr-FR"/>
              </w:rPr>
            </w:pPr>
            <w:r w:rsidRPr="009C096C">
              <w:rPr>
                <w:rFonts w:ascii="Century Gothic" w:hAnsi="Century Gothic"/>
                <w:b/>
                <w:lang w:eastAsia="fr-FR"/>
              </w:rPr>
              <w:t>Extrait du rapport d’Amnesty International « Qu’est-ce qu’ils avaient en tête pour tirer sur les gens ? »</w:t>
            </w:r>
          </w:p>
          <w:p w14:paraId="671AE3DC" w14:textId="77777777" w:rsidR="00CA781D" w:rsidRPr="009C096C" w:rsidRDefault="00CA781D" w:rsidP="009C096C">
            <w:pPr>
              <w:autoSpaceDE w:val="0"/>
              <w:autoSpaceDN w:val="0"/>
              <w:adjustRightInd w:val="0"/>
              <w:spacing w:after="0" w:line="240" w:lineRule="auto"/>
              <w:jc w:val="both"/>
              <w:rPr>
                <w:rFonts w:ascii="Century Gothic" w:hAnsi="Century Gothic"/>
                <w:lang w:eastAsia="fr-FR"/>
              </w:rPr>
            </w:pPr>
            <w:r w:rsidRPr="009C096C">
              <w:rPr>
                <w:rFonts w:ascii="Century Gothic" w:hAnsi="Century Gothic"/>
                <w:lang w:eastAsia="fr-FR"/>
              </w:rPr>
              <w:t>Les événements des 30 et 31 octobre se sont déclenchés après que Blaise Compaoré ait essayé, au mois d'octobre 2014, de modifier l'article 37 de la constitution pour lui permettre de se présenter à nouveau en 2015. C'était la troisième fois depuis le début de sa présidence que Blaise Compaoré tentait de modifier son mandat présidentiel. Dès l’annonce par le gouvernement, le mardi 28 octobre, de soumettre à l’Assemblée nationale un projet de loi visant à modifier l’article 37 de la constitution, la population, y compris des membres de la société civile et de certains partis d’opposition, est descendue dans la rue. Les manifestations ont atteint leur point culminant le 30 octobre 2014, jour de l’examen du projet de loi. Les voies principales de la capitale avaient déjà été occupées la nuit précédente et des manifestants campaient devant l’Assemblée nationale.</w:t>
            </w:r>
          </w:p>
          <w:p w14:paraId="0DA45C3F" w14:textId="77777777" w:rsidR="00CA781D" w:rsidRPr="009C096C" w:rsidRDefault="00CA781D" w:rsidP="009C096C">
            <w:pPr>
              <w:autoSpaceDE w:val="0"/>
              <w:autoSpaceDN w:val="0"/>
              <w:adjustRightInd w:val="0"/>
              <w:spacing w:after="0" w:line="240" w:lineRule="auto"/>
              <w:jc w:val="both"/>
              <w:rPr>
                <w:rFonts w:ascii="Century Gothic" w:hAnsi="Century Gothic"/>
                <w:lang w:eastAsia="fr-FR"/>
              </w:rPr>
            </w:pPr>
          </w:p>
          <w:p w14:paraId="757390E2" w14:textId="77777777" w:rsidR="00CA781D" w:rsidRPr="009C096C" w:rsidRDefault="00CA781D" w:rsidP="009C096C">
            <w:pPr>
              <w:autoSpaceDE w:val="0"/>
              <w:autoSpaceDN w:val="0"/>
              <w:adjustRightInd w:val="0"/>
              <w:spacing w:after="0" w:line="240" w:lineRule="auto"/>
              <w:jc w:val="both"/>
              <w:rPr>
                <w:rFonts w:ascii="Century Gothic" w:hAnsi="Century Gothic"/>
                <w:lang w:eastAsia="fr-FR"/>
              </w:rPr>
            </w:pPr>
            <w:r w:rsidRPr="009C096C">
              <w:rPr>
                <w:rFonts w:ascii="Century Gothic" w:hAnsi="Century Gothic"/>
                <w:lang w:eastAsia="fr-FR"/>
              </w:rPr>
              <w:t>De larges pans de la population, en l’occurrence les jeunes, ont très mal accueilli cette initiative, qui a engendré de vastes manifestations anti gouvernementales. Selon les chiffres avancés par l'opposition, un million de personnes seraient descendues dans la rue pour exprimer leur mécontentement. Les principales manifestations ont eu lieu à Ouagadougou mais le soulèvement s'est propagé dans d'autres</w:t>
            </w:r>
          </w:p>
          <w:p w14:paraId="6D8A308D" w14:textId="77777777" w:rsidR="00CA781D" w:rsidRPr="009C096C" w:rsidRDefault="00CA781D" w:rsidP="009C096C">
            <w:pPr>
              <w:jc w:val="both"/>
              <w:rPr>
                <w:rFonts w:ascii="Century Gothic" w:hAnsi="Century Gothic"/>
                <w:lang w:eastAsia="fr-FR"/>
              </w:rPr>
            </w:pPr>
            <w:r w:rsidRPr="009C096C">
              <w:rPr>
                <w:rFonts w:ascii="Century Gothic" w:hAnsi="Century Gothic"/>
                <w:lang w:eastAsia="fr-FR"/>
              </w:rPr>
              <w:t>villes du pays.</w:t>
            </w:r>
          </w:p>
          <w:p w14:paraId="69757433" w14:textId="77777777" w:rsidR="00CA781D" w:rsidRPr="009C096C" w:rsidRDefault="00CA781D" w:rsidP="009C096C">
            <w:pPr>
              <w:autoSpaceDE w:val="0"/>
              <w:autoSpaceDN w:val="0"/>
              <w:adjustRightInd w:val="0"/>
              <w:spacing w:after="0" w:line="240" w:lineRule="auto"/>
              <w:jc w:val="both"/>
              <w:rPr>
                <w:rFonts w:ascii="Century Gothic" w:hAnsi="Century Gothic"/>
                <w:lang w:eastAsia="fr-FR"/>
              </w:rPr>
            </w:pPr>
            <w:r w:rsidRPr="009C096C">
              <w:rPr>
                <w:rFonts w:ascii="Century Gothic" w:hAnsi="Century Gothic"/>
                <w:lang w:eastAsia="fr-FR"/>
              </w:rPr>
              <w:t>Le projet de loi visant à changer la constitution a finalement été retiré le 30 octobre. Mais cela n'a pas suffi à une grande partie de la population, qui a continué à protester en masse, refusant de rentrer chez elle tant que Blaise Compaoré n'aurait pas quitté le pouvoir. Ce dernier a finalement démissionné le 31 octobre 2014 et a pu s’enfuir avec sa famille en Côte d'Ivoire, avec l’assistance de la France, après quoi ils se sont rendus au Maroc. Ils sont revenus en Côte d’Ivoire à la mi-décembre 2014 et jusqu’à ce jour Blaise Compaoré y séjourne.</w:t>
            </w:r>
          </w:p>
          <w:p w14:paraId="59F7C6C8" w14:textId="77777777" w:rsidR="00CA781D" w:rsidRPr="009C096C" w:rsidRDefault="00CA781D" w:rsidP="009C096C">
            <w:pPr>
              <w:autoSpaceDE w:val="0"/>
              <w:autoSpaceDN w:val="0"/>
              <w:adjustRightInd w:val="0"/>
              <w:spacing w:after="0" w:line="240" w:lineRule="auto"/>
              <w:jc w:val="both"/>
              <w:rPr>
                <w:rFonts w:ascii="Century Gothic" w:hAnsi="Century Gothic"/>
                <w:lang w:eastAsia="fr-FR"/>
              </w:rPr>
            </w:pPr>
          </w:p>
          <w:p w14:paraId="1191C2F9" w14:textId="77777777" w:rsidR="00CA781D" w:rsidRPr="009C096C" w:rsidRDefault="00CA781D" w:rsidP="009C096C">
            <w:pPr>
              <w:autoSpaceDE w:val="0"/>
              <w:autoSpaceDN w:val="0"/>
              <w:adjustRightInd w:val="0"/>
              <w:spacing w:after="0" w:line="240" w:lineRule="auto"/>
              <w:jc w:val="both"/>
              <w:rPr>
                <w:rFonts w:ascii="Times New Roman" w:hAnsi="Times New Roman"/>
              </w:rPr>
            </w:pPr>
            <w:r w:rsidRPr="009C096C">
              <w:rPr>
                <w:rFonts w:ascii="Century Gothic" w:hAnsi="Century Gothic"/>
                <w:lang w:eastAsia="fr-FR"/>
              </w:rPr>
              <w:t>Lors de ces manifestations, la gendarmerie (police militaire), l'armée nationale (dont le RSP) et la police ont été déployées à plusieurs moments et dans différents endroits. La plupart des manifestations appelant à la démission du président s’est déroulée pacifiquement mais des troubles ont néanmoins parfois éclaté et certains bâtiments publics ont été pillés et incendiés.</w:t>
            </w:r>
          </w:p>
          <w:p w14:paraId="1FF1758B" w14:textId="77777777" w:rsidR="00CA781D" w:rsidRPr="009C096C" w:rsidRDefault="00CA781D" w:rsidP="009C096C">
            <w:pPr>
              <w:autoSpaceDE w:val="0"/>
              <w:autoSpaceDN w:val="0"/>
              <w:adjustRightInd w:val="0"/>
              <w:spacing w:after="0" w:line="240" w:lineRule="auto"/>
              <w:contextualSpacing/>
              <w:jc w:val="both"/>
              <w:rPr>
                <w:rFonts w:ascii="Century Gothic" w:hAnsi="Century Gothic"/>
              </w:rPr>
            </w:pPr>
          </w:p>
        </w:tc>
      </w:tr>
    </w:tbl>
    <w:p w14:paraId="15EC8CC6" w14:textId="77777777" w:rsidR="00CA781D" w:rsidRDefault="00CA781D" w:rsidP="00AB79EF">
      <w:pPr>
        <w:autoSpaceDE w:val="0"/>
        <w:autoSpaceDN w:val="0"/>
        <w:adjustRightInd w:val="0"/>
        <w:spacing w:after="0" w:line="240" w:lineRule="auto"/>
        <w:contextualSpacing/>
        <w:jc w:val="both"/>
        <w:rPr>
          <w:rFonts w:ascii="Century Gothic" w:hAnsi="Century Gothic"/>
        </w:rPr>
      </w:pPr>
    </w:p>
    <w:p w14:paraId="2EE1528F" w14:textId="77777777" w:rsidR="00892685" w:rsidRPr="00AB79EF" w:rsidRDefault="0017110A" w:rsidP="00AB79EF">
      <w:pPr>
        <w:autoSpaceDE w:val="0"/>
        <w:autoSpaceDN w:val="0"/>
        <w:adjustRightInd w:val="0"/>
        <w:spacing w:after="0" w:line="240" w:lineRule="auto"/>
        <w:contextualSpacing/>
        <w:jc w:val="both"/>
        <w:rPr>
          <w:rFonts w:ascii="Century Gothic" w:hAnsi="Century Gothic"/>
          <w:lang w:eastAsia="fr-FR"/>
        </w:rPr>
      </w:pPr>
      <w:r>
        <w:rPr>
          <w:rFonts w:ascii="Century Gothic" w:hAnsi="Century Gothic"/>
        </w:rPr>
        <w:t>Le rapport</w:t>
      </w:r>
      <w:r w:rsidR="00892685" w:rsidRPr="00AB79EF">
        <w:rPr>
          <w:rFonts w:ascii="Century Gothic" w:hAnsi="Century Gothic"/>
        </w:rPr>
        <w:t xml:space="preserve"> précise que l</w:t>
      </w:r>
      <w:r w:rsidR="00892685" w:rsidRPr="00AB79EF">
        <w:rPr>
          <w:rFonts w:ascii="Century Gothic" w:hAnsi="Century Gothic"/>
          <w:lang w:eastAsia="fr-FR"/>
        </w:rPr>
        <w:t xml:space="preserve">ors des manifestations, la gendarmerie (police militaire), l'armée nationale (dont le régiment de sécurité présidentielle fait partie) et la police ont été déployés. </w:t>
      </w:r>
    </w:p>
    <w:p w14:paraId="15290E7F" w14:textId="77777777" w:rsidR="00892685" w:rsidRPr="00AB79EF"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lang w:eastAsia="fr-FR"/>
        </w:rPr>
        <w:t>La plupart de ces protestations se sont déroulées pacifiquement mais des troubles ont néanmoins parfois éclaté et certains bâtiments publics et propriétés privées ont été pillés et incendiés notamment lors des événements des 30 et 31 octobre 2014. Selon le rapport du Comité ad hoc mis en place par le gouvernement au</w:t>
      </w:r>
      <w:r w:rsidRPr="00AB79EF">
        <w:rPr>
          <w:rFonts w:ascii="Century Gothic" w:hAnsi="Century Gothic"/>
        </w:rPr>
        <w:t xml:space="preserve"> moins 19 personnes ont été tuées et 500 blessées lors des manifestations et des violences qui s'ensuivirent. D'après ce rapport</w:t>
      </w:r>
      <w:r w:rsidRPr="00AB79EF">
        <w:rPr>
          <w:rStyle w:val="Marquenotebasdepage"/>
          <w:rFonts w:ascii="Century Gothic" w:hAnsi="Century Gothic"/>
        </w:rPr>
        <w:footnoteReference w:id="83"/>
      </w:r>
      <w:r w:rsidRPr="00AB79EF">
        <w:rPr>
          <w:rFonts w:ascii="Century Gothic" w:hAnsi="Century Gothic"/>
        </w:rPr>
        <w:t xml:space="preserve"> officiel du gouvernement, les quelques 500 personnes blessées ont souffert de : blessures par balles ou objets tranchants, complications dues à l'inhalation de gaz lacrymogènes, asphyxie ou divers degrés de brûlures liées aux incendies. Le comité a formulé quatre recommandations, au nombre desquelles figure une demande à la Commission vérité, justice et réconciliation de prendre en compte les conclusions du comité.</w:t>
      </w:r>
    </w:p>
    <w:p w14:paraId="631DC9BE" w14:textId="77777777" w:rsidR="00892685" w:rsidRPr="00AB79EF"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Dans le cadre des mêmes manifestations qui ont marqué le Burkina Faso entre le 30 octobre et le 2 novembre 2014, Amnesty International a relevé que les forces de sécurité ont commis des violations des droits humains, notamment le droit à la vie, le droit à ne pas subir de tortures et de peines ou traitements cruels, inhumains et dégradants, le droit de réunion pacifique et le droit à la liberté d'expression. Les témoignages et éléments de preuve recueillis par Amnesty International</w:t>
      </w:r>
      <w:r w:rsidRPr="00AB79EF">
        <w:rPr>
          <w:rStyle w:val="Marquenotebasdepage"/>
          <w:rFonts w:ascii="Century Gothic" w:hAnsi="Century Gothic"/>
        </w:rPr>
        <w:footnoteReference w:id="84"/>
      </w:r>
      <w:r w:rsidRPr="00AB79EF">
        <w:rPr>
          <w:rFonts w:ascii="Century Gothic" w:hAnsi="Century Gothic"/>
        </w:rPr>
        <w:t xml:space="preserve"> indiquent que les forces de sécurité ont eu recours à la force meurtrière de manière arbitraire, à l'encontre de manifestants pacifiques, et que ce recours à la force a fait au moins dix morts et des centaines de blessés. Des surveillants de prison, notamment la Maison d’arrêt et de correction de Ouagadougou</w:t>
      </w:r>
      <w:r w:rsidR="00A87418" w:rsidRPr="00AB79EF">
        <w:rPr>
          <w:rFonts w:ascii="Century Gothic" w:hAnsi="Century Gothic"/>
        </w:rPr>
        <w:t xml:space="preserve"> </w:t>
      </w:r>
      <w:r w:rsidRPr="00AB79EF">
        <w:rPr>
          <w:rFonts w:ascii="Century Gothic" w:hAnsi="Century Gothic"/>
        </w:rPr>
        <w:t xml:space="preserve">(MACO) et des membres de la </w:t>
      </w:r>
      <w:r w:rsidRPr="00AB79EF">
        <w:rPr>
          <w:rFonts w:ascii="Century Gothic" w:hAnsi="Century Gothic"/>
        </w:rPr>
        <w:lastRenderedPageBreak/>
        <w:t>gendarmerie ont aussi réprimé une émeute dans la prison en recourant à la force de manière excessive et ont maltraité des détenus. Ces actes ont fait au moins cinq morts. Lors des manifestations et de l'émeute à la prison, les forces de sécurité ont réagi en violation non seulement du droit burkinabé mais aussi du droit et des normes régionaux et internationaux relatifs aux droits humains.</w:t>
      </w:r>
    </w:p>
    <w:p w14:paraId="08D1734A" w14:textId="77777777" w:rsidR="00892685"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L’organisation a également demandé au gouvernement par intérim d'enquêter de manière approfondie sur toutes les violations et de veiller à ce que les responsables soient tenus de rendre des comptes. Selon des informations reçues du procureur du Faso, hormis les plaintes déposées par certains parents de victimes qui sont en cours d’examen, aucun</w:t>
      </w:r>
      <w:r w:rsidR="00462F71" w:rsidRPr="00AB79EF">
        <w:rPr>
          <w:rFonts w:ascii="Century Gothic" w:hAnsi="Century Gothic"/>
        </w:rPr>
        <w:t xml:space="preserve">e suite n’a encore été donnée. </w:t>
      </w:r>
    </w:p>
    <w:p w14:paraId="2E70FBF2" w14:textId="77777777" w:rsidR="00D060B8" w:rsidRPr="00AB79EF" w:rsidRDefault="00D060B8" w:rsidP="00AB79EF">
      <w:pPr>
        <w:autoSpaceDE w:val="0"/>
        <w:autoSpaceDN w:val="0"/>
        <w:adjustRightInd w:val="0"/>
        <w:spacing w:after="0" w:line="240" w:lineRule="auto"/>
        <w:jc w:val="both"/>
        <w:rPr>
          <w:rStyle w:val="hps"/>
          <w:rFonts w:ascii="Century Gothic" w:hAnsi="Century Gothic"/>
        </w:rPr>
      </w:pPr>
    </w:p>
    <w:p w14:paraId="66409B9F" w14:textId="77777777" w:rsidR="00892685" w:rsidRPr="00AB79EF" w:rsidRDefault="00892685" w:rsidP="00AB79EF">
      <w:pPr>
        <w:spacing w:after="0" w:line="240" w:lineRule="auto"/>
        <w:contextualSpacing/>
        <w:jc w:val="both"/>
        <w:rPr>
          <w:rStyle w:val="hps"/>
          <w:rFonts w:ascii="Century Gothic" w:hAnsi="Century Gothic"/>
          <w:b/>
        </w:rPr>
      </w:pPr>
      <w:r w:rsidRPr="00AB79EF">
        <w:rPr>
          <w:rStyle w:val="hps"/>
          <w:rFonts w:ascii="Century Gothic" w:hAnsi="Century Gothic"/>
          <w:b/>
          <w:i/>
          <w:u w:val="single"/>
        </w:rPr>
        <w:t>Suggestions de questions provenant de la société civile relatives aux points ci-dessus</w:t>
      </w:r>
      <w:r w:rsidRPr="00AB79EF">
        <w:rPr>
          <w:rStyle w:val="hps"/>
          <w:rFonts w:ascii="Century Gothic" w:hAnsi="Century Gothic"/>
          <w:b/>
        </w:rPr>
        <w:t> </w:t>
      </w:r>
    </w:p>
    <w:p w14:paraId="579F1660" w14:textId="77777777" w:rsidR="00892685" w:rsidRPr="00AB79EF" w:rsidRDefault="00892685" w:rsidP="00D060B8">
      <w:pPr>
        <w:pStyle w:val="Listecouleur-Accent12"/>
        <w:numPr>
          <w:ilvl w:val="0"/>
          <w:numId w:val="29"/>
        </w:numPr>
        <w:spacing w:line="240" w:lineRule="auto"/>
        <w:contextualSpacing/>
        <w:jc w:val="both"/>
        <w:rPr>
          <w:rStyle w:val="hps"/>
          <w:rFonts w:ascii="Century Gothic" w:hAnsi="Century Gothic"/>
        </w:rPr>
      </w:pPr>
      <w:r w:rsidRPr="00AB79EF">
        <w:rPr>
          <w:rStyle w:val="hps"/>
          <w:rFonts w:ascii="Century Gothic" w:hAnsi="Century Gothic"/>
        </w:rPr>
        <w:t>Quels sont les mécanismes mis en place pour s’assurer de l’effectivité de l’accès équitable de toutes les tendances politiques aux médias publics ?</w:t>
      </w:r>
    </w:p>
    <w:p w14:paraId="0D2A4522" w14:textId="77777777" w:rsidR="00892685" w:rsidRPr="00AB79EF" w:rsidRDefault="00892685" w:rsidP="00D060B8">
      <w:pPr>
        <w:pStyle w:val="Listecouleur-Accent12"/>
        <w:numPr>
          <w:ilvl w:val="0"/>
          <w:numId w:val="29"/>
        </w:numPr>
        <w:spacing w:line="240" w:lineRule="auto"/>
        <w:contextualSpacing/>
        <w:jc w:val="both"/>
        <w:rPr>
          <w:rStyle w:val="hps"/>
          <w:rFonts w:ascii="Century Gothic" w:hAnsi="Century Gothic"/>
        </w:rPr>
      </w:pPr>
      <w:r w:rsidRPr="00AB79EF">
        <w:rPr>
          <w:rStyle w:val="hps"/>
          <w:rFonts w:ascii="Century Gothic" w:hAnsi="Century Gothic"/>
        </w:rPr>
        <w:t xml:space="preserve">Après les répressions des manifestations publiques pacifiques, où en est-on avec les enquêtes visant à identifier et sanctionner les responsables des exactions commises ? </w:t>
      </w:r>
    </w:p>
    <w:p w14:paraId="29AADE2D" w14:textId="77777777" w:rsidR="00892685" w:rsidRPr="00AB79EF" w:rsidRDefault="00892685" w:rsidP="00D060B8">
      <w:pPr>
        <w:pStyle w:val="Listecouleur-Accent12"/>
        <w:numPr>
          <w:ilvl w:val="0"/>
          <w:numId w:val="29"/>
        </w:numPr>
        <w:spacing w:line="240" w:lineRule="auto"/>
        <w:contextualSpacing/>
        <w:jc w:val="both"/>
        <w:rPr>
          <w:rStyle w:val="hps"/>
          <w:rFonts w:ascii="Century Gothic" w:hAnsi="Century Gothic"/>
        </w:rPr>
      </w:pPr>
      <w:r w:rsidRPr="00AB79EF">
        <w:rPr>
          <w:rStyle w:val="hps"/>
          <w:rFonts w:ascii="Century Gothic" w:hAnsi="Century Gothic"/>
        </w:rPr>
        <w:t>Quelles mesures le gouvernement compte-t-il prendre pour initier des enquêtes sérieuses et transparentes en vue de traduire de façon effective devant les tribunaux les auteurs de tueries constatées lors des évènements de Koudougou (2011) et lors de l’insurrection populaire d’octobre-Novembre 2014 ?</w:t>
      </w:r>
    </w:p>
    <w:p w14:paraId="1B1A405D" w14:textId="77777777" w:rsidR="00892685" w:rsidRPr="00AB79EF" w:rsidRDefault="00892685" w:rsidP="00D060B8">
      <w:pPr>
        <w:pStyle w:val="Listecouleur-Accent12"/>
        <w:numPr>
          <w:ilvl w:val="0"/>
          <w:numId w:val="29"/>
        </w:numPr>
        <w:spacing w:line="240" w:lineRule="auto"/>
        <w:contextualSpacing/>
        <w:jc w:val="both"/>
        <w:rPr>
          <w:rStyle w:val="hps"/>
          <w:rFonts w:ascii="Century Gothic" w:hAnsi="Century Gothic"/>
        </w:rPr>
      </w:pPr>
      <w:r w:rsidRPr="00AB79EF">
        <w:rPr>
          <w:rStyle w:val="hps"/>
          <w:rFonts w:ascii="Century Gothic" w:hAnsi="Century Gothic"/>
        </w:rPr>
        <w:t>Quelles mesures le gouvernement compte-t-il prendre pour assurer un contrôle efficace et effectif du port des armes</w:t>
      </w:r>
      <w:r w:rsidR="006B4ACE" w:rsidRPr="00AB79EF">
        <w:rPr>
          <w:rStyle w:val="hps"/>
          <w:rFonts w:ascii="Century Gothic" w:hAnsi="Century Gothic"/>
        </w:rPr>
        <w:t xml:space="preserve"> </w:t>
      </w:r>
      <w:r w:rsidRPr="00AB79EF">
        <w:rPr>
          <w:rStyle w:val="hps"/>
          <w:rFonts w:ascii="Century Gothic" w:hAnsi="Century Gothic"/>
        </w:rPr>
        <w:t>par les fonctionnaires et agents autorisés à porter des armes, notamment en dehors des heures de service ?</w:t>
      </w:r>
    </w:p>
    <w:p w14:paraId="5923E55C" w14:textId="77777777" w:rsidR="00892685" w:rsidRPr="00AB79EF" w:rsidRDefault="00892685" w:rsidP="00D060B8">
      <w:pPr>
        <w:pStyle w:val="Listecouleur-Accent12"/>
        <w:numPr>
          <w:ilvl w:val="0"/>
          <w:numId w:val="29"/>
        </w:numPr>
        <w:spacing w:line="240" w:lineRule="auto"/>
        <w:contextualSpacing/>
        <w:jc w:val="both"/>
        <w:rPr>
          <w:rFonts w:ascii="Century Gothic" w:hAnsi="Century Gothic"/>
        </w:rPr>
      </w:pPr>
      <w:r w:rsidRPr="00AB79EF">
        <w:rPr>
          <w:rStyle w:val="hps"/>
          <w:rFonts w:ascii="Century Gothic" w:hAnsi="Century Gothic"/>
        </w:rPr>
        <w:t>Que compte faire le gouvernement pour éviter à l’avenir des atteintes à la liberté de la presse, et les excès de pouvoir de la part des institutions comme le CSC qui sont sensés la promouvoir ?</w:t>
      </w:r>
    </w:p>
    <w:p w14:paraId="5122CF64" w14:textId="77777777" w:rsidR="008214E1" w:rsidRDefault="00892685" w:rsidP="00D060B8">
      <w:pPr>
        <w:numPr>
          <w:ilvl w:val="0"/>
          <w:numId w:val="5"/>
        </w:numPr>
        <w:tabs>
          <w:tab w:val="left" w:pos="709"/>
        </w:tabs>
        <w:spacing w:line="240" w:lineRule="auto"/>
        <w:ind w:left="709"/>
        <w:contextualSpacing/>
        <w:jc w:val="both"/>
        <w:outlineLvl w:val="0"/>
        <w:rPr>
          <w:rFonts w:ascii="Century Gothic" w:hAnsi="Century Gothic"/>
          <w:b/>
        </w:rPr>
      </w:pPr>
      <w:bookmarkStart w:id="15" w:name="_Toc426711291"/>
      <w:r w:rsidRPr="00AB79EF">
        <w:rPr>
          <w:rStyle w:val="hps"/>
          <w:rFonts w:ascii="Century Gothic" w:hAnsi="Century Gothic"/>
          <w:b/>
        </w:rPr>
        <w:t>Le droit de participer à la vie publique et de voter dans des élections libres et équitables (art 25</w:t>
      </w:r>
      <w:r w:rsidRPr="00AB79EF">
        <w:rPr>
          <w:rFonts w:ascii="Century Gothic" w:hAnsi="Century Gothic"/>
          <w:b/>
        </w:rPr>
        <w:t>)</w:t>
      </w:r>
      <w:bookmarkEnd w:id="15"/>
    </w:p>
    <w:p w14:paraId="3F7E4689" w14:textId="77777777" w:rsidR="00D060B8" w:rsidRPr="00AB79EF" w:rsidRDefault="00D060B8" w:rsidP="00D060B8">
      <w:pPr>
        <w:tabs>
          <w:tab w:val="left" w:pos="709"/>
        </w:tabs>
        <w:spacing w:line="240" w:lineRule="auto"/>
        <w:ind w:left="709"/>
        <w:contextualSpacing/>
        <w:jc w:val="both"/>
        <w:outlineLvl w:val="0"/>
        <w:rPr>
          <w:rStyle w:val="hps"/>
          <w:rFonts w:ascii="Century Gothic" w:hAnsi="Century Gothic"/>
          <w:b/>
        </w:rPr>
      </w:pPr>
    </w:p>
    <w:p w14:paraId="3F7B086B" w14:textId="77777777" w:rsidR="00892685" w:rsidRPr="00AB79EF" w:rsidRDefault="00892685" w:rsidP="00D060B8">
      <w:pPr>
        <w:numPr>
          <w:ilvl w:val="0"/>
          <w:numId w:val="13"/>
        </w:numPr>
        <w:spacing w:line="240" w:lineRule="auto"/>
        <w:contextualSpacing/>
        <w:jc w:val="both"/>
        <w:rPr>
          <w:rFonts w:ascii="Century Gothic" w:hAnsi="Century Gothic"/>
          <w:b/>
        </w:rPr>
      </w:pPr>
      <w:r w:rsidRPr="00AB79EF">
        <w:rPr>
          <w:rFonts w:ascii="Century Gothic" w:hAnsi="Century Gothic"/>
          <w:b/>
        </w:rPr>
        <w:t>Appréciation des processus électoraux au Burkina-Faso et mesures permettant d’assurer des élections libres et équitables </w:t>
      </w:r>
    </w:p>
    <w:p w14:paraId="6DFEC995" w14:textId="77777777" w:rsidR="00892685" w:rsidRPr="00AB79EF" w:rsidRDefault="00892685" w:rsidP="00AB79EF">
      <w:pPr>
        <w:spacing w:line="240" w:lineRule="auto"/>
        <w:contextualSpacing/>
        <w:jc w:val="both"/>
        <w:rPr>
          <w:rFonts w:ascii="Century Gothic" w:hAnsi="Century Gothic"/>
        </w:rPr>
      </w:pPr>
      <w:r w:rsidRPr="00AB79EF">
        <w:rPr>
          <w:rFonts w:ascii="Century Gothic" w:hAnsi="Century Gothic"/>
        </w:rPr>
        <w:t>Nonobstant les améliorations apportées au dispositif juridique et institutionnel</w:t>
      </w:r>
      <w:r w:rsidRPr="00AB79EF">
        <w:rPr>
          <w:rStyle w:val="Marquenotebasdepage"/>
          <w:rFonts w:ascii="Century Gothic" w:hAnsi="Century Gothic"/>
        </w:rPr>
        <w:footnoteReference w:id="85"/>
      </w:r>
      <w:r w:rsidRPr="00AB79EF">
        <w:rPr>
          <w:rFonts w:ascii="Century Gothic" w:hAnsi="Century Gothic"/>
        </w:rPr>
        <w:t xml:space="preserve"> qui les régissent, la gouvernance électorale au Burkina Faso a souvent été caractérisée par de nombreux défis qui restent à relever pour tenir des élections transparentes et sincères</w:t>
      </w:r>
      <w:r w:rsidRPr="00AB79EF">
        <w:rPr>
          <w:rStyle w:val="Marquenotebasdepage"/>
          <w:rFonts w:ascii="Century Gothic" w:hAnsi="Century Gothic"/>
        </w:rPr>
        <w:footnoteReference w:id="86"/>
      </w:r>
      <w:r w:rsidRPr="00AB79EF">
        <w:rPr>
          <w:rFonts w:ascii="Century Gothic" w:hAnsi="Century Gothic"/>
        </w:rPr>
        <w:t xml:space="preserve">. De l’avis des plus de 8000 observateurs nationaux et internationaux qui ont été accrédités par la </w:t>
      </w:r>
      <w:r w:rsidR="007D2E5D" w:rsidRPr="007D2E5D">
        <w:rPr>
          <w:rFonts w:ascii="Century Gothic" w:hAnsi="Century Gothic"/>
        </w:rPr>
        <w:t xml:space="preserve">Commission Electorale Nationale Indépendante </w:t>
      </w:r>
      <w:r w:rsidR="007D2E5D">
        <w:rPr>
          <w:rFonts w:ascii="Century Gothic" w:hAnsi="Century Gothic"/>
        </w:rPr>
        <w:t>(</w:t>
      </w:r>
      <w:r w:rsidRPr="00AB79EF">
        <w:rPr>
          <w:rFonts w:ascii="Century Gothic" w:hAnsi="Century Gothic"/>
        </w:rPr>
        <w:t>CENI</w:t>
      </w:r>
      <w:r w:rsidR="007D2E5D">
        <w:rPr>
          <w:rFonts w:ascii="Century Gothic" w:hAnsi="Century Gothic"/>
        </w:rPr>
        <w:t>)</w:t>
      </w:r>
      <w:r w:rsidRPr="00AB79EF">
        <w:rPr>
          <w:rFonts w:ascii="Century Gothic" w:hAnsi="Century Gothic"/>
        </w:rPr>
        <w:t>, les élections couplées législatives et municipales du 2 décembre 2012 se sont, dans l’ensemble</w:t>
      </w:r>
      <w:r w:rsidR="007D2E5D">
        <w:rPr>
          <w:rFonts w:ascii="Century Gothic" w:hAnsi="Century Gothic"/>
        </w:rPr>
        <w:t>,</w:t>
      </w:r>
      <w:r w:rsidRPr="00AB79EF">
        <w:rPr>
          <w:rFonts w:ascii="Century Gothic" w:hAnsi="Century Gothic"/>
        </w:rPr>
        <w:t xml:space="preserve"> bien déroulées. Le Conseil d’Etat et le Conseil Constitutionnel qui ont procédé au contrôle du scrutin couplé, ont cependant noté quelques irrégularités ou dysfonctionnements, dont certains ont servi de justification à des annulations et </w:t>
      </w:r>
      <w:r w:rsidRPr="00AB79EF">
        <w:rPr>
          <w:rFonts w:ascii="Century Gothic" w:hAnsi="Century Gothic"/>
        </w:rPr>
        <w:lastRenderedPageBreak/>
        <w:t>reprises partielles d</w:t>
      </w:r>
      <w:r w:rsidR="007D2E5D">
        <w:rPr>
          <w:rFonts w:ascii="Century Gothic" w:hAnsi="Century Gothic"/>
        </w:rPr>
        <w:t>es élections municipales le 17 f</w:t>
      </w:r>
      <w:r w:rsidRPr="00AB79EF">
        <w:rPr>
          <w:rFonts w:ascii="Century Gothic" w:hAnsi="Century Gothic"/>
        </w:rPr>
        <w:t xml:space="preserve">évrier 2013. Le contentieux électoral n’échappe pas à la suspicion généralisée relativement à l’indépendance de la justice. La composition notamment du Conseil constitutionnel dont les membres </w:t>
      </w:r>
      <w:proofErr w:type="gramStart"/>
      <w:r w:rsidRPr="00AB79EF">
        <w:rPr>
          <w:rFonts w:ascii="Century Gothic" w:hAnsi="Century Gothic"/>
        </w:rPr>
        <w:t>sont</w:t>
      </w:r>
      <w:proofErr w:type="gramEnd"/>
      <w:r w:rsidRPr="00AB79EF">
        <w:rPr>
          <w:rFonts w:ascii="Century Gothic" w:hAnsi="Century Gothic"/>
        </w:rPr>
        <w:t xml:space="preserve"> choisis et nommés par des organes politiques, fait douter de l’indépendance réelle de l’institution. Jusque très récemment, les personnalités qui l’ont présidé ont entretenu des liens réels ou présumés avec le pouvoir en place et l’on pouvait légitimement douter de leur impartialité</w:t>
      </w:r>
      <w:r w:rsidRPr="00AB79EF">
        <w:rPr>
          <w:rStyle w:val="Marquenotebasdepage"/>
          <w:rFonts w:ascii="Century Gothic" w:hAnsi="Century Gothic"/>
        </w:rPr>
        <w:footnoteReference w:id="87"/>
      </w:r>
      <w:r w:rsidRPr="00AB79EF">
        <w:rPr>
          <w:rFonts w:ascii="Century Gothic" w:hAnsi="Century Gothic"/>
        </w:rPr>
        <w:t>.</w:t>
      </w:r>
    </w:p>
    <w:p w14:paraId="62885BBA" w14:textId="77777777" w:rsidR="00892685" w:rsidRPr="00447D83" w:rsidRDefault="00892685" w:rsidP="00AB79EF">
      <w:pPr>
        <w:shd w:val="clear" w:color="auto" w:fill="FFFFFF"/>
        <w:spacing w:before="100" w:beforeAutospacing="1" w:line="240" w:lineRule="auto"/>
        <w:jc w:val="both"/>
        <w:textAlignment w:val="baseline"/>
        <w:rPr>
          <w:rFonts w:ascii="Century Gothic" w:hAnsi="Century Gothic"/>
        </w:rPr>
      </w:pPr>
      <w:r w:rsidRPr="00AB79EF">
        <w:rPr>
          <w:rFonts w:ascii="Century Gothic" w:hAnsi="Century Gothic"/>
        </w:rPr>
        <w:t>Les élections de sortie de crise visant à mettre fin à la transition et à restaurer l’ordre constitutionnel normal sont celles de tous les dangers. La présidentielle et les législatives couplées sont prévue</w:t>
      </w:r>
      <w:r w:rsidR="007D2E5D">
        <w:rPr>
          <w:rFonts w:ascii="Century Gothic" w:hAnsi="Century Gothic"/>
        </w:rPr>
        <w:t>s pour le 11 o</w:t>
      </w:r>
      <w:r w:rsidRPr="00AB79EF">
        <w:rPr>
          <w:rFonts w:ascii="Century Gothic" w:hAnsi="Century Gothic"/>
        </w:rPr>
        <w:t>ctobre 2015.</w:t>
      </w:r>
      <w:r w:rsidR="007D2E5D">
        <w:rPr>
          <w:rFonts w:ascii="Century Gothic" w:hAnsi="Century Gothic"/>
        </w:rPr>
        <w:t xml:space="preserve"> </w:t>
      </w:r>
      <w:r w:rsidRPr="00AB79EF">
        <w:rPr>
          <w:rFonts w:ascii="Century Gothic" w:hAnsi="Century Gothic"/>
        </w:rPr>
        <w:t>De nombreux partenaires se sont mobilisés pour assurer un processus électoral transparent et crédible. En dépit de l’importance des enjeux attachés à ces scrutins, moins d’un tiers des potentiels électeurs se sont inscrits. Les opérations d’enrôlement dans le cadre de la révision exception</w:t>
      </w:r>
      <w:r w:rsidR="007D2E5D">
        <w:rPr>
          <w:rFonts w:ascii="Century Gothic" w:hAnsi="Century Gothic"/>
        </w:rPr>
        <w:t>nelle des listes électorales n’ont</w:t>
      </w:r>
      <w:r w:rsidRPr="00AB79EF">
        <w:rPr>
          <w:rFonts w:ascii="Century Gothic" w:hAnsi="Century Gothic"/>
        </w:rPr>
        <w:t xml:space="preserve"> enregistré que 555.396 nouveaux enrôlés soit une évolution de 12% par rapport à l’opération de 2014. Le fichier électoral compte désormais 5.542.253 inscrits et répartis dans 17.931 bureaux de vote pour une population de 17 millions d’habitants. Il faut noter aussi qu’il y a 66 </w:t>
      </w:r>
      <w:r w:rsidRPr="00447D83">
        <w:rPr>
          <w:rFonts w:ascii="Century Gothic" w:hAnsi="Century Gothic"/>
        </w:rPr>
        <w:t>personnes d’autres nationalités recensées en 2015.</w:t>
      </w:r>
    </w:p>
    <w:p w14:paraId="2433DF7D" w14:textId="14354CFC" w:rsidR="00892685" w:rsidRPr="00D80D55" w:rsidRDefault="00892685" w:rsidP="00AB79EF">
      <w:pPr>
        <w:shd w:val="clear" w:color="auto" w:fill="FFFFFF"/>
        <w:spacing w:before="100" w:beforeAutospacing="1" w:line="240" w:lineRule="auto"/>
        <w:jc w:val="both"/>
        <w:textAlignment w:val="baseline"/>
        <w:rPr>
          <w:rFonts w:ascii="Century Gothic" w:hAnsi="Century Gothic"/>
        </w:rPr>
      </w:pPr>
      <w:r w:rsidRPr="00D80D55">
        <w:rPr>
          <w:rFonts w:ascii="Century Gothic" w:hAnsi="Century Gothic"/>
        </w:rPr>
        <w:t xml:space="preserve">Le processus est aussi marqué par une controverse relative à la participation de certains membres de l’ex-majorité au scrutin </w:t>
      </w:r>
      <w:r w:rsidR="00CA6C01" w:rsidRPr="00D80D55">
        <w:rPr>
          <w:rFonts w:ascii="Century Gothic" w:hAnsi="Century Gothic"/>
        </w:rPr>
        <w:t>devant mettre fin à la transition</w:t>
      </w:r>
      <w:r w:rsidR="00742669" w:rsidRPr="00D80D55">
        <w:rPr>
          <w:rFonts w:ascii="Century Gothic" w:hAnsi="Century Gothic"/>
        </w:rPr>
        <w:t>, en l’occurrence les élections couplé</w:t>
      </w:r>
      <w:r w:rsidR="00447D83">
        <w:rPr>
          <w:rFonts w:ascii="Century Gothic" w:hAnsi="Century Gothic"/>
        </w:rPr>
        <w:t>e</w:t>
      </w:r>
      <w:r w:rsidR="00742669" w:rsidRPr="00D80D55">
        <w:rPr>
          <w:rFonts w:ascii="Century Gothic" w:hAnsi="Century Gothic"/>
        </w:rPr>
        <w:t>s du 11 octobre 2015 (pour les élections législatives et présidentielles) ainsi que les élections municipales du 31 janvier 2016</w:t>
      </w:r>
      <w:r w:rsidRPr="00D80D55">
        <w:rPr>
          <w:rFonts w:ascii="Century Gothic" w:hAnsi="Century Gothic"/>
        </w:rPr>
        <w:t xml:space="preserve">. Une partie de l’opinion souhaite une sanction politique de ceux qui ont activement soutenue la volonté de modification </w:t>
      </w:r>
      <w:r w:rsidR="00742669" w:rsidRPr="00D80D55">
        <w:rPr>
          <w:rFonts w:ascii="Century Gothic" w:hAnsi="Century Gothic"/>
        </w:rPr>
        <w:t xml:space="preserve">de l’article 37 </w:t>
      </w:r>
      <w:r w:rsidRPr="00D80D55">
        <w:rPr>
          <w:rFonts w:ascii="Century Gothic" w:hAnsi="Century Gothic"/>
        </w:rPr>
        <w:t xml:space="preserve">de la constitution et qui a conduit à la crise. </w:t>
      </w:r>
      <w:r w:rsidR="00742669" w:rsidRPr="00D80D55">
        <w:rPr>
          <w:rFonts w:ascii="Century Gothic" w:hAnsi="Century Gothic"/>
        </w:rPr>
        <w:t xml:space="preserve">Selon les </w:t>
      </w:r>
      <w:r w:rsidR="007E6FFA">
        <w:rPr>
          <w:rFonts w:ascii="Century Gothic" w:hAnsi="Century Gothic"/>
        </w:rPr>
        <w:t>tenants</w:t>
      </w:r>
      <w:r w:rsidR="00742669" w:rsidRPr="00D80D55">
        <w:rPr>
          <w:rFonts w:ascii="Century Gothic" w:hAnsi="Century Gothic"/>
        </w:rPr>
        <w:t xml:space="preserve"> de cette position, u</w:t>
      </w:r>
      <w:r w:rsidRPr="00D80D55">
        <w:rPr>
          <w:rFonts w:ascii="Century Gothic" w:hAnsi="Century Gothic"/>
        </w:rPr>
        <w:t>ne telle sanction à valeur pédagogique aurait pour effet de décourager d’autres initiatives dans ce sens pour l’avenir. C’est dans un tel contexte et se fondant sur la Charte africaine de la démocratie, des élections et de la gouvernance que le CNT a adopté une loi modificative du code électoral qui</w:t>
      </w:r>
      <w:r w:rsidR="00236634">
        <w:rPr>
          <w:rFonts w:ascii="Century Gothic" w:hAnsi="Century Gothic"/>
        </w:rPr>
        <w:t xml:space="preserve">, </w:t>
      </w:r>
      <w:r w:rsidRPr="00D80D55">
        <w:rPr>
          <w:rFonts w:ascii="Century Gothic" w:hAnsi="Century Gothic"/>
        </w:rPr>
        <w:t>en son article 135 querellé</w:t>
      </w:r>
      <w:r w:rsidR="00236634">
        <w:rPr>
          <w:rFonts w:ascii="Century Gothic" w:hAnsi="Century Gothic"/>
        </w:rPr>
        <w:t xml:space="preserve">, </w:t>
      </w:r>
      <w:r w:rsidRPr="00D80D55">
        <w:rPr>
          <w:rFonts w:ascii="Century Gothic" w:hAnsi="Century Gothic"/>
        </w:rPr>
        <w:t xml:space="preserve"> « </w:t>
      </w:r>
      <w:r w:rsidRPr="00D80D55">
        <w:rPr>
          <w:rFonts w:ascii="Century Gothic" w:eastAsia="Times New Roman" w:hAnsi="Century Gothic"/>
          <w:bCs/>
          <w:bdr w:val="none" w:sz="0" w:space="0" w:color="auto" w:frame="1"/>
          <w:lang w:eastAsia="fr-FR"/>
        </w:rPr>
        <w:t>rend inéligibles aux prochaines élections, les personnes ayant soutenu la modification de l’article 37 de la Constitution ».</w:t>
      </w:r>
      <w:r w:rsidR="00742669" w:rsidRPr="00D80D55">
        <w:rPr>
          <w:rFonts w:ascii="Century Gothic" w:eastAsia="Times New Roman" w:hAnsi="Century Gothic"/>
          <w:bCs/>
          <w:bdr w:val="none" w:sz="0" w:space="0" w:color="auto" w:frame="1"/>
          <w:lang w:eastAsia="fr-FR"/>
        </w:rPr>
        <w:t xml:space="preserve"> Pour voir appliquer les dispositions du nouveau code électoral, des OSC regroupées au sein du Cadre de concertation nationale des organisations de la société civile (CCNOSC) viennent de former le 12 août 2015 un recours  contre l’éligibilité de candidats aux élections législatives au lendemain de la publication officielle de la liste des candidats par la CENI. Ce recours concerne particulièrement la candidature des personnes qui étaient des députés de la majorité présidentielle à la date du 30 octobre 2014.</w:t>
      </w:r>
      <w:r w:rsidR="008D4413" w:rsidRPr="00D80D55">
        <w:rPr>
          <w:rFonts w:ascii="Century Gothic" w:eastAsia="Times New Roman" w:hAnsi="Century Gothic"/>
          <w:bCs/>
          <w:bdr w:val="none" w:sz="0" w:space="0" w:color="auto" w:frame="1"/>
          <w:lang w:eastAsia="fr-FR"/>
        </w:rPr>
        <w:t xml:space="preserve"> Il s’agit de M. </w:t>
      </w:r>
      <w:proofErr w:type="spellStart"/>
      <w:r w:rsidR="008D4413" w:rsidRPr="00D80D55">
        <w:rPr>
          <w:rFonts w:ascii="Century Gothic" w:eastAsia="Times New Roman" w:hAnsi="Century Gothic"/>
          <w:bCs/>
          <w:bdr w:val="none" w:sz="0" w:space="0" w:color="auto" w:frame="1"/>
          <w:lang w:eastAsia="fr-FR"/>
        </w:rPr>
        <w:t>Tapsoba</w:t>
      </w:r>
      <w:proofErr w:type="spellEnd"/>
      <w:r w:rsidR="008D4413" w:rsidRPr="00D80D55">
        <w:rPr>
          <w:rFonts w:ascii="Century Gothic" w:eastAsia="Times New Roman" w:hAnsi="Century Gothic"/>
          <w:bCs/>
          <w:bdr w:val="none" w:sz="0" w:space="0" w:color="auto" w:frame="1"/>
          <w:lang w:eastAsia="fr-FR"/>
        </w:rPr>
        <w:t xml:space="preserve"> </w:t>
      </w:r>
      <w:proofErr w:type="spellStart"/>
      <w:r w:rsidR="008D4413" w:rsidRPr="00D80D55">
        <w:rPr>
          <w:rFonts w:ascii="Century Gothic" w:eastAsia="Times New Roman" w:hAnsi="Century Gothic"/>
          <w:bCs/>
          <w:bdr w:val="none" w:sz="0" w:space="0" w:color="auto" w:frame="1"/>
          <w:lang w:eastAsia="fr-FR"/>
        </w:rPr>
        <w:t>Acgille</w:t>
      </w:r>
      <w:proofErr w:type="spellEnd"/>
      <w:r w:rsidR="008D4413" w:rsidRPr="00D80D55">
        <w:rPr>
          <w:rFonts w:ascii="Century Gothic" w:eastAsia="Times New Roman" w:hAnsi="Century Gothic"/>
          <w:bCs/>
          <w:bdr w:val="none" w:sz="0" w:space="0" w:color="auto" w:frame="1"/>
          <w:lang w:eastAsia="fr-FR"/>
        </w:rPr>
        <w:t xml:space="preserve"> Marie Joseph, Mme </w:t>
      </w:r>
      <w:proofErr w:type="spellStart"/>
      <w:r w:rsidR="008D4413" w:rsidRPr="00D80D55">
        <w:rPr>
          <w:rFonts w:ascii="Century Gothic" w:eastAsia="Times New Roman" w:hAnsi="Century Gothic"/>
          <w:bCs/>
          <w:bdr w:val="none" w:sz="0" w:space="0" w:color="auto" w:frame="1"/>
          <w:lang w:eastAsia="fr-FR"/>
        </w:rPr>
        <w:t>Diendéré</w:t>
      </w:r>
      <w:proofErr w:type="spellEnd"/>
      <w:r w:rsidR="008D4413" w:rsidRPr="00D80D55">
        <w:rPr>
          <w:rFonts w:ascii="Century Gothic" w:eastAsia="Times New Roman" w:hAnsi="Century Gothic"/>
          <w:bCs/>
          <w:bdr w:val="none" w:sz="0" w:space="0" w:color="auto" w:frame="1"/>
          <w:lang w:eastAsia="fr-FR"/>
        </w:rPr>
        <w:t>/</w:t>
      </w:r>
      <w:r w:rsidR="00BB63FB" w:rsidRPr="00D80D55">
        <w:rPr>
          <w:rFonts w:ascii="Century Gothic" w:eastAsia="Times New Roman" w:hAnsi="Century Gothic"/>
          <w:bCs/>
          <w:bdr w:val="none" w:sz="0" w:space="0" w:color="auto" w:frame="1"/>
          <w:lang w:eastAsia="fr-FR"/>
        </w:rPr>
        <w:t xml:space="preserve"> Diallo Fatoumata, M. </w:t>
      </w:r>
      <w:proofErr w:type="spellStart"/>
      <w:r w:rsidR="00BB63FB" w:rsidRPr="00D80D55">
        <w:rPr>
          <w:rFonts w:ascii="Century Gothic" w:eastAsia="Times New Roman" w:hAnsi="Century Gothic"/>
          <w:bCs/>
          <w:bdr w:val="none" w:sz="0" w:space="0" w:color="auto" w:frame="1"/>
          <w:lang w:eastAsia="fr-FR"/>
        </w:rPr>
        <w:t>Pooda</w:t>
      </w:r>
      <w:proofErr w:type="spellEnd"/>
      <w:r w:rsidR="00BB63FB" w:rsidRPr="00D80D55">
        <w:rPr>
          <w:rFonts w:ascii="Century Gothic" w:eastAsia="Times New Roman" w:hAnsi="Century Gothic"/>
          <w:bCs/>
          <w:bdr w:val="none" w:sz="0" w:space="0" w:color="auto" w:frame="1"/>
          <w:lang w:eastAsia="fr-FR"/>
        </w:rPr>
        <w:t xml:space="preserve"> </w:t>
      </w:r>
      <w:proofErr w:type="spellStart"/>
      <w:r w:rsidR="00BB63FB" w:rsidRPr="00D80D55">
        <w:rPr>
          <w:rFonts w:ascii="Century Gothic" w:eastAsia="Times New Roman" w:hAnsi="Century Gothic"/>
          <w:bCs/>
          <w:bdr w:val="none" w:sz="0" w:space="0" w:color="auto" w:frame="1"/>
          <w:lang w:eastAsia="fr-FR"/>
        </w:rPr>
        <w:t>Ollo</w:t>
      </w:r>
      <w:proofErr w:type="spellEnd"/>
      <w:r w:rsidR="00BB63FB" w:rsidRPr="00D80D55">
        <w:rPr>
          <w:rFonts w:ascii="Century Gothic" w:eastAsia="Times New Roman" w:hAnsi="Century Gothic"/>
          <w:bCs/>
          <w:bdr w:val="none" w:sz="0" w:space="0" w:color="auto" w:frame="1"/>
          <w:lang w:eastAsia="fr-FR"/>
        </w:rPr>
        <w:t xml:space="preserve"> Anicet, M. </w:t>
      </w:r>
      <w:proofErr w:type="spellStart"/>
      <w:r w:rsidR="00BB63FB" w:rsidRPr="00D80D55">
        <w:rPr>
          <w:rFonts w:ascii="Century Gothic" w:eastAsia="Times New Roman" w:hAnsi="Century Gothic"/>
          <w:bCs/>
          <w:bdr w:val="none" w:sz="0" w:space="0" w:color="auto" w:frame="1"/>
          <w:lang w:eastAsia="fr-FR"/>
        </w:rPr>
        <w:t>Dermé</w:t>
      </w:r>
      <w:proofErr w:type="spellEnd"/>
      <w:r w:rsidR="00BB63FB" w:rsidRPr="00D80D55">
        <w:rPr>
          <w:rFonts w:ascii="Century Gothic" w:eastAsia="Times New Roman" w:hAnsi="Century Gothic"/>
          <w:bCs/>
          <w:bdr w:val="none" w:sz="0" w:space="0" w:color="auto" w:frame="1"/>
          <w:lang w:eastAsia="fr-FR"/>
        </w:rPr>
        <w:t xml:space="preserve"> Salam, M. </w:t>
      </w:r>
      <w:proofErr w:type="spellStart"/>
      <w:r w:rsidR="00BB63FB" w:rsidRPr="00D80D55">
        <w:rPr>
          <w:rFonts w:ascii="Century Gothic" w:eastAsia="Times New Roman" w:hAnsi="Century Gothic"/>
          <w:bCs/>
          <w:bdr w:val="none" w:sz="0" w:space="0" w:color="auto" w:frame="1"/>
          <w:lang w:eastAsia="fr-FR"/>
        </w:rPr>
        <w:t>Zoma</w:t>
      </w:r>
      <w:proofErr w:type="spellEnd"/>
      <w:r w:rsidR="00BB63FB" w:rsidRPr="00D80D55">
        <w:rPr>
          <w:rFonts w:ascii="Century Gothic" w:eastAsia="Times New Roman" w:hAnsi="Century Gothic"/>
          <w:bCs/>
          <w:bdr w:val="none" w:sz="0" w:space="0" w:color="auto" w:frame="1"/>
          <w:lang w:eastAsia="fr-FR"/>
        </w:rPr>
        <w:t xml:space="preserve"> Jérôme, M. </w:t>
      </w:r>
      <w:proofErr w:type="spellStart"/>
      <w:r w:rsidR="00BB63FB" w:rsidRPr="00D80D55">
        <w:rPr>
          <w:rFonts w:ascii="Century Gothic" w:eastAsia="Times New Roman" w:hAnsi="Century Gothic"/>
          <w:bCs/>
          <w:bdr w:val="none" w:sz="0" w:space="0" w:color="auto" w:frame="1"/>
          <w:lang w:eastAsia="fr-FR"/>
        </w:rPr>
        <w:t>Komboigo</w:t>
      </w:r>
      <w:proofErr w:type="spellEnd"/>
      <w:r w:rsidR="00BB63FB" w:rsidRPr="00D80D55">
        <w:rPr>
          <w:rFonts w:ascii="Century Gothic" w:eastAsia="Times New Roman" w:hAnsi="Century Gothic"/>
          <w:bCs/>
          <w:bdr w:val="none" w:sz="0" w:space="0" w:color="auto" w:frame="1"/>
          <w:lang w:eastAsia="fr-FR"/>
        </w:rPr>
        <w:t xml:space="preserve"> </w:t>
      </w:r>
      <w:proofErr w:type="spellStart"/>
      <w:r w:rsidR="00BB63FB" w:rsidRPr="00D80D55">
        <w:rPr>
          <w:rFonts w:ascii="Century Gothic" w:eastAsia="Times New Roman" w:hAnsi="Century Gothic"/>
          <w:bCs/>
          <w:bdr w:val="none" w:sz="0" w:space="0" w:color="auto" w:frame="1"/>
          <w:lang w:eastAsia="fr-FR"/>
        </w:rPr>
        <w:t>Wend-Venem</w:t>
      </w:r>
      <w:proofErr w:type="spellEnd"/>
      <w:r w:rsidR="00BB63FB" w:rsidRPr="00D80D55">
        <w:rPr>
          <w:rFonts w:ascii="Century Gothic" w:eastAsia="Times New Roman" w:hAnsi="Century Gothic"/>
          <w:bCs/>
          <w:bdr w:val="none" w:sz="0" w:space="0" w:color="auto" w:frame="1"/>
          <w:lang w:eastAsia="fr-FR"/>
        </w:rPr>
        <w:t xml:space="preserve"> Eddie Constance hyacinthe et M. </w:t>
      </w:r>
      <w:proofErr w:type="spellStart"/>
      <w:r w:rsidR="00BB63FB" w:rsidRPr="00D80D55">
        <w:rPr>
          <w:rFonts w:ascii="Century Gothic" w:eastAsia="Times New Roman" w:hAnsi="Century Gothic"/>
          <w:bCs/>
          <w:bdr w:val="none" w:sz="0" w:space="0" w:color="auto" w:frame="1"/>
          <w:lang w:eastAsia="fr-FR"/>
        </w:rPr>
        <w:t>Nikiéma</w:t>
      </w:r>
      <w:proofErr w:type="spellEnd"/>
      <w:r w:rsidR="00BB63FB" w:rsidRPr="00D80D55">
        <w:rPr>
          <w:rFonts w:ascii="Century Gothic" w:eastAsia="Times New Roman" w:hAnsi="Century Gothic"/>
          <w:bCs/>
          <w:bdr w:val="none" w:sz="0" w:space="0" w:color="auto" w:frame="1"/>
          <w:lang w:eastAsia="fr-FR"/>
        </w:rPr>
        <w:t xml:space="preserve"> Moussa, tous du parti le Congrès pour la Démocratie et le Progrès (CDP)</w:t>
      </w:r>
      <w:r w:rsidR="00BB63FB" w:rsidRPr="00D80D55">
        <w:rPr>
          <w:rStyle w:val="Marquenotebasdepage"/>
          <w:rFonts w:ascii="Century Gothic" w:eastAsia="Times New Roman" w:hAnsi="Century Gothic"/>
          <w:bCs/>
          <w:bdr w:val="none" w:sz="0" w:space="0" w:color="auto" w:frame="1"/>
          <w:lang w:eastAsia="fr-FR"/>
        </w:rPr>
        <w:footnoteReference w:id="88"/>
      </w:r>
      <w:r w:rsidR="00BB63FB" w:rsidRPr="00D80D55">
        <w:rPr>
          <w:rFonts w:ascii="Century Gothic" w:eastAsia="Times New Roman" w:hAnsi="Century Gothic"/>
          <w:bCs/>
          <w:bdr w:val="none" w:sz="0" w:space="0" w:color="auto" w:frame="1"/>
          <w:lang w:eastAsia="fr-FR"/>
        </w:rPr>
        <w:t>. Le Conseil Constitutionnel devra se prononcer dans les prochains jours sur ce recours.</w:t>
      </w:r>
    </w:p>
    <w:p w14:paraId="75118DFB" w14:textId="77777777" w:rsidR="00EC5C9B" w:rsidRPr="00D80D55" w:rsidRDefault="00892685" w:rsidP="00AB79EF">
      <w:pPr>
        <w:shd w:val="clear" w:color="auto" w:fill="FFFFFF"/>
        <w:spacing w:before="100" w:beforeAutospacing="1" w:line="240" w:lineRule="auto"/>
        <w:jc w:val="both"/>
        <w:textAlignment w:val="baseline"/>
        <w:rPr>
          <w:rFonts w:ascii="Century Gothic" w:eastAsia="Times New Roman" w:hAnsi="Century Gothic"/>
          <w:lang w:eastAsia="fr-FR"/>
        </w:rPr>
      </w:pPr>
      <w:r w:rsidRPr="00D80D55">
        <w:rPr>
          <w:rFonts w:ascii="Century Gothic" w:hAnsi="Century Gothic"/>
        </w:rPr>
        <w:t>Une autre partie de l’opinion estime qu’exclu</w:t>
      </w:r>
      <w:r w:rsidR="00106C85" w:rsidRPr="00D80D55">
        <w:rPr>
          <w:rFonts w:ascii="Century Gothic" w:hAnsi="Century Gothic"/>
        </w:rPr>
        <w:t>re certains candidats sur la base de leur soutien au projet de modification de l’article 37</w:t>
      </w:r>
      <w:r w:rsidRPr="00D80D55">
        <w:rPr>
          <w:rFonts w:ascii="Century Gothic" w:hAnsi="Century Gothic"/>
        </w:rPr>
        <w:t xml:space="preserve"> ne serait pas justifiée et serait même attentatoire aux droits civils et politiques, à la Constitution et aux engagements internationaux du pays. </w:t>
      </w:r>
      <w:r w:rsidR="00106C85" w:rsidRPr="00D80D55">
        <w:rPr>
          <w:rFonts w:ascii="Century Gothic" w:hAnsi="Century Gothic"/>
        </w:rPr>
        <w:t>Ceux-ci ont d’ailleurs formé un recours contre le nouveau code électoral</w:t>
      </w:r>
      <w:r w:rsidRPr="00D80D55">
        <w:rPr>
          <w:rFonts w:ascii="Century Gothic" w:hAnsi="Century Gothic"/>
        </w:rPr>
        <w:t xml:space="preserve"> devant la Cour de la CEDEAO</w:t>
      </w:r>
      <w:r w:rsidR="00106C85" w:rsidRPr="00D80D55">
        <w:rPr>
          <w:rFonts w:ascii="Century Gothic" w:hAnsi="Century Gothic"/>
        </w:rPr>
        <w:t>. La Cour</w:t>
      </w:r>
      <w:r w:rsidRPr="00D80D55">
        <w:rPr>
          <w:rFonts w:ascii="Century Gothic" w:hAnsi="Century Gothic"/>
        </w:rPr>
        <w:t xml:space="preserve"> a tranché en </w:t>
      </w:r>
      <w:r w:rsidRPr="00D80D55">
        <w:rPr>
          <w:rFonts w:ascii="Century Gothic" w:hAnsi="Century Gothic"/>
        </w:rPr>
        <w:lastRenderedPageBreak/>
        <w:t xml:space="preserve">soutenant que </w:t>
      </w:r>
      <w:r w:rsidRPr="00D80D55">
        <w:rPr>
          <w:rFonts w:ascii="Century Gothic" w:eastAsia="Times New Roman" w:hAnsi="Century Gothic"/>
          <w:lang w:eastAsia="fr-FR"/>
        </w:rPr>
        <w:t>« </w:t>
      </w:r>
      <w:r w:rsidRPr="00D80D55">
        <w:rPr>
          <w:rFonts w:ascii="Century Gothic" w:eastAsia="Times New Roman" w:hAnsi="Century Gothic"/>
          <w:i/>
          <w:lang w:eastAsia="fr-FR"/>
        </w:rPr>
        <w:t>le Code électoral du Burkina Faso, tel que modifié par la loi n°005-2015/CNT du 07 avril 2015, est une violation du droit de libre participation aux élections </w:t>
      </w:r>
      <w:r w:rsidR="00106C85" w:rsidRPr="00D80D55">
        <w:rPr>
          <w:rFonts w:ascii="Century Gothic" w:eastAsia="Times New Roman" w:hAnsi="Century Gothic"/>
          <w:i/>
          <w:lang w:eastAsia="fr-FR"/>
        </w:rPr>
        <w:t>et a o</w:t>
      </w:r>
      <w:r w:rsidRPr="00D80D55">
        <w:rPr>
          <w:rFonts w:ascii="Century Gothic" w:eastAsia="Times New Roman" w:hAnsi="Century Gothic"/>
          <w:i/>
          <w:lang w:eastAsia="fr-FR"/>
        </w:rPr>
        <w:t>rdonn</w:t>
      </w:r>
      <w:r w:rsidR="00106C85" w:rsidRPr="00D80D55">
        <w:rPr>
          <w:rFonts w:ascii="Century Gothic" w:eastAsia="Times New Roman" w:hAnsi="Century Gothic"/>
          <w:i/>
          <w:lang w:eastAsia="fr-FR"/>
        </w:rPr>
        <w:t>é</w:t>
      </w:r>
      <w:r w:rsidRPr="00D80D55">
        <w:rPr>
          <w:rFonts w:ascii="Century Gothic" w:eastAsia="Times New Roman" w:hAnsi="Century Gothic"/>
          <w:i/>
          <w:lang w:eastAsia="fr-FR"/>
        </w:rPr>
        <w:t xml:space="preserve"> en conséquence à l’Etat du Burkina de lever tous les obstacles à une participation aux élections consécutifs à cette modification </w:t>
      </w:r>
      <w:r w:rsidRPr="00D80D55">
        <w:rPr>
          <w:rFonts w:ascii="Century Gothic" w:eastAsia="Times New Roman" w:hAnsi="Century Gothic"/>
          <w:lang w:eastAsia="fr-FR"/>
        </w:rPr>
        <w:t xml:space="preserve">». Toutefois la Cour reconnaît le droit aux autorités burkinabè de restreindre légitimement le suffrage. </w:t>
      </w:r>
      <w:r w:rsidR="00EC5C9B" w:rsidRPr="00D80D55">
        <w:rPr>
          <w:rFonts w:ascii="Century Gothic" w:eastAsia="Times New Roman" w:hAnsi="Century Gothic"/>
          <w:lang w:eastAsia="fr-FR"/>
        </w:rPr>
        <w:t>Tout en indiquant que c</w:t>
      </w:r>
      <w:r w:rsidRPr="00D80D55">
        <w:rPr>
          <w:rFonts w:ascii="Century Gothic" w:eastAsia="Times New Roman" w:hAnsi="Century Gothic"/>
          <w:lang w:eastAsia="fr-FR"/>
        </w:rPr>
        <w:t xml:space="preserve">’est surtout le caractère potentiellement massif de l’exclusion qui rend inacceptable l’article 135 telle que formulée. </w:t>
      </w:r>
    </w:p>
    <w:p w14:paraId="3D80D2A4" w14:textId="77777777" w:rsidR="00EC5C9B" w:rsidRPr="00D80D55" w:rsidRDefault="00EC5C9B" w:rsidP="00AB79EF">
      <w:pPr>
        <w:shd w:val="clear" w:color="auto" w:fill="FFFFFF"/>
        <w:spacing w:before="100" w:beforeAutospacing="1" w:line="240" w:lineRule="auto"/>
        <w:jc w:val="both"/>
        <w:textAlignment w:val="baseline"/>
        <w:rPr>
          <w:rFonts w:ascii="Century Gothic" w:eastAsia="Times New Roman" w:hAnsi="Century Gothic"/>
          <w:lang w:eastAsia="fr-FR"/>
        </w:rPr>
      </w:pPr>
      <w:r w:rsidRPr="00D80D55">
        <w:rPr>
          <w:rFonts w:ascii="Century Gothic" w:eastAsia="Times New Roman" w:hAnsi="Century Gothic"/>
          <w:lang w:eastAsia="fr-FR"/>
        </w:rPr>
        <w:t>Par conséquent, i</w:t>
      </w:r>
      <w:r w:rsidR="00892685" w:rsidRPr="00D80D55">
        <w:rPr>
          <w:rFonts w:ascii="Century Gothic" w:eastAsia="Times New Roman" w:hAnsi="Century Gothic"/>
          <w:lang w:eastAsia="fr-FR"/>
        </w:rPr>
        <w:t xml:space="preserve">l appartient désormais au Conseil constitutionnel, sur la base de cette décision de trancher en dernier ressort. </w:t>
      </w:r>
    </w:p>
    <w:p w14:paraId="121DAC2E" w14:textId="77777777" w:rsidR="00892685" w:rsidRPr="00AB79EF" w:rsidRDefault="00EC5C9B" w:rsidP="00AB79EF">
      <w:pPr>
        <w:shd w:val="clear" w:color="auto" w:fill="FFFFFF"/>
        <w:spacing w:before="100" w:beforeAutospacing="1" w:line="240" w:lineRule="auto"/>
        <w:jc w:val="both"/>
        <w:textAlignment w:val="baseline"/>
        <w:rPr>
          <w:rFonts w:ascii="Century Gothic" w:hAnsi="Century Gothic"/>
        </w:rPr>
      </w:pPr>
      <w:r w:rsidRPr="00D80D55">
        <w:rPr>
          <w:rFonts w:ascii="Century Gothic" w:hAnsi="Century Gothic"/>
        </w:rPr>
        <w:t>Toutefois, d</w:t>
      </w:r>
      <w:r w:rsidR="00892685" w:rsidRPr="00D80D55">
        <w:rPr>
          <w:rFonts w:ascii="Century Gothic" w:hAnsi="Century Gothic"/>
        </w:rPr>
        <w:t xml:space="preserve">ans le souci d’assurer des élections libres et équitables, </w:t>
      </w:r>
      <w:r w:rsidR="00892685" w:rsidRPr="00D80D55">
        <w:rPr>
          <w:rFonts w:ascii="Century Gothic" w:eastAsia="Times New Roman" w:hAnsi="Century Gothic"/>
          <w:lang w:eastAsia="fr-FR"/>
        </w:rPr>
        <w:t>les partis politiques, les organisations de la société civile, les médias et les agences de publicité ont adopté mercredi 3 juin 2015 sous l'égide du Conseil supérieur de la communication (CSC), un pacte de bonne conduite</w:t>
      </w:r>
      <w:r w:rsidR="00892685" w:rsidRPr="00D80D55">
        <w:rPr>
          <w:rStyle w:val="Marquenotebasdepage"/>
          <w:rFonts w:ascii="Century Gothic" w:eastAsia="Times New Roman" w:hAnsi="Century Gothic"/>
          <w:lang w:eastAsia="fr-FR"/>
        </w:rPr>
        <w:footnoteReference w:id="89"/>
      </w:r>
      <w:r w:rsidR="00892685" w:rsidRPr="00D80D55">
        <w:rPr>
          <w:rFonts w:ascii="Century Gothic" w:eastAsia="Times New Roman" w:hAnsi="Century Gothic"/>
          <w:lang w:eastAsia="fr-FR"/>
        </w:rPr>
        <w:t xml:space="preserve"> en prélude aux prochaines échéances électorales.</w:t>
      </w:r>
    </w:p>
    <w:p w14:paraId="176328F2" w14:textId="77777777" w:rsidR="00892685" w:rsidRPr="00D060B8" w:rsidRDefault="00892685" w:rsidP="00D060B8">
      <w:pPr>
        <w:pStyle w:val="Paragraphedeliste"/>
        <w:numPr>
          <w:ilvl w:val="0"/>
          <w:numId w:val="40"/>
        </w:numPr>
        <w:spacing w:line="240" w:lineRule="auto"/>
        <w:jc w:val="both"/>
        <w:rPr>
          <w:rFonts w:ascii="Century Gothic" w:hAnsi="Century Gothic"/>
        </w:rPr>
      </w:pPr>
      <w:r w:rsidRPr="00D060B8">
        <w:rPr>
          <w:rFonts w:ascii="Century Gothic" w:hAnsi="Century Gothic"/>
          <w:b/>
        </w:rPr>
        <w:t>Participation des femmes dans les affaires publiques</w:t>
      </w:r>
    </w:p>
    <w:p w14:paraId="52268349" w14:textId="77777777" w:rsidR="00892685" w:rsidRPr="00AB79EF" w:rsidRDefault="00892685" w:rsidP="00AB79EF">
      <w:pPr>
        <w:spacing w:line="240" w:lineRule="auto"/>
        <w:contextualSpacing/>
        <w:jc w:val="both"/>
        <w:rPr>
          <w:rFonts w:ascii="Century Gothic" w:hAnsi="Century Gothic"/>
        </w:rPr>
      </w:pPr>
      <w:r w:rsidRPr="00AB79EF">
        <w:rPr>
          <w:rFonts w:ascii="Century Gothic" w:hAnsi="Century Gothic"/>
        </w:rPr>
        <w:t>Au Burkina Faso, les inégalités et disparités entre les hommes et les femmes sont toujours vivaces dans toutes les sphères de la vie nationale. La volonté du gouvernement de réduire ces inégalités liées au genre s’est concrétisée par l’adoption de la Poli</w:t>
      </w:r>
      <w:r w:rsidR="00CF74B8">
        <w:rPr>
          <w:rFonts w:ascii="Century Gothic" w:hAnsi="Century Gothic"/>
        </w:rPr>
        <w:t>tique Nationale Genre (PNG) en j</w:t>
      </w:r>
      <w:r w:rsidRPr="00AB79EF">
        <w:rPr>
          <w:rFonts w:ascii="Century Gothic" w:hAnsi="Century Gothic"/>
        </w:rPr>
        <w:t xml:space="preserve">uillet 2009. Malgré les efforts fournis, les femmes sont faiblement représentées dans les instances publiques. </w:t>
      </w:r>
    </w:p>
    <w:p w14:paraId="2A876A47" w14:textId="77777777" w:rsidR="00892685" w:rsidRPr="00AB79EF" w:rsidRDefault="00892685" w:rsidP="00AB79EF">
      <w:pPr>
        <w:spacing w:after="0" w:line="240" w:lineRule="auto"/>
        <w:contextualSpacing/>
        <w:jc w:val="both"/>
        <w:rPr>
          <w:rFonts w:ascii="Century Gothic" w:hAnsi="Century Gothic"/>
        </w:rPr>
      </w:pPr>
      <w:r w:rsidRPr="00AB79EF">
        <w:rPr>
          <w:rFonts w:ascii="Century Gothic" w:hAnsi="Century Gothic"/>
        </w:rPr>
        <w:t>En ce qui concerne la politiq</w:t>
      </w:r>
      <w:r w:rsidR="00CF74B8">
        <w:rPr>
          <w:rFonts w:ascii="Century Gothic" w:hAnsi="Century Gothic"/>
        </w:rPr>
        <w:t>ue, la loi n°010-2009/AN du 16 a</w:t>
      </w:r>
      <w:r w:rsidRPr="00AB79EF">
        <w:rPr>
          <w:rFonts w:ascii="Century Gothic" w:hAnsi="Century Gothic"/>
        </w:rPr>
        <w:t>vril 2009 porte fixation d’un quota au profit de l’un et l’autre sexe aux élections législatives et municipales. Toutefois, les élections législatives et municipales couplées du 02 décembre</w:t>
      </w:r>
      <w:r w:rsidR="008D1378" w:rsidRPr="00AB79EF">
        <w:rPr>
          <w:rFonts w:ascii="Century Gothic" w:hAnsi="Century Gothic"/>
        </w:rPr>
        <w:t xml:space="preserve"> 2012 ont montré les limites de </w:t>
      </w:r>
      <w:r w:rsidRPr="00AB79EF">
        <w:rPr>
          <w:rFonts w:ascii="Century Gothic" w:hAnsi="Century Gothic"/>
        </w:rPr>
        <w:t xml:space="preserve">cette loi. </w:t>
      </w:r>
      <w:r w:rsidR="00CF74B8" w:rsidRPr="00CF74B8">
        <w:rPr>
          <w:rFonts w:ascii="Century Gothic" w:hAnsi="Century Gothic"/>
        </w:rPr>
        <w:t>En effet, l’Assemblée nationale issue de ces élections comptait 24 femmes sur 127 députés soit 18,89% des élus. Les femmes constituaient 21% des conseillers municipaux alors que 19 communes sur 351 étaient administrées par des femmes soit seulement 5,41% des femmes maires</w:t>
      </w:r>
      <w:r w:rsidR="00CF74B8">
        <w:rPr>
          <w:rFonts w:ascii="Century Gothic" w:hAnsi="Century Gothic"/>
        </w:rPr>
        <w:t xml:space="preserve">. </w:t>
      </w:r>
      <w:r w:rsidRPr="00AB79EF">
        <w:rPr>
          <w:rFonts w:ascii="Century Gothic" w:hAnsi="Century Gothic"/>
        </w:rPr>
        <w:t>Cette situation n’a pas grandement évoluée sous la transition, le gouverne</w:t>
      </w:r>
      <w:r w:rsidR="00CF74B8">
        <w:rPr>
          <w:rFonts w:ascii="Century Gothic" w:hAnsi="Century Gothic"/>
        </w:rPr>
        <w:t xml:space="preserve">ment actuel ne comptant </w:t>
      </w:r>
      <w:r w:rsidRPr="00AB79EF">
        <w:rPr>
          <w:rFonts w:ascii="Century Gothic" w:hAnsi="Century Gothic"/>
        </w:rPr>
        <w:t xml:space="preserve">4 femmes </w:t>
      </w:r>
      <w:r w:rsidR="00816E1C">
        <w:rPr>
          <w:rFonts w:ascii="Century Gothic" w:hAnsi="Century Gothic"/>
        </w:rPr>
        <w:t xml:space="preserve">ministres </w:t>
      </w:r>
      <w:r w:rsidRPr="00AB79EF">
        <w:rPr>
          <w:rFonts w:ascii="Century Gothic" w:hAnsi="Century Gothic"/>
        </w:rPr>
        <w:t>sur 26</w:t>
      </w:r>
      <w:r w:rsidRPr="00AB79EF">
        <w:rPr>
          <w:rStyle w:val="Marquenotebasdepage"/>
          <w:rFonts w:ascii="Century Gothic" w:hAnsi="Century Gothic"/>
        </w:rPr>
        <w:footnoteReference w:id="90"/>
      </w:r>
      <w:r w:rsidRPr="00AB79EF">
        <w:rPr>
          <w:rFonts w:ascii="Century Gothic" w:hAnsi="Century Gothic"/>
        </w:rPr>
        <w:t>. En dépit de cette loi, la politique reste encore un domaine presque exclusivement masculin où existent de nombreuses discriminations, institutionnalisées ou de fait, entre hommes et femmes</w:t>
      </w:r>
      <w:r w:rsidRPr="00AB79EF">
        <w:rPr>
          <w:rStyle w:val="Marquenotebasdepage"/>
          <w:rFonts w:ascii="Century Gothic" w:hAnsi="Century Gothic"/>
        </w:rPr>
        <w:footnoteReference w:id="91"/>
      </w:r>
      <w:r w:rsidRPr="00AB79EF">
        <w:rPr>
          <w:rFonts w:ascii="Century Gothic" w:hAnsi="Century Gothic"/>
        </w:rPr>
        <w:t xml:space="preserve">. </w:t>
      </w:r>
    </w:p>
    <w:p w14:paraId="2804E8B5" w14:textId="77777777" w:rsidR="00892685" w:rsidRPr="00AB79EF" w:rsidRDefault="00892685" w:rsidP="00AB79EF">
      <w:pPr>
        <w:spacing w:after="0" w:line="240" w:lineRule="auto"/>
        <w:contextualSpacing/>
        <w:jc w:val="both"/>
        <w:rPr>
          <w:rFonts w:ascii="Century Gothic" w:hAnsi="Century Gothic"/>
        </w:rPr>
      </w:pPr>
      <w:r w:rsidRPr="00AB79EF">
        <w:rPr>
          <w:rFonts w:ascii="Century Gothic" w:hAnsi="Century Gothic"/>
        </w:rPr>
        <w:t xml:space="preserve">Un avant-projet de loi a été examiné lors </w:t>
      </w:r>
      <w:r w:rsidR="00CF74B8">
        <w:rPr>
          <w:rFonts w:ascii="Century Gothic" w:hAnsi="Century Gothic"/>
        </w:rPr>
        <w:t>du Conseil des Ministres du 18 j</w:t>
      </w:r>
      <w:r w:rsidRPr="00AB79EF">
        <w:rPr>
          <w:rFonts w:ascii="Century Gothic" w:hAnsi="Century Gothic"/>
        </w:rPr>
        <w:t>uin 2015 qui vise à promouvoir une meilleure participation des femmes dans la gestion des affaires publiques. Le Conseil a marqué son accord pour la transmission du projet de loi au Conseil national de la Transition. A ce jour, cet avant-projet de loi n’a pas encore été adopté par le Conseil National de Transition.</w:t>
      </w:r>
    </w:p>
    <w:p w14:paraId="5F602318" w14:textId="77777777" w:rsidR="00AD4AFC" w:rsidRPr="00AB79EF" w:rsidRDefault="00AD4AFC" w:rsidP="00AB79EF">
      <w:pPr>
        <w:spacing w:after="0" w:line="240" w:lineRule="auto"/>
        <w:ind w:firstLine="851"/>
        <w:contextualSpacing/>
        <w:jc w:val="both"/>
        <w:rPr>
          <w:rFonts w:ascii="Century Gothic" w:hAnsi="Century Gothic"/>
        </w:rPr>
      </w:pPr>
    </w:p>
    <w:p w14:paraId="062F4A88" w14:textId="77777777" w:rsidR="00892685" w:rsidRPr="00D060B8" w:rsidRDefault="00892685" w:rsidP="00D060B8">
      <w:pPr>
        <w:pStyle w:val="Paragraphedeliste"/>
        <w:numPr>
          <w:ilvl w:val="0"/>
          <w:numId w:val="40"/>
        </w:numPr>
        <w:spacing w:line="240" w:lineRule="auto"/>
        <w:jc w:val="both"/>
        <w:rPr>
          <w:rFonts w:ascii="Century Gothic" w:hAnsi="Century Gothic"/>
        </w:rPr>
      </w:pPr>
      <w:r w:rsidRPr="00D060B8">
        <w:rPr>
          <w:rFonts w:ascii="Century Gothic" w:hAnsi="Century Gothic"/>
          <w:b/>
        </w:rPr>
        <w:lastRenderedPageBreak/>
        <w:t>Représentation des personnes vivant avec un handicap dans la vie publique</w:t>
      </w:r>
    </w:p>
    <w:p w14:paraId="5F4AEBB7" w14:textId="77777777" w:rsidR="00892685" w:rsidRPr="00AB79EF" w:rsidRDefault="00892685" w:rsidP="00AB79EF">
      <w:pPr>
        <w:spacing w:line="240" w:lineRule="auto"/>
        <w:contextualSpacing/>
        <w:jc w:val="both"/>
        <w:rPr>
          <w:rFonts w:ascii="Century Gothic" w:hAnsi="Century Gothic"/>
        </w:rPr>
      </w:pPr>
      <w:r w:rsidRPr="00AB79EF">
        <w:rPr>
          <w:rFonts w:ascii="Century Gothic" w:hAnsi="Century Gothic"/>
        </w:rPr>
        <w:t>Malgré une législation nationale qui peut être qualifiée d’abondante, les personnes handicapées au Burkina Faso ne jouissent pas pleinement de tous les droits humains. Elles rencontrent encore beaucoup de difficultés pour avoir un emploi et pour participer réellement à la vie sociale. En effet, à ce jour :</w:t>
      </w:r>
    </w:p>
    <w:p w14:paraId="5841C10B" w14:textId="77777777" w:rsidR="00892685" w:rsidRPr="00AB79EF" w:rsidRDefault="00892685" w:rsidP="00D060B8">
      <w:pPr>
        <w:numPr>
          <w:ilvl w:val="0"/>
          <w:numId w:val="20"/>
        </w:numPr>
        <w:spacing w:line="240" w:lineRule="auto"/>
        <w:ind w:left="360"/>
        <w:contextualSpacing/>
        <w:jc w:val="both"/>
        <w:rPr>
          <w:rFonts w:ascii="Century Gothic" w:hAnsi="Century Gothic"/>
        </w:rPr>
      </w:pPr>
      <w:r w:rsidRPr="00AB79EF">
        <w:rPr>
          <w:rFonts w:ascii="Century Gothic" w:hAnsi="Century Gothic"/>
        </w:rPr>
        <w:t>il n’existe aucun mécanisme permettant aux aveugles et aux malvoyants de participer aux concours de la fonction publique</w:t>
      </w:r>
    </w:p>
    <w:p w14:paraId="6D979C9C" w14:textId="77777777" w:rsidR="00892685" w:rsidRPr="00AB79EF" w:rsidRDefault="00892685" w:rsidP="00D060B8">
      <w:pPr>
        <w:numPr>
          <w:ilvl w:val="0"/>
          <w:numId w:val="20"/>
        </w:numPr>
        <w:spacing w:line="240" w:lineRule="auto"/>
        <w:ind w:left="360"/>
        <w:contextualSpacing/>
        <w:jc w:val="both"/>
        <w:rPr>
          <w:rFonts w:ascii="Century Gothic" w:hAnsi="Century Gothic"/>
        </w:rPr>
      </w:pPr>
      <w:r w:rsidRPr="00AB79EF">
        <w:rPr>
          <w:rFonts w:ascii="Century Gothic" w:hAnsi="Century Gothic"/>
        </w:rPr>
        <w:t>pour les handicapés moteurs, leur handicap est souvent un motif d’annulation de leur admission à certains co</w:t>
      </w:r>
      <w:r w:rsidR="008702A0">
        <w:rPr>
          <w:rFonts w:ascii="Century Gothic" w:hAnsi="Century Gothic"/>
        </w:rPr>
        <w:t>ncours de la fonction publique.</w:t>
      </w:r>
      <w:r w:rsidRPr="00AB79EF">
        <w:rPr>
          <w:rFonts w:ascii="Century Gothic" w:hAnsi="Century Gothic"/>
        </w:rPr>
        <w:t xml:space="preserve"> En effet, selon le dernier recensement général de la population et de l’habitat qui date de 2006, sur une population totale de 168094 personnes handicapées recensées, 137213 n’avaient aucun niveau d’instruction tandis que seulement 1108 avaient </w:t>
      </w:r>
      <w:proofErr w:type="gramStart"/>
      <w:r w:rsidRPr="00AB79EF">
        <w:rPr>
          <w:rFonts w:ascii="Century Gothic" w:hAnsi="Century Gothic"/>
        </w:rPr>
        <w:t>accéder</w:t>
      </w:r>
      <w:proofErr w:type="gramEnd"/>
      <w:r w:rsidRPr="00AB79EF">
        <w:rPr>
          <w:rFonts w:ascii="Century Gothic" w:hAnsi="Century Gothic"/>
        </w:rPr>
        <w:t xml:space="preserve"> à l’enseignement supérieur. Parmi ceux en âge de travailler, 85862 étaient inactifs</w:t>
      </w:r>
      <w:r w:rsidRPr="00AB79EF">
        <w:rPr>
          <w:rStyle w:val="Marquenotebasdepage"/>
          <w:rFonts w:ascii="Century Gothic" w:hAnsi="Century Gothic"/>
        </w:rPr>
        <w:footnoteReference w:id="92"/>
      </w:r>
      <w:r w:rsidRPr="00AB79EF">
        <w:rPr>
          <w:rFonts w:ascii="Century Gothic" w:hAnsi="Century Gothic"/>
        </w:rPr>
        <w:t>.</w:t>
      </w:r>
    </w:p>
    <w:p w14:paraId="6C5FEFCD" w14:textId="77777777" w:rsidR="00892685" w:rsidRPr="00AB79EF" w:rsidRDefault="00892685" w:rsidP="00AB79EF">
      <w:pPr>
        <w:spacing w:line="240" w:lineRule="auto"/>
        <w:contextualSpacing/>
        <w:jc w:val="both"/>
        <w:rPr>
          <w:rFonts w:ascii="Century Gothic" w:hAnsi="Century Gothic"/>
        </w:rPr>
      </w:pPr>
      <w:r w:rsidRPr="00AB79EF">
        <w:rPr>
          <w:rFonts w:ascii="Century Gothic" w:hAnsi="Century Gothic"/>
        </w:rPr>
        <w:t xml:space="preserve">Dans un contexte de persistance de certaines pratiques socioculturelles négatives, les personnes handicapées font l’objet d’exclusion sociale, de discriminations diverses ou même d’atteinte à leur vie ou à leur intégrité physique. Des mesures telles que la construction de trame d’accès, la vulgarisation de l’usage du braille dans l’enseignement et la fonction publique, la vulgarisation des programmes de description audio-visuels etc. sont nécessaires pour améliorer les conditions de vie des personnes handicapées. Des efforts sont consentis par l’Etat dans ce sens mais ils restent très insuffisants. </w:t>
      </w:r>
    </w:p>
    <w:p w14:paraId="377F714D" w14:textId="77777777" w:rsidR="00892685" w:rsidRPr="00AB79EF" w:rsidRDefault="00892685" w:rsidP="00D060B8">
      <w:pPr>
        <w:pStyle w:val="Listecouleur-Accent12"/>
        <w:numPr>
          <w:ilvl w:val="0"/>
          <w:numId w:val="13"/>
        </w:numPr>
        <w:spacing w:after="0" w:line="240" w:lineRule="auto"/>
        <w:jc w:val="both"/>
        <w:rPr>
          <w:rFonts w:ascii="Century Gothic" w:hAnsi="Century Gothic"/>
        </w:rPr>
      </w:pPr>
      <w:r w:rsidRPr="00AB79EF">
        <w:rPr>
          <w:rFonts w:ascii="Century Gothic" w:hAnsi="Century Gothic"/>
          <w:b/>
        </w:rPr>
        <w:t>Violence à l’encontre des membres de partis politiques</w:t>
      </w:r>
      <w:r w:rsidRPr="00AB79EF">
        <w:rPr>
          <w:rFonts w:ascii="Century Gothic" w:hAnsi="Century Gothic"/>
        </w:rPr>
        <w:t> </w:t>
      </w:r>
    </w:p>
    <w:p w14:paraId="2F2A6B1E" w14:textId="77777777" w:rsidR="00892685" w:rsidRPr="00AB79EF" w:rsidRDefault="00892685" w:rsidP="00AB79EF">
      <w:pPr>
        <w:spacing w:line="240" w:lineRule="auto"/>
        <w:jc w:val="both"/>
        <w:rPr>
          <w:rStyle w:val="hps"/>
          <w:rFonts w:ascii="Century Gothic" w:hAnsi="Century Gothic"/>
        </w:rPr>
      </w:pPr>
      <w:r w:rsidRPr="00AB79EF">
        <w:rPr>
          <w:rStyle w:val="hps"/>
          <w:rFonts w:ascii="Century Gothic" w:hAnsi="Century Gothic"/>
        </w:rPr>
        <w:t xml:space="preserve">Quelques atteintes graves contre des membres de partis politiques ont été observées ces dernières années, particulièrement au cours de l’année 2015 et sont sources d’inquiétudes pour la paix et la cohésion sociale. En effet, on a assisté des atteintes à l’intégrité physique d’acteurs politiques pendant la crise de 2015 et au cours de la transition. A titre d’exemple, Awa TRAORE, militante du </w:t>
      </w:r>
      <w:proofErr w:type="spellStart"/>
      <w:r w:rsidRPr="00AB79EF">
        <w:rPr>
          <w:rStyle w:val="hps"/>
          <w:rFonts w:ascii="Century Gothic" w:hAnsi="Century Gothic"/>
        </w:rPr>
        <w:t>Houet</w:t>
      </w:r>
      <w:proofErr w:type="spellEnd"/>
      <w:r w:rsidRPr="00AB79EF">
        <w:rPr>
          <w:rStyle w:val="hps"/>
          <w:rFonts w:ascii="Century Gothic" w:hAnsi="Century Gothic"/>
        </w:rPr>
        <w:t xml:space="preserve"> du parti de la Nouvelle Alliance du Faso (NAFA) a succombé des suites de complications de sa blessure le 24 avril 2015. Elle avait été blessée suite à la dispersion d’un mouvement de protestation contre le vote du nouveau code électoral le 07 avril 2015 à Bobo</w:t>
      </w:r>
      <w:r w:rsidRPr="00AB79EF">
        <w:rPr>
          <w:rStyle w:val="Marquenotebasdepage"/>
          <w:rFonts w:ascii="Century Gothic" w:hAnsi="Century Gothic"/>
        </w:rPr>
        <w:footnoteReference w:id="93"/>
      </w:r>
      <w:r w:rsidRPr="00AB79EF">
        <w:rPr>
          <w:rStyle w:val="hps"/>
          <w:rFonts w:ascii="Century Gothic" w:hAnsi="Century Gothic"/>
        </w:rPr>
        <w:t xml:space="preserve">. </w:t>
      </w:r>
    </w:p>
    <w:p w14:paraId="095C3711" w14:textId="77777777" w:rsidR="00892685" w:rsidRPr="00AB79EF" w:rsidRDefault="00892685" w:rsidP="00AB79EF">
      <w:pPr>
        <w:spacing w:line="240" w:lineRule="auto"/>
        <w:contextualSpacing/>
        <w:jc w:val="both"/>
        <w:rPr>
          <w:rStyle w:val="hps"/>
          <w:rFonts w:ascii="Century Gothic" w:hAnsi="Century Gothic"/>
        </w:rPr>
      </w:pPr>
      <w:r w:rsidRPr="00AB79EF">
        <w:rPr>
          <w:rStyle w:val="hps"/>
          <w:rFonts w:ascii="Century Gothic" w:hAnsi="Century Gothic"/>
        </w:rPr>
        <w:t>On peut souligner aussi des discours haineux et/ou dangereux (propos</w:t>
      </w:r>
      <w:r w:rsidR="006A2AEF" w:rsidRPr="00AB79EF">
        <w:rPr>
          <w:rStyle w:val="hps"/>
          <w:rFonts w:ascii="Century Gothic" w:hAnsi="Century Gothic"/>
        </w:rPr>
        <w:t xml:space="preserve"> </w:t>
      </w:r>
      <w:proofErr w:type="spellStart"/>
      <w:r w:rsidRPr="00AB79EF">
        <w:rPr>
          <w:rStyle w:val="hps"/>
          <w:rFonts w:ascii="Century Gothic" w:hAnsi="Century Gothic"/>
        </w:rPr>
        <w:t>ethnicistes</w:t>
      </w:r>
      <w:proofErr w:type="spellEnd"/>
      <w:r w:rsidRPr="00AB79EF">
        <w:rPr>
          <w:rStyle w:val="hps"/>
          <w:rFonts w:ascii="Century Gothic" w:hAnsi="Century Gothic"/>
        </w:rPr>
        <w:t>, régionalistes, incitation à la violence) entraînant des atteintes à l’intégrité morale des acteurs politiques.</w:t>
      </w:r>
      <w:r w:rsidR="006A2AEF" w:rsidRPr="00AB79EF">
        <w:rPr>
          <w:rStyle w:val="hps"/>
          <w:rFonts w:ascii="Century Gothic" w:hAnsi="Century Gothic"/>
        </w:rPr>
        <w:t xml:space="preserve"> </w:t>
      </w:r>
      <w:r w:rsidRPr="00AB79EF">
        <w:rPr>
          <w:rStyle w:val="hps"/>
          <w:rFonts w:ascii="Century Gothic" w:hAnsi="Century Gothic"/>
        </w:rPr>
        <w:t>Certains acteurs politiques ont été interpellés à juste titre par les forces de l’ordre suite à des propos jugés dangereux pour la paix et la cohésion sociale. Il s’agit d’</w:t>
      </w:r>
      <w:proofErr w:type="spellStart"/>
      <w:r w:rsidRPr="00AB79EF">
        <w:rPr>
          <w:rStyle w:val="hps"/>
          <w:rFonts w:ascii="Century Gothic" w:hAnsi="Century Gothic"/>
        </w:rPr>
        <w:t>Ablassé</w:t>
      </w:r>
      <w:proofErr w:type="spellEnd"/>
      <w:r w:rsidRPr="00AB79EF">
        <w:rPr>
          <w:rStyle w:val="hps"/>
          <w:rFonts w:ascii="Century Gothic" w:hAnsi="Century Gothic"/>
        </w:rPr>
        <w:t xml:space="preserve"> OUEDRAOGO, prédisent du parti Le Faso Autrement, par ailleurs candidat aux élec</w:t>
      </w:r>
      <w:r w:rsidR="008702A0">
        <w:rPr>
          <w:rStyle w:val="hps"/>
          <w:rFonts w:ascii="Century Gothic" w:hAnsi="Century Gothic"/>
        </w:rPr>
        <w:t xml:space="preserve">tions présidentielles d’octobre </w:t>
      </w:r>
      <w:r w:rsidRPr="00AB79EF">
        <w:rPr>
          <w:rStyle w:val="hps"/>
          <w:rFonts w:ascii="Century Gothic" w:hAnsi="Century Gothic"/>
        </w:rPr>
        <w:t>2015.</w:t>
      </w:r>
      <w:r w:rsidR="008702A0">
        <w:rPr>
          <w:rStyle w:val="hps"/>
          <w:rFonts w:ascii="Century Gothic" w:hAnsi="Century Gothic"/>
        </w:rPr>
        <w:t xml:space="preserve"> </w:t>
      </w:r>
      <w:proofErr w:type="spellStart"/>
      <w:r w:rsidRPr="00AB79EF">
        <w:rPr>
          <w:rStyle w:val="hps"/>
          <w:rFonts w:ascii="Century Gothic" w:hAnsi="Century Gothic"/>
        </w:rPr>
        <w:t>Assimi</w:t>
      </w:r>
      <w:proofErr w:type="spellEnd"/>
      <w:r w:rsidRPr="00AB79EF">
        <w:rPr>
          <w:rStyle w:val="hps"/>
          <w:rFonts w:ascii="Century Gothic" w:hAnsi="Century Gothic"/>
        </w:rPr>
        <w:t xml:space="preserve"> KOANDA (Ancien Secrétaire Exécutif du CDP, parti de Blaise Compaoré), </w:t>
      </w:r>
      <w:proofErr w:type="spellStart"/>
      <w:r w:rsidRPr="00AB79EF">
        <w:rPr>
          <w:rStyle w:val="hps"/>
          <w:rFonts w:ascii="Century Gothic" w:hAnsi="Century Gothic"/>
        </w:rPr>
        <w:t>Salia</w:t>
      </w:r>
      <w:proofErr w:type="spellEnd"/>
      <w:r w:rsidRPr="00AB79EF">
        <w:rPr>
          <w:rStyle w:val="hps"/>
          <w:rFonts w:ascii="Century Gothic" w:hAnsi="Century Gothic"/>
        </w:rPr>
        <w:t xml:space="preserve"> SANOU (membre influant et Secrétaire général de la section CDP de la province du </w:t>
      </w:r>
      <w:proofErr w:type="spellStart"/>
      <w:r w:rsidRPr="00AB79EF">
        <w:rPr>
          <w:rStyle w:val="hps"/>
          <w:rFonts w:ascii="Century Gothic" w:hAnsi="Century Gothic"/>
        </w:rPr>
        <w:t>Houet</w:t>
      </w:r>
      <w:proofErr w:type="spellEnd"/>
      <w:r w:rsidRPr="00AB79EF">
        <w:rPr>
          <w:rStyle w:val="hps"/>
          <w:rFonts w:ascii="Century Gothic" w:hAnsi="Century Gothic"/>
        </w:rPr>
        <w:t xml:space="preserve">, etc.) ainsi que </w:t>
      </w:r>
      <w:proofErr w:type="spellStart"/>
      <w:r w:rsidRPr="00AB79EF">
        <w:rPr>
          <w:rStyle w:val="hps"/>
          <w:rFonts w:ascii="Century Gothic" w:hAnsi="Century Gothic"/>
        </w:rPr>
        <w:t>Adama</w:t>
      </w:r>
      <w:proofErr w:type="spellEnd"/>
      <w:r w:rsidR="006A2AEF" w:rsidRPr="00AB79EF">
        <w:rPr>
          <w:rStyle w:val="hps"/>
          <w:rFonts w:ascii="Century Gothic" w:hAnsi="Century Gothic"/>
        </w:rPr>
        <w:t xml:space="preserve"> </w:t>
      </w:r>
      <w:proofErr w:type="spellStart"/>
      <w:r w:rsidRPr="00AB79EF">
        <w:rPr>
          <w:rStyle w:val="hps"/>
          <w:rFonts w:ascii="Century Gothic" w:hAnsi="Century Gothic"/>
        </w:rPr>
        <w:t>Zongo</w:t>
      </w:r>
      <w:proofErr w:type="spellEnd"/>
      <w:r w:rsidRPr="00AB79EF">
        <w:rPr>
          <w:rStyle w:val="hps"/>
          <w:rFonts w:ascii="Century Gothic" w:hAnsi="Century Gothic"/>
        </w:rPr>
        <w:t>, Président de la FEDDAP-BC, une association de soutien à Blaise Compaoré ont eux aussi été interpellés pour des propos tenus pendant la crise</w:t>
      </w:r>
      <w:r w:rsidRPr="00AB79EF">
        <w:rPr>
          <w:rStyle w:val="Marquenotebasdepage"/>
          <w:rFonts w:ascii="Century Gothic" w:hAnsi="Century Gothic"/>
        </w:rPr>
        <w:footnoteReference w:id="94"/>
      </w:r>
      <w:r w:rsidRPr="00AB79EF">
        <w:rPr>
          <w:rStyle w:val="hps"/>
          <w:rFonts w:ascii="Century Gothic" w:hAnsi="Century Gothic"/>
        </w:rPr>
        <w:t xml:space="preserve">. </w:t>
      </w:r>
      <w:proofErr w:type="spellStart"/>
      <w:r w:rsidRPr="00AB79EF">
        <w:rPr>
          <w:rStyle w:val="hps"/>
          <w:rFonts w:ascii="Century Gothic" w:hAnsi="Century Gothic"/>
        </w:rPr>
        <w:t>Assimi</w:t>
      </w:r>
      <w:proofErr w:type="spellEnd"/>
      <w:r w:rsidR="00414162" w:rsidRPr="00AB79EF">
        <w:rPr>
          <w:rStyle w:val="hps"/>
          <w:rFonts w:ascii="Century Gothic" w:hAnsi="Century Gothic"/>
        </w:rPr>
        <w:t xml:space="preserve"> </w:t>
      </w:r>
      <w:proofErr w:type="spellStart"/>
      <w:r w:rsidRPr="00AB79EF">
        <w:rPr>
          <w:rStyle w:val="hps"/>
          <w:rFonts w:ascii="Century Gothic" w:hAnsi="Century Gothic"/>
        </w:rPr>
        <w:t>Kouanda</w:t>
      </w:r>
      <w:proofErr w:type="spellEnd"/>
      <w:r w:rsidRPr="00AB79EF">
        <w:rPr>
          <w:rStyle w:val="hps"/>
          <w:rFonts w:ascii="Century Gothic" w:hAnsi="Century Gothic"/>
        </w:rPr>
        <w:t xml:space="preserve"> auparavant responsable du parti au pouvoir aurait déclaré à l’époque : « S’ils brûlent votre maison, brûlez les leurs ». Nous déplorons qu’aucune suite judiciaire n’ait été donnée à ces interpellations, laissant l’impression d’une persécution politique à l’égard des membres du régime déchu. </w:t>
      </w:r>
    </w:p>
    <w:p w14:paraId="31B9407F" w14:textId="77777777" w:rsidR="00AD4AFC" w:rsidRPr="00AB79EF" w:rsidRDefault="00AD4AFC" w:rsidP="00AB79EF">
      <w:pPr>
        <w:spacing w:line="240" w:lineRule="auto"/>
        <w:contextualSpacing/>
        <w:jc w:val="both"/>
        <w:rPr>
          <w:rStyle w:val="hps"/>
          <w:rFonts w:ascii="Century Gothic" w:hAnsi="Century Gothic"/>
        </w:rPr>
      </w:pPr>
    </w:p>
    <w:p w14:paraId="2AEC2041" w14:textId="77777777" w:rsidR="00892685" w:rsidRPr="00AB79EF" w:rsidRDefault="00892685" w:rsidP="00AB79EF">
      <w:pPr>
        <w:spacing w:line="240" w:lineRule="auto"/>
        <w:contextualSpacing/>
        <w:jc w:val="both"/>
        <w:rPr>
          <w:rStyle w:val="hps"/>
          <w:rFonts w:ascii="Century Gothic" w:hAnsi="Century Gothic"/>
          <w:b/>
        </w:rPr>
      </w:pPr>
      <w:r w:rsidRPr="00AB79EF">
        <w:rPr>
          <w:rStyle w:val="hps"/>
          <w:rFonts w:ascii="Century Gothic" w:hAnsi="Century Gothic"/>
          <w:b/>
          <w:i/>
          <w:u w:val="single"/>
        </w:rPr>
        <w:t>Suggestions de questions provenant de la société civile relatives aux points ci-dessus</w:t>
      </w:r>
      <w:r w:rsidRPr="00AB79EF">
        <w:rPr>
          <w:rStyle w:val="hps"/>
          <w:rFonts w:ascii="Century Gothic" w:hAnsi="Century Gothic"/>
          <w:b/>
        </w:rPr>
        <w:t> </w:t>
      </w:r>
    </w:p>
    <w:p w14:paraId="3F9E2878" w14:textId="77777777" w:rsidR="00892685" w:rsidRPr="00AB79EF" w:rsidRDefault="00892685" w:rsidP="00D060B8">
      <w:pPr>
        <w:pStyle w:val="Listecouleur-Accent12"/>
        <w:numPr>
          <w:ilvl w:val="0"/>
          <w:numId w:val="30"/>
        </w:numPr>
        <w:spacing w:line="240" w:lineRule="auto"/>
        <w:contextualSpacing/>
        <w:jc w:val="both"/>
        <w:rPr>
          <w:rStyle w:val="hps"/>
          <w:rFonts w:ascii="Century Gothic" w:hAnsi="Century Gothic"/>
        </w:rPr>
      </w:pPr>
      <w:r w:rsidRPr="00AB79EF">
        <w:rPr>
          <w:rStyle w:val="hps"/>
          <w:rFonts w:ascii="Century Gothic" w:hAnsi="Century Gothic"/>
        </w:rPr>
        <w:t>Quelles sont les mesures que le gouvernement compte prendre pour vulgariser l’utilisation du braille et le langage des signes dans les établissements d’enseignement publics et à quelle échéance ?</w:t>
      </w:r>
    </w:p>
    <w:p w14:paraId="318348AE" w14:textId="77777777" w:rsidR="00892685" w:rsidRPr="00AB79EF" w:rsidRDefault="00892685" w:rsidP="00D060B8">
      <w:pPr>
        <w:pStyle w:val="Listecouleur-Accent12"/>
        <w:numPr>
          <w:ilvl w:val="0"/>
          <w:numId w:val="30"/>
        </w:numPr>
        <w:spacing w:line="240" w:lineRule="auto"/>
        <w:contextualSpacing/>
        <w:jc w:val="both"/>
        <w:rPr>
          <w:rStyle w:val="hps"/>
          <w:rFonts w:ascii="Century Gothic" w:hAnsi="Century Gothic"/>
        </w:rPr>
      </w:pPr>
      <w:r w:rsidRPr="00AB79EF">
        <w:rPr>
          <w:rStyle w:val="hps"/>
          <w:rFonts w:ascii="Century Gothic" w:hAnsi="Century Gothic"/>
        </w:rPr>
        <w:t>Quelles sont les mesures que le gouvernement entend prendre pour faciliter l’accès à l’éducation et à l’emploi aux personnes handicapées ainsi que leur insertion sociale effective ?</w:t>
      </w:r>
    </w:p>
    <w:p w14:paraId="148800D3" w14:textId="77777777" w:rsidR="00892685" w:rsidRPr="00AB79EF" w:rsidRDefault="00892685" w:rsidP="00D060B8">
      <w:pPr>
        <w:pStyle w:val="Listecouleur-Accent12"/>
        <w:numPr>
          <w:ilvl w:val="0"/>
          <w:numId w:val="30"/>
        </w:numPr>
        <w:spacing w:line="240" w:lineRule="auto"/>
        <w:contextualSpacing/>
        <w:jc w:val="both"/>
        <w:rPr>
          <w:rStyle w:val="hps"/>
          <w:rFonts w:ascii="Century Gothic" w:hAnsi="Century Gothic"/>
        </w:rPr>
      </w:pPr>
      <w:r w:rsidRPr="00AB79EF">
        <w:rPr>
          <w:rStyle w:val="hps"/>
          <w:rFonts w:ascii="Century Gothic" w:hAnsi="Century Gothic"/>
        </w:rPr>
        <w:t>Quelles suites judiciaires le gouvernement entend-il donner aux différentes interpellations qui ont été opérées et aux accusations qui ont été portées contre des acteurs politiques membres de l’ancienne majorité ?</w:t>
      </w:r>
    </w:p>
    <w:p w14:paraId="40944850" w14:textId="4DB7AA02" w:rsidR="00892685" w:rsidRPr="00AB79EF" w:rsidRDefault="00892685" w:rsidP="00D060B8">
      <w:pPr>
        <w:pStyle w:val="Grillemoyenne1-Accent21"/>
        <w:numPr>
          <w:ilvl w:val="0"/>
          <w:numId w:val="36"/>
        </w:numPr>
        <w:spacing w:before="240" w:line="240" w:lineRule="auto"/>
        <w:jc w:val="both"/>
        <w:outlineLvl w:val="0"/>
        <w:rPr>
          <w:rStyle w:val="hps"/>
          <w:rFonts w:ascii="Century Gothic" w:hAnsi="Century Gothic"/>
          <w:b/>
          <w:u w:val="single"/>
        </w:rPr>
      </w:pPr>
      <w:bookmarkStart w:id="16" w:name="_Toc426711292"/>
      <w:r w:rsidRPr="00AB79EF">
        <w:rPr>
          <w:rStyle w:val="hps"/>
          <w:rFonts w:ascii="Century Gothic" w:hAnsi="Century Gothic"/>
          <w:b/>
          <w:u w:val="single"/>
        </w:rPr>
        <w:t>Les droits des femmes</w:t>
      </w:r>
      <w:bookmarkEnd w:id="16"/>
    </w:p>
    <w:p w14:paraId="13A6FE9B" w14:textId="77777777" w:rsidR="00892685" w:rsidRPr="00AB79EF" w:rsidRDefault="00892685" w:rsidP="00D060B8">
      <w:pPr>
        <w:numPr>
          <w:ilvl w:val="0"/>
          <w:numId w:val="6"/>
        </w:numPr>
        <w:tabs>
          <w:tab w:val="left" w:pos="709"/>
        </w:tabs>
        <w:spacing w:line="240" w:lineRule="auto"/>
        <w:ind w:left="709"/>
        <w:contextualSpacing/>
        <w:outlineLvl w:val="0"/>
        <w:rPr>
          <w:rFonts w:ascii="Century Gothic" w:hAnsi="Century Gothic"/>
          <w:b/>
        </w:rPr>
      </w:pPr>
      <w:bookmarkStart w:id="17" w:name="_Toc426711293"/>
      <w:r w:rsidRPr="00AB79EF">
        <w:rPr>
          <w:rStyle w:val="hps"/>
          <w:rFonts w:ascii="Century Gothic" w:hAnsi="Century Gothic"/>
          <w:b/>
        </w:rPr>
        <w:t>La non</w:t>
      </w:r>
      <w:r w:rsidRPr="00AB79EF">
        <w:rPr>
          <w:rStyle w:val="atn"/>
          <w:rFonts w:ascii="Century Gothic" w:hAnsi="Century Gothic"/>
          <w:b/>
        </w:rPr>
        <w:t>-</w:t>
      </w:r>
      <w:r w:rsidRPr="00AB79EF">
        <w:rPr>
          <w:rFonts w:ascii="Century Gothic" w:hAnsi="Century Gothic"/>
          <w:b/>
        </w:rPr>
        <w:t xml:space="preserve">discrimination, l'égalité </w:t>
      </w:r>
      <w:r w:rsidRPr="00AB79EF">
        <w:rPr>
          <w:rStyle w:val="hps"/>
          <w:rFonts w:ascii="Century Gothic" w:hAnsi="Century Gothic"/>
          <w:b/>
        </w:rPr>
        <w:t>entre hommes et femmes (</w:t>
      </w:r>
      <w:r w:rsidRPr="00AB79EF">
        <w:rPr>
          <w:rFonts w:ascii="Century Gothic" w:hAnsi="Century Gothic"/>
          <w:b/>
        </w:rPr>
        <w:t xml:space="preserve">art. </w:t>
      </w:r>
      <w:r w:rsidRPr="00AB79EF">
        <w:rPr>
          <w:rStyle w:val="hps"/>
          <w:rFonts w:ascii="Century Gothic" w:hAnsi="Century Gothic"/>
          <w:b/>
        </w:rPr>
        <w:t>2</w:t>
      </w:r>
      <w:r w:rsidRPr="00AB79EF">
        <w:rPr>
          <w:rFonts w:ascii="Century Gothic" w:hAnsi="Century Gothic"/>
          <w:b/>
        </w:rPr>
        <w:t xml:space="preserve">, </w:t>
      </w:r>
      <w:r w:rsidRPr="00AB79EF">
        <w:rPr>
          <w:rStyle w:val="hps"/>
          <w:rFonts w:ascii="Century Gothic" w:hAnsi="Century Gothic"/>
          <w:b/>
        </w:rPr>
        <w:t>3</w:t>
      </w:r>
      <w:r w:rsidR="007F3834" w:rsidRPr="00AB79EF">
        <w:rPr>
          <w:rStyle w:val="hps"/>
          <w:rFonts w:ascii="Century Gothic" w:hAnsi="Century Gothic"/>
          <w:b/>
        </w:rPr>
        <w:t xml:space="preserve"> </w:t>
      </w:r>
      <w:r w:rsidRPr="00AB79EF">
        <w:rPr>
          <w:rStyle w:val="hps"/>
          <w:rFonts w:ascii="Century Gothic" w:hAnsi="Century Gothic"/>
          <w:b/>
        </w:rPr>
        <w:t>et 26</w:t>
      </w:r>
      <w:r w:rsidRPr="00AB79EF">
        <w:rPr>
          <w:rFonts w:ascii="Century Gothic" w:hAnsi="Century Gothic"/>
          <w:b/>
        </w:rPr>
        <w:t>)</w:t>
      </w:r>
      <w:bookmarkEnd w:id="17"/>
    </w:p>
    <w:p w14:paraId="0882361C" w14:textId="77777777" w:rsidR="00892685" w:rsidRPr="00AB79EF" w:rsidRDefault="00892685" w:rsidP="00D060B8">
      <w:pPr>
        <w:numPr>
          <w:ilvl w:val="0"/>
          <w:numId w:val="14"/>
        </w:numPr>
        <w:autoSpaceDE w:val="0"/>
        <w:autoSpaceDN w:val="0"/>
        <w:adjustRightInd w:val="0"/>
        <w:spacing w:after="0" w:line="240" w:lineRule="auto"/>
        <w:contextualSpacing/>
        <w:jc w:val="both"/>
        <w:rPr>
          <w:rFonts w:ascii="Century Gothic" w:hAnsi="Century Gothic"/>
          <w:color w:val="1A1A1A"/>
        </w:rPr>
      </w:pPr>
      <w:r w:rsidRPr="00AB79EF">
        <w:rPr>
          <w:rFonts w:ascii="Century Gothic" w:hAnsi="Century Gothic"/>
          <w:b/>
          <w:color w:val="1A1A1A"/>
        </w:rPr>
        <w:t>Législation permettant des discriminations et / ou permettant des exceptions à la prohi</w:t>
      </w:r>
      <w:r w:rsidR="00021BD3">
        <w:rPr>
          <w:rFonts w:ascii="Century Gothic" w:hAnsi="Century Gothic"/>
          <w:b/>
          <w:color w:val="1A1A1A"/>
        </w:rPr>
        <w:t>bition de la discrimination et m</w:t>
      </w:r>
      <w:r w:rsidRPr="00AB79EF">
        <w:rPr>
          <w:rFonts w:ascii="Century Gothic" w:hAnsi="Century Gothic"/>
          <w:b/>
          <w:color w:val="1A1A1A"/>
        </w:rPr>
        <w:t>esures visant à éliminer les stéréotypes discriminatoires à l’égard de la femme </w:t>
      </w:r>
      <w:r w:rsidRPr="00AB79EF">
        <w:rPr>
          <w:rFonts w:ascii="Century Gothic" w:hAnsi="Century Gothic"/>
          <w:color w:val="1A1A1A"/>
        </w:rPr>
        <w:t>:</w:t>
      </w:r>
    </w:p>
    <w:p w14:paraId="066293B0" w14:textId="77777777" w:rsidR="00892685" w:rsidRPr="00AB79EF"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Malgré l’existence d’un cadre juridique, pour l’essentiel favorable</w:t>
      </w:r>
      <w:r w:rsidRPr="00AB79EF">
        <w:rPr>
          <w:rStyle w:val="Marquenotebasdepage"/>
          <w:rFonts w:ascii="Century Gothic" w:hAnsi="Century Gothic"/>
        </w:rPr>
        <w:footnoteReference w:id="95"/>
      </w:r>
      <w:r w:rsidRPr="00AB79EF">
        <w:rPr>
          <w:rFonts w:ascii="Century Gothic" w:hAnsi="Century Gothic"/>
        </w:rPr>
        <w:t>, certains textes de lois et la pratique maintiennent des aspects discriminatoires à l’égard des femmes et des filles. C’est le cas du code des personnes et de la famille de 1990</w:t>
      </w:r>
      <w:r w:rsidRPr="00AB79EF">
        <w:rPr>
          <w:rStyle w:val="Marquenotebasdepage"/>
          <w:rFonts w:ascii="Century Gothic" w:hAnsi="Century Gothic"/>
        </w:rPr>
        <w:footnoteReference w:id="96"/>
      </w:r>
      <w:r w:rsidRPr="00AB79EF">
        <w:rPr>
          <w:rFonts w:ascii="Century Gothic" w:hAnsi="Century Gothic"/>
        </w:rPr>
        <w:t xml:space="preserve"> qui prévoit une discrimination quant à l’âge légal du mariage. Il est, sauf exception, fixé à 17 ans pour la fille et 20 ans pour le garçon</w:t>
      </w:r>
      <w:r w:rsidRPr="00AB79EF">
        <w:rPr>
          <w:rStyle w:val="Marquenotebasdepage"/>
          <w:rFonts w:ascii="Century Gothic" w:hAnsi="Century Gothic"/>
        </w:rPr>
        <w:footnoteReference w:id="97"/>
      </w:r>
      <w:r w:rsidRPr="00AB79EF">
        <w:rPr>
          <w:rFonts w:ascii="Century Gothic" w:hAnsi="Century Gothic"/>
        </w:rPr>
        <w:t>. La polygamie est encore une autorisée par la loi au Burkina Faso</w:t>
      </w:r>
      <w:r w:rsidRPr="00AB79EF">
        <w:rPr>
          <w:rStyle w:val="Marquenotebasdepage"/>
          <w:rFonts w:ascii="Century Gothic" w:hAnsi="Century Gothic"/>
        </w:rPr>
        <w:footnoteReference w:id="98"/>
      </w:r>
      <w:r w:rsidRPr="00AB79EF">
        <w:rPr>
          <w:rFonts w:ascii="Century Gothic" w:hAnsi="Century Gothic"/>
        </w:rPr>
        <w:t xml:space="preserve">.La loi sur le quota genre votée en avril 2009 a tenté de réduire la discrimination politique faite à la femme en imposant 30% de femmes sur les listes électorales. Malheureusement, et comme l’indique l’Institut National de la Statistique et de la Démographie (INSD) </w:t>
      </w:r>
      <w:r w:rsidRPr="00AB79EF">
        <w:rPr>
          <w:rFonts w:ascii="Century Gothic" w:hAnsi="Century Gothic"/>
          <w:i/>
        </w:rPr>
        <w:t>« les femmes représentent 52% de la population mais ne sont que 15% à occuper des postes au sein des sphères décisionnelles.</w:t>
      </w:r>
      <w:r w:rsidRPr="00AB79EF">
        <w:rPr>
          <w:rStyle w:val="Marquenotebasdepage"/>
          <w:rFonts w:ascii="Century Gothic" w:hAnsi="Century Gothic"/>
          <w:i/>
        </w:rPr>
        <w:footnoteReference w:id="99"/>
      </w:r>
      <w:r w:rsidRPr="00AB79EF">
        <w:rPr>
          <w:rFonts w:ascii="Century Gothic" w:hAnsi="Century Gothic"/>
          <w:i/>
        </w:rPr>
        <w:t xml:space="preserve"> L’application de cette loi a donné comme résultats à l’issue des élections couplées de 2012, 24 femmes contre 103 hommes à l’Assemblée Nationale, soit 18,90 % de femmes à l’hémicycle et 228 conseillères municipales contre 864 conseillers municipaux soit 26,38%</w:t>
      </w:r>
      <w:r w:rsidRPr="00AB79EF">
        <w:rPr>
          <w:rStyle w:val="Marquenotebasdepage"/>
          <w:rFonts w:ascii="Century Gothic" w:hAnsi="Century Gothic"/>
          <w:i/>
        </w:rPr>
        <w:footnoteReference w:id="100"/>
      </w:r>
      <w:r w:rsidRPr="00AB79EF">
        <w:rPr>
          <w:rFonts w:ascii="Century Gothic" w:hAnsi="Century Gothic"/>
          <w:i/>
        </w:rPr>
        <w:t>.</w:t>
      </w:r>
      <w:r w:rsidR="00021BD3">
        <w:rPr>
          <w:rFonts w:ascii="Century Gothic" w:hAnsi="Century Gothic"/>
          <w:i/>
        </w:rPr>
        <w:t xml:space="preserve"> </w:t>
      </w:r>
      <w:r w:rsidRPr="00AB79EF">
        <w:rPr>
          <w:rFonts w:ascii="Century Gothic" w:hAnsi="Century Gothic"/>
          <w:i/>
        </w:rPr>
        <w:t xml:space="preserve">Sur le plan du personnel militaire, le </w:t>
      </w:r>
      <w:r w:rsidRPr="00AB79EF">
        <w:rPr>
          <w:rFonts w:ascii="Century Gothic" w:hAnsi="Century Gothic"/>
          <w:i/>
        </w:rPr>
        <w:lastRenderedPageBreak/>
        <w:t>nouveau statut général des personnels des forces armées nationales</w:t>
      </w:r>
      <w:r w:rsidRPr="00AB79EF">
        <w:rPr>
          <w:rStyle w:val="Marquenotebasdepage"/>
          <w:rFonts w:ascii="Century Gothic" w:hAnsi="Century Gothic"/>
          <w:i/>
        </w:rPr>
        <w:footnoteReference w:id="101"/>
      </w:r>
      <w:r w:rsidRPr="00AB79EF">
        <w:rPr>
          <w:rFonts w:ascii="Century Gothic" w:hAnsi="Century Gothic"/>
          <w:i/>
        </w:rPr>
        <w:t xml:space="preserve"> adopté le 5 juin 2015 prévoit que « le personnel féminin est tenu de ne pas contracter de grossesse avant les délais prescrits pour l’autorisation du mariage et tout personnel féminin qui contracte une grossesse pendant une formation initiale est radié des FAN</w:t>
      </w:r>
      <w:r w:rsidRPr="00AB79EF">
        <w:rPr>
          <w:rStyle w:val="Marquenotebasdepage"/>
          <w:rFonts w:ascii="Century Gothic" w:hAnsi="Century Gothic"/>
          <w:i/>
        </w:rPr>
        <w:footnoteReference w:id="102"/>
      </w:r>
      <w:r w:rsidRPr="00AB79EF">
        <w:rPr>
          <w:rFonts w:ascii="Century Gothic" w:hAnsi="Century Gothic"/>
          <w:i/>
        </w:rPr>
        <w:t>. Par ailleurs, le mariage entre personnels militaires de catégories différentes est interdit</w:t>
      </w:r>
      <w:r w:rsidRPr="00AB79EF">
        <w:rPr>
          <w:rStyle w:val="Marquenotebasdepage"/>
          <w:rFonts w:ascii="Century Gothic" w:hAnsi="Century Gothic"/>
          <w:i/>
        </w:rPr>
        <w:footnoteReference w:id="103"/>
      </w:r>
      <w:r w:rsidRPr="00AB79EF">
        <w:rPr>
          <w:rFonts w:ascii="Century Gothic" w:hAnsi="Century Gothic"/>
        </w:rPr>
        <w:t>».</w:t>
      </w:r>
    </w:p>
    <w:p w14:paraId="0EC86D4E" w14:textId="77777777" w:rsidR="00892685" w:rsidRPr="00AB79EF" w:rsidRDefault="00892685" w:rsidP="00AB79EF">
      <w:pPr>
        <w:autoSpaceDE w:val="0"/>
        <w:autoSpaceDN w:val="0"/>
        <w:adjustRightInd w:val="0"/>
        <w:spacing w:after="0" w:line="240" w:lineRule="auto"/>
        <w:jc w:val="both"/>
        <w:rPr>
          <w:rFonts w:ascii="Century Gothic" w:hAnsi="Century Gothic"/>
          <w:color w:val="1A1A1A"/>
        </w:rPr>
      </w:pPr>
    </w:p>
    <w:p w14:paraId="3A15FCD0" w14:textId="77777777" w:rsidR="00892685" w:rsidRPr="00AB79EF" w:rsidRDefault="00892685" w:rsidP="00D060B8">
      <w:pPr>
        <w:numPr>
          <w:ilvl w:val="0"/>
          <w:numId w:val="19"/>
        </w:numPr>
        <w:autoSpaceDE w:val="0"/>
        <w:autoSpaceDN w:val="0"/>
        <w:adjustRightInd w:val="0"/>
        <w:spacing w:after="0" w:line="240" w:lineRule="auto"/>
        <w:contextualSpacing/>
        <w:jc w:val="both"/>
        <w:rPr>
          <w:rFonts w:ascii="Century Gothic" w:hAnsi="Century Gothic"/>
          <w:b/>
          <w:color w:val="1A1A1A"/>
        </w:rPr>
      </w:pPr>
      <w:r w:rsidRPr="00AB79EF">
        <w:rPr>
          <w:rFonts w:ascii="Century Gothic" w:hAnsi="Century Gothic"/>
          <w:b/>
          <w:color w:val="1A1A1A"/>
        </w:rPr>
        <w:t>Pratiques traditionnelles, historiques, culturelles et religieuses limitant la mise en œuvre du Pacte</w:t>
      </w:r>
    </w:p>
    <w:p w14:paraId="7890893B" w14:textId="77777777" w:rsidR="00892685" w:rsidRPr="00AB79EF" w:rsidRDefault="00892685" w:rsidP="00AB79EF">
      <w:pPr>
        <w:autoSpaceDE w:val="0"/>
        <w:autoSpaceDN w:val="0"/>
        <w:adjustRightInd w:val="0"/>
        <w:spacing w:after="0" w:line="240" w:lineRule="auto"/>
        <w:jc w:val="both"/>
        <w:rPr>
          <w:rFonts w:ascii="Century Gothic" w:hAnsi="Century Gothic"/>
        </w:rPr>
      </w:pPr>
      <w:r w:rsidRPr="00AB79EF">
        <w:rPr>
          <w:rFonts w:ascii="Century Gothic" w:hAnsi="Century Gothic"/>
        </w:rPr>
        <w:t>Dans la pratique, les pesanteurs socioculturelles persistent et aggravent le statut discriminatoire de la femme au Burkina Faso</w:t>
      </w:r>
      <w:r w:rsidRPr="00AB79EF">
        <w:rPr>
          <w:rStyle w:val="Marquenotebasdepage"/>
          <w:rFonts w:ascii="Century Gothic" w:hAnsi="Century Gothic"/>
        </w:rPr>
        <w:footnoteReference w:id="104"/>
      </w:r>
      <w:r w:rsidRPr="00AB79EF">
        <w:rPr>
          <w:rFonts w:ascii="Century Gothic" w:hAnsi="Century Gothic"/>
        </w:rPr>
        <w:t xml:space="preserve"> : mariage forcé, mariage précoce, impossibilité pour plusieurs femmes d’accéder à la contraception sans l’autorisation de leurs maris, déscolarisation de jeunes filles (lorsque les parents manquent de moyens) demeurent une triste réalité dans </w:t>
      </w:r>
      <w:r w:rsidR="00784D51" w:rsidRPr="00AB79EF">
        <w:rPr>
          <w:rFonts w:ascii="Century Gothic" w:hAnsi="Century Gothic"/>
        </w:rPr>
        <w:t>le pays</w:t>
      </w:r>
      <w:r w:rsidRPr="00AB79EF">
        <w:rPr>
          <w:rStyle w:val="Marquenotebasdepage"/>
          <w:rFonts w:ascii="Century Gothic" w:hAnsi="Century Gothic"/>
        </w:rPr>
        <w:footnoteReference w:id="105"/>
      </w:r>
      <w:r w:rsidRPr="00AB79EF">
        <w:rPr>
          <w:rFonts w:ascii="Century Gothic" w:hAnsi="Century Gothic"/>
        </w:rPr>
        <w:t>. Plusieurs autres facteurs favorisent ou accentuent les comportements discriminatoires à l’égard des femmes : les facteurs économiques, culturelles, géographiques.</w:t>
      </w:r>
    </w:p>
    <w:p w14:paraId="5BED9C2F" w14:textId="77777777" w:rsidR="00892685" w:rsidRPr="00AB79EF" w:rsidRDefault="00892685" w:rsidP="00AB79EF">
      <w:pPr>
        <w:autoSpaceDE w:val="0"/>
        <w:autoSpaceDN w:val="0"/>
        <w:adjustRightInd w:val="0"/>
        <w:spacing w:after="100" w:afterAutospacing="1" w:line="240" w:lineRule="auto"/>
        <w:jc w:val="both"/>
        <w:rPr>
          <w:rFonts w:ascii="Century Gothic" w:hAnsi="Century Gothic"/>
        </w:rPr>
      </w:pPr>
      <w:r w:rsidRPr="00AB79EF">
        <w:rPr>
          <w:rFonts w:ascii="Century Gothic" w:hAnsi="Century Gothic"/>
        </w:rPr>
        <w:t>Compte tenu du système patriarcal par exemple, la quasi-totalité des communautés du Burkina dénie à la femme le droit d’accéder aux moyens de production, notamment à la terre, ou la liberté d’exercer un métier de son choix. Elle continue à être considérée comme un bien faisant partie du patrimoine de sa famille ou de son conjoint et de sa belle-famille</w:t>
      </w:r>
      <w:r w:rsidRPr="00AB79EF">
        <w:rPr>
          <w:rStyle w:val="Marquenotebasdepage"/>
          <w:rFonts w:ascii="Century Gothic" w:hAnsi="Century Gothic"/>
        </w:rPr>
        <w:footnoteReference w:id="106"/>
      </w:r>
      <w:r w:rsidRPr="00AB79EF">
        <w:rPr>
          <w:rFonts w:ascii="Century Gothic" w:hAnsi="Century Gothic"/>
        </w:rPr>
        <w:t xml:space="preserve">. </w:t>
      </w:r>
    </w:p>
    <w:p w14:paraId="458DABBD" w14:textId="77777777" w:rsidR="00892685" w:rsidRPr="00AB79EF" w:rsidRDefault="00892685" w:rsidP="00D060B8">
      <w:pPr>
        <w:numPr>
          <w:ilvl w:val="0"/>
          <w:numId w:val="14"/>
        </w:numPr>
        <w:autoSpaceDE w:val="0"/>
        <w:autoSpaceDN w:val="0"/>
        <w:adjustRightInd w:val="0"/>
        <w:spacing w:after="0" w:line="240" w:lineRule="auto"/>
        <w:contextualSpacing/>
        <w:jc w:val="both"/>
        <w:rPr>
          <w:rFonts w:ascii="Century Gothic" w:hAnsi="Century Gothic"/>
          <w:color w:val="1A1A1A"/>
        </w:rPr>
      </w:pPr>
      <w:r w:rsidRPr="00AB79EF">
        <w:rPr>
          <w:rFonts w:ascii="Century Gothic" w:hAnsi="Century Gothic"/>
          <w:b/>
          <w:color w:val="1A1A1A"/>
        </w:rPr>
        <w:t>La violence domestique</w:t>
      </w:r>
      <w:r w:rsidRPr="00AB79EF">
        <w:rPr>
          <w:rStyle w:val="Marquenotebasdepage"/>
          <w:rFonts w:ascii="Century Gothic" w:hAnsi="Century Gothic"/>
          <w:color w:val="1A1A1A"/>
        </w:rPr>
        <w:footnoteReference w:id="107"/>
      </w:r>
    </w:p>
    <w:p w14:paraId="67024461" w14:textId="77777777" w:rsidR="00892685" w:rsidRPr="00AB79EF" w:rsidRDefault="00892685" w:rsidP="00AB79EF">
      <w:pPr>
        <w:spacing w:line="240" w:lineRule="auto"/>
        <w:jc w:val="both"/>
        <w:rPr>
          <w:rFonts w:ascii="Century Gothic" w:hAnsi="Century Gothic"/>
        </w:rPr>
      </w:pPr>
      <w:r w:rsidRPr="00AB79EF">
        <w:rPr>
          <w:rFonts w:ascii="Century Gothic" w:hAnsi="Century Gothic"/>
        </w:rPr>
        <w:t>La législation burkinabè interdit les violences physiques ou morales dans le foyer et celles-ci sont peuvent être invoquées comme des causes de nullité du mariage</w:t>
      </w:r>
      <w:r w:rsidRPr="00AB79EF">
        <w:rPr>
          <w:rStyle w:val="Marquenotebasdepage"/>
          <w:rFonts w:ascii="Century Gothic" w:hAnsi="Century Gothic"/>
        </w:rPr>
        <w:footnoteReference w:id="108"/>
      </w:r>
      <w:r w:rsidRPr="00AB79EF">
        <w:rPr>
          <w:rFonts w:ascii="Century Gothic" w:hAnsi="Century Gothic"/>
        </w:rPr>
        <w:t>.</w:t>
      </w:r>
    </w:p>
    <w:p w14:paraId="5D062B75" w14:textId="77777777" w:rsidR="00892685" w:rsidRPr="00AB79EF" w:rsidRDefault="00892685" w:rsidP="00AB79EF">
      <w:pPr>
        <w:spacing w:line="240" w:lineRule="auto"/>
        <w:jc w:val="both"/>
        <w:rPr>
          <w:rFonts w:ascii="Century Gothic" w:hAnsi="Century Gothic"/>
        </w:rPr>
      </w:pPr>
      <w:r w:rsidRPr="00AB79EF">
        <w:rPr>
          <w:rFonts w:ascii="Century Gothic" w:hAnsi="Century Gothic"/>
        </w:rPr>
        <w:t>Les femmes font l’objet de violences multiformes tant dans les sphères publiques que privées. Ces violences vont des injures, aux violences physiques (coups et blessures) en passant par des humiliations de toutes sortes</w:t>
      </w:r>
      <w:r w:rsidRPr="00AB79EF">
        <w:rPr>
          <w:rStyle w:val="Marquenotebasdepage"/>
          <w:rFonts w:ascii="Century Gothic" w:hAnsi="Century Gothic"/>
        </w:rPr>
        <w:footnoteReference w:id="109"/>
      </w:r>
      <w:r w:rsidRPr="00AB79EF">
        <w:rPr>
          <w:rFonts w:ascii="Century Gothic" w:hAnsi="Century Gothic"/>
        </w:rPr>
        <w:t xml:space="preserve">. On peut aussi noter des cas </w:t>
      </w:r>
      <w:r w:rsidRPr="00AB79EF">
        <w:rPr>
          <w:rFonts w:ascii="Century Gothic" w:hAnsi="Century Gothic"/>
        </w:rPr>
        <w:lastRenderedPageBreak/>
        <w:t>d’abandon de foyers ou de fuite de responsabilité du conjoint laissant la femme seule assumer les charges familiales et notamment l’éducation des enfants. Les femmes stériles en particulier subissent bien souvent des violences et sont mis au banc de la société. Il en est de même</w:t>
      </w:r>
      <w:r w:rsidR="00472D0B" w:rsidRPr="00AB79EF">
        <w:rPr>
          <w:rFonts w:ascii="Century Gothic" w:hAnsi="Century Gothic"/>
        </w:rPr>
        <w:t xml:space="preserve"> </w:t>
      </w:r>
      <w:r w:rsidRPr="00AB79EF">
        <w:rPr>
          <w:rFonts w:ascii="Century Gothic" w:hAnsi="Century Gothic"/>
        </w:rPr>
        <w:t xml:space="preserve">des femmes qui n’enfantent que des filles qui manquent de considération aussi bien de la part de leurs conjoints que de la société. La recherche </w:t>
      </w:r>
      <w:r w:rsidR="00021BD3" w:rsidRPr="00AB79EF">
        <w:rPr>
          <w:rFonts w:ascii="Century Gothic" w:hAnsi="Century Gothic"/>
        </w:rPr>
        <w:t>effrénée</w:t>
      </w:r>
      <w:r w:rsidRPr="00AB79EF">
        <w:rPr>
          <w:rFonts w:ascii="Century Gothic" w:hAnsi="Century Gothic"/>
        </w:rPr>
        <w:t xml:space="preserve"> du mâle (garçon) héritier conduit souvent à se méprendre des femmes qui n’enfantent que des filles et justifient que certains hommes deviennent polygames. Les violences conjugales sont une réalité et plusieurs organisations disposant de cliniques juridiques accompagnent des victimes de ces violences. Toutefois, il n’existe jusque-là ni d’étude ni de statistique permettant de mesurer l’ampleur du phénomène.</w:t>
      </w:r>
    </w:p>
    <w:p w14:paraId="50BE08C3" w14:textId="77777777" w:rsidR="00892685" w:rsidRPr="00AB79EF" w:rsidRDefault="00892685" w:rsidP="00AB79EF">
      <w:pPr>
        <w:spacing w:before="120" w:after="120" w:line="240" w:lineRule="auto"/>
        <w:jc w:val="both"/>
        <w:rPr>
          <w:rFonts w:ascii="Century Gothic" w:hAnsi="Century Gothic"/>
        </w:rPr>
      </w:pPr>
      <w:r w:rsidRPr="00AB79EF">
        <w:rPr>
          <w:rFonts w:ascii="Century Gothic" w:hAnsi="Century Gothic"/>
        </w:rPr>
        <w:t>Le milieu scolaire est aussi marqué par le sexisme et les discriminations à l’égard des filles. On peut noter des propos humiliants ou désobligeants d’enseignants ou de garçons sur l’apparence physique de la fille.</w:t>
      </w:r>
      <w:r w:rsidR="00F90D78" w:rsidRPr="00AB79EF">
        <w:rPr>
          <w:rFonts w:ascii="Century Gothic" w:hAnsi="Century Gothic"/>
        </w:rPr>
        <w:t xml:space="preserve"> </w:t>
      </w:r>
      <w:r w:rsidRPr="00AB79EF">
        <w:rPr>
          <w:rFonts w:ascii="Century Gothic" w:hAnsi="Century Gothic"/>
        </w:rPr>
        <w:t xml:space="preserve">Certains enseignants imposent uniquement aux filles leurs corvées domestiques personnelles ; toute chose qui </w:t>
      </w:r>
      <w:proofErr w:type="gramStart"/>
      <w:r w:rsidRPr="00AB79EF">
        <w:rPr>
          <w:rFonts w:ascii="Century Gothic" w:hAnsi="Century Gothic"/>
        </w:rPr>
        <w:t>peut</w:t>
      </w:r>
      <w:proofErr w:type="gramEnd"/>
      <w:r w:rsidRPr="00AB79EF">
        <w:rPr>
          <w:rFonts w:ascii="Century Gothic" w:hAnsi="Century Gothic"/>
        </w:rPr>
        <w:t xml:space="preserve"> nuire à l’apprentissage des filles.</w:t>
      </w:r>
    </w:p>
    <w:p w14:paraId="2562F1D7" w14:textId="77777777" w:rsidR="00892685" w:rsidRPr="00AB79EF" w:rsidRDefault="00892685" w:rsidP="00D060B8">
      <w:pPr>
        <w:numPr>
          <w:ilvl w:val="0"/>
          <w:numId w:val="14"/>
        </w:numPr>
        <w:autoSpaceDE w:val="0"/>
        <w:autoSpaceDN w:val="0"/>
        <w:adjustRightInd w:val="0"/>
        <w:spacing w:after="0" w:line="240" w:lineRule="auto"/>
        <w:contextualSpacing/>
        <w:jc w:val="both"/>
        <w:rPr>
          <w:rFonts w:ascii="Century Gothic" w:hAnsi="Century Gothic"/>
          <w:b/>
          <w:color w:val="1A1A1A"/>
        </w:rPr>
      </w:pPr>
      <w:r w:rsidRPr="00AB79EF">
        <w:rPr>
          <w:rFonts w:ascii="Century Gothic" w:hAnsi="Century Gothic"/>
          <w:b/>
          <w:color w:val="1A1A1A"/>
        </w:rPr>
        <w:t>Accès des filles aux formation</w:t>
      </w:r>
      <w:r w:rsidRPr="00AB79EF">
        <w:rPr>
          <w:rFonts w:ascii="Century Gothic" w:hAnsi="Century Gothic"/>
          <w:b/>
        </w:rPr>
        <w:t>s</w:t>
      </w:r>
      <w:r w:rsidRPr="00AB79EF">
        <w:rPr>
          <w:rFonts w:ascii="Century Gothic" w:hAnsi="Century Gothic"/>
          <w:b/>
          <w:color w:val="1A1A1A"/>
        </w:rPr>
        <w:t xml:space="preserve"> primaires et secondaires </w:t>
      </w:r>
    </w:p>
    <w:p w14:paraId="5FE48624"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Au Burkina Faso, la Loi N°13-2007/AN du 30 juillet 2007 portant loi d’orientation de l’éducation précise que : « </w:t>
      </w:r>
      <w:r w:rsidRPr="00AB79EF">
        <w:rPr>
          <w:rFonts w:ascii="Century Gothic" w:hAnsi="Century Gothic"/>
          <w:i/>
        </w:rPr>
        <w:t>l’éducation est une priorité nationale. Toute personne vivant au Burkina Faso a droit à l’éducation, sans discrimination aucune, notamment celle fondée sur le sexe, l’origine sociale, la race, la religion, les opinions politiques, la nationalité ou l’état de santé. Ce droit s’exerce sur la base de l’équité et de l’égalité des chances entre tous les citoyens</w:t>
      </w:r>
      <w:r w:rsidRPr="00AB79EF">
        <w:rPr>
          <w:rFonts w:ascii="Century Gothic" w:hAnsi="Century Gothic"/>
        </w:rPr>
        <w:t>».</w:t>
      </w:r>
    </w:p>
    <w:p w14:paraId="5CFB0664" w14:textId="77777777" w:rsidR="00892685" w:rsidRPr="00AB79EF"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Toutefois, en dépit de ces dispositions législatives, de la mise en œuvre de plans, programmes et projets de développement de l’éducation de base</w:t>
      </w:r>
      <w:r w:rsidRPr="00AB79EF">
        <w:rPr>
          <w:rStyle w:val="Marquenotebasdepage"/>
          <w:rFonts w:ascii="Century Gothic" w:hAnsi="Century Gothic"/>
        </w:rPr>
        <w:footnoteReference w:id="110"/>
      </w:r>
      <w:r w:rsidRPr="00AB79EF">
        <w:rPr>
          <w:rFonts w:ascii="Century Gothic" w:hAnsi="Century Gothic"/>
        </w:rPr>
        <w:t>, et des efforts déployés par l’Etat et ses partenaires, l’accès à l’éducation de base formelle demeure faible et inégal</w:t>
      </w:r>
      <w:r w:rsidRPr="00AB79EF">
        <w:rPr>
          <w:rStyle w:val="Marquenotebasdepage"/>
          <w:rFonts w:ascii="Century Gothic" w:hAnsi="Century Gothic"/>
        </w:rPr>
        <w:footnoteReference w:id="111"/>
      </w:r>
      <w:r w:rsidRPr="00AB79EF">
        <w:rPr>
          <w:rFonts w:ascii="Century Gothic" w:hAnsi="Century Gothic"/>
        </w:rPr>
        <w:t xml:space="preserve"> au Burkina Faso.</w:t>
      </w:r>
    </w:p>
    <w:p w14:paraId="25311913" w14:textId="77777777" w:rsidR="00892685" w:rsidRPr="00B15D45" w:rsidRDefault="00892685" w:rsidP="00AB79EF">
      <w:pPr>
        <w:autoSpaceDE w:val="0"/>
        <w:autoSpaceDN w:val="0"/>
        <w:adjustRightInd w:val="0"/>
        <w:spacing w:after="0" w:line="240" w:lineRule="auto"/>
        <w:contextualSpacing/>
        <w:jc w:val="both"/>
        <w:rPr>
          <w:rFonts w:ascii="Century Gothic" w:hAnsi="Century Gothic"/>
        </w:rPr>
      </w:pPr>
      <w:r w:rsidRPr="00AB79EF">
        <w:rPr>
          <w:rFonts w:ascii="Century Gothic" w:hAnsi="Century Gothic"/>
        </w:rPr>
        <w:t>Malgré leur réduction, les inégalités relatives à la scolarisation entre garçons et filles, persistent</w:t>
      </w:r>
      <w:r w:rsidRPr="00AB79EF">
        <w:rPr>
          <w:rStyle w:val="Marquenotebasdepage"/>
          <w:rFonts w:ascii="Century Gothic" w:hAnsi="Century Gothic"/>
        </w:rPr>
        <w:footnoteReference w:id="112"/>
      </w:r>
      <w:r w:rsidRPr="00AB79EF">
        <w:rPr>
          <w:rFonts w:ascii="Century Gothic" w:hAnsi="Century Gothic"/>
        </w:rPr>
        <w:t>.</w:t>
      </w:r>
      <w:r w:rsidR="00021BD3">
        <w:rPr>
          <w:rFonts w:ascii="Century Gothic" w:hAnsi="Century Gothic"/>
        </w:rPr>
        <w:t xml:space="preserve"> </w:t>
      </w:r>
      <w:r w:rsidRPr="00AB79EF">
        <w:rPr>
          <w:rFonts w:ascii="Century Gothic" w:hAnsi="Century Gothic"/>
        </w:rPr>
        <w:t>En effet, les écarts en points de pourcentage vont décroissants : dans l’enseignement primaire, l’écart est passé d</w:t>
      </w:r>
      <w:r w:rsidRPr="00F826AA">
        <w:rPr>
          <w:rFonts w:ascii="Century Gothic" w:hAnsi="Century Gothic"/>
        </w:rPr>
        <w:t>e 13,1 points en 2000-2001 à 0,5 en 2013-2014, tandis que dans l’enseignement post-primaire, de 4,3 points en 2003-2004, il n’est que de 1,9 points en 2013-2014</w:t>
      </w:r>
      <w:r w:rsidRPr="00B15D45">
        <w:rPr>
          <w:rStyle w:val="Marquenotebasdepage"/>
          <w:rFonts w:ascii="Century Gothic" w:hAnsi="Century Gothic"/>
        </w:rPr>
        <w:footnoteReference w:id="113"/>
      </w:r>
      <w:r w:rsidRPr="00B15D45">
        <w:rPr>
          <w:rFonts w:ascii="Century Gothic" w:hAnsi="Century Gothic"/>
        </w:rPr>
        <w:t>.</w:t>
      </w:r>
    </w:p>
    <w:p w14:paraId="679BB335" w14:textId="77777777" w:rsidR="00892685" w:rsidRPr="00AB79EF" w:rsidRDefault="00892685" w:rsidP="00AB79EF">
      <w:pPr>
        <w:spacing w:after="0" w:line="240" w:lineRule="auto"/>
        <w:jc w:val="both"/>
        <w:rPr>
          <w:rFonts w:ascii="Century Gothic" w:hAnsi="Century Gothic"/>
        </w:rPr>
      </w:pPr>
      <w:r w:rsidRPr="00D80D55">
        <w:rPr>
          <w:rFonts w:ascii="Century Gothic" w:hAnsi="Century Gothic"/>
        </w:rPr>
        <w:t xml:space="preserve">Ces taux cachent par ailleurs des conditions de travail </w:t>
      </w:r>
      <w:r w:rsidR="00D977AD" w:rsidRPr="00D80D55">
        <w:rPr>
          <w:rFonts w:ascii="Century Gothic" w:hAnsi="Century Gothic"/>
        </w:rPr>
        <w:t xml:space="preserve">et de formation </w:t>
      </w:r>
      <w:r w:rsidRPr="00D80D55">
        <w:rPr>
          <w:rFonts w:ascii="Century Gothic" w:hAnsi="Century Gothic"/>
        </w:rPr>
        <w:t xml:space="preserve">à la fois difficiles pour les enfants comme pour leurs enseignants. En effet, beaucoup de ces élèves travaillent sous des abris précaires (hangars, tentes etc.). </w:t>
      </w:r>
      <w:r w:rsidR="00D977AD" w:rsidRPr="00D80D55">
        <w:rPr>
          <w:rFonts w:ascii="Century Gothic" w:hAnsi="Century Gothic"/>
        </w:rPr>
        <w:t>Il y a également les effectifs pléthoriques par salle de classe.</w:t>
      </w:r>
      <w:r w:rsidR="00D977AD" w:rsidRPr="00F826AA">
        <w:rPr>
          <w:rFonts w:ascii="Century Gothic" w:hAnsi="Century Gothic"/>
        </w:rPr>
        <w:t xml:space="preserve"> </w:t>
      </w:r>
      <w:r w:rsidRPr="00B15D45">
        <w:rPr>
          <w:rFonts w:ascii="Century Gothic" w:hAnsi="Century Gothic"/>
        </w:rPr>
        <w:t>Malgré les efforts consentis par le gouvernement et les partenaires au développement, des difficultés persistent. Elles tiennent essentiellement aux nombreuses déperditions d’origines diverses (abandon, exclusion pour insuffisance de rendement) et aux différentes</w:t>
      </w:r>
      <w:r w:rsidRPr="00AB79EF">
        <w:rPr>
          <w:rFonts w:ascii="Century Gothic" w:hAnsi="Century Gothic"/>
        </w:rPr>
        <w:t xml:space="preserve"> formes de violences en famille et à l’école dont sont victimes les filles (surcharge de corvées domestiques, injures, coups et blessures, harcèlements sexuels, viol, etc.). </w:t>
      </w:r>
    </w:p>
    <w:p w14:paraId="5B36F921" w14:textId="77777777" w:rsidR="00892685" w:rsidRPr="00AB79EF" w:rsidRDefault="00892685" w:rsidP="00AB79EF">
      <w:pPr>
        <w:spacing w:after="0" w:line="240" w:lineRule="auto"/>
        <w:rPr>
          <w:rFonts w:ascii="Century Gothic" w:hAnsi="Century Gothic"/>
        </w:rPr>
      </w:pPr>
    </w:p>
    <w:p w14:paraId="67005102" w14:textId="77777777" w:rsidR="00892685" w:rsidRPr="00AB79EF" w:rsidRDefault="00892685" w:rsidP="00AB79EF">
      <w:pPr>
        <w:spacing w:after="0" w:line="240" w:lineRule="auto"/>
        <w:contextualSpacing/>
        <w:jc w:val="both"/>
        <w:rPr>
          <w:rStyle w:val="hps"/>
          <w:rFonts w:ascii="Century Gothic" w:hAnsi="Century Gothic"/>
          <w:b/>
        </w:rPr>
      </w:pPr>
      <w:r w:rsidRPr="00AB79EF">
        <w:rPr>
          <w:rStyle w:val="hps"/>
          <w:rFonts w:ascii="Century Gothic" w:hAnsi="Century Gothic"/>
          <w:b/>
          <w:i/>
          <w:u w:val="single"/>
        </w:rPr>
        <w:t>Suggestions de questions provenant de la société civile relatives aux points ci-dessus</w:t>
      </w:r>
      <w:r w:rsidRPr="00AB79EF">
        <w:rPr>
          <w:rStyle w:val="hps"/>
          <w:rFonts w:ascii="Century Gothic" w:hAnsi="Century Gothic"/>
          <w:b/>
        </w:rPr>
        <w:t xml:space="preserve">  </w:t>
      </w:r>
    </w:p>
    <w:p w14:paraId="1230BAC2" w14:textId="77777777" w:rsidR="00892685" w:rsidRPr="00AB79EF" w:rsidRDefault="00892685" w:rsidP="00D060B8">
      <w:pPr>
        <w:pStyle w:val="Listecouleur-Accent12"/>
        <w:numPr>
          <w:ilvl w:val="0"/>
          <w:numId w:val="31"/>
        </w:numPr>
        <w:spacing w:line="240" w:lineRule="auto"/>
        <w:contextualSpacing/>
        <w:jc w:val="both"/>
        <w:rPr>
          <w:rStyle w:val="hps"/>
          <w:rFonts w:ascii="Century Gothic" w:hAnsi="Century Gothic"/>
        </w:rPr>
      </w:pPr>
      <w:r w:rsidRPr="00AB79EF">
        <w:rPr>
          <w:rStyle w:val="hps"/>
          <w:rFonts w:ascii="Century Gothic" w:hAnsi="Century Gothic"/>
        </w:rPr>
        <w:t>Quels sont les mécanismes de renforcement de la mise en œuvre effective de la loi sur le quota genre dans les affaires publiques ?</w:t>
      </w:r>
    </w:p>
    <w:p w14:paraId="72794FB5" w14:textId="77777777" w:rsidR="00892685" w:rsidRPr="00AB79EF" w:rsidRDefault="00892685" w:rsidP="00D060B8">
      <w:pPr>
        <w:pStyle w:val="Listecouleur-Accent12"/>
        <w:numPr>
          <w:ilvl w:val="0"/>
          <w:numId w:val="31"/>
        </w:numPr>
        <w:spacing w:line="240" w:lineRule="auto"/>
        <w:contextualSpacing/>
        <w:jc w:val="both"/>
        <w:rPr>
          <w:rStyle w:val="hps"/>
          <w:rFonts w:ascii="Century Gothic" w:hAnsi="Century Gothic"/>
        </w:rPr>
      </w:pPr>
      <w:r w:rsidRPr="00AB79EF">
        <w:rPr>
          <w:rStyle w:val="hps"/>
          <w:rFonts w:ascii="Century Gothic" w:hAnsi="Century Gothic"/>
        </w:rPr>
        <w:t>Quelles sont les mesures concrètes que le gouvernement compte prendre lutter contre les mariages forcés/précoces, promouvoir le libre choix, et le pouvoir de décision des femmes ?</w:t>
      </w:r>
    </w:p>
    <w:p w14:paraId="32F3CB8A" w14:textId="77777777" w:rsidR="00892685" w:rsidRPr="00AB79EF" w:rsidRDefault="00892685" w:rsidP="00D060B8">
      <w:pPr>
        <w:pStyle w:val="Listecouleur-Accent12"/>
        <w:numPr>
          <w:ilvl w:val="0"/>
          <w:numId w:val="31"/>
        </w:numPr>
        <w:spacing w:line="240" w:lineRule="auto"/>
        <w:contextualSpacing/>
        <w:jc w:val="both"/>
        <w:rPr>
          <w:rStyle w:val="hps"/>
          <w:rFonts w:ascii="Century Gothic" w:hAnsi="Century Gothic"/>
        </w:rPr>
      </w:pPr>
      <w:r w:rsidRPr="00AB79EF">
        <w:rPr>
          <w:rStyle w:val="hps"/>
          <w:rFonts w:ascii="Century Gothic" w:hAnsi="Century Gothic"/>
        </w:rPr>
        <w:t>Quelles sont les actions efficaces que le gouvernement entend mener pour lutter contre les violences et les discriminations basées sur le genre ?</w:t>
      </w:r>
    </w:p>
    <w:p w14:paraId="62941D0F" w14:textId="53C579E4" w:rsidR="009344F2" w:rsidRPr="00D80D55" w:rsidRDefault="00892685" w:rsidP="00D060B8">
      <w:pPr>
        <w:pStyle w:val="Listecouleur-Accent12"/>
        <w:numPr>
          <w:ilvl w:val="0"/>
          <w:numId w:val="31"/>
        </w:numPr>
        <w:spacing w:line="240" w:lineRule="auto"/>
        <w:contextualSpacing/>
        <w:jc w:val="both"/>
        <w:rPr>
          <w:rFonts w:ascii="Century Gothic" w:hAnsi="Century Gothic"/>
        </w:rPr>
      </w:pPr>
      <w:r w:rsidRPr="00AB79EF">
        <w:rPr>
          <w:rStyle w:val="hps"/>
          <w:rFonts w:ascii="Century Gothic" w:hAnsi="Century Gothic"/>
        </w:rPr>
        <w:t>Comment le gouvernement compte juguler efficacement la question des unions qui sont les formes les plus répandues de mariage mais qui malheureusement ne sont pas reconnus comme tels par la législation burkinabè ?</w:t>
      </w:r>
    </w:p>
    <w:p w14:paraId="672BBE4F" w14:textId="77777777" w:rsidR="002059F0" w:rsidRPr="00535BBB" w:rsidRDefault="002059F0" w:rsidP="009344F2">
      <w:pPr>
        <w:autoSpaceDE w:val="0"/>
        <w:autoSpaceDN w:val="0"/>
        <w:adjustRightInd w:val="0"/>
        <w:spacing w:after="0" w:line="240" w:lineRule="auto"/>
        <w:contextualSpacing/>
        <w:jc w:val="center"/>
        <w:rPr>
          <w:rStyle w:val="hps"/>
          <w:rFonts w:ascii="Century Gothic" w:hAnsi="Century Gothic"/>
          <w:b/>
          <w:sz w:val="24"/>
          <w:szCs w:val="24"/>
          <w:u w:val="single"/>
        </w:rPr>
      </w:pPr>
      <w:r w:rsidRPr="00535BBB">
        <w:rPr>
          <w:rStyle w:val="hps"/>
          <w:rFonts w:ascii="Century Gothic" w:hAnsi="Century Gothic"/>
          <w:b/>
          <w:sz w:val="24"/>
          <w:szCs w:val="24"/>
          <w:u w:val="single"/>
        </w:rPr>
        <w:t>ANNEXE 1</w:t>
      </w:r>
    </w:p>
    <w:p w14:paraId="1430D231" w14:textId="77777777" w:rsidR="002059F0" w:rsidRPr="00535BBB" w:rsidRDefault="002059F0" w:rsidP="002059F0">
      <w:pPr>
        <w:autoSpaceDE w:val="0"/>
        <w:autoSpaceDN w:val="0"/>
        <w:adjustRightInd w:val="0"/>
        <w:spacing w:after="0" w:line="240" w:lineRule="auto"/>
        <w:contextualSpacing/>
        <w:jc w:val="both"/>
        <w:rPr>
          <w:rStyle w:val="hps"/>
          <w:rFonts w:ascii="Century Gothic" w:hAnsi="Century Gothic"/>
          <w:sz w:val="24"/>
          <w:szCs w:val="24"/>
        </w:rPr>
      </w:pPr>
    </w:p>
    <w:p w14:paraId="2FFC4E16"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240" w:after="0"/>
        <w:jc w:val="both"/>
        <w:rPr>
          <w:rFonts w:ascii="Century Gothic" w:hAnsi="Century Gothic"/>
          <w:b/>
          <w:bCs/>
          <w:sz w:val="20"/>
          <w:szCs w:val="20"/>
          <w:lang w:eastAsia="fr-FR"/>
        </w:rPr>
      </w:pPr>
    </w:p>
    <w:p w14:paraId="7D4C62E0"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240" w:after="0"/>
        <w:jc w:val="center"/>
        <w:rPr>
          <w:rFonts w:ascii="Century Gothic" w:hAnsi="Century Gothic"/>
          <w:b/>
          <w:sz w:val="20"/>
          <w:szCs w:val="20"/>
          <w:lang w:eastAsia="fr-FR"/>
        </w:rPr>
      </w:pPr>
      <w:r w:rsidRPr="00535BBB">
        <w:rPr>
          <w:rFonts w:ascii="Century Gothic" w:hAnsi="Century Gothic"/>
          <w:b/>
          <w:bCs/>
          <w:sz w:val="20"/>
          <w:szCs w:val="20"/>
          <w:lang w:eastAsia="fr-FR"/>
        </w:rPr>
        <w:t>CAS SPECIFIQUES DES MESURES DE SPECIALISATION DES JURIDICTIONS : LES JURIDICTIONS POUR ENFANTS</w:t>
      </w:r>
    </w:p>
    <w:p w14:paraId="767A371D"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100" w:beforeAutospacing="1" w:after="0"/>
        <w:jc w:val="both"/>
        <w:rPr>
          <w:rFonts w:ascii="Century Gothic" w:hAnsi="Century Gothic"/>
          <w:sz w:val="20"/>
          <w:szCs w:val="20"/>
          <w:lang w:eastAsia="fr-FR"/>
        </w:rPr>
      </w:pPr>
      <w:r w:rsidRPr="00535BBB">
        <w:rPr>
          <w:rFonts w:ascii="Century Gothic" w:hAnsi="Century Gothic"/>
          <w:b/>
          <w:bCs/>
          <w:sz w:val="20"/>
          <w:szCs w:val="20"/>
          <w:lang w:eastAsia="fr-FR"/>
        </w:rPr>
        <w:t xml:space="preserve">III.4.1 De la pertinence de la mise en place des juridictions pour enfants </w:t>
      </w:r>
    </w:p>
    <w:p w14:paraId="49A14A99"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w:t>
      </w:r>
    </w:p>
    <w:p w14:paraId="4BB79B2F"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Au regard des engagements internationaux souscrits par le Burkina Faso relativement à la protection des droits de l’enfant (ratification de la CDE et de la CADBE) et de la nécessité de tenir compte de la spécificité des enfants, la création d’une juridiction pour enfants est une nécessité. </w:t>
      </w:r>
    </w:p>
    <w:p w14:paraId="5DC93E7A"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L’objectif principal de la création de cette juridiction reste la protection et la sauvegarde des droits des enfants. Ainsi </w:t>
      </w:r>
      <w:r w:rsidRPr="00535BBB">
        <w:rPr>
          <w:rFonts w:ascii="Century Gothic" w:hAnsi="Century Gothic"/>
          <w:b/>
          <w:sz w:val="20"/>
          <w:szCs w:val="20"/>
          <w:lang w:eastAsia="fr-FR"/>
        </w:rPr>
        <w:t>la loi 028-2004/AN du 8 septembre 2004 a modifié la loi 10/93/ADP du 17 mai 1993 portant organisation judiciaire en y ajoutant les articles 63 nouveau à 72 nouveaux portant création du juge des enfants et du tribunal pour enfants</w:t>
      </w:r>
      <w:r w:rsidRPr="00535BBB">
        <w:rPr>
          <w:rFonts w:ascii="Century Gothic" w:hAnsi="Century Gothic"/>
          <w:sz w:val="20"/>
          <w:szCs w:val="20"/>
          <w:lang w:eastAsia="fr-FR"/>
        </w:rPr>
        <w:t xml:space="preserve">. </w:t>
      </w:r>
    </w:p>
    <w:p w14:paraId="0C6EB773"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La pertinence de la création de juridictions pour enfants est reconnue ainsi que cela apparaît dans les entretiens. En effet, il ressort d’abord que sa mise en œuvre entre en conformité avec les textes ratifiés par le pays, mais aussi, les propos soulignent dans leur ensemble la bienvenue de ces juridictions dont l’une des missions premières est la protection des enfants en général. </w:t>
      </w:r>
    </w:p>
    <w:p w14:paraId="0E806430"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D’ailleurs, </w:t>
      </w:r>
      <w:r w:rsidRPr="00535BBB">
        <w:rPr>
          <w:rFonts w:ascii="Century Gothic" w:hAnsi="Century Gothic"/>
          <w:b/>
          <w:sz w:val="20"/>
          <w:szCs w:val="20"/>
          <w:lang w:eastAsia="fr-FR"/>
        </w:rPr>
        <w:t>la perception qu’ont les acteurs de la justice pour enfants est celle d’une justice éducative</w:t>
      </w:r>
      <w:r w:rsidRPr="00535BBB">
        <w:rPr>
          <w:rFonts w:ascii="Century Gothic" w:hAnsi="Century Gothic"/>
          <w:sz w:val="20"/>
          <w:szCs w:val="20"/>
          <w:lang w:eastAsia="fr-FR"/>
        </w:rPr>
        <w:t xml:space="preserve">. Ainsi, on note une évolution d’une justice correctionnelle coercitive vers une justice correctionnelle éducative. Ils s’accordent sur le fait qu’en matière de justice, il faut une spécificité de traitement entre les enfants et les adultes. </w:t>
      </w:r>
    </w:p>
    <w:p w14:paraId="6E903BC2"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100" w:beforeAutospacing="1" w:after="0"/>
        <w:jc w:val="both"/>
        <w:rPr>
          <w:rFonts w:ascii="Century Gothic" w:hAnsi="Century Gothic"/>
          <w:sz w:val="20"/>
          <w:szCs w:val="20"/>
          <w:lang w:eastAsia="fr-FR"/>
        </w:rPr>
      </w:pPr>
      <w:r w:rsidRPr="00535BBB">
        <w:rPr>
          <w:rFonts w:ascii="Century Gothic" w:hAnsi="Century Gothic"/>
          <w:b/>
          <w:bCs/>
          <w:sz w:val="20"/>
          <w:szCs w:val="20"/>
          <w:lang w:eastAsia="fr-FR"/>
        </w:rPr>
        <w:t xml:space="preserve">III.4.2 Les défis spécifiques aux juridictions pour enfants </w:t>
      </w:r>
    </w:p>
    <w:p w14:paraId="2E5175C4"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En dehors de l’existence même des juridictions pour enfants au Burkina Faso, l’une des avancées significatives en ce qui concerne la déjudiciarisation en faveur des enfants concerne le rôle joué par les OSC. Ce rôle est remarquable également dans le domaine de la protection de l’enfant. La </w:t>
      </w:r>
      <w:r w:rsidRPr="00535BBB">
        <w:rPr>
          <w:rFonts w:ascii="Century Gothic" w:hAnsi="Century Gothic"/>
          <w:b/>
          <w:sz w:val="20"/>
          <w:szCs w:val="20"/>
          <w:lang w:eastAsia="fr-FR"/>
        </w:rPr>
        <w:t>collaboration</w:t>
      </w:r>
      <w:r w:rsidRPr="00535BBB">
        <w:rPr>
          <w:rFonts w:ascii="Century Gothic" w:hAnsi="Century Gothic"/>
          <w:sz w:val="20"/>
          <w:szCs w:val="20"/>
          <w:lang w:eastAsia="fr-FR"/>
        </w:rPr>
        <w:t xml:space="preserve"> qui a commencé d’une part, </w:t>
      </w:r>
      <w:r w:rsidRPr="00535BBB">
        <w:rPr>
          <w:rFonts w:ascii="Century Gothic" w:hAnsi="Century Gothic"/>
          <w:b/>
          <w:sz w:val="20"/>
          <w:szCs w:val="20"/>
          <w:lang w:eastAsia="fr-FR"/>
        </w:rPr>
        <w:t>entre les OSC et les services de sécurité</w:t>
      </w:r>
      <w:r w:rsidRPr="00535BBB">
        <w:rPr>
          <w:rFonts w:ascii="Century Gothic" w:hAnsi="Century Gothic"/>
          <w:sz w:val="20"/>
          <w:szCs w:val="20"/>
          <w:lang w:eastAsia="fr-FR"/>
        </w:rPr>
        <w:t xml:space="preserve"> est encouragé (police et gendarmerie) et d’autre part </w:t>
      </w:r>
      <w:r w:rsidRPr="00535BBB">
        <w:rPr>
          <w:rFonts w:ascii="Century Gothic" w:hAnsi="Century Gothic"/>
          <w:b/>
          <w:sz w:val="20"/>
          <w:szCs w:val="20"/>
          <w:lang w:eastAsia="fr-FR"/>
        </w:rPr>
        <w:t>entre les OSC et le juge pour enfant de Ouagadougou</w:t>
      </w:r>
      <w:r w:rsidRPr="00535BBB">
        <w:rPr>
          <w:rFonts w:ascii="Century Gothic" w:hAnsi="Century Gothic"/>
          <w:sz w:val="20"/>
          <w:szCs w:val="20"/>
          <w:lang w:eastAsia="fr-FR"/>
        </w:rPr>
        <w:t xml:space="preserve"> est à saluer et à encourager. Cette collaboration est </w:t>
      </w:r>
      <w:r w:rsidRPr="00535BBB">
        <w:rPr>
          <w:rFonts w:ascii="Century Gothic" w:hAnsi="Century Gothic"/>
          <w:sz w:val="20"/>
          <w:szCs w:val="20"/>
          <w:lang w:eastAsia="fr-FR"/>
        </w:rPr>
        <w:lastRenderedPageBreak/>
        <w:t xml:space="preserve">révélatrice de la prise de conscience par les acteurs qu’une synergie est indispensable, l’épanouissement des enfants englobant plusieurs facettes. </w:t>
      </w:r>
    </w:p>
    <w:p w14:paraId="061FB673"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100" w:beforeAutospacing="1" w:after="0"/>
        <w:jc w:val="both"/>
        <w:rPr>
          <w:rFonts w:ascii="Century Gothic" w:hAnsi="Century Gothic"/>
          <w:sz w:val="20"/>
          <w:szCs w:val="20"/>
          <w:lang w:eastAsia="fr-FR"/>
        </w:rPr>
      </w:pPr>
      <w:r w:rsidRPr="00535BBB">
        <w:rPr>
          <w:rFonts w:ascii="Century Gothic" w:hAnsi="Century Gothic"/>
          <w:b/>
          <w:bCs/>
          <w:i/>
          <w:iCs/>
          <w:sz w:val="20"/>
          <w:szCs w:val="20"/>
          <w:lang w:eastAsia="fr-FR"/>
        </w:rPr>
        <w:t xml:space="preserve">III.4.2.1 De la nécessité d’accroître le nombre de juridictions fonctionnelles pour enfants </w:t>
      </w:r>
    </w:p>
    <w:p w14:paraId="09A70FE1"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La création des juridictions pour enfants procède de </w:t>
      </w:r>
      <w:r w:rsidRPr="00535BBB">
        <w:rPr>
          <w:rFonts w:ascii="Century Gothic" w:hAnsi="Century Gothic"/>
          <w:b/>
          <w:sz w:val="20"/>
          <w:szCs w:val="20"/>
          <w:lang w:eastAsia="fr-FR"/>
        </w:rPr>
        <w:t>la loi n°028 du 8 septembre 2004 qui institue au siège de chaque tribunal de grande instance, un juge des enfants et au siège de chaque Cour d’appel, un tribunal pour enfants</w:t>
      </w:r>
      <w:r w:rsidRPr="00535BBB">
        <w:rPr>
          <w:rFonts w:ascii="Century Gothic" w:hAnsi="Century Gothic"/>
          <w:sz w:val="20"/>
          <w:szCs w:val="20"/>
          <w:lang w:eastAsia="fr-FR"/>
        </w:rPr>
        <w:t xml:space="preserve">. </w:t>
      </w:r>
    </w:p>
    <w:p w14:paraId="6918E3C2"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Malheureusement et contrairement à ce que prévoit la loi, </w:t>
      </w:r>
      <w:r w:rsidRPr="00535BBB">
        <w:rPr>
          <w:rFonts w:ascii="Century Gothic" w:hAnsi="Century Gothic"/>
          <w:b/>
          <w:sz w:val="20"/>
          <w:szCs w:val="20"/>
          <w:lang w:eastAsia="fr-FR"/>
        </w:rPr>
        <w:t>seuls les juges des enfants du siège des TGI de Ouagadougou et de Bobo-Dioulasso sont effectivement nommés</w:t>
      </w:r>
      <w:r w:rsidRPr="00535BBB">
        <w:rPr>
          <w:rFonts w:ascii="Century Gothic" w:hAnsi="Century Gothic"/>
          <w:sz w:val="20"/>
          <w:szCs w:val="20"/>
          <w:lang w:eastAsia="fr-FR"/>
        </w:rPr>
        <w:t xml:space="preserve">. Ainsi, dans les autres juridictions, les affaires relevant de la compétence des juges des enfants sont connus par les tribunaux de grande instance, la juridiction pour majeurs. </w:t>
      </w:r>
    </w:p>
    <w:p w14:paraId="7AE66C14"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jc w:val="both"/>
        <w:rPr>
          <w:rFonts w:ascii="Century Gothic" w:hAnsi="Century Gothic"/>
          <w:sz w:val="20"/>
          <w:szCs w:val="20"/>
          <w:lang w:eastAsia="fr-FR"/>
        </w:rPr>
      </w:pPr>
      <w:r w:rsidRPr="00535BBB">
        <w:rPr>
          <w:rFonts w:ascii="Century Gothic" w:hAnsi="Century Gothic"/>
          <w:sz w:val="20"/>
          <w:szCs w:val="20"/>
          <w:lang w:eastAsia="fr-FR"/>
        </w:rPr>
        <w:t>Aussi, faut-il rappeler le fait que la création des juridictions pour enfants ne soit pas accompagnée de la mise à disposition de ces juridictions de moyens matériels et humains conséquents pour être fonctionnelles.</w:t>
      </w:r>
    </w:p>
    <w:p w14:paraId="74CD3CF7"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En effet, </w:t>
      </w:r>
      <w:r w:rsidRPr="00535BBB">
        <w:rPr>
          <w:rFonts w:ascii="Century Gothic" w:hAnsi="Century Gothic"/>
          <w:b/>
          <w:sz w:val="20"/>
          <w:szCs w:val="20"/>
          <w:lang w:eastAsia="fr-FR"/>
        </w:rPr>
        <w:t>les tribunaux pour enfants connaissent des difficultés de fonctionnement, liées à la l’absence d’assistants sociaux, et à l’inadaptation des textes en vigueur, notamment le code de procédure pénale</w:t>
      </w:r>
      <w:r w:rsidRPr="00535BBB">
        <w:rPr>
          <w:rFonts w:ascii="Century Gothic" w:hAnsi="Century Gothic"/>
          <w:sz w:val="20"/>
          <w:szCs w:val="20"/>
          <w:lang w:eastAsia="fr-FR"/>
        </w:rPr>
        <w:t xml:space="preserve">. Quand bien même il existe une loi, certaines parties de loi doivent être revues. La procédure applicable aux procès impliquant des enfants comporte par exemple des </w:t>
      </w:r>
      <w:r w:rsidRPr="00535BBB">
        <w:rPr>
          <w:rFonts w:ascii="Century Gothic" w:hAnsi="Century Gothic"/>
          <w:b/>
          <w:sz w:val="20"/>
          <w:szCs w:val="20"/>
          <w:lang w:eastAsia="fr-FR"/>
        </w:rPr>
        <w:t>lacunes</w:t>
      </w:r>
      <w:r w:rsidRPr="00535BBB">
        <w:rPr>
          <w:rFonts w:ascii="Century Gothic" w:hAnsi="Century Gothic"/>
          <w:sz w:val="20"/>
          <w:szCs w:val="20"/>
          <w:lang w:eastAsia="fr-FR"/>
        </w:rPr>
        <w:t xml:space="preserve"> qu’il faut nécessairement corriger. C’est le cas de </w:t>
      </w:r>
      <w:r w:rsidRPr="00535BBB">
        <w:rPr>
          <w:rFonts w:ascii="Century Gothic" w:hAnsi="Century Gothic"/>
          <w:b/>
          <w:sz w:val="20"/>
          <w:szCs w:val="20"/>
          <w:lang w:eastAsia="fr-FR"/>
        </w:rPr>
        <w:t>l’application de loi 19-61AN du 9 mai 1961 sur l’enfance délinquante ou en danger qui ne permet pas de faire échapper au mineur ayant commis une infraction en concert avec des majeurs, les voix des juridictions de droit commun</w:t>
      </w:r>
      <w:r w:rsidRPr="00535BBB">
        <w:rPr>
          <w:rFonts w:ascii="Century Gothic" w:hAnsi="Century Gothic"/>
          <w:sz w:val="20"/>
          <w:szCs w:val="20"/>
          <w:lang w:eastAsia="fr-FR"/>
        </w:rPr>
        <w:t xml:space="preserve">. Non seulement il est jugé par ces juridictions mais aussi, il est jugé suivant la procédure applicable aux majeurs, ce qui actuellement pose un problème. </w:t>
      </w:r>
    </w:p>
    <w:p w14:paraId="00A8B9C2"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Un avant-projet de loi se trouve dans le circuit menant à son adoption. L’entrée en vigueur de la loi permettra l’opérationnalisation des tribunaux existants et certainement impulsera la mise en place de l’ensemble des juges pour enfants au sein des TGI qui n’en disposent pas ; ce qui permettra de donner les mêmes chances à tous les enfants quel que soit le lieu de la commission de l’infraction ou leur domicile. </w:t>
      </w:r>
    </w:p>
    <w:p w14:paraId="63EAFBD9"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Par ailleurs, si la </w:t>
      </w:r>
      <w:r w:rsidRPr="00535BBB">
        <w:rPr>
          <w:rFonts w:ascii="Century Gothic" w:hAnsi="Century Gothic"/>
          <w:b/>
          <w:sz w:val="20"/>
          <w:szCs w:val="20"/>
          <w:lang w:eastAsia="fr-FR"/>
        </w:rPr>
        <w:t>médiation pénale</w:t>
      </w:r>
      <w:r w:rsidRPr="00535BBB">
        <w:rPr>
          <w:rFonts w:ascii="Century Gothic" w:hAnsi="Century Gothic"/>
          <w:sz w:val="20"/>
          <w:szCs w:val="20"/>
          <w:lang w:eastAsia="fr-FR"/>
        </w:rPr>
        <w:t xml:space="preserve"> prévue dans ce texte était retenue, sa mise en œuvre contribuera en partie à la déjudiciarisation en faveur des enfants. </w:t>
      </w:r>
    </w:p>
    <w:p w14:paraId="48CCB2C3"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Il faudra alors que la pratique au niveau des juridictions soit corrigée pour intégrer l’idée qu’il est nécessaire que les mineurs en conflit avec la loi soient séparés des adultes délinquants mêmes pendant le procès parce que les réactions et les réponses des adultes délinquants peuvent influencer les enfants. </w:t>
      </w:r>
    </w:p>
    <w:p w14:paraId="6FF2BC9A"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100" w:beforeAutospacing="1" w:after="0"/>
        <w:jc w:val="both"/>
        <w:rPr>
          <w:rFonts w:ascii="Century Gothic" w:hAnsi="Century Gothic"/>
          <w:sz w:val="20"/>
          <w:szCs w:val="20"/>
          <w:lang w:eastAsia="fr-FR"/>
        </w:rPr>
      </w:pPr>
      <w:r w:rsidRPr="00535BBB">
        <w:rPr>
          <w:rFonts w:ascii="Century Gothic" w:hAnsi="Century Gothic"/>
          <w:b/>
          <w:bCs/>
          <w:i/>
          <w:iCs/>
          <w:sz w:val="20"/>
          <w:szCs w:val="20"/>
          <w:lang w:eastAsia="fr-FR"/>
        </w:rPr>
        <w:t xml:space="preserve">III.4.2.2 De la nécessité de spécialiser les juges pour enfants </w:t>
      </w:r>
    </w:p>
    <w:p w14:paraId="4E3A5103"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Pour un fonctionnement effectif et efficace de ces juridictions, une spécialisation de ses animateurs dans le domaine des droits de l’enfant est indispensable parce que la formation initiale reçue par les magistrats est une formation de base qui n’implique pas nécessairement un approfondissement des questions spécifiques telles que les droits humains des enfants. L’absence de formation continue des juges est sans mesure une des failles de la juridiction pour enfants. Ces besoins sont ressentis par des magistrats, non seulement en ce qui concerne les droits de l’enfant, mais également sur l’ensemble des droits catégoriels. </w:t>
      </w:r>
    </w:p>
    <w:p w14:paraId="2E42BDAD"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Les praticiens et les formateurs reconnaissent qu’</w:t>
      </w:r>
      <w:r w:rsidRPr="00535BBB">
        <w:rPr>
          <w:rFonts w:ascii="Century Gothic" w:hAnsi="Century Gothic"/>
          <w:b/>
          <w:sz w:val="20"/>
          <w:szCs w:val="20"/>
          <w:lang w:eastAsia="fr-FR"/>
        </w:rPr>
        <w:t>à part la formation de base reçue à l’école et mise à part quelques séminaires organisés par l’Union Européenne à travers le PADEG, et certains ministères parfois, il se pose un véritable problème de formation continue pour les magistrats</w:t>
      </w:r>
      <w:r w:rsidRPr="00535BBB">
        <w:rPr>
          <w:rFonts w:ascii="Century Gothic" w:hAnsi="Century Gothic"/>
          <w:sz w:val="20"/>
          <w:szCs w:val="20"/>
          <w:lang w:eastAsia="fr-FR"/>
        </w:rPr>
        <w:t xml:space="preserve">. Pourtant, dans les juridictions, les juges peuvent être nommés à la guise du conseil supérieur de la magistrature. </w:t>
      </w:r>
    </w:p>
    <w:p w14:paraId="51736AAA"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Il ne faut pas oublier que le travail judiciaire est une chaîne qui implique plusieurs intervenants, c’est pourquoi, d’autres vont plus loin en précisant qu’il faut non seulement une </w:t>
      </w:r>
      <w:r w:rsidRPr="00535BBB">
        <w:rPr>
          <w:rFonts w:ascii="Century Gothic" w:hAnsi="Century Gothic"/>
          <w:sz w:val="20"/>
          <w:szCs w:val="20"/>
          <w:lang w:eastAsia="fr-FR"/>
        </w:rPr>
        <w:lastRenderedPageBreak/>
        <w:t xml:space="preserve">spécialisation des magistrats, mais également, celle des autres acteurs. Surtout qu’au fil du temps, il apparaît d’autres formes de criminalités (cyber criminalité, etc.). </w:t>
      </w:r>
    </w:p>
    <w:p w14:paraId="53CFED46"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100" w:beforeAutospacing="1" w:after="0"/>
        <w:jc w:val="both"/>
        <w:rPr>
          <w:rFonts w:ascii="Century Gothic" w:hAnsi="Century Gothic"/>
          <w:sz w:val="20"/>
          <w:szCs w:val="20"/>
          <w:lang w:eastAsia="fr-FR"/>
        </w:rPr>
      </w:pPr>
      <w:r w:rsidRPr="00535BBB">
        <w:rPr>
          <w:rFonts w:ascii="Century Gothic" w:hAnsi="Century Gothic"/>
          <w:b/>
          <w:bCs/>
          <w:i/>
          <w:iCs/>
          <w:sz w:val="20"/>
          <w:szCs w:val="20"/>
          <w:lang w:eastAsia="fr-FR"/>
        </w:rPr>
        <w:t xml:space="preserve">III.4.2.3 De la nécessité de créer des centres de réinsertion </w:t>
      </w:r>
    </w:p>
    <w:p w14:paraId="6ACE7762"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D’une manière générale, les gens déplorent </w:t>
      </w:r>
      <w:r w:rsidRPr="00535BBB">
        <w:rPr>
          <w:rFonts w:ascii="Century Gothic" w:hAnsi="Century Gothic"/>
          <w:b/>
          <w:sz w:val="20"/>
          <w:szCs w:val="20"/>
          <w:lang w:eastAsia="fr-FR"/>
        </w:rPr>
        <w:t>les situations où les mineurs en conflit avec la loi sont incarcérés avec des adultes</w:t>
      </w:r>
      <w:r w:rsidRPr="00535BBB">
        <w:rPr>
          <w:rFonts w:ascii="Century Gothic" w:hAnsi="Century Gothic"/>
          <w:sz w:val="20"/>
          <w:szCs w:val="20"/>
          <w:lang w:eastAsia="fr-FR"/>
        </w:rPr>
        <w:t xml:space="preserve">. Il y’a vraiment urgence à démultiplier les centres spécialisés dans la réinsertion des enfants en conflit avec la loi ou des enfants en difficultés. Ces centres existent mais </w:t>
      </w:r>
      <w:proofErr w:type="gramStart"/>
      <w:r w:rsidRPr="00535BBB">
        <w:rPr>
          <w:rFonts w:ascii="Century Gothic" w:hAnsi="Century Gothic"/>
          <w:sz w:val="20"/>
          <w:szCs w:val="20"/>
          <w:lang w:eastAsia="fr-FR"/>
        </w:rPr>
        <w:t>leurs nombre</w:t>
      </w:r>
      <w:proofErr w:type="gramEnd"/>
      <w:r w:rsidRPr="00535BBB">
        <w:rPr>
          <w:rFonts w:ascii="Century Gothic" w:hAnsi="Century Gothic"/>
          <w:sz w:val="20"/>
          <w:szCs w:val="20"/>
          <w:lang w:eastAsia="fr-FR"/>
        </w:rPr>
        <w:t xml:space="preserve"> est insuffisant. </w:t>
      </w:r>
    </w:p>
    <w:p w14:paraId="0DC6EC75"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En plus de ces centres de réinsertion, il faudrait </w:t>
      </w:r>
      <w:r w:rsidRPr="00535BBB">
        <w:rPr>
          <w:rFonts w:ascii="Century Gothic" w:hAnsi="Century Gothic"/>
          <w:b/>
          <w:sz w:val="20"/>
          <w:szCs w:val="20"/>
          <w:lang w:eastAsia="fr-FR"/>
        </w:rPr>
        <w:t>créer des centres de détention et d’éducation des mineures</w:t>
      </w:r>
      <w:r w:rsidRPr="00535BBB">
        <w:rPr>
          <w:rFonts w:ascii="Century Gothic" w:hAnsi="Century Gothic"/>
          <w:sz w:val="20"/>
          <w:szCs w:val="20"/>
          <w:lang w:eastAsia="fr-FR"/>
        </w:rPr>
        <w:t xml:space="preserve"> pour permettre également le bon fonctionnement des juridictions pour jeunes et leur généralisation sur l’échelle nationale. </w:t>
      </w:r>
    </w:p>
    <w:p w14:paraId="2369EFBD"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before="100" w:beforeAutospacing="1" w:after="0"/>
        <w:jc w:val="both"/>
        <w:rPr>
          <w:rFonts w:ascii="Century Gothic" w:hAnsi="Century Gothic"/>
          <w:sz w:val="20"/>
          <w:szCs w:val="20"/>
          <w:lang w:eastAsia="fr-FR"/>
        </w:rPr>
      </w:pPr>
      <w:r w:rsidRPr="00535BBB">
        <w:rPr>
          <w:rFonts w:ascii="Century Gothic" w:hAnsi="Century Gothic"/>
          <w:b/>
          <w:bCs/>
          <w:sz w:val="20"/>
          <w:szCs w:val="20"/>
          <w:lang w:eastAsia="fr-FR"/>
        </w:rPr>
        <w:t xml:space="preserve">III.4.3 De la pertinence de la création d’un médiateur de l’enfant </w:t>
      </w:r>
    </w:p>
    <w:p w14:paraId="321EF815" w14:textId="77777777" w:rsidR="004B1712" w:rsidRPr="00535BBB" w:rsidRDefault="004B1712" w:rsidP="004B1712">
      <w:pPr>
        <w:pStyle w:val="Default"/>
        <w:pBdr>
          <w:top w:val="single" w:sz="4" w:space="1" w:color="auto"/>
          <w:left w:val="single" w:sz="4" w:space="4" w:color="auto"/>
          <w:bottom w:val="single" w:sz="4" w:space="1" w:color="auto"/>
          <w:right w:val="single" w:sz="4" w:space="4" w:color="auto"/>
        </w:pBdr>
        <w:shd w:val="clear" w:color="auto" w:fill="FFFFFF"/>
        <w:spacing w:line="276" w:lineRule="auto"/>
        <w:jc w:val="both"/>
        <w:rPr>
          <w:rFonts w:ascii="Century Gothic" w:hAnsi="Century Gothic" w:cs="Times New Roman"/>
          <w:color w:val="auto"/>
          <w:sz w:val="20"/>
          <w:szCs w:val="20"/>
        </w:rPr>
      </w:pPr>
      <w:r w:rsidRPr="00535BBB">
        <w:rPr>
          <w:rFonts w:ascii="Century Gothic" w:hAnsi="Century Gothic" w:cs="Times New Roman"/>
          <w:color w:val="auto"/>
          <w:sz w:val="20"/>
          <w:szCs w:val="20"/>
        </w:rPr>
        <w:t xml:space="preserve">Plusieurs intervenants voient dans le médiateur des enfants, une structure de plus. S’il est vrai qu’il ne faut pas des institutions qui paralysent le système, il y a lieu de préciser que l’esprit de la création de ce nouveau mécanisme n’est pas antinomique des juridictions pour enfants. Ces dernières continueront de jouer leur rôle et le médiateur qui a des attributions différentes pourrait régler, entre autres, les problèmes de façon gracieuse et saisirait les instances compétentes en cas de besoin. La question est à notre avis, est de savoir pourquoi ne pas habiliter une institution déjà existante en lui confiant les attributions du médiateur/défenseur des enfants ? </w:t>
      </w:r>
    </w:p>
    <w:p w14:paraId="69200FF9"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0"/>
        <w:jc w:val="both"/>
        <w:rPr>
          <w:rFonts w:ascii="Century Gothic" w:hAnsi="Century Gothic"/>
          <w:sz w:val="20"/>
          <w:szCs w:val="20"/>
          <w:lang w:eastAsia="fr-FR"/>
        </w:rPr>
      </w:pPr>
      <w:r w:rsidRPr="00535BBB">
        <w:rPr>
          <w:rFonts w:ascii="Century Gothic" w:hAnsi="Century Gothic"/>
          <w:sz w:val="20"/>
          <w:szCs w:val="20"/>
          <w:lang w:eastAsia="fr-FR"/>
        </w:rPr>
        <w:t xml:space="preserve">Ceux qui pensent qu’un tel mécanisme ne doit pas être créé de façon automne avancent diverses raisons dont celles tendant à dire qu’il y aura des problèmes de ressources pour son fonctionnement et que ses attributions pourraient être confiées à une structure autonome déjà existante. </w:t>
      </w:r>
    </w:p>
    <w:p w14:paraId="0E11B534" w14:textId="77777777" w:rsidR="004B1712" w:rsidRPr="00535BBB" w:rsidRDefault="004B1712" w:rsidP="004B1712">
      <w:pPr>
        <w:pBdr>
          <w:top w:val="single" w:sz="4" w:space="1" w:color="auto"/>
          <w:left w:val="single" w:sz="4" w:space="4" w:color="auto"/>
          <w:bottom w:val="single" w:sz="4" w:space="1" w:color="auto"/>
          <w:right w:val="single" w:sz="4" w:space="4" w:color="auto"/>
        </w:pBdr>
        <w:shd w:val="clear" w:color="auto" w:fill="FFFFFF"/>
        <w:jc w:val="both"/>
        <w:rPr>
          <w:rFonts w:ascii="Century Gothic" w:hAnsi="Century Gothic"/>
        </w:rPr>
      </w:pPr>
      <w:r w:rsidRPr="00535BBB">
        <w:rPr>
          <w:rFonts w:ascii="Century Gothic" w:hAnsi="Century Gothic"/>
          <w:sz w:val="20"/>
          <w:szCs w:val="20"/>
          <w:lang w:eastAsia="fr-FR"/>
        </w:rPr>
        <w:t>En revanche les « supporters » de la mise place du médiateur/défenseur de l’enfant (moins nombreux) estiment que ce moyen offrira une meilleure protection des enfants, en donnant une interface aux juges, aux enfants</w:t>
      </w:r>
    </w:p>
    <w:p w14:paraId="58613506" w14:textId="77777777" w:rsidR="004B1712" w:rsidRPr="00535BBB" w:rsidRDefault="004B1712" w:rsidP="002059F0">
      <w:pPr>
        <w:autoSpaceDE w:val="0"/>
        <w:autoSpaceDN w:val="0"/>
        <w:adjustRightInd w:val="0"/>
        <w:spacing w:after="0" w:line="240" w:lineRule="auto"/>
        <w:contextualSpacing/>
        <w:jc w:val="both"/>
        <w:rPr>
          <w:rStyle w:val="hps"/>
          <w:rFonts w:ascii="Century Gothic" w:hAnsi="Century Gothic"/>
          <w:sz w:val="24"/>
          <w:szCs w:val="24"/>
        </w:rPr>
      </w:pPr>
    </w:p>
    <w:p w14:paraId="243C1CAB" w14:textId="77777777" w:rsidR="004B1712" w:rsidRPr="00535BBB" w:rsidRDefault="004B1712" w:rsidP="002059F0">
      <w:pPr>
        <w:autoSpaceDE w:val="0"/>
        <w:autoSpaceDN w:val="0"/>
        <w:adjustRightInd w:val="0"/>
        <w:spacing w:after="0" w:line="240" w:lineRule="auto"/>
        <w:contextualSpacing/>
        <w:jc w:val="both"/>
        <w:rPr>
          <w:rStyle w:val="hps"/>
          <w:rFonts w:ascii="Century Gothic" w:hAnsi="Century Gothic"/>
          <w:sz w:val="24"/>
          <w:szCs w:val="24"/>
        </w:rPr>
      </w:pPr>
    </w:p>
    <w:p w14:paraId="31249EC5" w14:textId="77777777" w:rsidR="00987D01" w:rsidRPr="00535BBB" w:rsidRDefault="00EC02D0" w:rsidP="002059F0">
      <w:pPr>
        <w:autoSpaceDE w:val="0"/>
        <w:autoSpaceDN w:val="0"/>
        <w:adjustRightInd w:val="0"/>
        <w:spacing w:after="0" w:line="240" w:lineRule="auto"/>
        <w:contextualSpacing/>
        <w:jc w:val="both"/>
        <w:rPr>
          <w:rStyle w:val="hps"/>
          <w:rFonts w:ascii="Century Gothic" w:hAnsi="Century Gothic"/>
          <w:sz w:val="24"/>
          <w:szCs w:val="24"/>
        </w:rPr>
      </w:pPr>
      <w:r>
        <w:rPr>
          <w:rStyle w:val="hps"/>
          <w:rFonts w:ascii="Century Gothic" w:hAnsi="Century Gothic"/>
          <w:sz w:val="24"/>
          <w:szCs w:val="24"/>
        </w:rPr>
        <w:br w:type="page"/>
      </w:r>
    </w:p>
    <w:p w14:paraId="64EBAC74" w14:textId="77777777" w:rsidR="00987D01" w:rsidRPr="00535BBB" w:rsidRDefault="00987D01" w:rsidP="002059F0">
      <w:pPr>
        <w:autoSpaceDE w:val="0"/>
        <w:autoSpaceDN w:val="0"/>
        <w:adjustRightInd w:val="0"/>
        <w:spacing w:after="0" w:line="240" w:lineRule="auto"/>
        <w:contextualSpacing/>
        <w:jc w:val="both"/>
        <w:rPr>
          <w:rStyle w:val="hps"/>
          <w:rFonts w:ascii="Century Gothic" w:hAnsi="Century Gothic"/>
          <w:sz w:val="24"/>
          <w:szCs w:val="24"/>
        </w:rPr>
      </w:pPr>
    </w:p>
    <w:p w14:paraId="4043C385" w14:textId="77777777" w:rsidR="004B1712" w:rsidRPr="00535BBB" w:rsidRDefault="004B1712" w:rsidP="00987D01">
      <w:pPr>
        <w:autoSpaceDE w:val="0"/>
        <w:autoSpaceDN w:val="0"/>
        <w:adjustRightInd w:val="0"/>
        <w:spacing w:after="0" w:line="360" w:lineRule="auto"/>
        <w:contextualSpacing/>
        <w:jc w:val="center"/>
        <w:rPr>
          <w:rStyle w:val="hps"/>
          <w:rFonts w:ascii="Century Gothic" w:hAnsi="Century Gothic"/>
          <w:b/>
          <w:sz w:val="24"/>
          <w:szCs w:val="24"/>
          <w:u w:val="single"/>
        </w:rPr>
      </w:pPr>
      <w:r w:rsidRPr="00535BBB">
        <w:rPr>
          <w:rStyle w:val="hps"/>
          <w:rFonts w:ascii="Century Gothic" w:hAnsi="Century Gothic"/>
          <w:b/>
          <w:sz w:val="24"/>
          <w:szCs w:val="24"/>
          <w:u w:val="single"/>
        </w:rPr>
        <w:t>ANNEXE 2</w:t>
      </w:r>
    </w:p>
    <w:p w14:paraId="02B095F1" w14:textId="77777777" w:rsidR="002059F0" w:rsidRPr="00EC02D0" w:rsidRDefault="002059F0" w:rsidP="00EC02D0">
      <w:pPr>
        <w:shd w:val="clear" w:color="auto" w:fill="FFFFFF"/>
        <w:autoSpaceDE w:val="0"/>
        <w:autoSpaceDN w:val="0"/>
        <w:adjustRightInd w:val="0"/>
        <w:spacing w:after="0" w:line="240" w:lineRule="auto"/>
        <w:contextualSpacing/>
        <w:jc w:val="both"/>
        <w:rPr>
          <w:rStyle w:val="hps"/>
          <w:rFonts w:ascii="Century Gothic" w:hAnsi="Century Gothic"/>
        </w:rPr>
      </w:pPr>
      <w:r w:rsidRPr="00EC02D0">
        <w:rPr>
          <w:rStyle w:val="hps"/>
          <w:rFonts w:ascii="Century Gothic" w:hAnsi="Century Gothic"/>
          <w:shd w:val="clear" w:color="auto" w:fill="FFFFFF"/>
        </w:rPr>
        <w:t>Le rapport final de l’étude sur l’accès à la justice au Burkina Faso revient sur les</w:t>
      </w:r>
      <w:r w:rsidRPr="00EC02D0">
        <w:rPr>
          <w:rStyle w:val="hps"/>
          <w:rFonts w:ascii="Century Gothic" w:hAnsi="Century Gothic"/>
        </w:rPr>
        <w:t xml:space="preserve"> problématiques y relatives :</w:t>
      </w:r>
    </w:p>
    <w:p w14:paraId="4B75031C" w14:textId="77777777" w:rsidR="002059F0" w:rsidRPr="00535BBB" w:rsidRDefault="002059F0" w:rsidP="002059F0">
      <w:pPr>
        <w:autoSpaceDE w:val="0"/>
        <w:autoSpaceDN w:val="0"/>
        <w:adjustRightInd w:val="0"/>
        <w:spacing w:after="0" w:line="240" w:lineRule="auto"/>
        <w:contextualSpacing/>
        <w:jc w:val="both"/>
        <w:rPr>
          <w:rStyle w:val="hps"/>
          <w:rFonts w:ascii="Century Gothic" w:hAnsi="Century Gothic"/>
          <w:sz w:val="24"/>
          <w:szCs w:val="24"/>
        </w:rPr>
      </w:pPr>
    </w:p>
    <w:p w14:paraId="63052ABB"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Elaboration de textes tendant à la gratuité des actes juridiques et autres formes d’assistance légale </w:t>
      </w:r>
    </w:p>
    <w:p w14:paraId="58452571"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Le rapprochement des justiciables de la justice s’est traduit également par l’application de certaines mesures d’allègement concernant certains frais de justice. Ce type de mesures cible particulièrement les couches de population les plus pauvres. </w:t>
      </w:r>
    </w:p>
    <w:p w14:paraId="6FBA5443"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La suppression des frais de consignation (loi n°23-2008/AN du 6 mai 2008) et la pratique de la commission d’office des avocats défenseurs pour certains cas en matière délictuelle et dans tous les procès criminels lèvent également certaines contraintes financières au profit du justiciable. </w:t>
      </w:r>
    </w:p>
    <w:p w14:paraId="5A3F83FA"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C’est le lieu de rappeler un principe clé : celui de la gratuité du service public de la Justice. La loi organise à ce titre une aide aux justiciables dans le cadre des affaires pénales. En effet, il est énoncé à l’article 6 de la loi portant organisation judiciaire que: «la justice est gratuite sous réserve de l’application des dispositions des lois fiscales concernant les droits de timbre et d’enregistrement. L’assistance judiciaire peut être accordée suivant la nature des procès, la qualité et la situation des parties, soit de plein droit, soit sur demande expresse de la partie intéressée.…». Il est le corollaire de l’égalité devant la justice, qui n’admet pas que la situation de dénuement d’un plaideur l’amène à renoncer à défendre ses droits en justice. Principe cardinal dans le contexte de pauvreté qui caractérise notre pays, la gratuité de la justice n’est cependant pas effective dans notre pays. Il faut le reconnaître, cette assistance judiciaire a du mal à se mettre en place.</w:t>
      </w:r>
    </w:p>
    <w:p w14:paraId="51B6EE8D"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p>
    <w:p w14:paraId="71EA842A"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III.3.1.2.2 Mesures et efforts en faveur de l’assistance judiciaire </w:t>
      </w:r>
    </w:p>
    <w:p w14:paraId="4CDD4381"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a) L’assistance juridique offerte par les ONG </w:t>
      </w:r>
    </w:p>
    <w:p w14:paraId="5F739CA1"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L’enquête révèle que la société civile (Association des femmes juristes, MBDHP, CGD, Promo-femme, Union nationale des magistrats burkinabè à la retraite, Ordre des </w:t>
      </w:r>
      <w:proofErr w:type="gramStart"/>
      <w:r w:rsidRPr="00EC02D0">
        <w:rPr>
          <w:rStyle w:val="hps"/>
          <w:rFonts w:ascii="Century Gothic" w:hAnsi="Century Gothic"/>
          <w:sz w:val="20"/>
          <w:szCs w:val="20"/>
        </w:rPr>
        <w:t>avocats…)</w:t>
      </w:r>
      <w:proofErr w:type="gramEnd"/>
      <w:r w:rsidRPr="00EC02D0">
        <w:rPr>
          <w:rStyle w:val="hps"/>
          <w:rFonts w:ascii="Century Gothic" w:hAnsi="Century Gothic"/>
          <w:sz w:val="20"/>
          <w:szCs w:val="20"/>
        </w:rPr>
        <w:t xml:space="preserve"> s’investit dans le domaine de l’assistance juridique aux populations à travers des boutiques de droit, des cliniques juridiques, des structures d’écoute et d’orientation. Les OSC apportent aux populations de l’appui-conseil, l’accueil, l’orientation, l’assistance volontaire, la prise en charge financière selon les cas.</w:t>
      </w:r>
    </w:p>
    <w:p w14:paraId="714CB47C"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Une stratégie pour faciliter l’accès des plus pauvres à la justice c’est de toute évidence l’assistance judiciaire qui reste cependant quasi-inexistante. En effet, le fait que les Commissions d’assistance judiciaire ne sont pas encore fonctionnelles rend la justice inaccessible aux personnes pauvres ou indigentes. </w:t>
      </w:r>
    </w:p>
    <w:p w14:paraId="26B4FDBF"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L’ineffectivité du décret portant organisation de l’assistance judiciaire </w:t>
      </w:r>
    </w:p>
    <w:p w14:paraId="0877563E"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L’assistance judiciaire est organisée pour soutenir les personnes pauvres porteuses de contestations ou attraites devant les juridictions. Il existe d’autres formes légales d’aide à l’accès à la justice sous forme de dispense de frais pour certaines catégories d’affaires ou de justiciables. </w:t>
      </w:r>
    </w:p>
    <w:p w14:paraId="6534316F"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L’enquête montre cependant que les commissions d’assistance judiciaire ne sont pas fonctionnelles et que le décret n°2009-558/PRES/PM/MJ/MEF/MATD du 22 juillet 2009 organisation de l’assistance judiciaire au Burkina Faso n’est pas disponible au niveau des acteurs de terrain. </w:t>
      </w:r>
    </w:p>
    <w:p w14:paraId="1E594FE9"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Par ailleurs, le constat général est que celui-ci n’est pas encore fonctionnel. Plusieurs raisons sont invoquées pour expliquer cette situation. Il y a le fait que les commissions chargées de statuer sur les demandes d’aide judiciaire prévues par le décret ne sont pas mises en place.</w:t>
      </w:r>
    </w:p>
    <w:p w14:paraId="635B564A"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Plusieurs raisons sont invoquées pour expliquer le fait que la loi relative à l’assistance judiciaire ne soit appliquée, et que, de ce fait, le mécanisme d’assistance ne soit opérationnel. Parmi ces raisons, il y a le fait que les commissions chargées de statuer sur les demandes d’aide judiciaire prévues par le décret ci-dessus cité ne soient pas mises en place. Mais ceci ne nous semble pas une grosse difficulté ; ce qui l’est davantage, c’est la question de la mise en place effective d’un fonds d’assistance judiciaire opérationnel. </w:t>
      </w:r>
    </w:p>
    <w:p w14:paraId="420A3B03"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lastRenderedPageBreak/>
        <w:t xml:space="preserve">Le financement du fonds d’assistance judiciaire paraît une question centrale à laquelle il faut apporter une réponse structurelle. Au regard de l’importance des fonds à réunir, l’idée de créer un fonds d’assistance judiciaire auquel les partenaires techniques et financiers peuvent contribuer, peut être efficace. </w:t>
      </w:r>
    </w:p>
    <w:p w14:paraId="1D86ABAC"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Le fonctionnement du mécanisme même nécessitera la mise en place d’un budget (pour le fonctionnement des commissions, etc.). Le budget de l’État est-il en mesure de financer, tout seul et de façon pérenne ledit fonds ? </w:t>
      </w:r>
    </w:p>
    <w:p w14:paraId="5274A732"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Certains acteurs évoquent la difficulté de détermination des bénéficiaires de l’assistance judiciaire. Le décret met en place un système de présomption d’indigence en faveur de certaines catégories de personnes, et offre la possibilité aux autres de prouver leur indigence par tous moyens. En effet, au regard des dispositions de l’article 5 du décret, les personnes mineures d’âge, les victimes d’actes d’atteinte à la vie ou à l’intégrité corporelle tels les coups et blessures graves, les actes de tortures exercées par des agents de l’État dans l’exercice de leur fonction et les ayants-droit de ces personnes sont assimilées aux personnes disposant de ressources insuffisantes. Par conséquent, ces personnes peuvent bénéficier de l’assistance judiciaire sans qu’il soit nécessaire de prouver leur indigence. Pour les catégories de personnes visées à l’article 4, la preuve de l’insuffisance de revenus est allégée. En effet, elles auront à justifier seulement qu’elles ne disposent pas de revenus propres pour pouvoir prétendre du bénéfice de l’assistance judiciaire. Il s’agit de : </w:t>
      </w:r>
    </w:p>
    <w:p w14:paraId="603F0E77"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w:t>
      </w:r>
      <w:r w:rsidRPr="00EC02D0">
        <w:rPr>
          <w:rStyle w:val="hps"/>
          <w:rFonts w:ascii="Century Gothic" w:hAnsi="Century Gothic"/>
          <w:sz w:val="20"/>
          <w:szCs w:val="20"/>
        </w:rPr>
        <w:tab/>
      </w:r>
      <w:proofErr w:type="gramStart"/>
      <w:r w:rsidRPr="00EC02D0">
        <w:rPr>
          <w:rStyle w:val="hps"/>
          <w:rFonts w:ascii="Century Gothic" w:hAnsi="Century Gothic"/>
          <w:sz w:val="20"/>
          <w:szCs w:val="20"/>
        </w:rPr>
        <w:t>des</w:t>
      </w:r>
      <w:proofErr w:type="gramEnd"/>
      <w:r w:rsidRPr="00EC02D0">
        <w:rPr>
          <w:rStyle w:val="hps"/>
          <w:rFonts w:ascii="Century Gothic" w:hAnsi="Century Gothic"/>
          <w:sz w:val="20"/>
          <w:szCs w:val="20"/>
        </w:rPr>
        <w:t xml:space="preserve"> personnes en charge d’enfant mineur dans les procédures de pension alimentaire ou de contribution aux charges du ménage qui ne disposent d’aucun revenu propre ; </w:t>
      </w:r>
    </w:p>
    <w:p w14:paraId="6E1ADB3F"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w:t>
      </w:r>
      <w:r w:rsidRPr="00EC02D0">
        <w:rPr>
          <w:rStyle w:val="hps"/>
          <w:rFonts w:ascii="Century Gothic" w:hAnsi="Century Gothic"/>
          <w:sz w:val="20"/>
          <w:szCs w:val="20"/>
        </w:rPr>
        <w:tab/>
      </w:r>
      <w:proofErr w:type="gramStart"/>
      <w:r w:rsidRPr="00EC02D0">
        <w:rPr>
          <w:rStyle w:val="hps"/>
          <w:rFonts w:ascii="Century Gothic" w:hAnsi="Century Gothic"/>
          <w:sz w:val="20"/>
          <w:szCs w:val="20"/>
        </w:rPr>
        <w:t>du</w:t>
      </w:r>
      <w:proofErr w:type="gramEnd"/>
      <w:r w:rsidRPr="00EC02D0">
        <w:rPr>
          <w:rStyle w:val="hps"/>
          <w:rFonts w:ascii="Century Gothic" w:hAnsi="Century Gothic"/>
          <w:sz w:val="20"/>
          <w:szCs w:val="20"/>
        </w:rPr>
        <w:t xml:space="preserve"> conjoint en charge d’enfant mineur en instance de divorce qui ne dispose d’aucun revenu propre. </w:t>
      </w:r>
    </w:p>
    <w:p w14:paraId="1759EEEF"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Les autres personnes qui entendent se prévaloir du bénéfice de l’assistance judiciaire doivent faire la preuve de leur état d’indigence par un certificat d’indigence, un certificat de non-imposition ou tout autre document à même d’établir la précarité de leur situation matérielle. Le système de preuve est allégé pour certaines catégories de personnes et les dispositions du décret y relatives doivent être connues. </w:t>
      </w:r>
    </w:p>
    <w:p w14:paraId="703001CA"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 xml:space="preserve">Pour certains le véritable problème, en effet, est celui posé par l’importance du nombre de personnes éligibles à l’assistance judiciaire. Lorsque l’on sait que près de la moitié de la population (43,9%) vit en dessous du seuil de pauvreté (source SCADD2010), on en déduit que c’est autant de personnes potentiellement éligibles à l’assistance judiciaire. </w:t>
      </w:r>
    </w:p>
    <w:p w14:paraId="7CC1A0B5" w14:textId="77777777" w:rsidR="00EC02D0" w:rsidRPr="00EC02D0" w:rsidRDefault="00EC02D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r w:rsidRPr="00EC02D0">
        <w:rPr>
          <w:rStyle w:val="hps"/>
          <w:rFonts w:ascii="Century Gothic" w:hAnsi="Century Gothic"/>
          <w:sz w:val="20"/>
          <w:szCs w:val="20"/>
        </w:rPr>
        <w:t>Cependant, il faut préciser que ce type d’intervention qui voudrait toucher les populations vulnérables doit être très regardant sur les principes d’équité et de justice sociale. La question du ciblage des bénéficiaires d’une telle politique devrait se faire rigoureusement parce qu’il s’agit de venir en aide non pas au pauvre de façon générale, mais aux plus pauvres des pauvres : aux personnes indigentes. Ce sont généralement des personnes socialement exclues et qui ne peuvent pas également accéder à la quasi-totalité de tous les services publics. Ce qui est intéressant, c’est qu’il existe au Burkina de nombreux exemples de nombreux travaux sur le ciblage des indigents.</w:t>
      </w:r>
    </w:p>
    <w:p w14:paraId="2B3F498C" w14:textId="77777777" w:rsidR="002059F0" w:rsidRPr="00EC02D0" w:rsidRDefault="002059F0" w:rsidP="00EC02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Style w:val="hps"/>
          <w:rFonts w:ascii="Century Gothic" w:hAnsi="Century Gothic"/>
          <w:sz w:val="20"/>
          <w:szCs w:val="20"/>
        </w:rPr>
      </w:pPr>
    </w:p>
    <w:p w14:paraId="35F55B33" w14:textId="77777777" w:rsidR="002059F0" w:rsidRPr="00535BBB" w:rsidRDefault="002059F0" w:rsidP="00892685">
      <w:pPr>
        <w:tabs>
          <w:tab w:val="left" w:pos="709"/>
        </w:tabs>
        <w:spacing w:line="360" w:lineRule="auto"/>
        <w:jc w:val="both"/>
        <w:outlineLvl w:val="0"/>
        <w:rPr>
          <w:rFonts w:ascii="Century Gothic" w:hAnsi="Century Gothic"/>
          <w:sz w:val="24"/>
          <w:szCs w:val="24"/>
        </w:rPr>
      </w:pPr>
    </w:p>
    <w:sectPr w:rsidR="002059F0" w:rsidRPr="00535BBB" w:rsidSect="001A05CC">
      <w:footerReference w:type="default" r:id="rId15"/>
      <w:pgSz w:w="11906" w:h="16838"/>
      <w:pgMar w:top="1276" w:right="1440" w:bottom="1276"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B4F261" w14:textId="77777777" w:rsidR="00D060B8" w:rsidRDefault="00D060B8" w:rsidP="003E6917">
      <w:pPr>
        <w:spacing w:after="0" w:line="240" w:lineRule="auto"/>
      </w:pPr>
      <w:r>
        <w:separator/>
      </w:r>
    </w:p>
  </w:endnote>
  <w:endnote w:type="continuationSeparator" w:id="0">
    <w:p w14:paraId="6620A494" w14:textId="77777777" w:rsidR="00D060B8" w:rsidRDefault="00D060B8" w:rsidP="003E6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Bodoni MT Black">
    <w:altName w:val="Superclarendon Black"/>
    <w:charset w:val="00"/>
    <w:family w:val="roman"/>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entury Gothic">
    <w:panose1 w:val="020B050202020202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Calibri Light">
    <w:panose1 w:val="020F0302020204030204"/>
    <w:charset w:val="00"/>
    <w:family w:val="auto"/>
    <w:pitch w:val="variable"/>
    <w:sig w:usb0="A00002EF" w:usb1="4000207B" w:usb2="00000000" w:usb3="00000000" w:csb0="0000009F" w:csb1="00000000"/>
  </w:font>
  <w:font w:name="Tahoma">
    <w:panose1 w:val="020B0604030504040204"/>
    <w:charset w:val="00"/>
    <w:family w:val="auto"/>
    <w:pitch w:val="variable"/>
    <w:sig w:usb0="E1002AFF" w:usb1="C000605B" w:usb2="00000029" w:usb3="00000000" w:csb0="000101FF" w:csb1="00000000"/>
  </w:font>
  <w:font w:name="Book Antiqua">
    <w:panose1 w:val="020406020503050303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Amnesty Trade Gothic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48D338" w14:textId="77777777" w:rsidR="00D060B8" w:rsidRDefault="00D060B8" w:rsidP="00436EAD">
    <w:pPr>
      <w:pStyle w:val="Pieddepage"/>
      <w:pBdr>
        <w:top w:val="single" w:sz="4" w:space="1" w:color="D9D9D9"/>
      </w:pBdr>
      <w:rPr>
        <w:b/>
      </w:rPr>
    </w:pPr>
    <w:r>
      <w:fldChar w:fldCharType="begin"/>
    </w:r>
    <w:r>
      <w:instrText xml:space="preserve"> PAGE   \* MERGEFORMAT </w:instrText>
    </w:r>
    <w:r>
      <w:fldChar w:fldCharType="separate"/>
    </w:r>
    <w:r w:rsidR="00ED2269" w:rsidRPr="00ED2269">
      <w:rPr>
        <w:b/>
        <w:noProof/>
      </w:rPr>
      <w:t>2</w:t>
    </w:r>
    <w:r>
      <w:rPr>
        <w:b/>
        <w:noProof/>
      </w:rPr>
      <w:fldChar w:fldCharType="end"/>
    </w:r>
    <w:r>
      <w:rPr>
        <w:b/>
      </w:rPr>
      <w:t xml:space="preserve"> | </w:t>
    </w:r>
    <w:r w:rsidRPr="00436EAD">
      <w:rPr>
        <w:color w:val="7F7F7F"/>
        <w:spacing w:val="60"/>
      </w:rPr>
      <w:t>Page</w:t>
    </w:r>
  </w:p>
  <w:p w14:paraId="37DBFA03" w14:textId="77777777" w:rsidR="00D060B8" w:rsidRDefault="00D060B8">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83DD1" w14:textId="77777777" w:rsidR="00D060B8" w:rsidRDefault="00D060B8" w:rsidP="003E6917">
      <w:pPr>
        <w:spacing w:after="0" w:line="240" w:lineRule="auto"/>
      </w:pPr>
      <w:r>
        <w:separator/>
      </w:r>
    </w:p>
  </w:footnote>
  <w:footnote w:type="continuationSeparator" w:id="0">
    <w:p w14:paraId="248429F5" w14:textId="77777777" w:rsidR="00D060B8" w:rsidRDefault="00D060B8" w:rsidP="003E6917">
      <w:pPr>
        <w:spacing w:after="0" w:line="240" w:lineRule="auto"/>
      </w:pPr>
      <w:r>
        <w:continuationSeparator/>
      </w:r>
    </w:p>
  </w:footnote>
  <w:footnote w:id="1">
    <w:p w14:paraId="672185E3" w14:textId="77777777" w:rsidR="00D060B8" w:rsidRPr="00535BBB" w:rsidRDefault="00D060B8">
      <w:pPr>
        <w:pStyle w:val="Notedebasdepage"/>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Article 151 de la Constitution du 02 juin 1991</w:t>
      </w:r>
    </w:p>
  </w:footnote>
  <w:footnote w:id="2">
    <w:p w14:paraId="0C1A33A7" w14:textId="77777777" w:rsidR="00D060B8" w:rsidRPr="000E0C9D" w:rsidRDefault="00D060B8">
      <w:pPr>
        <w:pStyle w:val="Notedebasdepage"/>
        <w:rPr>
          <w:rFonts w:ascii="Century Gothic" w:hAnsi="Century Gothic"/>
          <w:sz w:val="16"/>
          <w:szCs w:val="16"/>
          <w:lang w:val="fr-FR"/>
        </w:rPr>
      </w:pPr>
      <w:r w:rsidRPr="000E0C9D">
        <w:rPr>
          <w:rFonts w:ascii="Century Gothic" w:hAnsi="Century Gothic"/>
          <w:sz w:val="16"/>
          <w:szCs w:val="16"/>
          <w:lang w:val="fr-FR"/>
        </w:rPr>
        <w:footnoteRef/>
      </w:r>
      <w:r w:rsidRPr="000E0C9D">
        <w:rPr>
          <w:rFonts w:ascii="Century Gothic" w:hAnsi="Century Gothic"/>
          <w:sz w:val="16"/>
          <w:szCs w:val="16"/>
          <w:lang w:val="fr-FR"/>
        </w:rPr>
        <w:t xml:space="preserve">  Cf. Le premier « SOUSCRIVANT » du préambule de la constitution du 11 juin 1991.</w:t>
      </w:r>
    </w:p>
  </w:footnote>
  <w:footnote w:id="3">
    <w:p w14:paraId="643C4D81" w14:textId="77777777" w:rsidR="00D060B8" w:rsidRPr="00535BBB" w:rsidRDefault="00D060B8">
      <w:pPr>
        <w:pStyle w:val="Notedebasdepage"/>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Chapitre 1 du titre I (article 1 à 13) de la Constitution du 02 juin 1991</w:t>
      </w:r>
    </w:p>
  </w:footnote>
  <w:footnote w:id="4">
    <w:p w14:paraId="787644C5" w14:textId="77777777" w:rsidR="00D060B8" w:rsidRPr="00535BBB" w:rsidRDefault="00D060B8" w:rsidP="00B23630">
      <w:pPr>
        <w:pStyle w:val="Notedebasdepage"/>
        <w:jc w:val="both"/>
        <w:rPr>
          <w:rFonts w:ascii="Century Gothic" w:hAnsi="Century Gothic"/>
          <w:sz w:val="16"/>
          <w:szCs w:val="16"/>
          <w:lang w:val="fr-CA"/>
        </w:rPr>
      </w:pPr>
      <w:r w:rsidRPr="00535BBB">
        <w:rPr>
          <w:rStyle w:val="Marquenotebasdepage"/>
          <w:rFonts w:ascii="Century Gothic" w:hAnsi="Century Gothic"/>
          <w:sz w:val="16"/>
          <w:szCs w:val="16"/>
        </w:rPr>
        <w:footnoteRef/>
      </w:r>
      <w:r w:rsidRPr="00535BBB">
        <w:rPr>
          <w:rFonts w:ascii="Century Gothic" w:hAnsi="Century Gothic"/>
          <w:sz w:val="16"/>
          <w:szCs w:val="16"/>
          <w:lang w:val="fr-CA"/>
        </w:rPr>
        <w:t>Cf. Constitution du 02 juin 1991 intégrant les dernières modifications constitutionnelles intervenues par loi Nº</w:t>
      </w:r>
      <w:r w:rsidRPr="00535BBB">
        <w:rPr>
          <w:rFonts w:ascii="Century Gothic" w:hAnsi="Century Gothic"/>
          <w:sz w:val="16"/>
          <w:szCs w:val="16"/>
          <w:lang w:val="fr-FR" w:eastAsia="fr-FR"/>
        </w:rPr>
        <w:t>033- 2012/AN du 11 juin 2012 et promulguée par Décret N° 2012-616/PRES du 20 juillet 2012.</w:t>
      </w:r>
    </w:p>
  </w:footnote>
  <w:footnote w:id="5">
    <w:p w14:paraId="6C3943E2" w14:textId="77777777" w:rsidR="00D060B8" w:rsidRPr="00535BBB" w:rsidRDefault="00D060B8" w:rsidP="00B23630">
      <w:pPr>
        <w:pStyle w:val="Default"/>
        <w:jc w:val="both"/>
        <w:rPr>
          <w:rFonts w:ascii="Century Gothic" w:hAnsi="Century Gothic" w:cs="Times New Roman"/>
          <w:color w:val="auto"/>
          <w:sz w:val="16"/>
          <w:szCs w:val="16"/>
        </w:rPr>
      </w:pPr>
      <w:r w:rsidRPr="00535BBB">
        <w:rPr>
          <w:rStyle w:val="Marquenotebasdepage"/>
          <w:rFonts w:ascii="Century Gothic" w:hAnsi="Century Gothic" w:cs="Times New Roman"/>
          <w:color w:val="auto"/>
          <w:sz w:val="16"/>
          <w:szCs w:val="16"/>
        </w:rPr>
        <w:footnoteRef/>
      </w:r>
      <w:r w:rsidRPr="00535BBB">
        <w:rPr>
          <w:rFonts w:ascii="Century Gothic" w:hAnsi="Century Gothic" w:cs="Times New Roman"/>
          <w:color w:val="auto"/>
          <w:sz w:val="16"/>
          <w:szCs w:val="16"/>
          <w:lang w:val="fr-CA" w:eastAsia="en-US"/>
        </w:rPr>
        <w:t>Rapport initial soumis les 6 et 7 Nov. 2013</w:t>
      </w:r>
    </w:p>
  </w:footnote>
  <w:footnote w:id="6">
    <w:p w14:paraId="6BEE1AED" w14:textId="77777777" w:rsidR="00D060B8" w:rsidRPr="00535BBB" w:rsidRDefault="00D060B8" w:rsidP="0023380B">
      <w:pPr>
        <w:autoSpaceDE w:val="0"/>
        <w:autoSpaceDN w:val="0"/>
        <w:adjustRightInd w:val="0"/>
        <w:spacing w:after="0"/>
        <w:jc w:val="both"/>
        <w:rPr>
          <w:rFonts w:ascii="Century Gothic" w:hAnsi="Century Gothic"/>
          <w:sz w:val="16"/>
          <w:szCs w:val="16"/>
          <w:lang w:eastAsia="fr-FR"/>
        </w:rPr>
      </w:pPr>
      <w:r w:rsidRPr="00535BBB">
        <w:rPr>
          <w:rStyle w:val="Marquenotebasdepage"/>
          <w:rFonts w:ascii="Century Gothic" w:hAnsi="Century Gothic"/>
          <w:sz w:val="16"/>
          <w:szCs w:val="16"/>
        </w:rPr>
        <w:footnoteRef/>
      </w:r>
      <w:r w:rsidRPr="00535BBB">
        <w:rPr>
          <w:rFonts w:ascii="Century Gothic" w:hAnsi="Century Gothic"/>
          <w:sz w:val="16"/>
          <w:szCs w:val="16"/>
          <w:lang w:eastAsia="fr-FR"/>
        </w:rPr>
        <w:t xml:space="preserve">La Charte africaine des droits de l’Homme et des peuples ratifiée le 21 septembre 1984, la Charte africaine des droits et du bien-être de l’enfant ratifiée le 8 juin 1992, le Protocole relatif à la Charte africaine des droits de l’Homme et des Peuples portant création d’une Cour Africaine des Droits de l’Homme et des Peuples ratifié le 23 février 1999, </w:t>
      </w:r>
      <w:r w:rsidRPr="00535BBB">
        <w:rPr>
          <w:rFonts w:ascii="Century Gothic" w:hAnsi="Century Gothic"/>
          <w:sz w:val="16"/>
          <w:szCs w:val="16"/>
        </w:rPr>
        <w:t>la Convention de l’Union Africaine sur la prévention et la lutte contre le terrorisme ratifiée le 27 octobre 2005.</w:t>
      </w:r>
    </w:p>
    <w:p w14:paraId="288BF09B" w14:textId="77777777" w:rsidR="00D060B8" w:rsidRPr="00535BBB" w:rsidRDefault="00D060B8" w:rsidP="00B436CC">
      <w:pPr>
        <w:autoSpaceDE w:val="0"/>
        <w:autoSpaceDN w:val="0"/>
        <w:adjustRightInd w:val="0"/>
        <w:spacing w:after="0"/>
        <w:jc w:val="both"/>
        <w:rPr>
          <w:rFonts w:ascii="Century Gothic" w:hAnsi="Century Gothic"/>
          <w:sz w:val="16"/>
          <w:szCs w:val="16"/>
        </w:rPr>
      </w:pPr>
      <w:r w:rsidRPr="00535BBB">
        <w:rPr>
          <w:rFonts w:ascii="Century Gothic" w:hAnsi="Century Gothic"/>
          <w:sz w:val="16"/>
          <w:szCs w:val="16"/>
        </w:rPr>
        <w:t xml:space="preserve">Au titre des instruments internationaux on peut citer les instruments suivants : </w:t>
      </w:r>
      <w:r w:rsidRPr="00535BBB">
        <w:rPr>
          <w:rFonts w:ascii="Century Gothic" w:hAnsi="Century Gothic"/>
          <w:sz w:val="16"/>
          <w:szCs w:val="16"/>
          <w:lang w:eastAsia="fr-FR"/>
        </w:rPr>
        <w:t>les quatre Conventions de Genève du 12 août 1949 toutes ratifiées le 7 novembre 1961 ; la Convention pour la prévention et la répression du crime de génocide ratifiée le 14 septembre 1965 ; le Statut de la Cour pénale internationale ratifié le 16 avril 2004 ; le Protocole facultatif à la Convention contre la torture et autres peines ou traitements cruels, inhumains ou dégradants ratifié le 11 février 2010.</w:t>
      </w:r>
    </w:p>
  </w:footnote>
  <w:footnote w:id="7">
    <w:p w14:paraId="1B9A438D" w14:textId="77777777" w:rsidR="00D060B8" w:rsidRPr="00535BBB" w:rsidRDefault="00D060B8" w:rsidP="00B23630">
      <w:pPr>
        <w:pStyle w:val="Notedebasdepage"/>
        <w:jc w:val="both"/>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Le Décret n2009-894/PRES du 31 décembre 2009 promulgue ladite loi</w:t>
      </w:r>
    </w:p>
  </w:footnote>
  <w:footnote w:id="8">
    <w:p w14:paraId="081E3884" w14:textId="77777777" w:rsidR="00D060B8" w:rsidRPr="00535BBB" w:rsidRDefault="00D060B8">
      <w:pPr>
        <w:pStyle w:val="Notedebasdepage"/>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Préciser la date/période de l’insurrection afin de permettre aux personnes ne maitrisant pas le contexte du Burkina-Faso de bien comprendre</w:t>
      </w:r>
    </w:p>
  </w:footnote>
  <w:footnote w:id="9">
    <w:p w14:paraId="0A6ACD97" w14:textId="77777777" w:rsidR="00D060B8" w:rsidRPr="00535BBB" w:rsidRDefault="00D060B8" w:rsidP="00B23630">
      <w:pPr>
        <w:pStyle w:val="Notedebasdepage"/>
        <w:jc w:val="both"/>
        <w:rPr>
          <w:rFonts w:ascii="Century Gothic" w:hAnsi="Century Gothic"/>
          <w:sz w:val="16"/>
          <w:szCs w:val="16"/>
          <w:lang w:val="fr-CA"/>
        </w:rPr>
      </w:pPr>
      <w:r w:rsidRPr="00535BBB">
        <w:rPr>
          <w:rStyle w:val="Marquenotebasdepage"/>
          <w:rFonts w:ascii="Century Gothic" w:hAnsi="Century Gothic"/>
          <w:sz w:val="16"/>
          <w:szCs w:val="16"/>
        </w:rPr>
        <w:footnoteRef/>
      </w:r>
      <w:r w:rsidRPr="00535BBB">
        <w:rPr>
          <w:rFonts w:ascii="Century Gothic" w:hAnsi="Century Gothic"/>
          <w:sz w:val="16"/>
          <w:szCs w:val="16"/>
          <w:lang w:val="fr-CA"/>
        </w:rPr>
        <w:t xml:space="preserve">Les dispositions querellées de la loi modificative du code électoral adopté par le CNT et qui frappe </w:t>
      </w:r>
      <w:r>
        <w:rPr>
          <w:rFonts w:ascii="Century Gothic" w:hAnsi="Century Gothic"/>
          <w:sz w:val="16"/>
          <w:szCs w:val="16"/>
          <w:lang w:val="fr-CA"/>
        </w:rPr>
        <w:t>« </w:t>
      </w:r>
      <w:r w:rsidRPr="00535BBB">
        <w:rPr>
          <w:rFonts w:ascii="Century Gothic" w:hAnsi="Century Gothic"/>
          <w:sz w:val="16"/>
          <w:szCs w:val="16"/>
          <w:lang w:val="fr-CA"/>
        </w:rPr>
        <w:t>d’inéligibilité aux élections de sortie de crise les personnes ayant soutenu un changement anticonstitutionnel qui porte atteinte au principe de l’alternance démocratique notamment au principe de la limitation du nombre des mandats présidentiels ayant conduit à une insurrection ou à tout autre forme de soulèvement »</w:t>
      </w:r>
    </w:p>
  </w:footnote>
  <w:footnote w:id="10">
    <w:p w14:paraId="3E5DBEB8" w14:textId="77777777" w:rsidR="00D060B8" w:rsidRPr="00535BBB" w:rsidRDefault="00D060B8" w:rsidP="00C40E91">
      <w:pPr>
        <w:pStyle w:val="Notedebasdepage"/>
        <w:jc w:val="both"/>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Malgré les nombreuses crises sociopolitiques que le pays </w:t>
      </w:r>
      <w:proofErr w:type="gramStart"/>
      <w:r w:rsidRPr="00535BBB">
        <w:rPr>
          <w:rFonts w:ascii="Century Gothic" w:hAnsi="Century Gothic"/>
          <w:sz w:val="16"/>
          <w:szCs w:val="16"/>
          <w:lang w:val="fr-FR"/>
        </w:rPr>
        <w:t>a</w:t>
      </w:r>
      <w:proofErr w:type="gramEnd"/>
      <w:r w:rsidRPr="00535BBB">
        <w:rPr>
          <w:rFonts w:ascii="Century Gothic" w:hAnsi="Century Gothic"/>
          <w:sz w:val="16"/>
          <w:szCs w:val="16"/>
          <w:lang w:val="fr-FR"/>
        </w:rPr>
        <w:t xml:space="preserve"> connu et qui ont entrainé des atteintes et violations de droits humains, la CNDH n’a rien entrepris allant dans le sens de mener des investigations ou de prendre position. Cela ne peut être envisagé lorsque l’essentiel des activités de la commission sont financés suivant le bon vouloir de l’autorité politique. Et malgré plusieurs interpellations du ministère de tutelle par</w:t>
      </w:r>
      <w:r>
        <w:rPr>
          <w:rFonts w:ascii="Century Gothic" w:hAnsi="Century Gothic"/>
          <w:sz w:val="16"/>
          <w:szCs w:val="16"/>
          <w:lang w:val="fr-FR"/>
        </w:rPr>
        <w:t xml:space="preserve"> </w:t>
      </w:r>
      <w:r w:rsidRPr="00535BBB">
        <w:rPr>
          <w:rFonts w:ascii="Century Gothic" w:hAnsi="Century Gothic"/>
          <w:sz w:val="16"/>
          <w:szCs w:val="16"/>
          <w:lang w:val="fr-FR"/>
        </w:rPr>
        <w:t>la CNDH, rien n’a été fait pour renforcer les capacités financières et en ressources humaines de la CNDH.</w:t>
      </w:r>
    </w:p>
  </w:footnote>
  <w:footnote w:id="11">
    <w:p w14:paraId="2D6A80C5" w14:textId="77777777" w:rsidR="00D060B8" w:rsidRPr="00535BBB" w:rsidRDefault="00D060B8" w:rsidP="00C40E91">
      <w:pPr>
        <w:pStyle w:val="Default"/>
        <w:jc w:val="both"/>
        <w:rPr>
          <w:rFonts w:ascii="Century Gothic" w:hAnsi="Century Gothic" w:cs="Times New Roman"/>
          <w:color w:val="auto"/>
          <w:sz w:val="16"/>
          <w:szCs w:val="16"/>
        </w:rPr>
      </w:pPr>
      <w:r w:rsidRPr="00535BBB">
        <w:rPr>
          <w:rStyle w:val="Marquenotebasdepage"/>
          <w:rFonts w:ascii="Century Gothic" w:hAnsi="Century Gothic" w:cs="Times New Roman"/>
          <w:color w:val="auto"/>
          <w:sz w:val="16"/>
          <w:szCs w:val="16"/>
        </w:rPr>
        <w:footnoteRef/>
      </w:r>
      <w:r w:rsidRPr="00535BBB">
        <w:rPr>
          <w:rFonts w:ascii="Century Gothic" w:hAnsi="Century Gothic" w:cs="Times New Roman"/>
          <w:color w:val="auto"/>
          <w:sz w:val="16"/>
          <w:szCs w:val="16"/>
        </w:rPr>
        <w:t xml:space="preserve"> CNDH, HCDH-BRAO, PNUD &amp; AFCNCDH, 2014, Rapport général. Atelier de formation des membres et du personnel de la CNDH du 1</w:t>
      </w:r>
      <w:r w:rsidRPr="00535BBB">
        <w:rPr>
          <w:rFonts w:ascii="Century Gothic" w:hAnsi="Century Gothic" w:cs="Times New Roman"/>
          <w:color w:val="auto"/>
          <w:sz w:val="16"/>
          <w:szCs w:val="16"/>
          <w:vertAlign w:val="superscript"/>
        </w:rPr>
        <w:t>er</w:t>
      </w:r>
      <w:r w:rsidRPr="00535BBB">
        <w:rPr>
          <w:rFonts w:ascii="Century Gothic" w:hAnsi="Century Gothic" w:cs="Times New Roman"/>
          <w:color w:val="auto"/>
          <w:sz w:val="16"/>
          <w:szCs w:val="16"/>
        </w:rPr>
        <w:t xml:space="preserve"> au 4 juillet 2014. L’atelier a été initié conjointement par la Commission Nationale des Droits Humains du Burkina Faso (CNDH) et le Haut-Commissariat des Nations Unies aux droits de l’Homme, Bureau Régional pour l’Afrique de l’Ouest (HCDH-BRAO) et organisé en partenariat avec le PNUD/Ouagadougou avec la collaboration technique de l’Association Francophone des Commissions Nationales des Droits Humains (AFCNCDH)</w:t>
      </w:r>
    </w:p>
  </w:footnote>
  <w:footnote w:id="12">
    <w:p w14:paraId="69DADCEE" w14:textId="77777777" w:rsidR="00D060B8" w:rsidRPr="00535BBB" w:rsidRDefault="00D060B8" w:rsidP="007445C0">
      <w:pPr>
        <w:autoSpaceDE w:val="0"/>
        <w:autoSpaceDN w:val="0"/>
        <w:adjustRightInd w:val="0"/>
        <w:spacing w:after="0" w:line="240" w:lineRule="auto"/>
        <w:jc w:val="both"/>
        <w:rPr>
          <w:rFonts w:ascii="Century Gothic" w:hAnsi="Century Gothic"/>
          <w:sz w:val="16"/>
          <w:szCs w:val="16"/>
        </w:rPr>
      </w:pPr>
      <w:r w:rsidRPr="00535BBB">
        <w:rPr>
          <w:rStyle w:val="Marquenotebasdepage"/>
          <w:rFonts w:ascii="Century Gothic" w:hAnsi="Century Gothic"/>
          <w:sz w:val="16"/>
          <w:szCs w:val="16"/>
        </w:rPr>
        <w:footnoteRef/>
      </w:r>
      <w:r w:rsidRPr="00535BBB">
        <w:rPr>
          <w:rFonts w:ascii="Century Gothic" w:hAnsi="Century Gothic"/>
          <w:sz w:val="16"/>
          <w:szCs w:val="16"/>
        </w:rPr>
        <w:t xml:space="preserve"> Dans sa </w:t>
      </w:r>
      <w:r w:rsidRPr="00535BBB">
        <w:rPr>
          <w:rFonts w:ascii="Century Gothic" w:hAnsi="Century Gothic"/>
          <w:sz w:val="16"/>
          <w:szCs w:val="16"/>
          <w:lang w:eastAsia="fr-FR"/>
        </w:rPr>
        <w:t xml:space="preserve">Communication nº 1159/2003 Mariam </w:t>
      </w:r>
      <w:proofErr w:type="spellStart"/>
      <w:r w:rsidRPr="00535BBB">
        <w:rPr>
          <w:rFonts w:ascii="Century Gothic" w:hAnsi="Century Gothic"/>
          <w:sz w:val="16"/>
          <w:szCs w:val="16"/>
          <w:lang w:eastAsia="fr-FR"/>
        </w:rPr>
        <w:t>Sankara</w:t>
      </w:r>
      <w:proofErr w:type="spellEnd"/>
      <w:r w:rsidRPr="00535BBB">
        <w:rPr>
          <w:rFonts w:ascii="Century Gothic" w:hAnsi="Century Gothic"/>
          <w:sz w:val="16"/>
          <w:szCs w:val="16"/>
          <w:lang w:eastAsia="fr-FR"/>
        </w:rPr>
        <w:t xml:space="preserve"> et al. </w:t>
      </w:r>
      <w:proofErr w:type="gramStart"/>
      <w:r w:rsidRPr="00535BBB">
        <w:rPr>
          <w:rFonts w:ascii="Century Gothic" w:hAnsi="Century Gothic"/>
          <w:sz w:val="16"/>
          <w:szCs w:val="16"/>
          <w:lang w:eastAsia="fr-FR"/>
        </w:rPr>
        <w:t>contre</w:t>
      </w:r>
      <w:proofErr w:type="gramEnd"/>
      <w:r w:rsidRPr="00535BBB">
        <w:rPr>
          <w:rFonts w:ascii="Century Gothic" w:hAnsi="Century Gothic"/>
          <w:sz w:val="16"/>
          <w:szCs w:val="16"/>
          <w:lang w:eastAsia="fr-FR"/>
        </w:rPr>
        <w:t xml:space="preserve"> Burkina Faso, le Comité a fait observer que « La famille de Thomas </w:t>
      </w:r>
      <w:proofErr w:type="spellStart"/>
      <w:r w:rsidRPr="00535BBB">
        <w:rPr>
          <w:rFonts w:ascii="Century Gothic" w:hAnsi="Century Gothic"/>
          <w:sz w:val="16"/>
          <w:szCs w:val="16"/>
          <w:lang w:eastAsia="fr-FR"/>
        </w:rPr>
        <w:t>Sankara</w:t>
      </w:r>
      <w:proofErr w:type="spellEnd"/>
      <w:r w:rsidRPr="00535BBB">
        <w:rPr>
          <w:rFonts w:ascii="Century Gothic" w:hAnsi="Century Gothic"/>
          <w:sz w:val="16"/>
          <w:szCs w:val="16"/>
          <w:lang w:eastAsia="fr-FR"/>
        </w:rPr>
        <w:t xml:space="preserve"> a le droit de connaître les circonstances de sa mort, et le Comité rappelle que toute plainte contre des actes prohibés par l’article 7 du Pacte doit faire l’objet d’enquêtes rapides et impartiales des autorités compétentes » CCPR/C/86/D/1159/2003 11 avril 2006</w:t>
      </w:r>
    </w:p>
    <w:p w14:paraId="0C5A8EB9" w14:textId="77777777" w:rsidR="00D060B8" w:rsidRPr="00535BBB" w:rsidRDefault="00D060B8" w:rsidP="007445C0">
      <w:pPr>
        <w:autoSpaceDE w:val="0"/>
        <w:autoSpaceDN w:val="0"/>
        <w:adjustRightInd w:val="0"/>
        <w:spacing w:after="0" w:line="240" w:lineRule="auto"/>
        <w:jc w:val="both"/>
        <w:rPr>
          <w:rFonts w:ascii="Century Gothic" w:hAnsi="Century Gothic"/>
          <w:sz w:val="16"/>
          <w:szCs w:val="16"/>
        </w:rPr>
      </w:pPr>
      <w:hyperlink r:id="rId1" w:history="1">
        <w:r w:rsidRPr="00535BBB">
          <w:rPr>
            <w:rStyle w:val="Lienhypertexte"/>
            <w:rFonts w:ascii="Century Gothic" w:hAnsi="Century Gothic"/>
            <w:sz w:val="16"/>
            <w:szCs w:val="16"/>
            <w:lang w:eastAsia="fr-FR"/>
          </w:rPr>
          <w:t>http://www.ccprcentre.org/wp-content/uploads/2012/12/1159_2003-Burkina-Faso.pdf</w:t>
        </w:r>
      </w:hyperlink>
    </w:p>
  </w:footnote>
  <w:footnote w:id="13">
    <w:p w14:paraId="09221724" w14:textId="77777777" w:rsidR="00D060B8" w:rsidRPr="00535BBB" w:rsidRDefault="00D060B8" w:rsidP="00B23630">
      <w:pPr>
        <w:pStyle w:val="Notedebasdepage"/>
        <w:jc w:val="both"/>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Le Rapport 2013 du MBDHP fait observer le manque de considération des pouvoirs publics vis-à-vis des décisions de justice : « Dans une affaire judiciaire baptisée par la presse nationale « affaire des 23 kg d’or », le Ministre des mines, des carrières et de l’énergie refusait d’exécuter une décision de justice. Il fut soutenu par son collègue de la justice qui instruisait le 03 avril 2013 le Procureur général près la Cour d’Appel de Ouagadougou de saisir le Procureur du Faso à l’effet de requérir l’ouverture d’une information judiciaire contre X pour corruption. En rappel, cette affaire opposait monsieur DAMBINA Sékou à l’Etat burkinabè. Monsieur DAMBINA fut arrêté le 06 mars 2012 sur la route de Pô par des éléments de la Brigade nationale de lutte anti-fraude de l’or (BNAF) en possession de 23,528 kilos d’or. Poursuivi devant la chambre correctionnelle du Tribunal de Grande Instance de Ouagadougou pour fraude en matière de commercialisation de l’or et abus de confiance, il fut relaxé le 16 mai 2012 au bénéfice du doute. Le tribunal ordonnait en plus la restitution des 23,528 kg. La Cour d’appel de Ouagadougou, saisie par l’Agent judiciaire du Trésor représentant l’Etat burkinabè, confirma le 10 août 2012, la décision rendue en première instance. La Cour de Cassation, suite au pourvoi formulé devant elle par l’Etat burkinabè, alla dans le même sens en confirmant la décision des juridictions inférieures le 18 décembre 2012. Malgré tout, le Ministre des mines, des carrières et de l’énergie appuyé par son collègue de la justice refusait de restituer les 23,528 kg d’or. Le Ministre de la justice, pour soutenir ce refus d’exécuter une décision de justice, intenta une action pour corruption contre X, laissant ainsi croire que les magistrats ayant connu du dossier auraient été corrompus. Cette plainte visant à couvrir le refus de membres du Gouvernement d’exécuter une décision de justice et de restituer l’or saisi, traduit la réalité des relations entre les pouvoirs judiciaire et exécutif marquées par la non soumission du Gouvernement aux règles et principes de l’Etat de droit. » </w:t>
      </w:r>
    </w:p>
  </w:footnote>
  <w:footnote w:id="14">
    <w:p w14:paraId="7BDE81F0" w14:textId="77777777" w:rsidR="00D060B8" w:rsidRPr="00535BBB" w:rsidRDefault="00D060B8">
      <w:pPr>
        <w:pStyle w:val="Notedebasdepage"/>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Journal Le Reporter du 28 juin</w:t>
      </w:r>
    </w:p>
  </w:footnote>
  <w:footnote w:id="15">
    <w:p w14:paraId="222BC76E" w14:textId="77777777" w:rsidR="00D060B8" w:rsidRPr="00535BBB" w:rsidRDefault="00D060B8" w:rsidP="000C06F8">
      <w:pPr>
        <w:pStyle w:val="Titre2"/>
        <w:spacing w:before="0" w:after="0" w:line="240" w:lineRule="auto"/>
        <w:jc w:val="both"/>
        <w:rPr>
          <w:rFonts w:ascii="Century Gothic" w:hAnsi="Century Gothic"/>
          <w:sz w:val="16"/>
          <w:szCs w:val="16"/>
        </w:rPr>
      </w:pPr>
      <w:r w:rsidRPr="00535BBB">
        <w:rPr>
          <w:rStyle w:val="Marquenotebasdepage"/>
          <w:rFonts w:ascii="Century Gothic" w:hAnsi="Century Gothic"/>
          <w:sz w:val="16"/>
          <w:szCs w:val="16"/>
        </w:rPr>
        <w:footnoteRef/>
      </w:r>
      <w:r w:rsidRPr="00535BBB">
        <w:rPr>
          <w:rFonts w:ascii="Century Gothic" w:hAnsi="Century Gothic"/>
          <w:b w:val="0"/>
          <w:i w:val="0"/>
          <w:sz w:val="16"/>
          <w:szCs w:val="16"/>
        </w:rPr>
        <w:t>Cf. l’article du journal Le Reporter</w:t>
      </w:r>
      <w:r w:rsidRPr="00535BBB">
        <w:rPr>
          <w:rFonts w:ascii="Century Gothic" w:hAnsi="Century Gothic"/>
          <w:sz w:val="16"/>
          <w:szCs w:val="16"/>
        </w:rPr>
        <w:t>« </w:t>
      </w:r>
      <w:proofErr w:type="spellStart"/>
      <w:r w:rsidRPr="00535BBB">
        <w:rPr>
          <w:rFonts w:ascii="Century Gothic" w:hAnsi="Century Gothic"/>
          <w:sz w:val="16"/>
          <w:szCs w:val="16"/>
        </w:rPr>
        <w:t>Yacouba</w:t>
      </w:r>
      <w:proofErr w:type="spellEnd"/>
      <w:r w:rsidRPr="00535BBB">
        <w:rPr>
          <w:rFonts w:ascii="Century Gothic" w:hAnsi="Century Gothic"/>
          <w:sz w:val="16"/>
          <w:szCs w:val="16"/>
        </w:rPr>
        <w:t xml:space="preserve"> Isaac </w:t>
      </w:r>
      <w:proofErr w:type="spellStart"/>
      <w:r w:rsidRPr="00535BBB">
        <w:rPr>
          <w:rFonts w:ascii="Century Gothic" w:hAnsi="Century Gothic"/>
          <w:sz w:val="16"/>
          <w:szCs w:val="16"/>
        </w:rPr>
        <w:t>Zida</w:t>
      </w:r>
      <w:proofErr w:type="spellEnd"/>
      <w:r w:rsidRPr="00535BBB">
        <w:rPr>
          <w:rFonts w:ascii="Century Gothic" w:hAnsi="Century Gothic"/>
          <w:sz w:val="16"/>
          <w:szCs w:val="16"/>
        </w:rPr>
        <w:t xml:space="preserve"> et la justice » par Y. </w:t>
      </w:r>
      <w:proofErr w:type="spellStart"/>
      <w:r w:rsidRPr="00535BBB">
        <w:rPr>
          <w:rFonts w:ascii="Century Gothic" w:hAnsi="Century Gothic"/>
          <w:sz w:val="16"/>
          <w:szCs w:val="16"/>
        </w:rPr>
        <w:t>Ladji</w:t>
      </w:r>
      <w:proofErr w:type="spellEnd"/>
      <w:r w:rsidRPr="00535BBB">
        <w:rPr>
          <w:rFonts w:ascii="Century Gothic" w:hAnsi="Century Gothic"/>
          <w:sz w:val="16"/>
          <w:szCs w:val="16"/>
        </w:rPr>
        <w:t xml:space="preserve"> </w:t>
      </w:r>
      <w:proofErr w:type="spellStart"/>
      <w:r w:rsidRPr="00535BBB">
        <w:rPr>
          <w:rFonts w:ascii="Century Gothic" w:hAnsi="Century Gothic"/>
          <w:sz w:val="16"/>
          <w:szCs w:val="16"/>
        </w:rPr>
        <w:t>Bama</w:t>
      </w:r>
      <w:proofErr w:type="spellEnd"/>
      <w:r w:rsidRPr="00535BBB">
        <w:rPr>
          <w:rFonts w:ascii="Century Gothic" w:hAnsi="Century Gothic"/>
          <w:sz w:val="16"/>
          <w:szCs w:val="16"/>
        </w:rPr>
        <w:t xml:space="preserve">.  </w:t>
      </w:r>
      <w:hyperlink r:id="rId2" w:history="1">
        <w:r w:rsidRPr="00535BBB">
          <w:rPr>
            <w:rStyle w:val="Lienhypertexte"/>
            <w:rFonts w:ascii="Century Gothic" w:hAnsi="Century Gothic"/>
            <w:b w:val="0"/>
            <w:i w:val="0"/>
            <w:sz w:val="16"/>
            <w:szCs w:val="16"/>
          </w:rPr>
          <w:t>http://www.reporterbf.net/index.php/onde-de-choc/item/490-yacouba-isaac-zida-et-la-justice</w:t>
        </w:r>
      </w:hyperlink>
    </w:p>
  </w:footnote>
  <w:footnote w:id="16">
    <w:p w14:paraId="048E8887" w14:textId="77777777" w:rsidR="00D060B8" w:rsidRPr="00535BBB" w:rsidRDefault="00D060B8" w:rsidP="000C06F8">
      <w:pPr>
        <w:spacing w:after="0"/>
        <w:contextualSpacing/>
        <w:jc w:val="both"/>
        <w:rPr>
          <w:rFonts w:ascii="Century Gothic" w:hAnsi="Century Gothic"/>
          <w:sz w:val="16"/>
          <w:szCs w:val="16"/>
        </w:rPr>
      </w:pPr>
      <w:r w:rsidRPr="00535BBB">
        <w:rPr>
          <w:rStyle w:val="Marquenotebasdepage"/>
          <w:rFonts w:ascii="Century Gothic" w:hAnsi="Century Gothic"/>
          <w:sz w:val="16"/>
          <w:szCs w:val="16"/>
        </w:rPr>
        <w:footnoteRef/>
      </w:r>
      <w:r w:rsidRPr="00535BBB">
        <w:rPr>
          <w:rFonts w:ascii="Century Gothic" w:hAnsi="Century Gothic"/>
          <w:sz w:val="16"/>
          <w:szCs w:val="16"/>
        </w:rPr>
        <w:t xml:space="preserve"> D’autres affaires impliquant des citoyens révèlent le délitement de l’autorité de l’État et la difficulté à faire aboutir les processus judiciaires comme l’illustre l’affaire EDYF/WP dans laquelle un citoyen a séquestré et exercé des violences sur des agents et inspecteurs de travail (dans l’exercice de leurs fonctions) partis lui remettre une convocation des prud’hommes.</w:t>
      </w:r>
    </w:p>
  </w:footnote>
  <w:footnote w:id="17">
    <w:p w14:paraId="6B18540B" w14:textId="77777777" w:rsidR="00D060B8" w:rsidRPr="00535BBB" w:rsidRDefault="00D060B8">
      <w:pPr>
        <w:pStyle w:val="Notedebasdepage"/>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Cf. rapport du MBDHP relatifs aux violations des droits de l’homme.</w:t>
      </w:r>
    </w:p>
  </w:footnote>
  <w:footnote w:id="18">
    <w:p w14:paraId="1F5D2242" w14:textId="77777777" w:rsidR="00D060B8" w:rsidRPr="00535BBB" w:rsidRDefault="00D060B8">
      <w:pPr>
        <w:pStyle w:val="Notedebasdepage"/>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Art. 168 </w:t>
      </w:r>
      <w:proofErr w:type="gramStart"/>
      <w:r w:rsidRPr="00535BBB">
        <w:rPr>
          <w:rFonts w:ascii="Century Gothic" w:hAnsi="Century Gothic"/>
          <w:sz w:val="16"/>
          <w:szCs w:val="16"/>
          <w:lang w:val="fr-FR"/>
        </w:rPr>
        <w:t>nouveau</w:t>
      </w:r>
      <w:proofErr w:type="gramEnd"/>
      <w:r w:rsidRPr="00535BBB">
        <w:rPr>
          <w:rFonts w:ascii="Century Gothic" w:hAnsi="Century Gothic"/>
          <w:sz w:val="16"/>
          <w:szCs w:val="16"/>
          <w:lang w:val="fr-FR"/>
        </w:rPr>
        <w:t xml:space="preserve"> de la Constitution</w:t>
      </w:r>
    </w:p>
  </w:footnote>
  <w:footnote w:id="19">
    <w:p w14:paraId="4368F413" w14:textId="40FDDCBF" w:rsidR="00D060B8" w:rsidRPr="00990089" w:rsidRDefault="00D060B8">
      <w:pPr>
        <w:pStyle w:val="Notedebasdepage"/>
        <w:rPr>
          <w:lang w:val="fr-FR"/>
        </w:rPr>
      </w:pPr>
      <w:r>
        <w:rPr>
          <w:rStyle w:val="Marquenotebasdepage"/>
        </w:rPr>
        <w:footnoteRef/>
      </w:r>
      <w:r>
        <w:t xml:space="preserve"> </w:t>
      </w:r>
      <w:r>
        <w:t>Comité des droits de l’homme, Observations finales – Espagne, 114ème session, juillet 2015.</w:t>
      </w:r>
    </w:p>
  </w:footnote>
  <w:footnote w:id="20">
    <w:p w14:paraId="100A5D61" w14:textId="77777777" w:rsidR="00D060B8" w:rsidRDefault="00D060B8" w:rsidP="00CC7B45">
      <w:pPr>
        <w:pStyle w:val="Commentaire"/>
      </w:pPr>
      <w:r>
        <w:rPr>
          <w:rStyle w:val="Marquenotebasdepage"/>
        </w:rPr>
        <w:footnoteRef/>
      </w:r>
      <w:r>
        <w:t xml:space="preserve">  Le Pacte national qui a été adopté à l’issue des états généraux contient des dispositions très en phase avec le besoin d’indépendance de la justice, la lutte contre l’impunité et bien d’autres aspects relatifs à l’accessibilité des justiciables à la justice. Malheureusement, ce pacte n’a aucune valeur juridique sur le plan national et pour qu’il puisse produire les effets souhaités, il nécessite l’adoption de lois pour régler définitivement les points d’accord. </w:t>
      </w:r>
    </w:p>
    <w:p w14:paraId="78AD1AFE" w14:textId="77777777" w:rsidR="00D060B8" w:rsidRPr="00CC7B45" w:rsidRDefault="00D060B8">
      <w:pPr>
        <w:pStyle w:val="Notedebasdepage"/>
        <w:rPr>
          <w:lang w:val="fr-FR"/>
        </w:rPr>
      </w:pPr>
    </w:p>
  </w:footnote>
  <w:footnote w:id="21">
    <w:p w14:paraId="23F16A6D" w14:textId="77777777" w:rsidR="00D060B8" w:rsidRPr="00535BBB" w:rsidRDefault="00D060B8" w:rsidP="001B2451">
      <w:pPr>
        <w:spacing w:after="0" w:line="240" w:lineRule="auto"/>
        <w:jc w:val="both"/>
        <w:rPr>
          <w:rFonts w:ascii="Century Gothic" w:hAnsi="Century Gothic"/>
          <w:sz w:val="16"/>
          <w:szCs w:val="16"/>
        </w:rPr>
      </w:pPr>
      <w:r w:rsidRPr="00535BBB">
        <w:rPr>
          <w:rStyle w:val="Marquenotebasdepage"/>
          <w:rFonts w:ascii="Century Gothic" w:hAnsi="Century Gothic"/>
          <w:sz w:val="16"/>
          <w:szCs w:val="16"/>
        </w:rPr>
        <w:footnoteRef/>
      </w:r>
      <w:r w:rsidRPr="00535BBB">
        <w:rPr>
          <w:rFonts w:ascii="Century Gothic" w:hAnsi="Century Gothic"/>
          <w:sz w:val="16"/>
          <w:szCs w:val="16"/>
        </w:rPr>
        <w:t xml:space="preserve"> « </w:t>
      </w:r>
      <w:r w:rsidRPr="00535BBB">
        <w:rPr>
          <w:rFonts w:ascii="Century Gothic" w:hAnsi="Century Gothic"/>
          <w:i/>
          <w:sz w:val="16"/>
          <w:szCs w:val="16"/>
        </w:rPr>
        <w:t>L'indépendance de la magistrature se trouve placée au cœur de l'indépendance du pouvoir judiciaire. Les garanties conférées aux magistrats du siège par leur statut renforcé est de nature à garantir aux citoyens l’impartialité de leurs décisions. C’est pour cela que la Constitution garantit l’inamovibilité des magistrats du siège ce qui signifie que le juge ne peut être déplacé de ses fonctions, même en avancement, sans son consentement. Surtout, sous réserve de l'exercice du pouvoir disciplinaire, les magistrats ne peuvent être inquiétés en aucune manière, en raison des actes qu'ils accomplissent dans l'exercice de leurs fonctions ou à l'occasion de cet exercice. Ainsi le statut de la magistrature affirme qu'aucun compte ne peut être demandé aux juges des décisions qu'ils rendent ou auxquelles ils participent</w:t>
      </w:r>
      <w:r w:rsidRPr="00535BBB">
        <w:rPr>
          <w:rFonts w:ascii="Century Gothic" w:hAnsi="Century Gothic"/>
          <w:sz w:val="16"/>
          <w:szCs w:val="16"/>
        </w:rPr>
        <w:t> » extrait du Rapport synthèse des états généraux de la justice</w:t>
      </w:r>
    </w:p>
  </w:footnote>
  <w:footnote w:id="22">
    <w:p w14:paraId="7F8C9DA7" w14:textId="77777777" w:rsidR="00D060B8" w:rsidRPr="00535BBB" w:rsidRDefault="00D060B8" w:rsidP="009A3BF5">
      <w:pPr>
        <w:pStyle w:val="Notedebasdepage"/>
        <w:jc w:val="both"/>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KAMBOU </w:t>
      </w:r>
      <w:proofErr w:type="spellStart"/>
      <w:r w:rsidRPr="00535BBB">
        <w:rPr>
          <w:rFonts w:ascii="Century Gothic" w:hAnsi="Century Gothic"/>
          <w:sz w:val="16"/>
          <w:szCs w:val="16"/>
          <w:lang w:val="fr-FR"/>
        </w:rPr>
        <w:t>Kassoum</w:t>
      </w:r>
      <w:proofErr w:type="spellEnd"/>
      <w:r w:rsidRPr="00535BBB">
        <w:rPr>
          <w:rFonts w:ascii="Century Gothic" w:hAnsi="Century Gothic"/>
          <w:sz w:val="16"/>
          <w:szCs w:val="16"/>
          <w:lang w:val="fr-FR"/>
        </w:rPr>
        <w:t xml:space="preserve">, Le Conseil Supérieur de la Magistrature (CSM) au Burkina Faso </w:t>
      </w:r>
      <w:hyperlink r:id="rId3" w:history="1">
        <w:r w:rsidRPr="00535BBB">
          <w:rPr>
            <w:rStyle w:val="Lienhypertexte"/>
            <w:rFonts w:ascii="Century Gothic" w:hAnsi="Century Gothic"/>
            <w:sz w:val="16"/>
            <w:szCs w:val="16"/>
            <w:lang w:val="fr-FR"/>
          </w:rPr>
          <w:t>http://www.cour-cassation.gov.bf/files/LE_CONSEIL_SUPERIEUR_DE_LA_MAGISTRATURE.pdf</w:t>
        </w:r>
      </w:hyperlink>
    </w:p>
  </w:footnote>
  <w:footnote w:id="23">
    <w:p w14:paraId="50890980" w14:textId="77777777" w:rsidR="00D060B8" w:rsidRPr="00535BBB" w:rsidRDefault="00D060B8" w:rsidP="009A3BF5">
      <w:pPr>
        <w:autoSpaceDE w:val="0"/>
        <w:autoSpaceDN w:val="0"/>
        <w:adjustRightInd w:val="0"/>
        <w:spacing w:after="0" w:line="240" w:lineRule="auto"/>
        <w:jc w:val="both"/>
        <w:rPr>
          <w:rFonts w:ascii="Century Gothic" w:hAnsi="Century Gothic"/>
          <w:sz w:val="16"/>
          <w:szCs w:val="16"/>
          <w:lang w:eastAsia="fr-FR"/>
        </w:rPr>
      </w:pPr>
      <w:r w:rsidRPr="00535BBB">
        <w:rPr>
          <w:rStyle w:val="Marquenotebasdepage"/>
          <w:rFonts w:ascii="Century Gothic" w:hAnsi="Century Gothic"/>
          <w:sz w:val="16"/>
          <w:szCs w:val="16"/>
        </w:rPr>
        <w:footnoteRef/>
      </w:r>
      <w:r w:rsidRPr="00535BBB">
        <w:rPr>
          <w:rFonts w:ascii="Century Gothic" w:hAnsi="Century Gothic"/>
          <w:sz w:val="16"/>
          <w:szCs w:val="16"/>
          <w:lang w:eastAsia="fr-FR"/>
        </w:rPr>
        <w:t>Les magistrats du siège ne sont soumis dans l'exercice de leurs fonctions qu'à l'autorité de la loi. Ils sont inamovibles.</w:t>
      </w:r>
    </w:p>
  </w:footnote>
  <w:footnote w:id="24">
    <w:p w14:paraId="343E5AD4" w14:textId="77777777" w:rsidR="00D060B8" w:rsidRPr="00535BBB" w:rsidRDefault="00D060B8" w:rsidP="009A3BF5">
      <w:pPr>
        <w:pStyle w:val="Notedebasdepage"/>
        <w:jc w:val="both"/>
        <w:rPr>
          <w:rFonts w:ascii="Century Gothic" w:hAnsi="Century Gothic"/>
          <w:sz w:val="16"/>
          <w:szCs w:val="16"/>
          <w:lang w:val="fr-FR"/>
        </w:rPr>
      </w:pPr>
      <w:r w:rsidRPr="00535BBB">
        <w:rPr>
          <w:rStyle w:val="Marquenotebasdepage"/>
          <w:rFonts w:ascii="Century Gothic" w:hAnsi="Century Gothic"/>
          <w:sz w:val="16"/>
          <w:szCs w:val="16"/>
        </w:rPr>
        <w:footnoteRef/>
      </w:r>
      <w:r w:rsidRPr="00535BBB">
        <w:rPr>
          <w:rFonts w:ascii="Century Gothic" w:hAnsi="Century Gothic"/>
          <w:sz w:val="16"/>
          <w:szCs w:val="16"/>
          <w:lang w:val="fr-FR"/>
        </w:rPr>
        <w:t xml:space="preserve"> Dans sa prestation de serment lors de sa prise de fonction, il jure devant le Conseil constitutionnel, conformément à l’article 131 de la Constitution de « tout mettre en œuvre pour garantir la justice à tous les habitants du Burkina Faso ».</w:t>
      </w:r>
    </w:p>
  </w:footnote>
  <w:footnote w:id="25">
    <w:p w14:paraId="572F3CFF" w14:textId="77777777" w:rsidR="00D060B8" w:rsidRPr="007E0CA1" w:rsidRDefault="00D060B8" w:rsidP="009A3BF5">
      <w:pPr>
        <w:pStyle w:val="Notedebasdepage"/>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Me Guy Hervé Kam est un ancien magistrat et ancien Secrétaire Général du Syndicat autonome des magistrats du Burkina (SAMAB)</w:t>
      </w:r>
    </w:p>
  </w:footnote>
  <w:footnote w:id="26">
    <w:p w14:paraId="4A43F580" w14:textId="77777777" w:rsidR="00D060B8" w:rsidRPr="007E0CA1" w:rsidRDefault="00D060B8" w:rsidP="00C2204F">
      <w:pPr>
        <w:pStyle w:val="Notedebasdepage"/>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Propos d’Antoine </w:t>
      </w:r>
      <w:proofErr w:type="spellStart"/>
      <w:r w:rsidRPr="007E0CA1">
        <w:rPr>
          <w:rFonts w:ascii="Times New Roman" w:hAnsi="Times New Roman"/>
          <w:sz w:val="18"/>
          <w:szCs w:val="18"/>
          <w:lang w:val="fr-FR"/>
        </w:rPr>
        <w:t>Kaboré</w:t>
      </w:r>
      <w:proofErr w:type="spellEnd"/>
      <w:r w:rsidRPr="007E0CA1">
        <w:rPr>
          <w:rFonts w:ascii="Times New Roman" w:hAnsi="Times New Roman"/>
          <w:sz w:val="18"/>
          <w:szCs w:val="18"/>
          <w:lang w:val="fr-FR"/>
        </w:rPr>
        <w:t xml:space="preserve">, Secrétaire Général du SAMAB </w:t>
      </w:r>
      <w:hyperlink r:id="rId4" w:history="1">
        <w:r w:rsidRPr="007E0CA1">
          <w:rPr>
            <w:rStyle w:val="Lienhypertexte"/>
            <w:rFonts w:ascii="Times New Roman" w:hAnsi="Times New Roman"/>
            <w:sz w:val="18"/>
            <w:szCs w:val="18"/>
            <w:lang w:val="fr-FR"/>
          </w:rPr>
          <w:t>http://www.lefaso.net/spip.php?article65561</w:t>
        </w:r>
      </w:hyperlink>
    </w:p>
  </w:footnote>
  <w:footnote w:id="27">
    <w:p w14:paraId="2C2E1ACD" w14:textId="77777777" w:rsidR="00D060B8" w:rsidRPr="007E0CA1" w:rsidRDefault="00D060B8">
      <w:pPr>
        <w:pStyle w:val="Notedebasdepage"/>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Des extraits de ce rapport traitant de la question sont disponibles en encadré et en annexe.</w:t>
      </w:r>
    </w:p>
  </w:footnote>
  <w:footnote w:id="28">
    <w:p w14:paraId="7FC6E224" w14:textId="77777777" w:rsidR="00D060B8" w:rsidRPr="00BF1B3C" w:rsidRDefault="00D060B8" w:rsidP="003C17D2">
      <w:pPr>
        <w:pStyle w:val="Notedebasdepage"/>
        <w:rPr>
          <w:rFonts w:ascii="Times New Roman" w:hAnsi="Times New Roman"/>
          <w:sz w:val="18"/>
          <w:szCs w:val="18"/>
        </w:rPr>
      </w:pPr>
      <w:r>
        <w:rPr>
          <w:rStyle w:val="Marquenotebasdepage"/>
        </w:rPr>
        <w:footnoteRef/>
      </w:r>
      <w:r>
        <w:t xml:space="preserve">  </w:t>
      </w:r>
      <w:r w:rsidRPr="00BF1B3C">
        <w:rPr>
          <w:rFonts w:ascii="Times New Roman" w:hAnsi="Times New Roman"/>
          <w:sz w:val="18"/>
          <w:szCs w:val="18"/>
        </w:rPr>
        <w:t>Contribution écrite FIACAT – ACAT Burkina Faso, HRC 10</w:t>
      </w:r>
    </w:p>
  </w:footnote>
  <w:footnote w:id="29">
    <w:p w14:paraId="0BDE7DB6" w14:textId="77777777" w:rsidR="00D060B8" w:rsidRPr="007E0CA1" w:rsidRDefault="00D060B8">
      <w:pPr>
        <w:pStyle w:val="Notedebasdepage"/>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Code de procédure pénale</w:t>
      </w:r>
    </w:p>
  </w:footnote>
  <w:footnote w:id="30">
    <w:p w14:paraId="718961B1" w14:textId="77777777" w:rsidR="00D060B8" w:rsidRPr="001536C0" w:rsidRDefault="00D060B8">
      <w:pPr>
        <w:pStyle w:val="Notedebasdepage"/>
        <w:rPr>
          <w:rFonts w:ascii="Times New Roman" w:hAnsi="Times New Roman"/>
          <w:sz w:val="18"/>
          <w:szCs w:val="18"/>
          <w:lang w:val="fr-FR"/>
        </w:rPr>
      </w:pPr>
      <w:r>
        <w:rPr>
          <w:rStyle w:val="Marquenotebasdepage"/>
        </w:rPr>
        <w:footnoteRef/>
      </w:r>
      <w:r>
        <w:t xml:space="preserve"> </w:t>
      </w:r>
      <w:hyperlink r:id="rId5" w:history="1">
        <w:r w:rsidRPr="001536C0">
          <w:rPr>
            <w:rFonts w:ascii="Times New Roman" w:hAnsi="Times New Roman"/>
            <w:sz w:val="18"/>
            <w:szCs w:val="18"/>
          </w:rPr>
          <w:t>http://www.notretempsbf.com/m-1528-humanisation-des-prisons-au-burkina-faso-le-departement-de-la-justice-et-ses-partenaires-se-penchent-sur-la-question-a-tenkodogo.html</w:t>
        </w:r>
      </w:hyperlink>
      <w:r w:rsidRPr="001536C0">
        <w:rPr>
          <w:rFonts w:ascii="Times New Roman" w:hAnsi="Times New Roman"/>
          <w:sz w:val="18"/>
          <w:szCs w:val="18"/>
          <w:lang w:val="fr-FR"/>
        </w:rPr>
        <w:t xml:space="preserve"> </w:t>
      </w:r>
    </w:p>
  </w:footnote>
  <w:footnote w:id="31">
    <w:p w14:paraId="3E75B471" w14:textId="77777777" w:rsidR="00D060B8" w:rsidRPr="004F68BB" w:rsidRDefault="00D060B8" w:rsidP="004F68BB">
      <w:pPr>
        <w:pStyle w:val="Notedebasdepage"/>
        <w:rPr>
          <w:rStyle w:val="Lienhypertexte"/>
          <w:sz w:val="18"/>
          <w:lang w:val="fr-FR"/>
        </w:rPr>
      </w:pPr>
      <w:r w:rsidRPr="004F68BB">
        <w:rPr>
          <w:rStyle w:val="Lienhypertexte"/>
          <w:sz w:val="18"/>
          <w:lang w:val="fr-FR"/>
        </w:rPr>
        <w:footnoteRef/>
      </w:r>
      <w:r w:rsidRPr="004F68BB">
        <w:rPr>
          <w:rStyle w:val="Lienhypertexte"/>
          <w:sz w:val="18"/>
          <w:lang w:val="fr-FR"/>
        </w:rPr>
        <w:t xml:space="preserve"> </w:t>
      </w:r>
      <w:r w:rsidRPr="004F68BB">
        <w:rPr>
          <w:rStyle w:val="Lienhypertexte"/>
          <w:sz w:val="18"/>
        </w:rPr>
        <w:t xml:space="preserve"> </w:t>
      </w:r>
      <w:hyperlink r:id="rId6" w:history="1">
        <w:r w:rsidRPr="00864961">
          <w:rPr>
            <w:rStyle w:val="Lienhypertexte"/>
            <w:sz w:val="18"/>
            <w:lang w:val="fr-FR"/>
          </w:rPr>
          <w:t>http://french.burkinafaso.usembassy.gov/media/bf-fre-hrr.pdf</w:t>
        </w:r>
      </w:hyperlink>
      <w:r w:rsidRPr="004F68BB">
        <w:rPr>
          <w:rStyle w:val="Lienhypertexte"/>
          <w:sz w:val="18"/>
          <w:lang w:val="fr-FR"/>
        </w:rPr>
        <w:t>, page 2</w:t>
      </w:r>
    </w:p>
    <w:p w14:paraId="449837AE" w14:textId="77777777" w:rsidR="00D060B8" w:rsidRPr="004F68BB" w:rsidRDefault="00D060B8">
      <w:pPr>
        <w:pStyle w:val="Notedebasdepage"/>
        <w:rPr>
          <w:lang w:val="fr-FR"/>
        </w:rPr>
      </w:pPr>
    </w:p>
  </w:footnote>
  <w:footnote w:id="32">
    <w:p w14:paraId="1E9CE5E1" w14:textId="77777777" w:rsidR="00D060B8" w:rsidRPr="007E0CA1" w:rsidRDefault="00D060B8" w:rsidP="006C1678">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Il n’y a que 24 juridictions de droit commun dans tout le pays. Les tribunaux départementaux qui ne sont pas animés par des magistrats professionnels sont beaucoup plus nombreux mais ont des compétences limitées</w:t>
      </w:r>
    </w:p>
  </w:footnote>
  <w:footnote w:id="33">
    <w:p w14:paraId="042BB026" w14:textId="77777777" w:rsidR="00D060B8" w:rsidRPr="007E0CA1" w:rsidRDefault="00D060B8" w:rsidP="006C1678">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L’inaccessibilité s’avère être aussi financière. La justice a un cout qui peut s’avérer très important si l’on veut avoir recours à un avocat pour se défendre ou à un huissier pour faire exécuter une décision. Annoncé depuis plusieurs années le Fonds d’assistance judiciaire n’est toujours pas opérationnel et les populations les plus vulnérables ne peuvent donc pas accéder à la justice. »</w:t>
      </w:r>
    </w:p>
  </w:footnote>
  <w:footnote w:id="34">
    <w:p w14:paraId="1B115941" w14:textId="77777777" w:rsidR="00D060B8" w:rsidRPr="00D8286B" w:rsidRDefault="00D060B8">
      <w:pPr>
        <w:pStyle w:val="Notedebasdepage"/>
        <w:rPr>
          <w:rFonts w:ascii="Times New Roman" w:hAnsi="Times New Roman"/>
          <w:sz w:val="18"/>
          <w:szCs w:val="18"/>
          <w:lang w:val="fr-FR"/>
        </w:rPr>
      </w:pPr>
      <w:r w:rsidRPr="00D8286B">
        <w:rPr>
          <w:rFonts w:ascii="Times New Roman" w:hAnsi="Times New Roman"/>
          <w:sz w:val="18"/>
          <w:szCs w:val="18"/>
          <w:lang w:val="fr-FR"/>
        </w:rPr>
        <w:footnoteRef/>
      </w:r>
      <w:r w:rsidRPr="00D8286B">
        <w:rPr>
          <w:rFonts w:ascii="Times New Roman" w:hAnsi="Times New Roman"/>
          <w:sz w:val="18"/>
          <w:szCs w:val="18"/>
          <w:lang w:val="fr-FR"/>
        </w:rPr>
        <w:t xml:space="preserve">  http </w:t>
      </w:r>
      <w:proofErr w:type="gramStart"/>
      <w:r w:rsidRPr="00D8286B">
        <w:rPr>
          <w:rFonts w:ascii="Times New Roman" w:hAnsi="Times New Roman"/>
          <w:sz w:val="18"/>
          <w:szCs w:val="18"/>
          <w:lang w:val="fr-FR"/>
        </w:rPr>
        <w:t>:/</w:t>
      </w:r>
      <w:proofErr w:type="gramEnd"/>
      <w:r w:rsidRPr="00D8286B">
        <w:rPr>
          <w:rFonts w:ascii="Times New Roman" w:hAnsi="Times New Roman"/>
          <w:sz w:val="18"/>
          <w:szCs w:val="18"/>
          <w:lang w:val="fr-FR"/>
        </w:rPr>
        <w:t>/www.sidwaya.bf/index.php ?l_nr=index.php&amp;l_nr_c=aeb764a6a854dd20beb97ec048c4ac14&amp;l_idpa=2797</w:t>
      </w:r>
    </w:p>
  </w:footnote>
  <w:footnote w:id="35">
    <w:p w14:paraId="0399D5FA" w14:textId="77777777" w:rsidR="00D060B8" w:rsidRPr="00BD4EBC" w:rsidRDefault="00D060B8">
      <w:pPr>
        <w:pStyle w:val="Notedebasdepage"/>
        <w:rPr>
          <w:rStyle w:val="Marquenotebasdepage"/>
          <w:rFonts w:ascii="Times New Roman" w:hAnsi="Times New Roman"/>
          <w:sz w:val="18"/>
          <w:szCs w:val="18"/>
        </w:rPr>
      </w:pPr>
      <w:r w:rsidRPr="00BD4EBC">
        <w:rPr>
          <w:rStyle w:val="Marquenotebasdepage"/>
          <w:rFonts w:ascii="Times New Roman" w:hAnsi="Times New Roman"/>
          <w:sz w:val="18"/>
          <w:szCs w:val="18"/>
        </w:rPr>
        <w:footnoteRef/>
      </w:r>
      <w:r w:rsidRPr="00BD4EBC">
        <w:rPr>
          <w:rStyle w:val="Marquenotebasdepage"/>
          <w:rFonts w:ascii="Times New Roman" w:hAnsi="Times New Roman"/>
          <w:sz w:val="18"/>
          <w:szCs w:val="18"/>
        </w:rPr>
        <w:t xml:space="preserve">  </w:t>
      </w:r>
      <w:r w:rsidRPr="00BD4EBC">
        <w:rPr>
          <w:rFonts w:ascii="Times New Roman" w:hAnsi="Times New Roman"/>
          <w:sz w:val="18"/>
          <w:lang w:val="fr-FR"/>
        </w:rPr>
        <w:t>Article 2, alinéa 1</w:t>
      </w:r>
      <w:r>
        <w:rPr>
          <w:rFonts w:ascii="Times New Roman" w:hAnsi="Times New Roman"/>
          <w:sz w:val="18"/>
          <w:lang w:val="fr-FR"/>
        </w:rPr>
        <w:t xml:space="preserve">de la constitution </w:t>
      </w:r>
      <w:r w:rsidRPr="00BD4EBC">
        <w:rPr>
          <w:rFonts w:ascii="Times New Roman" w:hAnsi="Times New Roman"/>
          <w:sz w:val="18"/>
          <w:lang w:val="fr-FR"/>
        </w:rPr>
        <w:t xml:space="preserve"> « La protection de la vie, la sûreté et l’intégrité physique sont garanties. »</w:t>
      </w:r>
    </w:p>
  </w:footnote>
  <w:footnote w:id="36">
    <w:p w14:paraId="3FB2969C" w14:textId="77777777" w:rsidR="00D060B8" w:rsidRPr="00F81B4C" w:rsidRDefault="00D060B8" w:rsidP="00F81B4C">
      <w:pPr>
        <w:rPr>
          <w:rFonts w:ascii="Times New Roman" w:hAnsi="Times New Roman"/>
          <w:sz w:val="16"/>
        </w:rPr>
      </w:pPr>
      <w:r>
        <w:rPr>
          <w:rStyle w:val="Marquenotebasdepage"/>
        </w:rPr>
        <w:footnoteRef/>
      </w:r>
      <w:r>
        <w:t xml:space="preserve">  </w:t>
      </w:r>
      <w:r w:rsidRPr="00F81B4C">
        <w:rPr>
          <w:rFonts w:ascii="Times New Roman" w:hAnsi="Times New Roman"/>
          <w:sz w:val="18"/>
        </w:rPr>
        <w:t>Article 2, alinéa 2 de la constitution «</w:t>
      </w:r>
      <w:r>
        <w:t> </w:t>
      </w:r>
      <w:r w:rsidRPr="00FA119A">
        <w:rPr>
          <w:rFonts w:ascii="Times New Roman" w:hAnsi="Times New Roman"/>
          <w:sz w:val="18"/>
          <w:szCs w:val="23"/>
        </w:rPr>
        <w:t>Sont interdits et punis par la loi, l’esclavage, les pratiques esclavagistes, les traitements inhumains et cruels, dégradants et humiliants, la torture physique ou morale, les sévices et les mauvais traitements infligés aux enfants et toutes les formes d’avilissement de l’homme.</w:t>
      </w:r>
      <w:r>
        <w:rPr>
          <w:rFonts w:ascii="Times New Roman" w:hAnsi="Times New Roman"/>
          <w:sz w:val="18"/>
          <w:szCs w:val="23"/>
        </w:rPr>
        <w:t> »</w:t>
      </w:r>
    </w:p>
  </w:footnote>
  <w:footnote w:id="37">
    <w:p w14:paraId="4148C0C1" w14:textId="77777777" w:rsidR="00D060B8" w:rsidRDefault="00D060B8" w:rsidP="00C957C2">
      <w:pPr>
        <w:autoSpaceDE w:val="0"/>
        <w:autoSpaceDN w:val="0"/>
        <w:adjustRightInd w:val="0"/>
        <w:spacing w:after="0" w:line="240" w:lineRule="auto"/>
        <w:jc w:val="both"/>
        <w:rPr>
          <w:rFonts w:ascii="Times New Roman" w:hAnsi="Times New Roman"/>
          <w:sz w:val="18"/>
          <w:szCs w:val="18"/>
          <w:lang w:eastAsia="fr-FR"/>
        </w:rPr>
      </w:pPr>
      <w:r>
        <w:rPr>
          <w:rStyle w:val="Marquenotebasdepage"/>
        </w:rPr>
        <w:footnoteRef/>
      </w:r>
      <w:r w:rsidRPr="00AC3470">
        <w:rPr>
          <w:rFonts w:ascii="Times New Roman" w:hAnsi="Times New Roman"/>
          <w:sz w:val="18"/>
          <w:szCs w:val="18"/>
        </w:rPr>
        <w:t>« </w:t>
      </w:r>
      <w:r w:rsidRPr="00AC3470">
        <w:rPr>
          <w:rFonts w:ascii="Times New Roman" w:hAnsi="Times New Roman"/>
          <w:b/>
          <w:bCs/>
          <w:sz w:val="18"/>
          <w:szCs w:val="18"/>
          <w:lang w:eastAsia="fr-FR"/>
        </w:rPr>
        <w:t xml:space="preserve">Burkina Faso : avec ou sans Compaoré, le temps des incertitudes » </w:t>
      </w:r>
      <w:r w:rsidRPr="00AC3470">
        <w:rPr>
          <w:rFonts w:ascii="Times New Roman" w:hAnsi="Times New Roman"/>
          <w:sz w:val="18"/>
          <w:szCs w:val="18"/>
          <w:lang w:eastAsia="fr-FR"/>
        </w:rPr>
        <w:t xml:space="preserve">Rapport Afrique de </w:t>
      </w:r>
      <w:proofErr w:type="spellStart"/>
      <w:r w:rsidRPr="00AC3470">
        <w:rPr>
          <w:rFonts w:ascii="Times New Roman" w:hAnsi="Times New Roman"/>
          <w:sz w:val="18"/>
          <w:szCs w:val="18"/>
          <w:lang w:eastAsia="fr-FR"/>
        </w:rPr>
        <w:t>Crisis</w:t>
      </w:r>
      <w:proofErr w:type="spellEnd"/>
      <w:r w:rsidRPr="00AC3470">
        <w:rPr>
          <w:rFonts w:ascii="Times New Roman" w:hAnsi="Times New Roman"/>
          <w:sz w:val="18"/>
          <w:szCs w:val="18"/>
          <w:lang w:eastAsia="fr-FR"/>
        </w:rPr>
        <w:t xml:space="preserve"> Group N°205, 22 juillet 2013</w:t>
      </w:r>
    </w:p>
    <w:p w14:paraId="1F177D0A" w14:textId="77777777" w:rsidR="00D060B8" w:rsidRPr="00AC3470" w:rsidRDefault="00D060B8" w:rsidP="00C957C2">
      <w:pPr>
        <w:autoSpaceDE w:val="0"/>
        <w:autoSpaceDN w:val="0"/>
        <w:adjustRightInd w:val="0"/>
        <w:spacing w:after="0" w:line="240" w:lineRule="auto"/>
        <w:jc w:val="both"/>
      </w:pPr>
      <w:hyperlink r:id="rId7" w:history="1">
        <w:r w:rsidRPr="00DC4E50">
          <w:rPr>
            <w:rStyle w:val="Lienhypertexte"/>
            <w:rFonts w:ascii="Times New Roman" w:hAnsi="Times New Roman"/>
            <w:sz w:val="18"/>
            <w:szCs w:val="18"/>
            <w:lang w:eastAsia="fr-FR"/>
          </w:rPr>
          <w:t>http://www.crisisgroup.org/~/media/Files/africa/west-africa/burkina-faso/205-burkina-faso-avec-ou-sans-compaore-le-temps-des-incertitudes.pdf</w:t>
        </w:r>
      </w:hyperlink>
    </w:p>
  </w:footnote>
  <w:footnote w:id="38">
    <w:p w14:paraId="6324A2B3" w14:textId="77777777" w:rsidR="00D060B8" w:rsidRPr="00AC3470" w:rsidRDefault="00D060B8" w:rsidP="00AC3470">
      <w:pPr>
        <w:pStyle w:val="Titre1"/>
        <w:spacing w:before="0"/>
        <w:jc w:val="both"/>
        <w:rPr>
          <w:rFonts w:ascii="Times New Roman" w:hAnsi="Times New Roman"/>
          <w:b w:val="0"/>
          <w:sz w:val="18"/>
          <w:szCs w:val="18"/>
          <w:lang w:val="fr-FR" w:eastAsia="fr-FR"/>
        </w:rPr>
      </w:pPr>
      <w:r w:rsidRPr="00AC3470">
        <w:rPr>
          <w:rStyle w:val="Marquenotebasdepage"/>
          <w:rFonts w:ascii="Times New Roman" w:hAnsi="Times New Roman"/>
          <w:b w:val="0"/>
          <w:color w:val="auto"/>
          <w:sz w:val="18"/>
          <w:szCs w:val="18"/>
        </w:rPr>
        <w:footnoteRef/>
      </w:r>
      <w:r w:rsidRPr="00AC3470">
        <w:rPr>
          <w:rFonts w:ascii="Times New Roman" w:hAnsi="Times New Roman"/>
          <w:b w:val="0"/>
          <w:color w:val="auto"/>
          <w:sz w:val="18"/>
          <w:szCs w:val="18"/>
          <w:lang w:val="fr-FR"/>
        </w:rPr>
        <w:t xml:space="preserve"> Il a été retrouvé le corps, couvert de nombreuses blessures, notamment au niveau de la région de la tête et du cou, gisait à près de 100 mètres du véhicule 4X4 de la victime, dont les yeux ont été probablement crevés. Cf. L’Observateur </w:t>
      </w:r>
      <w:proofErr w:type="spellStart"/>
      <w:r w:rsidRPr="00AC3470">
        <w:rPr>
          <w:rFonts w:ascii="Times New Roman" w:hAnsi="Times New Roman"/>
          <w:b w:val="0"/>
          <w:color w:val="auto"/>
          <w:sz w:val="18"/>
          <w:szCs w:val="18"/>
          <w:lang w:val="fr-FR"/>
        </w:rPr>
        <w:t>Paalga</w:t>
      </w:r>
      <w:proofErr w:type="spellEnd"/>
      <w:r w:rsidRPr="00AC3470">
        <w:rPr>
          <w:rFonts w:ascii="Times New Roman" w:hAnsi="Times New Roman"/>
          <w:b w:val="0"/>
          <w:color w:val="auto"/>
          <w:sz w:val="18"/>
          <w:szCs w:val="18"/>
          <w:lang w:val="fr-FR"/>
        </w:rPr>
        <w:t xml:space="preserve"> « Burkina Faso: Mort suspecte du juge </w:t>
      </w:r>
      <w:proofErr w:type="spellStart"/>
      <w:r w:rsidRPr="00AC3470">
        <w:rPr>
          <w:rFonts w:ascii="Times New Roman" w:hAnsi="Times New Roman"/>
          <w:b w:val="0"/>
          <w:color w:val="auto"/>
          <w:sz w:val="18"/>
          <w:szCs w:val="18"/>
          <w:lang w:val="fr-FR"/>
        </w:rPr>
        <w:t>Nébié</w:t>
      </w:r>
      <w:proofErr w:type="spellEnd"/>
      <w:r w:rsidRPr="00AC3470">
        <w:rPr>
          <w:rFonts w:ascii="Times New Roman" w:hAnsi="Times New Roman"/>
          <w:b w:val="0"/>
          <w:color w:val="auto"/>
          <w:sz w:val="18"/>
          <w:szCs w:val="18"/>
          <w:lang w:val="fr-FR"/>
        </w:rPr>
        <w:t xml:space="preserve"> - Pourvu qu'il ne soit pas enterré avec le dossier » </w:t>
      </w:r>
      <w:hyperlink r:id="rId8" w:history="1">
        <w:r w:rsidRPr="00AC3470">
          <w:rPr>
            <w:rStyle w:val="Lienhypertexte"/>
            <w:rFonts w:ascii="Times New Roman" w:hAnsi="Times New Roman"/>
            <w:b w:val="0"/>
            <w:sz w:val="18"/>
            <w:szCs w:val="18"/>
            <w:lang w:val="fr-FR"/>
          </w:rPr>
          <w:t>http://fr.allafrica.com/stories/201406101343.html</w:t>
        </w:r>
      </w:hyperlink>
    </w:p>
  </w:footnote>
  <w:footnote w:id="39">
    <w:p w14:paraId="0F82A477" w14:textId="77777777" w:rsidR="00D060B8" w:rsidRDefault="00D060B8" w:rsidP="000E4F58">
      <w:pPr>
        <w:pStyle w:val="Notedebasdepage"/>
        <w:jc w:val="both"/>
      </w:pPr>
      <w:r>
        <w:rPr>
          <w:rStyle w:val="Marquenotebasdepage"/>
        </w:rPr>
        <w:footnoteRef/>
      </w:r>
      <w:r>
        <w:t xml:space="preserve"> </w:t>
      </w:r>
      <w:r>
        <w:rPr>
          <w:lang w:val="fr-FR"/>
        </w:rPr>
        <w:t xml:space="preserve"> </w:t>
      </w:r>
      <w:r w:rsidRPr="00887B2D">
        <w:rPr>
          <w:rFonts w:ascii="Times New Roman" w:hAnsi="Times New Roman"/>
          <w:sz w:val="22"/>
          <w:szCs w:val="22"/>
        </w:rPr>
        <w:t xml:space="preserve">Le Président du Faso a prononcé, le 31 octobre 2014, sa démission officielle </w:t>
      </w:r>
      <w:r>
        <w:rPr>
          <w:rFonts w:ascii="Times New Roman" w:hAnsi="Times New Roman"/>
          <w:sz w:val="22"/>
          <w:szCs w:val="22"/>
        </w:rPr>
        <w:t xml:space="preserve">et déclaré la vacance de pouvoir </w:t>
      </w:r>
      <w:r w:rsidRPr="00887B2D">
        <w:rPr>
          <w:rFonts w:ascii="Times New Roman" w:hAnsi="Times New Roman"/>
          <w:sz w:val="22"/>
          <w:szCs w:val="22"/>
        </w:rPr>
        <w:t>conformément à l’article 43 de la Constitution.</w:t>
      </w:r>
    </w:p>
    <w:p w14:paraId="21EC313D" w14:textId="77777777" w:rsidR="00D060B8" w:rsidRPr="000E4F58" w:rsidRDefault="00D060B8">
      <w:pPr>
        <w:pStyle w:val="Notedebasdepage"/>
      </w:pPr>
    </w:p>
  </w:footnote>
  <w:footnote w:id="40">
    <w:p w14:paraId="7D29B9FD" w14:textId="77777777" w:rsidR="00D060B8" w:rsidRPr="00106B62" w:rsidRDefault="00D060B8">
      <w:pPr>
        <w:pStyle w:val="Notedebasdepage"/>
        <w:rPr>
          <w:rFonts w:ascii="Times New Roman" w:hAnsi="Times New Roman"/>
          <w:sz w:val="18"/>
          <w:lang w:val="fr-FR"/>
        </w:rPr>
      </w:pPr>
      <w:r w:rsidRPr="00106B62">
        <w:rPr>
          <w:rStyle w:val="Marquenotebasdepage"/>
          <w:rFonts w:ascii="Times New Roman" w:hAnsi="Times New Roman"/>
          <w:sz w:val="18"/>
        </w:rPr>
        <w:footnoteRef/>
      </w:r>
      <w:r w:rsidRPr="00106B62">
        <w:rPr>
          <w:rFonts w:ascii="Times New Roman" w:hAnsi="Times New Roman"/>
          <w:sz w:val="18"/>
          <w:lang w:val="fr-FR"/>
        </w:rPr>
        <w:t xml:space="preserve"> « </w:t>
      </w:r>
      <w:hyperlink r:id="rId9" w:history="1">
        <w:r w:rsidRPr="00106B62">
          <w:rPr>
            <w:rStyle w:val="Lienhypertexte"/>
            <w:rFonts w:ascii="Times New Roman" w:hAnsi="Times New Roman"/>
            <w:sz w:val="18"/>
            <w:lang w:val="fr-FR"/>
          </w:rPr>
          <w:t>Insurrection populaire : la CAASP fait état de 33 morts</w:t>
        </w:r>
      </w:hyperlink>
      <w:r w:rsidRPr="00106B62">
        <w:rPr>
          <w:rStyle w:val="titredetailarticle"/>
          <w:rFonts w:ascii="Times New Roman" w:hAnsi="Times New Roman"/>
          <w:sz w:val="18"/>
          <w:lang w:val="fr-FR"/>
        </w:rPr>
        <w:t>»</w:t>
      </w:r>
    </w:p>
  </w:footnote>
  <w:footnote w:id="41">
    <w:p w14:paraId="44D10E07" w14:textId="77777777" w:rsidR="00D060B8" w:rsidRPr="00103997" w:rsidRDefault="00D060B8">
      <w:pPr>
        <w:pStyle w:val="Notedebasdepage"/>
        <w:rPr>
          <w:rFonts w:ascii="Times New Roman" w:hAnsi="Times New Roman"/>
          <w:lang w:val="fr-FR"/>
        </w:rPr>
      </w:pPr>
      <w:r w:rsidRPr="00103997">
        <w:rPr>
          <w:rStyle w:val="Marquenotebasdepage"/>
          <w:rFonts w:ascii="Times New Roman" w:hAnsi="Times New Roman"/>
          <w:sz w:val="18"/>
        </w:rPr>
        <w:footnoteRef/>
      </w:r>
      <w:r w:rsidRPr="00103997">
        <w:rPr>
          <w:rFonts w:ascii="Times New Roman" w:hAnsi="Times New Roman"/>
          <w:sz w:val="18"/>
          <w:lang w:val="fr-FR"/>
        </w:rPr>
        <w:t xml:space="preserve"> Amnesty International, "Qu'est-ce qu'ils avaient dans la tête pour tirer sur les gens?" La répression de manifestations contre le gouvernement au Burkina Faso"</w:t>
      </w:r>
    </w:p>
  </w:footnote>
  <w:footnote w:id="42">
    <w:p w14:paraId="23140AC5" w14:textId="77777777" w:rsidR="00D060B8" w:rsidRPr="00106B62" w:rsidRDefault="00D060B8" w:rsidP="008F5F3E">
      <w:pPr>
        <w:pStyle w:val="Notedebasdepage"/>
        <w:rPr>
          <w:rFonts w:ascii="Times New Roman" w:hAnsi="Times New Roman"/>
          <w:sz w:val="20"/>
          <w:szCs w:val="20"/>
          <w:lang w:val="fr-FR"/>
        </w:rPr>
      </w:pPr>
      <w:r w:rsidRPr="00106B62">
        <w:rPr>
          <w:rStyle w:val="Marquenotebasdepage"/>
          <w:rFonts w:ascii="Times New Roman" w:hAnsi="Times New Roman"/>
          <w:sz w:val="20"/>
          <w:szCs w:val="20"/>
        </w:rPr>
        <w:footnoteRef/>
      </w:r>
      <w:hyperlink r:id="rId10" w:history="1">
        <w:r w:rsidRPr="00A8293A">
          <w:rPr>
            <w:rStyle w:val="Lienhypertexte"/>
            <w:rFonts w:ascii="Times New Roman" w:hAnsi="Times New Roman"/>
            <w:sz w:val="20"/>
            <w:szCs w:val="20"/>
            <w:lang w:val="fr-FR"/>
          </w:rPr>
          <w:t>http://business-humanrights.org/fr/burkina-faso-leffondrement-dune-mine-dor-artisanale-fait-2-morts-et-plusieurs-disparus</w:t>
        </w:r>
      </w:hyperlink>
    </w:p>
  </w:footnote>
  <w:footnote w:id="43">
    <w:p w14:paraId="52EDF471" w14:textId="77777777" w:rsidR="00D060B8" w:rsidRPr="007E0CA1" w:rsidRDefault="00D060B8" w:rsidP="00906B48">
      <w:pPr>
        <w:pStyle w:val="Notedebasdepage"/>
        <w:ind w:left="142"/>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Le Burkina-Faso est un Etat abolitionniste de fait</w:t>
      </w:r>
    </w:p>
  </w:footnote>
  <w:footnote w:id="44">
    <w:p w14:paraId="0DC77AD4" w14:textId="77777777" w:rsidR="00D060B8" w:rsidRPr="007E0CA1" w:rsidRDefault="00D060B8" w:rsidP="00BE5FC3">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Les infractions passibles de peine de mort dans le Code pénal sont, entre autres, la trahison contre la sureté de l’Etat, l’incendie volontaire ou la destruction par engin explosif des édifices, magasins, arsenaux ou autres propriétés appartenant à l’Etat si mort s’en est suivie, le crime contre l’humanité, le parricide, l’empoisonnement, le meurtre commis dans un but d’anthropophagie, de culte, de pratiques occultes ou de commerce.</w:t>
      </w:r>
    </w:p>
  </w:footnote>
  <w:footnote w:id="45">
    <w:p w14:paraId="38BFE072" w14:textId="77777777" w:rsidR="00D060B8" w:rsidRPr="007E0CA1" w:rsidRDefault="00D060B8" w:rsidP="00BE5FC3">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S’agissant du code de justice militaire, les infractions qui y sont passibles de peine de mort sont entre autres, la désertion en bande armée avec armes ou munitions de tout militaire ou individu non militaire faisant partie de l’équipage d’un aéronef ou d’un navire militaire, la désertion en présence de l’ennemi, de la capitulation de tout commandant de formation d’une force aérienne, d’un aéronef ou d’un navire militaire</w:t>
      </w:r>
    </w:p>
  </w:footnote>
  <w:footnote w:id="46">
    <w:p w14:paraId="34124F8E" w14:textId="77777777" w:rsidR="00D060B8" w:rsidRPr="007E0CA1" w:rsidRDefault="00D060B8" w:rsidP="009910B7">
      <w:pPr>
        <w:pStyle w:val="NormalWeb"/>
        <w:spacing w:before="0" w:beforeAutospacing="0" w:after="0" w:afterAutospacing="0"/>
        <w:jc w:val="both"/>
        <w:rPr>
          <w:sz w:val="18"/>
          <w:szCs w:val="18"/>
        </w:rPr>
      </w:pPr>
      <w:r w:rsidRPr="007E0CA1">
        <w:rPr>
          <w:rStyle w:val="Marquenotebasdepage"/>
          <w:sz w:val="18"/>
          <w:szCs w:val="18"/>
        </w:rPr>
        <w:footnoteRef/>
      </w:r>
      <w:r w:rsidRPr="007E0CA1">
        <w:rPr>
          <w:sz w:val="18"/>
          <w:szCs w:val="18"/>
        </w:rPr>
        <w:t>Pour ce qui est de la loi n°6-72 du 22 juin 1972 relative à la police des voies ferrées, elle réprime, en son article 4, ceux qui, volontairement, auront détruit ou dérangé la voie ferrée, placé sur la voie un objet faisant obstacle à la circulation ou employé un moyen quelconque pour entraver la marche des convois ou les faire sortir des rails. S’il en est résulté un homicide ou des blessures, les coupables seront, dans le premier cas, punis de mort et dans le second cas des travaux forcés à temps.</w:t>
      </w:r>
    </w:p>
  </w:footnote>
  <w:footnote w:id="47">
    <w:p w14:paraId="3D82C1C5" w14:textId="77777777" w:rsidR="00D060B8" w:rsidRPr="009910B7" w:rsidRDefault="00D060B8">
      <w:pPr>
        <w:pStyle w:val="Notedebasdepage"/>
        <w:rPr>
          <w:rFonts w:ascii="Times New Roman" w:hAnsi="Times New Roman"/>
          <w:lang w:val="fr-FR"/>
        </w:rPr>
      </w:pPr>
      <w:r w:rsidRPr="009910B7">
        <w:rPr>
          <w:rStyle w:val="Marquenotebasdepage"/>
          <w:rFonts w:ascii="Times New Roman" w:hAnsi="Times New Roman"/>
          <w:sz w:val="18"/>
        </w:rPr>
        <w:footnoteRef/>
      </w:r>
      <w:r w:rsidRPr="009910B7">
        <w:rPr>
          <w:rFonts w:ascii="Times New Roman" w:hAnsi="Times New Roman"/>
          <w:sz w:val="18"/>
          <w:lang w:val="fr-FR"/>
        </w:rPr>
        <w:t xml:space="preserve"> Cette coalition mise en place</w:t>
      </w:r>
      <w:r>
        <w:rPr>
          <w:rFonts w:ascii="Times New Roman" w:hAnsi="Times New Roman"/>
          <w:sz w:val="18"/>
          <w:lang w:val="fr-FR"/>
        </w:rPr>
        <w:t xml:space="preserve"> sous la houlette d’Amnesty International Burkina Faso comprend </w:t>
      </w:r>
    </w:p>
  </w:footnote>
  <w:footnote w:id="48">
    <w:p w14:paraId="5C506B78" w14:textId="77777777" w:rsidR="00D060B8" w:rsidRPr="009910B7" w:rsidRDefault="00D060B8">
      <w:pPr>
        <w:pStyle w:val="Notedebasdepage"/>
        <w:rPr>
          <w:rFonts w:ascii="Times New Roman" w:hAnsi="Times New Roman"/>
          <w:lang w:val="fr-FR"/>
        </w:rPr>
      </w:pPr>
      <w:r w:rsidRPr="009910B7">
        <w:rPr>
          <w:rStyle w:val="Marquenotebasdepage"/>
          <w:rFonts w:ascii="Times New Roman" w:hAnsi="Times New Roman"/>
          <w:sz w:val="18"/>
        </w:rPr>
        <w:footnoteRef/>
      </w:r>
      <w:r w:rsidRPr="009910B7">
        <w:rPr>
          <w:rFonts w:ascii="Times New Roman" w:hAnsi="Times New Roman"/>
          <w:sz w:val="18"/>
          <w:lang w:val="fr-FR"/>
        </w:rPr>
        <w:t xml:space="preserve"> Éditorial du journal Le Quoti</w:t>
      </w:r>
      <w:r>
        <w:rPr>
          <w:rFonts w:ascii="Times New Roman" w:hAnsi="Times New Roman"/>
          <w:sz w:val="18"/>
          <w:lang w:val="fr-FR"/>
        </w:rPr>
        <w:t>di</w:t>
      </w:r>
      <w:r w:rsidRPr="009910B7">
        <w:rPr>
          <w:rFonts w:ascii="Times New Roman" w:hAnsi="Times New Roman"/>
          <w:sz w:val="18"/>
          <w:lang w:val="fr-FR"/>
        </w:rPr>
        <w:t xml:space="preserve">en repris par le portail en ligne AOouaga.com : </w:t>
      </w:r>
      <w:hyperlink r:id="rId11" w:history="1">
        <w:r w:rsidRPr="009910B7">
          <w:rPr>
            <w:rStyle w:val="Lienhypertexte"/>
            <w:rFonts w:ascii="Times New Roman" w:hAnsi="Times New Roman"/>
            <w:sz w:val="18"/>
            <w:lang w:val="fr-FR"/>
          </w:rPr>
          <w:t>http://news.aouaga.com/h/73042.html</w:t>
        </w:r>
      </w:hyperlink>
    </w:p>
  </w:footnote>
  <w:footnote w:id="49">
    <w:p w14:paraId="1437D0AF" w14:textId="77777777" w:rsidR="00D060B8" w:rsidRPr="00E1202A" w:rsidRDefault="00D060B8">
      <w:pPr>
        <w:pStyle w:val="Notedebasdepage"/>
        <w:rPr>
          <w:lang w:val="fr-FR"/>
        </w:rPr>
      </w:pPr>
      <w:r>
        <w:rPr>
          <w:rStyle w:val="Marquenotebasdepage"/>
        </w:rPr>
        <w:footnoteRef/>
      </w:r>
      <w:r>
        <w:t xml:space="preserve"> </w:t>
      </w:r>
      <w:r>
        <w:rPr>
          <w:lang w:val="fr-FR"/>
        </w:rPr>
        <w:t xml:space="preserve"> </w:t>
      </w:r>
      <w:hyperlink r:id="rId12" w:history="1">
        <w:r w:rsidRPr="00A97B36">
          <w:rPr>
            <w:rStyle w:val="Lienhypertexte"/>
            <w:sz w:val="18"/>
            <w:lang w:val="fr-FR"/>
          </w:rPr>
          <w:t>http://french.burkinafaso.usembassy.gov/media/bf-fre-hrr.pdf</w:t>
        </w:r>
      </w:hyperlink>
      <w:r>
        <w:rPr>
          <w:lang w:val="fr-FR"/>
        </w:rPr>
        <w:t xml:space="preserve"> </w:t>
      </w:r>
    </w:p>
  </w:footnote>
  <w:footnote w:id="50">
    <w:p w14:paraId="3C4D873E" w14:textId="77777777" w:rsidR="00D060B8" w:rsidRPr="00736431" w:rsidRDefault="00D060B8">
      <w:pPr>
        <w:pStyle w:val="Notedebasdepage"/>
        <w:rPr>
          <w:rFonts w:ascii="Times New Roman" w:hAnsi="Times New Roman"/>
          <w:sz w:val="18"/>
          <w:szCs w:val="18"/>
          <w:lang w:val="fr-FR"/>
        </w:rPr>
      </w:pPr>
      <w:r>
        <w:rPr>
          <w:rStyle w:val="Marquenotebasdepage"/>
        </w:rPr>
        <w:footnoteRef/>
      </w:r>
      <w:r>
        <w:t xml:space="preserve"> </w:t>
      </w:r>
      <w:r>
        <w:rPr>
          <w:lang w:val="fr-FR"/>
        </w:rPr>
        <w:t xml:space="preserve"> </w:t>
      </w:r>
      <w:hyperlink r:id="rId13" w:history="1">
        <w:r w:rsidRPr="00736431">
          <w:rPr>
            <w:rFonts w:ascii="Times New Roman" w:hAnsi="Times New Roman"/>
            <w:sz w:val="18"/>
            <w:szCs w:val="18"/>
          </w:rPr>
          <w:t>http://www.lefaso.net/spip.php?article42603</w:t>
        </w:r>
      </w:hyperlink>
      <w:r w:rsidRPr="00736431">
        <w:rPr>
          <w:rFonts w:ascii="Times New Roman" w:hAnsi="Times New Roman"/>
          <w:sz w:val="18"/>
          <w:szCs w:val="18"/>
          <w:lang w:val="fr-FR"/>
        </w:rPr>
        <w:t xml:space="preserve"> </w:t>
      </w:r>
    </w:p>
  </w:footnote>
  <w:footnote w:id="51">
    <w:p w14:paraId="054A1BCF" w14:textId="77777777" w:rsidR="00D060B8" w:rsidRPr="00A97B36" w:rsidRDefault="00D060B8">
      <w:pPr>
        <w:pStyle w:val="Notedebasdepage"/>
        <w:rPr>
          <w:lang w:val="fr-FR"/>
        </w:rPr>
      </w:pPr>
      <w:r>
        <w:rPr>
          <w:rStyle w:val="Marquenotebasdepage"/>
        </w:rPr>
        <w:footnoteRef/>
      </w:r>
      <w:r>
        <w:t xml:space="preserve"> </w:t>
      </w:r>
      <w:r>
        <w:rPr>
          <w:lang w:val="fr-FR"/>
        </w:rPr>
        <w:t xml:space="preserve"> </w:t>
      </w:r>
      <w:hyperlink r:id="rId14" w:history="1">
        <w:r w:rsidRPr="00864961">
          <w:rPr>
            <w:rStyle w:val="Lienhypertexte"/>
            <w:sz w:val="18"/>
            <w:lang w:val="fr-FR"/>
          </w:rPr>
          <w:t>http://french.burkinafaso.usembassy.gov/media/bf-fre-hrr.pdf</w:t>
        </w:r>
      </w:hyperlink>
    </w:p>
  </w:footnote>
  <w:footnote w:id="52">
    <w:p w14:paraId="07199637" w14:textId="77777777" w:rsidR="00D060B8" w:rsidRPr="007E0CA1" w:rsidRDefault="00D060B8" w:rsidP="00C87581">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bCs/>
          <w:sz w:val="18"/>
          <w:szCs w:val="18"/>
          <w:lang w:val="fr-FR"/>
        </w:rPr>
        <w:t xml:space="preserve">Insécurité: « </w:t>
      </w:r>
      <w:proofErr w:type="spellStart"/>
      <w:r w:rsidRPr="007E0CA1">
        <w:rPr>
          <w:rFonts w:ascii="Times New Roman" w:hAnsi="Times New Roman"/>
          <w:bCs/>
          <w:sz w:val="18"/>
          <w:szCs w:val="18"/>
          <w:lang w:val="fr-FR"/>
        </w:rPr>
        <w:t>Kogl-wéogo</w:t>
      </w:r>
      <w:proofErr w:type="spellEnd"/>
      <w:r w:rsidRPr="007E0CA1">
        <w:rPr>
          <w:rFonts w:ascii="Times New Roman" w:hAnsi="Times New Roman"/>
          <w:bCs/>
          <w:sz w:val="18"/>
          <w:szCs w:val="18"/>
          <w:lang w:val="fr-FR"/>
        </w:rPr>
        <w:t xml:space="preserve"> », un tribunal populaire inquiétant</w:t>
      </w:r>
    </w:p>
  </w:footnote>
  <w:footnote w:id="53">
    <w:p w14:paraId="7BA4706D" w14:textId="77777777" w:rsidR="00D060B8" w:rsidRPr="007E0CA1" w:rsidRDefault="00D060B8" w:rsidP="00C87581">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En plus donc de ces amendes que vous versez aux responsables de ces associations d’auto défense, si vous vous retrouvez dans leur main comme un présumé voleur, vous êtes contraints à rembourser l’animal dont on vous accuse d’être le voleur et à payer 5 000francs CFA pour la corde que les responsables de la structure utilisent soit pour vous bastonner soit pour vous attacher. Dans le </w:t>
      </w:r>
      <w:proofErr w:type="spellStart"/>
      <w:r w:rsidRPr="007E0CA1">
        <w:rPr>
          <w:rFonts w:ascii="Times New Roman" w:hAnsi="Times New Roman"/>
          <w:sz w:val="18"/>
          <w:szCs w:val="18"/>
          <w:lang w:val="fr-FR"/>
        </w:rPr>
        <w:t>Zoundweogo</w:t>
      </w:r>
      <w:proofErr w:type="spellEnd"/>
      <w:r w:rsidRPr="007E0CA1">
        <w:rPr>
          <w:rFonts w:ascii="Times New Roman" w:hAnsi="Times New Roman"/>
          <w:sz w:val="18"/>
          <w:szCs w:val="18"/>
          <w:lang w:val="fr-FR"/>
        </w:rPr>
        <w:t xml:space="preserve">, ces structures qui existent à l’échelle de la province et qui ne disposent d’aucune base légale procèdent à des interpellations, font leur jugement, séquestrent et exercent souvent des sévices corporels à l’encontre de citoyens accusés d’être des voleurs de bétail selon un magistrat. Le 15 juin, la situation est montée d’un cran lorsqu’au moins 15 personnes de ces « milices » ont été interpellées et placer à la Maison d’arrêt et de correction de Manga pour répondre entre autres des faits de violence, de racket et de séquestration. Leurs camarades qui ont tenté d’organiser un mouvement pour exiger leur libération se sont ravisés et ont négocié sans succès leur libération. Selon un magistrat en service dans le chef lieu de la région, c’est courant avril 2015 que les autorités ont été saisies de l’existence de ces groupes et il y a eu une phase de sensibilisation qui semble n’avoir pas porté fruit. Ces groupes existeraient dans le </w:t>
      </w:r>
      <w:proofErr w:type="spellStart"/>
      <w:r w:rsidRPr="007E0CA1">
        <w:rPr>
          <w:rFonts w:ascii="Times New Roman" w:hAnsi="Times New Roman"/>
          <w:sz w:val="18"/>
          <w:szCs w:val="18"/>
          <w:lang w:val="fr-FR"/>
        </w:rPr>
        <w:t>Bazèga</w:t>
      </w:r>
      <w:proofErr w:type="spellEnd"/>
      <w:r w:rsidRPr="007E0CA1">
        <w:rPr>
          <w:rFonts w:ascii="Times New Roman" w:hAnsi="Times New Roman"/>
          <w:sz w:val="18"/>
          <w:szCs w:val="18"/>
          <w:lang w:val="fr-FR"/>
        </w:rPr>
        <w:t xml:space="preserve"> et le </w:t>
      </w:r>
      <w:proofErr w:type="spellStart"/>
      <w:r w:rsidRPr="007E0CA1">
        <w:rPr>
          <w:rFonts w:ascii="Times New Roman" w:hAnsi="Times New Roman"/>
          <w:sz w:val="18"/>
          <w:szCs w:val="18"/>
          <w:lang w:val="fr-FR"/>
        </w:rPr>
        <w:t>Nahouri</w:t>
      </w:r>
      <w:proofErr w:type="spellEnd"/>
      <w:r w:rsidRPr="007E0CA1">
        <w:rPr>
          <w:rFonts w:ascii="Times New Roman" w:hAnsi="Times New Roman"/>
          <w:sz w:val="18"/>
          <w:szCs w:val="18"/>
          <w:lang w:val="fr-FR"/>
        </w:rPr>
        <w:t xml:space="preserve">, les deux autres provinces de la région. Le 30 avril, la gendarmerie de </w:t>
      </w:r>
      <w:proofErr w:type="spellStart"/>
      <w:r w:rsidRPr="007E0CA1">
        <w:rPr>
          <w:rFonts w:ascii="Times New Roman" w:hAnsi="Times New Roman"/>
          <w:sz w:val="18"/>
          <w:szCs w:val="18"/>
          <w:lang w:val="fr-FR"/>
        </w:rPr>
        <w:t>Ziniaré</w:t>
      </w:r>
      <w:proofErr w:type="spellEnd"/>
      <w:r w:rsidRPr="007E0CA1">
        <w:rPr>
          <w:rFonts w:ascii="Times New Roman" w:hAnsi="Times New Roman"/>
          <w:sz w:val="18"/>
          <w:szCs w:val="18"/>
          <w:lang w:val="fr-FR"/>
        </w:rPr>
        <w:t xml:space="preserve"> avait fait cas aussi de ce que la région du Plateau central est infestée d’association d’auto défense. » http://www.zoodomail.com/spip.php?article10448</w:t>
      </w:r>
    </w:p>
  </w:footnote>
  <w:footnote w:id="54">
    <w:p w14:paraId="6E7A0B7E" w14:textId="77777777" w:rsidR="00D060B8" w:rsidRPr="007E0CA1" w:rsidRDefault="00D060B8" w:rsidP="00C87581">
      <w:pPr>
        <w:pStyle w:val="Titre2"/>
        <w:spacing w:before="0" w:after="0"/>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b w:val="0"/>
          <w:sz w:val="18"/>
          <w:szCs w:val="18"/>
        </w:rPr>
        <w:t xml:space="preserve">Communiqué : Groupes « d’autodéfense » La mise en garde du Gouvernement </w:t>
      </w:r>
      <w:hyperlink r:id="rId15" w:history="1">
        <w:r w:rsidRPr="007E0CA1">
          <w:rPr>
            <w:rStyle w:val="Lienhypertexte"/>
            <w:rFonts w:ascii="Times New Roman" w:hAnsi="Times New Roman"/>
            <w:b w:val="0"/>
            <w:sz w:val="18"/>
            <w:szCs w:val="18"/>
          </w:rPr>
          <w:t>http://www.sig.bf/2015/06/communique-groupes-dautodefense-la-mise-en-garde-du-gouvernement/</w:t>
        </w:r>
      </w:hyperlink>
    </w:p>
    <w:p w14:paraId="5B17D164" w14:textId="77777777" w:rsidR="00D060B8" w:rsidRPr="007E0CA1" w:rsidRDefault="00D060B8" w:rsidP="00C87581">
      <w:pPr>
        <w:pStyle w:val="Notedebasdepage"/>
        <w:jc w:val="both"/>
        <w:rPr>
          <w:rFonts w:ascii="Times New Roman" w:hAnsi="Times New Roman"/>
          <w:sz w:val="18"/>
          <w:szCs w:val="18"/>
          <w:lang w:val="fr-FR"/>
        </w:rPr>
      </w:pPr>
    </w:p>
  </w:footnote>
  <w:footnote w:id="55">
    <w:p w14:paraId="3BC8C378" w14:textId="77777777" w:rsidR="00D060B8" w:rsidRPr="007E0CA1" w:rsidRDefault="00D060B8" w:rsidP="00A245FF">
      <w:pPr>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En outre, en 2015, un affrontement intercommunautaire a éclaté entre peulh et mossi dans le village de </w:t>
      </w:r>
      <w:proofErr w:type="spellStart"/>
      <w:r w:rsidRPr="007E0CA1">
        <w:rPr>
          <w:rFonts w:ascii="Times New Roman" w:hAnsi="Times New Roman"/>
          <w:sz w:val="18"/>
          <w:szCs w:val="18"/>
        </w:rPr>
        <w:t>Pousga</w:t>
      </w:r>
      <w:proofErr w:type="spellEnd"/>
      <w:r w:rsidRPr="007E0CA1">
        <w:rPr>
          <w:rFonts w:ascii="Times New Roman" w:hAnsi="Times New Roman"/>
          <w:sz w:val="18"/>
          <w:szCs w:val="18"/>
        </w:rPr>
        <w:t xml:space="preserve"> aux environs de </w:t>
      </w:r>
      <w:proofErr w:type="spellStart"/>
      <w:r w:rsidRPr="007E0CA1">
        <w:rPr>
          <w:rFonts w:ascii="Times New Roman" w:hAnsi="Times New Roman"/>
          <w:sz w:val="18"/>
          <w:szCs w:val="18"/>
        </w:rPr>
        <w:t>Ziniaré</w:t>
      </w:r>
      <w:proofErr w:type="spellEnd"/>
      <w:r w:rsidRPr="007E0CA1">
        <w:rPr>
          <w:rFonts w:ascii="Times New Roman" w:hAnsi="Times New Roman"/>
          <w:sz w:val="18"/>
          <w:szCs w:val="18"/>
        </w:rPr>
        <w:t>. Le 1</w:t>
      </w:r>
      <w:r w:rsidRPr="007E0CA1">
        <w:rPr>
          <w:rFonts w:ascii="Times New Roman" w:hAnsi="Times New Roman"/>
          <w:sz w:val="18"/>
          <w:szCs w:val="18"/>
          <w:vertAlign w:val="superscript"/>
        </w:rPr>
        <w:t>er</w:t>
      </w:r>
      <w:r w:rsidRPr="007E0CA1">
        <w:rPr>
          <w:rFonts w:ascii="Times New Roman" w:hAnsi="Times New Roman"/>
          <w:sz w:val="18"/>
          <w:szCs w:val="18"/>
        </w:rPr>
        <w:t xml:space="preserve"> avril 2014, un conflit intercommunautaire survenu à Pô dans le village de </w:t>
      </w:r>
      <w:proofErr w:type="spellStart"/>
      <w:r w:rsidRPr="007E0CA1">
        <w:rPr>
          <w:rFonts w:ascii="Times New Roman" w:hAnsi="Times New Roman"/>
          <w:sz w:val="18"/>
          <w:szCs w:val="18"/>
        </w:rPr>
        <w:t>Songo</w:t>
      </w:r>
      <w:proofErr w:type="spellEnd"/>
      <w:r w:rsidRPr="007E0CA1">
        <w:rPr>
          <w:rFonts w:ascii="Times New Roman" w:hAnsi="Times New Roman"/>
          <w:sz w:val="18"/>
          <w:szCs w:val="18"/>
        </w:rPr>
        <w:t xml:space="preserve"> I a causé la mort de trois (03) personnes. Toujours à Pô dans la nuit du 07 au 08 juillet 2014, un conflit entre éleveurs et agriculteurs a fait 5 morts et 8 blessés. Un conflit similaire a fait le 26 mars 2014, un mort, 2 blessés graves et plusieurs habitations incendiées à  </w:t>
      </w:r>
      <w:proofErr w:type="spellStart"/>
      <w:r w:rsidRPr="007E0CA1">
        <w:rPr>
          <w:rFonts w:ascii="Times New Roman" w:hAnsi="Times New Roman"/>
          <w:sz w:val="18"/>
          <w:szCs w:val="18"/>
        </w:rPr>
        <w:t>Mané</w:t>
      </w:r>
      <w:proofErr w:type="spellEnd"/>
      <w:r w:rsidRPr="007E0CA1">
        <w:rPr>
          <w:rFonts w:ascii="Times New Roman" w:hAnsi="Times New Roman"/>
          <w:sz w:val="18"/>
          <w:szCs w:val="18"/>
        </w:rPr>
        <w:t xml:space="preserve"> dans la province du </w:t>
      </w:r>
      <w:proofErr w:type="spellStart"/>
      <w:r w:rsidRPr="007E0CA1">
        <w:rPr>
          <w:rFonts w:ascii="Times New Roman" w:hAnsi="Times New Roman"/>
          <w:sz w:val="18"/>
          <w:szCs w:val="18"/>
        </w:rPr>
        <w:t>Sanmatenga</w:t>
      </w:r>
      <w:proofErr w:type="spellEnd"/>
      <w:r w:rsidRPr="007E0CA1">
        <w:rPr>
          <w:rFonts w:ascii="Times New Roman" w:hAnsi="Times New Roman"/>
          <w:sz w:val="18"/>
          <w:szCs w:val="18"/>
        </w:rPr>
        <w:t>.</w:t>
      </w:r>
    </w:p>
    <w:p w14:paraId="1FFF99C7" w14:textId="77777777" w:rsidR="00D060B8" w:rsidRPr="007E0CA1" w:rsidRDefault="00D060B8" w:rsidP="00A245FF">
      <w:pPr>
        <w:spacing w:after="0" w:line="240" w:lineRule="auto"/>
        <w:jc w:val="both"/>
        <w:rPr>
          <w:rFonts w:ascii="Times New Roman" w:hAnsi="Times New Roman"/>
          <w:sz w:val="18"/>
          <w:szCs w:val="18"/>
        </w:rPr>
      </w:pPr>
      <w:r w:rsidRPr="007E0CA1">
        <w:rPr>
          <w:rFonts w:ascii="Times New Roman" w:hAnsi="Times New Roman"/>
          <w:sz w:val="18"/>
          <w:szCs w:val="18"/>
        </w:rPr>
        <w:t xml:space="preserve">Un  autre conflit intercommunautaire est survenu le mardi 02 juin 2015 entre les habitants des villages de </w:t>
      </w:r>
      <w:proofErr w:type="spellStart"/>
      <w:r w:rsidRPr="007E0CA1">
        <w:rPr>
          <w:rFonts w:ascii="Times New Roman" w:hAnsi="Times New Roman"/>
          <w:sz w:val="18"/>
          <w:szCs w:val="18"/>
        </w:rPr>
        <w:t>Outourou</w:t>
      </w:r>
      <w:proofErr w:type="spellEnd"/>
      <w:r w:rsidRPr="007E0CA1">
        <w:rPr>
          <w:rFonts w:ascii="Times New Roman" w:hAnsi="Times New Roman"/>
          <w:sz w:val="18"/>
          <w:szCs w:val="18"/>
        </w:rPr>
        <w:t xml:space="preserve"> et de </w:t>
      </w:r>
      <w:proofErr w:type="spellStart"/>
      <w:r w:rsidRPr="007E0CA1">
        <w:rPr>
          <w:rFonts w:ascii="Times New Roman" w:hAnsi="Times New Roman"/>
          <w:sz w:val="18"/>
          <w:szCs w:val="18"/>
        </w:rPr>
        <w:t>Négueni</w:t>
      </w:r>
      <w:proofErr w:type="spellEnd"/>
      <w:r w:rsidRPr="007E0CA1">
        <w:rPr>
          <w:rFonts w:ascii="Times New Roman" w:hAnsi="Times New Roman"/>
          <w:sz w:val="18"/>
          <w:szCs w:val="18"/>
        </w:rPr>
        <w:t xml:space="preserve"> dans la commune de </w:t>
      </w:r>
      <w:proofErr w:type="spellStart"/>
      <w:r w:rsidRPr="007E0CA1">
        <w:rPr>
          <w:rFonts w:ascii="Times New Roman" w:hAnsi="Times New Roman"/>
          <w:sz w:val="18"/>
          <w:szCs w:val="18"/>
        </w:rPr>
        <w:t>Loumana</w:t>
      </w:r>
      <w:proofErr w:type="spellEnd"/>
      <w:r w:rsidRPr="007E0CA1">
        <w:rPr>
          <w:rFonts w:ascii="Times New Roman" w:hAnsi="Times New Roman"/>
          <w:sz w:val="18"/>
          <w:szCs w:val="18"/>
        </w:rPr>
        <w:t xml:space="preserve">, province de la </w:t>
      </w:r>
      <w:proofErr w:type="spellStart"/>
      <w:r w:rsidRPr="007E0CA1">
        <w:rPr>
          <w:rFonts w:ascii="Times New Roman" w:hAnsi="Times New Roman"/>
          <w:sz w:val="18"/>
          <w:szCs w:val="18"/>
        </w:rPr>
        <w:t>Léraba</w:t>
      </w:r>
      <w:proofErr w:type="spellEnd"/>
      <w:r w:rsidRPr="007E0CA1">
        <w:rPr>
          <w:rFonts w:ascii="Times New Roman" w:hAnsi="Times New Roman"/>
          <w:sz w:val="18"/>
          <w:szCs w:val="18"/>
        </w:rPr>
        <w:t>, Région des Cascades, a enregistré trois (03) décès, vingt (20) blessés et de nombreux biens saccagés et incendiés</w:t>
      </w:r>
      <w:r w:rsidRPr="007E0CA1">
        <w:rPr>
          <w:rStyle w:val="Marquenotebasdepage"/>
          <w:rFonts w:ascii="Times New Roman" w:hAnsi="Times New Roman"/>
          <w:sz w:val="18"/>
          <w:szCs w:val="18"/>
        </w:rPr>
        <w:footnoteRef/>
      </w:r>
      <w:r w:rsidRPr="007E0CA1">
        <w:rPr>
          <w:rFonts w:ascii="Times New Roman" w:hAnsi="Times New Roman"/>
          <w:sz w:val="18"/>
          <w:szCs w:val="18"/>
        </w:rPr>
        <w:t>.</w:t>
      </w:r>
    </w:p>
    <w:p w14:paraId="2BBB3033" w14:textId="77777777" w:rsidR="00D060B8" w:rsidRPr="007E0CA1" w:rsidRDefault="00D060B8" w:rsidP="00A245FF">
      <w:pPr>
        <w:tabs>
          <w:tab w:val="left" w:pos="709"/>
        </w:tabs>
        <w:spacing w:after="0" w:line="240" w:lineRule="auto"/>
        <w:contextualSpacing/>
        <w:jc w:val="both"/>
        <w:rPr>
          <w:rFonts w:ascii="Times New Roman" w:hAnsi="Times New Roman"/>
          <w:sz w:val="18"/>
          <w:szCs w:val="18"/>
        </w:rPr>
      </w:pPr>
      <w:r w:rsidRPr="007E0CA1">
        <w:rPr>
          <w:rFonts w:ascii="Times New Roman" w:hAnsi="Times New Roman"/>
          <w:sz w:val="18"/>
          <w:szCs w:val="18"/>
        </w:rPr>
        <w:t xml:space="preserve">Un conflit a opposé des éleveurs et des agriculteurs dans la </w:t>
      </w:r>
      <w:proofErr w:type="spellStart"/>
      <w:r w:rsidRPr="007E0CA1">
        <w:rPr>
          <w:rFonts w:ascii="Times New Roman" w:hAnsi="Times New Roman"/>
          <w:sz w:val="18"/>
          <w:szCs w:val="18"/>
        </w:rPr>
        <w:t>Kompienga</w:t>
      </w:r>
      <w:proofErr w:type="spellEnd"/>
      <w:r w:rsidRPr="007E0CA1">
        <w:rPr>
          <w:rFonts w:ascii="Times New Roman" w:hAnsi="Times New Roman"/>
          <w:sz w:val="18"/>
          <w:szCs w:val="18"/>
        </w:rPr>
        <w:t xml:space="preserve"> en janvier 2015 et s’est soldé par une perte en vie humaine et 1700 autres victimes diverses.</w:t>
      </w:r>
    </w:p>
    <w:p w14:paraId="4734E440" w14:textId="77777777" w:rsidR="00D060B8" w:rsidRPr="007E0CA1" w:rsidRDefault="00D060B8" w:rsidP="00A245FF">
      <w:pPr>
        <w:tabs>
          <w:tab w:val="left" w:pos="709"/>
        </w:tabs>
        <w:spacing w:after="0" w:line="240" w:lineRule="auto"/>
        <w:contextualSpacing/>
        <w:jc w:val="both"/>
        <w:rPr>
          <w:rFonts w:ascii="Times New Roman" w:hAnsi="Times New Roman"/>
          <w:sz w:val="18"/>
          <w:szCs w:val="18"/>
        </w:rPr>
      </w:pPr>
      <w:r w:rsidRPr="007E0CA1">
        <w:rPr>
          <w:rFonts w:ascii="Times New Roman" w:hAnsi="Times New Roman"/>
          <w:bCs/>
          <w:sz w:val="18"/>
          <w:szCs w:val="18"/>
        </w:rPr>
        <w:t xml:space="preserve">« 1 700 victimes, c’est le bilan de l’affrontement qui a éclaté entre éleveurs et agriculteurs, le 17 janvier 2015, dans des campements de la province de la </w:t>
      </w:r>
      <w:proofErr w:type="spellStart"/>
      <w:r w:rsidRPr="007E0CA1">
        <w:rPr>
          <w:rFonts w:ascii="Times New Roman" w:hAnsi="Times New Roman"/>
          <w:bCs/>
          <w:sz w:val="18"/>
          <w:szCs w:val="18"/>
        </w:rPr>
        <w:t>Kompienga</w:t>
      </w:r>
      <w:proofErr w:type="spellEnd"/>
      <w:r w:rsidRPr="007E0CA1">
        <w:rPr>
          <w:rFonts w:ascii="Times New Roman" w:hAnsi="Times New Roman"/>
          <w:bCs/>
          <w:sz w:val="18"/>
          <w:szCs w:val="18"/>
        </w:rPr>
        <w:t xml:space="preserve">. Perte en vies humaines, maisons et greniers détruits ; les populations sont, depuis lors, confrontées à de nombreuses questions existentielles. C’est face à cette situation que la Croix-Rouge burkinabè a, avec le soutien du Comité international de la Croix-Rouge (CICR), apporté, le samedi 28 février 2015 à </w:t>
      </w:r>
      <w:proofErr w:type="spellStart"/>
      <w:r w:rsidRPr="007E0CA1">
        <w:rPr>
          <w:rFonts w:ascii="Times New Roman" w:hAnsi="Times New Roman"/>
          <w:bCs/>
          <w:sz w:val="18"/>
          <w:szCs w:val="18"/>
        </w:rPr>
        <w:t>Pama</w:t>
      </w:r>
      <w:proofErr w:type="spellEnd"/>
      <w:r w:rsidRPr="007E0CA1">
        <w:rPr>
          <w:rFonts w:ascii="Times New Roman" w:hAnsi="Times New Roman"/>
          <w:bCs/>
          <w:sz w:val="18"/>
          <w:szCs w:val="18"/>
        </w:rPr>
        <w:t xml:space="preserve">, province de la </w:t>
      </w:r>
      <w:proofErr w:type="spellStart"/>
      <w:r w:rsidRPr="007E0CA1">
        <w:rPr>
          <w:rFonts w:ascii="Times New Roman" w:hAnsi="Times New Roman"/>
          <w:bCs/>
          <w:sz w:val="18"/>
          <w:szCs w:val="18"/>
        </w:rPr>
        <w:t>Kompienga</w:t>
      </w:r>
      <w:proofErr w:type="spellEnd"/>
      <w:r w:rsidRPr="007E0CA1">
        <w:rPr>
          <w:rFonts w:ascii="Times New Roman" w:hAnsi="Times New Roman"/>
          <w:bCs/>
          <w:sz w:val="18"/>
          <w:szCs w:val="18"/>
        </w:rPr>
        <w:t>, une assistance humanitaire à l’ensemble des victimes”</w:t>
      </w:r>
      <w:r w:rsidRPr="007E0CA1">
        <w:rPr>
          <w:rStyle w:val="Marquenotebasdepage"/>
          <w:rFonts w:ascii="Times New Roman" w:hAnsi="Times New Roman"/>
          <w:bCs/>
          <w:sz w:val="18"/>
          <w:szCs w:val="18"/>
        </w:rPr>
        <w:footnoteRef/>
      </w:r>
    </w:p>
    <w:p w14:paraId="53254F47" w14:textId="77777777" w:rsidR="00D060B8" w:rsidRPr="007E0CA1" w:rsidRDefault="00D060B8" w:rsidP="00A245FF">
      <w:pPr>
        <w:spacing w:after="0" w:line="240" w:lineRule="auto"/>
        <w:jc w:val="both"/>
        <w:rPr>
          <w:rFonts w:ascii="Times New Roman" w:hAnsi="Times New Roman"/>
          <w:sz w:val="18"/>
          <w:szCs w:val="18"/>
        </w:rPr>
      </w:pPr>
      <w:r w:rsidRPr="007E0CA1">
        <w:rPr>
          <w:rFonts w:ascii="Times New Roman" w:hAnsi="Times New Roman"/>
          <w:sz w:val="18"/>
          <w:szCs w:val="18"/>
        </w:rPr>
        <w:t xml:space="preserve">Le 31 décembre 2012, un conflit intercommunautaire a opposé bissa et peulh dans la région de </w:t>
      </w:r>
      <w:proofErr w:type="spellStart"/>
      <w:r w:rsidRPr="007E0CA1">
        <w:rPr>
          <w:rFonts w:ascii="Times New Roman" w:hAnsi="Times New Roman"/>
          <w:sz w:val="18"/>
          <w:szCs w:val="18"/>
        </w:rPr>
        <w:t>Zabré</w:t>
      </w:r>
      <w:proofErr w:type="spellEnd"/>
      <w:r w:rsidRPr="007E0CA1">
        <w:rPr>
          <w:rFonts w:ascii="Times New Roman" w:hAnsi="Times New Roman"/>
          <w:sz w:val="18"/>
          <w:szCs w:val="18"/>
        </w:rPr>
        <w:t xml:space="preserve">.  Les affrontements firent sept (7) morts dont un (1) membre de la communauté bissa et six (6) de la communauté peulh. L’affaire reste à ce jour pendante devant le tribunal de grande instance de Tenkodogo. </w:t>
      </w:r>
    </w:p>
    <w:p w14:paraId="595F4370" w14:textId="77777777" w:rsidR="00D060B8" w:rsidRPr="007E0CA1" w:rsidRDefault="00D060B8">
      <w:pPr>
        <w:pStyle w:val="Notedebasdepage"/>
        <w:rPr>
          <w:rFonts w:ascii="Times New Roman" w:hAnsi="Times New Roman"/>
          <w:sz w:val="18"/>
          <w:szCs w:val="18"/>
          <w:lang w:val="fr-FR"/>
        </w:rPr>
      </w:pPr>
    </w:p>
  </w:footnote>
  <w:footnote w:id="56">
    <w:p w14:paraId="36AB0810" w14:textId="77777777" w:rsidR="00D060B8" w:rsidRPr="007E0CA1" w:rsidRDefault="00D060B8" w:rsidP="00C87581">
      <w:pPr>
        <w:spacing w:after="0"/>
        <w:jc w:val="both"/>
        <w:rPr>
          <w:rFonts w:ascii="Times New Roman" w:eastAsia="Times New Roman" w:hAnsi="Times New Roman"/>
          <w:sz w:val="18"/>
          <w:szCs w:val="18"/>
          <w:lang w:eastAsia="fr-FR"/>
        </w:rPr>
      </w:pPr>
      <w:r w:rsidRPr="007E0CA1">
        <w:rPr>
          <w:rStyle w:val="Marquenotebasdepage"/>
          <w:rFonts w:ascii="Times New Roman" w:hAnsi="Times New Roman"/>
          <w:sz w:val="18"/>
          <w:szCs w:val="18"/>
        </w:rPr>
        <w:footnoteRef/>
      </w:r>
      <w:r w:rsidRPr="007E0CA1">
        <w:rPr>
          <w:rFonts w:ascii="Times New Roman" w:hAnsi="Times New Roman"/>
          <w:sz w:val="18"/>
          <w:szCs w:val="18"/>
        </w:rPr>
        <w:t>« </w:t>
      </w:r>
      <w:r w:rsidRPr="007E0CA1">
        <w:rPr>
          <w:rFonts w:ascii="Times New Roman" w:eastAsia="Times New Roman" w:hAnsi="Times New Roman"/>
          <w:bCs/>
          <w:sz w:val="18"/>
          <w:szCs w:val="18"/>
          <w:lang w:eastAsia="fr-FR"/>
        </w:rPr>
        <w:t xml:space="preserve">Le ministère de la Justice, des Droits humains et de la Promotion civique a organisé, le 23 juin 2015, à Ouagadougou, un atelier de validation du rapport de l’étude sur l’état des lieux des conflits communautaires au Burkina Faso », in </w:t>
      </w:r>
      <w:proofErr w:type="spellStart"/>
      <w:r w:rsidRPr="007E0CA1">
        <w:rPr>
          <w:rFonts w:ascii="Times New Roman" w:eastAsia="Times New Roman" w:hAnsi="Times New Roman"/>
          <w:bCs/>
          <w:sz w:val="18"/>
          <w:szCs w:val="18"/>
          <w:lang w:eastAsia="fr-FR"/>
        </w:rPr>
        <w:t>Sidwaya</w:t>
      </w:r>
      <w:proofErr w:type="spellEnd"/>
      <w:r w:rsidRPr="007E0CA1">
        <w:rPr>
          <w:rFonts w:ascii="Times New Roman" w:eastAsia="Times New Roman" w:hAnsi="Times New Roman"/>
          <w:bCs/>
          <w:sz w:val="18"/>
          <w:szCs w:val="18"/>
          <w:lang w:eastAsia="fr-FR"/>
        </w:rPr>
        <w:t xml:space="preserve">, </w:t>
      </w:r>
      <w:r w:rsidRPr="007E0CA1">
        <w:rPr>
          <w:rFonts w:ascii="Times New Roman" w:hAnsi="Times New Roman"/>
          <w:sz w:val="18"/>
          <w:szCs w:val="18"/>
        </w:rPr>
        <w:t>Conflits communautaires : bientôt, un Observatoire national pour la prévention</w:t>
      </w:r>
      <w:r w:rsidRPr="007E0CA1">
        <w:rPr>
          <w:rFonts w:ascii="Times New Roman" w:eastAsia="Times New Roman" w:hAnsi="Times New Roman"/>
          <w:bCs/>
          <w:sz w:val="18"/>
          <w:szCs w:val="18"/>
          <w:lang w:eastAsia="fr-FR"/>
        </w:rPr>
        <w:t>.</w:t>
      </w:r>
    </w:p>
    <w:p w14:paraId="5A6128A0" w14:textId="77777777" w:rsidR="00D060B8" w:rsidRPr="007E0CA1" w:rsidRDefault="00D060B8" w:rsidP="00C87581">
      <w:pPr>
        <w:pStyle w:val="Titre2"/>
        <w:spacing w:before="0" w:after="0"/>
        <w:jc w:val="both"/>
        <w:rPr>
          <w:rFonts w:ascii="Times New Roman" w:hAnsi="Times New Roman"/>
          <w:sz w:val="18"/>
          <w:szCs w:val="18"/>
          <w:lang w:eastAsia="fr-FR"/>
        </w:rPr>
      </w:pPr>
      <w:r w:rsidRPr="007E0CA1">
        <w:rPr>
          <w:rFonts w:ascii="Times New Roman" w:hAnsi="Times New Roman"/>
          <w:b w:val="0"/>
          <w:sz w:val="18"/>
          <w:szCs w:val="18"/>
          <w:lang w:eastAsia="fr-FR"/>
        </w:rPr>
        <w:t xml:space="preserve"> http://www.sidwaya.bf/m-6659-conflits-communautaires-bientot-un-observatoire-national-pour-la-prevention.html</w:t>
      </w:r>
    </w:p>
  </w:footnote>
  <w:footnote w:id="57">
    <w:p w14:paraId="5C6061A8" w14:textId="77777777" w:rsidR="00D060B8" w:rsidRPr="007E0CA1" w:rsidRDefault="00D060B8" w:rsidP="00C87581">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Article 90 du </w:t>
      </w:r>
      <w:proofErr w:type="spellStart"/>
      <w:r w:rsidRPr="007E0CA1">
        <w:rPr>
          <w:rFonts w:ascii="Times New Roman" w:hAnsi="Times New Roman"/>
          <w:sz w:val="18"/>
          <w:szCs w:val="18"/>
        </w:rPr>
        <w:t>Kiti</w:t>
      </w:r>
      <w:proofErr w:type="spellEnd"/>
      <w:r w:rsidRPr="007E0CA1">
        <w:rPr>
          <w:rFonts w:ascii="Times New Roman" w:hAnsi="Times New Roman"/>
          <w:sz w:val="18"/>
          <w:szCs w:val="18"/>
        </w:rPr>
        <w:t xml:space="preserve"> n° AN VI-103/FP/MIJ portant organisation, régime et règlementation des établissements pénitentiaires au Burkina Faso. </w:t>
      </w:r>
    </w:p>
  </w:footnote>
  <w:footnote w:id="58">
    <w:p w14:paraId="788F5A92" w14:textId="77777777" w:rsidR="00D060B8" w:rsidRPr="007E0CA1" w:rsidRDefault="00D060B8" w:rsidP="00053AE4">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A titre d’exemple, onze (11) détenus soupçonnés d’avoir tenté de s’évader ont raconté à Amnesty International qu’ils « qu’ils avaient été enfermés dans un véhicule de transport dans la nuit du 30 au 31 octobre et qu'ils avaient été battus et maltraités à trois reprises avant de regagner leurs cellules. Burkina Faso « Qu'est-ce qu’ils avaient dans la tête pour tirer sur les gens ? » p 22-23</w:t>
      </w:r>
    </w:p>
  </w:footnote>
  <w:footnote w:id="59">
    <w:p w14:paraId="2E928C80" w14:textId="77777777" w:rsidR="00D060B8" w:rsidRPr="007E0CA1" w:rsidRDefault="00D060B8" w:rsidP="0054635E">
      <w:pPr>
        <w:pStyle w:val="Notedebasdepage"/>
        <w:rPr>
          <w:rFonts w:ascii="Times New Roman" w:hAnsi="Times New Roman"/>
          <w:sz w:val="18"/>
          <w:szCs w:val="18"/>
          <w:lang w:val="fr-FR"/>
        </w:rPr>
      </w:pPr>
      <w:r w:rsidRPr="007E0CA1">
        <w:rPr>
          <w:rStyle w:val="Marquenotebasdepage"/>
          <w:rFonts w:ascii="Times New Roman" w:hAnsi="Times New Roman"/>
          <w:sz w:val="18"/>
          <w:szCs w:val="18"/>
        </w:rPr>
        <w:footnoteRef/>
      </w:r>
      <w:hyperlink r:id="rId16" w:history="1">
        <w:r w:rsidRPr="007E0CA1">
          <w:rPr>
            <w:rStyle w:val="Lienhypertexte"/>
            <w:rFonts w:ascii="Times New Roman" w:hAnsi="Times New Roman"/>
            <w:sz w:val="18"/>
            <w:szCs w:val="18"/>
            <w:lang w:val="fr-FR"/>
          </w:rPr>
          <w:t>http://www.ipu.org/splz-f/csw13/note.pdf</w:t>
        </w:r>
      </w:hyperlink>
      <w:r w:rsidRPr="007E0CA1">
        <w:rPr>
          <w:rFonts w:ascii="Times New Roman" w:hAnsi="Times New Roman"/>
          <w:sz w:val="18"/>
          <w:szCs w:val="18"/>
          <w:lang w:val="fr-FR"/>
        </w:rPr>
        <w:t>, P. 2</w:t>
      </w:r>
    </w:p>
  </w:footnote>
  <w:footnote w:id="60">
    <w:p w14:paraId="4724CEE9" w14:textId="77777777" w:rsidR="00D060B8" w:rsidRPr="007E0CA1" w:rsidRDefault="00D060B8" w:rsidP="007E0CA1">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eastAsia="Times New Roman" w:hAnsi="Times New Roman"/>
          <w:sz w:val="18"/>
          <w:szCs w:val="18"/>
          <w:lang w:val="fr-FR" w:eastAsia="fr-FR"/>
        </w:rPr>
        <w:t xml:space="preserve">L’exciseuse, </w:t>
      </w:r>
      <w:r w:rsidRPr="00F34750">
        <w:rPr>
          <w:rFonts w:ascii="Times New Roman" w:eastAsia="Times New Roman" w:hAnsi="Times New Roman"/>
          <w:sz w:val="18"/>
          <w:szCs w:val="18"/>
          <w:lang w:val="fr-FR" w:eastAsia="fr-FR"/>
        </w:rPr>
        <w:t>aura</w:t>
      </w:r>
      <w:r w:rsidRPr="007E0CA1">
        <w:rPr>
          <w:rFonts w:ascii="Times New Roman" w:eastAsia="Times New Roman" w:hAnsi="Times New Roman"/>
          <w:sz w:val="18"/>
          <w:szCs w:val="18"/>
          <w:lang w:val="fr-FR" w:eastAsia="fr-FR"/>
        </w:rPr>
        <w:t>it hérité la pratique de sa mère elle-même exciseuse i</w:t>
      </w:r>
      <w:r w:rsidRPr="00F34750">
        <w:rPr>
          <w:rFonts w:ascii="Times New Roman" w:eastAsia="Times New Roman" w:hAnsi="Times New Roman"/>
          <w:sz w:val="18"/>
          <w:szCs w:val="18"/>
          <w:lang w:val="fr-FR" w:eastAsia="fr-FR"/>
        </w:rPr>
        <w:t>nvert</w:t>
      </w:r>
      <w:r w:rsidRPr="007E0CA1">
        <w:rPr>
          <w:rFonts w:ascii="Times New Roman" w:eastAsia="Times New Roman" w:hAnsi="Times New Roman"/>
          <w:sz w:val="18"/>
          <w:szCs w:val="18"/>
          <w:lang w:val="fr-FR" w:eastAsia="fr-FR"/>
        </w:rPr>
        <w:t xml:space="preserve">ébrée et </w:t>
      </w:r>
      <w:r w:rsidRPr="00F34750">
        <w:rPr>
          <w:rFonts w:ascii="Times New Roman" w:eastAsia="Times New Roman" w:hAnsi="Times New Roman"/>
          <w:sz w:val="18"/>
          <w:szCs w:val="18"/>
          <w:lang w:val="fr-FR" w:eastAsia="fr-FR"/>
        </w:rPr>
        <w:t>pratiquerait</w:t>
      </w:r>
      <w:r w:rsidRPr="007E0CA1">
        <w:rPr>
          <w:rFonts w:ascii="Times New Roman" w:eastAsia="Times New Roman" w:hAnsi="Times New Roman"/>
          <w:sz w:val="18"/>
          <w:szCs w:val="18"/>
          <w:lang w:val="fr-FR" w:eastAsia="fr-FR"/>
        </w:rPr>
        <w:t xml:space="preserve"> l’excision depuis trois ans avant d’être appréhendée</w:t>
      </w:r>
    </w:p>
  </w:footnote>
  <w:footnote w:id="61">
    <w:p w14:paraId="6A229443" w14:textId="77777777" w:rsidR="00D060B8" w:rsidRPr="00330DFE" w:rsidRDefault="00D060B8">
      <w:pPr>
        <w:pStyle w:val="Notedebasdepage"/>
        <w:rPr>
          <w:rFonts w:ascii="Times New Roman" w:eastAsia="Times New Roman" w:hAnsi="Times New Roman"/>
          <w:sz w:val="18"/>
          <w:szCs w:val="18"/>
          <w:lang w:val="fr-FR" w:eastAsia="fr-FR"/>
        </w:rPr>
      </w:pPr>
      <w:r>
        <w:rPr>
          <w:rStyle w:val="Marquenotebasdepage"/>
        </w:rPr>
        <w:footnoteRef/>
      </w:r>
      <w:r>
        <w:t xml:space="preserve"> </w:t>
      </w:r>
      <w:r w:rsidRPr="00330DFE">
        <w:rPr>
          <w:rFonts w:ascii="Times New Roman" w:eastAsia="Times New Roman" w:hAnsi="Times New Roman"/>
          <w:sz w:val="18"/>
          <w:szCs w:val="18"/>
          <w:lang w:val="fr-FR" w:eastAsia="fr-FR"/>
        </w:rPr>
        <w:t>http://xibaaru.com/flash-infos/la-gendarmerie-arrete-une-femme-sur-le-point-dexciser-15-filles/</w:t>
      </w:r>
    </w:p>
  </w:footnote>
  <w:footnote w:id="62">
    <w:p w14:paraId="4B9EC374" w14:textId="77777777" w:rsidR="00D060B8" w:rsidRPr="007E0CA1" w:rsidRDefault="00D060B8" w:rsidP="00D75476">
      <w:pPr>
        <w:spacing w:after="0" w:line="240" w:lineRule="auto"/>
        <w:jc w:val="both"/>
        <w:rPr>
          <w:rFonts w:ascii="Times New Roman" w:eastAsia="Times New Roman" w:hAnsi="Times New Roman"/>
          <w:sz w:val="18"/>
          <w:szCs w:val="18"/>
          <w:lang w:eastAsia="fr-FR"/>
        </w:rPr>
      </w:pPr>
      <w:r w:rsidRPr="007E0CA1">
        <w:rPr>
          <w:rStyle w:val="Marquenotebasdepage"/>
          <w:rFonts w:ascii="Times New Roman" w:hAnsi="Times New Roman"/>
          <w:sz w:val="18"/>
          <w:szCs w:val="18"/>
        </w:rPr>
        <w:footnoteRef/>
      </w:r>
      <w:r w:rsidRPr="00F34750">
        <w:rPr>
          <w:rFonts w:ascii="Times New Roman" w:eastAsia="Times New Roman" w:hAnsi="Times New Roman"/>
          <w:sz w:val="18"/>
          <w:szCs w:val="18"/>
          <w:lang w:eastAsia="fr-FR"/>
        </w:rPr>
        <w:t>Les services de l’action sociale de la localité ont été alertés et les fillettes victimes ont toutes été conduites dans un centre de santé pour des soins appropriés.</w:t>
      </w:r>
    </w:p>
  </w:footnote>
  <w:footnote w:id="63">
    <w:p w14:paraId="24BD0F4F" w14:textId="77777777" w:rsidR="00D060B8" w:rsidRPr="007E0CA1" w:rsidRDefault="00D060B8" w:rsidP="007E0CA1">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b/>
          <w:bCs/>
          <w:sz w:val="18"/>
          <w:szCs w:val="18"/>
          <w:lang w:val="fr-FR"/>
        </w:rPr>
        <w:t>« Le travail forcé ou obligatoire est interdit de façon absolue »</w:t>
      </w:r>
    </w:p>
  </w:footnote>
  <w:footnote w:id="64">
    <w:p w14:paraId="04011F32" w14:textId="77777777" w:rsidR="00D060B8" w:rsidRPr="007E0CA1" w:rsidRDefault="00D060B8" w:rsidP="0054635E">
      <w:pPr>
        <w:pStyle w:val="Notedebasdepage"/>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En vertu de l’a</w:t>
      </w:r>
      <w:r w:rsidRPr="007E0CA1">
        <w:rPr>
          <w:rFonts w:ascii="Times New Roman" w:hAnsi="Times New Roman"/>
          <w:b/>
          <w:bCs/>
          <w:color w:val="000000"/>
          <w:sz w:val="18"/>
          <w:szCs w:val="18"/>
          <w:lang w:val="fr-FR"/>
        </w:rPr>
        <w:t>rticle 152 « </w:t>
      </w:r>
      <w:r w:rsidRPr="007E0CA1">
        <w:rPr>
          <w:rFonts w:ascii="Times New Roman" w:hAnsi="Times New Roman"/>
          <w:color w:val="000000"/>
          <w:sz w:val="18"/>
          <w:szCs w:val="18"/>
          <w:lang w:val="fr-FR"/>
        </w:rPr>
        <w:t xml:space="preserve">L’âge minimum d’accès </w:t>
      </w:r>
      <w:proofErr w:type="gramStart"/>
      <w:r w:rsidRPr="007E0CA1">
        <w:rPr>
          <w:rFonts w:ascii="Times New Roman" w:hAnsi="Times New Roman"/>
          <w:color w:val="000000"/>
          <w:sz w:val="18"/>
          <w:szCs w:val="18"/>
          <w:lang w:val="fr-FR"/>
        </w:rPr>
        <w:t>à</w:t>
      </w:r>
      <w:proofErr w:type="gramEnd"/>
      <w:r w:rsidRPr="007E0CA1">
        <w:rPr>
          <w:rFonts w:ascii="Times New Roman" w:hAnsi="Times New Roman"/>
          <w:color w:val="000000"/>
          <w:sz w:val="18"/>
          <w:szCs w:val="18"/>
          <w:lang w:val="fr-FR"/>
        </w:rPr>
        <w:t xml:space="preserve"> tout type d’emploi ou de travail ne doit pas être inférieur à seize ans »</w:t>
      </w:r>
    </w:p>
  </w:footnote>
  <w:footnote w:id="65">
    <w:p w14:paraId="3A167E4E" w14:textId="77777777" w:rsidR="00D060B8" w:rsidRPr="007E0CA1" w:rsidRDefault="00D060B8" w:rsidP="0054635E">
      <w:pPr>
        <w:pStyle w:val="Titre1"/>
        <w:spacing w:before="0"/>
        <w:rPr>
          <w:rFonts w:ascii="Times New Roman" w:eastAsia="Times New Roman" w:hAnsi="Times New Roman"/>
          <w:sz w:val="18"/>
          <w:szCs w:val="18"/>
          <w:lang w:val="fr-FR"/>
        </w:rPr>
      </w:pPr>
      <w:r w:rsidRPr="007E0CA1">
        <w:rPr>
          <w:rStyle w:val="Marquenotebasdepage"/>
          <w:rFonts w:ascii="Times New Roman" w:hAnsi="Times New Roman"/>
          <w:color w:val="auto"/>
          <w:sz w:val="18"/>
          <w:szCs w:val="18"/>
        </w:rPr>
        <w:footnoteRef/>
      </w:r>
      <w:r w:rsidRPr="007E0CA1">
        <w:rPr>
          <w:rFonts w:ascii="Times New Roman" w:hAnsi="Times New Roman"/>
          <w:b w:val="0"/>
          <w:color w:val="auto"/>
          <w:sz w:val="18"/>
          <w:szCs w:val="18"/>
          <w:lang w:val="fr-FR"/>
        </w:rPr>
        <w:t xml:space="preserve"> Trafic de jeunes filles vers le Liban : une dame dans les filets de la gendarmerie</w:t>
      </w:r>
    </w:p>
    <w:p w14:paraId="0BF85892" w14:textId="77777777" w:rsidR="00D060B8" w:rsidRPr="007E0CA1" w:rsidRDefault="00D060B8" w:rsidP="0054635E">
      <w:pPr>
        <w:pStyle w:val="Notedebasdepage"/>
        <w:rPr>
          <w:rFonts w:ascii="Times New Roman" w:hAnsi="Times New Roman"/>
          <w:sz w:val="18"/>
          <w:szCs w:val="18"/>
          <w:lang w:val="fr-CA"/>
        </w:rPr>
      </w:pPr>
      <w:hyperlink r:id="rId17" w:history="1">
        <w:r w:rsidRPr="007E0CA1">
          <w:rPr>
            <w:rStyle w:val="Lienhypertexte"/>
            <w:rFonts w:ascii="Times New Roman" w:hAnsi="Times New Roman"/>
            <w:sz w:val="18"/>
            <w:szCs w:val="18"/>
            <w:lang w:val="fr-CA"/>
          </w:rPr>
          <w:t>http://lepays.bf/trafic-de-jeunes-filles-vers-le-liban-une-dame-dans-les-filets-de-la-gendarmerie/</w:t>
        </w:r>
      </w:hyperlink>
    </w:p>
  </w:footnote>
  <w:footnote w:id="66">
    <w:p w14:paraId="516A9189" w14:textId="77777777" w:rsidR="00D060B8" w:rsidRPr="007E0CA1" w:rsidRDefault="00D060B8" w:rsidP="0054635E">
      <w:pPr>
        <w:pStyle w:val="Notedebasdepage"/>
        <w:rPr>
          <w:rFonts w:ascii="Times New Roman" w:hAnsi="Times New Roman"/>
          <w:sz w:val="18"/>
          <w:szCs w:val="18"/>
          <w:lang w:val="fr-CA"/>
        </w:rPr>
      </w:pPr>
      <w:r w:rsidRPr="007E0CA1">
        <w:rPr>
          <w:rStyle w:val="Marquenotebasdepage"/>
          <w:rFonts w:ascii="Times New Roman" w:hAnsi="Times New Roman"/>
          <w:sz w:val="18"/>
          <w:szCs w:val="18"/>
        </w:rPr>
        <w:footnoteRef/>
      </w:r>
      <w:hyperlink r:id="rId18" w:history="1">
        <w:r w:rsidRPr="007E0CA1">
          <w:rPr>
            <w:rStyle w:val="Lienhypertexte"/>
            <w:rFonts w:ascii="Times New Roman" w:hAnsi="Times New Roman"/>
            <w:sz w:val="18"/>
            <w:szCs w:val="18"/>
            <w:lang w:val="fr-CA"/>
          </w:rPr>
          <w:t>http://www.fasozine.com/gendarmerie-de-kosyam-un-reseau-de-trafic-de-filles-vers-le-liban-demantele/</w:t>
        </w:r>
      </w:hyperlink>
    </w:p>
  </w:footnote>
  <w:footnote w:id="67">
    <w:p w14:paraId="005E0CF7" w14:textId="77777777" w:rsidR="00D060B8" w:rsidRPr="007E0CA1" w:rsidRDefault="00D060B8" w:rsidP="003C181F">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La sous-région ouest africaine et en particulier le Niger a été secouée par une affaire de trafic de bébé en provenance du Nigeria. Des personnes fortunées en manque de maternité ou de paternité auraient acheté des nouveaux nés du Nigeria prétextant qu’il s’agissait de leur propre enfant, et en fraude de toute procédure d’adoption.</w:t>
      </w:r>
    </w:p>
  </w:footnote>
  <w:footnote w:id="68">
    <w:p w14:paraId="33240B31" w14:textId="77777777" w:rsidR="00D060B8" w:rsidRPr="007E0CA1" w:rsidRDefault="00D060B8" w:rsidP="0054635E">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CA"/>
        </w:rPr>
        <w:t xml:space="preserve">C’est depuis </w:t>
      </w:r>
      <w:r w:rsidRPr="007E0CA1">
        <w:rPr>
          <w:rFonts w:ascii="Times New Roman" w:hAnsi="Times New Roman"/>
          <w:bCs/>
          <w:sz w:val="18"/>
          <w:szCs w:val="18"/>
          <w:lang w:val="fr-FR"/>
        </w:rPr>
        <w:t>le 27 juillet 1962 que le Burkina Faso a ratifié la Convention du 21 mars 1950 relative à la répression de la traite des êtres humains et de l’exploitation de la prostitution d’autrui. Il a aussi ratifié le Protocole additionnel à la Convention des Nations Unies sur la criminalité transnationale organisée visant à prévenir, réprimer et punir la traite des personnes, en particulier des femmes et des enfants le 15 mai 2002, de même que les deux Protocoles facultatifs à la Convention relative aux droits de l’enfant concernant la vente d’enfants, la prostitution des enfants et la pornographie mettant en scène des enfants et l’implication des enfants dans les conflits armés, ratifiés le 30 décembre 2005</w:t>
      </w:r>
      <w:r w:rsidRPr="007E0CA1">
        <w:rPr>
          <w:rFonts w:ascii="Times New Roman" w:hAnsi="Times New Roman"/>
          <w:b/>
          <w:bCs/>
          <w:sz w:val="18"/>
          <w:szCs w:val="18"/>
          <w:lang w:val="fr-FR"/>
        </w:rPr>
        <w:t>.</w:t>
      </w:r>
    </w:p>
  </w:footnote>
  <w:footnote w:id="69">
    <w:p w14:paraId="08CE17C5"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Article 9 : « </w:t>
      </w:r>
      <w:r w:rsidRPr="007E0CA1">
        <w:rPr>
          <w:rFonts w:ascii="Times New Roman" w:hAnsi="Times New Roman"/>
          <w:bCs/>
          <w:sz w:val="18"/>
          <w:szCs w:val="18"/>
          <w:lang w:val="fr-FR"/>
        </w:rPr>
        <w:t>La libre circulation des personnes et des biens, le libre choix de la résidence et le droit d’asile sont garantis dans le cadre des lois et règlements en vigueur</w:t>
      </w:r>
      <w:r w:rsidRPr="007E0CA1">
        <w:rPr>
          <w:rFonts w:ascii="Times New Roman" w:hAnsi="Times New Roman"/>
          <w:b/>
          <w:bCs/>
          <w:sz w:val="18"/>
          <w:szCs w:val="18"/>
          <w:lang w:val="fr-FR"/>
        </w:rPr>
        <w:t xml:space="preserve"> ».</w:t>
      </w:r>
    </w:p>
  </w:footnote>
  <w:footnote w:id="70">
    <w:p w14:paraId="65728E92"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L’ordonnance 84-49 du 4 août 1984 et la </w:t>
      </w:r>
      <w:proofErr w:type="spellStart"/>
      <w:r w:rsidRPr="007E0CA1">
        <w:rPr>
          <w:rFonts w:ascii="Times New Roman" w:hAnsi="Times New Roman"/>
          <w:sz w:val="18"/>
          <w:szCs w:val="18"/>
        </w:rPr>
        <w:t>Zatu</w:t>
      </w:r>
      <w:proofErr w:type="spellEnd"/>
      <w:r w:rsidRPr="007E0CA1">
        <w:rPr>
          <w:rFonts w:ascii="Times New Roman" w:hAnsi="Times New Roman"/>
          <w:sz w:val="18"/>
          <w:szCs w:val="18"/>
        </w:rPr>
        <w:t xml:space="preserve"> n°85-49 du 4 Août 1984 fixent les conditions d’entrée, de séjour et de sortie du Burkina Faso des nationaux et des étrangers. </w:t>
      </w:r>
    </w:p>
  </w:footnote>
  <w:footnote w:id="71">
    <w:p w14:paraId="76D4651B"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Le protocole de la CEDEAO sur la libre circulation des personnes, le droit de résidence et d’établissement adopté le 29 mai 1979 régit aussi la question. On peut citer entre autres le protocole additionnel A/SP1/7/86 relatif à l’exécution de la deuxième étape du protocole sur la libre circulation des personnes relatif au droit d’établissement signé à Abuja le 1</w:t>
      </w:r>
      <w:r w:rsidRPr="007E0CA1">
        <w:rPr>
          <w:rFonts w:ascii="Times New Roman" w:hAnsi="Times New Roman"/>
          <w:sz w:val="18"/>
          <w:szCs w:val="18"/>
          <w:vertAlign w:val="superscript"/>
        </w:rPr>
        <w:t>er</w:t>
      </w:r>
      <w:r w:rsidRPr="007E0CA1">
        <w:rPr>
          <w:rFonts w:ascii="Times New Roman" w:hAnsi="Times New Roman"/>
          <w:sz w:val="18"/>
          <w:szCs w:val="18"/>
        </w:rPr>
        <w:t xml:space="preserve"> juillet 1986 et ratifié le 18 avril 1989.</w:t>
      </w:r>
    </w:p>
    <w:p w14:paraId="4D37B67E" w14:textId="77777777" w:rsidR="00D060B8" w:rsidRPr="007E0CA1" w:rsidRDefault="00D060B8" w:rsidP="00892685">
      <w:pPr>
        <w:pStyle w:val="Notedebasdepage"/>
        <w:jc w:val="both"/>
        <w:rPr>
          <w:rFonts w:ascii="Times New Roman" w:hAnsi="Times New Roman"/>
          <w:sz w:val="18"/>
          <w:szCs w:val="18"/>
          <w:lang w:val="fr-FR"/>
        </w:rPr>
      </w:pPr>
    </w:p>
  </w:footnote>
  <w:footnote w:id="72">
    <w:p w14:paraId="6D60D903" w14:textId="77777777" w:rsidR="00D060B8" w:rsidRPr="00637765" w:rsidRDefault="00D060B8" w:rsidP="007F3834">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En effet, à </w:t>
      </w:r>
      <w:proofErr w:type="spellStart"/>
      <w:r w:rsidRPr="007E0CA1">
        <w:rPr>
          <w:rFonts w:ascii="Times New Roman" w:hAnsi="Times New Roman"/>
          <w:sz w:val="18"/>
          <w:szCs w:val="18"/>
        </w:rPr>
        <w:t>Zabré</w:t>
      </w:r>
      <w:proofErr w:type="spellEnd"/>
      <w:r w:rsidRPr="007E0CA1">
        <w:rPr>
          <w:rFonts w:ascii="Times New Roman" w:hAnsi="Times New Roman"/>
          <w:sz w:val="18"/>
          <w:szCs w:val="18"/>
        </w:rPr>
        <w:t xml:space="preserve"> (ville située à 227 Km à centre sud de Ouagadougou), </w:t>
      </w:r>
      <w:proofErr w:type="spellStart"/>
      <w:r w:rsidRPr="007E0CA1">
        <w:rPr>
          <w:rFonts w:ascii="Times New Roman" w:hAnsi="Times New Roman"/>
          <w:sz w:val="18"/>
          <w:szCs w:val="18"/>
        </w:rPr>
        <w:t>Ziniaré</w:t>
      </w:r>
      <w:proofErr w:type="spellEnd"/>
      <w:r w:rsidRPr="007E0CA1">
        <w:rPr>
          <w:rFonts w:ascii="Times New Roman" w:hAnsi="Times New Roman"/>
          <w:sz w:val="18"/>
          <w:szCs w:val="18"/>
        </w:rPr>
        <w:t xml:space="preserve"> (ville située à 37 Km au centre-nord de la capitale Ouagadougou), </w:t>
      </w:r>
      <w:proofErr w:type="spellStart"/>
      <w:r w:rsidRPr="007E0CA1">
        <w:rPr>
          <w:rFonts w:ascii="Times New Roman" w:hAnsi="Times New Roman"/>
          <w:sz w:val="18"/>
          <w:szCs w:val="18"/>
        </w:rPr>
        <w:t>Pama</w:t>
      </w:r>
      <w:proofErr w:type="spellEnd"/>
      <w:r w:rsidRPr="007E0CA1">
        <w:rPr>
          <w:rFonts w:ascii="Times New Roman" w:hAnsi="Times New Roman"/>
          <w:sz w:val="18"/>
          <w:szCs w:val="18"/>
        </w:rPr>
        <w:t xml:space="preserve"> (ville située à 370 Km à l’est de Ouagadougou), entre autres, des personnes ont été déplacées à la suite de conflits opposants certaines communautés (agriculteurs-éleveurs). Chassés de leurs villages, beaucoup ont vécu dans des conditions de dénuement total à proximité des commissariats et gendarmeries sans véritable solution de relocalisation. Le conflit de Sari, un village situé à la frontière entre le Mali et le Burkina Faso en (2012) qui a opposé des agriculteurs dogons maliens à des éleveurs peulhs originaires du Burkina Faso a par exemple enregistré des dizaines de morts et plus d’un millier de déplacés. Ces personnes ont été prises en charge par la Croix Rouge et le ministère de l’action sociale. Ces interventions ont été en général très tardives et les conditions de vie de ces personnes déplacées restent déplorables dans des camps de fortune (manque et insuffisance d’écoles adaptées pour l’instruction des refugiés, proximité de commissariat etc.) où les conditions d’hygiène, d’alimentation et de sécurité sont précaires. Il faut toutefois saluer la réactivité des autorités et des organismes humanitaires dans la prise en charge des immigrants illégaux rapatriés du Gabon et des ressortissants burkinabè installés de longue date au Nigeria et fuyant les exactions de </w:t>
      </w:r>
      <w:proofErr w:type="spellStart"/>
      <w:r w:rsidRPr="007E0CA1">
        <w:rPr>
          <w:rFonts w:ascii="Times New Roman" w:hAnsi="Times New Roman"/>
          <w:sz w:val="18"/>
          <w:szCs w:val="18"/>
        </w:rPr>
        <w:t>BokoHaram</w:t>
      </w:r>
      <w:proofErr w:type="spellEnd"/>
      <w:r w:rsidRPr="007E0CA1">
        <w:rPr>
          <w:rFonts w:ascii="Times New Roman" w:hAnsi="Times New Roman"/>
          <w:sz w:val="18"/>
          <w:szCs w:val="18"/>
        </w:rPr>
        <w:t>. Dans tous les cas de figure, la gestion ou prise en charge de long terme de ces personnes se posent.</w:t>
      </w:r>
    </w:p>
  </w:footnote>
  <w:footnote w:id="73">
    <w:p w14:paraId="37722EBE"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Le Décret n° 2011-119/PRES/PM/MAER du 10 Mars 2011 relatif aux modalités d’application de la loi portant statut des réfugiés au Burkina Faso stipule dans son article 41 : </w:t>
      </w:r>
      <w:r w:rsidRPr="007E0CA1">
        <w:rPr>
          <w:rFonts w:ascii="Times New Roman" w:hAnsi="Times New Roman"/>
          <w:i/>
          <w:sz w:val="18"/>
          <w:szCs w:val="18"/>
        </w:rPr>
        <w:t>"Tout réfugié régulièrement reconnu au Burkina Faso bénéficie sur l’ensemble du territoire national de la protection nécessaire, conformément aux dispositions de la loi n°0042-2008/AN du 23 Octobre 2008 portant statut des réfugiés au Burkina Faso, de la Convention de Genève du 28 Juillet 1951 relative au statut des réfugiés et de son Protocole du 31 Janvier 1967".</w:t>
      </w:r>
      <w:r w:rsidRPr="007E0CA1">
        <w:rPr>
          <w:rFonts w:ascii="Times New Roman" w:hAnsi="Times New Roman"/>
          <w:sz w:val="18"/>
          <w:szCs w:val="18"/>
        </w:rPr>
        <w:t xml:space="preserve"> Les réfugiés ont droit à des pièces administratives dont la Carte d’Identité de Réfugié (CIR). La loi n° 042-2008/AN du 23 Octobre 2008 en son article 13 considère la CIR comme un droit pour le réfugié </w:t>
      </w:r>
      <w:r w:rsidRPr="007E0CA1">
        <w:rPr>
          <w:rFonts w:ascii="Times New Roman" w:hAnsi="Times New Roman"/>
          <w:i/>
          <w:sz w:val="18"/>
          <w:szCs w:val="18"/>
        </w:rPr>
        <w:t>"toute personne reconnue comme réfugié au Burkina Faso reçoit une Carte d’Identité de Réfugié dont les caractéristiques, la durée de validité et les modalités de renouvellement sont fixées par décret pris en conseil des ministres"</w:t>
      </w:r>
      <w:r w:rsidRPr="007E0CA1">
        <w:rPr>
          <w:rFonts w:ascii="Times New Roman" w:hAnsi="Times New Roman"/>
          <w:sz w:val="18"/>
          <w:szCs w:val="18"/>
        </w:rPr>
        <w:t>. Elle doit leur permettre de faire facilement des opérations bancaires, de circuler librement avec leurs biens.</w:t>
      </w:r>
    </w:p>
  </w:footnote>
  <w:footnote w:id="74">
    <w:p w14:paraId="3278032B"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hyperlink r:id="rId19" w:history="1">
        <w:r w:rsidRPr="007E0CA1">
          <w:rPr>
            <w:rStyle w:val="Lienhypertexte"/>
            <w:rFonts w:ascii="Times New Roman" w:hAnsi="Times New Roman"/>
            <w:sz w:val="18"/>
            <w:szCs w:val="18"/>
            <w:lang w:val="fr-FR"/>
          </w:rPr>
          <w:t>http://www.courrierconfidentiel.net/index.php/9-au-palais/75-assassinat-de-balla-keita-a-ouagadougou-cc-du-25092011</w:t>
        </w:r>
      </w:hyperlink>
      <w:r w:rsidRPr="007E0CA1">
        <w:rPr>
          <w:rFonts w:ascii="Times New Roman" w:hAnsi="Times New Roman"/>
          <w:sz w:val="18"/>
          <w:szCs w:val="18"/>
          <w:lang w:val="fr-FR"/>
        </w:rPr>
        <w:t xml:space="preserve">. </w:t>
      </w:r>
    </w:p>
  </w:footnote>
  <w:footnote w:id="75">
    <w:p w14:paraId="411E61C9"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Sa mission consiste en la règlementation de la protection et de la sécurité des données dans le contexte des communications électroniques sans préjudice de la règlementation relative à la protection des données à caractère personnel. C’est une institution administrative indépendante dotée de la personnalité juridique placée sous la tutelle du premier ministère.</w:t>
      </w:r>
    </w:p>
  </w:footnote>
  <w:footnote w:id="76">
    <w:p w14:paraId="459A3BB4"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C’est une autorité administrative indépendante chargée de la régulation du secteur de la communication. Son champ de compétence porte entre autres sur les activités de radiodiffusion sonore et télévisuelle, de presse écrite, publique et privée, sur la mise à disposition du public d’informations sur tout support physique ou électronique, comme le définit l’article 2 de la loi organique n°015-2013/AN portant attributions, composition, organisation et fonctionnement du Conseil Supérieur de la Communication.</w:t>
      </w:r>
    </w:p>
  </w:footnote>
  <w:footnote w:id="77">
    <w:p w14:paraId="48F14082"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Ce fut ainsi le cas, les 10, 14 et 15 mars 2011 marche programmée de l’Association Nationale des Etudiants Burkinabè (ANEB)</w:t>
      </w:r>
      <w:r w:rsidRPr="007E0CA1" w:rsidDel="0075443B">
        <w:rPr>
          <w:rFonts w:ascii="Times New Roman" w:hAnsi="Times New Roman"/>
          <w:sz w:val="18"/>
          <w:szCs w:val="18"/>
          <w:lang w:val="fr-FR"/>
        </w:rPr>
        <w:t xml:space="preserve">. </w:t>
      </w:r>
      <w:r w:rsidRPr="007E0CA1">
        <w:rPr>
          <w:rFonts w:ascii="Times New Roman" w:hAnsi="Times New Roman"/>
          <w:sz w:val="18"/>
          <w:szCs w:val="18"/>
          <w:lang w:val="fr-FR"/>
        </w:rPr>
        <w:t>Le 08 avril 2011 (marche meeting de la CCVC), les 29 et 30 avril 2011 (meeting de l’opposition politique).</w:t>
      </w:r>
    </w:p>
  </w:footnote>
  <w:footnote w:id="78">
    <w:p w14:paraId="6A448614"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Elle prévoit en ses articles 371 à 373 du code pénal</w:t>
      </w:r>
      <w:r w:rsidRPr="007E0CA1">
        <w:rPr>
          <w:rStyle w:val="Marquenotebasdepage"/>
          <w:rFonts w:ascii="Times New Roman" w:hAnsi="Times New Roman"/>
          <w:sz w:val="18"/>
          <w:szCs w:val="18"/>
          <w:lang w:val="fr-FR"/>
        </w:rPr>
        <w:footnoteRef/>
      </w:r>
      <w:r w:rsidRPr="007E0CA1">
        <w:rPr>
          <w:rFonts w:ascii="Times New Roman" w:hAnsi="Times New Roman"/>
          <w:sz w:val="18"/>
          <w:szCs w:val="18"/>
          <w:lang w:val="fr-FR"/>
        </w:rPr>
        <w:t xml:space="preserve"> des sanctions pénales en cas d’atteintes illégales à la vie privée ouvrant droit à un dédommagement pour la victime. En cas d’atteinte ou de risque d’atteinte à la vie privée, l’article 90 du Code de l’information permet aux juges de prescrire, sans préjudice de la réparation du dommage subi, toutes mesures telles que les séquestres, saisies et autres mesures propres à empêcher ou faire cesser une atteinte à l’intimité de la vie privée. Ces mesures peuvent, s’il y a urgence, être ordonnées en référé</w:t>
      </w:r>
      <w:proofErr w:type="gramStart"/>
      <w:r w:rsidRPr="007E0CA1">
        <w:rPr>
          <w:rFonts w:ascii="Times New Roman" w:hAnsi="Times New Roman"/>
          <w:sz w:val="18"/>
          <w:szCs w:val="18"/>
          <w:lang w:val="fr-FR"/>
        </w:rPr>
        <w:t>..</w:t>
      </w:r>
      <w:proofErr w:type="gramEnd"/>
    </w:p>
  </w:footnote>
  <w:footnote w:id="79">
    <w:p w14:paraId="61D898B6"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L’article 8 de la constitution stipule que : </w:t>
      </w:r>
      <w:r w:rsidRPr="007E0CA1">
        <w:rPr>
          <w:rFonts w:ascii="Times New Roman" w:hAnsi="Times New Roman"/>
          <w:i/>
          <w:sz w:val="18"/>
          <w:szCs w:val="18"/>
          <w:lang w:val="fr-FR"/>
        </w:rPr>
        <w:t>« les libertés d’opinion, de presse et le droit à l’information sont garanties. Toute personne a le droit de diffuser ses opinions dans le cadre des lois et règlements en vigueur»</w:t>
      </w:r>
    </w:p>
  </w:footnote>
  <w:footnote w:id="80">
    <w:p w14:paraId="4D676A17"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Des organismes de régulation ou d’auto régulation des médias comme l’instar de l’Observatoire burkinabé des médias (OBM) ont alors été mis en place suite à ces critiques par des acteurs pour s’assurer du respect des normes de déontologie professionnelle </w:t>
      </w:r>
    </w:p>
  </w:footnote>
  <w:footnote w:id="81">
    <w:p w14:paraId="135DC462"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On peut retenir comme raison d’insatisfaction, la mutinerie de 2011, les multiples sorties des étudiants (augmentation de bourse, suppression du système </w:t>
      </w:r>
      <w:proofErr w:type="gramStart"/>
      <w:r w:rsidRPr="007E0CA1">
        <w:rPr>
          <w:rFonts w:ascii="Times New Roman" w:hAnsi="Times New Roman"/>
          <w:sz w:val="18"/>
          <w:szCs w:val="18"/>
          <w:lang w:val="fr-FR"/>
        </w:rPr>
        <w:t>LMD…)</w:t>
      </w:r>
      <w:proofErr w:type="gramEnd"/>
      <w:r w:rsidRPr="007E0CA1">
        <w:rPr>
          <w:rFonts w:ascii="Times New Roman" w:hAnsi="Times New Roman"/>
          <w:sz w:val="18"/>
          <w:szCs w:val="18"/>
          <w:lang w:val="fr-FR"/>
        </w:rPr>
        <w:t>, les revendications de la coalition nationale contre la vie chère, les différents appels des syndicats de l’enseignement. Comme raison de soulèvements contre l’imp</w:t>
      </w:r>
      <w:r>
        <w:rPr>
          <w:rFonts w:ascii="Times New Roman" w:hAnsi="Times New Roman"/>
          <w:sz w:val="18"/>
          <w:szCs w:val="18"/>
          <w:lang w:val="fr-FR"/>
        </w:rPr>
        <w:t>unité, on souligne les affaires</w:t>
      </w:r>
      <w:r w:rsidRPr="007E0CA1">
        <w:rPr>
          <w:rFonts w:ascii="Times New Roman" w:hAnsi="Times New Roman"/>
          <w:sz w:val="18"/>
          <w:szCs w:val="18"/>
          <w:lang w:val="fr-FR"/>
        </w:rPr>
        <w:t xml:space="preserve"> Norbert ZONGO, Justin ZONGO, </w:t>
      </w:r>
      <w:proofErr w:type="spellStart"/>
      <w:r w:rsidRPr="007E0CA1">
        <w:rPr>
          <w:rFonts w:ascii="Times New Roman" w:hAnsi="Times New Roman"/>
          <w:sz w:val="18"/>
          <w:szCs w:val="18"/>
          <w:lang w:val="fr-FR"/>
        </w:rPr>
        <w:t>Boukary</w:t>
      </w:r>
      <w:proofErr w:type="spellEnd"/>
      <w:r w:rsidRPr="007E0CA1">
        <w:rPr>
          <w:rFonts w:ascii="Times New Roman" w:hAnsi="Times New Roman"/>
          <w:sz w:val="18"/>
          <w:szCs w:val="18"/>
          <w:lang w:val="fr-FR"/>
        </w:rPr>
        <w:t xml:space="preserve"> DABO, Flavien NEBIE…</w:t>
      </w:r>
    </w:p>
  </w:footnote>
  <w:footnote w:id="82">
    <w:p w14:paraId="0F4396C8"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MBDHP</w:t>
      </w:r>
      <w:r w:rsidRPr="007E0CA1">
        <w:rPr>
          <w:rFonts w:ascii="Times New Roman" w:hAnsi="Times New Roman"/>
          <w:i/>
          <w:sz w:val="18"/>
          <w:szCs w:val="18"/>
          <w:lang w:val="fr-FR"/>
        </w:rPr>
        <w:t>, Violations des droits humains commises pendant la crise socio-politique et militaire au Burkina Faso en 2011</w:t>
      </w:r>
      <w:r w:rsidRPr="007E0CA1">
        <w:rPr>
          <w:rFonts w:ascii="Times New Roman" w:hAnsi="Times New Roman"/>
          <w:sz w:val="18"/>
          <w:szCs w:val="18"/>
          <w:lang w:val="fr-FR"/>
        </w:rPr>
        <w:t>, p. 18 à 22</w:t>
      </w:r>
    </w:p>
  </w:footnote>
  <w:footnote w:id="83">
    <w:p w14:paraId="2EFC2C75"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lang w:eastAsia="fr-FR"/>
        </w:rPr>
        <w:t>« Rapport provisoire du comité ad-hoc sur les atteintes aux droits humains pendant l'insurrection populaire des 30 et 31 octobre et au cours des journées des 1er et 2 novembre 2014. » Ce rapport se base sur les informations fournies par le ministère de la Justice, le ministère de la Défense, le ministère de l'Administration territoriale et de la Sécurité, les directeurs de la MACO à Ouagadougou, ainsi que sur les plaintes déposées auprès du procureur général du pays.</w:t>
      </w:r>
    </w:p>
  </w:footnote>
  <w:footnote w:id="84">
    <w:p w14:paraId="1B424804"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lang w:eastAsia="fr-FR"/>
        </w:rPr>
        <w:t>Burkina Faso « Qu'est-ce qu’ils avaient dans la tête pour tirer sur les gens ? » P. 28</w:t>
      </w:r>
    </w:p>
  </w:footnote>
  <w:footnote w:id="85">
    <w:p w14:paraId="58D18E2E" w14:textId="77777777" w:rsidR="00D060B8" w:rsidRPr="007E0CA1" w:rsidRDefault="00D060B8" w:rsidP="00784D51">
      <w:pPr>
        <w:spacing w:line="240" w:lineRule="auto"/>
        <w:contextualSpacing/>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Suite aux réformes politiques et institutionnelles entreprises depuis 2001, le code électoral a fait l’objet de plusieurs séquences d’amendements de nature à renforcer l’efficience, la transparence, la crédibilité et la sécurité des processus électoraux. A cet effet, il a été notamment institué une « nouvelle » Commission Electorale Nationale Indépendante (CENI), désormais responsable de l’essentiel du processus électoral, dès la collecte des données pour l’établissement des listes électorales jusqu’à la publication des résultats provisoires.</w:t>
      </w:r>
    </w:p>
  </w:footnote>
  <w:footnote w:id="86">
    <w:p w14:paraId="7A48548C" w14:textId="77777777" w:rsidR="00D060B8" w:rsidRPr="007E0CA1" w:rsidRDefault="00D060B8" w:rsidP="00784D51">
      <w:pPr>
        <w:spacing w:after="0" w:line="240" w:lineRule="auto"/>
        <w:contextualSpacing/>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C’est ainsi que pour les élections couplées législatives et municipales du 2 Décembre 2012, le gouvernement du Burkina Faso a sollicité l’appui du Programmes des Nations Unies pour le Développement (PNUD) et des autres partenaires au développement, en vue d’apporter un appui à la CENI pour l’organisation d’élections libres, démocratiques, transparentes et inclusives. Cette assistance technique et financière s’inscrit dans le cadre d’un processus électoral crédible et pérenne.</w:t>
      </w:r>
    </w:p>
  </w:footnote>
  <w:footnote w:id="87">
    <w:p w14:paraId="43E076E5" w14:textId="77777777" w:rsidR="00D060B8" w:rsidRPr="007E0CA1" w:rsidRDefault="00D060B8" w:rsidP="00784D51">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Le précédent Président du Conseil constitutionnel, Albert Dé </w:t>
      </w:r>
      <w:proofErr w:type="spellStart"/>
      <w:r w:rsidRPr="007E0CA1">
        <w:rPr>
          <w:rFonts w:ascii="Times New Roman" w:hAnsi="Times New Roman"/>
          <w:sz w:val="18"/>
          <w:szCs w:val="18"/>
          <w:lang w:val="fr-FR"/>
        </w:rPr>
        <w:t>Millogo</w:t>
      </w:r>
      <w:proofErr w:type="spellEnd"/>
      <w:r w:rsidRPr="007E0CA1">
        <w:rPr>
          <w:rFonts w:ascii="Times New Roman" w:hAnsi="Times New Roman"/>
          <w:sz w:val="18"/>
          <w:szCs w:val="18"/>
          <w:lang w:val="fr-FR"/>
        </w:rPr>
        <w:t>, fut un ancien ministre de la défense de Blaise Compaoré.</w:t>
      </w:r>
    </w:p>
  </w:footnote>
  <w:footnote w:id="88">
    <w:p w14:paraId="153E08BC" w14:textId="77777777" w:rsidR="00D060B8" w:rsidRPr="00BB63FB" w:rsidRDefault="00D060B8">
      <w:pPr>
        <w:pStyle w:val="Notedebasdepage"/>
        <w:rPr>
          <w:rFonts w:ascii="Times New Roman" w:hAnsi="Times New Roman"/>
          <w:sz w:val="18"/>
          <w:szCs w:val="18"/>
          <w:lang w:val="fr-FR"/>
        </w:rPr>
      </w:pPr>
      <w:r>
        <w:rPr>
          <w:rStyle w:val="Marquenotebasdepage"/>
        </w:rPr>
        <w:footnoteRef/>
      </w:r>
      <w:r>
        <w:t xml:space="preserve"> </w:t>
      </w:r>
      <w:r>
        <w:rPr>
          <w:lang w:val="fr-FR"/>
        </w:rPr>
        <w:t xml:space="preserve"> </w:t>
      </w:r>
      <w:r w:rsidRPr="00BB63FB">
        <w:rPr>
          <w:rFonts w:ascii="Times New Roman" w:hAnsi="Times New Roman"/>
          <w:sz w:val="18"/>
          <w:szCs w:val="18"/>
          <w:lang w:val="fr-FR"/>
        </w:rPr>
        <w:t>http://lesechosdufaso.net/recours-dosc-contre-leligibilite-de-candidats-aux-elections-legislatives/</w:t>
      </w:r>
    </w:p>
  </w:footnote>
  <w:footnote w:id="89">
    <w:p w14:paraId="07E1CA19" w14:textId="77777777" w:rsidR="00D060B8" w:rsidRPr="007E0CA1" w:rsidRDefault="00D060B8" w:rsidP="00892685">
      <w:pPr>
        <w:pStyle w:val="NormalWeb"/>
        <w:spacing w:before="0" w:beforeAutospacing="0" w:after="0" w:afterAutospacing="0"/>
        <w:jc w:val="both"/>
        <w:rPr>
          <w:sz w:val="18"/>
          <w:szCs w:val="18"/>
        </w:rPr>
      </w:pPr>
      <w:r w:rsidRPr="007E0CA1">
        <w:rPr>
          <w:rStyle w:val="Marquenotebasdepage"/>
          <w:sz w:val="18"/>
          <w:szCs w:val="18"/>
        </w:rPr>
        <w:footnoteRef/>
      </w:r>
      <w:r w:rsidRPr="007E0CA1">
        <w:rPr>
          <w:b/>
          <w:sz w:val="18"/>
          <w:szCs w:val="18"/>
        </w:rPr>
        <w:t>Article 9 du pacte de bonne conduite</w:t>
      </w:r>
      <w:r w:rsidRPr="007E0CA1">
        <w:rPr>
          <w:sz w:val="18"/>
          <w:szCs w:val="18"/>
        </w:rPr>
        <w:t> : « Les candidats aux scrutins s’engagent à bannir de leurs discours et programmes politiques, le mensonge, la diffamation, les incitations à la fraude et à la corruption électorale ainsi que tout comportement tendant à abuser de la bonne foi de l’électorat ».</w:t>
      </w:r>
    </w:p>
    <w:p w14:paraId="7C12E497" w14:textId="77777777" w:rsidR="00D060B8" w:rsidRPr="007E0CA1" w:rsidRDefault="00D060B8" w:rsidP="00892685">
      <w:pPr>
        <w:pStyle w:val="NormalWeb"/>
        <w:spacing w:before="0" w:beforeAutospacing="0" w:after="0" w:afterAutospacing="0"/>
        <w:jc w:val="both"/>
        <w:rPr>
          <w:sz w:val="18"/>
          <w:szCs w:val="18"/>
        </w:rPr>
      </w:pPr>
      <w:r w:rsidRPr="007E0CA1">
        <w:rPr>
          <w:sz w:val="18"/>
          <w:szCs w:val="18"/>
        </w:rPr>
        <w:t xml:space="preserve">« Les organisations de la société civile s’engagent à assurer leur rôle de veille </w:t>
      </w:r>
      <w:proofErr w:type="gramStart"/>
      <w:r w:rsidRPr="007E0CA1">
        <w:rPr>
          <w:sz w:val="18"/>
          <w:szCs w:val="18"/>
        </w:rPr>
        <w:t>sociale(</w:t>
      </w:r>
      <w:proofErr w:type="gramEnd"/>
      <w:r w:rsidRPr="007E0CA1">
        <w:rPr>
          <w:sz w:val="18"/>
          <w:szCs w:val="18"/>
        </w:rPr>
        <w:t>…) Elles s’engagent, en outre, à une saine utilisation des médias et des agences de publicité ou de communication dans leurs activités. »</w:t>
      </w:r>
    </w:p>
    <w:p w14:paraId="7BD867F1" w14:textId="77777777" w:rsidR="00D060B8" w:rsidRPr="007E0CA1" w:rsidRDefault="00D060B8" w:rsidP="00892685">
      <w:pPr>
        <w:pStyle w:val="NormalWeb"/>
        <w:spacing w:before="0" w:beforeAutospacing="0" w:after="0" w:afterAutospacing="0"/>
        <w:contextualSpacing/>
        <w:jc w:val="both"/>
        <w:rPr>
          <w:sz w:val="18"/>
          <w:szCs w:val="18"/>
        </w:rPr>
      </w:pPr>
      <w:r w:rsidRPr="007E0CA1">
        <w:rPr>
          <w:b/>
          <w:sz w:val="18"/>
          <w:szCs w:val="18"/>
        </w:rPr>
        <w:t>L’article 10du pacte</w:t>
      </w:r>
      <w:r w:rsidRPr="007E0CA1">
        <w:rPr>
          <w:sz w:val="18"/>
          <w:szCs w:val="18"/>
        </w:rPr>
        <w:t xml:space="preserve"> renseigne que « Les medias publics s’engagent à assurer un traitement égalitaire, équilibré et équitable des candidats ou formations politiques prenant part aux scrutins »</w:t>
      </w:r>
    </w:p>
    <w:p w14:paraId="381888C1" w14:textId="77777777" w:rsidR="00D060B8" w:rsidRPr="007E0CA1" w:rsidRDefault="00D060B8" w:rsidP="00892685">
      <w:pPr>
        <w:pStyle w:val="NormalWeb"/>
        <w:spacing w:before="0" w:beforeAutospacing="0" w:after="0" w:afterAutospacing="0"/>
        <w:contextualSpacing/>
        <w:jc w:val="both"/>
        <w:rPr>
          <w:sz w:val="18"/>
          <w:szCs w:val="18"/>
        </w:rPr>
      </w:pPr>
      <w:r w:rsidRPr="007E0CA1">
        <w:rPr>
          <w:b/>
          <w:sz w:val="18"/>
          <w:szCs w:val="18"/>
        </w:rPr>
        <w:t>Article 11 du pacte</w:t>
      </w:r>
      <w:r w:rsidRPr="007E0CA1">
        <w:rPr>
          <w:sz w:val="18"/>
          <w:szCs w:val="18"/>
        </w:rPr>
        <w:t> : « Les medias privés (…) s’engagent à ce que les forums (radio, presse écrite et presse en ligne) des internautes soient des espaces de débats sains ».</w:t>
      </w:r>
    </w:p>
  </w:footnote>
  <w:footnote w:id="90">
    <w:p w14:paraId="204325DD"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hyperlink r:id="rId20" w:history="1">
        <w:r w:rsidRPr="007E0CA1">
          <w:rPr>
            <w:rStyle w:val="Lienhypertexte"/>
            <w:rFonts w:ascii="Times New Roman" w:hAnsi="Times New Roman"/>
            <w:sz w:val="18"/>
            <w:szCs w:val="18"/>
            <w:lang w:val="fr-FR"/>
          </w:rPr>
          <w:t>http://www.sig.bf/gouvernement-de-la-transition/</w:t>
        </w:r>
      </w:hyperlink>
    </w:p>
  </w:footnote>
  <w:footnote w:id="91">
    <w:p w14:paraId="4B104948"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Selon le ministre de la promotion de la femme et du genre </w:t>
      </w:r>
      <w:proofErr w:type="spellStart"/>
      <w:r w:rsidRPr="007E0CA1">
        <w:rPr>
          <w:rFonts w:ascii="Times New Roman" w:hAnsi="Times New Roman"/>
          <w:sz w:val="18"/>
          <w:szCs w:val="18"/>
          <w:lang w:val="fr-FR"/>
        </w:rPr>
        <w:t>Bibiane</w:t>
      </w:r>
      <w:proofErr w:type="spellEnd"/>
      <w:r w:rsidRPr="007E0CA1">
        <w:rPr>
          <w:rFonts w:ascii="Times New Roman" w:hAnsi="Times New Roman"/>
          <w:sz w:val="18"/>
          <w:szCs w:val="18"/>
          <w:lang w:val="fr-FR"/>
        </w:rPr>
        <w:t xml:space="preserve"> Ouédraogo, le Burkina Faso, d’après le classement de l’Union interparlementaire de 2015, occupe le quatre vingt dix huitième (98) rang  sur cent trente quatre (134) pays avec un taux d’environ treize pour cent (13%) de représentation de femmes au parlement (CNT).</w:t>
      </w:r>
    </w:p>
  </w:footnote>
  <w:footnote w:id="92">
    <w:p w14:paraId="4AD81943"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INSD, Recensement General de la Population et de l’habitat, Rapport 2006, </w:t>
      </w:r>
    </w:p>
  </w:footnote>
  <w:footnote w:id="93">
    <w:p w14:paraId="5F4DEB77"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WANEP-Burkina Faso, </w:t>
      </w:r>
      <w:r w:rsidRPr="007E0CA1">
        <w:rPr>
          <w:rFonts w:ascii="Times New Roman" w:hAnsi="Times New Roman"/>
          <w:i/>
          <w:sz w:val="18"/>
          <w:szCs w:val="18"/>
          <w:lang w:val="fr-FR"/>
        </w:rPr>
        <w:t>monitoring du processus électoral pour des élections apaisées au Burkina Faso en 2015</w:t>
      </w:r>
      <w:r w:rsidRPr="007E0CA1">
        <w:rPr>
          <w:rFonts w:ascii="Times New Roman" w:hAnsi="Times New Roman"/>
          <w:sz w:val="18"/>
          <w:szCs w:val="18"/>
          <w:lang w:val="fr-FR"/>
        </w:rPr>
        <w:t>, Mars-avril-mai 2015,  p. 2-3</w:t>
      </w:r>
    </w:p>
  </w:footnote>
  <w:footnote w:id="94">
    <w:p w14:paraId="4B4F230D"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WANEP- Burkina, </w:t>
      </w:r>
      <w:r w:rsidRPr="007E0CA1">
        <w:rPr>
          <w:rFonts w:ascii="Times New Roman" w:hAnsi="Times New Roman"/>
          <w:i/>
          <w:sz w:val="18"/>
          <w:szCs w:val="18"/>
          <w:lang w:val="fr-FR"/>
        </w:rPr>
        <w:t>monitoring du processus électoral pour des élections apaisées au Burkina Faso en 2015</w:t>
      </w:r>
      <w:r w:rsidRPr="007E0CA1">
        <w:rPr>
          <w:rFonts w:ascii="Times New Roman" w:hAnsi="Times New Roman"/>
          <w:sz w:val="18"/>
          <w:szCs w:val="18"/>
          <w:lang w:val="fr-FR"/>
        </w:rPr>
        <w:t>, juin 2015, p.3</w:t>
      </w:r>
    </w:p>
  </w:footnote>
  <w:footnote w:id="95">
    <w:p w14:paraId="36007600"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La Constitution du Burkina Faso en son article 1</w:t>
      </w:r>
      <w:r w:rsidRPr="007E0CA1">
        <w:rPr>
          <w:rFonts w:ascii="Times New Roman" w:hAnsi="Times New Roman"/>
          <w:sz w:val="18"/>
          <w:szCs w:val="18"/>
          <w:vertAlign w:val="superscript"/>
        </w:rPr>
        <w:t>er</w:t>
      </w:r>
      <w:r w:rsidRPr="007E0CA1">
        <w:rPr>
          <w:rFonts w:ascii="Times New Roman" w:hAnsi="Times New Roman"/>
          <w:sz w:val="18"/>
          <w:szCs w:val="18"/>
        </w:rPr>
        <w:t xml:space="preserve"> garantit l’égalité entre tous les citoyens burkinabè y compris les discriminations fondées sur le sexe, la race, l’ethnie, la région. Le Burkina Faso a également ratifié la Convention sur l’élimination de toutes les formes de discrimination à l’égard des femmes (CEDEF), et la Déclaration des nations unies sur l’élimination de la violence à l’égard des femmes.</w:t>
      </w:r>
    </w:p>
    <w:p w14:paraId="4ABBB464" w14:textId="77777777" w:rsidR="00D060B8" w:rsidRPr="007E0CA1" w:rsidRDefault="00D060B8" w:rsidP="00892685">
      <w:pPr>
        <w:pStyle w:val="Notedebasdepage"/>
        <w:jc w:val="both"/>
        <w:rPr>
          <w:rFonts w:ascii="Times New Roman" w:hAnsi="Times New Roman"/>
          <w:sz w:val="18"/>
          <w:szCs w:val="18"/>
          <w:lang w:val="fr-FR"/>
        </w:rPr>
      </w:pPr>
    </w:p>
  </w:footnote>
  <w:footnote w:id="96">
    <w:p w14:paraId="1E044ABB"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proofErr w:type="spellStart"/>
      <w:r w:rsidRPr="007E0CA1">
        <w:rPr>
          <w:rFonts w:ascii="Times New Roman" w:hAnsi="Times New Roman"/>
          <w:bCs/>
          <w:sz w:val="18"/>
          <w:szCs w:val="18"/>
          <w:lang w:val="fr-FR" w:eastAsia="fr-FR"/>
        </w:rPr>
        <w:t>Zatu</w:t>
      </w:r>
      <w:proofErr w:type="spellEnd"/>
      <w:r w:rsidRPr="007E0CA1">
        <w:rPr>
          <w:rFonts w:ascii="Times New Roman" w:hAnsi="Times New Roman"/>
          <w:bCs/>
          <w:sz w:val="18"/>
          <w:szCs w:val="18"/>
          <w:lang w:val="fr-FR" w:eastAsia="fr-FR"/>
        </w:rPr>
        <w:t xml:space="preserve"> an VII 13 du 16 novembre 1989 portant institution et application d'un code des personnes et de la famille au Burkina Faso.</w:t>
      </w:r>
    </w:p>
  </w:footnote>
  <w:footnote w:id="97">
    <w:p w14:paraId="25B398B7" w14:textId="77777777" w:rsidR="00D060B8" w:rsidRPr="007E0CA1" w:rsidRDefault="00D060B8" w:rsidP="00892685">
      <w:pPr>
        <w:autoSpaceDE w:val="0"/>
        <w:autoSpaceDN w:val="0"/>
        <w:adjustRightInd w:val="0"/>
        <w:spacing w:after="0" w:line="240" w:lineRule="auto"/>
        <w:jc w:val="both"/>
        <w:rPr>
          <w:rFonts w:ascii="Times New Roman" w:hAnsi="Times New Roman"/>
          <w:b/>
          <w:bCs/>
          <w:sz w:val="18"/>
          <w:szCs w:val="18"/>
          <w:lang w:eastAsia="fr-FR"/>
        </w:rPr>
      </w:pPr>
      <w:r w:rsidRPr="007E0CA1">
        <w:rPr>
          <w:rStyle w:val="Marquenotebasdepage"/>
          <w:rFonts w:ascii="Times New Roman" w:hAnsi="Times New Roman"/>
          <w:sz w:val="18"/>
          <w:szCs w:val="18"/>
        </w:rPr>
        <w:footnoteRef/>
      </w:r>
      <w:r w:rsidRPr="007E0CA1">
        <w:rPr>
          <w:rFonts w:ascii="Times New Roman" w:hAnsi="Times New Roman"/>
          <w:b/>
          <w:bCs/>
          <w:sz w:val="18"/>
          <w:szCs w:val="18"/>
          <w:u w:val="single"/>
          <w:lang w:eastAsia="fr-FR"/>
        </w:rPr>
        <w:t>Art. 238</w:t>
      </w:r>
      <w:r w:rsidRPr="007E0CA1">
        <w:rPr>
          <w:rFonts w:ascii="Times New Roman" w:hAnsi="Times New Roman"/>
          <w:b/>
          <w:bCs/>
          <w:sz w:val="18"/>
          <w:szCs w:val="18"/>
          <w:lang w:eastAsia="fr-FR"/>
        </w:rPr>
        <w:t xml:space="preserve">. </w:t>
      </w:r>
    </w:p>
    <w:p w14:paraId="75F66178" w14:textId="77777777" w:rsidR="00D060B8" w:rsidRPr="007E0CA1" w:rsidRDefault="00D060B8" w:rsidP="00892685">
      <w:pPr>
        <w:autoSpaceDE w:val="0"/>
        <w:autoSpaceDN w:val="0"/>
        <w:adjustRightInd w:val="0"/>
        <w:spacing w:after="0" w:line="240" w:lineRule="auto"/>
        <w:jc w:val="both"/>
        <w:rPr>
          <w:rFonts w:ascii="Times New Roman" w:hAnsi="Times New Roman"/>
          <w:i/>
          <w:iCs/>
          <w:sz w:val="18"/>
          <w:szCs w:val="18"/>
        </w:rPr>
      </w:pPr>
      <w:r w:rsidRPr="007E0CA1">
        <w:rPr>
          <w:rFonts w:ascii="Times New Roman" w:hAnsi="Times New Roman"/>
          <w:i/>
          <w:iCs/>
          <w:sz w:val="18"/>
          <w:szCs w:val="18"/>
        </w:rPr>
        <w:t>Le mariage ne peut être contracté qu'entre un homme âgé de plus de vingt ans et une femme de plus de dix-sept ans, sauf dispense d'âge accordée pour motif grave par le tribunal civil.</w:t>
      </w:r>
    </w:p>
    <w:p w14:paraId="08063341" w14:textId="77777777" w:rsidR="00D060B8" w:rsidRPr="007E0CA1" w:rsidRDefault="00D060B8" w:rsidP="00892685">
      <w:pPr>
        <w:pStyle w:val="Notedebasdepage"/>
        <w:jc w:val="both"/>
        <w:rPr>
          <w:rFonts w:ascii="Times New Roman" w:hAnsi="Times New Roman"/>
          <w:i/>
          <w:iCs/>
          <w:sz w:val="18"/>
          <w:szCs w:val="18"/>
          <w:lang w:val="fr-FR"/>
        </w:rPr>
      </w:pPr>
      <w:r w:rsidRPr="007E0CA1">
        <w:rPr>
          <w:rFonts w:ascii="Times New Roman" w:hAnsi="Times New Roman"/>
          <w:i/>
          <w:iCs/>
          <w:sz w:val="18"/>
          <w:szCs w:val="18"/>
          <w:lang w:val="fr-FR"/>
        </w:rPr>
        <w:t>Cette dispense d'âge ne peut être accordée en aucun cas pour un homme ayant moins de dix-huit ans et une femme ayant moins de quinze ans.</w:t>
      </w:r>
    </w:p>
  </w:footnote>
  <w:footnote w:id="98">
    <w:p w14:paraId="70E9056C"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b/>
          <w:bCs/>
          <w:sz w:val="18"/>
          <w:szCs w:val="18"/>
          <w:u w:val="single"/>
          <w:lang w:eastAsia="fr-FR"/>
        </w:rPr>
        <w:t>Art. 232</w:t>
      </w:r>
      <w:r w:rsidRPr="007E0CA1">
        <w:rPr>
          <w:rFonts w:ascii="Times New Roman" w:hAnsi="Times New Roman"/>
          <w:b/>
          <w:bCs/>
          <w:sz w:val="18"/>
          <w:szCs w:val="18"/>
          <w:lang w:eastAsia="fr-FR"/>
        </w:rPr>
        <w:t xml:space="preserve">. </w:t>
      </w:r>
      <w:r w:rsidRPr="007E0CA1">
        <w:rPr>
          <w:rFonts w:ascii="Times New Roman" w:hAnsi="Times New Roman"/>
          <w:sz w:val="18"/>
          <w:szCs w:val="18"/>
          <w:lang w:eastAsia="fr-FR"/>
        </w:rPr>
        <w:t>Dans le but de favoriser le plein épanouissement des époux, de lutter contre les entraves socio-économiques et les conceptions féodales, la monogamie est consacrée comme la forme de droit commun du mariage. Toutefois, la polygamie est admise dans certaines conditions.</w:t>
      </w:r>
    </w:p>
  </w:footnote>
  <w:footnote w:id="99">
    <w:p w14:paraId="36820502"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hyperlink r:id="rId21" w:history="1">
        <w:r w:rsidRPr="007E0CA1">
          <w:rPr>
            <w:rStyle w:val="Lienhypertexte"/>
            <w:rFonts w:ascii="Times New Roman" w:hAnsi="Times New Roman"/>
            <w:color w:val="auto"/>
            <w:sz w:val="18"/>
            <w:szCs w:val="18"/>
            <w:lang w:val="fr-FR"/>
          </w:rPr>
          <w:t>http://www.genreenaction.net/Burkina-Faso-la-loi-sur-le-quota-des-femmes-sur.html</w:t>
        </w:r>
      </w:hyperlink>
    </w:p>
  </w:footnote>
  <w:footnote w:id="100">
    <w:p w14:paraId="3506F279" w14:textId="77777777" w:rsidR="00D060B8" w:rsidRPr="007E0CA1" w:rsidRDefault="00D060B8" w:rsidP="00892685">
      <w:pPr>
        <w:spacing w:after="0" w:line="240" w:lineRule="auto"/>
        <w:jc w:val="both"/>
        <w:rPr>
          <w:rFonts w:ascii="Times New Roman" w:eastAsia="Times New Roman" w:hAnsi="Times New Roman"/>
          <w:sz w:val="18"/>
          <w:szCs w:val="18"/>
          <w:lang w:eastAsia="fr-FR"/>
        </w:rPr>
      </w:pPr>
      <w:r w:rsidRPr="007E0CA1">
        <w:rPr>
          <w:rStyle w:val="Marquenotebasdepage"/>
          <w:rFonts w:ascii="Times New Roman" w:hAnsi="Times New Roman"/>
          <w:sz w:val="18"/>
          <w:szCs w:val="18"/>
        </w:rPr>
        <w:footnoteRef/>
      </w:r>
      <w:r w:rsidRPr="00637765">
        <w:rPr>
          <w:rFonts w:ascii="Times New Roman" w:hAnsi="Times New Roman"/>
          <w:sz w:val="18"/>
          <w:szCs w:val="18"/>
        </w:rPr>
        <w:t>Document de Politique nationale genre du Burkina Faso</w:t>
      </w:r>
      <w:r w:rsidRPr="007E0CA1">
        <w:rPr>
          <w:rFonts w:ascii="Times New Roman" w:hAnsi="Times New Roman"/>
          <w:sz w:val="18"/>
          <w:szCs w:val="18"/>
        </w:rPr>
        <w:t>, 2009 : « </w:t>
      </w:r>
      <w:r w:rsidRPr="007E0CA1">
        <w:rPr>
          <w:rFonts w:ascii="Times New Roman" w:eastAsia="Times New Roman" w:hAnsi="Times New Roman"/>
          <w:sz w:val="18"/>
          <w:szCs w:val="18"/>
          <w:lang w:eastAsia="fr-FR"/>
        </w:rPr>
        <w:t xml:space="preserve">Au niveau de la gestion du pouvoir d’Etat, d’une manière générale, les femmes ont toujours été sous-représentées dans les institutions nationales et locales depuis l’indépendance du pays. Le nombre de femmes dans chaque gouvernement n’a jamais dépassé cinq (05), et celles-ci ont généralement occupé les domaines qui renvoient à leur rôle social (enseignement, action sociale, promotion féminine, etc.). </w:t>
      </w:r>
    </w:p>
    <w:p w14:paraId="6690D024" w14:textId="77777777" w:rsidR="00D060B8" w:rsidRPr="007E0CA1" w:rsidRDefault="00D060B8" w:rsidP="00892685">
      <w:pPr>
        <w:spacing w:after="0" w:line="240" w:lineRule="auto"/>
        <w:jc w:val="both"/>
        <w:rPr>
          <w:rFonts w:ascii="Times New Roman" w:eastAsia="Times New Roman" w:hAnsi="Times New Roman"/>
          <w:sz w:val="18"/>
          <w:szCs w:val="18"/>
          <w:lang w:eastAsia="fr-FR"/>
        </w:rPr>
      </w:pPr>
      <w:r w:rsidRPr="007E0CA1">
        <w:rPr>
          <w:rFonts w:ascii="Times New Roman" w:eastAsia="Times New Roman" w:hAnsi="Times New Roman"/>
          <w:sz w:val="18"/>
          <w:szCs w:val="18"/>
          <w:lang w:eastAsia="fr-FR"/>
        </w:rPr>
        <w:t xml:space="preserve">Ainsi, par exemple, le gouvernement de juin 2007 n’a pas dérogé à la règle puisqu’il compte 5 femmes sur 34 ministres et ministres délégués, soit un taux de 14,24% de représentation féminine. Au niveau des postes électifs, même si l’on constate des améliorations, le progrès se fait toujours attendre. Durant la période 1959-2002, les chiffres indiquent un total de 537 hommes contre 30 femmes qui ont siégé au Parlement : ce qui représente seulement 5,29% (1,4% à la première législature, 9% à la deuxième, 12% à la troisième et 14% à la quatrième). Quant au pouvoir local, la représentation des femmes élues a progressé à raison de 8,9% en 1995, </w:t>
      </w:r>
      <w:proofErr w:type="gramStart"/>
      <w:r w:rsidRPr="007E0CA1">
        <w:rPr>
          <w:rFonts w:ascii="Times New Roman" w:eastAsia="Times New Roman" w:hAnsi="Times New Roman"/>
          <w:sz w:val="18"/>
          <w:szCs w:val="18"/>
          <w:lang w:eastAsia="fr-FR"/>
        </w:rPr>
        <w:t>20,8%</w:t>
      </w:r>
      <w:proofErr w:type="gramEnd"/>
      <w:r w:rsidRPr="007E0CA1">
        <w:rPr>
          <w:rFonts w:ascii="Times New Roman" w:eastAsia="Times New Roman" w:hAnsi="Times New Roman"/>
          <w:sz w:val="18"/>
          <w:szCs w:val="18"/>
          <w:lang w:eastAsia="fr-FR"/>
        </w:rPr>
        <w:t xml:space="preserve"> en 2000, et 35,80% en 2006. Sur les 351 maires que compte actuellement le pays, 20 seulement sont des femmes. Au niveau des postes nominatifs, on note également une faible présence des femmes aux hautes fonctions de l’administration.</w:t>
      </w:r>
    </w:p>
    <w:p w14:paraId="5C8DDA28" w14:textId="77777777" w:rsidR="00D060B8" w:rsidRPr="007E0CA1" w:rsidRDefault="00D060B8" w:rsidP="00892685">
      <w:pPr>
        <w:spacing w:after="0" w:line="240" w:lineRule="auto"/>
        <w:jc w:val="both"/>
        <w:rPr>
          <w:rFonts w:ascii="Times New Roman" w:eastAsia="Times New Roman" w:hAnsi="Times New Roman"/>
          <w:sz w:val="18"/>
          <w:szCs w:val="18"/>
          <w:lang w:eastAsia="fr-FR"/>
        </w:rPr>
      </w:pPr>
      <w:r w:rsidRPr="007E0CA1">
        <w:rPr>
          <w:rFonts w:ascii="Times New Roman" w:eastAsia="Times New Roman" w:hAnsi="Times New Roman"/>
          <w:sz w:val="18"/>
          <w:szCs w:val="18"/>
          <w:lang w:eastAsia="fr-FR"/>
        </w:rPr>
        <w:t>A titre d’exemple, on a deux (02) femmes gouverneurs sur 13 ; trois (03) femmes ambassadeurs sur 26 ; une (01) femme présidente de la Haute Cour Judiciaire sur 4; une (01) femme procureur sur 19; deux (02) femmes chefs de juridictions sur 19 tribunaux de grande instance, etc. On note également une inégalité de genre dans l’occupation des postes de direction au sein des organisations nationales ou locales : organisations professionnelles, organisations locales (Conseil villageois pour le développement), syndicales, associatives (sauf si l’association est constituée uniquement de femmes).</w:t>
      </w:r>
    </w:p>
    <w:p w14:paraId="48F70BA5" w14:textId="77777777" w:rsidR="00D060B8" w:rsidRPr="007E0CA1" w:rsidRDefault="00D060B8" w:rsidP="00892685">
      <w:pPr>
        <w:spacing w:after="0" w:line="240" w:lineRule="auto"/>
        <w:jc w:val="both"/>
        <w:rPr>
          <w:rFonts w:ascii="Times New Roman" w:eastAsia="Times New Roman" w:hAnsi="Times New Roman"/>
          <w:sz w:val="18"/>
          <w:szCs w:val="18"/>
          <w:lang w:eastAsia="fr-FR"/>
        </w:rPr>
      </w:pPr>
      <w:r w:rsidRPr="007E0CA1">
        <w:rPr>
          <w:rFonts w:ascii="Times New Roman" w:eastAsia="Times New Roman" w:hAnsi="Times New Roman"/>
          <w:sz w:val="18"/>
          <w:szCs w:val="18"/>
          <w:lang w:eastAsia="fr-FR"/>
        </w:rPr>
        <w:t xml:space="preserve">Cette </w:t>
      </w:r>
      <w:r>
        <w:rPr>
          <w:rFonts w:ascii="Times New Roman" w:eastAsia="Times New Roman" w:hAnsi="Times New Roman"/>
          <w:sz w:val="18"/>
          <w:szCs w:val="18"/>
          <w:lang w:eastAsia="fr-FR"/>
        </w:rPr>
        <w:t>sous-représentation</w:t>
      </w:r>
      <w:r w:rsidRPr="007E0CA1">
        <w:rPr>
          <w:rFonts w:ascii="Times New Roman" w:eastAsia="Times New Roman" w:hAnsi="Times New Roman"/>
          <w:sz w:val="18"/>
          <w:szCs w:val="18"/>
          <w:lang w:eastAsia="fr-FR"/>
        </w:rPr>
        <w:t xml:space="preserve"> des femmes limite leur influence sur l’élaboration des lois et des politiques à tous les niveaux. »</w:t>
      </w:r>
    </w:p>
  </w:footnote>
  <w:footnote w:id="101">
    <w:p w14:paraId="48868DFC" w14:textId="77777777" w:rsidR="00D060B8" w:rsidRPr="007E0CA1" w:rsidRDefault="00D060B8" w:rsidP="00892685">
      <w:pPr>
        <w:autoSpaceDE w:val="0"/>
        <w:autoSpaceDN w:val="0"/>
        <w:adjustRightInd w:val="0"/>
        <w:spacing w:after="0" w:line="240" w:lineRule="auto"/>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bCs/>
          <w:sz w:val="18"/>
          <w:szCs w:val="18"/>
        </w:rPr>
        <w:t>LOI N° 019-2015/CNT du 5 juin 2015 portant statut général des personnels des forces armées nationales</w:t>
      </w:r>
    </w:p>
    <w:p w14:paraId="6D01DC9A" w14:textId="77777777" w:rsidR="00D060B8" w:rsidRPr="007E0CA1" w:rsidRDefault="00D060B8" w:rsidP="00892685">
      <w:pPr>
        <w:pStyle w:val="Notedebasdepage"/>
        <w:jc w:val="both"/>
        <w:rPr>
          <w:rFonts w:ascii="Times New Roman" w:hAnsi="Times New Roman"/>
          <w:sz w:val="18"/>
          <w:szCs w:val="18"/>
          <w:lang w:val="fr-FR"/>
        </w:rPr>
      </w:pPr>
    </w:p>
  </w:footnote>
  <w:footnote w:id="102">
    <w:p w14:paraId="7B78FAE6" w14:textId="77777777" w:rsidR="00D060B8" w:rsidRPr="007E0CA1" w:rsidRDefault="00D060B8" w:rsidP="00892685">
      <w:pPr>
        <w:autoSpaceDE w:val="0"/>
        <w:autoSpaceDN w:val="0"/>
        <w:adjustRightInd w:val="0"/>
        <w:spacing w:after="0" w:line="240" w:lineRule="auto"/>
        <w:jc w:val="both"/>
        <w:rPr>
          <w:rFonts w:ascii="Times New Roman" w:hAnsi="Times New Roman"/>
          <w:i/>
          <w:sz w:val="18"/>
          <w:szCs w:val="18"/>
        </w:rPr>
      </w:pPr>
      <w:r w:rsidRPr="007E0CA1">
        <w:rPr>
          <w:rStyle w:val="Marquenotebasdepage"/>
          <w:rFonts w:ascii="Times New Roman" w:hAnsi="Times New Roman"/>
          <w:sz w:val="18"/>
          <w:szCs w:val="18"/>
        </w:rPr>
        <w:footnoteRef/>
      </w:r>
      <w:r w:rsidRPr="007E0CA1">
        <w:rPr>
          <w:rFonts w:ascii="Times New Roman" w:hAnsi="Times New Roman"/>
          <w:b/>
          <w:bCs/>
          <w:sz w:val="18"/>
          <w:szCs w:val="18"/>
          <w:lang w:eastAsia="fr-FR"/>
        </w:rPr>
        <w:t xml:space="preserve">Article 14, alinéa 5 : </w:t>
      </w:r>
      <w:r w:rsidRPr="007E0CA1">
        <w:rPr>
          <w:rFonts w:ascii="Times New Roman" w:hAnsi="Times New Roman"/>
          <w:i/>
          <w:sz w:val="18"/>
          <w:szCs w:val="18"/>
          <w:lang w:eastAsia="fr-FR"/>
        </w:rPr>
        <w:t>Le personnel féminin est tenu de ne pas contracter une grossesse avant les délais prescrits pour l’autorisation de mariage. En cas de non-respect de cette disposition, la contrevenante est rayée des contrôles ou des cadres des Forces armées nationales.</w:t>
      </w:r>
    </w:p>
  </w:footnote>
  <w:footnote w:id="103">
    <w:p w14:paraId="6B3E4C9A" w14:textId="77777777" w:rsidR="00D060B8" w:rsidRPr="007E0CA1" w:rsidRDefault="00D060B8" w:rsidP="00892685">
      <w:pPr>
        <w:pStyle w:val="Notedebasdepage"/>
        <w:jc w:val="both"/>
        <w:rPr>
          <w:rFonts w:ascii="Times New Roman" w:hAnsi="Times New Roman"/>
          <w:i/>
          <w:sz w:val="18"/>
          <w:szCs w:val="18"/>
          <w:lang w:val="fr-FR" w:eastAsia="fr-FR"/>
        </w:rPr>
      </w:pPr>
      <w:r w:rsidRPr="007E0CA1">
        <w:rPr>
          <w:rStyle w:val="Marquenotebasdepage"/>
          <w:rFonts w:ascii="Times New Roman" w:hAnsi="Times New Roman"/>
          <w:sz w:val="18"/>
          <w:szCs w:val="18"/>
        </w:rPr>
        <w:footnoteRef/>
      </w:r>
      <w:r w:rsidRPr="007E0CA1">
        <w:rPr>
          <w:rFonts w:ascii="Times New Roman" w:hAnsi="Times New Roman"/>
          <w:b/>
          <w:bCs/>
          <w:sz w:val="18"/>
          <w:szCs w:val="18"/>
          <w:lang w:val="fr-FR" w:eastAsia="fr-FR"/>
        </w:rPr>
        <w:t xml:space="preserve">Article 15, alinéa 2 : </w:t>
      </w:r>
      <w:r w:rsidRPr="007E0CA1">
        <w:rPr>
          <w:rFonts w:ascii="Times New Roman" w:hAnsi="Times New Roman"/>
          <w:i/>
          <w:sz w:val="18"/>
          <w:szCs w:val="18"/>
          <w:lang w:val="fr-FR" w:eastAsia="fr-FR"/>
        </w:rPr>
        <w:t>Le mariage entre personnels militaires de catégories différentes est interdit.</w:t>
      </w:r>
    </w:p>
  </w:footnote>
  <w:footnote w:id="104">
    <w:p w14:paraId="500DA44F" w14:textId="77777777" w:rsidR="00D060B8" w:rsidRPr="007E0CA1" w:rsidRDefault="00D060B8" w:rsidP="00892685">
      <w:pPr>
        <w:autoSpaceDE w:val="0"/>
        <w:autoSpaceDN w:val="0"/>
        <w:adjustRightInd w:val="0"/>
        <w:spacing w:after="0" w:line="240" w:lineRule="auto"/>
        <w:jc w:val="both"/>
        <w:rPr>
          <w:rFonts w:ascii="Times New Roman" w:hAnsi="Times New Roman"/>
          <w:color w:val="565F67"/>
          <w:sz w:val="18"/>
          <w:szCs w:val="18"/>
          <w:lang w:eastAsia="fr-FR"/>
        </w:rPr>
      </w:pPr>
      <w:r w:rsidRPr="007E0CA1">
        <w:rPr>
          <w:rStyle w:val="Marquenotebasdepage"/>
          <w:rFonts w:ascii="Times New Roman" w:hAnsi="Times New Roman"/>
          <w:sz w:val="18"/>
          <w:szCs w:val="18"/>
        </w:rPr>
        <w:footnoteRef/>
      </w:r>
      <w:r w:rsidRPr="007E0CA1">
        <w:rPr>
          <w:rFonts w:ascii="Times New Roman" w:hAnsi="Times New Roman"/>
          <w:color w:val="272627"/>
          <w:sz w:val="18"/>
          <w:szCs w:val="18"/>
          <w:lang w:eastAsia="fr-FR"/>
        </w:rPr>
        <w:t>Amnesty International - Janvier 2010 Index : AFR 60/001/2010 « </w:t>
      </w:r>
      <w:r w:rsidRPr="007E0CA1">
        <w:rPr>
          <w:rFonts w:ascii="Times New Roman" w:hAnsi="Times New Roman"/>
          <w:color w:val="565F67"/>
          <w:sz w:val="18"/>
          <w:szCs w:val="18"/>
          <w:lang w:eastAsia="fr-FR"/>
        </w:rPr>
        <w:t>DONNER LA VIE, RISQUER LA MORT :</w:t>
      </w:r>
    </w:p>
    <w:p w14:paraId="366547FC" w14:textId="77777777" w:rsidR="00D060B8" w:rsidRPr="007E0CA1" w:rsidRDefault="00D060B8" w:rsidP="00892685">
      <w:pPr>
        <w:pStyle w:val="Notedebasdepage"/>
        <w:jc w:val="both"/>
        <w:rPr>
          <w:rFonts w:ascii="Times New Roman" w:hAnsi="Times New Roman"/>
          <w:sz w:val="18"/>
          <w:szCs w:val="18"/>
          <w:lang w:val="fr-FR"/>
        </w:rPr>
      </w:pPr>
      <w:r w:rsidRPr="007E0CA1">
        <w:rPr>
          <w:rFonts w:ascii="Times New Roman" w:hAnsi="Times New Roman"/>
          <w:color w:val="272627"/>
          <w:sz w:val="18"/>
          <w:szCs w:val="18"/>
          <w:lang w:val="fr-FR" w:eastAsia="fr-FR"/>
        </w:rPr>
        <w:t>COMBATTRE LA MORTALITÉ MATERNELLE AU BURKINA FASO » page 2</w:t>
      </w:r>
    </w:p>
  </w:footnote>
  <w:footnote w:id="105">
    <w:p w14:paraId="66876DDB" w14:textId="77777777" w:rsidR="00D060B8" w:rsidRPr="007E0CA1" w:rsidRDefault="00D060B8" w:rsidP="00892685">
      <w:pPr>
        <w:autoSpaceDE w:val="0"/>
        <w:autoSpaceDN w:val="0"/>
        <w:adjustRightInd w:val="0"/>
        <w:spacing w:after="0" w:line="240" w:lineRule="auto"/>
        <w:jc w:val="both"/>
        <w:rPr>
          <w:rFonts w:ascii="Times New Roman" w:hAnsi="Times New Roman"/>
          <w:color w:val="565F67"/>
          <w:sz w:val="18"/>
          <w:szCs w:val="18"/>
          <w:lang w:eastAsia="fr-FR"/>
        </w:rPr>
      </w:pPr>
      <w:r w:rsidRPr="007E0CA1">
        <w:rPr>
          <w:rStyle w:val="Marquenotebasdepage"/>
          <w:rFonts w:ascii="Times New Roman" w:hAnsi="Times New Roman"/>
          <w:sz w:val="18"/>
          <w:szCs w:val="18"/>
        </w:rPr>
        <w:footnoteRef/>
      </w:r>
      <w:r w:rsidRPr="007E0CA1">
        <w:rPr>
          <w:rFonts w:ascii="Times New Roman" w:hAnsi="Times New Roman"/>
          <w:color w:val="272627"/>
          <w:sz w:val="18"/>
          <w:szCs w:val="18"/>
          <w:lang w:eastAsia="fr-FR"/>
        </w:rPr>
        <w:t>Amnesty International - Janvier 2010 Index : AFR 60/001/2010 « </w:t>
      </w:r>
      <w:r w:rsidRPr="007E0CA1">
        <w:rPr>
          <w:rFonts w:ascii="Times New Roman" w:hAnsi="Times New Roman"/>
          <w:color w:val="565F67"/>
          <w:sz w:val="18"/>
          <w:szCs w:val="18"/>
          <w:lang w:eastAsia="fr-FR"/>
        </w:rPr>
        <w:t>DONNER LA VIE, RISQUER LA MORT :</w:t>
      </w:r>
    </w:p>
    <w:p w14:paraId="748E4631" w14:textId="77777777" w:rsidR="00D060B8" w:rsidRPr="007E0CA1" w:rsidRDefault="00D060B8" w:rsidP="00892685">
      <w:pPr>
        <w:pStyle w:val="Notedebasdepage"/>
        <w:jc w:val="both"/>
        <w:rPr>
          <w:rFonts w:ascii="Times New Roman" w:hAnsi="Times New Roman"/>
          <w:sz w:val="18"/>
          <w:szCs w:val="18"/>
          <w:lang w:val="fr-FR"/>
        </w:rPr>
      </w:pPr>
      <w:r w:rsidRPr="007E0CA1">
        <w:rPr>
          <w:rFonts w:ascii="Times New Roman" w:hAnsi="Times New Roman"/>
          <w:color w:val="272627"/>
          <w:sz w:val="18"/>
          <w:szCs w:val="18"/>
          <w:lang w:val="fr-FR" w:eastAsia="fr-FR"/>
        </w:rPr>
        <w:t>COMBATTRE LA MORTALITÉ MATERNELLE AU BURKINA FASO » page 5</w:t>
      </w:r>
    </w:p>
  </w:footnote>
  <w:footnote w:id="106">
    <w:p w14:paraId="1127CBA0" w14:textId="77777777" w:rsidR="00D060B8" w:rsidRPr="007E0CA1" w:rsidRDefault="00D060B8" w:rsidP="00892685">
      <w:pPr>
        <w:pStyle w:val="Notedebasdepage"/>
        <w:jc w:val="both"/>
        <w:rPr>
          <w:rFonts w:ascii="Times New Roman" w:hAnsi="Times New Roman"/>
          <w:i/>
          <w:sz w:val="18"/>
          <w:szCs w:val="18"/>
          <w:lang w:val="fr-CH"/>
        </w:rPr>
      </w:pPr>
      <w:r w:rsidRPr="007E0CA1">
        <w:rPr>
          <w:rStyle w:val="Marquenotebasdepage"/>
          <w:rFonts w:ascii="Times New Roman" w:hAnsi="Times New Roman"/>
          <w:sz w:val="18"/>
          <w:szCs w:val="18"/>
        </w:rPr>
        <w:footnoteRef/>
      </w:r>
      <w:r w:rsidRPr="007E0CA1">
        <w:rPr>
          <w:rFonts w:ascii="Times New Roman" w:hAnsi="Times New Roman"/>
          <w:i/>
          <w:sz w:val="18"/>
          <w:szCs w:val="18"/>
          <w:lang w:val="fr-FR"/>
        </w:rPr>
        <w:t xml:space="preserve">Association des Femmes Juristes du Burkina Faso « Etude sur le renforcement des instruments juridiques relatifs aux violences faites aux femmes et aux filles » ; Rapport provisoire Juillet 2012 </w:t>
      </w:r>
    </w:p>
  </w:footnote>
  <w:footnote w:id="107">
    <w:p w14:paraId="3EBB7C7C"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i/>
          <w:sz w:val="18"/>
          <w:szCs w:val="18"/>
          <w:lang w:val="fr-FR"/>
        </w:rPr>
        <w:t>Association des Femmes Juristes du Burkina Faso « Etude sur le renforcement des instruments juridiques relatifs aux violences faites aux femmes et aux filles » ; Rapport provisoire Juillet 2012, P 16-17</w:t>
      </w:r>
    </w:p>
  </w:footnote>
  <w:footnote w:id="108">
    <w:p w14:paraId="39A38633" w14:textId="77777777" w:rsidR="00D060B8" w:rsidRPr="007E0CA1" w:rsidRDefault="00D060B8" w:rsidP="00892685">
      <w:pPr>
        <w:autoSpaceDE w:val="0"/>
        <w:autoSpaceDN w:val="0"/>
        <w:adjustRightInd w:val="0"/>
        <w:spacing w:after="0" w:line="240" w:lineRule="auto"/>
        <w:jc w:val="both"/>
        <w:rPr>
          <w:rFonts w:ascii="Times New Roman" w:hAnsi="Times New Roman"/>
          <w:i/>
          <w:sz w:val="18"/>
          <w:szCs w:val="18"/>
        </w:rPr>
      </w:pPr>
      <w:r w:rsidRPr="007E0CA1">
        <w:rPr>
          <w:rStyle w:val="Marquenotebasdepage"/>
          <w:rFonts w:ascii="Times New Roman" w:hAnsi="Times New Roman"/>
          <w:sz w:val="18"/>
          <w:szCs w:val="18"/>
        </w:rPr>
        <w:footnoteRef/>
      </w:r>
      <w:r w:rsidRPr="007E0CA1">
        <w:rPr>
          <w:rFonts w:ascii="Times New Roman" w:hAnsi="Times New Roman"/>
          <w:b/>
          <w:bCs/>
          <w:sz w:val="18"/>
          <w:szCs w:val="18"/>
          <w:lang w:eastAsia="fr-FR"/>
        </w:rPr>
        <w:t xml:space="preserve">Art. 284 du code des personnes et de la famille. </w:t>
      </w:r>
      <w:r w:rsidRPr="007E0CA1">
        <w:rPr>
          <w:rFonts w:ascii="Times New Roman" w:hAnsi="Times New Roman"/>
          <w:i/>
          <w:sz w:val="18"/>
          <w:szCs w:val="18"/>
        </w:rPr>
        <w:t>L'époux victime d'une violence physique ou morale, d'une erreur sur la personne ou sur les qualités essentielles de la personne, peut demander l'annulation du mariage.</w:t>
      </w:r>
    </w:p>
    <w:p w14:paraId="5160349C" w14:textId="77777777" w:rsidR="00D060B8" w:rsidRPr="007E0CA1" w:rsidRDefault="00D060B8" w:rsidP="00892685">
      <w:pPr>
        <w:autoSpaceDE w:val="0"/>
        <w:autoSpaceDN w:val="0"/>
        <w:adjustRightInd w:val="0"/>
        <w:spacing w:after="0" w:line="240" w:lineRule="auto"/>
        <w:jc w:val="both"/>
        <w:rPr>
          <w:rFonts w:ascii="Times New Roman" w:hAnsi="Times New Roman"/>
          <w:i/>
          <w:sz w:val="18"/>
          <w:szCs w:val="18"/>
        </w:rPr>
      </w:pPr>
      <w:r w:rsidRPr="007E0CA1">
        <w:rPr>
          <w:rFonts w:ascii="Times New Roman" w:hAnsi="Times New Roman"/>
          <w:i/>
          <w:sz w:val="18"/>
          <w:szCs w:val="18"/>
        </w:rPr>
        <w:t>La demande en nullité n'est pas recevable lorsqu'il y a eu cohabitation continue pendant six mois depuis que les violences physiques ou morales ont cessé ou que l'époux a eu connaissance de l'erreur.</w:t>
      </w:r>
    </w:p>
  </w:footnote>
  <w:footnote w:id="109">
    <w:p w14:paraId="72CF1597"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Surnom ridicule, reproches publics ou faits devant les enfants, menaces, répudiation, etc.</w:t>
      </w:r>
    </w:p>
  </w:footnote>
  <w:footnote w:id="110">
    <w:p w14:paraId="0D7C48A8"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r w:rsidRPr="007E0CA1">
        <w:rPr>
          <w:rFonts w:ascii="Times New Roman" w:hAnsi="Times New Roman"/>
          <w:sz w:val="18"/>
          <w:szCs w:val="18"/>
          <w:lang w:val="fr-FR"/>
        </w:rPr>
        <w:t xml:space="preserve"> Projet écoles satellites, écoles bilingues, projets enseignement post-primaire, plan décennal de développement de l’éducation de base, programme de développement stratégique de l’éducation de base) et d’innovations éducatives (classes multigrades, classes à double-flux, etc.</w:t>
      </w:r>
    </w:p>
  </w:footnote>
  <w:footnote w:id="111">
    <w:p w14:paraId="73FBFFD0" w14:textId="77777777" w:rsidR="00D060B8" w:rsidRPr="007E0CA1" w:rsidRDefault="00D060B8" w:rsidP="00892685">
      <w:pPr>
        <w:autoSpaceDE w:val="0"/>
        <w:autoSpaceDN w:val="0"/>
        <w:adjustRightInd w:val="0"/>
        <w:spacing w:after="0" w:line="240" w:lineRule="auto"/>
        <w:contextualSpacing/>
        <w:jc w:val="both"/>
        <w:rPr>
          <w:rFonts w:ascii="Times New Roman" w:hAnsi="Times New Roman"/>
          <w:sz w:val="18"/>
          <w:szCs w:val="18"/>
        </w:rPr>
      </w:pPr>
      <w:r w:rsidRPr="007E0CA1">
        <w:rPr>
          <w:rStyle w:val="Marquenotebasdepage"/>
          <w:rFonts w:ascii="Times New Roman" w:hAnsi="Times New Roman"/>
          <w:sz w:val="18"/>
          <w:szCs w:val="18"/>
        </w:rPr>
        <w:footnoteRef/>
      </w:r>
      <w:r w:rsidRPr="007E0CA1">
        <w:rPr>
          <w:rFonts w:ascii="Times New Roman" w:hAnsi="Times New Roman"/>
          <w:sz w:val="18"/>
          <w:szCs w:val="18"/>
        </w:rPr>
        <w:t xml:space="preserve"> A la rentrée scolaire 2013-2014, sur une population scolarisable estimée à 3 125 631 enfants, seulement 2 013 678 enfants d’âge scolaire allaient à l’école primaire, soit un taux net de scolarisation (TNS) de 64,4% (64,7% pour les garçons et 64,2% pour les filles). Au cours de la même année scolaire, dans l’enseignement post-primaire, le TNS n’était que de 23,8%, 21,9% et 22,9% respectivement pour les garçons, les filles et l’ensemble des deux sexes.</w:t>
      </w:r>
    </w:p>
    <w:p w14:paraId="2591C3E7" w14:textId="77777777" w:rsidR="00D060B8" w:rsidRPr="007E0CA1" w:rsidRDefault="00D060B8" w:rsidP="00892685">
      <w:pPr>
        <w:pStyle w:val="Notedebasdepage"/>
        <w:jc w:val="both"/>
        <w:rPr>
          <w:rFonts w:ascii="Times New Roman" w:hAnsi="Times New Roman"/>
          <w:sz w:val="18"/>
          <w:szCs w:val="18"/>
          <w:lang w:val="fr-FR"/>
        </w:rPr>
      </w:pPr>
    </w:p>
  </w:footnote>
  <w:footnote w:id="112">
    <w:p w14:paraId="641539C6" w14:textId="77777777" w:rsidR="00D060B8" w:rsidRPr="007E0CA1" w:rsidRDefault="00D060B8" w:rsidP="009344F2">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hyperlink r:id="rId22" w:history="1">
        <w:r w:rsidRPr="0049602C">
          <w:rPr>
            <w:rStyle w:val="Lienhypertexte"/>
            <w:rFonts w:ascii="Times New Roman" w:hAnsi="Times New Roman"/>
            <w:sz w:val="18"/>
            <w:szCs w:val="18"/>
            <w:lang w:val="fr-FR"/>
          </w:rPr>
          <w:t>http://www.diplomatie.gouv.fr/fr/politique-etrangere-de-la-france/sante-securite-alimentaire-education-et-genre/actualites-et-evenements-sur-les-themes-de-la-sante-de-la-securite-alimentaire/actualites-et-evenements-lies-au/article/promouvoir-l-education-des-filles</w:t>
        </w:r>
      </w:hyperlink>
      <w:r>
        <w:rPr>
          <w:rFonts w:ascii="Times New Roman" w:hAnsi="Times New Roman"/>
          <w:sz w:val="18"/>
          <w:szCs w:val="18"/>
          <w:lang w:val="fr-FR"/>
        </w:rPr>
        <w:t xml:space="preserve"> </w:t>
      </w:r>
    </w:p>
  </w:footnote>
  <w:footnote w:id="113">
    <w:p w14:paraId="1D565E5D" w14:textId="77777777" w:rsidR="00D060B8" w:rsidRPr="007E0CA1" w:rsidRDefault="00D060B8" w:rsidP="00892685">
      <w:pPr>
        <w:pStyle w:val="Notedebasdepage"/>
        <w:jc w:val="both"/>
        <w:rPr>
          <w:rFonts w:ascii="Times New Roman" w:hAnsi="Times New Roman"/>
          <w:sz w:val="18"/>
          <w:szCs w:val="18"/>
          <w:lang w:val="fr-FR"/>
        </w:rPr>
      </w:pPr>
      <w:r w:rsidRPr="007E0CA1">
        <w:rPr>
          <w:rStyle w:val="Marquenotebasdepage"/>
          <w:rFonts w:ascii="Times New Roman" w:hAnsi="Times New Roman"/>
          <w:sz w:val="18"/>
          <w:szCs w:val="18"/>
        </w:rPr>
        <w:footnoteRef/>
      </w:r>
      <w:hyperlink r:id="rId23" w:history="1">
        <w:r w:rsidRPr="0049602C">
          <w:rPr>
            <w:rStyle w:val="Lienhypertexte"/>
            <w:rFonts w:ascii="Times New Roman" w:hAnsi="Times New Roman"/>
            <w:sz w:val="18"/>
            <w:szCs w:val="18"/>
            <w:lang w:val="fr-FR"/>
          </w:rPr>
          <w:t>http://www.lefaso.net/spip.php?article62810</w:t>
        </w:r>
      </w:hyperlink>
      <w:r>
        <w:rPr>
          <w:rFonts w:ascii="Times New Roman" w:hAnsi="Times New Roman"/>
          <w:sz w:val="18"/>
          <w:szCs w:val="18"/>
          <w:lang w:val="fr-FR"/>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BA2FD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4D3C0E"/>
    <w:multiLevelType w:val="hybridMultilevel"/>
    <w:tmpl w:val="557E30A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5FB1708"/>
    <w:multiLevelType w:val="hybridMultilevel"/>
    <w:tmpl w:val="ABC2DAB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6A8118F"/>
    <w:multiLevelType w:val="hybridMultilevel"/>
    <w:tmpl w:val="5556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D2640B"/>
    <w:multiLevelType w:val="hybridMultilevel"/>
    <w:tmpl w:val="315884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E5E5382"/>
    <w:multiLevelType w:val="hybridMultilevel"/>
    <w:tmpl w:val="FD322E28"/>
    <w:lvl w:ilvl="0" w:tplc="B61CFD0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332126"/>
    <w:multiLevelType w:val="hybridMultilevel"/>
    <w:tmpl w:val="9EE65542"/>
    <w:lvl w:ilvl="0" w:tplc="E7FC4F96">
      <w:start w:val="1"/>
      <w:numFmt w:val="upp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7">
    <w:nsid w:val="12504681"/>
    <w:multiLevelType w:val="hybridMultilevel"/>
    <w:tmpl w:val="EAD6CAF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E16D59"/>
    <w:multiLevelType w:val="hybridMultilevel"/>
    <w:tmpl w:val="84902FDA"/>
    <w:lvl w:ilvl="0" w:tplc="49DCFB48">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1A44A8E"/>
    <w:multiLevelType w:val="hybridMultilevel"/>
    <w:tmpl w:val="EA684F00"/>
    <w:lvl w:ilvl="0" w:tplc="133AE978">
      <w:start w:val="1"/>
      <w:numFmt w:val="upperLetter"/>
      <w:lvlText w:val="%1."/>
      <w:lvlJc w:val="left"/>
      <w:pPr>
        <w:ind w:left="720" w:hanging="360"/>
      </w:pPr>
      <w:rPr>
        <w:rFonts w:ascii="Bodoni MT Black" w:hAnsi="Bodoni MT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BC603C2"/>
    <w:multiLevelType w:val="hybridMultilevel"/>
    <w:tmpl w:val="A8A66C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BFD3C93"/>
    <w:multiLevelType w:val="hybridMultilevel"/>
    <w:tmpl w:val="4DE01C8A"/>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E9B200D"/>
    <w:multiLevelType w:val="hybridMultilevel"/>
    <w:tmpl w:val="B9B62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F046EF"/>
    <w:multiLevelType w:val="hybridMultilevel"/>
    <w:tmpl w:val="4FF4B01E"/>
    <w:lvl w:ilvl="0" w:tplc="14B493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87822A1"/>
    <w:multiLevelType w:val="hybridMultilevel"/>
    <w:tmpl w:val="5D72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7C3C10"/>
    <w:multiLevelType w:val="hybridMultilevel"/>
    <w:tmpl w:val="FDC4F6D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3B0874D3"/>
    <w:multiLevelType w:val="hybridMultilevel"/>
    <w:tmpl w:val="E6C24FA8"/>
    <w:lvl w:ilvl="0" w:tplc="567AFAFA">
      <w:start w:val="1"/>
      <w:numFmt w:val="decimal"/>
      <w:lvlText w:val="%1."/>
      <w:lvlJc w:val="left"/>
      <w:pPr>
        <w:ind w:left="644" w:hanging="360"/>
      </w:pPr>
      <w:rPr>
        <w:rFonts w:hint="default"/>
        <w:b/>
        <w:i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nsid w:val="41842E26"/>
    <w:multiLevelType w:val="hybridMultilevel"/>
    <w:tmpl w:val="737AAF5E"/>
    <w:lvl w:ilvl="0" w:tplc="4C48CD3E">
      <w:start w:val="4"/>
      <w:numFmt w:val="bullet"/>
      <w:lvlText w:val="-"/>
      <w:lvlJc w:val="left"/>
      <w:pPr>
        <w:ind w:left="1440" w:hanging="360"/>
      </w:pPr>
      <w:rPr>
        <w:rFonts w:ascii="Times New Roman" w:eastAsia="Calibr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508A167E"/>
    <w:multiLevelType w:val="hybridMultilevel"/>
    <w:tmpl w:val="7D3E3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3A11EFC"/>
    <w:multiLevelType w:val="hybridMultilevel"/>
    <w:tmpl w:val="C4385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E95677"/>
    <w:multiLevelType w:val="hybridMultilevel"/>
    <w:tmpl w:val="C158DB8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41E3F40"/>
    <w:multiLevelType w:val="hybridMultilevel"/>
    <w:tmpl w:val="631204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4EF2F1B"/>
    <w:multiLevelType w:val="hybridMultilevel"/>
    <w:tmpl w:val="C25CCF6C"/>
    <w:lvl w:ilvl="0" w:tplc="D820C53C">
      <w:start w:val="1"/>
      <w:numFmt w:val="decimal"/>
      <w:lvlText w:val="%1."/>
      <w:lvlJc w:val="left"/>
      <w:pPr>
        <w:ind w:left="1080" w:hanging="360"/>
      </w:pPr>
      <w:rPr>
        <w:rFonts w:ascii="Century Gothic" w:hAnsi="Century Gothic" w:cs="Times New Roman" w:hint="default"/>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5B662A5"/>
    <w:multiLevelType w:val="hybridMultilevel"/>
    <w:tmpl w:val="4BF676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96010D7"/>
    <w:multiLevelType w:val="hybridMultilevel"/>
    <w:tmpl w:val="B182352E"/>
    <w:lvl w:ilvl="0" w:tplc="ABC42F80">
      <w:start w:val="1"/>
      <w:numFmt w:val="bullet"/>
      <w:lvlText w:val=""/>
      <w:lvlJc w:val="left"/>
      <w:pPr>
        <w:ind w:left="360" w:hanging="360"/>
      </w:pPr>
      <w:rPr>
        <w:rFonts w:ascii="Symbol" w:eastAsia="Times New Roman" w:hAnsi="Symbo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C130C98"/>
    <w:multiLevelType w:val="hybridMultilevel"/>
    <w:tmpl w:val="9C888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D4D1A03"/>
    <w:multiLevelType w:val="hybridMultilevel"/>
    <w:tmpl w:val="48BCC878"/>
    <w:lvl w:ilvl="0" w:tplc="48AC47C4">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F1F67D0"/>
    <w:multiLevelType w:val="hybridMultilevel"/>
    <w:tmpl w:val="45B8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7342D2"/>
    <w:multiLevelType w:val="hybridMultilevel"/>
    <w:tmpl w:val="3CD88B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87A6588"/>
    <w:multiLevelType w:val="hybridMultilevel"/>
    <w:tmpl w:val="BA4ECE9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8E84D86"/>
    <w:multiLevelType w:val="hybridMultilevel"/>
    <w:tmpl w:val="8B5E3EA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D650D4B"/>
    <w:multiLevelType w:val="hybridMultilevel"/>
    <w:tmpl w:val="4D681B38"/>
    <w:lvl w:ilvl="0" w:tplc="AD9CBF66">
      <w:start w:val="8"/>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DC4378C"/>
    <w:multiLevelType w:val="hybridMultilevel"/>
    <w:tmpl w:val="B2DC428E"/>
    <w:lvl w:ilvl="0" w:tplc="363C0504">
      <w:start w:val="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6E284968"/>
    <w:multiLevelType w:val="hybridMultilevel"/>
    <w:tmpl w:val="DEBEA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861551"/>
    <w:multiLevelType w:val="hybridMultilevel"/>
    <w:tmpl w:val="B74669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109361D"/>
    <w:multiLevelType w:val="hybridMultilevel"/>
    <w:tmpl w:val="25C2D346"/>
    <w:lvl w:ilvl="0" w:tplc="BB62223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75B2EE2"/>
    <w:multiLevelType w:val="hybridMultilevel"/>
    <w:tmpl w:val="3E6AD94E"/>
    <w:lvl w:ilvl="0" w:tplc="3B1AE79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B8A22AB"/>
    <w:multiLevelType w:val="hybridMultilevel"/>
    <w:tmpl w:val="546E885E"/>
    <w:lvl w:ilvl="0" w:tplc="AD9CBF66">
      <w:start w:val="8"/>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DA61373"/>
    <w:multiLevelType w:val="hybridMultilevel"/>
    <w:tmpl w:val="EB9C6246"/>
    <w:lvl w:ilvl="0" w:tplc="B17084C4">
      <w:start w:val="1"/>
      <w:numFmt w:val="decimal"/>
      <w:lvlText w:val="%1."/>
      <w:lvlJc w:val="left"/>
      <w:pPr>
        <w:ind w:left="1080" w:hanging="360"/>
      </w:pPr>
      <w:rPr>
        <w:rFonts w:ascii="Century Gothic" w:hAnsi="Century Gothic" w:cs="Times New Roman" w:hint="default"/>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nsid w:val="7EDE66C6"/>
    <w:multiLevelType w:val="hybridMultilevel"/>
    <w:tmpl w:val="01821AC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9"/>
  </w:num>
  <w:num w:numId="4">
    <w:abstractNumId w:val="38"/>
  </w:num>
  <w:num w:numId="5">
    <w:abstractNumId w:val="16"/>
  </w:num>
  <w:num w:numId="6">
    <w:abstractNumId w:val="22"/>
  </w:num>
  <w:num w:numId="7">
    <w:abstractNumId w:val="19"/>
  </w:num>
  <w:num w:numId="8">
    <w:abstractNumId w:val="18"/>
  </w:num>
  <w:num w:numId="9">
    <w:abstractNumId w:val="28"/>
  </w:num>
  <w:num w:numId="10">
    <w:abstractNumId w:val="3"/>
  </w:num>
  <w:num w:numId="11">
    <w:abstractNumId w:val="33"/>
  </w:num>
  <w:num w:numId="12">
    <w:abstractNumId w:val="14"/>
  </w:num>
  <w:num w:numId="13">
    <w:abstractNumId w:val="27"/>
  </w:num>
  <w:num w:numId="14">
    <w:abstractNumId w:val="12"/>
  </w:num>
  <w:num w:numId="15">
    <w:abstractNumId w:val="37"/>
  </w:num>
  <w:num w:numId="16">
    <w:abstractNumId w:val="8"/>
  </w:num>
  <w:num w:numId="17">
    <w:abstractNumId w:val="24"/>
  </w:num>
  <w:num w:numId="18">
    <w:abstractNumId w:val="10"/>
  </w:num>
  <w:num w:numId="19">
    <w:abstractNumId w:val="25"/>
  </w:num>
  <w:num w:numId="20">
    <w:abstractNumId w:val="17"/>
  </w:num>
  <w:num w:numId="21">
    <w:abstractNumId w:val="36"/>
  </w:num>
  <w:num w:numId="22">
    <w:abstractNumId w:val="15"/>
  </w:num>
  <w:num w:numId="23">
    <w:abstractNumId w:val="7"/>
  </w:num>
  <w:num w:numId="24">
    <w:abstractNumId w:val="39"/>
  </w:num>
  <w:num w:numId="25">
    <w:abstractNumId w:val="1"/>
  </w:num>
  <w:num w:numId="26">
    <w:abstractNumId w:val="20"/>
  </w:num>
  <w:num w:numId="27">
    <w:abstractNumId w:val="21"/>
  </w:num>
  <w:num w:numId="28">
    <w:abstractNumId w:val="30"/>
  </w:num>
  <w:num w:numId="29">
    <w:abstractNumId w:val="29"/>
  </w:num>
  <w:num w:numId="30">
    <w:abstractNumId w:val="23"/>
  </w:num>
  <w:num w:numId="31">
    <w:abstractNumId w:val="2"/>
  </w:num>
  <w:num w:numId="32">
    <w:abstractNumId w:val="31"/>
  </w:num>
  <w:num w:numId="33">
    <w:abstractNumId w:val="11"/>
  </w:num>
  <w:num w:numId="34">
    <w:abstractNumId w:val="32"/>
  </w:num>
  <w:num w:numId="35">
    <w:abstractNumId w:val="26"/>
  </w:num>
  <w:num w:numId="36">
    <w:abstractNumId w:val="35"/>
  </w:num>
  <w:num w:numId="37">
    <w:abstractNumId w:val="6"/>
  </w:num>
  <w:num w:numId="38">
    <w:abstractNumId w:val="4"/>
  </w:num>
  <w:num w:numId="39">
    <w:abstractNumId w:val="0"/>
  </w:num>
  <w:num w:numId="40">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8CC"/>
    <w:rsid w:val="00002E9C"/>
    <w:rsid w:val="00003DAF"/>
    <w:rsid w:val="00004BC7"/>
    <w:rsid w:val="00005E48"/>
    <w:rsid w:val="00006640"/>
    <w:rsid w:val="00006F24"/>
    <w:rsid w:val="000101D1"/>
    <w:rsid w:val="00011175"/>
    <w:rsid w:val="00012343"/>
    <w:rsid w:val="00014771"/>
    <w:rsid w:val="00015400"/>
    <w:rsid w:val="00015D7B"/>
    <w:rsid w:val="00017D58"/>
    <w:rsid w:val="00021BD3"/>
    <w:rsid w:val="00024EAA"/>
    <w:rsid w:val="00025E50"/>
    <w:rsid w:val="00033083"/>
    <w:rsid w:val="00035628"/>
    <w:rsid w:val="00035C57"/>
    <w:rsid w:val="00037A7F"/>
    <w:rsid w:val="00040441"/>
    <w:rsid w:val="00040CA7"/>
    <w:rsid w:val="00043BB2"/>
    <w:rsid w:val="000440E5"/>
    <w:rsid w:val="00046189"/>
    <w:rsid w:val="000474B7"/>
    <w:rsid w:val="00047923"/>
    <w:rsid w:val="000515F6"/>
    <w:rsid w:val="00051BD1"/>
    <w:rsid w:val="00052195"/>
    <w:rsid w:val="00052A62"/>
    <w:rsid w:val="00053AE4"/>
    <w:rsid w:val="00053EB4"/>
    <w:rsid w:val="00054C39"/>
    <w:rsid w:val="000569C6"/>
    <w:rsid w:val="00056DED"/>
    <w:rsid w:val="000609E1"/>
    <w:rsid w:val="00062E87"/>
    <w:rsid w:val="00064452"/>
    <w:rsid w:val="00065CEF"/>
    <w:rsid w:val="00066046"/>
    <w:rsid w:val="00066622"/>
    <w:rsid w:val="00066DD3"/>
    <w:rsid w:val="000704C2"/>
    <w:rsid w:val="00072CAB"/>
    <w:rsid w:val="000754AF"/>
    <w:rsid w:val="00077207"/>
    <w:rsid w:val="00080CEC"/>
    <w:rsid w:val="00084A43"/>
    <w:rsid w:val="00086A1C"/>
    <w:rsid w:val="00093E12"/>
    <w:rsid w:val="00096800"/>
    <w:rsid w:val="000979E7"/>
    <w:rsid w:val="000A0158"/>
    <w:rsid w:val="000A114D"/>
    <w:rsid w:val="000A3139"/>
    <w:rsid w:val="000A35AE"/>
    <w:rsid w:val="000A480E"/>
    <w:rsid w:val="000A68FB"/>
    <w:rsid w:val="000B2D9A"/>
    <w:rsid w:val="000B4F02"/>
    <w:rsid w:val="000B5197"/>
    <w:rsid w:val="000B65B5"/>
    <w:rsid w:val="000B7435"/>
    <w:rsid w:val="000B7D76"/>
    <w:rsid w:val="000C06F8"/>
    <w:rsid w:val="000C412C"/>
    <w:rsid w:val="000C456C"/>
    <w:rsid w:val="000C7921"/>
    <w:rsid w:val="000D384A"/>
    <w:rsid w:val="000D4452"/>
    <w:rsid w:val="000D553E"/>
    <w:rsid w:val="000D55E7"/>
    <w:rsid w:val="000D5B06"/>
    <w:rsid w:val="000D7D0C"/>
    <w:rsid w:val="000E0C9D"/>
    <w:rsid w:val="000E14C5"/>
    <w:rsid w:val="000E1500"/>
    <w:rsid w:val="000E4DC7"/>
    <w:rsid w:val="000E4F58"/>
    <w:rsid w:val="000E68A2"/>
    <w:rsid w:val="000E7EE0"/>
    <w:rsid w:val="000F2548"/>
    <w:rsid w:val="000F4684"/>
    <w:rsid w:val="000F5834"/>
    <w:rsid w:val="000F77F0"/>
    <w:rsid w:val="000F788A"/>
    <w:rsid w:val="00102024"/>
    <w:rsid w:val="00103997"/>
    <w:rsid w:val="00104314"/>
    <w:rsid w:val="00106B62"/>
    <w:rsid w:val="00106C85"/>
    <w:rsid w:val="00106CFE"/>
    <w:rsid w:val="00110AB8"/>
    <w:rsid w:val="00112778"/>
    <w:rsid w:val="00114041"/>
    <w:rsid w:val="001163EF"/>
    <w:rsid w:val="00117770"/>
    <w:rsid w:val="001226A4"/>
    <w:rsid w:val="00125BE6"/>
    <w:rsid w:val="00125FBB"/>
    <w:rsid w:val="00126ACE"/>
    <w:rsid w:val="00126C8D"/>
    <w:rsid w:val="0012753C"/>
    <w:rsid w:val="0013302F"/>
    <w:rsid w:val="00134187"/>
    <w:rsid w:val="00135DB7"/>
    <w:rsid w:val="00140073"/>
    <w:rsid w:val="0014036D"/>
    <w:rsid w:val="001442D3"/>
    <w:rsid w:val="001479DF"/>
    <w:rsid w:val="001518C1"/>
    <w:rsid w:val="001536C0"/>
    <w:rsid w:val="00153B17"/>
    <w:rsid w:val="00154121"/>
    <w:rsid w:val="00161E7D"/>
    <w:rsid w:val="00166A6A"/>
    <w:rsid w:val="0016777A"/>
    <w:rsid w:val="00170175"/>
    <w:rsid w:val="0017110A"/>
    <w:rsid w:val="0017267F"/>
    <w:rsid w:val="00174E69"/>
    <w:rsid w:val="00174F47"/>
    <w:rsid w:val="001752F7"/>
    <w:rsid w:val="001769C7"/>
    <w:rsid w:val="00180169"/>
    <w:rsid w:val="00181DE4"/>
    <w:rsid w:val="0018528F"/>
    <w:rsid w:val="00185A27"/>
    <w:rsid w:val="001866E4"/>
    <w:rsid w:val="00186B4A"/>
    <w:rsid w:val="00187D4D"/>
    <w:rsid w:val="0019005D"/>
    <w:rsid w:val="001910BF"/>
    <w:rsid w:val="001914A3"/>
    <w:rsid w:val="00191AC1"/>
    <w:rsid w:val="00191E33"/>
    <w:rsid w:val="0019208F"/>
    <w:rsid w:val="001958CC"/>
    <w:rsid w:val="00197931"/>
    <w:rsid w:val="001A05CC"/>
    <w:rsid w:val="001A1F24"/>
    <w:rsid w:val="001A3B6B"/>
    <w:rsid w:val="001A42F6"/>
    <w:rsid w:val="001A4A78"/>
    <w:rsid w:val="001A66B5"/>
    <w:rsid w:val="001B09E4"/>
    <w:rsid w:val="001B2451"/>
    <w:rsid w:val="001B2FED"/>
    <w:rsid w:val="001B4231"/>
    <w:rsid w:val="001B4EB3"/>
    <w:rsid w:val="001C1F16"/>
    <w:rsid w:val="001C2100"/>
    <w:rsid w:val="001C2B7D"/>
    <w:rsid w:val="001C39F7"/>
    <w:rsid w:val="001C3B8A"/>
    <w:rsid w:val="001C4847"/>
    <w:rsid w:val="001C5C85"/>
    <w:rsid w:val="001C7DFF"/>
    <w:rsid w:val="001D370A"/>
    <w:rsid w:val="001D4029"/>
    <w:rsid w:val="001D6738"/>
    <w:rsid w:val="001E159C"/>
    <w:rsid w:val="001E51C4"/>
    <w:rsid w:val="001F117C"/>
    <w:rsid w:val="001F4163"/>
    <w:rsid w:val="001F5E8E"/>
    <w:rsid w:val="00201F2E"/>
    <w:rsid w:val="002036FD"/>
    <w:rsid w:val="00204059"/>
    <w:rsid w:val="002046E7"/>
    <w:rsid w:val="002047BD"/>
    <w:rsid w:val="002052AA"/>
    <w:rsid w:val="002059F0"/>
    <w:rsid w:val="00211DDA"/>
    <w:rsid w:val="0021445D"/>
    <w:rsid w:val="00217571"/>
    <w:rsid w:val="00220E6A"/>
    <w:rsid w:val="002210EA"/>
    <w:rsid w:val="00222BFE"/>
    <w:rsid w:val="00224586"/>
    <w:rsid w:val="00224E89"/>
    <w:rsid w:val="00225114"/>
    <w:rsid w:val="00226266"/>
    <w:rsid w:val="00230B1A"/>
    <w:rsid w:val="00232417"/>
    <w:rsid w:val="0023380B"/>
    <w:rsid w:val="002340CB"/>
    <w:rsid w:val="0023484F"/>
    <w:rsid w:val="00234B74"/>
    <w:rsid w:val="0023542B"/>
    <w:rsid w:val="00236323"/>
    <w:rsid w:val="00236634"/>
    <w:rsid w:val="002405A2"/>
    <w:rsid w:val="00240A15"/>
    <w:rsid w:val="002415BA"/>
    <w:rsid w:val="00243232"/>
    <w:rsid w:val="00244604"/>
    <w:rsid w:val="0024526B"/>
    <w:rsid w:val="00245AD0"/>
    <w:rsid w:val="00245E23"/>
    <w:rsid w:val="00251A48"/>
    <w:rsid w:val="002544A3"/>
    <w:rsid w:val="00254654"/>
    <w:rsid w:val="002561FE"/>
    <w:rsid w:val="00262998"/>
    <w:rsid w:val="002642BF"/>
    <w:rsid w:val="002651CF"/>
    <w:rsid w:val="002659FA"/>
    <w:rsid w:val="002664BD"/>
    <w:rsid w:val="0027044D"/>
    <w:rsid w:val="00271039"/>
    <w:rsid w:val="00271572"/>
    <w:rsid w:val="00272268"/>
    <w:rsid w:val="00272F57"/>
    <w:rsid w:val="00273D1C"/>
    <w:rsid w:val="00274425"/>
    <w:rsid w:val="00276897"/>
    <w:rsid w:val="00281C89"/>
    <w:rsid w:val="002835D7"/>
    <w:rsid w:val="00284517"/>
    <w:rsid w:val="002848F3"/>
    <w:rsid w:val="00285C74"/>
    <w:rsid w:val="00285F62"/>
    <w:rsid w:val="00286337"/>
    <w:rsid w:val="00292278"/>
    <w:rsid w:val="00294364"/>
    <w:rsid w:val="002952AD"/>
    <w:rsid w:val="002957F2"/>
    <w:rsid w:val="002958E0"/>
    <w:rsid w:val="00295907"/>
    <w:rsid w:val="002968E9"/>
    <w:rsid w:val="002A0BA8"/>
    <w:rsid w:val="002A0EA5"/>
    <w:rsid w:val="002A12DD"/>
    <w:rsid w:val="002A1EA1"/>
    <w:rsid w:val="002A2FA5"/>
    <w:rsid w:val="002A5585"/>
    <w:rsid w:val="002B3304"/>
    <w:rsid w:val="002B3565"/>
    <w:rsid w:val="002C0AFD"/>
    <w:rsid w:val="002C1609"/>
    <w:rsid w:val="002C633D"/>
    <w:rsid w:val="002C6BD1"/>
    <w:rsid w:val="002C7DB6"/>
    <w:rsid w:val="002D0856"/>
    <w:rsid w:val="002D1B5E"/>
    <w:rsid w:val="002D1FB8"/>
    <w:rsid w:val="002D20C9"/>
    <w:rsid w:val="002D2D75"/>
    <w:rsid w:val="002D31E2"/>
    <w:rsid w:val="002D3659"/>
    <w:rsid w:val="002D47D6"/>
    <w:rsid w:val="002D4AF1"/>
    <w:rsid w:val="002D6B96"/>
    <w:rsid w:val="002D742F"/>
    <w:rsid w:val="002E030F"/>
    <w:rsid w:val="002E494A"/>
    <w:rsid w:val="002F0E4D"/>
    <w:rsid w:val="002F1D24"/>
    <w:rsid w:val="002F2351"/>
    <w:rsid w:val="002F3D62"/>
    <w:rsid w:val="002F4012"/>
    <w:rsid w:val="002F58AF"/>
    <w:rsid w:val="002F6957"/>
    <w:rsid w:val="00303C03"/>
    <w:rsid w:val="003052E4"/>
    <w:rsid w:val="00310097"/>
    <w:rsid w:val="003100BF"/>
    <w:rsid w:val="003114AB"/>
    <w:rsid w:val="0031165F"/>
    <w:rsid w:val="00311856"/>
    <w:rsid w:val="00317E98"/>
    <w:rsid w:val="003230E7"/>
    <w:rsid w:val="0032337C"/>
    <w:rsid w:val="00323E57"/>
    <w:rsid w:val="0032483D"/>
    <w:rsid w:val="0032796F"/>
    <w:rsid w:val="00330DFE"/>
    <w:rsid w:val="00331925"/>
    <w:rsid w:val="0033252D"/>
    <w:rsid w:val="0033289E"/>
    <w:rsid w:val="00333A4E"/>
    <w:rsid w:val="0033521B"/>
    <w:rsid w:val="00336661"/>
    <w:rsid w:val="00337080"/>
    <w:rsid w:val="00337F8C"/>
    <w:rsid w:val="00341C0A"/>
    <w:rsid w:val="00341C39"/>
    <w:rsid w:val="00345443"/>
    <w:rsid w:val="00347C0E"/>
    <w:rsid w:val="0035150F"/>
    <w:rsid w:val="00352549"/>
    <w:rsid w:val="00352B58"/>
    <w:rsid w:val="00355EF6"/>
    <w:rsid w:val="0035697A"/>
    <w:rsid w:val="003573E7"/>
    <w:rsid w:val="00365E07"/>
    <w:rsid w:val="003660B4"/>
    <w:rsid w:val="003668CE"/>
    <w:rsid w:val="00367866"/>
    <w:rsid w:val="00371CC0"/>
    <w:rsid w:val="003748F3"/>
    <w:rsid w:val="003758E9"/>
    <w:rsid w:val="00375A29"/>
    <w:rsid w:val="00375DC2"/>
    <w:rsid w:val="00376DA8"/>
    <w:rsid w:val="00380771"/>
    <w:rsid w:val="0038204A"/>
    <w:rsid w:val="0039098A"/>
    <w:rsid w:val="00393415"/>
    <w:rsid w:val="003A2C31"/>
    <w:rsid w:val="003A58D5"/>
    <w:rsid w:val="003A64CB"/>
    <w:rsid w:val="003B0439"/>
    <w:rsid w:val="003B0FB7"/>
    <w:rsid w:val="003B43C4"/>
    <w:rsid w:val="003B53CD"/>
    <w:rsid w:val="003B697F"/>
    <w:rsid w:val="003B6A4A"/>
    <w:rsid w:val="003B7757"/>
    <w:rsid w:val="003B7DC3"/>
    <w:rsid w:val="003B7EC0"/>
    <w:rsid w:val="003C11CF"/>
    <w:rsid w:val="003C17D2"/>
    <w:rsid w:val="003C181F"/>
    <w:rsid w:val="003C6F57"/>
    <w:rsid w:val="003C7CC0"/>
    <w:rsid w:val="003D016A"/>
    <w:rsid w:val="003D1EAD"/>
    <w:rsid w:val="003D59D1"/>
    <w:rsid w:val="003D75FD"/>
    <w:rsid w:val="003E1E9E"/>
    <w:rsid w:val="003E5F30"/>
    <w:rsid w:val="003E687F"/>
    <w:rsid w:val="003E6917"/>
    <w:rsid w:val="003E7934"/>
    <w:rsid w:val="003F0309"/>
    <w:rsid w:val="003F1249"/>
    <w:rsid w:val="003F16DD"/>
    <w:rsid w:val="003F1D54"/>
    <w:rsid w:val="003F3262"/>
    <w:rsid w:val="00400C7A"/>
    <w:rsid w:val="004041B6"/>
    <w:rsid w:val="00404B3C"/>
    <w:rsid w:val="00404E8C"/>
    <w:rsid w:val="0040679D"/>
    <w:rsid w:val="00407313"/>
    <w:rsid w:val="0041245F"/>
    <w:rsid w:val="00413E22"/>
    <w:rsid w:val="00414081"/>
    <w:rsid w:val="00414162"/>
    <w:rsid w:val="004152ED"/>
    <w:rsid w:val="00424B43"/>
    <w:rsid w:val="00424F34"/>
    <w:rsid w:val="004251E4"/>
    <w:rsid w:val="004267B6"/>
    <w:rsid w:val="004273DF"/>
    <w:rsid w:val="0042774A"/>
    <w:rsid w:val="00430EE2"/>
    <w:rsid w:val="004345B1"/>
    <w:rsid w:val="00436BC4"/>
    <w:rsid w:val="00436EAD"/>
    <w:rsid w:val="00437ECB"/>
    <w:rsid w:val="0044116E"/>
    <w:rsid w:val="00442587"/>
    <w:rsid w:val="00443061"/>
    <w:rsid w:val="0044341B"/>
    <w:rsid w:val="00443CE4"/>
    <w:rsid w:val="00445650"/>
    <w:rsid w:val="00445F14"/>
    <w:rsid w:val="0044744B"/>
    <w:rsid w:val="00447864"/>
    <w:rsid w:val="00447D83"/>
    <w:rsid w:val="0045015A"/>
    <w:rsid w:val="0045032C"/>
    <w:rsid w:val="00451CD7"/>
    <w:rsid w:val="004525AB"/>
    <w:rsid w:val="00453A66"/>
    <w:rsid w:val="00453FB0"/>
    <w:rsid w:val="00460154"/>
    <w:rsid w:val="004602D8"/>
    <w:rsid w:val="0046095F"/>
    <w:rsid w:val="00461864"/>
    <w:rsid w:val="00462F71"/>
    <w:rsid w:val="004630FE"/>
    <w:rsid w:val="0046310D"/>
    <w:rsid w:val="004632D9"/>
    <w:rsid w:val="004638EA"/>
    <w:rsid w:val="00463A62"/>
    <w:rsid w:val="0046460D"/>
    <w:rsid w:val="00465343"/>
    <w:rsid w:val="00465748"/>
    <w:rsid w:val="0046676D"/>
    <w:rsid w:val="00467E22"/>
    <w:rsid w:val="0047262A"/>
    <w:rsid w:val="00472D0B"/>
    <w:rsid w:val="0047341C"/>
    <w:rsid w:val="00473FAA"/>
    <w:rsid w:val="00474F97"/>
    <w:rsid w:val="00477095"/>
    <w:rsid w:val="004776D1"/>
    <w:rsid w:val="0048288E"/>
    <w:rsid w:val="00484BA7"/>
    <w:rsid w:val="00485396"/>
    <w:rsid w:val="00485FEA"/>
    <w:rsid w:val="00487EC0"/>
    <w:rsid w:val="0049462E"/>
    <w:rsid w:val="004A2EF6"/>
    <w:rsid w:val="004A3E99"/>
    <w:rsid w:val="004A4025"/>
    <w:rsid w:val="004A486F"/>
    <w:rsid w:val="004A4BC6"/>
    <w:rsid w:val="004A54E1"/>
    <w:rsid w:val="004B0364"/>
    <w:rsid w:val="004B0973"/>
    <w:rsid w:val="004B0C58"/>
    <w:rsid w:val="004B0E22"/>
    <w:rsid w:val="004B1712"/>
    <w:rsid w:val="004B487C"/>
    <w:rsid w:val="004B49E1"/>
    <w:rsid w:val="004B4BE8"/>
    <w:rsid w:val="004B6C20"/>
    <w:rsid w:val="004B7B2E"/>
    <w:rsid w:val="004C03D8"/>
    <w:rsid w:val="004C3887"/>
    <w:rsid w:val="004C4B6E"/>
    <w:rsid w:val="004D1430"/>
    <w:rsid w:val="004D4EAC"/>
    <w:rsid w:val="004D64E1"/>
    <w:rsid w:val="004D6B75"/>
    <w:rsid w:val="004D7E76"/>
    <w:rsid w:val="004E0194"/>
    <w:rsid w:val="004E09AA"/>
    <w:rsid w:val="004E19FB"/>
    <w:rsid w:val="004E282C"/>
    <w:rsid w:val="004E2B1C"/>
    <w:rsid w:val="004E4F80"/>
    <w:rsid w:val="004E5AA3"/>
    <w:rsid w:val="004E5D0A"/>
    <w:rsid w:val="004E6844"/>
    <w:rsid w:val="004E6D03"/>
    <w:rsid w:val="004E7E32"/>
    <w:rsid w:val="004F15C3"/>
    <w:rsid w:val="004F4978"/>
    <w:rsid w:val="004F4B71"/>
    <w:rsid w:val="004F5235"/>
    <w:rsid w:val="004F68BB"/>
    <w:rsid w:val="004F68CE"/>
    <w:rsid w:val="004F6EC2"/>
    <w:rsid w:val="004F764C"/>
    <w:rsid w:val="004F7E21"/>
    <w:rsid w:val="00502EBA"/>
    <w:rsid w:val="00503032"/>
    <w:rsid w:val="00503176"/>
    <w:rsid w:val="00507F34"/>
    <w:rsid w:val="005113C9"/>
    <w:rsid w:val="00515308"/>
    <w:rsid w:val="00516399"/>
    <w:rsid w:val="005174DC"/>
    <w:rsid w:val="005177BE"/>
    <w:rsid w:val="005219BA"/>
    <w:rsid w:val="00523333"/>
    <w:rsid w:val="00525C11"/>
    <w:rsid w:val="00526882"/>
    <w:rsid w:val="00534D38"/>
    <w:rsid w:val="00535BBB"/>
    <w:rsid w:val="00535FF2"/>
    <w:rsid w:val="005365A9"/>
    <w:rsid w:val="00536DD7"/>
    <w:rsid w:val="005374DA"/>
    <w:rsid w:val="00541102"/>
    <w:rsid w:val="00541561"/>
    <w:rsid w:val="005431C9"/>
    <w:rsid w:val="0054635E"/>
    <w:rsid w:val="0054640F"/>
    <w:rsid w:val="005468B8"/>
    <w:rsid w:val="00547B55"/>
    <w:rsid w:val="005521BD"/>
    <w:rsid w:val="00554FB4"/>
    <w:rsid w:val="00561329"/>
    <w:rsid w:val="00561424"/>
    <w:rsid w:val="00562A2A"/>
    <w:rsid w:val="0056343F"/>
    <w:rsid w:val="0056497D"/>
    <w:rsid w:val="00566567"/>
    <w:rsid w:val="00567C21"/>
    <w:rsid w:val="005738A5"/>
    <w:rsid w:val="00574125"/>
    <w:rsid w:val="00574980"/>
    <w:rsid w:val="00574D16"/>
    <w:rsid w:val="00576C21"/>
    <w:rsid w:val="005826F4"/>
    <w:rsid w:val="00582B5E"/>
    <w:rsid w:val="00582DEF"/>
    <w:rsid w:val="00583CCD"/>
    <w:rsid w:val="005847E9"/>
    <w:rsid w:val="00584D21"/>
    <w:rsid w:val="005866AD"/>
    <w:rsid w:val="00590694"/>
    <w:rsid w:val="00590CA9"/>
    <w:rsid w:val="00591945"/>
    <w:rsid w:val="00591F46"/>
    <w:rsid w:val="00594C00"/>
    <w:rsid w:val="005972D8"/>
    <w:rsid w:val="00597778"/>
    <w:rsid w:val="005A3081"/>
    <w:rsid w:val="005A4193"/>
    <w:rsid w:val="005A4B10"/>
    <w:rsid w:val="005A6E45"/>
    <w:rsid w:val="005A707C"/>
    <w:rsid w:val="005B0A50"/>
    <w:rsid w:val="005B11D9"/>
    <w:rsid w:val="005B2EA6"/>
    <w:rsid w:val="005B2FBA"/>
    <w:rsid w:val="005B3335"/>
    <w:rsid w:val="005B5554"/>
    <w:rsid w:val="005B7A18"/>
    <w:rsid w:val="005C10D0"/>
    <w:rsid w:val="005C5077"/>
    <w:rsid w:val="005D0F9F"/>
    <w:rsid w:val="005D10BA"/>
    <w:rsid w:val="005D2180"/>
    <w:rsid w:val="005D2671"/>
    <w:rsid w:val="005D2826"/>
    <w:rsid w:val="005D297B"/>
    <w:rsid w:val="005D3191"/>
    <w:rsid w:val="005D64C8"/>
    <w:rsid w:val="005D64F6"/>
    <w:rsid w:val="005D7701"/>
    <w:rsid w:val="005D7BFB"/>
    <w:rsid w:val="005E28D4"/>
    <w:rsid w:val="005E2A29"/>
    <w:rsid w:val="005E3429"/>
    <w:rsid w:val="005E4FBF"/>
    <w:rsid w:val="005E65B8"/>
    <w:rsid w:val="005E69F2"/>
    <w:rsid w:val="005E766C"/>
    <w:rsid w:val="005E7DDB"/>
    <w:rsid w:val="005F0971"/>
    <w:rsid w:val="005F3828"/>
    <w:rsid w:val="005F5349"/>
    <w:rsid w:val="005F7E18"/>
    <w:rsid w:val="006001B6"/>
    <w:rsid w:val="00601E5F"/>
    <w:rsid w:val="006027CF"/>
    <w:rsid w:val="006037CE"/>
    <w:rsid w:val="00607754"/>
    <w:rsid w:val="00610000"/>
    <w:rsid w:val="00610405"/>
    <w:rsid w:val="00611C90"/>
    <w:rsid w:val="006131B0"/>
    <w:rsid w:val="006149FE"/>
    <w:rsid w:val="006174A0"/>
    <w:rsid w:val="00622461"/>
    <w:rsid w:val="006224F6"/>
    <w:rsid w:val="00622815"/>
    <w:rsid w:val="006251E8"/>
    <w:rsid w:val="0062521E"/>
    <w:rsid w:val="00625C14"/>
    <w:rsid w:val="00631A29"/>
    <w:rsid w:val="0063244F"/>
    <w:rsid w:val="00635EA1"/>
    <w:rsid w:val="00637765"/>
    <w:rsid w:val="006415BE"/>
    <w:rsid w:val="00641B29"/>
    <w:rsid w:val="0064311A"/>
    <w:rsid w:val="0064339D"/>
    <w:rsid w:val="006436E3"/>
    <w:rsid w:val="00644675"/>
    <w:rsid w:val="006454F0"/>
    <w:rsid w:val="00647A70"/>
    <w:rsid w:val="00647D5D"/>
    <w:rsid w:val="006512D5"/>
    <w:rsid w:val="00652E5B"/>
    <w:rsid w:val="00653CE8"/>
    <w:rsid w:val="00661864"/>
    <w:rsid w:val="00663B71"/>
    <w:rsid w:val="0066438D"/>
    <w:rsid w:val="00664B69"/>
    <w:rsid w:val="00666D22"/>
    <w:rsid w:val="00666D57"/>
    <w:rsid w:val="006716AE"/>
    <w:rsid w:val="00672587"/>
    <w:rsid w:val="006743C2"/>
    <w:rsid w:val="006751C8"/>
    <w:rsid w:val="006753A5"/>
    <w:rsid w:val="0067547C"/>
    <w:rsid w:val="00676630"/>
    <w:rsid w:val="00676D25"/>
    <w:rsid w:val="006801FC"/>
    <w:rsid w:val="0068022D"/>
    <w:rsid w:val="00680755"/>
    <w:rsid w:val="00684085"/>
    <w:rsid w:val="00684C0D"/>
    <w:rsid w:val="0068615E"/>
    <w:rsid w:val="00687784"/>
    <w:rsid w:val="00687A7C"/>
    <w:rsid w:val="006910B7"/>
    <w:rsid w:val="00691F70"/>
    <w:rsid w:val="0069439B"/>
    <w:rsid w:val="006951C1"/>
    <w:rsid w:val="006A073A"/>
    <w:rsid w:val="006A228F"/>
    <w:rsid w:val="006A2AEF"/>
    <w:rsid w:val="006A4D9C"/>
    <w:rsid w:val="006B35C8"/>
    <w:rsid w:val="006B364B"/>
    <w:rsid w:val="006B47DF"/>
    <w:rsid w:val="006B4ACE"/>
    <w:rsid w:val="006B70C5"/>
    <w:rsid w:val="006C1678"/>
    <w:rsid w:val="006C2041"/>
    <w:rsid w:val="006C3EE1"/>
    <w:rsid w:val="006C41E4"/>
    <w:rsid w:val="006C49B0"/>
    <w:rsid w:val="006C6A28"/>
    <w:rsid w:val="006D7ECA"/>
    <w:rsid w:val="006E0EB6"/>
    <w:rsid w:val="006E11AC"/>
    <w:rsid w:val="006E2B6F"/>
    <w:rsid w:val="006E34EB"/>
    <w:rsid w:val="006E40C7"/>
    <w:rsid w:val="006E4C49"/>
    <w:rsid w:val="006E5263"/>
    <w:rsid w:val="006F0C24"/>
    <w:rsid w:val="006F1094"/>
    <w:rsid w:val="006F1B5F"/>
    <w:rsid w:val="006F2105"/>
    <w:rsid w:val="006F4888"/>
    <w:rsid w:val="006F4F78"/>
    <w:rsid w:val="006F5330"/>
    <w:rsid w:val="0070249F"/>
    <w:rsid w:val="00702D5E"/>
    <w:rsid w:val="00703059"/>
    <w:rsid w:val="007052ED"/>
    <w:rsid w:val="00711391"/>
    <w:rsid w:val="00716F4C"/>
    <w:rsid w:val="007176BC"/>
    <w:rsid w:val="0072084C"/>
    <w:rsid w:val="00720A9A"/>
    <w:rsid w:val="0072130D"/>
    <w:rsid w:val="00721C89"/>
    <w:rsid w:val="00721ECB"/>
    <w:rsid w:val="007229B9"/>
    <w:rsid w:val="00723535"/>
    <w:rsid w:val="007259E7"/>
    <w:rsid w:val="0072620B"/>
    <w:rsid w:val="00726B18"/>
    <w:rsid w:val="007301BF"/>
    <w:rsid w:val="00733E44"/>
    <w:rsid w:val="007354FA"/>
    <w:rsid w:val="00735E70"/>
    <w:rsid w:val="00736431"/>
    <w:rsid w:val="00741005"/>
    <w:rsid w:val="00742038"/>
    <w:rsid w:val="00742669"/>
    <w:rsid w:val="00743BA6"/>
    <w:rsid w:val="0074437B"/>
    <w:rsid w:val="007445C0"/>
    <w:rsid w:val="0074466E"/>
    <w:rsid w:val="0074475B"/>
    <w:rsid w:val="00744B14"/>
    <w:rsid w:val="00745507"/>
    <w:rsid w:val="00746961"/>
    <w:rsid w:val="00747476"/>
    <w:rsid w:val="00747B5F"/>
    <w:rsid w:val="0075082B"/>
    <w:rsid w:val="00755DA0"/>
    <w:rsid w:val="00761163"/>
    <w:rsid w:val="00763C88"/>
    <w:rsid w:val="00766A83"/>
    <w:rsid w:val="007706A3"/>
    <w:rsid w:val="00771B34"/>
    <w:rsid w:val="007734CC"/>
    <w:rsid w:val="00773598"/>
    <w:rsid w:val="00773985"/>
    <w:rsid w:val="0077572C"/>
    <w:rsid w:val="00777206"/>
    <w:rsid w:val="00780D3D"/>
    <w:rsid w:val="007829DB"/>
    <w:rsid w:val="00782D52"/>
    <w:rsid w:val="0078379C"/>
    <w:rsid w:val="0078403D"/>
    <w:rsid w:val="00784D51"/>
    <w:rsid w:val="007857B7"/>
    <w:rsid w:val="00785BC5"/>
    <w:rsid w:val="00786E57"/>
    <w:rsid w:val="0078735F"/>
    <w:rsid w:val="0079123D"/>
    <w:rsid w:val="00796A57"/>
    <w:rsid w:val="0079742C"/>
    <w:rsid w:val="007A00AA"/>
    <w:rsid w:val="007A045D"/>
    <w:rsid w:val="007A1061"/>
    <w:rsid w:val="007A1255"/>
    <w:rsid w:val="007A127F"/>
    <w:rsid w:val="007A2927"/>
    <w:rsid w:val="007A2C17"/>
    <w:rsid w:val="007A4387"/>
    <w:rsid w:val="007B128D"/>
    <w:rsid w:val="007B3399"/>
    <w:rsid w:val="007B7D8B"/>
    <w:rsid w:val="007C2D18"/>
    <w:rsid w:val="007C33C7"/>
    <w:rsid w:val="007C536A"/>
    <w:rsid w:val="007C6318"/>
    <w:rsid w:val="007C67FB"/>
    <w:rsid w:val="007D281E"/>
    <w:rsid w:val="007D2E5D"/>
    <w:rsid w:val="007D36AF"/>
    <w:rsid w:val="007D3867"/>
    <w:rsid w:val="007D5477"/>
    <w:rsid w:val="007D78FB"/>
    <w:rsid w:val="007E09AF"/>
    <w:rsid w:val="007E0CA1"/>
    <w:rsid w:val="007E0D0E"/>
    <w:rsid w:val="007E1BEE"/>
    <w:rsid w:val="007E37A3"/>
    <w:rsid w:val="007E6CF7"/>
    <w:rsid w:val="007E6FFA"/>
    <w:rsid w:val="007E7BDF"/>
    <w:rsid w:val="007F0C9C"/>
    <w:rsid w:val="007F11DB"/>
    <w:rsid w:val="007F3834"/>
    <w:rsid w:val="007F4755"/>
    <w:rsid w:val="00801567"/>
    <w:rsid w:val="00802C30"/>
    <w:rsid w:val="00803832"/>
    <w:rsid w:val="00805F69"/>
    <w:rsid w:val="00806C25"/>
    <w:rsid w:val="00807AF6"/>
    <w:rsid w:val="00811255"/>
    <w:rsid w:val="0081492E"/>
    <w:rsid w:val="00816261"/>
    <w:rsid w:val="00816E1C"/>
    <w:rsid w:val="00820555"/>
    <w:rsid w:val="008205B2"/>
    <w:rsid w:val="008214E1"/>
    <w:rsid w:val="00822B8F"/>
    <w:rsid w:val="00823287"/>
    <w:rsid w:val="008251F8"/>
    <w:rsid w:val="00825DFE"/>
    <w:rsid w:val="008303CC"/>
    <w:rsid w:val="00831869"/>
    <w:rsid w:val="008322E7"/>
    <w:rsid w:val="00832F0F"/>
    <w:rsid w:val="008364D5"/>
    <w:rsid w:val="00840D58"/>
    <w:rsid w:val="008411DD"/>
    <w:rsid w:val="008444E2"/>
    <w:rsid w:val="0084668B"/>
    <w:rsid w:val="00846B2F"/>
    <w:rsid w:val="0085015A"/>
    <w:rsid w:val="00850EB2"/>
    <w:rsid w:val="008515C1"/>
    <w:rsid w:val="00851C83"/>
    <w:rsid w:val="00853054"/>
    <w:rsid w:val="008544BA"/>
    <w:rsid w:val="008556F2"/>
    <w:rsid w:val="0085640D"/>
    <w:rsid w:val="00856671"/>
    <w:rsid w:val="00856D3E"/>
    <w:rsid w:val="008576CF"/>
    <w:rsid w:val="00864C78"/>
    <w:rsid w:val="00864CC5"/>
    <w:rsid w:val="00866B26"/>
    <w:rsid w:val="00867819"/>
    <w:rsid w:val="008702A0"/>
    <w:rsid w:val="0087038C"/>
    <w:rsid w:val="00873041"/>
    <w:rsid w:val="008732F9"/>
    <w:rsid w:val="00873AE6"/>
    <w:rsid w:val="00880635"/>
    <w:rsid w:val="00881233"/>
    <w:rsid w:val="008844FB"/>
    <w:rsid w:val="008858E5"/>
    <w:rsid w:val="008868B5"/>
    <w:rsid w:val="00892685"/>
    <w:rsid w:val="00892D1F"/>
    <w:rsid w:val="008941C9"/>
    <w:rsid w:val="00894D4F"/>
    <w:rsid w:val="008969D5"/>
    <w:rsid w:val="00896FF1"/>
    <w:rsid w:val="008A3289"/>
    <w:rsid w:val="008A36AB"/>
    <w:rsid w:val="008A3C88"/>
    <w:rsid w:val="008A5353"/>
    <w:rsid w:val="008A5A0D"/>
    <w:rsid w:val="008A5FC6"/>
    <w:rsid w:val="008A697F"/>
    <w:rsid w:val="008B0B50"/>
    <w:rsid w:val="008B0BE6"/>
    <w:rsid w:val="008B4E6B"/>
    <w:rsid w:val="008B60F2"/>
    <w:rsid w:val="008B66AB"/>
    <w:rsid w:val="008B6ACA"/>
    <w:rsid w:val="008B71F7"/>
    <w:rsid w:val="008C0288"/>
    <w:rsid w:val="008C2ED8"/>
    <w:rsid w:val="008C313E"/>
    <w:rsid w:val="008C3994"/>
    <w:rsid w:val="008D1378"/>
    <w:rsid w:val="008D1CCD"/>
    <w:rsid w:val="008D2CAE"/>
    <w:rsid w:val="008D2FFF"/>
    <w:rsid w:val="008D43DE"/>
    <w:rsid w:val="008D4413"/>
    <w:rsid w:val="008D5222"/>
    <w:rsid w:val="008D77DC"/>
    <w:rsid w:val="008E0EAF"/>
    <w:rsid w:val="008E2F8E"/>
    <w:rsid w:val="008E65A8"/>
    <w:rsid w:val="008F1E9A"/>
    <w:rsid w:val="008F50ED"/>
    <w:rsid w:val="008F5872"/>
    <w:rsid w:val="008F5F3E"/>
    <w:rsid w:val="008F5F53"/>
    <w:rsid w:val="009001A8"/>
    <w:rsid w:val="00902127"/>
    <w:rsid w:val="00906B48"/>
    <w:rsid w:val="0090748C"/>
    <w:rsid w:val="009102C8"/>
    <w:rsid w:val="009106EA"/>
    <w:rsid w:val="009106F3"/>
    <w:rsid w:val="0091184B"/>
    <w:rsid w:val="00916F04"/>
    <w:rsid w:val="00923E79"/>
    <w:rsid w:val="009241ED"/>
    <w:rsid w:val="00924DF8"/>
    <w:rsid w:val="0092560A"/>
    <w:rsid w:val="009303D9"/>
    <w:rsid w:val="00930AE8"/>
    <w:rsid w:val="00931E52"/>
    <w:rsid w:val="00932568"/>
    <w:rsid w:val="00933BEF"/>
    <w:rsid w:val="009344F2"/>
    <w:rsid w:val="00936A76"/>
    <w:rsid w:val="00942073"/>
    <w:rsid w:val="0094263A"/>
    <w:rsid w:val="00953135"/>
    <w:rsid w:val="00954798"/>
    <w:rsid w:val="00954FB6"/>
    <w:rsid w:val="00955D69"/>
    <w:rsid w:val="00957647"/>
    <w:rsid w:val="009601E7"/>
    <w:rsid w:val="00960602"/>
    <w:rsid w:val="00964CEA"/>
    <w:rsid w:val="00965D31"/>
    <w:rsid w:val="0096640A"/>
    <w:rsid w:val="009665DC"/>
    <w:rsid w:val="00967215"/>
    <w:rsid w:val="0096723E"/>
    <w:rsid w:val="00973D9F"/>
    <w:rsid w:val="009743E2"/>
    <w:rsid w:val="00974518"/>
    <w:rsid w:val="0097653D"/>
    <w:rsid w:val="0098294C"/>
    <w:rsid w:val="00982E65"/>
    <w:rsid w:val="0098499A"/>
    <w:rsid w:val="00984F12"/>
    <w:rsid w:val="009859F4"/>
    <w:rsid w:val="00985D96"/>
    <w:rsid w:val="00987A87"/>
    <w:rsid w:val="00987D01"/>
    <w:rsid w:val="00990089"/>
    <w:rsid w:val="009910B7"/>
    <w:rsid w:val="0099126A"/>
    <w:rsid w:val="00992FFE"/>
    <w:rsid w:val="00994DFD"/>
    <w:rsid w:val="00996256"/>
    <w:rsid w:val="00996BDA"/>
    <w:rsid w:val="009A3BF5"/>
    <w:rsid w:val="009A3F8E"/>
    <w:rsid w:val="009A49C2"/>
    <w:rsid w:val="009A7F2F"/>
    <w:rsid w:val="009B1712"/>
    <w:rsid w:val="009B3AF6"/>
    <w:rsid w:val="009B412E"/>
    <w:rsid w:val="009B44B7"/>
    <w:rsid w:val="009B7F6A"/>
    <w:rsid w:val="009C096C"/>
    <w:rsid w:val="009C37D5"/>
    <w:rsid w:val="009C3E34"/>
    <w:rsid w:val="009C75A7"/>
    <w:rsid w:val="009C7FB4"/>
    <w:rsid w:val="009D07F3"/>
    <w:rsid w:val="009D0CAD"/>
    <w:rsid w:val="009D237A"/>
    <w:rsid w:val="009D549B"/>
    <w:rsid w:val="009D5C27"/>
    <w:rsid w:val="009D6065"/>
    <w:rsid w:val="009D7C3C"/>
    <w:rsid w:val="009E07AE"/>
    <w:rsid w:val="009E0F46"/>
    <w:rsid w:val="009E36F8"/>
    <w:rsid w:val="009E3711"/>
    <w:rsid w:val="009E3903"/>
    <w:rsid w:val="009E3DCB"/>
    <w:rsid w:val="009E5CD6"/>
    <w:rsid w:val="009E5E78"/>
    <w:rsid w:val="009E7164"/>
    <w:rsid w:val="009E77B5"/>
    <w:rsid w:val="009F199A"/>
    <w:rsid w:val="009F6096"/>
    <w:rsid w:val="009F79F2"/>
    <w:rsid w:val="00A00154"/>
    <w:rsid w:val="00A0020A"/>
    <w:rsid w:val="00A00D90"/>
    <w:rsid w:val="00A03420"/>
    <w:rsid w:val="00A03B78"/>
    <w:rsid w:val="00A11579"/>
    <w:rsid w:val="00A1493C"/>
    <w:rsid w:val="00A173FF"/>
    <w:rsid w:val="00A17F31"/>
    <w:rsid w:val="00A20810"/>
    <w:rsid w:val="00A236B1"/>
    <w:rsid w:val="00A245FF"/>
    <w:rsid w:val="00A2473C"/>
    <w:rsid w:val="00A247C1"/>
    <w:rsid w:val="00A26176"/>
    <w:rsid w:val="00A26C67"/>
    <w:rsid w:val="00A26DE3"/>
    <w:rsid w:val="00A27A15"/>
    <w:rsid w:val="00A30EDB"/>
    <w:rsid w:val="00A36266"/>
    <w:rsid w:val="00A37A6E"/>
    <w:rsid w:val="00A37AFE"/>
    <w:rsid w:val="00A403C4"/>
    <w:rsid w:val="00A40C2C"/>
    <w:rsid w:val="00A410CA"/>
    <w:rsid w:val="00A43E95"/>
    <w:rsid w:val="00A44332"/>
    <w:rsid w:val="00A505BD"/>
    <w:rsid w:val="00A50FF6"/>
    <w:rsid w:val="00A52875"/>
    <w:rsid w:val="00A529A1"/>
    <w:rsid w:val="00A6342F"/>
    <w:rsid w:val="00A65979"/>
    <w:rsid w:val="00A660D3"/>
    <w:rsid w:val="00A712CF"/>
    <w:rsid w:val="00A73EC9"/>
    <w:rsid w:val="00A76948"/>
    <w:rsid w:val="00A77D43"/>
    <w:rsid w:val="00A80AAD"/>
    <w:rsid w:val="00A80C30"/>
    <w:rsid w:val="00A80C37"/>
    <w:rsid w:val="00A8151A"/>
    <w:rsid w:val="00A85D59"/>
    <w:rsid w:val="00A86BEB"/>
    <w:rsid w:val="00A87418"/>
    <w:rsid w:val="00A90222"/>
    <w:rsid w:val="00A924EC"/>
    <w:rsid w:val="00A954E4"/>
    <w:rsid w:val="00A968BF"/>
    <w:rsid w:val="00A97B36"/>
    <w:rsid w:val="00A97ED5"/>
    <w:rsid w:val="00AA1C7B"/>
    <w:rsid w:val="00AA3008"/>
    <w:rsid w:val="00AA3313"/>
    <w:rsid w:val="00AA368E"/>
    <w:rsid w:val="00AA663E"/>
    <w:rsid w:val="00AB3249"/>
    <w:rsid w:val="00AB79EF"/>
    <w:rsid w:val="00AB7E80"/>
    <w:rsid w:val="00AC2E29"/>
    <w:rsid w:val="00AC3470"/>
    <w:rsid w:val="00AC445F"/>
    <w:rsid w:val="00AC5C35"/>
    <w:rsid w:val="00AD35A0"/>
    <w:rsid w:val="00AD3E59"/>
    <w:rsid w:val="00AD4AFC"/>
    <w:rsid w:val="00AE1803"/>
    <w:rsid w:val="00AE4648"/>
    <w:rsid w:val="00AF1816"/>
    <w:rsid w:val="00AF3EAD"/>
    <w:rsid w:val="00AF44EC"/>
    <w:rsid w:val="00AF6F64"/>
    <w:rsid w:val="00B00F2B"/>
    <w:rsid w:val="00B01916"/>
    <w:rsid w:val="00B02A75"/>
    <w:rsid w:val="00B031D7"/>
    <w:rsid w:val="00B04720"/>
    <w:rsid w:val="00B11427"/>
    <w:rsid w:val="00B11447"/>
    <w:rsid w:val="00B12725"/>
    <w:rsid w:val="00B130A7"/>
    <w:rsid w:val="00B13571"/>
    <w:rsid w:val="00B13AC7"/>
    <w:rsid w:val="00B15D45"/>
    <w:rsid w:val="00B17211"/>
    <w:rsid w:val="00B17E9F"/>
    <w:rsid w:val="00B20380"/>
    <w:rsid w:val="00B21AF0"/>
    <w:rsid w:val="00B21DC2"/>
    <w:rsid w:val="00B229EB"/>
    <w:rsid w:val="00B23630"/>
    <w:rsid w:val="00B2396E"/>
    <w:rsid w:val="00B23DAC"/>
    <w:rsid w:val="00B23E42"/>
    <w:rsid w:val="00B2790E"/>
    <w:rsid w:val="00B30DE7"/>
    <w:rsid w:val="00B33355"/>
    <w:rsid w:val="00B33666"/>
    <w:rsid w:val="00B33FF9"/>
    <w:rsid w:val="00B35455"/>
    <w:rsid w:val="00B35F21"/>
    <w:rsid w:val="00B436CC"/>
    <w:rsid w:val="00B44DB8"/>
    <w:rsid w:val="00B459EC"/>
    <w:rsid w:val="00B46951"/>
    <w:rsid w:val="00B5121E"/>
    <w:rsid w:val="00B51A0B"/>
    <w:rsid w:val="00B52BCA"/>
    <w:rsid w:val="00B55B2D"/>
    <w:rsid w:val="00B57DB0"/>
    <w:rsid w:val="00B57F11"/>
    <w:rsid w:val="00B603D9"/>
    <w:rsid w:val="00B62A9E"/>
    <w:rsid w:val="00B647ED"/>
    <w:rsid w:val="00B70478"/>
    <w:rsid w:val="00B71A8F"/>
    <w:rsid w:val="00B72EDE"/>
    <w:rsid w:val="00B74411"/>
    <w:rsid w:val="00B763C7"/>
    <w:rsid w:val="00B77EEE"/>
    <w:rsid w:val="00B81699"/>
    <w:rsid w:val="00B81E56"/>
    <w:rsid w:val="00B83090"/>
    <w:rsid w:val="00B84899"/>
    <w:rsid w:val="00B849B2"/>
    <w:rsid w:val="00B84C17"/>
    <w:rsid w:val="00B86173"/>
    <w:rsid w:val="00B879B5"/>
    <w:rsid w:val="00B92086"/>
    <w:rsid w:val="00B94321"/>
    <w:rsid w:val="00B96069"/>
    <w:rsid w:val="00B9649D"/>
    <w:rsid w:val="00B97A76"/>
    <w:rsid w:val="00BA2F43"/>
    <w:rsid w:val="00BA3ADA"/>
    <w:rsid w:val="00BA3BA7"/>
    <w:rsid w:val="00BA5599"/>
    <w:rsid w:val="00BA6B0B"/>
    <w:rsid w:val="00BA7D81"/>
    <w:rsid w:val="00BB17F4"/>
    <w:rsid w:val="00BB2FD0"/>
    <w:rsid w:val="00BB3C23"/>
    <w:rsid w:val="00BB63FB"/>
    <w:rsid w:val="00BB6AB7"/>
    <w:rsid w:val="00BB75F4"/>
    <w:rsid w:val="00BC302D"/>
    <w:rsid w:val="00BC4ACB"/>
    <w:rsid w:val="00BC59B6"/>
    <w:rsid w:val="00BD010A"/>
    <w:rsid w:val="00BD11F5"/>
    <w:rsid w:val="00BD3E79"/>
    <w:rsid w:val="00BD4546"/>
    <w:rsid w:val="00BD4EBC"/>
    <w:rsid w:val="00BD4FFC"/>
    <w:rsid w:val="00BD5577"/>
    <w:rsid w:val="00BE0D91"/>
    <w:rsid w:val="00BE2692"/>
    <w:rsid w:val="00BE271E"/>
    <w:rsid w:val="00BE5FC3"/>
    <w:rsid w:val="00BE6118"/>
    <w:rsid w:val="00BF0459"/>
    <w:rsid w:val="00BF0B69"/>
    <w:rsid w:val="00BF1B3C"/>
    <w:rsid w:val="00BF20A0"/>
    <w:rsid w:val="00BF3441"/>
    <w:rsid w:val="00BF5124"/>
    <w:rsid w:val="00BF64FF"/>
    <w:rsid w:val="00BF719D"/>
    <w:rsid w:val="00BF7B8B"/>
    <w:rsid w:val="00BF7BC7"/>
    <w:rsid w:val="00C001FF"/>
    <w:rsid w:val="00C051C7"/>
    <w:rsid w:val="00C056BE"/>
    <w:rsid w:val="00C10EB0"/>
    <w:rsid w:val="00C1274D"/>
    <w:rsid w:val="00C1596E"/>
    <w:rsid w:val="00C16B58"/>
    <w:rsid w:val="00C214D3"/>
    <w:rsid w:val="00C2204F"/>
    <w:rsid w:val="00C23B86"/>
    <w:rsid w:val="00C246CA"/>
    <w:rsid w:val="00C30799"/>
    <w:rsid w:val="00C32BCF"/>
    <w:rsid w:val="00C3446C"/>
    <w:rsid w:val="00C345A9"/>
    <w:rsid w:val="00C34A60"/>
    <w:rsid w:val="00C34D44"/>
    <w:rsid w:val="00C34EBC"/>
    <w:rsid w:val="00C36831"/>
    <w:rsid w:val="00C4084C"/>
    <w:rsid w:val="00C40E91"/>
    <w:rsid w:val="00C41DE4"/>
    <w:rsid w:val="00C428EB"/>
    <w:rsid w:val="00C44969"/>
    <w:rsid w:val="00C467A3"/>
    <w:rsid w:val="00C507E9"/>
    <w:rsid w:val="00C50C07"/>
    <w:rsid w:val="00C517DE"/>
    <w:rsid w:val="00C51C2F"/>
    <w:rsid w:val="00C51D16"/>
    <w:rsid w:val="00C52459"/>
    <w:rsid w:val="00C55397"/>
    <w:rsid w:val="00C608EE"/>
    <w:rsid w:val="00C618CC"/>
    <w:rsid w:val="00C62E83"/>
    <w:rsid w:val="00C63BAF"/>
    <w:rsid w:val="00C63D75"/>
    <w:rsid w:val="00C645B2"/>
    <w:rsid w:val="00C669D8"/>
    <w:rsid w:val="00C743E0"/>
    <w:rsid w:val="00C74D86"/>
    <w:rsid w:val="00C752EA"/>
    <w:rsid w:val="00C77A20"/>
    <w:rsid w:val="00C80B90"/>
    <w:rsid w:val="00C8104C"/>
    <w:rsid w:val="00C81C3D"/>
    <w:rsid w:val="00C83D14"/>
    <w:rsid w:val="00C85FDA"/>
    <w:rsid w:val="00C87049"/>
    <w:rsid w:val="00C87581"/>
    <w:rsid w:val="00C94B93"/>
    <w:rsid w:val="00C957C2"/>
    <w:rsid w:val="00CA0A99"/>
    <w:rsid w:val="00CA0DA9"/>
    <w:rsid w:val="00CA1583"/>
    <w:rsid w:val="00CA3FE5"/>
    <w:rsid w:val="00CA45BE"/>
    <w:rsid w:val="00CA52CD"/>
    <w:rsid w:val="00CA6C01"/>
    <w:rsid w:val="00CA781D"/>
    <w:rsid w:val="00CB0080"/>
    <w:rsid w:val="00CB146E"/>
    <w:rsid w:val="00CB2535"/>
    <w:rsid w:val="00CB54E9"/>
    <w:rsid w:val="00CB65B7"/>
    <w:rsid w:val="00CC06F5"/>
    <w:rsid w:val="00CC0CDA"/>
    <w:rsid w:val="00CC0FDD"/>
    <w:rsid w:val="00CC1989"/>
    <w:rsid w:val="00CC1E72"/>
    <w:rsid w:val="00CC31D2"/>
    <w:rsid w:val="00CC40C0"/>
    <w:rsid w:val="00CC5612"/>
    <w:rsid w:val="00CC6402"/>
    <w:rsid w:val="00CC6A8C"/>
    <w:rsid w:val="00CC7B45"/>
    <w:rsid w:val="00CD1DFB"/>
    <w:rsid w:val="00CD288D"/>
    <w:rsid w:val="00CD3409"/>
    <w:rsid w:val="00CD6929"/>
    <w:rsid w:val="00CE3BFA"/>
    <w:rsid w:val="00CE462B"/>
    <w:rsid w:val="00CE4A85"/>
    <w:rsid w:val="00CE4E39"/>
    <w:rsid w:val="00CE5089"/>
    <w:rsid w:val="00CE6F49"/>
    <w:rsid w:val="00CE71F3"/>
    <w:rsid w:val="00CF013D"/>
    <w:rsid w:val="00CF1F15"/>
    <w:rsid w:val="00CF21A8"/>
    <w:rsid w:val="00CF2EB6"/>
    <w:rsid w:val="00CF375A"/>
    <w:rsid w:val="00CF471A"/>
    <w:rsid w:val="00CF67D1"/>
    <w:rsid w:val="00CF74B8"/>
    <w:rsid w:val="00D026E7"/>
    <w:rsid w:val="00D0275A"/>
    <w:rsid w:val="00D060B8"/>
    <w:rsid w:val="00D13524"/>
    <w:rsid w:val="00D13529"/>
    <w:rsid w:val="00D15B97"/>
    <w:rsid w:val="00D175BB"/>
    <w:rsid w:val="00D17C26"/>
    <w:rsid w:val="00D2038C"/>
    <w:rsid w:val="00D22654"/>
    <w:rsid w:val="00D22927"/>
    <w:rsid w:val="00D26691"/>
    <w:rsid w:val="00D3008D"/>
    <w:rsid w:val="00D33E80"/>
    <w:rsid w:val="00D3529F"/>
    <w:rsid w:val="00D35870"/>
    <w:rsid w:val="00D360F3"/>
    <w:rsid w:val="00D41340"/>
    <w:rsid w:val="00D429AA"/>
    <w:rsid w:val="00D46645"/>
    <w:rsid w:val="00D466FD"/>
    <w:rsid w:val="00D47373"/>
    <w:rsid w:val="00D50B8C"/>
    <w:rsid w:val="00D50F6C"/>
    <w:rsid w:val="00D5192C"/>
    <w:rsid w:val="00D55010"/>
    <w:rsid w:val="00D5517F"/>
    <w:rsid w:val="00D55AF3"/>
    <w:rsid w:val="00D56F0E"/>
    <w:rsid w:val="00D64A5E"/>
    <w:rsid w:val="00D7124A"/>
    <w:rsid w:val="00D713BB"/>
    <w:rsid w:val="00D75476"/>
    <w:rsid w:val="00D76911"/>
    <w:rsid w:val="00D77E06"/>
    <w:rsid w:val="00D80D55"/>
    <w:rsid w:val="00D8286B"/>
    <w:rsid w:val="00D9010E"/>
    <w:rsid w:val="00D90FEE"/>
    <w:rsid w:val="00D91062"/>
    <w:rsid w:val="00D91624"/>
    <w:rsid w:val="00D93999"/>
    <w:rsid w:val="00D95A86"/>
    <w:rsid w:val="00D977AD"/>
    <w:rsid w:val="00D97B91"/>
    <w:rsid w:val="00DA0273"/>
    <w:rsid w:val="00DA12AE"/>
    <w:rsid w:val="00DA221B"/>
    <w:rsid w:val="00DA2E9C"/>
    <w:rsid w:val="00DA5CD2"/>
    <w:rsid w:val="00DA6160"/>
    <w:rsid w:val="00DB3296"/>
    <w:rsid w:val="00DB685A"/>
    <w:rsid w:val="00DB7353"/>
    <w:rsid w:val="00DB7618"/>
    <w:rsid w:val="00DC26C7"/>
    <w:rsid w:val="00DC2C0C"/>
    <w:rsid w:val="00DC44A8"/>
    <w:rsid w:val="00DC775B"/>
    <w:rsid w:val="00DD270A"/>
    <w:rsid w:val="00DD32B6"/>
    <w:rsid w:val="00DD6642"/>
    <w:rsid w:val="00DD6B1D"/>
    <w:rsid w:val="00DE3B2B"/>
    <w:rsid w:val="00DE4A51"/>
    <w:rsid w:val="00DE5D9D"/>
    <w:rsid w:val="00DE63D9"/>
    <w:rsid w:val="00DF05C6"/>
    <w:rsid w:val="00DF66AD"/>
    <w:rsid w:val="00DF6DEC"/>
    <w:rsid w:val="00E000DD"/>
    <w:rsid w:val="00E00BDD"/>
    <w:rsid w:val="00E0275B"/>
    <w:rsid w:val="00E07EFE"/>
    <w:rsid w:val="00E10CA4"/>
    <w:rsid w:val="00E11310"/>
    <w:rsid w:val="00E11344"/>
    <w:rsid w:val="00E117FB"/>
    <w:rsid w:val="00E1202A"/>
    <w:rsid w:val="00E131E7"/>
    <w:rsid w:val="00E1429F"/>
    <w:rsid w:val="00E163CD"/>
    <w:rsid w:val="00E23A63"/>
    <w:rsid w:val="00E24A61"/>
    <w:rsid w:val="00E252A4"/>
    <w:rsid w:val="00E25C43"/>
    <w:rsid w:val="00E262DB"/>
    <w:rsid w:val="00E312EF"/>
    <w:rsid w:val="00E3336F"/>
    <w:rsid w:val="00E3381C"/>
    <w:rsid w:val="00E33CA1"/>
    <w:rsid w:val="00E35F3C"/>
    <w:rsid w:val="00E374BD"/>
    <w:rsid w:val="00E41A5E"/>
    <w:rsid w:val="00E44819"/>
    <w:rsid w:val="00E45772"/>
    <w:rsid w:val="00E46615"/>
    <w:rsid w:val="00E46830"/>
    <w:rsid w:val="00E5011C"/>
    <w:rsid w:val="00E52AF9"/>
    <w:rsid w:val="00E52E31"/>
    <w:rsid w:val="00E5490B"/>
    <w:rsid w:val="00E5494F"/>
    <w:rsid w:val="00E55684"/>
    <w:rsid w:val="00E55EF1"/>
    <w:rsid w:val="00E5756D"/>
    <w:rsid w:val="00E60A12"/>
    <w:rsid w:val="00E64C61"/>
    <w:rsid w:val="00E652A8"/>
    <w:rsid w:val="00E7190B"/>
    <w:rsid w:val="00E72659"/>
    <w:rsid w:val="00E73F10"/>
    <w:rsid w:val="00E75EC7"/>
    <w:rsid w:val="00E76E2B"/>
    <w:rsid w:val="00E81D1D"/>
    <w:rsid w:val="00E87168"/>
    <w:rsid w:val="00E9277D"/>
    <w:rsid w:val="00E927B1"/>
    <w:rsid w:val="00E94C93"/>
    <w:rsid w:val="00E9631B"/>
    <w:rsid w:val="00EA3A10"/>
    <w:rsid w:val="00EA5016"/>
    <w:rsid w:val="00EA7E45"/>
    <w:rsid w:val="00EB10C7"/>
    <w:rsid w:val="00EB349A"/>
    <w:rsid w:val="00EB4497"/>
    <w:rsid w:val="00EB69CC"/>
    <w:rsid w:val="00EB6C8C"/>
    <w:rsid w:val="00EB7E14"/>
    <w:rsid w:val="00EC02D0"/>
    <w:rsid w:val="00EC2CC0"/>
    <w:rsid w:val="00EC35DB"/>
    <w:rsid w:val="00EC3908"/>
    <w:rsid w:val="00EC3B03"/>
    <w:rsid w:val="00EC5C9B"/>
    <w:rsid w:val="00ED0568"/>
    <w:rsid w:val="00ED0E22"/>
    <w:rsid w:val="00ED2269"/>
    <w:rsid w:val="00ED2A56"/>
    <w:rsid w:val="00ED31F5"/>
    <w:rsid w:val="00ED6721"/>
    <w:rsid w:val="00ED7488"/>
    <w:rsid w:val="00ED75C6"/>
    <w:rsid w:val="00ED7BB0"/>
    <w:rsid w:val="00ED7F4D"/>
    <w:rsid w:val="00EE0259"/>
    <w:rsid w:val="00EE13E9"/>
    <w:rsid w:val="00EE18A6"/>
    <w:rsid w:val="00EE2990"/>
    <w:rsid w:val="00EE5D9A"/>
    <w:rsid w:val="00EE5FF1"/>
    <w:rsid w:val="00EE66A1"/>
    <w:rsid w:val="00EE6D2F"/>
    <w:rsid w:val="00EE6D5E"/>
    <w:rsid w:val="00EE7E90"/>
    <w:rsid w:val="00EF1A90"/>
    <w:rsid w:val="00EF1FA1"/>
    <w:rsid w:val="00EF4949"/>
    <w:rsid w:val="00EF7927"/>
    <w:rsid w:val="00F0584F"/>
    <w:rsid w:val="00F059AD"/>
    <w:rsid w:val="00F07267"/>
    <w:rsid w:val="00F11728"/>
    <w:rsid w:val="00F11E05"/>
    <w:rsid w:val="00F13314"/>
    <w:rsid w:val="00F1403C"/>
    <w:rsid w:val="00F14FFA"/>
    <w:rsid w:val="00F154A5"/>
    <w:rsid w:val="00F15857"/>
    <w:rsid w:val="00F17D09"/>
    <w:rsid w:val="00F204BE"/>
    <w:rsid w:val="00F213C0"/>
    <w:rsid w:val="00F262A2"/>
    <w:rsid w:val="00F26CA4"/>
    <w:rsid w:val="00F3005E"/>
    <w:rsid w:val="00F33619"/>
    <w:rsid w:val="00F33C0E"/>
    <w:rsid w:val="00F34750"/>
    <w:rsid w:val="00F415FF"/>
    <w:rsid w:val="00F42CF3"/>
    <w:rsid w:val="00F435D4"/>
    <w:rsid w:val="00F45DEE"/>
    <w:rsid w:val="00F46DF1"/>
    <w:rsid w:val="00F50414"/>
    <w:rsid w:val="00F5083D"/>
    <w:rsid w:val="00F51945"/>
    <w:rsid w:val="00F53378"/>
    <w:rsid w:val="00F5598A"/>
    <w:rsid w:val="00F5769E"/>
    <w:rsid w:val="00F57A8C"/>
    <w:rsid w:val="00F63147"/>
    <w:rsid w:val="00F671C5"/>
    <w:rsid w:val="00F70702"/>
    <w:rsid w:val="00F7091D"/>
    <w:rsid w:val="00F722BA"/>
    <w:rsid w:val="00F72A69"/>
    <w:rsid w:val="00F76923"/>
    <w:rsid w:val="00F76DF3"/>
    <w:rsid w:val="00F77480"/>
    <w:rsid w:val="00F80550"/>
    <w:rsid w:val="00F816FB"/>
    <w:rsid w:val="00F81B4C"/>
    <w:rsid w:val="00F81C4D"/>
    <w:rsid w:val="00F826AA"/>
    <w:rsid w:val="00F850ED"/>
    <w:rsid w:val="00F90D78"/>
    <w:rsid w:val="00F9103C"/>
    <w:rsid w:val="00F922F5"/>
    <w:rsid w:val="00F946F0"/>
    <w:rsid w:val="00F96401"/>
    <w:rsid w:val="00F9644E"/>
    <w:rsid w:val="00FA16CA"/>
    <w:rsid w:val="00FA1F9A"/>
    <w:rsid w:val="00FA2F60"/>
    <w:rsid w:val="00FA36F4"/>
    <w:rsid w:val="00FA4613"/>
    <w:rsid w:val="00FA62B7"/>
    <w:rsid w:val="00FA68B2"/>
    <w:rsid w:val="00FB1428"/>
    <w:rsid w:val="00FB19C1"/>
    <w:rsid w:val="00FB20DD"/>
    <w:rsid w:val="00FB2417"/>
    <w:rsid w:val="00FB288F"/>
    <w:rsid w:val="00FB2AAD"/>
    <w:rsid w:val="00FB2CFF"/>
    <w:rsid w:val="00FB424C"/>
    <w:rsid w:val="00FB727B"/>
    <w:rsid w:val="00FB7B85"/>
    <w:rsid w:val="00FC0865"/>
    <w:rsid w:val="00FC39D9"/>
    <w:rsid w:val="00FC3A2E"/>
    <w:rsid w:val="00FC44AD"/>
    <w:rsid w:val="00FC4510"/>
    <w:rsid w:val="00FC4570"/>
    <w:rsid w:val="00FC7AA9"/>
    <w:rsid w:val="00FC7ACD"/>
    <w:rsid w:val="00FD4159"/>
    <w:rsid w:val="00FD4AD1"/>
    <w:rsid w:val="00FD71D0"/>
    <w:rsid w:val="00FD7E8A"/>
    <w:rsid w:val="00FE0E99"/>
    <w:rsid w:val="00FE198C"/>
    <w:rsid w:val="00FE22C5"/>
    <w:rsid w:val="00FE3558"/>
    <w:rsid w:val="00FE415B"/>
    <w:rsid w:val="00FE5516"/>
    <w:rsid w:val="00FE70E8"/>
    <w:rsid w:val="00FE7D59"/>
    <w:rsid w:val="00FF01AB"/>
    <w:rsid w:val="00FF02A8"/>
    <w:rsid w:val="00FF1CC3"/>
    <w:rsid w:val="00FF2554"/>
    <w:rsid w:val="00FF4914"/>
    <w:rsid w:val="00FF49D2"/>
    <w:rsid w:val="00FF684F"/>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1BE19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34" w:unhideWhenUsed="0" w:qFormat="1"/>
    <w:lsdException w:name="Medium Shading 2" w:semiHidden="0" w:uiPriority="73" w:unhideWhenUsed="0" w:qFormat="1"/>
    <w:lsdException w:name="Medium List 1" w:semiHidden="0" w:uiPriority="60" w:unhideWhenUsed="0" w:qFormat="1"/>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qFormat="1"/>
    <w:lsdException w:name="Colorful Shading Accent 5" w:semiHidden="0" w:uiPriority="66" w:unhideWhenUsed="0" w:qFormat="1"/>
    <w:lsdException w:name="Colorful List Accent 5" w:semiHidden="0" w:uiPriority="67" w:unhideWhenUsed="0" w:qFormat="1"/>
    <w:lsdException w:name="Colorful Grid Accent 5" w:semiHidden="0" w:uiPriority="68" w:unhideWhenUsed="0" w:qFormat="1"/>
    <w:lsdException w:name="Light Shading Accent 6" w:semiHidden="0" w:uiPriority="69" w:unhideWhenUsed="0" w:qFormat="1"/>
    <w:lsdException w:name="Light List Accent 6" w:semiHidden="0" w:uiPriority="70" w:unhideWhenUsed="0"/>
    <w:lsdException w:name="Light Grid Accent 6" w:semiHidden="0" w:uiPriority="71"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F62"/>
    <w:pPr>
      <w:spacing w:after="200" w:line="276" w:lineRule="auto"/>
    </w:pPr>
    <w:rPr>
      <w:sz w:val="22"/>
      <w:szCs w:val="22"/>
      <w:lang w:eastAsia="en-US"/>
    </w:rPr>
  </w:style>
  <w:style w:type="paragraph" w:styleId="Titre1">
    <w:name w:val="heading 1"/>
    <w:basedOn w:val="Normal"/>
    <w:next w:val="Normal"/>
    <w:link w:val="Titre1Car"/>
    <w:uiPriority w:val="9"/>
    <w:qFormat/>
    <w:rsid w:val="00881233"/>
    <w:pPr>
      <w:keepNext/>
      <w:keepLines/>
      <w:spacing w:before="480" w:after="0"/>
      <w:outlineLvl w:val="0"/>
    </w:pPr>
    <w:rPr>
      <w:rFonts w:ascii="Cambria" w:eastAsia="MS Gothic" w:hAnsi="Cambria"/>
      <w:b/>
      <w:bCs/>
      <w:color w:val="365F91"/>
      <w:sz w:val="28"/>
      <w:szCs w:val="28"/>
      <w:lang w:val="x-none" w:eastAsia="x-none"/>
    </w:rPr>
  </w:style>
  <w:style w:type="paragraph" w:styleId="Titre2">
    <w:name w:val="heading 2"/>
    <w:basedOn w:val="Normal"/>
    <w:next w:val="Normal"/>
    <w:link w:val="Titre2Car"/>
    <w:uiPriority w:val="9"/>
    <w:qFormat/>
    <w:rsid w:val="00E75EC7"/>
    <w:pPr>
      <w:keepNext/>
      <w:spacing w:before="240" w:after="60"/>
      <w:outlineLvl w:val="1"/>
    </w:pPr>
    <w:rPr>
      <w:rFonts w:ascii="Calibri Light" w:eastAsia="Times New Roman" w:hAnsi="Calibri Light"/>
      <w:b/>
      <w:bCs/>
      <w:i/>
      <w:iCs/>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618CC"/>
    <w:pPr>
      <w:spacing w:after="0" w:line="240" w:lineRule="auto"/>
    </w:pPr>
    <w:rPr>
      <w:rFonts w:ascii="Tahoma" w:hAnsi="Tahoma"/>
      <w:sz w:val="16"/>
      <w:szCs w:val="16"/>
      <w:lang w:val="x-none" w:eastAsia="x-none"/>
    </w:rPr>
  </w:style>
  <w:style w:type="character" w:customStyle="1" w:styleId="TextedebullesCar">
    <w:name w:val="Texte de bulles Car"/>
    <w:link w:val="Textedebulles"/>
    <w:uiPriority w:val="99"/>
    <w:semiHidden/>
    <w:rsid w:val="00C618CC"/>
    <w:rPr>
      <w:rFonts w:ascii="Tahoma" w:hAnsi="Tahoma" w:cs="Tahoma"/>
      <w:sz w:val="16"/>
      <w:szCs w:val="16"/>
    </w:rPr>
  </w:style>
  <w:style w:type="paragraph" w:customStyle="1" w:styleId="Grillemoyenne1-Accent21">
    <w:name w:val="Grille moyenne 1 - Accent 21"/>
    <w:basedOn w:val="Normal"/>
    <w:uiPriority w:val="34"/>
    <w:qFormat/>
    <w:rsid w:val="00777206"/>
    <w:pPr>
      <w:ind w:left="720"/>
      <w:contextualSpacing/>
    </w:pPr>
  </w:style>
  <w:style w:type="character" w:customStyle="1" w:styleId="hps">
    <w:name w:val="hps"/>
    <w:basedOn w:val="Policepardfaut"/>
    <w:rsid w:val="003B53CD"/>
  </w:style>
  <w:style w:type="paragraph" w:styleId="En-tte">
    <w:name w:val="header"/>
    <w:basedOn w:val="Normal"/>
    <w:link w:val="En-tteCar"/>
    <w:uiPriority w:val="99"/>
    <w:semiHidden/>
    <w:unhideWhenUsed/>
    <w:rsid w:val="003E6917"/>
    <w:pPr>
      <w:tabs>
        <w:tab w:val="center" w:pos="4513"/>
        <w:tab w:val="right" w:pos="9026"/>
      </w:tabs>
      <w:spacing w:after="0" w:line="240" w:lineRule="auto"/>
    </w:pPr>
  </w:style>
  <w:style w:type="character" w:customStyle="1" w:styleId="En-tteCar">
    <w:name w:val="En-tête Car"/>
    <w:basedOn w:val="Policepardfaut"/>
    <w:link w:val="En-tte"/>
    <w:uiPriority w:val="99"/>
    <w:semiHidden/>
    <w:rsid w:val="003E6917"/>
  </w:style>
  <w:style w:type="paragraph" w:styleId="Pieddepage">
    <w:name w:val="footer"/>
    <w:basedOn w:val="Normal"/>
    <w:link w:val="PieddepageCar"/>
    <w:uiPriority w:val="99"/>
    <w:unhideWhenUsed/>
    <w:rsid w:val="003E6917"/>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3E6917"/>
  </w:style>
  <w:style w:type="character" w:customStyle="1" w:styleId="atn">
    <w:name w:val="atn"/>
    <w:basedOn w:val="Policepardfaut"/>
    <w:rsid w:val="003E6917"/>
  </w:style>
  <w:style w:type="character" w:customStyle="1" w:styleId="Titre1Car">
    <w:name w:val="Titre 1 Car"/>
    <w:link w:val="Titre1"/>
    <w:uiPriority w:val="9"/>
    <w:rsid w:val="00881233"/>
    <w:rPr>
      <w:rFonts w:ascii="Cambria" w:eastAsia="MS Gothic" w:hAnsi="Cambria" w:cs="Times New Roman"/>
      <w:b/>
      <w:bCs/>
      <w:color w:val="365F91"/>
      <w:sz w:val="28"/>
      <w:szCs w:val="28"/>
    </w:rPr>
  </w:style>
  <w:style w:type="paragraph" w:customStyle="1" w:styleId="TableauGrille31">
    <w:name w:val="Tableau Grille 31"/>
    <w:basedOn w:val="Titre1"/>
    <w:next w:val="Normal"/>
    <w:uiPriority w:val="39"/>
    <w:semiHidden/>
    <w:unhideWhenUsed/>
    <w:qFormat/>
    <w:rsid w:val="00881233"/>
    <w:pPr>
      <w:outlineLvl w:val="9"/>
    </w:pPr>
    <w:rPr>
      <w:lang w:val="en-US"/>
    </w:rPr>
  </w:style>
  <w:style w:type="paragraph" w:styleId="TM1">
    <w:name w:val="toc 1"/>
    <w:basedOn w:val="Normal"/>
    <w:next w:val="Normal"/>
    <w:autoRedefine/>
    <w:uiPriority w:val="39"/>
    <w:unhideWhenUsed/>
    <w:rsid w:val="00881233"/>
    <w:pPr>
      <w:spacing w:after="100"/>
    </w:pPr>
  </w:style>
  <w:style w:type="character" w:styleId="Lienhypertexte">
    <w:name w:val="Hyperlink"/>
    <w:uiPriority w:val="99"/>
    <w:unhideWhenUsed/>
    <w:rsid w:val="00881233"/>
    <w:rPr>
      <w:color w:val="0000FF"/>
      <w:u w:val="single"/>
    </w:rPr>
  </w:style>
  <w:style w:type="paragraph" w:styleId="Notedebasdepage">
    <w:name w:val="footnote text"/>
    <w:basedOn w:val="Normal"/>
    <w:link w:val="NotedebasdepageCar"/>
    <w:uiPriority w:val="99"/>
    <w:unhideWhenUsed/>
    <w:rsid w:val="000B2D9A"/>
    <w:pPr>
      <w:spacing w:after="0" w:line="240" w:lineRule="auto"/>
    </w:pPr>
    <w:rPr>
      <w:sz w:val="24"/>
      <w:szCs w:val="24"/>
      <w:lang w:val="x-none" w:eastAsia="x-none"/>
    </w:rPr>
  </w:style>
  <w:style w:type="character" w:customStyle="1" w:styleId="NotedebasdepageCar">
    <w:name w:val="Note de bas de page Car"/>
    <w:link w:val="Notedebasdepage"/>
    <w:uiPriority w:val="99"/>
    <w:rsid w:val="000B2D9A"/>
    <w:rPr>
      <w:sz w:val="24"/>
      <w:szCs w:val="24"/>
    </w:rPr>
  </w:style>
  <w:style w:type="character" w:styleId="Marquenotebasdepage">
    <w:name w:val="footnote reference"/>
    <w:uiPriority w:val="99"/>
    <w:unhideWhenUsed/>
    <w:rsid w:val="000B2D9A"/>
    <w:rPr>
      <w:vertAlign w:val="superscript"/>
    </w:rPr>
  </w:style>
  <w:style w:type="paragraph" w:customStyle="1" w:styleId="Listecouleur-Accent11">
    <w:name w:val="Liste couleur - Accent 11"/>
    <w:basedOn w:val="Normal"/>
    <w:link w:val="Listecouleur-Accent1Car"/>
    <w:uiPriority w:val="34"/>
    <w:qFormat/>
    <w:rsid w:val="006F4888"/>
    <w:pPr>
      <w:ind w:left="708"/>
    </w:pPr>
  </w:style>
  <w:style w:type="character" w:customStyle="1" w:styleId="apple-converted-space">
    <w:name w:val="apple-converted-space"/>
    <w:rsid w:val="00BE6118"/>
  </w:style>
  <w:style w:type="character" w:styleId="lev">
    <w:name w:val="Strong"/>
    <w:uiPriority w:val="22"/>
    <w:qFormat/>
    <w:rsid w:val="00BE6118"/>
    <w:rPr>
      <w:b/>
      <w:bCs/>
    </w:rPr>
  </w:style>
  <w:style w:type="paragraph" w:customStyle="1" w:styleId="Default">
    <w:name w:val="Default"/>
    <w:rsid w:val="002F1D24"/>
    <w:pPr>
      <w:autoSpaceDE w:val="0"/>
      <w:autoSpaceDN w:val="0"/>
      <w:adjustRightInd w:val="0"/>
    </w:pPr>
    <w:rPr>
      <w:rFonts w:ascii="Book Antiqua" w:hAnsi="Book Antiqua" w:cs="Book Antiqua"/>
      <w:color w:val="000000"/>
      <w:sz w:val="24"/>
      <w:szCs w:val="24"/>
    </w:rPr>
  </w:style>
  <w:style w:type="character" w:styleId="Marquedannotation">
    <w:name w:val="annotation reference"/>
    <w:uiPriority w:val="99"/>
    <w:semiHidden/>
    <w:unhideWhenUsed/>
    <w:rsid w:val="00840D58"/>
    <w:rPr>
      <w:sz w:val="16"/>
      <w:szCs w:val="16"/>
    </w:rPr>
  </w:style>
  <w:style w:type="paragraph" w:styleId="Commentaire">
    <w:name w:val="annotation text"/>
    <w:basedOn w:val="Normal"/>
    <w:link w:val="CommentaireCar"/>
    <w:uiPriority w:val="99"/>
    <w:semiHidden/>
    <w:unhideWhenUsed/>
    <w:rsid w:val="00840D58"/>
    <w:rPr>
      <w:sz w:val="20"/>
      <w:szCs w:val="20"/>
    </w:rPr>
  </w:style>
  <w:style w:type="character" w:customStyle="1" w:styleId="CommentaireCar">
    <w:name w:val="Commentaire Car"/>
    <w:link w:val="Commentaire"/>
    <w:uiPriority w:val="99"/>
    <w:semiHidden/>
    <w:rsid w:val="00840D58"/>
    <w:rPr>
      <w:lang w:val="en-GB" w:eastAsia="en-US"/>
    </w:rPr>
  </w:style>
  <w:style w:type="paragraph" w:styleId="Objetducommentaire">
    <w:name w:val="annotation subject"/>
    <w:basedOn w:val="Commentaire"/>
    <w:next w:val="Commentaire"/>
    <w:link w:val="ObjetducommentaireCar"/>
    <w:uiPriority w:val="99"/>
    <w:semiHidden/>
    <w:unhideWhenUsed/>
    <w:rsid w:val="00840D58"/>
    <w:rPr>
      <w:b/>
      <w:bCs/>
    </w:rPr>
  </w:style>
  <w:style w:type="character" w:customStyle="1" w:styleId="ObjetducommentaireCar">
    <w:name w:val="Objet du commentaire Car"/>
    <w:link w:val="Objetducommentaire"/>
    <w:uiPriority w:val="99"/>
    <w:semiHidden/>
    <w:rsid w:val="00840D58"/>
    <w:rPr>
      <w:b/>
      <w:bCs/>
      <w:lang w:val="en-GB" w:eastAsia="en-US"/>
    </w:rPr>
  </w:style>
  <w:style w:type="character" w:customStyle="1" w:styleId="Titre2Car">
    <w:name w:val="Titre 2 Car"/>
    <w:link w:val="Titre2"/>
    <w:uiPriority w:val="9"/>
    <w:rsid w:val="00E75EC7"/>
    <w:rPr>
      <w:rFonts w:ascii="Calibri Light" w:eastAsia="Times New Roman" w:hAnsi="Calibri Light" w:cs="Times New Roman"/>
      <w:b/>
      <w:bCs/>
      <w:i/>
      <w:iCs/>
      <w:sz w:val="28"/>
      <w:szCs w:val="28"/>
      <w:lang w:val="en-GB" w:eastAsia="en-US"/>
    </w:rPr>
  </w:style>
  <w:style w:type="character" w:customStyle="1" w:styleId="Listecouleur-Accent1Car">
    <w:name w:val="Liste couleur - Accent 1 Car"/>
    <w:link w:val="Listecouleur-Accent11"/>
    <w:uiPriority w:val="34"/>
    <w:rsid w:val="00043BB2"/>
    <w:rPr>
      <w:sz w:val="22"/>
      <w:szCs w:val="22"/>
      <w:lang w:val="en-GB" w:eastAsia="en-US"/>
    </w:rPr>
  </w:style>
  <w:style w:type="paragraph" w:customStyle="1" w:styleId="Texte">
    <w:name w:val="Texte"/>
    <w:basedOn w:val="Corpsdetexte"/>
    <w:autoRedefine/>
    <w:qFormat/>
    <w:rsid w:val="00043BB2"/>
    <w:pPr>
      <w:spacing w:before="60" w:after="60" w:line="360" w:lineRule="auto"/>
      <w:ind w:firstLine="709"/>
      <w:jc w:val="both"/>
    </w:pPr>
    <w:rPr>
      <w:rFonts w:ascii="Times New Roman" w:eastAsia="Times New Roman" w:hAnsi="Times New Roman"/>
      <w:sz w:val="24"/>
      <w:lang w:eastAsia="fr-FR"/>
    </w:rPr>
  </w:style>
  <w:style w:type="paragraph" w:styleId="Corpsdetexte">
    <w:name w:val="Body Text"/>
    <w:basedOn w:val="Normal"/>
    <w:link w:val="CorpsdetexteCar"/>
    <w:uiPriority w:val="99"/>
    <w:semiHidden/>
    <w:unhideWhenUsed/>
    <w:rsid w:val="00043BB2"/>
    <w:pPr>
      <w:spacing w:after="120"/>
    </w:pPr>
  </w:style>
  <w:style w:type="character" w:customStyle="1" w:styleId="CorpsdetexteCar">
    <w:name w:val="Corps de texte Car"/>
    <w:link w:val="Corpsdetexte"/>
    <w:uiPriority w:val="99"/>
    <w:semiHidden/>
    <w:rsid w:val="00043BB2"/>
    <w:rPr>
      <w:sz w:val="22"/>
      <w:szCs w:val="22"/>
      <w:lang w:val="en-GB" w:eastAsia="en-US"/>
    </w:rPr>
  </w:style>
  <w:style w:type="paragraph" w:styleId="NormalWeb">
    <w:name w:val="Normal (Web)"/>
    <w:basedOn w:val="Normal"/>
    <w:uiPriority w:val="99"/>
    <w:unhideWhenUsed/>
    <w:rsid w:val="001914A3"/>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ramecouleur-Accent11">
    <w:name w:val="Trame couleur - Accent 11"/>
    <w:hidden/>
    <w:uiPriority w:val="71"/>
    <w:rsid w:val="006C3EE1"/>
    <w:rPr>
      <w:sz w:val="22"/>
      <w:szCs w:val="22"/>
      <w:lang w:val="en-GB" w:eastAsia="en-US"/>
    </w:rPr>
  </w:style>
  <w:style w:type="paragraph" w:customStyle="1" w:styleId="Listecouleur-Accent12">
    <w:name w:val="Liste couleur - Accent 12"/>
    <w:basedOn w:val="Normal"/>
    <w:link w:val="Listecouleur-Accent1Car1"/>
    <w:uiPriority w:val="34"/>
    <w:qFormat/>
    <w:rsid w:val="007E1BEE"/>
    <w:pPr>
      <w:ind w:left="708"/>
    </w:pPr>
  </w:style>
  <w:style w:type="character" w:customStyle="1" w:styleId="Listecouleur-Accent1Car1">
    <w:name w:val="Liste couleur - Accent 1 Car1"/>
    <w:link w:val="Listecouleur-Accent12"/>
    <w:uiPriority w:val="34"/>
    <w:rsid w:val="007E1BEE"/>
    <w:rPr>
      <w:sz w:val="22"/>
      <w:szCs w:val="22"/>
      <w:lang w:val="en-GB" w:eastAsia="en-US"/>
    </w:rPr>
  </w:style>
  <w:style w:type="character" w:styleId="Accentuation">
    <w:name w:val="Emphasis"/>
    <w:uiPriority w:val="20"/>
    <w:qFormat/>
    <w:rsid w:val="00C87581"/>
    <w:rPr>
      <w:i/>
      <w:iCs/>
    </w:rPr>
  </w:style>
  <w:style w:type="table" w:styleId="Grille">
    <w:name w:val="Table Grid"/>
    <w:basedOn w:val="TableauNormal"/>
    <w:uiPriority w:val="59"/>
    <w:rsid w:val="00C524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t">
    <w:name w:val="st"/>
    <w:basedOn w:val="Policepardfaut"/>
    <w:rsid w:val="009910B7"/>
  </w:style>
  <w:style w:type="character" w:customStyle="1" w:styleId="fontarticlemaintitle">
    <w:name w:val="fontarticlemaintitle"/>
    <w:basedOn w:val="Policepardfaut"/>
    <w:rsid w:val="009910B7"/>
  </w:style>
  <w:style w:type="character" w:customStyle="1" w:styleId="titredetailarticle">
    <w:name w:val="titre_detail_article"/>
    <w:basedOn w:val="Policepardfaut"/>
    <w:rsid w:val="00106B62"/>
  </w:style>
  <w:style w:type="paragraph" w:customStyle="1" w:styleId="Paragraphedeliste1">
    <w:name w:val="Paragraphe de liste1"/>
    <w:basedOn w:val="Normal"/>
    <w:rsid w:val="002659FA"/>
    <w:pPr>
      <w:ind w:left="720"/>
      <w:contextualSpacing/>
    </w:pPr>
    <w:rPr>
      <w:rFonts w:eastAsia="Times New Roman"/>
      <w:lang w:eastAsia="fr-FR"/>
    </w:rPr>
  </w:style>
  <w:style w:type="paragraph" w:styleId="Adressedestinataire">
    <w:name w:val="envelope address"/>
    <w:basedOn w:val="Normal"/>
    <w:uiPriority w:val="99"/>
    <w:semiHidden/>
    <w:unhideWhenUsed/>
    <w:rsid w:val="0056343F"/>
    <w:pPr>
      <w:framePr w:w="7938" w:h="1985" w:hRule="exact" w:hSpace="141" w:wrap="auto" w:hAnchor="page" w:xAlign="center" w:yAlign="bottom"/>
      <w:spacing w:after="0" w:line="240" w:lineRule="auto"/>
      <w:ind w:left="2835"/>
    </w:pPr>
    <w:rPr>
      <w:rFonts w:asciiTheme="majorHAnsi" w:eastAsiaTheme="majorEastAsia" w:hAnsiTheme="majorHAnsi" w:cstheme="majorBidi"/>
      <w:sz w:val="24"/>
      <w:szCs w:val="24"/>
    </w:rPr>
  </w:style>
  <w:style w:type="paragraph" w:styleId="Paragraphedeliste">
    <w:name w:val="List Paragraph"/>
    <w:basedOn w:val="Normal"/>
    <w:uiPriority w:val="72"/>
    <w:rsid w:val="00D060B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34" w:unhideWhenUsed="0" w:qFormat="1"/>
    <w:lsdException w:name="Medium Shading 2" w:semiHidden="0" w:uiPriority="73" w:unhideWhenUsed="0" w:qFormat="1"/>
    <w:lsdException w:name="Medium List 1" w:semiHidden="0" w:uiPriority="60" w:unhideWhenUsed="0" w:qFormat="1"/>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qFormat="1"/>
    <w:lsdException w:name="Colorful Shading Accent 5" w:semiHidden="0" w:uiPriority="66" w:unhideWhenUsed="0" w:qFormat="1"/>
    <w:lsdException w:name="Colorful List Accent 5" w:semiHidden="0" w:uiPriority="67" w:unhideWhenUsed="0" w:qFormat="1"/>
    <w:lsdException w:name="Colorful Grid Accent 5" w:semiHidden="0" w:uiPriority="68" w:unhideWhenUsed="0" w:qFormat="1"/>
    <w:lsdException w:name="Light Shading Accent 6" w:semiHidden="0" w:uiPriority="69" w:unhideWhenUsed="0" w:qFormat="1"/>
    <w:lsdException w:name="Light List Accent 6" w:semiHidden="0" w:uiPriority="70" w:unhideWhenUsed="0"/>
    <w:lsdException w:name="Light Grid Accent 6" w:semiHidden="0" w:uiPriority="71"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F62"/>
    <w:pPr>
      <w:spacing w:after="200" w:line="276" w:lineRule="auto"/>
    </w:pPr>
    <w:rPr>
      <w:sz w:val="22"/>
      <w:szCs w:val="22"/>
      <w:lang w:eastAsia="en-US"/>
    </w:rPr>
  </w:style>
  <w:style w:type="paragraph" w:styleId="Titre1">
    <w:name w:val="heading 1"/>
    <w:basedOn w:val="Normal"/>
    <w:next w:val="Normal"/>
    <w:link w:val="Titre1Car"/>
    <w:uiPriority w:val="9"/>
    <w:qFormat/>
    <w:rsid w:val="00881233"/>
    <w:pPr>
      <w:keepNext/>
      <w:keepLines/>
      <w:spacing w:before="480" w:after="0"/>
      <w:outlineLvl w:val="0"/>
    </w:pPr>
    <w:rPr>
      <w:rFonts w:ascii="Cambria" w:eastAsia="MS Gothic" w:hAnsi="Cambria"/>
      <w:b/>
      <w:bCs/>
      <w:color w:val="365F91"/>
      <w:sz w:val="28"/>
      <w:szCs w:val="28"/>
      <w:lang w:val="x-none" w:eastAsia="x-none"/>
    </w:rPr>
  </w:style>
  <w:style w:type="paragraph" w:styleId="Titre2">
    <w:name w:val="heading 2"/>
    <w:basedOn w:val="Normal"/>
    <w:next w:val="Normal"/>
    <w:link w:val="Titre2Car"/>
    <w:uiPriority w:val="9"/>
    <w:qFormat/>
    <w:rsid w:val="00E75EC7"/>
    <w:pPr>
      <w:keepNext/>
      <w:spacing w:before="240" w:after="60"/>
      <w:outlineLvl w:val="1"/>
    </w:pPr>
    <w:rPr>
      <w:rFonts w:ascii="Calibri Light" w:eastAsia="Times New Roman" w:hAnsi="Calibri Light"/>
      <w:b/>
      <w:bCs/>
      <w:i/>
      <w:iCs/>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618CC"/>
    <w:pPr>
      <w:spacing w:after="0" w:line="240" w:lineRule="auto"/>
    </w:pPr>
    <w:rPr>
      <w:rFonts w:ascii="Tahoma" w:hAnsi="Tahoma"/>
      <w:sz w:val="16"/>
      <w:szCs w:val="16"/>
      <w:lang w:val="x-none" w:eastAsia="x-none"/>
    </w:rPr>
  </w:style>
  <w:style w:type="character" w:customStyle="1" w:styleId="TextedebullesCar">
    <w:name w:val="Texte de bulles Car"/>
    <w:link w:val="Textedebulles"/>
    <w:uiPriority w:val="99"/>
    <w:semiHidden/>
    <w:rsid w:val="00C618CC"/>
    <w:rPr>
      <w:rFonts w:ascii="Tahoma" w:hAnsi="Tahoma" w:cs="Tahoma"/>
      <w:sz w:val="16"/>
      <w:szCs w:val="16"/>
    </w:rPr>
  </w:style>
  <w:style w:type="paragraph" w:customStyle="1" w:styleId="Grillemoyenne1-Accent21">
    <w:name w:val="Grille moyenne 1 - Accent 21"/>
    <w:basedOn w:val="Normal"/>
    <w:uiPriority w:val="34"/>
    <w:qFormat/>
    <w:rsid w:val="00777206"/>
    <w:pPr>
      <w:ind w:left="720"/>
      <w:contextualSpacing/>
    </w:pPr>
  </w:style>
  <w:style w:type="character" w:customStyle="1" w:styleId="hps">
    <w:name w:val="hps"/>
    <w:basedOn w:val="Policepardfaut"/>
    <w:rsid w:val="003B53CD"/>
  </w:style>
  <w:style w:type="paragraph" w:styleId="En-tte">
    <w:name w:val="header"/>
    <w:basedOn w:val="Normal"/>
    <w:link w:val="En-tteCar"/>
    <w:uiPriority w:val="99"/>
    <w:semiHidden/>
    <w:unhideWhenUsed/>
    <w:rsid w:val="003E6917"/>
    <w:pPr>
      <w:tabs>
        <w:tab w:val="center" w:pos="4513"/>
        <w:tab w:val="right" w:pos="9026"/>
      </w:tabs>
      <w:spacing w:after="0" w:line="240" w:lineRule="auto"/>
    </w:pPr>
  </w:style>
  <w:style w:type="character" w:customStyle="1" w:styleId="En-tteCar">
    <w:name w:val="En-tête Car"/>
    <w:basedOn w:val="Policepardfaut"/>
    <w:link w:val="En-tte"/>
    <w:uiPriority w:val="99"/>
    <w:semiHidden/>
    <w:rsid w:val="003E6917"/>
  </w:style>
  <w:style w:type="paragraph" w:styleId="Pieddepage">
    <w:name w:val="footer"/>
    <w:basedOn w:val="Normal"/>
    <w:link w:val="PieddepageCar"/>
    <w:uiPriority w:val="99"/>
    <w:unhideWhenUsed/>
    <w:rsid w:val="003E6917"/>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3E6917"/>
  </w:style>
  <w:style w:type="character" w:customStyle="1" w:styleId="atn">
    <w:name w:val="atn"/>
    <w:basedOn w:val="Policepardfaut"/>
    <w:rsid w:val="003E6917"/>
  </w:style>
  <w:style w:type="character" w:customStyle="1" w:styleId="Titre1Car">
    <w:name w:val="Titre 1 Car"/>
    <w:link w:val="Titre1"/>
    <w:uiPriority w:val="9"/>
    <w:rsid w:val="00881233"/>
    <w:rPr>
      <w:rFonts w:ascii="Cambria" w:eastAsia="MS Gothic" w:hAnsi="Cambria" w:cs="Times New Roman"/>
      <w:b/>
      <w:bCs/>
      <w:color w:val="365F91"/>
      <w:sz w:val="28"/>
      <w:szCs w:val="28"/>
    </w:rPr>
  </w:style>
  <w:style w:type="paragraph" w:customStyle="1" w:styleId="TableauGrille31">
    <w:name w:val="Tableau Grille 31"/>
    <w:basedOn w:val="Titre1"/>
    <w:next w:val="Normal"/>
    <w:uiPriority w:val="39"/>
    <w:semiHidden/>
    <w:unhideWhenUsed/>
    <w:qFormat/>
    <w:rsid w:val="00881233"/>
    <w:pPr>
      <w:outlineLvl w:val="9"/>
    </w:pPr>
    <w:rPr>
      <w:lang w:val="en-US"/>
    </w:rPr>
  </w:style>
  <w:style w:type="paragraph" w:styleId="TM1">
    <w:name w:val="toc 1"/>
    <w:basedOn w:val="Normal"/>
    <w:next w:val="Normal"/>
    <w:autoRedefine/>
    <w:uiPriority w:val="39"/>
    <w:unhideWhenUsed/>
    <w:rsid w:val="00881233"/>
    <w:pPr>
      <w:spacing w:after="100"/>
    </w:pPr>
  </w:style>
  <w:style w:type="character" w:styleId="Lienhypertexte">
    <w:name w:val="Hyperlink"/>
    <w:uiPriority w:val="99"/>
    <w:unhideWhenUsed/>
    <w:rsid w:val="00881233"/>
    <w:rPr>
      <w:color w:val="0000FF"/>
      <w:u w:val="single"/>
    </w:rPr>
  </w:style>
  <w:style w:type="paragraph" w:styleId="Notedebasdepage">
    <w:name w:val="footnote text"/>
    <w:basedOn w:val="Normal"/>
    <w:link w:val="NotedebasdepageCar"/>
    <w:uiPriority w:val="99"/>
    <w:unhideWhenUsed/>
    <w:rsid w:val="000B2D9A"/>
    <w:pPr>
      <w:spacing w:after="0" w:line="240" w:lineRule="auto"/>
    </w:pPr>
    <w:rPr>
      <w:sz w:val="24"/>
      <w:szCs w:val="24"/>
      <w:lang w:val="x-none" w:eastAsia="x-none"/>
    </w:rPr>
  </w:style>
  <w:style w:type="character" w:customStyle="1" w:styleId="NotedebasdepageCar">
    <w:name w:val="Note de bas de page Car"/>
    <w:link w:val="Notedebasdepage"/>
    <w:uiPriority w:val="99"/>
    <w:rsid w:val="000B2D9A"/>
    <w:rPr>
      <w:sz w:val="24"/>
      <w:szCs w:val="24"/>
    </w:rPr>
  </w:style>
  <w:style w:type="character" w:styleId="Marquenotebasdepage">
    <w:name w:val="footnote reference"/>
    <w:uiPriority w:val="99"/>
    <w:unhideWhenUsed/>
    <w:rsid w:val="000B2D9A"/>
    <w:rPr>
      <w:vertAlign w:val="superscript"/>
    </w:rPr>
  </w:style>
  <w:style w:type="paragraph" w:customStyle="1" w:styleId="Listecouleur-Accent11">
    <w:name w:val="Liste couleur - Accent 11"/>
    <w:basedOn w:val="Normal"/>
    <w:link w:val="Listecouleur-Accent1Car"/>
    <w:uiPriority w:val="34"/>
    <w:qFormat/>
    <w:rsid w:val="006F4888"/>
    <w:pPr>
      <w:ind w:left="708"/>
    </w:pPr>
  </w:style>
  <w:style w:type="character" w:customStyle="1" w:styleId="apple-converted-space">
    <w:name w:val="apple-converted-space"/>
    <w:rsid w:val="00BE6118"/>
  </w:style>
  <w:style w:type="character" w:styleId="lev">
    <w:name w:val="Strong"/>
    <w:uiPriority w:val="22"/>
    <w:qFormat/>
    <w:rsid w:val="00BE6118"/>
    <w:rPr>
      <w:b/>
      <w:bCs/>
    </w:rPr>
  </w:style>
  <w:style w:type="paragraph" w:customStyle="1" w:styleId="Default">
    <w:name w:val="Default"/>
    <w:rsid w:val="002F1D24"/>
    <w:pPr>
      <w:autoSpaceDE w:val="0"/>
      <w:autoSpaceDN w:val="0"/>
      <w:adjustRightInd w:val="0"/>
    </w:pPr>
    <w:rPr>
      <w:rFonts w:ascii="Book Antiqua" w:hAnsi="Book Antiqua" w:cs="Book Antiqua"/>
      <w:color w:val="000000"/>
      <w:sz w:val="24"/>
      <w:szCs w:val="24"/>
    </w:rPr>
  </w:style>
  <w:style w:type="character" w:styleId="Marquedannotation">
    <w:name w:val="annotation reference"/>
    <w:uiPriority w:val="99"/>
    <w:semiHidden/>
    <w:unhideWhenUsed/>
    <w:rsid w:val="00840D58"/>
    <w:rPr>
      <w:sz w:val="16"/>
      <w:szCs w:val="16"/>
    </w:rPr>
  </w:style>
  <w:style w:type="paragraph" w:styleId="Commentaire">
    <w:name w:val="annotation text"/>
    <w:basedOn w:val="Normal"/>
    <w:link w:val="CommentaireCar"/>
    <w:uiPriority w:val="99"/>
    <w:semiHidden/>
    <w:unhideWhenUsed/>
    <w:rsid w:val="00840D58"/>
    <w:rPr>
      <w:sz w:val="20"/>
      <w:szCs w:val="20"/>
    </w:rPr>
  </w:style>
  <w:style w:type="character" w:customStyle="1" w:styleId="CommentaireCar">
    <w:name w:val="Commentaire Car"/>
    <w:link w:val="Commentaire"/>
    <w:uiPriority w:val="99"/>
    <w:semiHidden/>
    <w:rsid w:val="00840D58"/>
    <w:rPr>
      <w:lang w:val="en-GB" w:eastAsia="en-US"/>
    </w:rPr>
  </w:style>
  <w:style w:type="paragraph" w:styleId="Objetducommentaire">
    <w:name w:val="annotation subject"/>
    <w:basedOn w:val="Commentaire"/>
    <w:next w:val="Commentaire"/>
    <w:link w:val="ObjetducommentaireCar"/>
    <w:uiPriority w:val="99"/>
    <w:semiHidden/>
    <w:unhideWhenUsed/>
    <w:rsid w:val="00840D58"/>
    <w:rPr>
      <w:b/>
      <w:bCs/>
    </w:rPr>
  </w:style>
  <w:style w:type="character" w:customStyle="1" w:styleId="ObjetducommentaireCar">
    <w:name w:val="Objet du commentaire Car"/>
    <w:link w:val="Objetducommentaire"/>
    <w:uiPriority w:val="99"/>
    <w:semiHidden/>
    <w:rsid w:val="00840D58"/>
    <w:rPr>
      <w:b/>
      <w:bCs/>
      <w:lang w:val="en-GB" w:eastAsia="en-US"/>
    </w:rPr>
  </w:style>
  <w:style w:type="character" w:customStyle="1" w:styleId="Titre2Car">
    <w:name w:val="Titre 2 Car"/>
    <w:link w:val="Titre2"/>
    <w:uiPriority w:val="9"/>
    <w:rsid w:val="00E75EC7"/>
    <w:rPr>
      <w:rFonts w:ascii="Calibri Light" w:eastAsia="Times New Roman" w:hAnsi="Calibri Light" w:cs="Times New Roman"/>
      <w:b/>
      <w:bCs/>
      <w:i/>
      <w:iCs/>
      <w:sz w:val="28"/>
      <w:szCs w:val="28"/>
      <w:lang w:val="en-GB" w:eastAsia="en-US"/>
    </w:rPr>
  </w:style>
  <w:style w:type="character" w:customStyle="1" w:styleId="Listecouleur-Accent1Car">
    <w:name w:val="Liste couleur - Accent 1 Car"/>
    <w:link w:val="Listecouleur-Accent11"/>
    <w:uiPriority w:val="34"/>
    <w:rsid w:val="00043BB2"/>
    <w:rPr>
      <w:sz w:val="22"/>
      <w:szCs w:val="22"/>
      <w:lang w:val="en-GB" w:eastAsia="en-US"/>
    </w:rPr>
  </w:style>
  <w:style w:type="paragraph" w:customStyle="1" w:styleId="Texte">
    <w:name w:val="Texte"/>
    <w:basedOn w:val="Corpsdetexte"/>
    <w:autoRedefine/>
    <w:qFormat/>
    <w:rsid w:val="00043BB2"/>
    <w:pPr>
      <w:spacing w:before="60" w:after="60" w:line="360" w:lineRule="auto"/>
      <w:ind w:firstLine="709"/>
      <w:jc w:val="both"/>
    </w:pPr>
    <w:rPr>
      <w:rFonts w:ascii="Times New Roman" w:eastAsia="Times New Roman" w:hAnsi="Times New Roman"/>
      <w:sz w:val="24"/>
      <w:lang w:eastAsia="fr-FR"/>
    </w:rPr>
  </w:style>
  <w:style w:type="paragraph" w:styleId="Corpsdetexte">
    <w:name w:val="Body Text"/>
    <w:basedOn w:val="Normal"/>
    <w:link w:val="CorpsdetexteCar"/>
    <w:uiPriority w:val="99"/>
    <w:semiHidden/>
    <w:unhideWhenUsed/>
    <w:rsid w:val="00043BB2"/>
    <w:pPr>
      <w:spacing w:after="120"/>
    </w:pPr>
  </w:style>
  <w:style w:type="character" w:customStyle="1" w:styleId="CorpsdetexteCar">
    <w:name w:val="Corps de texte Car"/>
    <w:link w:val="Corpsdetexte"/>
    <w:uiPriority w:val="99"/>
    <w:semiHidden/>
    <w:rsid w:val="00043BB2"/>
    <w:rPr>
      <w:sz w:val="22"/>
      <w:szCs w:val="22"/>
      <w:lang w:val="en-GB" w:eastAsia="en-US"/>
    </w:rPr>
  </w:style>
  <w:style w:type="paragraph" w:styleId="NormalWeb">
    <w:name w:val="Normal (Web)"/>
    <w:basedOn w:val="Normal"/>
    <w:uiPriority w:val="99"/>
    <w:unhideWhenUsed/>
    <w:rsid w:val="001914A3"/>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ramecouleur-Accent11">
    <w:name w:val="Trame couleur - Accent 11"/>
    <w:hidden/>
    <w:uiPriority w:val="71"/>
    <w:rsid w:val="006C3EE1"/>
    <w:rPr>
      <w:sz w:val="22"/>
      <w:szCs w:val="22"/>
      <w:lang w:val="en-GB" w:eastAsia="en-US"/>
    </w:rPr>
  </w:style>
  <w:style w:type="paragraph" w:customStyle="1" w:styleId="Listecouleur-Accent12">
    <w:name w:val="Liste couleur - Accent 12"/>
    <w:basedOn w:val="Normal"/>
    <w:link w:val="Listecouleur-Accent1Car1"/>
    <w:uiPriority w:val="34"/>
    <w:qFormat/>
    <w:rsid w:val="007E1BEE"/>
    <w:pPr>
      <w:ind w:left="708"/>
    </w:pPr>
  </w:style>
  <w:style w:type="character" w:customStyle="1" w:styleId="Listecouleur-Accent1Car1">
    <w:name w:val="Liste couleur - Accent 1 Car1"/>
    <w:link w:val="Listecouleur-Accent12"/>
    <w:uiPriority w:val="34"/>
    <w:rsid w:val="007E1BEE"/>
    <w:rPr>
      <w:sz w:val="22"/>
      <w:szCs w:val="22"/>
      <w:lang w:val="en-GB" w:eastAsia="en-US"/>
    </w:rPr>
  </w:style>
  <w:style w:type="character" w:styleId="Accentuation">
    <w:name w:val="Emphasis"/>
    <w:uiPriority w:val="20"/>
    <w:qFormat/>
    <w:rsid w:val="00C87581"/>
    <w:rPr>
      <w:i/>
      <w:iCs/>
    </w:rPr>
  </w:style>
  <w:style w:type="table" w:styleId="Grille">
    <w:name w:val="Table Grid"/>
    <w:basedOn w:val="TableauNormal"/>
    <w:uiPriority w:val="59"/>
    <w:rsid w:val="00C524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t">
    <w:name w:val="st"/>
    <w:basedOn w:val="Policepardfaut"/>
    <w:rsid w:val="009910B7"/>
  </w:style>
  <w:style w:type="character" w:customStyle="1" w:styleId="fontarticlemaintitle">
    <w:name w:val="fontarticlemaintitle"/>
    <w:basedOn w:val="Policepardfaut"/>
    <w:rsid w:val="009910B7"/>
  </w:style>
  <w:style w:type="character" w:customStyle="1" w:styleId="titredetailarticle">
    <w:name w:val="titre_detail_article"/>
    <w:basedOn w:val="Policepardfaut"/>
    <w:rsid w:val="00106B62"/>
  </w:style>
  <w:style w:type="paragraph" w:customStyle="1" w:styleId="Paragraphedeliste1">
    <w:name w:val="Paragraphe de liste1"/>
    <w:basedOn w:val="Normal"/>
    <w:rsid w:val="002659FA"/>
    <w:pPr>
      <w:ind w:left="720"/>
      <w:contextualSpacing/>
    </w:pPr>
    <w:rPr>
      <w:rFonts w:eastAsia="Times New Roman"/>
      <w:lang w:eastAsia="fr-FR"/>
    </w:rPr>
  </w:style>
  <w:style w:type="paragraph" w:styleId="Adressedestinataire">
    <w:name w:val="envelope address"/>
    <w:basedOn w:val="Normal"/>
    <w:uiPriority w:val="99"/>
    <w:semiHidden/>
    <w:unhideWhenUsed/>
    <w:rsid w:val="0056343F"/>
    <w:pPr>
      <w:framePr w:w="7938" w:h="1985" w:hRule="exact" w:hSpace="141" w:wrap="auto" w:hAnchor="page" w:xAlign="center" w:yAlign="bottom"/>
      <w:spacing w:after="0" w:line="240" w:lineRule="auto"/>
      <w:ind w:left="2835"/>
    </w:pPr>
    <w:rPr>
      <w:rFonts w:asciiTheme="majorHAnsi" w:eastAsiaTheme="majorEastAsia" w:hAnsiTheme="majorHAnsi" w:cstheme="majorBidi"/>
      <w:sz w:val="24"/>
      <w:szCs w:val="24"/>
    </w:rPr>
  </w:style>
  <w:style w:type="paragraph" w:styleId="Paragraphedeliste">
    <w:name w:val="List Paragraph"/>
    <w:basedOn w:val="Normal"/>
    <w:uiPriority w:val="72"/>
    <w:rsid w:val="00D06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538032">
      <w:bodyDiv w:val="1"/>
      <w:marLeft w:val="0"/>
      <w:marRight w:val="0"/>
      <w:marTop w:val="0"/>
      <w:marBottom w:val="0"/>
      <w:divBdr>
        <w:top w:val="none" w:sz="0" w:space="0" w:color="auto"/>
        <w:left w:val="none" w:sz="0" w:space="0" w:color="auto"/>
        <w:bottom w:val="none" w:sz="0" w:space="0" w:color="auto"/>
        <w:right w:val="none" w:sz="0" w:space="0" w:color="auto"/>
      </w:divBdr>
    </w:div>
    <w:div w:id="789477494">
      <w:bodyDiv w:val="1"/>
      <w:marLeft w:val="0"/>
      <w:marRight w:val="0"/>
      <w:marTop w:val="0"/>
      <w:marBottom w:val="0"/>
      <w:divBdr>
        <w:top w:val="none" w:sz="0" w:space="0" w:color="auto"/>
        <w:left w:val="none" w:sz="0" w:space="0" w:color="auto"/>
        <w:bottom w:val="none" w:sz="0" w:space="0" w:color="auto"/>
        <w:right w:val="none" w:sz="0" w:space="0" w:color="auto"/>
      </w:divBdr>
      <w:divsChild>
        <w:div w:id="731344975">
          <w:marLeft w:val="0"/>
          <w:marRight w:val="0"/>
          <w:marTop w:val="0"/>
          <w:marBottom w:val="0"/>
          <w:divBdr>
            <w:top w:val="none" w:sz="0" w:space="0" w:color="auto"/>
            <w:left w:val="none" w:sz="0" w:space="0" w:color="auto"/>
            <w:bottom w:val="none" w:sz="0" w:space="0" w:color="auto"/>
            <w:right w:val="none" w:sz="0" w:space="0" w:color="auto"/>
          </w:divBdr>
        </w:div>
      </w:divsChild>
    </w:div>
    <w:div w:id="1090584977">
      <w:bodyDiv w:val="1"/>
      <w:marLeft w:val="0"/>
      <w:marRight w:val="0"/>
      <w:marTop w:val="0"/>
      <w:marBottom w:val="0"/>
      <w:divBdr>
        <w:top w:val="none" w:sz="0" w:space="0" w:color="auto"/>
        <w:left w:val="none" w:sz="0" w:space="0" w:color="auto"/>
        <w:bottom w:val="none" w:sz="0" w:space="0" w:color="auto"/>
        <w:right w:val="none" w:sz="0" w:space="0" w:color="auto"/>
      </w:divBdr>
    </w:div>
    <w:div w:id="1596015906">
      <w:bodyDiv w:val="1"/>
      <w:marLeft w:val="0"/>
      <w:marRight w:val="0"/>
      <w:marTop w:val="0"/>
      <w:marBottom w:val="0"/>
      <w:divBdr>
        <w:top w:val="none" w:sz="0" w:space="0" w:color="auto"/>
        <w:left w:val="none" w:sz="0" w:space="0" w:color="auto"/>
        <w:bottom w:val="none" w:sz="0" w:space="0" w:color="auto"/>
        <w:right w:val="none" w:sz="0" w:space="0" w:color="auto"/>
      </w:divBdr>
    </w:div>
    <w:div w:id="1665739329">
      <w:bodyDiv w:val="1"/>
      <w:marLeft w:val="0"/>
      <w:marRight w:val="0"/>
      <w:marTop w:val="0"/>
      <w:marBottom w:val="0"/>
      <w:divBdr>
        <w:top w:val="none" w:sz="0" w:space="0" w:color="auto"/>
        <w:left w:val="none" w:sz="0" w:space="0" w:color="auto"/>
        <w:bottom w:val="none" w:sz="0" w:space="0" w:color="auto"/>
        <w:right w:val="none" w:sz="0" w:space="0" w:color="auto"/>
      </w:divBdr>
      <w:divsChild>
        <w:div w:id="1930312504">
          <w:marLeft w:val="0"/>
          <w:marRight w:val="0"/>
          <w:marTop w:val="0"/>
          <w:marBottom w:val="0"/>
          <w:divBdr>
            <w:top w:val="none" w:sz="0" w:space="0" w:color="auto"/>
            <w:left w:val="none" w:sz="0" w:space="0" w:color="auto"/>
            <w:bottom w:val="none" w:sz="0" w:space="0" w:color="auto"/>
            <w:right w:val="none" w:sz="0" w:space="0" w:color="auto"/>
          </w:divBdr>
          <w:divsChild>
            <w:div w:id="1344355532">
              <w:marLeft w:val="0"/>
              <w:marRight w:val="0"/>
              <w:marTop w:val="0"/>
              <w:marBottom w:val="0"/>
              <w:divBdr>
                <w:top w:val="none" w:sz="0" w:space="0" w:color="auto"/>
                <w:left w:val="none" w:sz="0" w:space="0" w:color="auto"/>
                <w:bottom w:val="none" w:sz="0" w:space="0" w:color="auto"/>
                <w:right w:val="none" w:sz="0" w:space="0" w:color="auto"/>
              </w:divBdr>
              <w:divsChild>
                <w:div w:id="205731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075">
      <w:bodyDiv w:val="1"/>
      <w:marLeft w:val="0"/>
      <w:marRight w:val="0"/>
      <w:marTop w:val="0"/>
      <w:marBottom w:val="0"/>
      <w:divBdr>
        <w:top w:val="none" w:sz="0" w:space="0" w:color="auto"/>
        <w:left w:val="none" w:sz="0" w:space="0" w:color="auto"/>
        <w:bottom w:val="none" w:sz="0" w:space="0" w:color="auto"/>
        <w:right w:val="none" w:sz="0" w:space="0" w:color="auto"/>
      </w:divBdr>
    </w:div>
    <w:div w:id="1838883249">
      <w:bodyDiv w:val="1"/>
      <w:marLeft w:val="0"/>
      <w:marRight w:val="0"/>
      <w:marTop w:val="0"/>
      <w:marBottom w:val="0"/>
      <w:divBdr>
        <w:top w:val="none" w:sz="0" w:space="0" w:color="auto"/>
        <w:left w:val="none" w:sz="0" w:space="0" w:color="auto"/>
        <w:bottom w:val="none" w:sz="0" w:space="0" w:color="auto"/>
        <w:right w:val="none" w:sz="0" w:space="0" w:color="auto"/>
      </w:divBdr>
      <w:divsChild>
        <w:div w:id="1463427180">
          <w:marLeft w:val="0"/>
          <w:marRight w:val="0"/>
          <w:marTop w:val="0"/>
          <w:marBottom w:val="0"/>
          <w:divBdr>
            <w:top w:val="none" w:sz="0" w:space="0" w:color="auto"/>
            <w:left w:val="none" w:sz="0" w:space="0" w:color="auto"/>
            <w:bottom w:val="none" w:sz="0" w:space="0" w:color="auto"/>
            <w:right w:val="none" w:sz="0" w:space="0" w:color="auto"/>
          </w:divBdr>
          <w:divsChild>
            <w:div w:id="138965089">
              <w:marLeft w:val="0"/>
              <w:marRight w:val="0"/>
              <w:marTop w:val="0"/>
              <w:marBottom w:val="0"/>
              <w:divBdr>
                <w:top w:val="none" w:sz="0" w:space="0" w:color="auto"/>
                <w:left w:val="none" w:sz="0" w:space="0" w:color="auto"/>
                <w:bottom w:val="none" w:sz="0" w:space="0" w:color="auto"/>
                <w:right w:val="none" w:sz="0" w:space="0" w:color="auto"/>
              </w:divBdr>
              <w:divsChild>
                <w:div w:id="322781852">
                  <w:marLeft w:val="0"/>
                  <w:marRight w:val="0"/>
                  <w:marTop w:val="0"/>
                  <w:marBottom w:val="0"/>
                  <w:divBdr>
                    <w:top w:val="none" w:sz="0" w:space="0" w:color="auto"/>
                    <w:left w:val="none" w:sz="0" w:space="0" w:color="auto"/>
                    <w:bottom w:val="none" w:sz="0" w:space="0" w:color="auto"/>
                    <w:right w:val="none" w:sz="0" w:space="0" w:color="auto"/>
                  </w:divBdr>
                  <w:divsChild>
                    <w:div w:id="19467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82107">
      <w:bodyDiv w:val="1"/>
      <w:marLeft w:val="0"/>
      <w:marRight w:val="0"/>
      <w:marTop w:val="0"/>
      <w:marBottom w:val="0"/>
      <w:divBdr>
        <w:top w:val="none" w:sz="0" w:space="0" w:color="auto"/>
        <w:left w:val="none" w:sz="0" w:space="0" w:color="auto"/>
        <w:bottom w:val="none" w:sz="0" w:space="0" w:color="auto"/>
        <w:right w:val="none" w:sz="0" w:space="0" w:color="auto"/>
      </w:divBdr>
      <w:divsChild>
        <w:div w:id="546796995">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mailto:info@semfilms.org" TargetMode="Externa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mailto:mbdhp@cenatrin.bf" TargetMode="External"/><Relationship Id="rId17" Type="http://schemas.openxmlformats.org/officeDocument/2006/relationships/theme" Target="theme/theme1.xml"/><Relationship Id="rId7" Type="http://schemas.openxmlformats.org/officeDocument/2006/relationships/footnotes" Target="footnotes.xml"/><Relationship Id="rId16"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hyperlink" Target="mailto:aiburkina@amnestyburkina.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iburkina@fasonet.bf" TargetMode="External"/><Relationship Id="rId19" Type="http://schemas.openxmlformats.org/officeDocument/2006/relationships/customXml" Target="../customXml/item3.xml"/><Relationship Id="rId14" Type="http://schemas.openxmlformats.org/officeDocument/2006/relationships/hyperlink" Target="mailto:semfilms@semfilms.org" TargetMode="External"/><Relationship Id="rId4" Type="http://schemas.microsoft.com/office/2007/relationships/stylesWithEffects" Target="stylesWithEffects.xml"/><Relationship Id="rId9" Type="http://schemas.openxmlformats.org/officeDocument/2006/relationships/hyperlink" Target="mailto:cifdha.bf@cifdha.org"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http://www.panafricain.com/?page=detail_article&amp;art=99135&amp;lang=fr&amp;pi=16" TargetMode="External"/><Relationship Id="rId20" Type="http://schemas.openxmlformats.org/officeDocument/2006/relationships/hyperlink" Target="http://www.sig.bf/gouvernement-de-la-transition/" TargetMode="External"/><Relationship Id="rId21" Type="http://schemas.openxmlformats.org/officeDocument/2006/relationships/hyperlink" Target="http://www.genreenaction.net/Burkina-Faso-la-loi-sur-le-quota-des-femmes-sur.html" TargetMode="External"/><Relationship Id="rId22" Type="http://schemas.openxmlformats.org/officeDocument/2006/relationships/hyperlink" Target="http://www.diplomatie.gouv.fr/fr/politique-etrangere-de-la-france/sante-securite-alimentaire-education-et-genre/actualites-et-evenements-sur-les-themes-de-la-sante-de-la-securite-alimentaire/actualites-et-evenements-lies-au/article/promouvoir-l-education-des-filles" TargetMode="External"/><Relationship Id="rId23" Type="http://schemas.openxmlformats.org/officeDocument/2006/relationships/hyperlink" Target="http://www.lefaso.net/spip.php?article62810" TargetMode="External"/><Relationship Id="rId10" Type="http://schemas.openxmlformats.org/officeDocument/2006/relationships/hyperlink" Target="http://business-humanrights.org/fr/burkina-faso-leffondrement-dune-mine-dor-artisanale-fait-2-morts-et-plusieurs-disparus" TargetMode="External"/><Relationship Id="rId11" Type="http://schemas.openxmlformats.org/officeDocument/2006/relationships/hyperlink" Target="http://news.aouaga.com/h/73042.html" TargetMode="External"/><Relationship Id="rId12" Type="http://schemas.openxmlformats.org/officeDocument/2006/relationships/hyperlink" Target="http://french.burkinafaso.usembassy.gov/media/bf-fre-hrr.pdf" TargetMode="External"/><Relationship Id="rId13" Type="http://schemas.openxmlformats.org/officeDocument/2006/relationships/hyperlink" Target="http://www.lefaso.net/spip.php?article42603" TargetMode="External"/><Relationship Id="rId14" Type="http://schemas.openxmlformats.org/officeDocument/2006/relationships/hyperlink" Target="http://french.burkinafaso.usembassy.gov/media/bf-fre-hrr.pdf" TargetMode="External"/><Relationship Id="rId15" Type="http://schemas.openxmlformats.org/officeDocument/2006/relationships/hyperlink" Target="http://www.sig.bf/2015/06/communique-groupes-dautodefense-la-mise-en-garde-du-gouvernement/" TargetMode="External"/><Relationship Id="rId16" Type="http://schemas.openxmlformats.org/officeDocument/2006/relationships/hyperlink" Target="http://www.ipu.org/splz-f/csw13/note.pdf" TargetMode="External"/><Relationship Id="rId17" Type="http://schemas.openxmlformats.org/officeDocument/2006/relationships/hyperlink" Target="http://lepays.bf/trafic-de-jeunes-filles-vers-le-liban-une-dame-dans-les-filets-de-la-gendarmerie/" TargetMode="External"/><Relationship Id="rId18" Type="http://schemas.openxmlformats.org/officeDocument/2006/relationships/hyperlink" Target="http://www.fasozine.com/gendarmerie-de-kosyam-un-reseau-de-trafic-de-filles-vers-le-liban-demantele/" TargetMode="External"/><Relationship Id="rId19" Type="http://schemas.openxmlformats.org/officeDocument/2006/relationships/hyperlink" Target="http://www.courrierconfidentiel.net/index.php/9-au-palais/75-assassinat-de-balla-keita-a-ouagadougou-cc-du-25092011" TargetMode="External"/><Relationship Id="rId1" Type="http://schemas.openxmlformats.org/officeDocument/2006/relationships/hyperlink" Target="http://www.ccprcentre.org/wp-content/uploads/2012/12/1159_2003-Burkina-Faso.pdf" TargetMode="External"/><Relationship Id="rId2" Type="http://schemas.openxmlformats.org/officeDocument/2006/relationships/hyperlink" Target="http://www.reporterbf.net/index.php/onde-de-choc/item/490-yacouba-isaac-zida-et-la-justice" TargetMode="External"/><Relationship Id="rId3" Type="http://schemas.openxmlformats.org/officeDocument/2006/relationships/hyperlink" Target="http://www.cour-cassation.gov.bf/files/LE_CONSEIL_SUPERIEUR_DE_LA_MAGISTRATURE.pdf" TargetMode="External"/><Relationship Id="rId4" Type="http://schemas.openxmlformats.org/officeDocument/2006/relationships/hyperlink" Target="http://www.lefaso.net/spip.php?article65561" TargetMode="External"/><Relationship Id="rId5" Type="http://schemas.openxmlformats.org/officeDocument/2006/relationships/hyperlink" Target="http://www.notretempsbf.com/m-1528-humanisation-des-prisons-au-burkina-faso-le-departement-de-la-justice-et-ses-partenaires-se-penchent-sur-la-question-a-tenkodogo.html" TargetMode="External"/><Relationship Id="rId6" Type="http://schemas.openxmlformats.org/officeDocument/2006/relationships/hyperlink" Target="http://french.burkinafaso.usembassy.gov/media/bf-fre-hrr.pdf" TargetMode="External"/><Relationship Id="rId7" Type="http://schemas.openxmlformats.org/officeDocument/2006/relationships/hyperlink" Target="http://www.crisisgroup.org/~/media/Files/africa/west-africa/burkina-faso/205-burkina-faso-avec-ou-sans-compaore-le-temps-des-incertitudes.pdf" TargetMode="External"/><Relationship Id="rId8" Type="http://schemas.openxmlformats.org/officeDocument/2006/relationships/hyperlink" Target="http://fr.allafrica.com/stories/201406101343.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C61955-465E-49A9-B3FC-6E924A77F9CE}"/>
</file>

<file path=customXml/itemProps2.xml><?xml version="1.0" encoding="utf-8"?>
<ds:datastoreItem xmlns:ds="http://schemas.openxmlformats.org/officeDocument/2006/customXml" ds:itemID="{27E6510C-7DC5-C249-8E86-28B5037A5993}"/>
</file>

<file path=customXml/itemProps3.xml><?xml version="1.0" encoding="utf-8"?>
<ds:datastoreItem xmlns:ds="http://schemas.openxmlformats.org/officeDocument/2006/customXml" ds:itemID="{BA6CFAC7-EA65-4386-8B19-8838F26E3DAB}"/>
</file>

<file path=customXml/itemProps4.xml><?xml version="1.0" encoding="utf-8"?>
<ds:datastoreItem xmlns:ds="http://schemas.openxmlformats.org/officeDocument/2006/customXml" ds:itemID="{6040433F-7DB6-434A-BA7D-DABC60D3E79E}"/>
</file>

<file path=docProps/app.xml><?xml version="1.0" encoding="utf-8"?>
<Properties xmlns="http://schemas.openxmlformats.org/officeDocument/2006/extended-properties" xmlns:vt="http://schemas.openxmlformats.org/officeDocument/2006/docPropsVTypes">
  <Template>Normal.dotm</Template>
  <TotalTime>3</TotalTime>
  <Pages>57</Pages>
  <Words>25377</Words>
  <Characters>139578</Characters>
  <Application>Microsoft Macintosh Word</Application>
  <DocSecurity>0</DocSecurity>
  <Lines>1163</Lines>
  <Paragraphs>329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164626</CharactersWithSpaces>
  <SharedDoc>false</SharedDoc>
  <HLinks>
    <vt:vector size="282" baseType="variant">
      <vt:variant>
        <vt:i4>5832736</vt:i4>
      </vt:variant>
      <vt:variant>
        <vt:i4>120</vt:i4>
      </vt:variant>
      <vt:variant>
        <vt:i4>0</vt:i4>
      </vt:variant>
      <vt:variant>
        <vt:i4>5</vt:i4>
      </vt:variant>
      <vt:variant>
        <vt:lpwstr>mailto:qualitedudroit.justice@gmail.com</vt:lpwstr>
      </vt:variant>
      <vt:variant>
        <vt:lpwstr/>
      </vt:variant>
      <vt:variant>
        <vt:i4>327682</vt:i4>
      </vt:variant>
      <vt:variant>
        <vt:i4>117</vt:i4>
      </vt:variant>
      <vt:variant>
        <vt:i4>0</vt:i4>
      </vt:variant>
      <vt:variant>
        <vt:i4>5</vt:i4>
      </vt:variant>
      <vt:variant>
        <vt:lpwstr>tel:%28%2B226%29 25 36 53 60</vt:lpwstr>
      </vt:variant>
      <vt:variant>
        <vt:lpwstr/>
      </vt:variant>
      <vt:variant>
        <vt:i4>2883600</vt:i4>
      </vt:variant>
      <vt:variant>
        <vt:i4>114</vt:i4>
      </vt:variant>
      <vt:variant>
        <vt:i4>0</vt:i4>
      </vt:variant>
      <vt:variant>
        <vt:i4>5</vt:i4>
      </vt:variant>
      <vt:variant>
        <vt:lpwstr>mailto:semfilms@semfilms.org</vt:lpwstr>
      </vt:variant>
      <vt:variant>
        <vt:lpwstr/>
      </vt:variant>
      <vt:variant>
        <vt:i4>3735565</vt:i4>
      </vt:variant>
      <vt:variant>
        <vt:i4>111</vt:i4>
      </vt:variant>
      <vt:variant>
        <vt:i4>0</vt:i4>
      </vt:variant>
      <vt:variant>
        <vt:i4>5</vt:i4>
      </vt:variant>
      <vt:variant>
        <vt:lpwstr>mailto:info@semfilms.org</vt:lpwstr>
      </vt:variant>
      <vt:variant>
        <vt:lpwstr/>
      </vt:variant>
      <vt:variant>
        <vt:i4>4391034</vt:i4>
      </vt:variant>
      <vt:variant>
        <vt:i4>108</vt:i4>
      </vt:variant>
      <vt:variant>
        <vt:i4>0</vt:i4>
      </vt:variant>
      <vt:variant>
        <vt:i4>5</vt:i4>
      </vt:variant>
      <vt:variant>
        <vt:lpwstr>mailto:mbdhp@cenatrin.bf</vt:lpwstr>
      </vt:variant>
      <vt:variant>
        <vt:lpwstr/>
      </vt:variant>
      <vt:variant>
        <vt:i4>3276824</vt:i4>
      </vt:variant>
      <vt:variant>
        <vt:i4>105</vt:i4>
      </vt:variant>
      <vt:variant>
        <vt:i4>0</vt:i4>
      </vt:variant>
      <vt:variant>
        <vt:i4>5</vt:i4>
      </vt:variant>
      <vt:variant>
        <vt:lpwstr>mailto:aiburkina@amnestyburkina.org</vt:lpwstr>
      </vt:variant>
      <vt:variant>
        <vt:lpwstr/>
      </vt:variant>
      <vt:variant>
        <vt:i4>7733334</vt:i4>
      </vt:variant>
      <vt:variant>
        <vt:i4>102</vt:i4>
      </vt:variant>
      <vt:variant>
        <vt:i4>0</vt:i4>
      </vt:variant>
      <vt:variant>
        <vt:i4>5</vt:i4>
      </vt:variant>
      <vt:variant>
        <vt:lpwstr>mailto:aiburkina@fasonet.bf</vt:lpwstr>
      </vt:variant>
      <vt:variant>
        <vt:lpwstr/>
      </vt:variant>
      <vt:variant>
        <vt:i4>7733255</vt:i4>
      </vt:variant>
      <vt:variant>
        <vt:i4>99</vt:i4>
      </vt:variant>
      <vt:variant>
        <vt:i4>0</vt:i4>
      </vt:variant>
      <vt:variant>
        <vt:i4>5</vt:i4>
      </vt:variant>
      <vt:variant>
        <vt:lpwstr>mailto:cifdha.bf@cifdha.org</vt:lpwstr>
      </vt:variant>
      <vt:variant>
        <vt:lpwstr/>
      </vt:variant>
      <vt:variant>
        <vt:i4>1703985</vt:i4>
      </vt:variant>
      <vt:variant>
        <vt:i4>92</vt:i4>
      </vt:variant>
      <vt:variant>
        <vt:i4>0</vt:i4>
      </vt:variant>
      <vt:variant>
        <vt:i4>5</vt:i4>
      </vt:variant>
      <vt:variant>
        <vt:lpwstr/>
      </vt:variant>
      <vt:variant>
        <vt:lpwstr>_Toc426711293</vt:lpwstr>
      </vt:variant>
      <vt:variant>
        <vt:i4>1703985</vt:i4>
      </vt:variant>
      <vt:variant>
        <vt:i4>86</vt:i4>
      </vt:variant>
      <vt:variant>
        <vt:i4>0</vt:i4>
      </vt:variant>
      <vt:variant>
        <vt:i4>5</vt:i4>
      </vt:variant>
      <vt:variant>
        <vt:lpwstr/>
      </vt:variant>
      <vt:variant>
        <vt:lpwstr>_Toc426711292</vt:lpwstr>
      </vt:variant>
      <vt:variant>
        <vt:i4>1703985</vt:i4>
      </vt:variant>
      <vt:variant>
        <vt:i4>80</vt:i4>
      </vt:variant>
      <vt:variant>
        <vt:i4>0</vt:i4>
      </vt:variant>
      <vt:variant>
        <vt:i4>5</vt:i4>
      </vt:variant>
      <vt:variant>
        <vt:lpwstr/>
      </vt:variant>
      <vt:variant>
        <vt:lpwstr>_Toc426711291</vt:lpwstr>
      </vt:variant>
      <vt:variant>
        <vt:i4>1703985</vt:i4>
      </vt:variant>
      <vt:variant>
        <vt:i4>74</vt:i4>
      </vt:variant>
      <vt:variant>
        <vt:i4>0</vt:i4>
      </vt:variant>
      <vt:variant>
        <vt:i4>5</vt:i4>
      </vt:variant>
      <vt:variant>
        <vt:lpwstr/>
      </vt:variant>
      <vt:variant>
        <vt:lpwstr>_Toc426711290</vt:lpwstr>
      </vt:variant>
      <vt:variant>
        <vt:i4>1769521</vt:i4>
      </vt:variant>
      <vt:variant>
        <vt:i4>68</vt:i4>
      </vt:variant>
      <vt:variant>
        <vt:i4>0</vt:i4>
      </vt:variant>
      <vt:variant>
        <vt:i4>5</vt:i4>
      </vt:variant>
      <vt:variant>
        <vt:lpwstr/>
      </vt:variant>
      <vt:variant>
        <vt:lpwstr>_Toc426711288</vt:lpwstr>
      </vt:variant>
      <vt:variant>
        <vt:i4>1769521</vt:i4>
      </vt:variant>
      <vt:variant>
        <vt:i4>62</vt:i4>
      </vt:variant>
      <vt:variant>
        <vt:i4>0</vt:i4>
      </vt:variant>
      <vt:variant>
        <vt:i4>5</vt:i4>
      </vt:variant>
      <vt:variant>
        <vt:lpwstr/>
      </vt:variant>
      <vt:variant>
        <vt:lpwstr>_Toc426711287</vt:lpwstr>
      </vt:variant>
      <vt:variant>
        <vt:i4>1769521</vt:i4>
      </vt:variant>
      <vt:variant>
        <vt:i4>56</vt:i4>
      </vt:variant>
      <vt:variant>
        <vt:i4>0</vt:i4>
      </vt:variant>
      <vt:variant>
        <vt:i4>5</vt:i4>
      </vt:variant>
      <vt:variant>
        <vt:lpwstr/>
      </vt:variant>
      <vt:variant>
        <vt:lpwstr>_Toc426711286</vt:lpwstr>
      </vt:variant>
      <vt:variant>
        <vt:i4>1769521</vt:i4>
      </vt:variant>
      <vt:variant>
        <vt:i4>50</vt:i4>
      </vt:variant>
      <vt:variant>
        <vt:i4>0</vt:i4>
      </vt:variant>
      <vt:variant>
        <vt:i4>5</vt:i4>
      </vt:variant>
      <vt:variant>
        <vt:lpwstr/>
      </vt:variant>
      <vt:variant>
        <vt:lpwstr>_Toc426711285</vt:lpwstr>
      </vt:variant>
      <vt:variant>
        <vt:i4>1769521</vt:i4>
      </vt:variant>
      <vt:variant>
        <vt:i4>44</vt:i4>
      </vt:variant>
      <vt:variant>
        <vt:i4>0</vt:i4>
      </vt:variant>
      <vt:variant>
        <vt:i4>5</vt:i4>
      </vt:variant>
      <vt:variant>
        <vt:lpwstr/>
      </vt:variant>
      <vt:variant>
        <vt:lpwstr>_Toc426711284</vt:lpwstr>
      </vt:variant>
      <vt:variant>
        <vt:i4>1769521</vt:i4>
      </vt:variant>
      <vt:variant>
        <vt:i4>38</vt:i4>
      </vt:variant>
      <vt:variant>
        <vt:i4>0</vt:i4>
      </vt:variant>
      <vt:variant>
        <vt:i4>5</vt:i4>
      </vt:variant>
      <vt:variant>
        <vt:lpwstr/>
      </vt:variant>
      <vt:variant>
        <vt:lpwstr>_Toc426711283</vt:lpwstr>
      </vt:variant>
      <vt:variant>
        <vt:i4>1769521</vt:i4>
      </vt:variant>
      <vt:variant>
        <vt:i4>32</vt:i4>
      </vt:variant>
      <vt:variant>
        <vt:i4>0</vt:i4>
      </vt:variant>
      <vt:variant>
        <vt:i4>5</vt:i4>
      </vt:variant>
      <vt:variant>
        <vt:lpwstr/>
      </vt:variant>
      <vt:variant>
        <vt:lpwstr>_Toc426711282</vt:lpwstr>
      </vt:variant>
      <vt:variant>
        <vt:i4>1769521</vt:i4>
      </vt:variant>
      <vt:variant>
        <vt:i4>26</vt:i4>
      </vt:variant>
      <vt:variant>
        <vt:i4>0</vt:i4>
      </vt:variant>
      <vt:variant>
        <vt:i4>5</vt:i4>
      </vt:variant>
      <vt:variant>
        <vt:lpwstr/>
      </vt:variant>
      <vt:variant>
        <vt:lpwstr>_Toc426711281</vt:lpwstr>
      </vt:variant>
      <vt:variant>
        <vt:i4>1769521</vt:i4>
      </vt:variant>
      <vt:variant>
        <vt:i4>20</vt:i4>
      </vt:variant>
      <vt:variant>
        <vt:i4>0</vt:i4>
      </vt:variant>
      <vt:variant>
        <vt:i4>5</vt:i4>
      </vt:variant>
      <vt:variant>
        <vt:lpwstr/>
      </vt:variant>
      <vt:variant>
        <vt:lpwstr>_Toc426711280</vt:lpwstr>
      </vt:variant>
      <vt:variant>
        <vt:i4>1310769</vt:i4>
      </vt:variant>
      <vt:variant>
        <vt:i4>14</vt:i4>
      </vt:variant>
      <vt:variant>
        <vt:i4>0</vt:i4>
      </vt:variant>
      <vt:variant>
        <vt:i4>5</vt:i4>
      </vt:variant>
      <vt:variant>
        <vt:lpwstr/>
      </vt:variant>
      <vt:variant>
        <vt:lpwstr>_Toc426711279</vt:lpwstr>
      </vt:variant>
      <vt:variant>
        <vt:i4>1310769</vt:i4>
      </vt:variant>
      <vt:variant>
        <vt:i4>8</vt:i4>
      </vt:variant>
      <vt:variant>
        <vt:i4>0</vt:i4>
      </vt:variant>
      <vt:variant>
        <vt:i4>5</vt:i4>
      </vt:variant>
      <vt:variant>
        <vt:lpwstr/>
      </vt:variant>
      <vt:variant>
        <vt:lpwstr>_Toc426711278</vt:lpwstr>
      </vt:variant>
      <vt:variant>
        <vt:i4>1310769</vt:i4>
      </vt:variant>
      <vt:variant>
        <vt:i4>2</vt:i4>
      </vt:variant>
      <vt:variant>
        <vt:i4>0</vt:i4>
      </vt:variant>
      <vt:variant>
        <vt:i4>5</vt:i4>
      </vt:variant>
      <vt:variant>
        <vt:lpwstr/>
      </vt:variant>
      <vt:variant>
        <vt:lpwstr>_Toc426711277</vt:lpwstr>
      </vt:variant>
      <vt:variant>
        <vt:i4>2490427</vt:i4>
      </vt:variant>
      <vt:variant>
        <vt:i4>66</vt:i4>
      </vt:variant>
      <vt:variant>
        <vt:i4>0</vt:i4>
      </vt:variant>
      <vt:variant>
        <vt:i4>5</vt:i4>
      </vt:variant>
      <vt:variant>
        <vt:lpwstr>http://www.lefaso.net/spip.php?article62810</vt:lpwstr>
      </vt:variant>
      <vt:variant>
        <vt:lpwstr/>
      </vt:variant>
      <vt:variant>
        <vt:i4>3604528</vt:i4>
      </vt:variant>
      <vt:variant>
        <vt:i4>63</vt:i4>
      </vt:variant>
      <vt:variant>
        <vt:i4>0</vt:i4>
      </vt:variant>
      <vt:variant>
        <vt:i4>5</vt:i4>
      </vt:variant>
      <vt:variant>
        <vt:lpwstr>http://www.diplomatie.gouv.fr/fr/politique-etrangere-de-la-france/sante-securite-alimentaire-education-et-genre/actualites-et-evenements-sur-les-themes-de-la-sante-de-la-securite-alimentaire/actualites-et-evenements-lies-au/article/promouvoir-l-education-des-filles</vt:lpwstr>
      </vt:variant>
      <vt:variant>
        <vt:lpwstr/>
      </vt:variant>
      <vt:variant>
        <vt:i4>4718677</vt:i4>
      </vt:variant>
      <vt:variant>
        <vt:i4>60</vt:i4>
      </vt:variant>
      <vt:variant>
        <vt:i4>0</vt:i4>
      </vt:variant>
      <vt:variant>
        <vt:i4>5</vt:i4>
      </vt:variant>
      <vt:variant>
        <vt:lpwstr>http://www.genreenaction.net/Burkina-Faso-la-loi-sur-le-quota-des-femmes-sur.html</vt:lpwstr>
      </vt:variant>
      <vt:variant>
        <vt:lpwstr/>
      </vt:variant>
      <vt:variant>
        <vt:i4>1507344</vt:i4>
      </vt:variant>
      <vt:variant>
        <vt:i4>57</vt:i4>
      </vt:variant>
      <vt:variant>
        <vt:i4>0</vt:i4>
      </vt:variant>
      <vt:variant>
        <vt:i4>5</vt:i4>
      </vt:variant>
      <vt:variant>
        <vt:lpwstr>http://www.sig.bf/gouvernement-de-la-transition/</vt:lpwstr>
      </vt:variant>
      <vt:variant>
        <vt:lpwstr/>
      </vt:variant>
      <vt:variant>
        <vt:i4>7274615</vt:i4>
      </vt:variant>
      <vt:variant>
        <vt:i4>54</vt:i4>
      </vt:variant>
      <vt:variant>
        <vt:i4>0</vt:i4>
      </vt:variant>
      <vt:variant>
        <vt:i4>5</vt:i4>
      </vt:variant>
      <vt:variant>
        <vt:lpwstr>http://www.courrierconfidentiel.net/index.php/9-au-palais/75-assassinat-de-balla-keita-a-ouagadougou-cc-du-25092011</vt:lpwstr>
      </vt:variant>
      <vt:variant>
        <vt:lpwstr/>
      </vt:variant>
      <vt:variant>
        <vt:i4>5636123</vt:i4>
      </vt:variant>
      <vt:variant>
        <vt:i4>51</vt:i4>
      </vt:variant>
      <vt:variant>
        <vt:i4>0</vt:i4>
      </vt:variant>
      <vt:variant>
        <vt:i4>5</vt:i4>
      </vt:variant>
      <vt:variant>
        <vt:lpwstr>http://www.fasozine.com/gendarmerie-de-kosyam-un-reseau-de-trafic-de-filles-vers-le-liban-demantele/</vt:lpwstr>
      </vt:variant>
      <vt:variant>
        <vt:lpwstr/>
      </vt:variant>
      <vt:variant>
        <vt:i4>2162728</vt:i4>
      </vt:variant>
      <vt:variant>
        <vt:i4>48</vt:i4>
      </vt:variant>
      <vt:variant>
        <vt:i4>0</vt:i4>
      </vt:variant>
      <vt:variant>
        <vt:i4>5</vt:i4>
      </vt:variant>
      <vt:variant>
        <vt:lpwstr>http://lepays.bf/trafic-de-jeunes-filles-vers-le-liban-une-dame-dans-les-filets-de-la-gendarmerie/</vt:lpwstr>
      </vt:variant>
      <vt:variant>
        <vt:lpwstr/>
      </vt:variant>
      <vt:variant>
        <vt:i4>5439560</vt:i4>
      </vt:variant>
      <vt:variant>
        <vt:i4>45</vt:i4>
      </vt:variant>
      <vt:variant>
        <vt:i4>0</vt:i4>
      </vt:variant>
      <vt:variant>
        <vt:i4>5</vt:i4>
      </vt:variant>
      <vt:variant>
        <vt:lpwstr>http://www.ipu.org/splz-f/csw13/note.pdf</vt:lpwstr>
      </vt:variant>
      <vt:variant>
        <vt:lpwstr/>
      </vt:variant>
      <vt:variant>
        <vt:i4>2162736</vt:i4>
      </vt:variant>
      <vt:variant>
        <vt:i4>42</vt:i4>
      </vt:variant>
      <vt:variant>
        <vt:i4>0</vt:i4>
      </vt:variant>
      <vt:variant>
        <vt:i4>5</vt:i4>
      </vt:variant>
      <vt:variant>
        <vt:lpwstr>http://www.sig.bf/2015/06/communique-groupes-dautodefense-la-mise-en-garde-du-gouvernement/</vt:lpwstr>
      </vt:variant>
      <vt:variant>
        <vt:lpwstr/>
      </vt:variant>
      <vt:variant>
        <vt:i4>393282</vt:i4>
      </vt:variant>
      <vt:variant>
        <vt:i4>39</vt:i4>
      </vt:variant>
      <vt:variant>
        <vt:i4>0</vt:i4>
      </vt:variant>
      <vt:variant>
        <vt:i4>5</vt:i4>
      </vt:variant>
      <vt:variant>
        <vt:lpwstr>http://french.burkinafaso.usembassy.gov/media/bf-fre-hrr.pdf</vt:lpwstr>
      </vt:variant>
      <vt:variant>
        <vt:lpwstr/>
      </vt:variant>
      <vt:variant>
        <vt:i4>2555959</vt:i4>
      </vt:variant>
      <vt:variant>
        <vt:i4>36</vt:i4>
      </vt:variant>
      <vt:variant>
        <vt:i4>0</vt:i4>
      </vt:variant>
      <vt:variant>
        <vt:i4>5</vt:i4>
      </vt:variant>
      <vt:variant>
        <vt:lpwstr>http://www.lefaso.net/spip.php?article42603</vt:lpwstr>
      </vt:variant>
      <vt:variant>
        <vt:lpwstr/>
      </vt:variant>
      <vt:variant>
        <vt:i4>393282</vt:i4>
      </vt:variant>
      <vt:variant>
        <vt:i4>33</vt:i4>
      </vt:variant>
      <vt:variant>
        <vt:i4>0</vt:i4>
      </vt:variant>
      <vt:variant>
        <vt:i4>5</vt:i4>
      </vt:variant>
      <vt:variant>
        <vt:lpwstr>http://french.burkinafaso.usembassy.gov/media/bf-fre-hrr.pdf</vt:lpwstr>
      </vt:variant>
      <vt:variant>
        <vt:lpwstr/>
      </vt:variant>
      <vt:variant>
        <vt:i4>2424944</vt:i4>
      </vt:variant>
      <vt:variant>
        <vt:i4>30</vt:i4>
      </vt:variant>
      <vt:variant>
        <vt:i4>0</vt:i4>
      </vt:variant>
      <vt:variant>
        <vt:i4>5</vt:i4>
      </vt:variant>
      <vt:variant>
        <vt:lpwstr>http://news.aouaga.com/h/73042.html</vt:lpwstr>
      </vt:variant>
      <vt:variant>
        <vt:lpwstr/>
      </vt:variant>
      <vt:variant>
        <vt:i4>4784196</vt:i4>
      </vt:variant>
      <vt:variant>
        <vt:i4>27</vt:i4>
      </vt:variant>
      <vt:variant>
        <vt:i4>0</vt:i4>
      </vt:variant>
      <vt:variant>
        <vt:i4>5</vt:i4>
      </vt:variant>
      <vt:variant>
        <vt:lpwstr>http://business-humanrights.org/fr/burkina-faso-leffondrement-dune-mine-dor-artisanale-fait-2-morts-et-plusieurs-disparus</vt:lpwstr>
      </vt:variant>
      <vt:variant>
        <vt:lpwstr/>
      </vt:variant>
      <vt:variant>
        <vt:i4>655423</vt:i4>
      </vt:variant>
      <vt:variant>
        <vt:i4>24</vt:i4>
      </vt:variant>
      <vt:variant>
        <vt:i4>0</vt:i4>
      </vt:variant>
      <vt:variant>
        <vt:i4>5</vt:i4>
      </vt:variant>
      <vt:variant>
        <vt:lpwstr>http://www.panafricain.com/?page=detail_article&amp;art=99135&amp;lang=fr&amp;pi=16</vt:lpwstr>
      </vt:variant>
      <vt:variant>
        <vt:lpwstr/>
      </vt:variant>
      <vt:variant>
        <vt:i4>5898317</vt:i4>
      </vt:variant>
      <vt:variant>
        <vt:i4>21</vt:i4>
      </vt:variant>
      <vt:variant>
        <vt:i4>0</vt:i4>
      </vt:variant>
      <vt:variant>
        <vt:i4>5</vt:i4>
      </vt:variant>
      <vt:variant>
        <vt:lpwstr>http://fr.allafrica.com/stories/201406101343.html</vt:lpwstr>
      </vt:variant>
      <vt:variant>
        <vt:lpwstr/>
      </vt:variant>
      <vt:variant>
        <vt:i4>1310744</vt:i4>
      </vt:variant>
      <vt:variant>
        <vt:i4>18</vt:i4>
      </vt:variant>
      <vt:variant>
        <vt:i4>0</vt:i4>
      </vt:variant>
      <vt:variant>
        <vt:i4>5</vt:i4>
      </vt:variant>
      <vt:variant>
        <vt:lpwstr>http://www.crisisgroup.org/~/media/Files/africa/west-africa/burkina-faso/205-burkina-faso-avec-ou-sans-compaore-le-temps-des-incertitudes.pdf</vt:lpwstr>
      </vt:variant>
      <vt:variant>
        <vt:lpwstr/>
      </vt:variant>
      <vt:variant>
        <vt:i4>393282</vt:i4>
      </vt:variant>
      <vt:variant>
        <vt:i4>15</vt:i4>
      </vt:variant>
      <vt:variant>
        <vt:i4>0</vt:i4>
      </vt:variant>
      <vt:variant>
        <vt:i4>5</vt:i4>
      </vt:variant>
      <vt:variant>
        <vt:lpwstr>http://french.burkinafaso.usembassy.gov/media/bf-fre-hrr.pdf</vt:lpwstr>
      </vt:variant>
      <vt:variant>
        <vt:lpwstr/>
      </vt:variant>
      <vt:variant>
        <vt:i4>5308420</vt:i4>
      </vt:variant>
      <vt:variant>
        <vt:i4>12</vt:i4>
      </vt:variant>
      <vt:variant>
        <vt:i4>0</vt:i4>
      </vt:variant>
      <vt:variant>
        <vt:i4>5</vt:i4>
      </vt:variant>
      <vt:variant>
        <vt:lpwstr>http://www.notretempsbf.com/m-1528-humanisation-des-prisons-au-burkina-faso-le-departement-de-la-justice-et-ses-partenaires-se-penchent-sur-la-question-a-tenkodogo.html</vt:lpwstr>
      </vt:variant>
      <vt:variant>
        <vt:lpwstr/>
      </vt:variant>
      <vt:variant>
        <vt:i4>2490422</vt:i4>
      </vt:variant>
      <vt:variant>
        <vt:i4>9</vt:i4>
      </vt:variant>
      <vt:variant>
        <vt:i4>0</vt:i4>
      </vt:variant>
      <vt:variant>
        <vt:i4>5</vt:i4>
      </vt:variant>
      <vt:variant>
        <vt:lpwstr>http://www.lefaso.net/spip.php?article65561</vt:lpwstr>
      </vt:variant>
      <vt:variant>
        <vt:lpwstr/>
      </vt:variant>
      <vt:variant>
        <vt:i4>7209054</vt:i4>
      </vt:variant>
      <vt:variant>
        <vt:i4>6</vt:i4>
      </vt:variant>
      <vt:variant>
        <vt:i4>0</vt:i4>
      </vt:variant>
      <vt:variant>
        <vt:i4>5</vt:i4>
      </vt:variant>
      <vt:variant>
        <vt:lpwstr>http://www.cour-cassation.gov.bf/files/LE_CONSEIL_SUPERIEUR_DE_LA_MAGISTRATURE.pdf</vt:lpwstr>
      </vt:variant>
      <vt:variant>
        <vt:lpwstr/>
      </vt:variant>
      <vt:variant>
        <vt:i4>7209001</vt:i4>
      </vt:variant>
      <vt:variant>
        <vt:i4>3</vt:i4>
      </vt:variant>
      <vt:variant>
        <vt:i4>0</vt:i4>
      </vt:variant>
      <vt:variant>
        <vt:i4>5</vt:i4>
      </vt:variant>
      <vt:variant>
        <vt:lpwstr>http://www.reporterbf.net/index.php/onde-de-choc/item/490-yacouba-isaac-zida-et-la-justice</vt:lpwstr>
      </vt:variant>
      <vt:variant>
        <vt:lpwstr/>
      </vt:variant>
      <vt:variant>
        <vt:i4>5374065</vt:i4>
      </vt:variant>
      <vt:variant>
        <vt:i4>0</vt:i4>
      </vt:variant>
      <vt:variant>
        <vt:i4>0</vt:i4>
      </vt:variant>
      <vt:variant>
        <vt:i4>5</vt:i4>
      </vt:variant>
      <vt:variant>
        <vt:lpwstr>http://www.ccprcentre.org/wp-content/uploads/2012/12/1159_2003-Burkina-Faso.pdf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Andrea M.</cp:lastModifiedBy>
  <cp:revision>4</cp:revision>
  <cp:lastPrinted>2015-08-18T09:29:00Z</cp:lastPrinted>
  <dcterms:created xsi:type="dcterms:W3CDTF">2015-08-18T09:28:00Z</dcterms:created>
  <dcterms:modified xsi:type="dcterms:W3CDTF">2015-08-18T09:29:00Z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