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D19B2" w14:textId="755E341D" w:rsidR="00A452D2" w:rsidRPr="009C69E9" w:rsidRDefault="00A452D2" w:rsidP="00A452D2">
      <w:pPr>
        <w:jc w:val="right"/>
        <w:rPr>
          <w:rFonts w:ascii="Arial" w:hAnsi="Arial" w:cs="Arial"/>
          <w:sz w:val="20"/>
          <w:szCs w:val="20"/>
          <w:lang w:val="en-US"/>
        </w:rPr>
      </w:pP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Pr>
          <w:rFonts w:ascii="Arial" w:hAnsi="Arial" w:cs="Arial"/>
          <w:sz w:val="20"/>
          <w:szCs w:val="20"/>
          <w:lang w:val="en-US"/>
        </w:rPr>
        <w:t>16</w:t>
      </w:r>
      <w:r w:rsidRPr="009C69E9">
        <w:rPr>
          <w:rFonts w:ascii="Arial" w:hAnsi="Arial" w:cs="Arial"/>
          <w:sz w:val="20"/>
          <w:szCs w:val="20"/>
          <w:lang w:val="en-US"/>
        </w:rPr>
        <w:t>/</w:t>
      </w:r>
      <w:r>
        <w:rPr>
          <w:rFonts w:ascii="Arial" w:hAnsi="Arial" w:cs="Arial"/>
          <w:sz w:val="20"/>
          <w:szCs w:val="20"/>
          <w:lang w:val="en-US"/>
        </w:rPr>
        <w:t>12</w:t>
      </w:r>
      <w:r w:rsidRPr="009C69E9">
        <w:rPr>
          <w:rFonts w:ascii="Arial" w:hAnsi="Arial" w:cs="Arial"/>
          <w:sz w:val="20"/>
          <w:szCs w:val="20"/>
          <w:lang w:val="en-US"/>
        </w:rPr>
        <w:t>/20</w:t>
      </w:r>
      <w:r>
        <w:rPr>
          <w:rFonts w:ascii="Arial" w:hAnsi="Arial" w:cs="Arial"/>
          <w:sz w:val="20"/>
          <w:szCs w:val="20"/>
          <w:lang w:val="en-US"/>
        </w:rPr>
        <w:t xml:space="preserve">20, </w:t>
      </w:r>
      <w:r w:rsidR="00317483">
        <w:rPr>
          <w:rFonts w:ascii="Arial" w:hAnsi="Arial" w:cs="Arial"/>
          <w:sz w:val="20"/>
          <w:szCs w:val="20"/>
          <w:lang w:val="en-US"/>
        </w:rPr>
        <w:t>Vilnius</w:t>
      </w:r>
    </w:p>
    <w:p w14:paraId="22FC0727" w14:textId="7C94ABDC" w:rsidR="00317483" w:rsidRPr="00317483" w:rsidRDefault="004975E4" w:rsidP="00317483">
      <w:pPr>
        <w:rPr>
          <w:rFonts w:ascii="Arial" w:hAnsi="Arial" w:cs="Arial"/>
          <w:smallCaps/>
          <w:sz w:val="20"/>
          <w:szCs w:val="20"/>
        </w:rPr>
      </w:pPr>
      <w:r>
        <w:rPr>
          <w:rFonts w:ascii="Arial" w:hAnsi="Arial" w:cs="Arial"/>
          <w:smallCaps/>
          <w:sz w:val="20"/>
          <w:szCs w:val="20"/>
        </w:rPr>
        <w:t xml:space="preserve">Lithuanian Prisoners’ Rights Centre </w:t>
      </w:r>
    </w:p>
    <w:p w14:paraId="7A2473F7" w14:textId="4C289CB9" w:rsidR="00A452D2" w:rsidRDefault="004975E4" w:rsidP="00A452D2">
      <w:pPr>
        <w:rPr>
          <w:rFonts w:ascii="Arial" w:hAnsi="Arial" w:cs="Arial"/>
          <w:sz w:val="20"/>
          <w:szCs w:val="20"/>
        </w:rPr>
      </w:pPr>
      <w:proofErr w:type="spellStart"/>
      <w:r>
        <w:rPr>
          <w:rFonts w:ascii="Arial" w:hAnsi="Arial" w:cs="Arial"/>
          <w:sz w:val="20"/>
          <w:szCs w:val="20"/>
        </w:rPr>
        <w:t>Pravieniskes</w:t>
      </w:r>
      <w:proofErr w:type="spellEnd"/>
      <w:r>
        <w:rPr>
          <w:rFonts w:ascii="Arial" w:hAnsi="Arial" w:cs="Arial"/>
          <w:sz w:val="20"/>
          <w:szCs w:val="20"/>
        </w:rPr>
        <w:t xml:space="preserve"> II</w:t>
      </w:r>
      <w:r w:rsidR="00A452D2">
        <w:rPr>
          <w:rFonts w:ascii="Arial" w:hAnsi="Arial" w:cs="Arial"/>
          <w:sz w:val="20"/>
          <w:szCs w:val="20"/>
        </w:rPr>
        <w:t>, Lithuania</w:t>
      </w:r>
    </w:p>
    <w:p w14:paraId="6381CB3B" w14:textId="77777777" w:rsidR="00A452D2" w:rsidRDefault="00A452D2" w:rsidP="00A452D2">
      <w:pPr>
        <w:rPr>
          <w:rFonts w:ascii="Arial" w:hAnsi="Arial" w:cs="Arial"/>
          <w:sz w:val="20"/>
          <w:szCs w:val="20"/>
        </w:rPr>
      </w:pPr>
    </w:p>
    <w:p w14:paraId="20B594F9" w14:textId="77777777" w:rsidR="00A452D2" w:rsidRDefault="00A452D2" w:rsidP="00A452D2">
      <w:pPr>
        <w:rPr>
          <w:rFonts w:ascii="Arial" w:hAnsi="Arial" w:cs="Arial"/>
          <w:sz w:val="20"/>
          <w:szCs w:val="20"/>
        </w:rPr>
      </w:pPr>
    </w:p>
    <w:p w14:paraId="7120D27F" w14:textId="77777777" w:rsidR="00A452D2" w:rsidRPr="00974CE9" w:rsidRDefault="00A452D2" w:rsidP="00A452D2">
      <w:pPr>
        <w:rPr>
          <w:rFonts w:ascii="Arial" w:hAnsi="Arial" w:cs="Arial"/>
          <w:sz w:val="20"/>
          <w:szCs w:val="20"/>
        </w:rPr>
      </w:pPr>
    </w:p>
    <w:p w14:paraId="13383B44" w14:textId="77777777" w:rsidR="00A452D2" w:rsidRDefault="00A452D2" w:rsidP="00A452D2">
      <w:pPr>
        <w:jc w:val="center"/>
        <w:rPr>
          <w:rFonts w:ascii="Arial" w:hAnsi="Arial" w:cs="Arial"/>
          <w:b/>
          <w:sz w:val="20"/>
          <w:szCs w:val="20"/>
        </w:rPr>
      </w:pPr>
      <w:r>
        <w:rPr>
          <w:rFonts w:ascii="Arial" w:hAnsi="Arial" w:cs="Arial"/>
          <w:b/>
          <w:sz w:val="20"/>
          <w:szCs w:val="20"/>
        </w:rPr>
        <w:t>Parallel report on the 3</w:t>
      </w:r>
      <w:r w:rsidRPr="005C7125">
        <w:rPr>
          <w:rFonts w:ascii="Arial" w:hAnsi="Arial" w:cs="Arial"/>
          <w:b/>
          <w:sz w:val="20"/>
          <w:szCs w:val="20"/>
          <w:vertAlign w:val="superscript"/>
        </w:rPr>
        <w:t>rd</w:t>
      </w:r>
      <w:r>
        <w:rPr>
          <w:rFonts w:ascii="Arial" w:hAnsi="Arial" w:cs="Arial"/>
          <w:b/>
          <w:sz w:val="20"/>
          <w:szCs w:val="20"/>
        </w:rPr>
        <w:t xml:space="preserve"> periodic review of Lithuania under the CESCR</w:t>
      </w:r>
    </w:p>
    <w:p w14:paraId="6F464D2F" w14:textId="77777777" w:rsidR="00A452D2" w:rsidRPr="00974CE9" w:rsidRDefault="00A452D2" w:rsidP="00A452D2">
      <w:pPr>
        <w:jc w:val="center"/>
        <w:rPr>
          <w:rFonts w:ascii="Arial" w:hAnsi="Arial" w:cs="Arial"/>
          <w:b/>
          <w:sz w:val="20"/>
          <w:szCs w:val="20"/>
        </w:rPr>
      </w:pPr>
      <w:r>
        <w:rPr>
          <w:rFonts w:ascii="Arial" w:hAnsi="Arial" w:cs="Arial"/>
          <w:b/>
          <w:sz w:val="20"/>
          <w:szCs w:val="20"/>
        </w:rPr>
        <w:t>To the UN Committee on Economic, Social and Cultural Rights</w:t>
      </w:r>
    </w:p>
    <w:p w14:paraId="770BE7BA" w14:textId="77777777" w:rsidR="00A452D2" w:rsidRPr="00974CE9" w:rsidRDefault="00A452D2" w:rsidP="00A452D2">
      <w:pPr>
        <w:rPr>
          <w:rFonts w:ascii="Arial" w:hAnsi="Arial" w:cs="Arial"/>
          <w:sz w:val="20"/>
          <w:szCs w:val="20"/>
        </w:rPr>
      </w:pPr>
    </w:p>
    <w:p w14:paraId="1EC5BAE4" w14:textId="77777777" w:rsidR="00A452D2" w:rsidRPr="00974CE9" w:rsidRDefault="00A452D2" w:rsidP="00A452D2">
      <w:pPr>
        <w:rPr>
          <w:rFonts w:ascii="Arial" w:hAnsi="Arial" w:cs="Arial"/>
          <w:sz w:val="20"/>
          <w:szCs w:val="20"/>
        </w:rPr>
      </w:pPr>
    </w:p>
    <w:p w14:paraId="229F7B18" w14:textId="77777777" w:rsidR="00A452D2" w:rsidRPr="00974CE9" w:rsidRDefault="00A452D2" w:rsidP="00A452D2">
      <w:pPr>
        <w:rPr>
          <w:rFonts w:ascii="Arial" w:hAnsi="Arial" w:cs="Arial"/>
          <w:sz w:val="20"/>
          <w:szCs w:val="20"/>
        </w:rPr>
      </w:pPr>
      <w:r w:rsidRPr="00974CE9">
        <w:rPr>
          <w:rFonts w:ascii="Arial" w:hAnsi="Arial" w:cs="Arial"/>
          <w:sz w:val="20"/>
          <w:szCs w:val="20"/>
        </w:rPr>
        <w:t xml:space="preserve">Dear </w:t>
      </w:r>
      <w:r>
        <w:rPr>
          <w:rFonts w:ascii="Arial" w:hAnsi="Arial" w:cs="Arial"/>
          <w:sz w:val="20"/>
          <w:szCs w:val="20"/>
        </w:rPr>
        <w:t xml:space="preserve">President and </w:t>
      </w:r>
      <w:r w:rsidRPr="00974CE9">
        <w:rPr>
          <w:rFonts w:ascii="Arial" w:hAnsi="Arial" w:cs="Arial"/>
          <w:sz w:val="20"/>
          <w:szCs w:val="20"/>
        </w:rPr>
        <w:t xml:space="preserve">Members of the </w:t>
      </w:r>
      <w:r>
        <w:rPr>
          <w:rFonts w:ascii="Arial" w:hAnsi="Arial" w:cs="Arial"/>
          <w:sz w:val="20"/>
          <w:szCs w:val="20"/>
        </w:rPr>
        <w:t>Committee</w:t>
      </w:r>
      <w:r w:rsidRPr="00974CE9">
        <w:rPr>
          <w:rFonts w:ascii="Arial" w:hAnsi="Arial" w:cs="Arial"/>
          <w:sz w:val="20"/>
          <w:szCs w:val="20"/>
        </w:rPr>
        <w:t>,</w:t>
      </w:r>
    </w:p>
    <w:p w14:paraId="5B421F62" w14:textId="77777777" w:rsidR="00A452D2" w:rsidRDefault="00A452D2" w:rsidP="00A452D2">
      <w:pPr>
        <w:rPr>
          <w:rFonts w:ascii="Arial" w:hAnsi="Arial" w:cs="Arial"/>
          <w:sz w:val="20"/>
          <w:szCs w:val="20"/>
        </w:rPr>
      </w:pPr>
    </w:p>
    <w:p w14:paraId="12BAE060" w14:textId="6FE8CAA7" w:rsidR="00A452D2" w:rsidRDefault="00A452D2" w:rsidP="00A452D2">
      <w:pPr>
        <w:jc w:val="both"/>
        <w:rPr>
          <w:rFonts w:ascii="Arial" w:hAnsi="Arial" w:cs="Arial"/>
          <w:sz w:val="20"/>
          <w:szCs w:val="20"/>
        </w:rPr>
      </w:pPr>
      <w:r>
        <w:rPr>
          <w:rFonts w:ascii="Arial" w:hAnsi="Arial" w:cs="Arial"/>
          <w:sz w:val="20"/>
          <w:szCs w:val="20"/>
        </w:rPr>
        <w:t xml:space="preserve">The </w:t>
      </w:r>
      <w:r w:rsidR="004A1F25">
        <w:rPr>
          <w:rFonts w:ascii="Arial" w:hAnsi="Arial" w:cs="Arial"/>
          <w:sz w:val="20"/>
          <w:szCs w:val="20"/>
        </w:rPr>
        <w:t>Lithuanian Prisoners’ Rights Centre</w:t>
      </w:r>
      <w:r>
        <w:rPr>
          <w:rFonts w:ascii="Arial" w:hAnsi="Arial" w:cs="Arial"/>
          <w:sz w:val="20"/>
          <w:szCs w:val="20"/>
        </w:rPr>
        <w:t xml:space="preserve"> </w:t>
      </w:r>
      <w:r w:rsidR="006D528A">
        <w:rPr>
          <w:rFonts w:ascii="Arial" w:hAnsi="Arial" w:cs="Arial"/>
          <w:sz w:val="20"/>
          <w:szCs w:val="20"/>
        </w:rPr>
        <w:t>has</w:t>
      </w:r>
      <w:r>
        <w:rPr>
          <w:rFonts w:ascii="Arial" w:hAnsi="Arial" w:cs="Arial"/>
          <w:sz w:val="20"/>
          <w:szCs w:val="20"/>
        </w:rPr>
        <w:t xml:space="preserve"> the honour to present </w:t>
      </w:r>
      <w:r w:rsidR="004A1F25">
        <w:rPr>
          <w:rFonts w:ascii="Arial" w:hAnsi="Arial" w:cs="Arial"/>
          <w:sz w:val="20"/>
          <w:szCs w:val="20"/>
        </w:rPr>
        <w:t>its</w:t>
      </w:r>
      <w:r>
        <w:rPr>
          <w:rFonts w:ascii="Arial" w:hAnsi="Arial" w:cs="Arial"/>
          <w:sz w:val="20"/>
          <w:szCs w:val="20"/>
        </w:rPr>
        <w:t xml:space="preserve"> parallel report on breaches of the Covenant on Economic, Social and Cultural Rights by Lithuania. </w:t>
      </w:r>
    </w:p>
    <w:p w14:paraId="263E7A53" w14:textId="77777777" w:rsidR="00A452D2" w:rsidRDefault="00A452D2" w:rsidP="00A452D2">
      <w:pPr>
        <w:jc w:val="both"/>
        <w:rPr>
          <w:rFonts w:ascii="Arial" w:hAnsi="Arial" w:cs="Arial"/>
          <w:sz w:val="20"/>
          <w:szCs w:val="20"/>
        </w:rPr>
      </w:pPr>
    </w:p>
    <w:p w14:paraId="57F207A1" w14:textId="77777777" w:rsidR="00A452D2" w:rsidRDefault="00A452D2" w:rsidP="00A452D2">
      <w:pPr>
        <w:autoSpaceDE w:val="0"/>
        <w:autoSpaceDN w:val="0"/>
        <w:adjustRightInd w:val="0"/>
        <w:jc w:val="both"/>
        <w:rPr>
          <w:rFonts w:ascii="Arial" w:hAnsi="Arial" w:cs="Arial"/>
          <w:sz w:val="20"/>
          <w:szCs w:val="20"/>
        </w:rPr>
      </w:pPr>
    </w:p>
    <w:p w14:paraId="7B1B9549" w14:textId="638A662B" w:rsidR="00A452D2" w:rsidRPr="005F669A" w:rsidRDefault="00A452D2" w:rsidP="005F669A">
      <w:pPr>
        <w:pStyle w:val="ListParagraph"/>
        <w:numPr>
          <w:ilvl w:val="0"/>
          <w:numId w:val="3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5F669A">
        <w:rPr>
          <w:rFonts w:ascii="Arial" w:hAnsi="Arial" w:cs="Arial"/>
          <w:b/>
          <w:bCs/>
          <w:sz w:val="20"/>
          <w:szCs w:val="20"/>
        </w:rPr>
        <w:t>Breach of Articl</w:t>
      </w:r>
      <w:r w:rsidR="00C67819" w:rsidRPr="005F669A">
        <w:rPr>
          <w:rFonts w:ascii="Arial" w:hAnsi="Arial" w:cs="Arial"/>
          <w:b/>
          <w:bCs/>
          <w:sz w:val="20"/>
          <w:szCs w:val="20"/>
        </w:rPr>
        <w:t>e 6</w:t>
      </w:r>
      <w:r w:rsidRPr="005F669A">
        <w:rPr>
          <w:rFonts w:ascii="Arial" w:hAnsi="Arial" w:cs="Arial"/>
          <w:b/>
          <w:bCs/>
          <w:sz w:val="20"/>
          <w:szCs w:val="20"/>
        </w:rPr>
        <w:t xml:space="preserve">: </w:t>
      </w:r>
      <w:r w:rsidR="00C67819" w:rsidRPr="005F669A">
        <w:rPr>
          <w:rFonts w:ascii="Arial" w:hAnsi="Arial" w:cs="Arial"/>
          <w:b/>
          <w:bCs/>
          <w:sz w:val="20"/>
          <w:szCs w:val="20"/>
        </w:rPr>
        <w:t>right to work</w:t>
      </w:r>
      <w:r w:rsidRPr="005F669A">
        <w:rPr>
          <w:rFonts w:ascii="Arial" w:hAnsi="Arial" w:cs="Arial"/>
          <w:b/>
          <w:bCs/>
          <w:sz w:val="20"/>
          <w:szCs w:val="20"/>
        </w:rPr>
        <w:t>.</w:t>
      </w:r>
    </w:p>
    <w:p w14:paraId="6C3AFDA4" w14:textId="77777777" w:rsidR="00A452D2" w:rsidRDefault="00A452D2" w:rsidP="00A452D2">
      <w:pPr>
        <w:rPr>
          <w:rFonts w:ascii="Arial" w:hAnsi="Arial" w:cs="Arial"/>
          <w:sz w:val="20"/>
          <w:szCs w:val="20"/>
        </w:rPr>
      </w:pPr>
    </w:p>
    <w:p w14:paraId="3B1B7ADE" w14:textId="6B4B5F13" w:rsidR="005F669A" w:rsidRPr="005F669A" w:rsidRDefault="005F669A" w:rsidP="005F669A">
      <w:pPr>
        <w:pStyle w:val="ListParagraph"/>
        <w:numPr>
          <w:ilvl w:val="1"/>
          <w:numId w:val="33"/>
        </w:numPr>
        <w:spacing w:after="120"/>
        <w:contextualSpacing w:val="0"/>
        <w:jc w:val="both"/>
        <w:rPr>
          <w:rFonts w:ascii="Times New Roman" w:hAnsi="Times New Roman"/>
          <w:b/>
          <w:bCs/>
          <w:lang w:val="en-US"/>
        </w:rPr>
      </w:pPr>
      <w:r w:rsidRPr="005F669A">
        <w:rPr>
          <w:rFonts w:ascii="Times New Roman" w:hAnsi="Times New Roman"/>
          <w:b/>
          <w:bCs/>
          <w:lang w:val="en-US"/>
        </w:rPr>
        <w:t>Breach of the right to work by confiscation of ID documents of all suspects in criminal cases.</w:t>
      </w:r>
    </w:p>
    <w:p w14:paraId="13C9C1A9" w14:textId="4F6A4665" w:rsidR="001D373D" w:rsidRDefault="001D373D"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breach of the right to work under Article 6 of the CESCR starts during the pre-trial investigation. The general practice is to confiscate an ID card and a passport of a suspect while he remains free, and it is unclear whether he would be convicted in the future.</w:t>
      </w:r>
    </w:p>
    <w:p w14:paraId="6A44A4FA" w14:textId="402ACB1F" w:rsidR="005F669A" w:rsidRPr="008A0CC5" w:rsidRDefault="001D373D" w:rsidP="008A0CC5">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A confiscation of the ID documents means that the person loses the right to be employed, and this is a breach of the right to work.</w:t>
      </w:r>
      <w:r w:rsidR="005F669A">
        <w:rPr>
          <w:rFonts w:ascii="Times New Roman" w:hAnsi="Times New Roman"/>
          <w:lang w:val="en-US"/>
        </w:rPr>
        <w:t xml:space="preserve"> For instance, </w:t>
      </w:r>
      <w:r w:rsidR="008A0CC5">
        <w:rPr>
          <w:rFonts w:ascii="Times New Roman" w:hAnsi="Times New Roman"/>
          <w:lang w:val="en-US"/>
        </w:rPr>
        <w:t>KJ</w:t>
      </w:r>
      <w:r w:rsidR="005F669A">
        <w:rPr>
          <w:rFonts w:ascii="Times New Roman" w:hAnsi="Times New Roman"/>
          <w:lang w:val="en-US"/>
        </w:rPr>
        <w:t xml:space="preserve"> is suspected of acting against political interests of Lithuania, and his ID documents were confiscated by the Order of the Chief Investigator dated 21/10/2022 in the criminal case No. 01-2-00016-22. </w:t>
      </w:r>
      <w:r w:rsidR="008A0CC5">
        <w:rPr>
          <w:rFonts w:ascii="Times New Roman" w:hAnsi="Times New Roman"/>
          <w:lang w:val="en-US"/>
        </w:rPr>
        <w:t>The</w:t>
      </w:r>
      <w:r w:rsidR="005F669A">
        <w:rPr>
          <w:rFonts w:ascii="Times New Roman" w:hAnsi="Times New Roman"/>
          <w:lang w:val="en-US"/>
        </w:rPr>
        <w:t xml:space="preserve"> Certificate No. RK04-2022-2023 of the Lithuanian Employment Office dated 20/10/2022 </w:t>
      </w:r>
      <w:r w:rsidR="008A0CC5">
        <w:rPr>
          <w:rFonts w:ascii="Times New Roman" w:hAnsi="Times New Roman"/>
          <w:lang w:val="en-US"/>
        </w:rPr>
        <w:t>confirms that KJ</w:t>
      </w:r>
      <w:r w:rsidR="005F669A">
        <w:rPr>
          <w:rFonts w:ascii="Times New Roman" w:hAnsi="Times New Roman"/>
          <w:lang w:val="en-US"/>
        </w:rPr>
        <w:t xml:space="preserve"> may not be employed due to absence of ID documents (taken by the Chief Investigator):</w:t>
      </w:r>
    </w:p>
    <w:p w14:paraId="76D4134A" w14:textId="105CE958" w:rsidR="004A1F25" w:rsidRPr="008A0CC5" w:rsidRDefault="00CF26A4" w:rsidP="008A0CC5">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Thus, we kindly request the Committee to conclude that </w:t>
      </w:r>
      <w:r w:rsidRPr="00CF26A4">
        <w:rPr>
          <w:rFonts w:ascii="Times New Roman" w:hAnsi="Times New Roman" w:cs="Times New Roman"/>
          <w:b/>
          <w:bCs/>
        </w:rPr>
        <w:t>Article 6 prohibits Lithuania to confiscate ID documents of suspects seeking employment</w:t>
      </w:r>
      <w:r>
        <w:rPr>
          <w:rFonts w:ascii="Times New Roman" w:hAnsi="Times New Roman" w:cs="Times New Roman"/>
          <w:b/>
          <w:bCs/>
        </w:rPr>
        <w:t xml:space="preserve"> when employment is not possible without ID documents</w:t>
      </w:r>
      <w:r w:rsidRPr="00CF26A4">
        <w:rPr>
          <w:rFonts w:ascii="Times New Roman" w:hAnsi="Times New Roman" w:cs="Times New Roman"/>
          <w:b/>
          <w:bCs/>
        </w:rPr>
        <w:t xml:space="preserve">, as well as to pay pecuniary damages to the persons who had been unable to </w:t>
      </w:r>
      <w:r>
        <w:rPr>
          <w:rFonts w:ascii="Times New Roman" w:hAnsi="Times New Roman" w:cs="Times New Roman"/>
          <w:b/>
          <w:bCs/>
        </w:rPr>
        <w:t>get employment</w:t>
      </w:r>
      <w:r w:rsidRPr="00CF26A4">
        <w:rPr>
          <w:rFonts w:ascii="Times New Roman" w:hAnsi="Times New Roman" w:cs="Times New Roman"/>
          <w:b/>
          <w:bCs/>
        </w:rPr>
        <w:t xml:space="preserve"> due to absence of ID documents</w:t>
      </w:r>
      <w:r>
        <w:rPr>
          <w:rFonts w:ascii="Times New Roman" w:hAnsi="Times New Roman" w:cs="Times New Roman"/>
          <w:b/>
          <w:bCs/>
        </w:rPr>
        <w:t xml:space="preserve"> </w:t>
      </w:r>
      <w:r w:rsidR="00D94588">
        <w:rPr>
          <w:rFonts w:ascii="Times New Roman" w:hAnsi="Times New Roman" w:cs="Times New Roman"/>
          <w:b/>
          <w:bCs/>
        </w:rPr>
        <w:t>seized</w:t>
      </w:r>
      <w:r>
        <w:rPr>
          <w:rFonts w:ascii="Times New Roman" w:hAnsi="Times New Roman" w:cs="Times New Roman"/>
          <w:b/>
          <w:bCs/>
        </w:rPr>
        <w:t xml:space="preserve"> by the police.</w:t>
      </w:r>
    </w:p>
    <w:p w14:paraId="3488CFE0" w14:textId="77777777" w:rsidR="00CF26A4" w:rsidRDefault="00CF26A4" w:rsidP="005F669A">
      <w:pPr>
        <w:pStyle w:val="ListParagraph"/>
        <w:spacing w:after="120"/>
        <w:ind w:left="0"/>
        <w:contextualSpacing w:val="0"/>
        <w:jc w:val="both"/>
        <w:rPr>
          <w:rFonts w:ascii="Times New Roman" w:hAnsi="Times New Roman"/>
          <w:lang w:val="en-US"/>
        </w:rPr>
      </w:pPr>
    </w:p>
    <w:p w14:paraId="1A2BE82B" w14:textId="2BA32FBD" w:rsidR="005F669A" w:rsidRPr="005F669A" w:rsidRDefault="00CD33BD" w:rsidP="005F669A">
      <w:pPr>
        <w:pStyle w:val="ListParagraph"/>
        <w:numPr>
          <w:ilvl w:val="1"/>
          <w:numId w:val="33"/>
        </w:numPr>
        <w:spacing w:after="120"/>
        <w:jc w:val="both"/>
        <w:rPr>
          <w:rFonts w:ascii="Times New Roman" w:hAnsi="Times New Roman"/>
          <w:b/>
          <w:bCs/>
          <w:lang w:val="en-US"/>
        </w:rPr>
      </w:pPr>
      <w:r w:rsidRPr="005F669A">
        <w:rPr>
          <w:rFonts w:ascii="Times New Roman" w:hAnsi="Times New Roman"/>
          <w:b/>
          <w:bCs/>
          <w:lang w:val="en-US"/>
        </w:rPr>
        <w:t xml:space="preserve">Breach of the right to work by confiscation of </w:t>
      </w:r>
      <w:r>
        <w:rPr>
          <w:rFonts w:ascii="Times New Roman" w:hAnsi="Times New Roman"/>
          <w:b/>
          <w:bCs/>
          <w:lang w:val="en-US"/>
        </w:rPr>
        <w:t>signatures gathered by prisoners from other prisoners during elections to the European Parliament in 2019.</w:t>
      </w:r>
    </w:p>
    <w:p w14:paraId="7ABDD7AD" w14:textId="502AEF51" w:rsidR="00AD5604" w:rsidRDefault="005F669A"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There is no prohibition to work in prison, and Article 6 of the Covenant provides this right.</w:t>
      </w:r>
    </w:p>
    <w:p w14:paraId="350CE48A" w14:textId="11FD9885" w:rsidR="005F669A" w:rsidRDefault="005F669A"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However, there is a very long list of professions that are prohibited by law to prisoners. The Committee should pay particular attention to the </w:t>
      </w:r>
      <w:r w:rsidR="00D26F27">
        <w:rPr>
          <w:rFonts w:ascii="Times New Roman" w:hAnsi="Times New Roman"/>
          <w:lang w:val="en-US"/>
        </w:rPr>
        <w:t>following professions:</w:t>
      </w:r>
    </w:p>
    <w:p w14:paraId="48D0CFFA" w14:textId="0AB810A7" w:rsidR="00D26F27" w:rsidRDefault="00D26F27" w:rsidP="00D26F27">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The prisoners shall be granted the right to work as lawyers. If a prisoner may work as a cleaner or in the kitchen, why cannot he work as a lawyer? The State par</w:t>
      </w:r>
      <w:r w:rsidR="0018479A">
        <w:rPr>
          <w:rFonts w:ascii="Times New Roman" w:hAnsi="Times New Roman"/>
          <w:lang w:val="en-US"/>
        </w:rPr>
        <w:t>t</w:t>
      </w:r>
      <w:r>
        <w:rPr>
          <w:rFonts w:ascii="Times New Roman" w:hAnsi="Times New Roman"/>
          <w:lang w:val="en-US"/>
        </w:rPr>
        <w:t xml:space="preserve">y must amend the Lithuanian Bar Law in order to authorize prisoners to be members of the Bar and to practice law. Particularly so, given the fact that most of the lawyers are imprisons for defense of human rights, and for other political reasons. </w:t>
      </w:r>
    </w:p>
    <w:p w14:paraId="3A27A01B" w14:textId="48EB4E9B" w:rsidR="004C2798" w:rsidRPr="00504F07" w:rsidRDefault="00D26F27" w:rsidP="00504F07">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 xml:space="preserve">The prisoners are prohibited to be employed as signature gatherers in political parties. For instance, on 20/03/2019, during the elections to the European Parliament, Deputy Director of the </w:t>
      </w:r>
      <w:proofErr w:type="spellStart"/>
      <w:r>
        <w:rPr>
          <w:rFonts w:ascii="Times New Roman" w:hAnsi="Times New Roman"/>
          <w:lang w:val="en-US"/>
        </w:rPr>
        <w:t>Praveniskiai</w:t>
      </w:r>
      <w:proofErr w:type="spellEnd"/>
      <w:r>
        <w:rPr>
          <w:rFonts w:ascii="Times New Roman" w:hAnsi="Times New Roman"/>
          <w:lang w:val="en-US"/>
        </w:rPr>
        <w:t xml:space="preserve"> Prison confiscated over 7,000 signatures of prisoners by arguing that prisoners do not have the right to gather signatures of other prisoners.</w:t>
      </w:r>
      <w:r w:rsidR="00413EEA">
        <w:rPr>
          <w:rFonts w:ascii="Times New Roman" w:hAnsi="Times New Roman"/>
          <w:lang w:val="en-US"/>
        </w:rPr>
        <w:t xml:space="preserve"> As a result, </w:t>
      </w:r>
      <w:r w:rsidR="0036085F">
        <w:rPr>
          <w:rFonts w:ascii="Times New Roman" w:hAnsi="Times New Roman"/>
          <w:lang w:val="en-US"/>
        </w:rPr>
        <w:t xml:space="preserve">due to the absence of signatures, </w:t>
      </w:r>
      <w:r w:rsidR="00413EEA">
        <w:rPr>
          <w:rFonts w:ascii="Times New Roman" w:hAnsi="Times New Roman"/>
          <w:lang w:val="en-US"/>
        </w:rPr>
        <w:t xml:space="preserve">the </w:t>
      </w:r>
      <w:proofErr w:type="spellStart"/>
      <w:proofErr w:type="gramStart"/>
      <w:r w:rsidR="0036085F">
        <w:rPr>
          <w:rFonts w:ascii="Times New Roman" w:hAnsi="Times New Roman"/>
          <w:lang w:val="en-US"/>
        </w:rPr>
        <w:t>Prof.S.Tomas</w:t>
      </w:r>
      <w:proofErr w:type="spellEnd"/>
      <w:proofErr w:type="gramEnd"/>
      <w:r w:rsidR="0036085F">
        <w:rPr>
          <w:rFonts w:ascii="Times New Roman" w:hAnsi="Times New Roman"/>
          <w:lang w:val="en-US"/>
        </w:rPr>
        <w:t xml:space="preserve"> List was excluded from running for election in April 2019.</w:t>
      </w:r>
      <w:r>
        <w:rPr>
          <w:rFonts w:ascii="Times New Roman" w:hAnsi="Times New Roman"/>
          <w:lang w:val="en-US"/>
        </w:rPr>
        <w:t xml:space="preserve"> Gathering signatures during elections is employment and it is protected by Article 6</w:t>
      </w:r>
      <w:r w:rsidR="0036085F">
        <w:rPr>
          <w:rFonts w:ascii="Times New Roman" w:hAnsi="Times New Roman"/>
          <w:lang w:val="en-US"/>
        </w:rPr>
        <w:t xml:space="preserve"> of the Covenant</w:t>
      </w:r>
      <w:r>
        <w:rPr>
          <w:rFonts w:ascii="Times New Roman" w:hAnsi="Times New Roman"/>
          <w:lang w:val="en-US"/>
        </w:rPr>
        <w:t xml:space="preserve">. Thus, we request the Committee to find that prisoners have the right to work by gathering signatures of other prisoners contrary to the explanation </w:t>
      </w:r>
      <w:r w:rsidR="008A0CC5">
        <w:rPr>
          <w:rFonts w:ascii="Times New Roman" w:hAnsi="Times New Roman"/>
          <w:lang w:val="en-US"/>
        </w:rPr>
        <w:lastRenderedPageBreak/>
        <w:t xml:space="preserve">of the </w:t>
      </w:r>
      <w:proofErr w:type="spellStart"/>
      <w:r w:rsidR="008A0CC5">
        <w:rPr>
          <w:rFonts w:ascii="Times New Roman" w:hAnsi="Times New Roman"/>
          <w:lang w:val="en-US"/>
        </w:rPr>
        <w:t>Pravieniskiai</w:t>
      </w:r>
      <w:proofErr w:type="spellEnd"/>
      <w:r w:rsidR="008A0CC5">
        <w:rPr>
          <w:rFonts w:ascii="Times New Roman" w:hAnsi="Times New Roman"/>
          <w:lang w:val="en-US"/>
        </w:rPr>
        <w:t xml:space="preserve"> Prison</w:t>
      </w:r>
      <w:r>
        <w:rPr>
          <w:rFonts w:ascii="Times New Roman" w:hAnsi="Times New Roman"/>
          <w:lang w:val="en-US"/>
        </w:rPr>
        <w:t xml:space="preserve"> dated 20/03/2019 and supported by the Lithuanian Prison Department. </w:t>
      </w:r>
    </w:p>
    <w:p w14:paraId="61C2722C" w14:textId="4DD98F4D" w:rsidR="0018479A" w:rsidRDefault="0018479A" w:rsidP="0018479A">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Thus, we request the Committee to </w:t>
      </w:r>
      <w:r w:rsidR="00BE6CAC">
        <w:rPr>
          <w:rFonts w:ascii="Times New Roman" w:hAnsi="Times New Roman"/>
          <w:lang w:val="en-US"/>
        </w:rPr>
        <w:t>conclude</w:t>
      </w:r>
      <w:r>
        <w:rPr>
          <w:rFonts w:ascii="Times New Roman" w:hAnsi="Times New Roman"/>
          <w:lang w:val="en-US"/>
        </w:rPr>
        <w:t xml:space="preserve"> that </w:t>
      </w:r>
      <w:r w:rsidRPr="00BE6CAC">
        <w:rPr>
          <w:rFonts w:ascii="Times New Roman" w:hAnsi="Times New Roman"/>
          <w:b/>
          <w:bCs/>
          <w:lang w:val="en-US"/>
        </w:rPr>
        <w:t>Lithuania is in breach of Article 6 of the Covenant</w:t>
      </w:r>
      <w:r w:rsidR="00BE6CAC" w:rsidRPr="00BE6CAC">
        <w:rPr>
          <w:rFonts w:ascii="Times New Roman" w:hAnsi="Times New Roman"/>
          <w:b/>
          <w:bCs/>
          <w:lang w:val="en-US"/>
        </w:rPr>
        <w:t xml:space="preserve"> due to the prohibition for political prisoners to work as lawyers and due to the fact of confiscating electoral signatures gathered by prisoners in the </w:t>
      </w:r>
      <w:proofErr w:type="spellStart"/>
      <w:r w:rsidR="00BE6CAC" w:rsidRPr="00BE6CAC">
        <w:rPr>
          <w:rFonts w:ascii="Times New Roman" w:hAnsi="Times New Roman"/>
          <w:b/>
          <w:bCs/>
          <w:lang w:val="en-US"/>
        </w:rPr>
        <w:t>Pravieniskiai</w:t>
      </w:r>
      <w:proofErr w:type="spellEnd"/>
      <w:r w:rsidR="00BE6CAC" w:rsidRPr="00BE6CAC">
        <w:rPr>
          <w:rFonts w:ascii="Times New Roman" w:hAnsi="Times New Roman"/>
          <w:b/>
          <w:bCs/>
          <w:lang w:val="en-US"/>
        </w:rPr>
        <w:t xml:space="preserve"> Prison on 20/03/2019 during the elections to the European Parliament</w:t>
      </w:r>
      <w:r w:rsidRPr="00BE6CAC">
        <w:rPr>
          <w:rFonts w:ascii="Times New Roman" w:hAnsi="Times New Roman"/>
          <w:b/>
          <w:bCs/>
          <w:lang w:val="en-US"/>
        </w:rPr>
        <w:t>, and that the State party must authorize prisoners (particularly political prisoners) to work as lawyers</w:t>
      </w:r>
      <w:r w:rsidR="00BE6CAC" w:rsidRPr="00BE6CAC">
        <w:rPr>
          <w:rFonts w:ascii="Times New Roman" w:hAnsi="Times New Roman"/>
          <w:b/>
          <w:bCs/>
          <w:lang w:val="en-US"/>
        </w:rPr>
        <w:t>,</w:t>
      </w:r>
      <w:r w:rsidRPr="00BE6CAC">
        <w:rPr>
          <w:rFonts w:ascii="Times New Roman" w:hAnsi="Times New Roman"/>
          <w:b/>
          <w:bCs/>
          <w:lang w:val="en-US"/>
        </w:rPr>
        <w:t xml:space="preserve"> and </w:t>
      </w:r>
      <w:r w:rsidR="00BE6CAC" w:rsidRPr="00BE6CAC">
        <w:rPr>
          <w:rFonts w:ascii="Times New Roman" w:hAnsi="Times New Roman"/>
          <w:b/>
          <w:bCs/>
          <w:lang w:val="en-US"/>
        </w:rPr>
        <w:t xml:space="preserve">as </w:t>
      </w:r>
      <w:r w:rsidRPr="00BE6CAC">
        <w:rPr>
          <w:rFonts w:ascii="Times New Roman" w:hAnsi="Times New Roman"/>
          <w:b/>
          <w:bCs/>
          <w:lang w:val="en-US"/>
        </w:rPr>
        <w:t xml:space="preserve">gatherers of signatures </w:t>
      </w:r>
      <w:r w:rsidR="00BE6CAC" w:rsidRPr="00BE6CAC">
        <w:rPr>
          <w:rFonts w:ascii="Times New Roman" w:hAnsi="Times New Roman"/>
          <w:b/>
          <w:bCs/>
          <w:lang w:val="en-US"/>
        </w:rPr>
        <w:t>during elections</w:t>
      </w:r>
      <w:r w:rsidR="00BE6CAC">
        <w:rPr>
          <w:rFonts w:ascii="Times New Roman" w:hAnsi="Times New Roman"/>
          <w:lang w:val="en-US"/>
        </w:rPr>
        <w:t>.</w:t>
      </w:r>
    </w:p>
    <w:p w14:paraId="3F11C8AD" w14:textId="6030E239" w:rsidR="004C2798" w:rsidRDefault="004C2798" w:rsidP="004C2798">
      <w:pPr>
        <w:pStyle w:val="ListParagraph"/>
        <w:spacing w:after="120"/>
        <w:ind w:left="0"/>
        <w:contextualSpacing w:val="0"/>
        <w:jc w:val="both"/>
        <w:rPr>
          <w:rFonts w:ascii="Times New Roman" w:hAnsi="Times New Roman"/>
          <w:lang w:val="en-US"/>
        </w:rPr>
      </w:pPr>
    </w:p>
    <w:p w14:paraId="4E638404" w14:textId="77777777" w:rsidR="00CF26A4" w:rsidRDefault="00CF26A4" w:rsidP="004C2798">
      <w:pPr>
        <w:pStyle w:val="ListParagraph"/>
        <w:spacing w:after="120"/>
        <w:ind w:left="0"/>
        <w:contextualSpacing w:val="0"/>
        <w:jc w:val="both"/>
        <w:rPr>
          <w:rFonts w:ascii="Times New Roman" w:hAnsi="Times New Roman"/>
          <w:lang w:val="en-US"/>
        </w:rPr>
      </w:pPr>
    </w:p>
    <w:p w14:paraId="0556778B" w14:textId="0F4AAE92" w:rsidR="004C2798" w:rsidRPr="00CD33BD" w:rsidRDefault="004C2798" w:rsidP="00CD33BD">
      <w:pPr>
        <w:pStyle w:val="ListParagraph"/>
        <w:numPr>
          <w:ilvl w:val="0"/>
          <w:numId w:val="3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CD33BD">
        <w:rPr>
          <w:rFonts w:ascii="Arial" w:hAnsi="Arial" w:cs="Arial"/>
          <w:b/>
          <w:bCs/>
          <w:sz w:val="20"/>
          <w:szCs w:val="20"/>
        </w:rPr>
        <w:t>Breach of Article</w:t>
      </w:r>
      <w:r w:rsidR="00504F07" w:rsidRPr="00CD33BD">
        <w:rPr>
          <w:rFonts w:ascii="Arial" w:hAnsi="Arial" w:cs="Arial"/>
          <w:b/>
          <w:bCs/>
          <w:sz w:val="20"/>
          <w:szCs w:val="20"/>
        </w:rPr>
        <w:t>s</w:t>
      </w:r>
      <w:r w:rsidRPr="00CD33BD">
        <w:rPr>
          <w:rFonts w:ascii="Arial" w:hAnsi="Arial" w:cs="Arial"/>
          <w:b/>
          <w:bCs/>
          <w:sz w:val="20"/>
          <w:szCs w:val="20"/>
        </w:rPr>
        <w:t xml:space="preserve"> 6</w:t>
      </w:r>
      <w:r w:rsidR="00504F07" w:rsidRPr="00CD33BD">
        <w:rPr>
          <w:rFonts w:ascii="Arial" w:hAnsi="Arial" w:cs="Arial"/>
          <w:b/>
          <w:bCs/>
          <w:sz w:val="20"/>
          <w:szCs w:val="20"/>
        </w:rPr>
        <w:t>, 13(c), 15(1)(a), and 15(1)(b) by prohibiting access to</w:t>
      </w:r>
      <w:r w:rsidRPr="00CD33BD">
        <w:rPr>
          <w:rFonts w:ascii="Arial" w:hAnsi="Arial" w:cs="Arial"/>
          <w:b/>
          <w:bCs/>
          <w:sz w:val="20"/>
          <w:szCs w:val="20"/>
        </w:rPr>
        <w:t xml:space="preserve"> </w:t>
      </w:r>
      <w:r w:rsidR="00D05B5B" w:rsidRPr="00CD33BD">
        <w:rPr>
          <w:rFonts w:ascii="Arial" w:hAnsi="Arial" w:cs="Arial"/>
          <w:b/>
          <w:bCs/>
          <w:sz w:val="20"/>
          <w:szCs w:val="20"/>
        </w:rPr>
        <w:t xml:space="preserve">internet </w:t>
      </w:r>
      <w:r w:rsidR="00504F07" w:rsidRPr="00CD33BD">
        <w:rPr>
          <w:rFonts w:ascii="Arial" w:hAnsi="Arial" w:cs="Arial"/>
          <w:b/>
          <w:bCs/>
          <w:sz w:val="20"/>
          <w:szCs w:val="20"/>
        </w:rPr>
        <w:t xml:space="preserve">in prisons. </w:t>
      </w:r>
    </w:p>
    <w:p w14:paraId="0EE1BE84" w14:textId="77777777" w:rsidR="004C2798" w:rsidRDefault="004C2798" w:rsidP="004C2798">
      <w:pPr>
        <w:pStyle w:val="ListParagraph"/>
        <w:spacing w:after="120"/>
        <w:ind w:left="0"/>
        <w:contextualSpacing w:val="0"/>
        <w:jc w:val="both"/>
        <w:rPr>
          <w:rFonts w:ascii="Times New Roman" w:hAnsi="Times New Roman"/>
          <w:lang w:val="en-US"/>
        </w:rPr>
      </w:pPr>
    </w:p>
    <w:p w14:paraId="4E7EF470" w14:textId="5617F53E" w:rsidR="00AD5604" w:rsidRDefault="00504F07"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If a prisoner has the right to work in prison, why is he prohibited to work in internet? </w:t>
      </w:r>
    </w:p>
    <w:p w14:paraId="702837A4" w14:textId="188CB10B" w:rsidR="00504F07" w:rsidRDefault="00504F07"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If Article 6 provides the right to work, it also provides the right to work in Internet. However, prisoners are prohibited to have access to Internet.</w:t>
      </w:r>
    </w:p>
    <w:p w14:paraId="48559F32" w14:textId="77777777" w:rsidR="00A738DD" w:rsidRDefault="00A738DD"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If Article </w:t>
      </w:r>
      <w:r w:rsidR="00BF452E">
        <w:rPr>
          <w:rFonts w:ascii="Times New Roman" w:hAnsi="Times New Roman"/>
          <w:lang w:val="en-US"/>
        </w:rPr>
        <w:t xml:space="preserve">13(c) </w:t>
      </w:r>
      <w:r>
        <w:rPr>
          <w:rFonts w:ascii="Times New Roman" w:hAnsi="Times New Roman"/>
          <w:lang w:val="en-US"/>
        </w:rPr>
        <w:t xml:space="preserve">provides the right to </w:t>
      </w:r>
      <w:r w:rsidR="00BF452E">
        <w:rPr>
          <w:rFonts w:ascii="Times New Roman" w:hAnsi="Times New Roman"/>
          <w:lang w:val="en-US"/>
        </w:rPr>
        <w:t>higher education</w:t>
      </w:r>
      <w:r>
        <w:rPr>
          <w:rFonts w:ascii="Times New Roman" w:hAnsi="Times New Roman"/>
          <w:lang w:val="en-US"/>
        </w:rPr>
        <w:t>, it also provides the right to education</w:t>
      </w:r>
      <w:r w:rsidR="00BF452E">
        <w:rPr>
          <w:rFonts w:ascii="Times New Roman" w:hAnsi="Times New Roman"/>
          <w:lang w:val="en-US"/>
        </w:rPr>
        <w:t xml:space="preserve"> online.</w:t>
      </w:r>
      <w:r>
        <w:rPr>
          <w:rFonts w:ascii="Times New Roman" w:hAnsi="Times New Roman"/>
          <w:lang w:val="en-US"/>
        </w:rPr>
        <w:t xml:space="preserve"> Therefore, the prisoners have to be granted the access to Internet. </w:t>
      </w:r>
      <w:r w:rsidR="00BF452E">
        <w:rPr>
          <w:rFonts w:ascii="Times New Roman" w:hAnsi="Times New Roman"/>
          <w:lang w:val="en-US"/>
        </w:rPr>
        <w:t xml:space="preserve"> </w:t>
      </w:r>
    </w:p>
    <w:p w14:paraId="6B859AB2" w14:textId="3A763217" w:rsidR="00A738DD" w:rsidRDefault="00A738DD"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If Article </w:t>
      </w:r>
      <w:r w:rsidR="00576E6C">
        <w:rPr>
          <w:rFonts w:ascii="Times New Roman" w:hAnsi="Times New Roman"/>
          <w:lang w:val="en-US"/>
        </w:rPr>
        <w:t xml:space="preserve">15(1)(a) </w:t>
      </w:r>
      <w:r>
        <w:rPr>
          <w:rFonts w:ascii="Times New Roman" w:hAnsi="Times New Roman"/>
          <w:lang w:val="en-US"/>
        </w:rPr>
        <w:t xml:space="preserve">provides the right to </w:t>
      </w:r>
      <w:r w:rsidR="00576E6C">
        <w:rPr>
          <w:rFonts w:ascii="Times New Roman" w:hAnsi="Times New Roman"/>
          <w:lang w:val="en-US"/>
        </w:rPr>
        <w:t>take part in cultural life</w:t>
      </w:r>
      <w:r>
        <w:rPr>
          <w:rFonts w:ascii="Times New Roman" w:hAnsi="Times New Roman"/>
          <w:lang w:val="en-US"/>
        </w:rPr>
        <w:t xml:space="preserve">, it also provides the right to take part in cultural life online. Prisoners would like to visit cultural events, museums, art galleries online, to read about </w:t>
      </w:r>
      <w:r w:rsidR="00341D6A">
        <w:rPr>
          <w:rFonts w:ascii="Times New Roman" w:hAnsi="Times New Roman"/>
          <w:lang w:val="en-US"/>
        </w:rPr>
        <w:t xml:space="preserve">art online, to participate in online ceremonies at the Hindu temples. Actually, all Lithuanian Hindu temples have live online broadcasting of their services. Article 15(1)(a) provides the right to practice religion online. </w:t>
      </w:r>
    </w:p>
    <w:p w14:paraId="2FF1E34A" w14:textId="77E54AF7" w:rsidR="00BF452E" w:rsidRDefault="00341D6A"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Article </w:t>
      </w:r>
      <w:r w:rsidR="00576E6C">
        <w:rPr>
          <w:rFonts w:ascii="Times New Roman" w:hAnsi="Times New Roman"/>
          <w:lang w:val="en-US"/>
        </w:rPr>
        <w:t xml:space="preserve">15(1)(b) </w:t>
      </w:r>
      <w:r>
        <w:rPr>
          <w:rFonts w:ascii="Times New Roman" w:hAnsi="Times New Roman"/>
          <w:lang w:val="en-US"/>
        </w:rPr>
        <w:t xml:space="preserve">provides the right to </w:t>
      </w:r>
      <w:r w:rsidR="00576E6C">
        <w:rPr>
          <w:rFonts w:ascii="Times New Roman" w:hAnsi="Times New Roman"/>
          <w:lang w:val="en-US"/>
        </w:rPr>
        <w:t xml:space="preserve">enjoy the benefits of scientific progress. </w:t>
      </w:r>
      <w:r>
        <w:rPr>
          <w:rFonts w:ascii="Times New Roman" w:hAnsi="Times New Roman"/>
          <w:lang w:val="en-US"/>
        </w:rPr>
        <w:t xml:space="preserve">Internet is a benefit of scientific progress. </w:t>
      </w:r>
    </w:p>
    <w:p w14:paraId="3279E915" w14:textId="0C9C133B" w:rsidR="00341D6A" w:rsidRDefault="00341D6A"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Thus, Articles 6, 13(c), 15(1)(a) and 15(1)(b) provide prisoners the right to access Internet. </w:t>
      </w:r>
    </w:p>
    <w:p w14:paraId="5A9A88C3" w14:textId="2A812B7B" w:rsidR="005F4186" w:rsidRDefault="005F4186"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Thus, we request the Committee to conclude that </w:t>
      </w:r>
      <w:r w:rsidRPr="005F4186">
        <w:rPr>
          <w:rFonts w:ascii="Times New Roman" w:hAnsi="Times New Roman" w:cs="Times New Roman"/>
          <w:b/>
          <w:bCs/>
        </w:rPr>
        <w:t>Articles 6, 13(c), 15(1)(a) and 15(1)(b) provide the right of prisoners to access Internet for the purpose of work, education, participation in cultural and religious life, as well as in order to benefit from scientific progress</w:t>
      </w:r>
      <w:r>
        <w:rPr>
          <w:rFonts w:ascii="Times New Roman" w:hAnsi="Times New Roman" w:cs="Times New Roman"/>
          <w:b/>
          <w:bCs/>
        </w:rPr>
        <w:t xml:space="preserve">, and Lithuania must provide prisoners access to internet. </w:t>
      </w:r>
    </w:p>
    <w:p w14:paraId="3B2A927F" w14:textId="49E9EFC8" w:rsidR="004C2798" w:rsidRDefault="004C2798" w:rsidP="004C2798">
      <w:pPr>
        <w:pStyle w:val="ListParagraph"/>
        <w:spacing w:after="120"/>
        <w:ind w:left="0"/>
        <w:contextualSpacing w:val="0"/>
        <w:jc w:val="both"/>
        <w:rPr>
          <w:rFonts w:ascii="Times New Roman" w:hAnsi="Times New Roman"/>
          <w:lang w:val="en-US"/>
        </w:rPr>
      </w:pPr>
    </w:p>
    <w:p w14:paraId="658958D5" w14:textId="32753DEC" w:rsidR="00341D6A" w:rsidRPr="00CD33BD" w:rsidRDefault="00341D6A" w:rsidP="00CD33BD">
      <w:pPr>
        <w:pStyle w:val="ListParagraph"/>
        <w:numPr>
          <w:ilvl w:val="0"/>
          <w:numId w:val="3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CD33BD">
        <w:rPr>
          <w:rFonts w:ascii="Arial" w:hAnsi="Arial" w:cs="Arial"/>
          <w:b/>
          <w:bCs/>
          <w:sz w:val="20"/>
          <w:szCs w:val="20"/>
        </w:rPr>
        <w:t>Breach of Articles 10(1): right to family life.</w:t>
      </w:r>
    </w:p>
    <w:p w14:paraId="6121BF64" w14:textId="77777777" w:rsidR="00341D6A" w:rsidRDefault="00341D6A" w:rsidP="00341D6A">
      <w:pPr>
        <w:pStyle w:val="ListParagraph"/>
        <w:spacing w:after="120"/>
        <w:ind w:left="0"/>
        <w:contextualSpacing w:val="0"/>
        <w:jc w:val="both"/>
        <w:rPr>
          <w:rFonts w:ascii="Times New Roman" w:hAnsi="Times New Roman"/>
          <w:lang w:val="en-US"/>
        </w:rPr>
      </w:pPr>
    </w:p>
    <w:p w14:paraId="66B83B43" w14:textId="259355F5" w:rsidR="00341D6A" w:rsidRDefault="00341D6A" w:rsidP="00341D6A">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Article 10(1) of the Covenant provides the right of prisoners to live in family. In a case when both man and woman</w:t>
      </w:r>
      <w:r w:rsidR="002D265F">
        <w:rPr>
          <w:rFonts w:ascii="Times New Roman" w:hAnsi="Times New Roman"/>
          <w:lang w:val="en-US"/>
        </w:rPr>
        <w:t xml:space="preserve"> (or partners of the same gender)</w:t>
      </w:r>
      <w:r>
        <w:rPr>
          <w:rFonts w:ascii="Times New Roman" w:hAnsi="Times New Roman"/>
          <w:lang w:val="en-US"/>
        </w:rPr>
        <w:t xml:space="preserve"> forming a family are imprisoned, they must be provided the right to live in the same room or cell. </w:t>
      </w:r>
    </w:p>
    <w:p w14:paraId="36A182DE" w14:textId="114706B9" w:rsidR="002D265F" w:rsidRDefault="002D265F" w:rsidP="00341D6A">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Currently, male and female serve sentences in different prisons, and that separates families. </w:t>
      </w:r>
    </w:p>
    <w:p w14:paraId="205566D5" w14:textId="1D7D7052" w:rsidR="002D265F" w:rsidRDefault="002D265F" w:rsidP="00341D6A">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Even if family is formed homosexuals, they are not authorized to live in the same cell or room.</w:t>
      </w:r>
    </w:p>
    <w:p w14:paraId="704AC9A9" w14:textId="6F753401" w:rsidR="004C50F3" w:rsidRDefault="004C50F3" w:rsidP="00341D6A">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cs="Times New Roman"/>
        </w:rPr>
        <w:t xml:space="preserve">Thus, we request the Committee to conclude that </w:t>
      </w:r>
      <w:r w:rsidRPr="004C50F3">
        <w:rPr>
          <w:rFonts w:ascii="Times New Roman" w:hAnsi="Times New Roman" w:cs="Times New Roman"/>
          <w:b/>
          <w:bCs/>
        </w:rPr>
        <w:t>Article 10(1) authorises prisoners forming families to live in the same cell or room, and that the State party must provide such opportunity</w:t>
      </w:r>
      <w:r>
        <w:rPr>
          <w:rFonts w:ascii="Times New Roman" w:hAnsi="Times New Roman" w:cs="Times New Roman"/>
        </w:rPr>
        <w:t>.</w:t>
      </w:r>
    </w:p>
    <w:p w14:paraId="2EA0AFE9" w14:textId="77777777" w:rsidR="00341D6A" w:rsidRDefault="00341D6A" w:rsidP="004C2798">
      <w:pPr>
        <w:pStyle w:val="ListParagraph"/>
        <w:spacing w:after="120"/>
        <w:ind w:left="0"/>
        <w:contextualSpacing w:val="0"/>
        <w:jc w:val="both"/>
        <w:rPr>
          <w:rFonts w:ascii="Times New Roman" w:hAnsi="Times New Roman"/>
          <w:lang w:val="en-US"/>
        </w:rPr>
      </w:pPr>
    </w:p>
    <w:p w14:paraId="67881030" w14:textId="71F6E8F1" w:rsidR="004C2798" w:rsidRPr="00CD33BD" w:rsidRDefault="004C2798" w:rsidP="00CD33BD">
      <w:pPr>
        <w:pStyle w:val="ListParagraph"/>
        <w:numPr>
          <w:ilvl w:val="0"/>
          <w:numId w:val="3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CD33BD">
        <w:rPr>
          <w:rFonts w:ascii="Arial" w:hAnsi="Arial" w:cs="Arial"/>
          <w:b/>
          <w:bCs/>
          <w:sz w:val="20"/>
          <w:szCs w:val="20"/>
        </w:rPr>
        <w:t>Breach of Article</w:t>
      </w:r>
      <w:r w:rsidR="00341D6A" w:rsidRPr="00CD33BD">
        <w:rPr>
          <w:rFonts w:ascii="Arial" w:hAnsi="Arial" w:cs="Arial"/>
          <w:b/>
          <w:bCs/>
          <w:sz w:val="20"/>
          <w:szCs w:val="20"/>
        </w:rPr>
        <w:t>s</w:t>
      </w:r>
      <w:r w:rsidRPr="00CD33BD">
        <w:rPr>
          <w:rFonts w:ascii="Arial" w:hAnsi="Arial" w:cs="Arial"/>
          <w:b/>
          <w:bCs/>
          <w:sz w:val="20"/>
          <w:szCs w:val="20"/>
        </w:rPr>
        <w:t xml:space="preserve"> </w:t>
      </w:r>
      <w:r w:rsidR="00341D6A" w:rsidRPr="00CD33BD">
        <w:rPr>
          <w:rFonts w:ascii="Arial" w:hAnsi="Arial" w:cs="Arial"/>
          <w:b/>
          <w:bCs/>
          <w:sz w:val="20"/>
          <w:szCs w:val="20"/>
        </w:rPr>
        <w:t>2(2), 7(d)</w:t>
      </w:r>
      <w:r w:rsidR="002D265F" w:rsidRPr="00CD33BD">
        <w:rPr>
          <w:rFonts w:ascii="Arial" w:hAnsi="Arial" w:cs="Arial"/>
          <w:b/>
          <w:bCs/>
          <w:sz w:val="20"/>
          <w:szCs w:val="20"/>
        </w:rPr>
        <w:t>, 11(2)</w:t>
      </w:r>
      <w:r w:rsidR="00B554FA">
        <w:rPr>
          <w:rFonts w:ascii="Arial" w:hAnsi="Arial" w:cs="Arial"/>
          <w:b/>
          <w:bCs/>
          <w:sz w:val="20"/>
          <w:szCs w:val="20"/>
        </w:rPr>
        <w:t>, 15(1)(a)</w:t>
      </w:r>
      <w:r w:rsidRPr="00CD33BD">
        <w:rPr>
          <w:rFonts w:ascii="Arial" w:hAnsi="Arial" w:cs="Arial"/>
          <w:b/>
          <w:bCs/>
          <w:sz w:val="20"/>
          <w:szCs w:val="20"/>
        </w:rPr>
        <w:t xml:space="preserve">: right to </w:t>
      </w:r>
      <w:r w:rsidR="002D265F" w:rsidRPr="00CD33BD">
        <w:rPr>
          <w:rFonts w:ascii="Arial" w:hAnsi="Arial" w:cs="Arial"/>
          <w:b/>
          <w:bCs/>
          <w:sz w:val="20"/>
          <w:szCs w:val="20"/>
        </w:rPr>
        <w:t>practice Judaism</w:t>
      </w:r>
      <w:r w:rsidRPr="00CD33BD">
        <w:rPr>
          <w:rFonts w:ascii="Arial" w:hAnsi="Arial" w:cs="Arial"/>
          <w:b/>
          <w:bCs/>
          <w:sz w:val="20"/>
          <w:szCs w:val="20"/>
        </w:rPr>
        <w:t>.</w:t>
      </w:r>
    </w:p>
    <w:p w14:paraId="13D82ECC" w14:textId="77777777" w:rsidR="004C2798" w:rsidRDefault="004C2798" w:rsidP="004C2798">
      <w:pPr>
        <w:pStyle w:val="ListParagraph"/>
        <w:spacing w:after="120"/>
        <w:ind w:left="0"/>
        <w:contextualSpacing w:val="0"/>
        <w:jc w:val="both"/>
        <w:rPr>
          <w:rFonts w:ascii="Times New Roman" w:hAnsi="Times New Roman"/>
          <w:lang w:val="en-US"/>
        </w:rPr>
      </w:pPr>
    </w:p>
    <w:p w14:paraId="72E4DF2F" w14:textId="579DFD20" w:rsidR="002D265F" w:rsidRDefault="002D265F"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 xml:space="preserve">The contemporary Western weekend and Article 7(d) of the Covenant have their historic and religious roots in the Jewish Shabbat. Shabbat is celebrated from Friday evening to Saturday. </w:t>
      </w:r>
    </w:p>
    <w:p w14:paraId="6D01BB6B" w14:textId="20E6BAED" w:rsidR="009640C5" w:rsidRDefault="002D265F"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In Judaism, Shabbat and other religious holidays are always celebrated by</w:t>
      </w:r>
      <w:r w:rsidR="00493BB4">
        <w:rPr>
          <w:rFonts w:ascii="Times New Roman" w:hAnsi="Times New Roman"/>
          <w:lang w:val="en-US"/>
        </w:rPr>
        <w:t xml:space="preserve"> blessing and</w:t>
      </w:r>
      <w:r>
        <w:rPr>
          <w:rFonts w:ascii="Times New Roman" w:hAnsi="Times New Roman"/>
          <w:lang w:val="en-US"/>
        </w:rPr>
        <w:t xml:space="preserve"> drinking red wine</w:t>
      </w:r>
      <w:r w:rsidR="009640C5">
        <w:rPr>
          <w:rFonts w:ascii="Times New Roman" w:hAnsi="Times New Roman"/>
          <w:lang w:val="en-US"/>
        </w:rPr>
        <w:t xml:space="preserve">, </w:t>
      </w:r>
      <w:r w:rsidR="00493BB4">
        <w:rPr>
          <w:rFonts w:ascii="Times New Roman" w:hAnsi="Times New Roman"/>
          <w:lang w:val="en-US"/>
        </w:rPr>
        <w:t>as well as by</w:t>
      </w:r>
      <w:r>
        <w:rPr>
          <w:rFonts w:ascii="Times New Roman" w:hAnsi="Times New Roman"/>
          <w:lang w:val="en-US"/>
        </w:rPr>
        <w:t xml:space="preserve"> lightening </w:t>
      </w:r>
      <w:r w:rsidR="008847A5">
        <w:rPr>
          <w:rFonts w:ascii="Times New Roman" w:hAnsi="Times New Roman"/>
          <w:lang w:val="en-US"/>
        </w:rPr>
        <w:t xml:space="preserve">candles. </w:t>
      </w:r>
      <w:r w:rsidR="00493BB4" w:rsidRPr="00493BB4">
        <w:rPr>
          <w:rFonts w:ascii="Times New Roman" w:hAnsi="Times New Roman"/>
          <w:lang w:val="en-US"/>
        </w:rPr>
        <w:t>Wine</w:t>
      </w:r>
      <w:r w:rsidR="00493BB4">
        <w:rPr>
          <w:rFonts w:ascii="Times New Roman" w:hAnsi="Times New Roman"/>
          <w:lang w:val="en-US"/>
        </w:rPr>
        <w:t xml:space="preserve"> and candles</w:t>
      </w:r>
      <w:r w:rsidR="00493BB4" w:rsidRPr="00493BB4">
        <w:rPr>
          <w:rFonts w:ascii="Times New Roman" w:hAnsi="Times New Roman"/>
          <w:lang w:val="en-US"/>
        </w:rPr>
        <w:t xml:space="preserve"> </w:t>
      </w:r>
      <w:r w:rsidR="00493BB4">
        <w:rPr>
          <w:rFonts w:ascii="Times New Roman" w:hAnsi="Times New Roman"/>
          <w:lang w:val="en-US"/>
        </w:rPr>
        <w:t>are</w:t>
      </w:r>
      <w:r w:rsidR="00493BB4" w:rsidRPr="00493BB4">
        <w:rPr>
          <w:rFonts w:ascii="Times New Roman" w:hAnsi="Times New Roman"/>
          <w:lang w:val="en-US"/>
        </w:rPr>
        <w:t xml:space="preserve"> an essential part of major Jewish rituals</w:t>
      </w:r>
      <w:r w:rsidR="00493BB4">
        <w:rPr>
          <w:rFonts w:ascii="Times New Roman" w:hAnsi="Times New Roman"/>
          <w:lang w:val="en-US"/>
        </w:rPr>
        <w:t xml:space="preserve">. Shabbat’s Kiddush </w:t>
      </w:r>
      <w:r w:rsidR="009640C5">
        <w:rPr>
          <w:rFonts w:ascii="Times New Roman" w:hAnsi="Times New Roman"/>
          <w:lang w:val="en-US"/>
        </w:rPr>
        <w:t xml:space="preserve">and </w:t>
      </w:r>
      <w:proofErr w:type="spellStart"/>
      <w:r w:rsidR="009640C5">
        <w:rPr>
          <w:rFonts w:ascii="Times New Roman" w:hAnsi="Times New Roman"/>
          <w:lang w:val="en-US"/>
        </w:rPr>
        <w:t>Havdallah</w:t>
      </w:r>
      <w:proofErr w:type="spellEnd"/>
      <w:r w:rsidR="009640C5">
        <w:rPr>
          <w:rFonts w:ascii="Times New Roman" w:hAnsi="Times New Roman"/>
          <w:lang w:val="en-US"/>
        </w:rPr>
        <w:t xml:space="preserve"> </w:t>
      </w:r>
      <w:r w:rsidR="00493BB4">
        <w:rPr>
          <w:rFonts w:ascii="Times New Roman" w:hAnsi="Times New Roman"/>
          <w:lang w:val="en-US"/>
        </w:rPr>
        <w:t>may not be performed without wine. 4 glasses of wine should be drunken in the Passover seder. Essential part of wine is mentioned in the Holy Bible on many occasions (Psalm 104:15, Deuteronomy 27:7).</w:t>
      </w:r>
    </w:p>
    <w:p w14:paraId="39F32635" w14:textId="4489940E" w:rsidR="002D265F" w:rsidRDefault="009640C5" w:rsidP="009640C5">
      <w:pPr>
        <w:pStyle w:val="ListParagraph"/>
        <w:spacing w:after="120"/>
        <w:ind w:left="0"/>
        <w:contextualSpacing w:val="0"/>
        <w:jc w:val="both"/>
        <w:rPr>
          <w:rFonts w:ascii="Times New Roman" w:hAnsi="Times New Roman"/>
          <w:lang w:val="en-US"/>
        </w:rPr>
      </w:pPr>
      <w:r>
        <w:rPr>
          <w:rFonts w:ascii="Times New Roman" w:hAnsi="Times New Roman"/>
          <w:noProof/>
          <w:lang w:val="en-US"/>
        </w:rPr>
        <w:drawing>
          <wp:inline distT="0" distB="0" distL="0" distR="0" wp14:anchorId="0207A246" wp14:editId="73FCCE77">
            <wp:extent cx="5855970" cy="3348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5855970" cy="3348990"/>
                    </a:xfrm>
                    <a:prstGeom prst="rect">
                      <a:avLst/>
                    </a:prstGeom>
                  </pic:spPr>
                </pic:pic>
              </a:graphicData>
            </a:graphic>
          </wp:inline>
        </w:drawing>
      </w:r>
    </w:p>
    <w:p w14:paraId="68FC598B" w14:textId="77777777" w:rsidR="009640C5" w:rsidRDefault="008847A5"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It is prohibited to drink alcohol for everyone, including Jews</w:t>
      </w:r>
      <w:r w:rsidR="009640C5">
        <w:rPr>
          <w:rFonts w:ascii="Times New Roman" w:hAnsi="Times New Roman"/>
          <w:lang w:val="en-US"/>
        </w:rPr>
        <w:t xml:space="preserve"> celebrating Shabbat and other holidays. </w:t>
      </w:r>
    </w:p>
    <w:p w14:paraId="3B6691ED" w14:textId="5E149BD2" w:rsidR="008847A5" w:rsidRDefault="009640C5"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It is also prohibited</w:t>
      </w:r>
      <w:r w:rsidR="008847A5">
        <w:rPr>
          <w:rFonts w:ascii="Times New Roman" w:hAnsi="Times New Roman"/>
          <w:lang w:val="en-US"/>
        </w:rPr>
        <w:t xml:space="preserve"> to light candles in the Lithuanian prisons. </w:t>
      </w:r>
      <w:r>
        <w:rPr>
          <w:rFonts w:ascii="Times New Roman" w:hAnsi="Times New Roman"/>
          <w:lang w:val="en-US"/>
        </w:rPr>
        <w:t xml:space="preserve">Every Shabbat starts and ends with lightening candles. During Hannukah, Jews light candles every day. Thus, the State party breaches the right to rest and leisure in the prisons. </w:t>
      </w:r>
    </w:p>
    <w:p w14:paraId="63FF62A4" w14:textId="6E75D571" w:rsidR="008847A5" w:rsidRDefault="008847A5"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Without drinking red wine and lightening candles, Jews may not celebrate Shabbat and other </w:t>
      </w:r>
      <w:r w:rsidR="009640C5">
        <w:rPr>
          <w:rFonts w:ascii="Times New Roman" w:hAnsi="Times New Roman"/>
          <w:lang w:val="en-US"/>
        </w:rPr>
        <w:t xml:space="preserve">religious </w:t>
      </w:r>
      <w:r>
        <w:rPr>
          <w:rFonts w:ascii="Times New Roman" w:hAnsi="Times New Roman"/>
          <w:lang w:val="en-US"/>
        </w:rPr>
        <w:t>holidays</w:t>
      </w:r>
      <w:r w:rsidR="00493BB4">
        <w:rPr>
          <w:rFonts w:ascii="Times New Roman" w:hAnsi="Times New Roman"/>
          <w:lang w:val="en-US"/>
        </w:rPr>
        <w:t xml:space="preserve">, and their right to rest and leisure under Articles 7(d) and 2(2) is breached. </w:t>
      </w:r>
    </w:p>
    <w:p w14:paraId="398A4FF4" w14:textId="0A2A1FE2" w:rsidR="00B554FA" w:rsidRDefault="00B554FA"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Moreover, practicing Judaism by celebrating Shabbat and other holidays is protected by the right to cultural life under Article 15(1)(a) of the Covenant.</w:t>
      </w:r>
    </w:p>
    <w:p w14:paraId="1072D447" w14:textId="4C049D97" w:rsidR="00AD5604" w:rsidRDefault="009640C5"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Article 11(2) prohibits keeping prisoners in hunger. Observant Jews do not eat non-Kosher food, but the Lithuanian Prison Department does not provide Kosher food. Thus, observant Jews </w:t>
      </w:r>
      <w:r w:rsidR="006A1BE1">
        <w:rPr>
          <w:rFonts w:ascii="Times New Roman" w:hAnsi="Times New Roman"/>
          <w:lang w:val="en-US"/>
        </w:rPr>
        <w:t>s</w:t>
      </w:r>
      <w:r>
        <w:rPr>
          <w:rFonts w:ascii="Times New Roman" w:hAnsi="Times New Roman"/>
          <w:lang w:val="en-US"/>
        </w:rPr>
        <w:t xml:space="preserve">uffer from hunger. By the refusal to provide Kosher food in prisons, the State party breaches Articles 2(2) and 11(2) of the Covenant. </w:t>
      </w:r>
    </w:p>
    <w:p w14:paraId="681E7D66" w14:textId="25E2DE95" w:rsidR="00B273C2" w:rsidRDefault="00B273C2"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We request the Committee to conclude that </w:t>
      </w:r>
      <w:r w:rsidRPr="00B273C2">
        <w:rPr>
          <w:rFonts w:ascii="Times New Roman" w:hAnsi="Times New Roman" w:cs="Times New Roman"/>
          <w:b/>
          <w:bCs/>
        </w:rPr>
        <w:t>Articles 2(2), 7(d), 11(2), 15(a) provide the right to prisoners to practice Judaism by celebrating Shabbat and other holidays by blessing and drinking red wine and lightening candles. The State party must provide Kosher food to religious Jews in prisons</w:t>
      </w:r>
      <w:r>
        <w:rPr>
          <w:rFonts w:ascii="Times New Roman" w:hAnsi="Times New Roman" w:cs="Times New Roman"/>
        </w:rPr>
        <w:t>.</w:t>
      </w:r>
    </w:p>
    <w:p w14:paraId="00B16F84" w14:textId="69E1F799" w:rsidR="004C2798" w:rsidRDefault="004C2798" w:rsidP="004C2798">
      <w:pPr>
        <w:pStyle w:val="ListParagraph"/>
        <w:spacing w:after="120"/>
        <w:ind w:left="0"/>
        <w:contextualSpacing w:val="0"/>
        <w:jc w:val="both"/>
        <w:rPr>
          <w:rFonts w:ascii="Times New Roman" w:hAnsi="Times New Roman"/>
          <w:lang w:val="en-US"/>
        </w:rPr>
      </w:pPr>
    </w:p>
    <w:p w14:paraId="07FE7D4B" w14:textId="3D6322E7" w:rsidR="004C2798" w:rsidRPr="00B273C2" w:rsidRDefault="004C2798" w:rsidP="00CD33BD">
      <w:pPr>
        <w:pStyle w:val="ListParagraph"/>
        <w:numPr>
          <w:ilvl w:val="0"/>
          <w:numId w:val="3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B273C2">
        <w:rPr>
          <w:rFonts w:ascii="Times New Roman" w:hAnsi="Times New Roman" w:cs="Times New Roman"/>
          <w:b/>
          <w:bCs/>
        </w:rPr>
        <w:t>Breach of Article</w:t>
      </w:r>
      <w:r w:rsidR="005F6056" w:rsidRPr="00B273C2">
        <w:rPr>
          <w:rFonts w:ascii="Times New Roman" w:hAnsi="Times New Roman" w:cs="Times New Roman"/>
          <w:b/>
          <w:bCs/>
        </w:rPr>
        <w:t>s 2(2), 6 and</w:t>
      </w:r>
      <w:r w:rsidRPr="00B273C2">
        <w:rPr>
          <w:rFonts w:ascii="Times New Roman" w:hAnsi="Times New Roman" w:cs="Times New Roman"/>
          <w:b/>
          <w:bCs/>
        </w:rPr>
        <w:t xml:space="preserve"> </w:t>
      </w:r>
      <w:r w:rsidR="006A1BE1" w:rsidRPr="00B273C2">
        <w:rPr>
          <w:rFonts w:ascii="Times New Roman" w:hAnsi="Times New Roman" w:cs="Times New Roman"/>
          <w:b/>
          <w:bCs/>
        </w:rPr>
        <w:t>12 due to wide spread</w:t>
      </w:r>
      <w:r w:rsidRPr="00B273C2">
        <w:rPr>
          <w:rFonts w:ascii="Times New Roman" w:hAnsi="Times New Roman" w:cs="Times New Roman"/>
          <w:b/>
          <w:bCs/>
        </w:rPr>
        <w:t xml:space="preserve"> </w:t>
      </w:r>
      <w:r w:rsidR="00D7463E" w:rsidRPr="00B273C2">
        <w:rPr>
          <w:rFonts w:ascii="Times New Roman" w:hAnsi="Times New Roman" w:cs="Times New Roman"/>
          <w:b/>
          <w:bCs/>
        </w:rPr>
        <w:t>torture</w:t>
      </w:r>
      <w:r w:rsidR="006A1BE1" w:rsidRPr="00B273C2">
        <w:rPr>
          <w:rFonts w:ascii="Times New Roman" w:hAnsi="Times New Roman" w:cs="Times New Roman"/>
          <w:b/>
          <w:bCs/>
        </w:rPr>
        <w:t xml:space="preserve"> in prisons</w:t>
      </w:r>
    </w:p>
    <w:p w14:paraId="1CE49395" w14:textId="5976CEB6" w:rsidR="004C2798" w:rsidRPr="00DE2D61" w:rsidRDefault="00DE2D61" w:rsidP="00DE2D61">
      <w:pPr>
        <w:pStyle w:val="ListParagraph"/>
        <w:numPr>
          <w:ilvl w:val="1"/>
          <w:numId w:val="33"/>
        </w:numPr>
        <w:spacing w:after="120"/>
        <w:contextualSpacing w:val="0"/>
        <w:jc w:val="both"/>
        <w:rPr>
          <w:rFonts w:ascii="Times New Roman" w:hAnsi="Times New Roman"/>
          <w:b/>
          <w:bCs/>
          <w:lang w:val="en-US"/>
        </w:rPr>
      </w:pPr>
      <w:r w:rsidRPr="00DE2D61">
        <w:rPr>
          <w:rFonts w:ascii="Times New Roman" w:hAnsi="Times New Roman"/>
          <w:b/>
          <w:bCs/>
          <w:lang w:val="en-US"/>
        </w:rPr>
        <w:t>Breach of Articles 2(2) and 12 in the Lithuanian secret prison</w:t>
      </w:r>
    </w:p>
    <w:p w14:paraId="5A1BCEA2" w14:textId="516FA495" w:rsidR="006A1BE1" w:rsidRDefault="006A1BE1"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Article 12 of the Covenant provides the right to the enjoyment of the highest attainable standard of physical health. The purpose of torture is to harm health of a prisoner. Thus, it also prohibits torture in prisons.</w:t>
      </w:r>
    </w:p>
    <w:p w14:paraId="0CC5CD1E" w14:textId="3B8E4264" w:rsidR="006A1BE1" w:rsidRPr="006A1BE1" w:rsidRDefault="006A1BE1"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UN Treaty bodies condemned Lithuania for torturing Arabs in secret prisons in </w:t>
      </w:r>
      <w:r w:rsidRPr="003470B4">
        <w:rPr>
          <w:rFonts w:ascii="Times New Roman" w:hAnsi="Times New Roman"/>
        </w:rPr>
        <w:t>§ 9 of its Concluding Observations No. CCPR/C/LTU/CO/3 dated 2012,</w:t>
      </w:r>
      <w:r>
        <w:rPr>
          <w:rFonts w:ascii="Times New Roman" w:hAnsi="Times New Roman"/>
        </w:rPr>
        <w:t xml:space="preserve"> </w:t>
      </w:r>
      <w:r w:rsidRPr="003470B4">
        <w:rPr>
          <w:rFonts w:ascii="Times New Roman" w:hAnsi="Times New Roman"/>
        </w:rPr>
        <w:t>§ 16 of its Concluding Observations No. CAT/C/LTU/CO/3 dated 2014,</w:t>
      </w:r>
      <w:r>
        <w:rPr>
          <w:rFonts w:ascii="Times New Roman" w:hAnsi="Times New Roman"/>
        </w:rPr>
        <w:t xml:space="preserve"> </w:t>
      </w:r>
      <w:r w:rsidRPr="003470B4">
        <w:rPr>
          <w:rFonts w:ascii="Times New Roman" w:hAnsi="Times New Roman"/>
        </w:rPr>
        <w:t>§§ 21, 22, 37 its Concluding Observations No. CED/C/LTU/CO/1 dated 2017</w:t>
      </w:r>
      <w:r>
        <w:rPr>
          <w:rFonts w:ascii="Times New Roman" w:hAnsi="Times New Roman"/>
        </w:rPr>
        <w:t xml:space="preserve">. The Lithuanian torture mechanisms are best described in the judgment of the European Court of Human Rights in the case </w:t>
      </w:r>
      <w:r w:rsidRPr="003470B4">
        <w:rPr>
          <w:rFonts w:ascii="Times New Roman" w:hAnsi="Times New Roman"/>
          <w:i/>
          <w:iCs/>
        </w:rPr>
        <w:t xml:space="preserve">Abu </w:t>
      </w:r>
      <w:proofErr w:type="spellStart"/>
      <w:r w:rsidRPr="003470B4">
        <w:rPr>
          <w:rFonts w:ascii="Times New Roman" w:hAnsi="Times New Roman"/>
          <w:i/>
          <w:iCs/>
        </w:rPr>
        <w:t>Zubaydah</w:t>
      </w:r>
      <w:proofErr w:type="spellEnd"/>
      <w:r w:rsidRPr="003470B4">
        <w:rPr>
          <w:rFonts w:ascii="Times New Roman" w:hAnsi="Times New Roman"/>
          <w:i/>
          <w:iCs/>
        </w:rPr>
        <w:t xml:space="preserve"> v Lithuania</w:t>
      </w:r>
      <w:r w:rsidRPr="003470B4">
        <w:rPr>
          <w:rFonts w:ascii="Times New Roman" w:hAnsi="Times New Roman"/>
        </w:rPr>
        <w:t>, No. 46454/11</w:t>
      </w:r>
      <w:r>
        <w:rPr>
          <w:rFonts w:ascii="Times New Roman" w:hAnsi="Times New Roman"/>
        </w:rPr>
        <w:t>.</w:t>
      </w:r>
    </w:p>
    <w:p w14:paraId="5B95CA3F" w14:textId="58A56996" w:rsidR="006A1BE1" w:rsidRPr="006A1BE1" w:rsidRDefault="006A1BE1"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rPr>
        <w:t>Torture in the secret prison breached Article</w:t>
      </w:r>
      <w:r w:rsidR="00DE2D61">
        <w:rPr>
          <w:rFonts w:ascii="Times New Roman" w:hAnsi="Times New Roman"/>
        </w:rPr>
        <w:t>s 2(2) and</w:t>
      </w:r>
      <w:r>
        <w:rPr>
          <w:rFonts w:ascii="Times New Roman" w:hAnsi="Times New Roman"/>
        </w:rPr>
        <w:t xml:space="preserve"> 12 of the Covenant, too. </w:t>
      </w:r>
    </w:p>
    <w:p w14:paraId="12B8AF00" w14:textId="7DBF2DC5" w:rsidR="00B273C2" w:rsidRPr="00B273C2" w:rsidRDefault="006A1BE1" w:rsidP="00B273C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rPr>
        <w:t xml:space="preserve">The duty of Lithuania under Article 12 is to transfer of all the prisoners of its secret prison, including Mr Abu </w:t>
      </w:r>
      <w:proofErr w:type="spellStart"/>
      <w:r>
        <w:rPr>
          <w:rFonts w:ascii="Times New Roman" w:hAnsi="Times New Roman"/>
        </w:rPr>
        <w:t>Zubaydah</w:t>
      </w:r>
      <w:proofErr w:type="spellEnd"/>
      <w:r>
        <w:rPr>
          <w:rFonts w:ascii="Times New Roman" w:hAnsi="Times New Roman"/>
        </w:rPr>
        <w:t xml:space="preserve">, from the Guantanamo Bay Prison back to Lithuania and to provide them medical help and social </w:t>
      </w:r>
      <w:r w:rsidR="00DE2D61">
        <w:rPr>
          <w:rFonts w:ascii="Times New Roman" w:hAnsi="Times New Roman"/>
        </w:rPr>
        <w:t xml:space="preserve">assistance, and to prosecute President </w:t>
      </w:r>
      <w:proofErr w:type="spellStart"/>
      <w:r w:rsidR="00DE2D61">
        <w:rPr>
          <w:rFonts w:ascii="Times New Roman" w:hAnsi="Times New Roman"/>
        </w:rPr>
        <w:t>Valdas</w:t>
      </w:r>
      <w:proofErr w:type="spellEnd"/>
      <w:r w:rsidR="00DE2D61">
        <w:rPr>
          <w:rFonts w:ascii="Times New Roman" w:hAnsi="Times New Roman"/>
        </w:rPr>
        <w:t xml:space="preserve"> </w:t>
      </w:r>
      <w:proofErr w:type="spellStart"/>
      <w:r w:rsidR="00DE2D61">
        <w:rPr>
          <w:rFonts w:ascii="Times New Roman" w:hAnsi="Times New Roman"/>
        </w:rPr>
        <w:t>Adamkus</w:t>
      </w:r>
      <w:proofErr w:type="spellEnd"/>
      <w:r w:rsidR="00DE2D61">
        <w:rPr>
          <w:rFonts w:ascii="Times New Roman" w:hAnsi="Times New Roman"/>
        </w:rPr>
        <w:t xml:space="preserve"> of Lithuania </w:t>
      </w:r>
      <w:r w:rsidR="008A0CC5">
        <w:rPr>
          <w:rFonts w:ascii="Times New Roman" w:hAnsi="Times New Roman"/>
        </w:rPr>
        <w:t xml:space="preserve">or at least the Director General of the Lithuanian State Security Department </w:t>
      </w:r>
      <w:r w:rsidR="00DE2D61">
        <w:rPr>
          <w:rFonts w:ascii="Times New Roman" w:hAnsi="Times New Roman"/>
        </w:rPr>
        <w:t>for establishing the secret torture prison in 2004.</w:t>
      </w:r>
    </w:p>
    <w:p w14:paraId="7078C7F6" w14:textId="3125D066" w:rsidR="00B273C2" w:rsidRPr="00B273C2" w:rsidRDefault="00B273C2" w:rsidP="00B273C2">
      <w:pPr>
        <w:pStyle w:val="ListParagraph"/>
        <w:numPr>
          <w:ilvl w:val="0"/>
          <w:numId w:val="24"/>
        </w:numPr>
        <w:spacing w:after="120"/>
        <w:ind w:left="0" w:hanging="426"/>
        <w:contextualSpacing w:val="0"/>
        <w:jc w:val="both"/>
        <w:rPr>
          <w:rFonts w:ascii="Times New Roman" w:hAnsi="Times New Roman"/>
          <w:lang w:val="en-US"/>
        </w:rPr>
      </w:pPr>
      <w:r w:rsidRPr="00B273C2">
        <w:rPr>
          <w:rFonts w:ascii="Times New Roman" w:hAnsi="Times New Roman"/>
          <w:lang w:val="en-US"/>
        </w:rPr>
        <w:t xml:space="preserve">On these grounds, we request the Committee to find that </w:t>
      </w:r>
      <w:r w:rsidRPr="00B273C2">
        <w:rPr>
          <w:rFonts w:ascii="Times New Roman" w:hAnsi="Times New Roman" w:cs="Times New Roman"/>
          <w:b/>
          <w:bCs/>
        </w:rPr>
        <w:t>Articles 2(2) and 12 prohibit torture in the secret prison founded in 2004 in Lithuania</w:t>
      </w:r>
      <w:r w:rsidRPr="00B273C2">
        <w:rPr>
          <w:rFonts w:ascii="Times New Roman" w:hAnsi="Times New Roman" w:cs="Times New Roman"/>
        </w:rPr>
        <w:t xml:space="preserve"> as established by </w:t>
      </w:r>
      <w:r w:rsidRPr="00B273C2">
        <w:rPr>
          <w:rFonts w:ascii="Times New Roman" w:hAnsi="Times New Roman"/>
        </w:rPr>
        <w:t xml:space="preserve">§ 9 of Concluding Observations No. CCPR/C/LTU/CO/3 dated 2012, § 16 of Concluding Observations No. CAT/C/LTU/CO/3 dated 2014, §§ 21, 22, 37 Concluding Observations No. CED/C/LTU/CO/1 dated 2017, and by the judgment of the European Court of Human Rights in the case </w:t>
      </w:r>
      <w:r w:rsidRPr="00B273C2">
        <w:rPr>
          <w:rFonts w:ascii="Times New Roman" w:hAnsi="Times New Roman"/>
          <w:i/>
          <w:iCs/>
        </w:rPr>
        <w:t xml:space="preserve">Abu </w:t>
      </w:r>
      <w:proofErr w:type="spellStart"/>
      <w:r w:rsidRPr="00B273C2">
        <w:rPr>
          <w:rFonts w:ascii="Times New Roman" w:hAnsi="Times New Roman"/>
          <w:i/>
          <w:iCs/>
        </w:rPr>
        <w:t>Zubaydah</w:t>
      </w:r>
      <w:proofErr w:type="spellEnd"/>
      <w:r w:rsidRPr="00B273C2">
        <w:rPr>
          <w:rFonts w:ascii="Times New Roman" w:hAnsi="Times New Roman"/>
          <w:i/>
          <w:iCs/>
        </w:rPr>
        <w:t xml:space="preserve"> v Lithuania</w:t>
      </w:r>
      <w:r w:rsidRPr="00B273C2">
        <w:rPr>
          <w:rFonts w:ascii="Times New Roman" w:hAnsi="Times New Roman"/>
        </w:rPr>
        <w:t>, No. 46454/11,</w:t>
      </w:r>
    </w:p>
    <w:p w14:paraId="76B5CB17" w14:textId="401EAD4E" w:rsidR="00B273C2" w:rsidRPr="00DE2D61" w:rsidRDefault="00B273C2" w:rsidP="00B273C2">
      <w:pPr>
        <w:pStyle w:val="ListParagraph"/>
        <w:spacing w:after="120"/>
        <w:ind w:left="0"/>
        <w:contextualSpacing w:val="0"/>
        <w:jc w:val="both"/>
        <w:rPr>
          <w:rFonts w:ascii="Times New Roman" w:hAnsi="Times New Roman"/>
          <w:lang w:val="en-US"/>
        </w:rPr>
      </w:pPr>
      <w:r w:rsidRPr="0089220B">
        <w:rPr>
          <w:rFonts w:ascii="Times New Roman" w:hAnsi="Times New Roman"/>
          <w:b/>
          <w:bCs/>
        </w:rPr>
        <w:t>and require Lithuania to return to Lithuania all prisoners of that secret prison in order to provide them medical help and social assistance</w:t>
      </w:r>
      <w:r w:rsidRPr="0089220B">
        <w:rPr>
          <w:rFonts w:ascii="Times New Roman" w:hAnsi="Times New Roman"/>
          <w:b/>
          <w:bCs/>
          <w:lang w:val="en-US"/>
        </w:rPr>
        <w:t xml:space="preserve">, as well as prosecute President </w:t>
      </w:r>
      <w:proofErr w:type="spellStart"/>
      <w:r w:rsidRPr="0089220B">
        <w:rPr>
          <w:rFonts w:ascii="Times New Roman" w:hAnsi="Times New Roman"/>
          <w:b/>
          <w:bCs/>
          <w:lang w:val="en-US"/>
        </w:rPr>
        <w:t>Valdas</w:t>
      </w:r>
      <w:proofErr w:type="spellEnd"/>
      <w:r w:rsidRPr="0089220B">
        <w:rPr>
          <w:rFonts w:ascii="Times New Roman" w:hAnsi="Times New Roman"/>
          <w:b/>
          <w:bCs/>
          <w:lang w:val="en-US"/>
        </w:rPr>
        <w:t xml:space="preserve"> </w:t>
      </w:r>
      <w:proofErr w:type="spellStart"/>
      <w:r w:rsidRPr="0089220B">
        <w:rPr>
          <w:rFonts w:ascii="Times New Roman" w:hAnsi="Times New Roman"/>
          <w:b/>
          <w:bCs/>
          <w:lang w:val="en-US"/>
        </w:rPr>
        <w:t>Adamkus</w:t>
      </w:r>
      <w:proofErr w:type="spellEnd"/>
      <w:r w:rsidRPr="0089220B">
        <w:rPr>
          <w:rFonts w:ascii="Times New Roman" w:hAnsi="Times New Roman"/>
          <w:b/>
          <w:bCs/>
          <w:lang w:val="en-US"/>
        </w:rPr>
        <w:t xml:space="preserve"> of Lithuania </w:t>
      </w:r>
      <w:r w:rsidR="008A0CC5">
        <w:rPr>
          <w:rFonts w:ascii="Times New Roman" w:hAnsi="Times New Roman"/>
          <w:b/>
          <w:bCs/>
          <w:lang w:val="en-US"/>
        </w:rPr>
        <w:t xml:space="preserve">or at least the Director General of the State Security Department </w:t>
      </w:r>
      <w:r w:rsidRPr="0089220B">
        <w:rPr>
          <w:rFonts w:ascii="Times New Roman" w:hAnsi="Times New Roman"/>
          <w:b/>
          <w:bCs/>
          <w:lang w:val="en-US"/>
        </w:rPr>
        <w:t xml:space="preserve">for the establishment of the secret </w:t>
      </w:r>
      <w:r w:rsidR="008A0CC5">
        <w:rPr>
          <w:rFonts w:ascii="Times New Roman" w:hAnsi="Times New Roman"/>
          <w:b/>
          <w:bCs/>
          <w:lang w:val="en-US"/>
        </w:rPr>
        <w:t xml:space="preserve">torture </w:t>
      </w:r>
      <w:r w:rsidRPr="0089220B">
        <w:rPr>
          <w:rFonts w:ascii="Times New Roman" w:hAnsi="Times New Roman"/>
          <w:b/>
          <w:bCs/>
          <w:lang w:val="en-US"/>
        </w:rPr>
        <w:t>prison in 2004</w:t>
      </w:r>
      <w:r>
        <w:rPr>
          <w:rFonts w:ascii="Times New Roman" w:hAnsi="Times New Roman"/>
          <w:lang w:val="en-US"/>
        </w:rPr>
        <w:t>.</w:t>
      </w:r>
    </w:p>
    <w:p w14:paraId="7079915C" w14:textId="77777777" w:rsidR="00B273C2" w:rsidRDefault="00B273C2" w:rsidP="00DE2D61">
      <w:pPr>
        <w:pStyle w:val="ListParagraph"/>
        <w:spacing w:after="120"/>
        <w:ind w:left="0"/>
        <w:contextualSpacing w:val="0"/>
        <w:jc w:val="both"/>
        <w:rPr>
          <w:rFonts w:ascii="Times New Roman" w:hAnsi="Times New Roman"/>
        </w:rPr>
      </w:pPr>
    </w:p>
    <w:p w14:paraId="2EB42A80" w14:textId="00B21ABC" w:rsidR="00DE2D61" w:rsidRPr="00DE2D61" w:rsidRDefault="00DE2D61" w:rsidP="00DE2D61">
      <w:pPr>
        <w:pStyle w:val="ListParagraph"/>
        <w:numPr>
          <w:ilvl w:val="1"/>
          <w:numId w:val="33"/>
        </w:numPr>
        <w:spacing w:after="120"/>
        <w:jc w:val="both"/>
        <w:rPr>
          <w:rFonts w:ascii="Times New Roman" w:hAnsi="Times New Roman"/>
          <w:b/>
          <w:bCs/>
          <w:lang w:val="en-US"/>
        </w:rPr>
      </w:pPr>
      <w:r w:rsidRPr="00DE2D61">
        <w:rPr>
          <w:rFonts w:ascii="Times New Roman" w:hAnsi="Times New Roman"/>
          <w:b/>
          <w:bCs/>
          <w:lang w:val="en-US"/>
        </w:rPr>
        <w:t>Breach of Articles 2(2)</w:t>
      </w:r>
      <w:r>
        <w:rPr>
          <w:rFonts w:ascii="Times New Roman" w:hAnsi="Times New Roman"/>
          <w:b/>
          <w:bCs/>
          <w:lang w:val="en-US"/>
        </w:rPr>
        <w:t>, 6</w:t>
      </w:r>
      <w:r w:rsidRPr="00DE2D61">
        <w:rPr>
          <w:rFonts w:ascii="Times New Roman" w:hAnsi="Times New Roman"/>
          <w:b/>
          <w:bCs/>
          <w:lang w:val="en-US"/>
        </w:rPr>
        <w:t xml:space="preserve"> and 12 </w:t>
      </w:r>
      <w:r>
        <w:rPr>
          <w:rFonts w:ascii="Times New Roman" w:hAnsi="Times New Roman"/>
          <w:b/>
          <w:bCs/>
          <w:lang w:val="en-US"/>
        </w:rPr>
        <w:t xml:space="preserve">by torture and murder of Arab refugees </w:t>
      </w:r>
    </w:p>
    <w:p w14:paraId="3AF4B831" w14:textId="4AC41AFF" w:rsidR="006A1BE1" w:rsidRDefault="00DE2D61"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rPr>
        <w:t>There is a wide spread t</w:t>
      </w:r>
      <w:r w:rsidR="006A1BE1">
        <w:rPr>
          <w:rFonts w:ascii="Times New Roman" w:hAnsi="Times New Roman"/>
        </w:rPr>
        <w:t xml:space="preserve">orture of Arab refugees who are kept in prisons (the </w:t>
      </w:r>
      <w:proofErr w:type="spellStart"/>
      <w:r w:rsidR="006A1BE1">
        <w:rPr>
          <w:rFonts w:ascii="Times New Roman" w:hAnsi="Times New Roman"/>
        </w:rPr>
        <w:t>Kybartai</w:t>
      </w:r>
      <w:proofErr w:type="spellEnd"/>
      <w:r w:rsidR="006A1BE1">
        <w:rPr>
          <w:rFonts w:ascii="Times New Roman" w:hAnsi="Times New Roman"/>
        </w:rPr>
        <w:t xml:space="preserve"> prison, for instance). Many Arab refugees are murdered by the Lithuanian State Border Defence </w:t>
      </w:r>
      <w:r w:rsidR="005F6056">
        <w:rPr>
          <w:rFonts w:ascii="Times New Roman" w:hAnsi="Times New Roman"/>
        </w:rPr>
        <w:t xml:space="preserve">Service. </w:t>
      </w:r>
      <w:r w:rsidR="00C36239">
        <w:rPr>
          <w:rFonts w:ascii="Times New Roman" w:hAnsi="Times New Roman"/>
          <w:lang w:val="en-US"/>
        </w:rPr>
        <w:t xml:space="preserve">For instance, on 04/08/2021, the Lithuanian State Border Service tortured and murdered </w:t>
      </w:r>
      <w:r w:rsidR="00C37E9F">
        <w:rPr>
          <w:rFonts w:ascii="Times New Roman" w:hAnsi="Times New Roman"/>
          <w:lang w:val="en-US"/>
        </w:rPr>
        <w:t>AAK</w:t>
      </w:r>
      <w:r w:rsidR="00C36239">
        <w:rPr>
          <w:rFonts w:ascii="Times New Roman" w:hAnsi="Times New Roman"/>
          <w:lang w:val="en-US"/>
        </w:rPr>
        <w:t xml:space="preserve"> from Iraq who tried to cross the border in order to ask for asylum, or for a job as the Lithuanian Ministry of Interior claims. The Lithuanian State Border Service continued murdering Arab refugees on 18/11/2022.</w:t>
      </w:r>
    </w:p>
    <w:p w14:paraId="096F0E9C" w14:textId="113F7C9D" w:rsidR="005F6056" w:rsidRPr="00262B22" w:rsidRDefault="00262B22" w:rsidP="005F6056">
      <w:pPr>
        <w:pStyle w:val="ListParagraph"/>
        <w:numPr>
          <w:ilvl w:val="0"/>
          <w:numId w:val="24"/>
        </w:numPr>
        <w:spacing w:after="120"/>
        <w:ind w:left="0" w:hanging="426"/>
        <w:contextualSpacing w:val="0"/>
        <w:jc w:val="both"/>
        <w:rPr>
          <w:rFonts w:ascii="Times New Roman" w:hAnsi="Times New Roman"/>
          <w:lang w:val="ru-RU"/>
        </w:rPr>
      </w:pPr>
      <w:r>
        <w:rPr>
          <w:rFonts w:ascii="Times New Roman" w:hAnsi="Times New Roman"/>
          <w:lang w:val="en-US"/>
        </w:rPr>
        <w:t>T</w:t>
      </w:r>
      <w:r w:rsidR="005F6056" w:rsidRPr="0040436E">
        <w:rPr>
          <w:rFonts w:ascii="Times New Roman" w:hAnsi="Times New Roman"/>
          <w:lang w:val="en-US"/>
        </w:rPr>
        <w:t xml:space="preserve">he </w:t>
      </w:r>
      <w:r w:rsidR="005F6056" w:rsidRPr="0040436E">
        <w:rPr>
          <w:rFonts w:ascii="Times New Roman" w:hAnsi="Times New Roman"/>
        </w:rPr>
        <w:t>Lithuanian State Border Defence Service tortured and</w:t>
      </w:r>
      <w:r w:rsidR="005F6056" w:rsidRPr="0040436E">
        <w:rPr>
          <w:rFonts w:ascii="Times New Roman" w:hAnsi="Times New Roman"/>
          <w:lang w:val="en-US"/>
        </w:rPr>
        <w:t xml:space="preserve"> murdered </w:t>
      </w:r>
      <w:r>
        <w:rPr>
          <w:rFonts w:ascii="Times New Roman" w:hAnsi="Times New Roman"/>
          <w:lang w:val="en-US"/>
        </w:rPr>
        <w:t>about 100</w:t>
      </w:r>
      <w:r w:rsidR="005F6056" w:rsidRPr="0040436E">
        <w:rPr>
          <w:rFonts w:ascii="Times New Roman" w:hAnsi="Times New Roman"/>
          <w:lang w:val="en-US"/>
        </w:rPr>
        <w:t xml:space="preserve"> Arab r</w:t>
      </w:r>
      <w:r w:rsidR="00272CFB" w:rsidRPr="0040436E">
        <w:rPr>
          <w:rFonts w:ascii="Times New Roman" w:hAnsi="Times New Roman"/>
          <w:lang w:val="en-US"/>
        </w:rPr>
        <w:t>efugees</w:t>
      </w:r>
      <w:r w:rsidR="005F6056" w:rsidRPr="0040436E">
        <w:rPr>
          <w:rFonts w:ascii="Times New Roman" w:hAnsi="Times New Roman"/>
          <w:lang w:val="en-US"/>
        </w:rPr>
        <w:t xml:space="preserve"> who tried to cross the Lithuanian border. The Lithuanian Ministry of Interior claims that Arab refugees shall not be allowed to cross the border since their real intention is to find a job in the sense of Article 6 of the Covenant. Thus, Article 12(1) is breached due to the intention of Arab refugees to work under Article 6, and their wrong race under Article 2(2). Therefore, torture and murder of Arab </w:t>
      </w:r>
      <w:proofErr w:type="gramStart"/>
      <w:r w:rsidR="005F6056" w:rsidRPr="0040436E">
        <w:rPr>
          <w:rFonts w:ascii="Times New Roman" w:hAnsi="Times New Roman"/>
          <w:lang w:val="en-US"/>
        </w:rPr>
        <w:t>refugees</w:t>
      </w:r>
      <w:proofErr w:type="gramEnd"/>
      <w:r w:rsidR="005F6056" w:rsidRPr="0040436E">
        <w:rPr>
          <w:rFonts w:ascii="Times New Roman" w:hAnsi="Times New Roman"/>
          <w:lang w:val="en-US"/>
        </w:rPr>
        <w:t xml:space="preserve"> breach Articles 2(2), 6, 12(1). </w:t>
      </w:r>
    </w:p>
    <w:p w14:paraId="4B9C45E9" w14:textId="071F1462" w:rsidR="00262B22" w:rsidRPr="00262B22" w:rsidRDefault="00262B22" w:rsidP="005F6056">
      <w:pPr>
        <w:pStyle w:val="ListParagraph"/>
        <w:numPr>
          <w:ilvl w:val="0"/>
          <w:numId w:val="24"/>
        </w:numPr>
        <w:spacing w:after="120"/>
        <w:ind w:left="0" w:hanging="426"/>
        <w:contextualSpacing w:val="0"/>
        <w:jc w:val="both"/>
        <w:rPr>
          <w:rFonts w:ascii="Times New Roman" w:hAnsi="Times New Roman"/>
          <w:lang w:val="ru-RU"/>
        </w:rPr>
      </w:pPr>
      <w:r>
        <w:rPr>
          <w:rFonts w:ascii="Times New Roman" w:hAnsi="Times New Roman"/>
          <w:lang w:val="en-US"/>
        </w:rPr>
        <w:t>These are several photos of Arab refugees tortured and murdered by the Lithuanian State Border Service:</w:t>
      </w:r>
    </w:p>
    <w:p w14:paraId="4E5D9E16" w14:textId="7A20AD9D" w:rsidR="00262B22" w:rsidRPr="00A34E10" w:rsidRDefault="00262B22" w:rsidP="00262B22">
      <w:pPr>
        <w:pStyle w:val="ListParagraph"/>
        <w:spacing w:after="120"/>
        <w:ind w:left="0"/>
        <w:contextualSpacing w:val="0"/>
        <w:jc w:val="both"/>
        <w:rPr>
          <w:rFonts w:ascii="Times New Roman" w:hAnsi="Times New Roman"/>
          <w:lang w:val="ru-RU"/>
        </w:rPr>
      </w:pPr>
      <w:r>
        <w:rPr>
          <w:rFonts w:ascii="Times New Roman" w:hAnsi="Times New Roman"/>
          <w:noProof/>
          <w:lang w:val="ru-RU"/>
        </w:rPr>
        <w:lastRenderedPageBreak/>
        <w:drawing>
          <wp:inline distT="0" distB="0" distL="0" distR="0" wp14:anchorId="52B15FA3" wp14:editId="08FEAD37">
            <wp:extent cx="5855970" cy="39662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855970" cy="3966210"/>
                    </a:xfrm>
                    <a:prstGeom prst="rect">
                      <a:avLst/>
                    </a:prstGeom>
                  </pic:spPr>
                </pic:pic>
              </a:graphicData>
            </a:graphic>
          </wp:inline>
        </w:drawing>
      </w:r>
    </w:p>
    <w:p w14:paraId="3E73A50B" w14:textId="34E86CB6" w:rsidR="00A34E10" w:rsidRDefault="00262B22" w:rsidP="00A34E10">
      <w:pPr>
        <w:pStyle w:val="ListParagraph"/>
        <w:spacing w:after="120"/>
        <w:ind w:left="0"/>
        <w:contextualSpacing w:val="0"/>
        <w:jc w:val="both"/>
        <w:rPr>
          <w:rFonts w:ascii="Times New Roman" w:hAnsi="Times New Roman"/>
          <w:lang w:val="en-US"/>
        </w:rPr>
      </w:pPr>
      <w:r>
        <w:rPr>
          <w:rFonts w:ascii="Times New Roman" w:hAnsi="Times New Roman"/>
          <w:noProof/>
          <w:lang w:val="en-US"/>
        </w:rPr>
        <w:drawing>
          <wp:inline distT="0" distB="0" distL="0" distR="0" wp14:anchorId="539F52E4" wp14:editId="6A5A9477">
            <wp:extent cx="4470400" cy="2413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4470400" cy="2413000"/>
                    </a:xfrm>
                    <a:prstGeom prst="rect">
                      <a:avLst/>
                    </a:prstGeom>
                  </pic:spPr>
                </pic:pic>
              </a:graphicData>
            </a:graphic>
          </wp:inline>
        </w:drawing>
      </w:r>
    </w:p>
    <w:p w14:paraId="34B06D61" w14:textId="3A2BF8D7" w:rsidR="00262B22" w:rsidRDefault="00262B22" w:rsidP="00A34E10">
      <w:pPr>
        <w:pStyle w:val="ListParagraph"/>
        <w:spacing w:after="120"/>
        <w:ind w:left="0"/>
        <w:contextualSpacing w:val="0"/>
        <w:jc w:val="both"/>
        <w:rPr>
          <w:rFonts w:ascii="Times New Roman" w:hAnsi="Times New Roman"/>
          <w:lang w:val="en-US"/>
        </w:rPr>
      </w:pPr>
      <w:r>
        <w:rPr>
          <w:rFonts w:ascii="Times New Roman" w:hAnsi="Times New Roman"/>
          <w:noProof/>
          <w:lang w:val="en-US"/>
        </w:rPr>
        <w:drawing>
          <wp:inline distT="0" distB="0" distL="0" distR="0" wp14:anchorId="207A97CF" wp14:editId="340B666F">
            <wp:extent cx="4454957" cy="2532993"/>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4469722" cy="2541388"/>
                    </a:xfrm>
                    <a:prstGeom prst="rect">
                      <a:avLst/>
                    </a:prstGeom>
                  </pic:spPr>
                </pic:pic>
              </a:graphicData>
            </a:graphic>
          </wp:inline>
        </w:drawing>
      </w:r>
    </w:p>
    <w:p w14:paraId="43F61497" w14:textId="3038F924" w:rsidR="00CE6346" w:rsidRDefault="00CE6346" w:rsidP="00A34E10">
      <w:pPr>
        <w:pStyle w:val="ListParagraph"/>
        <w:spacing w:after="120"/>
        <w:ind w:left="0"/>
        <w:contextualSpacing w:val="0"/>
        <w:jc w:val="both"/>
        <w:rPr>
          <w:rFonts w:ascii="Times New Roman" w:hAnsi="Times New Roman"/>
          <w:lang w:val="en-US"/>
        </w:rPr>
      </w:pPr>
      <w:r>
        <w:rPr>
          <w:rFonts w:ascii="Times New Roman" w:hAnsi="Times New Roman"/>
          <w:b/>
          <w:bCs/>
          <w:noProof/>
          <w:lang w:val="en-US"/>
        </w:rPr>
        <w:lastRenderedPageBreak/>
        <w:drawing>
          <wp:inline distT="0" distB="0" distL="0" distR="0" wp14:anchorId="176A27C5" wp14:editId="4F1D8461">
            <wp:extent cx="4694621" cy="2102069"/>
            <wp:effectExtent l="0" t="0" r="444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4701449" cy="2105126"/>
                    </a:xfrm>
                    <a:prstGeom prst="rect">
                      <a:avLst/>
                    </a:prstGeom>
                  </pic:spPr>
                </pic:pic>
              </a:graphicData>
            </a:graphic>
          </wp:inline>
        </w:drawing>
      </w:r>
    </w:p>
    <w:p w14:paraId="14BAB319" w14:textId="5D1B7D7E" w:rsidR="002C49FA" w:rsidRDefault="002C49FA" w:rsidP="00A34E10">
      <w:pPr>
        <w:pStyle w:val="ListParagraph"/>
        <w:spacing w:after="120"/>
        <w:ind w:left="0"/>
        <w:contextualSpacing w:val="0"/>
        <w:jc w:val="both"/>
        <w:rPr>
          <w:rFonts w:ascii="Times New Roman" w:hAnsi="Times New Roman"/>
          <w:lang w:val="en-US"/>
        </w:rPr>
      </w:pPr>
      <w:r>
        <w:rPr>
          <w:rFonts w:ascii="Times New Roman" w:hAnsi="Times New Roman"/>
          <w:noProof/>
          <w:lang w:val="en-US"/>
        </w:rPr>
        <w:drawing>
          <wp:inline distT="0" distB="0" distL="0" distR="0" wp14:anchorId="02AA3999" wp14:editId="79D7EE6A">
            <wp:extent cx="4582511" cy="2575985"/>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98118" cy="2584758"/>
                    </a:xfrm>
                    <a:prstGeom prst="rect">
                      <a:avLst/>
                    </a:prstGeom>
                  </pic:spPr>
                </pic:pic>
              </a:graphicData>
            </a:graphic>
          </wp:inline>
        </w:drawing>
      </w:r>
    </w:p>
    <w:p w14:paraId="3DF71141" w14:textId="77777777" w:rsidR="00B273C2" w:rsidRPr="00B273C2" w:rsidRDefault="00A545B0" w:rsidP="00B273C2">
      <w:pPr>
        <w:pStyle w:val="ListParagraph"/>
        <w:numPr>
          <w:ilvl w:val="0"/>
          <w:numId w:val="24"/>
        </w:numPr>
        <w:spacing w:after="120"/>
        <w:ind w:left="0" w:hanging="426"/>
        <w:contextualSpacing w:val="0"/>
        <w:jc w:val="both"/>
        <w:rPr>
          <w:rFonts w:ascii="Times New Roman" w:hAnsi="Times New Roman"/>
          <w:lang w:val="ru-RU"/>
        </w:rPr>
      </w:pPr>
      <w:r>
        <w:rPr>
          <w:rFonts w:ascii="Times New Roman" w:hAnsi="Times New Roman"/>
          <w:lang w:val="en-US"/>
        </w:rPr>
        <w:t xml:space="preserve">The Lithuanian Ministry of Interior claims that Arab refugees are tortured </w:t>
      </w:r>
      <w:r w:rsidR="0064328B">
        <w:rPr>
          <w:rFonts w:ascii="Times New Roman" w:hAnsi="Times New Roman"/>
          <w:lang w:val="en-US"/>
        </w:rPr>
        <w:t xml:space="preserve">and kept in prisons, </w:t>
      </w:r>
      <w:r>
        <w:rPr>
          <w:rFonts w:ascii="Times New Roman" w:hAnsi="Times New Roman"/>
          <w:lang w:val="en-US"/>
        </w:rPr>
        <w:t xml:space="preserve">because their real objective is </w:t>
      </w:r>
      <w:r w:rsidR="008505BB">
        <w:rPr>
          <w:rFonts w:ascii="Times New Roman" w:hAnsi="Times New Roman"/>
          <w:lang w:val="en-US"/>
        </w:rPr>
        <w:t xml:space="preserve">not asylum, but </w:t>
      </w:r>
      <w:r>
        <w:rPr>
          <w:rFonts w:ascii="Times New Roman" w:hAnsi="Times New Roman"/>
          <w:lang w:val="en-US"/>
        </w:rPr>
        <w:t>find</w:t>
      </w:r>
      <w:r w:rsidR="008505BB">
        <w:rPr>
          <w:rFonts w:ascii="Times New Roman" w:hAnsi="Times New Roman"/>
          <w:lang w:val="en-US"/>
        </w:rPr>
        <w:t>ing</w:t>
      </w:r>
      <w:r>
        <w:rPr>
          <w:rFonts w:ascii="Times New Roman" w:hAnsi="Times New Roman"/>
          <w:lang w:val="en-US"/>
        </w:rPr>
        <w:t xml:space="preserve"> a job, i.e., to work under Article 6.</w:t>
      </w:r>
    </w:p>
    <w:p w14:paraId="31E6A59E" w14:textId="75631A9E" w:rsidR="00B273C2" w:rsidRPr="00B273C2" w:rsidRDefault="00B273C2" w:rsidP="00B273C2">
      <w:pPr>
        <w:pStyle w:val="ListParagraph"/>
        <w:numPr>
          <w:ilvl w:val="0"/>
          <w:numId w:val="24"/>
        </w:numPr>
        <w:spacing w:after="120"/>
        <w:ind w:left="0" w:hanging="426"/>
        <w:contextualSpacing w:val="0"/>
        <w:jc w:val="both"/>
        <w:rPr>
          <w:rFonts w:ascii="Times New Roman" w:hAnsi="Times New Roman"/>
          <w:b/>
          <w:bCs/>
          <w:lang w:val="ru-RU"/>
        </w:rPr>
      </w:pPr>
      <w:r>
        <w:rPr>
          <w:rFonts w:ascii="Times New Roman" w:hAnsi="Times New Roman"/>
          <w:lang w:val="en-US"/>
        </w:rPr>
        <w:t xml:space="preserve">Thus, we plead the Committee to conclude that </w:t>
      </w:r>
      <w:r w:rsidRPr="00B273C2">
        <w:rPr>
          <w:rFonts w:ascii="Times New Roman" w:hAnsi="Times New Roman" w:cs="Times New Roman"/>
          <w:b/>
          <w:bCs/>
        </w:rPr>
        <w:t xml:space="preserve">Articles 2(2), 6, and 12 prohibit Lithuania torturing and murdering Arab refugees crossing the Lithuanian border as in the case of </w:t>
      </w:r>
      <w:r w:rsidR="00C37E9F">
        <w:rPr>
          <w:rFonts w:ascii="Times New Roman" w:hAnsi="Times New Roman"/>
          <w:b/>
          <w:bCs/>
          <w:lang w:val="en-US"/>
        </w:rPr>
        <w:t>AAK</w:t>
      </w:r>
      <w:r w:rsidRPr="00B273C2">
        <w:rPr>
          <w:rFonts w:ascii="Times New Roman" w:hAnsi="Times New Roman"/>
          <w:b/>
          <w:bCs/>
          <w:lang w:val="en-US"/>
        </w:rPr>
        <w:t xml:space="preserve"> on 04/08/2022 and many others, </w:t>
      </w:r>
    </w:p>
    <w:p w14:paraId="00FE2BE5" w14:textId="786C656E" w:rsidR="00B273C2" w:rsidRPr="00262B22" w:rsidRDefault="00B273C2" w:rsidP="00B273C2">
      <w:pPr>
        <w:pStyle w:val="ListParagraph"/>
        <w:spacing w:after="120"/>
        <w:ind w:left="0"/>
        <w:contextualSpacing w:val="0"/>
        <w:jc w:val="both"/>
        <w:rPr>
          <w:rFonts w:ascii="Times New Roman" w:hAnsi="Times New Roman"/>
          <w:lang w:val="ru-RU"/>
        </w:rPr>
      </w:pPr>
      <w:r w:rsidRPr="003E63AF">
        <w:rPr>
          <w:rFonts w:ascii="Times New Roman" w:hAnsi="Times New Roman"/>
          <w:b/>
          <w:bCs/>
          <w:lang w:val="en-US"/>
        </w:rPr>
        <w:t>Require to provide medical assistance and social security benefits to all Arab refugees who became handicapped after torture, as well as require to investigate all the cases of torture and murder by the Lithuanian State Border Service</w:t>
      </w:r>
      <w:r>
        <w:rPr>
          <w:rFonts w:ascii="Times New Roman" w:hAnsi="Times New Roman"/>
          <w:lang w:val="en-US"/>
        </w:rPr>
        <w:t>.</w:t>
      </w:r>
    </w:p>
    <w:p w14:paraId="0ED465D9" w14:textId="77777777" w:rsidR="00CE6346" w:rsidRDefault="00CE6346" w:rsidP="00A34E10">
      <w:pPr>
        <w:pStyle w:val="ListParagraph"/>
        <w:spacing w:after="120"/>
        <w:ind w:left="0"/>
        <w:contextualSpacing w:val="0"/>
        <w:jc w:val="both"/>
        <w:rPr>
          <w:rFonts w:ascii="Times New Roman" w:hAnsi="Times New Roman"/>
          <w:lang w:val="en-US"/>
        </w:rPr>
      </w:pPr>
    </w:p>
    <w:p w14:paraId="19282797" w14:textId="20B82E1A" w:rsidR="00A34E10" w:rsidRPr="00B273C2" w:rsidRDefault="00A34E10" w:rsidP="00A34E10">
      <w:pPr>
        <w:pStyle w:val="ListParagraph"/>
        <w:numPr>
          <w:ilvl w:val="1"/>
          <w:numId w:val="33"/>
        </w:numPr>
        <w:spacing w:after="120"/>
        <w:jc w:val="both"/>
        <w:rPr>
          <w:rFonts w:ascii="Times New Roman" w:hAnsi="Times New Roman"/>
          <w:b/>
          <w:bCs/>
          <w:highlight w:val="green"/>
          <w:lang w:val="en-US"/>
        </w:rPr>
      </w:pPr>
      <w:r w:rsidRPr="00B273C2">
        <w:rPr>
          <w:rFonts w:ascii="Times New Roman" w:hAnsi="Times New Roman"/>
          <w:b/>
          <w:bCs/>
          <w:highlight w:val="green"/>
          <w:lang w:val="en-US"/>
        </w:rPr>
        <w:t>Breach of Article 12</w:t>
      </w:r>
      <w:r w:rsidR="002C3E0E" w:rsidRPr="00B273C2">
        <w:rPr>
          <w:rFonts w:ascii="Times New Roman" w:hAnsi="Times New Roman"/>
          <w:b/>
          <w:bCs/>
          <w:highlight w:val="green"/>
          <w:lang w:val="en-US"/>
        </w:rPr>
        <w:t xml:space="preserve">: </w:t>
      </w:r>
      <w:r w:rsidRPr="00B273C2">
        <w:rPr>
          <w:rFonts w:ascii="Times New Roman" w:hAnsi="Times New Roman"/>
          <w:b/>
          <w:bCs/>
          <w:highlight w:val="green"/>
          <w:lang w:val="en-US"/>
        </w:rPr>
        <w:t xml:space="preserve">torture by hypoxemia </w:t>
      </w:r>
    </w:p>
    <w:p w14:paraId="4E99BA8A" w14:textId="3D0D4EAD" w:rsidR="005F6056" w:rsidRDefault="00B21335" w:rsidP="005F6056">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Lithuania tortures not only Arabs in secret prisons, but it is a widely spread day by day practice. All Lithuanian prisoners suffered from torture and inhuman treatment.</w:t>
      </w:r>
    </w:p>
    <w:p w14:paraId="244C917B" w14:textId="42901126" w:rsidR="00B21335" w:rsidRDefault="00B21335"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As a rule, prisoners are intensively tortured in order to get self-incrimination.</w:t>
      </w:r>
    </w:p>
    <w:p w14:paraId="59BC55E7" w14:textId="7039098D" w:rsidR="00B21335" w:rsidRDefault="00B21335"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most widely spread of torture is switching off air in the cells</w:t>
      </w:r>
      <w:r w:rsidR="00C66500">
        <w:rPr>
          <w:rFonts w:ascii="Times New Roman" w:hAnsi="Times New Roman"/>
          <w:lang w:val="en-US"/>
        </w:rPr>
        <w:t>,</w:t>
      </w:r>
      <w:r>
        <w:rPr>
          <w:rFonts w:ascii="Times New Roman" w:hAnsi="Times New Roman"/>
          <w:lang w:val="en-US"/>
        </w:rPr>
        <w:t xml:space="preserve"> and in the police van cells.</w:t>
      </w:r>
    </w:p>
    <w:p w14:paraId="3258A0F8" w14:textId="31DA251D" w:rsidR="00B21335" w:rsidRDefault="00B21335"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most infamous prison is the Vilnius Detention Facility where suspects are kept. None of them is convicted. They are kept in hermetic cells which means </w:t>
      </w:r>
      <w:r w:rsidR="00C66500">
        <w:rPr>
          <w:rFonts w:ascii="Times New Roman" w:hAnsi="Times New Roman"/>
          <w:lang w:val="en-US"/>
        </w:rPr>
        <w:t xml:space="preserve">that the air does not penetrate the cell from a window or from a door. The only source of air is ventilation. </w:t>
      </w:r>
      <w:r w:rsidR="00C66500" w:rsidRPr="00B15302">
        <w:rPr>
          <w:rFonts w:ascii="Times New Roman" w:hAnsi="Times New Roman"/>
          <w:b/>
          <w:bCs/>
          <w:lang w:val="en-US"/>
        </w:rPr>
        <w:t>The prison officers simply switch off the ventilation, and remand prisoners die from hypoxemia</w:t>
      </w:r>
      <w:r w:rsidR="00C66500">
        <w:rPr>
          <w:rFonts w:ascii="Times New Roman" w:hAnsi="Times New Roman"/>
          <w:lang w:val="en-US"/>
        </w:rPr>
        <w:t>.</w:t>
      </w:r>
    </w:p>
    <w:p w14:paraId="18CE8508" w14:textId="230D99CC" w:rsidR="00C66500" w:rsidRDefault="00C66500"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Prisoners are usually denied medical assistance. Particularly remand prisoners who are kept alone. Since they are kept alone, they have no </w:t>
      </w:r>
      <w:r w:rsidR="0011183D">
        <w:rPr>
          <w:rFonts w:ascii="Times New Roman" w:hAnsi="Times New Roman"/>
          <w:lang w:val="en-US"/>
        </w:rPr>
        <w:t>witnesses</w:t>
      </w:r>
      <w:r>
        <w:rPr>
          <w:rFonts w:ascii="Times New Roman" w:hAnsi="Times New Roman"/>
          <w:lang w:val="en-US"/>
        </w:rPr>
        <w:t xml:space="preserve"> that they </w:t>
      </w:r>
      <w:r w:rsidR="0011183D">
        <w:rPr>
          <w:rFonts w:ascii="Times New Roman" w:hAnsi="Times New Roman"/>
          <w:lang w:val="en-US"/>
        </w:rPr>
        <w:t xml:space="preserve">had actually </w:t>
      </w:r>
      <w:r>
        <w:rPr>
          <w:rFonts w:ascii="Times New Roman" w:hAnsi="Times New Roman"/>
          <w:lang w:val="en-US"/>
        </w:rPr>
        <w:t xml:space="preserve">requested medical </w:t>
      </w:r>
      <w:r w:rsidR="0011183D">
        <w:rPr>
          <w:rFonts w:ascii="Times New Roman" w:hAnsi="Times New Roman"/>
          <w:lang w:val="en-US"/>
        </w:rPr>
        <w:t>help</w:t>
      </w:r>
      <w:r>
        <w:rPr>
          <w:rFonts w:ascii="Times New Roman" w:hAnsi="Times New Roman"/>
          <w:lang w:val="en-US"/>
        </w:rPr>
        <w:t>.</w:t>
      </w:r>
    </w:p>
    <w:p w14:paraId="7EE36F2B" w14:textId="6EA87EA4" w:rsidR="00C66500" w:rsidRDefault="00C66500"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Several famous political prisoners, including </w:t>
      </w:r>
      <w:proofErr w:type="spellStart"/>
      <w:r>
        <w:rPr>
          <w:rFonts w:ascii="Times New Roman" w:hAnsi="Times New Roman"/>
          <w:lang w:val="en-US"/>
        </w:rPr>
        <w:t>Stanislovas</w:t>
      </w:r>
      <w:proofErr w:type="spellEnd"/>
      <w:r>
        <w:rPr>
          <w:rFonts w:ascii="Times New Roman" w:hAnsi="Times New Roman"/>
          <w:lang w:val="en-US"/>
        </w:rPr>
        <w:t xml:space="preserve"> Tomas, lodged a complaint requesting a criminal investigation of the fact of switching air in the prison cells and in the police van cells, </w:t>
      </w:r>
      <w:r>
        <w:rPr>
          <w:rFonts w:ascii="Times New Roman" w:hAnsi="Times New Roman"/>
          <w:lang w:val="en-US"/>
        </w:rPr>
        <w:lastRenderedPageBreak/>
        <w:t>but the Police Department of Lithuania refused to start investigation of torture by hypoxemia in the case No. 5-S-25971</w:t>
      </w:r>
      <w:r w:rsidR="00570A54">
        <w:rPr>
          <w:rFonts w:ascii="Times New Roman" w:hAnsi="Times New Roman"/>
          <w:lang w:val="en-US"/>
        </w:rPr>
        <w:t xml:space="preserve">, since the political prisoners were unable to prove that the air had been </w:t>
      </w:r>
      <w:r w:rsidR="00AB55C5">
        <w:rPr>
          <w:rFonts w:ascii="Times New Roman" w:hAnsi="Times New Roman"/>
          <w:lang w:val="en-US"/>
        </w:rPr>
        <w:t xml:space="preserve">actually </w:t>
      </w:r>
      <w:r w:rsidR="00570A54">
        <w:rPr>
          <w:rFonts w:ascii="Times New Roman" w:hAnsi="Times New Roman"/>
          <w:lang w:val="en-US"/>
        </w:rPr>
        <w:t>switched off.</w:t>
      </w:r>
    </w:p>
    <w:p w14:paraId="2236D9CF" w14:textId="7FF8B059" w:rsidR="00570A54" w:rsidRDefault="00570A54" w:rsidP="00A452D2">
      <w:pPr>
        <w:pStyle w:val="ListParagraph"/>
        <w:numPr>
          <w:ilvl w:val="0"/>
          <w:numId w:val="24"/>
        </w:numPr>
        <w:spacing w:after="120"/>
        <w:ind w:left="0" w:hanging="426"/>
        <w:contextualSpacing w:val="0"/>
        <w:jc w:val="both"/>
        <w:rPr>
          <w:rFonts w:ascii="Times New Roman" w:hAnsi="Times New Roman"/>
          <w:lang w:val="en-US"/>
        </w:rPr>
      </w:pPr>
      <w:r w:rsidRPr="00570A54">
        <w:rPr>
          <w:rFonts w:ascii="Times New Roman" w:hAnsi="Times New Roman"/>
          <w:b/>
          <w:bCs/>
          <w:lang w:val="en-US"/>
        </w:rPr>
        <w:t xml:space="preserve">The very fact that Lithuania has several hundreds of hermetic cells </w:t>
      </w:r>
      <w:r>
        <w:rPr>
          <w:rFonts w:ascii="Times New Roman" w:hAnsi="Times New Roman"/>
          <w:b/>
          <w:bCs/>
          <w:lang w:val="en-US"/>
        </w:rPr>
        <w:t xml:space="preserve">in prisons and in police vans </w:t>
      </w:r>
      <w:r w:rsidRPr="00570A54">
        <w:rPr>
          <w:rFonts w:ascii="Times New Roman" w:hAnsi="Times New Roman"/>
          <w:b/>
          <w:bCs/>
          <w:lang w:val="en-US"/>
        </w:rPr>
        <w:t>where air may not penetrate from windows but exclusively by ventilation</w:t>
      </w:r>
      <w:r w:rsidR="009C0B7E">
        <w:rPr>
          <w:rFonts w:ascii="Times New Roman" w:hAnsi="Times New Roman"/>
          <w:b/>
          <w:bCs/>
          <w:lang w:val="en-US"/>
        </w:rPr>
        <w:t xml:space="preserve"> on the condition that</w:t>
      </w:r>
      <w:r w:rsidRPr="00570A54">
        <w:rPr>
          <w:rFonts w:ascii="Times New Roman" w:hAnsi="Times New Roman"/>
          <w:b/>
          <w:bCs/>
          <w:lang w:val="en-US"/>
        </w:rPr>
        <w:t xml:space="preserve"> the ventilation is switched on</w:t>
      </w:r>
      <w:r w:rsidR="003A4BF3">
        <w:rPr>
          <w:rFonts w:ascii="Times New Roman" w:hAnsi="Times New Roman"/>
          <w:b/>
          <w:bCs/>
          <w:lang w:val="en-US"/>
        </w:rPr>
        <w:t>,</w:t>
      </w:r>
      <w:r w:rsidRPr="00570A54">
        <w:rPr>
          <w:rFonts w:ascii="Times New Roman" w:hAnsi="Times New Roman"/>
          <w:b/>
          <w:bCs/>
          <w:lang w:val="en-US"/>
        </w:rPr>
        <w:t xml:space="preserve"> is evidence of widely spread torture by hypoxemia</w:t>
      </w:r>
      <w:r>
        <w:rPr>
          <w:rFonts w:ascii="Times New Roman" w:hAnsi="Times New Roman"/>
          <w:lang w:val="en-US"/>
        </w:rPr>
        <w:t>.</w:t>
      </w:r>
    </w:p>
    <w:p w14:paraId="4EEEDC70" w14:textId="778291EC" w:rsidR="00B57ACA" w:rsidRDefault="00C66500" w:rsidP="00A452D2">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fact, it is impossible to force Lithuania to stop the </w:t>
      </w:r>
      <w:r w:rsidR="00B943C6">
        <w:rPr>
          <w:rFonts w:ascii="Times New Roman" w:hAnsi="Times New Roman"/>
          <w:lang w:val="en-US"/>
        </w:rPr>
        <w:t xml:space="preserve">wide-spread </w:t>
      </w:r>
      <w:r>
        <w:rPr>
          <w:rFonts w:ascii="Times New Roman" w:hAnsi="Times New Roman"/>
          <w:lang w:val="en-US"/>
        </w:rPr>
        <w:t>practice of torture by hypoxemia without the assistance of the Committee.</w:t>
      </w:r>
    </w:p>
    <w:p w14:paraId="164C4FF2" w14:textId="1F474969" w:rsidR="002C49FA" w:rsidRPr="00CF26A4" w:rsidRDefault="00B943C6" w:rsidP="00CF26A4">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cs="Times New Roman"/>
          <w:b/>
          <w:bCs/>
        </w:rPr>
        <w:t xml:space="preserve">Thus, we plead the Committee to find that </w:t>
      </w:r>
      <w:r w:rsidRPr="00AD3DBE">
        <w:rPr>
          <w:rFonts w:ascii="Times New Roman" w:hAnsi="Times New Roman" w:cs="Times New Roman"/>
          <w:b/>
          <w:bCs/>
        </w:rPr>
        <w:t xml:space="preserve">Article 12 prohibits </w:t>
      </w:r>
      <w:r w:rsidRPr="00AD3DBE">
        <w:rPr>
          <w:rFonts w:ascii="Times New Roman" w:hAnsi="Times New Roman"/>
          <w:b/>
          <w:bCs/>
          <w:lang w:val="en-US"/>
        </w:rPr>
        <w:t xml:space="preserve">torture by hypoxemia widely practiced by Lithuania against political prisoners in the Vilnius Detention Facility and in the police van cells (particularly in the case No. 5-S-25971), </w:t>
      </w:r>
      <w:r>
        <w:rPr>
          <w:rFonts w:ascii="Times New Roman" w:hAnsi="Times New Roman"/>
          <w:b/>
          <w:bCs/>
          <w:lang w:val="en-US"/>
        </w:rPr>
        <w:t xml:space="preserve">to </w:t>
      </w:r>
      <w:r w:rsidRPr="00AD3DBE">
        <w:rPr>
          <w:rFonts w:ascii="Times New Roman" w:hAnsi="Times New Roman"/>
          <w:b/>
          <w:bCs/>
          <w:lang w:val="en-US"/>
        </w:rPr>
        <w:t xml:space="preserve">order Lithuania to close all its hermetic cells where air penetrates by ventilation only, </w:t>
      </w:r>
      <w:r>
        <w:rPr>
          <w:rFonts w:ascii="Times New Roman" w:hAnsi="Times New Roman"/>
          <w:b/>
          <w:bCs/>
          <w:lang w:val="en-US"/>
        </w:rPr>
        <w:t xml:space="preserve">to </w:t>
      </w:r>
      <w:r w:rsidRPr="00AD3DBE">
        <w:rPr>
          <w:rFonts w:ascii="Times New Roman" w:hAnsi="Times New Roman"/>
          <w:b/>
          <w:bCs/>
          <w:lang w:val="en-US"/>
        </w:rPr>
        <w:t>order Lithuania to use exclusively cells where air penetrated from window</w:t>
      </w:r>
      <w:r>
        <w:rPr>
          <w:rFonts w:ascii="Times New Roman" w:hAnsi="Times New Roman"/>
          <w:b/>
          <w:bCs/>
          <w:lang w:val="en-US"/>
        </w:rPr>
        <w:t>s, and to order Lithuania to pay damages to all persons tortured by hypoxemia</w:t>
      </w:r>
      <w:r>
        <w:rPr>
          <w:rFonts w:ascii="Times New Roman" w:hAnsi="Times New Roman"/>
          <w:lang w:val="en-US"/>
        </w:rPr>
        <w:t>.</w:t>
      </w:r>
    </w:p>
    <w:sectPr w:rsidR="002C49FA" w:rsidRPr="00CF26A4" w:rsidSect="00AB4309">
      <w:headerReference w:type="even" r:id="rId13"/>
      <w:headerReference w:type="default" r:id="rId14"/>
      <w:footerReference w:type="default" r:id="rId15"/>
      <w:pgSz w:w="11900" w:h="16840"/>
      <w:pgMar w:top="1008" w:right="1267" w:bottom="1008" w:left="1411" w:header="706" w:footer="706"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06A74" w14:textId="77777777" w:rsidR="00547C81" w:rsidRDefault="00547C81">
      <w:r>
        <w:separator/>
      </w:r>
    </w:p>
  </w:endnote>
  <w:endnote w:type="continuationSeparator" w:id="0">
    <w:p w14:paraId="710C722A" w14:textId="77777777" w:rsidR="00547C81" w:rsidRDefault="00547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rajan Pro">
    <w:altName w:val="Luminari"/>
    <w:panose1 w:val="020B0604020202020204"/>
    <w:charset w:val="00"/>
    <w:family w:val="auto"/>
    <w:pitch w:val="variable"/>
    <w:sig w:usb0="00000007" w:usb1="00000000"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1E53" w14:textId="77777777" w:rsidR="008E5094" w:rsidRPr="009C69E9" w:rsidRDefault="00000000" w:rsidP="006D528A">
    <w:pPr>
      <w:pStyle w:val="Footer"/>
      <w:pBdr>
        <w:top w:val="single" w:sz="4" w:space="1" w:color="auto"/>
      </w:pBdr>
      <w:rPr>
        <w:rFonts w:ascii="Trajan Pro" w:hAnsi="Trajan Pro"/>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83A9E" w14:textId="77777777" w:rsidR="00547C81" w:rsidRDefault="00547C81">
      <w:r>
        <w:separator/>
      </w:r>
    </w:p>
  </w:footnote>
  <w:footnote w:type="continuationSeparator" w:id="0">
    <w:p w14:paraId="798EAE01" w14:textId="77777777" w:rsidR="00547C81" w:rsidRDefault="00547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BF338" w14:textId="77777777" w:rsidR="008E5094" w:rsidRDefault="00000000"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FE5C32" w14:textId="77777777" w:rsidR="008E5094" w:rsidRDefault="00000000" w:rsidP="003279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B8F95" w14:textId="77777777" w:rsidR="008E5094" w:rsidRDefault="00000000"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FE02E9C" w14:textId="77777777" w:rsidR="008E5094" w:rsidRDefault="00000000" w:rsidP="003279A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1DB"/>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A751A3"/>
    <w:multiLevelType w:val="multilevel"/>
    <w:tmpl w:val="CEE854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E55CF"/>
    <w:multiLevelType w:val="hybridMultilevel"/>
    <w:tmpl w:val="0B3087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D7AB5"/>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64A90"/>
    <w:multiLevelType w:val="hybridMultilevel"/>
    <w:tmpl w:val="404C36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AF7044"/>
    <w:multiLevelType w:val="hybridMultilevel"/>
    <w:tmpl w:val="2FB0C5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395794"/>
    <w:multiLevelType w:val="hybridMultilevel"/>
    <w:tmpl w:val="C268A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E83DA1"/>
    <w:multiLevelType w:val="hybridMultilevel"/>
    <w:tmpl w:val="4AB47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550739"/>
    <w:multiLevelType w:val="hybridMultilevel"/>
    <w:tmpl w:val="DC66D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5416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477360"/>
    <w:multiLevelType w:val="multilevel"/>
    <w:tmpl w:val="CEE854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04A3E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AF4981"/>
    <w:multiLevelType w:val="hybridMultilevel"/>
    <w:tmpl w:val="92369DAE"/>
    <w:lvl w:ilvl="0" w:tplc="19DED67A">
      <w:start w:val="1"/>
      <w:numFmt w:val="decimal"/>
      <w:lvlText w:val="%1"/>
      <w:lvlJc w:val="left"/>
      <w:pPr>
        <w:ind w:left="720" w:hanging="360"/>
      </w:pPr>
      <w:rPr>
        <w:rFonts w:hint="default"/>
        <w:sz w:val="16"/>
      </w:r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E33016"/>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EC7E3A"/>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6912A6C"/>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001A5F"/>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617BF5"/>
    <w:multiLevelType w:val="hybridMultilevel"/>
    <w:tmpl w:val="87D0C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1096F"/>
    <w:multiLevelType w:val="multilevel"/>
    <w:tmpl w:val="CEE854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BAA1B05"/>
    <w:multiLevelType w:val="hybridMultilevel"/>
    <w:tmpl w:val="E7CCF9A8"/>
    <w:lvl w:ilvl="0" w:tplc="FD9E52E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D7117B"/>
    <w:multiLevelType w:val="hybridMultilevel"/>
    <w:tmpl w:val="2460E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BD66C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1E658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2FA3615"/>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A07D11"/>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CF237B0"/>
    <w:multiLevelType w:val="hybridMultilevel"/>
    <w:tmpl w:val="8FE4B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5E40F9"/>
    <w:multiLevelType w:val="hybridMultilevel"/>
    <w:tmpl w:val="F87E856A"/>
    <w:lvl w:ilvl="0" w:tplc="D9BA42D6">
      <w:start w:val="1"/>
      <w:numFmt w:val="decimal"/>
      <w:lvlText w:val="%1"/>
      <w:lvlJc w:val="left"/>
      <w:pPr>
        <w:ind w:left="720" w:hanging="360"/>
      </w:pPr>
      <w:rPr>
        <w:rFonts w:ascii="Garamond" w:hAnsi="Garamond" w:hint="default"/>
        <w:sz w:val="20"/>
        <w:szCs w:val="2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705F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5DD45B8"/>
    <w:multiLevelType w:val="hybridMultilevel"/>
    <w:tmpl w:val="F70076DA"/>
    <w:lvl w:ilvl="0" w:tplc="78D29880">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A216130"/>
    <w:multiLevelType w:val="hybridMultilevel"/>
    <w:tmpl w:val="EDA0D5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0C5538"/>
    <w:multiLevelType w:val="hybridMultilevel"/>
    <w:tmpl w:val="8384D542"/>
    <w:lvl w:ilvl="0" w:tplc="FA0AFB62">
      <w:start w:val="30"/>
      <w:numFmt w:val="bullet"/>
      <w:lvlText w:val=""/>
      <w:lvlJc w:val="left"/>
      <w:pPr>
        <w:ind w:left="720" w:hanging="360"/>
      </w:pPr>
      <w:rPr>
        <w:rFonts w:ascii="Wingdings" w:eastAsiaTheme="minorEastAsia" w:hAnsi="Wingdings"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A82561"/>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E66A3D"/>
    <w:multiLevelType w:val="hybridMultilevel"/>
    <w:tmpl w:val="0F965F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8D1147"/>
    <w:multiLevelType w:val="hybridMultilevel"/>
    <w:tmpl w:val="2F86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3D2510"/>
    <w:multiLevelType w:val="multilevel"/>
    <w:tmpl w:val="CEE854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E3213FD"/>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53919651">
    <w:abstractNumId w:val="7"/>
  </w:num>
  <w:num w:numId="2" w16cid:durableId="1444110021">
    <w:abstractNumId w:val="28"/>
  </w:num>
  <w:num w:numId="3" w16cid:durableId="2010521244">
    <w:abstractNumId w:val="30"/>
  </w:num>
  <w:num w:numId="4" w16cid:durableId="203492615">
    <w:abstractNumId w:val="17"/>
  </w:num>
  <w:num w:numId="5" w16cid:durableId="1999265724">
    <w:abstractNumId w:val="11"/>
  </w:num>
  <w:num w:numId="6" w16cid:durableId="1732077037">
    <w:abstractNumId w:val="0"/>
  </w:num>
  <w:num w:numId="7" w16cid:durableId="1965504663">
    <w:abstractNumId w:val="9"/>
  </w:num>
  <w:num w:numId="8" w16cid:durableId="1256206762">
    <w:abstractNumId w:val="8"/>
  </w:num>
  <w:num w:numId="9" w16cid:durableId="22023365">
    <w:abstractNumId w:val="16"/>
  </w:num>
  <w:num w:numId="10" w16cid:durableId="37433501">
    <w:abstractNumId w:val="13"/>
  </w:num>
  <w:num w:numId="11" w16cid:durableId="764686990">
    <w:abstractNumId w:val="2"/>
  </w:num>
  <w:num w:numId="12" w16cid:durableId="667056075">
    <w:abstractNumId w:val="23"/>
  </w:num>
  <w:num w:numId="13" w16cid:durableId="1945721557">
    <w:abstractNumId w:val="31"/>
  </w:num>
  <w:num w:numId="14" w16cid:durableId="1800295813">
    <w:abstractNumId w:val="15"/>
  </w:num>
  <w:num w:numId="15" w16cid:durableId="318732105">
    <w:abstractNumId w:val="29"/>
  </w:num>
  <w:num w:numId="16" w16cid:durableId="190920166">
    <w:abstractNumId w:val="5"/>
  </w:num>
  <w:num w:numId="17" w16cid:durableId="1800536906">
    <w:abstractNumId w:val="32"/>
  </w:num>
  <w:num w:numId="18" w16cid:durableId="1619726617">
    <w:abstractNumId w:val="6"/>
  </w:num>
  <w:num w:numId="19" w16cid:durableId="600995046">
    <w:abstractNumId w:val="20"/>
  </w:num>
  <w:num w:numId="20" w16cid:durableId="1793549029">
    <w:abstractNumId w:val="25"/>
  </w:num>
  <w:num w:numId="21" w16cid:durableId="952130804">
    <w:abstractNumId w:val="3"/>
  </w:num>
  <w:num w:numId="22" w16cid:durableId="1277060998">
    <w:abstractNumId w:val="24"/>
  </w:num>
  <w:num w:numId="23" w16cid:durableId="1123693807">
    <w:abstractNumId w:val="27"/>
  </w:num>
  <w:num w:numId="24" w16cid:durableId="1877810588">
    <w:abstractNumId w:val="26"/>
  </w:num>
  <w:num w:numId="25" w16cid:durableId="475607194">
    <w:abstractNumId w:val="33"/>
  </w:num>
  <w:num w:numId="26" w16cid:durableId="795759683">
    <w:abstractNumId w:val="12"/>
  </w:num>
  <w:num w:numId="27" w16cid:durableId="1144660793">
    <w:abstractNumId w:val="14"/>
  </w:num>
  <w:num w:numId="28" w16cid:durableId="1843011453">
    <w:abstractNumId w:val="35"/>
  </w:num>
  <w:num w:numId="29" w16cid:durableId="759906238">
    <w:abstractNumId w:val="4"/>
  </w:num>
  <w:num w:numId="30" w16cid:durableId="226502870">
    <w:abstractNumId w:val="21"/>
  </w:num>
  <w:num w:numId="31" w16cid:durableId="1658723726">
    <w:abstractNumId w:val="19"/>
  </w:num>
  <w:num w:numId="32" w16cid:durableId="227811454">
    <w:abstractNumId w:val="22"/>
  </w:num>
  <w:num w:numId="33" w16cid:durableId="117845858">
    <w:abstractNumId w:val="18"/>
  </w:num>
  <w:num w:numId="34" w16cid:durableId="756294248">
    <w:abstractNumId w:val="1"/>
  </w:num>
  <w:num w:numId="35" w16cid:durableId="99229411">
    <w:abstractNumId w:val="34"/>
  </w:num>
  <w:num w:numId="36" w16cid:durableId="18029162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2D2"/>
    <w:rsid w:val="000A51BF"/>
    <w:rsid w:val="000B30BC"/>
    <w:rsid w:val="0011183D"/>
    <w:rsid w:val="001210F3"/>
    <w:rsid w:val="0018479A"/>
    <w:rsid w:val="00194C31"/>
    <w:rsid w:val="001A1883"/>
    <w:rsid w:val="001D373D"/>
    <w:rsid w:val="002225D6"/>
    <w:rsid w:val="00262B22"/>
    <w:rsid w:val="00272CFB"/>
    <w:rsid w:val="002C3E0E"/>
    <w:rsid w:val="002C49FA"/>
    <w:rsid w:val="002D265F"/>
    <w:rsid w:val="00313E97"/>
    <w:rsid w:val="00315CF9"/>
    <w:rsid w:val="00317483"/>
    <w:rsid w:val="00341D6A"/>
    <w:rsid w:val="0036085F"/>
    <w:rsid w:val="003674B1"/>
    <w:rsid w:val="003A4BF3"/>
    <w:rsid w:val="003E63AF"/>
    <w:rsid w:val="0040436E"/>
    <w:rsid w:val="00413EEA"/>
    <w:rsid w:val="00493BB4"/>
    <w:rsid w:val="004975E4"/>
    <w:rsid w:val="004A1F25"/>
    <w:rsid w:val="004C2798"/>
    <w:rsid w:val="004C50F3"/>
    <w:rsid w:val="00504F07"/>
    <w:rsid w:val="00530FA5"/>
    <w:rsid w:val="00541FC3"/>
    <w:rsid w:val="00547C81"/>
    <w:rsid w:val="00552011"/>
    <w:rsid w:val="00570A54"/>
    <w:rsid w:val="00576E6C"/>
    <w:rsid w:val="005F4186"/>
    <w:rsid w:val="005F6056"/>
    <w:rsid w:val="005F669A"/>
    <w:rsid w:val="0064328B"/>
    <w:rsid w:val="00656027"/>
    <w:rsid w:val="00680003"/>
    <w:rsid w:val="006A1BE1"/>
    <w:rsid w:val="006D528A"/>
    <w:rsid w:val="006E7C40"/>
    <w:rsid w:val="007013E6"/>
    <w:rsid w:val="007133DE"/>
    <w:rsid w:val="007D1DB4"/>
    <w:rsid w:val="008505BB"/>
    <w:rsid w:val="008847A5"/>
    <w:rsid w:val="0089220B"/>
    <w:rsid w:val="008A0CC5"/>
    <w:rsid w:val="0092062C"/>
    <w:rsid w:val="00925F4B"/>
    <w:rsid w:val="009640C5"/>
    <w:rsid w:val="009A1922"/>
    <w:rsid w:val="009C0B7E"/>
    <w:rsid w:val="00A15AAB"/>
    <w:rsid w:val="00A34E10"/>
    <w:rsid w:val="00A452D2"/>
    <w:rsid w:val="00A545B0"/>
    <w:rsid w:val="00A738DD"/>
    <w:rsid w:val="00AB0B93"/>
    <w:rsid w:val="00AB55C5"/>
    <w:rsid w:val="00AD3DBE"/>
    <w:rsid w:val="00AD5604"/>
    <w:rsid w:val="00AD7D9C"/>
    <w:rsid w:val="00B15302"/>
    <w:rsid w:val="00B21335"/>
    <w:rsid w:val="00B273C2"/>
    <w:rsid w:val="00B554FA"/>
    <w:rsid w:val="00B57ACA"/>
    <w:rsid w:val="00B943C6"/>
    <w:rsid w:val="00BB04CB"/>
    <w:rsid w:val="00BE6CAC"/>
    <w:rsid w:val="00BF452E"/>
    <w:rsid w:val="00C304FF"/>
    <w:rsid w:val="00C36239"/>
    <w:rsid w:val="00C37E9F"/>
    <w:rsid w:val="00C66500"/>
    <w:rsid w:val="00C67819"/>
    <w:rsid w:val="00CA74FD"/>
    <w:rsid w:val="00CD33BD"/>
    <w:rsid w:val="00CE6346"/>
    <w:rsid w:val="00CF26A4"/>
    <w:rsid w:val="00D05B5B"/>
    <w:rsid w:val="00D26F27"/>
    <w:rsid w:val="00D7463E"/>
    <w:rsid w:val="00D94588"/>
    <w:rsid w:val="00DE24B4"/>
    <w:rsid w:val="00DE2D61"/>
    <w:rsid w:val="00E5168B"/>
    <w:rsid w:val="00F12A2A"/>
    <w:rsid w:val="00F53D6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4849556"/>
  <w15:chartTrackingRefBased/>
  <w15:docId w15:val="{EA6C100B-B595-A342-B90F-DB4EA7216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2D2"/>
    <w:rPr>
      <w:lang w:val="en-GB"/>
    </w:rPr>
  </w:style>
  <w:style w:type="paragraph" w:styleId="Heading9">
    <w:name w:val="heading 9"/>
    <w:basedOn w:val="Normal"/>
    <w:next w:val="Normal"/>
    <w:link w:val="Heading9Char"/>
    <w:qFormat/>
    <w:rsid w:val="00A452D2"/>
    <w:pPr>
      <w:keepNext/>
      <w:jc w:val="center"/>
      <w:outlineLvl w:val="8"/>
    </w:pPr>
    <w:rPr>
      <w:rFonts w:ascii="Times New Roman" w:eastAsia="Times New Roman" w:hAnsi="Times New Roman" w:cs="Times New Roman"/>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A452D2"/>
    <w:rPr>
      <w:rFonts w:ascii="Times New Roman" w:eastAsia="Times New Roman" w:hAnsi="Times New Roman" w:cs="Times New Roman"/>
      <w:u w:val="single"/>
      <w:lang w:val="en-GB" w:eastAsia="en-US"/>
    </w:rPr>
  </w:style>
  <w:style w:type="paragraph" w:styleId="ListParagraph">
    <w:name w:val="List Paragraph"/>
    <w:basedOn w:val="Normal"/>
    <w:uiPriority w:val="34"/>
    <w:qFormat/>
    <w:rsid w:val="00A452D2"/>
    <w:pPr>
      <w:ind w:left="720"/>
      <w:contextualSpacing/>
    </w:pPr>
  </w:style>
  <w:style w:type="paragraph" w:styleId="FootnoteText">
    <w:name w:val="footnote text"/>
    <w:basedOn w:val="Normal"/>
    <w:link w:val="FootnoteTextChar"/>
    <w:uiPriority w:val="99"/>
    <w:unhideWhenUsed/>
    <w:rsid w:val="00A452D2"/>
  </w:style>
  <w:style w:type="character" w:customStyle="1" w:styleId="FootnoteTextChar">
    <w:name w:val="Footnote Text Char"/>
    <w:basedOn w:val="DefaultParagraphFont"/>
    <w:link w:val="FootnoteText"/>
    <w:uiPriority w:val="99"/>
    <w:rsid w:val="00A452D2"/>
    <w:rPr>
      <w:lang w:val="en-GB"/>
    </w:rPr>
  </w:style>
  <w:style w:type="character" w:styleId="FootnoteReference">
    <w:name w:val="footnote reference"/>
    <w:basedOn w:val="DefaultParagraphFont"/>
    <w:uiPriority w:val="99"/>
    <w:unhideWhenUsed/>
    <w:rsid w:val="00A452D2"/>
    <w:rPr>
      <w:vertAlign w:val="superscript"/>
    </w:rPr>
  </w:style>
  <w:style w:type="paragraph" w:styleId="Header">
    <w:name w:val="header"/>
    <w:basedOn w:val="Normal"/>
    <w:link w:val="HeaderChar"/>
    <w:uiPriority w:val="99"/>
    <w:unhideWhenUsed/>
    <w:rsid w:val="00A452D2"/>
    <w:pPr>
      <w:tabs>
        <w:tab w:val="center" w:pos="4320"/>
        <w:tab w:val="right" w:pos="8640"/>
      </w:tabs>
    </w:pPr>
  </w:style>
  <w:style w:type="character" w:customStyle="1" w:styleId="HeaderChar">
    <w:name w:val="Header Char"/>
    <w:basedOn w:val="DefaultParagraphFont"/>
    <w:link w:val="Header"/>
    <w:uiPriority w:val="99"/>
    <w:rsid w:val="00A452D2"/>
    <w:rPr>
      <w:lang w:val="en-GB"/>
    </w:rPr>
  </w:style>
  <w:style w:type="paragraph" w:styleId="Footer">
    <w:name w:val="footer"/>
    <w:basedOn w:val="Normal"/>
    <w:link w:val="FooterChar"/>
    <w:uiPriority w:val="99"/>
    <w:unhideWhenUsed/>
    <w:rsid w:val="00A452D2"/>
    <w:pPr>
      <w:tabs>
        <w:tab w:val="center" w:pos="4320"/>
        <w:tab w:val="right" w:pos="8640"/>
      </w:tabs>
    </w:pPr>
  </w:style>
  <w:style w:type="character" w:customStyle="1" w:styleId="FooterChar">
    <w:name w:val="Footer Char"/>
    <w:basedOn w:val="DefaultParagraphFont"/>
    <w:link w:val="Footer"/>
    <w:uiPriority w:val="99"/>
    <w:rsid w:val="00A452D2"/>
    <w:rPr>
      <w:lang w:val="en-GB"/>
    </w:rPr>
  </w:style>
  <w:style w:type="character" w:styleId="Hyperlink">
    <w:name w:val="Hyperlink"/>
    <w:basedOn w:val="DefaultParagraphFont"/>
    <w:uiPriority w:val="99"/>
    <w:unhideWhenUsed/>
    <w:rsid w:val="00A452D2"/>
    <w:rPr>
      <w:color w:val="0563C1" w:themeColor="hyperlink"/>
      <w:u w:val="single"/>
    </w:rPr>
  </w:style>
  <w:style w:type="character" w:styleId="PageNumber">
    <w:name w:val="page number"/>
    <w:basedOn w:val="DefaultParagraphFont"/>
    <w:uiPriority w:val="99"/>
    <w:semiHidden/>
    <w:unhideWhenUsed/>
    <w:rsid w:val="00A452D2"/>
  </w:style>
  <w:style w:type="character" w:customStyle="1" w:styleId="apple-converted-space">
    <w:name w:val="apple-converted-space"/>
    <w:basedOn w:val="DefaultParagraphFont"/>
    <w:rsid w:val="00A452D2"/>
  </w:style>
  <w:style w:type="character" w:styleId="UnresolvedMention">
    <w:name w:val="Unresolved Mention"/>
    <w:basedOn w:val="DefaultParagraphFont"/>
    <w:uiPriority w:val="99"/>
    <w:rsid w:val="00A452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2135</Words>
  <Characters>12171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2023-01-21T21:59:00Z</dcterms:created>
  <dcterms:modified xsi:type="dcterms:W3CDTF">2023-01-21T22:07:00Z</dcterms:modified>
</cp:coreProperties>
</file>