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0A3E96" w14:textId="4626AC74" w:rsidR="009E2D81" w:rsidRPr="003D080E" w:rsidRDefault="009E2D81" w:rsidP="003D080E">
      <w:pPr>
        <w:spacing w:after="0" w:line="240" w:lineRule="auto"/>
        <w:jc w:val="right"/>
        <w:rPr>
          <w:rFonts w:ascii="Simplified Arabic" w:eastAsia="Times New Roman" w:hAnsi="Simplified Arabic" w:cs="Simplified Arabic"/>
          <w:noProof/>
          <w:sz w:val="24"/>
          <w:szCs w:val="24"/>
          <w:rtl/>
        </w:rPr>
      </w:pPr>
      <w:r w:rsidRPr="003D080E">
        <w:rPr>
          <w:rFonts w:asciiTheme="majorBidi" w:hAnsiTheme="majorBidi" w:cs="Times New Roman"/>
          <w:noProof/>
          <w:sz w:val="28"/>
          <w:szCs w:val="28"/>
          <w:rtl/>
          <w:lang w:bidi="ar-SA"/>
        </w:rPr>
        <w:drawing>
          <wp:anchor distT="0" distB="0" distL="114300" distR="114300" simplePos="0" relativeHeight="251659264" behindDoc="0" locked="0" layoutInCell="1" allowOverlap="1" wp14:anchorId="54B2A566" wp14:editId="643D9511">
            <wp:simplePos x="0" y="0"/>
            <wp:positionH relativeFrom="column">
              <wp:posOffset>1476375</wp:posOffset>
            </wp:positionH>
            <wp:positionV relativeFrom="paragraph">
              <wp:posOffset>-419100</wp:posOffset>
            </wp:positionV>
            <wp:extent cx="1803400" cy="1270000"/>
            <wp:effectExtent l="0" t="0" r="0" b="0"/>
            <wp:wrapNone/>
            <wp:docPr id="197521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521611" name=""/>
                    <pic:cNvPicPr/>
                  </pic:nvPicPr>
                  <pic:blipFill>
                    <a:blip r:embed="rId9"/>
                    <a:stretch>
                      <a:fillRect/>
                    </a:stretch>
                  </pic:blipFill>
                  <pic:spPr>
                    <a:xfrm>
                      <a:off x="0" y="0"/>
                      <a:ext cx="1803400" cy="1270000"/>
                    </a:xfrm>
                    <a:prstGeom prst="rect">
                      <a:avLst/>
                    </a:prstGeom>
                  </pic:spPr>
                </pic:pic>
              </a:graphicData>
            </a:graphic>
            <wp14:sizeRelH relativeFrom="page">
              <wp14:pctWidth>0</wp14:pctWidth>
            </wp14:sizeRelH>
            <wp14:sizeRelV relativeFrom="page">
              <wp14:pctHeight>0</wp14:pctHeight>
            </wp14:sizeRelV>
          </wp:anchor>
        </w:drawing>
      </w:r>
    </w:p>
    <w:p w14:paraId="7E111D6E" w14:textId="77777777" w:rsidR="009E2D81" w:rsidRPr="003D080E" w:rsidRDefault="009E2D81" w:rsidP="003D080E">
      <w:pPr>
        <w:bidi/>
        <w:spacing w:after="0" w:line="240" w:lineRule="auto"/>
        <w:jc w:val="both"/>
        <w:rPr>
          <w:rFonts w:ascii="Simplified Arabic" w:eastAsia="Times New Roman" w:hAnsi="Simplified Arabic" w:cs="Simplified Arabic"/>
          <w:b/>
          <w:bCs/>
          <w:noProof/>
          <w:sz w:val="28"/>
          <w:szCs w:val="28"/>
          <w:rtl/>
        </w:rPr>
      </w:pPr>
    </w:p>
    <w:p w14:paraId="4C2655AE" w14:textId="231852D0" w:rsidR="00FC7410" w:rsidRPr="003D080E" w:rsidRDefault="00FC7410" w:rsidP="003D080E">
      <w:pPr>
        <w:bidi/>
        <w:spacing w:after="0" w:line="240" w:lineRule="auto"/>
        <w:jc w:val="center"/>
        <w:rPr>
          <w:rFonts w:ascii="Simplified Arabic" w:eastAsia="Times New Roman" w:hAnsi="Simplified Arabic" w:cs="Simplified Arabic"/>
          <w:b/>
          <w:bCs/>
          <w:noProof/>
          <w:sz w:val="28"/>
          <w:szCs w:val="28"/>
          <w:rtl/>
        </w:rPr>
      </w:pPr>
    </w:p>
    <w:p w14:paraId="70C2D4C8" w14:textId="77777777" w:rsidR="003D080E" w:rsidRDefault="003D080E" w:rsidP="003D080E">
      <w:pPr>
        <w:spacing w:after="0" w:line="240" w:lineRule="auto"/>
        <w:jc w:val="center"/>
        <w:rPr>
          <w:rFonts w:ascii="Times New Roman" w:eastAsia="Times New Roman" w:hAnsi="Times New Roman" w:cs="Times New Roman"/>
          <w:b/>
          <w:bCs/>
          <w:noProof/>
          <w:sz w:val="24"/>
          <w:szCs w:val="24"/>
        </w:rPr>
      </w:pPr>
    </w:p>
    <w:p w14:paraId="7DF4DE2A" w14:textId="6444AA9E" w:rsidR="003D080E" w:rsidRPr="003D080E" w:rsidRDefault="003D080E" w:rsidP="003D080E">
      <w:pPr>
        <w:spacing w:after="0" w:line="240" w:lineRule="auto"/>
        <w:jc w:val="center"/>
        <w:rPr>
          <w:rFonts w:ascii="Times New Roman" w:eastAsia="Times New Roman" w:hAnsi="Times New Roman" w:cs="Times New Roman"/>
          <w:b/>
          <w:bCs/>
          <w:noProof/>
          <w:sz w:val="24"/>
          <w:szCs w:val="24"/>
        </w:rPr>
      </w:pPr>
      <w:r w:rsidRPr="003D080E">
        <w:rPr>
          <w:rFonts w:ascii="Times New Roman" w:eastAsia="Times New Roman" w:hAnsi="Times New Roman" w:cs="Times New Roman"/>
          <w:b/>
          <w:bCs/>
          <w:noProof/>
          <w:sz w:val="24"/>
          <w:szCs w:val="24"/>
        </w:rPr>
        <w:t>Contribution of the National Center for Human Rights in the context of the adoption of the List of Issues Prior to Reporting (LOIPR) for Jordan by the Human Rights Committee during its 143</w:t>
      </w:r>
      <w:r w:rsidRPr="003D080E">
        <w:rPr>
          <w:rFonts w:ascii="Times New Roman" w:eastAsia="Times New Roman" w:hAnsi="Times New Roman" w:cs="Times New Roman"/>
          <w:b/>
          <w:bCs/>
          <w:noProof/>
          <w:sz w:val="24"/>
          <w:szCs w:val="24"/>
          <w:vertAlign w:val="superscript"/>
        </w:rPr>
        <w:t>rd</w:t>
      </w:r>
      <w:r>
        <w:rPr>
          <w:rFonts w:ascii="Times New Roman" w:eastAsia="Times New Roman" w:hAnsi="Times New Roman" w:cs="Times New Roman"/>
          <w:b/>
          <w:bCs/>
          <w:noProof/>
          <w:sz w:val="24"/>
          <w:szCs w:val="24"/>
        </w:rPr>
        <w:t xml:space="preserve"> </w:t>
      </w:r>
      <w:r w:rsidRPr="003D080E">
        <w:rPr>
          <w:rFonts w:ascii="Times New Roman" w:eastAsia="Times New Roman" w:hAnsi="Times New Roman" w:cs="Times New Roman"/>
          <w:b/>
          <w:bCs/>
          <w:noProof/>
          <w:sz w:val="24"/>
          <w:szCs w:val="24"/>
        </w:rPr>
        <w:t>session, which will be held between 3 and 28 March 2025.</w:t>
      </w:r>
    </w:p>
    <w:p w14:paraId="35FBF715"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p>
    <w:p w14:paraId="1E42A3FE"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Jordan has taken important qualitative steps in the framework of protecting human rights within the framework of civil and political rights, most notably:</w:t>
      </w:r>
    </w:p>
    <w:p w14:paraId="47EF0938" w14:textId="77777777" w:rsidR="00744DD3" w:rsidRDefault="00744DD3" w:rsidP="003D080E">
      <w:pPr>
        <w:spacing w:after="0" w:line="240" w:lineRule="auto"/>
        <w:jc w:val="both"/>
        <w:rPr>
          <w:rFonts w:ascii="Times New Roman" w:eastAsia="Times New Roman" w:hAnsi="Times New Roman" w:cs="Times New Roman"/>
          <w:noProof/>
          <w:sz w:val="24"/>
          <w:szCs w:val="24"/>
        </w:rPr>
      </w:pPr>
    </w:p>
    <w:p w14:paraId="7D9A060F" w14:textId="56526AD9" w:rsidR="003D080E" w:rsidRPr="004908C4" w:rsidRDefault="003D080E" w:rsidP="004908C4">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4908C4">
        <w:rPr>
          <w:rFonts w:ascii="Times New Roman" w:eastAsia="Times New Roman" w:hAnsi="Times New Roman" w:cs="Times New Roman"/>
          <w:noProof/>
          <w:sz w:val="24"/>
          <w:szCs w:val="24"/>
        </w:rPr>
        <w:t>A package of amendments to important legislation, most notably the Penal Code, especially with regard to the introduction of alternative penalties to imprisonment</w:t>
      </w:r>
      <w:r w:rsidR="002E2424" w:rsidRPr="004908C4">
        <w:rPr>
          <w:rFonts w:ascii="Times New Roman" w:eastAsia="Times New Roman" w:hAnsi="Times New Roman" w:cs="Times New Roman"/>
          <w:noProof/>
          <w:sz w:val="24"/>
          <w:szCs w:val="24"/>
        </w:rPr>
        <w:t xml:space="preserve">, </w:t>
      </w:r>
      <w:r w:rsidRPr="004908C4">
        <w:rPr>
          <w:rFonts w:ascii="Times New Roman" w:eastAsia="Times New Roman" w:hAnsi="Times New Roman" w:cs="Times New Roman"/>
          <w:noProof/>
          <w:sz w:val="24"/>
          <w:szCs w:val="24"/>
        </w:rPr>
        <w:t xml:space="preserve">the </w:t>
      </w:r>
      <w:r w:rsidR="002E2424" w:rsidRPr="004908C4">
        <w:rPr>
          <w:rFonts w:ascii="Times New Roman" w:hAnsi="Times New Roman" w:cs="Times New Roman"/>
          <w:sz w:val="24"/>
          <w:szCs w:val="24"/>
          <w:lang w:bidi="ar-SA"/>
        </w:rPr>
        <w:t>Rules of Penal Trials Code</w:t>
      </w:r>
      <w:r w:rsidRPr="004908C4">
        <w:rPr>
          <w:rFonts w:ascii="Times New Roman" w:eastAsia="Times New Roman" w:hAnsi="Times New Roman" w:cs="Times New Roman"/>
          <w:noProof/>
          <w:sz w:val="24"/>
          <w:szCs w:val="24"/>
        </w:rPr>
        <w:t xml:space="preserve"> by </w:t>
      </w:r>
      <w:r w:rsidR="004908C4" w:rsidRPr="004908C4">
        <w:rPr>
          <w:rFonts w:ascii="Times New Roman" w:eastAsia="Times New Roman" w:hAnsi="Times New Roman" w:cs="Times New Roman"/>
          <w:noProof/>
          <w:sz w:val="24"/>
          <w:szCs w:val="24"/>
        </w:rPr>
        <w:t xml:space="preserve">developing </w:t>
      </w:r>
      <w:r w:rsidRPr="004908C4">
        <w:rPr>
          <w:rFonts w:ascii="Times New Roman" w:eastAsia="Times New Roman" w:hAnsi="Times New Roman" w:cs="Times New Roman"/>
          <w:noProof/>
          <w:sz w:val="24"/>
          <w:szCs w:val="24"/>
        </w:rPr>
        <w:t>controls for the detention process and alternatives to temporary detention, and raising the minimum limit for the crime of torture from six months to one year.</w:t>
      </w:r>
    </w:p>
    <w:p w14:paraId="18E775E5" w14:textId="091FEAA8" w:rsidR="003D080E" w:rsidRPr="003D080E" w:rsidRDefault="003D080E" w:rsidP="004908C4">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Developing the National Strategy for Criminal Justice, which included frameworks for action, including developing the conditions of correctional and rehabilitation centers, increasing the training of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enforcement personnel on the rights of inmates of correctional and rehabilitation centers, and expanding the framework of legal aid.</w:t>
      </w:r>
    </w:p>
    <w:p w14:paraId="02A2A331" w14:textId="502B302F" w:rsidR="003D080E" w:rsidRPr="003D080E" w:rsidRDefault="003D080E" w:rsidP="004908C4">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Launching the National Strategy to Prevent Human Trafficking (2019-2022) and then re-launching it in 2024 after updating it, which required the preparation of a special referral system for human trafficking cases that ensures the prosecution of perpetrators of the crime and the provision of care to victims.</w:t>
      </w:r>
    </w:p>
    <w:p w14:paraId="345B4FD7" w14:textId="60C5B753" w:rsidR="003D080E" w:rsidRPr="003D080E" w:rsidRDefault="003D080E" w:rsidP="005E7C6B">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The Jordanian </w:t>
      </w:r>
      <w:r w:rsidR="005E7C6B">
        <w:rPr>
          <w:rFonts w:ascii="Times New Roman" w:eastAsia="Times New Roman" w:hAnsi="Times New Roman" w:cs="Times New Roman"/>
          <w:noProof/>
          <w:sz w:val="24"/>
          <w:szCs w:val="24"/>
        </w:rPr>
        <w:t>G</w:t>
      </w:r>
      <w:r w:rsidRPr="003D080E">
        <w:rPr>
          <w:rFonts w:ascii="Times New Roman" w:eastAsia="Times New Roman" w:hAnsi="Times New Roman" w:cs="Times New Roman"/>
          <w:noProof/>
          <w:sz w:val="24"/>
          <w:szCs w:val="24"/>
        </w:rPr>
        <w:t>overnment, in partnership with all sectors, began reviewing and evaluating the national plan to spread the culture of human rights, with the aim of developing it and addressing the imbalances that emerged during implementation.</w:t>
      </w:r>
    </w:p>
    <w:p w14:paraId="2E12B810" w14:textId="3C66226E" w:rsidR="003D080E" w:rsidRPr="003D080E" w:rsidRDefault="003D080E" w:rsidP="00D53564">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Improving the conditions of the detention environment. There were several initiatives, most notably: completing the maintenance of the Qafqafa Correctional and Rehabilitation Center and activating it, re-maintaining the women's detention section at Umm Al-Lulu Correctional and Rehabilitation Center and re-activating it, establishing a coffee factory at Armemin Correctional and Rehabilitation Center, expanding the activation of the remote trial system, establishing a handicraft workshop at Juwaida Correctional and Rehabilitation Center, and establishing a sewing workshop at Zarqa Correctional and Rehabilitation Center.</w:t>
      </w:r>
    </w:p>
    <w:p w14:paraId="1F2BF6D6" w14:textId="0007054C" w:rsidR="003D080E" w:rsidRPr="003D080E" w:rsidRDefault="003D080E" w:rsidP="004908C4">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Opening public prosecution offices in all correctional and rehabilitation centers.</w:t>
      </w:r>
    </w:p>
    <w:p w14:paraId="74A92BFB" w14:textId="63D27B49" w:rsidR="003D080E" w:rsidRPr="003D080E" w:rsidRDefault="003D080E" w:rsidP="00C37FA2">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In implementation of Jordan's voluntary commitments in the "Fourth Transparent Governments" </w:t>
      </w:r>
      <w:r w:rsidR="00D53564">
        <w:rPr>
          <w:rFonts w:ascii="Times New Roman" w:eastAsia="Times New Roman" w:hAnsi="Times New Roman" w:cs="Times New Roman"/>
          <w:noProof/>
          <w:sz w:val="24"/>
          <w:szCs w:val="24"/>
        </w:rPr>
        <w:t>I</w:t>
      </w:r>
      <w:r w:rsidRPr="003D080E">
        <w:rPr>
          <w:rFonts w:ascii="Times New Roman" w:eastAsia="Times New Roman" w:hAnsi="Times New Roman" w:cs="Times New Roman"/>
          <w:noProof/>
          <w:sz w:val="24"/>
          <w:szCs w:val="24"/>
        </w:rPr>
        <w:t xml:space="preserve">nitiative, the </w:t>
      </w:r>
      <w:r w:rsidR="00D53564">
        <w:rPr>
          <w:rFonts w:ascii="Times New Roman" w:eastAsia="Times New Roman" w:hAnsi="Times New Roman" w:cs="Times New Roman"/>
          <w:noProof/>
          <w:sz w:val="24"/>
          <w:szCs w:val="24"/>
        </w:rPr>
        <w:t>G</w:t>
      </w:r>
      <w:r w:rsidRPr="003D080E">
        <w:rPr>
          <w:rFonts w:ascii="Times New Roman" w:eastAsia="Times New Roman" w:hAnsi="Times New Roman" w:cs="Times New Roman"/>
          <w:noProof/>
          <w:sz w:val="24"/>
          <w:szCs w:val="24"/>
        </w:rPr>
        <w:t>overnment implement</w:t>
      </w:r>
      <w:r w:rsidR="00D53564">
        <w:rPr>
          <w:rFonts w:ascii="Times New Roman" w:eastAsia="Times New Roman" w:hAnsi="Times New Roman" w:cs="Times New Roman"/>
          <w:noProof/>
          <w:sz w:val="24"/>
          <w:szCs w:val="24"/>
        </w:rPr>
        <w:t>ed</w:t>
      </w:r>
      <w:r w:rsidRPr="003D080E">
        <w:rPr>
          <w:rFonts w:ascii="Times New Roman" w:eastAsia="Times New Roman" w:hAnsi="Times New Roman" w:cs="Times New Roman"/>
          <w:noProof/>
          <w:sz w:val="24"/>
          <w:szCs w:val="24"/>
        </w:rPr>
        <w:t xml:space="preserve"> the fourth commitment "unifying and developing mechanisms for receiving complaints related to human rights violations", by establishing a national system for receiving and </w:t>
      </w:r>
      <w:r w:rsidR="00C37FA2">
        <w:rPr>
          <w:rFonts w:ascii="Times New Roman" w:eastAsia="Times New Roman" w:hAnsi="Times New Roman" w:cs="Times New Roman"/>
          <w:noProof/>
          <w:sz w:val="24"/>
          <w:szCs w:val="24"/>
        </w:rPr>
        <w:t xml:space="preserve">handling </w:t>
      </w:r>
      <w:r w:rsidRPr="003D080E">
        <w:rPr>
          <w:rFonts w:ascii="Times New Roman" w:eastAsia="Times New Roman" w:hAnsi="Times New Roman" w:cs="Times New Roman"/>
          <w:noProof/>
          <w:sz w:val="24"/>
          <w:szCs w:val="24"/>
        </w:rPr>
        <w:t>complaints.</w:t>
      </w:r>
    </w:p>
    <w:p w14:paraId="19093DE3"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p>
    <w:p w14:paraId="1297F121" w14:textId="77777777" w:rsidR="003D080E" w:rsidRPr="008F264B" w:rsidRDefault="003D080E" w:rsidP="003D080E">
      <w:pPr>
        <w:spacing w:after="0" w:line="240" w:lineRule="auto"/>
        <w:jc w:val="both"/>
        <w:rPr>
          <w:rFonts w:ascii="Times New Roman" w:eastAsia="Times New Roman" w:hAnsi="Times New Roman" w:cs="Times New Roman"/>
          <w:b/>
          <w:bCs/>
          <w:noProof/>
          <w:sz w:val="24"/>
          <w:szCs w:val="24"/>
        </w:rPr>
      </w:pPr>
      <w:r w:rsidRPr="008F264B">
        <w:rPr>
          <w:rFonts w:ascii="Times New Roman" w:eastAsia="Times New Roman" w:hAnsi="Times New Roman" w:cs="Times New Roman"/>
          <w:b/>
          <w:bCs/>
          <w:noProof/>
          <w:sz w:val="24"/>
          <w:szCs w:val="24"/>
        </w:rPr>
        <w:t>In the context of civil and political rights and the concluding observations of the Committee:</w:t>
      </w:r>
    </w:p>
    <w:p w14:paraId="6A0A3349" w14:textId="1E92775E" w:rsidR="003D080E" w:rsidRPr="003D080E" w:rsidRDefault="003D080E" w:rsidP="00397B3B">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lastRenderedPageBreak/>
        <w:t xml:space="preserve">The </w:t>
      </w:r>
      <w:r w:rsidR="00397B3B">
        <w:rPr>
          <w:rFonts w:ascii="Times New Roman" w:eastAsia="Times New Roman" w:hAnsi="Times New Roman" w:cs="Times New Roman"/>
          <w:noProof/>
          <w:sz w:val="24"/>
          <w:szCs w:val="24"/>
        </w:rPr>
        <w:t xml:space="preserve">applicable </w:t>
      </w:r>
      <w:r w:rsidRPr="003D080E">
        <w:rPr>
          <w:rFonts w:ascii="Times New Roman" w:eastAsia="Times New Roman" w:hAnsi="Times New Roman" w:cs="Times New Roman"/>
          <w:noProof/>
          <w:sz w:val="24"/>
          <w:szCs w:val="24"/>
        </w:rPr>
        <w:t xml:space="preserve">Anti-Terrorism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No. (18) of 2014 has not been reviewed, and these crimes remain within the jurisdiction of the State Security Court. The National Center for Human Rights confirms that the Anti-Terrorism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in its current form still includes many problems, the most important of which can be highlighted in expanding the concept of terrorist acts.</w:t>
      </w:r>
    </w:p>
    <w:p w14:paraId="245E6F7B" w14:textId="08D34596" w:rsidR="003D080E" w:rsidRPr="003D080E" w:rsidRDefault="003D080E" w:rsidP="009A6520">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The year 2017 witnessed the enactment of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No. (26) of 2017 (the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amending the Penal Code)</w:t>
      </w:r>
      <w:r w:rsidR="004F47F1">
        <w:rPr>
          <w:rFonts w:ascii="Times New Roman" w:eastAsia="Times New Roman" w:hAnsi="Times New Roman" w:cs="Times New Roman"/>
          <w:noProof/>
          <w:sz w:val="24"/>
          <w:szCs w:val="24"/>
        </w:rPr>
        <w:t>. T</w:t>
      </w:r>
      <w:r w:rsidRPr="003D080E">
        <w:rPr>
          <w:rFonts w:ascii="Times New Roman" w:eastAsia="Times New Roman" w:hAnsi="Times New Roman" w:cs="Times New Roman"/>
          <w:noProof/>
          <w:sz w:val="24"/>
          <w:szCs w:val="24"/>
        </w:rPr>
        <w:t xml:space="preserve">he amendment included in Article (208) of this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focused on raising the minimum limit for the crime of torture to one year instead of six months. This inadequate treatment of the criminalization of torture was a major factor in the continuation of the </w:t>
      </w:r>
      <w:r w:rsidR="009A6520">
        <w:rPr>
          <w:rFonts w:ascii="Times New Roman" w:eastAsia="Times New Roman" w:hAnsi="Times New Roman" w:cs="Times New Roman"/>
          <w:noProof/>
          <w:sz w:val="24"/>
          <w:szCs w:val="24"/>
        </w:rPr>
        <w:t xml:space="preserve">legal and practical problems </w:t>
      </w:r>
      <w:r w:rsidRPr="003D080E">
        <w:rPr>
          <w:rFonts w:ascii="Times New Roman" w:eastAsia="Times New Roman" w:hAnsi="Times New Roman" w:cs="Times New Roman"/>
          <w:noProof/>
          <w:sz w:val="24"/>
          <w:szCs w:val="24"/>
        </w:rPr>
        <w:t>of combating the crime of torture in Jordan.</w:t>
      </w:r>
    </w:p>
    <w:p w14:paraId="55E7941B"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p>
    <w:p w14:paraId="3029A228" w14:textId="2D5E5991" w:rsidR="003D080E" w:rsidRPr="003D080E" w:rsidRDefault="003D080E" w:rsidP="003D080E">
      <w:pPr>
        <w:spacing w:after="0" w:line="240" w:lineRule="auto"/>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The most prominent problems of the Jordanian penal system are represented in the criminalization of torture through several basic points, which are as follows</w:t>
      </w:r>
      <w:r w:rsidR="009A6520">
        <w:rPr>
          <w:rStyle w:val="FootnoteReference"/>
          <w:rFonts w:ascii="Times New Roman" w:eastAsia="Times New Roman" w:hAnsi="Times New Roman" w:cs="Times New Roman"/>
          <w:noProof/>
          <w:sz w:val="24"/>
          <w:szCs w:val="24"/>
        </w:rPr>
        <w:footnoteReference w:id="1"/>
      </w:r>
      <w:r w:rsidRPr="003D080E">
        <w:rPr>
          <w:rFonts w:ascii="Times New Roman" w:eastAsia="Times New Roman" w:hAnsi="Times New Roman" w:cs="Times New Roman"/>
          <w:noProof/>
          <w:sz w:val="24"/>
          <w:szCs w:val="24"/>
        </w:rPr>
        <w:t>:</w:t>
      </w:r>
    </w:p>
    <w:p w14:paraId="483EA3E9"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p>
    <w:p w14:paraId="2622F125" w14:textId="7A8D6928" w:rsidR="003D080E" w:rsidRPr="00572F91" w:rsidRDefault="003D080E" w:rsidP="00572F91">
      <w:pPr>
        <w:pStyle w:val="ListParagraph"/>
        <w:numPr>
          <w:ilvl w:val="0"/>
          <w:numId w:val="7"/>
        </w:numPr>
        <w:spacing w:after="0" w:line="240" w:lineRule="auto"/>
        <w:ind w:left="567" w:hanging="567"/>
        <w:jc w:val="both"/>
        <w:rPr>
          <w:rFonts w:ascii="Times New Roman" w:eastAsia="Times New Roman" w:hAnsi="Times New Roman" w:cs="Times New Roman"/>
          <w:noProof/>
          <w:sz w:val="24"/>
          <w:szCs w:val="24"/>
        </w:rPr>
      </w:pPr>
      <w:r w:rsidRPr="00572F91">
        <w:rPr>
          <w:rFonts w:ascii="Times New Roman" w:eastAsia="Times New Roman" w:hAnsi="Times New Roman" w:cs="Times New Roman"/>
          <w:noProof/>
          <w:sz w:val="24"/>
          <w:szCs w:val="24"/>
        </w:rPr>
        <w:t xml:space="preserve">Criminalizing torture in a partial manner, contrary to Article 1 of the Convention </w:t>
      </w:r>
      <w:r w:rsidR="007662D5" w:rsidRPr="00572F91">
        <w:rPr>
          <w:rFonts w:ascii="Times New Roman" w:eastAsia="Times New Roman" w:hAnsi="Times New Roman" w:cs="Times New Roman"/>
          <w:noProof/>
          <w:sz w:val="24"/>
          <w:szCs w:val="24"/>
        </w:rPr>
        <w:t xml:space="preserve">Against Torture </w:t>
      </w:r>
      <w:r w:rsidRPr="00572F91">
        <w:rPr>
          <w:rFonts w:ascii="Times New Roman" w:eastAsia="Times New Roman" w:hAnsi="Times New Roman" w:cs="Times New Roman"/>
          <w:noProof/>
          <w:sz w:val="24"/>
          <w:szCs w:val="24"/>
        </w:rPr>
        <w:t xml:space="preserve">(CAT); by limiting the concept of torture to extracting </w:t>
      </w:r>
      <w:r w:rsidR="00572F91" w:rsidRPr="00572F91">
        <w:rPr>
          <w:rFonts w:ascii="Times New Roman" w:eastAsia="Times New Roman" w:hAnsi="Times New Roman" w:cs="Times New Roman"/>
          <w:noProof/>
          <w:sz w:val="24"/>
          <w:szCs w:val="24"/>
        </w:rPr>
        <w:t xml:space="preserve">acknowledgment </w:t>
      </w:r>
      <w:r w:rsidRPr="00572F91">
        <w:rPr>
          <w:rFonts w:ascii="Times New Roman" w:eastAsia="Times New Roman" w:hAnsi="Times New Roman" w:cs="Times New Roman"/>
          <w:noProof/>
          <w:sz w:val="24"/>
          <w:szCs w:val="24"/>
        </w:rPr>
        <w:t xml:space="preserve">or confession, contrary to what is stated in the United Nations Convention against Torture, as well as criminalizing torture as a misdemeanor crime and excluding its attempt from the scope of criminalization, unless this crime leads to death or disability, in which case it </w:t>
      </w:r>
      <w:r w:rsidR="007A14FA">
        <w:rPr>
          <w:rFonts w:ascii="Times New Roman" w:eastAsia="Times New Roman" w:hAnsi="Times New Roman" w:cs="Times New Roman"/>
          <w:noProof/>
          <w:sz w:val="24"/>
          <w:szCs w:val="24"/>
        </w:rPr>
        <w:t>a</w:t>
      </w:r>
      <w:r w:rsidR="00572F91" w:rsidRPr="00572F91">
        <w:rPr>
          <w:rFonts w:ascii="Times New Roman" w:eastAsia="Times New Roman" w:hAnsi="Times New Roman" w:cs="Times New Roman"/>
          <w:noProof/>
          <w:sz w:val="24"/>
          <w:szCs w:val="24"/>
        </w:rPr>
        <w:t xml:space="preserve">mounts to </w:t>
      </w:r>
      <w:r w:rsidRPr="00572F91">
        <w:rPr>
          <w:rFonts w:ascii="Times New Roman" w:eastAsia="Times New Roman" w:hAnsi="Times New Roman" w:cs="Times New Roman"/>
          <w:noProof/>
          <w:sz w:val="24"/>
          <w:szCs w:val="24"/>
        </w:rPr>
        <w:t>the level of criminal offenses;</w:t>
      </w:r>
    </w:p>
    <w:p w14:paraId="36857853" w14:textId="1320FFFE" w:rsidR="003D080E" w:rsidRPr="003D080E" w:rsidRDefault="003D080E" w:rsidP="007A14FA">
      <w:pPr>
        <w:pStyle w:val="ListParagraph"/>
        <w:numPr>
          <w:ilvl w:val="0"/>
          <w:numId w:val="7"/>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The inadequacy of the mechanisms for grievance and investigation with those accused of torture complaints, which results in a large possibility of not holding perpetrators of torture crimes accountable and escaping punishment, which requires, as a matter of urgency, amending Article (208) of the Penal Code in a way that grants the regular judiciary specific authority to consider torture complaints;</w:t>
      </w:r>
    </w:p>
    <w:p w14:paraId="10DE6A04" w14:textId="1E971C9D" w:rsidR="003D080E" w:rsidRPr="003D080E" w:rsidRDefault="003D080E" w:rsidP="0052480E">
      <w:pPr>
        <w:pStyle w:val="ListParagraph"/>
        <w:numPr>
          <w:ilvl w:val="0"/>
          <w:numId w:val="7"/>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The absence of an explicit text on the right of torture victims to compensation, in addition to the shortcomings of the general legal rules for compensation for damages in terms of the comprehensiveness of the forms of compensation mentioned in Article (14) of the </w:t>
      </w:r>
      <w:r w:rsidR="0052480E">
        <w:rPr>
          <w:rFonts w:ascii="Times New Roman" w:eastAsia="Times New Roman" w:hAnsi="Times New Roman" w:cs="Times New Roman"/>
          <w:noProof/>
          <w:sz w:val="24"/>
          <w:szCs w:val="24"/>
        </w:rPr>
        <w:t>Convention Against Torture</w:t>
      </w:r>
      <w:r w:rsidRPr="003D080E">
        <w:rPr>
          <w:rFonts w:ascii="Times New Roman" w:eastAsia="Times New Roman" w:hAnsi="Times New Roman" w:cs="Times New Roman"/>
          <w:noProof/>
          <w:sz w:val="24"/>
          <w:szCs w:val="24"/>
        </w:rPr>
        <w:t>, including the psychological and physical rehabilitation of victims, ensuring non-repetition of the act, apology and satisfaction;</w:t>
      </w:r>
    </w:p>
    <w:p w14:paraId="6FCEC20A" w14:textId="0B38320D" w:rsidR="003D080E" w:rsidRPr="003D080E" w:rsidRDefault="003D080E" w:rsidP="007A14FA">
      <w:pPr>
        <w:pStyle w:val="ListParagraph"/>
        <w:numPr>
          <w:ilvl w:val="0"/>
          <w:numId w:val="7"/>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The possibility of the crime of torture being dropped by amnesty and statute of limitations.</w:t>
      </w:r>
    </w:p>
    <w:p w14:paraId="69F6DB30" w14:textId="77777777" w:rsidR="003D080E" w:rsidRPr="003D080E" w:rsidRDefault="003D080E" w:rsidP="003D080E">
      <w:pPr>
        <w:spacing w:after="0" w:line="240" w:lineRule="auto"/>
        <w:jc w:val="both"/>
        <w:rPr>
          <w:rFonts w:ascii="Times New Roman" w:eastAsia="Times New Roman" w:hAnsi="Times New Roman" w:cs="Times New Roman"/>
          <w:noProof/>
          <w:sz w:val="24"/>
          <w:szCs w:val="24"/>
        </w:rPr>
      </w:pPr>
    </w:p>
    <w:p w14:paraId="2C4552A6" w14:textId="7EBD6A59" w:rsidR="00410759" w:rsidRDefault="003D080E" w:rsidP="007D1FEA">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3D080E">
        <w:rPr>
          <w:rFonts w:ascii="Times New Roman" w:eastAsia="Times New Roman" w:hAnsi="Times New Roman" w:cs="Times New Roman"/>
          <w:noProof/>
          <w:sz w:val="24"/>
          <w:szCs w:val="24"/>
        </w:rPr>
        <w:t xml:space="preserve">Among the most prominent legal amendments within the framework of criminal justice reform is the enactment of Draft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No. (32) of 2017 amending the </w:t>
      </w:r>
      <w:r w:rsidR="007D1FEA" w:rsidRPr="004908C4">
        <w:rPr>
          <w:rFonts w:ascii="Times New Roman" w:hAnsi="Times New Roman" w:cs="Times New Roman"/>
          <w:sz w:val="24"/>
          <w:szCs w:val="24"/>
          <w:lang w:bidi="ar-SA"/>
        </w:rPr>
        <w:t>Rules of Penal Trials Code</w:t>
      </w:r>
      <w:r w:rsidR="007D1FEA" w:rsidRPr="004908C4">
        <w:rPr>
          <w:rFonts w:ascii="Times New Roman" w:eastAsia="Times New Roman" w:hAnsi="Times New Roman" w:cs="Times New Roman"/>
          <w:noProof/>
          <w:sz w:val="24"/>
          <w:szCs w:val="24"/>
        </w:rPr>
        <w:t xml:space="preserve"> </w:t>
      </w:r>
      <w:r w:rsidRPr="003D080E">
        <w:rPr>
          <w:rFonts w:ascii="Times New Roman" w:eastAsia="Times New Roman" w:hAnsi="Times New Roman" w:cs="Times New Roman"/>
          <w:noProof/>
          <w:sz w:val="24"/>
          <w:szCs w:val="24"/>
        </w:rPr>
        <w:t xml:space="preserve">No. (9) of 1961, which included many positive amendments that would enhance the guarantee of the requirements of the right to a fair trial on the one hand, and create a proactive legal environment to prevent the occurrence of crimes of torture and cruel, inhuman or degrading treatment. Among the most prominent amendments introduced under this </w:t>
      </w:r>
      <w:r w:rsidR="00054523">
        <w:rPr>
          <w:rFonts w:ascii="Times New Roman" w:eastAsia="Times New Roman" w:hAnsi="Times New Roman" w:cs="Times New Roman"/>
          <w:noProof/>
          <w:sz w:val="24"/>
          <w:szCs w:val="24"/>
        </w:rPr>
        <w:t>Law</w:t>
      </w:r>
      <w:r w:rsidRPr="003D080E">
        <w:rPr>
          <w:rFonts w:ascii="Times New Roman" w:eastAsia="Times New Roman" w:hAnsi="Times New Roman" w:cs="Times New Roman"/>
          <w:noProof/>
          <w:sz w:val="24"/>
          <w:szCs w:val="24"/>
        </w:rPr>
        <w:t xml:space="preserve"> are the following:</w:t>
      </w:r>
    </w:p>
    <w:p w14:paraId="15174F6E" w14:textId="003DAA22" w:rsidR="000E5EB8" w:rsidRPr="000E5EB8" w:rsidRDefault="000E5EB8" w:rsidP="009404EF">
      <w:pPr>
        <w:pStyle w:val="ListParagraph"/>
        <w:numPr>
          <w:ilvl w:val="0"/>
          <w:numId w:val="8"/>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lastRenderedPageBreak/>
        <w:t>Introduc</w:t>
      </w:r>
      <w:r w:rsidR="009404EF">
        <w:rPr>
          <w:rFonts w:ascii="Times New Roman" w:eastAsia="Times New Roman" w:hAnsi="Times New Roman" w:cs="Times New Roman"/>
          <w:noProof/>
          <w:sz w:val="24"/>
          <w:szCs w:val="24"/>
        </w:rPr>
        <w:t>ing</w:t>
      </w:r>
      <w:r w:rsidRPr="000E5EB8">
        <w:rPr>
          <w:rFonts w:ascii="Times New Roman" w:eastAsia="Times New Roman" w:hAnsi="Times New Roman" w:cs="Times New Roman"/>
          <w:noProof/>
          <w:sz w:val="24"/>
          <w:szCs w:val="24"/>
        </w:rPr>
        <w:t xml:space="preserve"> new provisions that would limit pre-trial detention and allow the use of alternatives to detention in some crimes, including electronic monitoring, travel bans, providing bail, or residence in the home or geographical area; </w:t>
      </w:r>
    </w:p>
    <w:p w14:paraId="20BA9AD0" w14:textId="77777777" w:rsidR="009404EF" w:rsidRDefault="000E5EB8" w:rsidP="009404EF">
      <w:pPr>
        <w:pStyle w:val="ListParagraph"/>
        <w:numPr>
          <w:ilvl w:val="0"/>
          <w:numId w:val="8"/>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Granting power to public prosecutors and courts to use modern technical means in investigation and trial procedures, such as hearing witnesses, especially juvenile witnesses, to provide them with the protection they deserve and to enable the court to conduct trials remotely, with the aim of shortening the duration of litigation and achieving prompt justice; </w:t>
      </w:r>
    </w:p>
    <w:p w14:paraId="6DDB2C0A" w14:textId="4D3448B9" w:rsidR="000E5EB8" w:rsidRPr="000E5EB8" w:rsidRDefault="000E5EB8" w:rsidP="00AF5A47">
      <w:pPr>
        <w:pStyle w:val="ListParagraph"/>
        <w:numPr>
          <w:ilvl w:val="0"/>
          <w:numId w:val="8"/>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Expanding the umbrella of legal aid by amending Article (208) of this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which guarantees the right of individuals to defense and legal representation; as the </w:t>
      </w:r>
      <w:r w:rsidR="00CC7A2E">
        <w:rPr>
          <w:rFonts w:ascii="Times New Roman" w:eastAsia="Times New Roman" w:hAnsi="Times New Roman" w:cs="Times New Roman"/>
          <w:noProof/>
          <w:sz w:val="24"/>
          <w:szCs w:val="24"/>
        </w:rPr>
        <w:t>A</w:t>
      </w:r>
      <w:r w:rsidRPr="000E5EB8">
        <w:rPr>
          <w:rFonts w:ascii="Times New Roman" w:eastAsia="Times New Roman" w:hAnsi="Times New Roman" w:cs="Times New Roman"/>
          <w:noProof/>
          <w:sz w:val="24"/>
          <w:szCs w:val="24"/>
        </w:rPr>
        <w:t xml:space="preserve">rticle stipulates the necessity of legal aid in felonies punishable by death, life imprisonment with hard labor, life imprisonment, or temporary labor for a period of not less than ten years before the court. In felonies punishable by temporary hard labor for a period of less than ten years, the Public Prosecutor or the competent court may refer the accused's request to the Minister of Justice to provide them with legal </w:t>
      </w:r>
      <w:r w:rsidR="00AF5A47">
        <w:rPr>
          <w:rFonts w:ascii="Times New Roman" w:eastAsia="Times New Roman" w:hAnsi="Times New Roman" w:cs="Times New Roman"/>
          <w:noProof/>
          <w:sz w:val="24"/>
          <w:szCs w:val="24"/>
        </w:rPr>
        <w:t>aid</w:t>
      </w:r>
      <w:r w:rsidRPr="000E5EB8">
        <w:rPr>
          <w:rFonts w:ascii="Times New Roman" w:eastAsia="Times New Roman" w:hAnsi="Times New Roman" w:cs="Times New Roman"/>
          <w:noProof/>
          <w:sz w:val="24"/>
          <w:szCs w:val="24"/>
        </w:rPr>
        <w:t>.</w:t>
      </w:r>
    </w:p>
    <w:p w14:paraId="2FED4D59" w14:textId="50AD5E03" w:rsidR="00BB17D5" w:rsidRPr="00BB17D5" w:rsidRDefault="000E5EB8" w:rsidP="00BB17D5">
      <w:pPr>
        <w:pStyle w:val="ListParagraph"/>
        <w:numPr>
          <w:ilvl w:val="0"/>
          <w:numId w:val="8"/>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Article 63 bis of the </w:t>
      </w:r>
      <w:r w:rsidR="00AF5A47" w:rsidRPr="00AF5A47">
        <w:rPr>
          <w:rFonts w:ascii="Times New Roman" w:hAnsi="Times New Roman" w:cs="Times New Roman"/>
          <w:sz w:val="24"/>
          <w:szCs w:val="24"/>
          <w:lang w:bidi="ar-SA"/>
        </w:rPr>
        <w:t>Rules of Penal Trials Code</w:t>
      </w:r>
      <w:r w:rsidR="00AF5A47">
        <w:rPr>
          <w:rFonts w:ascii="Times New Roman" w:hAnsi="Times New Roman" w:cs="Times New Roman"/>
          <w:sz w:val="24"/>
          <w:szCs w:val="24"/>
          <w:lang w:bidi="ar-SA"/>
        </w:rPr>
        <w:t xml:space="preserve"> </w:t>
      </w:r>
      <w:r w:rsidRPr="00AF5A47">
        <w:rPr>
          <w:rFonts w:ascii="Times New Roman" w:eastAsia="Times New Roman" w:hAnsi="Times New Roman" w:cs="Times New Roman"/>
          <w:noProof/>
          <w:sz w:val="24"/>
          <w:szCs w:val="24"/>
        </w:rPr>
        <w:t xml:space="preserve">No. 9 of 1961 and its amendments requires, in felonies whose minimum penalty is ten years or more, the presence of a </w:t>
      </w:r>
      <w:r w:rsidR="002949AC">
        <w:rPr>
          <w:rFonts w:ascii="Times New Roman" w:eastAsia="Times New Roman" w:hAnsi="Times New Roman" w:cs="Times New Roman"/>
          <w:noProof/>
          <w:sz w:val="24"/>
          <w:szCs w:val="24"/>
        </w:rPr>
        <w:t xml:space="preserve">attorney </w:t>
      </w:r>
      <w:r w:rsidRPr="00AF5A47">
        <w:rPr>
          <w:rFonts w:ascii="Times New Roman" w:eastAsia="Times New Roman" w:hAnsi="Times New Roman" w:cs="Times New Roman"/>
          <w:noProof/>
          <w:sz w:val="24"/>
          <w:szCs w:val="24"/>
        </w:rPr>
        <w:t xml:space="preserve"> with the defendant in every interrogation session </w:t>
      </w:r>
      <w:r w:rsidR="00BB17D5" w:rsidRPr="00BB17D5">
        <w:rPr>
          <w:rFonts w:ascii="Times New Roman" w:hAnsi="Times New Roman" w:cs="Times New Roman"/>
          <w:sz w:val="24"/>
          <w:szCs w:val="24"/>
          <w:lang w:bidi="ar-SA"/>
        </w:rPr>
        <w:t>at the risk of the revocation.</w:t>
      </w:r>
    </w:p>
    <w:p w14:paraId="6E4D8B7E" w14:textId="77777777" w:rsidR="00BB17D5" w:rsidRDefault="00BB17D5" w:rsidP="00BB17D5">
      <w:pPr>
        <w:pStyle w:val="ListParagraph"/>
        <w:spacing w:after="0" w:line="240" w:lineRule="auto"/>
        <w:ind w:left="567"/>
        <w:jc w:val="both"/>
        <w:rPr>
          <w:rFonts w:ascii="Times New Roman" w:eastAsia="Times New Roman" w:hAnsi="Times New Roman" w:cs="Times New Roman"/>
          <w:noProof/>
          <w:sz w:val="24"/>
          <w:szCs w:val="24"/>
        </w:rPr>
      </w:pPr>
    </w:p>
    <w:p w14:paraId="776FDA01" w14:textId="6D0C35F4" w:rsidR="000E5EB8" w:rsidRDefault="000E5EB8" w:rsidP="00F65CAC">
      <w:pPr>
        <w:spacing w:after="0" w:line="240" w:lineRule="auto"/>
        <w:jc w:val="both"/>
        <w:rPr>
          <w:rFonts w:ascii="Times New Roman" w:eastAsia="Times New Roman" w:hAnsi="Times New Roman" w:cs="Times New Roman"/>
          <w:noProof/>
          <w:sz w:val="24"/>
          <w:szCs w:val="24"/>
        </w:rPr>
      </w:pPr>
      <w:r w:rsidRPr="00BB17D5">
        <w:rPr>
          <w:rFonts w:ascii="Times New Roman" w:eastAsia="Times New Roman" w:hAnsi="Times New Roman" w:cs="Times New Roman"/>
          <w:noProof/>
          <w:sz w:val="24"/>
          <w:szCs w:val="24"/>
        </w:rPr>
        <w:t xml:space="preserve">Despite the legislative development achieved to expand the scope of the obligation of legal </w:t>
      </w:r>
      <w:r w:rsidR="00BB17D5">
        <w:rPr>
          <w:rFonts w:ascii="Times New Roman" w:eastAsia="Times New Roman" w:hAnsi="Times New Roman" w:cs="Times New Roman"/>
          <w:noProof/>
          <w:sz w:val="24"/>
          <w:szCs w:val="24"/>
        </w:rPr>
        <w:t xml:space="preserve">aid </w:t>
      </w:r>
      <w:r w:rsidRPr="00BB17D5">
        <w:rPr>
          <w:rFonts w:ascii="Times New Roman" w:eastAsia="Times New Roman" w:hAnsi="Times New Roman" w:cs="Times New Roman"/>
          <w:noProof/>
          <w:sz w:val="24"/>
          <w:szCs w:val="24"/>
        </w:rPr>
        <w:t xml:space="preserve">during 2017, this progress was not met with the cancellation of the exceptions included in the guarantee of the defendant's right to appoint a </w:t>
      </w:r>
      <w:r w:rsidR="002949AC">
        <w:rPr>
          <w:rFonts w:ascii="Times New Roman" w:eastAsia="Times New Roman" w:hAnsi="Times New Roman" w:cs="Times New Roman"/>
          <w:noProof/>
          <w:sz w:val="24"/>
          <w:szCs w:val="24"/>
        </w:rPr>
        <w:t xml:space="preserve">attorney </w:t>
      </w:r>
      <w:r w:rsidRPr="00BB17D5">
        <w:rPr>
          <w:rFonts w:ascii="Times New Roman" w:eastAsia="Times New Roman" w:hAnsi="Times New Roman" w:cs="Times New Roman"/>
          <w:noProof/>
          <w:sz w:val="24"/>
          <w:szCs w:val="24"/>
        </w:rPr>
        <w:t xml:space="preserve">, by granting the Public Prosecution, when necessary, the authority to investigate without the presence of a </w:t>
      </w:r>
      <w:r w:rsidR="002949AC">
        <w:rPr>
          <w:rFonts w:ascii="Times New Roman" w:eastAsia="Times New Roman" w:hAnsi="Times New Roman" w:cs="Times New Roman"/>
          <w:noProof/>
          <w:sz w:val="24"/>
          <w:szCs w:val="24"/>
        </w:rPr>
        <w:t xml:space="preserve">attorney </w:t>
      </w:r>
      <w:r w:rsidRPr="00BB17D5">
        <w:rPr>
          <w:rFonts w:ascii="Times New Roman" w:eastAsia="Times New Roman" w:hAnsi="Times New Roman" w:cs="Times New Roman"/>
          <w:noProof/>
          <w:sz w:val="24"/>
          <w:szCs w:val="24"/>
        </w:rPr>
        <w:t xml:space="preserve"> in case of urgency or whenever it deems it necessary to reveal the truth (Article 63/2) of the Penal Code. The </w:t>
      </w:r>
      <w:r w:rsidR="00054523">
        <w:rPr>
          <w:rFonts w:ascii="Times New Roman" w:eastAsia="Times New Roman" w:hAnsi="Times New Roman" w:cs="Times New Roman"/>
          <w:noProof/>
          <w:sz w:val="24"/>
          <w:szCs w:val="24"/>
        </w:rPr>
        <w:t>Law</w:t>
      </w:r>
      <w:r w:rsidRPr="00BB17D5">
        <w:rPr>
          <w:rFonts w:ascii="Times New Roman" w:eastAsia="Times New Roman" w:hAnsi="Times New Roman" w:cs="Times New Roman"/>
          <w:noProof/>
          <w:sz w:val="24"/>
          <w:szCs w:val="24"/>
        </w:rPr>
        <w:t xml:space="preserve"> also maintained the Public Prosecution's authority to prohibit the detainee from communicating with the outside world under Article (66/1) of the </w:t>
      </w:r>
      <w:r w:rsidR="00F65CAC" w:rsidRPr="00AF5A47">
        <w:rPr>
          <w:rFonts w:ascii="Times New Roman" w:hAnsi="Times New Roman" w:cs="Times New Roman"/>
          <w:sz w:val="24"/>
          <w:szCs w:val="24"/>
          <w:lang w:bidi="ar-SA"/>
        </w:rPr>
        <w:t xml:space="preserve">Rules of Penal Trials </w:t>
      </w:r>
      <w:proofErr w:type="gramStart"/>
      <w:r w:rsidR="00F65CAC" w:rsidRPr="00AF5A47">
        <w:rPr>
          <w:rFonts w:ascii="Times New Roman" w:hAnsi="Times New Roman" w:cs="Times New Roman"/>
          <w:sz w:val="24"/>
          <w:szCs w:val="24"/>
          <w:lang w:bidi="ar-SA"/>
        </w:rPr>
        <w:t>Code</w:t>
      </w:r>
      <w:r w:rsidR="00F65CAC">
        <w:rPr>
          <w:rFonts w:ascii="Times New Roman" w:hAnsi="Times New Roman" w:cs="Times New Roman"/>
          <w:sz w:val="24"/>
          <w:szCs w:val="24"/>
          <w:lang w:bidi="ar-SA"/>
        </w:rPr>
        <w:t xml:space="preserve"> </w:t>
      </w:r>
      <w:r w:rsidR="00F65CAC">
        <w:rPr>
          <w:rFonts w:ascii="Times New Roman" w:eastAsia="Times New Roman" w:hAnsi="Times New Roman" w:cs="Times New Roman"/>
          <w:noProof/>
          <w:sz w:val="24"/>
          <w:szCs w:val="24"/>
        </w:rPr>
        <w:t xml:space="preserve"> </w:t>
      </w:r>
      <w:r w:rsidRPr="00BB17D5">
        <w:rPr>
          <w:rFonts w:ascii="Times New Roman" w:eastAsia="Times New Roman" w:hAnsi="Times New Roman" w:cs="Times New Roman"/>
          <w:noProof/>
          <w:sz w:val="24"/>
          <w:szCs w:val="24"/>
        </w:rPr>
        <w:t>No</w:t>
      </w:r>
      <w:proofErr w:type="gramEnd"/>
      <w:r w:rsidRPr="00BB17D5">
        <w:rPr>
          <w:rFonts w:ascii="Times New Roman" w:eastAsia="Times New Roman" w:hAnsi="Times New Roman" w:cs="Times New Roman"/>
          <w:noProof/>
          <w:sz w:val="24"/>
          <w:szCs w:val="24"/>
        </w:rPr>
        <w:t>. (9) of 1961 and its amendments.</w:t>
      </w:r>
    </w:p>
    <w:p w14:paraId="62285D1F" w14:textId="77777777" w:rsidR="00286FB0" w:rsidRPr="00BB17D5" w:rsidRDefault="00286FB0" w:rsidP="00F65CAC">
      <w:pPr>
        <w:spacing w:after="0" w:line="240" w:lineRule="auto"/>
        <w:jc w:val="both"/>
        <w:rPr>
          <w:rFonts w:ascii="Times New Roman" w:eastAsia="Times New Roman" w:hAnsi="Times New Roman" w:cs="Times New Roman"/>
          <w:noProof/>
          <w:sz w:val="24"/>
          <w:szCs w:val="24"/>
        </w:rPr>
      </w:pPr>
    </w:p>
    <w:p w14:paraId="190B5CFD" w14:textId="351BE692" w:rsidR="000E5EB8" w:rsidRPr="000E5EB8" w:rsidRDefault="000E5EB8" w:rsidP="003A2959">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No amendments were made to the Crime Prevention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No. (7) of 1954, which resulted in maintaining the authority of administrative detention, which involves a violation of the principle of separation of powers; as it constitutes an attack on the jurisdiction of the judicial authority on the one hand, and the Center continued to submit its recommendations on the necessity of abolishing this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or at least amending it until it is abolished in a way that ensures the establishment of sufficient legal controls to limit the use of administrative detention against individuals, and it continued to receive complaints related to administrative detention. The </w:t>
      </w:r>
      <w:r w:rsidR="003A2959">
        <w:rPr>
          <w:rFonts w:ascii="Times New Roman" w:eastAsia="Times New Roman" w:hAnsi="Times New Roman" w:cs="Times New Roman"/>
          <w:noProof/>
          <w:sz w:val="24"/>
          <w:szCs w:val="24"/>
        </w:rPr>
        <w:t>C</w:t>
      </w:r>
      <w:r w:rsidRPr="000E5EB8">
        <w:rPr>
          <w:rFonts w:ascii="Times New Roman" w:eastAsia="Times New Roman" w:hAnsi="Times New Roman" w:cs="Times New Roman"/>
          <w:noProof/>
          <w:sz w:val="24"/>
          <w:szCs w:val="24"/>
        </w:rPr>
        <w:t>enter also monitored an increase in the number of administrative detainees, as their numbers ranged during the years (2016-2019) to a total of (37,853-30,138) detainees, while the number of administrative detainees in 2023 reached (37,395).</w:t>
      </w:r>
    </w:p>
    <w:p w14:paraId="63FB1CDE" w14:textId="07A5F34C" w:rsidR="000E5EB8" w:rsidRPr="000E5EB8" w:rsidRDefault="000E5EB8" w:rsidP="00FB1F6B">
      <w:pPr>
        <w:pStyle w:val="ListParagraph"/>
        <w:numPr>
          <w:ilvl w:val="0"/>
          <w:numId w:val="6"/>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The Electronic Crimes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of 2023 was issued, and in this regard, the </w:t>
      </w:r>
      <w:r w:rsidR="00FB1F6B">
        <w:rPr>
          <w:rFonts w:ascii="Times New Roman" w:eastAsia="Times New Roman" w:hAnsi="Times New Roman" w:cs="Times New Roman"/>
          <w:noProof/>
          <w:sz w:val="24"/>
          <w:szCs w:val="24"/>
        </w:rPr>
        <w:t>C</w:t>
      </w:r>
      <w:r w:rsidRPr="000E5EB8">
        <w:rPr>
          <w:rFonts w:ascii="Times New Roman" w:eastAsia="Times New Roman" w:hAnsi="Times New Roman" w:cs="Times New Roman"/>
          <w:noProof/>
          <w:sz w:val="24"/>
          <w:szCs w:val="24"/>
        </w:rPr>
        <w:t xml:space="preserve">enter studied this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during the year and concluded that this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constitutes, in principle, a necessary necessity to organize and monitor emerging crimes that take place through the digital space.</w:t>
      </w:r>
    </w:p>
    <w:p w14:paraId="1BEF8410" w14:textId="77777777" w:rsidR="000D6BD5" w:rsidRDefault="000D6BD5" w:rsidP="000D6BD5">
      <w:pPr>
        <w:spacing w:after="0" w:line="240" w:lineRule="auto"/>
        <w:jc w:val="both"/>
        <w:rPr>
          <w:rFonts w:ascii="Times New Roman" w:eastAsia="Times New Roman" w:hAnsi="Times New Roman" w:cs="Times New Roman"/>
          <w:noProof/>
          <w:sz w:val="24"/>
          <w:szCs w:val="24"/>
        </w:rPr>
      </w:pPr>
    </w:p>
    <w:p w14:paraId="338F4B03" w14:textId="5B8265EB" w:rsidR="000E5EB8" w:rsidRPr="000D6BD5" w:rsidRDefault="000E5EB8" w:rsidP="000D6BD5">
      <w:pPr>
        <w:spacing w:after="0" w:line="240" w:lineRule="auto"/>
        <w:jc w:val="both"/>
        <w:rPr>
          <w:rFonts w:ascii="Times New Roman" w:eastAsia="Times New Roman" w:hAnsi="Times New Roman" w:cs="Times New Roman"/>
          <w:noProof/>
          <w:sz w:val="24"/>
          <w:szCs w:val="24"/>
        </w:rPr>
      </w:pPr>
      <w:r w:rsidRPr="000D6BD5">
        <w:rPr>
          <w:rFonts w:ascii="Times New Roman" w:eastAsia="Times New Roman" w:hAnsi="Times New Roman" w:cs="Times New Roman"/>
          <w:noProof/>
          <w:sz w:val="24"/>
          <w:szCs w:val="24"/>
        </w:rPr>
        <w:t xml:space="preserve">The </w:t>
      </w:r>
      <w:r w:rsidR="00054523">
        <w:rPr>
          <w:rFonts w:ascii="Times New Roman" w:eastAsia="Times New Roman" w:hAnsi="Times New Roman" w:cs="Times New Roman"/>
          <w:noProof/>
          <w:sz w:val="24"/>
          <w:szCs w:val="24"/>
        </w:rPr>
        <w:t>Law</w:t>
      </w:r>
      <w:r w:rsidRPr="000D6BD5">
        <w:rPr>
          <w:rFonts w:ascii="Times New Roman" w:eastAsia="Times New Roman" w:hAnsi="Times New Roman" w:cs="Times New Roman"/>
          <w:noProof/>
          <w:sz w:val="24"/>
          <w:szCs w:val="24"/>
        </w:rPr>
        <w:t xml:space="preserve"> itself, according to the latest amendments, included many positive developments by introducing some texts that addressed existing legal loopholes, most </w:t>
      </w:r>
      <w:r w:rsidRPr="000D6BD5">
        <w:rPr>
          <w:rFonts w:ascii="Times New Roman" w:eastAsia="Times New Roman" w:hAnsi="Times New Roman" w:cs="Times New Roman"/>
          <w:noProof/>
          <w:sz w:val="24"/>
          <w:szCs w:val="24"/>
        </w:rPr>
        <w:lastRenderedPageBreak/>
        <w:t>notably the inclusion of a text related to publishing a recording, image or video of what a person is keen not to show or conceal from the public, which is a text that protects the right to privacy of individuals in the digital space. As well as the inclusion of a text related to blackmail and electronic threats.</w:t>
      </w:r>
    </w:p>
    <w:p w14:paraId="5CDBD624" w14:textId="77777777" w:rsidR="000D6BD5" w:rsidRDefault="000D6BD5" w:rsidP="000D6BD5">
      <w:pPr>
        <w:spacing w:after="0" w:line="240" w:lineRule="auto"/>
        <w:jc w:val="both"/>
        <w:rPr>
          <w:rFonts w:ascii="Times New Roman" w:eastAsia="Times New Roman" w:hAnsi="Times New Roman" w:cs="Times New Roman"/>
          <w:noProof/>
          <w:sz w:val="24"/>
          <w:szCs w:val="24"/>
        </w:rPr>
      </w:pPr>
    </w:p>
    <w:p w14:paraId="1B3D8E2E" w14:textId="449482C2" w:rsidR="000E5EB8" w:rsidRPr="000D6BD5" w:rsidRDefault="000E5EB8" w:rsidP="000D6BD5">
      <w:pPr>
        <w:spacing w:after="0" w:line="240" w:lineRule="auto"/>
        <w:jc w:val="both"/>
        <w:rPr>
          <w:rFonts w:ascii="Times New Roman" w:eastAsia="Times New Roman" w:hAnsi="Times New Roman" w:cs="Times New Roman"/>
          <w:noProof/>
          <w:sz w:val="24"/>
          <w:szCs w:val="24"/>
        </w:rPr>
      </w:pPr>
      <w:r w:rsidRPr="000D6BD5">
        <w:rPr>
          <w:rFonts w:ascii="Times New Roman" w:eastAsia="Times New Roman" w:hAnsi="Times New Roman" w:cs="Times New Roman"/>
          <w:noProof/>
          <w:sz w:val="24"/>
          <w:szCs w:val="24"/>
        </w:rPr>
        <w:t>As well as</w:t>
      </w:r>
      <w:r w:rsidR="000D6BD5">
        <w:rPr>
          <w:rFonts w:ascii="Times New Roman" w:eastAsia="Times New Roman" w:hAnsi="Times New Roman" w:cs="Times New Roman"/>
          <w:noProof/>
          <w:sz w:val="24"/>
          <w:szCs w:val="24"/>
        </w:rPr>
        <w:t xml:space="preserve"> aggravating </w:t>
      </w:r>
      <w:r w:rsidRPr="000D6BD5">
        <w:rPr>
          <w:rFonts w:ascii="Times New Roman" w:eastAsia="Times New Roman" w:hAnsi="Times New Roman" w:cs="Times New Roman"/>
          <w:noProof/>
          <w:sz w:val="24"/>
          <w:szCs w:val="24"/>
        </w:rPr>
        <w:t>the penalties for perpetrators of acts against certain groups such as children and persons with disabilities, in addition to criminalizing some acts in a specialized manner such as the crime of electronic blackmail, which is one of the most common crimes.</w:t>
      </w:r>
    </w:p>
    <w:p w14:paraId="23843741" w14:textId="77777777" w:rsidR="000E5EB8" w:rsidRPr="000E5EB8" w:rsidRDefault="000E5EB8" w:rsidP="000E5EB8">
      <w:pPr>
        <w:pStyle w:val="ListParagraph"/>
        <w:spacing w:after="0" w:line="240" w:lineRule="auto"/>
        <w:ind w:left="567"/>
        <w:jc w:val="both"/>
        <w:rPr>
          <w:rFonts w:ascii="Times New Roman" w:eastAsia="Times New Roman" w:hAnsi="Times New Roman" w:cs="Times New Roman"/>
          <w:noProof/>
          <w:sz w:val="24"/>
          <w:szCs w:val="24"/>
        </w:rPr>
      </w:pPr>
    </w:p>
    <w:p w14:paraId="22488977" w14:textId="18A150AB" w:rsidR="000E5EB8" w:rsidRPr="000D6BD5" w:rsidRDefault="000E5EB8" w:rsidP="000D6BD5">
      <w:pPr>
        <w:spacing w:after="0" w:line="240" w:lineRule="auto"/>
        <w:jc w:val="both"/>
        <w:rPr>
          <w:rFonts w:ascii="Times New Roman" w:eastAsia="Times New Roman" w:hAnsi="Times New Roman" w:cs="Times New Roman"/>
          <w:noProof/>
          <w:sz w:val="24"/>
          <w:szCs w:val="24"/>
        </w:rPr>
      </w:pPr>
      <w:r w:rsidRPr="000D6BD5">
        <w:rPr>
          <w:rFonts w:ascii="Times New Roman" w:eastAsia="Times New Roman" w:hAnsi="Times New Roman" w:cs="Times New Roman"/>
          <w:noProof/>
          <w:sz w:val="24"/>
          <w:szCs w:val="24"/>
        </w:rPr>
        <w:t xml:space="preserve">The </w:t>
      </w:r>
      <w:r w:rsidR="000D6BD5">
        <w:rPr>
          <w:rFonts w:ascii="Times New Roman" w:eastAsia="Times New Roman" w:hAnsi="Times New Roman" w:cs="Times New Roman"/>
          <w:noProof/>
          <w:sz w:val="24"/>
          <w:szCs w:val="24"/>
        </w:rPr>
        <w:t>C</w:t>
      </w:r>
      <w:r w:rsidRPr="000D6BD5">
        <w:rPr>
          <w:rFonts w:ascii="Times New Roman" w:eastAsia="Times New Roman" w:hAnsi="Times New Roman" w:cs="Times New Roman"/>
          <w:noProof/>
          <w:sz w:val="24"/>
          <w:szCs w:val="24"/>
        </w:rPr>
        <w:t xml:space="preserve">enter concluded with a set of recommendations to improve and enhance the </w:t>
      </w:r>
      <w:r w:rsidR="00054523">
        <w:rPr>
          <w:rFonts w:ascii="Times New Roman" w:eastAsia="Times New Roman" w:hAnsi="Times New Roman" w:cs="Times New Roman"/>
          <w:noProof/>
          <w:sz w:val="24"/>
          <w:szCs w:val="24"/>
        </w:rPr>
        <w:t>Law</w:t>
      </w:r>
      <w:r w:rsidRPr="000D6BD5">
        <w:rPr>
          <w:rFonts w:ascii="Times New Roman" w:eastAsia="Times New Roman" w:hAnsi="Times New Roman" w:cs="Times New Roman"/>
          <w:noProof/>
          <w:sz w:val="24"/>
          <w:szCs w:val="24"/>
        </w:rPr>
        <w:t>, which are as follows:</w:t>
      </w:r>
    </w:p>
    <w:p w14:paraId="304A1ED7" w14:textId="77777777" w:rsidR="000D6BD5" w:rsidRDefault="000D6BD5" w:rsidP="000D6BD5">
      <w:pPr>
        <w:spacing w:after="0" w:line="240" w:lineRule="auto"/>
        <w:jc w:val="both"/>
        <w:rPr>
          <w:rFonts w:ascii="Times New Roman" w:eastAsia="Times New Roman" w:hAnsi="Times New Roman" w:cs="Times New Roman"/>
          <w:noProof/>
          <w:sz w:val="24"/>
          <w:szCs w:val="24"/>
        </w:rPr>
      </w:pPr>
    </w:p>
    <w:p w14:paraId="53CE4D55" w14:textId="4A1653DA" w:rsidR="000E5EB8" w:rsidRDefault="000E5EB8" w:rsidP="007E70F5">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D6BD5">
        <w:rPr>
          <w:rFonts w:ascii="Times New Roman" w:eastAsia="Times New Roman" w:hAnsi="Times New Roman" w:cs="Times New Roman"/>
          <w:noProof/>
          <w:sz w:val="24"/>
          <w:szCs w:val="24"/>
        </w:rPr>
        <w:t xml:space="preserve">Sufficiency with regard to the crime of defamation, slander and contempt with the general rules contained in Penal Code No. (16) of 1960 and its amendments, due to the sufficiency of the existing texts in the Penal Code and to avoid legislative repetition and general consistency between these legislations. In the event that the text of this </w:t>
      </w:r>
      <w:r w:rsidR="007E70F5">
        <w:rPr>
          <w:rFonts w:ascii="Times New Roman" w:eastAsia="Times New Roman" w:hAnsi="Times New Roman" w:cs="Times New Roman"/>
          <w:noProof/>
          <w:sz w:val="24"/>
          <w:szCs w:val="24"/>
        </w:rPr>
        <w:t>A</w:t>
      </w:r>
      <w:r w:rsidRPr="000D6BD5">
        <w:rPr>
          <w:rFonts w:ascii="Times New Roman" w:eastAsia="Times New Roman" w:hAnsi="Times New Roman" w:cs="Times New Roman"/>
          <w:noProof/>
          <w:sz w:val="24"/>
          <w:szCs w:val="24"/>
        </w:rPr>
        <w:t xml:space="preserve">rticle is retained in the Electronic Crimes </w:t>
      </w:r>
      <w:r w:rsidR="00054523">
        <w:rPr>
          <w:rFonts w:ascii="Times New Roman" w:eastAsia="Times New Roman" w:hAnsi="Times New Roman" w:cs="Times New Roman"/>
          <w:noProof/>
          <w:sz w:val="24"/>
          <w:szCs w:val="24"/>
        </w:rPr>
        <w:t>Law</w:t>
      </w:r>
      <w:r w:rsidRPr="000D6BD5">
        <w:rPr>
          <w:rFonts w:ascii="Times New Roman" w:eastAsia="Times New Roman" w:hAnsi="Times New Roman" w:cs="Times New Roman"/>
          <w:noProof/>
          <w:sz w:val="24"/>
          <w:szCs w:val="24"/>
        </w:rPr>
        <w:t>, the penalty will be reduced in a manner consistent with Penal Code No. (16) of 1960 and its amendments to ensure that there is no arrest.</w:t>
      </w:r>
    </w:p>
    <w:p w14:paraId="4DD91F89" w14:textId="7A54F2A1" w:rsidR="000E5EB8" w:rsidRPr="000E5EB8" w:rsidRDefault="000E5EB8" w:rsidP="007E70F5">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Reformulating the legislation related to some crimes such as character assassination to ensure that individuals are able to understand, apply and adhere to the texts and to ensure that these terms are not interpreted according to different interpretations. In addition to stating the elements of this crime.</w:t>
      </w:r>
    </w:p>
    <w:p w14:paraId="1D9B9720" w14:textId="5D82E1C6" w:rsidR="000E5EB8" w:rsidRPr="000E5EB8" w:rsidRDefault="000E5EB8" w:rsidP="00B750C9">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Controlling the criminal acts contained in some texts of the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xml:space="preserve">, especially those related to hate speech, and defining the elements of this speech in accordance with what is indicated in Article (20) of the International Covenant on Civil and Political Rights. At the same time, controlling some of the terms contained in the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including false news.</w:t>
      </w:r>
    </w:p>
    <w:p w14:paraId="75015D9F" w14:textId="34CFCA84" w:rsidR="000E5EB8" w:rsidRPr="000E5EB8" w:rsidRDefault="000E5EB8" w:rsidP="00B750C9">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Adhering to the general rules in criminal legislation, especially those related to the rules of criminal participation and adopting the principle of individualization of punishment in this context. The Center calls for reviewing the text of Article (27) of the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w:t>
      </w:r>
    </w:p>
    <w:p w14:paraId="5071830A" w14:textId="1D182A6F" w:rsidR="000E5EB8" w:rsidRPr="000E5EB8" w:rsidRDefault="000E5EB8" w:rsidP="007E70F5">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Codifying the conditions of permissible criticism established by the esteemed Jordanian judiciary, specifically in its applications regarding press and publishing issues.</w:t>
      </w:r>
    </w:p>
    <w:p w14:paraId="2DBCEE3A" w14:textId="5FC3C77E" w:rsidR="000E5EB8" w:rsidRPr="000E5EB8" w:rsidRDefault="000E5EB8" w:rsidP="007E70F5">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Explicitly stipulating that journal</w:t>
      </w:r>
      <w:bookmarkStart w:id="0" w:name="_GoBack"/>
      <w:bookmarkEnd w:id="0"/>
      <w:r w:rsidRPr="000E5EB8">
        <w:rPr>
          <w:rFonts w:ascii="Times New Roman" w:eastAsia="Times New Roman" w:hAnsi="Times New Roman" w:cs="Times New Roman"/>
          <w:noProof/>
          <w:sz w:val="24"/>
          <w:szCs w:val="24"/>
        </w:rPr>
        <w:t xml:space="preserve">ists may not be tried for performing their professional and journalistic work except under the Press and Publishing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which is the legal umbrella that regulates and governs the work of journalists in Jordan.</w:t>
      </w:r>
    </w:p>
    <w:p w14:paraId="1672762C" w14:textId="607286C5" w:rsidR="000E5EB8" w:rsidRPr="003D080E" w:rsidRDefault="000E5EB8" w:rsidP="00B750C9">
      <w:pPr>
        <w:pStyle w:val="ListParagraph"/>
        <w:numPr>
          <w:ilvl w:val="0"/>
          <w:numId w:val="9"/>
        </w:numPr>
        <w:spacing w:after="0" w:line="240" w:lineRule="auto"/>
        <w:ind w:left="567" w:hanging="567"/>
        <w:jc w:val="both"/>
        <w:rPr>
          <w:rFonts w:ascii="Times New Roman" w:eastAsia="Times New Roman" w:hAnsi="Times New Roman" w:cs="Times New Roman"/>
          <w:noProof/>
          <w:sz w:val="24"/>
          <w:szCs w:val="24"/>
        </w:rPr>
      </w:pPr>
      <w:r w:rsidRPr="000E5EB8">
        <w:rPr>
          <w:rFonts w:ascii="Times New Roman" w:eastAsia="Times New Roman" w:hAnsi="Times New Roman" w:cs="Times New Roman"/>
          <w:noProof/>
          <w:sz w:val="24"/>
          <w:szCs w:val="24"/>
        </w:rPr>
        <w:t xml:space="preserve">Expanding the use of alternative penalties, especially with regard to some crimes stipulated in the </w:t>
      </w:r>
      <w:r w:rsidR="00054523">
        <w:rPr>
          <w:rFonts w:ascii="Times New Roman" w:eastAsia="Times New Roman" w:hAnsi="Times New Roman" w:cs="Times New Roman"/>
          <w:noProof/>
          <w:sz w:val="24"/>
          <w:szCs w:val="24"/>
        </w:rPr>
        <w:t>Law</w:t>
      </w:r>
      <w:r w:rsidRPr="000E5EB8">
        <w:rPr>
          <w:rFonts w:ascii="Times New Roman" w:eastAsia="Times New Roman" w:hAnsi="Times New Roman" w:cs="Times New Roman"/>
          <w:noProof/>
          <w:sz w:val="24"/>
          <w:szCs w:val="24"/>
        </w:rPr>
        <w:t>, in order to also reduce the rate of overcrowding in correctional and rehabilitation centers.</w:t>
      </w:r>
    </w:p>
    <w:sectPr w:rsidR="000E5EB8" w:rsidRPr="003D080E">
      <w:footerReference w:type="default" r:id="rId10"/>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1E1015" w14:textId="77777777" w:rsidR="00AC1911" w:rsidRDefault="00AC1911" w:rsidP="009E2D81">
      <w:pPr>
        <w:spacing w:after="0" w:line="240" w:lineRule="auto"/>
      </w:pPr>
      <w:r>
        <w:separator/>
      </w:r>
    </w:p>
  </w:endnote>
  <w:endnote w:type="continuationSeparator" w:id="0">
    <w:p w14:paraId="56ABE658" w14:textId="77777777" w:rsidR="00AC1911" w:rsidRDefault="00AC1911" w:rsidP="009E2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00000000" w:usb2="00000000" w:usb3="00000000" w:csb0="00000041" w:csb1="00000000"/>
  </w:font>
  <w:font w:name="Calibri Light">
    <w:altName w:val="Arial"/>
    <w:charset w:val="00"/>
    <w:family w:val="swiss"/>
    <w:pitch w:val="variable"/>
    <w:sig w:usb0="00000000"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432443"/>
      <w:docPartObj>
        <w:docPartGallery w:val="Page Numbers (Bottom of Page)"/>
        <w:docPartUnique/>
      </w:docPartObj>
    </w:sdtPr>
    <w:sdtEndPr>
      <w:rPr>
        <w:noProof/>
      </w:rPr>
    </w:sdtEndPr>
    <w:sdtContent>
      <w:p w14:paraId="214C4044" w14:textId="2C3A1648" w:rsidR="001A7925" w:rsidRDefault="001A7925">
        <w:pPr>
          <w:pStyle w:val="Footer"/>
          <w:jc w:val="center"/>
        </w:pPr>
        <w:r>
          <w:fldChar w:fldCharType="begin"/>
        </w:r>
        <w:r>
          <w:instrText xml:space="preserve"> PAGE   \* MERGEFORMAT </w:instrText>
        </w:r>
        <w:r>
          <w:fldChar w:fldCharType="separate"/>
        </w:r>
        <w:r w:rsidR="00054523">
          <w:rPr>
            <w:noProof/>
          </w:rPr>
          <w:t>1</w:t>
        </w:r>
        <w:r>
          <w:rPr>
            <w:noProof/>
          </w:rPr>
          <w:fldChar w:fldCharType="end"/>
        </w:r>
      </w:p>
    </w:sdtContent>
  </w:sdt>
  <w:p w14:paraId="5B8744A4" w14:textId="77777777" w:rsidR="001A7925" w:rsidRDefault="001A792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A87B23" w14:textId="77777777" w:rsidR="00AC1911" w:rsidRDefault="00AC1911" w:rsidP="009E2D81">
      <w:pPr>
        <w:spacing w:after="0" w:line="240" w:lineRule="auto"/>
      </w:pPr>
      <w:r>
        <w:separator/>
      </w:r>
    </w:p>
  </w:footnote>
  <w:footnote w:type="continuationSeparator" w:id="0">
    <w:p w14:paraId="54C99F58" w14:textId="77777777" w:rsidR="00AC1911" w:rsidRDefault="00AC1911" w:rsidP="009E2D81">
      <w:pPr>
        <w:spacing w:after="0" w:line="240" w:lineRule="auto"/>
      </w:pPr>
      <w:r>
        <w:continuationSeparator/>
      </w:r>
    </w:p>
  </w:footnote>
  <w:footnote w:id="1">
    <w:p w14:paraId="179ED7AF" w14:textId="7005B437" w:rsidR="009A6520" w:rsidRPr="009A6520" w:rsidRDefault="009A6520" w:rsidP="003E5F80">
      <w:pPr>
        <w:pStyle w:val="FootnoteText"/>
        <w:ind w:left="567" w:hanging="567"/>
        <w:jc w:val="both"/>
        <w:rPr>
          <w:rFonts w:ascii="Times New Roman" w:hAnsi="Times New Roman" w:cs="Times New Roman"/>
        </w:rPr>
      </w:pPr>
      <w:r w:rsidRPr="003E5F80">
        <w:rPr>
          <w:rStyle w:val="FootnoteReference"/>
          <w:rFonts w:ascii="Times New Roman" w:hAnsi="Times New Roman" w:cs="Times New Roman"/>
          <w:vertAlign w:val="baseline"/>
        </w:rPr>
        <w:footnoteRef/>
      </w:r>
      <w:r w:rsidRPr="009A6520">
        <w:rPr>
          <w:rFonts w:ascii="Times New Roman" w:hAnsi="Times New Roman" w:cs="Times New Roman"/>
        </w:rPr>
        <w:t xml:space="preserve"> </w:t>
      </w:r>
      <w:r w:rsidRPr="009A6520">
        <w:rPr>
          <w:rFonts w:ascii="Times New Roman" w:hAnsi="Times New Roman" w:cs="Times New Roman"/>
        </w:rPr>
        <w:tab/>
        <w:t>This problem was raised, and legislative and procedural recommendations were proposed to advance the fight against torture in Jordan in the annual human rights reports issued by the National Center for Human Rights. See in this regard: The Sixteenth Report on the Status of Human Rights in Jordan, pp. 17-18, The Thirteenth Report on the Status of Human Rights, pp. 26, 27. (</w:t>
      </w:r>
      <w:proofErr w:type="spellStart"/>
      <w:r w:rsidR="003E5F80">
        <w:rPr>
          <w:rFonts w:ascii="Times New Roman" w:hAnsi="Times New Roman" w:cs="Times New Roman"/>
        </w:rPr>
        <w:fldChar w:fldCharType="begin"/>
      </w:r>
      <w:r w:rsidR="003E5F80">
        <w:rPr>
          <w:rFonts w:ascii="Times New Roman" w:hAnsi="Times New Roman" w:cs="Times New Roman"/>
        </w:rPr>
        <w:instrText xml:space="preserve"> HYPERLINK "http://</w:instrText>
      </w:r>
      <w:r w:rsidR="003E5F80" w:rsidRPr="009A6520">
        <w:rPr>
          <w:rFonts w:ascii="Times New Roman" w:hAnsi="Times New Roman" w:cs="Times New Roman"/>
        </w:rPr>
        <w:instrText>www.nchr.org.jo</w:instrText>
      </w:r>
      <w:r w:rsidR="003E5F80">
        <w:rPr>
          <w:rFonts w:ascii="Times New Roman" w:hAnsi="Times New Roman" w:cs="Times New Roman"/>
        </w:rPr>
        <w:instrText xml:space="preserve">" </w:instrText>
      </w:r>
      <w:r w:rsidR="003E5F80">
        <w:rPr>
          <w:rFonts w:ascii="Times New Roman" w:hAnsi="Times New Roman" w:cs="Times New Roman"/>
        </w:rPr>
        <w:fldChar w:fldCharType="separate"/>
      </w:r>
      <w:r w:rsidR="003E5F80" w:rsidRPr="00632648">
        <w:rPr>
          <w:rStyle w:val="Hyperlink"/>
          <w:rFonts w:ascii="Times New Roman" w:hAnsi="Times New Roman" w:cs="Times New Roman"/>
        </w:rPr>
        <w:t>www.nchr.org.jo</w:t>
      </w:r>
      <w:proofErr w:type="spellEnd"/>
      <w:r w:rsidR="003E5F80">
        <w:rPr>
          <w:rFonts w:ascii="Times New Roman" w:hAnsi="Times New Roman" w:cs="Times New Roman"/>
        </w:rPr>
        <w:fldChar w:fldCharType="end"/>
      </w:r>
      <w:r w:rsidR="003E5F80">
        <w:rPr>
          <w:rFonts w:ascii="Times New Roman" w:hAnsi="Times New Roman" w:cs="Times New Roman"/>
        </w:rPr>
        <w:t xml:space="preserve"> </w:t>
      </w:r>
      <w:r w:rsidRPr="009A6520">
        <w:rPr>
          <w:rFonts w:ascii="Times New Roman" w:hAnsi="Times New Roman" w:cs="Times New Roman"/>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D37EC5"/>
    <w:multiLevelType w:val="hybridMultilevel"/>
    <w:tmpl w:val="4DCCF528"/>
    <w:lvl w:ilvl="0" w:tplc="98547844">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D96A61"/>
    <w:multiLevelType w:val="hybridMultilevel"/>
    <w:tmpl w:val="E52A2818"/>
    <w:lvl w:ilvl="0" w:tplc="4F84D2D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08570EA"/>
    <w:multiLevelType w:val="hybridMultilevel"/>
    <w:tmpl w:val="7BE0E6C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55BA0C1E"/>
    <w:multiLevelType w:val="hybridMultilevel"/>
    <w:tmpl w:val="1DAA7C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8432E10"/>
    <w:multiLevelType w:val="hybridMultilevel"/>
    <w:tmpl w:val="EBA24D6A"/>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C83250C"/>
    <w:multiLevelType w:val="hybridMultilevel"/>
    <w:tmpl w:val="E1286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EF33290"/>
    <w:multiLevelType w:val="hybridMultilevel"/>
    <w:tmpl w:val="7F461BE4"/>
    <w:lvl w:ilvl="0" w:tplc="33F6F26A">
      <w:numFmt w:val="bullet"/>
      <w:lvlText w:val="-"/>
      <w:lvlJc w:val="left"/>
      <w:pPr>
        <w:ind w:left="900" w:hanging="360"/>
      </w:pPr>
      <w:rPr>
        <w:rFonts w:ascii="Times New Roman" w:eastAsiaTheme="minorHAnsi"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7">
    <w:nsid w:val="724E712F"/>
    <w:multiLevelType w:val="hybridMultilevel"/>
    <w:tmpl w:val="38F4451A"/>
    <w:lvl w:ilvl="0" w:tplc="8836DF0C">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7AF31410"/>
    <w:multiLevelType w:val="hybridMultilevel"/>
    <w:tmpl w:val="D5BE5E64"/>
    <w:lvl w:ilvl="0" w:tplc="D8B2C05A">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7"/>
  </w:num>
  <w:num w:numId="3">
    <w:abstractNumId w:val="3"/>
  </w:num>
  <w:num w:numId="4">
    <w:abstractNumId w:val="5"/>
  </w:num>
  <w:num w:numId="5">
    <w:abstractNumId w:val="6"/>
  </w:num>
  <w:num w:numId="6">
    <w:abstractNumId w:val="1"/>
  </w:num>
  <w:num w:numId="7">
    <w:abstractNumId w:val="8"/>
  </w:num>
  <w:num w:numId="8">
    <w:abstractNumId w:val="0"/>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9574F"/>
    <w:rsid w:val="00054523"/>
    <w:rsid w:val="000D6BD5"/>
    <w:rsid w:val="000E5EB8"/>
    <w:rsid w:val="0019574F"/>
    <w:rsid w:val="001A7925"/>
    <w:rsid w:val="00286FB0"/>
    <w:rsid w:val="002949AC"/>
    <w:rsid w:val="002E2424"/>
    <w:rsid w:val="00305DF5"/>
    <w:rsid w:val="00397B3B"/>
    <w:rsid w:val="003A2959"/>
    <w:rsid w:val="003D080E"/>
    <w:rsid w:val="003E5F80"/>
    <w:rsid w:val="003F6F47"/>
    <w:rsid w:val="00410759"/>
    <w:rsid w:val="004908C4"/>
    <w:rsid w:val="004F47F1"/>
    <w:rsid w:val="0052480E"/>
    <w:rsid w:val="00572F91"/>
    <w:rsid w:val="005E7C6B"/>
    <w:rsid w:val="006A1DE1"/>
    <w:rsid w:val="006B4FFA"/>
    <w:rsid w:val="00744DD3"/>
    <w:rsid w:val="007662D5"/>
    <w:rsid w:val="007A14FA"/>
    <w:rsid w:val="007D1FEA"/>
    <w:rsid w:val="007E1363"/>
    <w:rsid w:val="007E70F5"/>
    <w:rsid w:val="008F264B"/>
    <w:rsid w:val="009404EF"/>
    <w:rsid w:val="009563F3"/>
    <w:rsid w:val="009A29F1"/>
    <w:rsid w:val="009A6520"/>
    <w:rsid w:val="009E2D81"/>
    <w:rsid w:val="00AC1911"/>
    <w:rsid w:val="00AF5A47"/>
    <w:rsid w:val="00B136F4"/>
    <w:rsid w:val="00B750C9"/>
    <w:rsid w:val="00BB17D5"/>
    <w:rsid w:val="00C00F37"/>
    <w:rsid w:val="00C37FA2"/>
    <w:rsid w:val="00C91D5B"/>
    <w:rsid w:val="00CB4793"/>
    <w:rsid w:val="00CC7A2E"/>
    <w:rsid w:val="00D31E71"/>
    <w:rsid w:val="00D33357"/>
    <w:rsid w:val="00D53564"/>
    <w:rsid w:val="00EF1E23"/>
    <w:rsid w:val="00F27B5B"/>
    <w:rsid w:val="00F65CAC"/>
    <w:rsid w:val="00FB1F6B"/>
    <w:rsid w:val="00FC741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86A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D81"/>
    <w:pPr>
      <w:spacing w:after="200" w:line="276" w:lineRule="auto"/>
    </w:pPr>
    <w:rPr>
      <w:kern w:val="0"/>
      <w:lang w:val="en-US" w:bidi="ar-JO"/>
      <w14:ligatures w14:val="none"/>
    </w:rPr>
  </w:style>
  <w:style w:type="paragraph" w:styleId="Heading2">
    <w:name w:val="heading 2"/>
    <w:basedOn w:val="Normal"/>
    <w:link w:val="Heading2Char"/>
    <w:uiPriority w:val="9"/>
    <w:qFormat/>
    <w:rsid w:val="009E2D81"/>
    <w:pPr>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سرد الفقرات"/>
    <w:basedOn w:val="Normal"/>
    <w:link w:val="ListParagraphChar"/>
    <w:uiPriority w:val="34"/>
    <w:qFormat/>
    <w:rsid w:val="009E2D81"/>
    <w:pPr>
      <w:ind w:left="720"/>
      <w:contextualSpacing/>
    </w:pPr>
  </w:style>
  <w:style w:type="paragraph" w:styleId="FootnoteText">
    <w:name w:val="footnote text"/>
    <w:basedOn w:val="Normal"/>
    <w:link w:val="FootnoteTextChar"/>
    <w:unhideWhenUsed/>
    <w:rsid w:val="009E2D81"/>
    <w:pPr>
      <w:spacing w:after="0" w:line="240" w:lineRule="auto"/>
    </w:pPr>
    <w:rPr>
      <w:sz w:val="20"/>
      <w:szCs w:val="20"/>
      <w:lang w:bidi="ar-SA"/>
    </w:rPr>
  </w:style>
  <w:style w:type="character" w:customStyle="1" w:styleId="FootnoteTextChar">
    <w:name w:val="Footnote Text Char"/>
    <w:basedOn w:val="DefaultParagraphFont"/>
    <w:link w:val="FootnoteText"/>
    <w:rsid w:val="009E2D81"/>
    <w:rPr>
      <w:kern w:val="0"/>
      <w:sz w:val="20"/>
      <w:szCs w:val="20"/>
      <w:lang w:val="en-US"/>
      <w14:ligatures w14:val="none"/>
    </w:rPr>
  </w:style>
  <w:style w:type="character" w:styleId="FootnoteReference">
    <w:name w:val="footnote reference"/>
    <w:aliases w:val="4_GA"/>
    <w:unhideWhenUsed/>
    <w:rsid w:val="009E2D81"/>
    <w:rPr>
      <w:vertAlign w:val="superscript"/>
    </w:rPr>
  </w:style>
  <w:style w:type="character" w:customStyle="1" w:styleId="ListParagraphChar">
    <w:name w:val="List Paragraph Char"/>
    <w:aliases w:val="Bullets Char,سرد الفقرات Char"/>
    <w:basedOn w:val="DefaultParagraphFont"/>
    <w:link w:val="ListParagraph"/>
    <w:uiPriority w:val="34"/>
    <w:locked/>
    <w:rsid w:val="009E2D81"/>
    <w:rPr>
      <w:kern w:val="0"/>
      <w:lang w:val="en-US" w:bidi="ar-JO"/>
      <w14:ligatures w14:val="none"/>
    </w:rPr>
  </w:style>
  <w:style w:type="character" w:customStyle="1" w:styleId="Heading2Char">
    <w:name w:val="Heading 2 Char"/>
    <w:basedOn w:val="DefaultParagraphFont"/>
    <w:link w:val="Heading2"/>
    <w:uiPriority w:val="9"/>
    <w:rsid w:val="009E2D81"/>
    <w:rPr>
      <w:rFonts w:ascii="Times New Roman" w:eastAsia="Times New Roman" w:hAnsi="Times New Roman" w:cs="Times New Roman"/>
      <w:b/>
      <w:bCs/>
      <w:kern w:val="0"/>
      <w:sz w:val="36"/>
      <w:szCs w:val="36"/>
      <w:lang w:val="en-US"/>
      <w14:ligatures w14:val="none"/>
    </w:rPr>
  </w:style>
  <w:style w:type="paragraph" w:styleId="Header">
    <w:name w:val="header"/>
    <w:basedOn w:val="Normal"/>
    <w:link w:val="HeaderChar"/>
    <w:uiPriority w:val="99"/>
    <w:unhideWhenUsed/>
    <w:rsid w:val="001A792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A7925"/>
    <w:rPr>
      <w:kern w:val="0"/>
      <w:lang w:val="en-US" w:bidi="ar-JO"/>
      <w14:ligatures w14:val="none"/>
    </w:rPr>
  </w:style>
  <w:style w:type="paragraph" w:styleId="Footer">
    <w:name w:val="footer"/>
    <w:basedOn w:val="Normal"/>
    <w:link w:val="FooterChar"/>
    <w:uiPriority w:val="99"/>
    <w:unhideWhenUsed/>
    <w:rsid w:val="001A792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A7925"/>
    <w:rPr>
      <w:kern w:val="0"/>
      <w:lang w:val="en-US" w:bidi="ar-JO"/>
      <w14:ligatures w14:val="none"/>
    </w:rPr>
  </w:style>
  <w:style w:type="character" w:styleId="Hyperlink">
    <w:name w:val="Hyperlink"/>
    <w:basedOn w:val="DefaultParagraphFont"/>
    <w:uiPriority w:val="99"/>
    <w:unhideWhenUsed/>
    <w:rsid w:val="003E5F80"/>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D81"/>
    <w:pPr>
      <w:spacing w:after="200" w:line="276" w:lineRule="auto"/>
    </w:pPr>
    <w:rPr>
      <w:kern w:val="0"/>
      <w:lang w:val="en-US" w:bidi="ar-JO"/>
      <w14:ligatures w14:val="none"/>
    </w:rPr>
  </w:style>
  <w:style w:type="paragraph" w:styleId="Heading2">
    <w:name w:val="heading 2"/>
    <w:basedOn w:val="Normal"/>
    <w:link w:val="Heading2Char"/>
    <w:uiPriority w:val="9"/>
    <w:qFormat/>
    <w:rsid w:val="009E2D81"/>
    <w:pPr>
      <w:spacing w:before="100" w:beforeAutospacing="1" w:after="100" w:afterAutospacing="1" w:line="240" w:lineRule="auto"/>
      <w:outlineLvl w:val="1"/>
    </w:pPr>
    <w:rPr>
      <w:rFonts w:ascii="Times New Roman" w:eastAsia="Times New Roman" w:hAnsi="Times New Roman" w:cs="Times New Roman"/>
      <w:b/>
      <w:bCs/>
      <w:sz w:val="36"/>
      <w:szCs w:val="36"/>
      <w:lang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سرد الفقرات"/>
    <w:basedOn w:val="Normal"/>
    <w:link w:val="ListParagraphChar"/>
    <w:uiPriority w:val="34"/>
    <w:qFormat/>
    <w:rsid w:val="009E2D81"/>
    <w:pPr>
      <w:ind w:left="720"/>
      <w:contextualSpacing/>
    </w:pPr>
  </w:style>
  <w:style w:type="paragraph" w:styleId="FootnoteText">
    <w:name w:val="footnote text"/>
    <w:basedOn w:val="Normal"/>
    <w:link w:val="FootnoteTextChar"/>
    <w:unhideWhenUsed/>
    <w:rsid w:val="009E2D81"/>
    <w:pPr>
      <w:spacing w:after="0" w:line="240" w:lineRule="auto"/>
    </w:pPr>
    <w:rPr>
      <w:sz w:val="20"/>
      <w:szCs w:val="20"/>
      <w:lang w:bidi="ar-SA"/>
    </w:rPr>
  </w:style>
  <w:style w:type="character" w:customStyle="1" w:styleId="FootnoteTextChar">
    <w:name w:val="Footnote Text Char"/>
    <w:basedOn w:val="DefaultParagraphFont"/>
    <w:link w:val="FootnoteText"/>
    <w:rsid w:val="009E2D81"/>
    <w:rPr>
      <w:kern w:val="0"/>
      <w:sz w:val="20"/>
      <w:szCs w:val="20"/>
      <w:lang w:val="en-US"/>
      <w14:ligatures w14:val="none"/>
    </w:rPr>
  </w:style>
  <w:style w:type="character" w:styleId="FootnoteReference">
    <w:name w:val="footnote reference"/>
    <w:aliases w:val="4_GA"/>
    <w:unhideWhenUsed/>
    <w:rsid w:val="009E2D81"/>
    <w:rPr>
      <w:vertAlign w:val="superscript"/>
    </w:rPr>
  </w:style>
  <w:style w:type="character" w:customStyle="1" w:styleId="ListParagraphChar">
    <w:name w:val="List Paragraph Char"/>
    <w:aliases w:val="Bullets Char,سرد الفقرات Char"/>
    <w:basedOn w:val="DefaultParagraphFont"/>
    <w:link w:val="ListParagraph"/>
    <w:uiPriority w:val="34"/>
    <w:locked/>
    <w:rsid w:val="009E2D81"/>
    <w:rPr>
      <w:kern w:val="0"/>
      <w:lang w:val="en-US" w:bidi="ar-JO"/>
      <w14:ligatures w14:val="none"/>
    </w:rPr>
  </w:style>
  <w:style w:type="character" w:customStyle="1" w:styleId="Heading2Char">
    <w:name w:val="Heading 2 Char"/>
    <w:basedOn w:val="DefaultParagraphFont"/>
    <w:link w:val="Heading2"/>
    <w:uiPriority w:val="9"/>
    <w:rsid w:val="009E2D81"/>
    <w:rPr>
      <w:rFonts w:ascii="Times New Roman" w:eastAsia="Times New Roman" w:hAnsi="Times New Roman" w:cs="Times New Roman"/>
      <w:b/>
      <w:bCs/>
      <w:kern w:val="0"/>
      <w:sz w:val="36"/>
      <w:szCs w:val="36"/>
      <w:lang w:val="en-US"/>
      <w14:ligatures w14:val="none"/>
    </w:rPr>
  </w:style>
  <w:style w:type="paragraph" w:styleId="Header">
    <w:name w:val="header"/>
    <w:basedOn w:val="Normal"/>
    <w:link w:val="HeaderChar"/>
    <w:uiPriority w:val="99"/>
    <w:unhideWhenUsed/>
    <w:rsid w:val="001A7925"/>
    <w:pPr>
      <w:tabs>
        <w:tab w:val="center" w:pos="4320"/>
        <w:tab w:val="right" w:pos="8640"/>
      </w:tabs>
      <w:spacing w:after="0" w:line="240" w:lineRule="auto"/>
    </w:pPr>
  </w:style>
  <w:style w:type="character" w:customStyle="1" w:styleId="HeaderChar">
    <w:name w:val="Header Char"/>
    <w:basedOn w:val="DefaultParagraphFont"/>
    <w:link w:val="Header"/>
    <w:uiPriority w:val="99"/>
    <w:rsid w:val="001A7925"/>
    <w:rPr>
      <w:kern w:val="0"/>
      <w:lang w:val="en-US" w:bidi="ar-JO"/>
      <w14:ligatures w14:val="none"/>
    </w:rPr>
  </w:style>
  <w:style w:type="paragraph" w:styleId="Footer">
    <w:name w:val="footer"/>
    <w:basedOn w:val="Normal"/>
    <w:link w:val="FooterChar"/>
    <w:uiPriority w:val="99"/>
    <w:unhideWhenUsed/>
    <w:rsid w:val="001A7925"/>
    <w:pPr>
      <w:tabs>
        <w:tab w:val="center" w:pos="4320"/>
        <w:tab w:val="right" w:pos="8640"/>
      </w:tabs>
      <w:spacing w:after="0" w:line="240" w:lineRule="auto"/>
    </w:pPr>
  </w:style>
  <w:style w:type="character" w:customStyle="1" w:styleId="FooterChar">
    <w:name w:val="Footer Char"/>
    <w:basedOn w:val="DefaultParagraphFont"/>
    <w:link w:val="Footer"/>
    <w:uiPriority w:val="99"/>
    <w:rsid w:val="001A7925"/>
    <w:rPr>
      <w:kern w:val="0"/>
      <w:lang w:val="en-US" w:bidi="ar-JO"/>
      <w14:ligatures w14:val="none"/>
    </w:rPr>
  </w:style>
  <w:style w:type="character" w:styleId="Hyperlink">
    <w:name w:val="Hyperlink"/>
    <w:basedOn w:val="DefaultParagraphFont"/>
    <w:uiPriority w:val="99"/>
    <w:unhideWhenUsed/>
    <w:rsid w:val="003E5F8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2025-01-10T08:43:21+00:00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604388A6-E7A9-44B2-8C36-D147C7A9AD59}">
  <ds:schemaRefs>
    <ds:schemaRef ds:uri="http://schemas.openxmlformats.org/officeDocument/2006/bibliography"/>
  </ds:schemaRefs>
</ds:datastoreItem>
</file>

<file path=customXml/itemProps2.xml><?xml version="1.0" encoding="utf-8"?>
<ds:datastoreItem xmlns:ds="http://schemas.openxmlformats.org/officeDocument/2006/customXml" ds:itemID="{747F1B30-7330-4ABE-A98E-DD82C4E386AB}"/>
</file>

<file path=customXml/itemProps3.xml><?xml version="1.0" encoding="utf-8"?>
<ds:datastoreItem xmlns:ds="http://schemas.openxmlformats.org/officeDocument/2006/customXml" ds:itemID="{9D4D9CAD-B364-492E-9AB5-B445ADA789D8}"/>
</file>

<file path=customXml/itemProps4.xml><?xml version="1.0" encoding="utf-8"?>
<ds:datastoreItem xmlns:ds="http://schemas.openxmlformats.org/officeDocument/2006/customXml" ds:itemID="{C38D1BE4-697E-4761-AFD8-13C353C023F2}"/>
</file>

<file path=docProps/app.xml><?xml version="1.0" encoding="utf-8"?>
<Properties xmlns="http://schemas.openxmlformats.org/officeDocument/2006/extended-properties" xmlns:vt="http://schemas.openxmlformats.org/officeDocument/2006/docPropsVTypes">
  <Template>Normal</Template>
  <TotalTime>48</TotalTime>
  <Pages>4</Pages>
  <Words>1783</Words>
  <Characters>10167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Nahla.M</dc:creator>
  <cp:lastModifiedBy>Jamal</cp:lastModifiedBy>
  <cp:revision>3</cp:revision>
  <cp:lastPrinted>2025-01-06T13:50:00Z</cp:lastPrinted>
  <dcterms:created xsi:type="dcterms:W3CDTF">2025-01-06T13:49:00Z</dcterms:created>
  <dcterms:modified xsi:type="dcterms:W3CDTF">2025-01-06T14:45:00Z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