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62491" w:rsidRDefault="00762491">
      <w:pPr>
        <w:spacing w:after="0" w:line="276" w:lineRule="auto"/>
        <w:jc w:val="center"/>
        <w:rPr>
          <w:b/>
          <w:color w:val="000000"/>
          <w:sz w:val="28"/>
          <w:szCs w:val="28"/>
        </w:rPr>
      </w:pPr>
    </w:p>
    <w:p w14:paraId="00000002" w14:textId="1068EC4E" w:rsidR="00762491" w:rsidRDefault="001028EC">
      <w:pPr>
        <w:spacing w:after="0" w:line="276" w:lineRule="auto"/>
        <w:jc w:val="center"/>
        <w:rPr>
          <w:color w:val="000000"/>
          <w:sz w:val="28"/>
          <w:szCs w:val="28"/>
        </w:rPr>
      </w:pPr>
      <w:r>
        <w:rPr>
          <w:b/>
          <w:color w:val="000000"/>
          <w:sz w:val="28"/>
          <w:szCs w:val="28"/>
        </w:rPr>
        <w:t>The Committee on Economic, Social and Cultural Rights (CESCR)</w:t>
      </w:r>
    </w:p>
    <w:p w14:paraId="00000003" w14:textId="77777777" w:rsidR="00762491" w:rsidRDefault="001028EC">
      <w:pPr>
        <w:spacing w:after="0" w:line="276" w:lineRule="auto"/>
        <w:jc w:val="center"/>
        <w:rPr>
          <w:b/>
          <w:color w:val="000000"/>
          <w:sz w:val="28"/>
          <w:szCs w:val="28"/>
        </w:rPr>
      </w:pPr>
      <w:r>
        <w:rPr>
          <w:b/>
          <w:color w:val="000000"/>
          <w:sz w:val="28"/>
          <w:szCs w:val="28"/>
        </w:rPr>
        <w:t xml:space="preserve"> </w:t>
      </w:r>
    </w:p>
    <w:p w14:paraId="00000004" w14:textId="77777777" w:rsidR="00762491" w:rsidRDefault="001028EC">
      <w:pPr>
        <w:spacing w:after="0" w:line="276" w:lineRule="auto"/>
        <w:jc w:val="center"/>
        <w:rPr>
          <w:b/>
          <w:color w:val="000000"/>
          <w:sz w:val="28"/>
          <w:szCs w:val="28"/>
        </w:rPr>
      </w:pPr>
      <w:r>
        <w:rPr>
          <w:b/>
          <w:color w:val="000000"/>
          <w:sz w:val="28"/>
          <w:szCs w:val="28"/>
        </w:rPr>
        <w:t>74t Session for the Review of the “State of Palestine”</w:t>
      </w:r>
    </w:p>
    <w:p w14:paraId="00000005" w14:textId="77777777" w:rsidR="00762491" w:rsidRDefault="00762491">
      <w:pPr>
        <w:spacing w:after="0" w:line="276" w:lineRule="auto"/>
        <w:jc w:val="center"/>
        <w:rPr>
          <w:b/>
          <w:color w:val="000000"/>
          <w:sz w:val="28"/>
          <w:szCs w:val="28"/>
        </w:rPr>
      </w:pPr>
    </w:p>
    <w:p w14:paraId="00000006" w14:textId="77777777" w:rsidR="00762491" w:rsidRDefault="00762491">
      <w:pPr>
        <w:spacing w:after="0" w:line="276" w:lineRule="auto"/>
        <w:jc w:val="center"/>
        <w:rPr>
          <w:color w:val="000000"/>
          <w:sz w:val="28"/>
          <w:szCs w:val="28"/>
        </w:rPr>
      </w:pPr>
    </w:p>
    <w:p w14:paraId="00000007" w14:textId="77777777" w:rsidR="00762491" w:rsidRDefault="00762491">
      <w:pPr>
        <w:spacing w:line="276" w:lineRule="auto"/>
        <w:jc w:val="center"/>
        <w:rPr>
          <w:sz w:val="28"/>
          <w:szCs w:val="28"/>
        </w:rPr>
      </w:pPr>
    </w:p>
    <w:p w14:paraId="00000008" w14:textId="173C984B" w:rsidR="00762491" w:rsidRDefault="00762491">
      <w:pPr>
        <w:spacing w:line="276" w:lineRule="auto"/>
        <w:jc w:val="both"/>
        <w:rPr>
          <w:sz w:val="28"/>
          <w:szCs w:val="28"/>
        </w:rPr>
      </w:pPr>
    </w:p>
    <w:p w14:paraId="00000009" w14:textId="77777777" w:rsidR="00762491" w:rsidRDefault="001028EC">
      <w:pPr>
        <w:spacing w:line="276" w:lineRule="auto"/>
        <w:jc w:val="center"/>
        <w:rPr>
          <w:b/>
          <w:sz w:val="28"/>
          <w:szCs w:val="28"/>
        </w:rPr>
      </w:pPr>
      <w:r>
        <w:rPr>
          <w:b/>
          <w:sz w:val="28"/>
          <w:szCs w:val="28"/>
        </w:rPr>
        <w:t xml:space="preserve">Iranian Elite Research </w:t>
      </w:r>
      <w:proofErr w:type="gramStart"/>
      <w:r>
        <w:rPr>
          <w:b/>
          <w:sz w:val="28"/>
          <w:szCs w:val="28"/>
        </w:rPr>
        <w:t>Center(</w:t>
      </w:r>
      <w:proofErr w:type="gramEnd"/>
      <w:r>
        <w:rPr>
          <w:b/>
          <w:sz w:val="28"/>
          <w:szCs w:val="28"/>
        </w:rPr>
        <w:t>IREC)</w:t>
      </w:r>
    </w:p>
    <w:p w14:paraId="0000000A" w14:textId="1FB0E4B6" w:rsidR="00762491" w:rsidRDefault="00AB65AF">
      <w:pPr>
        <w:spacing w:line="276" w:lineRule="auto"/>
        <w:jc w:val="center"/>
        <w:rPr>
          <w:b/>
          <w:sz w:val="28"/>
          <w:szCs w:val="28"/>
        </w:rPr>
      </w:pPr>
      <w:r>
        <w:rPr>
          <w:noProof/>
          <w:sz w:val="28"/>
          <w:szCs w:val="28"/>
        </w:rPr>
        <w:drawing>
          <wp:anchor distT="0" distB="0" distL="114300" distR="114300" simplePos="0" relativeHeight="251659264" behindDoc="0" locked="0" layoutInCell="1" allowOverlap="1" wp14:anchorId="61D8DD96" wp14:editId="7EADA830">
            <wp:simplePos x="0" y="0"/>
            <wp:positionH relativeFrom="column">
              <wp:posOffset>2208530</wp:posOffset>
            </wp:positionH>
            <wp:positionV relativeFrom="paragraph">
              <wp:posOffset>242570</wp:posOffset>
            </wp:positionV>
            <wp:extent cx="1264920" cy="13036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4920" cy="1303655"/>
                    </a:xfrm>
                    <a:prstGeom prst="rect">
                      <a:avLst/>
                    </a:prstGeom>
                  </pic:spPr>
                </pic:pic>
              </a:graphicData>
            </a:graphic>
            <wp14:sizeRelH relativeFrom="margin">
              <wp14:pctWidth>0</wp14:pctWidth>
            </wp14:sizeRelH>
            <wp14:sizeRelV relativeFrom="margin">
              <wp14:pctHeight>0</wp14:pctHeight>
            </wp14:sizeRelV>
          </wp:anchor>
        </w:drawing>
      </w:r>
    </w:p>
    <w:p w14:paraId="0000000B" w14:textId="77777777" w:rsidR="00762491" w:rsidRDefault="00762491">
      <w:pPr>
        <w:spacing w:line="276" w:lineRule="auto"/>
        <w:rPr>
          <w:color w:val="000000"/>
          <w:sz w:val="28"/>
          <w:szCs w:val="28"/>
        </w:rPr>
      </w:pPr>
    </w:p>
    <w:p w14:paraId="0000000C" w14:textId="5BA3383A" w:rsidR="00762491" w:rsidRDefault="001028EC">
      <w:pPr>
        <w:spacing w:line="276" w:lineRule="auto"/>
        <w:rPr>
          <w:color w:val="000000"/>
          <w:sz w:val="28"/>
          <w:szCs w:val="28"/>
        </w:rPr>
      </w:pPr>
      <w:r>
        <w:br w:type="page"/>
      </w:r>
    </w:p>
    <w:p w14:paraId="0000000D" w14:textId="77777777" w:rsidR="00762491" w:rsidRDefault="001028EC">
      <w:pPr>
        <w:pBdr>
          <w:top w:val="nil"/>
          <w:left w:val="nil"/>
          <w:bottom w:val="nil"/>
          <w:right w:val="nil"/>
          <w:between w:val="nil"/>
        </w:pBdr>
        <w:spacing w:after="0" w:line="276" w:lineRule="auto"/>
        <w:jc w:val="both"/>
        <w:rPr>
          <w:b/>
          <w:color w:val="000000"/>
          <w:sz w:val="32"/>
          <w:szCs w:val="32"/>
        </w:rPr>
      </w:pPr>
      <w:r>
        <w:rPr>
          <w:b/>
          <w:color w:val="000000"/>
          <w:sz w:val="32"/>
          <w:szCs w:val="32"/>
        </w:rPr>
        <w:lastRenderedPageBreak/>
        <w:t>Introduction</w:t>
      </w:r>
    </w:p>
    <w:p w14:paraId="0000000E" w14:textId="77777777" w:rsidR="00762491" w:rsidRDefault="001028EC">
      <w:pPr>
        <w:pBdr>
          <w:top w:val="nil"/>
          <w:left w:val="nil"/>
          <w:bottom w:val="nil"/>
          <w:right w:val="nil"/>
          <w:between w:val="nil"/>
        </w:pBdr>
        <w:spacing w:after="0" w:line="276" w:lineRule="auto"/>
        <w:jc w:val="both"/>
        <w:rPr>
          <w:color w:val="000000"/>
          <w:sz w:val="32"/>
          <w:szCs w:val="32"/>
        </w:rPr>
      </w:pPr>
      <w:r>
        <w:rPr>
          <w:color w:val="000000"/>
          <w:sz w:val="32"/>
          <w:szCs w:val="32"/>
        </w:rPr>
        <w:t xml:space="preserve">The right to education is one of the fundamental human rights. It concerns the progressive development of the individual, both as a person and as a responsible citizen. It is one of the most important factors that enable individuals or families to improve their standard of living, and it is central to the progressive economic, </w:t>
      </w:r>
      <w:proofErr w:type="gramStart"/>
      <w:r>
        <w:rPr>
          <w:color w:val="000000"/>
          <w:sz w:val="32"/>
          <w:szCs w:val="32"/>
        </w:rPr>
        <w:t>social</w:t>
      </w:r>
      <w:proofErr w:type="gramEnd"/>
      <w:r>
        <w:rPr>
          <w:color w:val="000000"/>
          <w:sz w:val="32"/>
          <w:szCs w:val="32"/>
        </w:rPr>
        <w:t xml:space="preserve"> and cultural development and growth of society. The constant attacks by Israeli occupation forces on Palestinian universities and students violate Israel's obligation as an occupying power to protect educational institutions.</w:t>
      </w:r>
    </w:p>
    <w:p w14:paraId="0000000F" w14:textId="77777777" w:rsidR="00762491" w:rsidRDefault="001028EC">
      <w:pPr>
        <w:pBdr>
          <w:top w:val="nil"/>
          <w:left w:val="nil"/>
          <w:bottom w:val="nil"/>
          <w:right w:val="nil"/>
          <w:between w:val="nil"/>
        </w:pBdr>
        <w:spacing w:line="276" w:lineRule="auto"/>
        <w:jc w:val="both"/>
        <w:rPr>
          <w:color w:val="000000"/>
          <w:sz w:val="32"/>
          <w:szCs w:val="32"/>
        </w:rPr>
      </w:pPr>
      <w:r>
        <w:rPr>
          <w:color w:val="000000"/>
          <w:sz w:val="32"/>
          <w:szCs w:val="32"/>
        </w:rPr>
        <w:t xml:space="preserve">Moreover, the targeting of students directly impinges on Palestinians’ right to education, in violation of international humanitarian law and international human rights law as set forth in Article 26 of the Universal Declaration of Human Rights and Article 13 of the International Covenant on Economic, Social and Cultural Rights (ICESCR). Article 94 of the Fourth Geneva Convention encourages the “detaining power" to “take all feasible measures to ensure the exercise” of “spiritual, </w:t>
      </w:r>
      <w:proofErr w:type="gramStart"/>
      <w:r>
        <w:rPr>
          <w:color w:val="000000"/>
          <w:sz w:val="32"/>
          <w:szCs w:val="32"/>
        </w:rPr>
        <w:t>educational</w:t>
      </w:r>
      <w:proofErr w:type="gramEnd"/>
      <w:r>
        <w:rPr>
          <w:color w:val="000000"/>
          <w:sz w:val="32"/>
          <w:szCs w:val="32"/>
        </w:rPr>
        <w:t xml:space="preserve"> and recreational activities. It goes on to say, </w:t>
      </w:r>
      <w:proofErr w:type="gramStart"/>
      <w:r>
        <w:rPr>
          <w:color w:val="000000"/>
          <w:sz w:val="32"/>
          <w:szCs w:val="32"/>
        </w:rPr>
        <w:t>All</w:t>
      </w:r>
      <w:proofErr w:type="gramEnd"/>
      <w:r>
        <w:rPr>
          <w:color w:val="000000"/>
          <w:sz w:val="32"/>
          <w:szCs w:val="32"/>
        </w:rPr>
        <w:t xml:space="preserve"> possible facilities shall be afforded to internees to enable them to continue their studies or to take up new subjects. The education of children and youth shall be guaranteed; they shall be permitted to attend schools inside or outside the place of internment.</w:t>
      </w:r>
    </w:p>
    <w:p w14:paraId="00000010" w14:textId="77777777" w:rsidR="00762491" w:rsidRDefault="001028EC">
      <w:pPr>
        <w:rPr>
          <w:color w:val="000000"/>
          <w:sz w:val="32"/>
          <w:szCs w:val="32"/>
        </w:rPr>
      </w:pPr>
      <w:r>
        <w:br w:type="page"/>
      </w:r>
    </w:p>
    <w:p w14:paraId="00000011" w14:textId="77777777" w:rsidR="00762491" w:rsidRDefault="00DD52BA">
      <w:pPr>
        <w:pBdr>
          <w:top w:val="nil"/>
          <w:left w:val="nil"/>
          <w:bottom w:val="nil"/>
          <w:right w:val="nil"/>
          <w:between w:val="nil"/>
        </w:pBdr>
        <w:spacing w:after="0" w:line="276" w:lineRule="auto"/>
        <w:jc w:val="both"/>
        <w:rPr>
          <w:color w:val="000000"/>
          <w:sz w:val="32"/>
          <w:szCs w:val="32"/>
        </w:rPr>
      </w:pPr>
      <w:hyperlink r:id="rId8">
        <w:r w:rsidR="001028EC">
          <w:rPr>
            <w:b/>
            <w:color w:val="000000"/>
            <w:sz w:val="32"/>
            <w:szCs w:val="32"/>
          </w:rPr>
          <w:t>The right to education (Article 13</w:t>
        </w:r>
      </w:hyperlink>
      <w:r w:rsidR="001028EC">
        <w:rPr>
          <w:color w:val="000000"/>
          <w:sz w:val="32"/>
          <w:szCs w:val="32"/>
        </w:rPr>
        <w:t>)</w:t>
      </w:r>
    </w:p>
    <w:p w14:paraId="00000012" w14:textId="77777777" w:rsidR="00762491" w:rsidRDefault="00762491">
      <w:pPr>
        <w:pBdr>
          <w:top w:val="nil"/>
          <w:left w:val="nil"/>
          <w:bottom w:val="nil"/>
          <w:right w:val="nil"/>
          <w:between w:val="nil"/>
        </w:pBdr>
        <w:spacing w:after="0" w:line="276" w:lineRule="auto"/>
        <w:jc w:val="both"/>
        <w:rPr>
          <w:color w:val="000000"/>
          <w:sz w:val="32"/>
          <w:szCs w:val="32"/>
        </w:rPr>
      </w:pPr>
      <w:bookmarkStart w:id="0" w:name="_gjdgxs" w:colFirst="0" w:colLast="0"/>
      <w:bookmarkEnd w:id="0"/>
    </w:p>
    <w:p w14:paraId="00000013"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The ongoing closure also negatively affected the right of Gaza Strip population to education. Thousands of Gaza students are still deprived of studying in the West Bank universities in the fields they prefer, taking in consideration that such fields are vital and important for Gaza population. As a result, the West Bank universities have become empty of the Gaza students after their rate used to be around 26% in 1994.</w:t>
      </w:r>
    </w:p>
    <w:p w14:paraId="00000014"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The education system was also affected because many schools, particularly in villages, rely on teachers who come from outside the village, in addition to affecting the social and family relations. Palestinians on both sides of the wall need permits to move through the gates which are built in the wall and operate under a strict security system and in specified hours. Israeli forces often and suddenly close these gates for no apparent reason.</w:t>
      </w:r>
      <w:r>
        <w:rPr>
          <w:color w:val="000000"/>
          <w:sz w:val="28"/>
          <w:szCs w:val="28"/>
          <w:vertAlign w:val="superscript"/>
        </w:rPr>
        <w:footnoteReference w:id="1"/>
      </w:r>
    </w:p>
    <w:p w14:paraId="00000015"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According to UNICEF, three schools have been demolished across the West Bank in the last 12 months (2022-2023), impacting 78 students. The school served pupils from the few Palestinian families remaining in the herding community of Ein Samiya, following the displacement of most of the community amid settler violence and diminishing grazing land.</w:t>
      </w:r>
      <w:r>
        <w:rPr>
          <w:color w:val="000000"/>
          <w:sz w:val="28"/>
          <w:szCs w:val="28"/>
          <w:vertAlign w:val="superscript"/>
        </w:rPr>
        <w:footnoteReference w:id="2"/>
      </w:r>
    </w:p>
    <w:p w14:paraId="00000016"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From January to December 2018, the UN documented 111 interferences to education in the West Bank affecting 19,196 children, an average of more than two violations every week. More than half of the verified incidents involved live ammunition, tear gas, and stun grenades fired into or near schools by Israeli Forces, impacting the delivery of education or injuring students. Nearly two-thirds of all verified interference incidents in West Bank schools took place in the last four months of 2018.</w:t>
      </w:r>
    </w:p>
    <w:p w14:paraId="00000017"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 xml:space="preserve">In 2018, five schools in the West Bank were demolished or seized by Israeli authorities, including Ibziq Community School north of Nablus, Al Semeye School south of Hebron, and the Abu Nuwar and Jabel Baba schools, east of Jerusalem. Also, since mid-October 2018, the Sawiya al Luban school south of </w:t>
      </w:r>
      <w:r>
        <w:rPr>
          <w:color w:val="000000"/>
          <w:sz w:val="28"/>
          <w:szCs w:val="28"/>
        </w:rPr>
        <w:lastRenderedPageBreak/>
        <w:t>Nablus was closed for a day, and the Khan al-Ahmar village school, east of Jerusalem, remains under threat of demolition, along with the rest of the village. Orief secondary school for boys near Nablus has also been forced closed twice due to settler violence, and children from this school have been hospitalized with multiple injuries, including from gunshots. In the H2 area of Hebron, tear gas is regularly used around schools, and new measures are being applied at checkpoints that expose students and teachers to violence - at one particularly affected H2 school, more than 20 such incidents were documented in 2018.</w:t>
      </w:r>
      <w:r>
        <w:rPr>
          <w:color w:val="000000"/>
          <w:sz w:val="28"/>
          <w:szCs w:val="28"/>
          <w:vertAlign w:val="superscript"/>
        </w:rPr>
        <w:footnoteReference w:id="3"/>
      </w:r>
    </w:p>
    <w:p w14:paraId="00000018"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On 23 November 2022 Israeli forces demolished a primary school in Isfey Al-Fouqa, Masafer Yatta, attended by 22 students from neighbouring communities in the occupied West Bank.</w:t>
      </w:r>
      <w:r>
        <w:rPr>
          <w:color w:val="000000"/>
          <w:sz w:val="28"/>
          <w:szCs w:val="28"/>
          <w:vertAlign w:val="superscript"/>
        </w:rPr>
        <w:footnoteReference w:id="4"/>
      </w:r>
    </w:p>
    <w:p w14:paraId="00000019"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The Israeli occupation authorities systematically and persistently target Palestinian university students for arbitrary arrest and detention. This practice, amounting to a form of collective punishment, violates Palestinian students’ rights to education and freedom of association, assembly, and expression, all protected under international legal standards. Each year, the Israeli occupation authorities viciously arrest and detain dozens of Palestinian students, often under the pretext of involvement with student groups deemed “illegal” under Israeli military orders. Though the Israeli occupation authorities target students and student groups across Palestine, students at Birzeit University have been subjected to the most consistent, systematic attacks, raids on campus, arbitrary detention orders, and torture and ill-treatment.</w:t>
      </w:r>
      <w:r>
        <w:rPr>
          <w:color w:val="000000"/>
          <w:sz w:val="28"/>
          <w:szCs w:val="28"/>
          <w:vertAlign w:val="superscript"/>
        </w:rPr>
        <w:footnoteReference w:id="5"/>
      </w:r>
    </w:p>
    <w:p w14:paraId="0000001A"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 xml:space="preserve">University students in the West Bank are usually arrested at nights, often as part of Israeli military raids and incursions of their homes and villages, including those in Area A of the West Bank, which according to Oslo Accords is supposed to be under the Palestinian Authority’s control. Students are sometimes arrested during daytime at Israeli military checkpoints upon entry to towns and villages and on their way to university campuses. After being arrested, students </w:t>
      </w:r>
      <w:r>
        <w:rPr>
          <w:color w:val="000000"/>
          <w:sz w:val="28"/>
          <w:szCs w:val="28"/>
        </w:rPr>
        <w:lastRenderedPageBreak/>
        <w:t>are interrogated about their student activities and political affiliations. Indictments against them are then issued and, in most cases, are followed by prison sentences of 10-24 months 26.</w:t>
      </w:r>
    </w:p>
    <w:p w14:paraId="0000001B"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On 2 November 2020, Shatha Al-Taweel, a student at Birzeit University, was arrested by the Israeli occupying forces from her home in Al-Bireh. During her detention, she was subjected to violence and humiliation. Her hair was pulled, whereas female soldiers pushed her against a wall, while other female soldiers ridiculed and laughed at her. The soldiers prevented Shatha from closing the bathroom door, infringing on her privacy.</w:t>
      </w:r>
      <w:r>
        <w:rPr>
          <w:color w:val="000000"/>
          <w:sz w:val="28"/>
          <w:szCs w:val="28"/>
          <w:vertAlign w:val="superscript"/>
        </w:rPr>
        <w:footnoteReference w:id="6"/>
      </w:r>
    </w:p>
    <w:p w14:paraId="0000001C"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In 2022, the demolitions resulted in the displacement of 269 school students (almost 28%).</w:t>
      </w:r>
      <w:r>
        <w:rPr>
          <w:color w:val="000000"/>
          <w:sz w:val="28"/>
          <w:szCs w:val="28"/>
          <w:vertAlign w:val="superscript"/>
        </w:rPr>
        <w:footnoteReference w:id="7"/>
      </w:r>
    </w:p>
    <w:p w14:paraId="0000001D"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Access to education in oPt is being violated and affected by Israeli policies of demolition, forcible eviction, settlers’ violence and military escalations in Area “C” and East Jerusalem which are under Israeli control. Those polices currently affect 56 schools (48 schools located in Area C and 8located in East Jerusalem) as they are under partial or full demolition orders or have received stop-work orders. These schools serve around 6508 students in the most vulnerable areas of the West Bank.</w:t>
      </w:r>
    </w:p>
    <w:p w14:paraId="0000001E"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In East Jerusalem, the Israeli authorities decided to cancel permanent license of 6 Palestinian private schools to for teaching the Palestinian curriculum. The schools were given a conditional license by the Israeli ministry of education for a year, during which they were requested to make changes to their curriculum or lose their operating license entirely.</w:t>
      </w:r>
      <w:r>
        <w:rPr>
          <w:color w:val="000000"/>
          <w:sz w:val="28"/>
          <w:szCs w:val="28"/>
          <w:vertAlign w:val="superscript"/>
        </w:rPr>
        <w:footnoteReference w:id="8"/>
      </w:r>
    </w:p>
    <w:p w14:paraId="0000001F"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 xml:space="preserve">In the first six months of 2023, the United Nations recorded more than 423 incidents impacting Palestinian children and their education, including Israeli Forces firing at schools and/or students, conducting operations and demolishing schools, harassment by settlers and delays at checkpoints affecting approximately 50,000 children. Three schools were demolished by the </w:t>
      </w:r>
      <w:r>
        <w:rPr>
          <w:color w:val="000000"/>
          <w:sz w:val="28"/>
          <w:szCs w:val="28"/>
        </w:rPr>
        <w:lastRenderedPageBreak/>
        <w:t>Israeli authorities in the last 12 months, the most recent of which on 17 August, in the village of Ein Samiya, just a few days before the start of the new school year. Fifty-eight other schools are currently under partial, full demolition or stop-work orders.</w:t>
      </w:r>
      <w:r>
        <w:rPr>
          <w:color w:val="000000"/>
          <w:sz w:val="28"/>
          <w:szCs w:val="28"/>
          <w:vertAlign w:val="superscript"/>
        </w:rPr>
        <w:footnoteReference w:id="9"/>
      </w:r>
    </w:p>
    <w:p w14:paraId="00000020"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 xml:space="preserve">According to reports, the Israeli army has killed 1,383 Palestinian children in the Gaza Strip alone since 2008. It has partially or </w:t>
      </w:r>
      <w:proofErr w:type="gramStart"/>
      <w:r>
        <w:rPr>
          <w:color w:val="000000"/>
          <w:sz w:val="28"/>
          <w:szCs w:val="28"/>
        </w:rPr>
        <w:t>completely demolished</w:t>
      </w:r>
      <w:proofErr w:type="gramEnd"/>
      <w:r>
        <w:rPr>
          <w:color w:val="000000"/>
          <w:sz w:val="28"/>
          <w:szCs w:val="28"/>
        </w:rPr>
        <w:t xml:space="preserve"> 571 educational facilities, including 538 schools in the same period, during which the occupation authorities detained 143 male and female students.</w:t>
      </w:r>
    </w:p>
    <w:p w14:paraId="00000021"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proofErr w:type="gramStart"/>
      <w:r>
        <w:rPr>
          <w:color w:val="000000"/>
          <w:sz w:val="28"/>
          <w:szCs w:val="28"/>
        </w:rPr>
        <w:t>Schools in Jerusalem,</w:t>
      </w:r>
      <w:proofErr w:type="gramEnd"/>
      <w:r>
        <w:rPr>
          <w:color w:val="000000"/>
          <w:sz w:val="28"/>
          <w:szCs w:val="28"/>
        </w:rPr>
        <w:t xml:space="preserve"> are facing punitive measures imposed by the Israeli occupation authorities simply because they refuse to use Israeli textbooks. The group also pointed to the daily suffering of Palestinian students who must pass through Israeli military checkpoints on their way to school.</w:t>
      </w:r>
    </w:p>
    <w:p w14:paraId="00000022"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 xml:space="preserve">In Gaza, meanwhile, the situation is very difficult due to the ongoing Israeli siege which has been enforced since 2006.  </w:t>
      </w:r>
      <w:proofErr w:type="gramStart"/>
      <w:r>
        <w:rPr>
          <w:color w:val="000000"/>
          <w:sz w:val="28"/>
          <w:szCs w:val="28"/>
        </w:rPr>
        <w:t>A number of</w:t>
      </w:r>
      <w:proofErr w:type="gramEnd"/>
      <w:r>
        <w:rPr>
          <w:color w:val="000000"/>
          <w:sz w:val="28"/>
          <w:szCs w:val="28"/>
        </w:rPr>
        <w:t xml:space="preserve"> schools have to work two shifts in order to absorb the student numbers.</w:t>
      </w:r>
      <w:r>
        <w:rPr>
          <w:color w:val="000000"/>
          <w:sz w:val="28"/>
          <w:szCs w:val="28"/>
          <w:vertAlign w:val="superscript"/>
        </w:rPr>
        <w:footnoteReference w:id="10"/>
      </w:r>
    </w:p>
    <w:p w14:paraId="00000023" w14:textId="77777777" w:rsidR="00762491" w:rsidRDefault="001028EC">
      <w:pPr>
        <w:numPr>
          <w:ilvl w:val="0"/>
          <w:numId w:val="1"/>
        </w:numPr>
        <w:pBdr>
          <w:top w:val="nil"/>
          <w:left w:val="nil"/>
          <w:bottom w:val="nil"/>
          <w:right w:val="nil"/>
          <w:between w:val="nil"/>
        </w:pBdr>
        <w:spacing w:after="0" w:line="276" w:lineRule="auto"/>
        <w:ind w:left="450"/>
        <w:jc w:val="both"/>
        <w:rPr>
          <w:color w:val="000000"/>
          <w:sz w:val="28"/>
          <w:szCs w:val="28"/>
        </w:rPr>
      </w:pPr>
      <w:r>
        <w:rPr>
          <w:color w:val="000000"/>
          <w:sz w:val="28"/>
          <w:szCs w:val="28"/>
        </w:rPr>
        <w:t>The protracted crisis in the Occupied Palestinian territory has resulted in unsafe learning environments for millions of Palestinian girls and boys. In Area C, travelling to school is often unsafe for students, and schools are frequently attacked or occupied for military purposes. Additionally, poverty and restricted services limit academic capabilities, putting education at risk.</w:t>
      </w:r>
      <w:r>
        <w:rPr>
          <w:color w:val="000000"/>
          <w:sz w:val="28"/>
          <w:szCs w:val="28"/>
          <w:vertAlign w:val="superscript"/>
        </w:rPr>
        <w:footnoteReference w:id="11"/>
      </w:r>
    </w:p>
    <w:p w14:paraId="00000024" w14:textId="77777777" w:rsidR="00762491" w:rsidRDefault="00762491">
      <w:pPr>
        <w:pBdr>
          <w:top w:val="nil"/>
          <w:left w:val="nil"/>
          <w:bottom w:val="nil"/>
          <w:right w:val="nil"/>
          <w:between w:val="nil"/>
        </w:pBdr>
        <w:spacing w:line="276" w:lineRule="auto"/>
        <w:ind w:left="450"/>
        <w:jc w:val="both"/>
        <w:rPr>
          <w:color w:val="000000"/>
          <w:sz w:val="28"/>
          <w:szCs w:val="28"/>
        </w:rPr>
      </w:pPr>
    </w:p>
    <w:sectPr w:rsidR="00762491">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E019D" w14:textId="77777777" w:rsidR="001028EC" w:rsidRDefault="001028EC">
      <w:pPr>
        <w:spacing w:after="0" w:line="240" w:lineRule="auto"/>
      </w:pPr>
      <w:r>
        <w:separator/>
      </w:r>
    </w:p>
  </w:endnote>
  <w:endnote w:type="continuationSeparator" w:id="0">
    <w:p w14:paraId="75A89CB2" w14:textId="77777777" w:rsidR="001028EC" w:rsidRDefault="00102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7D458" w14:textId="77777777" w:rsidR="001028EC" w:rsidRDefault="001028EC">
      <w:pPr>
        <w:spacing w:after="0" w:line="240" w:lineRule="auto"/>
      </w:pPr>
      <w:r>
        <w:separator/>
      </w:r>
    </w:p>
  </w:footnote>
  <w:footnote w:type="continuationSeparator" w:id="0">
    <w:p w14:paraId="070055C5" w14:textId="77777777" w:rsidR="001028EC" w:rsidRDefault="001028EC">
      <w:pPr>
        <w:spacing w:after="0" w:line="240" w:lineRule="auto"/>
      </w:pPr>
      <w:r>
        <w:continuationSeparator/>
      </w:r>
    </w:p>
  </w:footnote>
  <w:footnote w:id="1">
    <w:p w14:paraId="00000025"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https://pchrgaza.org/en/pchr-releases-its-2022-annual-report-on-human-rights-situation-in-the-occupied-palestinian-territory/</w:t>
      </w:r>
    </w:p>
  </w:footnote>
  <w:footnote w:id="2">
    <w:p w14:paraId="00000026"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https://www.ochaopt.org/content/elementary-school-ein-samiya-demolished</w:t>
      </w:r>
    </w:p>
  </w:footnote>
  <w:footnote w:id="3">
    <w:p w14:paraId="00000027"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https://www.ochaopt.org/content/right-education-deeply-impacted-ongoing-interference-schools</w:t>
      </w:r>
    </w:p>
  </w:footnote>
  <w:footnote w:id="4">
    <w:p w14:paraId="00000028"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https://www.ucu.org.uk/article/12673/Trade-union-statement-on-the-attacks-on-Palestinian-childrens-right-to-education-and-right-to-life</w:t>
      </w:r>
    </w:p>
  </w:footnote>
  <w:footnote w:id="5">
    <w:p w14:paraId="00000029"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https://www.addameer.org/media/4974</w:t>
      </w:r>
    </w:p>
  </w:footnote>
  <w:footnote w:id="6">
    <w:p w14:paraId="0000002A"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https://law4palestine.org/wp-content/uploads/2023/04/Law-for-Palestine-Report.-Israels-Arrest-Policy-against-Palestinian-University-Students-in-the-West-Bank-and-Israel-.pdf</w:t>
      </w:r>
    </w:p>
  </w:footnote>
  <w:footnote w:id="7">
    <w:p w14:paraId="0000002B"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https://www.alhaq.org/cached_uploads/download/2023/06/05/al-haq-annual-field-report-2022-en-1685960523.pdf</w:t>
      </w:r>
    </w:p>
  </w:footnote>
  <w:footnote w:id="8">
    <w:p w14:paraId="0000002C"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https://palestine.actionaid.org/news/2022/palestinian-students-start-their-school-year-20222023</w:t>
      </w:r>
    </w:p>
  </w:footnote>
  <w:footnote w:id="9">
    <w:p w14:paraId="0000002D"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https://www.ochaopt.org/content/back-school-13-million-palestinian-children-west-bank-and-gaza-strip-are-returning-school-during-tumultuous</w:t>
      </w:r>
    </w:p>
  </w:footnote>
  <w:footnote w:id="10">
    <w:p w14:paraId="0000002E"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https://www.middleeastmonitor.com/20230125-palestine-education-hit-by-flagrant-israeli-violations-says-rights-group/</w:t>
      </w:r>
    </w:p>
  </w:footnote>
  <w:footnote w:id="11">
    <w:p w14:paraId="0000002F" w14:textId="77777777" w:rsidR="00762491" w:rsidRDefault="001028E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https://opt.savethechildren.net/what-we-do/education-early-childhood-care-and-development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0" w14:textId="77777777" w:rsidR="00762491" w:rsidRDefault="00762491">
    <w:pPr>
      <w:pBdr>
        <w:top w:val="nil"/>
        <w:left w:val="nil"/>
        <w:bottom w:val="nil"/>
        <w:right w:val="nil"/>
        <w:between w:val="nil"/>
      </w:pBdr>
      <w:tabs>
        <w:tab w:val="center" w:pos="4680"/>
        <w:tab w:val="right" w:pos="9360"/>
      </w:tabs>
      <w:bidi/>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E5F39"/>
    <w:multiLevelType w:val="multilevel"/>
    <w:tmpl w:val="FFFFFFFF"/>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593900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491"/>
    <w:rsid w:val="001028EC"/>
    <w:rsid w:val="00762491"/>
    <w:rsid w:val="00990203"/>
    <w:rsid w:val="00AB65AF"/>
    <w:rsid w:val="00DD52BA"/>
    <w:rsid w:val="00F26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0DA30F-8E3A-BB43-A377-41441AA7E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cstore.ohchr.org/SelfServices/FilesHandler.ashx?enc=4slQ6QSmlBEDzFEovLCuW1a0Szab0oXTdImnsJZZVQfoUYY19kME5pOqRbao%2BukB1Kzn1MMnQL24FFvtIIdk%2F%2FR%2FF0GthE%2BTiGSATb%2BUa3WMs0%2F%2BfVfQFg02%2BY%2FTVuq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1442</Words>
  <Characters>7908</Characters>
  <Application>Microsoft Office Word</Application>
  <DocSecurity>0</DocSecurity>
  <Lines>146</Lines>
  <Paragraphs>28</Paragraphs>
  <ScaleCrop>false</ScaleCrop>
  <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2023-08-29T14:04:00Z</dcterms:created>
  <dcterms:modified xsi:type="dcterms:W3CDTF">2023-08-29T14:04:00Z</dcterms:modified>
</cp:coreProperties>
</file>