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E3287" w14:textId="1E28522E" w:rsidR="00487F07" w:rsidRDefault="00487F07" w:rsidP="00487F07">
      <w:pPr>
        <w:jc w:val="center"/>
        <w:rPr>
          <w:rFonts w:asciiTheme="minorBidi" w:eastAsia="Times New Roman" w:hAnsiTheme="minorBidi"/>
          <w:b/>
          <w:bCs/>
          <w:noProof/>
          <w:color w:val="197DC1"/>
          <w:sz w:val="32"/>
          <w:szCs w:val="32"/>
          <w:lang w:bidi="fa-IR"/>
        </w:rPr>
      </w:pPr>
      <w:r>
        <w:rPr>
          <w:rFonts w:asciiTheme="majorBidi" w:eastAsia="Times New Roman" w:hAnsiTheme="majorBidi" w:cstheme="majorBidi"/>
          <w:b/>
          <w:bCs/>
          <w:noProof/>
          <w:color w:val="000000" w:themeColor="text1"/>
          <w:sz w:val="24"/>
          <w:szCs w:val="24"/>
          <w:lang w:bidi="fa-IR"/>
        </w:rPr>
        <w:drawing>
          <wp:anchor distT="0" distB="0" distL="114300" distR="114300" simplePos="0" relativeHeight="251658240" behindDoc="1" locked="0" layoutInCell="1" allowOverlap="1" wp14:anchorId="32FD9DD6" wp14:editId="12F9F206">
            <wp:simplePos x="0" y="0"/>
            <wp:positionH relativeFrom="margin">
              <wp:align>center</wp:align>
            </wp:positionH>
            <wp:positionV relativeFrom="paragraph">
              <wp:posOffset>-146867</wp:posOffset>
            </wp:positionV>
            <wp:extent cx="1143000" cy="1073564"/>
            <wp:effectExtent l="0" t="0" r="0" b="0"/>
            <wp:wrapNone/>
            <wp:docPr id="47695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13897"/>
                    <a:stretch>
                      <a:fillRect/>
                    </a:stretch>
                  </pic:blipFill>
                  <pic:spPr bwMode="auto">
                    <a:xfrm>
                      <a:off x="0" y="0"/>
                      <a:ext cx="1143000" cy="107356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004050" w14:textId="42F848A7" w:rsidR="00487F07" w:rsidRDefault="00487F07" w:rsidP="00487F07">
      <w:pPr>
        <w:jc w:val="center"/>
        <w:rPr>
          <w:rFonts w:asciiTheme="minorBidi" w:eastAsia="Times New Roman" w:hAnsiTheme="minorBidi"/>
          <w:b/>
          <w:bCs/>
          <w:noProof/>
          <w:color w:val="197DC1"/>
          <w:sz w:val="32"/>
          <w:szCs w:val="32"/>
          <w:lang w:bidi="fa-IR"/>
        </w:rPr>
      </w:pPr>
    </w:p>
    <w:p w14:paraId="284A4569" w14:textId="77777777" w:rsidR="00487F07" w:rsidRPr="00487F07" w:rsidRDefault="00487F07" w:rsidP="00487F07">
      <w:pPr>
        <w:jc w:val="center"/>
        <w:rPr>
          <w:rFonts w:asciiTheme="minorBidi" w:eastAsia="Times New Roman" w:hAnsiTheme="minorBidi"/>
          <w:b/>
          <w:bCs/>
          <w:noProof/>
          <w:color w:val="197DC1"/>
          <w:sz w:val="12"/>
          <w:szCs w:val="12"/>
          <w:lang w:bidi="fa-IR"/>
        </w:rPr>
      </w:pPr>
    </w:p>
    <w:p w14:paraId="2550ABBC" w14:textId="23337765" w:rsidR="00487F07" w:rsidRDefault="00487F07" w:rsidP="00487F07">
      <w:pPr>
        <w:jc w:val="center"/>
        <w:rPr>
          <w:rFonts w:asciiTheme="majorBidi" w:eastAsia="Times New Roman" w:hAnsiTheme="majorBidi" w:cstheme="majorBidi"/>
          <w:b/>
          <w:bCs/>
          <w:noProof/>
          <w:color w:val="000000" w:themeColor="text1"/>
          <w:sz w:val="24"/>
          <w:szCs w:val="24"/>
          <w:lang w:bidi="fa-IR"/>
        </w:rPr>
      </w:pPr>
      <w:r w:rsidRPr="00487F07">
        <w:rPr>
          <w:rFonts w:asciiTheme="minorBidi" w:eastAsia="Times New Roman" w:hAnsiTheme="minorBidi"/>
          <w:b/>
          <w:bCs/>
          <w:noProof/>
          <w:color w:val="197DC1"/>
          <w:sz w:val="32"/>
          <w:szCs w:val="32"/>
          <w:lang w:bidi="fa-IR"/>
        </w:rPr>
        <w:t>IPWR</w:t>
      </w:r>
    </w:p>
    <w:p w14:paraId="3737C1E6" w14:textId="0023FEC4" w:rsidR="00E20DEB" w:rsidRDefault="00487F07" w:rsidP="00487F07">
      <w:pPr>
        <w:jc w:val="center"/>
        <w:rPr>
          <w:rFonts w:asciiTheme="majorBidi" w:hAnsiTheme="majorBidi" w:cstheme="majorBidi"/>
          <w:b/>
          <w:bCs/>
          <w:sz w:val="24"/>
          <w:szCs w:val="24"/>
        </w:rPr>
      </w:pPr>
      <w:r w:rsidRPr="00B36809">
        <w:rPr>
          <w:rFonts w:asciiTheme="majorBidi" w:eastAsia="Times New Roman" w:hAnsiTheme="majorBidi" w:cstheme="majorBidi"/>
          <w:b/>
          <w:bCs/>
          <w:color w:val="000000" w:themeColor="text1"/>
          <w:sz w:val="24"/>
          <w:szCs w:val="24"/>
          <w:lang w:bidi="fa-IR"/>
        </w:rPr>
        <w:t xml:space="preserve">IPWR Report: </w:t>
      </w:r>
      <w:r w:rsidRPr="00E20DEB">
        <w:rPr>
          <w:rFonts w:asciiTheme="majorBidi" w:hAnsiTheme="majorBidi" w:cstheme="majorBidi"/>
          <w:b/>
          <w:bCs/>
          <w:sz w:val="24"/>
          <w:szCs w:val="24"/>
        </w:rPr>
        <w:t xml:space="preserve">Discrimination against </w:t>
      </w:r>
      <w:proofErr w:type="gramStart"/>
      <w:r w:rsidRPr="00E20DEB">
        <w:rPr>
          <w:rFonts w:asciiTheme="majorBidi" w:hAnsiTheme="majorBidi" w:cstheme="majorBidi"/>
          <w:b/>
          <w:bCs/>
          <w:sz w:val="24"/>
          <w:szCs w:val="24"/>
        </w:rPr>
        <w:t>Shi‘</w:t>
      </w:r>
      <w:proofErr w:type="gramEnd"/>
      <w:r w:rsidRPr="00E20DEB">
        <w:rPr>
          <w:rFonts w:asciiTheme="majorBidi" w:hAnsiTheme="majorBidi" w:cstheme="majorBidi"/>
          <w:b/>
          <w:bCs/>
          <w:sz w:val="24"/>
          <w:szCs w:val="24"/>
        </w:rPr>
        <w:t>a Citizens in Kuwait</w:t>
      </w:r>
    </w:p>
    <w:p w14:paraId="0F4BCADB" w14:textId="77777777" w:rsidR="00E20DEB" w:rsidRPr="00E20DEB" w:rsidRDefault="00E20DEB" w:rsidP="00E20DEB">
      <w:pPr>
        <w:jc w:val="both"/>
        <w:rPr>
          <w:rFonts w:asciiTheme="majorBidi" w:hAnsiTheme="majorBidi" w:cstheme="majorBidi"/>
          <w:b/>
          <w:bCs/>
          <w:sz w:val="24"/>
          <w:szCs w:val="24"/>
        </w:rPr>
      </w:pPr>
      <w:r w:rsidRPr="00E20DEB">
        <w:rPr>
          <w:rFonts w:asciiTheme="majorBidi" w:hAnsiTheme="majorBidi" w:cstheme="majorBidi"/>
          <w:b/>
          <w:bCs/>
          <w:sz w:val="24"/>
          <w:szCs w:val="24"/>
        </w:rPr>
        <w:t>Introduction</w:t>
      </w:r>
    </w:p>
    <w:p w14:paraId="69B1E4DC" w14:textId="1D675E82" w:rsidR="00E20DEB" w:rsidRPr="00E20DEB" w:rsidRDefault="00E20DEB" w:rsidP="00E20DEB">
      <w:pPr>
        <w:jc w:val="both"/>
        <w:rPr>
          <w:rFonts w:asciiTheme="majorBidi" w:hAnsiTheme="majorBidi" w:cstheme="majorBidi"/>
          <w:sz w:val="24"/>
          <w:szCs w:val="24"/>
        </w:rPr>
      </w:pPr>
      <w:r w:rsidRPr="00E20DEB">
        <w:rPr>
          <w:rFonts w:asciiTheme="majorBidi" w:hAnsiTheme="majorBidi" w:cstheme="majorBidi"/>
          <w:sz w:val="24"/>
          <w:szCs w:val="24"/>
        </w:rPr>
        <w:t>The Committee on the Elimination of Racial Discrimination (CERD), as the body monitoring the implementation of the </w:t>
      </w:r>
      <w:r w:rsidRPr="00E20DEB">
        <w:rPr>
          <w:rFonts w:asciiTheme="majorBidi" w:hAnsiTheme="majorBidi" w:cstheme="majorBidi"/>
          <w:i/>
          <w:iCs/>
          <w:sz w:val="24"/>
          <w:szCs w:val="24"/>
        </w:rPr>
        <w:t>International Convention on the Elimination of All Forms of Racial Discrimination</w:t>
      </w:r>
      <w:r w:rsidRPr="00E20DEB">
        <w:rPr>
          <w:rFonts w:asciiTheme="majorBidi" w:hAnsiTheme="majorBidi" w:cstheme="majorBidi"/>
          <w:sz w:val="24"/>
          <w:szCs w:val="24"/>
        </w:rPr>
        <w:t>, is one of the principal pillars of the United Nations human rights system. The Committee will hold its </w:t>
      </w:r>
      <w:r w:rsidRPr="00E20DEB">
        <w:rPr>
          <w:rFonts w:asciiTheme="majorBidi" w:hAnsiTheme="majorBidi" w:cstheme="majorBidi"/>
          <w:b/>
          <w:bCs/>
          <w:sz w:val="24"/>
          <w:szCs w:val="24"/>
        </w:rPr>
        <w:t>118th session</w:t>
      </w:r>
      <w:r w:rsidRPr="00E20DEB">
        <w:rPr>
          <w:rFonts w:asciiTheme="majorBidi" w:hAnsiTheme="majorBidi" w:cstheme="majorBidi"/>
          <w:sz w:val="24"/>
          <w:szCs w:val="24"/>
        </w:rPr>
        <w:t> from </w:t>
      </w:r>
      <w:r w:rsidRPr="00E20DEB">
        <w:rPr>
          <w:rFonts w:asciiTheme="majorBidi" w:hAnsiTheme="majorBidi" w:cstheme="majorBidi"/>
          <w:b/>
          <w:bCs/>
          <w:sz w:val="24"/>
          <w:szCs w:val="24"/>
        </w:rPr>
        <w:t>10 to 25 August 2026</w:t>
      </w:r>
      <w:r w:rsidRPr="00E20DEB">
        <w:rPr>
          <w:rFonts w:asciiTheme="majorBidi" w:hAnsiTheme="majorBidi" w:cstheme="majorBidi"/>
          <w:sz w:val="24"/>
          <w:szCs w:val="24"/>
        </w:rPr>
        <w:t> at the United Nations Office in Geneva. During this session, one of the key items on the agenda is the examination of Kuwait’s periodic report concerning the implementation of the Convention and the elimination of racial, religious</w:t>
      </w:r>
      <w:r>
        <w:rPr>
          <w:rFonts w:asciiTheme="majorBidi" w:hAnsiTheme="majorBidi" w:cstheme="majorBidi"/>
          <w:sz w:val="24"/>
          <w:szCs w:val="24"/>
        </w:rPr>
        <w:t>,</w:t>
      </w:r>
      <w:r w:rsidRPr="00E20DEB">
        <w:rPr>
          <w:rFonts w:asciiTheme="majorBidi" w:hAnsiTheme="majorBidi" w:cstheme="majorBidi"/>
          <w:sz w:val="24"/>
          <w:szCs w:val="24"/>
        </w:rPr>
        <w:t xml:space="preserve"> and ethnic discrimination in that country.</w:t>
      </w:r>
    </w:p>
    <w:p w14:paraId="68A5B9B1" w14:textId="40641D92" w:rsidR="00E20DEB" w:rsidRPr="00E20DEB" w:rsidRDefault="00E20DEB" w:rsidP="00E20DEB">
      <w:pPr>
        <w:jc w:val="both"/>
        <w:rPr>
          <w:rFonts w:asciiTheme="majorBidi" w:hAnsiTheme="majorBidi" w:cstheme="majorBidi"/>
          <w:sz w:val="24"/>
          <w:szCs w:val="24"/>
        </w:rPr>
      </w:pPr>
      <w:r w:rsidRPr="00E20DEB">
        <w:rPr>
          <w:rFonts w:asciiTheme="majorBidi" w:hAnsiTheme="majorBidi" w:cstheme="majorBidi"/>
          <w:sz w:val="24"/>
          <w:szCs w:val="24"/>
        </w:rPr>
        <w:t>In this context, the present report has been prepared to provide up</w:t>
      </w:r>
      <w:r w:rsidRPr="00E20DEB">
        <w:rPr>
          <w:rFonts w:asciiTheme="majorBidi" w:hAnsiTheme="majorBidi" w:cstheme="majorBidi"/>
          <w:sz w:val="24"/>
          <w:szCs w:val="24"/>
        </w:rPr>
        <w:noBreakHyphen/>
        <w:t>to</w:t>
      </w:r>
      <w:r w:rsidRPr="00E20DEB">
        <w:rPr>
          <w:rFonts w:asciiTheme="majorBidi" w:hAnsiTheme="majorBidi" w:cstheme="majorBidi"/>
          <w:sz w:val="24"/>
          <w:szCs w:val="24"/>
        </w:rPr>
        <w:noBreakHyphen/>
        <w:t>date documentation and analysis of the religious, civil</w:t>
      </w:r>
      <w:r>
        <w:rPr>
          <w:rFonts w:asciiTheme="majorBidi" w:hAnsiTheme="majorBidi" w:cstheme="majorBidi"/>
          <w:sz w:val="24"/>
          <w:szCs w:val="24"/>
        </w:rPr>
        <w:t>,</w:t>
      </w:r>
      <w:r w:rsidRPr="00E20DEB">
        <w:rPr>
          <w:rFonts w:asciiTheme="majorBidi" w:hAnsiTheme="majorBidi" w:cstheme="majorBidi"/>
          <w:sz w:val="24"/>
          <w:szCs w:val="24"/>
        </w:rPr>
        <w:t xml:space="preserve"> and social restrictions imposed on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citizens of Kuwait. Although the Kuwaiti Constitution recognizes freedom of belief, the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who constitute approximately </w:t>
      </w:r>
      <w:r w:rsidRPr="00E20DEB">
        <w:rPr>
          <w:rFonts w:asciiTheme="majorBidi" w:hAnsiTheme="majorBidi" w:cstheme="majorBidi"/>
          <w:b/>
          <w:bCs/>
          <w:sz w:val="24"/>
          <w:szCs w:val="24"/>
        </w:rPr>
        <w:t>30</w:t>
      </w:r>
      <w:r w:rsidRPr="00E20DEB">
        <w:rPr>
          <w:rFonts w:asciiTheme="majorBidi" w:hAnsiTheme="majorBidi" w:cstheme="majorBidi"/>
          <w:b/>
          <w:bCs/>
          <w:sz w:val="24"/>
          <w:szCs w:val="24"/>
        </w:rPr>
        <w:noBreakHyphen/>
        <w:t>40% of the citizen population</w:t>
      </w:r>
      <w:r w:rsidRPr="00E20DEB">
        <w:rPr>
          <w:rFonts w:asciiTheme="majorBidi" w:hAnsiTheme="majorBidi" w:cstheme="majorBidi"/>
          <w:sz w:val="24"/>
          <w:szCs w:val="24"/>
        </w:rPr>
        <w:t>, in practice face various forms of systematic discrimination – discrimination that some international observers consider an instance of “racial discrimination based on religious identity”.</w:t>
      </w:r>
    </w:p>
    <w:p w14:paraId="38D1991D" w14:textId="77777777" w:rsidR="00E20DEB" w:rsidRPr="00E20DEB" w:rsidRDefault="00E20DEB" w:rsidP="00E20DEB">
      <w:pPr>
        <w:jc w:val="both"/>
        <w:rPr>
          <w:rFonts w:asciiTheme="majorBidi" w:hAnsiTheme="majorBidi" w:cstheme="majorBidi"/>
          <w:sz w:val="24"/>
          <w:szCs w:val="24"/>
        </w:rPr>
      </w:pPr>
      <w:r w:rsidRPr="00E20DEB">
        <w:rPr>
          <w:rFonts w:asciiTheme="majorBidi" w:hAnsiTheme="majorBidi" w:cstheme="majorBidi"/>
          <w:sz w:val="24"/>
          <w:szCs w:val="24"/>
        </w:rPr>
        <w:t>This report is structured around four main axes:</w:t>
      </w:r>
    </w:p>
    <w:p w14:paraId="5BEBB0E5" w14:textId="77777777" w:rsidR="00E20DEB" w:rsidRPr="00E20DEB" w:rsidRDefault="00E20DEB" w:rsidP="00E20DEB">
      <w:pPr>
        <w:numPr>
          <w:ilvl w:val="0"/>
          <w:numId w:val="1"/>
        </w:numPr>
        <w:jc w:val="both"/>
        <w:rPr>
          <w:rFonts w:asciiTheme="majorBidi" w:hAnsiTheme="majorBidi" w:cstheme="majorBidi"/>
          <w:sz w:val="24"/>
          <w:szCs w:val="24"/>
        </w:rPr>
      </w:pPr>
      <w:r w:rsidRPr="00E20DEB">
        <w:rPr>
          <w:rFonts w:asciiTheme="majorBidi" w:hAnsiTheme="majorBidi" w:cstheme="majorBidi"/>
          <w:sz w:val="24"/>
          <w:szCs w:val="24"/>
        </w:rPr>
        <w:t>Ritual and religious restrictions</w:t>
      </w:r>
    </w:p>
    <w:p w14:paraId="7BEE2657" w14:textId="77777777" w:rsidR="00E20DEB" w:rsidRPr="00E20DEB" w:rsidRDefault="00E20DEB" w:rsidP="00E20DEB">
      <w:pPr>
        <w:numPr>
          <w:ilvl w:val="0"/>
          <w:numId w:val="1"/>
        </w:numPr>
        <w:jc w:val="both"/>
        <w:rPr>
          <w:rFonts w:asciiTheme="majorBidi" w:hAnsiTheme="majorBidi" w:cstheme="majorBidi"/>
          <w:sz w:val="24"/>
          <w:szCs w:val="24"/>
        </w:rPr>
      </w:pPr>
      <w:r w:rsidRPr="00E20DEB">
        <w:rPr>
          <w:rFonts w:asciiTheme="majorBidi" w:hAnsiTheme="majorBidi" w:cstheme="majorBidi"/>
          <w:sz w:val="24"/>
          <w:szCs w:val="24"/>
        </w:rPr>
        <w:t>Discrimination in the education system</w:t>
      </w:r>
    </w:p>
    <w:p w14:paraId="7A41E00C" w14:textId="77777777" w:rsidR="00E20DEB" w:rsidRPr="00E20DEB" w:rsidRDefault="00E20DEB" w:rsidP="00E20DEB">
      <w:pPr>
        <w:numPr>
          <w:ilvl w:val="0"/>
          <w:numId w:val="1"/>
        </w:numPr>
        <w:jc w:val="both"/>
        <w:rPr>
          <w:rFonts w:asciiTheme="majorBidi" w:hAnsiTheme="majorBidi" w:cstheme="majorBidi"/>
          <w:sz w:val="24"/>
          <w:szCs w:val="24"/>
        </w:rPr>
      </w:pPr>
      <w:r w:rsidRPr="00E20DEB">
        <w:rPr>
          <w:rFonts w:asciiTheme="majorBidi" w:hAnsiTheme="majorBidi" w:cstheme="majorBidi"/>
          <w:sz w:val="24"/>
          <w:szCs w:val="24"/>
        </w:rPr>
        <w:t>Large</w:t>
      </w:r>
      <w:r w:rsidRPr="00E20DEB">
        <w:rPr>
          <w:rFonts w:asciiTheme="majorBidi" w:hAnsiTheme="majorBidi" w:cstheme="majorBidi"/>
          <w:sz w:val="24"/>
          <w:szCs w:val="24"/>
        </w:rPr>
        <w:noBreakHyphen/>
        <w:t>scale revocation of citizenship</w:t>
      </w:r>
    </w:p>
    <w:p w14:paraId="4C3D23B8" w14:textId="77777777" w:rsidR="00E20DEB" w:rsidRPr="00E20DEB" w:rsidRDefault="00E20DEB" w:rsidP="00E20DEB">
      <w:pPr>
        <w:numPr>
          <w:ilvl w:val="0"/>
          <w:numId w:val="1"/>
        </w:numPr>
        <w:jc w:val="both"/>
        <w:rPr>
          <w:rFonts w:asciiTheme="majorBidi" w:hAnsiTheme="majorBidi" w:cstheme="majorBidi"/>
          <w:sz w:val="24"/>
          <w:szCs w:val="24"/>
        </w:rPr>
      </w:pPr>
      <w:r w:rsidRPr="00E20DEB">
        <w:rPr>
          <w:rFonts w:asciiTheme="majorBidi" w:hAnsiTheme="majorBidi" w:cstheme="majorBidi"/>
          <w:sz w:val="24"/>
          <w:szCs w:val="24"/>
        </w:rPr>
        <w:t>Discrimination in the family law system</w:t>
      </w:r>
    </w:p>
    <w:p w14:paraId="60903151" w14:textId="552F2126" w:rsidR="00E20DEB" w:rsidRPr="00E20DEB" w:rsidRDefault="00E20DEB" w:rsidP="00E20DEB">
      <w:pPr>
        <w:jc w:val="both"/>
        <w:rPr>
          <w:rFonts w:asciiTheme="majorBidi" w:hAnsiTheme="majorBidi" w:cstheme="majorBidi"/>
          <w:sz w:val="24"/>
          <w:szCs w:val="24"/>
        </w:rPr>
      </w:pPr>
      <w:r w:rsidRPr="00E20DEB">
        <w:rPr>
          <w:rFonts w:asciiTheme="majorBidi" w:hAnsiTheme="majorBidi" w:cstheme="majorBidi"/>
          <w:sz w:val="24"/>
          <w:szCs w:val="24"/>
        </w:rPr>
        <w:t>The purpose of the report is to draw CERD’s attention to Kuwait’s clear violations of </w:t>
      </w:r>
      <w:r w:rsidRPr="00E20DEB">
        <w:rPr>
          <w:rFonts w:asciiTheme="majorBidi" w:hAnsiTheme="majorBidi" w:cstheme="majorBidi"/>
          <w:b/>
          <w:bCs/>
          <w:sz w:val="24"/>
          <w:szCs w:val="24"/>
        </w:rPr>
        <w:t>Articles 1, 2, 5</w:t>
      </w:r>
      <w:r>
        <w:rPr>
          <w:rFonts w:asciiTheme="majorBidi" w:hAnsiTheme="majorBidi" w:cstheme="majorBidi"/>
          <w:b/>
          <w:bCs/>
          <w:sz w:val="24"/>
          <w:szCs w:val="24"/>
        </w:rPr>
        <w:t>,</w:t>
      </w:r>
      <w:r w:rsidRPr="00E20DEB">
        <w:rPr>
          <w:rFonts w:asciiTheme="majorBidi" w:hAnsiTheme="majorBidi" w:cstheme="majorBidi"/>
          <w:b/>
          <w:bCs/>
          <w:sz w:val="24"/>
          <w:szCs w:val="24"/>
        </w:rPr>
        <w:t xml:space="preserve"> and 6</w:t>
      </w:r>
      <w:r w:rsidRPr="00E20DEB">
        <w:rPr>
          <w:rFonts w:asciiTheme="majorBidi" w:hAnsiTheme="majorBidi" w:cstheme="majorBidi"/>
          <w:sz w:val="24"/>
          <w:szCs w:val="24"/>
        </w:rPr>
        <w:t xml:space="preserve"> of the Convention, and to request urgent action to end this racial and religious discrimination against the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of Kuwait.</w:t>
      </w:r>
    </w:p>
    <w:p w14:paraId="16C0EAB6" w14:textId="167C203E" w:rsidR="00E20DEB" w:rsidRDefault="00E20DEB" w:rsidP="00E20DEB">
      <w:pPr>
        <w:jc w:val="both"/>
        <w:rPr>
          <w:rFonts w:asciiTheme="majorBidi" w:hAnsiTheme="majorBidi" w:cstheme="majorBidi"/>
          <w:sz w:val="24"/>
          <w:szCs w:val="24"/>
          <w:rtl/>
        </w:rPr>
      </w:pPr>
    </w:p>
    <w:p w14:paraId="025F84A0" w14:textId="77777777" w:rsidR="000476DE" w:rsidRDefault="000476DE" w:rsidP="00E20DEB">
      <w:pPr>
        <w:jc w:val="both"/>
        <w:rPr>
          <w:rFonts w:asciiTheme="majorBidi" w:hAnsiTheme="majorBidi" w:cstheme="majorBidi"/>
          <w:sz w:val="24"/>
          <w:szCs w:val="24"/>
          <w:rtl/>
        </w:rPr>
      </w:pPr>
    </w:p>
    <w:p w14:paraId="4535D287" w14:textId="77777777" w:rsidR="000476DE" w:rsidRDefault="000476DE" w:rsidP="00E20DEB">
      <w:pPr>
        <w:jc w:val="both"/>
        <w:rPr>
          <w:rFonts w:asciiTheme="majorBidi" w:hAnsiTheme="majorBidi" w:cstheme="majorBidi"/>
          <w:sz w:val="24"/>
          <w:szCs w:val="24"/>
          <w:rtl/>
        </w:rPr>
      </w:pPr>
    </w:p>
    <w:p w14:paraId="18111BC7" w14:textId="65CD6072" w:rsidR="000476DE" w:rsidRPr="00E20DEB" w:rsidRDefault="000476DE" w:rsidP="00487F07">
      <w:pPr>
        <w:tabs>
          <w:tab w:val="left" w:pos="2057"/>
        </w:tabs>
        <w:jc w:val="both"/>
        <w:rPr>
          <w:rFonts w:asciiTheme="majorBidi" w:hAnsiTheme="majorBidi" w:cstheme="majorBidi"/>
          <w:sz w:val="24"/>
          <w:szCs w:val="24"/>
        </w:rPr>
      </w:pPr>
    </w:p>
    <w:p w14:paraId="01F90C62" w14:textId="77777777" w:rsidR="00E20DEB" w:rsidRPr="00E20DEB" w:rsidRDefault="00E20DEB" w:rsidP="00E20DEB">
      <w:pPr>
        <w:jc w:val="both"/>
        <w:rPr>
          <w:rFonts w:asciiTheme="majorBidi" w:hAnsiTheme="majorBidi" w:cstheme="majorBidi"/>
          <w:b/>
          <w:bCs/>
          <w:sz w:val="24"/>
          <w:szCs w:val="24"/>
        </w:rPr>
      </w:pPr>
      <w:r w:rsidRPr="00E20DEB">
        <w:rPr>
          <w:rFonts w:asciiTheme="majorBidi" w:hAnsiTheme="majorBidi" w:cstheme="majorBidi"/>
          <w:b/>
          <w:bCs/>
          <w:sz w:val="24"/>
          <w:szCs w:val="24"/>
        </w:rPr>
        <w:lastRenderedPageBreak/>
        <w:t>1. Ritual and Religious Restrictions</w:t>
      </w:r>
    </w:p>
    <w:p w14:paraId="701F7E54" w14:textId="77777777" w:rsidR="000476DE" w:rsidRDefault="00E20DEB" w:rsidP="000476DE">
      <w:pPr>
        <w:numPr>
          <w:ilvl w:val="0"/>
          <w:numId w:val="2"/>
        </w:numPr>
        <w:jc w:val="both"/>
        <w:rPr>
          <w:rFonts w:asciiTheme="majorBidi" w:hAnsiTheme="majorBidi" w:cstheme="majorBidi"/>
          <w:sz w:val="24"/>
          <w:szCs w:val="24"/>
        </w:rPr>
      </w:pPr>
      <w:r w:rsidRPr="00E20DEB">
        <w:rPr>
          <w:rFonts w:asciiTheme="majorBidi" w:hAnsiTheme="majorBidi" w:cstheme="majorBidi"/>
          <w:b/>
          <w:bCs/>
          <w:sz w:val="24"/>
          <w:szCs w:val="24"/>
        </w:rPr>
        <w:t>Ban on Muharram mourning ceremonies</w:t>
      </w:r>
    </w:p>
    <w:p w14:paraId="4A5CAAEC" w14:textId="033E3ED3" w:rsidR="00E20DEB" w:rsidRPr="000476DE" w:rsidRDefault="00E20DEB" w:rsidP="000476DE">
      <w:pPr>
        <w:numPr>
          <w:ilvl w:val="0"/>
          <w:numId w:val="2"/>
        </w:numPr>
        <w:jc w:val="both"/>
        <w:rPr>
          <w:rFonts w:asciiTheme="majorBidi" w:hAnsiTheme="majorBidi" w:cstheme="majorBidi"/>
          <w:sz w:val="24"/>
          <w:szCs w:val="24"/>
        </w:rPr>
      </w:pPr>
      <w:r w:rsidRPr="000476DE">
        <w:rPr>
          <w:rFonts w:asciiTheme="majorBidi" w:hAnsiTheme="majorBidi" w:cstheme="majorBidi"/>
          <w:sz w:val="24"/>
          <w:szCs w:val="24"/>
        </w:rPr>
        <w:t>In recent years, the Kuwaiti government has imposed stringent regulations to restrict Ashura mourning rituals. In June 2025, the government announced new rules that completely prohibit the holding of mourning gatherings during the first ten days of Muharram. According to these regulations:</w:t>
      </w:r>
    </w:p>
    <w:p w14:paraId="6015F6BA" w14:textId="70D29ED7" w:rsidR="00E20DEB" w:rsidRPr="00E20DEB" w:rsidRDefault="00E20DEB" w:rsidP="00E20DEB">
      <w:pPr>
        <w:numPr>
          <w:ilvl w:val="1"/>
          <w:numId w:val="2"/>
        </w:numPr>
        <w:jc w:val="both"/>
        <w:rPr>
          <w:rFonts w:asciiTheme="majorBidi" w:hAnsiTheme="majorBidi" w:cstheme="majorBidi"/>
          <w:sz w:val="24"/>
          <w:szCs w:val="24"/>
        </w:rPr>
      </w:pPr>
      <w:r w:rsidRPr="00E20DEB">
        <w:rPr>
          <w:rFonts w:asciiTheme="majorBidi" w:hAnsiTheme="majorBidi" w:cstheme="majorBidi"/>
          <w:sz w:val="24"/>
          <w:szCs w:val="24"/>
        </w:rPr>
        <w:t>Installing any flags, placards</w:t>
      </w:r>
      <w:r>
        <w:rPr>
          <w:rFonts w:asciiTheme="majorBidi" w:hAnsiTheme="majorBidi" w:cstheme="majorBidi"/>
          <w:sz w:val="24"/>
          <w:szCs w:val="24"/>
        </w:rPr>
        <w:t>,</w:t>
      </w:r>
      <w:r w:rsidRPr="00E20DEB">
        <w:rPr>
          <w:rFonts w:asciiTheme="majorBidi" w:hAnsiTheme="majorBidi" w:cstheme="majorBidi"/>
          <w:sz w:val="24"/>
          <w:szCs w:val="24"/>
        </w:rPr>
        <w:t xml:space="preserve"> or Husayni symbols in religious places is prohibited.</w:t>
      </w:r>
    </w:p>
    <w:p w14:paraId="45A729FE" w14:textId="77777777" w:rsidR="00E20DEB" w:rsidRPr="00E20DEB" w:rsidRDefault="00E20DEB" w:rsidP="00E20DEB">
      <w:pPr>
        <w:numPr>
          <w:ilvl w:val="1"/>
          <w:numId w:val="2"/>
        </w:numPr>
        <w:jc w:val="both"/>
        <w:rPr>
          <w:rFonts w:asciiTheme="majorBidi" w:hAnsiTheme="majorBidi" w:cstheme="majorBidi"/>
          <w:sz w:val="24"/>
          <w:szCs w:val="24"/>
        </w:rPr>
      </w:pPr>
      <w:r w:rsidRPr="00E20DEB">
        <w:rPr>
          <w:rFonts w:asciiTheme="majorBidi" w:hAnsiTheme="majorBidi" w:cstheme="majorBidi"/>
          <w:sz w:val="24"/>
          <w:szCs w:val="24"/>
        </w:rPr>
        <w:t>Setting up processional stops (</w:t>
      </w:r>
      <w:proofErr w:type="spellStart"/>
      <w:r w:rsidRPr="00E20DEB">
        <w:rPr>
          <w:rFonts w:asciiTheme="majorBidi" w:hAnsiTheme="majorBidi" w:cstheme="majorBidi"/>
          <w:sz w:val="24"/>
          <w:szCs w:val="24"/>
        </w:rPr>
        <w:t>Mawakib</w:t>
      </w:r>
      <w:proofErr w:type="spellEnd"/>
      <w:r w:rsidRPr="00E20DEB">
        <w:rPr>
          <w:rFonts w:asciiTheme="majorBidi" w:hAnsiTheme="majorBidi" w:cstheme="majorBidi"/>
          <w:sz w:val="24"/>
          <w:szCs w:val="24"/>
        </w:rPr>
        <w:t xml:space="preserve">) or mourning tents outside </w:t>
      </w:r>
      <w:proofErr w:type="spellStart"/>
      <w:r w:rsidRPr="00E20DEB">
        <w:rPr>
          <w:rFonts w:asciiTheme="majorBidi" w:hAnsiTheme="majorBidi" w:cstheme="majorBidi"/>
          <w:sz w:val="24"/>
          <w:szCs w:val="24"/>
        </w:rPr>
        <w:t>Husayniyyas</w:t>
      </w:r>
      <w:proofErr w:type="spellEnd"/>
      <w:r w:rsidRPr="00E20DEB">
        <w:rPr>
          <w:rFonts w:asciiTheme="majorBidi" w:hAnsiTheme="majorBidi" w:cstheme="majorBidi"/>
          <w:sz w:val="24"/>
          <w:szCs w:val="24"/>
        </w:rPr>
        <w:t xml:space="preserve"> is strictly forbidden.</w:t>
      </w:r>
    </w:p>
    <w:p w14:paraId="3902C8BF" w14:textId="77777777" w:rsidR="00E20DEB" w:rsidRPr="00E20DEB" w:rsidRDefault="00E20DEB" w:rsidP="00E20DEB">
      <w:pPr>
        <w:numPr>
          <w:ilvl w:val="1"/>
          <w:numId w:val="2"/>
        </w:numPr>
        <w:jc w:val="both"/>
        <w:rPr>
          <w:rFonts w:asciiTheme="majorBidi" w:hAnsiTheme="majorBidi" w:cstheme="majorBidi"/>
          <w:sz w:val="24"/>
          <w:szCs w:val="24"/>
        </w:rPr>
      </w:pPr>
      <w:r w:rsidRPr="00E20DEB">
        <w:rPr>
          <w:rFonts w:asciiTheme="majorBidi" w:hAnsiTheme="majorBidi" w:cstheme="majorBidi"/>
          <w:sz w:val="24"/>
          <w:szCs w:val="24"/>
        </w:rPr>
        <w:t xml:space="preserve">Any religious procession is banned, and security forces are allowed to deploy inside </w:t>
      </w:r>
      <w:proofErr w:type="spellStart"/>
      <w:r w:rsidRPr="00E20DEB">
        <w:rPr>
          <w:rFonts w:asciiTheme="majorBidi" w:hAnsiTheme="majorBidi" w:cstheme="majorBidi"/>
          <w:sz w:val="24"/>
          <w:szCs w:val="24"/>
        </w:rPr>
        <w:t>Husayniyyas</w:t>
      </w:r>
      <w:proofErr w:type="spellEnd"/>
      <w:r w:rsidRPr="00E20DEB">
        <w:rPr>
          <w:rFonts w:asciiTheme="majorBidi" w:hAnsiTheme="majorBidi" w:cstheme="majorBidi"/>
          <w:sz w:val="24"/>
          <w:szCs w:val="24"/>
        </w:rPr>
        <w:t>.</w:t>
      </w:r>
    </w:p>
    <w:p w14:paraId="3ADC0833" w14:textId="77777777" w:rsidR="00E20DEB" w:rsidRPr="00E20DEB" w:rsidRDefault="00E20DEB" w:rsidP="00E20DEB">
      <w:pPr>
        <w:numPr>
          <w:ilvl w:val="1"/>
          <w:numId w:val="2"/>
        </w:numPr>
        <w:jc w:val="both"/>
        <w:rPr>
          <w:rFonts w:asciiTheme="majorBidi" w:hAnsiTheme="majorBidi" w:cstheme="majorBidi"/>
          <w:sz w:val="24"/>
          <w:szCs w:val="24"/>
        </w:rPr>
      </w:pPr>
      <w:r w:rsidRPr="00E20DEB">
        <w:rPr>
          <w:rFonts w:asciiTheme="majorBidi" w:hAnsiTheme="majorBidi" w:cstheme="majorBidi"/>
          <w:sz w:val="24"/>
          <w:szCs w:val="24"/>
        </w:rPr>
        <w:t>The number of participants in private home gatherings must not exceed 50 persons, and attendance is allowed only inside the house; using loudspeakers outdoors and gathering outside the home is prohibited.</w:t>
      </w:r>
    </w:p>
    <w:p w14:paraId="313B3A7A" w14:textId="77777777" w:rsidR="000476DE" w:rsidRDefault="00E20DEB" w:rsidP="000476DE">
      <w:pPr>
        <w:numPr>
          <w:ilvl w:val="0"/>
          <w:numId w:val="2"/>
        </w:numPr>
        <w:jc w:val="both"/>
        <w:rPr>
          <w:rFonts w:asciiTheme="majorBidi" w:hAnsiTheme="majorBidi" w:cstheme="majorBidi"/>
          <w:sz w:val="24"/>
          <w:szCs w:val="24"/>
        </w:rPr>
      </w:pPr>
      <w:r w:rsidRPr="00E20DEB">
        <w:rPr>
          <w:rFonts w:asciiTheme="majorBidi" w:hAnsiTheme="majorBidi" w:cstheme="majorBidi"/>
          <w:b/>
          <w:bCs/>
          <w:sz w:val="24"/>
          <w:szCs w:val="24"/>
        </w:rPr>
        <w:t>Ban on open</w:t>
      </w:r>
      <w:r w:rsidRPr="00E20DEB">
        <w:rPr>
          <w:rFonts w:asciiTheme="majorBidi" w:hAnsiTheme="majorBidi" w:cstheme="majorBidi"/>
          <w:b/>
          <w:bCs/>
          <w:sz w:val="24"/>
          <w:szCs w:val="24"/>
        </w:rPr>
        <w:noBreakHyphen/>
        <w:t>air religious ceremonies</w:t>
      </w:r>
    </w:p>
    <w:p w14:paraId="1D9A4DEF" w14:textId="49BBE433" w:rsidR="00E20DEB" w:rsidRPr="000476DE" w:rsidRDefault="00E20DEB" w:rsidP="000476DE">
      <w:pPr>
        <w:numPr>
          <w:ilvl w:val="0"/>
          <w:numId w:val="2"/>
        </w:numPr>
        <w:jc w:val="both"/>
        <w:rPr>
          <w:rFonts w:asciiTheme="majorBidi" w:hAnsiTheme="majorBidi" w:cstheme="majorBidi"/>
          <w:sz w:val="24"/>
          <w:szCs w:val="24"/>
        </w:rPr>
      </w:pPr>
      <w:r w:rsidRPr="000476DE">
        <w:rPr>
          <w:rFonts w:asciiTheme="majorBidi" w:hAnsiTheme="majorBidi" w:cstheme="majorBidi"/>
          <w:sz w:val="24"/>
          <w:szCs w:val="24"/>
        </w:rPr>
        <w:t xml:space="preserve">Following the 2015 bombing of a </w:t>
      </w:r>
      <w:proofErr w:type="gramStart"/>
      <w:r w:rsidRPr="000476DE">
        <w:rPr>
          <w:rFonts w:asciiTheme="majorBidi" w:hAnsiTheme="majorBidi" w:cstheme="majorBidi"/>
          <w:sz w:val="24"/>
          <w:szCs w:val="24"/>
        </w:rPr>
        <w:t>Shi‘</w:t>
      </w:r>
      <w:proofErr w:type="gramEnd"/>
      <w:r w:rsidRPr="000476DE">
        <w:rPr>
          <w:rFonts w:asciiTheme="majorBidi" w:hAnsiTheme="majorBidi" w:cstheme="majorBidi"/>
          <w:sz w:val="24"/>
          <w:szCs w:val="24"/>
        </w:rPr>
        <w:t xml:space="preserve">a mosque (which killed 26 people and wounded 227), the Kuwaiti government has maintained and continues to enforce a ban on </w:t>
      </w:r>
      <w:proofErr w:type="gramStart"/>
      <w:r w:rsidRPr="000476DE">
        <w:rPr>
          <w:rFonts w:asciiTheme="majorBidi" w:hAnsiTheme="majorBidi" w:cstheme="majorBidi"/>
          <w:sz w:val="24"/>
          <w:szCs w:val="24"/>
        </w:rPr>
        <w:t>Shi‘</w:t>
      </w:r>
      <w:proofErr w:type="gramEnd"/>
      <w:r w:rsidRPr="000476DE">
        <w:rPr>
          <w:rFonts w:asciiTheme="majorBidi" w:hAnsiTheme="majorBidi" w:cstheme="majorBidi"/>
          <w:sz w:val="24"/>
          <w:szCs w:val="24"/>
        </w:rPr>
        <w:t>a religious ceremonies in open spaces.</w:t>
      </w:r>
    </w:p>
    <w:p w14:paraId="6194DFC4" w14:textId="77777777" w:rsidR="000476DE" w:rsidRDefault="00E20DEB" w:rsidP="000476DE">
      <w:pPr>
        <w:jc w:val="both"/>
        <w:rPr>
          <w:rFonts w:asciiTheme="majorBidi" w:hAnsiTheme="majorBidi" w:cstheme="majorBidi"/>
          <w:b/>
          <w:bCs/>
          <w:sz w:val="24"/>
          <w:szCs w:val="24"/>
          <w:rtl/>
        </w:rPr>
      </w:pPr>
      <w:r w:rsidRPr="00E20DEB">
        <w:rPr>
          <w:rFonts w:asciiTheme="majorBidi" w:hAnsiTheme="majorBidi" w:cstheme="majorBidi"/>
          <w:b/>
          <w:bCs/>
          <w:sz w:val="24"/>
          <w:szCs w:val="24"/>
        </w:rPr>
        <w:t>2. Discrimination in the Education System</w:t>
      </w:r>
    </w:p>
    <w:p w14:paraId="035EF2B9" w14:textId="77777777" w:rsidR="000476DE" w:rsidRPr="000476DE" w:rsidRDefault="00E20DEB" w:rsidP="000476DE">
      <w:pPr>
        <w:pStyle w:val="ListParagraph"/>
        <w:numPr>
          <w:ilvl w:val="0"/>
          <w:numId w:val="9"/>
        </w:numPr>
        <w:jc w:val="both"/>
        <w:rPr>
          <w:rFonts w:asciiTheme="majorBidi" w:hAnsiTheme="majorBidi" w:cstheme="majorBidi"/>
          <w:sz w:val="24"/>
          <w:szCs w:val="24"/>
          <w:rtl/>
        </w:rPr>
      </w:pPr>
      <w:r w:rsidRPr="000476DE">
        <w:rPr>
          <w:rFonts w:asciiTheme="majorBidi" w:hAnsiTheme="majorBidi" w:cstheme="majorBidi"/>
          <w:b/>
          <w:bCs/>
          <w:sz w:val="24"/>
          <w:szCs w:val="24"/>
        </w:rPr>
        <w:t>Imposition of Sunni textbooks</w:t>
      </w:r>
    </w:p>
    <w:p w14:paraId="4DD0C7CE" w14:textId="5E1FC1E9" w:rsidR="00E20DEB" w:rsidRPr="000476DE" w:rsidRDefault="00E20DEB" w:rsidP="000476DE">
      <w:pPr>
        <w:jc w:val="both"/>
        <w:rPr>
          <w:rFonts w:asciiTheme="majorBidi" w:hAnsiTheme="majorBidi" w:cstheme="majorBidi"/>
          <w:b/>
          <w:bCs/>
          <w:sz w:val="24"/>
          <w:szCs w:val="24"/>
        </w:rPr>
      </w:pPr>
      <w:r w:rsidRPr="00E20DEB">
        <w:rPr>
          <w:rFonts w:asciiTheme="majorBidi" w:hAnsiTheme="majorBidi" w:cstheme="majorBidi"/>
          <w:sz w:val="24"/>
          <w:szCs w:val="24"/>
        </w:rPr>
        <w:t xml:space="preserve">This is one of the most glaring examples of discrimination in Kuwait’s educational system. Although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make up about 30</w:t>
      </w:r>
      <w:r w:rsidRPr="00E20DEB">
        <w:rPr>
          <w:rFonts w:asciiTheme="majorBidi" w:hAnsiTheme="majorBidi" w:cstheme="majorBidi"/>
          <w:sz w:val="24"/>
          <w:szCs w:val="24"/>
        </w:rPr>
        <w:noBreakHyphen/>
        <w:t>40% of the citizen population, compulsory Islamic education in public schools is taught entirely according to Sunni jurisprudence (</w:t>
      </w:r>
      <w:proofErr w:type="spellStart"/>
      <w:r w:rsidRPr="00E20DEB">
        <w:rPr>
          <w:rFonts w:asciiTheme="majorBidi" w:hAnsiTheme="majorBidi" w:cstheme="majorBidi"/>
          <w:sz w:val="24"/>
          <w:szCs w:val="24"/>
        </w:rPr>
        <w:t>fiqh</w:t>
      </w:r>
      <w:proofErr w:type="spellEnd"/>
      <w:r w:rsidRPr="00E20DEB">
        <w:rPr>
          <w:rFonts w:asciiTheme="majorBidi" w:hAnsiTheme="majorBidi" w:cstheme="majorBidi"/>
          <w:sz w:val="24"/>
          <w:szCs w:val="24"/>
        </w:rPr>
        <w:t xml:space="preserve">).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are not permitted to </w:t>
      </w:r>
      <w:r>
        <w:rPr>
          <w:rFonts w:asciiTheme="majorBidi" w:hAnsiTheme="majorBidi" w:cstheme="majorBidi"/>
          <w:sz w:val="24"/>
          <w:szCs w:val="24"/>
        </w:rPr>
        <w:t>organize</w:t>
      </w:r>
      <w:r w:rsidRPr="00E20DEB">
        <w:rPr>
          <w:rFonts w:asciiTheme="majorBidi" w:hAnsiTheme="majorBidi" w:cstheme="majorBidi"/>
          <w:sz w:val="24"/>
          <w:szCs w:val="24"/>
        </w:rPr>
        <w:t xml:space="preserve"> religious education classes in public schools. Some of Kuwait’s history textbooks have contained offensive material about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beliefs. Kuwaiti parliamentarians have called for removing such offensive content, but those requests have so far remained unaddressed, and the curriculum remains dominated by Sunni </w:t>
      </w:r>
      <w:proofErr w:type="spellStart"/>
      <w:r w:rsidRPr="00E20DEB">
        <w:rPr>
          <w:rFonts w:asciiTheme="majorBidi" w:hAnsiTheme="majorBidi" w:cstheme="majorBidi"/>
          <w:sz w:val="24"/>
          <w:szCs w:val="24"/>
        </w:rPr>
        <w:t>fiqh</w:t>
      </w:r>
      <w:proofErr w:type="spellEnd"/>
      <w:r w:rsidRPr="00E20DEB">
        <w:rPr>
          <w:rFonts w:asciiTheme="majorBidi" w:hAnsiTheme="majorBidi" w:cstheme="majorBidi"/>
          <w:sz w:val="24"/>
          <w:szCs w:val="24"/>
        </w:rPr>
        <w:t>.</w:t>
      </w:r>
    </w:p>
    <w:p w14:paraId="26F491BC" w14:textId="77777777" w:rsidR="000476DE" w:rsidRDefault="00E20DEB" w:rsidP="00E20DEB">
      <w:pPr>
        <w:numPr>
          <w:ilvl w:val="0"/>
          <w:numId w:val="3"/>
        </w:numPr>
        <w:jc w:val="both"/>
        <w:rPr>
          <w:rFonts w:asciiTheme="majorBidi" w:hAnsiTheme="majorBidi" w:cstheme="majorBidi"/>
          <w:sz w:val="24"/>
          <w:szCs w:val="24"/>
        </w:rPr>
      </w:pPr>
      <w:r w:rsidRPr="00E20DEB">
        <w:rPr>
          <w:rFonts w:asciiTheme="majorBidi" w:hAnsiTheme="majorBidi" w:cstheme="majorBidi"/>
          <w:b/>
          <w:bCs/>
          <w:sz w:val="24"/>
          <w:szCs w:val="24"/>
        </w:rPr>
        <w:t>Ban on religious educational institutions</w:t>
      </w:r>
    </w:p>
    <w:p w14:paraId="5D8E04F2" w14:textId="42934616" w:rsidR="00E20DEB" w:rsidRPr="00E20DEB" w:rsidRDefault="00E20DEB" w:rsidP="000476DE">
      <w:pPr>
        <w:ind w:left="360"/>
        <w:jc w:val="both"/>
        <w:rPr>
          <w:rFonts w:asciiTheme="majorBidi" w:hAnsiTheme="majorBidi" w:cstheme="majorBidi"/>
          <w:sz w:val="24"/>
          <w:szCs w:val="24"/>
        </w:rPr>
      </w:pPr>
      <w:r w:rsidRPr="00E20DEB">
        <w:rPr>
          <w:rFonts w:asciiTheme="majorBidi" w:hAnsiTheme="majorBidi" w:cstheme="majorBidi"/>
          <w:sz w:val="24"/>
          <w:szCs w:val="24"/>
        </w:rPr>
        <w:t xml:space="preserve">In addition to imposing Sunni textbooks, the government actively prohibits any </w:t>
      </w:r>
      <w:r>
        <w:rPr>
          <w:rFonts w:asciiTheme="majorBidi" w:hAnsiTheme="majorBidi" w:cstheme="majorBidi"/>
          <w:sz w:val="24"/>
          <w:szCs w:val="24"/>
        </w:rPr>
        <w:t xml:space="preserve">organization of </w:t>
      </w:r>
      <w:proofErr w:type="gramStart"/>
      <w:r>
        <w:rPr>
          <w:rFonts w:asciiTheme="majorBidi" w:hAnsiTheme="majorBidi" w:cstheme="majorBidi"/>
          <w:sz w:val="24"/>
          <w:szCs w:val="24"/>
        </w:rPr>
        <w:t>Shi‘</w:t>
      </w:r>
      <w:proofErr w:type="gramEnd"/>
      <w:r>
        <w:rPr>
          <w:rFonts w:asciiTheme="majorBidi" w:hAnsiTheme="majorBidi" w:cstheme="majorBidi"/>
          <w:sz w:val="24"/>
          <w:szCs w:val="24"/>
        </w:rPr>
        <w:t xml:space="preserve">a religious courses in public schools and prevents the establishment of </w:t>
      </w:r>
      <w:proofErr w:type="gramStart"/>
      <w:r>
        <w:rPr>
          <w:rFonts w:asciiTheme="majorBidi" w:hAnsiTheme="majorBidi" w:cstheme="majorBidi"/>
          <w:sz w:val="24"/>
          <w:szCs w:val="24"/>
        </w:rPr>
        <w:t>Shi‘</w:t>
      </w:r>
      <w:proofErr w:type="gramEnd"/>
      <w:r>
        <w:rPr>
          <w:rFonts w:asciiTheme="majorBidi" w:hAnsiTheme="majorBidi" w:cstheme="majorBidi"/>
          <w:sz w:val="24"/>
          <w:szCs w:val="24"/>
        </w:rPr>
        <w:t xml:space="preserve">a religious education </w:t>
      </w:r>
      <w:proofErr w:type="gramStart"/>
      <w:r>
        <w:rPr>
          <w:rFonts w:asciiTheme="majorBidi" w:hAnsiTheme="majorBidi" w:cstheme="majorBidi"/>
          <w:sz w:val="24"/>
          <w:szCs w:val="24"/>
        </w:rPr>
        <w:t>centers</w:t>
      </w:r>
      <w:proofErr w:type="gramEnd"/>
      <w:r w:rsidRPr="00E20DEB">
        <w:rPr>
          <w:rFonts w:asciiTheme="majorBidi" w:hAnsiTheme="majorBidi" w:cstheme="majorBidi"/>
          <w:sz w:val="24"/>
          <w:szCs w:val="24"/>
        </w:rPr>
        <w:t xml:space="preserve">. The State of Kuwait has licensed no religious school or educational </w:t>
      </w:r>
      <w:r>
        <w:rPr>
          <w:rFonts w:asciiTheme="majorBidi" w:hAnsiTheme="majorBidi" w:cstheme="majorBidi"/>
          <w:sz w:val="24"/>
          <w:szCs w:val="24"/>
        </w:rPr>
        <w:t>center</w:t>
      </w:r>
      <w:r w:rsidRPr="00E20DEB">
        <w:rPr>
          <w:rFonts w:asciiTheme="majorBidi" w:hAnsiTheme="majorBidi" w:cstheme="majorBidi"/>
          <w:sz w:val="24"/>
          <w:szCs w:val="24"/>
        </w:rPr>
        <w:t xml:space="preserve"> for the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and has essentially declared religious education for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inside the country to be forbidden.</w:t>
      </w:r>
    </w:p>
    <w:p w14:paraId="2C60B353" w14:textId="58EADC0E" w:rsidR="00E20DEB" w:rsidRDefault="00E20DEB" w:rsidP="00E20DEB">
      <w:pPr>
        <w:jc w:val="both"/>
        <w:rPr>
          <w:rFonts w:asciiTheme="majorBidi" w:hAnsiTheme="majorBidi" w:cstheme="majorBidi"/>
          <w:sz w:val="24"/>
          <w:szCs w:val="24"/>
          <w:rtl/>
        </w:rPr>
      </w:pPr>
    </w:p>
    <w:p w14:paraId="33FDF31D" w14:textId="77777777" w:rsidR="000476DE" w:rsidRPr="00E20DEB" w:rsidRDefault="000476DE" w:rsidP="00E20DEB">
      <w:pPr>
        <w:jc w:val="both"/>
        <w:rPr>
          <w:rFonts w:asciiTheme="majorBidi" w:hAnsiTheme="majorBidi" w:cstheme="majorBidi"/>
          <w:sz w:val="24"/>
          <w:szCs w:val="24"/>
        </w:rPr>
      </w:pPr>
    </w:p>
    <w:p w14:paraId="14CC30DA" w14:textId="77777777" w:rsidR="00E20DEB" w:rsidRPr="00E20DEB" w:rsidRDefault="00E20DEB" w:rsidP="00E20DEB">
      <w:pPr>
        <w:jc w:val="both"/>
        <w:rPr>
          <w:rFonts w:asciiTheme="majorBidi" w:hAnsiTheme="majorBidi" w:cstheme="majorBidi"/>
          <w:b/>
          <w:bCs/>
          <w:sz w:val="24"/>
          <w:szCs w:val="24"/>
        </w:rPr>
      </w:pPr>
      <w:r w:rsidRPr="00E20DEB">
        <w:rPr>
          <w:rFonts w:asciiTheme="majorBidi" w:hAnsiTheme="majorBidi" w:cstheme="majorBidi"/>
          <w:b/>
          <w:bCs/>
          <w:sz w:val="24"/>
          <w:szCs w:val="24"/>
        </w:rPr>
        <w:t>3. Discrimination in Employment and Citizenship Rights</w:t>
      </w:r>
    </w:p>
    <w:p w14:paraId="39C0F5C0" w14:textId="77777777" w:rsidR="000476DE" w:rsidRDefault="00E20DEB" w:rsidP="00E20DEB">
      <w:pPr>
        <w:numPr>
          <w:ilvl w:val="0"/>
          <w:numId w:val="4"/>
        </w:numPr>
        <w:jc w:val="both"/>
        <w:rPr>
          <w:rFonts w:asciiTheme="majorBidi" w:hAnsiTheme="majorBidi" w:cstheme="majorBidi"/>
          <w:sz w:val="24"/>
          <w:szCs w:val="24"/>
        </w:rPr>
      </w:pPr>
      <w:r w:rsidRPr="00E20DEB">
        <w:rPr>
          <w:rFonts w:asciiTheme="majorBidi" w:hAnsiTheme="majorBidi" w:cstheme="majorBidi"/>
          <w:b/>
          <w:bCs/>
          <w:sz w:val="24"/>
          <w:szCs w:val="24"/>
        </w:rPr>
        <w:t>Discrimination in employment</w:t>
      </w:r>
    </w:p>
    <w:p w14:paraId="787AC96C" w14:textId="19ED2569" w:rsidR="00E20DEB" w:rsidRPr="00E20DEB" w:rsidRDefault="00E20DEB" w:rsidP="000476DE">
      <w:pPr>
        <w:ind w:left="720"/>
        <w:jc w:val="both"/>
        <w:rPr>
          <w:rFonts w:asciiTheme="majorBidi" w:hAnsiTheme="majorBidi" w:cstheme="majorBidi"/>
          <w:sz w:val="24"/>
          <w:szCs w:val="24"/>
        </w:rPr>
      </w:pPr>
      <w:r w:rsidRPr="00E20DEB">
        <w:rPr>
          <w:rFonts w:asciiTheme="majorBidi" w:hAnsiTheme="majorBidi" w:cstheme="majorBidi"/>
          <w:sz w:val="24"/>
          <w:szCs w:val="24"/>
        </w:rPr>
        <w:t>Kuwait’s political system – a semi</w:t>
      </w:r>
      <w:r w:rsidRPr="00E20DEB">
        <w:rPr>
          <w:rFonts w:asciiTheme="majorBidi" w:hAnsiTheme="majorBidi" w:cstheme="majorBidi"/>
          <w:sz w:val="24"/>
          <w:szCs w:val="24"/>
        </w:rPr>
        <w:noBreakHyphen/>
        <w:t>constitutional emirate – remains dominated by the ruling Al</w:t>
      </w:r>
      <w:r w:rsidRPr="00E20DEB">
        <w:rPr>
          <w:rFonts w:asciiTheme="majorBidi" w:hAnsiTheme="majorBidi" w:cstheme="majorBidi"/>
          <w:sz w:val="24"/>
          <w:szCs w:val="24"/>
        </w:rPr>
        <w:noBreakHyphen/>
        <w:t>Sabah family (</w:t>
      </w:r>
      <w:r>
        <w:rPr>
          <w:rFonts w:asciiTheme="majorBidi" w:hAnsiTheme="majorBidi" w:cstheme="majorBidi"/>
          <w:sz w:val="24"/>
          <w:szCs w:val="24"/>
        </w:rPr>
        <w:t>Sunni Muslims</w:t>
      </w:r>
      <w:r w:rsidRPr="00E20DEB">
        <w:rPr>
          <w:rFonts w:asciiTheme="majorBidi" w:hAnsiTheme="majorBidi" w:cstheme="majorBidi"/>
          <w:sz w:val="24"/>
          <w:szCs w:val="24"/>
        </w:rPr>
        <w:t xml:space="preserve">) even though free parliamentary elections are held. Within this structure,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access to high government posts and to security and military institutions is severely restricted.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leaders in Kuwait have repeatedly reported “widespread discrimination in religious employment and the public sector”. According to the 2024 U.S. State Department report,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leaders have repeatedly complained of extensive discrimination in religious appointments and public</w:t>
      </w:r>
      <w:r w:rsidRPr="00E20DEB">
        <w:rPr>
          <w:rFonts w:asciiTheme="majorBidi" w:hAnsiTheme="majorBidi" w:cstheme="majorBidi"/>
          <w:sz w:val="24"/>
          <w:szCs w:val="24"/>
        </w:rPr>
        <w:noBreakHyphen/>
        <w:t xml:space="preserve">sector employment. This discrimination is evident not only in hiring but also in </w:t>
      </w:r>
      <w:r>
        <w:rPr>
          <w:rFonts w:asciiTheme="majorBidi" w:hAnsiTheme="majorBidi" w:cstheme="majorBidi"/>
          <w:sz w:val="24"/>
          <w:szCs w:val="24"/>
        </w:rPr>
        <w:t>promotions to senior managerial and leadership positions</w:t>
      </w:r>
      <w:r w:rsidRPr="00E20DEB">
        <w:rPr>
          <w:rFonts w:asciiTheme="majorBidi" w:hAnsiTheme="majorBidi" w:cstheme="majorBidi"/>
          <w:sz w:val="24"/>
          <w:szCs w:val="24"/>
        </w:rPr>
        <w:t>.</w:t>
      </w:r>
    </w:p>
    <w:p w14:paraId="5F8B2FE2" w14:textId="77777777" w:rsidR="000476DE" w:rsidRDefault="00E20DEB" w:rsidP="00E20DEB">
      <w:pPr>
        <w:numPr>
          <w:ilvl w:val="0"/>
          <w:numId w:val="4"/>
        </w:numPr>
        <w:jc w:val="both"/>
        <w:rPr>
          <w:rFonts w:asciiTheme="majorBidi" w:hAnsiTheme="majorBidi" w:cstheme="majorBidi"/>
          <w:sz w:val="24"/>
          <w:szCs w:val="24"/>
        </w:rPr>
      </w:pPr>
      <w:r w:rsidRPr="00E20DEB">
        <w:rPr>
          <w:rFonts w:asciiTheme="majorBidi" w:hAnsiTheme="majorBidi" w:cstheme="majorBidi"/>
          <w:b/>
          <w:bCs/>
          <w:sz w:val="24"/>
          <w:szCs w:val="24"/>
        </w:rPr>
        <w:t>Large</w:t>
      </w:r>
      <w:r w:rsidRPr="00E20DEB">
        <w:rPr>
          <w:rFonts w:asciiTheme="majorBidi" w:hAnsiTheme="majorBidi" w:cstheme="majorBidi"/>
          <w:b/>
          <w:bCs/>
          <w:sz w:val="24"/>
          <w:szCs w:val="24"/>
        </w:rPr>
        <w:noBreakHyphen/>
        <w:t>scale revocation of citizenship</w:t>
      </w:r>
    </w:p>
    <w:p w14:paraId="198E3736" w14:textId="3F4BF1E2" w:rsidR="00E20DEB" w:rsidRPr="00E20DEB" w:rsidRDefault="00E20DEB" w:rsidP="000476DE">
      <w:pPr>
        <w:ind w:left="720"/>
        <w:jc w:val="both"/>
        <w:rPr>
          <w:rFonts w:asciiTheme="majorBidi" w:hAnsiTheme="majorBidi" w:cstheme="majorBidi"/>
          <w:sz w:val="24"/>
          <w:szCs w:val="24"/>
        </w:rPr>
      </w:pPr>
      <w:r w:rsidRPr="00E20DEB">
        <w:rPr>
          <w:rFonts w:asciiTheme="majorBidi" w:hAnsiTheme="majorBidi" w:cstheme="majorBidi"/>
          <w:sz w:val="24"/>
          <w:szCs w:val="24"/>
        </w:rPr>
        <w:t>The large</w:t>
      </w:r>
      <w:r w:rsidRPr="00E20DEB">
        <w:rPr>
          <w:rFonts w:asciiTheme="majorBidi" w:hAnsiTheme="majorBidi" w:cstheme="majorBidi"/>
          <w:sz w:val="24"/>
          <w:szCs w:val="24"/>
        </w:rPr>
        <w:noBreakHyphen/>
        <w:t>scale revocation of citizenship in Kuwait began in September 2024 and continued at a remarkable pace. After the outbreak of the U.S.</w:t>
      </w:r>
      <w:r w:rsidRPr="00E20DEB">
        <w:rPr>
          <w:rFonts w:asciiTheme="majorBidi" w:hAnsiTheme="majorBidi" w:cstheme="majorBidi"/>
          <w:sz w:val="24"/>
          <w:szCs w:val="24"/>
        </w:rPr>
        <w:noBreakHyphen/>
        <w:t>Israeli war against Iran in late February 2026, the process accelerated dramatically and took on new dimensions. Since September 2024, the Kuwaiti government has revoked the citizenship of more than </w:t>
      </w:r>
      <w:r w:rsidRPr="00E20DEB">
        <w:rPr>
          <w:rFonts w:asciiTheme="majorBidi" w:hAnsiTheme="majorBidi" w:cstheme="majorBidi"/>
          <w:b/>
          <w:bCs/>
          <w:sz w:val="24"/>
          <w:szCs w:val="24"/>
        </w:rPr>
        <w:t>42,000</w:t>
      </w:r>
      <w:r w:rsidRPr="00E20DEB">
        <w:rPr>
          <w:rFonts w:asciiTheme="majorBidi" w:hAnsiTheme="majorBidi" w:cstheme="majorBidi"/>
          <w:sz w:val="24"/>
          <w:szCs w:val="24"/>
        </w:rPr>
        <w:t xml:space="preserve"> persons in an unprecedented campaign. Among them, thousands of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(especially those of Iranian origin) have lost their citizenship. Revocation of citizenship deprives individuals of basic rights such as health care, education</w:t>
      </w:r>
      <w:r>
        <w:rPr>
          <w:rFonts w:asciiTheme="majorBidi" w:hAnsiTheme="majorBidi" w:cstheme="majorBidi"/>
          <w:sz w:val="24"/>
          <w:szCs w:val="24"/>
        </w:rPr>
        <w:t>,</w:t>
      </w:r>
      <w:r w:rsidRPr="00E20DEB">
        <w:rPr>
          <w:rFonts w:asciiTheme="majorBidi" w:hAnsiTheme="majorBidi" w:cstheme="majorBidi"/>
          <w:sz w:val="24"/>
          <w:szCs w:val="24"/>
        </w:rPr>
        <w:t xml:space="preserve"> and public</w:t>
      </w:r>
      <w:r w:rsidRPr="00E20DEB">
        <w:rPr>
          <w:rFonts w:asciiTheme="majorBidi" w:hAnsiTheme="majorBidi" w:cstheme="majorBidi"/>
          <w:sz w:val="24"/>
          <w:szCs w:val="24"/>
        </w:rPr>
        <w:noBreakHyphen/>
        <w:t>sector employment.</w:t>
      </w:r>
    </w:p>
    <w:p w14:paraId="7FE8D992" w14:textId="77777777" w:rsidR="00E20DEB" w:rsidRPr="00E20DEB" w:rsidRDefault="00000000" w:rsidP="00E20DEB">
      <w:pPr>
        <w:jc w:val="both"/>
        <w:rPr>
          <w:rFonts w:asciiTheme="majorBidi" w:hAnsiTheme="majorBidi" w:cstheme="majorBidi"/>
          <w:sz w:val="24"/>
          <w:szCs w:val="24"/>
        </w:rPr>
      </w:pPr>
      <w:r>
        <w:rPr>
          <w:rFonts w:asciiTheme="majorBidi" w:hAnsiTheme="majorBidi" w:cstheme="majorBidi"/>
          <w:sz w:val="24"/>
          <w:szCs w:val="24"/>
        </w:rPr>
        <w:pict w14:anchorId="032C3488">
          <v:rect id="_x0000_i1025" style="width:0;height:.75pt" o:hrstd="t" o:hr="t" fillcolor="#a0a0a0" stroked="f"/>
        </w:pict>
      </w:r>
    </w:p>
    <w:p w14:paraId="22EFB6C5" w14:textId="77777777" w:rsidR="00E20DEB" w:rsidRPr="00E20DEB" w:rsidRDefault="00E20DEB" w:rsidP="00E20DEB">
      <w:pPr>
        <w:jc w:val="both"/>
        <w:rPr>
          <w:rFonts w:asciiTheme="majorBidi" w:hAnsiTheme="majorBidi" w:cstheme="majorBidi"/>
          <w:b/>
          <w:bCs/>
          <w:sz w:val="24"/>
          <w:szCs w:val="24"/>
        </w:rPr>
      </w:pPr>
      <w:r w:rsidRPr="00E20DEB">
        <w:rPr>
          <w:rFonts w:asciiTheme="majorBidi" w:hAnsiTheme="majorBidi" w:cstheme="majorBidi"/>
          <w:b/>
          <w:bCs/>
          <w:sz w:val="24"/>
          <w:szCs w:val="24"/>
        </w:rPr>
        <w:t>4. Discrimination in the Family Law System</w:t>
      </w:r>
    </w:p>
    <w:p w14:paraId="01A0D355" w14:textId="77777777" w:rsidR="000476DE" w:rsidRDefault="00E20DEB" w:rsidP="00E20DEB">
      <w:pPr>
        <w:numPr>
          <w:ilvl w:val="0"/>
          <w:numId w:val="5"/>
        </w:numPr>
        <w:jc w:val="both"/>
        <w:rPr>
          <w:rFonts w:asciiTheme="majorBidi" w:hAnsiTheme="majorBidi" w:cstheme="majorBidi"/>
          <w:sz w:val="24"/>
          <w:szCs w:val="24"/>
        </w:rPr>
      </w:pPr>
      <w:r w:rsidRPr="00E20DEB">
        <w:rPr>
          <w:rFonts w:asciiTheme="majorBidi" w:hAnsiTheme="majorBidi" w:cstheme="majorBidi"/>
          <w:b/>
          <w:bCs/>
          <w:sz w:val="24"/>
          <w:szCs w:val="24"/>
        </w:rPr>
        <w:t>Discrimination in child custody rights</w:t>
      </w:r>
    </w:p>
    <w:p w14:paraId="61435970" w14:textId="45985FD2" w:rsidR="00E20DEB" w:rsidRPr="00E20DEB" w:rsidRDefault="00E20DEB" w:rsidP="000476DE">
      <w:pPr>
        <w:ind w:left="720"/>
        <w:jc w:val="both"/>
        <w:rPr>
          <w:rFonts w:asciiTheme="majorBidi" w:hAnsiTheme="majorBidi" w:cstheme="majorBidi"/>
          <w:sz w:val="24"/>
          <w:szCs w:val="24"/>
        </w:rPr>
      </w:pPr>
      <w:r w:rsidRPr="00E20DEB">
        <w:rPr>
          <w:rFonts w:asciiTheme="majorBidi" w:hAnsiTheme="majorBidi" w:cstheme="majorBidi"/>
          <w:sz w:val="24"/>
          <w:szCs w:val="24"/>
        </w:rPr>
        <w:t xml:space="preserve">Despite the existence of a separate court for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family matters, in practice discrimination between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and Sunni women </w:t>
      </w:r>
      <w:proofErr w:type="gramStart"/>
      <w:r w:rsidRPr="00E20DEB">
        <w:rPr>
          <w:rFonts w:asciiTheme="majorBidi" w:hAnsiTheme="majorBidi" w:cstheme="majorBidi"/>
          <w:sz w:val="24"/>
          <w:szCs w:val="24"/>
        </w:rPr>
        <w:t>persists</w:t>
      </w:r>
      <w:proofErr w:type="gramEnd"/>
      <w:r w:rsidRPr="00E20DEB">
        <w:rPr>
          <w:rFonts w:asciiTheme="majorBidi" w:hAnsiTheme="majorBidi" w:cstheme="majorBidi"/>
          <w:sz w:val="24"/>
          <w:szCs w:val="24"/>
        </w:rPr>
        <w:t>. Under </w:t>
      </w:r>
      <w:r w:rsidRPr="00E20DEB">
        <w:rPr>
          <w:rFonts w:asciiTheme="majorBidi" w:hAnsiTheme="majorBidi" w:cstheme="majorBidi"/>
          <w:b/>
          <w:bCs/>
          <w:sz w:val="24"/>
          <w:szCs w:val="24"/>
        </w:rPr>
        <w:t>Article 189</w:t>
      </w:r>
      <w:r w:rsidRPr="00E20DEB">
        <w:rPr>
          <w:rFonts w:asciiTheme="majorBidi" w:hAnsiTheme="majorBidi" w:cstheme="majorBidi"/>
          <w:sz w:val="24"/>
          <w:szCs w:val="24"/>
        </w:rPr>
        <w:t> of the Kuwaiti Personal Status Law, in the event of divorce:</w:t>
      </w:r>
    </w:p>
    <w:p w14:paraId="6FCB0E87" w14:textId="77777777" w:rsidR="00E20DEB" w:rsidRPr="00E20DEB" w:rsidRDefault="00E20DEB" w:rsidP="00E20DEB">
      <w:pPr>
        <w:numPr>
          <w:ilvl w:val="1"/>
          <w:numId w:val="5"/>
        </w:numPr>
        <w:jc w:val="both"/>
        <w:rPr>
          <w:rFonts w:asciiTheme="majorBidi" w:hAnsiTheme="majorBidi" w:cstheme="majorBidi"/>
          <w:sz w:val="24"/>
          <w:szCs w:val="24"/>
        </w:rPr>
      </w:pP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mothers retain custody of daughters only until age 7 (while Sunni mothers may keep their daughters until the daughter marries).</w:t>
      </w:r>
    </w:p>
    <w:p w14:paraId="5BF94003" w14:textId="77777777" w:rsidR="00E20DEB" w:rsidRPr="00E20DEB" w:rsidRDefault="00E20DEB" w:rsidP="00E20DEB">
      <w:pPr>
        <w:numPr>
          <w:ilvl w:val="1"/>
          <w:numId w:val="5"/>
        </w:numPr>
        <w:jc w:val="both"/>
        <w:rPr>
          <w:rFonts w:asciiTheme="majorBidi" w:hAnsiTheme="majorBidi" w:cstheme="majorBidi"/>
          <w:sz w:val="24"/>
          <w:szCs w:val="24"/>
        </w:rPr>
      </w:pP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mothers retain custody of sons only until age 2 (whereas Sunni mothers may keep sons until age 15).</w:t>
      </w:r>
    </w:p>
    <w:p w14:paraId="04198D62" w14:textId="77777777" w:rsidR="00E20DEB" w:rsidRPr="00E20DEB" w:rsidRDefault="00000000" w:rsidP="00E20DEB">
      <w:pPr>
        <w:jc w:val="both"/>
        <w:rPr>
          <w:rFonts w:asciiTheme="majorBidi" w:hAnsiTheme="majorBidi" w:cstheme="majorBidi"/>
          <w:sz w:val="24"/>
          <w:szCs w:val="24"/>
        </w:rPr>
      </w:pPr>
      <w:r>
        <w:rPr>
          <w:rFonts w:asciiTheme="majorBidi" w:hAnsiTheme="majorBidi" w:cstheme="majorBidi"/>
          <w:sz w:val="24"/>
          <w:szCs w:val="24"/>
        </w:rPr>
        <w:pict w14:anchorId="51E7ED7E">
          <v:rect id="_x0000_i1026" style="width:0;height:.75pt" o:hrstd="t" o:hr="t" fillcolor="#a0a0a0" stroked="f"/>
        </w:pict>
      </w:r>
    </w:p>
    <w:p w14:paraId="6351975B" w14:textId="77777777" w:rsidR="00E20DEB" w:rsidRPr="00E20DEB" w:rsidRDefault="00E20DEB" w:rsidP="00E20DEB">
      <w:pPr>
        <w:jc w:val="both"/>
        <w:rPr>
          <w:rFonts w:asciiTheme="majorBidi" w:hAnsiTheme="majorBidi" w:cstheme="majorBidi"/>
          <w:b/>
          <w:bCs/>
          <w:sz w:val="24"/>
          <w:szCs w:val="24"/>
        </w:rPr>
      </w:pPr>
      <w:r w:rsidRPr="00E20DEB">
        <w:rPr>
          <w:rFonts w:asciiTheme="majorBidi" w:hAnsiTheme="majorBidi" w:cstheme="majorBidi"/>
          <w:b/>
          <w:bCs/>
          <w:sz w:val="24"/>
          <w:szCs w:val="24"/>
        </w:rPr>
        <w:lastRenderedPageBreak/>
        <w:t>5. Political and Social Restrictions</w:t>
      </w:r>
    </w:p>
    <w:p w14:paraId="6BDEB3E1" w14:textId="77777777" w:rsidR="000476DE" w:rsidRDefault="00E20DEB" w:rsidP="00E20DEB">
      <w:pPr>
        <w:numPr>
          <w:ilvl w:val="0"/>
          <w:numId w:val="6"/>
        </w:numPr>
        <w:jc w:val="both"/>
        <w:rPr>
          <w:rFonts w:asciiTheme="majorBidi" w:hAnsiTheme="majorBidi" w:cstheme="majorBidi"/>
          <w:sz w:val="24"/>
          <w:szCs w:val="24"/>
        </w:rPr>
      </w:pPr>
      <w:r w:rsidRPr="00E20DEB">
        <w:rPr>
          <w:rFonts w:asciiTheme="majorBidi" w:hAnsiTheme="majorBidi" w:cstheme="majorBidi"/>
          <w:b/>
          <w:bCs/>
          <w:sz w:val="24"/>
          <w:szCs w:val="24"/>
        </w:rPr>
        <w:t>Under</w:t>
      </w:r>
      <w:r w:rsidRPr="00E20DEB">
        <w:rPr>
          <w:rFonts w:asciiTheme="majorBidi" w:hAnsiTheme="majorBidi" w:cstheme="majorBidi"/>
          <w:b/>
          <w:bCs/>
          <w:sz w:val="24"/>
          <w:szCs w:val="24"/>
        </w:rPr>
        <w:noBreakHyphen/>
        <w:t>representation in Parliament</w:t>
      </w:r>
    </w:p>
    <w:p w14:paraId="4C286516" w14:textId="2C7A5369" w:rsidR="00E20DEB" w:rsidRPr="00E20DEB" w:rsidRDefault="00E20DEB" w:rsidP="000476DE">
      <w:pPr>
        <w:ind w:left="720"/>
        <w:jc w:val="both"/>
        <w:rPr>
          <w:rFonts w:asciiTheme="majorBidi" w:hAnsiTheme="majorBidi" w:cstheme="majorBidi"/>
          <w:sz w:val="24"/>
          <w:szCs w:val="24"/>
        </w:rPr>
      </w:pPr>
      <w:r w:rsidRPr="00E20DEB">
        <w:rPr>
          <w:rFonts w:asciiTheme="majorBidi" w:hAnsiTheme="majorBidi" w:cstheme="majorBidi"/>
          <w:sz w:val="24"/>
          <w:szCs w:val="24"/>
        </w:rPr>
        <w:t xml:space="preserve">In the last parliamentary elections held in Kuwait in April 2026, the number of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seats fell from 9 in the previous term to only 6. This is while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constitute about 30</w:t>
      </w:r>
      <w:r w:rsidRPr="00E20DEB">
        <w:rPr>
          <w:rFonts w:asciiTheme="majorBidi" w:hAnsiTheme="majorBidi" w:cstheme="majorBidi"/>
          <w:sz w:val="24"/>
          <w:szCs w:val="24"/>
        </w:rPr>
        <w:noBreakHyphen/>
        <w:t xml:space="preserve">40% of the citizen population; their current parliamentary representation is only 12% of the seats.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leaders have repeatedly </w:t>
      </w:r>
      <w:r>
        <w:rPr>
          <w:rFonts w:asciiTheme="majorBidi" w:hAnsiTheme="majorBidi" w:cstheme="majorBidi"/>
          <w:sz w:val="24"/>
          <w:szCs w:val="24"/>
        </w:rPr>
        <w:t>criticized</w:t>
      </w:r>
      <w:r w:rsidRPr="00E20DEB">
        <w:rPr>
          <w:rFonts w:asciiTheme="majorBidi" w:hAnsiTheme="majorBidi" w:cstheme="majorBidi"/>
          <w:sz w:val="24"/>
          <w:szCs w:val="24"/>
        </w:rPr>
        <w:t xml:space="preserve"> the severe lack of political representation for their community in Parliament and other state bodies.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sit as a minority within a minority in Parliament and are unable to influence legislation effectively.</w:t>
      </w:r>
    </w:p>
    <w:p w14:paraId="382C0BB1" w14:textId="77777777" w:rsidR="000476DE" w:rsidRDefault="00E20DEB" w:rsidP="00E20DEB">
      <w:pPr>
        <w:numPr>
          <w:ilvl w:val="0"/>
          <w:numId w:val="6"/>
        </w:numPr>
        <w:jc w:val="both"/>
        <w:rPr>
          <w:rFonts w:asciiTheme="majorBidi" w:hAnsiTheme="majorBidi" w:cstheme="majorBidi"/>
          <w:sz w:val="24"/>
          <w:szCs w:val="24"/>
        </w:rPr>
      </w:pPr>
      <w:r w:rsidRPr="00E20DEB">
        <w:rPr>
          <w:rFonts w:asciiTheme="majorBidi" w:hAnsiTheme="majorBidi" w:cstheme="majorBidi"/>
          <w:b/>
          <w:bCs/>
          <w:sz w:val="24"/>
          <w:szCs w:val="24"/>
        </w:rPr>
        <w:t>Exclusion from sensitive government positions</w:t>
      </w:r>
    </w:p>
    <w:p w14:paraId="44BACD77" w14:textId="0ED5B922" w:rsidR="00E20DEB" w:rsidRPr="00E20DEB" w:rsidRDefault="00E20DEB" w:rsidP="000476DE">
      <w:pPr>
        <w:ind w:left="720"/>
        <w:jc w:val="both"/>
        <w:rPr>
          <w:rFonts w:asciiTheme="majorBidi" w:hAnsiTheme="majorBidi" w:cstheme="majorBidi"/>
          <w:sz w:val="24"/>
          <w:szCs w:val="24"/>
        </w:rPr>
      </w:pPr>
      <w:r w:rsidRPr="00E20DEB">
        <w:rPr>
          <w:rFonts w:asciiTheme="majorBidi" w:hAnsiTheme="majorBidi" w:cstheme="majorBidi"/>
          <w:sz w:val="24"/>
          <w:szCs w:val="24"/>
        </w:rPr>
        <w:t xml:space="preserve">According to multiple reports,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are effectively barred from access to sensitive and key posts in the Kuwaiti government, especially the Ministry of Foreign Affairs, the Ministry of Interior, and high</w:t>
      </w:r>
      <w:r w:rsidRPr="00E20DEB">
        <w:rPr>
          <w:rFonts w:asciiTheme="majorBidi" w:hAnsiTheme="majorBidi" w:cstheme="majorBidi"/>
          <w:sz w:val="24"/>
          <w:szCs w:val="24"/>
        </w:rPr>
        <w:noBreakHyphen/>
        <w:t>ranking military positions.</w:t>
      </w:r>
    </w:p>
    <w:p w14:paraId="4D692B37" w14:textId="77777777" w:rsidR="00E20DEB" w:rsidRPr="00E20DEB" w:rsidRDefault="00000000" w:rsidP="00E20DEB">
      <w:pPr>
        <w:jc w:val="both"/>
        <w:rPr>
          <w:rFonts w:asciiTheme="majorBidi" w:hAnsiTheme="majorBidi" w:cstheme="majorBidi"/>
          <w:sz w:val="24"/>
          <w:szCs w:val="24"/>
        </w:rPr>
      </w:pPr>
      <w:r>
        <w:rPr>
          <w:rFonts w:asciiTheme="majorBidi" w:hAnsiTheme="majorBidi" w:cstheme="majorBidi"/>
          <w:sz w:val="24"/>
          <w:szCs w:val="24"/>
        </w:rPr>
        <w:pict w14:anchorId="498EDB6F">
          <v:rect id="_x0000_i1027" style="width:0;height:.75pt" o:hrstd="t" o:hr="t" fillcolor="#a0a0a0" stroked="f"/>
        </w:pict>
      </w:r>
    </w:p>
    <w:p w14:paraId="56ABC6C7" w14:textId="77777777" w:rsidR="00E20DEB" w:rsidRPr="00E20DEB" w:rsidRDefault="00E20DEB" w:rsidP="00E20DEB">
      <w:pPr>
        <w:jc w:val="both"/>
        <w:rPr>
          <w:rFonts w:asciiTheme="majorBidi" w:hAnsiTheme="majorBidi" w:cstheme="majorBidi"/>
          <w:b/>
          <w:bCs/>
          <w:sz w:val="24"/>
          <w:szCs w:val="24"/>
        </w:rPr>
      </w:pPr>
      <w:r w:rsidRPr="00E20DEB">
        <w:rPr>
          <w:rFonts w:asciiTheme="majorBidi" w:hAnsiTheme="majorBidi" w:cstheme="majorBidi"/>
          <w:b/>
          <w:bCs/>
          <w:sz w:val="24"/>
          <w:szCs w:val="24"/>
        </w:rPr>
        <w:t>Recommendations</w:t>
      </w:r>
    </w:p>
    <w:p w14:paraId="16F5AC6B" w14:textId="77777777" w:rsidR="00E20DEB" w:rsidRPr="00E20DEB" w:rsidRDefault="00E20DEB" w:rsidP="00E20DEB">
      <w:pPr>
        <w:jc w:val="both"/>
        <w:rPr>
          <w:rFonts w:asciiTheme="majorBidi" w:hAnsiTheme="majorBidi" w:cstheme="majorBidi"/>
          <w:sz w:val="24"/>
          <w:szCs w:val="24"/>
        </w:rPr>
      </w:pPr>
      <w:r w:rsidRPr="00E20DEB">
        <w:rPr>
          <w:rFonts w:asciiTheme="majorBidi" w:hAnsiTheme="majorBidi" w:cstheme="majorBidi"/>
          <w:sz w:val="24"/>
          <w:szCs w:val="24"/>
        </w:rPr>
        <w:t xml:space="preserve">International bodies should strongly condemn the systematic discrimination against Kuwait’s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citizens in the areas described above, and should take the following actions:</w:t>
      </w:r>
    </w:p>
    <w:p w14:paraId="69E43C77" w14:textId="77777777" w:rsidR="00E20DEB" w:rsidRPr="00E20DEB" w:rsidRDefault="00E20DEB" w:rsidP="00E20DEB">
      <w:pPr>
        <w:numPr>
          <w:ilvl w:val="0"/>
          <w:numId w:val="7"/>
        </w:numPr>
        <w:jc w:val="both"/>
        <w:rPr>
          <w:rFonts w:asciiTheme="majorBidi" w:hAnsiTheme="majorBidi" w:cstheme="majorBidi"/>
          <w:sz w:val="24"/>
          <w:szCs w:val="24"/>
        </w:rPr>
      </w:pPr>
      <w:r w:rsidRPr="00E20DEB">
        <w:rPr>
          <w:rFonts w:asciiTheme="majorBidi" w:hAnsiTheme="majorBidi" w:cstheme="majorBidi"/>
          <w:b/>
          <w:bCs/>
          <w:sz w:val="24"/>
          <w:szCs w:val="24"/>
        </w:rPr>
        <w:t>Activate the urgent action procedure under Article 11 of the Convention</w:t>
      </w:r>
      <w:r w:rsidRPr="00E20DEB">
        <w:rPr>
          <w:rFonts w:asciiTheme="majorBidi" w:hAnsiTheme="majorBidi" w:cstheme="majorBidi"/>
          <w:sz w:val="24"/>
          <w:szCs w:val="24"/>
        </w:rPr>
        <w:t> – send an official communication to the government of Kuwait demanding an immediate explanation regarding the documented violations. This procedure has been used in recent years in cases of gross human rights violations, and Kuwait’s case qualifies for the activation of this mechanism.</w:t>
      </w:r>
    </w:p>
    <w:p w14:paraId="73F098E3" w14:textId="77777777" w:rsidR="00E20DEB" w:rsidRPr="00E20DEB" w:rsidRDefault="00E20DEB" w:rsidP="00E20DEB">
      <w:pPr>
        <w:numPr>
          <w:ilvl w:val="0"/>
          <w:numId w:val="7"/>
        </w:numPr>
        <w:jc w:val="both"/>
        <w:rPr>
          <w:rFonts w:asciiTheme="majorBidi" w:hAnsiTheme="majorBidi" w:cstheme="majorBidi"/>
          <w:sz w:val="24"/>
          <w:szCs w:val="24"/>
        </w:rPr>
      </w:pPr>
      <w:r w:rsidRPr="00E20DEB">
        <w:rPr>
          <w:rFonts w:asciiTheme="majorBidi" w:hAnsiTheme="majorBidi" w:cstheme="majorBidi"/>
          <w:b/>
          <w:bCs/>
          <w:sz w:val="24"/>
          <w:szCs w:val="24"/>
        </w:rPr>
        <w:t>The Human Rights Council should convene an urgent debate</w:t>
      </w:r>
      <w:r w:rsidRPr="00E20DEB">
        <w:rPr>
          <w:rFonts w:asciiTheme="majorBidi" w:hAnsiTheme="majorBidi" w:cstheme="majorBidi"/>
          <w:sz w:val="24"/>
          <w:szCs w:val="24"/>
        </w:rPr>
        <w:t xml:space="preserve"> (at its 41st special session) on “Gross violations of international conventions against the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of Kuwait and unprecedented citizenship revocations”. In that debate, the Special Rapporteur on freedom of religion or belief should be invited to present an additional report. The Human Rights Council should specifically refer the situation of Kuwait to the Special Rapporteur on freedom of religion or belief and to the Special Rapporteur on the situation of human rights defenders, requesting them to prepare a comprehensive report on discrimination against Kuwait’s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and to present it at the Council’s next session. The Special Rapporteur on freedom of religion or belief presented a detailed report in 2025 on the rise of Islamophobia; Kuwait itself has been a supporter of strengthening UN monitoring mechanisms in this field. Furthermore, representatives of the Kuwaiti government should be required to respond to the charges of violations of the Racial Discrimination Convention.</w:t>
      </w:r>
    </w:p>
    <w:p w14:paraId="70263FBD" w14:textId="77777777" w:rsidR="00E20DEB" w:rsidRPr="00E20DEB" w:rsidRDefault="00E20DEB" w:rsidP="00E20DEB">
      <w:pPr>
        <w:numPr>
          <w:ilvl w:val="0"/>
          <w:numId w:val="7"/>
        </w:numPr>
        <w:jc w:val="both"/>
        <w:rPr>
          <w:rFonts w:asciiTheme="majorBidi" w:hAnsiTheme="majorBidi" w:cstheme="majorBidi"/>
          <w:sz w:val="24"/>
          <w:szCs w:val="24"/>
        </w:rPr>
      </w:pPr>
      <w:r w:rsidRPr="00E20DEB">
        <w:rPr>
          <w:rFonts w:asciiTheme="majorBidi" w:hAnsiTheme="majorBidi" w:cstheme="majorBidi"/>
          <w:b/>
          <w:bCs/>
          <w:sz w:val="24"/>
          <w:szCs w:val="24"/>
        </w:rPr>
        <w:lastRenderedPageBreak/>
        <w:t>Member states of the Group of Friends of Freedom of Religion or Belief</w:t>
      </w:r>
      <w:r w:rsidRPr="00E20DEB">
        <w:rPr>
          <w:rFonts w:asciiTheme="majorBidi" w:hAnsiTheme="majorBidi" w:cstheme="majorBidi"/>
          <w:sz w:val="24"/>
          <w:szCs w:val="24"/>
        </w:rPr>
        <w:t xml:space="preserve"> in the Human Rights Council should issue a joint statement expressing their deep concern about discrimination against the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of Kuwait. Such a statement could serve as a basis for broader diplomatic action and pave the way for future resolutions.</w:t>
      </w:r>
    </w:p>
    <w:p w14:paraId="0668187F" w14:textId="3A2F7B18" w:rsidR="00E20DEB" w:rsidRPr="00E20DEB" w:rsidRDefault="00E20DEB" w:rsidP="00E20DEB">
      <w:pPr>
        <w:numPr>
          <w:ilvl w:val="0"/>
          <w:numId w:val="7"/>
        </w:numPr>
        <w:jc w:val="both"/>
        <w:rPr>
          <w:rFonts w:asciiTheme="majorBidi" w:hAnsiTheme="majorBidi" w:cstheme="majorBidi"/>
          <w:sz w:val="24"/>
          <w:szCs w:val="24"/>
        </w:rPr>
      </w:pPr>
      <w:r w:rsidRPr="00E20DEB">
        <w:rPr>
          <w:rFonts w:asciiTheme="majorBidi" w:hAnsiTheme="majorBidi" w:cstheme="majorBidi"/>
          <w:b/>
          <w:bCs/>
          <w:sz w:val="24"/>
          <w:szCs w:val="24"/>
        </w:rPr>
        <w:t>The large</w:t>
      </w:r>
      <w:r w:rsidRPr="00E20DEB">
        <w:rPr>
          <w:rFonts w:asciiTheme="majorBidi" w:hAnsiTheme="majorBidi" w:cstheme="majorBidi"/>
          <w:b/>
          <w:bCs/>
          <w:sz w:val="24"/>
          <w:szCs w:val="24"/>
        </w:rPr>
        <w:noBreakHyphen/>
        <w:t>scale and targeted revocation of citizenship</w:t>
      </w:r>
      <w:r w:rsidRPr="00E20DEB">
        <w:rPr>
          <w:rFonts w:asciiTheme="majorBidi" w:hAnsiTheme="majorBidi" w:cstheme="majorBidi"/>
          <w:sz w:val="24"/>
          <w:szCs w:val="24"/>
        </w:rPr>
        <w:t> – over 71,000 persons, about 5% of Kuwait’s total citizen population, disproportionately targeting a particular racial/religious group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of Iranian origin) – constitutes, under the Rome Statute of the International Criminal Court, “deportation or forcible transfer of population” and “persecution” against an identifiable group (Articles 6 and 7 of the Rome Statute). These actions are not only violations of the Racial Discrimination Convention but</w:t>
      </w:r>
      <w:r>
        <w:rPr>
          <w:rFonts w:asciiTheme="majorBidi" w:hAnsiTheme="majorBidi" w:cstheme="majorBidi"/>
          <w:sz w:val="24"/>
          <w:szCs w:val="24"/>
        </w:rPr>
        <w:t>, in some instances,</w:t>
      </w:r>
      <w:r w:rsidRPr="00E20DEB">
        <w:rPr>
          <w:rFonts w:asciiTheme="majorBidi" w:hAnsiTheme="majorBidi" w:cstheme="majorBidi"/>
          <w:sz w:val="24"/>
          <w:szCs w:val="24"/>
        </w:rPr>
        <w:t xml:space="preserve"> amount to crimes against humanity. The ICC should:</w:t>
      </w:r>
    </w:p>
    <w:p w14:paraId="628063BA" w14:textId="77777777" w:rsidR="00E20DEB" w:rsidRPr="00E20DEB" w:rsidRDefault="00E20DEB" w:rsidP="00E20DEB">
      <w:pPr>
        <w:numPr>
          <w:ilvl w:val="1"/>
          <w:numId w:val="7"/>
        </w:numPr>
        <w:jc w:val="both"/>
        <w:rPr>
          <w:rFonts w:asciiTheme="majorBidi" w:hAnsiTheme="majorBidi" w:cstheme="majorBidi"/>
          <w:sz w:val="24"/>
          <w:szCs w:val="24"/>
        </w:rPr>
      </w:pPr>
      <w:r w:rsidRPr="00E20DEB">
        <w:rPr>
          <w:rFonts w:asciiTheme="majorBidi" w:hAnsiTheme="majorBidi" w:cstheme="majorBidi"/>
          <w:sz w:val="24"/>
          <w:szCs w:val="24"/>
        </w:rPr>
        <w:t>Conduct an independent preliminary examination of the case of large</w:t>
      </w:r>
      <w:r w:rsidRPr="00E20DEB">
        <w:rPr>
          <w:rFonts w:asciiTheme="majorBidi" w:hAnsiTheme="majorBidi" w:cstheme="majorBidi"/>
          <w:sz w:val="24"/>
          <w:szCs w:val="24"/>
        </w:rPr>
        <w:noBreakHyphen/>
        <w:t>scale and targeted citizenship revocation in Kuwait, focusing on its extraterritorial dimensions and its impact on regional peace and security.</w:t>
      </w:r>
    </w:p>
    <w:p w14:paraId="02DD8B54" w14:textId="05CC5DAB" w:rsidR="00E20DEB" w:rsidRDefault="00E20DEB" w:rsidP="0062288B">
      <w:pPr>
        <w:numPr>
          <w:ilvl w:val="1"/>
          <w:numId w:val="7"/>
        </w:numPr>
        <w:jc w:val="both"/>
        <w:rPr>
          <w:rFonts w:asciiTheme="majorBidi" w:hAnsiTheme="majorBidi" w:cstheme="majorBidi"/>
          <w:sz w:val="24"/>
          <w:szCs w:val="24"/>
        </w:rPr>
      </w:pPr>
      <w:r w:rsidRPr="00E20DEB">
        <w:rPr>
          <w:rFonts w:asciiTheme="majorBidi" w:hAnsiTheme="majorBidi" w:cstheme="majorBidi"/>
          <w:sz w:val="24"/>
          <w:szCs w:val="24"/>
        </w:rPr>
        <w:t xml:space="preserve">The Office of the Prosecutor, relying on the principle of universal jurisdiction and on credible reports from international </w:t>
      </w:r>
      <w:r>
        <w:rPr>
          <w:rFonts w:asciiTheme="majorBidi" w:hAnsiTheme="majorBidi" w:cstheme="majorBidi"/>
          <w:sz w:val="24"/>
          <w:szCs w:val="24"/>
        </w:rPr>
        <w:t>organizations</w:t>
      </w:r>
      <w:r w:rsidRPr="00E20DEB">
        <w:rPr>
          <w:rFonts w:asciiTheme="majorBidi" w:hAnsiTheme="majorBidi" w:cstheme="majorBidi"/>
          <w:sz w:val="24"/>
          <w:szCs w:val="24"/>
        </w:rPr>
        <w:t>, should give this case priority for examination.</w:t>
      </w:r>
    </w:p>
    <w:p w14:paraId="1FB9DB5E" w14:textId="77777777" w:rsidR="00106B81" w:rsidRDefault="00106B81" w:rsidP="00106B81">
      <w:pPr>
        <w:jc w:val="both"/>
        <w:rPr>
          <w:rFonts w:asciiTheme="majorBidi" w:hAnsiTheme="majorBidi" w:cstheme="majorBidi"/>
          <w:sz w:val="24"/>
          <w:szCs w:val="24"/>
        </w:rPr>
      </w:pPr>
    </w:p>
    <w:p w14:paraId="758ACA2E" w14:textId="77777777" w:rsidR="00106B81" w:rsidRDefault="00106B81" w:rsidP="00106B81">
      <w:pPr>
        <w:jc w:val="both"/>
        <w:rPr>
          <w:rFonts w:asciiTheme="majorBidi" w:hAnsiTheme="majorBidi" w:cstheme="majorBidi"/>
          <w:sz w:val="24"/>
          <w:szCs w:val="24"/>
        </w:rPr>
      </w:pPr>
    </w:p>
    <w:p w14:paraId="59B8CF12" w14:textId="77777777" w:rsidR="00106B81" w:rsidRDefault="00106B81" w:rsidP="00106B81">
      <w:pPr>
        <w:jc w:val="both"/>
        <w:rPr>
          <w:rFonts w:asciiTheme="majorBidi" w:hAnsiTheme="majorBidi" w:cstheme="majorBidi"/>
          <w:sz w:val="24"/>
          <w:szCs w:val="24"/>
        </w:rPr>
      </w:pPr>
    </w:p>
    <w:p w14:paraId="13CCCE86" w14:textId="77777777" w:rsidR="00106B81" w:rsidRDefault="00106B81" w:rsidP="00106B81">
      <w:pPr>
        <w:jc w:val="both"/>
        <w:rPr>
          <w:rFonts w:asciiTheme="majorBidi" w:hAnsiTheme="majorBidi" w:cstheme="majorBidi"/>
          <w:sz w:val="24"/>
          <w:szCs w:val="24"/>
        </w:rPr>
      </w:pPr>
    </w:p>
    <w:p w14:paraId="46BD08A0" w14:textId="77777777" w:rsidR="00106B81" w:rsidRDefault="00106B81" w:rsidP="00106B81">
      <w:pPr>
        <w:jc w:val="both"/>
        <w:rPr>
          <w:rFonts w:asciiTheme="majorBidi" w:hAnsiTheme="majorBidi" w:cstheme="majorBidi"/>
          <w:sz w:val="24"/>
          <w:szCs w:val="24"/>
        </w:rPr>
      </w:pPr>
    </w:p>
    <w:p w14:paraId="7E8B77AB" w14:textId="77777777" w:rsidR="00106B81" w:rsidRDefault="00106B81" w:rsidP="00106B81">
      <w:pPr>
        <w:jc w:val="both"/>
        <w:rPr>
          <w:rFonts w:asciiTheme="majorBidi" w:hAnsiTheme="majorBidi" w:cstheme="majorBidi"/>
          <w:sz w:val="24"/>
          <w:szCs w:val="24"/>
        </w:rPr>
      </w:pPr>
    </w:p>
    <w:p w14:paraId="4F343136" w14:textId="77777777" w:rsidR="00106B81" w:rsidRDefault="00106B81" w:rsidP="00106B81">
      <w:pPr>
        <w:jc w:val="both"/>
        <w:rPr>
          <w:rFonts w:asciiTheme="majorBidi" w:hAnsiTheme="majorBidi" w:cstheme="majorBidi"/>
          <w:sz w:val="24"/>
          <w:szCs w:val="24"/>
        </w:rPr>
      </w:pPr>
    </w:p>
    <w:p w14:paraId="56706B9D" w14:textId="77777777" w:rsidR="00106B81" w:rsidRDefault="00106B81" w:rsidP="00106B81">
      <w:pPr>
        <w:jc w:val="both"/>
        <w:rPr>
          <w:rFonts w:asciiTheme="majorBidi" w:hAnsiTheme="majorBidi" w:cstheme="majorBidi"/>
          <w:sz w:val="24"/>
          <w:szCs w:val="24"/>
        </w:rPr>
      </w:pPr>
    </w:p>
    <w:p w14:paraId="0F612C21" w14:textId="77777777" w:rsidR="00106B81" w:rsidRDefault="00106B81" w:rsidP="00106B81">
      <w:pPr>
        <w:jc w:val="both"/>
        <w:rPr>
          <w:rFonts w:asciiTheme="majorBidi" w:hAnsiTheme="majorBidi" w:cstheme="majorBidi"/>
          <w:sz w:val="24"/>
          <w:szCs w:val="24"/>
        </w:rPr>
      </w:pPr>
    </w:p>
    <w:p w14:paraId="3403C172" w14:textId="77777777" w:rsidR="00106B81" w:rsidRDefault="00106B81" w:rsidP="00106B81">
      <w:pPr>
        <w:jc w:val="both"/>
        <w:rPr>
          <w:rFonts w:asciiTheme="majorBidi" w:hAnsiTheme="majorBidi" w:cstheme="majorBidi"/>
          <w:sz w:val="24"/>
          <w:szCs w:val="24"/>
        </w:rPr>
      </w:pPr>
    </w:p>
    <w:p w14:paraId="01924EC8" w14:textId="77777777" w:rsidR="00106B81" w:rsidRDefault="00106B81" w:rsidP="00106B81">
      <w:pPr>
        <w:jc w:val="both"/>
        <w:rPr>
          <w:rFonts w:asciiTheme="majorBidi" w:hAnsiTheme="majorBidi" w:cstheme="majorBidi"/>
          <w:sz w:val="24"/>
          <w:szCs w:val="24"/>
        </w:rPr>
      </w:pPr>
    </w:p>
    <w:p w14:paraId="3FEBCB65" w14:textId="77777777" w:rsidR="00106B81" w:rsidRDefault="00106B81" w:rsidP="00106B81">
      <w:pPr>
        <w:jc w:val="both"/>
        <w:rPr>
          <w:rFonts w:asciiTheme="majorBidi" w:hAnsiTheme="majorBidi" w:cstheme="majorBidi"/>
          <w:sz w:val="24"/>
          <w:szCs w:val="24"/>
        </w:rPr>
      </w:pPr>
    </w:p>
    <w:p w14:paraId="5810C6EB" w14:textId="77777777" w:rsidR="00106B81" w:rsidRDefault="00106B81" w:rsidP="00106B81">
      <w:pPr>
        <w:jc w:val="both"/>
        <w:rPr>
          <w:rFonts w:asciiTheme="majorBidi" w:hAnsiTheme="majorBidi" w:cstheme="majorBidi"/>
          <w:sz w:val="24"/>
          <w:szCs w:val="24"/>
        </w:rPr>
      </w:pPr>
    </w:p>
    <w:p w14:paraId="61E2EFD6" w14:textId="77777777" w:rsidR="00106B81" w:rsidRPr="0062288B" w:rsidRDefault="00106B81" w:rsidP="00106B81">
      <w:pPr>
        <w:jc w:val="both"/>
        <w:rPr>
          <w:rFonts w:asciiTheme="majorBidi" w:hAnsiTheme="majorBidi" w:cstheme="majorBidi"/>
          <w:sz w:val="24"/>
          <w:szCs w:val="24"/>
        </w:rPr>
      </w:pPr>
    </w:p>
    <w:p w14:paraId="0836BAC2" w14:textId="77777777" w:rsidR="00E20DEB" w:rsidRPr="00E20DEB" w:rsidRDefault="00E20DEB" w:rsidP="00E20DEB">
      <w:pPr>
        <w:jc w:val="both"/>
        <w:rPr>
          <w:rFonts w:asciiTheme="majorBidi" w:hAnsiTheme="majorBidi" w:cstheme="majorBidi"/>
          <w:b/>
          <w:bCs/>
          <w:sz w:val="24"/>
          <w:szCs w:val="24"/>
        </w:rPr>
      </w:pPr>
      <w:r w:rsidRPr="00E20DEB">
        <w:rPr>
          <w:rFonts w:asciiTheme="majorBidi" w:hAnsiTheme="majorBidi" w:cstheme="majorBidi"/>
          <w:b/>
          <w:bCs/>
          <w:sz w:val="24"/>
          <w:szCs w:val="24"/>
        </w:rPr>
        <w:lastRenderedPageBreak/>
        <w:t>Conclusion</w:t>
      </w:r>
    </w:p>
    <w:p w14:paraId="36A76285" w14:textId="251AD12F" w:rsidR="00E20DEB" w:rsidRPr="00E20DEB" w:rsidRDefault="00E20DEB" w:rsidP="00E20DEB">
      <w:pPr>
        <w:jc w:val="both"/>
        <w:rPr>
          <w:rFonts w:asciiTheme="majorBidi" w:hAnsiTheme="majorBidi" w:cstheme="majorBidi"/>
          <w:sz w:val="24"/>
          <w:szCs w:val="24"/>
        </w:rPr>
      </w:pPr>
      <w:r w:rsidRPr="00E20DEB">
        <w:rPr>
          <w:rFonts w:asciiTheme="majorBidi" w:hAnsiTheme="majorBidi" w:cstheme="majorBidi"/>
          <w:sz w:val="24"/>
          <w:szCs w:val="24"/>
        </w:rPr>
        <w:t xml:space="preserve">The present report, based on credible international documentation, has depicted the multiple dimensions of systematic discrimination against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citizens of Kuwait. What emerges from the totality of the findings is a situation far beyond isolated or sporadic instances of discrimination. The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of Kuwait, who make up approximately one</w:t>
      </w:r>
      <w:r w:rsidRPr="00E20DEB">
        <w:rPr>
          <w:rFonts w:asciiTheme="majorBidi" w:hAnsiTheme="majorBidi" w:cstheme="majorBidi"/>
          <w:sz w:val="24"/>
          <w:szCs w:val="24"/>
        </w:rPr>
        <w:noBreakHyphen/>
        <w:t xml:space="preserve">third of the country’s citizen population, face a structure of coordinated and </w:t>
      </w:r>
      <w:r>
        <w:rPr>
          <w:rFonts w:asciiTheme="majorBidi" w:hAnsiTheme="majorBidi" w:cstheme="majorBidi"/>
          <w:sz w:val="24"/>
          <w:szCs w:val="24"/>
        </w:rPr>
        <w:t>institutionalized</w:t>
      </w:r>
      <w:r w:rsidRPr="00E20DEB">
        <w:rPr>
          <w:rFonts w:asciiTheme="majorBidi" w:hAnsiTheme="majorBidi" w:cstheme="majorBidi"/>
          <w:sz w:val="24"/>
          <w:szCs w:val="24"/>
        </w:rPr>
        <w:t xml:space="preserve"> discrimination in the key areas of their social, political</w:t>
      </w:r>
      <w:r>
        <w:rPr>
          <w:rFonts w:asciiTheme="majorBidi" w:hAnsiTheme="majorBidi" w:cstheme="majorBidi"/>
          <w:sz w:val="24"/>
          <w:szCs w:val="24"/>
        </w:rPr>
        <w:t>,</w:t>
      </w:r>
      <w:r w:rsidRPr="00E20DEB">
        <w:rPr>
          <w:rFonts w:asciiTheme="majorBidi" w:hAnsiTheme="majorBidi" w:cstheme="majorBidi"/>
          <w:sz w:val="24"/>
          <w:szCs w:val="24"/>
        </w:rPr>
        <w:t xml:space="preserve"> and legal life – a structure that stands in clear contradiction to the principles enshrined in the International Convention on the Elimination of All Forms of Racial Discrimination.</w:t>
      </w:r>
    </w:p>
    <w:p w14:paraId="4E7B6212" w14:textId="497BC7A6" w:rsidR="00E20DEB" w:rsidRPr="00E20DEB" w:rsidRDefault="00E20DEB" w:rsidP="00E20DEB">
      <w:pPr>
        <w:jc w:val="both"/>
        <w:rPr>
          <w:rFonts w:asciiTheme="majorBidi" w:hAnsiTheme="majorBidi" w:cstheme="majorBidi"/>
          <w:sz w:val="24"/>
          <w:szCs w:val="24"/>
        </w:rPr>
      </w:pPr>
      <w:r w:rsidRPr="00E20DEB">
        <w:rPr>
          <w:rFonts w:asciiTheme="majorBidi" w:hAnsiTheme="majorBidi" w:cstheme="majorBidi"/>
          <w:sz w:val="24"/>
          <w:szCs w:val="24"/>
        </w:rPr>
        <w:t>The five areas examined in this report – ritual and religious restrictions, educational discrimination, massive and targeted revocation of citizenship, discrimination in family law, and political</w:t>
      </w:r>
      <w:r w:rsidRPr="00E20DEB">
        <w:rPr>
          <w:rFonts w:asciiTheme="majorBidi" w:hAnsiTheme="majorBidi" w:cstheme="majorBidi"/>
          <w:sz w:val="24"/>
          <w:szCs w:val="24"/>
        </w:rPr>
        <w:noBreakHyphen/>
        <w:t xml:space="preserve">social restrictions – each individually </w:t>
      </w:r>
      <w:r>
        <w:rPr>
          <w:rFonts w:asciiTheme="majorBidi" w:hAnsiTheme="majorBidi" w:cstheme="majorBidi"/>
          <w:sz w:val="24"/>
          <w:szCs w:val="24"/>
        </w:rPr>
        <w:t>constitute a violation of Articles 1, 2, 5,</w:t>
      </w:r>
      <w:r w:rsidRPr="00E20DEB">
        <w:rPr>
          <w:rFonts w:asciiTheme="majorBidi" w:hAnsiTheme="majorBidi" w:cstheme="majorBidi"/>
          <w:sz w:val="24"/>
          <w:szCs w:val="24"/>
        </w:rPr>
        <w:t xml:space="preserve"> and 6 of the Convention. Even more alarming, however, is the </w:t>
      </w:r>
      <w:r w:rsidRPr="00E20DEB">
        <w:rPr>
          <w:rFonts w:asciiTheme="majorBidi" w:hAnsiTheme="majorBidi" w:cstheme="majorBidi"/>
          <w:b/>
          <w:bCs/>
          <w:sz w:val="24"/>
          <w:szCs w:val="24"/>
        </w:rPr>
        <w:t>systematic and coordinated pattern</w:t>
      </w:r>
      <w:r w:rsidRPr="00E20DEB">
        <w:rPr>
          <w:rFonts w:asciiTheme="majorBidi" w:hAnsiTheme="majorBidi" w:cstheme="majorBidi"/>
          <w:sz w:val="24"/>
          <w:szCs w:val="24"/>
        </w:rPr>
        <w:t xml:space="preserve"> of these discriminations. On one hand, by imposing a curriculum based on Sunni </w:t>
      </w:r>
      <w:proofErr w:type="spellStart"/>
      <w:r w:rsidRPr="00E20DEB">
        <w:rPr>
          <w:rFonts w:asciiTheme="majorBidi" w:hAnsiTheme="majorBidi" w:cstheme="majorBidi"/>
          <w:sz w:val="24"/>
          <w:szCs w:val="24"/>
        </w:rPr>
        <w:t>fiqh</w:t>
      </w:r>
      <w:proofErr w:type="spellEnd"/>
      <w:r w:rsidRPr="00E20DEB">
        <w:rPr>
          <w:rFonts w:asciiTheme="majorBidi" w:hAnsiTheme="majorBidi" w:cstheme="majorBidi"/>
          <w:sz w:val="24"/>
          <w:szCs w:val="24"/>
        </w:rPr>
        <w:t xml:space="preserve"> and banning any religious education for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the Kuwaiti government negates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religious identity in the education system. On the other hand, by enforcing severe bans on Muharram and Ashura rituals, it denies the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any possibility of expressing their collective identity in the public sphere. Simultaneously, the citizenship</w:t>
      </w:r>
      <w:r w:rsidRPr="00E20DEB">
        <w:rPr>
          <w:rFonts w:asciiTheme="majorBidi" w:hAnsiTheme="majorBidi" w:cstheme="majorBidi"/>
          <w:sz w:val="24"/>
          <w:szCs w:val="24"/>
        </w:rPr>
        <w:noBreakHyphen/>
        <w:t xml:space="preserve">revocation campaign, disproportionately targeting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 xml:space="preserve">a of Iranian origin, pushes them to the brink of “civil death” and complete exclusion from the country’s social and economic fabric. Discrimination in family law imposes additional suffering on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women, and political</w:t>
      </w:r>
      <w:r w:rsidRPr="00E20DEB">
        <w:rPr>
          <w:rFonts w:asciiTheme="majorBidi" w:hAnsiTheme="majorBidi" w:cstheme="majorBidi"/>
          <w:sz w:val="24"/>
          <w:szCs w:val="24"/>
        </w:rPr>
        <w:noBreakHyphen/>
        <w:t>social restrictions have reduced their role in the power structure and decision</w:t>
      </w:r>
      <w:r w:rsidRPr="00E20DEB">
        <w:rPr>
          <w:rFonts w:asciiTheme="majorBidi" w:hAnsiTheme="majorBidi" w:cstheme="majorBidi"/>
          <w:sz w:val="24"/>
          <w:szCs w:val="24"/>
        </w:rPr>
        <w:noBreakHyphen/>
        <w:t>making to the absolute minimum.</w:t>
      </w:r>
    </w:p>
    <w:p w14:paraId="6E6E2E51" w14:textId="77777777" w:rsidR="00E20DEB" w:rsidRPr="00E20DEB" w:rsidRDefault="00E20DEB" w:rsidP="00E20DEB">
      <w:pPr>
        <w:jc w:val="both"/>
        <w:rPr>
          <w:rFonts w:asciiTheme="majorBidi" w:hAnsiTheme="majorBidi" w:cstheme="majorBidi"/>
          <w:sz w:val="24"/>
          <w:szCs w:val="24"/>
        </w:rPr>
      </w:pPr>
      <w:r w:rsidRPr="00E20DEB">
        <w:rPr>
          <w:rFonts w:asciiTheme="majorBidi" w:hAnsiTheme="majorBidi" w:cstheme="majorBidi"/>
          <w:sz w:val="24"/>
          <w:szCs w:val="24"/>
        </w:rPr>
        <w:t>The outbreak of the US</w:t>
      </w:r>
      <w:r w:rsidRPr="00E20DEB">
        <w:rPr>
          <w:rFonts w:asciiTheme="majorBidi" w:hAnsiTheme="majorBidi" w:cstheme="majorBidi"/>
          <w:sz w:val="24"/>
          <w:szCs w:val="24"/>
        </w:rPr>
        <w:noBreakHyphen/>
        <w:t xml:space="preserve">Israeli war with Iran in February 2026 and the subsequent security climate provided a convenient cover for the Kuwaiti government to intensify these discriminations and to answer any dissenting voice or expression of sympathy for Iranians with security allegations and citizenship revocation. This reality shows that discrimination against Kuwait’s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is not a random or passive phenomenon but an </w:t>
      </w:r>
      <w:r w:rsidRPr="00E20DEB">
        <w:rPr>
          <w:rFonts w:asciiTheme="majorBidi" w:hAnsiTheme="majorBidi" w:cstheme="majorBidi"/>
          <w:b/>
          <w:bCs/>
          <w:sz w:val="24"/>
          <w:szCs w:val="24"/>
        </w:rPr>
        <w:t>active tool in the hands of the ruling authority</w:t>
      </w:r>
      <w:r w:rsidRPr="00E20DEB">
        <w:rPr>
          <w:rFonts w:asciiTheme="majorBidi" w:hAnsiTheme="majorBidi" w:cstheme="majorBidi"/>
          <w:sz w:val="24"/>
          <w:szCs w:val="24"/>
        </w:rPr>
        <w:t> for demographic control, elimination of opponents, and consolidation of Sunni religious dominance over the key institutions of power.</w:t>
      </w:r>
    </w:p>
    <w:p w14:paraId="13F3DB34" w14:textId="77777777" w:rsidR="00E20DEB" w:rsidRPr="00E20DEB" w:rsidRDefault="00E20DEB" w:rsidP="00E20DEB">
      <w:pPr>
        <w:jc w:val="both"/>
        <w:rPr>
          <w:rFonts w:asciiTheme="majorBidi" w:hAnsiTheme="majorBidi" w:cstheme="majorBidi"/>
          <w:sz w:val="24"/>
          <w:szCs w:val="24"/>
        </w:rPr>
      </w:pPr>
      <w:r w:rsidRPr="00E20DEB">
        <w:rPr>
          <w:rFonts w:asciiTheme="majorBidi" w:hAnsiTheme="majorBidi" w:cstheme="majorBidi"/>
          <w:sz w:val="24"/>
          <w:szCs w:val="24"/>
        </w:rPr>
        <w:t>The international community, in particular the Committee on the Elimination of Racial Discrimination (CERD) at its 118th session (10</w:t>
      </w:r>
      <w:r w:rsidRPr="00E20DEB">
        <w:rPr>
          <w:rFonts w:asciiTheme="majorBidi" w:hAnsiTheme="majorBidi" w:cstheme="majorBidi"/>
          <w:sz w:val="24"/>
          <w:szCs w:val="24"/>
        </w:rPr>
        <w:noBreakHyphen/>
        <w:t>25 August 2026) and the Human Rights Council, cannot remain silent in the face of such gross violations. The five recommendations presented in this report – from activating the urgent action procedure under Article 11 of the Convention, to convening an urgent session of the Human Rights Council, to issuing a joint statement by the Group of Friends of Freedom of Religion or Belief, to referring the citizenship revocation case to the International Criminal Court – are concrete, strong</w:t>
      </w:r>
      <w:r w:rsidRPr="00E20DEB">
        <w:rPr>
          <w:rFonts w:asciiTheme="majorBidi" w:hAnsiTheme="majorBidi" w:cstheme="majorBidi"/>
          <w:sz w:val="24"/>
          <w:szCs w:val="24"/>
        </w:rPr>
        <w:noBreakHyphen/>
        <w:t>minded steps commensurate with the depth of the human catastrophe unfolding in Kuwait.</w:t>
      </w:r>
    </w:p>
    <w:p w14:paraId="0D2D2473" w14:textId="025D1BB2" w:rsidR="00E20DEB" w:rsidRPr="00E20DEB" w:rsidRDefault="00E20DEB" w:rsidP="00E20DEB">
      <w:pPr>
        <w:jc w:val="both"/>
        <w:rPr>
          <w:rFonts w:asciiTheme="majorBidi" w:hAnsiTheme="majorBidi" w:cstheme="majorBidi"/>
          <w:sz w:val="24"/>
          <w:szCs w:val="24"/>
        </w:rPr>
      </w:pPr>
      <w:r w:rsidRPr="00E20DEB">
        <w:rPr>
          <w:rFonts w:asciiTheme="majorBidi" w:hAnsiTheme="majorBidi" w:cstheme="majorBidi"/>
          <w:sz w:val="24"/>
          <w:szCs w:val="24"/>
        </w:rPr>
        <w:t>International bodies must go beyond existing mechanisms and, in coordination with one another, design a </w:t>
      </w:r>
      <w:r w:rsidRPr="00E20DEB">
        <w:rPr>
          <w:rFonts w:asciiTheme="majorBidi" w:hAnsiTheme="majorBidi" w:cstheme="majorBidi"/>
          <w:b/>
          <w:bCs/>
          <w:sz w:val="24"/>
          <w:szCs w:val="24"/>
        </w:rPr>
        <w:t xml:space="preserve">comprehensive </w:t>
      </w:r>
      <w:r>
        <w:rPr>
          <w:rFonts w:asciiTheme="majorBidi" w:hAnsiTheme="majorBidi" w:cstheme="majorBidi"/>
          <w:b/>
          <w:bCs/>
          <w:sz w:val="24"/>
          <w:szCs w:val="24"/>
        </w:rPr>
        <w:t>package of pressure measures</w:t>
      </w:r>
      <w:r w:rsidRPr="00E20DEB">
        <w:rPr>
          <w:rFonts w:asciiTheme="majorBidi" w:hAnsiTheme="majorBidi" w:cstheme="majorBidi"/>
          <w:sz w:val="24"/>
          <w:szCs w:val="24"/>
        </w:rPr>
        <w:t> comprising legal, diplomatic</w:t>
      </w:r>
      <w:r>
        <w:rPr>
          <w:rFonts w:asciiTheme="majorBidi" w:hAnsiTheme="majorBidi" w:cstheme="majorBidi"/>
          <w:sz w:val="24"/>
          <w:szCs w:val="24"/>
        </w:rPr>
        <w:t>,</w:t>
      </w:r>
      <w:r w:rsidRPr="00E20DEB">
        <w:rPr>
          <w:rFonts w:asciiTheme="majorBidi" w:hAnsiTheme="majorBidi" w:cstheme="majorBidi"/>
          <w:sz w:val="24"/>
          <w:szCs w:val="24"/>
        </w:rPr>
        <w:t xml:space="preserve"> and </w:t>
      </w:r>
      <w:r w:rsidRPr="00E20DEB">
        <w:rPr>
          <w:rFonts w:asciiTheme="majorBidi" w:hAnsiTheme="majorBidi" w:cstheme="majorBidi"/>
          <w:sz w:val="24"/>
          <w:szCs w:val="24"/>
        </w:rPr>
        <w:lastRenderedPageBreak/>
        <w:t xml:space="preserve">economic measures. The Special Rapporteurs on freedom of religion or belief and on the situation of human rights defenders should be given priority to travel to Kuwait urgently and produce an independent report on the situation of the Shi‘a. The member states of the European Union and the United States, as trade and security partners of Kuwait, have a particular responsibility to </w:t>
      </w:r>
      <w:r>
        <w:rPr>
          <w:rFonts w:asciiTheme="majorBidi" w:hAnsiTheme="majorBidi" w:cstheme="majorBidi"/>
          <w:sz w:val="24"/>
          <w:szCs w:val="24"/>
        </w:rPr>
        <w:t xml:space="preserve">pressure the Kuwaiti government to end </w:t>
      </w:r>
      <w:r w:rsidRPr="00E20DEB">
        <w:rPr>
          <w:rFonts w:asciiTheme="majorBidi" w:hAnsiTheme="majorBidi" w:cstheme="majorBidi"/>
          <w:sz w:val="24"/>
          <w:szCs w:val="24"/>
        </w:rPr>
        <w:t>discrimination and halt the citizenship</w:t>
      </w:r>
      <w:r w:rsidRPr="00E20DEB">
        <w:rPr>
          <w:rFonts w:asciiTheme="majorBidi" w:hAnsiTheme="majorBidi" w:cstheme="majorBidi"/>
          <w:sz w:val="24"/>
          <w:szCs w:val="24"/>
        </w:rPr>
        <w:noBreakHyphen/>
        <w:t>revocation campaign.</w:t>
      </w:r>
    </w:p>
    <w:p w14:paraId="17DBF8FE" w14:textId="1661EAC4" w:rsidR="00E20DEB" w:rsidRPr="00E20DEB" w:rsidRDefault="00E20DEB" w:rsidP="00E20DEB">
      <w:pPr>
        <w:jc w:val="both"/>
        <w:rPr>
          <w:rFonts w:asciiTheme="majorBidi" w:hAnsiTheme="majorBidi" w:cstheme="majorBidi"/>
          <w:sz w:val="24"/>
          <w:szCs w:val="24"/>
        </w:rPr>
      </w:pPr>
      <w:r w:rsidRPr="00E20DEB">
        <w:rPr>
          <w:rFonts w:asciiTheme="majorBidi" w:hAnsiTheme="majorBidi" w:cstheme="majorBidi"/>
          <w:sz w:val="24"/>
          <w:szCs w:val="24"/>
        </w:rPr>
        <w:t xml:space="preserve">Finally, it must be </w:t>
      </w:r>
      <w:r>
        <w:rPr>
          <w:rFonts w:asciiTheme="majorBidi" w:hAnsiTheme="majorBidi" w:cstheme="majorBidi"/>
          <w:sz w:val="24"/>
          <w:szCs w:val="24"/>
        </w:rPr>
        <w:t>emphasized</w:t>
      </w:r>
      <w:r w:rsidRPr="00E20DEB">
        <w:rPr>
          <w:rFonts w:asciiTheme="majorBidi" w:hAnsiTheme="majorBidi" w:cstheme="majorBidi"/>
          <w:sz w:val="24"/>
          <w:szCs w:val="24"/>
        </w:rPr>
        <w:t xml:space="preserve"> that defending the rights of Kuwait’s </w:t>
      </w:r>
      <w:proofErr w:type="gramStart"/>
      <w:r w:rsidRPr="00E20DEB">
        <w:rPr>
          <w:rFonts w:asciiTheme="majorBidi" w:hAnsiTheme="majorBidi" w:cstheme="majorBidi"/>
          <w:sz w:val="24"/>
          <w:szCs w:val="24"/>
        </w:rPr>
        <w:t>Shi‘</w:t>
      </w:r>
      <w:proofErr w:type="gramEnd"/>
      <w:r w:rsidRPr="00E20DEB">
        <w:rPr>
          <w:rFonts w:asciiTheme="majorBidi" w:hAnsiTheme="majorBidi" w:cstheme="majorBidi"/>
          <w:sz w:val="24"/>
          <w:szCs w:val="24"/>
        </w:rPr>
        <w:t>a is not merely a legal or ethical duty under the International Convention on the Elimination of All Forms of Racial Discrimination. It is a test of the international community’s genuine will to implement impartially and without discrimination the principles of the United Nations Charter and the Universal Declaration of Human Rights. If the international community remains silent or offers only minimal reaction in the face of these flagrant instances of systematic discrimination – which in the case of large</w:t>
      </w:r>
      <w:r w:rsidRPr="00E20DEB">
        <w:rPr>
          <w:rFonts w:asciiTheme="majorBidi" w:hAnsiTheme="majorBidi" w:cstheme="majorBidi"/>
          <w:sz w:val="24"/>
          <w:szCs w:val="24"/>
        </w:rPr>
        <w:noBreakHyphen/>
        <w:t>scale, targeted citizenship revocation bear all the hallmarks of “crimes against humanity” – then the credibility of the UN human rights mechanisms and the promise of “never again” after the world wars and genocides of the 20th century will this time be deeply undermined by the case of Kuwait.</w:t>
      </w:r>
    </w:p>
    <w:p w14:paraId="6CEBD800" w14:textId="7CA58004" w:rsidR="00E20DEB" w:rsidRPr="00E20DEB" w:rsidRDefault="00E20DEB" w:rsidP="00E20DEB">
      <w:pPr>
        <w:jc w:val="both"/>
        <w:rPr>
          <w:rFonts w:asciiTheme="majorBidi" w:hAnsiTheme="majorBidi" w:cstheme="majorBidi"/>
          <w:sz w:val="24"/>
          <w:szCs w:val="24"/>
        </w:rPr>
      </w:pPr>
      <w:r w:rsidRPr="00E20DEB">
        <w:rPr>
          <w:rFonts w:asciiTheme="majorBidi" w:hAnsiTheme="majorBidi" w:cstheme="majorBidi"/>
          <w:b/>
          <w:bCs/>
          <w:sz w:val="24"/>
          <w:szCs w:val="24"/>
        </w:rPr>
        <w:t>The Committee on the Elimination of Racial Discrimination, the Human Rights Council</w:t>
      </w:r>
      <w:r>
        <w:rPr>
          <w:rFonts w:asciiTheme="majorBidi" w:hAnsiTheme="majorBidi" w:cstheme="majorBidi"/>
          <w:b/>
          <w:bCs/>
          <w:sz w:val="24"/>
          <w:szCs w:val="24"/>
        </w:rPr>
        <w:t>,</w:t>
      </w:r>
      <w:r w:rsidRPr="00E20DEB">
        <w:rPr>
          <w:rFonts w:asciiTheme="majorBidi" w:hAnsiTheme="majorBidi" w:cstheme="majorBidi"/>
          <w:b/>
          <w:bCs/>
          <w:sz w:val="24"/>
          <w:szCs w:val="24"/>
        </w:rPr>
        <w:t xml:space="preserve"> and the international community – now, at this historic moment – have a duty to declare to the Kuwaiti government in a firm and unequivocal voice that discrimination against </w:t>
      </w:r>
      <w:proofErr w:type="gramStart"/>
      <w:r w:rsidRPr="00E20DEB">
        <w:rPr>
          <w:rFonts w:asciiTheme="majorBidi" w:hAnsiTheme="majorBidi" w:cstheme="majorBidi"/>
          <w:b/>
          <w:bCs/>
          <w:sz w:val="24"/>
          <w:szCs w:val="24"/>
        </w:rPr>
        <w:t>Shi‘</w:t>
      </w:r>
      <w:proofErr w:type="gramEnd"/>
      <w:r w:rsidRPr="00E20DEB">
        <w:rPr>
          <w:rFonts w:asciiTheme="majorBidi" w:hAnsiTheme="majorBidi" w:cstheme="majorBidi"/>
          <w:b/>
          <w:bCs/>
          <w:sz w:val="24"/>
          <w:szCs w:val="24"/>
        </w:rPr>
        <w:t>a, ritual restrictions, imposition of textbooks, citizenship revocations</w:t>
      </w:r>
      <w:r>
        <w:rPr>
          <w:rFonts w:asciiTheme="majorBidi" w:hAnsiTheme="majorBidi" w:cstheme="majorBidi"/>
          <w:b/>
          <w:bCs/>
          <w:sz w:val="24"/>
          <w:szCs w:val="24"/>
        </w:rPr>
        <w:t>,</w:t>
      </w:r>
      <w:r w:rsidRPr="00E20DEB">
        <w:rPr>
          <w:rFonts w:asciiTheme="majorBidi" w:hAnsiTheme="majorBidi" w:cstheme="majorBidi"/>
          <w:b/>
          <w:bCs/>
          <w:sz w:val="24"/>
          <w:szCs w:val="24"/>
        </w:rPr>
        <w:t xml:space="preserve"> and inequality in family law are no longer tolerable. Every day of delay in taking decisive action means complicity in the continuation of the suffering of one people within the bosom of another.</w:t>
      </w:r>
    </w:p>
    <w:p w14:paraId="2ECA6CE4" w14:textId="0CC963F0" w:rsidR="00E20DEB" w:rsidRDefault="00E20DEB" w:rsidP="00E20DEB">
      <w:pPr>
        <w:jc w:val="both"/>
        <w:rPr>
          <w:rFonts w:asciiTheme="majorBidi" w:hAnsiTheme="majorBidi" w:cstheme="majorBidi"/>
          <w:sz w:val="24"/>
          <w:szCs w:val="24"/>
          <w:rtl/>
        </w:rPr>
      </w:pPr>
    </w:p>
    <w:p w14:paraId="4CA44D24" w14:textId="77777777" w:rsidR="000476DE" w:rsidRDefault="000476DE" w:rsidP="00E20DEB">
      <w:pPr>
        <w:jc w:val="both"/>
        <w:rPr>
          <w:rFonts w:asciiTheme="majorBidi" w:hAnsiTheme="majorBidi" w:cstheme="majorBidi"/>
          <w:sz w:val="24"/>
          <w:szCs w:val="24"/>
          <w:rtl/>
        </w:rPr>
      </w:pPr>
    </w:p>
    <w:p w14:paraId="14B84EB5" w14:textId="77777777" w:rsidR="000476DE" w:rsidRDefault="000476DE" w:rsidP="00E20DEB">
      <w:pPr>
        <w:jc w:val="both"/>
        <w:rPr>
          <w:rFonts w:asciiTheme="majorBidi" w:hAnsiTheme="majorBidi" w:cstheme="majorBidi"/>
          <w:sz w:val="24"/>
          <w:szCs w:val="24"/>
          <w:rtl/>
        </w:rPr>
      </w:pPr>
    </w:p>
    <w:p w14:paraId="6BAE9CA5" w14:textId="77777777" w:rsidR="000476DE" w:rsidRDefault="000476DE" w:rsidP="00E20DEB">
      <w:pPr>
        <w:jc w:val="both"/>
        <w:rPr>
          <w:rFonts w:asciiTheme="majorBidi" w:hAnsiTheme="majorBidi" w:cstheme="majorBidi"/>
          <w:sz w:val="24"/>
          <w:szCs w:val="24"/>
          <w:rtl/>
        </w:rPr>
      </w:pPr>
    </w:p>
    <w:p w14:paraId="67B64D12" w14:textId="77777777" w:rsidR="000476DE" w:rsidRDefault="000476DE" w:rsidP="00E20DEB">
      <w:pPr>
        <w:jc w:val="both"/>
        <w:rPr>
          <w:rFonts w:asciiTheme="majorBidi" w:hAnsiTheme="majorBidi" w:cstheme="majorBidi"/>
          <w:sz w:val="24"/>
          <w:szCs w:val="24"/>
          <w:rtl/>
        </w:rPr>
      </w:pPr>
    </w:p>
    <w:p w14:paraId="38537717" w14:textId="77777777" w:rsidR="000476DE" w:rsidRDefault="000476DE" w:rsidP="00E20DEB">
      <w:pPr>
        <w:jc w:val="both"/>
        <w:rPr>
          <w:rFonts w:asciiTheme="majorBidi" w:hAnsiTheme="majorBidi" w:cstheme="majorBidi"/>
          <w:sz w:val="24"/>
          <w:szCs w:val="24"/>
        </w:rPr>
      </w:pPr>
    </w:p>
    <w:p w14:paraId="76AE6BB6" w14:textId="77777777" w:rsidR="0062288B" w:rsidRDefault="0062288B" w:rsidP="00E20DEB">
      <w:pPr>
        <w:jc w:val="both"/>
        <w:rPr>
          <w:rFonts w:asciiTheme="majorBidi" w:hAnsiTheme="majorBidi" w:cstheme="majorBidi"/>
          <w:sz w:val="24"/>
          <w:szCs w:val="24"/>
          <w:rtl/>
        </w:rPr>
      </w:pPr>
    </w:p>
    <w:p w14:paraId="7AE80F23" w14:textId="77777777" w:rsidR="000476DE" w:rsidRDefault="000476DE" w:rsidP="00E20DEB">
      <w:pPr>
        <w:jc w:val="both"/>
        <w:rPr>
          <w:rFonts w:asciiTheme="majorBidi" w:hAnsiTheme="majorBidi" w:cstheme="majorBidi"/>
          <w:sz w:val="24"/>
          <w:szCs w:val="24"/>
          <w:rtl/>
        </w:rPr>
      </w:pPr>
    </w:p>
    <w:p w14:paraId="29769FB1" w14:textId="77777777" w:rsidR="000476DE" w:rsidRDefault="000476DE" w:rsidP="00E20DEB">
      <w:pPr>
        <w:jc w:val="both"/>
        <w:rPr>
          <w:rFonts w:asciiTheme="majorBidi" w:hAnsiTheme="majorBidi" w:cstheme="majorBidi"/>
          <w:sz w:val="24"/>
          <w:szCs w:val="24"/>
        </w:rPr>
      </w:pPr>
    </w:p>
    <w:p w14:paraId="5E025443" w14:textId="77777777" w:rsidR="00106B81" w:rsidRDefault="00106B81" w:rsidP="00E20DEB">
      <w:pPr>
        <w:jc w:val="both"/>
        <w:rPr>
          <w:rFonts w:asciiTheme="majorBidi" w:hAnsiTheme="majorBidi" w:cstheme="majorBidi"/>
          <w:sz w:val="24"/>
          <w:szCs w:val="24"/>
        </w:rPr>
      </w:pPr>
    </w:p>
    <w:p w14:paraId="0E98616B" w14:textId="77777777" w:rsidR="00106B81" w:rsidRDefault="00106B81" w:rsidP="00E20DEB">
      <w:pPr>
        <w:jc w:val="both"/>
        <w:rPr>
          <w:rFonts w:asciiTheme="majorBidi" w:hAnsiTheme="majorBidi" w:cstheme="majorBidi"/>
          <w:sz w:val="24"/>
          <w:szCs w:val="24"/>
        </w:rPr>
      </w:pPr>
    </w:p>
    <w:p w14:paraId="0C4661EC" w14:textId="77777777" w:rsidR="00106B81" w:rsidRPr="00E20DEB" w:rsidRDefault="00106B81" w:rsidP="00E20DEB">
      <w:pPr>
        <w:jc w:val="both"/>
        <w:rPr>
          <w:rFonts w:asciiTheme="majorBidi" w:hAnsiTheme="majorBidi" w:cstheme="majorBidi"/>
          <w:sz w:val="24"/>
          <w:szCs w:val="24"/>
        </w:rPr>
      </w:pPr>
    </w:p>
    <w:p w14:paraId="26C02818" w14:textId="77777777" w:rsidR="00E20DEB" w:rsidRPr="00E20DEB" w:rsidRDefault="00E20DEB" w:rsidP="00E20DEB">
      <w:pPr>
        <w:jc w:val="both"/>
        <w:rPr>
          <w:rFonts w:asciiTheme="majorBidi" w:hAnsiTheme="majorBidi" w:cstheme="majorBidi"/>
          <w:b/>
          <w:bCs/>
          <w:sz w:val="24"/>
          <w:szCs w:val="24"/>
        </w:rPr>
      </w:pPr>
      <w:r w:rsidRPr="00E20DEB">
        <w:rPr>
          <w:rFonts w:asciiTheme="majorBidi" w:hAnsiTheme="majorBidi" w:cstheme="majorBidi"/>
          <w:b/>
          <w:bCs/>
          <w:sz w:val="24"/>
          <w:szCs w:val="24"/>
        </w:rPr>
        <w:lastRenderedPageBreak/>
        <w:t>References</w:t>
      </w:r>
    </w:p>
    <w:p w14:paraId="34CEDC36" w14:textId="77777777" w:rsidR="00E20DEB" w:rsidRPr="00E20DEB" w:rsidRDefault="00E20DEB" w:rsidP="00E20DEB">
      <w:pPr>
        <w:numPr>
          <w:ilvl w:val="0"/>
          <w:numId w:val="8"/>
        </w:numPr>
        <w:jc w:val="both"/>
        <w:rPr>
          <w:rFonts w:asciiTheme="majorBidi" w:hAnsiTheme="majorBidi" w:cstheme="majorBidi"/>
          <w:sz w:val="24"/>
          <w:szCs w:val="24"/>
        </w:rPr>
      </w:pPr>
      <w:hyperlink r:id="rId8" w:tgtFrame="_blank" w:history="1">
        <w:r w:rsidRPr="00E20DEB">
          <w:rPr>
            <w:rStyle w:val="Hyperlink"/>
            <w:rFonts w:asciiTheme="majorBidi" w:hAnsiTheme="majorBidi" w:cstheme="majorBidi"/>
            <w:sz w:val="24"/>
            <w:szCs w:val="24"/>
          </w:rPr>
          <w:t>2021</w:t>
        </w:r>
        <w:r w:rsidRPr="00E20DEB">
          <w:rPr>
            <w:rStyle w:val="Hyperlink"/>
            <w:rFonts w:asciiTheme="majorBidi" w:hAnsiTheme="majorBidi" w:cstheme="majorBidi"/>
            <w:sz w:val="24"/>
            <w:szCs w:val="24"/>
          </w:rPr>
          <w:noBreakHyphen/>
          <w:t>2025.state.gov/reports/2023-report-on-international-religious-freedom/kuwait/#</w:t>
        </w:r>
      </w:hyperlink>
    </w:p>
    <w:p w14:paraId="7EE2E5FF" w14:textId="77777777" w:rsidR="00E20DEB" w:rsidRPr="00E20DEB" w:rsidRDefault="00E20DEB" w:rsidP="00E20DEB">
      <w:pPr>
        <w:numPr>
          <w:ilvl w:val="0"/>
          <w:numId w:val="8"/>
        </w:numPr>
        <w:jc w:val="both"/>
        <w:rPr>
          <w:rFonts w:asciiTheme="majorBidi" w:hAnsiTheme="majorBidi" w:cstheme="majorBidi"/>
          <w:sz w:val="24"/>
          <w:szCs w:val="24"/>
        </w:rPr>
      </w:pPr>
      <w:hyperlink r:id="rId9" w:tgtFrame="_blank" w:history="1">
        <w:r w:rsidRPr="00E20DEB">
          <w:rPr>
            <w:rStyle w:val="Hyperlink"/>
            <w:rFonts w:asciiTheme="majorBidi" w:hAnsiTheme="majorBidi" w:cstheme="majorBidi"/>
            <w:sz w:val="24"/>
            <w:szCs w:val="24"/>
          </w:rPr>
          <w:t>shiawaves.com/english/news/islam/kuwait/128006-kuwaiti-government-imposes-sweeping-restrictions-on-muharram-mourning</w:t>
        </w:r>
      </w:hyperlink>
    </w:p>
    <w:p w14:paraId="619E546E" w14:textId="77777777" w:rsidR="00E20DEB" w:rsidRPr="00E20DEB" w:rsidRDefault="00E20DEB" w:rsidP="00E20DEB">
      <w:pPr>
        <w:numPr>
          <w:ilvl w:val="0"/>
          <w:numId w:val="8"/>
        </w:numPr>
        <w:jc w:val="both"/>
        <w:rPr>
          <w:rFonts w:asciiTheme="majorBidi" w:hAnsiTheme="majorBidi" w:cstheme="majorBidi"/>
          <w:sz w:val="24"/>
          <w:szCs w:val="24"/>
        </w:rPr>
      </w:pPr>
      <w:hyperlink r:id="rId10" w:tgtFrame="_blank" w:history="1">
        <w:r w:rsidRPr="00E20DEB">
          <w:rPr>
            <w:rStyle w:val="Hyperlink"/>
            <w:rFonts w:asciiTheme="majorBidi" w:hAnsiTheme="majorBidi" w:cstheme="majorBidi"/>
            <w:sz w:val="24"/>
            <w:szCs w:val="24"/>
          </w:rPr>
          <w:t>en.abna24.com/news/1470928/Report-What-s-behind-dangerous-Kuwaiti-government-s-crackdown</w:t>
        </w:r>
      </w:hyperlink>
    </w:p>
    <w:p w14:paraId="1219F647" w14:textId="77777777" w:rsidR="00E20DEB" w:rsidRPr="00E20DEB" w:rsidRDefault="00E20DEB" w:rsidP="00E20DEB">
      <w:pPr>
        <w:numPr>
          <w:ilvl w:val="0"/>
          <w:numId w:val="8"/>
        </w:numPr>
        <w:jc w:val="both"/>
        <w:rPr>
          <w:rFonts w:asciiTheme="majorBidi" w:hAnsiTheme="majorBidi" w:cstheme="majorBidi"/>
          <w:sz w:val="24"/>
          <w:szCs w:val="24"/>
        </w:rPr>
      </w:pPr>
      <w:hyperlink r:id="rId11" w:anchor="report-toc__c247af97a371" w:tgtFrame="_blank" w:history="1">
        <w:r w:rsidRPr="00E20DEB">
          <w:rPr>
            <w:rStyle w:val="Hyperlink"/>
            <w:rFonts w:asciiTheme="majorBidi" w:hAnsiTheme="majorBidi" w:cstheme="majorBidi"/>
            <w:sz w:val="24"/>
            <w:szCs w:val="24"/>
          </w:rPr>
          <w:t>www.state.gov/report/custom/3d24912940/#report-toc__c247af97a371</w:t>
        </w:r>
      </w:hyperlink>
    </w:p>
    <w:p w14:paraId="0909AE01" w14:textId="77777777" w:rsidR="00E20DEB" w:rsidRPr="00E20DEB" w:rsidRDefault="00E20DEB" w:rsidP="00E20DEB">
      <w:pPr>
        <w:numPr>
          <w:ilvl w:val="0"/>
          <w:numId w:val="8"/>
        </w:numPr>
        <w:jc w:val="both"/>
        <w:rPr>
          <w:rFonts w:asciiTheme="majorBidi" w:hAnsiTheme="majorBidi" w:cstheme="majorBidi"/>
          <w:sz w:val="24"/>
          <w:szCs w:val="24"/>
        </w:rPr>
      </w:pPr>
      <w:hyperlink r:id="rId12" w:tgtFrame="_blank" w:history="1">
        <w:r w:rsidRPr="00E20DEB">
          <w:rPr>
            <w:rStyle w:val="Hyperlink"/>
            <w:rFonts w:asciiTheme="majorBidi" w:hAnsiTheme="majorBidi" w:cstheme="majorBidi"/>
            <w:sz w:val="24"/>
            <w:szCs w:val="24"/>
          </w:rPr>
          <w:t>minorityrights.org/communities/shia-3</w:t>
        </w:r>
      </w:hyperlink>
    </w:p>
    <w:p w14:paraId="53651648" w14:textId="77777777" w:rsidR="00E20DEB" w:rsidRPr="00E20DEB" w:rsidRDefault="00E20DEB" w:rsidP="00E20DEB">
      <w:pPr>
        <w:numPr>
          <w:ilvl w:val="0"/>
          <w:numId w:val="8"/>
        </w:numPr>
        <w:jc w:val="both"/>
        <w:rPr>
          <w:rFonts w:asciiTheme="majorBidi" w:hAnsiTheme="majorBidi" w:cstheme="majorBidi"/>
          <w:sz w:val="24"/>
          <w:szCs w:val="24"/>
        </w:rPr>
      </w:pPr>
      <w:hyperlink r:id="rId13" w:tgtFrame="_blank" w:history="1">
        <w:r w:rsidRPr="00E20DEB">
          <w:rPr>
            <w:rStyle w:val="Hyperlink"/>
            <w:rFonts w:asciiTheme="majorBidi" w:hAnsiTheme="majorBidi" w:cstheme="majorBidi"/>
            <w:sz w:val="24"/>
            <w:szCs w:val="24"/>
          </w:rPr>
          <w:t>www.ecoi.net/de/dokument/2111898.html</w:t>
        </w:r>
      </w:hyperlink>
    </w:p>
    <w:p w14:paraId="6814B1A7" w14:textId="77777777" w:rsidR="00E20DEB" w:rsidRPr="00E20DEB" w:rsidRDefault="00E20DEB" w:rsidP="00E20DEB">
      <w:pPr>
        <w:numPr>
          <w:ilvl w:val="0"/>
          <w:numId w:val="8"/>
        </w:numPr>
        <w:jc w:val="both"/>
        <w:rPr>
          <w:rFonts w:asciiTheme="majorBidi" w:hAnsiTheme="majorBidi" w:cstheme="majorBidi"/>
          <w:sz w:val="24"/>
          <w:szCs w:val="24"/>
        </w:rPr>
      </w:pPr>
      <w:hyperlink r:id="rId14" w:tgtFrame="_blank" w:history="1">
        <w:r w:rsidRPr="00E20DEB">
          <w:rPr>
            <w:rStyle w:val="Hyperlink"/>
            <w:rFonts w:asciiTheme="majorBidi" w:hAnsiTheme="majorBidi" w:cstheme="majorBidi"/>
            <w:sz w:val="24"/>
            <w:szCs w:val="24"/>
          </w:rPr>
          <w:t>timeskuwait.com/minister-of-education-launches-study-to-revamp-school-curricula</w:t>
        </w:r>
      </w:hyperlink>
    </w:p>
    <w:p w14:paraId="273BF096" w14:textId="77777777" w:rsidR="00E20DEB" w:rsidRPr="00E20DEB" w:rsidRDefault="00E20DEB" w:rsidP="00E20DEB">
      <w:pPr>
        <w:jc w:val="both"/>
        <w:rPr>
          <w:rFonts w:asciiTheme="majorBidi" w:hAnsiTheme="majorBidi" w:cstheme="majorBidi"/>
          <w:sz w:val="24"/>
          <w:szCs w:val="24"/>
          <w:rtl/>
        </w:rPr>
      </w:pPr>
    </w:p>
    <w:p w14:paraId="7B7E7C77" w14:textId="77777777" w:rsidR="002B7297" w:rsidRPr="00E20DEB" w:rsidRDefault="002B7297" w:rsidP="00E20DEB">
      <w:pPr>
        <w:jc w:val="both"/>
        <w:rPr>
          <w:rFonts w:asciiTheme="majorBidi" w:hAnsiTheme="majorBidi" w:cstheme="majorBidi"/>
          <w:sz w:val="24"/>
          <w:szCs w:val="24"/>
        </w:rPr>
      </w:pPr>
    </w:p>
    <w:sectPr w:rsidR="002B7297" w:rsidRPr="00E20DEB">
      <w:head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20E92" w14:textId="77777777" w:rsidR="00275794" w:rsidRDefault="00275794" w:rsidP="00106B81">
      <w:pPr>
        <w:spacing w:after="0" w:line="240" w:lineRule="auto"/>
      </w:pPr>
      <w:r>
        <w:separator/>
      </w:r>
    </w:p>
  </w:endnote>
  <w:endnote w:type="continuationSeparator" w:id="0">
    <w:p w14:paraId="1BBFAA7C" w14:textId="77777777" w:rsidR="00275794" w:rsidRDefault="00275794" w:rsidP="00106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25D2A" w14:textId="77777777" w:rsidR="00275794" w:rsidRDefault="00275794" w:rsidP="00106B81">
      <w:pPr>
        <w:spacing w:after="0" w:line="240" w:lineRule="auto"/>
      </w:pPr>
      <w:r>
        <w:separator/>
      </w:r>
    </w:p>
  </w:footnote>
  <w:footnote w:type="continuationSeparator" w:id="0">
    <w:p w14:paraId="7040AB6C" w14:textId="77777777" w:rsidR="00275794" w:rsidRDefault="00275794" w:rsidP="00106B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32E4E" w14:textId="77777777" w:rsidR="00106B81" w:rsidRPr="00106B81" w:rsidRDefault="00106B81" w:rsidP="00106B81">
    <w:pPr>
      <w:jc w:val="center"/>
      <w:rPr>
        <w:rFonts w:asciiTheme="majorBidi" w:hAnsiTheme="majorBidi" w:cstheme="majorBidi"/>
        <w:b/>
        <w:bCs/>
        <w:sz w:val="28"/>
        <w:szCs w:val="28"/>
        <w:rtl/>
        <w:lang w:bidi="fa-IR"/>
      </w:rPr>
    </w:pPr>
    <w:r w:rsidRPr="00106B81">
      <w:rPr>
        <w:rFonts w:asciiTheme="majorBidi" w:hAnsiTheme="majorBidi" w:cstheme="majorBidi"/>
        <w:b/>
        <w:bCs/>
        <w:sz w:val="28"/>
        <w:szCs w:val="28"/>
      </w:rPr>
      <w:t>Submission to the Committee on the Elimination of Racial Discrimination (CERD) on Discrimination against Kuwaiti Shiites</w:t>
    </w:r>
  </w:p>
  <w:p w14:paraId="15B43430" w14:textId="77777777" w:rsidR="00106B81" w:rsidRPr="00E20DEB" w:rsidRDefault="00106B81" w:rsidP="00106B81">
    <w:pPr>
      <w:jc w:val="center"/>
      <w:rPr>
        <w:rFonts w:asciiTheme="majorBidi" w:hAnsiTheme="majorBidi" w:cstheme="majorBidi"/>
        <w:sz w:val="24"/>
        <w:szCs w:val="24"/>
        <w:rtl/>
      </w:rPr>
    </w:pPr>
    <w:r w:rsidRPr="00E20DEB">
      <w:rPr>
        <w:rFonts w:asciiTheme="majorBidi" w:hAnsiTheme="majorBidi" w:cstheme="majorBidi"/>
        <w:sz w:val="24"/>
        <w:szCs w:val="24"/>
      </w:rPr>
      <w:t>118 Session (10 Aug 2026 - 25 Aug 2026)</w:t>
    </w:r>
  </w:p>
  <w:p w14:paraId="5DB58411" w14:textId="77777777" w:rsidR="00106B81" w:rsidRPr="00106B81" w:rsidRDefault="00106B81" w:rsidP="00106B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4C7"/>
    <w:multiLevelType w:val="multilevel"/>
    <w:tmpl w:val="1B94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03804"/>
    <w:multiLevelType w:val="multilevel"/>
    <w:tmpl w:val="68027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CF235A"/>
    <w:multiLevelType w:val="multilevel"/>
    <w:tmpl w:val="FAB454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06256C"/>
    <w:multiLevelType w:val="hybridMultilevel"/>
    <w:tmpl w:val="C50C0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727EE5"/>
    <w:multiLevelType w:val="multilevel"/>
    <w:tmpl w:val="DD7EAD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6D4215"/>
    <w:multiLevelType w:val="multilevel"/>
    <w:tmpl w:val="E47E3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054468"/>
    <w:multiLevelType w:val="multilevel"/>
    <w:tmpl w:val="27DCA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5F7693"/>
    <w:multiLevelType w:val="multilevel"/>
    <w:tmpl w:val="5B900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89063C"/>
    <w:multiLevelType w:val="multilevel"/>
    <w:tmpl w:val="98907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6077879">
    <w:abstractNumId w:val="1"/>
  </w:num>
  <w:num w:numId="2" w16cid:durableId="11954948">
    <w:abstractNumId w:val="7"/>
  </w:num>
  <w:num w:numId="3" w16cid:durableId="894311542">
    <w:abstractNumId w:val="5"/>
  </w:num>
  <w:num w:numId="4" w16cid:durableId="1112361688">
    <w:abstractNumId w:val="0"/>
  </w:num>
  <w:num w:numId="5" w16cid:durableId="1140607604">
    <w:abstractNumId w:val="2"/>
  </w:num>
  <w:num w:numId="6" w16cid:durableId="1024743326">
    <w:abstractNumId w:val="8"/>
  </w:num>
  <w:num w:numId="7" w16cid:durableId="987783090">
    <w:abstractNumId w:val="4"/>
  </w:num>
  <w:num w:numId="8" w16cid:durableId="1518543725">
    <w:abstractNumId w:val="6"/>
  </w:num>
  <w:num w:numId="9" w16cid:durableId="14871621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DEB"/>
    <w:rsid w:val="000476DE"/>
    <w:rsid w:val="00106B81"/>
    <w:rsid w:val="00275794"/>
    <w:rsid w:val="002B7297"/>
    <w:rsid w:val="00487F07"/>
    <w:rsid w:val="00592FE1"/>
    <w:rsid w:val="0062288B"/>
    <w:rsid w:val="008D600F"/>
    <w:rsid w:val="009D25E5"/>
    <w:rsid w:val="00E20DEB"/>
    <w:rsid w:val="00E264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19217"/>
  <w15:chartTrackingRefBased/>
  <w15:docId w15:val="{39F0A830-4658-4E9C-BFB5-72198E7B6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DEB"/>
    <w:pPr>
      <w:spacing w:line="259" w:lineRule="auto"/>
    </w:pPr>
    <w:rPr>
      <w:kern w:val="0"/>
      <w:sz w:val="22"/>
      <w:szCs w:val="22"/>
      <w14:ligatures w14:val="none"/>
    </w:rPr>
  </w:style>
  <w:style w:type="paragraph" w:styleId="Heading1">
    <w:name w:val="heading 1"/>
    <w:basedOn w:val="Normal"/>
    <w:next w:val="Normal"/>
    <w:link w:val="Heading1Char"/>
    <w:uiPriority w:val="9"/>
    <w:qFormat/>
    <w:rsid w:val="00E20D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20D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20D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20D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20D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20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0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0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0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D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20D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20D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20D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20D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20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0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0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0DEB"/>
    <w:rPr>
      <w:rFonts w:eastAsiaTheme="majorEastAsia" w:cstheme="majorBidi"/>
      <w:color w:val="272727" w:themeColor="text1" w:themeTint="D8"/>
    </w:rPr>
  </w:style>
  <w:style w:type="paragraph" w:styleId="Title">
    <w:name w:val="Title"/>
    <w:basedOn w:val="Normal"/>
    <w:next w:val="Normal"/>
    <w:link w:val="TitleChar"/>
    <w:uiPriority w:val="10"/>
    <w:qFormat/>
    <w:rsid w:val="00E20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0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0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0DEB"/>
    <w:pPr>
      <w:spacing w:before="160"/>
      <w:jc w:val="center"/>
    </w:pPr>
    <w:rPr>
      <w:i/>
      <w:iCs/>
      <w:color w:val="404040" w:themeColor="text1" w:themeTint="BF"/>
    </w:rPr>
  </w:style>
  <w:style w:type="character" w:customStyle="1" w:styleId="QuoteChar">
    <w:name w:val="Quote Char"/>
    <w:basedOn w:val="DefaultParagraphFont"/>
    <w:link w:val="Quote"/>
    <w:uiPriority w:val="29"/>
    <w:rsid w:val="00E20DEB"/>
    <w:rPr>
      <w:i/>
      <w:iCs/>
      <w:color w:val="404040" w:themeColor="text1" w:themeTint="BF"/>
    </w:rPr>
  </w:style>
  <w:style w:type="paragraph" w:styleId="ListParagraph">
    <w:name w:val="List Paragraph"/>
    <w:basedOn w:val="Normal"/>
    <w:uiPriority w:val="34"/>
    <w:qFormat/>
    <w:rsid w:val="00E20DEB"/>
    <w:pPr>
      <w:ind w:left="720"/>
      <w:contextualSpacing/>
    </w:pPr>
  </w:style>
  <w:style w:type="character" w:styleId="IntenseEmphasis">
    <w:name w:val="Intense Emphasis"/>
    <w:basedOn w:val="DefaultParagraphFont"/>
    <w:uiPriority w:val="21"/>
    <w:qFormat/>
    <w:rsid w:val="00E20DEB"/>
    <w:rPr>
      <w:i/>
      <w:iCs/>
      <w:color w:val="2F5496" w:themeColor="accent1" w:themeShade="BF"/>
    </w:rPr>
  </w:style>
  <w:style w:type="paragraph" w:styleId="IntenseQuote">
    <w:name w:val="Intense Quote"/>
    <w:basedOn w:val="Normal"/>
    <w:next w:val="Normal"/>
    <w:link w:val="IntenseQuoteChar"/>
    <w:uiPriority w:val="30"/>
    <w:qFormat/>
    <w:rsid w:val="00E20D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0DEB"/>
    <w:rPr>
      <w:i/>
      <w:iCs/>
      <w:color w:val="2F5496" w:themeColor="accent1" w:themeShade="BF"/>
    </w:rPr>
  </w:style>
  <w:style w:type="character" w:styleId="IntenseReference">
    <w:name w:val="Intense Reference"/>
    <w:basedOn w:val="DefaultParagraphFont"/>
    <w:uiPriority w:val="32"/>
    <w:qFormat/>
    <w:rsid w:val="00E20DEB"/>
    <w:rPr>
      <w:b/>
      <w:bCs/>
      <w:smallCaps/>
      <w:color w:val="2F5496" w:themeColor="accent1" w:themeShade="BF"/>
      <w:spacing w:val="5"/>
    </w:rPr>
  </w:style>
  <w:style w:type="character" w:styleId="Hyperlink">
    <w:name w:val="Hyperlink"/>
    <w:basedOn w:val="DefaultParagraphFont"/>
    <w:uiPriority w:val="99"/>
    <w:unhideWhenUsed/>
    <w:rsid w:val="00E20DEB"/>
    <w:rPr>
      <w:color w:val="0563C1" w:themeColor="hyperlink"/>
      <w:u w:val="single"/>
    </w:rPr>
  </w:style>
  <w:style w:type="character" w:styleId="UnresolvedMention">
    <w:name w:val="Unresolved Mention"/>
    <w:basedOn w:val="DefaultParagraphFont"/>
    <w:uiPriority w:val="99"/>
    <w:semiHidden/>
    <w:unhideWhenUsed/>
    <w:rsid w:val="00E20DEB"/>
    <w:rPr>
      <w:color w:val="605E5C"/>
      <w:shd w:val="clear" w:color="auto" w:fill="E1DFDD"/>
    </w:rPr>
  </w:style>
  <w:style w:type="paragraph" w:styleId="Header">
    <w:name w:val="header"/>
    <w:basedOn w:val="Normal"/>
    <w:link w:val="HeaderChar"/>
    <w:uiPriority w:val="99"/>
    <w:unhideWhenUsed/>
    <w:rsid w:val="00106B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6B81"/>
    <w:rPr>
      <w:kern w:val="0"/>
      <w:sz w:val="22"/>
      <w:szCs w:val="22"/>
      <w14:ligatures w14:val="none"/>
    </w:rPr>
  </w:style>
  <w:style w:type="paragraph" w:styleId="Footer">
    <w:name w:val="footer"/>
    <w:basedOn w:val="Normal"/>
    <w:link w:val="FooterChar"/>
    <w:uiPriority w:val="99"/>
    <w:unhideWhenUsed/>
    <w:rsid w:val="00106B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6B81"/>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2021-2025.state.gov/reports/2023-report-on-international-religious-freedom/kuwait/" TargetMode="External"/><Relationship Id="rId13" Type="http://schemas.openxmlformats.org/officeDocument/2006/relationships/hyperlink" Target="https://www.ecoi.net/de/dokument/2111898.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inorityrights.org/communities/shia-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e.gov/report/custom/3d2491294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n.abna24.com/news/1470928/Report-What-s-behind-dangerous-Kuwaiti-government-s-crackdown" TargetMode="External"/><Relationship Id="rId4" Type="http://schemas.openxmlformats.org/officeDocument/2006/relationships/webSettings" Target="webSettings.xml"/><Relationship Id="rId9" Type="http://schemas.openxmlformats.org/officeDocument/2006/relationships/hyperlink" Target="https://shiawaves.com/english/news/islam/kuwait/128006-kuwaiti-government-imposes-sweeping-restrictions-on-muharram-mourning" TargetMode="External"/><Relationship Id="rId14" Type="http://schemas.openxmlformats.org/officeDocument/2006/relationships/hyperlink" Target="https://timeskuwait.com/minister-of-education-launches-study-to-revamp-school-curricu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8</Pages>
  <Words>2420</Words>
  <Characters>13795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hamid ntz</dc:creator>
  <cp:keywords/>
  <dc:description/>
  <cp:lastModifiedBy>hamid ntz</cp:lastModifiedBy>
  <cp:revision>3</cp:revision>
  <dcterms:created xsi:type="dcterms:W3CDTF">2026-05-23T10:12:00Z</dcterms:created>
  <dcterms:modified xsi:type="dcterms:W3CDTF">2026-05-24T06:33:00Z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eca6f8e1-07cc-4718-9c1e-5a93d01f9691</vt:lpwstr>
  </property>
</Properties>
</file>