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rsidTr="00A14BD9">
        <w:trPr>
          <w:trHeight w:hRule="exact" w:val="851"/>
        </w:trPr>
        <w:tc>
          <w:tcPr>
            <w:tcW w:w="1276" w:type="dxa"/>
            <w:tcBorders>
              <w:bottom w:val="single" w:sz="4" w:space="0" w:color="auto"/>
            </w:tcBorders>
          </w:tcPr>
          <w:p w:rsidR="00FD15BA" w:rsidRPr="002C1082" w:rsidRDefault="00FD15BA" w:rsidP="005F148A">
            <w:bookmarkStart w:id="0" w:name="_GoBack"/>
            <w:bookmarkEnd w:id="0"/>
          </w:p>
        </w:tc>
        <w:tc>
          <w:tcPr>
            <w:tcW w:w="2268" w:type="dxa"/>
            <w:tcBorders>
              <w:bottom w:val="single" w:sz="4" w:space="0" w:color="auto"/>
            </w:tcBorders>
            <w:vAlign w:val="bottom"/>
          </w:tcPr>
          <w:p w:rsidR="00FD15BA" w:rsidRPr="00DB58B5" w:rsidRDefault="00FD15BA" w:rsidP="00A14BD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D15BA" w:rsidRPr="00DB58B5" w:rsidRDefault="005F148A" w:rsidP="005F148A">
            <w:pPr>
              <w:jc w:val="right"/>
            </w:pPr>
            <w:r w:rsidRPr="005F148A">
              <w:rPr>
                <w:sz w:val="40"/>
              </w:rPr>
              <w:t>CAT</w:t>
            </w:r>
            <w:r>
              <w:t>/C/SR.1401</w:t>
            </w:r>
          </w:p>
        </w:tc>
      </w:tr>
      <w:tr w:rsidR="00FD15BA" w:rsidRPr="00DB58B5" w:rsidTr="00A14BD9">
        <w:trPr>
          <w:trHeight w:hRule="exact" w:val="2835"/>
        </w:trPr>
        <w:tc>
          <w:tcPr>
            <w:tcW w:w="1276" w:type="dxa"/>
            <w:tcBorders>
              <w:top w:val="single" w:sz="4" w:space="0" w:color="auto"/>
              <w:bottom w:val="single" w:sz="12" w:space="0" w:color="auto"/>
            </w:tcBorders>
          </w:tcPr>
          <w:p w:rsidR="00FD15BA" w:rsidRPr="00DB58B5" w:rsidRDefault="00FD15BA" w:rsidP="00A14BD9">
            <w:pPr>
              <w:spacing w:before="120"/>
              <w:jc w:val="center"/>
            </w:pPr>
            <w:r>
              <w:rPr>
                <w:noProof/>
                <w:lang w:val="en-GB" w:eastAsia="en-GB"/>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D15BA" w:rsidRPr="00740562" w:rsidRDefault="00FD15BA" w:rsidP="00A14BD9">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D15BA" w:rsidRDefault="00FD15BA" w:rsidP="00A14BD9">
            <w:pPr>
              <w:spacing w:before="240"/>
            </w:pPr>
            <w:r>
              <w:t>Distr. générale</w:t>
            </w:r>
          </w:p>
          <w:p w:rsidR="005F148A" w:rsidRDefault="008B3485" w:rsidP="005F148A">
            <w:r>
              <w:t>20 mai 2016</w:t>
            </w:r>
          </w:p>
          <w:p w:rsidR="005F148A" w:rsidRDefault="005F148A" w:rsidP="005F148A"/>
          <w:p w:rsidR="005F148A" w:rsidRPr="00DB58B5" w:rsidRDefault="005F148A" w:rsidP="005F148A">
            <w:r>
              <w:t>Original : français</w:t>
            </w:r>
          </w:p>
        </w:tc>
      </w:tr>
    </w:tbl>
    <w:p w:rsidR="00FD15BA" w:rsidRPr="00C17CFF" w:rsidRDefault="00FD15BA" w:rsidP="00FD15BA">
      <w:pPr>
        <w:spacing w:before="120"/>
        <w:rPr>
          <w:b/>
          <w:sz w:val="24"/>
          <w:szCs w:val="24"/>
        </w:rPr>
      </w:pPr>
      <w:r w:rsidRPr="00C17CFF">
        <w:rPr>
          <w:b/>
          <w:sz w:val="24"/>
          <w:szCs w:val="24"/>
        </w:rPr>
        <w:t>Comité contre la torture</w:t>
      </w:r>
    </w:p>
    <w:p w:rsidR="00FD15BA" w:rsidRPr="00C17CFF" w:rsidRDefault="00FD15BA" w:rsidP="00FD15BA">
      <w:pPr>
        <w:spacing w:after="120"/>
        <w:rPr>
          <w:b/>
        </w:rPr>
      </w:pPr>
      <w:r>
        <w:rPr>
          <w:b/>
        </w:rPr>
        <w:t>Cinquante-</w:t>
      </w:r>
      <w:r w:rsidR="001162CB">
        <w:rPr>
          <w:b/>
        </w:rPr>
        <w:t xml:space="preserve">septième </w:t>
      </w:r>
      <w:r>
        <w:rPr>
          <w:b/>
        </w:rPr>
        <w:t>session</w:t>
      </w:r>
    </w:p>
    <w:p w:rsidR="00FD15BA" w:rsidRDefault="00FD15BA" w:rsidP="00FD15BA">
      <w:pPr>
        <w:rPr>
          <w:b/>
        </w:rPr>
      </w:pPr>
      <w:r>
        <w:rPr>
          <w:b/>
        </w:rPr>
        <w:t>Co</w:t>
      </w:r>
      <w:r w:rsidRPr="00C17CFF">
        <w:rPr>
          <w:b/>
        </w:rPr>
        <w:t>mpte rendu analytique de la</w:t>
      </w:r>
      <w:r w:rsidR="00A14BD9">
        <w:rPr>
          <w:b/>
        </w:rPr>
        <w:t xml:space="preserve"> 1401</w:t>
      </w:r>
      <w:r w:rsidRPr="00C17CFF">
        <w:rPr>
          <w:b/>
          <w:vertAlign w:val="superscript"/>
        </w:rPr>
        <w:t>e</w:t>
      </w:r>
      <w:r w:rsidRPr="00C17CFF">
        <w:rPr>
          <w:b/>
        </w:rPr>
        <w:t xml:space="preserve"> séance</w:t>
      </w:r>
    </w:p>
    <w:p w:rsidR="00FD15BA" w:rsidRDefault="00FD15BA" w:rsidP="00FD15BA">
      <w:pPr>
        <w:spacing w:after="120"/>
      </w:pPr>
      <w:r>
        <w:t>Tenue au Palais Wilson, à Genève, le</w:t>
      </w:r>
      <w:r w:rsidR="00A14BD9">
        <w:t xml:space="preserve"> jeudi 21 avril</w:t>
      </w:r>
      <w:r>
        <w:t xml:space="preserve"> 201</w:t>
      </w:r>
      <w:r w:rsidR="001162CB">
        <w:t>6</w:t>
      </w:r>
      <w:r>
        <w:t xml:space="preserve">, à </w:t>
      </w:r>
      <w:r w:rsidR="00A14BD9">
        <w:t>15 heures</w:t>
      </w:r>
    </w:p>
    <w:p w:rsidR="00FD15BA" w:rsidRDefault="00FD15BA" w:rsidP="00FD15BA">
      <w:pPr>
        <w:tabs>
          <w:tab w:val="right" w:pos="851"/>
          <w:tab w:val="left" w:pos="1134"/>
          <w:tab w:val="right" w:leader="dot" w:pos="8505"/>
        </w:tabs>
        <w:spacing w:after="120"/>
      </w:pPr>
      <w:r>
        <w:rPr>
          <w:i/>
        </w:rPr>
        <w:tab/>
      </w:r>
      <w:r w:rsidRPr="00C17CFF">
        <w:rPr>
          <w:i/>
        </w:rPr>
        <w:t>Président</w:t>
      </w:r>
      <w:r>
        <w:rPr>
          <w:i/>
        </w:rPr>
        <w:t>(e)</w:t>
      </w:r>
      <w:r>
        <w:t xml:space="preserve">: </w:t>
      </w:r>
      <w:r>
        <w:tab/>
      </w:r>
      <w:r w:rsidR="00A14BD9">
        <w:tab/>
        <w:t>M. Modvig</w:t>
      </w:r>
    </w:p>
    <w:p w:rsidR="00FD15BA" w:rsidRDefault="00FD15BA" w:rsidP="00FD15BA">
      <w:pPr>
        <w:spacing w:before="360" w:after="240"/>
        <w:rPr>
          <w:sz w:val="28"/>
          <w:szCs w:val="28"/>
        </w:rPr>
      </w:pPr>
      <w:r w:rsidRPr="00C17CFF">
        <w:rPr>
          <w:sz w:val="28"/>
          <w:szCs w:val="28"/>
        </w:rPr>
        <w:t>Sommaire</w:t>
      </w:r>
    </w:p>
    <w:p w:rsidR="005F148A" w:rsidRPr="009B110B" w:rsidRDefault="005F148A" w:rsidP="00A14BD9">
      <w:pPr>
        <w:pStyle w:val="SingleTxtG"/>
        <w:jc w:val="left"/>
        <w:rPr>
          <w:lang w:val="fr-FR"/>
        </w:rPr>
      </w:pPr>
      <w:r w:rsidRPr="009B110B">
        <w:rPr>
          <w:lang w:val="fr-FR"/>
        </w:rPr>
        <w:t>Examen des rapports soumis par les États parties en application de l</w:t>
      </w:r>
      <w:r>
        <w:rPr>
          <w:lang w:val="fr-FR"/>
        </w:rPr>
        <w:t>’</w:t>
      </w:r>
      <w:r w:rsidR="00A14BD9">
        <w:rPr>
          <w:lang w:val="fr-FR"/>
        </w:rPr>
        <w:t>article 19</w:t>
      </w:r>
      <w:r w:rsidR="00A14BD9">
        <w:rPr>
          <w:lang w:val="fr-FR"/>
        </w:rPr>
        <w:br/>
      </w:r>
      <w:r w:rsidRPr="009B110B">
        <w:rPr>
          <w:lang w:val="fr-FR"/>
        </w:rPr>
        <w:t>de la Convention (</w:t>
      </w:r>
      <w:r w:rsidRPr="009B110B">
        <w:rPr>
          <w:i/>
          <w:lang w:val="fr-FR"/>
        </w:rPr>
        <w:t>suite</w:t>
      </w:r>
      <w:r w:rsidRPr="009B110B">
        <w:rPr>
          <w:lang w:val="fr-FR"/>
        </w:rPr>
        <w:t>)</w:t>
      </w:r>
    </w:p>
    <w:p w:rsidR="005F148A" w:rsidRDefault="005F148A" w:rsidP="00A14BD9">
      <w:pPr>
        <w:pStyle w:val="SingleTxtG"/>
        <w:ind w:firstLine="567"/>
        <w:rPr>
          <w:lang w:val="fr-FR"/>
        </w:rPr>
      </w:pPr>
      <w:r w:rsidRPr="00A14BD9">
        <w:rPr>
          <w:i/>
          <w:lang w:val="fr-FR"/>
        </w:rPr>
        <w:t>Troisième rapport périodique de la Tunisie</w:t>
      </w:r>
      <w:r w:rsidRPr="009B110B">
        <w:rPr>
          <w:lang w:val="fr-FR"/>
        </w:rPr>
        <w:t xml:space="preserve"> </w:t>
      </w:r>
      <w:r w:rsidRPr="00A14BD9">
        <w:rPr>
          <w:lang w:val="fr-FR"/>
        </w:rPr>
        <w:t>(suite)</w:t>
      </w:r>
    </w:p>
    <w:p w:rsidR="005F148A" w:rsidRPr="005F148A" w:rsidRDefault="005F148A" w:rsidP="00A14BD9">
      <w:pPr>
        <w:pStyle w:val="H23G"/>
        <w:rPr>
          <w:lang w:val="fr-FR"/>
        </w:rPr>
      </w:pPr>
      <w:r>
        <w:br w:type="page"/>
      </w:r>
      <w:r w:rsidR="00A14BD9">
        <w:lastRenderedPageBreak/>
        <w:tab/>
      </w:r>
      <w:r w:rsidR="00A14BD9">
        <w:tab/>
      </w:r>
      <w:r w:rsidRPr="005F148A">
        <w:rPr>
          <w:lang w:val="fr-FR"/>
        </w:rPr>
        <w:t>Examen des rapports soumis par les États parties</w:t>
      </w:r>
      <w:r w:rsidR="00744358">
        <w:rPr>
          <w:lang w:val="fr-FR"/>
        </w:rPr>
        <w:t xml:space="preserve"> en application de l’article 19</w:t>
      </w:r>
      <w:r w:rsidR="00744358">
        <w:rPr>
          <w:lang w:val="fr-FR"/>
        </w:rPr>
        <w:br/>
      </w:r>
      <w:r w:rsidRPr="005F148A">
        <w:rPr>
          <w:lang w:val="fr-FR"/>
        </w:rPr>
        <w:t xml:space="preserve">de la Convention </w:t>
      </w:r>
      <w:r w:rsidRPr="00A14BD9">
        <w:rPr>
          <w:b w:val="0"/>
          <w:lang w:val="fr-FR"/>
        </w:rPr>
        <w:t>(</w:t>
      </w:r>
      <w:r w:rsidRPr="00A14BD9">
        <w:rPr>
          <w:b w:val="0"/>
          <w:i/>
          <w:lang w:val="fr-FR"/>
        </w:rPr>
        <w:t>suite</w:t>
      </w:r>
      <w:r w:rsidRPr="00A14BD9">
        <w:rPr>
          <w:b w:val="0"/>
          <w:lang w:val="fr-FR"/>
        </w:rPr>
        <w:t>)</w:t>
      </w:r>
    </w:p>
    <w:p w:rsidR="005F148A" w:rsidRPr="00657B84" w:rsidRDefault="00657B84" w:rsidP="00657B84">
      <w:pPr>
        <w:pStyle w:val="H4G"/>
        <w:rPr>
          <w:lang w:val="fr-FR"/>
        </w:rPr>
      </w:pPr>
      <w:r w:rsidRPr="00657B84">
        <w:rPr>
          <w:lang w:val="fr-FR"/>
        </w:rPr>
        <w:tab/>
      </w:r>
      <w:r w:rsidRPr="00657B84">
        <w:rPr>
          <w:lang w:val="fr-FR"/>
        </w:rPr>
        <w:tab/>
      </w:r>
      <w:r w:rsidR="005F148A" w:rsidRPr="00657B84">
        <w:rPr>
          <w:lang w:val="fr-FR"/>
        </w:rPr>
        <w:t>Troisième rapport périodique de la Tunisie (</w:t>
      </w:r>
      <w:r w:rsidR="005F148A" w:rsidRPr="00657B84">
        <w:rPr>
          <w:i w:val="0"/>
          <w:lang w:val="fr-FR"/>
        </w:rPr>
        <w:t>CAT/C/TUN/3, CAT/C/TUN/3/Add.1, CAT/C/TUN/Q/3, CAT/C/TUN/Q/3/Add.1, HRI/CORE/1/Add.46)</w:t>
      </w:r>
      <w:r w:rsidR="005F148A" w:rsidRPr="00657B84">
        <w:rPr>
          <w:lang w:val="fr-FR"/>
        </w:rPr>
        <w:t xml:space="preserve"> </w:t>
      </w:r>
      <w:r w:rsidR="005F148A" w:rsidRPr="00657B84">
        <w:rPr>
          <w:i w:val="0"/>
          <w:lang w:val="fr-FR"/>
        </w:rPr>
        <w:t>(</w:t>
      </w:r>
      <w:r w:rsidR="005F148A" w:rsidRPr="00657B84">
        <w:rPr>
          <w:lang w:val="fr-FR"/>
        </w:rPr>
        <w:t>suite</w:t>
      </w:r>
      <w:r w:rsidR="005F148A" w:rsidRPr="00657B84">
        <w:rPr>
          <w:i w:val="0"/>
          <w:lang w:val="fr-FR"/>
        </w:rPr>
        <w:t>)</w:t>
      </w:r>
    </w:p>
    <w:p w:rsidR="005F148A" w:rsidRPr="005F148A" w:rsidRDefault="005F148A" w:rsidP="00657B84">
      <w:pPr>
        <w:pStyle w:val="SingleTxtG"/>
        <w:rPr>
          <w:lang w:val="fr-FR"/>
        </w:rPr>
      </w:pPr>
      <w:r w:rsidRPr="00657B84">
        <w:rPr>
          <w:i/>
          <w:lang w:val="fr-FR"/>
        </w:rPr>
        <w:t>La séance est ouverte à 15 heures</w:t>
      </w:r>
      <w:r w:rsidRPr="005F148A">
        <w:rPr>
          <w:lang w:val="fr-FR"/>
        </w:rPr>
        <w:t>.</w:t>
      </w:r>
    </w:p>
    <w:p w:rsidR="005F148A" w:rsidRPr="00657B84" w:rsidRDefault="00657B84" w:rsidP="00657B84">
      <w:pPr>
        <w:pStyle w:val="SingleTxtG"/>
        <w:rPr>
          <w:i/>
          <w:lang w:val="fr-FR"/>
        </w:rPr>
      </w:pPr>
      <w:r w:rsidRPr="00657B84">
        <w:rPr>
          <w:lang w:val="fr-FR"/>
        </w:rPr>
        <w:t>1.</w:t>
      </w:r>
      <w:r w:rsidRPr="00657B84">
        <w:rPr>
          <w:lang w:val="fr-FR"/>
        </w:rPr>
        <w:tab/>
      </w:r>
      <w:r w:rsidR="005F148A" w:rsidRPr="00657B84">
        <w:rPr>
          <w:i/>
          <w:lang w:val="fr-FR"/>
        </w:rPr>
        <w:t>Sur l’invitation du Président, la délégation tunisienne reprend place à la table du Comité.</w:t>
      </w:r>
    </w:p>
    <w:p w:rsidR="00F5481A" w:rsidRDefault="00BB2E89" w:rsidP="00657B84">
      <w:pPr>
        <w:pStyle w:val="SingleTxtG"/>
        <w:rPr>
          <w:lang w:val="fr-FR"/>
        </w:rPr>
      </w:pPr>
      <w:r w:rsidRPr="00BB2E89">
        <w:rPr>
          <w:lang w:val="fr-FR"/>
        </w:rPr>
        <w:t>2.</w:t>
      </w:r>
      <w:r w:rsidRPr="00BB2E89">
        <w:rPr>
          <w:lang w:val="fr-FR"/>
        </w:rPr>
        <w:tab/>
      </w:r>
      <w:r w:rsidR="005F148A" w:rsidRPr="005F148A">
        <w:rPr>
          <w:b/>
          <w:lang w:val="fr-FR"/>
        </w:rPr>
        <w:t xml:space="preserve">M. Ben Hsein </w:t>
      </w:r>
      <w:r w:rsidR="005F148A" w:rsidRPr="005F148A">
        <w:rPr>
          <w:lang w:val="fr-FR"/>
        </w:rPr>
        <w:t>(Tunisie) dit qu</w:t>
      </w:r>
      <w:r w:rsidR="00F5481A">
        <w:rPr>
          <w:lang w:val="fr-FR"/>
        </w:rPr>
        <w:t xml:space="preserve">’un </w:t>
      </w:r>
      <w:r w:rsidR="00744358">
        <w:rPr>
          <w:lang w:val="fr-FR"/>
        </w:rPr>
        <w:t>c</w:t>
      </w:r>
      <w:r w:rsidR="00F5481A">
        <w:rPr>
          <w:lang w:val="fr-FR"/>
        </w:rPr>
        <w:t xml:space="preserve">omité a été chargé de revoir </w:t>
      </w:r>
      <w:r w:rsidR="005F148A" w:rsidRPr="005F148A">
        <w:rPr>
          <w:lang w:val="fr-FR"/>
        </w:rPr>
        <w:t xml:space="preserve">la définition </w:t>
      </w:r>
      <w:r w:rsidR="00F5481A">
        <w:rPr>
          <w:lang w:val="fr-FR"/>
        </w:rPr>
        <w:t xml:space="preserve">de la torture </w:t>
      </w:r>
      <w:r w:rsidR="005F148A" w:rsidRPr="005F148A">
        <w:rPr>
          <w:lang w:val="fr-FR"/>
        </w:rPr>
        <w:t>qui figure dans le nouvel article 101 </w:t>
      </w:r>
      <w:r w:rsidR="005F148A" w:rsidRPr="005F148A">
        <w:rPr>
          <w:i/>
          <w:iCs/>
          <w:lang w:val="fr-FR"/>
        </w:rPr>
        <w:t>bis</w:t>
      </w:r>
      <w:r w:rsidR="005F148A" w:rsidRPr="005F148A">
        <w:rPr>
          <w:lang w:val="fr-FR"/>
        </w:rPr>
        <w:t xml:space="preserve"> du Code pénal </w:t>
      </w:r>
      <w:r w:rsidR="00F5481A">
        <w:rPr>
          <w:lang w:val="fr-FR"/>
        </w:rPr>
        <w:t>afin de la rendre pleinement</w:t>
      </w:r>
      <w:r w:rsidR="005F148A" w:rsidRPr="005F148A">
        <w:rPr>
          <w:lang w:val="fr-FR"/>
        </w:rPr>
        <w:t xml:space="preserve"> conforme à celle </w:t>
      </w:r>
      <w:r w:rsidR="00F5481A">
        <w:rPr>
          <w:lang w:val="fr-FR"/>
        </w:rPr>
        <w:t>de</w:t>
      </w:r>
      <w:r w:rsidR="005F148A" w:rsidRPr="005F148A">
        <w:rPr>
          <w:lang w:val="fr-FR"/>
        </w:rPr>
        <w:t xml:space="preserve"> la Convention</w:t>
      </w:r>
      <w:r w:rsidR="00F5481A">
        <w:rPr>
          <w:lang w:val="fr-FR"/>
        </w:rPr>
        <w:t xml:space="preserve">. Elle précise que seule </w:t>
      </w:r>
      <w:r w:rsidR="005F148A" w:rsidRPr="005F148A">
        <w:rPr>
          <w:lang w:val="fr-FR"/>
        </w:rPr>
        <w:t xml:space="preserve">la version française </w:t>
      </w:r>
      <w:r w:rsidR="00F5481A">
        <w:rPr>
          <w:lang w:val="fr-FR"/>
        </w:rPr>
        <w:t xml:space="preserve">limite le </w:t>
      </w:r>
      <w:r w:rsidR="005F148A" w:rsidRPr="005F148A">
        <w:rPr>
          <w:lang w:val="fr-FR"/>
        </w:rPr>
        <w:t xml:space="preserve">motif </w:t>
      </w:r>
      <w:r w:rsidR="00F5481A">
        <w:rPr>
          <w:lang w:val="fr-FR"/>
        </w:rPr>
        <w:t>de discrimination à la discrimination raciale</w:t>
      </w:r>
      <w:r w:rsidR="00744358">
        <w:rPr>
          <w:lang w:val="fr-FR"/>
        </w:rPr>
        <w:t>.</w:t>
      </w:r>
      <w:r w:rsidR="005F148A" w:rsidRPr="005F148A">
        <w:rPr>
          <w:lang w:val="fr-FR"/>
        </w:rPr>
        <w:t xml:space="preserve"> </w:t>
      </w:r>
      <w:r w:rsidR="00F5481A">
        <w:rPr>
          <w:lang w:val="fr-FR"/>
        </w:rPr>
        <w:t>La</w:t>
      </w:r>
      <w:r w:rsidR="005F148A" w:rsidRPr="005F148A">
        <w:rPr>
          <w:lang w:val="fr-FR"/>
        </w:rPr>
        <w:t xml:space="preserve"> version arabe du Code pénal, qui est celle qui fait foi devant les tribunaux, se réfère à la discrimination, quelle qu’elle soit. </w:t>
      </w:r>
    </w:p>
    <w:p w:rsidR="005F148A" w:rsidRPr="005F148A" w:rsidRDefault="00F5481A" w:rsidP="00657B84">
      <w:pPr>
        <w:pStyle w:val="SingleTxtG"/>
        <w:rPr>
          <w:lang w:val="fr-FR"/>
        </w:rPr>
      </w:pPr>
      <w:r w:rsidRPr="00F5481A">
        <w:rPr>
          <w:lang w:val="fr-FR"/>
        </w:rPr>
        <w:t>3.</w:t>
      </w:r>
      <w:r w:rsidRPr="00F5481A">
        <w:rPr>
          <w:lang w:val="fr-FR"/>
        </w:rPr>
        <w:tab/>
      </w:r>
      <w:r w:rsidR="005F148A" w:rsidRPr="005F148A">
        <w:rPr>
          <w:b/>
          <w:lang w:val="fr-FR"/>
        </w:rPr>
        <w:t xml:space="preserve">M. Hafsaoui </w:t>
      </w:r>
      <w:r w:rsidR="005F148A" w:rsidRPr="005F148A">
        <w:rPr>
          <w:lang w:val="fr-FR"/>
        </w:rPr>
        <w:t xml:space="preserve">(Tunisie) dit que la Constitution de 2015 dispose que l’État </w:t>
      </w:r>
      <w:r w:rsidR="005F148A" w:rsidRPr="00657B84">
        <w:rPr>
          <w:lang w:val="fr-FR"/>
        </w:rPr>
        <w:t>protège</w:t>
      </w:r>
      <w:r w:rsidR="005F148A" w:rsidRPr="005F148A">
        <w:rPr>
          <w:lang w:val="fr-FR"/>
        </w:rPr>
        <w:t xml:space="preserve"> l’inviolabilité et la dignité de l’être humain et </w:t>
      </w:r>
      <w:r>
        <w:rPr>
          <w:lang w:val="fr-FR"/>
        </w:rPr>
        <w:t>qu’une modification apportée en 2015 au Code de procédure pénale a rendu le crime de torture imprescriptible</w:t>
      </w:r>
      <w:r w:rsidR="005F148A" w:rsidRPr="005F148A">
        <w:rPr>
          <w:lang w:val="fr-FR"/>
        </w:rPr>
        <w:t>.</w:t>
      </w:r>
    </w:p>
    <w:p w:rsidR="005F148A" w:rsidRPr="005F148A" w:rsidRDefault="00F5481A" w:rsidP="00657B84">
      <w:pPr>
        <w:pStyle w:val="SingleTxtG"/>
        <w:rPr>
          <w:lang w:val="fr-FR"/>
        </w:rPr>
      </w:pPr>
      <w:r w:rsidRPr="00F5481A">
        <w:rPr>
          <w:lang w:val="fr-FR"/>
        </w:rPr>
        <w:t>4.</w:t>
      </w:r>
      <w:r w:rsidRPr="00F5481A">
        <w:rPr>
          <w:lang w:val="fr-FR"/>
        </w:rPr>
        <w:tab/>
      </w:r>
      <w:r w:rsidR="005F148A" w:rsidRPr="005F148A">
        <w:rPr>
          <w:b/>
          <w:lang w:val="fr-FR"/>
        </w:rPr>
        <w:t>M</w:t>
      </w:r>
      <w:r w:rsidR="005F148A" w:rsidRPr="00F5481A">
        <w:rPr>
          <w:b/>
          <w:vertAlign w:val="superscript"/>
          <w:lang w:val="fr-FR"/>
        </w:rPr>
        <w:t>me</w:t>
      </w:r>
      <w:r>
        <w:rPr>
          <w:b/>
          <w:lang w:val="fr-FR"/>
        </w:rPr>
        <w:t> </w:t>
      </w:r>
      <w:r w:rsidR="005F148A" w:rsidRPr="005F148A">
        <w:rPr>
          <w:b/>
          <w:lang w:val="fr-FR"/>
        </w:rPr>
        <w:t xml:space="preserve">Seba </w:t>
      </w:r>
      <w:r w:rsidR="005F148A" w:rsidRPr="005F148A">
        <w:rPr>
          <w:lang w:val="fr-FR"/>
        </w:rPr>
        <w:t>(Tunisie) dit que les deux commissions créées pour réviser respectivement le Code pénal et le Code de procédure pénale ont entamé leurs travaux fin 2014 dans le cadre de la stratégie du Ministère de la justice 2012-2016</w:t>
      </w:r>
      <w:r>
        <w:rPr>
          <w:lang w:val="fr-FR"/>
        </w:rPr>
        <w:t>. Elles ont effectué des visites d’étude dans plusieurs pays européens et ont bénéficié de l’assistance technique d’experts internationaux en droit pénal</w:t>
      </w:r>
      <w:r w:rsidR="005F148A" w:rsidRPr="005F148A">
        <w:rPr>
          <w:lang w:val="fr-FR"/>
        </w:rPr>
        <w:t xml:space="preserve">. </w:t>
      </w:r>
      <w:r>
        <w:rPr>
          <w:lang w:val="fr-FR"/>
        </w:rPr>
        <w:t xml:space="preserve">La </w:t>
      </w:r>
      <w:r w:rsidR="005F148A" w:rsidRPr="005F148A">
        <w:rPr>
          <w:lang w:val="fr-FR"/>
        </w:rPr>
        <w:t xml:space="preserve">réforme porte sur la politique d’incrimination et le régime des peines, ainsi que </w:t>
      </w:r>
      <w:r>
        <w:rPr>
          <w:lang w:val="fr-FR"/>
        </w:rPr>
        <w:t xml:space="preserve">sur </w:t>
      </w:r>
      <w:r w:rsidR="005F148A" w:rsidRPr="005F148A">
        <w:rPr>
          <w:lang w:val="fr-FR"/>
        </w:rPr>
        <w:t>la politiqu</w:t>
      </w:r>
      <w:r>
        <w:rPr>
          <w:lang w:val="fr-FR"/>
        </w:rPr>
        <w:t xml:space="preserve">e procédurale. Elle vise le </w:t>
      </w:r>
      <w:r w:rsidR="005F148A" w:rsidRPr="005F148A">
        <w:rPr>
          <w:lang w:val="fr-FR"/>
        </w:rPr>
        <w:t xml:space="preserve">renforcement du principe de procès équitable et la consolidation des garanties </w:t>
      </w:r>
      <w:r>
        <w:rPr>
          <w:lang w:val="fr-FR"/>
        </w:rPr>
        <w:t>applicables aux</w:t>
      </w:r>
      <w:r w:rsidR="005F148A" w:rsidRPr="005F148A">
        <w:rPr>
          <w:lang w:val="fr-FR"/>
        </w:rPr>
        <w:t xml:space="preserve"> détenus, notamment la présomption d’innocence, dans le respect de la Constitution et des normes internationales relatives à la torture. Ces travaux dureront aussi longtemps que nécessaire et ne comp</w:t>
      </w:r>
      <w:r>
        <w:rPr>
          <w:lang w:val="fr-FR"/>
        </w:rPr>
        <w:t>ortent donc pas de calendrier.</w:t>
      </w:r>
    </w:p>
    <w:p w:rsidR="005F148A" w:rsidRPr="00657B84" w:rsidRDefault="00F5481A" w:rsidP="00657B84">
      <w:pPr>
        <w:pStyle w:val="SingleTxtG"/>
        <w:rPr>
          <w:rStyle w:val="SingleTxtGChar"/>
        </w:rPr>
      </w:pPr>
      <w:r>
        <w:rPr>
          <w:rStyle w:val="SingleTxtGChar"/>
        </w:rPr>
        <w:t>5.</w:t>
      </w:r>
      <w:r>
        <w:rPr>
          <w:rStyle w:val="SingleTxtGChar"/>
        </w:rPr>
        <w:tab/>
        <w:t>L</w:t>
      </w:r>
      <w:r w:rsidR="005F148A" w:rsidRPr="00657B84">
        <w:rPr>
          <w:rStyle w:val="SingleTxtGChar"/>
        </w:rPr>
        <w:t xml:space="preserve">’indépendance de la justice, pilier de l’état de droit, a été l’une des priorités de la Tunisie </w:t>
      </w:r>
      <w:r>
        <w:rPr>
          <w:rStyle w:val="SingleTxtGChar"/>
        </w:rPr>
        <w:t>ces dernières années</w:t>
      </w:r>
      <w:r w:rsidR="005F148A" w:rsidRPr="00657B84">
        <w:rPr>
          <w:rStyle w:val="SingleTxtGChar"/>
        </w:rPr>
        <w:t>. Le Conseil supérieur de la magistrature est garant de cette indépendance. Jusqu’à la révolution, son organisation était définie par une loi datant de 1967 qui accordait la prééminence au pouvoir exécutif, notamment en confiant la présidence et la vice-présidence de cet organe au Président de la République et au Ministre de la justice, respectivement. Cette loi a été abrogée après la révolution</w:t>
      </w:r>
      <w:r>
        <w:rPr>
          <w:rStyle w:val="SingleTxtGChar"/>
        </w:rPr>
        <w:t xml:space="preserve"> et une instance provisoire de l’ordre judiciaire, composée de magistrats, d’avocats et d’universitaires, a été mise en place en attendant l’entrée en fonctions d’un nouveau conseil supérieur. Le chapitre </w:t>
      </w:r>
      <w:r w:rsidR="005F148A" w:rsidRPr="00657B84">
        <w:rPr>
          <w:rStyle w:val="SingleTxtGChar"/>
        </w:rPr>
        <w:t xml:space="preserve">5 de la </w:t>
      </w:r>
      <w:r>
        <w:rPr>
          <w:rStyle w:val="SingleTxtGChar"/>
        </w:rPr>
        <w:t>C</w:t>
      </w:r>
      <w:r w:rsidR="005F148A" w:rsidRPr="00657B84">
        <w:rPr>
          <w:rStyle w:val="SingleTxtGChar"/>
        </w:rPr>
        <w:t xml:space="preserve">onstitution de 2015 consacre le principe de l’indépendance de la justice, notamment par le biais de l’inamovibilité des juges, et reconnaît la place du parquet dans le système judiciaire. Le projet de loi organique </w:t>
      </w:r>
      <w:r>
        <w:rPr>
          <w:rStyle w:val="SingleTxtGChar"/>
        </w:rPr>
        <w:t xml:space="preserve">portant création du Conseil supérieur de la magistrature a été approuvé en mars 2016. Il est actuellement examiné par l’Instance du contrôle de la constitutionnalité en vue de sa promulgation. Il prévoit que le Conseil supérieur de la magistrature se compose de quatre organes : le conseil de la justice judiciaire, le conseil de la justice administrative, le conseil de la justice financière et l’assemblée plénière des trois conseils. Chaque conseil comprend 15 membres, dont deux tiers de magistrats et un tiers de personnalités indépendantes spécialistes des domaines pertinents (avocats, experts, enseignants). Tous les travaux de la police judiciaire sont placés sous la supervision du ministère public, qui a un pouvoir discrétionnaire. </w:t>
      </w:r>
    </w:p>
    <w:p w:rsidR="00BD37EC" w:rsidRDefault="00F5481A" w:rsidP="00657B84">
      <w:pPr>
        <w:pStyle w:val="SingleTxtG"/>
        <w:rPr>
          <w:lang w:val="fr-FR"/>
        </w:rPr>
      </w:pPr>
      <w:r>
        <w:rPr>
          <w:rStyle w:val="SingleTxtGChar"/>
        </w:rPr>
        <w:t>6.</w:t>
      </w:r>
      <w:r>
        <w:rPr>
          <w:rStyle w:val="SingleTxtGChar"/>
        </w:rPr>
        <w:tab/>
      </w:r>
      <w:r w:rsidR="005F148A" w:rsidRPr="00657B84">
        <w:rPr>
          <w:rStyle w:val="SingleTxtGChar"/>
        </w:rPr>
        <w:t xml:space="preserve">M. Boudabouss (Tunisie) dit que l’article 22 de la loi </w:t>
      </w:r>
      <w:r w:rsidR="00744358" w:rsidRPr="00744358">
        <w:rPr>
          <w:rStyle w:val="SingleTxtGChar"/>
          <w:rFonts w:eastAsia="MS Mincho"/>
        </w:rPr>
        <w:t>n</w:t>
      </w:r>
      <w:r w:rsidR="00744358" w:rsidRPr="00744358">
        <w:rPr>
          <w:rStyle w:val="SingleTxtGChar"/>
          <w:rFonts w:eastAsia="MS Mincho"/>
          <w:vertAlign w:val="superscript"/>
        </w:rPr>
        <w:t>o</w:t>
      </w:r>
      <w:r w:rsidR="00744358">
        <w:rPr>
          <w:rStyle w:val="SingleTxtGChar"/>
        </w:rPr>
        <w:t> 1982-70 du 6 </w:t>
      </w:r>
      <w:r w:rsidR="005F148A" w:rsidRPr="00657B84">
        <w:rPr>
          <w:rStyle w:val="SingleTxtGChar"/>
        </w:rPr>
        <w:t xml:space="preserve">août 1982 portant statut général des forces de sécurité intérieures dispose que les tribunaux militaires sont saisis dans toute affaire impliquant des membres des </w:t>
      </w:r>
      <w:r w:rsidR="005F148A" w:rsidRPr="00657B84">
        <w:t>forces de</w:t>
      </w:r>
      <w:r w:rsidR="005F148A" w:rsidRPr="005F148A">
        <w:rPr>
          <w:lang w:val="fr-FR"/>
        </w:rPr>
        <w:t xml:space="preserve"> sécurité dans l’exercice de leurs fonctions. Pour toute autre infraction, d’autres juridictions sont saisies. La justice </w:t>
      </w:r>
      <w:r w:rsidR="005F148A" w:rsidRPr="005F148A">
        <w:rPr>
          <w:lang w:val="fr-FR"/>
        </w:rPr>
        <w:lastRenderedPageBreak/>
        <w:t>militaire a é</w:t>
      </w:r>
      <w:r w:rsidR="00CC1B8A">
        <w:rPr>
          <w:lang w:val="fr-FR"/>
        </w:rPr>
        <w:t>té saisie au titre de l’article </w:t>
      </w:r>
      <w:r w:rsidR="005F148A" w:rsidRPr="005F148A">
        <w:rPr>
          <w:lang w:val="fr-FR"/>
        </w:rPr>
        <w:t>23 de la Constitution d’affaires concernant les personnes blessées pendant la révolution. Cependant, de nouvelles affaires ont donné lieu à une saisine des tribunaux d’instance, conformément au</w:t>
      </w:r>
      <w:r w:rsidR="00BD37EC">
        <w:rPr>
          <w:lang w:val="fr-FR"/>
        </w:rPr>
        <w:t>x compétences territoriales.</w:t>
      </w:r>
    </w:p>
    <w:p w:rsidR="005F148A" w:rsidRPr="005F148A" w:rsidRDefault="00BD37EC" w:rsidP="00657B84">
      <w:pPr>
        <w:pStyle w:val="SingleTxtG"/>
        <w:rPr>
          <w:lang w:val="fr-FR"/>
        </w:rPr>
      </w:pPr>
      <w:r>
        <w:rPr>
          <w:lang w:val="fr-FR"/>
        </w:rPr>
        <w:t>7.</w:t>
      </w:r>
      <w:r>
        <w:rPr>
          <w:lang w:val="fr-FR"/>
        </w:rPr>
        <w:tab/>
      </w:r>
      <w:r w:rsidR="00CC1B8A">
        <w:rPr>
          <w:lang w:val="fr-FR"/>
        </w:rPr>
        <w:t>Les modifications apportées en 2011 au Code de justice militaire vont dans le sens d’un renforcement des garanties juridiques</w:t>
      </w:r>
      <w:r w:rsidR="005F148A" w:rsidRPr="005F148A">
        <w:rPr>
          <w:lang w:val="fr-FR"/>
        </w:rPr>
        <w:t xml:space="preserve">. De nombreuses plaintes et demandes d’ouverture d’enquête ont été déposées, que ce soit en première instance ou devant le tribunal militaire d’appel. De nombreux témoins ont été entendus par les tribunaux, certaines des personnes blessées ont été examinées par des médecins légistes qui ont fait état de lésions, à la suite de quoi les personnes concernées ont reçu </w:t>
      </w:r>
      <w:r w:rsidR="00CC1B8A">
        <w:rPr>
          <w:lang w:val="fr-FR"/>
        </w:rPr>
        <w:t>une indemnisation.</w:t>
      </w:r>
      <w:r w:rsidR="005F148A" w:rsidRPr="005F148A">
        <w:rPr>
          <w:lang w:val="fr-FR"/>
        </w:rPr>
        <w:t xml:space="preserve"> Dans certains cas, le procureur militaire, les </w:t>
      </w:r>
      <w:r w:rsidR="00CC1B8A">
        <w:rPr>
          <w:lang w:val="fr-FR"/>
        </w:rPr>
        <w:t>accusés</w:t>
      </w:r>
      <w:r w:rsidR="005F148A" w:rsidRPr="005F148A">
        <w:rPr>
          <w:lang w:val="fr-FR"/>
        </w:rPr>
        <w:t xml:space="preserve"> ou leurs conseils ont fait appel des sentences prononcées. De nombreux procès ont été révisés par un nouvel organe, conformément à la loi.</w:t>
      </w:r>
    </w:p>
    <w:p w:rsidR="005F148A" w:rsidRPr="005F148A" w:rsidRDefault="00CC1B8A" w:rsidP="00CC1B8A">
      <w:pPr>
        <w:pStyle w:val="SingleTxtG"/>
        <w:rPr>
          <w:lang w:val="fr-FR"/>
        </w:rPr>
      </w:pPr>
      <w:r w:rsidRPr="00CC1B8A">
        <w:rPr>
          <w:lang w:val="fr-FR"/>
        </w:rPr>
        <w:t>8.</w:t>
      </w:r>
      <w:r w:rsidRPr="00CC1B8A">
        <w:rPr>
          <w:lang w:val="fr-FR"/>
        </w:rPr>
        <w:tab/>
      </w:r>
      <w:r w:rsidR="005F148A" w:rsidRPr="005F148A">
        <w:rPr>
          <w:b/>
          <w:lang w:val="fr-FR"/>
        </w:rPr>
        <w:t>M. Ben Hsein</w:t>
      </w:r>
      <w:r w:rsidR="005F148A" w:rsidRPr="005F148A">
        <w:rPr>
          <w:lang w:val="fr-FR"/>
        </w:rPr>
        <w:t xml:space="preserve"> (Tunisie) </w:t>
      </w:r>
      <w:r>
        <w:rPr>
          <w:lang w:val="fr-FR"/>
        </w:rPr>
        <w:t>dit que les dispositions de l’article 13 et de l’article 57 du Code de procédure pénale, relatives à la garde à vue, ont été modifiées en vertu d’une loi adoptée en février 2016, qui entrera en vigueur en juin 2016. La durée de la garde à vue, jusque</w:t>
      </w:r>
      <w:r w:rsidR="00744358">
        <w:rPr>
          <w:lang w:val="fr-FR"/>
        </w:rPr>
        <w:t>-</w:t>
      </w:r>
      <w:r>
        <w:rPr>
          <w:lang w:val="fr-FR"/>
        </w:rPr>
        <w:t xml:space="preserve">là fixée à trois jours, a été ramenée à deux jours. Elle est renouvelable une fois dans les cas d’infractions graves et de flagrant délit nécessitant notamment de procéder à des vérifications. La nouvelle constitution autorise les personnes en garde à vue à bénéficier des services d’un avocat. Ses dispositions priment celles du Code de procédure pénale, tant que les modifications apportées en février 2016 ne sont pas entrées en vigueur. Ces modifications autorisent </w:t>
      </w:r>
      <w:r w:rsidR="003B0D08">
        <w:rPr>
          <w:lang w:val="fr-FR"/>
        </w:rPr>
        <w:t xml:space="preserve">notamment le prévenu à refuser de faire une déposition avant l’arrivée de l’avocat. Dans les affaires de terrorisme, la durée de la garde à vue est de cinq jours, renouvelable deux fois, compte tenu de la gravité des actes et de la complexité de l’enquête en pareil cas. La personne soupçonnée de terrorisme peut faire appel à l’assistance d’un conseil. </w:t>
      </w:r>
    </w:p>
    <w:p w:rsidR="005F148A" w:rsidRPr="005F148A" w:rsidRDefault="003B0D08" w:rsidP="00657B84">
      <w:pPr>
        <w:pStyle w:val="SingleTxtG"/>
        <w:rPr>
          <w:lang w:val="fr-FR"/>
        </w:rPr>
      </w:pPr>
      <w:r w:rsidRPr="003B0D08">
        <w:rPr>
          <w:lang w:val="fr-FR"/>
        </w:rPr>
        <w:t>9.</w:t>
      </w:r>
      <w:r w:rsidRPr="003B0D08">
        <w:rPr>
          <w:lang w:val="fr-FR"/>
        </w:rPr>
        <w:tab/>
      </w:r>
      <w:r>
        <w:rPr>
          <w:b/>
          <w:lang w:val="fr-FR"/>
        </w:rPr>
        <w:t>M</w:t>
      </w:r>
      <w:r w:rsidRPr="003B0D08">
        <w:rPr>
          <w:b/>
          <w:vertAlign w:val="superscript"/>
          <w:lang w:val="fr-FR"/>
        </w:rPr>
        <w:t>me</w:t>
      </w:r>
      <w:r>
        <w:rPr>
          <w:b/>
          <w:lang w:val="fr-FR"/>
        </w:rPr>
        <w:t> </w:t>
      </w:r>
      <w:r w:rsidR="005F148A" w:rsidRPr="005F148A">
        <w:rPr>
          <w:b/>
          <w:lang w:val="fr-FR"/>
        </w:rPr>
        <w:t>Seba</w:t>
      </w:r>
      <w:r w:rsidR="005F148A" w:rsidRPr="005F148A">
        <w:rPr>
          <w:lang w:val="fr-FR"/>
        </w:rPr>
        <w:t xml:space="preserve"> (Tunisie) dit que le législateur a voulu adopter une </w:t>
      </w:r>
      <w:r>
        <w:rPr>
          <w:lang w:val="fr-FR"/>
        </w:rPr>
        <w:t xml:space="preserve">approche </w:t>
      </w:r>
      <w:r w:rsidR="005F148A" w:rsidRPr="005F148A">
        <w:rPr>
          <w:lang w:val="fr-FR"/>
        </w:rPr>
        <w:t xml:space="preserve">du crime de terrorisme qui soit réaliste et, ainsi, éviter une définition trop précise qui pourrait </w:t>
      </w:r>
      <w:r>
        <w:rPr>
          <w:lang w:val="fr-FR"/>
        </w:rPr>
        <w:t xml:space="preserve">favoriser </w:t>
      </w:r>
      <w:r w:rsidR="005F148A" w:rsidRPr="005F148A">
        <w:rPr>
          <w:lang w:val="fr-FR"/>
        </w:rPr>
        <w:t xml:space="preserve">l’impunité ou, au contraire, une définition trop large qui pourrait contrevenir à certains principes du droit. </w:t>
      </w:r>
      <w:r>
        <w:rPr>
          <w:lang w:val="fr-FR"/>
        </w:rPr>
        <w:t>L’article </w:t>
      </w:r>
      <w:r w:rsidR="005F148A" w:rsidRPr="005F148A">
        <w:rPr>
          <w:lang w:val="fr-FR"/>
        </w:rPr>
        <w:t xml:space="preserve">13 de la loi adoptée en juillet 2015 définit l’auteur de l’acte de terrorisme en mettant l’accent sur l’acte </w:t>
      </w:r>
      <w:r>
        <w:rPr>
          <w:lang w:val="fr-FR"/>
        </w:rPr>
        <w:t>commis. Ces changements dans la manière d’aborder la question visent à mieux cerner les infractions terroristes pour mieux les combattre et les punir.</w:t>
      </w:r>
    </w:p>
    <w:p w:rsidR="005F148A" w:rsidRPr="005F148A" w:rsidRDefault="003B0D08" w:rsidP="00657B84">
      <w:pPr>
        <w:pStyle w:val="SingleTxtG"/>
        <w:rPr>
          <w:lang w:val="fr-FR"/>
        </w:rPr>
      </w:pPr>
      <w:r w:rsidRPr="003B0D08">
        <w:rPr>
          <w:lang w:val="fr-FR"/>
        </w:rPr>
        <w:t>10.</w:t>
      </w:r>
      <w:r>
        <w:rPr>
          <w:b/>
          <w:lang w:val="fr-FR"/>
        </w:rPr>
        <w:tab/>
      </w:r>
      <w:r>
        <w:rPr>
          <w:lang w:val="fr-FR"/>
        </w:rPr>
        <w:t>Le</w:t>
      </w:r>
      <w:r w:rsidR="005F148A" w:rsidRPr="005F148A">
        <w:rPr>
          <w:lang w:val="fr-FR"/>
        </w:rPr>
        <w:t xml:space="preserve"> Code pénal comporte des articles incriminant la violence à l’égard des femmes, notamment le viol, la violence physique entre époux, la violence sexuelle et le harcèlement. Cependant, lors d’une enquête nationale sur les violences sexistes, plus de 47</w:t>
      </w:r>
      <w:r w:rsidR="00744358">
        <w:rPr>
          <w:lang w:val="fr-FR"/>
        </w:rPr>
        <w:t> </w:t>
      </w:r>
      <w:r w:rsidR="005F148A" w:rsidRPr="005F148A">
        <w:rPr>
          <w:lang w:val="fr-FR"/>
        </w:rPr>
        <w:t>% des femmes ont déclaré qu’elles avaient subi un acte de violence au moins une fois dans leur vie. En plus des mesures de pénalisation, une stratégie de lutte contre la violence sexiste mettant l’accent sur la sensibilisation, la formation des différents intervenants et la réforme de la législation a été adoptée en 2008 et relancée en 2012. Cette stratégie a abouti à l’élaboration du projet de loi sur la lutte contre la violence à l’égard des femmes, qui a</w:t>
      </w:r>
      <w:r>
        <w:rPr>
          <w:lang w:val="fr-FR"/>
        </w:rPr>
        <w:t>pplique</w:t>
      </w:r>
      <w:r w:rsidR="005F148A" w:rsidRPr="005F148A">
        <w:rPr>
          <w:lang w:val="fr-FR"/>
        </w:rPr>
        <w:t xml:space="preserve"> une approche globale et privilégie la prévention, la protection des femmes, les poursuites contre les auteurs et la prise en charge des victimes. La prévention est menée dans tous les secteurs, en particulier ceux de l’éducation et des médias, en luttant contre la stigmatisation et la discrimination. La protection </w:t>
      </w:r>
      <w:r>
        <w:rPr>
          <w:lang w:val="fr-FR"/>
        </w:rPr>
        <w:t>passe par l’adoption de mesures législatives établissant</w:t>
      </w:r>
      <w:r w:rsidR="005F148A" w:rsidRPr="005F148A">
        <w:rPr>
          <w:lang w:val="fr-FR"/>
        </w:rPr>
        <w:t xml:space="preserve"> de nouveaux mécanismes permettant de protéger les femmes victimes de violences et leurs enfants. </w:t>
      </w:r>
      <w:r>
        <w:rPr>
          <w:lang w:val="fr-FR"/>
        </w:rPr>
        <w:t>Pour ce qui est des</w:t>
      </w:r>
      <w:r w:rsidR="005F148A" w:rsidRPr="005F148A">
        <w:rPr>
          <w:lang w:val="fr-FR"/>
        </w:rPr>
        <w:t xml:space="preserve"> poursuites, il est prévu d’abroger les dispositions autorisant le mariage entre une </w:t>
      </w:r>
      <w:r>
        <w:rPr>
          <w:lang w:val="fr-FR"/>
        </w:rPr>
        <w:t xml:space="preserve">mineure et son agresseur sexuel. </w:t>
      </w:r>
      <w:r w:rsidR="005F148A" w:rsidRPr="005F148A">
        <w:rPr>
          <w:lang w:val="fr-FR"/>
        </w:rPr>
        <w:t xml:space="preserve">La prise en charge </w:t>
      </w:r>
      <w:r>
        <w:rPr>
          <w:lang w:val="fr-FR"/>
        </w:rPr>
        <w:t>des femmes ayant subi des actes de violence repose sur la reconnaissance du statut de victime et du droit de bénéficier de mesures d’assistance et d’indemnisation.</w:t>
      </w:r>
      <w:r w:rsidR="005F148A" w:rsidRPr="005F148A">
        <w:rPr>
          <w:lang w:val="fr-FR"/>
        </w:rPr>
        <w:t xml:space="preserve"> Des protocoles intersectoriels entre les Ministères de la justice, de l’intérieur, de la femme, des affaires sociales et de la santé ont été adoptés pour améliorer </w:t>
      </w:r>
      <w:r>
        <w:rPr>
          <w:lang w:val="fr-FR"/>
        </w:rPr>
        <w:t xml:space="preserve">cette </w:t>
      </w:r>
      <w:r w:rsidR="005F148A" w:rsidRPr="005F148A">
        <w:rPr>
          <w:lang w:val="fr-FR"/>
        </w:rPr>
        <w:t xml:space="preserve">prise en charge. Des </w:t>
      </w:r>
      <w:r w:rsidR="005F148A" w:rsidRPr="005F148A">
        <w:rPr>
          <w:lang w:val="fr-FR"/>
        </w:rPr>
        <w:lastRenderedPageBreak/>
        <w:t>mini-guides ont aussi été élaborés à l’intention des juges, des agents de police et des travailleurs sociaux. Des centres d’hébergement des femmes victimes de violences ont été créés en coopération avec la société civile. Des statistiques sur les violences physiques, le</w:t>
      </w:r>
      <w:r>
        <w:rPr>
          <w:lang w:val="fr-FR"/>
        </w:rPr>
        <w:t>s actes de</w:t>
      </w:r>
      <w:r w:rsidR="005F148A" w:rsidRPr="005F148A">
        <w:rPr>
          <w:lang w:val="fr-FR"/>
        </w:rPr>
        <w:t xml:space="preserve"> harcèlement</w:t>
      </w:r>
      <w:r>
        <w:rPr>
          <w:lang w:val="fr-FR"/>
        </w:rPr>
        <w:t xml:space="preserve"> et</w:t>
      </w:r>
      <w:r w:rsidR="005F148A" w:rsidRPr="005F148A">
        <w:rPr>
          <w:lang w:val="fr-FR"/>
        </w:rPr>
        <w:t xml:space="preserve"> les viols seront envoyées au Comité.</w:t>
      </w:r>
    </w:p>
    <w:p w:rsidR="005F148A" w:rsidRPr="005F148A" w:rsidRDefault="003B0D08" w:rsidP="00657B84">
      <w:pPr>
        <w:pStyle w:val="SingleTxtG"/>
        <w:rPr>
          <w:lang w:val="fr-FR"/>
        </w:rPr>
      </w:pPr>
      <w:r w:rsidRPr="003B0D08">
        <w:rPr>
          <w:lang w:val="fr-FR"/>
        </w:rPr>
        <w:t>11.</w:t>
      </w:r>
      <w:r w:rsidRPr="003B0D08">
        <w:rPr>
          <w:lang w:val="fr-FR"/>
        </w:rPr>
        <w:tab/>
      </w:r>
      <w:r w:rsidR="005F148A" w:rsidRPr="005F148A">
        <w:rPr>
          <w:b/>
          <w:lang w:val="fr-FR"/>
        </w:rPr>
        <w:t>M</w:t>
      </w:r>
      <w:r w:rsidR="005F148A" w:rsidRPr="003B0D08">
        <w:rPr>
          <w:b/>
          <w:vertAlign w:val="superscript"/>
          <w:lang w:val="fr-FR"/>
        </w:rPr>
        <w:t>me</w:t>
      </w:r>
      <w:r>
        <w:rPr>
          <w:b/>
          <w:lang w:val="fr-FR"/>
        </w:rPr>
        <w:t> </w:t>
      </w:r>
      <w:r w:rsidR="005F148A" w:rsidRPr="005F148A">
        <w:rPr>
          <w:b/>
          <w:lang w:val="fr-FR"/>
        </w:rPr>
        <w:t xml:space="preserve">Ouerghi </w:t>
      </w:r>
      <w:r w:rsidR="005F148A" w:rsidRPr="005F148A">
        <w:rPr>
          <w:lang w:val="fr-FR"/>
        </w:rPr>
        <w:t>(Tunisie) dit que le Ministère de la santé a lancé en 2006 des projets de lutte contre la violence sexiste comprenant des activités d</w:t>
      </w:r>
      <w:r w:rsidR="006E1D3C">
        <w:rPr>
          <w:lang w:val="fr-FR"/>
        </w:rPr>
        <w:t>e recherche et de formation. Il </w:t>
      </w:r>
      <w:r w:rsidR="005F148A" w:rsidRPr="005F148A">
        <w:rPr>
          <w:lang w:val="fr-FR"/>
        </w:rPr>
        <w:t>a introduit dans les centres de santé des services d’orientation, de dépistage et de prise en charge médicale des femmes victimes de violence. Le Ministère a aussi renforcé les ressources humaine</w:t>
      </w:r>
      <w:r w:rsidR="006E1D3C">
        <w:rPr>
          <w:lang w:val="fr-FR"/>
        </w:rPr>
        <w:t xml:space="preserve">s engagées dans ces activités. </w:t>
      </w:r>
      <w:r w:rsidR="005F148A" w:rsidRPr="005F148A">
        <w:rPr>
          <w:lang w:val="fr-FR"/>
        </w:rPr>
        <w:t xml:space="preserve">Un centre pilote d’assistance aux femmes et aux enfants victimes de violences psychologiques a été inauguré en 2012. </w:t>
      </w:r>
    </w:p>
    <w:p w:rsidR="005F148A" w:rsidRPr="005F148A" w:rsidRDefault="003B0D08" w:rsidP="00657B84">
      <w:pPr>
        <w:pStyle w:val="SingleTxtG"/>
        <w:rPr>
          <w:lang w:val="fr-FR"/>
        </w:rPr>
      </w:pPr>
      <w:r w:rsidRPr="003B0D08">
        <w:rPr>
          <w:lang w:val="fr-FR"/>
        </w:rPr>
        <w:t>12.</w:t>
      </w:r>
      <w:r w:rsidRPr="003B0D08">
        <w:rPr>
          <w:lang w:val="fr-FR"/>
        </w:rPr>
        <w:tab/>
      </w:r>
      <w:r w:rsidR="005F148A" w:rsidRPr="005F148A">
        <w:rPr>
          <w:b/>
          <w:lang w:val="fr-FR"/>
        </w:rPr>
        <w:t>M. Ben Hsein</w:t>
      </w:r>
      <w:r w:rsidR="005F148A" w:rsidRPr="005F148A">
        <w:rPr>
          <w:lang w:val="fr-FR"/>
        </w:rPr>
        <w:t xml:space="preserve"> (Tunisie) dit que les prisons tunisiennes n’étaient pas préparées à recevoir le nombre de détenus qui s’y trouve actuellement. Certaines ont des infrastructures très rudimentaires. En outre, des prisons ont été détruites pendant la révolution, ce qui a encore amoindri la capacité d’accueil et nui aux co</w:t>
      </w:r>
      <w:r>
        <w:rPr>
          <w:lang w:val="fr-FR"/>
        </w:rPr>
        <w:t>nditions de vie en prison. Au 7 </w:t>
      </w:r>
      <w:r w:rsidR="005F148A" w:rsidRPr="005F148A">
        <w:rPr>
          <w:lang w:val="fr-FR"/>
        </w:rPr>
        <w:t>avril 2016, on comptait 24</w:t>
      </w:r>
      <w:r>
        <w:rPr>
          <w:lang w:val="fr-FR"/>
        </w:rPr>
        <w:t> </w:t>
      </w:r>
      <w:r w:rsidR="005F148A" w:rsidRPr="005F148A">
        <w:rPr>
          <w:lang w:val="fr-FR"/>
        </w:rPr>
        <w:t>000 détenus mais ce chiffre ne tient pas compte des détenus en attente de jugement ni des détenus qui ont fait appel de leur peine. À ce jour, 10</w:t>
      </w:r>
      <w:r>
        <w:rPr>
          <w:lang w:val="fr-FR"/>
        </w:rPr>
        <w:t xml:space="preserve"> 000 détenus </w:t>
      </w:r>
      <w:r w:rsidR="005F148A" w:rsidRPr="005F148A">
        <w:rPr>
          <w:lang w:val="fr-FR"/>
        </w:rPr>
        <w:t xml:space="preserve">n’ont pas </w:t>
      </w:r>
      <w:r>
        <w:rPr>
          <w:lang w:val="fr-FR"/>
        </w:rPr>
        <w:t>encore été jugés</w:t>
      </w:r>
      <w:r w:rsidR="005F148A" w:rsidRPr="005F148A">
        <w:rPr>
          <w:lang w:val="fr-FR"/>
        </w:rPr>
        <w:t>. Dans de telles conditions, il est difficile de respecter les normes internationales, notamment celles qui prévoient la séparation entre les prévenus et le</w:t>
      </w:r>
      <w:r>
        <w:rPr>
          <w:lang w:val="fr-FR"/>
        </w:rPr>
        <w:t>s condamnés. Il y a au total 27 </w:t>
      </w:r>
      <w:r w:rsidR="005F148A" w:rsidRPr="005F148A">
        <w:rPr>
          <w:lang w:val="fr-FR"/>
        </w:rPr>
        <w:t>unités pénitentiaires, dont 5 centres pour</w:t>
      </w:r>
      <w:r>
        <w:rPr>
          <w:lang w:val="fr-FR"/>
        </w:rPr>
        <w:t xml:space="preserve"> mineurs délinquants de 13 à 18 </w:t>
      </w:r>
      <w:r w:rsidR="005F148A" w:rsidRPr="005F148A">
        <w:rPr>
          <w:lang w:val="fr-FR"/>
        </w:rPr>
        <w:t>ans. La législation tunisienne dispose que dans des circonstances exceptionnelles, s’il n’est pas possible de prendre d’autres mesures, les enf</w:t>
      </w:r>
      <w:r w:rsidR="00554570">
        <w:rPr>
          <w:lang w:val="fr-FR"/>
        </w:rPr>
        <w:t>ants condamnés peuvent être incarcérés et d</w:t>
      </w:r>
      <w:r w:rsidR="005F148A" w:rsidRPr="005F148A">
        <w:rPr>
          <w:lang w:val="fr-FR"/>
        </w:rPr>
        <w:t xml:space="preserve">oivent </w:t>
      </w:r>
      <w:r w:rsidR="00554570">
        <w:rPr>
          <w:lang w:val="fr-FR"/>
        </w:rPr>
        <w:t xml:space="preserve">alors </w:t>
      </w:r>
      <w:r w:rsidR="005F148A" w:rsidRPr="005F148A">
        <w:rPr>
          <w:lang w:val="fr-FR"/>
        </w:rPr>
        <w:t>être détenus dans de</w:t>
      </w:r>
      <w:r w:rsidR="00554570">
        <w:rPr>
          <w:lang w:val="fr-FR"/>
        </w:rPr>
        <w:t>s infrastructures pour mineurs</w:t>
      </w:r>
      <w:r w:rsidR="005F148A" w:rsidRPr="005F148A">
        <w:rPr>
          <w:lang w:val="fr-FR"/>
        </w:rPr>
        <w:t xml:space="preserve">. Cette mesure peut être revue à tout moment. </w:t>
      </w:r>
    </w:p>
    <w:p w:rsidR="005F148A" w:rsidRPr="00657B84" w:rsidRDefault="00554570" w:rsidP="00657B84">
      <w:pPr>
        <w:pStyle w:val="SingleTxtG"/>
      </w:pPr>
      <w:r w:rsidRPr="00D64614">
        <w:t>13.</w:t>
      </w:r>
      <w:r w:rsidRPr="00D64614">
        <w:tab/>
      </w:r>
      <w:r w:rsidR="00D64614">
        <w:t>Le personnel médical</w:t>
      </w:r>
      <w:r w:rsidR="005F148A" w:rsidRPr="00D64614">
        <w:t xml:space="preserve"> en prison</w:t>
      </w:r>
      <w:r w:rsidR="00D64614">
        <w:t xml:space="preserve"> se limite actuellement à </w:t>
      </w:r>
      <w:r w:rsidR="005F148A" w:rsidRPr="00D64614">
        <w:t xml:space="preserve">25 médecins et 13 dentistes employés par l’État. Depuis 2014, des travaux de </w:t>
      </w:r>
      <w:r w:rsidR="00D64614">
        <w:t>rénovation</w:t>
      </w:r>
      <w:r w:rsidR="005F148A" w:rsidRPr="00D64614">
        <w:t xml:space="preserve"> ont été entrepris dans certaines structures en fonction des ressources disponibles. Conformément au plan d’action du Ministère de la justice pour la période 2009-2015, des dispositifs de lutte contre l</w:t>
      </w:r>
      <w:r w:rsidR="00D64614">
        <w:t>e surpeuplement</w:t>
      </w:r>
      <w:r w:rsidR="005F148A" w:rsidRPr="00D64614">
        <w:t xml:space="preserve"> carcéral ont été mis en place en coopération avec des acteurs internationaux</w:t>
      </w:r>
      <w:r w:rsidR="00D64614">
        <w:t>, parmi lesquels le Comité international de la Croix-Rouge (CICR) et le Haut-Commissariat des Nations Unies aux droits de l’homme (HCDH)</w:t>
      </w:r>
      <w:r w:rsidR="005F148A" w:rsidRPr="00D64614">
        <w:t xml:space="preserve">. </w:t>
      </w:r>
      <w:r w:rsidR="00D64614">
        <w:t>Les</w:t>
      </w:r>
      <w:r w:rsidR="005F148A" w:rsidRPr="00D64614">
        <w:t xml:space="preserve"> dispositions du Code pénal </w:t>
      </w:r>
      <w:r w:rsidR="00D64614">
        <w:t>ont été</w:t>
      </w:r>
      <w:r w:rsidR="005F148A" w:rsidRPr="00D64614">
        <w:t xml:space="preserve"> modifiées</w:t>
      </w:r>
      <w:r w:rsidR="00D64614">
        <w:t xml:space="preserve"> pour permettre au juge de prendre d’autres mesures que la détention, comme le contrôle judiciaire ou l’utilisation du bracelet électronique</w:t>
      </w:r>
      <w:r w:rsidR="005F148A" w:rsidRPr="00D64614">
        <w:t xml:space="preserve">. </w:t>
      </w:r>
      <w:r w:rsidR="005F148A" w:rsidRPr="00657B84">
        <w:t xml:space="preserve">En janvier 2016, le Conseil des ministres a planché sur la modernisation des prisons et a pris des mesures de nature à améliorer l’environnement des détenus et des agents pénitentiaires. Différents </w:t>
      </w:r>
      <w:r w:rsidR="00744358">
        <w:t>mi</w:t>
      </w:r>
      <w:r w:rsidR="005F148A" w:rsidRPr="00657B84">
        <w:t>nistères offrent une aide aux institutions de l’État qui accueillent des détenus dans le cadre de travaux d’intérêt public.</w:t>
      </w:r>
    </w:p>
    <w:p w:rsidR="005F148A" w:rsidRPr="00657B84" w:rsidRDefault="00D64614" w:rsidP="00657B84">
      <w:pPr>
        <w:pStyle w:val="SingleTxtG"/>
      </w:pPr>
      <w:r>
        <w:t>14.</w:t>
      </w:r>
      <w:r>
        <w:tab/>
      </w:r>
      <w:r w:rsidR="005F148A" w:rsidRPr="00D64614">
        <w:rPr>
          <w:b/>
        </w:rPr>
        <w:t>M. Ben Nasr</w:t>
      </w:r>
      <w:r w:rsidR="005F148A" w:rsidRPr="00657B84">
        <w:t xml:space="preserve"> (Tunis</w:t>
      </w:r>
      <w:r w:rsidR="00651922">
        <w:t>ie) dit que la loi 5-2016 du 16 </w:t>
      </w:r>
      <w:r w:rsidR="005F148A" w:rsidRPr="00657B84">
        <w:t xml:space="preserve">février 2016 portant modification du Code de procédure pénale réglemente les interventions des médecins en garde à vue. Il précise que l’examen médical peut être demandé par le gardé à vue, ses parents, ses enfants, ses frères ou son conjoint, l’avocat ou encore les autorités diplomatiques ou consulaires lorsque l’intéressé est étranger. L’examen peut avoir lieu à n’importe quel moment de la garde à vue, sur </w:t>
      </w:r>
      <w:r>
        <w:t>ordonnance</w:t>
      </w:r>
      <w:r w:rsidR="005F148A" w:rsidRPr="00657B84">
        <w:t xml:space="preserve"> judiciaire, dès lors que la demande a été adressée par écrit au Procureur de la République ou à un officier de police judiciaire. Les </w:t>
      </w:r>
      <w:r w:rsidR="00744358">
        <w:t>M</w:t>
      </w:r>
      <w:r w:rsidR="005F148A" w:rsidRPr="00657B84">
        <w:t xml:space="preserve">inistères de la santé, de l’intérieur et de la justice travaillent actuellement à l’élaboration de procédures applicables aux examens médicaux, qui devront établir quels médecins sont habilités à pratiquer </w:t>
      </w:r>
      <w:r>
        <w:t xml:space="preserve">ces examens </w:t>
      </w:r>
      <w:r w:rsidR="005F148A" w:rsidRPr="00657B84">
        <w:t xml:space="preserve">et définir les conditions dans lesquelles </w:t>
      </w:r>
      <w:r>
        <w:t xml:space="preserve">ils </w:t>
      </w:r>
      <w:r w:rsidR="005F148A" w:rsidRPr="00657B84">
        <w:t xml:space="preserve">devront se dérouler, ainsi que le lieu réservé à cet effet. Actuellement, les détenus n’ont pas le choix du médecin qui va les examiner. Dans les prisons qui ont un médecin à demeure, les examens médicaux sont systématiquement effectués dans les </w:t>
      </w:r>
      <w:r>
        <w:t>quarante-huit </w:t>
      </w:r>
      <w:r w:rsidR="005F148A" w:rsidRPr="00657B84">
        <w:t xml:space="preserve">heures suivant l’admission du détenu, tandis que dans celles qui en sont dépourvues, le délai maximal est porté à </w:t>
      </w:r>
      <w:r>
        <w:t>soixante</w:t>
      </w:r>
      <w:r>
        <w:noBreakHyphen/>
        <w:t>douze </w:t>
      </w:r>
      <w:r w:rsidR="005F148A" w:rsidRPr="00657B84">
        <w:t xml:space="preserve">heures. Depuis 2012, les examens sont confidentiels et pratiqués hors de </w:t>
      </w:r>
      <w:r w:rsidR="005F148A" w:rsidRPr="00657B84">
        <w:lastRenderedPageBreak/>
        <w:t>vue et de portée des gardiens de prison. Les rares médecins qui n’ont pas respecté cette obligation ont été rappelés à l’ordre. Propriété de l’administration pénitentiaire, le dossier médical des détenus ne peut être transmis à l</w:t>
      </w:r>
      <w:r w:rsidR="004A404F">
        <w:t xml:space="preserve">eur </w:t>
      </w:r>
      <w:r w:rsidR="005F148A" w:rsidRPr="00657B84">
        <w:t xml:space="preserve">avocat que sur ordre </w:t>
      </w:r>
      <w:r w:rsidR="004A404F">
        <w:t>du juge</w:t>
      </w:r>
      <w:r w:rsidR="005F148A" w:rsidRPr="00657B84">
        <w:t xml:space="preserve">. Pour cela, l’avocat doit </w:t>
      </w:r>
      <w:r w:rsidR="004A404F">
        <w:t>adresser</w:t>
      </w:r>
      <w:r w:rsidR="005F148A" w:rsidRPr="00657B84">
        <w:t xml:space="preserve"> une demande écrite au juge, qui ordonne au médecin traitant de rédiger un rapport médical et de lui transmettre. C’est le juge lui-même qui le fait tenir à l’avocat. </w:t>
      </w:r>
    </w:p>
    <w:p w:rsidR="005F148A" w:rsidRPr="00657B84" w:rsidRDefault="004A404F" w:rsidP="00657B84">
      <w:pPr>
        <w:pStyle w:val="SingleTxtG"/>
      </w:pPr>
      <w:r>
        <w:t>15.</w:t>
      </w:r>
      <w:r>
        <w:tab/>
      </w:r>
      <w:r w:rsidR="005F148A" w:rsidRPr="00657B84">
        <w:t>La loi du 1</w:t>
      </w:r>
      <w:r w:rsidR="005F148A" w:rsidRPr="004A404F">
        <w:rPr>
          <w:vertAlign w:val="superscript"/>
        </w:rPr>
        <w:t>er</w:t>
      </w:r>
      <w:r>
        <w:t> </w:t>
      </w:r>
      <w:r w:rsidR="005F148A" w:rsidRPr="00657B84">
        <w:t xml:space="preserve">août 1957 réglementant l’état civil dispose en son article 48 que « lorsqu’il y [a] des signes ou indices de mort violente, ou d’autres circonstances qui [donnent] lieu de le soupçonner, on ne [peut] faire l’inhumation qu’après qu’un </w:t>
      </w:r>
      <w:r w:rsidR="00744358">
        <w:t>o</w:t>
      </w:r>
      <w:r w:rsidR="005F148A" w:rsidRPr="00657B84">
        <w:t>fficier de Police, assisté d’un docteur en médecine, [a] dressé un procès-verbal de l’état du cadavre et des circonstances y rel</w:t>
      </w:r>
      <w:r w:rsidR="00744358">
        <w:t xml:space="preserve">atives ». </w:t>
      </w:r>
      <w:r w:rsidR="005F148A" w:rsidRPr="00657B84">
        <w:t xml:space="preserve">En pratique, les autopsies se font sur réquisition judiciaire ou policière, et sont pratiquées par des médecins légistes indépendants qui relèvent du Ministère de la santé. Les rapports d’autopsie sont transmis à l’autorité requérante et sont couverts par le secret de l’instruction, et les ayant-droits peuvent en obtenir une copie. </w:t>
      </w:r>
    </w:p>
    <w:p w:rsidR="005F148A" w:rsidRPr="00657B84" w:rsidRDefault="004A404F" w:rsidP="00657B84">
      <w:pPr>
        <w:pStyle w:val="SingleTxtG"/>
      </w:pPr>
      <w:r>
        <w:t>16.</w:t>
      </w:r>
      <w:r>
        <w:tab/>
      </w:r>
      <w:r w:rsidR="005F148A" w:rsidRPr="00657B84">
        <w:t>Lorsqu’ils procèdent à un examen médical, les médecins sont tenus de respecter l’Ensemble de règles minima des Nations Unies pour le traitement des détenus (</w:t>
      </w:r>
      <w:bookmarkStart w:id="1" w:name="hit1"/>
      <w:bookmarkEnd w:id="1"/>
      <w:r w:rsidR="005F148A" w:rsidRPr="00657B84">
        <w:t xml:space="preserve">Règles Mandela), qui ont été reprises dans le Code de déontologie médicale. Ce code dispose que le médecin a pour devoir de respecter la personne humaine, de soigner tous ses malades avec la même conscience et sans discrimination aucune, et ne peut, lorsqu’il examine une personne privée de liberté ou lui donne des soins, favoriser ni cautionner une atteinte à sa dignité ou à son intégrité physique ou mentale. Les médecins jouent le rôle d’auxiliaires de justice en informant les juges sur des faits d’ordre médical ou biologique. Pour cela, ils </w:t>
      </w:r>
      <w:r>
        <w:t>peuvent être amenés à effectuer d</w:t>
      </w:r>
      <w:r w:rsidR="005F148A" w:rsidRPr="00657B84">
        <w:t>es prélèvements aux fins d’analyse ADN et d</w:t>
      </w:r>
      <w:r>
        <w:t>e</w:t>
      </w:r>
      <w:r w:rsidR="005F148A" w:rsidRPr="00657B84">
        <w:t xml:space="preserve"> dépistage de drogues ou d’alcool, </w:t>
      </w:r>
      <w:r>
        <w:t xml:space="preserve">et à procéder </w:t>
      </w:r>
      <w:r w:rsidR="005F148A" w:rsidRPr="00657B84">
        <w:t xml:space="preserve">à un examen génito-anal ou à </w:t>
      </w:r>
      <w:r>
        <w:t>une</w:t>
      </w:r>
      <w:r w:rsidR="005F148A" w:rsidRPr="00657B84">
        <w:t xml:space="preserve"> fouille</w:t>
      </w:r>
      <w:r>
        <w:t xml:space="preserve"> </w:t>
      </w:r>
      <w:r w:rsidR="005F148A" w:rsidRPr="00657B84">
        <w:t>corporelle</w:t>
      </w:r>
      <w:r>
        <w:t xml:space="preserve"> intégrale</w:t>
      </w:r>
      <w:r w:rsidR="005F148A" w:rsidRPr="00657B84">
        <w:t>. Les examens génito-anaux sont pratiqués dans les affaires d’agression sexuelle, qui touchent à 85</w:t>
      </w:r>
      <w:r>
        <w:t> </w:t>
      </w:r>
      <w:r w:rsidR="005F148A" w:rsidRPr="00657B84">
        <w:t xml:space="preserve">% des enfants. Le problème réside dans le fait que les procédures sont standard et que les médecins ne connaissent pas les conditions dans lesquelles se sont déroulées l’arrestation, la garde à vue </w:t>
      </w:r>
      <w:r w:rsidR="00744358">
        <w:t>ou</w:t>
      </w:r>
      <w:r w:rsidR="005F148A" w:rsidRPr="00657B84">
        <w:t xml:space="preserve"> l’éventuelle agression subie par le détenu. Le patient peut refuser de se soumettre à l’examen </w:t>
      </w:r>
      <w:r>
        <w:t>en signant</w:t>
      </w:r>
      <w:r w:rsidR="005F148A" w:rsidRPr="00657B84">
        <w:t xml:space="preserve"> un procès-verbal </w:t>
      </w:r>
      <w:r>
        <w:t>à cet effet</w:t>
      </w:r>
      <w:r w:rsidR="005F148A" w:rsidRPr="00657B84">
        <w:t xml:space="preserve">. Deux affaires très médiatisées posant le problème du consentement du patient ont suscité de vives </w:t>
      </w:r>
      <w:r>
        <w:t>réactions</w:t>
      </w:r>
      <w:r w:rsidR="005F148A" w:rsidRPr="00657B84">
        <w:t xml:space="preserve"> de la part de la société civile récemment</w:t>
      </w:r>
      <w:r w:rsidR="00744358">
        <w:t> </w:t>
      </w:r>
      <w:r w:rsidR="005F148A" w:rsidRPr="00657B84">
        <w:t xml:space="preserve">; dans la première, le médecin légiste a apporté la preuve qu’il avait donné au patient des informations claires, et dans la seconde, il a produit la preuve du consentement éclairé des intéressés. Cela dit, </w:t>
      </w:r>
      <w:r w:rsidR="00744358">
        <w:t>la</w:t>
      </w:r>
      <w:r w:rsidR="005F148A" w:rsidRPr="00657B84">
        <w:t xml:space="preserve"> question de la validité du consentement éclairé et signé d’une personne privée de liberté se pose. </w:t>
      </w:r>
    </w:p>
    <w:p w:rsidR="005F148A" w:rsidRPr="00657B84" w:rsidRDefault="004A404F" w:rsidP="00657B84">
      <w:pPr>
        <w:pStyle w:val="SingleTxtG"/>
      </w:pPr>
      <w:r>
        <w:t>17.</w:t>
      </w:r>
      <w:r>
        <w:tab/>
      </w:r>
      <w:r w:rsidR="005F148A" w:rsidRPr="004A404F">
        <w:rPr>
          <w:b/>
        </w:rPr>
        <w:t>M. Ben Hsein</w:t>
      </w:r>
      <w:r w:rsidR="005F148A" w:rsidRPr="00657B84">
        <w:t xml:space="preserve"> (Tunisie) dit qu’une équipe s’est rendue dans les centres de détention du pays, notamment celui de Bouchoucha, pour se rendre compte des conditions de détention et élaborer un guide sur les droits des prisonniers. </w:t>
      </w:r>
    </w:p>
    <w:p w:rsidR="005F148A" w:rsidRPr="005F148A" w:rsidRDefault="00651922" w:rsidP="00657B84">
      <w:pPr>
        <w:pStyle w:val="SingleTxtG"/>
      </w:pPr>
      <w:r w:rsidRPr="004A404F">
        <w:t>18.</w:t>
      </w:r>
      <w:r w:rsidRPr="004A404F">
        <w:tab/>
      </w:r>
      <w:r w:rsidRPr="005F148A">
        <w:rPr>
          <w:b/>
        </w:rPr>
        <w:t>M. Kaddour</w:t>
      </w:r>
      <w:r w:rsidRPr="005F148A">
        <w:t xml:space="preserve"> (Tunisie) </w:t>
      </w:r>
      <w:r>
        <w:t xml:space="preserve">indique </w:t>
      </w:r>
      <w:r w:rsidRPr="005F148A">
        <w:t xml:space="preserve">que le nombre de décès en détention </w:t>
      </w:r>
      <w:r>
        <w:t xml:space="preserve">a été de 25 en 2013, de 36 en 2014 et </w:t>
      </w:r>
      <w:r w:rsidRPr="005F148A">
        <w:t xml:space="preserve">de 37 en 2015 et </w:t>
      </w:r>
      <w:r>
        <w:t xml:space="preserve">précise que, </w:t>
      </w:r>
      <w:r w:rsidR="00744358">
        <w:t>lors</w:t>
      </w:r>
      <w:r>
        <w:t>qu</w:t>
      </w:r>
      <w:r w:rsidRPr="005F148A">
        <w:t>’un décès survient en prison, les autorités administratives et judiciaires ainsi que la famille du défunt sont prévenu</w:t>
      </w:r>
      <w:r w:rsidR="008F24D3">
        <w:t>es</w:t>
      </w:r>
      <w:r w:rsidRPr="005F148A">
        <w:t xml:space="preserve"> et une information judiciaire est ouverte par le Procureur de la République pour déterminer les circonstances de la mort. </w:t>
      </w:r>
      <w:r w:rsidR="005F148A" w:rsidRPr="005F148A">
        <w:t xml:space="preserve">Il assure que le Gouvernement </w:t>
      </w:r>
      <w:r w:rsidR="004A404F">
        <w:t>tunisien</w:t>
      </w:r>
      <w:r w:rsidR="005F148A" w:rsidRPr="005F148A">
        <w:t xml:space="preserve"> communiquera par écrit au Comité les réponses aux questions posées au sujet des personnes décédées en détention et des détenus affirmant avoir été victimes de torture et de mauvais traitements en détention. </w:t>
      </w:r>
    </w:p>
    <w:p w:rsidR="005F148A" w:rsidRPr="005F148A" w:rsidRDefault="004A404F" w:rsidP="00657B84">
      <w:pPr>
        <w:pStyle w:val="SingleTxtG"/>
      </w:pPr>
      <w:r>
        <w:t>19.</w:t>
      </w:r>
      <w:r>
        <w:tab/>
      </w:r>
      <w:r w:rsidR="005F148A" w:rsidRPr="005F148A">
        <w:t xml:space="preserve">Le Ministère de l’intérieur s’emploie à développer l’appareil de sécurité du pays, </w:t>
      </w:r>
      <w:r>
        <w:t xml:space="preserve">tout en </w:t>
      </w:r>
      <w:r w:rsidR="005F148A" w:rsidRPr="005F148A">
        <w:t>amélior</w:t>
      </w:r>
      <w:r>
        <w:t>ant</w:t>
      </w:r>
      <w:r w:rsidR="005F148A" w:rsidRPr="005F148A">
        <w:t xml:space="preserve"> les relations entr</w:t>
      </w:r>
      <w:r>
        <w:t>e les policiers et les citoyens</w:t>
      </w:r>
      <w:r w:rsidR="005F148A" w:rsidRPr="005F148A">
        <w:t xml:space="preserve">, notamment par la création, en collaboration avec le Programme des Nations Unies pour le développement (PNUD), d’une police de proximité apte à répondre aux situations d’urgence. Dans le cadre de leur formation initiale et de la formation continue, les agents des forces de sécurité, y compris ceux de la police municipale, suivent des cours sur les droits de l’homme et sur la prévention de la torture et des traitements cruels, inhumains et dégradants. Dans le cadre de </w:t>
      </w:r>
      <w:r w:rsidR="005F148A" w:rsidRPr="005F148A">
        <w:lastRenderedPageBreak/>
        <w:t xml:space="preserve">la coopération internationale, un mini-guide à l’intention des agents de sécurité a été élaboré par le </w:t>
      </w:r>
      <w:r>
        <w:t>HCDH</w:t>
      </w:r>
      <w:r w:rsidR="005F148A" w:rsidRPr="005F148A">
        <w:t xml:space="preserve"> et l’Institution nationale des droits de l’homme. </w:t>
      </w:r>
      <w:r>
        <w:t>Des</w:t>
      </w:r>
      <w:r w:rsidR="005F148A" w:rsidRPr="005F148A">
        <w:t xml:space="preserve"> procédures standard relatives aux méthodes d’interrogatoire</w:t>
      </w:r>
      <w:r>
        <w:t xml:space="preserve"> ont été adoptées</w:t>
      </w:r>
      <w:r w:rsidR="005F148A" w:rsidRPr="005F148A">
        <w:t xml:space="preserve">. En outre, les autorités compétentes procèdent actuellement à l’élaboration d’un code de conduite destiné aux agents des forces de l’ordre en collaboration avec le PNUD, et à celle d’un manuel relatif au traitement des détenus avec l’Organisation des Nations Unies pour l’éducation, la science et la culture (UNESCO). </w:t>
      </w:r>
    </w:p>
    <w:p w:rsidR="004A404F" w:rsidRPr="005F148A" w:rsidRDefault="004A404F" w:rsidP="004A404F">
      <w:pPr>
        <w:pStyle w:val="SingleTxtG"/>
      </w:pPr>
      <w:r>
        <w:t>20.</w:t>
      </w:r>
      <w:r>
        <w:tab/>
      </w:r>
      <w:r w:rsidR="005F148A" w:rsidRPr="005F148A">
        <w:t>Depuis la Révolution, le Ministère de l’i</w:t>
      </w:r>
      <w:r>
        <w:t xml:space="preserve">ntérieur a pris la décision </w:t>
      </w:r>
      <w:r w:rsidR="005F148A" w:rsidRPr="005F148A">
        <w:t xml:space="preserve">de fermer les centres de détention officieux et a ouvert tous les centres de détention aux </w:t>
      </w:r>
      <w:r>
        <w:t>ONG</w:t>
      </w:r>
      <w:r w:rsidR="005F148A" w:rsidRPr="005F148A">
        <w:t xml:space="preserve">, qui peuvent interroger les détenus librement. </w:t>
      </w:r>
      <w:r>
        <w:t>L</w:t>
      </w:r>
      <w:r w:rsidR="005F148A" w:rsidRPr="005F148A">
        <w:t>’Institution nationale des droits de l’homme, le CICR et d’autres organisations internationales y effectuent de fréquentes visites</w:t>
      </w:r>
      <w:r>
        <w:t xml:space="preserve"> dans les prisons</w:t>
      </w:r>
      <w:r w:rsidR="005F148A" w:rsidRPr="005F148A">
        <w:t xml:space="preserve">. Le centre de El Gorjani regroupe deux institutions, la police judiciaire et la brigade antiterroriste, qui disposent chacune d’un centre de détention répondant aux normes internationales pertinentes. Si le Rapporteur spécial sur la torture et autres peines ou traitements cruels, inhumains ou dégradants, M. Mendéz, n’a pas pu s’y rendre, c’est en raison d’un manque de communication entre les différentes instances gouvernementales. Depuis peu, ce centre a été ouvert aux visites, et le CICR s’est rendu sur place en mars 2016. </w:t>
      </w:r>
      <w:r w:rsidRPr="005F148A">
        <w:t xml:space="preserve">Le Ministère de l’intérieur s’est attaché à garantir à toutes les personnes détenues dans le cadre d’affaires de terrorisme les droits consacrés par les instruments internationaux relatifs aux droits de l’homme, et des visites inopinées sont effectuées dans les centres où sont détenus les suspects. Une nouvelle loi a d’ailleurs été élaborée en 2015 pour encadrer les droits de ces personnes. </w:t>
      </w:r>
    </w:p>
    <w:p w:rsidR="005F148A" w:rsidRPr="005F148A" w:rsidRDefault="004A404F" w:rsidP="00657B84">
      <w:pPr>
        <w:pStyle w:val="SingleTxtG"/>
      </w:pPr>
      <w:r>
        <w:t>21.</w:t>
      </w:r>
      <w:r>
        <w:tab/>
        <w:t>Les</w:t>
      </w:r>
      <w:r w:rsidR="005F148A" w:rsidRPr="005F148A">
        <w:t xml:space="preserve"> agents des forces de sécurité intérieure qui commettent une infraction sont passibles de poursuites pénales et sont tenus d’indemniser la victime s’ils commettent un acte grave dans </w:t>
      </w:r>
      <w:r>
        <w:t>l’exercice de leurs fonctions. Le nombre d’</w:t>
      </w:r>
      <w:r w:rsidR="005F148A" w:rsidRPr="005F148A">
        <w:t xml:space="preserve">affaires relatives à des abus de pouvoir de la part des forces de l’ordre </w:t>
      </w:r>
      <w:r w:rsidR="008F24D3">
        <w:t xml:space="preserve">portées devant les tribunaux </w:t>
      </w:r>
      <w:r>
        <w:t xml:space="preserve">a été de 498 en 2013 et 548 en 2015. Les peines prononcées </w:t>
      </w:r>
      <w:r w:rsidR="00F94162">
        <w:t>sont allées du</w:t>
      </w:r>
      <w:r w:rsidR="005F148A" w:rsidRPr="005F148A">
        <w:t xml:space="preserve"> blâme à la destitution, en passant par des amendes et des mesures de suspension. </w:t>
      </w:r>
    </w:p>
    <w:p w:rsidR="005F148A" w:rsidRPr="005F148A" w:rsidRDefault="00F94162" w:rsidP="00657B84">
      <w:pPr>
        <w:pStyle w:val="SingleTxtG"/>
      </w:pPr>
      <w:r w:rsidRPr="00F94162">
        <w:t>22.</w:t>
      </w:r>
      <w:r w:rsidRPr="00F94162">
        <w:tab/>
      </w:r>
      <w:r w:rsidR="005F148A" w:rsidRPr="005F148A">
        <w:rPr>
          <w:b/>
        </w:rPr>
        <w:t>M. Sboui</w:t>
      </w:r>
      <w:r w:rsidR="005F148A" w:rsidRPr="005F148A">
        <w:t xml:space="preserve"> (Tunisie) dit que les migrants sont placés en rétention provisoire dans l’attente de la détermination de leur statut. Le Gouvernement tunisien leur fournit un hébergement et de la nourriture, en coopération avec leur pays d’origine, et fait tout ce qui est en son pouvoir pour </w:t>
      </w:r>
      <w:r>
        <w:t>s’assurer que les conditions de sécurité nécessaires à l’exécution des mesures de renvoi sont réunies</w:t>
      </w:r>
      <w:r w:rsidR="005F148A" w:rsidRPr="005F148A">
        <w:t>. Plusieurs centres de rétention ont été ouverts au</w:t>
      </w:r>
      <w:r>
        <w:t>x visites du</w:t>
      </w:r>
      <w:r w:rsidR="005F148A" w:rsidRPr="005F148A">
        <w:t xml:space="preserve"> CICR, </w:t>
      </w:r>
      <w:r>
        <w:t>de</w:t>
      </w:r>
      <w:r w:rsidR="005F148A" w:rsidRPr="005F148A">
        <w:t xml:space="preserve"> Médecins sans frontière, </w:t>
      </w:r>
      <w:r>
        <w:t>de</w:t>
      </w:r>
      <w:r w:rsidR="005F148A" w:rsidRPr="005F148A">
        <w:t xml:space="preserve"> l’Institution nationale des droits de l’homme et </w:t>
      </w:r>
      <w:r>
        <w:t>d</w:t>
      </w:r>
      <w:r w:rsidR="005F148A" w:rsidRPr="005F148A">
        <w:t xml:space="preserve">u représentant de l’Union européenne, entre autres. </w:t>
      </w:r>
    </w:p>
    <w:p w:rsidR="005F148A" w:rsidRPr="005F148A" w:rsidRDefault="00F94162" w:rsidP="00657B84">
      <w:pPr>
        <w:pStyle w:val="SingleTxtG"/>
      </w:pPr>
      <w:r>
        <w:t>23.</w:t>
      </w:r>
      <w:r>
        <w:tab/>
      </w:r>
      <w:r w:rsidR="005F148A" w:rsidRPr="005F148A">
        <w:rPr>
          <w:b/>
        </w:rPr>
        <w:t>M.</w:t>
      </w:r>
      <w:r>
        <w:rPr>
          <w:b/>
        </w:rPr>
        <w:t> </w:t>
      </w:r>
      <w:r w:rsidR="005F148A" w:rsidRPr="005F148A">
        <w:rPr>
          <w:b/>
        </w:rPr>
        <w:t>Ferjani</w:t>
      </w:r>
      <w:r w:rsidR="005F148A" w:rsidRPr="005F148A">
        <w:t xml:space="preserve"> (Tunisie) explique que pour renforcer davantage la liberté d’opinion et d’expression, le Ministère de l’intérieur a réexaminé la loi n</w:t>
      </w:r>
      <w:r w:rsidR="005F148A" w:rsidRPr="005F148A">
        <w:rPr>
          <w:vertAlign w:val="superscript"/>
        </w:rPr>
        <w:t>o</w:t>
      </w:r>
      <w:r w:rsidR="005F148A" w:rsidRPr="005F148A">
        <w:t> 1969-04 réglementant les réunions publiques, cortèges, défilés, manifestations et attroupements, dont de nombreux articles n’étaient pas conformes aux normes internationales pertinentes. Le Ministère a présenté un projet de loi qui réglemente l’exercice du droit de se réunir et du droit de manifester de manière pacifique, qui a été soumis à la présidence du Conseil des ministres en attendant d’être examiné et soumis au vote de l’Assemblée des représentants du peuple. Dans l’attente de l’adoption de ce texte, le Ministère a publié des directives invitant ses agents à éviter d’appliquer certaines dispositions de la loi n</w:t>
      </w:r>
      <w:r w:rsidR="005F148A" w:rsidRPr="005F148A">
        <w:rPr>
          <w:vertAlign w:val="superscript"/>
        </w:rPr>
        <w:t>o</w:t>
      </w:r>
      <w:r w:rsidR="005F148A" w:rsidRPr="005F148A">
        <w:t xml:space="preserve"> 1969-04, comme celles qui autorisent l’utilisation d’armes à feu et a organisé des ateliers de travail et des tables rondes, notamment avec la participation d’organismes internationaux, </w:t>
      </w:r>
      <w:r>
        <w:t>comme le</w:t>
      </w:r>
      <w:r w:rsidR="005F148A" w:rsidRPr="005F148A">
        <w:t xml:space="preserve"> </w:t>
      </w:r>
      <w:r>
        <w:t xml:space="preserve">PNUD </w:t>
      </w:r>
      <w:r w:rsidR="005F148A" w:rsidRPr="005F148A">
        <w:t>et de représentants de la société civile afin d’examiner la question et d</w:t>
      </w:r>
      <w:r>
        <w:t>’</w:t>
      </w:r>
      <w:r w:rsidR="008F24D3">
        <w:t xml:space="preserve">arrêter </w:t>
      </w:r>
      <w:r w:rsidR="005F148A" w:rsidRPr="005F148A">
        <w:t xml:space="preserve">les normes et les règles </w:t>
      </w:r>
      <w:r>
        <w:t>à appliquer</w:t>
      </w:r>
      <w:r w:rsidR="005F148A" w:rsidRPr="005F148A">
        <w:t xml:space="preserve"> dans ce domaine. </w:t>
      </w:r>
    </w:p>
    <w:p w:rsidR="005F148A" w:rsidRPr="005F148A" w:rsidRDefault="00F94162" w:rsidP="00EA6F3C">
      <w:pPr>
        <w:pStyle w:val="SingleTxtG"/>
        <w:keepNext/>
        <w:keepLines/>
      </w:pPr>
      <w:r>
        <w:lastRenderedPageBreak/>
        <w:t>24.</w:t>
      </w:r>
      <w:r>
        <w:tab/>
      </w:r>
      <w:r w:rsidR="005F148A" w:rsidRPr="005F148A">
        <w:rPr>
          <w:b/>
        </w:rPr>
        <w:t>M. Kaddour</w:t>
      </w:r>
      <w:r w:rsidR="005F148A" w:rsidRPr="005F148A">
        <w:t xml:space="preserve"> (Tunisie) indique que la cellule des droits de l’homme du Ministère de l’intérieur est un mécanisme de médiation </w:t>
      </w:r>
      <w:r>
        <w:t>qui est chargé de traiter les</w:t>
      </w:r>
      <w:r w:rsidR="005F148A" w:rsidRPr="005F148A">
        <w:t xml:space="preserve"> plaintes relatives à des violations des droits de l’homme déposées directement par </w:t>
      </w:r>
      <w:r>
        <w:t>des particuliers</w:t>
      </w:r>
      <w:r w:rsidR="005F148A" w:rsidRPr="005F148A">
        <w:t xml:space="preserve"> ou par des organisations nationales, comme la Ligue tunisienne des droits de l’homme, ou des organisations internationales. Ce mécanisme, qui est placé sous l’autorité directe du Ministère, oriente les victimes vers les instances compétentes et leur donne des conseils sur la procédure à suivre. Il sert de mécanisme de contrôle de la mise en œuvre des droits de l’homme au sein du Ministère. </w:t>
      </w:r>
    </w:p>
    <w:p w:rsidR="005F148A" w:rsidRPr="005F148A" w:rsidRDefault="00F94162" w:rsidP="00EA6F3C">
      <w:pPr>
        <w:pStyle w:val="SingleTxtG"/>
        <w:keepNext/>
        <w:keepLines/>
      </w:pPr>
      <w:r>
        <w:t>25.</w:t>
      </w:r>
      <w:r>
        <w:tab/>
      </w:r>
      <w:r w:rsidR="005F148A" w:rsidRPr="005F148A">
        <w:rPr>
          <w:b/>
        </w:rPr>
        <w:t>M</w:t>
      </w:r>
      <w:r w:rsidR="005F148A" w:rsidRPr="00F94162">
        <w:rPr>
          <w:b/>
          <w:vertAlign w:val="superscript"/>
        </w:rPr>
        <w:t>me</w:t>
      </w:r>
      <w:r>
        <w:rPr>
          <w:b/>
        </w:rPr>
        <w:t> </w:t>
      </w:r>
      <w:r w:rsidR="005F148A" w:rsidRPr="005F148A">
        <w:rPr>
          <w:b/>
        </w:rPr>
        <w:t>Seba</w:t>
      </w:r>
      <w:r w:rsidR="005F148A" w:rsidRPr="005F148A">
        <w:t xml:space="preserve"> (Tunisie) dit que la Tunisie est partie à la Convention de 1951 relative au statut des réfugiés, mais que les consultations organisées depuis 2011 afin d’incorporer les dispositions de cet instrument dans </w:t>
      </w:r>
      <w:r>
        <w:t>la législation</w:t>
      </w:r>
      <w:r w:rsidR="005F148A" w:rsidRPr="005F148A">
        <w:t xml:space="preserve"> ont pris beaucoup de retard, situation que la succession de différents gouvernements aux affaires n’a pas amélioré. Les autorités envisagent de créer une commission nationale d’examen des demandes d’asile.</w:t>
      </w:r>
    </w:p>
    <w:p w:rsidR="005F148A" w:rsidRPr="005F148A" w:rsidRDefault="00F94162" w:rsidP="00657B84">
      <w:pPr>
        <w:pStyle w:val="SingleTxtG"/>
      </w:pPr>
      <w:r>
        <w:t>26.</w:t>
      </w:r>
      <w:r>
        <w:tab/>
      </w:r>
      <w:r w:rsidR="005F148A" w:rsidRPr="005F148A">
        <w:rPr>
          <w:b/>
        </w:rPr>
        <w:t>M. Ben Hsein</w:t>
      </w:r>
      <w:r w:rsidR="005F148A" w:rsidRPr="005F148A">
        <w:t xml:space="preserve"> (Tunisie) indique que le personnel pénitentiaire a été invité à participer à toute une série de modules de formation de base qui peuvent être complétés par des formations complémentaires plus poussées. Les institutions nationales des droits de l’homme participent à la conception et à l’organisation de ces formations et plusieurs campagnes de sensibilisation ont été menées en direction des agents pénitentiaires afin qu’ils respectent les normes </w:t>
      </w:r>
      <w:r>
        <w:t>relatives au</w:t>
      </w:r>
      <w:r w:rsidR="005F148A" w:rsidRPr="005F148A">
        <w:t xml:space="preserve"> traitement des détenus et </w:t>
      </w:r>
      <w:r>
        <w:t>les règles de</w:t>
      </w:r>
      <w:r w:rsidR="005F148A" w:rsidRPr="005F148A">
        <w:t xml:space="preserve"> déontologie. L’Institut supérieur de la magistrature détermine le contenu de la formation de base et de la formation continue des juges et</w:t>
      </w:r>
      <w:r w:rsidR="008F24D3">
        <w:t xml:space="preserve"> des magistrats. À ce jour, 140 </w:t>
      </w:r>
      <w:r w:rsidR="005F148A" w:rsidRPr="005F148A">
        <w:t xml:space="preserve">juges ont été formés et un nouveau programme de formation des formateurs est en cours d’élaboration. Chaque année, </w:t>
      </w:r>
      <w:r w:rsidR="008F24D3">
        <w:t>10 </w:t>
      </w:r>
      <w:r w:rsidR="005F148A" w:rsidRPr="005F148A">
        <w:t>nouveaux juges sont formés à la prévention et à la répression de la torture, l’objectif étant de disposer d’un millier de juges et de magistrats formés à ces questions.</w:t>
      </w:r>
    </w:p>
    <w:p w:rsidR="005F148A" w:rsidRPr="005F148A" w:rsidRDefault="00F94162" w:rsidP="00657B84">
      <w:pPr>
        <w:pStyle w:val="SingleTxtG"/>
      </w:pPr>
      <w:r>
        <w:t>27.</w:t>
      </w:r>
      <w:r>
        <w:tab/>
      </w:r>
      <w:r w:rsidR="005F148A" w:rsidRPr="005F148A">
        <w:t>Sept personnes ont été arrêtées dans la foulée des attaques terroristes contre le Musée du Bardo, à Tun</w:t>
      </w:r>
      <w:r>
        <w:t>is, le 18 </w:t>
      </w:r>
      <w:r w:rsidR="008F24D3">
        <w:t xml:space="preserve">mars 2015, </w:t>
      </w:r>
      <w:r w:rsidR="005F148A" w:rsidRPr="005F148A">
        <w:t xml:space="preserve">et </w:t>
      </w:r>
      <w:r>
        <w:t xml:space="preserve">sont </w:t>
      </w:r>
      <w:r w:rsidR="005F148A" w:rsidRPr="005F148A">
        <w:t xml:space="preserve">soupçonnées d’avoir participé à ces attentats. Une enquête a été ouverte et </w:t>
      </w:r>
      <w:r>
        <w:t>l’affaire</w:t>
      </w:r>
      <w:r w:rsidR="005F148A" w:rsidRPr="005F148A">
        <w:t xml:space="preserve"> est à l’instruction. Suite à des allégations de torture sur ces sept prévenus, une nouvelle enquête a été ouverte, qui a confirmé, au moyen d’examens médico-légaux, qu’ils avaient en effet été torturés pendant leurs interrogatoires. Ces personnes ont été libérées depuis. </w:t>
      </w:r>
    </w:p>
    <w:p w:rsidR="005F148A" w:rsidRPr="005F148A" w:rsidRDefault="00F94162" w:rsidP="00657B84">
      <w:pPr>
        <w:pStyle w:val="SingleTxtG"/>
      </w:pPr>
      <w:r>
        <w:t>28.</w:t>
      </w:r>
      <w:r>
        <w:tab/>
      </w:r>
      <w:r w:rsidR="005F148A" w:rsidRPr="005F148A">
        <w:rPr>
          <w:b/>
        </w:rPr>
        <w:t>M</w:t>
      </w:r>
      <w:r w:rsidR="005F148A" w:rsidRPr="00CC30B0">
        <w:rPr>
          <w:b/>
          <w:vertAlign w:val="superscript"/>
        </w:rPr>
        <w:t>me</w:t>
      </w:r>
      <w:r>
        <w:rPr>
          <w:b/>
        </w:rPr>
        <w:t> </w:t>
      </w:r>
      <w:r w:rsidR="005F148A" w:rsidRPr="005F148A">
        <w:rPr>
          <w:b/>
        </w:rPr>
        <w:t>Belmir</w:t>
      </w:r>
      <w:r w:rsidR="005F148A" w:rsidRPr="005F148A">
        <w:t xml:space="preserve"> (Rapporteuse pour la Tunisie) note que </w:t>
      </w:r>
      <w:r w:rsidR="005F148A" w:rsidRPr="005F148A">
        <w:rPr>
          <w:lang w:val="fr-FR"/>
        </w:rPr>
        <w:t>le Code pénal tunisien</w:t>
      </w:r>
      <w:r>
        <w:rPr>
          <w:lang w:val="fr-FR"/>
        </w:rPr>
        <w:t>, tel qu’il</w:t>
      </w:r>
      <w:r w:rsidR="005F148A" w:rsidRPr="005F148A">
        <w:rPr>
          <w:lang w:val="fr-FR"/>
        </w:rPr>
        <w:t xml:space="preserve"> a été révisé par la loi n</w:t>
      </w:r>
      <w:r w:rsidR="005F148A" w:rsidRPr="005F148A">
        <w:rPr>
          <w:vertAlign w:val="superscript"/>
          <w:lang w:val="fr-FR"/>
        </w:rPr>
        <w:t>o</w:t>
      </w:r>
      <w:r>
        <w:rPr>
          <w:lang w:val="fr-FR"/>
        </w:rPr>
        <w:t xml:space="preserve"> 89 du 2 août 1999, </w:t>
      </w:r>
      <w:r w:rsidR="005F148A" w:rsidRPr="005F148A">
        <w:rPr>
          <w:lang w:val="fr-FR"/>
        </w:rPr>
        <w:t>comprend un article 101 </w:t>
      </w:r>
      <w:r w:rsidR="005F148A" w:rsidRPr="005F148A">
        <w:rPr>
          <w:i/>
          <w:lang w:val="fr-FR"/>
        </w:rPr>
        <w:t>bis</w:t>
      </w:r>
      <w:r w:rsidR="005F148A" w:rsidRPr="005F148A">
        <w:rPr>
          <w:lang w:val="fr-FR"/>
        </w:rPr>
        <w:t xml:space="preserve"> qui reprend la </w:t>
      </w:r>
      <w:r w:rsidR="005F148A" w:rsidRPr="005F148A">
        <w:t xml:space="preserve">définition de la torture énoncée à l’article premier de la </w:t>
      </w:r>
      <w:r w:rsidR="005F148A" w:rsidRPr="005F148A">
        <w:rPr>
          <w:lang w:val="fr-FR"/>
        </w:rPr>
        <w:t xml:space="preserve">Convention. La Tunisie affirme que le crime de torture est devenu imprescriptible depuis cette date, mais il serait intéressant de savoir ce qu’il en est des crimes commis avant 1999. </w:t>
      </w:r>
      <w:r w:rsidR="005F148A" w:rsidRPr="005F148A">
        <w:t xml:space="preserve">Le système judiciaire tunisien est certes indépendant mais il semble souffrir de dysfonctionnements importants. </w:t>
      </w:r>
      <w:r>
        <w:t>Plusieurs sources font état de décès en garde à vue, de disparitions de détenus et de maintien en détention prolongée sans présentation à un juge. La délégation est invitée à indiquer si le Ministère de l’intérieur envisage de se pencher sérieusement sur ces dysfonctionnements et sur les raison pour lesquelles les juges semblent fermes les yeux sur ces situations. Elle est également invitée à</w:t>
      </w:r>
      <w:r w:rsidR="005F148A" w:rsidRPr="005F148A">
        <w:t xml:space="preserve"> expliquer </w:t>
      </w:r>
      <w:r>
        <w:t xml:space="preserve">plus avant </w:t>
      </w:r>
      <w:r w:rsidR="005F148A" w:rsidRPr="005F148A">
        <w:t xml:space="preserve">pourquoi l’autorité judiciaire civile a délégué ses compétences à l’autorité judiciaire militaire et pour quelles raisons le Ministère de l’intérieur semble doté de compétences qui surpassent celles de toutes les autres entités du pouvoir exécutif. </w:t>
      </w:r>
    </w:p>
    <w:p w:rsidR="005F148A" w:rsidRPr="005F148A" w:rsidRDefault="00CC30B0" w:rsidP="00657B84">
      <w:pPr>
        <w:pStyle w:val="SingleTxtG"/>
      </w:pPr>
      <w:r>
        <w:t>29.</w:t>
      </w:r>
      <w:r>
        <w:tab/>
      </w:r>
      <w:r w:rsidR="005F148A" w:rsidRPr="005F148A">
        <w:rPr>
          <w:b/>
        </w:rPr>
        <w:t>M. Zhang</w:t>
      </w:r>
      <w:r w:rsidR="005F148A" w:rsidRPr="005F148A">
        <w:t xml:space="preserve"> </w:t>
      </w:r>
      <w:r w:rsidRPr="00CC30B0">
        <w:rPr>
          <w:b/>
        </w:rPr>
        <w:t>Kening</w:t>
      </w:r>
      <w:r>
        <w:t xml:space="preserve"> (Corapporteur pour la Tunisie) </w:t>
      </w:r>
      <w:r w:rsidR="005F148A" w:rsidRPr="005F148A">
        <w:t xml:space="preserve">note que la délégation n’a pas répondu aux préoccupations </w:t>
      </w:r>
      <w:r>
        <w:t>exprimées par les</w:t>
      </w:r>
      <w:r w:rsidR="005F148A" w:rsidRPr="005F148A">
        <w:t xml:space="preserve"> ONG au sujet de la loi qui érige en infraction l’homosexualité et des examens médicaux pratiqués sans le consentement des patients. Il aimerait savoir si l’État partie s’est doté d’une loi</w:t>
      </w:r>
      <w:r>
        <w:t xml:space="preserve"> garantissant </w:t>
      </w:r>
      <w:r w:rsidR="005F148A" w:rsidRPr="005F148A">
        <w:t>aux victimes d’actes</w:t>
      </w:r>
      <w:r w:rsidR="008F24D3">
        <w:t xml:space="preserve"> de torture et à leurs proches,</w:t>
      </w:r>
      <w:r>
        <w:t xml:space="preserve"> </w:t>
      </w:r>
      <w:r w:rsidR="005F148A" w:rsidRPr="005F148A">
        <w:t>le droit d’obtenir réparation et d’être indemnisés équitablement et de manière adéquate</w:t>
      </w:r>
      <w:r w:rsidR="008F24D3">
        <w:t>, conformément à l’article 14 de la Convention</w:t>
      </w:r>
      <w:r w:rsidR="005F148A" w:rsidRPr="005F148A">
        <w:t xml:space="preserve">. Il demande également à la délégation de confirmer ou d’infirmer les informations selon lesquelles les magistrats </w:t>
      </w:r>
      <w:r w:rsidR="005F148A" w:rsidRPr="005F148A">
        <w:lastRenderedPageBreak/>
        <w:t>refuseraient d’applique</w:t>
      </w:r>
      <w:r>
        <w:t>r rétroactivement l’article 101 </w:t>
      </w:r>
      <w:r w:rsidR="005F148A" w:rsidRPr="005F148A">
        <w:rPr>
          <w:i/>
        </w:rPr>
        <w:t>bis</w:t>
      </w:r>
      <w:r w:rsidR="008F24D3">
        <w:t xml:space="preserve"> du Code pénal</w:t>
      </w:r>
      <w:r>
        <w:t xml:space="preserve">, ce qui a pour </w:t>
      </w:r>
      <w:r w:rsidR="005F148A" w:rsidRPr="005F148A">
        <w:t xml:space="preserve">conséquence que les auteurs d’actes de torture antérieurs à 1999 sont jugés pour délits de violence et non pour crimes de torture. </w:t>
      </w:r>
      <w:r>
        <w:t>En ce qui concerne</w:t>
      </w:r>
      <w:r w:rsidR="005F148A" w:rsidRPr="005F148A">
        <w:t xml:space="preserve"> la mise en œuvre de l’article 12 de la Convention, la délégation est à nouveau invitée à fournir des informations sur le nombre de plaintes relatives à des faits de violence imputés à des agents de l’État depuis 2001, de plaintes ayant donné lieu à l’ouverture d’une enquête, de poursuites engagées, et de condamnations prononcées. </w:t>
      </w:r>
    </w:p>
    <w:p w:rsidR="005F148A" w:rsidRPr="005F148A" w:rsidRDefault="00CC30B0" w:rsidP="00657B84">
      <w:pPr>
        <w:pStyle w:val="SingleTxtG"/>
      </w:pPr>
      <w:r>
        <w:t>30.</w:t>
      </w:r>
      <w:r>
        <w:tab/>
      </w:r>
      <w:r w:rsidR="005F148A" w:rsidRPr="005F148A">
        <w:rPr>
          <w:b/>
        </w:rPr>
        <w:t>M. Bruni</w:t>
      </w:r>
      <w:r w:rsidR="005F148A" w:rsidRPr="005F148A">
        <w:t xml:space="preserve"> souhaite savoir si la baisse des ressources financières </w:t>
      </w:r>
      <w:r>
        <w:t>allouées</w:t>
      </w:r>
      <w:r w:rsidR="005F148A" w:rsidRPr="005F148A">
        <w:t xml:space="preserve"> aux établissements pénitentiaires pour les dépenses d’alimentation et les dépenses d’infrastructure entre 2013 et 2014 </w:t>
      </w:r>
      <w:r>
        <w:t>que fait apparaître</w:t>
      </w:r>
      <w:r w:rsidR="005F148A" w:rsidRPr="005F148A">
        <w:t xml:space="preserve"> le tableau</w:t>
      </w:r>
      <w:r>
        <w:t> </w:t>
      </w:r>
      <w:r w:rsidR="005F148A" w:rsidRPr="005F148A">
        <w:t xml:space="preserve">1 du rapport complémentaire de la </w:t>
      </w:r>
      <w:r w:rsidR="008F24D3">
        <w:t xml:space="preserve">Tunisie </w:t>
      </w:r>
      <w:r w:rsidR="005F148A" w:rsidRPr="005F148A">
        <w:t xml:space="preserve">signifie que les apports alimentaires aux détenus ont été réduits ou s’il s’agit d’autre chose. Il </w:t>
      </w:r>
      <w:r>
        <w:t>souhaiterait</w:t>
      </w:r>
      <w:r w:rsidR="005F148A" w:rsidRPr="005F148A">
        <w:t xml:space="preserve"> également que la délégation </w:t>
      </w:r>
      <w:r>
        <w:t>commente les affirmations de certains détenus selon lesquelles</w:t>
      </w:r>
      <w:r w:rsidR="005F148A" w:rsidRPr="005F148A">
        <w:t xml:space="preserve"> le placement à l’isolement cellulaire peut excéder dix jours, durée maximale recommandée par le </w:t>
      </w:r>
      <w:r>
        <w:t>HCDH dans un rapport de mars 2014</w:t>
      </w:r>
      <w:r w:rsidR="005F148A" w:rsidRPr="005F148A">
        <w:t xml:space="preserve">. </w:t>
      </w:r>
    </w:p>
    <w:p w:rsidR="005F148A" w:rsidRPr="005F148A" w:rsidRDefault="00CC30B0" w:rsidP="00657B84">
      <w:pPr>
        <w:pStyle w:val="SingleTxtG"/>
      </w:pPr>
      <w:r>
        <w:t>31.</w:t>
      </w:r>
      <w:r>
        <w:tab/>
      </w:r>
      <w:r w:rsidR="005F148A" w:rsidRPr="005F148A">
        <w:rPr>
          <w:b/>
        </w:rPr>
        <w:t>M</w:t>
      </w:r>
      <w:r w:rsidR="005F148A" w:rsidRPr="00CC30B0">
        <w:rPr>
          <w:b/>
          <w:vertAlign w:val="superscript"/>
        </w:rPr>
        <w:t>me</w:t>
      </w:r>
      <w:r>
        <w:rPr>
          <w:b/>
        </w:rPr>
        <w:t> </w:t>
      </w:r>
      <w:r w:rsidR="005F148A" w:rsidRPr="005F148A">
        <w:rPr>
          <w:b/>
        </w:rPr>
        <w:t>Pradhan-Malla</w:t>
      </w:r>
      <w:r w:rsidR="005F148A" w:rsidRPr="005F148A">
        <w:t xml:space="preserve"> prend note du fait que le Gouvernement a </w:t>
      </w:r>
      <w:r>
        <w:t xml:space="preserve">annoncé son </w:t>
      </w:r>
      <w:r w:rsidR="005F148A" w:rsidRPr="005F148A">
        <w:t>intention de réviser la législation afin de garantir l’imprescriptibilité des crimes de torture</w:t>
      </w:r>
      <w:r>
        <w:t xml:space="preserve"> </w:t>
      </w:r>
      <w:r w:rsidR="005F148A" w:rsidRPr="005F148A">
        <w:t xml:space="preserve">mais </w:t>
      </w:r>
      <w:r>
        <w:t xml:space="preserve">elle </w:t>
      </w:r>
      <w:r w:rsidR="005F148A" w:rsidRPr="005F148A">
        <w:t xml:space="preserve">aimerait savoir comment </w:t>
      </w:r>
      <w:r>
        <w:t>la délégation</w:t>
      </w:r>
      <w:r w:rsidR="005F148A" w:rsidRPr="005F148A">
        <w:t xml:space="preserve"> explique, dans ce cas, que des magistrats de la chambre criminelle du tribunal de première instance de Tunis ont décidé en 2015 d’appliquer le principe de prescription à des actes de torture perpétrés en 1990. Elle souhaite aussi savoir pourquoi 80 % des 69 plaintes formées en 2011 par des détenus contre des agents pénitentiaires ont été classées et pour quelles raisons la justice n’a été saisie que de très peu de plaintes pour mauvais traitements en détention en 2012, 2013 et 2014. </w:t>
      </w:r>
    </w:p>
    <w:p w:rsidR="005F148A" w:rsidRPr="005F148A" w:rsidRDefault="00CC30B0" w:rsidP="00657B84">
      <w:pPr>
        <w:pStyle w:val="SingleTxtG"/>
      </w:pPr>
      <w:r>
        <w:t>32.</w:t>
      </w:r>
      <w:r>
        <w:tab/>
      </w:r>
      <w:r w:rsidR="005F148A" w:rsidRPr="005F148A">
        <w:rPr>
          <w:b/>
        </w:rPr>
        <w:t>M</w:t>
      </w:r>
      <w:r w:rsidR="005F148A" w:rsidRPr="00CC30B0">
        <w:rPr>
          <w:b/>
          <w:vertAlign w:val="superscript"/>
        </w:rPr>
        <w:t>me</w:t>
      </w:r>
      <w:r>
        <w:rPr>
          <w:b/>
        </w:rPr>
        <w:t> </w:t>
      </w:r>
      <w:r w:rsidR="005F148A" w:rsidRPr="005F148A">
        <w:rPr>
          <w:b/>
        </w:rPr>
        <w:t>G</w:t>
      </w:r>
      <w:r w:rsidR="008F24D3">
        <w:rPr>
          <w:b/>
        </w:rPr>
        <w:t>ae</w:t>
      </w:r>
      <w:r w:rsidR="005F148A" w:rsidRPr="005F148A">
        <w:rPr>
          <w:b/>
        </w:rPr>
        <w:t>r</w:t>
      </w:r>
      <w:r w:rsidR="005F148A" w:rsidRPr="005F148A">
        <w:t xml:space="preserve"> se félicite qu’un nouveau projet de loi organique sur l’élimination de la discrimination à l’égard des femmes envisage d’abroger les dispositions exonérant le violeur de poursuites s’il épouse sa victime et demande si ce texte interdira toutes les formes de violences faites aux femmes, y compris la violence psychologique exercée par le conjoint et les membres de sa famille. Elle rappelle que le Comité s’était dit particulièrement préoccupé, dans ses observations finales précédentes concernant la Tunisie, par les violences </w:t>
      </w:r>
      <w:r>
        <w:t>et les menaces que subissaient les femmes ayant des proches détenus ou exilés.</w:t>
      </w:r>
      <w:r w:rsidR="005F148A" w:rsidRPr="005F148A">
        <w:t xml:space="preserve"> Elle aimerait savoir si les autorités savent que cette situation perdure et, dans l’affirmative, quelles mesures </w:t>
      </w:r>
      <w:r>
        <w:t>sont</w:t>
      </w:r>
      <w:r w:rsidR="005F148A" w:rsidRPr="005F148A">
        <w:t xml:space="preserve"> prises pour y mettre un terme. M</w:t>
      </w:r>
      <w:r w:rsidR="005F148A" w:rsidRPr="00CC30B0">
        <w:rPr>
          <w:vertAlign w:val="superscript"/>
        </w:rPr>
        <w:t>me</w:t>
      </w:r>
      <w:r>
        <w:t> </w:t>
      </w:r>
      <w:r w:rsidR="005F148A" w:rsidRPr="005F148A">
        <w:t>G</w:t>
      </w:r>
      <w:r w:rsidR="008F24D3">
        <w:t>ae</w:t>
      </w:r>
      <w:r w:rsidR="005F148A" w:rsidRPr="005F148A">
        <w:t xml:space="preserve">r souhaiterait également recevoir des informations sur le régime d’amnistie et savoir s’il s’applique aux </w:t>
      </w:r>
      <w:r>
        <w:t>auteurs</w:t>
      </w:r>
      <w:r w:rsidR="005F148A" w:rsidRPr="005F148A">
        <w:t xml:space="preserve"> </w:t>
      </w:r>
      <w:r>
        <w:t>de</w:t>
      </w:r>
      <w:r w:rsidR="005F148A" w:rsidRPr="005F148A">
        <w:t xml:space="preserve"> crimes visés par la Convention. Elle rappelle que dans son observation générale </w:t>
      </w:r>
      <w:r>
        <w:rPr>
          <w:rFonts w:eastAsia="MS Mincho"/>
        </w:rPr>
        <w:t>n</w:t>
      </w:r>
      <w:r>
        <w:rPr>
          <w:rFonts w:eastAsia="MS Mincho"/>
          <w:vertAlign w:val="superscript"/>
        </w:rPr>
        <w:t>o</w:t>
      </w:r>
      <w:r>
        <w:t> </w:t>
      </w:r>
      <w:r w:rsidR="005F148A" w:rsidRPr="005F148A">
        <w:t xml:space="preserve">2 concernant l’application de l’article 2 par les États parties, le Comité a précisé qu’aucune circonstance exceptionnelle, quelle qu’elle soit, ne peut être invoquée par un État partie pour justifier la torture dans tout territoire sous sa juridiction. </w:t>
      </w:r>
    </w:p>
    <w:p w:rsidR="005F148A" w:rsidRPr="005F148A" w:rsidRDefault="00CC30B0" w:rsidP="00657B84">
      <w:pPr>
        <w:pStyle w:val="SingleTxtG"/>
      </w:pPr>
      <w:r w:rsidRPr="00A97275">
        <w:t>33.</w:t>
      </w:r>
      <w:r w:rsidRPr="00A97275">
        <w:tab/>
      </w:r>
      <w:r w:rsidR="005F148A" w:rsidRPr="008F24D3">
        <w:rPr>
          <w:b/>
        </w:rPr>
        <w:t xml:space="preserve">Le </w:t>
      </w:r>
      <w:r w:rsidR="005F148A" w:rsidRPr="00A97275">
        <w:rPr>
          <w:b/>
        </w:rPr>
        <w:t>Président</w:t>
      </w:r>
      <w:r w:rsidR="005631DD">
        <w:t xml:space="preserve"> </w:t>
      </w:r>
      <w:r w:rsidR="005F148A" w:rsidRPr="00A97275">
        <w:t>a</w:t>
      </w:r>
      <w:r w:rsidR="005631DD">
        <w:t>imerait savoir si la délégation</w:t>
      </w:r>
      <w:r w:rsidR="005F148A" w:rsidRPr="00A97275">
        <w:t xml:space="preserve"> juge utile et possible que la Tunisie annonce officiellement que la torture est interdite. Il aimerait également </w:t>
      </w:r>
      <w:r w:rsidR="005631DD">
        <w:t>avoir la confirmation</w:t>
      </w:r>
      <w:r w:rsidR="005F148A" w:rsidRPr="00A97275">
        <w:t xml:space="preserve"> que l’établissement du mécanisme national de prévention de la torture n’empêchera pas les </w:t>
      </w:r>
      <w:r w:rsidR="005631DD">
        <w:t>ONG</w:t>
      </w:r>
      <w:r w:rsidR="005F148A" w:rsidRPr="005F148A">
        <w:t xml:space="preserve"> d’effectuer des visites dans les lieux de détention. </w:t>
      </w:r>
      <w:r w:rsidR="005631DD">
        <w:t>Notant que</w:t>
      </w:r>
      <w:r w:rsidR="005F148A" w:rsidRPr="005F148A">
        <w:t xml:space="preserve"> la délégation a affirmé que les médecins tunisiens souscriv</w:t>
      </w:r>
      <w:r w:rsidR="005631DD">
        <w:t>ai</w:t>
      </w:r>
      <w:r w:rsidR="005F148A" w:rsidRPr="005F148A">
        <w:t>ent aux normes internationales en matière d’éthique médicale</w:t>
      </w:r>
      <w:r w:rsidR="005631DD">
        <w:t>,</w:t>
      </w:r>
      <w:r w:rsidR="005F148A" w:rsidRPr="005F148A">
        <w:t xml:space="preserve"> </w:t>
      </w:r>
      <w:r w:rsidR="005631DD">
        <w:t>il demande</w:t>
      </w:r>
      <w:r w:rsidR="005F148A" w:rsidRPr="005F148A">
        <w:t xml:space="preserve"> à quelles sanctions s’exposeraient les médecins qui examinent des patients sans leur consentement, par exemple. À cet égard, il </w:t>
      </w:r>
      <w:r w:rsidR="005631DD">
        <w:t>invite</w:t>
      </w:r>
      <w:r w:rsidR="005F148A" w:rsidRPr="005F148A">
        <w:t xml:space="preserve"> la délégation </w:t>
      </w:r>
      <w:r w:rsidR="005631DD">
        <w:t xml:space="preserve">à </w:t>
      </w:r>
      <w:r w:rsidR="005F148A" w:rsidRPr="005F148A">
        <w:t xml:space="preserve">indiquer si les médecins sont tenus de se conformer à l’injonction d’un juge ordonnant l’examen médical d’une personne et </w:t>
      </w:r>
      <w:r w:rsidR="005631DD">
        <w:t xml:space="preserve">quelles sont </w:t>
      </w:r>
      <w:r w:rsidR="005F148A" w:rsidRPr="005F148A">
        <w:t xml:space="preserve">les sanctions encourues par ceux qui refuseraient de s’y soumettre. </w:t>
      </w:r>
      <w:r w:rsidR="005631DD">
        <w:t>Il serait en outre intéressant de</w:t>
      </w:r>
      <w:r w:rsidR="005F148A" w:rsidRPr="005F148A">
        <w:t xml:space="preserve"> </w:t>
      </w:r>
      <w:r w:rsidR="005631DD">
        <w:t>savoir ce que le Gouvernement entend faire pour remédier au problème de la pénurie de médecins dans les établissements pénitentiaires.</w:t>
      </w:r>
      <w:r w:rsidR="005F148A" w:rsidRPr="005F148A">
        <w:t xml:space="preserve"> </w:t>
      </w:r>
    </w:p>
    <w:p w:rsidR="005F148A" w:rsidRPr="005F148A" w:rsidRDefault="005F148A" w:rsidP="00657B84">
      <w:pPr>
        <w:pStyle w:val="SingleTxtG"/>
        <w:rPr>
          <w:i/>
        </w:rPr>
      </w:pPr>
      <w:r w:rsidRPr="005F148A">
        <w:rPr>
          <w:i/>
        </w:rPr>
        <w:t>La séance est suspendue à 17 h 10 ; elle est reprise à 17 h 25.</w:t>
      </w:r>
    </w:p>
    <w:p w:rsidR="005F148A" w:rsidRPr="005F148A" w:rsidRDefault="005631DD" w:rsidP="00657B84">
      <w:pPr>
        <w:pStyle w:val="SingleTxtG"/>
      </w:pPr>
      <w:r>
        <w:lastRenderedPageBreak/>
        <w:t>34.</w:t>
      </w:r>
      <w:r>
        <w:tab/>
      </w:r>
      <w:r w:rsidR="005F148A" w:rsidRPr="005F148A">
        <w:rPr>
          <w:b/>
        </w:rPr>
        <w:t xml:space="preserve">M. Hafsaoui </w:t>
      </w:r>
      <w:r w:rsidR="005F148A" w:rsidRPr="005F148A">
        <w:t>(Tunisie) dit que la loi organique n</w:t>
      </w:r>
      <w:r w:rsidR="005F148A" w:rsidRPr="005F148A">
        <w:rPr>
          <w:vertAlign w:val="superscript"/>
        </w:rPr>
        <w:t>o</w:t>
      </w:r>
      <w:r w:rsidR="005F148A" w:rsidRPr="005F148A">
        <w:t> 2011-53 de 2013 relative à l’instauration de la justice transitionnelle et son organisation</w:t>
      </w:r>
      <w:r>
        <w:t xml:space="preserve"> </w:t>
      </w:r>
      <w:r w:rsidR="005F148A" w:rsidRPr="005F148A">
        <w:t xml:space="preserve">réaffirme l’imprescriptibilité des actes de torture consacrée par la Constitution et prévoit la création de chambres spécialisées chargées de statuer sur les atteintes graves aux droits de l’homme commises pendant la période allant de 1955 à 2013, ce qui englobe les affaires de torture. </w:t>
      </w:r>
    </w:p>
    <w:p w:rsidR="005F148A" w:rsidRPr="005F148A" w:rsidRDefault="005631DD" w:rsidP="00657B84">
      <w:pPr>
        <w:pStyle w:val="SingleTxtG"/>
      </w:pPr>
      <w:r>
        <w:t>35.</w:t>
      </w:r>
      <w:r>
        <w:tab/>
      </w:r>
      <w:r w:rsidR="005F148A" w:rsidRPr="005F148A">
        <w:rPr>
          <w:b/>
        </w:rPr>
        <w:t>M. Ben Hsein</w:t>
      </w:r>
      <w:r w:rsidR="005F148A" w:rsidRPr="005F148A">
        <w:t xml:space="preserve"> (Tunisie) dit que l’article 11 de la loi organique </w:t>
      </w:r>
      <w:r>
        <w:rPr>
          <w:rFonts w:eastAsia="MS Mincho"/>
        </w:rPr>
        <w:t>n</w:t>
      </w:r>
      <w:r>
        <w:rPr>
          <w:rFonts w:eastAsia="MS Mincho"/>
          <w:vertAlign w:val="superscript"/>
        </w:rPr>
        <w:t>o</w:t>
      </w:r>
      <w:r w:rsidR="005F148A" w:rsidRPr="005F148A">
        <w:t> 20</w:t>
      </w:r>
      <w:r w:rsidR="00B40B67">
        <w:t>1</w:t>
      </w:r>
      <w:r w:rsidR="005F148A" w:rsidRPr="005F148A">
        <w:t xml:space="preserve">1-53 garantit le droit à réparation des victimes de violations des droits de l’homme commises dans le passé et que l’État est tenu d’indemniser ces personnes en fonction de la gravité des violations subies et de leur situation individuelle, compte tenu de facteurs tels que l’âge, le sexe, le handicap et les besoins spécifiques de la victime. La réparation du préjudice </w:t>
      </w:r>
      <w:r>
        <w:t xml:space="preserve">comprend non seulement </w:t>
      </w:r>
      <w:r w:rsidR="005F148A" w:rsidRPr="005F148A">
        <w:t>l’indemnisa</w:t>
      </w:r>
      <w:r>
        <w:t xml:space="preserve">tion mais aussi </w:t>
      </w:r>
      <w:r w:rsidR="005F148A" w:rsidRPr="005F148A">
        <w:t xml:space="preserve">la réparation morale, le pardon, le rétablissement des droits, la restitution des biens confisqués, la réhabilitation et la réinsertion. </w:t>
      </w:r>
    </w:p>
    <w:p w:rsidR="005F148A" w:rsidRPr="005F148A" w:rsidRDefault="005631DD" w:rsidP="00657B84">
      <w:pPr>
        <w:pStyle w:val="SingleTxtG"/>
      </w:pPr>
      <w:r>
        <w:t>36.</w:t>
      </w:r>
      <w:r>
        <w:tab/>
      </w:r>
      <w:r w:rsidR="005F148A" w:rsidRPr="005F148A">
        <w:t xml:space="preserve">Le placement à l’isolement cellulaire est une sanction disciplinaire dont la durée maximale autorisée par la loi est de </w:t>
      </w:r>
      <w:r w:rsidR="00B40B67">
        <w:t>dix</w:t>
      </w:r>
      <w:r w:rsidR="005F148A" w:rsidRPr="005F148A">
        <w:t xml:space="preserve"> jours. La décision de recourir à cette mesure est prise par une commission composée du directeur de la prison, d’agents pénitentiaires et d’un représentant des détenus. Après avoir été notifié de cette </w:t>
      </w:r>
      <w:r w:rsidR="00B40B67">
        <w:t>décision, le détenu dispose de vingt-quatre </w:t>
      </w:r>
      <w:r w:rsidR="005F148A" w:rsidRPr="005F148A">
        <w:t xml:space="preserve">heures pour en contester le bien-fondé et il est examiné par un médecin avant d’être placé en cellule d’isolement. Si le directeur de l’établissement pénitentiaire enfreint les dispositions régissant l’imposition de cette mesure, il est lui-même passible de sanctions disciplinaires. </w:t>
      </w:r>
    </w:p>
    <w:p w:rsidR="005F148A" w:rsidRPr="005F148A" w:rsidRDefault="005631DD" w:rsidP="00657B84">
      <w:pPr>
        <w:pStyle w:val="SingleTxtG"/>
      </w:pPr>
      <w:r w:rsidRPr="005631DD">
        <w:t>37.</w:t>
      </w:r>
      <w:r w:rsidRPr="005631DD">
        <w:tab/>
      </w:r>
      <w:r w:rsidR="005F148A" w:rsidRPr="005F148A">
        <w:rPr>
          <w:b/>
        </w:rPr>
        <w:t xml:space="preserve">M. Ben Nasr </w:t>
      </w:r>
      <w:r w:rsidR="005F148A" w:rsidRPr="005F148A">
        <w:t>(Tunisie) dit que les examens de la cavité anale et les tests de virginité non consentis par le patient sont proscrits par le Code de déontologie médicale. Dans la majorité des cas, les examens de l’hymen et de l’anus qui sont effectués par les médecins concernent des enfants victimes de violences sexuelles et visent à démontrer l’existence de séquelles de ces violences. Dans un communiqué, le Conseil de l’ordre des médecins a souligné que tout expert médico</w:t>
      </w:r>
      <w:r w:rsidR="00B40B67">
        <w:t>-</w:t>
      </w:r>
      <w:r w:rsidR="005F148A" w:rsidRPr="005F148A">
        <w:t xml:space="preserve">légal devait se récuser si on lui demandait de pratiquer un examen portant atteinte à la dignité et à l’intégrité physique et psychologique du patient sans le consentement de ce dernier. La loi prévoit que le médecin qui ne se soumet pas à une </w:t>
      </w:r>
      <w:r>
        <w:t>ordonnance</w:t>
      </w:r>
      <w:r w:rsidR="005F148A" w:rsidRPr="005F148A">
        <w:t xml:space="preserve"> judiciaire encourt un mois d’emprisonnement, mais cette disposition doit être mise en balance avec la Constitution, qui interdit au médecin de porter atteinte à l’intégrité corporelle du patient sans son consentement. Afin de combler les zones grises qui font que des tests de virginité sont pratiqués sur les adultes soupçonnés de se livrer à la prostitution ou à l’adultère, le comité d’éthique médicale et le Conseil de l’ordre des médecins ont recommandé d’informer les intéressés du but de l’examen, des limites de la confidentialité de ses résultats et de la suite qui sera donnée au rapport médical, comme prévu à l’article 73 du Code de déontologie. </w:t>
      </w:r>
    </w:p>
    <w:p w:rsidR="005F148A" w:rsidRPr="005F148A" w:rsidRDefault="005631DD" w:rsidP="00657B84">
      <w:pPr>
        <w:pStyle w:val="SingleTxtG"/>
      </w:pPr>
      <w:r w:rsidRPr="005631DD">
        <w:t>38.</w:t>
      </w:r>
      <w:r w:rsidRPr="005631DD">
        <w:tab/>
      </w:r>
      <w:r w:rsidR="005F148A" w:rsidRPr="005F148A">
        <w:rPr>
          <w:b/>
        </w:rPr>
        <w:t>M. Sbou</w:t>
      </w:r>
      <w:r w:rsidR="005F148A" w:rsidRPr="005F148A">
        <w:t xml:space="preserve"> (Tunisie) dit que le nombre de plaintes administratives pour violences et mauvais traitements soumises aux organes de contrôle interne </w:t>
      </w:r>
      <w:r>
        <w:t>a été de</w:t>
      </w:r>
      <w:r w:rsidR="005F148A" w:rsidRPr="005F148A">
        <w:t xml:space="preserve"> 309 en 2013, 520 en 2014 et 405 en 2015. Pour ces mêmes années, le nombre de plaintes pour abus de pouvoir </w:t>
      </w:r>
      <w:r>
        <w:t>a été de</w:t>
      </w:r>
      <w:r w:rsidR="005F148A" w:rsidRPr="005F148A">
        <w:t xml:space="preserve"> 189, 207 et 143, respectivement, et le nombre de plaintes reçues par les organes concernés du Ministère de l’intérieur </w:t>
      </w:r>
      <w:r>
        <w:t>de</w:t>
      </w:r>
      <w:r w:rsidR="005F148A" w:rsidRPr="005F148A">
        <w:t xml:space="preserve"> 498, 727 et 548, respectivement. Les personnes mises en cause ont fait l’objet de sanctions diverses, dont des avertissements, des suspensions, des suppressions de salaire et des licenciements définitifs. </w:t>
      </w:r>
    </w:p>
    <w:p w:rsidR="005F148A" w:rsidRPr="005F148A" w:rsidRDefault="005631DD" w:rsidP="00657B84">
      <w:pPr>
        <w:pStyle w:val="SingleTxtG"/>
      </w:pPr>
      <w:r w:rsidRPr="005631DD">
        <w:t>39.</w:t>
      </w:r>
      <w:r w:rsidRPr="005631DD">
        <w:tab/>
      </w:r>
      <w:r w:rsidR="005F148A" w:rsidRPr="005F148A">
        <w:rPr>
          <w:b/>
        </w:rPr>
        <w:t>M. Boudabouss</w:t>
      </w:r>
      <w:r w:rsidR="005F148A" w:rsidRPr="005F148A">
        <w:t xml:space="preserve"> (Tunisie) dit qu’après la révolution, le système de justice militaire a été réformé par le décret-loi </w:t>
      </w:r>
      <w:r w:rsidR="00651922">
        <w:rPr>
          <w:rFonts w:eastAsia="MS Mincho"/>
        </w:rPr>
        <w:t>n</w:t>
      </w:r>
      <w:r w:rsidR="00651922">
        <w:rPr>
          <w:rFonts w:eastAsia="MS Mincho"/>
          <w:vertAlign w:val="superscript"/>
        </w:rPr>
        <w:t>o</w:t>
      </w:r>
      <w:r w:rsidR="005F148A" w:rsidRPr="005F148A">
        <w:t xml:space="preserve"> 2011-69 de 2011 modifiant et complétant le code de justice militaire et le décret-loi </w:t>
      </w:r>
      <w:r w:rsidR="00651922">
        <w:rPr>
          <w:rFonts w:eastAsia="MS Mincho"/>
        </w:rPr>
        <w:t>n</w:t>
      </w:r>
      <w:r w:rsidR="00651922">
        <w:rPr>
          <w:rFonts w:eastAsia="MS Mincho"/>
          <w:vertAlign w:val="superscript"/>
        </w:rPr>
        <w:t>o</w:t>
      </w:r>
      <w:r w:rsidR="005F148A" w:rsidRPr="005F148A">
        <w:t xml:space="preserve"> 2011-70 de 2011 relatif à l’organisation de la justice militaire et </w:t>
      </w:r>
      <w:r>
        <w:t>au</w:t>
      </w:r>
      <w:r w:rsidR="005F148A" w:rsidRPr="005F148A">
        <w:t xml:space="preserve"> stat</w:t>
      </w:r>
      <w:r w:rsidR="00B40B67">
        <w:t>ut général des juges militaires</w:t>
      </w:r>
      <w:r w:rsidR="005F148A" w:rsidRPr="005F148A">
        <w:t xml:space="preserve">. Ce système comporte deux niveaux de juridiction et les décisions rendues par les tribunaux militaires sont susceptibles de recours devant la Cour de cassation. La formation des juges militaires consiste dans des études de droit, une formation spécifique et deux ans de cours à l’École de la magistrature. L’article 110 de la nouvelle Constitution interdit la création de tribunaux d’exception et l’adoption de </w:t>
      </w:r>
      <w:r w:rsidR="005F148A" w:rsidRPr="005F148A">
        <w:lastRenderedPageBreak/>
        <w:t>procédures exceptionnelles et dispose que les tribunaux militaires sont compétents pour connaître d</w:t>
      </w:r>
      <w:r>
        <w:t xml:space="preserve">es </w:t>
      </w:r>
      <w:r w:rsidR="005F148A" w:rsidRPr="005F148A">
        <w:t xml:space="preserve">infractions d’ordre militaire. Une commission technique a été chargée d’élaborer des lois relatives à la justice militaire et de passer en revue la législation relative au système de justice militaire afin de la mettre en conformité avec la Constitution. </w:t>
      </w:r>
    </w:p>
    <w:p w:rsidR="005F148A" w:rsidRPr="005F148A" w:rsidRDefault="005631DD" w:rsidP="00657B84">
      <w:pPr>
        <w:pStyle w:val="SingleTxtG"/>
      </w:pPr>
      <w:r>
        <w:t>40.</w:t>
      </w:r>
      <w:r>
        <w:tab/>
      </w:r>
      <w:r w:rsidR="005F148A" w:rsidRPr="005F148A">
        <w:rPr>
          <w:b/>
        </w:rPr>
        <w:t>M. Ben Hsein</w:t>
      </w:r>
      <w:r w:rsidR="005F148A" w:rsidRPr="005F148A">
        <w:t xml:space="preserve"> (Tunisie) dit que les personnes condamnées pour torture ne peuvent en aucun cas bénéficier d’une amnistie générale. La grâce présidentielle est accordée en application d’un décret présidentiel spécifiant les motifs retenus et les personnes visées. </w:t>
      </w:r>
      <w:r>
        <w:t>Ces dernières années</w:t>
      </w:r>
      <w:r w:rsidR="005F148A" w:rsidRPr="005F148A">
        <w:t xml:space="preserve">s, aucun détenu condamné pour des faits de torture n’a bénéficié d’une telle mesure. </w:t>
      </w:r>
    </w:p>
    <w:p w:rsidR="005F148A" w:rsidRPr="005F148A" w:rsidRDefault="005631DD" w:rsidP="00657B84">
      <w:pPr>
        <w:pStyle w:val="SingleTxtG"/>
      </w:pPr>
      <w:r w:rsidRPr="005631DD">
        <w:t>41.</w:t>
      </w:r>
      <w:r w:rsidRPr="005631DD">
        <w:tab/>
      </w:r>
      <w:r w:rsidR="005F148A" w:rsidRPr="005F148A">
        <w:rPr>
          <w:b/>
        </w:rPr>
        <w:t>M. Kaddour</w:t>
      </w:r>
      <w:r w:rsidR="005F148A" w:rsidRPr="005F148A">
        <w:t xml:space="preserve"> (Tunisie) dit </w:t>
      </w:r>
      <w:r>
        <w:t>que la baisse</w:t>
      </w:r>
      <w:r w:rsidR="005F148A" w:rsidRPr="005F148A">
        <w:t xml:space="preserve"> des crédits budgétaires alloués à l’administration pénitentiaire </w:t>
      </w:r>
      <w:r w:rsidR="00B40B67">
        <w:t>en 2013 s’explique par les réductions budgétaires qui ont affecté tous les secteurs</w:t>
      </w:r>
      <w:r w:rsidR="005F148A" w:rsidRPr="005F148A">
        <w:t xml:space="preserve">. Le Ministère de la justice a mis en place un plan d’action relatif aux établissements pénitentiaires, qui a été financé avec l’aide des partenaires internationaux de la Tunisie. La coopération avec ces partenaires se poursuit et, pour améliorer la santé des détenus, le Ministère a recruté des médecins, des spécialistes et des personnels paramédicaux. Enfin, les organisations internationales et nationales qui souhaitent se rendre dans les prisons seront autorisées à le faire, conformément aux engagements internationaux de la Tunisie. </w:t>
      </w:r>
    </w:p>
    <w:p w:rsidR="005F148A" w:rsidRPr="005F148A" w:rsidRDefault="005631DD" w:rsidP="00657B84">
      <w:pPr>
        <w:pStyle w:val="SingleTxtG"/>
      </w:pPr>
      <w:r>
        <w:t>42.</w:t>
      </w:r>
      <w:r>
        <w:tab/>
      </w:r>
      <w:r w:rsidR="005F148A" w:rsidRPr="005F148A">
        <w:rPr>
          <w:b/>
        </w:rPr>
        <w:t>M Ben Hsein</w:t>
      </w:r>
      <w:r w:rsidR="005F148A" w:rsidRPr="005F148A">
        <w:t xml:space="preserve"> (Tunisie) dit que la mise en œuvre des mémorandums d’accord avec les organisations de la société civile doit prendre fin avec la création de l’Instance nationale pour la prévention de la torture, mais cela ne signifie pas que la collaboration avec ces organisations s’</w:t>
      </w:r>
      <w:r>
        <w:t>interrompra</w:t>
      </w:r>
      <w:r w:rsidR="00B40B67">
        <w:t> </w:t>
      </w:r>
      <w:r>
        <w:t xml:space="preserve">: elle se poursuivra simplement </w:t>
      </w:r>
      <w:r w:rsidR="005F148A" w:rsidRPr="005F148A">
        <w:t xml:space="preserve">dans un autre cadre. En 2015, le Ministère de la justice a conclu un accord avec la Fédération tunisienne de défense des droits de l’homme habilitant celle-ci à effectuer des visites inopinées dans les prisons. </w:t>
      </w:r>
    </w:p>
    <w:p w:rsidR="005F148A" w:rsidRPr="005F148A" w:rsidRDefault="005631DD" w:rsidP="00657B84">
      <w:pPr>
        <w:pStyle w:val="SingleTxtG"/>
      </w:pPr>
      <w:r w:rsidRPr="005631DD">
        <w:t>43.</w:t>
      </w:r>
      <w:r w:rsidRPr="005631DD">
        <w:tab/>
      </w:r>
      <w:r w:rsidR="005F148A" w:rsidRPr="005F148A">
        <w:rPr>
          <w:b/>
        </w:rPr>
        <w:t>M Jendoubi</w:t>
      </w:r>
      <w:r w:rsidR="005F148A" w:rsidRPr="005F148A">
        <w:t xml:space="preserve"> (Tunisie) dit que la Tunisie a </w:t>
      </w:r>
      <w:r w:rsidR="00651922">
        <w:t xml:space="preserve">déployé </w:t>
      </w:r>
      <w:r w:rsidR="005F148A" w:rsidRPr="005F148A">
        <w:t xml:space="preserve">des efforts considérables pour lutter contre la torture en dépit des difficultés héritées de son difficile passé. Elle a fait le choix d’opérer une transition démocratique, après des années passées sous le joug d’un régime despotique qui avait fait des mécanismes de répression et de la torture un outil fondamental de sa politique. Les autorités tunisiennes s’emploient à rétablir la confiance de la population dans l’État, ce qui passe par la préservation de l’état de droit et la protection des droits de l’homme. </w:t>
      </w:r>
    </w:p>
    <w:p w:rsidR="005F148A" w:rsidRPr="005F148A" w:rsidRDefault="00651922" w:rsidP="00657B84">
      <w:pPr>
        <w:pStyle w:val="SingleTxtG"/>
        <w:rPr>
          <w:b/>
        </w:rPr>
      </w:pPr>
      <w:r>
        <w:t>44.</w:t>
      </w:r>
      <w:r>
        <w:tab/>
      </w:r>
      <w:r w:rsidR="005F148A" w:rsidRPr="005F148A">
        <w:t xml:space="preserve">La délégation assure le Comité que ses recommandations seront examinées de près par le mécanisme chargé des rapports aux organes conventionnels, qui veillera à ce qu’elles soient scrupuleusement appliquées et recevra les ressources nécessaires à cette fin. Enfin, la Tunisie entend se doter d’un plan global de mise en œuvre de la Convention. </w:t>
      </w:r>
    </w:p>
    <w:p w:rsidR="005F148A" w:rsidRPr="005F148A" w:rsidRDefault="005F148A" w:rsidP="00657B84">
      <w:pPr>
        <w:pStyle w:val="SingleTxtG"/>
      </w:pPr>
      <w:r w:rsidRPr="005F148A">
        <w:rPr>
          <w:i/>
        </w:rPr>
        <w:t xml:space="preserve">La séance est levée à 18 h 5. </w:t>
      </w:r>
    </w:p>
    <w:sectPr w:rsidR="005F148A" w:rsidRPr="005F148A" w:rsidSect="005F148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BD9" w:rsidRPr="009C4D45" w:rsidRDefault="00A14BD9" w:rsidP="009C4D45">
      <w:pPr>
        <w:pStyle w:val="Footer"/>
      </w:pPr>
    </w:p>
  </w:endnote>
  <w:endnote w:type="continuationSeparator" w:id="0">
    <w:p w:rsidR="00A14BD9" w:rsidRPr="009C4D45" w:rsidRDefault="00A14BD9" w:rsidP="009C4D45">
      <w:pPr>
        <w:pStyle w:val="Footer"/>
      </w:pPr>
    </w:p>
  </w:endnote>
  <w:endnote w:type="continuationNotice" w:id="1">
    <w:p w:rsidR="00A14BD9" w:rsidRDefault="00A14B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BD9" w:rsidRPr="005F148A" w:rsidRDefault="00A14BD9" w:rsidP="005F148A">
    <w:pPr>
      <w:pStyle w:val="Footer"/>
      <w:tabs>
        <w:tab w:val="right" w:pos="9638"/>
      </w:tabs>
    </w:pPr>
    <w:r w:rsidRPr="005F148A">
      <w:rPr>
        <w:b/>
        <w:sz w:val="18"/>
      </w:rPr>
      <w:fldChar w:fldCharType="begin"/>
    </w:r>
    <w:r w:rsidRPr="005F148A">
      <w:rPr>
        <w:b/>
        <w:sz w:val="18"/>
      </w:rPr>
      <w:instrText xml:space="preserve"> PAGE  \* MERGEFORMAT </w:instrText>
    </w:r>
    <w:r w:rsidRPr="005F148A">
      <w:rPr>
        <w:b/>
        <w:sz w:val="18"/>
      </w:rPr>
      <w:fldChar w:fldCharType="separate"/>
    </w:r>
    <w:r w:rsidR="00EC54CA">
      <w:rPr>
        <w:b/>
        <w:noProof/>
        <w:sz w:val="18"/>
      </w:rPr>
      <w:t>10</w:t>
    </w:r>
    <w:r w:rsidRPr="005F148A">
      <w:rPr>
        <w:b/>
        <w:sz w:val="18"/>
      </w:rPr>
      <w:fldChar w:fldCharType="end"/>
    </w:r>
    <w:r>
      <w:rPr>
        <w:b/>
        <w:sz w:val="18"/>
      </w:rPr>
      <w:tab/>
    </w:r>
    <w:r>
      <w:t>GE.16-07605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BD9" w:rsidRPr="005F148A" w:rsidRDefault="00A14BD9" w:rsidP="005F148A">
    <w:pPr>
      <w:pStyle w:val="Footer"/>
      <w:tabs>
        <w:tab w:val="right" w:pos="9638"/>
      </w:tabs>
      <w:rPr>
        <w:b/>
        <w:sz w:val="18"/>
      </w:rPr>
    </w:pPr>
    <w:r>
      <w:t>GE.16-07605</w:t>
    </w:r>
    <w:r>
      <w:tab/>
    </w:r>
    <w:r w:rsidRPr="005F148A">
      <w:rPr>
        <w:b/>
        <w:sz w:val="18"/>
      </w:rPr>
      <w:fldChar w:fldCharType="begin"/>
    </w:r>
    <w:r w:rsidRPr="005F148A">
      <w:rPr>
        <w:b/>
        <w:sz w:val="18"/>
      </w:rPr>
      <w:instrText xml:space="preserve"> PAGE  \* MERGEFORMAT </w:instrText>
    </w:r>
    <w:r w:rsidRPr="005F148A">
      <w:rPr>
        <w:b/>
        <w:sz w:val="18"/>
      </w:rPr>
      <w:fldChar w:fldCharType="separate"/>
    </w:r>
    <w:r w:rsidR="00EC54CA">
      <w:rPr>
        <w:b/>
        <w:noProof/>
        <w:sz w:val="18"/>
      </w:rPr>
      <w:t>9</w:t>
    </w:r>
    <w:r w:rsidRPr="005F14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BD9" w:rsidRDefault="00A14BD9" w:rsidP="00121D7D">
    <w:pPr>
      <w:pStyle w:val="FootnoteText"/>
      <w:pBdr>
        <w:bottom w:val="single" w:sz="4" w:space="1" w:color="auto"/>
      </w:pBdr>
      <w:tabs>
        <w:tab w:val="clear" w:pos="1021"/>
      </w:tabs>
      <w:spacing w:line="240" w:lineRule="auto"/>
      <w:ind w:left="0" w:right="0" w:firstLine="0"/>
    </w:pPr>
  </w:p>
  <w:p w:rsidR="00A14BD9" w:rsidRDefault="00A14BD9" w:rsidP="00121D7D">
    <w:pPr>
      <w:pStyle w:val="FootnoteText"/>
      <w:tabs>
        <w:tab w:val="clear" w:pos="1021"/>
      </w:tabs>
      <w:spacing w:after="120"/>
      <w:ind w:firstLine="0"/>
    </w:pPr>
    <w:r>
      <w:t>Le présent compte rendu est sujet à rectifications.</w:t>
    </w:r>
  </w:p>
  <w:p w:rsidR="00A14BD9" w:rsidRDefault="00A14BD9" w:rsidP="00121D7D">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deux semaines au plus tard à compter de la date du présent document</w:t>
    </w:r>
    <w:r>
      <w:t xml:space="preserve">, à la Section française de traduction, bureau E.5059, Palais des Nations, </w:t>
    </w:r>
    <w:r w:rsidRPr="00744358">
      <w:t>Genève (</w:t>
    </w:r>
    <w:hyperlink r:id="rId1" w:history="1">
      <w:r w:rsidRPr="00744358">
        <w:rPr>
          <w:rStyle w:val="Hyperlink"/>
          <w:color w:val="auto"/>
        </w:rPr>
        <w:t>trad_sec_fra@unog.ch</w:t>
      </w:r>
    </w:hyperlink>
    <w:r w:rsidRPr="00744358">
      <w:t>)</w:t>
    </w:r>
    <w:r w:rsidR="00744358" w:rsidRPr="00744358">
      <w:t>.</w:t>
    </w:r>
  </w:p>
  <w:p w:rsidR="00A14BD9" w:rsidRDefault="00A14BD9" w:rsidP="00121D7D">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14BD9" w:rsidRPr="005F148A" w:rsidRDefault="00A14BD9" w:rsidP="005F148A">
    <w:pPr>
      <w:spacing w:before="120" w:line="240" w:lineRule="auto"/>
    </w:pPr>
    <w:r>
      <w:t>GE.</w:t>
    </w:r>
    <w:r>
      <w:rPr>
        <w:noProof/>
        <w:lang w:val="en-GB" w:eastAsia="en-GB"/>
      </w:rPr>
      <w:drawing>
        <wp:anchor distT="0" distB="0" distL="114300" distR="114300" simplePos="0" relativeHeight="251659264" behindDoc="0" locked="0" layoutInCell="1" allowOverlap="1" wp14:anchorId="745BBAF0" wp14:editId="7E1F796D">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16-07605  (F)    190516    200516</w:t>
    </w:r>
    <w:r>
      <w:br/>
    </w:r>
    <w:r w:rsidRPr="005F148A">
      <w:rPr>
        <w:rFonts w:ascii="C39T30Lfz" w:hAnsi="C39T30Lfz"/>
        <w:sz w:val="56"/>
      </w:rPr>
      <w:t></w:t>
    </w:r>
    <w:r w:rsidRPr="005F148A">
      <w:rPr>
        <w:rFonts w:ascii="C39T30Lfz" w:hAnsi="C39T30Lfz"/>
        <w:sz w:val="56"/>
      </w:rPr>
      <w:t></w:t>
    </w:r>
    <w:r w:rsidRPr="005F148A">
      <w:rPr>
        <w:rFonts w:ascii="C39T30Lfz" w:hAnsi="C39T30Lfz"/>
        <w:sz w:val="56"/>
      </w:rPr>
      <w:t></w:t>
    </w:r>
    <w:r w:rsidRPr="005F148A">
      <w:rPr>
        <w:rFonts w:ascii="C39T30Lfz" w:hAnsi="C39T30Lfz"/>
        <w:sz w:val="56"/>
      </w:rPr>
      <w:t></w:t>
    </w:r>
    <w:r w:rsidRPr="005F148A">
      <w:rPr>
        <w:rFonts w:ascii="C39T30Lfz" w:hAnsi="C39T30Lfz"/>
        <w:sz w:val="56"/>
      </w:rPr>
      <w:t></w:t>
    </w:r>
    <w:r w:rsidRPr="005F148A">
      <w:rPr>
        <w:rFonts w:ascii="C39T30Lfz" w:hAnsi="C39T30Lfz"/>
        <w:sz w:val="56"/>
      </w:rPr>
      <w:t></w:t>
    </w:r>
    <w:r w:rsidRPr="005F148A">
      <w:rPr>
        <w:rFonts w:ascii="C39T30Lfz" w:hAnsi="C39T30Lfz"/>
        <w:sz w:val="56"/>
      </w:rPr>
      <w:t></w:t>
    </w:r>
    <w:r w:rsidRPr="005F148A">
      <w:rPr>
        <w:rFonts w:ascii="C39T30Lfz" w:hAnsi="C39T30Lfz"/>
        <w:sz w:val="56"/>
      </w:rPr>
      <w:t></w:t>
    </w:r>
    <w:r w:rsidRPr="005F148A">
      <w:rPr>
        <w:rFonts w:ascii="C39T30Lfz" w:hAnsi="C39T30Lfz"/>
        <w:sz w:val="56"/>
      </w:rPr>
      <w:t></w:t>
    </w:r>
    <w:r>
      <w:rPr>
        <w:noProof/>
        <w:lang w:val="en-GB" w:eastAsia="en-GB"/>
      </w:rPr>
      <w:drawing>
        <wp:anchor distT="0" distB="0" distL="114300" distR="114300" simplePos="0" relativeHeight="251660288" behindDoc="0" locked="0" layoutInCell="1" allowOverlap="1" wp14:anchorId="18824E8D" wp14:editId="5A0C25C0">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AT/C/SR.140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01&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BD9" w:rsidRPr="009C4D45" w:rsidRDefault="00A14BD9" w:rsidP="009C4D45">
      <w:pPr>
        <w:pStyle w:val="Footer"/>
        <w:tabs>
          <w:tab w:val="right" w:pos="2155"/>
        </w:tabs>
        <w:spacing w:after="80" w:line="240" w:lineRule="atLeast"/>
        <w:ind w:left="680"/>
        <w:rPr>
          <w:u w:val="single"/>
        </w:rPr>
      </w:pPr>
      <w:r>
        <w:rPr>
          <w:u w:val="single"/>
        </w:rPr>
        <w:tab/>
      </w:r>
    </w:p>
  </w:footnote>
  <w:footnote w:type="continuationSeparator" w:id="0">
    <w:p w:rsidR="00A14BD9" w:rsidRPr="009E57A4" w:rsidRDefault="00A14BD9" w:rsidP="009E57A4">
      <w:pPr>
        <w:pStyle w:val="Footer"/>
        <w:tabs>
          <w:tab w:val="right" w:pos="2155"/>
        </w:tabs>
        <w:spacing w:after="80" w:line="240" w:lineRule="atLeast"/>
        <w:ind w:left="680"/>
        <w:rPr>
          <w:u w:val="single"/>
        </w:rPr>
      </w:pPr>
      <w:r>
        <w:rPr>
          <w:u w:val="single"/>
        </w:rPr>
        <w:tab/>
      </w:r>
    </w:p>
  </w:footnote>
  <w:footnote w:type="continuationNotice" w:id="1">
    <w:p w:rsidR="00A14BD9" w:rsidRPr="009E57A4" w:rsidRDefault="00A14BD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BD9" w:rsidRPr="005F148A" w:rsidRDefault="00A14BD9">
    <w:pPr>
      <w:pStyle w:val="Header"/>
    </w:pPr>
    <w:r>
      <w:t>CAT/C/SR.1401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BD9" w:rsidRPr="005F148A" w:rsidRDefault="00A14BD9" w:rsidP="005F148A">
    <w:pPr>
      <w:pStyle w:val="Header"/>
      <w:jc w:val="right"/>
    </w:pPr>
    <w:r>
      <w:t>CAT/C/SR.1401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CC1"/>
    <w:rsid w:val="00023842"/>
    <w:rsid w:val="0007796D"/>
    <w:rsid w:val="00111CC1"/>
    <w:rsid w:val="00111F2F"/>
    <w:rsid w:val="001162CB"/>
    <w:rsid w:val="00121D7D"/>
    <w:rsid w:val="0014365E"/>
    <w:rsid w:val="00176178"/>
    <w:rsid w:val="001F525A"/>
    <w:rsid w:val="003B0D08"/>
    <w:rsid w:val="00446FE5"/>
    <w:rsid w:val="004A404F"/>
    <w:rsid w:val="00532CC4"/>
    <w:rsid w:val="00554570"/>
    <w:rsid w:val="005631DD"/>
    <w:rsid w:val="00573BE5"/>
    <w:rsid w:val="00586ED3"/>
    <w:rsid w:val="00587A52"/>
    <w:rsid w:val="005B4E23"/>
    <w:rsid w:val="005F148A"/>
    <w:rsid w:val="00651922"/>
    <w:rsid w:val="00657B84"/>
    <w:rsid w:val="006E1D3C"/>
    <w:rsid w:val="0071601D"/>
    <w:rsid w:val="00744358"/>
    <w:rsid w:val="007A7BC0"/>
    <w:rsid w:val="0080684C"/>
    <w:rsid w:val="00871C75"/>
    <w:rsid w:val="008776DC"/>
    <w:rsid w:val="008B3485"/>
    <w:rsid w:val="008F24D3"/>
    <w:rsid w:val="0091514A"/>
    <w:rsid w:val="00945BF1"/>
    <w:rsid w:val="009705C8"/>
    <w:rsid w:val="009C4D45"/>
    <w:rsid w:val="009E57A4"/>
    <w:rsid w:val="00A14BD9"/>
    <w:rsid w:val="00A17974"/>
    <w:rsid w:val="00A97275"/>
    <w:rsid w:val="00AA0CD3"/>
    <w:rsid w:val="00AE323C"/>
    <w:rsid w:val="00AF69D4"/>
    <w:rsid w:val="00B40B67"/>
    <w:rsid w:val="00BA057A"/>
    <w:rsid w:val="00BB2E89"/>
    <w:rsid w:val="00BD37EC"/>
    <w:rsid w:val="00C02897"/>
    <w:rsid w:val="00CC1B8A"/>
    <w:rsid w:val="00CC30B0"/>
    <w:rsid w:val="00D64614"/>
    <w:rsid w:val="00DB1831"/>
    <w:rsid w:val="00DD3BFD"/>
    <w:rsid w:val="00EA6F3C"/>
    <w:rsid w:val="00EC54CA"/>
    <w:rsid w:val="00F5481A"/>
    <w:rsid w:val="00F660DF"/>
    <w:rsid w:val="00F94162"/>
    <w:rsid w:val="00F95C08"/>
    <w:rsid w:val="00FD15B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
    <w:basedOn w:val="DefaultParagraphFont"/>
    <w:rsid w:val="00023842"/>
    <w:rPr>
      <w:rFonts w:ascii="Times New Roman" w:hAnsi="Times New Roman"/>
      <w:sz w:val="18"/>
      <w:vertAlign w:val="superscript"/>
      <w:lang w:val="fr-CH"/>
    </w:rPr>
  </w:style>
  <w:style w:type="character" w:styleId="EndnoteReference">
    <w:name w:val="endnote reference"/>
    <w:aliases w:val="1_G"/>
    <w:basedOn w:val="FootnoteReference"/>
    <w:rsid w:val="00023842"/>
    <w:rPr>
      <w:rFonts w:ascii="Times New Roman" w:hAnsi="Times New Roman"/>
      <w:sz w:val="18"/>
      <w:vertAlign w:val="superscript"/>
      <w:lang w:val="fr-CH"/>
    </w:rPr>
  </w:style>
  <w:style w:type="table" w:styleId="TableGrid">
    <w:name w:val="Table Grid"/>
    <w:basedOn w:val="Table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69D4"/>
    <w:rPr>
      <w:color w:val="0000FF"/>
      <w:u w:val="none"/>
    </w:rPr>
  </w:style>
  <w:style w:type="character" w:styleId="FollowedHyperlink">
    <w:name w:val="FollowedHyperlink"/>
    <w:basedOn w:val="DefaultParagraphFont"/>
    <w:unhideWhenUsed/>
    <w:rsid w:val="00AF69D4"/>
    <w:rPr>
      <w:color w:val="0000FF"/>
      <w:u w:val="none"/>
    </w:rPr>
  </w:style>
  <w:style w:type="paragraph" w:styleId="FootnoteText">
    <w:name w:val="footnote text"/>
    <w:aliases w:val="5_G"/>
    <w:basedOn w:val="Normal"/>
    <w:link w:val="FootnoteTextChar"/>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FD15B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5BA"/>
    <w:rPr>
      <w:rFonts w:ascii="Tahoma" w:eastAsia="Times New Roman" w:hAnsi="Tahoma" w:cs="Tahoma"/>
      <w:sz w:val="16"/>
      <w:szCs w:val="16"/>
      <w:lang w:eastAsia="en-US"/>
    </w:rPr>
  </w:style>
  <w:style w:type="character" w:customStyle="1" w:styleId="SingleTxtGChar">
    <w:name w:val="_ Single Txt_G Char"/>
    <w:link w:val="SingleTxtG"/>
    <w:rsid w:val="005F148A"/>
    <w:rPr>
      <w:rFonts w:ascii="Times New Roman" w:eastAsia="Times New Roman" w:hAnsi="Times New Roman" w:cs="Times New Roman"/>
      <w:sz w:val="20"/>
      <w:szCs w:val="20"/>
      <w:lang w:eastAsia="en-US"/>
    </w:rPr>
  </w:style>
  <w:style w:type="character" w:customStyle="1" w:styleId="H1GChar">
    <w:name w:val="_ H_1_G Char"/>
    <w:link w:val="H1G"/>
    <w:rsid w:val="005F148A"/>
    <w:rPr>
      <w:rFonts w:ascii="Times New Roman" w:eastAsia="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
    <w:basedOn w:val="DefaultParagraphFont"/>
    <w:rsid w:val="00023842"/>
    <w:rPr>
      <w:rFonts w:ascii="Times New Roman" w:hAnsi="Times New Roman"/>
      <w:sz w:val="18"/>
      <w:vertAlign w:val="superscript"/>
      <w:lang w:val="fr-CH"/>
    </w:rPr>
  </w:style>
  <w:style w:type="character" w:styleId="EndnoteReference">
    <w:name w:val="endnote reference"/>
    <w:aliases w:val="1_G"/>
    <w:basedOn w:val="FootnoteReference"/>
    <w:rsid w:val="00023842"/>
    <w:rPr>
      <w:rFonts w:ascii="Times New Roman" w:hAnsi="Times New Roman"/>
      <w:sz w:val="18"/>
      <w:vertAlign w:val="superscript"/>
      <w:lang w:val="fr-CH"/>
    </w:rPr>
  </w:style>
  <w:style w:type="table" w:styleId="TableGrid">
    <w:name w:val="Table Grid"/>
    <w:basedOn w:val="Table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69D4"/>
    <w:rPr>
      <w:color w:val="0000FF"/>
      <w:u w:val="none"/>
    </w:rPr>
  </w:style>
  <w:style w:type="character" w:styleId="FollowedHyperlink">
    <w:name w:val="FollowedHyperlink"/>
    <w:basedOn w:val="DefaultParagraphFont"/>
    <w:unhideWhenUsed/>
    <w:rsid w:val="00AF69D4"/>
    <w:rPr>
      <w:color w:val="0000FF"/>
      <w:u w:val="none"/>
    </w:rPr>
  </w:style>
  <w:style w:type="paragraph" w:styleId="FootnoteText">
    <w:name w:val="footnote text"/>
    <w:aliases w:val="5_G"/>
    <w:basedOn w:val="Normal"/>
    <w:link w:val="FootnoteTextChar"/>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FD15B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5BA"/>
    <w:rPr>
      <w:rFonts w:ascii="Tahoma" w:eastAsia="Times New Roman" w:hAnsi="Tahoma" w:cs="Tahoma"/>
      <w:sz w:val="16"/>
      <w:szCs w:val="16"/>
      <w:lang w:eastAsia="en-US"/>
    </w:rPr>
  </w:style>
  <w:style w:type="character" w:customStyle="1" w:styleId="SingleTxtGChar">
    <w:name w:val="_ Single Txt_G Char"/>
    <w:link w:val="SingleTxtG"/>
    <w:rsid w:val="005F148A"/>
    <w:rPr>
      <w:rFonts w:ascii="Times New Roman" w:eastAsia="Times New Roman" w:hAnsi="Times New Roman" w:cs="Times New Roman"/>
      <w:sz w:val="20"/>
      <w:szCs w:val="20"/>
      <w:lang w:eastAsia="en-US"/>
    </w:rPr>
  </w:style>
  <w:style w:type="character" w:customStyle="1" w:styleId="H1GChar">
    <w:name w:val="_ H_1_G Char"/>
    <w:link w:val="H1G"/>
    <w:rsid w:val="005F148A"/>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8B795D-6C8D-4102-A009-A1A97F5DB0C4}"/>
</file>

<file path=customXml/itemProps2.xml><?xml version="1.0" encoding="utf-8"?>
<ds:datastoreItem xmlns:ds="http://schemas.openxmlformats.org/officeDocument/2006/customXml" ds:itemID="{394A5911-D465-48C5-92D8-910FD3F768D6}"/>
</file>

<file path=customXml/itemProps3.xml><?xml version="1.0" encoding="utf-8"?>
<ds:datastoreItem xmlns:ds="http://schemas.openxmlformats.org/officeDocument/2006/customXml" ds:itemID="{3D038E0E-29A7-4C78-B01F-3272EEA75112}"/>
</file>

<file path=docProps/app.xml><?xml version="1.0" encoding="utf-8"?>
<Properties xmlns="http://schemas.openxmlformats.org/officeDocument/2006/extended-properties" xmlns:vt="http://schemas.openxmlformats.org/officeDocument/2006/docPropsVTypes">
  <Template>T1.dotm</Template>
  <TotalTime>0</TotalTime>
  <Pages>10</Pages>
  <Words>5637</Words>
  <Characters>32131</Characters>
  <Application>Microsoft Office Word</Application>
  <DocSecurity>0</DocSecurity>
  <Lines>267</Lines>
  <Paragraphs>75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CAT/C/SR.1401</vt:lpstr>
      <vt:lpstr>CAT/C/SR.1401</vt:lpstr>
    </vt:vector>
  </TitlesOfParts>
  <Company>DCM</Company>
  <LinksUpToDate>false</LinksUpToDate>
  <CharactersWithSpaces>37693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CAT/C/SR.1401</dc:title>
  <dc:subject>final</dc:subject>
  <dc:creator>Beaunee</dc:creator>
  <cp:lastModifiedBy>Patrice GILLIBERT</cp:lastModifiedBy>
  <cp:revision>2</cp:revision>
  <cp:lastPrinted>2016-05-20T12:39:00Z</cp:lastPrinted>
  <dcterms:created xsi:type="dcterms:W3CDTF">2016-07-15T08:45:00Z</dcterms:created>
  <dcterms:modified xsi:type="dcterms:W3CDTF">2016-07-15T08:45:00Z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