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C1213" w14:textId="2885C166" w:rsidR="0061583C" w:rsidRDefault="0061583C" w:rsidP="00831408">
      <w:pPr>
        <w:pStyle w:val="Ttulo3"/>
        <w:numPr>
          <w:ilvl w:val="0"/>
          <w:numId w:val="0"/>
        </w:numPr>
        <w:spacing w:before="0" w:beforeAutospacing="0" w:after="0" w:afterAutospacing="0" w:line="360" w:lineRule="auto"/>
        <w:jc w:val="both"/>
        <w:rPr>
          <w:rStyle w:val="apple-converted-space"/>
          <w:szCs w:val="24"/>
        </w:rPr>
      </w:pPr>
    </w:p>
    <w:p w14:paraId="6869F420" w14:textId="77777777" w:rsidR="0061583C" w:rsidRDefault="0061583C" w:rsidP="00831408">
      <w:pPr>
        <w:pStyle w:val="Ttulo3"/>
        <w:numPr>
          <w:ilvl w:val="0"/>
          <w:numId w:val="0"/>
        </w:numPr>
        <w:spacing w:before="0" w:beforeAutospacing="0" w:after="0" w:afterAutospacing="0" w:line="360" w:lineRule="auto"/>
        <w:jc w:val="both"/>
        <w:rPr>
          <w:rStyle w:val="apple-converted-space"/>
          <w:szCs w:val="24"/>
        </w:rPr>
      </w:pPr>
    </w:p>
    <w:p w14:paraId="291742CE"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7C6AA961"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22F0F88F"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117C456B" w14:textId="77777777" w:rsidR="00EE6F7C" w:rsidRDefault="00EE6F7C" w:rsidP="0061583C">
      <w:pPr>
        <w:pStyle w:val="Ttulo3"/>
        <w:numPr>
          <w:ilvl w:val="0"/>
          <w:numId w:val="0"/>
        </w:numPr>
        <w:spacing w:before="0" w:beforeAutospacing="0" w:after="0" w:afterAutospacing="0" w:line="360" w:lineRule="auto"/>
        <w:jc w:val="center"/>
        <w:rPr>
          <w:sz w:val="28"/>
          <w:szCs w:val="24"/>
        </w:rPr>
      </w:pPr>
    </w:p>
    <w:p w14:paraId="7E403251" w14:textId="77777777" w:rsidR="0061583C" w:rsidRPr="0041430B" w:rsidRDefault="0061583C" w:rsidP="0061583C">
      <w:pPr>
        <w:pStyle w:val="Ttulo3"/>
        <w:numPr>
          <w:ilvl w:val="0"/>
          <w:numId w:val="0"/>
        </w:numPr>
        <w:spacing w:before="0" w:beforeAutospacing="0" w:after="0" w:afterAutospacing="0" w:line="360" w:lineRule="auto"/>
        <w:jc w:val="center"/>
        <w:rPr>
          <w:sz w:val="28"/>
          <w:szCs w:val="24"/>
        </w:rPr>
      </w:pPr>
      <w:r w:rsidRPr="0041430B">
        <w:rPr>
          <w:sz w:val="28"/>
          <w:szCs w:val="24"/>
        </w:rPr>
        <w:t>Defensoría del Pueblo de Ecuador</w:t>
      </w:r>
    </w:p>
    <w:p w14:paraId="7FD75BF0" w14:textId="33359163" w:rsidR="0061583C" w:rsidRPr="00EB59D3" w:rsidRDefault="0061583C" w:rsidP="0061583C">
      <w:pPr>
        <w:pStyle w:val="Ttulo3"/>
        <w:numPr>
          <w:ilvl w:val="0"/>
          <w:numId w:val="0"/>
        </w:numPr>
        <w:spacing w:after="0" w:line="360" w:lineRule="auto"/>
        <w:ind w:left="1428" w:hanging="720"/>
        <w:jc w:val="center"/>
        <w:rPr>
          <w:b w:val="0"/>
          <w:bCs w:val="0"/>
          <w:color w:val="595959" w:themeColor="text1" w:themeTint="A6"/>
          <w:sz w:val="22"/>
          <w:szCs w:val="20"/>
        </w:rPr>
      </w:pPr>
    </w:p>
    <w:p w14:paraId="5007555A" w14:textId="023D7B5A" w:rsidR="002559AA" w:rsidRDefault="000F2490" w:rsidP="002559AA">
      <w:pPr>
        <w:pStyle w:val="Ttulo3"/>
        <w:numPr>
          <w:ilvl w:val="0"/>
          <w:numId w:val="0"/>
        </w:numPr>
        <w:spacing w:before="0" w:beforeAutospacing="0" w:after="0" w:afterAutospacing="0" w:line="360" w:lineRule="auto"/>
        <w:jc w:val="center"/>
        <w:rPr>
          <w:b w:val="0"/>
          <w:sz w:val="28"/>
          <w:szCs w:val="24"/>
        </w:rPr>
      </w:pPr>
      <w:r>
        <w:rPr>
          <w:b w:val="0"/>
          <w:sz w:val="28"/>
          <w:szCs w:val="24"/>
        </w:rPr>
        <w:t>Dirección Nacional de Investigación en Derechos Humanos y de la Naturaleza</w:t>
      </w:r>
    </w:p>
    <w:p w14:paraId="060ABF2E" w14:textId="77777777" w:rsidR="002559AA" w:rsidRDefault="002559AA" w:rsidP="002559AA">
      <w:pPr>
        <w:pStyle w:val="Ttulo3"/>
        <w:numPr>
          <w:ilvl w:val="0"/>
          <w:numId w:val="0"/>
        </w:numPr>
        <w:spacing w:before="0" w:beforeAutospacing="0" w:after="0" w:afterAutospacing="0" w:line="360" w:lineRule="auto"/>
        <w:jc w:val="center"/>
        <w:rPr>
          <w:b w:val="0"/>
          <w:sz w:val="28"/>
          <w:szCs w:val="24"/>
        </w:rPr>
      </w:pPr>
    </w:p>
    <w:p w14:paraId="75B65425" w14:textId="77777777" w:rsidR="00761FCE" w:rsidRDefault="00761FCE" w:rsidP="002559AA">
      <w:pPr>
        <w:pStyle w:val="Ttulo3"/>
        <w:numPr>
          <w:ilvl w:val="0"/>
          <w:numId w:val="0"/>
        </w:numPr>
        <w:spacing w:before="0" w:beforeAutospacing="0" w:after="0" w:afterAutospacing="0" w:line="360" w:lineRule="auto"/>
        <w:jc w:val="center"/>
        <w:rPr>
          <w:b w:val="0"/>
          <w:sz w:val="28"/>
          <w:szCs w:val="24"/>
        </w:rPr>
      </w:pPr>
    </w:p>
    <w:p w14:paraId="2280A6BA" w14:textId="6BB75BDF" w:rsidR="00EE6F7C" w:rsidRDefault="001B6E30" w:rsidP="0061583C">
      <w:pPr>
        <w:pStyle w:val="Ttulo3"/>
        <w:numPr>
          <w:ilvl w:val="0"/>
          <w:numId w:val="0"/>
        </w:numPr>
        <w:spacing w:before="0" w:beforeAutospacing="0" w:after="0" w:afterAutospacing="0" w:line="360" w:lineRule="auto"/>
        <w:jc w:val="center"/>
        <w:rPr>
          <w:b w:val="0"/>
          <w:sz w:val="20"/>
          <w:szCs w:val="24"/>
        </w:rPr>
      </w:pPr>
      <w:r w:rsidRPr="001B6E30">
        <w:rPr>
          <w:b w:val="0"/>
          <w:sz w:val="28"/>
          <w:szCs w:val="24"/>
        </w:rPr>
        <w:t xml:space="preserve">Información previa a la presentación del cuarto informe periódico del Ecuador ante el Comité de Protección de los Derechos de </w:t>
      </w:r>
      <w:r>
        <w:rPr>
          <w:b w:val="0"/>
          <w:sz w:val="28"/>
          <w:szCs w:val="24"/>
        </w:rPr>
        <w:t>t</w:t>
      </w:r>
      <w:r w:rsidRPr="001B6E30">
        <w:rPr>
          <w:b w:val="0"/>
          <w:sz w:val="28"/>
          <w:szCs w:val="24"/>
        </w:rPr>
        <w:t>odos los</w:t>
      </w:r>
      <w:r>
        <w:rPr>
          <w:b w:val="0"/>
          <w:sz w:val="28"/>
          <w:szCs w:val="24"/>
        </w:rPr>
        <w:t xml:space="preserve"> Trabajadores Migratorios y de s</w:t>
      </w:r>
      <w:r w:rsidRPr="001B6E30">
        <w:rPr>
          <w:b w:val="0"/>
          <w:sz w:val="28"/>
          <w:szCs w:val="24"/>
        </w:rPr>
        <w:t>us Familiares</w:t>
      </w:r>
    </w:p>
    <w:p w14:paraId="3C88FBF2" w14:textId="77777777" w:rsidR="00EE6F7C" w:rsidRDefault="00EE6F7C" w:rsidP="0061583C">
      <w:pPr>
        <w:pStyle w:val="Ttulo3"/>
        <w:numPr>
          <w:ilvl w:val="0"/>
          <w:numId w:val="0"/>
        </w:numPr>
        <w:spacing w:before="0" w:beforeAutospacing="0" w:after="0" w:afterAutospacing="0" w:line="360" w:lineRule="auto"/>
        <w:jc w:val="center"/>
        <w:rPr>
          <w:b w:val="0"/>
          <w:sz w:val="20"/>
          <w:szCs w:val="24"/>
        </w:rPr>
      </w:pPr>
    </w:p>
    <w:p w14:paraId="6E364C9A" w14:textId="77777777" w:rsidR="00EE6F7C" w:rsidRDefault="00EE6F7C" w:rsidP="0061583C">
      <w:pPr>
        <w:pStyle w:val="Ttulo3"/>
        <w:numPr>
          <w:ilvl w:val="0"/>
          <w:numId w:val="0"/>
        </w:numPr>
        <w:spacing w:before="0" w:beforeAutospacing="0" w:after="0" w:afterAutospacing="0" w:line="360" w:lineRule="auto"/>
        <w:jc w:val="center"/>
        <w:rPr>
          <w:b w:val="0"/>
          <w:sz w:val="20"/>
          <w:szCs w:val="24"/>
        </w:rPr>
      </w:pPr>
    </w:p>
    <w:p w14:paraId="310AEB17" w14:textId="77777777" w:rsidR="0061583C" w:rsidRPr="0041430B" w:rsidRDefault="0061583C" w:rsidP="301F4835">
      <w:pPr>
        <w:pStyle w:val="Default"/>
        <w:spacing w:line="360" w:lineRule="auto"/>
        <w:rPr>
          <w:b/>
          <w:bCs/>
          <w:lang w:val="es-ES"/>
        </w:rPr>
      </w:pPr>
    </w:p>
    <w:p w14:paraId="4AECE85F" w14:textId="26BAC2AB" w:rsidR="301F4835" w:rsidRDefault="301F4835" w:rsidP="301F4835">
      <w:pPr>
        <w:pStyle w:val="Default"/>
        <w:spacing w:line="360" w:lineRule="auto"/>
        <w:rPr>
          <w:b/>
          <w:bCs/>
          <w:lang w:val="es-ES"/>
        </w:rPr>
      </w:pPr>
    </w:p>
    <w:p w14:paraId="3893FB55" w14:textId="402BCC5D" w:rsidR="301F4835" w:rsidRDefault="301F4835" w:rsidP="301F4835">
      <w:pPr>
        <w:pStyle w:val="Default"/>
        <w:spacing w:line="360" w:lineRule="auto"/>
        <w:rPr>
          <w:b/>
          <w:bCs/>
          <w:lang w:val="es-ES"/>
        </w:rPr>
      </w:pPr>
    </w:p>
    <w:p w14:paraId="54D8E646" w14:textId="58F5C57E" w:rsidR="006268BB" w:rsidRDefault="0061583C" w:rsidP="006E542F">
      <w:pPr>
        <w:autoSpaceDE w:val="0"/>
        <w:autoSpaceDN w:val="0"/>
        <w:adjustRightInd w:val="0"/>
        <w:spacing w:line="240" w:lineRule="auto"/>
        <w:ind w:firstLine="0"/>
        <w:jc w:val="left"/>
        <w:rPr>
          <w:rFonts w:ascii="Times New Roman" w:hAnsi="Times New Roman" w:cs="Times New Roman"/>
          <w:sz w:val="24"/>
          <w:lang w:val="es-ES"/>
        </w:rPr>
      </w:pPr>
      <w:r w:rsidRPr="006268BB">
        <w:rPr>
          <w:rFonts w:ascii="Times New Roman" w:hAnsi="Times New Roman" w:cs="Times New Roman"/>
          <w:b/>
          <w:bCs/>
          <w:sz w:val="24"/>
          <w:lang w:val="es-ES"/>
        </w:rPr>
        <w:t>Organismo solicitante</w:t>
      </w:r>
      <w:r w:rsidRPr="006268BB">
        <w:rPr>
          <w:rFonts w:ascii="Times New Roman" w:hAnsi="Times New Roman" w:cs="Times New Roman"/>
          <w:sz w:val="24"/>
          <w:lang w:val="es-ES"/>
        </w:rPr>
        <w:t xml:space="preserve">: </w:t>
      </w:r>
      <w:r w:rsidR="001B6E30" w:rsidRPr="001B6E30">
        <w:rPr>
          <w:rFonts w:ascii="Times New Roman" w:hAnsi="Times New Roman" w:cs="Times New Roman"/>
          <w:sz w:val="24"/>
          <w:lang w:val="es-ES"/>
        </w:rPr>
        <w:t>Comité de Naciones Unidas para la Protección de los Derechos de Todos los Trabajadores Migratorios y de sus Familiares (CMW)</w:t>
      </w:r>
    </w:p>
    <w:p w14:paraId="67A66796" w14:textId="77777777" w:rsidR="001B6E30" w:rsidRPr="006E542F" w:rsidRDefault="001B6E30" w:rsidP="006E542F">
      <w:pPr>
        <w:autoSpaceDE w:val="0"/>
        <w:autoSpaceDN w:val="0"/>
        <w:adjustRightInd w:val="0"/>
        <w:spacing w:line="240" w:lineRule="auto"/>
        <w:ind w:firstLine="0"/>
        <w:jc w:val="left"/>
        <w:rPr>
          <w:lang w:val="es-ES"/>
        </w:rPr>
      </w:pPr>
    </w:p>
    <w:p w14:paraId="1DC734C5" w14:textId="5C5CD988" w:rsidR="0061583C" w:rsidRDefault="0061583C" w:rsidP="001001F1">
      <w:pPr>
        <w:pStyle w:val="Ttulo3"/>
        <w:numPr>
          <w:ilvl w:val="2"/>
          <w:numId w:val="0"/>
        </w:numPr>
        <w:spacing w:before="0" w:beforeAutospacing="0" w:after="0" w:afterAutospacing="0" w:line="360" w:lineRule="auto"/>
        <w:jc w:val="both"/>
        <w:rPr>
          <w:b w:val="0"/>
          <w:bCs w:val="0"/>
        </w:rPr>
      </w:pPr>
      <w:r w:rsidRPr="0143C1D9">
        <w:rPr>
          <w:lang w:val="es-ES"/>
        </w:rPr>
        <w:t xml:space="preserve">Fecha de envío: </w:t>
      </w:r>
      <w:r w:rsidR="001B6E30">
        <w:rPr>
          <w:b w:val="0"/>
          <w:bCs w:val="0"/>
          <w:lang w:val="es-ES"/>
        </w:rPr>
        <w:t>abril</w:t>
      </w:r>
      <w:r w:rsidR="000F2490">
        <w:rPr>
          <w:b w:val="0"/>
          <w:bCs w:val="0"/>
          <w:lang w:val="es-ES"/>
        </w:rPr>
        <w:t xml:space="preserve"> </w:t>
      </w:r>
      <w:r w:rsidR="006268BB">
        <w:rPr>
          <w:b w:val="0"/>
          <w:bCs w:val="0"/>
          <w:lang w:val="es-ES"/>
        </w:rPr>
        <w:t>202</w:t>
      </w:r>
      <w:r w:rsidR="009012C1">
        <w:rPr>
          <w:b w:val="0"/>
          <w:bCs w:val="0"/>
          <w:lang w:val="es-ES"/>
        </w:rPr>
        <w:t>6</w:t>
      </w:r>
    </w:p>
    <w:p w14:paraId="72F47060" w14:textId="76E4570F" w:rsidR="0828F949" w:rsidRDefault="0828F949" w:rsidP="0828F949">
      <w:pPr>
        <w:spacing w:line="240" w:lineRule="auto"/>
        <w:ind w:firstLine="0"/>
        <w:jc w:val="left"/>
        <w:rPr>
          <w:rFonts w:ascii="Times New Roman" w:hAnsi="Times New Roman"/>
          <w:sz w:val="24"/>
          <w:szCs w:val="24"/>
        </w:rPr>
      </w:pPr>
    </w:p>
    <w:p w14:paraId="6B5AC382" w14:textId="3F65F7B3" w:rsidR="0828F949" w:rsidRDefault="0828F949" w:rsidP="0828F949">
      <w:pPr>
        <w:spacing w:line="240" w:lineRule="auto"/>
        <w:ind w:firstLine="0"/>
        <w:jc w:val="left"/>
        <w:rPr>
          <w:rFonts w:ascii="Times New Roman" w:hAnsi="Times New Roman"/>
          <w:sz w:val="24"/>
          <w:szCs w:val="24"/>
        </w:rPr>
      </w:pPr>
    </w:p>
    <w:p w14:paraId="6EF5A289" w14:textId="657C97EF" w:rsidR="0828F949" w:rsidRDefault="0828F949" w:rsidP="0828F949">
      <w:pPr>
        <w:spacing w:line="240" w:lineRule="auto"/>
        <w:ind w:firstLine="0"/>
        <w:jc w:val="left"/>
        <w:rPr>
          <w:rFonts w:ascii="Times New Roman" w:hAnsi="Times New Roman"/>
          <w:sz w:val="24"/>
          <w:szCs w:val="24"/>
        </w:rPr>
      </w:pPr>
    </w:p>
    <w:p w14:paraId="361B3D33" w14:textId="4755CA96" w:rsidR="0828F949" w:rsidRDefault="0828F949" w:rsidP="0828F949">
      <w:pPr>
        <w:spacing w:line="240" w:lineRule="auto"/>
        <w:ind w:firstLine="0"/>
        <w:jc w:val="left"/>
        <w:rPr>
          <w:rFonts w:ascii="Times New Roman" w:hAnsi="Times New Roman"/>
          <w:sz w:val="24"/>
          <w:szCs w:val="24"/>
        </w:rPr>
      </w:pPr>
    </w:p>
    <w:p w14:paraId="630B67FA" w14:textId="4D7981E4" w:rsidR="301F4835" w:rsidRDefault="301F4835" w:rsidP="301F4835">
      <w:pPr>
        <w:spacing w:line="240" w:lineRule="auto"/>
        <w:ind w:firstLine="0"/>
        <w:jc w:val="left"/>
        <w:rPr>
          <w:rFonts w:ascii="Times New Roman" w:hAnsi="Times New Roman"/>
          <w:sz w:val="24"/>
          <w:szCs w:val="24"/>
        </w:rPr>
      </w:pPr>
    </w:p>
    <w:p w14:paraId="4E5F6042" w14:textId="028A262F" w:rsidR="0828F949" w:rsidRDefault="0828F949" w:rsidP="0828F949">
      <w:pPr>
        <w:spacing w:line="240" w:lineRule="auto"/>
        <w:ind w:firstLine="0"/>
        <w:jc w:val="left"/>
        <w:rPr>
          <w:rFonts w:ascii="Times New Roman" w:hAnsi="Times New Roman"/>
          <w:sz w:val="24"/>
          <w:szCs w:val="24"/>
        </w:rPr>
      </w:pPr>
    </w:p>
    <w:p w14:paraId="63755389" w14:textId="6E3C84FD" w:rsidR="301F4835" w:rsidRDefault="301F4835">
      <w:r>
        <w:br w:type="page"/>
      </w:r>
    </w:p>
    <w:p w14:paraId="66C035CC" w14:textId="77777777" w:rsidR="00C13EF5" w:rsidRDefault="00C13EF5" w:rsidP="301F4835">
      <w:pPr>
        <w:spacing w:line="240" w:lineRule="auto"/>
        <w:ind w:firstLine="0"/>
        <w:jc w:val="left"/>
        <w:rPr>
          <w:rFonts w:ascii="Times New Roman" w:hAnsi="Times New Roman"/>
          <w:sz w:val="24"/>
          <w:szCs w:val="24"/>
        </w:rPr>
      </w:pPr>
    </w:p>
    <w:p w14:paraId="1052324E" w14:textId="5BA1BC43" w:rsidR="0061583C" w:rsidRPr="0061583C" w:rsidRDefault="0061583C" w:rsidP="301F4835">
      <w:pPr>
        <w:spacing w:line="240" w:lineRule="auto"/>
        <w:ind w:firstLine="0"/>
        <w:jc w:val="left"/>
        <w:rPr>
          <w:rFonts w:ascii="Times New Roman" w:hAnsi="Times New Roman"/>
          <w:b/>
          <w:bCs/>
          <w:sz w:val="24"/>
          <w:szCs w:val="24"/>
        </w:rPr>
      </w:pPr>
      <w:bookmarkStart w:id="0" w:name="_GoBack"/>
      <w:bookmarkEnd w:id="0"/>
      <w:r w:rsidRPr="301F4835">
        <w:rPr>
          <w:rFonts w:ascii="Times New Roman" w:hAnsi="Times New Roman"/>
          <w:sz w:val="24"/>
          <w:szCs w:val="24"/>
        </w:rPr>
        <w:t xml:space="preserve">César Marcel Córdova </w:t>
      </w:r>
      <w:r w:rsidR="2A3FBBFD" w:rsidRPr="301F4835">
        <w:rPr>
          <w:rFonts w:ascii="Times New Roman" w:hAnsi="Times New Roman"/>
          <w:sz w:val="24"/>
          <w:szCs w:val="24"/>
        </w:rPr>
        <w:t>Valverde</w:t>
      </w:r>
    </w:p>
    <w:p w14:paraId="1F69FE2E" w14:textId="1667F819" w:rsidR="0061583C" w:rsidRPr="0061583C" w:rsidRDefault="0061583C" w:rsidP="0061583C">
      <w:pPr>
        <w:spacing w:line="240" w:lineRule="auto"/>
        <w:ind w:firstLine="0"/>
        <w:jc w:val="left"/>
        <w:rPr>
          <w:rFonts w:ascii="Times New Roman" w:hAnsi="Times New Roman"/>
          <w:b/>
          <w:bCs/>
          <w:sz w:val="24"/>
          <w:szCs w:val="24"/>
        </w:rPr>
      </w:pPr>
      <w:r w:rsidRPr="301F4835">
        <w:rPr>
          <w:rFonts w:ascii="Times New Roman" w:hAnsi="Times New Roman"/>
          <w:b/>
          <w:bCs/>
          <w:sz w:val="24"/>
          <w:szCs w:val="24"/>
        </w:rPr>
        <w:t xml:space="preserve">Defensor del Pueblo de Ecuador encargado </w:t>
      </w:r>
    </w:p>
    <w:p w14:paraId="7DF74643" w14:textId="77777777" w:rsidR="0061583C" w:rsidRDefault="0061583C" w:rsidP="0061583C">
      <w:pPr>
        <w:spacing w:line="240" w:lineRule="auto"/>
        <w:ind w:firstLine="0"/>
        <w:jc w:val="left"/>
        <w:rPr>
          <w:rFonts w:ascii="Times New Roman" w:hAnsi="Times New Roman"/>
          <w:bCs/>
          <w:sz w:val="24"/>
          <w:szCs w:val="24"/>
        </w:rPr>
      </w:pPr>
    </w:p>
    <w:p w14:paraId="11A2E868" w14:textId="77777777" w:rsidR="00387C65" w:rsidRPr="00A8641A" w:rsidRDefault="00387C65" w:rsidP="00387C65">
      <w:pPr>
        <w:spacing w:line="240" w:lineRule="auto"/>
        <w:ind w:firstLine="0"/>
        <w:jc w:val="left"/>
        <w:rPr>
          <w:rFonts w:ascii="Times New Roman" w:hAnsi="Times New Roman"/>
          <w:bCs/>
          <w:sz w:val="24"/>
          <w:szCs w:val="24"/>
        </w:rPr>
      </w:pPr>
      <w:r w:rsidRPr="00A8641A">
        <w:rPr>
          <w:rFonts w:ascii="Times New Roman" w:hAnsi="Times New Roman"/>
          <w:bCs/>
          <w:sz w:val="24"/>
          <w:szCs w:val="24"/>
        </w:rPr>
        <w:t>Rodrigo Fernando Varela Torres</w:t>
      </w:r>
    </w:p>
    <w:p w14:paraId="314D210C" w14:textId="47FF4A93" w:rsidR="00285998" w:rsidRPr="0061583C" w:rsidRDefault="0061583C" w:rsidP="0061583C">
      <w:pPr>
        <w:spacing w:line="240" w:lineRule="auto"/>
        <w:ind w:firstLine="0"/>
        <w:jc w:val="left"/>
        <w:rPr>
          <w:rFonts w:ascii="Times New Roman" w:hAnsi="Times New Roman"/>
          <w:b/>
          <w:bCs/>
          <w:sz w:val="24"/>
          <w:szCs w:val="24"/>
        </w:rPr>
      </w:pPr>
      <w:r w:rsidRPr="431E6DA9">
        <w:rPr>
          <w:rFonts w:ascii="Times New Roman" w:hAnsi="Times New Roman"/>
          <w:b/>
          <w:bCs/>
          <w:sz w:val="24"/>
          <w:szCs w:val="24"/>
        </w:rPr>
        <w:t xml:space="preserve">Secretario general Misional </w:t>
      </w:r>
    </w:p>
    <w:p w14:paraId="124F8462" w14:textId="77777777" w:rsidR="0061583C" w:rsidRDefault="0061583C" w:rsidP="0061583C">
      <w:pPr>
        <w:spacing w:line="240" w:lineRule="auto"/>
        <w:ind w:firstLine="0"/>
        <w:jc w:val="left"/>
        <w:rPr>
          <w:rFonts w:ascii="Times New Roman" w:hAnsi="Times New Roman"/>
          <w:bCs/>
          <w:sz w:val="24"/>
          <w:szCs w:val="24"/>
        </w:rPr>
      </w:pPr>
    </w:p>
    <w:p w14:paraId="32BDD4A2" w14:textId="0C284BF8" w:rsidR="003F4574" w:rsidRPr="006268BB" w:rsidRDefault="00387C65" w:rsidP="0061583C">
      <w:pPr>
        <w:spacing w:line="240" w:lineRule="auto"/>
        <w:ind w:firstLine="0"/>
        <w:jc w:val="left"/>
        <w:rPr>
          <w:rFonts w:ascii="Times New Roman" w:hAnsi="Times New Roman"/>
          <w:bCs/>
          <w:sz w:val="24"/>
          <w:szCs w:val="24"/>
        </w:rPr>
      </w:pPr>
      <w:r w:rsidRPr="006268BB">
        <w:rPr>
          <w:rFonts w:ascii="Times New Roman" w:hAnsi="Times New Roman"/>
          <w:bCs/>
          <w:sz w:val="24"/>
          <w:szCs w:val="24"/>
        </w:rPr>
        <w:t xml:space="preserve">Galo </w:t>
      </w:r>
      <w:r w:rsidR="006268BB" w:rsidRPr="006268BB">
        <w:rPr>
          <w:rFonts w:ascii="Times New Roman" w:hAnsi="Times New Roman"/>
          <w:bCs/>
          <w:sz w:val="24"/>
          <w:szCs w:val="24"/>
        </w:rPr>
        <w:t xml:space="preserve">Hernán </w:t>
      </w:r>
      <w:r w:rsidR="007358A9" w:rsidRPr="006268BB">
        <w:rPr>
          <w:rFonts w:ascii="Times New Roman" w:hAnsi="Times New Roman"/>
          <w:bCs/>
          <w:sz w:val="24"/>
          <w:szCs w:val="24"/>
        </w:rPr>
        <w:t>Rodríguez</w:t>
      </w:r>
      <w:r w:rsidR="006268BB" w:rsidRPr="006268BB">
        <w:rPr>
          <w:rFonts w:ascii="Times New Roman" w:hAnsi="Times New Roman"/>
          <w:bCs/>
          <w:sz w:val="24"/>
          <w:szCs w:val="24"/>
        </w:rPr>
        <w:t xml:space="preserve"> Caicedo</w:t>
      </w:r>
    </w:p>
    <w:p w14:paraId="16F8C456" w14:textId="6B22D5C6" w:rsidR="0061583C" w:rsidRDefault="0061583C" w:rsidP="0061583C">
      <w:pPr>
        <w:spacing w:line="240" w:lineRule="auto"/>
        <w:ind w:firstLine="0"/>
        <w:jc w:val="left"/>
        <w:rPr>
          <w:rFonts w:ascii="Times New Roman" w:hAnsi="Times New Roman"/>
          <w:b/>
          <w:bCs/>
          <w:sz w:val="24"/>
          <w:szCs w:val="24"/>
        </w:rPr>
      </w:pPr>
      <w:r w:rsidRPr="006268BB">
        <w:rPr>
          <w:rFonts w:ascii="Times New Roman" w:hAnsi="Times New Roman"/>
          <w:b/>
          <w:bCs/>
          <w:sz w:val="24"/>
          <w:szCs w:val="24"/>
        </w:rPr>
        <w:t>Coordinador General de Producción Especializada de Gestión del Conocimiento e Investigación</w:t>
      </w:r>
    </w:p>
    <w:p w14:paraId="7BA040DF" w14:textId="4DE59F73" w:rsidR="003D76A4" w:rsidRDefault="003D76A4" w:rsidP="0061583C">
      <w:pPr>
        <w:spacing w:line="240" w:lineRule="auto"/>
        <w:ind w:firstLine="0"/>
        <w:jc w:val="left"/>
        <w:rPr>
          <w:rFonts w:ascii="Times New Roman" w:hAnsi="Times New Roman"/>
          <w:b/>
          <w:bCs/>
          <w:sz w:val="24"/>
          <w:szCs w:val="24"/>
        </w:rPr>
      </w:pPr>
    </w:p>
    <w:p w14:paraId="5AB01582" w14:textId="77777777" w:rsidR="0061583C" w:rsidRDefault="0061583C" w:rsidP="0061583C">
      <w:pPr>
        <w:spacing w:line="240" w:lineRule="auto"/>
        <w:ind w:firstLine="0"/>
        <w:jc w:val="left"/>
        <w:rPr>
          <w:rFonts w:ascii="Times New Roman" w:hAnsi="Times New Roman" w:cs="Times New Roman"/>
          <w:b/>
          <w:sz w:val="24"/>
        </w:rPr>
      </w:pPr>
    </w:p>
    <w:p w14:paraId="2006E0DA" w14:textId="4D650C88" w:rsidR="006268BB" w:rsidRPr="006268BB" w:rsidRDefault="0061583C" w:rsidP="00137EBA">
      <w:pPr>
        <w:spacing w:line="240" w:lineRule="auto"/>
        <w:ind w:firstLine="0"/>
        <w:jc w:val="left"/>
        <w:rPr>
          <w:rFonts w:ascii="Times New Roman" w:hAnsi="Times New Roman" w:cs="Times New Roman"/>
          <w:b/>
          <w:sz w:val="24"/>
        </w:rPr>
      </w:pPr>
      <w:r w:rsidRPr="00040F15">
        <w:rPr>
          <w:rFonts w:ascii="Times New Roman" w:hAnsi="Times New Roman" w:cs="Times New Roman"/>
          <w:b/>
          <w:sz w:val="24"/>
        </w:rPr>
        <w:t>Revisión</w:t>
      </w:r>
    </w:p>
    <w:p w14:paraId="3849537A" w14:textId="44896650" w:rsidR="00137EBA" w:rsidRPr="00032AD8" w:rsidRDefault="000F2490" w:rsidP="00137EBA">
      <w:pPr>
        <w:spacing w:line="240" w:lineRule="auto"/>
        <w:ind w:firstLine="0"/>
        <w:jc w:val="left"/>
        <w:rPr>
          <w:rFonts w:ascii="Times New Roman" w:hAnsi="Times New Roman" w:cs="Times New Roman"/>
          <w:bCs/>
          <w:sz w:val="24"/>
        </w:rPr>
      </w:pPr>
      <w:r>
        <w:rPr>
          <w:rFonts w:ascii="Times New Roman" w:hAnsi="Times New Roman" w:cs="Times New Roman"/>
          <w:bCs/>
          <w:sz w:val="24"/>
        </w:rPr>
        <w:t>Ricardo Alonso Durán Jaramillo</w:t>
      </w:r>
    </w:p>
    <w:p w14:paraId="6C34410A" w14:textId="77777777" w:rsidR="001B6E30" w:rsidRDefault="00137EBA" w:rsidP="00137EBA">
      <w:pPr>
        <w:spacing w:line="240" w:lineRule="auto"/>
        <w:ind w:firstLine="0"/>
        <w:jc w:val="left"/>
        <w:rPr>
          <w:rFonts w:ascii="Times New Roman" w:hAnsi="Times New Roman" w:cs="Times New Roman"/>
          <w:b/>
          <w:sz w:val="24"/>
        </w:rPr>
      </w:pPr>
      <w:r w:rsidRPr="00040F15">
        <w:rPr>
          <w:rFonts w:ascii="Times New Roman" w:hAnsi="Times New Roman" w:cs="Times New Roman"/>
          <w:b/>
          <w:sz w:val="24"/>
        </w:rPr>
        <w:t>Direc</w:t>
      </w:r>
      <w:r>
        <w:rPr>
          <w:rFonts w:ascii="Times New Roman" w:hAnsi="Times New Roman" w:cs="Times New Roman"/>
          <w:b/>
          <w:sz w:val="24"/>
        </w:rPr>
        <w:t xml:space="preserve">tor </w:t>
      </w:r>
      <w:r w:rsidRPr="00040F15">
        <w:rPr>
          <w:rFonts w:ascii="Times New Roman" w:hAnsi="Times New Roman" w:cs="Times New Roman"/>
          <w:b/>
          <w:sz w:val="24"/>
        </w:rPr>
        <w:t>Nacional de</w:t>
      </w:r>
      <w:r>
        <w:rPr>
          <w:rFonts w:ascii="Times New Roman" w:hAnsi="Times New Roman" w:cs="Times New Roman"/>
          <w:b/>
          <w:sz w:val="24"/>
        </w:rPr>
        <w:t xml:space="preserve"> Investigación de Dere</w:t>
      </w:r>
      <w:r w:rsidR="001B6E30">
        <w:rPr>
          <w:rFonts w:ascii="Times New Roman" w:hAnsi="Times New Roman" w:cs="Times New Roman"/>
          <w:b/>
          <w:sz w:val="24"/>
        </w:rPr>
        <w:t>chos Humanos y de la Naturaleza</w:t>
      </w:r>
    </w:p>
    <w:p w14:paraId="192D6AAB" w14:textId="77777777" w:rsidR="001B6E30" w:rsidRDefault="001B6E30" w:rsidP="00137EBA">
      <w:pPr>
        <w:spacing w:line="240" w:lineRule="auto"/>
        <w:ind w:firstLine="0"/>
        <w:jc w:val="left"/>
        <w:rPr>
          <w:rFonts w:ascii="Times New Roman" w:hAnsi="Times New Roman" w:cs="Times New Roman"/>
          <w:b/>
          <w:sz w:val="24"/>
        </w:rPr>
      </w:pPr>
    </w:p>
    <w:p w14:paraId="701436B9" w14:textId="1CA7A7E0" w:rsidR="00137EBA" w:rsidRPr="001B6E30" w:rsidRDefault="001B6E30" w:rsidP="00137EBA">
      <w:pPr>
        <w:spacing w:line="240" w:lineRule="auto"/>
        <w:ind w:firstLine="0"/>
        <w:jc w:val="left"/>
        <w:rPr>
          <w:rFonts w:ascii="Times New Roman" w:hAnsi="Times New Roman" w:cs="Times New Roman"/>
          <w:sz w:val="24"/>
        </w:rPr>
      </w:pPr>
      <w:r w:rsidRPr="001B6E30">
        <w:rPr>
          <w:rFonts w:ascii="Times New Roman" w:hAnsi="Times New Roman" w:cs="Times New Roman"/>
          <w:sz w:val="24"/>
        </w:rPr>
        <w:t>David Rivadeneira Revelo</w:t>
      </w:r>
      <w:r w:rsidR="00137EBA" w:rsidRPr="001B6E30">
        <w:rPr>
          <w:rFonts w:ascii="Times New Roman" w:hAnsi="Times New Roman" w:cs="Times New Roman"/>
          <w:sz w:val="24"/>
        </w:rPr>
        <w:t xml:space="preserve"> </w:t>
      </w:r>
    </w:p>
    <w:p w14:paraId="6475E8AD" w14:textId="2D741C3E" w:rsidR="00FE77C3" w:rsidRDefault="001B6E30" w:rsidP="0061583C">
      <w:pPr>
        <w:spacing w:line="240" w:lineRule="auto"/>
        <w:ind w:firstLine="0"/>
        <w:jc w:val="left"/>
        <w:rPr>
          <w:rFonts w:ascii="Times New Roman" w:hAnsi="Times New Roman" w:cs="Times New Roman"/>
          <w:b/>
          <w:sz w:val="24"/>
        </w:rPr>
      </w:pPr>
      <w:r>
        <w:rPr>
          <w:rFonts w:ascii="Times New Roman" w:hAnsi="Times New Roman" w:cs="Times New Roman"/>
          <w:b/>
          <w:sz w:val="24"/>
        </w:rPr>
        <w:t>Especialista en Políticas Públicas</w:t>
      </w:r>
    </w:p>
    <w:p w14:paraId="4092EF8E" w14:textId="77777777" w:rsidR="00FE77C3" w:rsidRDefault="00FE77C3" w:rsidP="0061583C">
      <w:pPr>
        <w:spacing w:line="240" w:lineRule="auto"/>
        <w:ind w:firstLine="0"/>
        <w:jc w:val="left"/>
        <w:rPr>
          <w:rFonts w:ascii="Times New Roman" w:hAnsi="Times New Roman" w:cs="Times New Roman"/>
          <w:b/>
          <w:sz w:val="24"/>
        </w:rPr>
      </w:pPr>
    </w:p>
    <w:p w14:paraId="158CA9C1" w14:textId="77777777" w:rsidR="0005213F" w:rsidRDefault="00FE77C3" w:rsidP="0005213F">
      <w:pPr>
        <w:spacing w:line="240" w:lineRule="auto"/>
        <w:ind w:firstLine="0"/>
        <w:jc w:val="left"/>
        <w:rPr>
          <w:rFonts w:ascii="Times New Roman" w:hAnsi="Times New Roman" w:cs="Times New Roman"/>
          <w:b/>
          <w:sz w:val="24"/>
        </w:rPr>
      </w:pPr>
      <w:r w:rsidRPr="00FE77C3">
        <w:rPr>
          <w:rFonts w:ascii="Times New Roman" w:hAnsi="Times New Roman" w:cs="Times New Roman"/>
          <w:b/>
          <w:sz w:val="24"/>
        </w:rPr>
        <w:t>E</w:t>
      </w:r>
      <w:r w:rsidR="0061583C" w:rsidRPr="00FE77C3">
        <w:rPr>
          <w:rFonts w:ascii="Times New Roman" w:hAnsi="Times New Roman" w:cs="Times New Roman"/>
          <w:b/>
          <w:sz w:val="24"/>
        </w:rPr>
        <w:t>l</w:t>
      </w:r>
      <w:r w:rsidR="0061583C" w:rsidRPr="00040F15">
        <w:rPr>
          <w:rFonts w:ascii="Times New Roman" w:hAnsi="Times New Roman" w:cs="Times New Roman"/>
          <w:b/>
          <w:sz w:val="24"/>
        </w:rPr>
        <w:t>aboración</w:t>
      </w:r>
    </w:p>
    <w:p w14:paraId="55E2D801" w14:textId="77777777" w:rsidR="001B6E30" w:rsidRDefault="001B6E30" w:rsidP="0005213F">
      <w:pPr>
        <w:spacing w:line="240" w:lineRule="auto"/>
        <w:ind w:firstLine="0"/>
        <w:jc w:val="left"/>
        <w:rPr>
          <w:rFonts w:ascii="Times New Roman" w:hAnsi="Times New Roman" w:cs="Times New Roman"/>
          <w:b/>
          <w:sz w:val="24"/>
        </w:rPr>
      </w:pPr>
    </w:p>
    <w:p w14:paraId="5045514B" w14:textId="694FAF13" w:rsidR="001B6E30" w:rsidRPr="001B6E30" w:rsidRDefault="001B6E30" w:rsidP="001B6E30">
      <w:pPr>
        <w:spacing w:line="240" w:lineRule="auto"/>
        <w:ind w:firstLine="0"/>
        <w:jc w:val="left"/>
        <w:rPr>
          <w:rFonts w:ascii="Times New Roman" w:hAnsi="Times New Roman" w:cs="Times New Roman"/>
          <w:sz w:val="24"/>
        </w:rPr>
      </w:pPr>
      <w:r w:rsidRPr="001B6E30">
        <w:rPr>
          <w:rFonts w:ascii="Times New Roman" w:hAnsi="Times New Roman" w:cs="Times New Roman"/>
          <w:sz w:val="24"/>
        </w:rPr>
        <w:t xml:space="preserve">Gabriela Isabel Hidalgo </w:t>
      </w:r>
      <w:r w:rsidR="00E633C7" w:rsidRPr="001B6E30">
        <w:rPr>
          <w:rFonts w:ascii="Times New Roman" w:hAnsi="Times New Roman" w:cs="Times New Roman"/>
          <w:sz w:val="24"/>
        </w:rPr>
        <w:t>Vélez</w:t>
      </w:r>
    </w:p>
    <w:p w14:paraId="7A85749A" w14:textId="0E4C8B18" w:rsidR="001B6E30" w:rsidRPr="001B6E30" w:rsidRDefault="001B6E30" w:rsidP="001B6E30">
      <w:pPr>
        <w:spacing w:line="240" w:lineRule="auto"/>
        <w:ind w:firstLine="0"/>
        <w:jc w:val="left"/>
        <w:rPr>
          <w:rFonts w:ascii="Times New Roman" w:hAnsi="Times New Roman" w:cs="Times New Roman"/>
          <w:b/>
          <w:sz w:val="24"/>
        </w:rPr>
      </w:pPr>
      <w:r w:rsidRPr="001B6E30">
        <w:rPr>
          <w:rFonts w:ascii="Times New Roman" w:hAnsi="Times New Roman" w:cs="Times New Roman"/>
          <w:b/>
          <w:sz w:val="24"/>
        </w:rPr>
        <w:t>Directora Nacional del Mecanismo para la Promoción y Protección de las personas en situación de Movilidad Humana</w:t>
      </w:r>
    </w:p>
    <w:p w14:paraId="38108380" w14:textId="77777777" w:rsidR="001B6E30" w:rsidRPr="001B6E30" w:rsidRDefault="001B6E30" w:rsidP="001B6E30">
      <w:pPr>
        <w:spacing w:line="240" w:lineRule="auto"/>
        <w:ind w:firstLine="0"/>
        <w:jc w:val="left"/>
        <w:rPr>
          <w:rFonts w:ascii="Times New Roman" w:hAnsi="Times New Roman" w:cs="Times New Roman"/>
          <w:b/>
          <w:sz w:val="24"/>
        </w:rPr>
      </w:pPr>
    </w:p>
    <w:p w14:paraId="29EDFA87" w14:textId="77777777" w:rsidR="001B6E30" w:rsidRPr="001B6E30" w:rsidRDefault="001B6E30" w:rsidP="001B6E30">
      <w:pPr>
        <w:spacing w:line="240" w:lineRule="auto"/>
        <w:ind w:firstLine="0"/>
        <w:jc w:val="left"/>
        <w:rPr>
          <w:rFonts w:ascii="Times New Roman" w:hAnsi="Times New Roman" w:cs="Times New Roman"/>
          <w:sz w:val="24"/>
        </w:rPr>
      </w:pPr>
      <w:r w:rsidRPr="001B6E30">
        <w:rPr>
          <w:rFonts w:ascii="Times New Roman" w:hAnsi="Times New Roman" w:cs="Times New Roman"/>
          <w:sz w:val="24"/>
        </w:rPr>
        <w:t>Pablo A. Pérez B.</w:t>
      </w:r>
    </w:p>
    <w:p w14:paraId="29B0E217" w14:textId="4A998E69" w:rsidR="001B6E30" w:rsidRPr="001B6E30" w:rsidRDefault="001B6E30" w:rsidP="001B6E30">
      <w:pPr>
        <w:spacing w:line="240" w:lineRule="auto"/>
        <w:ind w:firstLine="0"/>
        <w:jc w:val="left"/>
        <w:rPr>
          <w:rFonts w:ascii="Times New Roman" w:hAnsi="Times New Roman" w:cs="Times New Roman"/>
          <w:b/>
          <w:sz w:val="24"/>
        </w:rPr>
      </w:pPr>
      <w:r w:rsidRPr="001B6E30">
        <w:rPr>
          <w:rFonts w:ascii="Times New Roman" w:hAnsi="Times New Roman" w:cs="Times New Roman"/>
          <w:b/>
          <w:sz w:val="24"/>
        </w:rPr>
        <w:t xml:space="preserve">Especialista tutelar </w:t>
      </w:r>
    </w:p>
    <w:p w14:paraId="6CD73AC5" w14:textId="77777777" w:rsidR="001B6E30" w:rsidRDefault="001B6E30" w:rsidP="0005213F">
      <w:pPr>
        <w:spacing w:line="240" w:lineRule="auto"/>
        <w:ind w:firstLine="0"/>
        <w:jc w:val="left"/>
        <w:rPr>
          <w:rFonts w:ascii="Times New Roman" w:hAnsi="Times New Roman" w:cs="Times New Roman"/>
          <w:b/>
          <w:sz w:val="24"/>
        </w:rPr>
      </w:pPr>
    </w:p>
    <w:p w14:paraId="72C665E8" w14:textId="77777777" w:rsidR="001B6E30" w:rsidRPr="001B6E30" w:rsidRDefault="001B6E30" w:rsidP="001B6E30">
      <w:pPr>
        <w:spacing w:line="240" w:lineRule="auto"/>
        <w:ind w:firstLine="0"/>
        <w:jc w:val="left"/>
        <w:rPr>
          <w:rFonts w:ascii="Times New Roman" w:hAnsi="Times New Roman" w:cs="Times New Roman"/>
          <w:sz w:val="24"/>
        </w:rPr>
      </w:pPr>
      <w:r w:rsidRPr="001B6E30">
        <w:rPr>
          <w:rFonts w:ascii="Times New Roman" w:hAnsi="Times New Roman" w:cs="Times New Roman"/>
          <w:sz w:val="24"/>
        </w:rPr>
        <w:t>María Paula Enríquez</w:t>
      </w:r>
    </w:p>
    <w:p w14:paraId="0F0A6914" w14:textId="404066A6" w:rsidR="000F2490" w:rsidRPr="001B6E30" w:rsidRDefault="001B6E30" w:rsidP="001B6E30">
      <w:pPr>
        <w:spacing w:line="240" w:lineRule="auto"/>
        <w:ind w:firstLine="0"/>
        <w:jc w:val="left"/>
        <w:rPr>
          <w:rFonts w:ascii="Times New Roman" w:hAnsi="Times New Roman" w:cs="Times New Roman"/>
          <w:b/>
          <w:sz w:val="24"/>
        </w:rPr>
      </w:pPr>
      <w:r w:rsidRPr="001B6E30">
        <w:rPr>
          <w:rFonts w:ascii="Times New Roman" w:hAnsi="Times New Roman" w:cs="Times New Roman"/>
          <w:b/>
          <w:sz w:val="24"/>
        </w:rPr>
        <w:t>Asistente de Derechos Humanos y Naturaleza</w:t>
      </w:r>
    </w:p>
    <w:p w14:paraId="427C1D61" w14:textId="77777777" w:rsidR="001B6E30" w:rsidRDefault="001B6E30" w:rsidP="001B6E30">
      <w:pPr>
        <w:spacing w:line="240" w:lineRule="auto"/>
        <w:ind w:firstLine="0"/>
        <w:jc w:val="left"/>
        <w:rPr>
          <w:rFonts w:ascii="Times New Roman" w:hAnsi="Times New Roman" w:cs="Times New Roman"/>
          <w:sz w:val="24"/>
        </w:rPr>
      </w:pPr>
    </w:p>
    <w:p w14:paraId="2DFA0F04" w14:textId="77777777" w:rsidR="001B6E30" w:rsidRDefault="001B6E30" w:rsidP="001B6E30">
      <w:pPr>
        <w:spacing w:line="240" w:lineRule="auto"/>
        <w:ind w:firstLine="0"/>
        <w:jc w:val="left"/>
        <w:rPr>
          <w:rFonts w:ascii="Times New Roman" w:hAnsi="Times New Roman" w:cs="Times New Roman"/>
          <w:sz w:val="24"/>
        </w:rPr>
      </w:pPr>
    </w:p>
    <w:p w14:paraId="6D1EE923" w14:textId="77777777" w:rsidR="001B6E30" w:rsidRDefault="001B6E30" w:rsidP="001B6E30">
      <w:pPr>
        <w:spacing w:line="240" w:lineRule="auto"/>
        <w:ind w:firstLine="0"/>
        <w:jc w:val="left"/>
        <w:rPr>
          <w:rFonts w:ascii="Times New Roman" w:hAnsi="Times New Roman" w:cs="Times New Roman"/>
          <w:sz w:val="24"/>
        </w:rPr>
      </w:pPr>
    </w:p>
    <w:p w14:paraId="07209559" w14:textId="77777777" w:rsidR="000F2490" w:rsidRPr="000F2490" w:rsidRDefault="000F2490" w:rsidP="000F2490">
      <w:pPr>
        <w:spacing w:line="240" w:lineRule="auto"/>
        <w:ind w:firstLine="0"/>
        <w:jc w:val="left"/>
        <w:rPr>
          <w:rFonts w:ascii="Times New Roman" w:hAnsi="Times New Roman" w:cs="Times New Roman"/>
          <w:sz w:val="24"/>
        </w:rPr>
      </w:pPr>
    </w:p>
    <w:p w14:paraId="53BB4BF8" w14:textId="77777777"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Defensoría del Pueblo de Ecuador </w:t>
      </w:r>
    </w:p>
    <w:p w14:paraId="535E43FB" w14:textId="77777777"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Av. 12 de Octubre 16-114 y Pasaje Nicolás Jiménez </w:t>
      </w:r>
    </w:p>
    <w:p w14:paraId="6262DAAF" w14:textId="77777777" w:rsidR="0061583C" w:rsidRPr="0061583C" w:rsidRDefault="0061583C" w:rsidP="0061583C">
      <w:pPr>
        <w:spacing w:line="240" w:lineRule="auto"/>
        <w:ind w:firstLine="0"/>
        <w:rPr>
          <w:rFonts w:ascii="Times New Roman" w:hAnsi="Times New Roman" w:cs="Times New Roman"/>
          <w:sz w:val="24"/>
        </w:rPr>
      </w:pPr>
      <w:r w:rsidRPr="0061583C">
        <w:rPr>
          <w:rFonts w:ascii="Times New Roman" w:hAnsi="Times New Roman" w:cs="Times New Roman"/>
          <w:sz w:val="24"/>
        </w:rPr>
        <w:t xml:space="preserve">Quito, Ecuador. </w:t>
      </w:r>
    </w:p>
    <w:p w14:paraId="056C5800" w14:textId="77777777" w:rsidR="0061583C" w:rsidRPr="0061583C" w:rsidRDefault="00E31AB7" w:rsidP="0061583C">
      <w:pPr>
        <w:spacing w:line="240" w:lineRule="auto"/>
        <w:ind w:firstLine="0"/>
        <w:rPr>
          <w:rFonts w:ascii="Times New Roman" w:hAnsi="Times New Roman" w:cs="Times New Roman"/>
          <w:sz w:val="24"/>
        </w:rPr>
      </w:pPr>
      <w:hyperlink>
        <w:r w:rsidR="0061583C" w:rsidRPr="0061583C">
          <w:rPr>
            <w:rFonts w:ascii="Times New Roman" w:hAnsi="Times New Roman" w:cs="Times New Roman"/>
            <w:sz w:val="24"/>
          </w:rPr>
          <w:t>www.dpe.gob.ec</w:t>
        </w:r>
      </w:hyperlink>
      <w:r w:rsidR="0061583C" w:rsidRPr="0061583C">
        <w:rPr>
          <w:rFonts w:ascii="Times New Roman" w:hAnsi="Times New Roman" w:cs="Times New Roman"/>
          <w:sz w:val="24"/>
        </w:rPr>
        <w:t xml:space="preserve"> </w:t>
      </w:r>
    </w:p>
    <w:p w14:paraId="2878A51C" w14:textId="77777777" w:rsidR="0061583C" w:rsidRPr="0061583C" w:rsidRDefault="00E31AB7" w:rsidP="0061583C">
      <w:pPr>
        <w:spacing w:line="240" w:lineRule="auto"/>
        <w:ind w:firstLine="0"/>
        <w:rPr>
          <w:rFonts w:ascii="Times New Roman" w:hAnsi="Times New Roman" w:cs="Times New Roman"/>
          <w:sz w:val="24"/>
        </w:rPr>
      </w:pPr>
      <w:hyperlink r:id="rId11">
        <w:r w:rsidR="0061583C" w:rsidRPr="0061583C">
          <w:rPr>
            <w:rFonts w:ascii="Times New Roman" w:hAnsi="Times New Roman" w:cs="Times New Roman"/>
            <w:sz w:val="24"/>
          </w:rPr>
          <w:t>publicaciones@dpe.gob.ec</w:t>
        </w:r>
      </w:hyperlink>
      <w:r w:rsidR="0061583C" w:rsidRPr="0061583C">
        <w:rPr>
          <w:rFonts w:ascii="Times New Roman" w:hAnsi="Times New Roman" w:cs="Times New Roman"/>
          <w:sz w:val="24"/>
        </w:rPr>
        <w:t xml:space="preserve"> </w:t>
      </w:r>
    </w:p>
    <w:p w14:paraId="02BFF071" w14:textId="77777777" w:rsidR="0061583C" w:rsidRDefault="0061583C" w:rsidP="0061583C">
      <w:pPr>
        <w:spacing w:before="240" w:after="240"/>
        <w:ind w:firstLine="0"/>
        <w:rPr>
          <w:rFonts w:ascii="Times New Roman" w:hAnsi="Times New Roman"/>
          <w:bCs/>
          <w:sz w:val="24"/>
          <w:szCs w:val="24"/>
        </w:rPr>
        <w:sectPr w:rsidR="0061583C">
          <w:headerReference w:type="default" r:id="rId12"/>
          <w:footerReference w:type="default" r:id="rId13"/>
          <w:pgSz w:w="11906" w:h="16838"/>
          <w:pgMar w:top="1417" w:right="1701" w:bottom="1417" w:left="1701" w:header="708" w:footer="708" w:gutter="0"/>
          <w:cols w:space="708"/>
          <w:docGrid w:linePitch="360"/>
        </w:sectPr>
      </w:pPr>
    </w:p>
    <w:p w14:paraId="365D91DF" w14:textId="509DB6BD" w:rsidR="00542A02" w:rsidRPr="0041430B" w:rsidRDefault="000F2490" w:rsidP="00D86E03">
      <w:pPr>
        <w:spacing w:after="240"/>
        <w:ind w:firstLine="0"/>
        <w:rPr>
          <w:rFonts w:ascii="Times New Roman" w:hAnsi="Times New Roman"/>
          <w:b/>
          <w:bCs/>
          <w:sz w:val="24"/>
          <w:szCs w:val="24"/>
        </w:rPr>
      </w:pPr>
      <w:r>
        <w:rPr>
          <w:rFonts w:ascii="Times New Roman" w:hAnsi="Times New Roman"/>
          <w:b/>
          <w:bCs/>
          <w:sz w:val="24"/>
          <w:szCs w:val="24"/>
        </w:rPr>
        <w:lastRenderedPageBreak/>
        <w:tab/>
      </w:r>
      <w:r w:rsidR="00542A02" w:rsidRPr="0041430B">
        <w:rPr>
          <w:rFonts w:ascii="Times New Roman" w:hAnsi="Times New Roman"/>
          <w:b/>
          <w:bCs/>
          <w:sz w:val="24"/>
          <w:szCs w:val="24"/>
        </w:rPr>
        <w:t>Introducción</w:t>
      </w:r>
    </w:p>
    <w:p w14:paraId="15A19C34" w14:textId="331B3659" w:rsidR="000159C2" w:rsidRPr="000159C2" w:rsidRDefault="00D86E03"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La Defensoría del Pueblo del Ecuador (DPE), en su calidad de Institución Nacional de Derechos Humanos conforme a los Principios de París, presenta la presente contribución en el marco del examen del cuarto informe periódico del Estado ecuatoriano ante el Comité para la Protección de los Derechos de Todos los Trabajadores Migratorios y de sus Familiares (CMW), previsto para mayo de 2026. Esta contribución responde al llamado del Comité para recibir insumos independientes que permitan enriquecer el diálogo constructivo con el Estado y fortalecer el monitoreo del cumplimiento de las obligaciones derivadas de la Convención Internacional sobre la Protección de los Derechos de todos los Trabajadores M</w:t>
      </w:r>
      <w:r w:rsidR="000159C2">
        <w:rPr>
          <w:rFonts w:eastAsiaTheme="minorHAnsi"/>
          <w:lang w:eastAsia="en-US"/>
        </w:rPr>
        <w:t>igratorios y de sus Familiares.</w:t>
      </w:r>
    </w:p>
    <w:p w14:paraId="2E05162A" w14:textId="4267E9E7" w:rsidR="000159C2" w:rsidRPr="000159C2" w:rsidRDefault="00BB58DA"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El documento se fundamenta en información generada por la Dirección Nacional del Mecanismo para la Promoción y Protección de las Personas en Situación de Movilidad Humana de la DPE, así como en fuentes oficiales y organismos internacionales, incluyendo datos del Instituto Nacional de Estadística y Censos (INEC), el Sistema de Naciones Unidas y organizaciones especializadas en movilidad humana. A diferencia de un enfoque meramente descriptivo, esta contribución prioriza la identificación de brechas de implementación, obstáculos estructurales y desafíos institucionales que inciden en la garantía efectiva de derechos de las personas trabajadora</w:t>
      </w:r>
      <w:r w:rsidR="000159C2">
        <w:rPr>
          <w:rFonts w:eastAsiaTheme="minorHAnsi"/>
          <w:lang w:eastAsia="en-US"/>
        </w:rPr>
        <w:t>s migratorias y sus familiares.</w:t>
      </w:r>
    </w:p>
    <w:p w14:paraId="7DC04BB2" w14:textId="5EAE3382" w:rsidR="00BB58DA" w:rsidRDefault="00BB58DA"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 xml:space="preserve">En el contexto ecuatoriano, la movilidad humana se ha intensificado en los últimos </w:t>
      </w:r>
      <w:r>
        <w:rPr>
          <w:rFonts w:eastAsiaTheme="minorHAnsi"/>
          <w:lang w:eastAsia="en-US"/>
        </w:rPr>
        <w:t xml:space="preserve">ocho </w:t>
      </w:r>
      <w:r w:rsidR="000159C2" w:rsidRPr="000159C2">
        <w:rPr>
          <w:rFonts w:eastAsiaTheme="minorHAnsi"/>
          <w:lang w:eastAsia="en-US"/>
        </w:rPr>
        <w:t>años, particularmente a partir d</w:t>
      </w:r>
      <w:r w:rsidR="00E07A25">
        <w:rPr>
          <w:rFonts w:eastAsiaTheme="minorHAnsi"/>
          <w:lang w:eastAsia="en-US"/>
        </w:rPr>
        <w:t>e flujos migratorios regionales</w:t>
      </w:r>
      <w:r w:rsidR="000159C2" w:rsidRPr="000159C2">
        <w:rPr>
          <w:rFonts w:eastAsiaTheme="minorHAnsi"/>
          <w:lang w:eastAsia="en-US"/>
        </w:rPr>
        <w:t xml:space="preserve">, lo que genera presiones sobre los sistemas de protección social y evidencia limitaciones en la capacidad institucional para garantizar el acceso efectivo a derechos (Plataforma R4V, 2024; INEC, 2023). </w:t>
      </w:r>
    </w:p>
    <w:p w14:paraId="79FE65C2" w14:textId="45AEA7D6" w:rsidR="000159C2" w:rsidRPr="000159C2" w:rsidRDefault="00BB58DA"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En este sentido, la presente contribución tiene como objetivo no solo describir el marco normativo vigente, sino también proveer insumos sustantivos que permitan al Comité formular preguntas orientadas a evaluar la efectividad de las políticas públicas y emitir recomendaciones específicas al Estado ecuatoriano</w:t>
      </w:r>
      <w:r>
        <w:rPr>
          <w:rFonts w:eastAsiaTheme="minorHAnsi"/>
          <w:lang w:eastAsia="en-US"/>
        </w:rPr>
        <w:t xml:space="preserve"> y sus tomadores de decisión</w:t>
      </w:r>
      <w:r w:rsidR="000159C2" w:rsidRPr="000159C2">
        <w:rPr>
          <w:rFonts w:eastAsiaTheme="minorHAnsi"/>
          <w:lang w:eastAsia="en-US"/>
        </w:rPr>
        <w:t>, especialmente en relación con:</w:t>
      </w:r>
    </w:p>
    <w:p w14:paraId="2DFF09A6" w14:textId="77777777" w:rsidR="000159C2" w:rsidRPr="000159C2" w:rsidRDefault="000159C2" w:rsidP="00BB58DA">
      <w:pPr>
        <w:pStyle w:val="NormalWeb"/>
        <w:numPr>
          <w:ilvl w:val="0"/>
          <w:numId w:val="28"/>
        </w:numPr>
        <w:spacing w:line="360" w:lineRule="auto"/>
        <w:jc w:val="both"/>
        <w:rPr>
          <w:rFonts w:eastAsiaTheme="minorHAnsi"/>
          <w:lang w:eastAsia="en-US"/>
        </w:rPr>
      </w:pPr>
      <w:r w:rsidRPr="000159C2">
        <w:rPr>
          <w:rFonts w:eastAsiaTheme="minorHAnsi"/>
          <w:lang w:eastAsia="en-US"/>
        </w:rPr>
        <w:lastRenderedPageBreak/>
        <w:t>La garantía de acceso, permanencia y culminación educativa de niñas, niños y adolescentes migrantes.</w:t>
      </w:r>
    </w:p>
    <w:p w14:paraId="2C21F913" w14:textId="34CB6B00" w:rsidR="000159C2" w:rsidRPr="000159C2" w:rsidRDefault="000159C2" w:rsidP="00BB58DA">
      <w:pPr>
        <w:pStyle w:val="NormalWeb"/>
        <w:numPr>
          <w:ilvl w:val="0"/>
          <w:numId w:val="28"/>
        </w:numPr>
        <w:spacing w:line="360" w:lineRule="auto"/>
        <w:jc w:val="both"/>
        <w:rPr>
          <w:rFonts w:eastAsiaTheme="minorHAnsi"/>
          <w:lang w:eastAsia="en-US"/>
        </w:rPr>
      </w:pPr>
      <w:r w:rsidRPr="000159C2">
        <w:rPr>
          <w:rFonts w:eastAsiaTheme="minorHAnsi"/>
          <w:lang w:eastAsia="en-US"/>
        </w:rPr>
        <w:t xml:space="preserve">La protección integral de niñas, niños y adolescentes </w:t>
      </w:r>
      <w:r w:rsidR="00BB58DA">
        <w:rPr>
          <w:rFonts w:eastAsiaTheme="minorHAnsi"/>
          <w:lang w:eastAsia="en-US"/>
        </w:rPr>
        <w:t xml:space="preserve">(NNA) </w:t>
      </w:r>
      <w:r w:rsidRPr="000159C2">
        <w:rPr>
          <w:rFonts w:eastAsiaTheme="minorHAnsi"/>
          <w:lang w:eastAsia="en-US"/>
        </w:rPr>
        <w:t>migrantes no acompañados o separados.</w:t>
      </w:r>
    </w:p>
    <w:p w14:paraId="2E5D2A97" w14:textId="77777777" w:rsidR="000159C2" w:rsidRPr="000159C2" w:rsidRDefault="000159C2" w:rsidP="00BB58DA">
      <w:pPr>
        <w:pStyle w:val="NormalWeb"/>
        <w:numPr>
          <w:ilvl w:val="0"/>
          <w:numId w:val="28"/>
        </w:numPr>
        <w:spacing w:line="360" w:lineRule="auto"/>
        <w:jc w:val="both"/>
        <w:rPr>
          <w:rFonts w:eastAsiaTheme="minorHAnsi"/>
          <w:lang w:eastAsia="en-US"/>
        </w:rPr>
      </w:pPr>
      <w:r w:rsidRPr="000159C2">
        <w:rPr>
          <w:rFonts w:eastAsiaTheme="minorHAnsi"/>
          <w:lang w:eastAsia="en-US"/>
        </w:rPr>
        <w:t>La implementación efectiva de políticas de prevención y atención de la trata de personas y el tráfico ilícito de migrantes.</w:t>
      </w:r>
    </w:p>
    <w:p w14:paraId="4737B0C8" w14:textId="77777777" w:rsidR="000159C2" w:rsidRPr="000159C2" w:rsidRDefault="000159C2" w:rsidP="00BB58DA">
      <w:pPr>
        <w:pStyle w:val="NormalWeb"/>
        <w:numPr>
          <w:ilvl w:val="0"/>
          <w:numId w:val="28"/>
        </w:numPr>
        <w:spacing w:line="360" w:lineRule="auto"/>
        <w:jc w:val="both"/>
        <w:rPr>
          <w:rFonts w:eastAsiaTheme="minorHAnsi"/>
          <w:lang w:eastAsia="en-US"/>
        </w:rPr>
      </w:pPr>
      <w:r w:rsidRPr="000159C2">
        <w:rPr>
          <w:rFonts w:eastAsiaTheme="minorHAnsi"/>
          <w:lang w:eastAsia="en-US"/>
        </w:rPr>
        <w:t>El fortalecimiento de sistemas de información y generación de estadísticas oficiales desagregadas.</w:t>
      </w:r>
    </w:p>
    <w:p w14:paraId="5CC3B481" w14:textId="6D27F659" w:rsidR="00D86E03" w:rsidRPr="00D86E03" w:rsidRDefault="00BB58DA" w:rsidP="00BB58DA">
      <w:pPr>
        <w:pStyle w:val="NormalWeb"/>
        <w:spacing w:line="360" w:lineRule="auto"/>
        <w:jc w:val="both"/>
        <w:rPr>
          <w:rFonts w:eastAsiaTheme="minorHAnsi"/>
          <w:lang w:eastAsia="en-US"/>
        </w:rPr>
      </w:pPr>
      <w:r>
        <w:rPr>
          <w:rFonts w:eastAsiaTheme="minorHAnsi"/>
          <w:lang w:eastAsia="en-US"/>
        </w:rPr>
        <w:tab/>
      </w:r>
      <w:r w:rsidR="00A020B9" w:rsidRPr="00A020B9">
        <w:rPr>
          <w:rFonts w:eastAsiaTheme="minorHAnsi"/>
          <w:lang w:eastAsia="en-US"/>
        </w:rPr>
        <w:t>La Defensoría del Pueblo reitera su compromiso con el fortalecimiento del sistema internacional de protección de derechos humanos y con el seguimiento de las recomendaciones emitidas por los órganos de tratados, en el marco de su mandato constitucional y de los Principios de París (1990)</w:t>
      </w:r>
      <w:r w:rsidR="00D86E03" w:rsidRPr="00D86E03">
        <w:rPr>
          <w:rFonts w:eastAsiaTheme="minorHAnsi"/>
          <w:lang w:eastAsia="en-US"/>
        </w:rPr>
        <w:t>.</w:t>
      </w:r>
    </w:p>
    <w:p w14:paraId="5AF097F2" w14:textId="10C2B7AA" w:rsidR="00D86E03" w:rsidRDefault="00D86E03" w:rsidP="00D86E03">
      <w:pPr>
        <w:pStyle w:val="NormalWeb"/>
        <w:spacing w:line="360" w:lineRule="auto"/>
        <w:jc w:val="both"/>
        <w:rPr>
          <w:rFonts w:eastAsiaTheme="minorHAnsi"/>
          <w:lang w:eastAsia="en-US"/>
        </w:rPr>
      </w:pPr>
      <w:r>
        <w:rPr>
          <w:rFonts w:eastAsiaTheme="minorHAnsi"/>
          <w:lang w:eastAsia="en-US"/>
        </w:rPr>
        <w:tab/>
      </w:r>
      <w:r w:rsidRPr="00D86E03">
        <w:rPr>
          <w:rFonts w:eastAsiaTheme="minorHAnsi"/>
          <w:lang w:eastAsia="en-US"/>
        </w:rPr>
        <w:t xml:space="preserve">En caso de requerir información adicional, se podrá tomar contacto </w:t>
      </w:r>
      <w:r w:rsidR="00E07A25">
        <w:rPr>
          <w:rFonts w:eastAsiaTheme="minorHAnsi"/>
          <w:lang w:eastAsia="en-US"/>
        </w:rPr>
        <w:t xml:space="preserve">al </w:t>
      </w:r>
      <w:r w:rsidRPr="00D86E03">
        <w:rPr>
          <w:rFonts w:eastAsiaTheme="minorHAnsi"/>
          <w:lang w:eastAsia="en-US"/>
        </w:rPr>
        <w:t xml:space="preserve">correo gabriela.hidalgo@dpe.gob.ec </w:t>
      </w:r>
    </w:p>
    <w:p w14:paraId="2D2221B0" w14:textId="77777777" w:rsidR="00BB58DA" w:rsidRDefault="00BB58DA" w:rsidP="00D86E03">
      <w:pPr>
        <w:pStyle w:val="NormalWeb"/>
        <w:spacing w:line="360" w:lineRule="auto"/>
        <w:jc w:val="both"/>
        <w:rPr>
          <w:rFonts w:eastAsiaTheme="minorHAnsi"/>
          <w:b/>
          <w:lang w:eastAsia="en-US"/>
        </w:rPr>
      </w:pPr>
    </w:p>
    <w:p w14:paraId="117325EC" w14:textId="77777777" w:rsidR="00BB58DA" w:rsidRDefault="00BB58DA" w:rsidP="00D86E03">
      <w:pPr>
        <w:pStyle w:val="NormalWeb"/>
        <w:spacing w:line="360" w:lineRule="auto"/>
        <w:jc w:val="both"/>
        <w:rPr>
          <w:rFonts w:eastAsiaTheme="minorHAnsi"/>
          <w:b/>
          <w:lang w:eastAsia="en-US"/>
        </w:rPr>
      </w:pPr>
    </w:p>
    <w:p w14:paraId="09827F11" w14:textId="77777777" w:rsidR="00BB58DA" w:rsidRDefault="00BB58DA" w:rsidP="00D86E03">
      <w:pPr>
        <w:pStyle w:val="NormalWeb"/>
        <w:spacing w:line="360" w:lineRule="auto"/>
        <w:jc w:val="both"/>
        <w:rPr>
          <w:rFonts w:eastAsiaTheme="minorHAnsi"/>
          <w:b/>
          <w:lang w:eastAsia="en-US"/>
        </w:rPr>
      </w:pPr>
    </w:p>
    <w:p w14:paraId="510C57AD" w14:textId="77777777" w:rsidR="00F9529E" w:rsidRDefault="00F9529E" w:rsidP="00D86E03">
      <w:pPr>
        <w:pStyle w:val="NormalWeb"/>
        <w:spacing w:line="360" w:lineRule="auto"/>
        <w:jc w:val="both"/>
        <w:rPr>
          <w:rFonts w:eastAsiaTheme="minorHAnsi"/>
          <w:b/>
          <w:lang w:eastAsia="en-US"/>
        </w:rPr>
      </w:pPr>
    </w:p>
    <w:p w14:paraId="618C7265" w14:textId="77777777" w:rsidR="00F9529E" w:rsidRDefault="00F9529E" w:rsidP="00D86E03">
      <w:pPr>
        <w:pStyle w:val="NormalWeb"/>
        <w:spacing w:line="360" w:lineRule="auto"/>
        <w:jc w:val="both"/>
        <w:rPr>
          <w:rFonts w:eastAsiaTheme="minorHAnsi"/>
          <w:b/>
          <w:lang w:eastAsia="en-US"/>
        </w:rPr>
      </w:pPr>
    </w:p>
    <w:p w14:paraId="640D71C5" w14:textId="77777777" w:rsidR="00F9529E" w:rsidRDefault="00F9529E" w:rsidP="00D86E03">
      <w:pPr>
        <w:pStyle w:val="NormalWeb"/>
        <w:spacing w:line="360" w:lineRule="auto"/>
        <w:jc w:val="both"/>
        <w:rPr>
          <w:rFonts w:eastAsiaTheme="minorHAnsi"/>
          <w:b/>
          <w:lang w:eastAsia="en-US"/>
        </w:rPr>
      </w:pPr>
    </w:p>
    <w:p w14:paraId="72D26DAD" w14:textId="77777777" w:rsidR="00F9529E" w:rsidRDefault="00F9529E" w:rsidP="00D86E03">
      <w:pPr>
        <w:pStyle w:val="NormalWeb"/>
        <w:spacing w:line="360" w:lineRule="auto"/>
        <w:jc w:val="both"/>
        <w:rPr>
          <w:rFonts w:eastAsiaTheme="minorHAnsi"/>
          <w:b/>
          <w:lang w:eastAsia="en-US"/>
        </w:rPr>
      </w:pPr>
    </w:p>
    <w:p w14:paraId="0DC68142" w14:textId="77777777" w:rsidR="00F9529E" w:rsidRDefault="00F9529E" w:rsidP="00D86E03">
      <w:pPr>
        <w:pStyle w:val="NormalWeb"/>
        <w:spacing w:line="360" w:lineRule="auto"/>
        <w:jc w:val="both"/>
        <w:rPr>
          <w:rFonts w:eastAsiaTheme="minorHAnsi"/>
          <w:b/>
          <w:lang w:eastAsia="en-US"/>
        </w:rPr>
      </w:pPr>
    </w:p>
    <w:p w14:paraId="13597AC0" w14:textId="77777777" w:rsidR="00F9529E" w:rsidRDefault="00F9529E" w:rsidP="00D86E03">
      <w:pPr>
        <w:pStyle w:val="NormalWeb"/>
        <w:spacing w:line="360" w:lineRule="auto"/>
        <w:jc w:val="both"/>
        <w:rPr>
          <w:rFonts w:eastAsiaTheme="minorHAnsi"/>
          <w:b/>
          <w:lang w:eastAsia="en-US"/>
        </w:rPr>
      </w:pPr>
    </w:p>
    <w:p w14:paraId="499497D0" w14:textId="2723D059" w:rsidR="008177C3" w:rsidRPr="008177C3" w:rsidRDefault="008177C3" w:rsidP="00D86E03">
      <w:pPr>
        <w:pStyle w:val="NormalWeb"/>
        <w:spacing w:line="360" w:lineRule="auto"/>
        <w:jc w:val="both"/>
        <w:rPr>
          <w:rFonts w:eastAsiaTheme="minorHAnsi"/>
          <w:b/>
          <w:lang w:eastAsia="en-US"/>
        </w:rPr>
      </w:pPr>
      <w:r w:rsidRPr="008177C3">
        <w:rPr>
          <w:rFonts w:eastAsiaTheme="minorHAnsi"/>
          <w:b/>
          <w:lang w:eastAsia="en-US"/>
        </w:rPr>
        <w:lastRenderedPageBreak/>
        <w:t xml:space="preserve">Insumos de la INDH de Ecuador según la lista de </w:t>
      </w:r>
      <w:r w:rsidR="00A3106B">
        <w:rPr>
          <w:rFonts w:eastAsiaTheme="minorHAnsi"/>
          <w:b/>
          <w:lang w:eastAsia="en-US"/>
        </w:rPr>
        <w:t>C</w:t>
      </w:r>
      <w:r w:rsidRPr="008177C3">
        <w:rPr>
          <w:rFonts w:eastAsiaTheme="minorHAnsi"/>
          <w:b/>
          <w:lang w:eastAsia="en-US"/>
        </w:rPr>
        <w:t xml:space="preserve">uestiones </w:t>
      </w:r>
      <w:r w:rsidR="00A3106B">
        <w:rPr>
          <w:rFonts w:eastAsiaTheme="minorHAnsi"/>
          <w:b/>
          <w:lang w:eastAsia="en-US"/>
        </w:rPr>
        <w:t>P</w:t>
      </w:r>
      <w:r w:rsidRPr="008177C3">
        <w:rPr>
          <w:rFonts w:eastAsiaTheme="minorHAnsi"/>
          <w:b/>
          <w:lang w:eastAsia="en-US"/>
        </w:rPr>
        <w:t>revias del 4to Ciclo de Evaluación del CMW</w:t>
      </w:r>
    </w:p>
    <w:p w14:paraId="5B020C02" w14:textId="77777777" w:rsidR="00D86E03" w:rsidRPr="00D86E03" w:rsidRDefault="00D86E03" w:rsidP="00BB58DA">
      <w:pPr>
        <w:pStyle w:val="NormalWeb"/>
        <w:spacing w:line="360" w:lineRule="auto"/>
        <w:jc w:val="both"/>
        <w:rPr>
          <w:rFonts w:eastAsiaTheme="minorHAnsi"/>
          <w:b/>
          <w:lang w:eastAsia="en-US"/>
        </w:rPr>
      </w:pPr>
      <w:r w:rsidRPr="00D86E03">
        <w:rPr>
          <w:rFonts w:eastAsiaTheme="minorHAnsi"/>
          <w:b/>
          <w:lang w:eastAsia="en-US"/>
        </w:rPr>
        <w:t>Sección l</w:t>
      </w:r>
    </w:p>
    <w:p w14:paraId="7893948C" w14:textId="2630E9A6" w:rsidR="00D86E03" w:rsidRPr="00D86E03" w:rsidRDefault="00D86E03" w:rsidP="00BB58DA">
      <w:pPr>
        <w:pStyle w:val="NormalWeb"/>
        <w:spacing w:line="360" w:lineRule="auto"/>
        <w:jc w:val="both"/>
        <w:rPr>
          <w:rFonts w:eastAsiaTheme="minorHAnsi"/>
          <w:b/>
          <w:lang w:eastAsia="en-US"/>
        </w:rPr>
      </w:pPr>
      <w:r w:rsidRPr="00D86E03">
        <w:rPr>
          <w:rFonts w:eastAsiaTheme="minorHAnsi"/>
          <w:b/>
          <w:lang w:eastAsia="en-US"/>
        </w:rPr>
        <w:t>Información general</w:t>
      </w:r>
    </w:p>
    <w:p w14:paraId="16723B3F" w14:textId="1335DD19" w:rsidR="000159C2" w:rsidRPr="000159C2" w:rsidRDefault="00D86E03"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El contexto de la movilid</w:t>
      </w:r>
      <w:r w:rsidR="000159C2">
        <w:rPr>
          <w:rFonts w:eastAsiaTheme="minorHAnsi"/>
          <w:lang w:eastAsia="en-US"/>
        </w:rPr>
        <w:t>ad humana en el Ecuador durante</w:t>
      </w:r>
      <w:r w:rsidR="00ED7D5E">
        <w:rPr>
          <w:rFonts w:eastAsiaTheme="minorHAnsi"/>
          <w:lang w:eastAsia="en-US"/>
        </w:rPr>
        <w:t xml:space="preserve"> </w:t>
      </w:r>
      <w:r w:rsidR="000159C2">
        <w:rPr>
          <w:rFonts w:eastAsiaTheme="minorHAnsi"/>
          <w:lang w:eastAsia="en-US"/>
        </w:rPr>
        <w:t>e</w:t>
      </w:r>
      <w:r w:rsidR="000159C2" w:rsidRPr="000159C2">
        <w:rPr>
          <w:rFonts w:eastAsiaTheme="minorHAnsi"/>
          <w:lang w:eastAsia="en-US"/>
        </w:rPr>
        <w:t>l período comprendido entre el examen anterior del C</w:t>
      </w:r>
      <w:r w:rsidR="00BB58DA">
        <w:rPr>
          <w:rFonts w:eastAsiaTheme="minorHAnsi"/>
          <w:lang w:eastAsia="en-US"/>
        </w:rPr>
        <w:t>omité</w:t>
      </w:r>
      <w:r w:rsidR="000159C2" w:rsidRPr="000159C2">
        <w:rPr>
          <w:rFonts w:eastAsiaTheme="minorHAnsi"/>
          <w:lang w:eastAsia="en-US"/>
        </w:rPr>
        <w:t xml:space="preserve"> y la presentación del cuarto informe (aprox. 2017–2026) se caracteriza por un incremento sostenido de flujos migratorios regionales, particularmente de personas provenientes de Venezuela y, en menor medida, de Colombia, Cuba y otros países de la región. Este fenómeno ha configurado un escenario complejo en el que coexisten avances normativos relevantes con limitaciones estructurales</w:t>
      </w:r>
      <w:r w:rsidR="000159C2">
        <w:rPr>
          <w:rFonts w:eastAsiaTheme="minorHAnsi"/>
          <w:lang w:eastAsia="en-US"/>
        </w:rPr>
        <w:t xml:space="preserve"> en su implementación efectiva.</w:t>
      </w:r>
      <w:r w:rsidR="00BB58DA">
        <w:rPr>
          <w:rFonts w:eastAsiaTheme="minorHAnsi"/>
          <w:lang w:eastAsia="en-US"/>
        </w:rPr>
        <w:t xml:space="preserve"> </w:t>
      </w:r>
      <w:r w:rsidR="00275D84">
        <w:rPr>
          <w:rFonts w:eastAsiaTheme="minorHAnsi"/>
          <w:lang w:eastAsia="en-US"/>
        </w:rPr>
        <w:t>D</w:t>
      </w:r>
      <w:r w:rsidR="000159C2" w:rsidRPr="000159C2">
        <w:rPr>
          <w:rFonts w:eastAsiaTheme="minorHAnsi"/>
          <w:lang w:eastAsia="en-US"/>
        </w:rPr>
        <w:t>atos del Instituto Nacional de Estadística y Censos (INEC) evidencian que las personas en situación de movilidad humana presentan mayores niveles de empleo informal y menor acceso a sistemas de protección social, lo que incide directamente en el ejercicio de derechos económicos, sociales y culturales (INEC, 2023).</w:t>
      </w:r>
    </w:p>
    <w:p w14:paraId="2CEC1F6D" w14:textId="702EB253" w:rsidR="000159C2" w:rsidRPr="000159C2" w:rsidRDefault="000159C2" w:rsidP="00BB58DA">
      <w:pPr>
        <w:pStyle w:val="NormalWeb"/>
        <w:spacing w:line="360" w:lineRule="auto"/>
        <w:jc w:val="both"/>
        <w:rPr>
          <w:rFonts w:eastAsiaTheme="minorHAnsi"/>
          <w:lang w:eastAsia="en-US"/>
        </w:rPr>
      </w:pPr>
      <w:r>
        <w:rPr>
          <w:rFonts w:eastAsiaTheme="minorHAnsi"/>
          <w:lang w:eastAsia="en-US"/>
        </w:rPr>
        <w:tab/>
      </w:r>
      <w:r w:rsidRPr="000159C2">
        <w:rPr>
          <w:rFonts w:eastAsiaTheme="minorHAnsi"/>
          <w:lang w:eastAsia="en-US"/>
        </w:rPr>
        <w:t xml:space="preserve">En este contexto, el Estado ecuatoriano ha adoptado instrumentos de política pública como el Plan Nacional de Implementación del Pacto Mundial para la Migración Segura, Ordenada y Regular (2025–2029), el cual incorpora un enfoque de derechos humanos y plantea mecanismos de coordinación interinstitucional. No obstante, desde la perspectiva de la Defensoría del Pueblo, persisten </w:t>
      </w:r>
      <w:r w:rsidR="00E07A25">
        <w:rPr>
          <w:rFonts w:eastAsiaTheme="minorHAnsi"/>
          <w:lang w:eastAsia="en-US"/>
        </w:rPr>
        <w:t>desafíos</w:t>
      </w:r>
      <w:r w:rsidRPr="000159C2">
        <w:rPr>
          <w:rFonts w:eastAsiaTheme="minorHAnsi"/>
          <w:lang w:eastAsia="en-US"/>
        </w:rPr>
        <w:t xml:space="preserve"> entre el diseño de la política pública y su implementación, particularmente en lo relacionado con financiamiento, cobertura territorial y </w:t>
      </w:r>
      <w:r>
        <w:rPr>
          <w:rFonts w:eastAsiaTheme="minorHAnsi"/>
          <w:lang w:eastAsia="en-US"/>
        </w:rPr>
        <w:t>sostenibilidad de las acciones.</w:t>
      </w:r>
    </w:p>
    <w:p w14:paraId="797E6193" w14:textId="4A4E014A" w:rsidR="000159C2" w:rsidRPr="000159C2" w:rsidRDefault="000159C2" w:rsidP="00BB58DA">
      <w:pPr>
        <w:pStyle w:val="NormalWeb"/>
        <w:spacing w:line="360" w:lineRule="auto"/>
        <w:jc w:val="both"/>
        <w:rPr>
          <w:rFonts w:eastAsiaTheme="minorHAnsi"/>
          <w:lang w:eastAsia="en-US"/>
        </w:rPr>
      </w:pPr>
      <w:r>
        <w:rPr>
          <w:rFonts w:eastAsiaTheme="minorHAnsi"/>
          <w:lang w:eastAsia="en-US"/>
        </w:rPr>
        <w:tab/>
      </w:r>
      <w:r w:rsidRPr="000159C2">
        <w:rPr>
          <w:rFonts w:eastAsiaTheme="minorHAnsi"/>
          <w:lang w:eastAsia="en-US"/>
        </w:rPr>
        <w:t xml:space="preserve">En relación con iniciativas recientes de política migratoria, se ha identificado información sobre la posible suscripción de un acuerdo denominado de “tercer país seguro” entre Ecuador y Estados Unidos en 2025. Sin embargo, la Defensoría del Pueblo no ha tenido acceso a información oficial detallada sobre el contenido, alcance, obligaciones asumidas por el Estado ecuatoriano ni los mecanismos de implementación de dicho acuerdo. Esta falta de transparencia limita la posibilidad de evaluar su </w:t>
      </w:r>
      <w:r w:rsidRPr="000159C2">
        <w:rPr>
          <w:rFonts w:eastAsiaTheme="minorHAnsi"/>
          <w:lang w:eastAsia="en-US"/>
        </w:rPr>
        <w:lastRenderedPageBreak/>
        <w:t>compatibilidad con los estándares internacionales de derechos humanos, especialmente en lo relativo al principio de no devolución (non-</w:t>
      </w:r>
      <w:proofErr w:type="spellStart"/>
      <w:r w:rsidRPr="000159C2">
        <w:rPr>
          <w:rFonts w:eastAsiaTheme="minorHAnsi"/>
          <w:lang w:eastAsia="en-US"/>
        </w:rPr>
        <w:t>refoulement</w:t>
      </w:r>
      <w:proofErr w:type="spellEnd"/>
      <w:r w:rsidRPr="000159C2">
        <w:rPr>
          <w:rFonts w:eastAsiaTheme="minorHAnsi"/>
          <w:lang w:eastAsia="en-US"/>
        </w:rPr>
        <w:t>) y al derecho a solicitar asilo.</w:t>
      </w:r>
    </w:p>
    <w:p w14:paraId="3A46057D" w14:textId="4D32501C" w:rsidR="000159C2" w:rsidRPr="000159C2" w:rsidRDefault="000159C2" w:rsidP="00BB58DA">
      <w:pPr>
        <w:pStyle w:val="NormalWeb"/>
        <w:spacing w:line="360" w:lineRule="auto"/>
        <w:jc w:val="both"/>
        <w:rPr>
          <w:rFonts w:eastAsiaTheme="minorHAnsi"/>
          <w:lang w:eastAsia="en-US"/>
        </w:rPr>
      </w:pPr>
      <w:r>
        <w:rPr>
          <w:rFonts w:eastAsiaTheme="minorHAnsi"/>
          <w:lang w:eastAsia="en-US"/>
        </w:rPr>
        <w:tab/>
      </w:r>
      <w:r w:rsidRPr="000159C2">
        <w:rPr>
          <w:rFonts w:eastAsiaTheme="minorHAnsi"/>
          <w:lang w:eastAsia="en-US"/>
        </w:rPr>
        <w:t>Asimismo, la ausencia de informació</w:t>
      </w:r>
      <w:r>
        <w:rPr>
          <w:rFonts w:eastAsiaTheme="minorHAnsi"/>
          <w:lang w:eastAsia="en-US"/>
        </w:rPr>
        <w:t>n pública sobre aspectos clave (</w:t>
      </w:r>
      <w:r w:rsidRPr="000159C2">
        <w:rPr>
          <w:rFonts w:eastAsiaTheme="minorHAnsi"/>
          <w:lang w:eastAsia="en-US"/>
        </w:rPr>
        <w:t>como presupuesto asignado, institucionalidad responsable, protocolos de recepción y atención de personas traslad</w:t>
      </w:r>
      <w:r>
        <w:rPr>
          <w:rFonts w:eastAsiaTheme="minorHAnsi"/>
          <w:lang w:eastAsia="en-US"/>
        </w:rPr>
        <w:t>adas, y mecanismos de monitoreo)</w:t>
      </w:r>
      <w:r w:rsidRPr="000159C2">
        <w:rPr>
          <w:rFonts w:eastAsiaTheme="minorHAnsi"/>
          <w:lang w:eastAsia="en-US"/>
        </w:rPr>
        <w:t xml:space="preserve"> constituye una brecha relevante en términos de rendición de cuentas y control democrático. A la fecha de elaboración de este informe, la Defensoría del Pueblo no ha identificado evidencia de implementación operativa del acuerdo, ni registros oficiales sobre el eventual traslado de personas en movilidad humana hacia el Ecuador en este marco.</w:t>
      </w:r>
    </w:p>
    <w:p w14:paraId="4F9DA801" w14:textId="0576BABF" w:rsidR="000159C2" w:rsidRPr="000159C2" w:rsidRDefault="00BB58DA"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Por otro lado, la DPE ha identificado que, si bien existen marcos normativos y programáticos en materia de movilidad humana, su efectividad se ve limitada por factores estruc</w:t>
      </w:r>
      <w:r w:rsidR="000159C2">
        <w:rPr>
          <w:rFonts w:eastAsiaTheme="minorHAnsi"/>
          <w:lang w:eastAsia="en-US"/>
        </w:rPr>
        <w:t>turales, entre los que destacan l</w:t>
      </w:r>
      <w:r w:rsidR="000159C2" w:rsidRPr="000159C2">
        <w:rPr>
          <w:rFonts w:eastAsiaTheme="minorHAnsi"/>
          <w:lang w:eastAsia="en-US"/>
        </w:rPr>
        <w:t>a insuficiente articulación entre entidades rectoras y ejecutoras de política pública</w:t>
      </w:r>
      <w:r w:rsidR="000159C2">
        <w:rPr>
          <w:rFonts w:eastAsiaTheme="minorHAnsi"/>
          <w:lang w:eastAsia="en-US"/>
        </w:rPr>
        <w:t>; l</w:t>
      </w:r>
      <w:r w:rsidR="000159C2" w:rsidRPr="000159C2">
        <w:rPr>
          <w:rFonts w:eastAsiaTheme="minorHAnsi"/>
          <w:lang w:eastAsia="en-US"/>
        </w:rPr>
        <w:t>a limitada capacidad institucional a nivel local para atender el incremento de la demanda de servicios públicos en territorios con alta conc</w:t>
      </w:r>
      <w:r w:rsidR="000159C2">
        <w:rPr>
          <w:rFonts w:eastAsiaTheme="minorHAnsi"/>
          <w:lang w:eastAsia="en-US"/>
        </w:rPr>
        <w:t>entración de población migrante; l</w:t>
      </w:r>
      <w:r w:rsidR="000159C2" w:rsidRPr="000159C2">
        <w:rPr>
          <w:rFonts w:eastAsiaTheme="minorHAnsi"/>
          <w:lang w:eastAsia="en-US"/>
        </w:rPr>
        <w:t>a persistencia de barreras administrativas para la regularización migratoria</w:t>
      </w:r>
      <w:r w:rsidR="000159C2">
        <w:rPr>
          <w:rFonts w:eastAsiaTheme="minorHAnsi"/>
          <w:lang w:eastAsia="en-US"/>
        </w:rPr>
        <w:t>; y l</w:t>
      </w:r>
      <w:r w:rsidR="000159C2" w:rsidRPr="000159C2">
        <w:rPr>
          <w:rFonts w:eastAsiaTheme="minorHAnsi"/>
          <w:lang w:eastAsia="en-US"/>
        </w:rPr>
        <w:t>a ausencia de sistemas de información integrados y actualizados que permitan caracterizar adecuadamente a la población en movilidad humana y diseñar intervenciones basadas en evidencia.</w:t>
      </w:r>
    </w:p>
    <w:p w14:paraId="5C102AE2" w14:textId="05D16177" w:rsidR="000159C2" w:rsidRDefault="00BB58DA" w:rsidP="00BB58DA">
      <w:pPr>
        <w:pStyle w:val="NormalWeb"/>
        <w:spacing w:line="360" w:lineRule="auto"/>
        <w:jc w:val="both"/>
        <w:rPr>
          <w:rFonts w:eastAsiaTheme="minorHAnsi"/>
          <w:lang w:eastAsia="en-US"/>
        </w:rPr>
      </w:pPr>
      <w:r>
        <w:rPr>
          <w:rFonts w:eastAsiaTheme="minorHAnsi"/>
          <w:lang w:eastAsia="en-US"/>
        </w:rPr>
        <w:tab/>
      </w:r>
      <w:r w:rsidR="000159C2" w:rsidRPr="000159C2">
        <w:rPr>
          <w:rFonts w:eastAsiaTheme="minorHAnsi"/>
          <w:lang w:eastAsia="en-US"/>
        </w:rPr>
        <w:t xml:space="preserve">Adicionalmente, </w:t>
      </w:r>
      <w:r>
        <w:rPr>
          <w:rFonts w:eastAsiaTheme="minorHAnsi"/>
          <w:lang w:eastAsia="en-US"/>
        </w:rPr>
        <w:t>según las agencia</w:t>
      </w:r>
      <w:r w:rsidR="00275D84">
        <w:rPr>
          <w:rFonts w:eastAsiaTheme="minorHAnsi"/>
          <w:lang w:eastAsia="en-US"/>
        </w:rPr>
        <w:t>s</w:t>
      </w:r>
      <w:r>
        <w:rPr>
          <w:rFonts w:eastAsiaTheme="minorHAnsi"/>
          <w:lang w:eastAsia="en-US"/>
        </w:rPr>
        <w:t xml:space="preserve"> de Naciones Unidas se observa</w:t>
      </w:r>
      <w:r w:rsidR="000159C2" w:rsidRPr="000159C2">
        <w:rPr>
          <w:rFonts w:eastAsiaTheme="minorHAnsi"/>
          <w:lang w:eastAsia="en-US"/>
        </w:rPr>
        <w:t xml:space="preserve"> un incremento en discursos y prácticas de discriminación y xenofobia, los cuales inciden negativamente en los procesos de integración social y en el acceso efectivo a derechos. Estudios recientes evidencian que estas manifestaciones no son aisladas, sino que responden a factores estructurales vinculados a la percepción de competencia por recursos, la desinformación y la débil implementación de políticas de inclusión (OIM, 2023; ACNUR, 2024).</w:t>
      </w:r>
    </w:p>
    <w:p w14:paraId="77CCE6CE" w14:textId="77777777" w:rsidR="000159C2" w:rsidRDefault="000159C2" w:rsidP="000159C2">
      <w:pPr>
        <w:pStyle w:val="NormalWeb"/>
        <w:spacing w:line="360" w:lineRule="auto"/>
        <w:jc w:val="both"/>
        <w:rPr>
          <w:rFonts w:eastAsiaTheme="minorHAnsi"/>
          <w:lang w:eastAsia="en-US"/>
        </w:rPr>
      </w:pPr>
    </w:p>
    <w:p w14:paraId="0DDEA3E5" w14:textId="77777777" w:rsidR="00BB58DA" w:rsidRDefault="00BB58DA" w:rsidP="000159C2">
      <w:pPr>
        <w:pStyle w:val="NormalWeb"/>
        <w:spacing w:line="360" w:lineRule="auto"/>
        <w:jc w:val="both"/>
        <w:rPr>
          <w:rFonts w:eastAsiaTheme="minorHAnsi"/>
          <w:lang w:eastAsia="en-US"/>
        </w:rPr>
      </w:pPr>
    </w:p>
    <w:p w14:paraId="702400D6" w14:textId="7349F870" w:rsidR="00D86E03" w:rsidRPr="00E633C7" w:rsidRDefault="00D86E03" w:rsidP="000159C2">
      <w:pPr>
        <w:pStyle w:val="NormalWeb"/>
        <w:spacing w:line="360" w:lineRule="auto"/>
        <w:jc w:val="both"/>
        <w:rPr>
          <w:rFonts w:eastAsiaTheme="minorHAnsi"/>
          <w:b/>
          <w:lang w:eastAsia="en-US"/>
        </w:rPr>
      </w:pPr>
      <w:r w:rsidRPr="00E633C7">
        <w:rPr>
          <w:rFonts w:eastAsiaTheme="minorHAnsi"/>
          <w:b/>
          <w:lang w:eastAsia="en-US"/>
        </w:rPr>
        <w:lastRenderedPageBreak/>
        <w:t>Parte III de la Convención</w:t>
      </w:r>
    </w:p>
    <w:p w14:paraId="3040FA6B" w14:textId="77777777" w:rsidR="00D86E03" w:rsidRPr="00E633C7" w:rsidRDefault="00D86E03" w:rsidP="00D86E03">
      <w:pPr>
        <w:pStyle w:val="NormalWeb"/>
        <w:spacing w:line="360" w:lineRule="auto"/>
        <w:jc w:val="both"/>
        <w:rPr>
          <w:rFonts w:eastAsiaTheme="minorHAnsi"/>
          <w:b/>
          <w:lang w:eastAsia="en-US"/>
        </w:rPr>
      </w:pPr>
      <w:r w:rsidRPr="00E633C7">
        <w:rPr>
          <w:rFonts w:eastAsiaTheme="minorHAnsi"/>
          <w:b/>
          <w:lang w:eastAsia="en-US"/>
        </w:rPr>
        <w:t>Articulo 30</w:t>
      </w:r>
    </w:p>
    <w:p w14:paraId="4626BF4C" w14:textId="4DF99CB4" w:rsidR="007066A0" w:rsidRDefault="00E633C7" w:rsidP="00BB58DA">
      <w:pPr>
        <w:pStyle w:val="NormalWeb"/>
        <w:spacing w:line="360" w:lineRule="auto"/>
        <w:jc w:val="both"/>
        <w:rPr>
          <w:rFonts w:eastAsiaTheme="minorHAnsi"/>
          <w:lang w:eastAsia="en-US"/>
        </w:rPr>
      </w:pPr>
      <w:r>
        <w:rPr>
          <w:rFonts w:eastAsiaTheme="minorHAnsi"/>
          <w:lang w:eastAsia="en-US"/>
        </w:rPr>
        <w:tab/>
      </w:r>
      <w:r w:rsidR="00BB58DA" w:rsidRPr="00BB58DA">
        <w:rPr>
          <w:rFonts w:eastAsiaTheme="minorHAnsi"/>
          <w:lang w:eastAsia="en-US"/>
        </w:rPr>
        <w:t xml:space="preserve">El derecho a la educación de los </w:t>
      </w:r>
      <w:r w:rsidR="007066A0">
        <w:rPr>
          <w:rFonts w:eastAsiaTheme="minorHAnsi"/>
          <w:lang w:eastAsia="en-US"/>
        </w:rPr>
        <w:t>NNA</w:t>
      </w:r>
      <w:r w:rsidR="00BB58DA" w:rsidRPr="00BB58DA">
        <w:rPr>
          <w:rFonts w:eastAsiaTheme="minorHAnsi"/>
          <w:lang w:eastAsia="en-US"/>
        </w:rPr>
        <w:t xml:space="preserve"> de trabajadores migratorios se encuentra formalmente garantizado en el Ecuador mediante el marco constitucional y la normativa educativa vigente, que reconoce el acceso sin discriminación por condición migratoria. </w:t>
      </w:r>
      <w:r w:rsidR="007066A0">
        <w:rPr>
          <w:rFonts w:eastAsiaTheme="minorHAnsi"/>
          <w:lang w:eastAsia="en-US"/>
        </w:rPr>
        <w:t xml:space="preserve">Esto, </w:t>
      </w:r>
      <w:r w:rsidR="007066A0" w:rsidRPr="007066A0">
        <w:rPr>
          <w:rFonts w:eastAsiaTheme="minorHAnsi"/>
          <w:lang w:eastAsia="en-US"/>
        </w:rPr>
        <w:t>en concordancia con el artículo 30 de la Convención Internacional sobre la Protección de los Derechos de todos los Trabajadores Migratorios y de sus Familiares. A nivel interno, este derecho se sustenta en los artículos 9, 26 y 28 de la Constitución de la República del Ecuador, que reconocen la igualdad de derechos entre nacionales y extranjeros, así como el acceso universal a la educación sin discriminación.</w:t>
      </w:r>
    </w:p>
    <w:p w14:paraId="31937E90" w14:textId="7BFD7D34" w:rsidR="00BB58DA" w:rsidRPr="00BB58DA" w:rsidRDefault="007066A0" w:rsidP="00BB58DA">
      <w:pPr>
        <w:pStyle w:val="NormalWeb"/>
        <w:spacing w:line="360" w:lineRule="auto"/>
        <w:jc w:val="both"/>
        <w:rPr>
          <w:rFonts w:eastAsiaTheme="minorHAnsi"/>
          <w:lang w:eastAsia="en-US"/>
        </w:rPr>
      </w:pPr>
      <w:r>
        <w:rPr>
          <w:rFonts w:eastAsiaTheme="minorHAnsi"/>
          <w:lang w:eastAsia="en-US"/>
        </w:rPr>
        <w:tab/>
      </w:r>
      <w:r w:rsidR="00BB58DA" w:rsidRPr="00BB58DA">
        <w:rPr>
          <w:rFonts w:eastAsiaTheme="minorHAnsi"/>
          <w:lang w:eastAsia="en-US"/>
        </w:rPr>
        <w:t>En este contexto, el Estado ha adoptado medidas como el Acuerdo Nro. MINEDUC-MINEDUC-2023-00064-A, que regula mecanismos de inserción escolar flexible (aprestamiento) para facilitar el ingreso de niñas, niños y adolescentes (NNA) fuera de los períodos ordinarios de matrícula.</w:t>
      </w:r>
    </w:p>
    <w:p w14:paraId="62AEB104" w14:textId="7C158592" w:rsidR="00BB58DA" w:rsidRPr="00BB58DA" w:rsidRDefault="00BB58DA" w:rsidP="00BB58DA">
      <w:pPr>
        <w:pStyle w:val="NormalWeb"/>
        <w:spacing w:line="360" w:lineRule="auto"/>
        <w:jc w:val="both"/>
        <w:rPr>
          <w:rFonts w:eastAsiaTheme="minorHAnsi"/>
          <w:lang w:eastAsia="en-US"/>
        </w:rPr>
      </w:pPr>
      <w:r>
        <w:rPr>
          <w:rFonts w:eastAsiaTheme="minorHAnsi"/>
          <w:lang w:eastAsia="en-US"/>
        </w:rPr>
        <w:tab/>
      </w:r>
      <w:r w:rsidR="00275D84" w:rsidRPr="00275D84">
        <w:rPr>
          <w:rFonts w:eastAsiaTheme="minorHAnsi"/>
          <w:lang w:eastAsia="en-US"/>
        </w:rPr>
        <w:t>Se identifican barreras administrativas</w:t>
      </w:r>
      <w:r w:rsidR="00275D84">
        <w:rPr>
          <w:rFonts w:eastAsiaTheme="minorHAnsi"/>
          <w:lang w:eastAsia="en-US"/>
        </w:rPr>
        <w:t xml:space="preserve"> </w:t>
      </w:r>
      <w:r w:rsidRPr="00BB58DA">
        <w:rPr>
          <w:rFonts w:eastAsiaTheme="minorHAnsi"/>
          <w:lang w:eastAsia="en-US"/>
        </w:rPr>
        <w:t>asociadas a la exigencia de documentación académica o de identidad, cuya aplicación es desigual a nivel territorial y limita el acceso oportuno al sistema educativo. Asimismo, se evidencia la existencia de rezago escolar en población migrante, sin que existan programas sistemáticos de nivelación suficientes para garantizar su adecuada integración.</w:t>
      </w:r>
    </w:p>
    <w:p w14:paraId="307610CB" w14:textId="1EBF60C0" w:rsidR="00D86E03" w:rsidRPr="00E633C7" w:rsidRDefault="00D86E03" w:rsidP="00BB58DA">
      <w:pPr>
        <w:pStyle w:val="NormalWeb"/>
        <w:spacing w:line="360" w:lineRule="auto"/>
        <w:jc w:val="both"/>
        <w:rPr>
          <w:rFonts w:eastAsiaTheme="minorHAnsi"/>
          <w:b/>
          <w:lang w:eastAsia="en-US"/>
        </w:rPr>
      </w:pPr>
      <w:r w:rsidRPr="00E633C7">
        <w:rPr>
          <w:rFonts w:eastAsiaTheme="minorHAnsi"/>
          <w:b/>
          <w:lang w:eastAsia="en-US"/>
        </w:rPr>
        <w:t>Parte IV de la Convención</w:t>
      </w:r>
    </w:p>
    <w:p w14:paraId="3C6EFB5C" w14:textId="77777777" w:rsidR="00D86E03" w:rsidRPr="00E633C7" w:rsidRDefault="00D86E03" w:rsidP="00D86E03">
      <w:pPr>
        <w:pStyle w:val="NormalWeb"/>
        <w:spacing w:line="360" w:lineRule="auto"/>
        <w:jc w:val="both"/>
        <w:rPr>
          <w:rFonts w:eastAsiaTheme="minorHAnsi"/>
          <w:b/>
          <w:lang w:eastAsia="en-US"/>
        </w:rPr>
      </w:pPr>
      <w:r w:rsidRPr="00E633C7">
        <w:rPr>
          <w:rFonts w:eastAsiaTheme="minorHAnsi"/>
          <w:b/>
          <w:lang w:eastAsia="en-US"/>
        </w:rPr>
        <w:t>Articulo 44</w:t>
      </w:r>
    </w:p>
    <w:p w14:paraId="1CC40B29" w14:textId="77777777" w:rsidR="007066A0" w:rsidRPr="007066A0" w:rsidRDefault="00E633C7" w:rsidP="007066A0">
      <w:pPr>
        <w:pStyle w:val="NormalWeb"/>
        <w:spacing w:line="360" w:lineRule="auto"/>
        <w:jc w:val="both"/>
        <w:rPr>
          <w:rFonts w:eastAsiaTheme="minorHAnsi"/>
          <w:lang w:eastAsia="en-US"/>
        </w:rPr>
      </w:pPr>
      <w:r>
        <w:rPr>
          <w:rFonts w:eastAsiaTheme="minorHAnsi"/>
          <w:lang w:eastAsia="en-US"/>
        </w:rPr>
        <w:tab/>
      </w:r>
      <w:r w:rsidR="007066A0" w:rsidRPr="007066A0">
        <w:rPr>
          <w:rFonts w:eastAsiaTheme="minorHAnsi"/>
          <w:lang w:eastAsia="en-US"/>
        </w:rPr>
        <w:t xml:space="preserve">El artículo 44 de la Convención establece la obligación de los Estados de proteger la unidad familiar y garantizar medidas específicas para niñas, niños y adolescentes (NNA) en contextos de movilidad humana. En el Ecuador, esta obligación se ha materializado parcialmente a través de mecanismos de regularización vinculados a la reunificación familiar, como el Acuerdo Interministerial No. 0000006, denominado “Procedimiento para la regularización de personas extranjeras, padres de niños, niñas o </w:t>
      </w:r>
      <w:r w:rsidR="007066A0" w:rsidRPr="007066A0">
        <w:rPr>
          <w:rFonts w:eastAsiaTheme="minorHAnsi"/>
          <w:lang w:eastAsia="en-US"/>
        </w:rPr>
        <w:lastRenderedPageBreak/>
        <w:t>adolescentes ecuatorianos, que no han registrado su ingreso”, el cual permite a progenitores extranjeros acceder a una condición migratoria regular en función del vínculo familiar.</w:t>
      </w:r>
    </w:p>
    <w:p w14:paraId="4417C8CC" w14:textId="053F2E46" w:rsidR="007066A0" w:rsidRPr="007066A0" w:rsidRDefault="007066A0" w:rsidP="007066A0">
      <w:pPr>
        <w:pStyle w:val="NormalWeb"/>
        <w:spacing w:line="360" w:lineRule="auto"/>
        <w:jc w:val="both"/>
        <w:rPr>
          <w:rFonts w:eastAsiaTheme="minorHAnsi"/>
          <w:lang w:eastAsia="en-US"/>
        </w:rPr>
      </w:pPr>
      <w:r>
        <w:rPr>
          <w:rFonts w:eastAsiaTheme="minorHAnsi"/>
          <w:lang w:eastAsia="en-US"/>
        </w:rPr>
        <w:tab/>
      </w:r>
      <w:r w:rsidRPr="007066A0">
        <w:rPr>
          <w:rFonts w:eastAsiaTheme="minorHAnsi"/>
          <w:lang w:eastAsia="en-US"/>
        </w:rPr>
        <w:t>No obstante, desde la perspectiva de la Defensoría del Pueblo, este tipo de medidas se concentran en la protección de la unidad familiar en términos de regularización de adultos, sin abordar de manera suficiente la situación de NNA migrantes no acompañados o separados, quienes constituyen uno de los grupos de mayor riesgo.</w:t>
      </w:r>
    </w:p>
    <w:p w14:paraId="27419911" w14:textId="004C2BF6" w:rsidR="007066A0" w:rsidRPr="007066A0" w:rsidRDefault="007066A0" w:rsidP="007066A0">
      <w:pPr>
        <w:pStyle w:val="NormalWeb"/>
        <w:spacing w:line="360" w:lineRule="auto"/>
        <w:jc w:val="both"/>
        <w:rPr>
          <w:rFonts w:eastAsiaTheme="minorHAnsi"/>
          <w:lang w:eastAsia="en-US"/>
        </w:rPr>
      </w:pPr>
      <w:r>
        <w:rPr>
          <w:rFonts w:eastAsiaTheme="minorHAnsi"/>
          <w:lang w:eastAsia="en-US"/>
        </w:rPr>
        <w:tab/>
      </w:r>
      <w:r w:rsidRPr="007066A0">
        <w:rPr>
          <w:rFonts w:eastAsiaTheme="minorHAnsi"/>
          <w:lang w:eastAsia="en-US"/>
        </w:rPr>
        <w:t>En particular, se identifican brechas en la implementación de mecanismos integrales de protección, tales como la ausencia de protocolos uniformes a nivel nacional para la identificación y atención de estos casos, limitaciones en la coordinación interinstitucional para su derivación y seguimiento, y falta de información pública sistematizada que permita dimensionar la magnitud del fenómeno.</w:t>
      </w:r>
    </w:p>
    <w:p w14:paraId="08ADDA6F" w14:textId="0C464EDD" w:rsidR="00D86E03" w:rsidRPr="00D86E03" w:rsidRDefault="007066A0" w:rsidP="007066A0">
      <w:pPr>
        <w:pStyle w:val="NormalWeb"/>
        <w:spacing w:line="360" w:lineRule="auto"/>
        <w:jc w:val="both"/>
        <w:rPr>
          <w:rFonts w:eastAsiaTheme="minorHAnsi"/>
          <w:lang w:eastAsia="en-US"/>
        </w:rPr>
      </w:pPr>
      <w:r>
        <w:rPr>
          <w:rFonts w:eastAsiaTheme="minorHAnsi"/>
          <w:lang w:eastAsia="en-US"/>
        </w:rPr>
        <w:tab/>
      </w:r>
      <w:r w:rsidRPr="007066A0">
        <w:rPr>
          <w:rFonts w:eastAsiaTheme="minorHAnsi"/>
          <w:lang w:eastAsia="en-US"/>
        </w:rPr>
        <w:t>Asimismo, en contextos de frontera y movilidad irregular, la detección temprana de NNA no acompañados no siempre se realiza de manera oportuna, lo que incrementa su exposición a riesgos como trata de personas, explotación o desvinculación de redes familiares. Estas limitaciones evidencian que, si bien existen instrumentos normativos relevantes, su alcance es parcial y su implementación no garantiza una protección integral basada en el interés superior del niño.</w:t>
      </w:r>
    </w:p>
    <w:p w14:paraId="10A177EB" w14:textId="55A6E92B" w:rsidR="00D86E03" w:rsidRPr="00E633C7" w:rsidRDefault="00D86E03" w:rsidP="00D86E03">
      <w:pPr>
        <w:pStyle w:val="NormalWeb"/>
        <w:spacing w:line="360" w:lineRule="auto"/>
        <w:jc w:val="both"/>
        <w:rPr>
          <w:rFonts w:eastAsiaTheme="minorHAnsi"/>
          <w:b/>
          <w:lang w:eastAsia="en-US"/>
        </w:rPr>
      </w:pPr>
      <w:r w:rsidRPr="00E633C7">
        <w:rPr>
          <w:rFonts w:eastAsiaTheme="minorHAnsi"/>
          <w:b/>
          <w:lang w:eastAsia="en-US"/>
        </w:rPr>
        <w:t>Parte V de la Convención</w:t>
      </w:r>
    </w:p>
    <w:p w14:paraId="1D823090" w14:textId="77777777" w:rsidR="00D86E03" w:rsidRDefault="00D86E03" w:rsidP="00D86E03">
      <w:pPr>
        <w:pStyle w:val="NormalWeb"/>
        <w:spacing w:line="360" w:lineRule="auto"/>
        <w:jc w:val="both"/>
        <w:rPr>
          <w:rFonts w:eastAsiaTheme="minorHAnsi"/>
          <w:b/>
          <w:lang w:eastAsia="en-US"/>
        </w:rPr>
      </w:pPr>
      <w:r w:rsidRPr="00E633C7">
        <w:rPr>
          <w:rFonts w:eastAsiaTheme="minorHAnsi"/>
          <w:b/>
          <w:lang w:eastAsia="en-US"/>
        </w:rPr>
        <w:t>Articulo 68</w:t>
      </w:r>
    </w:p>
    <w:p w14:paraId="2EF6489F" w14:textId="22649988" w:rsidR="003E3CB3" w:rsidRPr="003E3CB3" w:rsidRDefault="003E3CB3" w:rsidP="00D86E03">
      <w:pPr>
        <w:pStyle w:val="NormalWeb"/>
        <w:spacing w:line="360" w:lineRule="auto"/>
        <w:jc w:val="both"/>
        <w:rPr>
          <w:rFonts w:eastAsiaTheme="minorHAnsi"/>
          <w:lang w:eastAsia="en-US"/>
        </w:rPr>
      </w:pPr>
      <w:r>
        <w:rPr>
          <w:rFonts w:eastAsiaTheme="minorHAnsi"/>
          <w:lang w:eastAsia="en-US"/>
        </w:rPr>
        <w:tab/>
      </w:r>
      <w:r w:rsidRPr="003E3CB3">
        <w:rPr>
          <w:rFonts w:eastAsiaTheme="minorHAnsi"/>
          <w:lang w:eastAsia="en-US"/>
        </w:rPr>
        <w:t>El artículo 68 de la Convención establece la obligación de los Estados de cooperar entre sí para prevenir y eliminar los movimientos clandestinos y el empleo ilegal de trabajadores migratorios en situación irregular, así como para combatir y sancionar a las personas, grupos o redes que organizan, facilitan o se benefician del tráfico ilícito de migrantes.</w:t>
      </w:r>
    </w:p>
    <w:p w14:paraId="17B10206" w14:textId="5A8B55FE" w:rsidR="007066A0" w:rsidRPr="007066A0" w:rsidRDefault="00E633C7" w:rsidP="003E3CB3">
      <w:pPr>
        <w:pStyle w:val="NormalWeb"/>
        <w:spacing w:line="360" w:lineRule="auto"/>
        <w:jc w:val="both"/>
        <w:rPr>
          <w:rFonts w:eastAsiaTheme="minorHAnsi"/>
          <w:lang w:eastAsia="en-US"/>
        </w:rPr>
      </w:pPr>
      <w:r>
        <w:rPr>
          <w:rFonts w:eastAsiaTheme="minorHAnsi"/>
          <w:lang w:eastAsia="en-US"/>
        </w:rPr>
        <w:tab/>
      </w:r>
      <w:r w:rsidR="007066A0" w:rsidRPr="007066A0">
        <w:rPr>
          <w:rFonts w:eastAsiaTheme="minorHAnsi"/>
          <w:lang w:eastAsia="en-US"/>
        </w:rPr>
        <w:t xml:space="preserve">El Ecuador cuenta con un marco normativo e institucional orientado a prevenir, investigar y sancionar los delitos de trata de personas y tráfico ilícito de migrantes, </w:t>
      </w:r>
      <w:r w:rsidR="007066A0" w:rsidRPr="007066A0">
        <w:rPr>
          <w:rFonts w:eastAsiaTheme="minorHAnsi"/>
          <w:lang w:eastAsia="en-US"/>
        </w:rPr>
        <w:lastRenderedPageBreak/>
        <w:t>encabezado por la Ley Orgánica contra la Trata de Personas y el Tráfico Ilícito de Migrantes</w:t>
      </w:r>
      <w:r w:rsidR="003E3CB3">
        <w:rPr>
          <w:rFonts w:eastAsiaTheme="minorHAnsi"/>
          <w:lang w:eastAsia="en-US"/>
        </w:rPr>
        <w:t xml:space="preserve"> (</w:t>
      </w:r>
      <w:r w:rsidR="003E3CB3" w:rsidRPr="003E3CB3">
        <w:rPr>
          <w:rFonts w:eastAsiaTheme="minorHAnsi"/>
          <w:lang w:eastAsia="en-US"/>
        </w:rPr>
        <w:t>2023</w:t>
      </w:r>
      <w:r w:rsidR="003E3CB3">
        <w:rPr>
          <w:rFonts w:eastAsiaTheme="minorHAnsi"/>
          <w:lang w:eastAsia="en-US"/>
        </w:rPr>
        <w:t>)</w:t>
      </w:r>
      <w:r w:rsidR="007066A0" w:rsidRPr="007066A0">
        <w:rPr>
          <w:rFonts w:eastAsiaTheme="minorHAnsi"/>
          <w:lang w:eastAsia="en-US"/>
        </w:rPr>
        <w:t>, que establece la obligación estatal de garantizar la protección y asistencia integral a las víctimas. Este marco se complementa con instrumentos de política pública como el Plan de Acción contra la Trata de Personas (PACTA)</w:t>
      </w:r>
      <w:r w:rsidR="003E3CB3">
        <w:rPr>
          <w:rFonts w:eastAsiaTheme="minorHAnsi"/>
          <w:lang w:eastAsia="en-US"/>
        </w:rPr>
        <w:t xml:space="preserve"> (</w:t>
      </w:r>
      <w:r w:rsidR="003E3CB3">
        <w:t>2019)</w:t>
      </w:r>
      <w:r w:rsidR="007066A0" w:rsidRPr="007066A0">
        <w:rPr>
          <w:rFonts w:eastAsiaTheme="minorHAnsi"/>
          <w:lang w:eastAsia="en-US"/>
        </w:rPr>
        <w:t xml:space="preserve"> y el Plan de Acción contra el Tráfico Ilícito de Migrantes (PACTIM)</w:t>
      </w:r>
      <w:r w:rsidR="003E3CB3">
        <w:rPr>
          <w:rFonts w:eastAsiaTheme="minorHAnsi"/>
          <w:lang w:eastAsia="en-US"/>
        </w:rPr>
        <w:t xml:space="preserve"> (</w:t>
      </w:r>
      <w:r w:rsidR="003E3CB3">
        <w:t>2019)</w:t>
      </w:r>
      <w:r w:rsidR="007066A0" w:rsidRPr="007066A0">
        <w:rPr>
          <w:rFonts w:eastAsiaTheme="minorHAnsi"/>
          <w:lang w:eastAsia="en-US"/>
        </w:rPr>
        <w:t>, que buscan articular la intervención de entidades estatales, gobiernos locales y sociedad civil.</w:t>
      </w:r>
    </w:p>
    <w:p w14:paraId="3C5AAD85" w14:textId="3634BD6E" w:rsidR="007066A0" w:rsidRPr="007066A0" w:rsidRDefault="007066A0" w:rsidP="003E3CB3">
      <w:pPr>
        <w:pStyle w:val="NormalWeb"/>
        <w:spacing w:line="360" w:lineRule="auto"/>
        <w:jc w:val="both"/>
        <w:rPr>
          <w:rFonts w:eastAsiaTheme="minorHAnsi"/>
          <w:lang w:eastAsia="en-US"/>
        </w:rPr>
      </w:pPr>
      <w:r>
        <w:rPr>
          <w:rFonts w:eastAsiaTheme="minorHAnsi"/>
          <w:lang w:eastAsia="en-US"/>
        </w:rPr>
        <w:tab/>
      </w:r>
      <w:r w:rsidRPr="007066A0">
        <w:rPr>
          <w:rFonts w:eastAsiaTheme="minorHAnsi"/>
          <w:lang w:eastAsia="en-US"/>
        </w:rPr>
        <w:t>No obstante, la Defensoría del Pueblo identifica que, más allá de la existencia de estos instrumentos, persisten brechas relevantes en su implementación efectiva. En particular, se evidencian limitaciones en la detección temprana e identificación de víctimas, especialmente en contextos de movilidad irregular y zonas de frontera, lo que reduce la capacidad de activar oportunamente rutas de protección.</w:t>
      </w:r>
    </w:p>
    <w:p w14:paraId="268DD503" w14:textId="2053F789" w:rsidR="00D86E03" w:rsidRDefault="007066A0" w:rsidP="003E3CB3">
      <w:pPr>
        <w:pStyle w:val="NormalWeb"/>
        <w:spacing w:line="360" w:lineRule="auto"/>
        <w:jc w:val="both"/>
        <w:rPr>
          <w:rFonts w:eastAsiaTheme="minorHAnsi"/>
          <w:lang w:eastAsia="en-US"/>
        </w:rPr>
      </w:pPr>
      <w:r>
        <w:rPr>
          <w:rFonts w:eastAsiaTheme="minorHAnsi"/>
          <w:lang w:eastAsia="en-US"/>
        </w:rPr>
        <w:tab/>
      </w:r>
      <w:r w:rsidRPr="007066A0">
        <w:rPr>
          <w:rFonts w:eastAsiaTheme="minorHAnsi"/>
          <w:lang w:eastAsia="en-US"/>
        </w:rPr>
        <w:t>Asimismo, se han identificado debilidades en la articulación interinstitucional, que afectan la continuidad de la atención y el seguimiento de casos, así como diferencias en la capacidad operativa entre territorios. En materia de asistencia, si bien la normativa prevé una atención integral, en la práctica existen restricciones en cobertura, recursos especializados y acceso sostenido a servicios de protección, especialmente para personas migrantes en situación irregular.</w:t>
      </w:r>
    </w:p>
    <w:p w14:paraId="2A319F9F" w14:textId="77777777" w:rsidR="00D86E03" w:rsidRPr="00E633C7" w:rsidRDefault="00D86E03" w:rsidP="00D86E03">
      <w:pPr>
        <w:pStyle w:val="NormalWeb"/>
        <w:spacing w:line="360" w:lineRule="auto"/>
        <w:jc w:val="both"/>
        <w:rPr>
          <w:rFonts w:eastAsiaTheme="minorHAnsi"/>
          <w:b/>
          <w:lang w:eastAsia="en-US"/>
        </w:rPr>
      </w:pPr>
      <w:r w:rsidRPr="00E633C7">
        <w:rPr>
          <w:rFonts w:eastAsiaTheme="minorHAnsi"/>
          <w:b/>
          <w:lang w:eastAsia="en-US"/>
        </w:rPr>
        <w:t>Sección III</w:t>
      </w:r>
    </w:p>
    <w:p w14:paraId="4CC54DD5" w14:textId="77777777" w:rsidR="00D86E03" w:rsidRPr="00E633C7" w:rsidRDefault="00D86E03" w:rsidP="00D86E03">
      <w:pPr>
        <w:pStyle w:val="NormalWeb"/>
        <w:spacing w:line="360" w:lineRule="auto"/>
        <w:jc w:val="both"/>
        <w:rPr>
          <w:rFonts w:eastAsiaTheme="minorHAnsi"/>
          <w:b/>
          <w:lang w:eastAsia="en-US"/>
        </w:rPr>
      </w:pPr>
      <w:r w:rsidRPr="00E633C7">
        <w:rPr>
          <w:rFonts w:eastAsiaTheme="minorHAnsi"/>
          <w:b/>
          <w:lang w:eastAsia="en-US"/>
        </w:rPr>
        <w:t>Datos, estimaciones oficiales, estadísticas y otras informaciones</w:t>
      </w:r>
    </w:p>
    <w:p w14:paraId="42C2B169" w14:textId="050C646D" w:rsidR="003E3CB3" w:rsidRPr="003E3CB3" w:rsidRDefault="00E633C7" w:rsidP="003E3CB3">
      <w:pPr>
        <w:pStyle w:val="NormalWeb"/>
        <w:spacing w:line="360" w:lineRule="auto"/>
        <w:jc w:val="both"/>
        <w:rPr>
          <w:rFonts w:eastAsiaTheme="minorHAnsi"/>
          <w:lang w:eastAsia="en-US"/>
        </w:rPr>
      </w:pPr>
      <w:r>
        <w:rPr>
          <w:rFonts w:eastAsiaTheme="minorHAnsi"/>
          <w:lang w:eastAsia="en-US"/>
        </w:rPr>
        <w:tab/>
      </w:r>
      <w:r w:rsidR="003E3CB3" w:rsidRPr="003E3CB3">
        <w:rPr>
          <w:rFonts w:eastAsiaTheme="minorHAnsi"/>
          <w:lang w:eastAsia="en-US"/>
        </w:rPr>
        <w:t xml:space="preserve">El Ecuador se ha consolidado como un país de destino y tránsito en el contexto de la movilidad humana regional. </w:t>
      </w:r>
      <w:r w:rsidR="00275D84">
        <w:rPr>
          <w:rFonts w:eastAsiaTheme="minorHAnsi"/>
          <w:lang w:eastAsia="en-US"/>
        </w:rPr>
        <w:t>D</w:t>
      </w:r>
      <w:r w:rsidR="003E3CB3" w:rsidRPr="003E3CB3">
        <w:rPr>
          <w:rFonts w:eastAsiaTheme="minorHAnsi"/>
          <w:lang w:eastAsia="en-US"/>
        </w:rPr>
        <w:t xml:space="preserve">e acuerdo con la Plataforma de Coordinación </w:t>
      </w:r>
      <w:proofErr w:type="spellStart"/>
      <w:r w:rsidR="003E3CB3" w:rsidRPr="003E3CB3">
        <w:rPr>
          <w:rFonts w:eastAsiaTheme="minorHAnsi"/>
          <w:lang w:eastAsia="en-US"/>
        </w:rPr>
        <w:t>Interagencial</w:t>
      </w:r>
      <w:proofErr w:type="spellEnd"/>
      <w:r w:rsidR="003E3CB3" w:rsidRPr="003E3CB3">
        <w:rPr>
          <w:rFonts w:eastAsiaTheme="minorHAnsi"/>
          <w:lang w:eastAsia="en-US"/>
        </w:rPr>
        <w:t xml:space="preserve"> para Refugiados y Migrantes de Venezuela (R4V), en 2024 residían en el país aproximadamente </w:t>
      </w:r>
      <w:r w:rsidR="003E3CB3">
        <w:rPr>
          <w:rFonts w:eastAsiaTheme="minorHAnsi"/>
          <w:lang w:eastAsia="en-US"/>
        </w:rPr>
        <w:t>más de 440 mil</w:t>
      </w:r>
      <w:r w:rsidR="003E3CB3" w:rsidRPr="003E3CB3">
        <w:rPr>
          <w:rFonts w:eastAsiaTheme="minorHAnsi"/>
          <w:lang w:eastAsia="en-US"/>
        </w:rPr>
        <w:t xml:space="preserve"> personas venezolanas, muchas de ellas en condiciones de vulnerabilidad (R4V, 2024). </w:t>
      </w:r>
    </w:p>
    <w:p w14:paraId="686AD8A8" w14:textId="5869A02C" w:rsidR="003E3CB3" w:rsidRPr="003E3CB3" w:rsidRDefault="003E3CB3" w:rsidP="003E3CB3">
      <w:pPr>
        <w:pStyle w:val="NormalWeb"/>
        <w:spacing w:line="360" w:lineRule="auto"/>
        <w:jc w:val="both"/>
        <w:rPr>
          <w:rFonts w:eastAsiaTheme="minorHAnsi"/>
          <w:lang w:eastAsia="en-US"/>
        </w:rPr>
      </w:pPr>
      <w:r>
        <w:rPr>
          <w:rFonts w:eastAsiaTheme="minorHAnsi"/>
          <w:lang w:eastAsia="en-US"/>
        </w:rPr>
        <w:tab/>
      </w:r>
      <w:r w:rsidRPr="003E3CB3">
        <w:rPr>
          <w:rFonts w:eastAsiaTheme="minorHAnsi"/>
          <w:lang w:eastAsia="en-US"/>
        </w:rPr>
        <w:t xml:space="preserve">En términos socioeconómicos, estudios de organismos internacionales indican que una proporción significativa de esta población enfrenta dificultades para acceder a </w:t>
      </w:r>
      <w:r w:rsidRPr="003E3CB3">
        <w:rPr>
          <w:rFonts w:eastAsiaTheme="minorHAnsi"/>
          <w:lang w:eastAsia="en-US"/>
        </w:rPr>
        <w:lastRenderedPageBreak/>
        <w:t>vivienda adecuada, educación y servicios de salud, particularmente cuando se encuentra en situación migratoria irregular (OIM, 2023; ACNUR, 2024).</w:t>
      </w:r>
    </w:p>
    <w:p w14:paraId="52DF987F" w14:textId="065FEF7F" w:rsidR="003E3CB3" w:rsidRDefault="003E3CB3" w:rsidP="003E3CB3">
      <w:pPr>
        <w:pStyle w:val="NormalWeb"/>
        <w:spacing w:line="360" w:lineRule="auto"/>
        <w:jc w:val="both"/>
        <w:rPr>
          <w:rFonts w:eastAsiaTheme="minorHAnsi"/>
          <w:lang w:eastAsia="en-US"/>
        </w:rPr>
      </w:pPr>
      <w:r>
        <w:rPr>
          <w:rFonts w:eastAsiaTheme="minorHAnsi"/>
          <w:lang w:eastAsia="en-US"/>
        </w:rPr>
        <w:tab/>
      </w:r>
      <w:r w:rsidRPr="003E3CB3">
        <w:rPr>
          <w:rFonts w:eastAsiaTheme="minorHAnsi"/>
          <w:lang w:eastAsia="en-US"/>
        </w:rPr>
        <w:t>En relación con niñas, niños y adolescentes, UNICEF ha advertido que existe</w:t>
      </w:r>
      <w:r w:rsidR="00ED7D5E">
        <w:rPr>
          <w:rFonts w:eastAsiaTheme="minorHAnsi"/>
          <w:lang w:eastAsia="en-US"/>
        </w:rPr>
        <w:t xml:space="preserve"> distancia </w:t>
      </w:r>
      <w:r w:rsidRPr="003E3CB3">
        <w:rPr>
          <w:rFonts w:eastAsiaTheme="minorHAnsi"/>
          <w:lang w:eastAsia="en-US"/>
        </w:rPr>
        <w:t>en el acceso y permanencia educativa, asociadas a factores como rezago escolar, movilidad constante y barreras administrativas (UNICEF, 2023). Estas condiciones incrementan el riesgo de exclusión educativa y trabajo infantil.</w:t>
      </w:r>
    </w:p>
    <w:p w14:paraId="3D132794" w14:textId="77777777" w:rsidR="003E3CB3" w:rsidRDefault="003E3CB3" w:rsidP="003E3CB3">
      <w:pPr>
        <w:pStyle w:val="NormalWeb"/>
        <w:spacing w:line="360" w:lineRule="auto"/>
        <w:jc w:val="both"/>
        <w:rPr>
          <w:rFonts w:eastAsiaTheme="minorHAnsi"/>
          <w:lang w:eastAsia="en-US"/>
        </w:rPr>
      </w:pPr>
    </w:p>
    <w:p w14:paraId="0A8CD737" w14:textId="66EA1421" w:rsidR="00D86E03" w:rsidRPr="00E633C7" w:rsidRDefault="00D86E03" w:rsidP="003E3CB3">
      <w:pPr>
        <w:pStyle w:val="NormalWeb"/>
        <w:spacing w:line="360" w:lineRule="auto"/>
        <w:jc w:val="both"/>
        <w:rPr>
          <w:rFonts w:eastAsiaTheme="minorHAnsi"/>
          <w:b/>
          <w:lang w:eastAsia="en-US"/>
        </w:rPr>
      </w:pPr>
      <w:r w:rsidRPr="00E633C7">
        <w:rPr>
          <w:rFonts w:eastAsiaTheme="minorHAnsi"/>
          <w:b/>
          <w:lang w:eastAsia="en-US"/>
        </w:rPr>
        <w:t>Conclusión</w:t>
      </w:r>
    </w:p>
    <w:p w14:paraId="73F982F6" w14:textId="69985099" w:rsidR="003E3CB3" w:rsidRPr="003E3CB3" w:rsidRDefault="00E633C7" w:rsidP="003E3CB3">
      <w:pPr>
        <w:pStyle w:val="NormalWeb"/>
        <w:spacing w:line="360" w:lineRule="auto"/>
        <w:jc w:val="both"/>
        <w:rPr>
          <w:rFonts w:eastAsiaTheme="minorHAnsi"/>
          <w:lang w:eastAsia="en-US"/>
        </w:rPr>
      </w:pPr>
      <w:r>
        <w:rPr>
          <w:rFonts w:eastAsiaTheme="minorHAnsi"/>
          <w:lang w:eastAsia="en-US"/>
        </w:rPr>
        <w:tab/>
      </w:r>
      <w:r w:rsidR="00ED7D5E">
        <w:rPr>
          <w:rFonts w:eastAsiaTheme="minorHAnsi"/>
          <w:lang w:eastAsia="en-US"/>
        </w:rPr>
        <w:t>E</w:t>
      </w:r>
      <w:r w:rsidR="003E3CB3" w:rsidRPr="003E3CB3">
        <w:rPr>
          <w:rFonts w:eastAsiaTheme="minorHAnsi"/>
          <w:lang w:eastAsia="en-US"/>
        </w:rPr>
        <w:t>l análisis realizado evidencia que el Ecuador cuenta con un marco normativo e institucional robusto en materia de derechos de las personas trabajadoras migratorias y sus familiares, incluyendo avances en políticas públicas orientadas a educación, reunificación familiar y prevención de la trata de personas y el tráfico ilícito de migrantes. Sin embargo, la principal limitación identificada radica en la persistencia de brechas entre el diseño normativo y su implementación efectiva.</w:t>
      </w:r>
    </w:p>
    <w:p w14:paraId="218814E6" w14:textId="5B9B09F1" w:rsidR="003E3CB3" w:rsidRPr="003E3CB3" w:rsidRDefault="003E3CB3" w:rsidP="003E3CB3">
      <w:pPr>
        <w:pStyle w:val="NormalWeb"/>
        <w:spacing w:line="360" w:lineRule="auto"/>
        <w:jc w:val="both"/>
        <w:rPr>
          <w:rFonts w:eastAsiaTheme="minorHAnsi"/>
          <w:lang w:eastAsia="en-US"/>
        </w:rPr>
      </w:pPr>
      <w:r>
        <w:rPr>
          <w:rFonts w:eastAsiaTheme="minorHAnsi"/>
          <w:lang w:eastAsia="en-US"/>
        </w:rPr>
        <w:tab/>
      </w:r>
      <w:r w:rsidRPr="003E3CB3">
        <w:rPr>
          <w:rFonts w:eastAsiaTheme="minorHAnsi"/>
          <w:lang w:eastAsia="en-US"/>
        </w:rPr>
        <w:t>Estas brechas se manifiestan en obstáculos concretos para el acceso, permanencia y protección de derechos, particularmente en el ámbito educativo de niñas, niños y adolescentes migrantes, en la atención integral de NNA no acompañados o separados, y en la identificación y protección de víctimas de trata y tráfico ilícito. A ello se suma una débil articulación interinstitucional, limitaciones en la cobertura de servicios y una insuficiente disponibilidad de datos desagregados, lo que restringe la formulación de respuestas estatales basadas en evidencia.</w:t>
      </w:r>
    </w:p>
    <w:p w14:paraId="3544D404" w14:textId="65D951F8" w:rsidR="003E3CB3" w:rsidRPr="003E3CB3" w:rsidRDefault="003E3CB3" w:rsidP="003E3CB3">
      <w:pPr>
        <w:pStyle w:val="NormalWeb"/>
        <w:spacing w:line="360" w:lineRule="auto"/>
        <w:jc w:val="both"/>
        <w:rPr>
          <w:rFonts w:eastAsiaTheme="minorHAnsi"/>
          <w:lang w:eastAsia="en-US"/>
        </w:rPr>
      </w:pPr>
      <w:r>
        <w:rPr>
          <w:rFonts w:eastAsiaTheme="minorHAnsi"/>
          <w:lang w:eastAsia="en-US"/>
        </w:rPr>
        <w:tab/>
      </w:r>
      <w:r w:rsidRPr="003E3CB3">
        <w:rPr>
          <w:rFonts w:eastAsiaTheme="minorHAnsi"/>
          <w:lang w:eastAsia="en-US"/>
        </w:rPr>
        <w:t>En este contexto, la Defensoría del Pueblo considera prioritario que el Estado ecuatoriano fortalezca la implementación operativa de las políticas existentes, garantice mecanismos efectivos de coordinación institucional y consolide sistemas de información que permitan monitorear de manera integral la situación de las personas en movilidad humana.</w:t>
      </w:r>
    </w:p>
    <w:p w14:paraId="7E7883B7" w14:textId="5D2A74C1" w:rsidR="00D86E03" w:rsidRPr="00D86E03" w:rsidRDefault="003E3CB3" w:rsidP="003E3CB3">
      <w:pPr>
        <w:pStyle w:val="NormalWeb"/>
        <w:spacing w:line="360" w:lineRule="auto"/>
        <w:jc w:val="both"/>
        <w:rPr>
          <w:rFonts w:eastAsiaTheme="minorHAnsi"/>
          <w:lang w:eastAsia="en-US"/>
        </w:rPr>
      </w:pPr>
      <w:r>
        <w:rPr>
          <w:rFonts w:eastAsiaTheme="minorHAnsi"/>
          <w:lang w:eastAsia="en-US"/>
        </w:rPr>
        <w:lastRenderedPageBreak/>
        <w:tab/>
      </w:r>
      <w:r w:rsidRPr="003E3CB3">
        <w:rPr>
          <w:rFonts w:eastAsiaTheme="minorHAnsi"/>
          <w:lang w:eastAsia="en-US"/>
        </w:rPr>
        <w:t>La información presentada busca aportar insumos sustantivos para que el Comité de Protección de los Derechos de Todos los Trabajadores Migratorios y de sus Familiares formule recomendaciones orientadas a cerrar las brechas identificadas y garantizar la plena vigencia de los derechos reconocidos en la Convención.</w:t>
      </w:r>
    </w:p>
    <w:p w14:paraId="6EFFD2E2" w14:textId="192441DE" w:rsidR="003E3CB3" w:rsidRPr="00F9529E" w:rsidRDefault="003E3CB3" w:rsidP="004203EE">
      <w:pPr>
        <w:pStyle w:val="NormalWeb"/>
        <w:spacing w:line="360" w:lineRule="auto"/>
        <w:ind w:left="708" w:hanging="708"/>
        <w:jc w:val="both"/>
        <w:rPr>
          <w:rFonts w:eastAsiaTheme="minorHAnsi"/>
          <w:b/>
          <w:lang w:eastAsia="en-US"/>
        </w:rPr>
      </w:pPr>
      <w:r w:rsidRPr="00F9529E">
        <w:rPr>
          <w:rFonts w:eastAsiaTheme="minorHAnsi"/>
          <w:b/>
          <w:lang w:eastAsia="en-US"/>
        </w:rPr>
        <w:t>Bibliografía</w:t>
      </w:r>
    </w:p>
    <w:p w14:paraId="7E349727" w14:textId="77777777" w:rsidR="003E3CB3" w:rsidRDefault="003E3CB3" w:rsidP="003E3CB3">
      <w:pPr>
        <w:pStyle w:val="NormalWeb"/>
        <w:ind w:left="567" w:hanging="567"/>
        <w:jc w:val="both"/>
      </w:pPr>
      <w:r>
        <w:t xml:space="preserve">Alto Comisionado de las Naciones Unidas para los Refugiados (ACNUR). (2024). </w:t>
      </w:r>
      <w:r>
        <w:rPr>
          <w:rStyle w:val="nfasis"/>
        </w:rPr>
        <w:t>Ecuador: Panorama de movilidad humana</w:t>
      </w:r>
      <w:r>
        <w:t>.</w:t>
      </w:r>
    </w:p>
    <w:p w14:paraId="4297ADD3" w14:textId="77777777" w:rsidR="003E3CB3" w:rsidRDefault="003E3CB3" w:rsidP="003E3CB3">
      <w:pPr>
        <w:pStyle w:val="NormalWeb"/>
        <w:ind w:left="567" w:hanging="567"/>
        <w:jc w:val="both"/>
      </w:pPr>
      <w:r>
        <w:t xml:space="preserve">Asamblea Nacional del Ecuador. (2008). </w:t>
      </w:r>
      <w:r>
        <w:rPr>
          <w:rStyle w:val="nfasis"/>
        </w:rPr>
        <w:t>Constitución de la República del Ecuador</w:t>
      </w:r>
      <w:r>
        <w:t>. Registro Oficial.</w:t>
      </w:r>
    </w:p>
    <w:p w14:paraId="4FF45ED4" w14:textId="77777777" w:rsidR="003E3CB3" w:rsidRDefault="003E3CB3" w:rsidP="003E3CB3">
      <w:pPr>
        <w:pStyle w:val="NormalWeb"/>
        <w:ind w:left="567" w:hanging="567"/>
        <w:jc w:val="both"/>
      </w:pPr>
      <w:r>
        <w:t xml:space="preserve">Asamblea Nacional del Ecuador. (2023). </w:t>
      </w:r>
      <w:r>
        <w:rPr>
          <w:rStyle w:val="nfasis"/>
        </w:rPr>
        <w:t>Ley Orgánica contra la Trata de Personas y el Tráfico Ilícito de Migrantes</w:t>
      </w:r>
      <w:r>
        <w:t>. Registro Oficial.</w:t>
      </w:r>
    </w:p>
    <w:p w14:paraId="6CE6C96C" w14:textId="77777777" w:rsidR="003E3CB3" w:rsidRDefault="003E3CB3" w:rsidP="003E3CB3">
      <w:pPr>
        <w:pStyle w:val="NormalWeb"/>
        <w:ind w:left="567" w:hanging="567"/>
        <w:jc w:val="both"/>
      </w:pPr>
      <w:r>
        <w:t xml:space="preserve">Fondo de las Naciones Unidas para la Infancia (UNICEF). (2023). </w:t>
      </w:r>
      <w:r>
        <w:rPr>
          <w:rStyle w:val="nfasis"/>
        </w:rPr>
        <w:t>Niñez y movilidad humana en Ecuador</w:t>
      </w:r>
      <w:r>
        <w:t>.</w:t>
      </w:r>
    </w:p>
    <w:p w14:paraId="6CCA2F57" w14:textId="77777777" w:rsidR="003E3CB3" w:rsidRDefault="003E3CB3" w:rsidP="003E3CB3">
      <w:pPr>
        <w:pStyle w:val="NormalWeb"/>
        <w:ind w:left="567" w:hanging="567"/>
        <w:jc w:val="both"/>
      </w:pPr>
      <w:r>
        <w:t xml:space="preserve">Instituto Nacional de Estadística y Censos (INEC). (2023). </w:t>
      </w:r>
      <w:r>
        <w:rPr>
          <w:rStyle w:val="nfasis"/>
        </w:rPr>
        <w:t>Estadísticas de empleo y condiciones de vida</w:t>
      </w:r>
      <w:r>
        <w:t xml:space="preserve">. </w:t>
      </w:r>
      <w:hyperlink r:id="rId14" w:tgtFrame="_new" w:history="1">
        <w:r>
          <w:rPr>
            <w:rStyle w:val="Hipervnculo"/>
          </w:rPr>
          <w:t>https://www.ecuadorencifras.gob.ec</w:t>
        </w:r>
      </w:hyperlink>
    </w:p>
    <w:p w14:paraId="2387073B" w14:textId="77777777" w:rsidR="003E3CB3" w:rsidRDefault="003E3CB3" w:rsidP="003E3CB3">
      <w:pPr>
        <w:pStyle w:val="NormalWeb"/>
        <w:ind w:left="567" w:hanging="567"/>
        <w:jc w:val="both"/>
      </w:pPr>
      <w:r>
        <w:t xml:space="preserve">Ministerio de Educación del Ecuador. (2023). </w:t>
      </w:r>
      <w:r>
        <w:rPr>
          <w:rStyle w:val="nfasis"/>
        </w:rPr>
        <w:t>Acuerdo Nro. MINEDUC-MINEDUC-2023-00064-A</w:t>
      </w:r>
      <w:r>
        <w:t>.</w:t>
      </w:r>
    </w:p>
    <w:p w14:paraId="0E2D2832" w14:textId="77777777" w:rsidR="003E3CB3" w:rsidRDefault="003E3CB3" w:rsidP="003E3CB3">
      <w:pPr>
        <w:pStyle w:val="NormalWeb"/>
        <w:ind w:left="567" w:hanging="567"/>
        <w:jc w:val="both"/>
      </w:pPr>
      <w:r>
        <w:t xml:space="preserve">Ministerio de Gobierno del Ecuador. (2019). </w:t>
      </w:r>
      <w:r>
        <w:rPr>
          <w:rStyle w:val="nfasis"/>
        </w:rPr>
        <w:t>Plan de Acción contra la Trata de Personas (PACTA)</w:t>
      </w:r>
      <w:r>
        <w:t>.</w:t>
      </w:r>
    </w:p>
    <w:p w14:paraId="756BBDC2" w14:textId="77777777" w:rsidR="003E3CB3" w:rsidRDefault="003E3CB3" w:rsidP="003E3CB3">
      <w:pPr>
        <w:pStyle w:val="NormalWeb"/>
        <w:ind w:left="567" w:hanging="567"/>
        <w:jc w:val="both"/>
      </w:pPr>
      <w:r>
        <w:t xml:space="preserve">Ministerio de Gobierno del Ecuador. (2019). </w:t>
      </w:r>
      <w:r>
        <w:rPr>
          <w:rStyle w:val="nfasis"/>
        </w:rPr>
        <w:t>Plan de Acción contra el Tráfico Ilícito de Migrantes (PACTIM)</w:t>
      </w:r>
      <w:r>
        <w:t>.</w:t>
      </w:r>
    </w:p>
    <w:p w14:paraId="415BB323" w14:textId="77777777" w:rsidR="003E3CB3" w:rsidRDefault="003E3CB3" w:rsidP="003E3CB3">
      <w:pPr>
        <w:pStyle w:val="NormalWeb"/>
        <w:ind w:left="567" w:hanging="567"/>
        <w:jc w:val="both"/>
      </w:pPr>
      <w:r>
        <w:t xml:space="preserve">Organización Internacional para las Migraciones (OIM). (2023). </w:t>
      </w:r>
      <w:r>
        <w:rPr>
          <w:rStyle w:val="nfasis"/>
        </w:rPr>
        <w:t>Perfil migratorio de Ecuador</w:t>
      </w:r>
      <w:r>
        <w:t>.</w:t>
      </w:r>
    </w:p>
    <w:p w14:paraId="75F422B3" w14:textId="77777777" w:rsidR="003E3CB3" w:rsidRDefault="003E3CB3" w:rsidP="003E3CB3">
      <w:pPr>
        <w:pStyle w:val="NormalWeb"/>
        <w:ind w:left="567" w:hanging="567"/>
        <w:jc w:val="both"/>
      </w:pPr>
      <w:r>
        <w:t xml:space="preserve">Organización de las Naciones Unidas. (1990). </w:t>
      </w:r>
      <w:r>
        <w:rPr>
          <w:rStyle w:val="nfasis"/>
        </w:rPr>
        <w:t>Convención Internacional sobre la Protección de los Derechos de todos los Trabajadores Migratorios y de sus Familiares</w:t>
      </w:r>
      <w:r>
        <w:t>.</w:t>
      </w:r>
    </w:p>
    <w:p w14:paraId="31E416D4" w14:textId="77777777" w:rsidR="003E3CB3" w:rsidRDefault="003E3CB3" w:rsidP="003E3CB3">
      <w:pPr>
        <w:pStyle w:val="NormalWeb"/>
        <w:ind w:left="567" w:hanging="567"/>
        <w:jc w:val="both"/>
      </w:pPr>
      <w:r>
        <w:t xml:space="preserve">Plataforma de Coordinación </w:t>
      </w:r>
      <w:proofErr w:type="spellStart"/>
      <w:r>
        <w:t>Interagencial</w:t>
      </w:r>
      <w:proofErr w:type="spellEnd"/>
      <w:r>
        <w:t xml:space="preserve"> para Refugiados y Migrantes de Venezuela (R4V). (2024). </w:t>
      </w:r>
      <w:r>
        <w:rPr>
          <w:rStyle w:val="nfasis"/>
        </w:rPr>
        <w:t>Refugiados y migrantes de Venezuela en la región</w:t>
      </w:r>
      <w:r>
        <w:t xml:space="preserve">. </w:t>
      </w:r>
      <w:hyperlink r:id="rId15" w:tgtFrame="_new" w:history="1">
        <w:r>
          <w:rPr>
            <w:rStyle w:val="Hipervnculo"/>
          </w:rPr>
          <w:t>https://www.r4v.info</w:t>
        </w:r>
      </w:hyperlink>
    </w:p>
    <w:p w14:paraId="50F9DC6A" w14:textId="77777777" w:rsidR="003E3CB3" w:rsidRPr="00D86E03" w:rsidRDefault="003E3CB3">
      <w:pPr>
        <w:pStyle w:val="NormalWeb"/>
        <w:spacing w:line="360" w:lineRule="auto"/>
        <w:jc w:val="both"/>
        <w:rPr>
          <w:rFonts w:eastAsiaTheme="minorHAnsi"/>
          <w:lang w:eastAsia="en-US"/>
        </w:rPr>
      </w:pPr>
    </w:p>
    <w:sectPr w:rsidR="003E3CB3" w:rsidRPr="00D86E03">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7E6CC" w14:textId="77777777" w:rsidR="00E31AB7" w:rsidRDefault="00E31AB7" w:rsidP="00552E05">
      <w:pPr>
        <w:spacing w:line="240" w:lineRule="auto"/>
      </w:pPr>
      <w:r>
        <w:separator/>
      </w:r>
    </w:p>
  </w:endnote>
  <w:endnote w:type="continuationSeparator" w:id="0">
    <w:p w14:paraId="092AFD92" w14:textId="77777777" w:rsidR="00E31AB7" w:rsidRDefault="00E31AB7" w:rsidP="00552E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5E890" w14:textId="09D28EDE" w:rsidR="00285998" w:rsidRDefault="00285998">
    <w:pPr>
      <w:pStyle w:val="Piedepgina"/>
      <w:jc w:val="right"/>
    </w:pPr>
  </w:p>
  <w:p w14:paraId="18894854" w14:textId="77777777" w:rsidR="00552E05" w:rsidRDefault="00552E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711479"/>
      <w:docPartObj>
        <w:docPartGallery w:val="Page Numbers (Bottom of Page)"/>
        <w:docPartUnique/>
      </w:docPartObj>
    </w:sdtPr>
    <w:sdtEndPr/>
    <w:sdtContent>
      <w:p w14:paraId="36D2C832" w14:textId="77777777" w:rsidR="00285998" w:rsidRDefault="00285998">
        <w:pPr>
          <w:pStyle w:val="Piedepgina"/>
          <w:jc w:val="right"/>
        </w:pPr>
        <w:r>
          <w:fldChar w:fldCharType="begin"/>
        </w:r>
        <w:r>
          <w:instrText>PAGE   \* MERGEFORMAT</w:instrText>
        </w:r>
        <w:r>
          <w:fldChar w:fldCharType="separate"/>
        </w:r>
        <w:r w:rsidR="00F9529E" w:rsidRPr="00F9529E">
          <w:rPr>
            <w:noProof/>
            <w:lang w:val="es-ES"/>
          </w:rPr>
          <w:t>11</w:t>
        </w:r>
        <w:r>
          <w:fldChar w:fldCharType="end"/>
        </w:r>
      </w:p>
    </w:sdtContent>
  </w:sdt>
  <w:p w14:paraId="4F56F417" w14:textId="77777777" w:rsidR="00285998" w:rsidRDefault="002859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9FC6A" w14:textId="77777777" w:rsidR="00E31AB7" w:rsidRDefault="00E31AB7" w:rsidP="00552E05">
      <w:pPr>
        <w:spacing w:line="240" w:lineRule="auto"/>
      </w:pPr>
      <w:r>
        <w:separator/>
      </w:r>
    </w:p>
  </w:footnote>
  <w:footnote w:type="continuationSeparator" w:id="0">
    <w:p w14:paraId="6A7012CA" w14:textId="77777777" w:rsidR="00E31AB7" w:rsidRDefault="00E31AB7" w:rsidP="00552E0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C0C4E" w14:textId="43F15629" w:rsidR="00E633C7" w:rsidRDefault="00E633C7">
    <w:pPr>
      <w:pStyle w:val="Encabezado"/>
    </w:pPr>
    <w:r w:rsidRPr="00382DD9">
      <w:rPr>
        <w:rFonts w:ascii="Garamond" w:hAnsi="Garamond"/>
        <w:noProof/>
        <w:lang w:eastAsia="es-EC"/>
      </w:rPr>
      <w:drawing>
        <wp:inline distT="0" distB="0" distL="0" distR="0" wp14:anchorId="1C8336D1" wp14:editId="70DAB42F">
          <wp:extent cx="1600200" cy="7715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715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2B0DB3" w14:textId="77777777" w:rsidR="004A5D93" w:rsidRDefault="004A5D93" w:rsidP="004A5D93">
    <w:pPr>
      <w:tabs>
        <w:tab w:val="left" w:pos="6075"/>
      </w:tabs>
      <w:ind w:left="1416" w:hanging="1416"/>
      <w:rPr>
        <w:rFonts w:ascii="Garamond" w:hAnsi="Garamond"/>
        <w:noProof/>
        <w:lang w:val="en-US"/>
      </w:rPr>
    </w:pPr>
    <w:r>
      <w:rPr>
        <w:rFonts w:ascii="Garamond" w:hAnsi="Garamond"/>
        <w:noProof/>
        <w:lang w:eastAsia="es-EC"/>
      </w:rPr>
      <mc:AlternateContent>
        <mc:Choice Requires="wps">
          <w:drawing>
            <wp:anchor distT="0" distB="0" distL="114300" distR="114300" simplePos="0" relativeHeight="251659264" behindDoc="0" locked="0" layoutInCell="1" allowOverlap="1" wp14:anchorId="45B95755" wp14:editId="72582068">
              <wp:simplePos x="0" y="0"/>
              <wp:positionH relativeFrom="column">
                <wp:posOffset>2126512</wp:posOffset>
              </wp:positionH>
              <wp:positionV relativeFrom="paragraph">
                <wp:posOffset>-24913</wp:posOffset>
              </wp:positionV>
              <wp:extent cx="4362450" cy="903768"/>
              <wp:effectExtent l="0" t="0" r="19050" b="10795"/>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62450" cy="903768"/>
                      </a:xfrm>
                      <a:prstGeom prst="rect">
                        <a:avLst/>
                      </a:prstGeom>
                      <a:solidFill>
                        <a:srgbClr val="FFFFFF"/>
                      </a:solidFill>
                      <a:ln w="9525">
                        <a:solidFill>
                          <a:srgbClr val="FFFFFF"/>
                        </a:solidFill>
                        <a:miter lim="800000"/>
                        <a:headEnd/>
                        <a:tailEnd/>
                      </a:ln>
                    </wps:spPr>
                    <wps:txbx>
                      <w:txbxContent>
                        <w:p w14:paraId="5EF27BD4" w14:textId="77777777" w:rsidR="004A5D93" w:rsidRPr="00346C3E" w:rsidRDefault="004A5D93" w:rsidP="004A5D93">
                          <w:pPr>
                            <w:rPr>
                              <w:sz w:val="14"/>
                              <w:szCs w:val="14"/>
                              <w:lang w:val="es-ES"/>
                            </w:rPr>
                          </w:pPr>
                          <w:r w:rsidRPr="008758D7">
                            <w:rPr>
                              <w:sz w:val="20"/>
                              <w:szCs w:val="20"/>
                              <w:lang w:val="es-ES"/>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B95755" id="_x0000_t202" coordsize="21600,21600" o:spt="202" path="m,l,21600r21600,l21600,xe">
              <v:stroke joinstyle="miter"/>
              <v:path gradientshapeok="t" o:connecttype="rect"/>
            </v:shapetype>
            <v:shape id="Text Box 1" o:spid="_x0000_s1026" type="#_x0000_t202" style="position:absolute;left:0;text-align:left;margin-left:167.45pt;margin-top:-1.95pt;width:343.5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" strokecolor="white">
              <v:path arrowok="t"/>
              <v:textbox>
                <w:txbxContent>
                  <w:p w14:paraId="5EF27BD4" w14:textId="77777777" w:rsidR="004A5D93" w:rsidRPr="00346C3E" w:rsidRDefault="004A5D93" w:rsidP="004A5D93">
                    <w:pPr>
                      <w:rPr>
                        <w:sz w:val="14"/>
                        <w:szCs w:val="14"/>
                        <w:lang w:val="es-ES"/>
                      </w:rPr>
                    </w:pPr>
                    <w:r w:rsidRPr="008758D7">
                      <w:rPr>
                        <w:sz w:val="20"/>
                        <w:szCs w:val="20"/>
                        <w:lang w:val="es-ES"/>
                      </w:rPr>
                      <w:t> </w:t>
                    </w:r>
                  </w:p>
                </w:txbxContent>
              </v:textbox>
            </v:shape>
          </w:pict>
        </mc:Fallback>
      </mc:AlternateContent>
    </w:r>
    <w:r w:rsidRPr="00382DD9">
      <w:rPr>
        <w:rFonts w:ascii="Garamond" w:hAnsi="Garamond"/>
        <w:noProof/>
        <w:lang w:eastAsia="es-EC"/>
      </w:rPr>
      <w:drawing>
        <wp:inline distT="0" distB="0" distL="0" distR="0" wp14:anchorId="39E02F64" wp14:editId="6886E1AC">
          <wp:extent cx="1605915" cy="779145"/>
          <wp:effectExtent l="0" t="0" r="0" b="0"/>
          <wp:docPr id="6"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915" cy="779145"/>
                  </a:xfrm>
                  <a:prstGeom prst="rect">
                    <a:avLst/>
                  </a:prstGeom>
                  <a:noFill/>
                  <a:ln>
                    <a:noFill/>
                  </a:ln>
                </pic:spPr>
              </pic:pic>
            </a:graphicData>
          </a:graphic>
        </wp:inline>
      </w:drawing>
    </w:r>
  </w:p>
  <w:p w14:paraId="5B4E3361" w14:textId="1BE687D0" w:rsidR="00285998" w:rsidRPr="00285998" w:rsidRDefault="00285998" w:rsidP="00285998">
    <w:pPr>
      <w:pStyle w:val="Encabezado"/>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EF7EF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2309B"/>
    <w:multiLevelType w:val="hybridMultilevel"/>
    <w:tmpl w:val="1F30E2F8"/>
    <w:lvl w:ilvl="0" w:tplc="300A0003">
      <w:start w:val="1"/>
      <w:numFmt w:val="bullet"/>
      <w:lvlText w:val="o"/>
      <w:lvlJc w:val="left"/>
      <w:pPr>
        <w:ind w:left="1440" w:hanging="360"/>
      </w:pPr>
      <w:rPr>
        <w:rFonts w:ascii="Courier New" w:hAnsi="Courier New" w:cs="Courier New"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2" w15:restartNumberingAfterBreak="0">
    <w:nsid w:val="06BB6B5F"/>
    <w:multiLevelType w:val="hybridMultilevel"/>
    <w:tmpl w:val="2FEE35D4"/>
    <w:lvl w:ilvl="0" w:tplc="AB2659D8">
      <w:start w:val="1"/>
      <w:numFmt w:val="decimal"/>
      <w:lvlText w:val="%1."/>
      <w:lvlJc w:val="left"/>
      <w:pPr>
        <w:ind w:left="1080" w:hanging="360"/>
      </w:pPr>
      <w:rPr>
        <w:rFonts w:hint="default"/>
        <w:b/>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3" w15:restartNumberingAfterBreak="0">
    <w:nsid w:val="0B0F7A97"/>
    <w:multiLevelType w:val="hybridMultilevel"/>
    <w:tmpl w:val="593EF3E8"/>
    <w:lvl w:ilvl="0" w:tplc="88CC6490">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 w15:restartNumberingAfterBreak="0">
    <w:nsid w:val="0B920E37"/>
    <w:multiLevelType w:val="hybridMultilevel"/>
    <w:tmpl w:val="33349936"/>
    <w:lvl w:ilvl="0" w:tplc="300A0017">
      <w:start w:val="1"/>
      <w:numFmt w:val="lowerLetter"/>
      <w:lvlText w:val="%1)"/>
      <w:lvlJc w:val="left"/>
      <w:pPr>
        <w:ind w:left="360" w:hanging="360"/>
      </w:pPr>
      <w:rPr>
        <w:rFonts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5" w15:restartNumberingAfterBreak="0">
    <w:nsid w:val="127077B3"/>
    <w:multiLevelType w:val="hybridMultilevel"/>
    <w:tmpl w:val="8912EF5A"/>
    <w:lvl w:ilvl="0" w:tplc="300A000F">
      <w:start w:val="1"/>
      <w:numFmt w:val="decimal"/>
      <w:lvlText w:val="%1."/>
      <w:lvlJc w:val="left"/>
      <w:pPr>
        <w:ind w:left="720" w:hanging="360"/>
      </w:pPr>
      <w:rPr>
        <w:rFonts w:cs="Times New Roman" w:hint="default"/>
        <w:b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246D10B7"/>
    <w:multiLevelType w:val="hybridMultilevel"/>
    <w:tmpl w:val="416AE306"/>
    <w:lvl w:ilvl="0" w:tplc="0FCE9D8A">
      <w:start w:val="1"/>
      <w:numFmt w:val="decimal"/>
      <w:lvlText w:val="%1."/>
      <w:lvlJc w:val="left"/>
      <w:pPr>
        <w:ind w:left="1065" w:hanging="705"/>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7" w15:restartNumberingAfterBreak="0">
    <w:nsid w:val="29F25B80"/>
    <w:multiLevelType w:val="hybridMultilevel"/>
    <w:tmpl w:val="D5C0A8A2"/>
    <w:lvl w:ilvl="0" w:tplc="52A62132">
      <w:start w:val="2"/>
      <w:numFmt w:val="decimal"/>
      <w:lvlText w:val="%1"/>
      <w:lvlJc w:val="left"/>
      <w:pPr>
        <w:ind w:left="959" w:hanging="360"/>
      </w:pPr>
      <w:rPr>
        <w:rFonts w:hint="default"/>
      </w:rPr>
    </w:lvl>
    <w:lvl w:ilvl="1" w:tplc="300A0019" w:tentative="1">
      <w:start w:val="1"/>
      <w:numFmt w:val="lowerLetter"/>
      <w:lvlText w:val="%2."/>
      <w:lvlJc w:val="left"/>
      <w:pPr>
        <w:ind w:left="1679" w:hanging="360"/>
      </w:pPr>
    </w:lvl>
    <w:lvl w:ilvl="2" w:tplc="300A001B" w:tentative="1">
      <w:start w:val="1"/>
      <w:numFmt w:val="lowerRoman"/>
      <w:lvlText w:val="%3."/>
      <w:lvlJc w:val="right"/>
      <w:pPr>
        <w:ind w:left="2399" w:hanging="180"/>
      </w:pPr>
    </w:lvl>
    <w:lvl w:ilvl="3" w:tplc="300A000F" w:tentative="1">
      <w:start w:val="1"/>
      <w:numFmt w:val="decimal"/>
      <w:lvlText w:val="%4."/>
      <w:lvlJc w:val="left"/>
      <w:pPr>
        <w:ind w:left="3119" w:hanging="360"/>
      </w:pPr>
    </w:lvl>
    <w:lvl w:ilvl="4" w:tplc="300A0019" w:tentative="1">
      <w:start w:val="1"/>
      <w:numFmt w:val="lowerLetter"/>
      <w:lvlText w:val="%5."/>
      <w:lvlJc w:val="left"/>
      <w:pPr>
        <w:ind w:left="3839" w:hanging="360"/>
      </w:pPr>
    </w:lvl>
    <w:lvl w:ilvl="5" w:tplc="300A001B" w:tentative="1">
      <w:start w:val="1"/>
      <w:numFmt w:val="lowerRoman"/>
      <w:lvlText w:val="%6."/>
      <w:lvlJc w:val="right"/>
      <w:pPr>
        <w:ind w:left="4559" w:hanging="180"/>
      </w:pPr>
    </w:lvl>
    <w:lvl w:ilvl="6" w:tplc="300A000F" w:tentative="1">
      <w:start w:val="1"/>
      <w:numFmt w:val="decimal"/>
      <w:lvlText w:val="%7."/>
      <w:lvlJc w:val="left"/>
      <w:pPr>
        <w:ind w:left="5279" w:hanging="360"/>
      </w:pPr>
    </w:lvl>
    <w:lvl w:ilvl="7" w:tplc="300A0019" w:tentative="1">
      <w:start w:val="1"/>
      <w:numFmt w:val="lowerLetter"/>
      <w:lvlText w:val="%8."/>
      <w:lvlJc w:val="left"/>
      <w:pPr>
        <w:ind w:left="5999" w:hanging="360"/>
      </w:pPr>
    </w:lvl>
    <w:lvl w:ilvl="8" w:tplc="300A001B" w:tentative="1">
      <w:start w:val="1"/>
      <w:numFmt w:val="lowerRoman"/>
      <w:lvlText w:val="%9."/>
      <w:lvlJc w:val="right"/>
      <w:pPr>
        <w:ind w:left="6719" w:hanging="180"/>
      </w:pPr>
    </w:lvl>
  </w:abstractNum>
  <w:abstractNum w:abstractNumId="8" w15:restartNumberingAfterBreak="0">
    <w:nsid w:val="2A2F0919"/>
    <w:multiLevelType w:val="multilevel"/>
    <w:tmpl w:val="C0ECBC78"/>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lvl>
    <w:lvl w:ilvl="2">
      <w:start w:val="1"/>
      <w:numFmt w:val="decimal"/>
      <w:pStyle w:val="Ttulo3"/>
      <w:lvlText w:val="%1.%2.%3"/>
      <w:lvlJc w:val="left"/>
      <w:pPr>
        <w:ind w:left="256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2C2B16AD"/>
    <w:multiLevelType w:val="hybridMultilevel"/>
    <w:tmpl w:val="B8BC8EB2"/>
    <w:lvl w:ilvl="0" w:tplc="A99AEDEA">
      <w:start w:val="1"/>
      <w:numFmt w:val="lowerLetter"/>
      <w:lvlText w:val="%1)"/>
      <w:lvlJc w:val="left"/>
      <w:pPr>
        <w:ind w:left="720" w:hanging="360"/>
      </w:pPr>
      <w:rPr>
        <w:rFonts w:hint="default"/>
        <w:b/>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2DE266D0"/>
    <w:multiLevelType w:val="hybridMultilevel"/>
    <w:tmpl w:val="1F0459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1" w15:restartNumberingAfterBreak="0">
    <w:nsid w:val="3929239C"/>
    <w:multiLevelType w:val="hybridMultilevel"/>
    <w:tmpl w:val="899EF5C0"/>
    <w:lvl w:ilvl="0" w:tplc="B65C5A82">
      <w:start w:val="5"/>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12" w15:restartNumberingAfterBreak="0">
    <w:nsid w:val="431F4B5B"/>
    <w:multiLevelType w:val="hybridMultilevel"/>
    <w:tmpl w:val="53FA232C"/>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3" w15:restartNumberingAfterBreak="0">
    <w:nsid w:val="50410499"/>
    <w:multiLevelType w:val="hybridMultilevel"/>
    <w:tmpl w:val="922E959C"/>
    <w:lvl w:ilvl="0" w:tplc="2550BF44">
      <w:start w:val="1"/>
      <w:numFmt w:val="decimal"/>
      <w:lvlText w:val="%1)"/>
      <w:lvlJc w:val="left"/>
      <w:pPr>
        <w:ind w:left="720" w:hanging="360"/>
      </w:pPr>
      <w:rPr>
        <w:rFonts w:ascii="Arial Nova" w:hAnsi="Arial Nova" w:hint="default"/>
        <w:b/>
        <w:bCs/>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53A8203F"/>
    <w:multiLevelType w:val="hybridMultilevel"/>
    <w:tmpl w:val="7DBABCB8"/>
    <w:lvl w:ilvl="0" w:tplc="8856EC00">
      <w:start w:val="1"/>
      <w:numFmt w:val="decimal"/>
      <w:lvlText w:val="%1."/>
      <w:lvlJc w:val="left"/>
      <w:pPr>
        <w:ind w:left="720" w:hanging="360"/>
      </w:pPr>
      <w:rPr>
        <w:rFonts w:hint="default"/>
        <w:color w:val="00000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5" w15:restartNumberingAfterBreak="0">
    <w:nsid w:val="57954816"/>
    <w:multiLevelType w:val="hybridMultilevel"/>
    <w:tmpl w:val="5F36231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6" w15:restartNumberingAfterBreak="0">
    <w:nsid w:val="5AFB1334"/>
    <w:multiLevelType w:val="multilevel"/>
    <w:tmpl w:val="2E446F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C545C36"/>
    <w:multiLevelType w:val="hybridMultilevel"/>
    <w:tmpl w:val="BA8C06CC"/>
    <w:lvl w:ilvl="0" w:tplc="300A0017">
      <w:start w:val="1"/>
      <w:numFmt w:val="lowerLetter"/>
      <w:lvlText w:val="%1)"/>
      <w:lvlJc w:val="left"/>
      <w:pPr>
        <w:ind w:left="360" w:hanging="360"/>
      </w:p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8" w15:restartNumberingAfterBreak="0">
    <w:nsid w:val="62EA7BD0"/>
    <w:multiLevelType w:val="hybridMultilevel"/>
    <w:tmpl w:val="6B3657D8"/>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19" w15:restartNumberingAfterBreak="0">
    <w:nsid w:val="63BF6D5E"/>
    <w:multiLevelType w:val="hybridMultilevel"/>
    <w:tmpl w:val="0DDE5CC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0" w15:restartNumberingAfterBreak="0">
    <w:nsid w:val="68C94687"/>
    <w:multiLevelType w:val="hybridMultilevel"/>
    <w:tmpl w:val="F5427D60"/>
    <w:lvl w:ilvl="0" w:tplc="8DBCFC5C">
      <w:start w:val="5"/>
      <w:numFmt w:val="decimal"/>
      <w:lvlText w:val="%1."/>
      <w:lvlJc w:val="left"/>
      <w:pPr>
        <w:ind w:left="959" w:hanging="360"/>
      </w:pPr>
      <w:rPr>
        <w:rFonts w:hint="default"/>
      </w:rPr>
    </w:lvl>
    <w:lvl w:ilvl="1" w:tplc="300A0019" w:tentative="1">
      <w:start w:val="1"/>
      <w:numFmt w:val="lowerLetter"/>
      <w:lvlText w:val="%2."/>
      <w:lvlJc w:val="left"/>
      <w:pPr>
        <w:ind w:left="1679" w:hanging="360"/>
      </w:pPr>
    </w:lvl>
    <w:lvl w:ilvl="2" w:tplc="300A001B" w:tentative="1">
      <w:start w:val="1"/>
      <w:numFmt w:val="lowerRoman"/>
      <w:lvlText w:val="%3."/>
      <w:lvlJc w:val="right"/>
      <w:pPr>
        <w:ind w:left="2399" w:hanging="180"/>
      </w:pPr>
    </w:lvl>
    <w:lvl w:ilvl="3" w:tplc="300A000F" w:tentative="1">
      <w:start w:val="1"/>
      <w:numFmt w:val="decimal"/>
      <w:lvlText w:val="%4."/>
      <w:lvlJc w:val="left"/>
      <w:pPr>
        <w:ind w:left="3119" w:hanging="360"/>
      </w:pPr>
    </w:lvl>
    <w:lvl w:ilvl="4" w:tplc="300A0019" w:tentative="1">
      <w:start w:val="1"/>
      <w:numFmt w:val="lowerLetter"/>
      <w:lvlText w:val="%5."/>
      <w:lvlJc w:val="left"/>
      <w:pPr>
        <w:ind w:left="3839" w:hanging="360"/>
      </w:pPr>
    </w:lvl>
    <w:lvl w:ilvl="5" w:tplc="300A001B" w:tentative="1">
      <w:start w:val="1"/>
      <w:numFmt w:val="lowerRoman"/>
      <w:lvlText w:val="%6."/>
      <w:lvlJc w:val="right"/>
      <w:pPr>
        <w:ind w:left="4559" w:hanging="180"/>
      </w:pPr>
    </w:lvl>
    <w:lvl w:ilvl="6" w:tplc="300A000F" w:tentative="1">
      <w:start w:val="1"/>
      <w:numFmt w:val="decimal"/>
      <w:lvlText w:val="%7."/>
      <w:lvlJc w:val="left"/>
      <w:pPr>
        <w:ind w:left="5279" w:hanging="360"/>
      </w:pPr>
    </w:lvl>
    <w:lvl w:ilvl="7" w:tplc="300A0019" w:tentative="1">
      <w:start w:val="1"/>
      <w:numFmt w:val="lowerLetter"/>
      <w:lvlText w:val="%8."/>
      <w:lvlJc w:val="left"/>
      <w:pPr>
        <w:ind w:left="5999" w:hanging="360"/>
      </w:pPr>
    </w:lvl>
    <w:lvl w:ilvl="8" w:tplc="300A001B" w:tentative="1">
      <w:start w:val="1"/>
      <w:numFmt w:val="lowerRoman"/>
      <w:lvlText w:val="%9."/>
      <w:lvlJc w:val="right"/>
      <w:pPr>
        <w:ind w:left="6719" w:hanging="180"/>
      </w:pPr>
    </w:lvl>
  </w:abstractNum>
  <w:abstractNum w:abstractNumId="21" w15:restartNumberingAfterBreak="0">
    <w:nsid w:val="6B1C6B12"/>
    <w:multiLevelType w:val="hybridMultilevel"/>
    <w:tmpl w:val="D14E4FE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2" w15:restartNumberingAfterBreak="0">
    <w:nsid w:val="6DB17597"/>
    <w:multiLevelType w:val="hybridMultilevel"/>
    <w:tmpl w:val="DA383410"/>
    <w:lvl w:ilvl="0" w:tplc="CCA099D4">
      <w:start w:val="1"/>
      <w:numFmt w:val="decimal"/>
      <w:lvlText w:val="%1."/>
      <w:lvlJc w:val="left"/>
      <w:pPr>
        <w:ind w:left="959" w:hanging="360"/>
      </w:pPr>
      <w:rPr>
        <w:rFonts w:ascii="Calibri" w:eastAsia="Calibri" w:hAnsi="Calibri" w:cs="Calibri" w:hint="default"/>
        <w:spacing w:val="-2"/>
        <w:w w:val="100"/>
        <w:sz w:val="24"/>
        <w:szCs w:val="24"/>
        <w:lang w:val="es-ES" w:eastAsia="en-US" w:bidi="ar-SA"/>
      </w:rPr>
    </w:lvl>
    <w:lvl w:ilvl="1" w:tplc="CEF4EA70">
      <w:numFmt w:val="bullet"/>
      <w:lvlText w:val="•"/>
      <w:lvlJc w:val="left"/>
      <w:pPr>
        <w:ind w:left="1888" w:hanging="360"/>
      </w:pPr>
      <w:rPr>
        <w:rFonts w:hint="default"/>
        <w:lang w:val="es-ES" w:eastAsia="en-US" w:bidi="ar-SA"/>
      </w:rPr>
    </w:lvl>
    <w:lvl w:ilvl="2" w:tplc="487E8130">
      <w:numFmt w:val="bullet"/>
      <w:lvlText w:val="•"/>
      <w:lvlJc w:val="left"/>
      <w:pPr>
        <w:ind w:left="2816" w:hanging="360"/>
      </w:pPr>
      <w:rPr>
        <w:rFonts w:hint="default"/>
        <w:lang w:val="es-ES" w:eastAsia="en-US" w:bidi="ar-SA"/>
      </w:rPr>
    </w:lvl>
    <w:lvl w:ilvl="3" w:tplc="8E18BC10">
      <w:numFmt w:val="bullet"/>
      <w:lvlText w:val="•"/>
      <w:lvlJc w:val="left"/>
      <w:pPr>
        <w:ind w:left="3744" w:hanging="360"/>
      </w:pPr>
      <w:rPr>
        <w:rFonts w:hint="default"/>
        <w:lang w:val="es-ES" w:eastAsia="en-US" w:bidi="ar-SA"/>
      </w:rPr>
    </w:lvl>
    <w:lvl w:ilvl="4" w:tplc="5D3C4C38">
      <w:numFmt w:val="bullet"/>
      <w:lvlText w:val="•"/>
      <w:lvlJc w:val="left"/>
      <w:pPr>
        <w:ind w:left="4672" w:hanging="360"/>
      </w:pPr>
      <w:rPr>
        <w:rFonts w:hint="default"/>
        <w:lang w:val="es-ES" w:eastAsia="en-US" w:bidi="ar-SA"/>
      </w:rPr>
    </w:lvl>
    <w:lvl w:ilvl="5" w:tplc="5792F25C">
      <w:numFmt w:val="bullet"/>
      <w:lvlText w:val="•"/>
      <w:lvlJc w:val="left"/>
      <w:pPr>
        <w:ind w:left="5600" w:hanging="360"/>
      </w:pPr>
      <w:rPr>
        <w:rFonts w:hint="default"/>
        <w:lang w:val="es-ES" w:eastAsia="en-US" w:bidi="ar-SA"/>
      </w:rPr>
    </w:lvl>
    <w:lvl w:ilvl="6" w:tplc="6232986E">
      <w:numFmt w:val="bullet"/>
      <w:lvlText w:val="•"/>
      <w:lvlJc w:val="left"/>
      <w:pPr>
        <w:ind w:left="6528" w:hanging="360"/>
      </w:pPr>
      <w:rPr>
        <w:rFonts w:hint="default"/>
        <w:lang w:val="es-ES" w:eastAsia="en-US" w:bidi="ar-SA"/>
      </w:rPr>
    </w:lvl>
    <w:lvl w:ilvl="7" w:tplc="17C64D38">
      <w:numFmt w:val="bullet"/>
      <w:lvlText w:val="•"/>
      <w:lvlJc w:val="left"/>
      <w:pPr>
        <w:ind w:left="7456" w:hanging="360"/>
      </w:pPr>
      <w:rPr>
        <w:rFonts w:hint="default"/>
        <w:lang w:val="es-ES" w:eastAsia="en-US" w:bidi="ar-SA"/>
      </w:rPr>
    </w:lvl>
    <w:lvl w:ilvl="8" w:tplc="BF8E5C10">
      <w:numFmt w:val="bullet"/>
      <w:lvlText w:val="•"/>
      <w:lvlJc w:val="left"/>
      <w:pPr>
        <w:ind w:left="8384" w:hanging="360"/>
      </w:pPr>
      <w:rPr>
        <w:rFonts w:hint="default"/>
        <w:lang w:val="es-ES" w:eastAsia="en-US" w:bidi="ar-SA"/>
      </w:rPr>
    </w:lvl>
  </w:abstractNum>
  <w:abstractNum w:abstractNumId="23" w15:restartNumberingAfterBreak="0">
    <w:nsid w:val="728D52D8"/>
    <w:multiLevelType w:val="hybridMultilevel"/>
    <w:tmpl w:val="AB4AD146"/>
    <w:lvl w:ilvl="0" w:tplc="DF9260A2">
      <w:start w:val="5"/>
      <w:numFmt w:val="decimal"/>
      <w:lvlText w:val="%1."/>
      <w:lvlJc w:val="left"/>
      <w:pPr>
        <w:ind w:left="720" w:hanging="360"/>
      </w:pPr>
      <w:rPr>
        <w:rFonts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4" w15:restartNumberingAfterBreak="0">
    <w:nsid w:val="77A839F4"/>
    <w:multiLevelType w:val="hybridMultilevel"/>
    <w:tmpl w:val="F1FCDA2C"/>
    <w:lvl w:ilvl="0" w:tplc="5C7C6A2E">
      <w:start w:val="1"/>
      <w:numFmt w:val="decimal"/>
      <w:lvlText w:val="%1.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5" w15:restartNumberingAfterBreak="0">
    <w:nsid w:val="7A9E47CF"/>
    <w:multiLevelType w:val="hybridMultilevel"/>
    <w:tmpl w:val="448886E8"/>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6" w15:restartNumberingAfterBreak="0">
    <w:nsid w:val="7B0E1CFC"/>
    <w:multiLevelType w:val="hybridMultilevel"/>
    <w:tmpl w:val="699CE7D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7F7D3549"/>
    <w:multiLevelType w:val="hybridMultilevel"/>
    <w:tmpl w:val="4468B25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18"/>
  </w:num>
  <w:num w:numId="4">
    <w:abstractNumId w:val="16"/>
  </w:num>
  <w:num w:numId="5">
    <w:abstractNumId w:val="4"/>
  </w:num>
  <w:num w:numId="6">
    <w:abstractNumId w:val="12"/>
  </w:num>
  <w:num w:numId="7">
    <w:abstractNumId w:val="17"/>
  </w:num>
  <w:num w:numId="8">
    <w:abstractNumId w:val="24"/>
  </w:num>
  <w:num w:numId="9">
    <w:abstractNumId w:val="2"/>
  </w:num>
  <w:num w:numId="10">
    <w:abstractNumId w:val="1"/>
  </w:num>
  <w:num w:numId="11">
    <w:abstractNumId w:val="22"/>
  </w:num>
  <w:num w:numId="12">
    <w:abstractNumId w:val="20"/>
  </w:num>
  <w:num w:numId="13">
    <w:abstractNumId w:val="3"/>
  </w:num>
  <w:num w:numId="14">
    <w:abstractNumId w:val="7"/>
  </w:num>
  <w:num w:numId="15">
    <w:abstractNumId w:val="25"/>
  </w:num>
  <w:num w:numId="16">
    <w:abstractNumId w:val="11"/>
  </w:num>
  <w:num w:numId="17">
    <w:abstractNumId w:val="23"/>
  </w:num>
  <w:num w:numId="18">
    <w:abstractNumId w:val="5"/>
  </w:num>
  <w:num w:numId="19">
    <w:abstractNumId w:val="14"/>
  </w:num>
  <w:num w:numId="20">
    <w:abstractNumId w:val="15"/>
  </w:num>
  <w:num w:numId="21">
    <w:abstractNumId w:val="9"/>
  </w:num>
  <w:num w:numId="22">
    <w:abstractNumId w:val="10"/>
  </w:num>
  <w:num w:numId="23">
    <w:abstractNumId w:val="13"/>
  </w:num>
  <w:num w:numId="24">
    <w:abstractNumId w:val="0"/>
  </w:num>
  <w:num w:numId="25">
    <w:abstractNumId w:val="19"/>
  </w:num>
  <w:num w:numId="26">
    <w:abstractNumId w:val="27"/>
  </w:num>
  <w:num w:numId="27">
    <w:abstractNumId w:val="6"/>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017"/>
    <w:rsid w:val="00000EE9"/>
    <w:rsid w:val="000141CB"/>
    <w:rsid w:val="000159C2"/>
    <w:rsid w:val="00015B7D"/>
    <w:rsid w:val="00032AD8"/>
    <w:rsid w:val="0005213F"/>
    <w:rsid w:val="00066B09"/>
    <w:rsid w:val="00067C3B"/>
    <w:rsid w:val="000B7F04"/>
    <w:rsid w:val="000E02DB"/>
    <w:rsid w:val="000F2490"/>
    <w:rsid w:val="001001F1"/>
    <w:rsid w:val="00120E3D"/>
    <w:rsid w:val="00137EBA"/>
    <w:rsid w:val="001B6E30"/>
    <w:rsid w:val="001C1353"/>
    <w:rsid w:val="001C6647"/>
    <w:rsid w:val="001D05A6"/>
    <w:rsid w:val="001F491C"/>
    <w:rsid w:val="002559AA"/>
    <w:rsid w:val="00273FA7"/>
    <w:rsid w:val="00275D84"/>
    <w:rsid w:val="00285998"/>
    <w:rsid w:val="002A4BDD"/>
    <w:rsid w:val="002C5506"/>
    <w:rsid w:val="003367B6"/>
    <w:rsid w:val="00343569"/>
    <w:rsid w:val="00353652"/>
    <w:rsid w:val="00383ED9"/>
    <w:rsid w:val="00387C65"/>
    <w:rsid w:val="003C5AB7"/>
    <w:rsid w:val="003D76A4"/>
    <w:rsid w:val="003E3CB3"/>
    <w:rsid w:val="003F4574"/>
    <w:rsid w:val="004203EE"/>
    <w:rsid w:val="00431BE1"/>
    <w:rsid w:val="0046234E"/>
    <w:rsid w:val="00462A22"/>
    <w:rsid w:val="00476176"/>
    <w:rsid w:val="00477540"/>
    <w:rsid w:val="00477BED"/>
    <w:rsid w:val="004877B0"/>
    <w:rsid w:val="004A5D93"/>
    <w:rsid w:val="004C3E97"/>
    <w:rsid w:val="004D5E7A"/>
    <w:rsid w:val="005261C5"/>
    <w:rsid w:val="005402CA"/>
    <w:rsid w:val="00542A02"/>
    <w:rsid w:val="0054799C"/>
    <w:rsid w:val="00552E05"/>
    <w:rsid w:val="00555BC6"/>
    <w:rsid w:val="0056273C"/>
    <w:rsid w:val="00562C51"/>
    <w:rsid w:val="005639A0"/>
    <w:rsid w:val="00570EB8"/>
    <w:rsid w:val="005824D6"/>
    <w:rsid w:val="0059484C"/>
    <w:rsid w:val="005969CA"/>
    <w:rsid w:val="00596FD3"/>
    <w:rsid w:val="005D148C"/>
    <w:rsid w:val="00602589"/>
    <w:rsid w:val="0060465A"/>
    <w:rsid w:val="00614935"/>
    <w:rsid w:val="0061583C"/>
    <w:rsid w:val="006215EF"/>
    <w:rsid w:val="006268BB"/>
    <w:rsid w:val="0063266D"/>
    <w:rsid w:val="0065030A"/>
    <w:rsid w:val="006711A4"/>
    <w:rsid w:val="0068727E"/>
    <w:rsid w:val="006909CF"/>
    <w:rsid w:val="006D433C"/>
    <w:rsid w:val="006D6B1B"/>
    <w:rsid w:val="006E542F"/>
    <w:rsid w:val="007066A0"/>
    <w:rsid w:val="007345E8"/>
    <w:rsid w:val="007358A9"/>
    <w:rsid w:val="00742DDA"/>
    <w:rsid w:val="00761FCE"/>
    <w:rsid w:val="00781E36"/>
    <w:rsid w:val="00784C3D"/>
    <w:rsid w:val="00812BD9"/>
    <w:rsid w:val="008177C3"/>
    <w:rsid w:val="00820E09"/>
    <w:rsid w:val="0082175D"/>
    <w:rsid w:val="00831408"/>
    <w:rsid w:val="0083518B"/>
    <w:rsid w:val="008404FE"/>
    <w:rsid w:val="0085784A"/>
    <w:rsid w:val="00865953"/>
    <w:rsid w:val="008948B8"/>
    <w:rsid w:val="008B0761"/>
    <w:rsid w:val="008E48CD"/>
    <w:rsid w:val="009012C1"/>
    <w:rsid w:val="00906BDF"/>
    <w:rsid w:val="009141E2"/>
    <w:rsid w:val="009200EA"/>
    <w:rsid w:val="00935A64"/>
    <w:rsid w:val="00960E62"/>
    <w:rsid w:val="009705E7"/>
    <w:rsid w:val="00981E8C"/>
    <w:rsid w:val="00994454"/>
    <w:rsid w:val="009C249E"/>
    <w:rsid w:val="009D3948"/>
    <w:rsid w:val="009D699C"/>
    <w:rsid w:val="009E1A11"/>
    <w:rsid w:val="009E3038"/>
    <w:rsid w:val="009E51FB"/>
    <w:rsid w:val="00A020B9"/>
    <w:rsid w:val="00A02B35"/>
    <w:rsid w:val="00A10ABB"/>
    <w:rsid w:val="00A3106B"/>
    <w:rsid w:val="00A40CBE"/>
    <w:rsid w:val="00A46FB1"/>
    <w:rsid w:val="00A6517B"/>
    <w:rsid w:val="00A711DD"/>
    <w:rsid w:val="00A8641A"/>
    <w:rsid w:val="00AC01BF"/>
    <w:rsid w:val="00AC0985"/>
    <w:rsid w:val="00AD49D8"/>
    <w:rsid w:val="00AE7A13"/>
    <w:rsid w:val="00AE7AF5"/>
    <w:rsid w:val="00AE7CF9"/>
    <w:rsid w:val="00B02A39"/>
    <w:rsid w:val="00B226D1"/>
    <w:rsid w:val="00B50A83"/>
    <w:rsid w:val="00B73874"/>
    <w:rsid w:val="00B8213A"/>
    <w:rsid w:val="00B9617F"/>
    <w:rsid w:val="00BA1A31"/>
    <w:rsid w:val="00BA768A"/>
    <w:rsid w:val="00BB58DA"/>
    <w:rsid w:val="00BE4017"/>
    <w:rsid w:val="00C02CD6"/>
    <w:rsid w:val="00C13EF5"/>
    <w:rsid w:val="00C41A6A"/>
    <w:rsid w:val="00C438A5"/>
    <w:rsid w:val="00C832E1"/>
    <w:rsid w:val="00C8463E"/>
    <w:rsid w:val="00CB74FC"/>
    <w:rsid w:val="00CC72EA"/>
    <w:rsid w:val="00CC7469"/>
    <w:rsid w:val="00D27EEB"/>
    <w:rsid w:val="00D33D0B"/>
    <w:rsid w:val="00D84F0A"/>
    <w:rsid w:val="00D86E03"/>
    <w:rsid w:val="00D94BBF"/>
    <w:rsid w:val="00DB0EA8"/>
    <w:rsid w:val="00DC4941"/>
    <w:rsid w:val="00E07A25"/>
    <w:rsid w:val="00E31AB7"/>
    <w:rsid w:val="00E33A33"/>
    <w:rsid w:val="00E4488E"/>
    <w:rsid w:val="00E47A7E"/>
    <w:rsid w:val="00E5109C"/>
    <w:rsid w:val="00E633C7"/>
    <w:rsid w:val="00E65A5F"/>
    <w:rsid w:val="00E70A84"/>
    <w:rsid w:val="00E711E3"/>
    <w:rsid w:val="00E74039"/>
    <w:rsid w:val="00E82CFA"/>
    <w:rsid w:val="00E83167"/>
    <w:rsid w:val="00E95390"/>
    <w:rsid w:val="00E954E7"/>
    <w:rsid w:val="00EB58C7"/>
    <w:rsid w:val="00EC0D8C"/>
    <w:rsid w:val="00EC3C12"/>
    <w:rsid w:val="00ED7D5E"/>
    <w:rsid w:val="00EE39B4"/>
    <w:rsid w:val="00EE6F7C"/>
    <w:rsid w:val="00EF4607"/>
    <w:rsid w:val="00F42B4F"/>
    <w:rsid w:val="00F67632"/>
    <w:rsid w:val="00F9529E"/>
    <w:rsid w:val="00FC5207"/>
    <w:rsid w:val="00FC6B88"/>
    <w:rsid w:val="00FE77C3"/>
    <w:rsid w:val="0143C1D9"/>
    <w:rsid w:val="0828F949"/>
    <w:rsid w:val="13A2B7C6"/>
    <w:rsid w:val="1A9A12F8"/>
    <w:rsid w:val="2A3FBBFD"/>
    <w:rsid w:val="301F4835"/>
    <w:rsid w:val="431E6DA9"/>
    <w:rsid w:val="4AF2CA44"/>
    <w:rsid w:val="573244C1"/>
    <w:rsid w:val="71BFF521"/>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33730"/>
  <w15:chartTrackingRefBased/>
  <w15:docId w15:val="{DF4DEA4A-AF31-4397-9086-EBB09AE09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C" w:eastAsia="en-US" w:bidi="ar-SA"/>
      </w:rPr>
    </w:rPrDefault>
    <w:pPrDefault>
      <w:pPr>
        <w:spacing w:line="360" w:lineRule="auto"/>
        <w:ind w:firstLine="72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542A02"/>
    <w:pPr>
      <w:keepNext/>
      <w:keepLines/>
      <w:numPr>
        <w:numId w:val="1"/>
      </w:numPr>
      <w:spacing w:before="240" w:line="259" w:lineRule="auto"/>
      <w:jc w:val="center"/>
      <w:outlineLvl w:val="0"/>
    </w:pPr>
    <w:rPr>
      <w:rFonts w:ascii="Times New Roman" w:eastAsia="Times New Roman" w:hAnsi="Times New Roman" w:cs="Times New Roman"/>
      <w:b/>
      <w:sz w:val="24"/>
      <w:szCs w:val="32"/>
    </w:rPr>
  </w:style>
  <w:style w:type="paragraph" w:styleId="Ttulo2">
    <w:name w:val="heading 2"/>
    <w:basedOn w:val="Normal"/>
    <w:next w:val="Normal"/>
    <w:link w:val="Ttulo2Car"/>
    <w:uiPriority w:val="9"/>
    <w:unhideWhenUsed/>
    <w:qFormat/>
    <w:rsid w:val="00542A02"/>
    <w:pPr>
      <w:keepNext/>
      <w:keepLines/>
      <w:numPr>
        <w:ilvl w:val="1"/>
        <w:numId w:val="1"/>
      </w:numPr>
      <w:spacing w:before="40" w:line="259" w:lineRule="auto"/>
      <w:jc w:val="left"/>
      <w:outlineLvl w:val="1"/>
    </w:pPr>
    <w:rPr>
      <w:rFonts w:ascii="Times New Roman" w:eastAsia="Times New Roman" w:hAnsi="Times New Roman" w:cs="Times New Roman"/>
      <w:b/>
      <w:sz w:val="24"/>
      <w:szCs w:val="26"/>
    </w:rPr>
  </w:style>
  <w:style w:type="paragraph" w:styleId="Ttulo3">
    <w:name w:val="heading 3"/>
    <w:aliases w:val="Título 3."/>
    <w:basedOn w:val="Normal"/>
    <w:link w:val="Ttulo3Car"/>
    <w:uiPriority w:val="9"/>
    <w:qFormat/>
    <w:rsid w:val="00542A02"/>
    <w:pPr>
      <w:numPr>
        <w:ilvl w:val="2"/>
        <w:numId w:val="1"/>
      </w:numPr>
      <w:spacing w:before="100" w:beforeAutospacing="1" w:after="100" w:afterAutospacing="1" w:line="240" w:lineRule="auto"/>
      <w:ind w:left="1428"/>
      <w:jc w:val="left"/>
      <w:outlineLvl w:val="2"/>
    </w:pPr>
    <w:rPr>
      <w:rFonts w:ascii="Times New Roman" w:eastAsia="Times New Roman" w:hAnsi="Times New Roman" w:cs="Times New Roman"/>
      <w:b/>
      <w:bCs/>
      <w:sz w:val="24"/>
      <w:szCs w:val="27"/>
      <w:lang w:eastAsia="es-EC"/>
    </w:rPr>
  </w:style>
  <w:style w:type="paragraph" w:styleId="Ttulo4">
    <w:name w:val="heading 4"/>
    <w:basedOn w:val="Normal"/>
    <w:next w:val="Normal"/>
    <w:link w:val="Ttulo4Car"/>
    <w:uiPriority w:val="9"/>
    <w:unhideWhenUsed/>
    <w:qFormat/>
    <w:rsid w:val="00542A02"/>
    <w:pPr>
      <w:keepNext/>
      <w:keepLines/>
      <w:numPr>
        <w:ilvl w:val="3"/>
        <w:numId w:val="1"/>
      </w:numPr>
      <w:spacing w:before="200" w:line="259" w:lineRule="auto"/>
      <w:ind w:left="1572"/>
      <w:jc w:val="left"/>
      <w:outlineLvl w:val="3"/>
    </w:pPr>
    <w:rPr>
      <w:rFonts w:ascii="Times New Roman" w:eastAsia="Times New Roman" w:hAnsi="Times New Roman" w:cs="Times New Roman"/>
      <w:b/>
      <w:bCs/>
      <w:i/>
      <w:iCs/>
      <w:sz w:val="24"/>
    </w:rPr>
  </w:style>
  <w:style w:type="paragraph" w:styleId="Ttulo5">
    <w:name w:val="heading 5"/>
    <w:basedOn w:val="Normal"/>
    <w:next w:val="Normal"/>
    <w:link w:val="Ttulo5Car"/>
    <w:uiPriority w:val="9"/>
    <w:semiHidden/>
    <w:unhideWhenUsed/>
    <w:qFormat/>
    <w:rsid w:val="00542A02"/>
    <w:pPr>
      <w:keepNext/>
      <w:keepLines/>
      <w:numPr>
        <w:ilvl w:val="4"/>
        <w:numId w:val="1"/>
      </w:numPr>
      <w:spacing w:before="200" w:line="259" w:lineRule="auto"/>
      <w:jc w:val="left"/>
      <w:outlineLvl w:val="4"/>
    </w:pPr>
    <w:rPr>
      <w:rFonts w:ascii="Calibri Light" w:eastAsia="Times New Roman" w:hAnsi="Calibri Light" w:cs="Times New Roman"/>
      <w:color w:val="1F3763"/>
    </w:rPr>
  </w:style>
  <w:style w:type="paragraph" w:styleId="Ttulo6">
    <w:name w:val="heading 6"/>
    <w:basedOn w:val="Normal"/>
    <w:next w:val="Normal"/>
    <w:link w:val="Ttulo6Car"/>
    <w:uiPriority w:val="9"/>
    <w:semiHidden/>
    <w:unhideWhenUsed/>
    <w:qFormat/>
    <w:rsid w:val="00542A02"/>
    <w:pPr>
      <w:keepNext/>
      <w:keepLines/>
      <w:numPr>
        <w:ilvl w:val="5"/>
        <w:numId w:val="1"/>
      </w:numPr>
      <w:spacing w:before="200" w:line="259" w:lineRule="auto"/>
      <w:jc w:val="left"/>
      <w:outlineLvl w:val="5"/>
    </w:pPr>
    <w:rPr>
      <w:rFonts w:ascii="Calibri Light" w:eastAsia="Times New Roman" w:hAnsi="Calibri Light" w:cs="Times New Roman"/>
      <w:i/>
      <w:iCs/>
      <w:color w:val="1F3763"/>
    </w:rPr>
  </w:style>
  <w:style w:type="paragraph" w:styleId="Ttulo7">
    <w:name w:val="heading 7"/>
    <w:basedOn w:val="Normal"/>
    <w:next w:val="Normal"/>
    <w:link w:val="Ttulo7Car"/>
    <w:uiPriority w:val="9"/>
    <w:semiHidden/>
    <w:unhideWhenUsed/>
    <w:qFormat/>
    <w:rsid w:val="00542A02"/>
    <w:pPr>
      <w:keepNext/>
      <w:keepLines/>
      <w:numPr>
        <w:ilvl w:val="6"/>
        <w:numId w:val="1"/>
      </w:numPr>
      <w:spacing w:before="200" w:line="259" w:lineRule="auto"/>
      <w:jc w:val="left"/>
      <w:outlineLvl w:val="6"/>
    </w:pPr>
    <w:rPr>
      <w:rFonts w:ascii="Calibri Light" w:eastAsia="Times New Roman" w:hAnsi="Calibri Light" w:cs="Times New Roman"/>
      <w:i/>
      <w:iCs/>
      <w:color w:val="404040"/>
    </w:rPr>
  </w:style>
  <w:style w:type="paragraph" w:styleId="Ttulo8">
    <w:name w:val="heading 8"/>
    <w:basedOn w:val="Normal"/>
    <w:next w:val="Normal"/>
    <w:link w:val="Ttulo8Car"/>
    <w:uiPriority w:val="9"/>
    <w:semiHidden/>
    <w:unhideWhenUsed/>
    <w:qFormat/>
    <w:rsid w:val="00542A02"/>
    <w:pPr>
      <w:keepNext/>
      <w:keepLines/>
      <w:numPr>
        <w:ilvl w:val="7"/>
        <w:numId w:val="1"/>
      </w:numPr>
      <w:spacing w:before="200" w:line="259" w:lineRule="auto"/>
      <w:jc w:val="left"/>
      <w:outlineLvl w:val="7"/>
    </w:pPr>
    <w:rPr>
      <w:rFonts w:ascii="Calibri Light" w:eastAsia="Times New Roman" w:hAnsi="Calibri Light" w:cs="Times New Roman"/>
      <w:color w:val="404040"/>
      <w:sz w:val="20"/>
      <w:szCs w:val="20"/>
    </w:rPr>
  </w:style>
  <w:style w:type="paragraph" w:styleId="Ttulo9">
    <w:name w:val="heading 9"/>
    <w:basedOn w:val="Normal"/>
    <w:next w:val="Normal"/>
    <w:link w:val="Ttulo9Car"/>
    <w:uiPriority w:val="9"/>
    <w:semiHidden/>
    <w:unhideWhenUsed/>
    <w:qFormat/>
    <w:rsid w:val="00542A02"/>
    <w:pPr>
      <w:keepNext/>
      <w:keepLines/>
      <w:numPr>
        <w:ilvl w:val="8"/>
        <w:numId w:val="1"/>
      </w:numPr>
      <w:spacing w:before="200" w:line="259" w:lineRule="auto"/>
      <w:jc w:val="left"/>
      <w:outlineLvl w:val="8"/>
    </w:pPr>
    <w:rPr>
      <w:rFonts w:ascii="Calibri Light" w:eastAsia="Times New Roman" w:hAnsi="Calibri Light"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4017"/>
    <w:pPr>
      <w:autoSpaceDE w:val="0"/>
      <w:autoSpaceDN w:val="0"/>
      <w:adjustRightInd w:val="0"/>
      <w:spacing w:line="240" w:lineRule="auto"/>
      <w:ind w:firstLine="0"/>
      <w:jc w:val="left"/>
    </w:pPr>
    <w:rPr>
      <w:rFonts w:ascii="Times New Roman" w:hAnsi="Times New Roman" w:cs="Times New Roman"/>
      <w:color w:val="000000"/>
      <w:sz w:val="24"/>
      <w:szCs w:val="24"/>
    </w:rPr>
  </w:style>
  <w:style w:type="table" w:styleId="Tablaconcuadrcula">
    <w:name w:val="Table Grid"/>
    <w:basedOn w:val="Tablanormal"/>
    <w:uiPriority w:val="39"/>
    <w:rsid w:val="00BE40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542A02"/>
  </w:style>
  <w:style w:type="paragraph" w:styleId="Textocomentario">
    <w:name w:val="annotation text"/>
    <w:basedOn w:val="Normal"/>
    <w:link w:val="TextocomentarioCar"/>
    <w:uiPriority w:val="99"/>
    <w:semiHidden/>
    <w:unhideWhenUsed/>
    <w:rsid w:val="00542A02"/>
    <w:pPr>
      <w:spacing w:after="160" w:line="259" w:lineRule="auto"/>
      <w:ind w:firstLine="0"/>
      <w:jc w:val="left"/>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rsid w:val="00542A02"/>
    <w:rPr>
      <w:rFonts w:ascii="Calibri" w:eastAsia="Calibri" w:hAnsi="Calibri" w:cs="Times New Roman"/>
      <w:sz w:val="20"/>
      <w:szCs w:val="20"/>
    </w:rPr>
  </w:style>
  <w:style w:type="character" w:customStyle="1" w:styleId="Ttulo1Car">
    <w:name w:val="Título 1 Car"/>
    <w:basedOn w:val="Fuentedeprrafopredeter"/>
    <w:link w:val="Ttulo1"/>
    <w:uiPriority w:val="9"/>
    <w:rsid w:val="00542A02"/>
    <w:rPr>
      <w:rFonts w:ascii="Times New Roman" w:eastAsia="Times New Roman" w:hAnsi="Times New Roman" w:cs="Times New Roman"/>
      <w:b/>
      <w:sz w:val="24"/>
      <w:szCs w:val="32"/>
    </w:rPr>
  </w:style>
  <w:style w:type="character" w:customStyle="1" w:styleId="Ttulo2Car">
    <w:name w:val="Título 2 Car"/>
    <w:basedOn w:val="Fuentedeprrafopredeter"/>
    <w:link w:val="Ttulo2"/>
    <w:uiPriority w:val="9"/>
    <w:rsid w:val="00542A02"/>
    <w:rPr>
      <w:rFonts w:ascii="Times New Roman" w:eastAsia="Times New Roman" w:hAnsi="Times New Roman" w:cs="Times New Roman"/>
      <w:b/>
      <w:sz w:val="24"/>
      <w:szCs w:val="26"/>
    </w:rPr>
  </w:style>
  <w:style w:type="character" w:customStyle="1" w:styleId="Ttulo3Car">
    <w:name w:val="Título 3 Car"/>
    <w:aliases w:val="Título 3. Car"/>
    <w:basedOn w:val="Fuentedeprrafopredeter"/>
    <w:link w:val="Ttulo3"/>
    <w:uiPriority w:val="9"/>
    <w:rsid w:val="00542A02"/>
    <w:rPr>
      <w:rFonts w:ascii="Times New Roman" w:eastAsia="Times New Roman" w:hAnsi="Times New Roman" w:cs="Times New Roman"/>
      <w:b/>
      <w:bCs/>
      <w:sz w:val="24"/>
      <w:szCs w:val="27"/>
      <w:lang w:eastAsia="es-EC"/>
    </w:rPr>
  </w:style>
  <w:style w:type="character" w:customStyle="1" w:styleId="Ttulo4Car">
    <w:name w:val="Título 4 Car"/>
    <w:basedOn w:val="Fuentedeprrafopredeter"/>
    <w:link w:val="Ttulo4"/>
    <w:uiPriority w:val="9"/>
    <w:rsid w:val="00542A02"/>
    <w:rPr>
      <w:rFonts w:ascii="Times New Roman" w:eastAsia="Times New Roman" w:hAnsi="Times New Roman" w:cs="Times New Roman"/>
      <w:b/>
      <w:bCs/>
      <w:i/>
      <w:iCs/>
      <w:sz w:val="24"/>
    </w:rPr>
  </w:style>
  <w:style w:type="character" w:customStyle="1" w:styleId="Ttulo5Car">
    <w:name w:val="Título 5 Car"/>
    <w:basedOn w:val="Fuentedeprrafopredeter"/>
    <w:link w:val="Ttulo5"/>
    <w:uiPriority w:val="9"/>
    <w:semiHidden/>
    <w:rsid w:val="00542A02"/>
    <w:rPr>
      <w:rFonts w:ascii="Calibri Light" w:eastAsia="Times New Roman" w:hAnsi="Calibri Light" w:cs="Times New Roman"/>
      <w:color w:val="1F3763"/>
    </w:rPr>
  </w:style>
  <w:style w:type="character" w:customStyle="1" w:styleId="Ttulo6Car">
    <w:name w:val="Título 6 Car"/>
    <w:basedOn w:val="Fuentedeprrafopredeter"/>
    <w:link w:val="Ttulo6"/>
    <w:uiPriority w:val="9"/>
    <w:semiHidden/>
    <w:rsid w:val="00542A02"/>
    <w:rPr>
      <w:rFonts w:ascii="Calibri Light" w:eastAsia="Times New Roman" w:hAnsi="Calibri Light" w:cs="Times New Roman"/>
      <w:i/>
      <w:iCs/>
      <w:color w:val="1F3763"/>
    </w:rPr>
  </w:style>
  <w:style w:type="character" w:customStyle="1" w:styleId="Ttulo7Car">
    <w:name w:val="Título 7 Car"/>
    <w:basedOn w:val="Fuentedeprrafopredeter"/>
    <w:link w:val="Ttulo7"/>
    <w:uiPriority w:val="9"/>
    <w:semiHidden/>
    <w:rsid w:val="00542A02"/>
    <w:rPr>
      <w:rFonts w:ascii="Calibri Light" w:eastAsia="Times New Roman" w:hAnsi="Calibri Light" w:cs="Times New Roman"/>
      <w:i/>
      <w:iCs/>
      <w:color w:val="404040"/>
    </w:rPr>
  </w:style>
  <w:style w:type="character" w:customStyle="1" w:styleId="Ttulo8Car">
    <w:name w:val="Título 8 Car"/>
    <w:basedOn w:val="Fuentedeprrafopredeter"/>
    <w:link w:val="Ttulo8"/>
    <w:uiPriority w:val="9"/>
    <w:semiHidden/>
    <w:rsid w:val="00542A02"/>
    <w:rPr>
      <w:rFonts w:ascii="Calibri Light" w:eastAsia="Times New Roman" w:hAnsi="Calibri Light" w:cs="Times New Roman"/>
      <w:color w:val="404040"/>
      <w:sz w:val="20"/>
      <w:szCs w:val="20"/>
    </w:rPr>
  </w:style>
  <w:style w:type="character" w:customStyle="1" w:styleId="Ttulo9Car">
    <w:name w:val="Título 9 Car"/>
    <w:basedOn w:val="Fuentedeprrafopredeter"/>
    <w:link w:val="Ttulo9"/>
    <w:uiPriority w:val="9"/>
    <w:semiHidden/>
    <w:rsid w:val="00542A02"/>
    <w:rPr>
      <w:rFonts w:ascii="Calibri Light" w:eastAsia="Times New Roman" w:hAnsi="Calibri Light" w:cs="Times New Roman"/>
      <w:i/>
      <w:iCs/>
      <w:color w:val="404040"/>
      <w:sz w:val="20"/>
      <w:szCs w:val="20"/>
    </w:rPr>
  </w:style>
  <w:style w:type="paragraph" w:styleId="Prrafodelista">
    <w:name w:val="List Paragraph"/>
    <w:aliases w:val="Multi Level List 1,TIT 2 IND"/>
    <w:basedOn w:val="Normal"/>
    <w:link w:val="PrrafodelistaCar"/>
    <w:uiPriority w:val="34"/>
    <w:qFormat/>
    <w:rsid w:val="00542A02"/>
    <w:pPr>
      <w:spacing w:after="160" w:line="259" w:lineRule="auto"/>
      <w:ind w:left="720" w:firstLine="0"/>
      <w:contextualSpacing/>
      <w:jc w:val="left"/>
    </w:pPr>
    <w:rPr>
      <w:rFonts w:ascii="Calibri" w:eastAsia="Calibri" w:hAnsi="Calibri" w:cs="Times New Roman"/>
    </w:rPr>
  </w:style>
  <w:style w:type="character" w:styleId="Refdecomentario">
    <w:name w:val="annotation reference"/>
    <w:uiPriority w:val="99"/>
    <w:semiHidden/>
    <w:unhideWhenUsed/>
    <w:rsid w:val="00542A02"/>
    <w:rPr>
      <w:sz w:val="16"/>
      <w:szCs w:val="16"/>
    </w:rPr>
  </w:style>
  <w:style w:type="character" w:styleId="Hipervnculo">
    <w:name w:val="Hyperlink"/>
    <w:uiPriority w:val="99"/>
    <w:rsid w:val="00EB58C7"/>
    <w:rPr>
      <w:color w:val="0000FF"/>
      <w:u w:val="single"/>
    </w:rPr>
  </w:style>
  <w:style w:type="table" w:customStyle="1" w:styleId="Tablaconcuadrcula1">
    <w:name w:val="Tabla con cuadrícula1"/>
    <w:basedOn w:val="Tablanormal"/>
    <w:next w:val="Tablaconcuadrcula"/>
    <w:uiPriority w:val="39"/>
    <w:rsid w:val="00EB58C7"/>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81E8C"/>
    <w:pPr>
      <w:spacing w:before="100" w:beforeAutospacing="1" w:after="100" w:afterAutospacing="1" w:line="240" w:lineRule="auto"/>
      <w:ind w:firstLine="0"/>
      <w:jc w:val="left"/>
    </w:pPr>
    <w:rPr>
      <w:rFonts w:ascii="Times New Roman" w:eastAsia="Times New Roman" w:hAnsi="Times New Roman" w:cs="Times New Roman"/>
      <w:sz w:val="24"/>
      <w:szCs w:val="24"/>
      <w:lang w:eastAsia="es-EC"/>
    </w:rPr>
  </w:style>
  <w:style w:type="character" w:customStyle="1" w:styleId="normaltextrun">
    <w:name w:val="normaltextrun"/>
    <w:basedOn w:val="Fuentedeprrafopredeter"/>
    <w:rsid w:val="00981E8C"/>
  </w:style>
  <w:style w:type="character" w:customStyle="1" w:styleId="eop">
    <w:name w:val="eop"/>
    <w:basedOn w:val="Fuentedeprrafopredeter"/>
    <w:rsid w:val="00981E8C"/>
  </w:style>
  <w:style w:type="paragraph" w:styleId="Asuntodelcomentario">
    <w:name w:val="annotation subject"/>
    <w:basedOn w:val="Textocomentario"/>
    <w:next w:val="Textocomentario"/>
    <w:link w:val="AsuntodelcomentarioCar"/>
    <w:uiPriority w:val="99"/>
    <w:semiHidden/>
    <w:unhideWhenUsed/>
    <w:rsid w:val="00A40CBE"/>
    <w:pPr>
      <w:spacing w:after="0" w:line="240" w:lineRule="auto"/>
      <w:ind w:firstLine="720"/>
      <w:jc w:val="both"/>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A40CBE"/>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9E51F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51FB"/>
    <w:rPr>
      <w:rFonts w:ascii="Segoe UI" w:hAnsi="Segoe UI" w:cs="Segoe UI"/>
      <w:sz w:val="18"/>
      <w:szCs w:val="18"/>
    </w:rPr>
  </w:style>
  <w:style w:type="paragraph" w:styleId="Encabezado">
    <w:name w:val="header"/>
    <w:basedOn w:val="Normal"/>
    <w:link w:val="EncabezadoCar"/>
    <w:uiPriority w:val="99"/>
    <w:unhideWhenUsed/>
    <w:rsid w:val="00552E0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552E05"/>
  </w:style>
  <w:style w:type="paragraph" w:styleId="Piedepgina">
    <w:name w:val="footer"/>
    <w:basedOn w:val="Normal"/>
    <w:link w:val="PiedepginaCar"/>
    <w:uiPriority w:val="99"/>
    <w:unhideWhenUsed/>
    <w:rsid w:val="00552E0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552E05"/>
  </w:style>
  <w:style w:type="paragraph" w:styleId="Textonotapie">
    <w:name w:val="footnote text"/>
    <w:basedOn w:val="Normal"/>
    <w:link w:val="TextonotapieCar"/>
    <w:uiPriority w:val="99"/>
    <w:semiHidden/>
    <w:unhideWhenUsed/>
    <w:rsid w:val="00E65A5F"/>
    <w:pPr>
      <w:spacing w:after="160" w:line="259" w:lineRule="auto"/>
      <w:ind w:firstLine="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E65A5F"/>
    <w:rPr>
      <w:rFonts w:ascii="Calibri" w:eastAsia="Calibri" w:hAnsi="Calibri" w:cs="Times New Roman"/>
      <w:sz w:val="20"/>
      <w:szCs w:val="20"/>
    </w:rPr>
  </w:style>
  <w:style w:type="character" w:styleId="Refdenotaalpie">
    <w:name w:val="footnote reference"/>
    <w:uiPriority w:val="99"/>
    <w:semiHidden/>
    <w:unhideWhenUsed/>
    <w:rsid w:val="00E65A5F"/>
    <w:rPr>
      <w:vertAlign w:val="superscript"/>
    </w:rPr>
  </w:style>
  <w:style w:type="paragraph" w:styleId="Textoindependiente">
    <w:name w:val="Body Text"/>
    <w:basedOn w:val="Normal"/>
    <w:link w:val="TextoindependienteCar"/>
    <w:rsid w:val="00A10ABB"/>
    <w:pPr>
      <w:widowControl w:val="0"/>
      <w:spacing w:after="120" w:line="240" w:lineRule="auto"/>
      <w:ind w:firstLine="0"/>
      <w:jc w:val="left"/>
    </w:pPr>
    <w:rPr>
      <w:rFonts w:ascii="Times New Roman" w:eastAsia="SimSun" w:hAnsi="Times New Roman" w:cs="Mangal"/>
      <w:kern w:val="1"/>
      <w:sz w:val="24"/>
      <w:szCs w:val="24"/>
      <w:lang w:eastAsia="es-MX" w:bidi="hi-IN"/>
    </w:rPr>
  </w:style>
  <w:style w:type="character" w:customStyle="1" w:styleId="TextoindependienteCar">
    <w:name w:val="Texto independiente Car"/>
    <w:basedOn w:val="Fuentedeprrafopredeter"/>
    <w:link w:val="Textoindependiente"/>
    <w:rsid w:val="00A10ABB"/>
    <w:rPr>
      <w:rFonts w:ascii="Times New Roman" w:eastAsia="SimSun" w:hAnsi="Times New Roman" w:cs="Mangal"/>
      <w:kern w:val="1"/>
      <w:sz w:val="24"/>
      <w:szCs w:val="24"/>
      <w:lang w:eastAsia="es-MX" w:bidi="hi-IN"/>
    </w:rPr>
  </w:style>
  <w:style w:type="character" w:customStyle="1" w:styleId="PrrafodelistaCar">
    <w:name w:val="Párrafo de lista Car"/>
    <w:aliases w:val="Multi Level List 1 Car,TIT 2 IND Car"/>
    <w:link w:val="Prrafodelista"/>
    <w:uiPriority w:val="1"/>
    <w:locked/>
    <w:rsid w:val="00A10ABB"/>
    <w:rPr>
      <w:rFonts w:ascii="Calibri" w:eastAsia="Calibri" w:hAnsi="Calibri" w:cs="Times New Roman"/>
    </w:rPr>
  </w:style>
  <w:style w:type="character" w:customStyle="1" w:styleId="font">
    <w:name w:val="font"/>
    <w:rsid w:val="001C6647"/>
    <w:rPr>
      <w:rFonts w:ascii="Calibri" w:eastAsia="Calibri" w:hAnsi="Calibri" w:cs="Calibri"/>
      <w:sz w:val="24"/>
      <w:szCs w:val="24"/>
    </w:rPr>
  </w:style>
  <w:style w:type="paragraph" w:customStyle="1" w:styleId="div">
    <w:name w:val="div"/>
    <w:basedOn w:val="Normal"/>
    <w:rsid w:val="001C6647"/>
    <w:pPr>
      <w:pBdr>
        <w:top w:val="none" w:sz="0" w:space="5" w:color="auto"/>
        <w:bottom w:val="none" w:sz="0" w:space="2" w:color="auto"/>
      </w:pBdr>
      <w:spacing w:line="240" w:lineRule="auto"/>
      <w:ind w:firstLine="0"/>
    </w:pPr>
    <w:rPr>
      <w:rFonts w:ascii="Calibri" w:eastAsia="Calibri" w:hAnsi="Calibri" w:cs="Calibri"/>
      <w:sz w:val="24"/>
      <w:szCs w:val="24"/>
      <w:lang w:val="en-US"/>
    </w:rPr>
  </w:style>
  <w:style w:type="paragraph" w:customStyle="1" w:styleId="p">
    <w:name w:val="p"/>
    <w:basedOn w:val="Normal"/>
    <w:rsid w:val="001C6647"/>
    <w:pPr>
      <w:spacing w:line="240" w:lineRule="auto"/>
      <w:ind w:firstLine="0"/>
    </w:pPr>
    <w:rPr>
      <w:rFonts w:ascii="Calibri" w:eastAsia="Calibri" w:hAnsi="Calibri" w:cs="Calibri"/>
      <w:sz w:val="24"/>
      <w:szCs w:val="24"/>
      <w:lang w:val="en-US"/>
    </w:rPr>
  </w:style>
  <w:style w:type="paragraph" w:customStyle="1" w:styleId="xxmsonormal">
    <w:name w:val="x_xmsonormal"/>
    <w:basedOn w:val="Normal"/>
    <w:rsid w:val="001C6647"/>
    <w:pPr>
      <w:spacing w:before="100" w:beforeAutospacing="1" w:after="100" w:afterAutospacing="1" w:line="240" w:lineRule="auto"/>
      <w:ind w:firstLine="0"/>
      <w:jc w:val="left"/>
    </w:pPr>
    <w:rPr>
      <w:rFonts w:ascii="Times New Roman" w:eastAsia="Times New Roman" w:hAnsi="Times New Roman" w:cs="Times New Roman"/>
      <w:sz w:val="24"/>
      <w:szCs w:val="24"/>
      <w:lang w:val="es-ES" w:eastAsia="es-ES"/>
    </w:rPr>
  </w:style>
  <w:style w:type="character" w:customStyle="1" w:styleId="b">
    <w:name w:val="b"/>
    <w:rsid w:val="001C6647"/>
    <w:rPr>
      <w:rFonts w:ascii="Calibri" w:eastAsia="Calibri" w:hAnsi="Calibri" w:cs="Calibri"/>
      <w:sz w:val="24"/>
      <w:szCs w:val="24"/>
    </w:rPr>
  </w:style>
  <w:style w:type="character" w:customStyle="1" w:styleId="Mencinsinresolver1">
    <w:name w:val="Mención sin resolver1"/>
    <w:basedOn w:val="Fuentedeprrafopredeter"/>
    <w:uiPriority w:val="99"/>
    <w:semiHidden/>
    <w:unhideWhenUsed/>
    <w:rsid w:val="005402CA"/>
    <w:rPr>
      <w:color w:val="605E5C"/>
      <w:shd w:val="clear" w:color="auto" w:fill="E1DFDD"/>
    </w:rPr>
  </w:style>
  <w:style w:type="character" w:styleId="Hipervnculovisitado">
    <w:name w:val="FollowedHyperlink"/>
    <w:basedOn w:val="Fuentedeprrafopredeter"/>
    <w:uiPriority w:val="99"/>
    <w:semiHidden/>
    <w:unhideWhenUsed/>
    <w:rsid w:val="0046234E"/>
    <w:rPr>
      <w:color w:val="954F72" w:themeColor="followedHyperlink"/>
      <w:u w:val="single"/>
    </w:rPr>
  </w:style>
  <w:style w:type="paragraph" w:styleId="NormalWeb">
    <w:name w:val="Normal (Web)"/>
    <w:basedOn w:val="Normal"/>
    <w:uiPriority w:val="99"/>
    <w:unhideWhenUsed/>
    <w:rsid w:val="0046234E"/>
    <w:pPr>
      <w:spacing w:before="100" w:beforeAutospacing="1" w:after="100" w:afterAutospacing="1" w:line="240" w:lineRule="auto"/>
      <w:ind w:firstLine="0"/>
      <w:jc w:val="left"/>
    </w:pPr>
    <w:rPr>
      <w:rFonts w:ascii="Times New Roman" w:eastAsia="Times New Roman" w:hAnsi="Times New Roman" w:cs="Times New Roman"/>
      <w:sz w:val="24"/>
      <w:szCs w:val="24"/>
      <w:lang w:eastAsia="es-EC"/>
    </w:rPr>
  </w:style>
  <w:style w:type="character" w:styleId="nfasis">
    <w:name w:val="Emphasis"/>
    <w:basedOn w:val="Fuentedeprrafopredeter"/>
    <w:uiPriority w:val="20"/>
    <w:qFormat/>
    <w:rsid w:val="0046234E"/>
    <w:rPr>
      <w:i/>
      <w:iCs/>
    </w:rPr>
  </w:style>
  <w:style w:type="character" w:styleId="Textoennegrita">
    <w:name w:val="Strong"/>
    <w:basedOn w:val="Fuentedeprrafopredeter"/>
    <w:uiPriority w:val="22"/>
    <w:qFormat/>
    <w:rsid w:val="000F24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368069">
      <w:bodyDiv w:val="1"/>
      <w:marLeft w:val="0"/>
      <w:marRight w:val="0"/>
      <w:marTop w:val="0"/>
      <w:marBottom w:val="0"/>
      <w:divBdr>
        <w:top w:val="none" w:sz="0" w:space="0" w:color="auto"/>
        <w:left w:val="none" w:sz="0" w:space="0" w:color="auto"/>
        <w:bottom w:val="none" w:sz="0" w:space="0" w:color="auto"/>
        <w:right w:val="none" w:sz="0" w:space="0" w:color="auto"/>
      </w:divBdr>
    </w:div>
    <w:div w:id="285626237">
      <w:bodyDiv w:val="1"/>
      <w:marLeft w:val="0"/>
      <w:marRight w:val="0"/>
      <w:marTop w:val="0"/>
      <w:marBottom w:val="0"/>
      <w:divBdr>
        <w:top w:val="none" w:sz="0" w:space="0" w:color="auto"/>
        <w:left w:val="none" w:sz="0" w:space="0" w:color="auto"/>
        <w:bottom w:val="none" w:sz="0" w:space="0" w:color="auto"/>
        <w:right w:val="none" w:sz="0" w:space="0" w:color="auto"/>
      </w:divBdr>
      <w:divsChild>
        <w:div w:id="1601334153">
          <w:marLeft w:val="0"/>
          <w:marRight w:val="0"/>
          <w:marTop w:val="0"/>
          <w:marBottom w:val="0"/>
          <w:divBdr>
            <w:top w:val="none" w:sz="0" w:space="0" w:color="auto"/>
            <w:left w:val="none" w:sz="0" w:space="0" w:color="auto"/>
            <w:bottom w:val="none" w:sz="0" w:space="0" w:color="auto"/>
            <w:right w:val="none" w:sz="0" w:space="0" w:color="auto"/>
          </w:divBdr>
        </w:div>
      </w:divsChild>
    </w:div>
    <w:div w:id="654341469">
      <w:bodyDiv w:val="1"/>
      <w:marLeft w:val="0"/>
      <w:marRight w:val="0"/>
      <w:marTop w:val="0"/>
      <w:marBottom w:val="0"/>
      <w:divBdr>
        <w:top w:val="none" w:sz="0" w:space="0" w:color="auto"/>
        <w:left w:val="none" w:sz="0" w:space="0" w:color="auto"/>
        <w:bottom w:val="none" w:sz="0" w:space="0" w:color="auto"/>
        <w:right w:val="none" w:sz="0" w:space="0" w:color="auto"/>
      </w:divBdr>
    </w:div>
    <w:div w:id="715665209">
      <w:bodyDiv w:val="1"/>
      <w:marLeft w:val="0"/>
      <w:marRight w:val="0"/>
      <w:marTop w:val="0"/>
      <w:marBottom w:val="0"/>
      <w:divBdr>
        <w:top w:val="none" w:sz="0" w:space="0" w:color="auto"/>
        <w:left w:val="none" w:sz="0" w:space="0" w:color="auto"/>
        <w:bottom w:val="none" w:sz="0" w:space="0" w:color="auto"/>
        <w:right w:val="none" w:sz="0" w:space="0" w:color="auto"/>
      </w:divBdr>
    </w:div>
    <w:div w:id="803961361">
      <w:bodyDiv w:val="1"/>
      <w:marLeft w:val="0"/>
      <w:marRight w:val="0"/>
      <w:marTop w:val="0"/>
      <w:marBottom w:val="0"/>
      <w:divBdr>
        <w:top w:val="none" w:sz="0" w:space="0" w:color="auto"/>
        <w:left w:val="none" w:sz="0" w:space="0" w:color="auto"/>
        <w:bottom w:val="none" w:sz="0" w:space="0" w:color="auto"/>
        <w:right w:val="none" w:sz="0" w:space="0" w:color="auto"/>
      </w:divBdr>
      <w:divsChild>
        <w:div w:id="289827384">
          <w:marLeft w:val="0"/>
          <w:marRight w:val="0"/>
          <w:marTop w:val="0"/>
          <w:marBottom w:val="0"/>
          <w:divBdr>
            <w:top w:val="none" w:sz="0" w:space="0" w:color="auto"/>
            <w:left w:val="none" w:sz="0" w:space="0" w:color="auto"/>
            <w:bottom w:val="none" w:sz="0" w:space="0" w:color="auto"/>
            <w:right w:val="none" w:sz="0" w:space="0" w:color="auto"/>
          </w:divBdr>
        </w:div>
        <w:div w:id="438451689">
          <w:marLeft w:val="0"/>
          <w:marRight w:val="0"/>
          <w:marTop w:val="0"/>
          <w:marBottom w:val="0"/>
          <w:divBdr>
            <w:top w:val="none" w:sz="0" w:space="0" w:color="auto"/>
            <w:left w:val="none" w:sz="0" w:space="0" w:color="auto"/>
            <w:bottom w:val="none" w:sz="0" w:space="0" w:color="auto"/>
            <w:right w:val="none" w:sz="0" w:space="0" w:color="auto"/>
          </w:divBdr>
        </w:div>
      </w:divsChild>
    </w:div>
    <w:div w:id="1234320553">
      <w:bodyDiv w:val="1"/>
      <w:marLeft w:val="0"/>
      <w:marRight w:val="0"/>
      <w:marTop w:val="0"/>
      <w:marBottom w:val="0"/>
      <w:divBdr>
        <w:top w:val="none" w:sz="0" w:space="0" w:color="auto"/>
        <w:left w:val="none" w:sz="0" w:space="0" w:color="auto"/>
        <w:bottom w:val="none" w:sz="0" w:space="0" w:color="auto"/>
        <w:right w:val="none" w:sz="0" w:space="0" w:color="auto"/>
      </w:divBdr>
    </w:div>
    <w:div w:id="1261059295">
      <w:bodyDiv w:val="1"/>
      <w:marLeft w:val="0"/>
      <w:marRight w:val="0"/>
      <w:marTop w:val="0"/>
      <w:marBottom w:val="0"/>
      <w:divBdr>
        <w:top w:val="none" w:sz="0" w:space="0" w:color="auto"/>
        <w:left w:val="none" w:sz="0" w:space="0" w:color="auto"/>
        <w:bottom w:val="none" w:sz="0" w:space="0" w:color="auto"/>
        <w:right w:val="none" w:sz="0" w:space="0" w:color="auto"/>
      </w:divBdr>
    </w:div>
    <w:div w:id="1461145489">
      <w:bodyDiv w:val="1"/>
      <w:marLeft w:val="0"/>
      <w:marRight w:val="0"/>
      <w:marTop w:val="0"/>
      <w:marBottom w:val="0"/>
      <w:divBdr>
        <w:top w:val="none" w:sz="0" w:space="0" w:color="auto"/>
        <w:left w:val="none" w:sz="0" w:space="0" w:color="auto"/>
        <w:bottom w:val="none" w:sz="0" w:space="0" w:color="auto"/>
        <w:right w:val="none" w:sz="0" w:space="0" w:color="auto"/>
      </w:divBdr>
    </w:div>
    <w:div w:id="1525630252">
      <w:bodyDiv w:val="1"/>
      <w:marLeft w:val="0"/>
      <w:marRight w:val="0"/>
      <w:marTop w:val="0"/>
      <w:marBottom w:val="0"/>
      <w:divBdr>
        <w:top w:val="none" w:sz="0" w:space="0" w:color="auto"/>
        <w:left w:val="none" w:sz="0" w:space="0" w:color="auto"/>
        <w:bottom w:val="none" w:sz="0" w:space="0" w:color="auto"/>
        <w:right w:val="none" w:sz="0" w:space="0" w:color="auto"/>
      </w:divBdr>
    </w:div>
    <w:div w:id="1612127842">
      <w:bodyDiv w:val="1"/>
      <w:marLeft w:val="0"/>
      <w:marRight w:val="0"/>
      <w:marTop w:val="0"/>
      <w:marBottom w:val="0"/>
      <w:divBdr>
        <w:top w:val="none" w:sz="0" w:space="0" w:color="auto"/>
        <w:left w:val="none" w:sz="0" w:space="0" w:color="auto"/>
        <w:bottom w:val="none" w:sz="0" w:space="0" w:color="auto"/>
        <w:right w:val="none" w:sz="0" w:space="0" w:color="auto"/>
      </w:divBdr>
      <w:divsChild>
        <w:div w:id="1117093205">
          <w:marLeft w:val="0"/>
          <w:marRight w:val="0"/>
          <w:marTop w:val="0"/>
          <w:marBottom w:val="0"/>
          <w:divBdr>
            <w:top w:val="none" w:sz="0" w:space="0" w:color="auto"/>
            <w:left w:val="none" w:sz="0" w:space="0" w:color="auto"/>
            <w:bottom w:val="none" w:sz="0" w:space="0" w:color="auto"/>
            <w:right w:val="none" w:sz="0" w:space="0" w:color="auto"/>
          </w:divBdr>
        </w:div>
        <w:div w:id="1532452704">
          <w:marLeft w:val="0"/>
          <w:marRight w:val="0"/>
          <w:marTop w:val="0"/>
          <w:marBottom w:val="0"/>
          <w:divBdr>
            <w:top w:val="none" w:sz="0" w:space="0" w:color="auto"/>
            <w:left w:val="none" w:sz="0" w:space="0" w:color="auto"/>
            <w:bottom w:val="none" w:sz="0" w:space="0" w:color="auto"/>
            <w:right w:val="none" w:sz="0" w:space="0" w:color="auto"/>
          </w:divBdr>
        </w:div>
        <w:div w:id="299918189">
          <w:marLeft w:val="0"/>
          <w:marRight w:val="0"/>
          <w:marTop w:val="0"/>
          <w:marBottom w:val="0"/>
          <w:divBdr>
            <w:top w:val="none" w:sz="0" w:space="0" w:color="auto"/>
            <w:left w:val="none" w:sz="0" w:space="0" w:color="auto"/>
            <w:bottom w:val="none" w:sz="0" w:space="0" w:color="auto"/>
            <w:right w:val="none" w:sz="0" w:space="0" w:color="auto"/>
          </w:divBdr>
        </w:div>
        <w:div w:id="2024747420">
          <w:marLeft w:val="0"/>
          <w:marRight w:val="0"/>
          <w:marTop w:val="0"/>
          <w:marBottom w:val="0"/>
          <w:divBdr>
            <w:top w:val="none" w:sz="0" w:space="0" w:color="auto"/>
            <w:left w:val="none" w:sz="0" w:space="0" w:color="auto"/>
            <w:bottom w:val="none" w:sz="0" w:space="0" w:color="auto"/>
            <w:right w:val="none" w:sz="0" w:space="0" w:color="auto"/>
          </w:divBdr>
        </w:div>
        <w:div w:id="942491070">
          <w:marLeft w:val="0"/>
          <w:marRight w:val="0"/>
          <w:marTop w:val="0"/>
          <w:marBottom w:val="0"/>
          <w:divBdr>
            <w:top w:val="none" w:sz="0" w:space="0" w:color="auto"/>
            <w:left w:val="none" w:sz="0" w:space="0" w:color="auto"/>
            <w:bottom w:val="none" w:sz="0" w:space="0" w:color="auto"/>
            <w:right w:val="none" w:sz="0" w:space="0" w:color="auto"/>
          </w:divBdr>
        </w:div>
        <w:div w:id="469977586">
          <w:marLeft w:val="0"/>
          <w:marRight w:val="0"/>
          <w:marTop w:val="0"/>
          <w:marBottom w:val="0"/>
          <w:divBdr>
            <w:top w:val="none" w:sz="0" w:space="0" w:color="auto"/>
            <w:left w:val="none" w:sz="0" w:space="0" w:color="auto"/>
            <w:bottom w:val="none" w:sz="0" w:space="0" w:color="auto"/>
            <w:right w:val="none" w:sz="0" w:space="0" w:color="auto"/>
          </w:divBdr>
        </w:div>
        <w:div w:id="1491092839">
          <w:marLeft w:val="0"/>
          <w:marRight w:val="0"/>
          <w:marTop w:val="0"/>
          <w:marBottom w:val="0"/>
          <w:divBdr>
            <w:top w:val="none" w:sz="0" w:space="0" w:color="auto"/>
            <w:left w:val="none" w:sz="0" w:space="0" w:color="auto"/>
            <w:bottom w:val="none" w:sz="0" w:space="0" w:color="auto"/>
            <w:right w:val="none" w:sz="0" w:space="0" w:color="auto"/>
          </w:divBdr>
        </w:div>
        <w:div w:id="769664101">
          <w:marLeft w:val="0"/>
          <w:marRight w:val="0"/>
          <w:marTop w:val="0"/>
          <w:marBottom w:val="0"/>
          <w:divBdr>
            <w:top w:val="none" w:sz="0" w:space="0" w:color="auto"/>
            <w:left w:val="none" w:sz="0" w:space="0" w:color="auto"/>
            <w:bottom w:val="none" w:sz="0" w:space="0" w:color="auto"/>
            <w:right w:val="none" w:sz="0" w:space="0" w:color="auto"/>
          </w:divBdr>
        </w:div>
        <w:div w:id="939989657">
          <w:marLeft w:val="0"/>
          <w:marRight w:val="0"/>
          <w:marTop w:val="0"/>
          <w:marBottom w:val="0"/>
          <w:divBdr>
            <w:top w:val="none" w:sz="0" w:space="0" w:color="auto"/>
            <w:left w:val="none" w:sz="0" w:space="0" w:color="auto"/>
            <w:bottom w:val="none" w:sz="0" w:space="0" w:color="auto"/>
            <w:right w:val="none" w:sz="0" w:space="0" w:color="auto"/>
          </w:divBdr>
        </w:div>
        <w:div w:id="1655257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ublicaciones@dpe.gob.ec" TargetMode="External"/><Relationship Id="rId5" Type="http://schemas.openxmlformats.org/officeDocument/2006/relationships/numbering" Target="numbering.xml"/><Relationship Id="rId15" Type="http://schemas.openxmlformats.org/officeDocument/2006/relationships/hyperlink" Target="https://www.r4v.inf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cuadorencifras.gob.e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66FE01E16E5334087D3321739BC5150" ma:contentTypeVersion="15" ma:contentTypeDescription="Crear nuevo documento." ma:contentTypeScope="" ma:versionID="7d0eff0e34f90baf4f1ec6a441f720e1">
  <xsd:schema xmlns:xsd="http://www.w3.org/2001/XMLSchema" xmlns:xs="http://www.w3.org/2001/XMLSchema" xmlns:p="http://schemas.microsoft.com/office/2006/metadata/properties" xmlns:ns2="e2366756-b8d0-4ddf-a8ab-46a609fdf3d0" xmlns:ns3="c7068992-516c-472c-bda7-0f9efc02b1c5" targetNamespace="http://schemas.microsoft.com/office/2006/metadata/properties" ma:root="true" ma:fieldsID="d4adb199b6f6576b99211c7129d7c921" ns2:_="" ns3:_="">
    <xsd:import namespace="e2366756-b8d0-4ddf-a8ab-46a609fdf3d0"/>
    <xsd:import namespace="c7068992-516c-472c-bda7-0f9efc02b1c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366756-b8d0-4ddf-a8ab-46a609fdf3d0"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fe8f4911-5d6e-4019-ad71-49594fa5bd71}" ma:internalName="TaxCatchAll" ma:showField="CatchAllData" ma:web="e2366756-b8d0-4ddf-a8ab-46a609fdf3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7068992-516c-472c-bda7-0f9efc02b1c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375eb3f9-efbb-47fc-8dfc-e8088aedf0ad"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2366756-b8d0-4ddf-a8ab-46a609fdf3d0" xsi:nil="true"/>
    <lcf76f155ced4ddcb4097134ff3c332f xmlns="c7068992-516c-472c-bda7-0f9efc02b1c5">
      <Terms xmlns="http://schemas.microsoft.com/office/infopath/2007/PartnerControls"/>
    </lcf76f155ced4ddcb4097134ff3c332f>
    <SharedWithUsers xmlns="e2366756-b8d0-4ddf-a8ab-46a609fdf3d0">
      <UserInfo>
        <DisplayName>María Dolores Vasco Aguas</DisplayName>
        <AccountId>11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1794B-E05D-472E-A4BF-94ECC38BA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366756-b8d0-4ddf-a8ab-46a609fdf3d0"/>
    <ds:schemaRef ds:uri="c7068992-516c-472c-bda7-0f9efc02b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65C93C-405B-4A98-A4C7-E28C29F8A407}">
  <ds:schemaRefs>
    <ds:schemaRef ds:uri="http://schemas.microsoft.com/office/2006/metadata/properties"/>
    <ds:schemaRef ds:uri="http://schemas.microsoft.com/office/infopath/2007/PartnerControls"/>
    <ds:schemaRef ds:uri="e2366756-b8d0-4ddf-a8ab-46a609fdf3d0"/>
    <ds:schemaRef ds:uri="c7068992-516c-472c-bda7-0f9efc02b1c5"/>
  </ds:schemaRefs>
</ds:datastoreItem>
</file>

<file path=customXml/itemProps3.xml><?xml version="1.0" encoding="utf-8"?>
<ds:datastoreItem xmlns:ds="http://schemas.openxmlformats.org/officeDocument/2006/customXml" ds:itemID="{C51F57FE-916E-4AEB-B07A-08A4CB6C4D00}">
  <ds:schemaRefs>
    <ds:schemaRef ds:uri="http://schemas.microsoft.com/sharepoint/v3/contenttype/forms"/>
  </ds:schemaRefs>
</ds:datastoreItem>
</file>

<file path=customXml/itemProps4.xml><?xml version="1.0" encoding="utf-8"?>
<ds:datastoreItem xmlns:ds="http://schemas.openxmlformats.org/officeDocument/2006/customXml" ds:itemID="{E442CE74-B655-41A9-AB79-E00FDF47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2749</Words>
  <Characters>15125</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Angélica Llumipanta Viscaino</dc:creator>
  <cp:keywords/>
  <dc:description/>
  <cp:lastModifiedBy>Ana Lucía Fuentes Domínguez</cp:lastModifiedBy>
  <cp:revision>2</cp:revision>
  <dcterms:created xsi:type="dcterms:W3CDTF">2026-04-28T22:01:00Z</dcterms:created>
  <dcterms:modified xsi:type="dcterms:W3CDTF">2026-04-28T22:01:00Z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0x010100066FE01E16E5334087D3321739BC5150</vt:lpwstr>
  </property>
  <property fmtid="{D5CDD505-2E9C-101B-9397-08002B2CF9AE}" pid="3" name="MediaServiceImageTags">
    <vt:lpwstr/>
  </property>
</Properties>
</file>