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733EC" w14:paraId="46D13C3E" w14:textId="77777777">
        <w:trPr>
          <w:cantSplit/>
          <w:trHeight w:hRule="exact" w:val="851"/>
        </w:trPr>
        <w:tc>
          <w:tcPr>
            <w:tcW w:w="1276" w:type="dxa"/>
            <w:tcBorders>
              <w:bottom w:val="single" w:sz="4" w:space="0" w:color="auto"/>
            </w:tcBorders>
            <w:vAlign w:val="bottom"/>
          </w:tcPr>
          <w:p w14:paraId="7248529E" w14:textId="77777777" w:rsidR="00F52D57" w:rsidRDefault="00F52D57">
            <w:pPr>
              <w:spacing w:after="80"/>
            </w:pPr>
          </w:p>
        </w:tc>
        <w:tc>
          <w:tcPr>
            <w:tcW w:w="2268" w:type="dxa"/>
            <w:tcBorders>
              <w:bottom w:val="single" w:sz="4" w:space="0" w:color="auto"/>
            </w:tcBorders>
            <w:vAlign w:val="bottom"/>
          </w:tcPr>
          <w:p w14:paraId="5B966611" w14:textId="043B720B" w:rsidR="00F52D57" w:rsidRDefault="00F52D57">
            <w:pPr>
              <w:spacing w:after="80" w:line="300" w:lineRule="exact"/>
              <w:rPr>
                <w:b/>
                <w:sz w:val="24"/>
                <w:szCs w:val="24"/>
              </w:rPr>
            </w:pPr>
          </w:p>
        </w:tc>
        <w:tc>
          <w:tcPr>
            <w:tcW w:w="6095" w:type="dxa"/>
            <w:gridSpan w:val="2"/>
            <w:tcBorders>
              <w:bottom w:val="single" w:sz="4" w:space="0" w:color="auto"/>
            </w:tcBorders>
            <w:vAlign w:val="bottom"/>
          </w:tcPr>
          <w:p w14:paraId="33D67EF5" w14:textId="77777777" w:rsidR="00F52D57" w:rsidRDefault="00430F6D">
            <w:pPr>
              <w:suppressAutoHyphens w:val="0"/>
              <w:spacing w:after="20"/>
              <w:jc w:val="right"/>
            </w:pPr>
            <w:r>
              <w:rPr>
                <w:sz w:val="40"/>
              </w:rPr>
              <w:t>CEDAW</w:t>
            </w:r>
            <w:r>
              <w:t>/C/MDA/RQ/7</w:t>
            </w:r>
          </w:p>
        </w:tc>
      </w:tr>
      <w:tr w:rsidR="009733EC" w14:paraId="2AF7343A" w14:textId="77777777">
        <w:trPr>
          <w:cantSplit/>
          <w:trHeight w:hRule="exact" w:val="2835"/>
        </w:trPr>
        <w:tc>
          <w:tcPr>
            <w:tcW w:w="1276" w:type="dxa"/>
            <w:tcBorders>
              <w:top w:val="single" w:sz="4" w:space="0" w:color="auto"/>
              <w:bottom w:val="single" w:sz="12" w:space="0" w:color="auto"/>
            </w:tcBorders>
          </w:tcPr>
          <w:p w14:paraId="6400FC0D" w14:textId="7792B588" w:rsidR="00F52D57" w:rsidRDefault="00F52D57">
            <w:pPr>
              <w:spacing w:before="120"/>
              <w:jc w:val="center"/>
            </w:pPr>
          </w:p>
        </w:tc>
        <w:tc>
          <w:tcPr>
            <w:tcW w:w="5528" w:type="dxa"/>
            <w:gridSpan w:val="2"/>
            <w:tcBorders>
              <w:top w:val="single" w:sz="4" w:space="0" w:color="auto"/>
              <w:bottom w:val="single" w:sz="12" w:space="0" w:color="auto"/>
            </w:tcBorders>
          </w:tcPr>
          <w:p w14:paraId="14D25D49" w14:textId="138A8E3B" w:rsidR="00F52D57" w:rsidRDefault="00FC0161">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55175D6" w14:textId="77777777" w:rsidR="00F52D57" w:rsidRPr="00C73623" w:rsidRDefault="00430F6D">
            <w:pPr>
              <w:suppressAutoHyphens w:val="0"/>
              <w:spacing w:before="240" w:line="240" w:lineRule="exact"/>
              <w:rPr>
                <w:lang w:val="en-US"/>
              </w:rPr>
            </w:pPr>
            <w:r w:rsidRPr="00C73623">
              <w:rPr>
                <w:lang w:val="en-US"/>
              </w:rPr>
              <w:t>Distr.: General</w:t>
            </w:r>
          </w:p>
          <w:p w14:paraId="0122750D" w14:textId="1D3137EE" w:rsidR="00F52D57" w:rsidRPr="00C73623" w:rsidRDefault="00FC0161">
            <w:pPr>
              <w:suppressAutoHyphens w:val="0"/>
              <w:rPr>
                <w:lang w:val="en-US"/>
              </w:rPr>
            </w:pPr>
            <w:r>
              <w:rPr>
                <w:lang w:val="en-US"/>
              </w:rPr>
              <w:t>10</w:t>
            </w:r>
            <w:r w:rsidR="00554397" w:rsidRPr="00C73623">
              <w:rPr>
                <w:lang w:val="en-US"/>
              </w:rPr>
              <w:t xml:space="preserve"> July 2026</w:t>
            </w:r>
          </w:p>
          <w:p w14:paraId="21F13330" w14:textId="77777777" w:rsidR="00F52D57" w:rsidRPr="00C73623" w:rsidRDefault="00F52D57">
            <w:pPr>
              <w:suppressAutoHyphens w:val="0"/>
              <w:rPr>
                <w:lang w:val="en-US"/>
              </w:rPr>
            </w:pPr>
          </w:p>
          <w:p w14:paraId="3D458C82" w14:textId="77777777" w:rsidR="00F52D57" w:rsidRPr="00C73623" w:rsidRDefault="00430F6D">
            <w:pPr>
              <w:suppressAutoHyphens w:val="0"/>
              <w:rPr>
                <w:lang w:val="en-US"/>
              </w:rPr>
            </w:pPr>
            <w:r w:rsidRPr="00C73623">
              <w:rPr>
                <w:lang w:val="en-US"/>
              </w:rPr>
              <w:t>Original: English</w:t>
            </w:r>
          </w:p>
          <w:p w14:paraId="302C34ED" w14:textId="77777777" w:rsidR="00F52D57" w:rsidRDefault="00554397">
            <w:pPr>
              <w:suppressAutoHyphens w:val="0"/>
            </w:pPr>
            <w:r>
              <w:t>English, French and Spanish only</w:t>
            </w:r>
          </w:p>
        </w:tc>
      </w:tr>
    </w:tbl>
    <w:p w14:paraId="689B5D86" w14:textId="77777777" w:rsidR="00F52D57" w:rsidRDefault="00430F6D">
      <w:pPr>
        <w:spacing w:before="120"/>
        <w:rPr>
          <w:b/>
          <w:sz w:val="24"/>
          <w:szCs w:val="24"/>
        </w:rPr>
      </w:pPr>
      <w:r>
        <w:rPr>
          <w:b/>
          <w:sz w:val="24"/>
          <w:szCs w:val="24"/>
        </w:rPr>
        <w:t xml:space="preserve">Committee on the Elimination of Discrimination </w:t>
      </w:r>
      <w:r>
        <w:rPr>
          <w:b/>
          <w:sz w:val="24"/>
          <w:szCs w:val="24"/>
        </w:rPr>
        <w:br/>
        <w:t>against Women</w:t>
      </w:r>
    </w:p>
    <w:p w14:paraId="2B5FD052" w14:textId="77777777" w:rsidR="00F52D57" w:rsidRDefault="00430F6D">
      <w:pPr>
        <w:rPr>
          <w:b/>
        </w:rPr>
      </w:pPr>
      <w:r>
        <w:rPr>
          <w:b/>
        </w:rPr>
        <w:t>Ninety-third session</w:t>
      </w:r>
    </w:p>
    <w:p w14:paraId="15C7B02F" w14:textId="50BFBE84" w:rsidR="00F52D57" w:rsidRDefault="00C73623">
      <w:r>
        <w:t xml:space="preserve">Geneva, </w:t>
      </w:r>
      <w:r w:rsidR="00554397">
        <w:t>5-30 October 2026</w:t>
      </w:r>
    </w:p>
    <w:p w14:paraId="38B66C50" w14:textId="351E3506" w:rsidR="00F52D57" w:rsidRDefault="00430F6D">
      <w:pPr>
        <w:rPr>
          <w:b/>
          <w:bCs/>
          <w:sz w:val="24"/>
        </w:rPr>
      </w:pPr>
      <w:r>
        <w:rPr>
          <w:b/>
        </w:rPr>
        <w:t xml:space="preserve">Consideration of reports submitted by States parties under </w:t>
      </w:r>
      <w:r w:rsidR="00C73623">
        <w:rPr>
          <w:b/>
        </w:rPr>
        <w:br/>
      </w:r>
      <w:r>
        <w:rPr>
          <w:b/>
        </w:rPr>
        <w:t xml:space="preserve">article 18 of the Convention on the Elimination of All Forms </w:t>
      </w:r>
      <w:r w:rsidR="00C73623">
        <w:rPr>
          <w:b/>
        </w:rPr>
        <w:br/>
      </w:r>
      <w:r>
        <w:rPr>
          <w:b/>
        </w:rPr>
        <w:t>of Discrimination against Women</w:t>
      </w:r>
    </w:p>
    <w:p w14:paraId="49661C6B" w14:textId="0EF13280" w:rsidR="00F52D57" w:rsidRDefault="00430F6D" w:rsidP="00B1277C">
      <w:pPr>
        <w:pStyle w:val="HMG"/>
      </w:pPr>
      <w:r>
        <w:tab/>
      </w:r>
      <w:r>
        <w:tab/>
        <w:t>Replies of the Republic of Moldova to the list of issues</w:t>
      </w:r>
      <w:r w:rsidR="00BC54B6">
        <w:t xml:space="preserve"> and questions in relation to its </w:t>
      </w:r>
      <w:r w:rsidR="00C73623">
        <w:t>seventh periodic report</w:t>
      </w:r>
      <w:r>
        <w:rPr>
          <w:rStyle w:val="FootnoteReference"/>
          <w:b w:val="0"/>
          <w:sz w:val="20"/>
          <w:vertAlign w:val="baseline"/>
        </w:rPr>
        <w:footnoteReference w:customMarkFollows="1" w:id="2"/>
        <w:t>*</w:t>
      </w:r>
      <w:r w:rsidR="00F644E8">
        <w:rPr>
          <w:b w:val="0"/>
          <w:sz w:val="20"/>
        </w:rPr>
        <w:t xml:space="preserve"> </w:t>
      </w:r>
      <w:r w:rsidR="00F644E8" w:rsidRPr="00F644E8">
        <w:rPr>
          <w:rStyle w:val="FootnoteReference"/>
          <w:b w:val="0"/>
          <w:sz w:val="20"/>
          <w:vertAlign w:val="baseline"/>
        </w:rPr>
        <w:footnoteReference w:customMarkFollows="1" w:id="3"/>
        <w:t>**</w:t>
      </w:r>
    </w:p>
    <w:p w14:paraId="6D5D092A" w14:textId="79491549" w:rsidR="00F52D57" w:rsidRPr="000B1B4C" w:rsidRDefault="00430F6D">
      <w:pPr>
        <w:pStyle w:val="SingleTxtG"/>
        <w:jc w:val="right"/>
      </w:pPr>
      <w:r w:rsidRPr="000B1B4C">
        <w:t xml:space="preserve">[Date received: </w:t>
      </w:r>
      <w:r w:rsidR="000B1B4C" w:rsidRPr="000B1B4C">
        <w:t>8 July 2026</w:t>
      </w:r>
      <w:r w:rsidRPr="000B1B4C">
        <w:t>]</w:t>
      </w:r>
    </w:p>
    <w:p w14:paraId="0F30DBDE" w14:textId="44B3FE23" w:rsidR="006972F0" w:rsidRDefault="006972F0">
      <w:pPr>
        <w:suppressAutoHyphens w:val="0"/>
        <w:spacing w:after="200" w:line="276" w:lineRule="auto"/>
        <w:rPr>
          <w:rFonts w:eastAsiaTheme="minorHAnsi"/>
        </w:rPr>
      </w:pPr>
      <w:r>
        <w:br w:type="page"/>
      </w:r>
    </w:p>
    <w:p w14:paraId="18D4500E" w14:textId="0BD5DB82" w:rsidR="00C036AD" w:rsidRDefault="000075DE" w:rsidP="000075DE">
      <w:pPr>
        <w:pStyle w:val="HChG"/>
      </w:pPr>
      <w:bookmarkStart w:id="0" w:name="_Hlk210141472"/>
      <w:r>
        <w:lastRenderedPageBreak/>
        <w:tab/>
      </w:r>
      <w:r>
        <w:tab/>
        <w:t>Replies to the list of issues (CEDAW/C/MDA/Q/7)</w:t>
      </w:r>
    </w:p>
    <w:p w14:paraId="0D1938F9" w14:textId="34164E6B" w:rsidR="001360C5" w:rsidRPr="001360C5" w:rsidRDefault="001360C5" w:rsidP="001360C5">
      <w:pPr>
        <w:pStyle w:val="H1G"/>
      </w:pPr>
      <w:r>
        <w:tab/>
      </w:r>
      <w:r>
        <w:tab/>
      </w:r>
      <w:r w:rsidRPr="001360C5">
        <w:t>Reply to paragraph</w:t>
      </w:r>
      <w:r w:rsidR="009E539F">
        <w:t xml:space="preserve"> 1</w:t>
      </w:r>
    </w:p>
    <w:p w14:paraId="240FD7D8" w14:textId="2FAF59BD" w:rsidR="00C036AD" w:rsidRPr="00C036AD" w:rsidRDefault="00C036AD" w:rsidP="00CD5652">
      <w:pPr>
        <w:pStyle w:val="SingleTxtG"/>
        <w:numPr>
          <w:ilvl w:val="0"/>
          <w:numId w:val="23"/>
        </w:numPr>
        <w:ind w:left="1134" w:firstLine="0"/>
        <w:rPr>
          <w:bCs/>
        </w:rPr>
      </w:pPr>
      <w:r w:rsidRPr="00C036AD">
        <w:t>The draft law is currently at the stage of consultation with the European Commission. It provides for the supplementation of Law No. 5/2006 with the following definition: „discrimination against women-any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including in the public and private spheres”. At the same time, it is noted that national legislation recognizes discrimination based on two or more grounds as a severe form of discrimination, pursuant to Article 4, letter d) of Law No. 121/2012 on Ensuring Equality.</w:t>
      </w:r>
    </w:p>
    <w:p w14:paraId="5D5E9274" w14:textId="121E8A35" w:rsidR="009E539F" w:rsidRDefault="009E539F" w:rsidP="009E539F">
      <w:pPr>
        <w:pStyle w:val="H1G"/>
      </w:pPr>
      <w:bookmarkStart w:id="1" w:name="_Toc210633866"/>
      <w:r>
        <w:tab/>
      </w:r>
      <w:r>
        <w:tab/>
      </w:r>
      <w:r w:rsidRPr="001360C5">
        <w:t>Reply to paragraph</w:t>
      </w:r>
      <w:r>
        <w:t xml:space="preserve"> 2(a)</w:t>
      </w:r>
    </w:p>
    <w:bookmarkEnd w:id="1"/>
    <w:p w14:paraId="183AFAD4" w14:textId="0A0DCC1B" w:rsidR="00C036AD" w:rsidRPr="00C036AD" w:rsidRDefault="00C036AD" w:rsidP="00706FF1">
      <w:pPr>
        <w:pStyle w:val="SingleTxtG"/>
        <w:numPr>
          <w:ilvl w:val="0"/>
          <w:numId w:val="23"/>
        </w:numPr>
        <w:ind w:left="1134" w:firstLine="0"/>
        <w:rPr>
          <w:bCs/>
        </w:rPr>
      </w:pPr>
      <w:r w:rsidRPr="00C036AD">
        <w:t xml:space="preserve">The Republic of Moldova has sustained efforts to promote the CEDAW Convention through institutional mechanisms, thematic activities, and awareness campaigns. Under the National Human Rights Council, the specialized </w:t>
      </w:r>
      <w:hyperlink r:id="rId10" w:history="1">
        <w:r w:rsidRPr="00C036AD">
          <w:rPr>
            <w:rStyle w:val="Hyperlink"/>
          </w:rPr>
          <w:t>Commission for CEDAW implementation</w:t>
        </w:r>
      </w:hyperlink>
      <w:r w:rsidRPr="00C036AD">
        <w:t xml:space="preserve"> coordinates measures and concluding observations, convening three times in 2024 and continuing into 2025.</w:t>
      </w:r>
    </w:p>
    <w:p w14:paraId="29B54DA4" w14:textId="77777777" w:rsidR="00C036AD" w:rsidRPr="00C036AD" w:rsidRDefault="00C036AD" w:rsidP="00706FF1">
      <w:pPr>
        <w:pStyle w:val="SingleTxtG"/>
        <w:numPr>
          <w:ilvl w:val="0"/>
          <w:numId w:val="23"/>
        </w:numPr>
        <w:ind w:left="1134" w:firstLine="0"/>
      </w:pPr>
      <w:r w:rsidRPr="00C036AD">
        <w:t>Furthermore, 2025 initiatives included three trade union events on gender equality for over 200 participants, and two Economic Council events involving 25+ major enterprises. Public campaigns like „16 Days of Activism” further reinforced women's rights and non-discrimination.</w:t>
      </w:r>
    </w:p>
    <w:p w14:paraId="56A9EAA2" w14:textId="4CADEC12" w:rsidR="009E539F" w:rsidRDefault="009E539F" w:rsidP="009E539F">
      <w:pPr>
        <w:pStyle w:val="H1G"/>
      </w:pPr>
      <w:r>
        <w:tab/>
      </w:r>
      <w:r>
        <w:tab/>
      </w:r>
      <w:r w:rsidRPr="009E539F">
        <w:t>Reply to paragraph 2(</w:t>
      </w:r>
      <w:r>
        <w:t>b</w:t>
      </w:r>
      <w:r w:rsidRPr="009E539F">
        <w:t>)</w:t>
      </w:r>
    </w:p>
    <w:p w14:paraId="0EBA6F37" w14:textId="3F0055E2" w:rsidR="00C036AD" w:rsidRPr="00C036AD" w:rsidRDefault="00C036AD" w:rsidP="00706FF1">
      <w:pPr>
        <w:pStyle w:val="SingleTxtG"/>
        <w:numPr>
          <w:ilvl w:val="0"/>
          <w:numId w:val="23"/>
        </w:numPr>
        <w:ind w:left="1134" w:firstLine="0"/>
        <w:rPr>
          <w:bCs/>
        </w:rPr>
      </w:pPr>
      <w:bookmarkStart w:id="2" w:name="_Toc210633869"/>
      <w:r w:rsidRPr="00C036AD">
        <w:t>Standards on women's rights, gender equality, and non-discrimination are systematically mainstreamed into training programs for the judiciary, law enforcement, and public administration.</w:t>
      </w:r>
    </w:p>
    <w:p w14:paraId="21494894" w14:textId="77777777" w:rsidR="00C036AD" w:rsidRPr="00C036AD" w:rsidRDefault="00C036AD" w:rsidP="00706FF1">
      <w:pPr>
        <w:pStyle w:val="SingleTxtG"/>
        <w:numPr>
          <w:ilvl w:val="0"/>
          <w:numId w:val="23"/>
        </w:numPr>
        <w:ind w:left="1134" w:firstLine="0"/>
      </w:pPr>
      <w:r w:rsidRPr="00C036AD">
        <w:t>From 2020 to 2024, the National Institute of Justice delivered the online course „The UN Human Rights System” to 242 future judges and prosecutors. Concurrently, the Lawyers' Training Center integrated sex-based discrimination courses into its 2023-2026 Strategic Plan. The MIA’s „Stefan cel Mare” Academy incorporated a gender mainstreaming module, while the Institute of Public Administration introduced e-courses on gender equality, women, peace, and security, and workplace sexual harassment.</w:t>
      </w:r>
    </w:p>
    <w:p w14:paraId="1D516DBA" w14:textId="77777777" w:rsidR="00C036AD" w:rsidRPr="00C036AD" w:rsidRDefault="00C036AD" w:rsidP="00706FF1">
      <w:pPr>
        <w:pStyle w:val="SingleTxtG"/>
        <w:numPr>
          <w:ilvl w:val="0"/>
          <w:numId w:val="23"/>
        </w:numPr>
        <w:ind w:left="1134" w:firstLine="0"/>
      </w:pPr>
      <w:r w:rsidRPr="00C036AD">
        <w:t>These initiatives have strengthened professional capacity to address sex-based discrimination, ensure women's access to justice, apply gender-responsive approaches, and combat GBV.</w:t>
      </w:r>
    </w:p>
    <w:p w14:paraId="6C343B5A" w14:textId="0DB3E2E4" w:rsidR="009E539F" w:rsidRDefault="009E539F" w:rsidP="009E539F">
      <w:pPr>
        <w:pStyle w:val="H1G"/>
      </w:pPr>
      <w:bookmarkStart w:id="3" w:name="_Toc210633870"/>
      <w:bookmarkEnd w:id="2"/>
      <w:r>
        <w:tab/>
      </w:r>
      <w:r>
        <w:tab/>
      </w:r>
      <w:r w:rsidRPr="009E539F">
        <w:t xml:space="preserve">Reply to paragraph </w:t>
      </w:r>
      <w:r>
        <w:t>3</w:t>
      </w:r>
      <w:r w:rsidRPr="009E539F">
        <w:t>(a)</w:t>
      </w:r>
    </w:p>
    <w:p w14:paraId="755E8A82" w14:textId="40444654" w:rsidR="00C036AD" w:rsidRPr="00C036AD" w:rsidRDefault="00C036AD" w:rsidP="00706FF1">
      <w:pPr>
        <w:pStyle w:val="SingleTxtG"/>
        <w:numPr>
          <w:ilvl w:val="0"/>
          <w:numId w:val="23"/>
        </w:numPr>
        <w:ind w:left="1134" w:firstLine="0"/>
      </w:pPr>
      <w:bookmarkStart w:id="4" w:name="_Toc210633872"/>
      <w:bookmarkEnd w:id="3"/>
      <w:r w:rsidRPr="00C036AD">
        <w:t>The national authorities continued to mainstream gender-responsive measures into the humanitarian response for refugees from Ukraine, in accordance with the NAP on UNSCR 1325 for 2023–2027 and the National Program for the Phased Integration of Foreigners, including Displaced Persons in the Republic of Moldova, for the 2025-2027 period. Refugee women and girls benefited from access to protection, education, social services, psychosocial support, GBV prevention and response measures, as well as economic inclusion opportunities. Refugee women at risk of domestic violence (DV) have access to the multisectoral services provided under Law No. 45/2007 on Preventing and Combating Violence against Women and Domestic Violence.</w:t>
      </w:r>
    </w:p>
    <w:p w14:paraId="31D8103E" w14:textId="77777777" w:rsidR="00C036AD" w:rsidRPr="00C036AD" w:rsidRDefault="00C036AD" w:rsidP="00706FF1">
      <w:pPr>
        <w:pStyle w:val="SingleTxtG"/>
        <w:numPr>
          <w:ilvl w:val="0"/>
          <w:numId w:val="23"/>
        </w:numPr>
        <w:ind w:left="1134" w:firstLine="0"/>
      </w:pPr>
      <w:r w:rsidRPr="00C036AD">
        <w:lastRenderedPageBreak/>
        <w:t xml:space="preserve">In the field of </w:t>
      </w:r>
      <w:hyperlink r:id="rId11" w:history="1">
        <w:r w:rsidRPr="00C036AD">
          <w:rPr>
            <w:rStyle w:val="Hyperlink"/>
          </w:rPr>
          <w:t>education</w:t>
        </w:r>
      </w:hyperlink>
      <w:r w:rsidRPr="00C036AD">
        <w:t xml:space="preserve">, refugee children from Ukraine were integrated into educational institutions in the Republic of Moldova based on instructions, including through language programs, psycho-pedagogical support, and measures to prevent violence in the educational environment. Teaching staff underwent capacity-building, and mechanisms for monitoring the integration of refugee children into the educational system were strengthened. </w:t>
      </w:r>
      <w:bookmarkEnd w:id="4"/>
      <w:r w:rsidRPr="00C036AD">
        <w:t>Grants empowered women-led organizations to provide refugee and host-community women with vital information, services, and protection mechanisms.</w:t>
      </w:r>
    </w:p>
    <w:p w14:paraId="1DCABE47" w14:textId="4EDE12E9" w:rsidR="009E539F" w:rsidRDefault="00D17F33" w:rsidP="009E539F">
      <w:pPr>
        <w:pStyle w:val="H1G"/>
      </w:pPr>
      <w:r>
        <w:tab/>
      </w:r>
      <w:r>
        <w:tab/>
      </w:r>
      <w:r w:rsidR="009E539F" w:rsidRPr="001360C5">
        <w:t>Reply to paragraph</w:t>
      </w:r>
      <w:r w:rsidR="009E539F">
        <w:t xml:space="preserve"> 3(b)</w:t>
      </w:r>
    </w:p>
    <w:p w14:paraId="50CA52C7" w14:textId="1769CC4D" w:rsidR="00C036AD" w:rsidRPr="00C036AD" w:rsidRDefault="00C036AD" w:rsidP="00706FF1">
      <w:pPr>
        <w:pStyle w:val="SingleTxtG"/>
        <w:numPr>
          <w:ilvl w:val="0"/>
          <w:numId w:val="23"/>
        </w:numPr>
        <w:ind w:left="1134" w:firstLine="0"/>
      </w:pPr>
      <w:r w:rsidRPr="00C036AD">
        <w:t xml:space="preserve">The Republic of Moldova has reported its progress, available for review at the following link: </w:t>
      </w:r>
      <w:hyperlink r:id="rId12" w:history="1">
        <w:r w:rsidRPr="00C036AD">
          <w:rPr>
            <w:rStyle w:val="Hyperlink"/>
          </w:rPr>
          <w:t>Microsoft Power BI</w:t>
        </w:r>
      </w:hyperlink>
      <w:r w:rsidRPr="00C036AD">
        <w:t xml:space="preserve">. </w:t>
      </w:r>
      <w:bookmarkStart w:id="5" w:name="_Toc210633873"/>
    </w:p>
    <w:bookmarkEnd w:id="5"/>
    <w:p w14:paraId="545B0093" w14:textId="612651FC" w:rsidR="009E539F" w:rsidRDefault="00D17F33" w:rsidP="009E539F">
      <w:pPr>
        <w:pStyle w:val="H1G"/>
      </w:pPr>
      <w:r>
        <w:tab/>
      </w:r>
      <w:r>
        <w:tab/>
      </w:r>
      <w:r w:rsidR="009E539F" w:rsidRPr="001360C5">
        <w:t>Reply to paragraph</w:t>
      </w:r>
      <w:r w:rsidR="009E539F">
        <w:t xml:space="preserve"> 3(c)</w:t>
      </w:r>
    </w:p>
    <w:p w14:paraId="4ACC6488" w14:textId="3A7E9D6E" w:rsidR="00C036AD" w:rsidRPr="00C036AD" w:rsidRDefault="00C036AD" w:rsidP="00706FF1">
      <w:pPr>
        <w:pStyle w:val="SingleTxtG"/>
        <w:numPr>
          <w:ilvl w:val="0"/>
          <w:numId w:val="23"/>
        </w:numPr>
        <w:ind w:left="1134" w:firstLine="0"/>
        <w:rPr>
          <w:bCs/>
        </w:rPr>
      </w:pPr>
      <w:bookmarkStart w:id="6" w:name="_Toc210633874"/>
      <w:r w:rsidRPr="00C036AD">
        <w:t>The participation of women in international peacekeeping missions has been strengthened through the deployment of women to UN and other international missions, including KFOR in Kosovo and UNIFIL in Lebanon. This measure contributes to increasing women's representation in peace and security operations and promoting a gender-responsive approach in international missions. Concurrently, capacity-building sessions were organized in fields relevant to preventive diplomacy and women's participation in peace processes, including conflict management, negotiations, and strategic communication, with the participation of 42 women. These activities strengthened women's capacities to participate in decision-making, security dialogue, and regional peacebuilding platforms.</w:t>
      </w:r>
    </w:p>
    <w:bookmarkEnd w:id="6"/>
    <w:p w14:paraId="79AC378F" w14:textId="0019A4DB" w:rsidR="009E539F" w:rsidRDefault="00D17F33" w:rsidP="009E539F">
      <w:pPr>
        <w:pStyle w:val="H1G"/>
      </w:pPr>
      <w:r>
        <w:tab/>
      </w:r>
      <w:r>
        <w:tab/>
      </w:r>
      <w:r w:rsidR="009E539F" w:rsidRPr="001360C5">
        <w:t>Reply to paragraph</w:t>
      </w:r>
      <w:r w:rsidR="009E539F">
        <w:t xml:space="preserve"> 4(a)</w:t>
      </w:r>
    </w:p>
    <w:p w14:paraId="21BD6F9D" w14:textId="7B396038" w:rsidR="00C036AD" w:rsidRPr="00C036AD" w:rsidRDefault="00C036AD" w:rsidP="00BF62D8">
      <w:pPr>
        <w:pStyle w:val="SingleTxtG"/>
        <w:numPr>
          <w:ilvl w:val="0"/>
          <w:numId w:val="23"/>
        </w:numPr>
        <w:ind w:left="1134" w:firstLine="0"/>
      </w:pPr>
      <w:r w:rsidRPr="00C036AD">
        <w:t>Criminal and misdemeanour frameworks regarding VAW have been strengthened aiming to prevent impunity and transfer severe forms of violence into the sphere of criminal liability. Currently, misdemeanour liability applies only to acts of minor injury to bodily integrity, and the exclusion of these acts from the Contravention Code requires careful analysis to avoid creating an enforcement gap.</w:t>
      </w:r>
    </w:p>
    <w:p w14:paraId="01D9A929" w14:textId="77777777" w:rsidR="00C036AD" w:rsidRPr="00C036AD" w:rsidRDefault="00C036AD" w:rsidP="00BF62D8">
      <w:pPr>
        <w:pStyle w:val="SingleTxtG"/>
        <w:numPr>
          <w:ilvl w:val="0"/>
          <w:numId w:val="23"/>
        </w:numPr>
        <w:ind w:left="1134" w:firstLine="0"/>
      </w:pPr>
      <w:r w:rsidRPr="00C036AD">
        <w:t>Through the Law No. 316/2022, the provisions of the Criminal Code on rape, non- consensual sexual acts, sexual harassment, and DV were amended. Through Law No. 252/2025, the national legislation was aligned with the European standards, including the criminalization of online stalking, the introduction of the offense of forced marriage, the inclusion of the definition of femicide, and the transfer of acts of stalking from the misdemeanour sphere to the criminal sphere.</w:t>
      </w:r>
    </w:p>
    <w:p w14:paraId="061599B0" w14:textId="1A9F5F0A" w:rsidR="009E539F" w:rsidRDefault="00D17F33" w:rsidP="009E539F">
      <w:pPr>
        <w:pStyle w:val="H1G"/>
      </w:pPr>
      <w:r>
        <w:tab/>
      </w:r>
      <w:r>
        <w:tab/>
      </w:r>
      <w:r w:rsidR="009E539F" w:rsidRPr="001360C5">
        <w:t>Reply to paragraph</w:t>
      </w:r>
      <w:r w:rsidR="009E539F">
        <w:t xml:space="preserve"> 4(b)</w:t>
      </w:r>
    </w:p>
    <w:p w14:paraId="7C0F9BC4" w14:textId="07101345" w:rsidR="00C036AD" w:rsidRPr="00C036AD" w:rsidRDefault="00C036AD" w:rsidP="00BF62D8">
      <w:pPr>
        <w:pStyle w:val="SingleTxtG"/>
        <w:numPr>
          <w:ilvl w:val="0"/>
          <w:numId w:val="23"/>
        </w:numPr>
        <w:ind w:left="1134" w:firstLine="0"/>
      </w:pPr>
      <w:r w:rsidRPr="00C036AD">
        <w:t>The Republic of Moldova has increased the reporting of VAW by raising public awareness, capacitating frontline professionals, and expanding protection infrastructure. This is reflected in an increase in reported cases for 2025, demonstrating heightened victim trust in protection mechanisms.</w:t>
      </w:r>
    </w:p>
    <w:p w14:paraId="7DD7A749" w14:textId="77777777" w:rsidR="00C036AD" w:rsidRPr="00C036AD" w:rsidRDefault="00C036AD" w:rsidP="00BF62D8">
      <w:pPr>
        <w:pStyle w:val="SingleTxtG"/>
        <w:numPr>
          <w:ilvl w:val="0"/>
          <w:numId w:val="23"/>
        </w:numPr>
        <w:ind w:left="1134" w:firstLine="0"/>
      </w:pPr>
      <w:r w:rsidRPr="00C036AD">
        <w:t>Public campaigns effectively disseminated information on emergency restraining and protection orders, state-guaranteed legal aid, and the 0 8008 8008 helpline, complemented by the digital platform eViolența.md. Simultaneously, training sessions and risk assessment tools strengthened the response capacity of police officers and social workers. Access to justice and recovery was further enhanced through a national shelter network, the integrated police-led Family Justice Center, and the Regional Integrated Service for Victims of Sexual Violence in Ungheni.</w:t>
      </w:r>
    </w:p>
    <w:p w14:paraId="553989BD" w14:textId="77777777" w:rsidR="00C036AD" w:rsidRPr="00C036AD" w:rsidRDefault="00C036AD" w:rsidP="00C036AD">
      <w:pPr>
        <w:pStyle w:val="SingleTxtG"/>
      </w:pPr>
      <w:r w:rsidRPr="00C036AD">
        <w:rPr>
          <w:noProof/>
        </w:rPr>
        <w:lastRenderedPageBreak/>
        <w:drawing>
          <wp:inline distT="0" distB="0" distL="0" distR="0" wp14:anchorId="02EF4BFF" wp14:editId="31431854">
            <wp:extent cx="3714750" cy="2209800"/>
            <wp:effectExtent l="0" t="0" r="0" b="0"/>
            <wp:docPr id="1571359840" name="Chart 1">
              <a:extLst xmlns:a="http://schemas.openxmlformats.org/drawingml/2006/main">
                <a:ext uri="{FF2B5EF4-FFF2-40B4-BE49-F238E27FC236}">
                  <a16:creationId xmlns:a16="http://schemas.microsoft.com/office/drawing/2014/main" id="{0C20C856-FBCD-49A5-A72E-1DF0DC03FE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DD7A43" w14:textId="7F79FA86" w:rsidR="009E539F" w:rsidRDefault="00D17F33" w:rsidP="009E539F">
      <w:pPr>
        <w:pStyle w:val="H1G"/>
      </w:pPr>
      <w:r>
        <w:tab/>
      </w:r>
      <w:r>
        <w:tab/>
      </w:r>
      <w:r w:rsidR="009E539F" w:rsidRPr="001360C5">
        <w:t>Reply to paragraph</w:t>
      </w:r>
      <w:r w:rsidR="009E539F">
        <w:t xml:space="preserve"> 4(c)</w:t>
      </w:r>
    </w:p>
    <w:p w14:paraId="320E003E" w14:textId="6AD09EDA" w:rsidR="00C036AD" w:rsidRPr="00C036AD" w:rsidRDefault="00C036AD" w:rsidP="00BF62D8">
      <w:pPr>
        <w:pStyle w:val="SingleTxtG"/>
        <w:numPr>
          <w:ilvl w:val="0"/>
          <w:numId w:val="23"/>
        </w:numPr>
        <w:ind w:left="1134" w:firstLine="0"/>
        <w:rPr>
          <w:bCs/>
        </w:rPr>
      </w:pPr>
      <w:r w:rsidRPr="00C036AD">
        <w:t>The Republic of Moldova has strengthened women's access to information regarding their rights and protection mechanisms through social assistance, law enforcement, the judiciary, state-guaranteed legal aid, and specialized NGOs.</w:t>
      </w:r>
      <w:r w:rsidRPr="00C036AD">
        <w:rPr>
          <w:bCs/>
        </w:rPr>
        <w:t xml:space="preserve"> </w:t>
      </w:r>
      <w:r w:rsidRPr="00C036AD">
        <w:t xml:space="preserve">Public campaigns, including „16 Days of Activism” and „Denim Day” effectively promoted protection orders, the 0 8008 8008 helpline, the </w:t>
      </w:r>
      <w:hyperlink r:id="rId14" w:history="1">
        <w:r w:rsidRPr="00C036AD">
          <w:rPr>
            <w:rStyle w:val="Hyperlink"/>
          </w:rPr>
          <w:t>eviolenta.md</w:t>
        </w:r>
      </w:hyperlink>
      <w:r w:rsidRPr="00C036AD">
        <w:t xml:space="preserve"> platform, and awareness of digital violence.</w:t>
      </w:r>
    </w:p>
    <w:p w14:paraId="5E2C0770" w14:textId="77777777" w:rsidR="00C036AD" w:rsidRDefault="00C036AD" w:rsidP="00BF62D8">
      <w:pPr>
        <w:pStyle w:val="SingleTxtG"/>
        <w:numPr>
          <w:ilvl w:val="0"/>
          <w:numId w:val="23"/>
        </w:numPr>
        <w:ind w:left="1134" w:firstLine="0"/>
      </w:pPr>
      <w:r w:rsidRPr="00C036AD">
        <w:t>At the community level, social workers, paralegals, and community mediators actively inform women from marginalized and vulnerable groups-including Roma women, women with disabilities, older women, refugees, and LBT women-about reporting channels and specialized services, maximizing outreach through close cooperation with Roma civil society.</w:t>
      </w:r>
    </w:p>
    <w:p w14:paraId="1917CF2D" w14:textId="0B70A79C" w:rsidR="009E539F" w:rsidRDefault="00D17F33" w:rsidP="009E539F">
      <w:pPr>
        <w:pStyle w:val="H1G"/>
      </w:pPr>
      <w:r>
        <w:tab/>
      </w:r>
      <w:r>
        <w:tab/>
      </w:r>
      <w:r w:rsidR="009E539F" w:rsidRPr="001360C5">
        <w:t>Reply to paragraph</w:t>
      </w:r>
      <w:r w:rsidR="009E539F">
        <w:t xml:space="preserve"> 4(d)</w:t>
      </w:r>
    </w:p>
    <w:p w14:paraId="098D191A" w14:textId="003A92CD" w:rsidR="00C036AD" w:rsidRPr="00C036AD" w:rsidRDefault="00C036AD" w:rsidP="00BF62D8">
      <w:pPr>
        <w:pStyle w:val="SingleTxtG"/>
        <w:numPr>
          <w:ilvl w:val="0"/>
          <w:numId w:val="23"/>
        </w:numPr>
        <w:ind w:left="1134" w:firstLine="0"/>
      </w:pPr>
      <w:bookmarkStart w:id="7" w:name="_Toc210633880"/>
      <w:r w:rsidRPr="00C036AD">
        <w:t>Over the past five years, the state-guaranteed legal aid mechanism has been significantly strengthened. The system's annual budget increased by approximately 47% between 2023 and 2025. This expansion was accompanied by substantial salary increases, notably a 250% rise for paralegals in 2023, alongside enhanced remuneration for administrative staff and public lawyers in 2025.</w:t>
      </w:r>
    </w:p>
    <w:p w14:paraId="0508AB27" w14:textId="77777777" w:rsidR="00C036AD" w:rsidRPr="00C036AD" w:rsidRDefault="00C036AD" w:rsidP="00BF62D8">
      <w:pPr>
        <w:pStyle w:val="SingleTxtG"/>
        <w:numPr>
          <w:ilvl w:val="0"/>
          <w:numId w:val="23"/>
        </w:numPr>
        <w:ind w:left="1134" w:firstLine="0"/>
      </w:pPr>
      <w:r w:rsidRPr="00C036AD">
        <w:t>By 2025, the network comprised 16 public defenders, 522 on-call lawyers, and 83 paralegals providing qualified primary legal aid. Crucially, this capacity includes 25 specialized lawyers dedicated to providing targeted state-guaranteed legal assistance to victims of crime, including DV survivors.</w:t>
      </w:r>
    </w:p>
    <w:p w14:paraId="31786C43" w14:textId="10209AC9" w:rsidR="009E539F" w:rsidRDefault="00D17F33" w:rsidP="009E539F">
      <w:pPr>
        <w:pStyle w:val="H1G"/>
      </w:pPr>
      <w:r>
        <w:tab/>
      </w:r>
      <w:r>
        <w:tab/>
      </w:r>
      <w:r w:rsidR="009E539F" w:rsidRPr="001360C5">
        <w:t>Reply to paragraph</w:t>
      </w:r>
      <w:r w:rsidR="009E539F">
        <w:t xml:space="preserve"> 4(e)</w:t>
      </w:r>
    </w:p>
    <w:bookmarkEnd w:id="7"/>
    <w:p w14:paraId="20F30938" w14:textId="0A0183AA" w:rsidR="00C036AD" w:rsidRPr="00C036AD" w:rsidRDefault="00C036AD" w:rsidP="00BF62D8">
      <w:pPr>
        <w:pStyle w:val="SingleTxtG"/>
        <w:numPr>
          <w:ilvl w:val="0"/>
          <w:numId w:val="23"/>
        </w:numPr>
        <w:ind w:left="1134" w:firstLine="0"/>
        <w:rPr>
          <w:bCs/>
        </w:rPr>
      </w:pPr>
      <w:r w:rsidRPr="00C036AD">
        <w:t xml:space="preserve">The National Courts Portal has been upgraded to ensure accessibility, and the 2024 INFONET evaluation confirmed its compliance with international standards. the majority of court premises have been retrofitted; new constructions comply with equal </w:t>
      </w:r>
      <w:hyperlink r:id="rId15" w:history="1">
        <w:r w:rsidRPr="00C036AD">
          <w:rPr>
            <w:rStyle w:val="Hyperlink"/>
          </w:rPr>
          <w:t>access</w:t>
        </w:r>
      </w:hyperlink>
      <w:r w:rsidRPr="00C036AD">
        <w:t xml:space="preserve"> standards. Projects supported by development partners have enhanced access to justice for persons with disabilities through the modernization of court management, the establishment of information desks, and targeted awareness campaigns. The legal framework has been harmonized with the UN Convention on the Rights of Persons with Disabilities, thereby strengthening equal access to justice.</w:t>
      </w:r>
      <w:r w:rsidRPr="00C036AD">
        <w:rPr>
          <w:bCs/>
        </w:rPr>
        <w:t xml:space="preserve"> </w:t>
      </w:r>
    </w:p>
    <w:p w14:paraId="218D1F13" w14:textId="75505760" w:rsidR="009E539F" w:rsidRDefault="00D17F33" w:rsidP="009E539F">
      <w:pPr>
        <w:pStyle w:val="H1G"/>
      </w:pPr>
      <w:r>
        <w:tab/>
      </w:r>
      <w:r>
        <w:tab/>
      </w:r>
      <w:r w:rsidR="009E539F" w:rsidRPr="009E539F">
        <w:t>Reply to paragraph 4(</w:t>
      </w:r>
      <w:r w:rsidR="009E539F">
        <w:t>f</w:t>
      </w:r>
      <w:r w:rsidR="009E539F" w:rsidRPr="009E539F">
        <w:t>)</w:t>
      </w:r>
    </w:p>
    <w:p w14:paraId="18A51FB8" w14:textId="20E313DF" w:rsidR="00C036AD" w:rsidRPr="00C036AD" w:rsidRDefault="00C036AD" w:rsidP="00BF62D8">
      <w:pPr>
        <w:pStyle w:val="SingleTxtG"/>
        <w:numPr>
          <w:ilvl w:val="0"/>
          <w:numId w:val="23"/>
        </w:numPr>
        <w:ind w:left="1134" w:firstLine="0"/>
      </w:pPr>
      <w:r w:rsidRPr="00C036AD">
        <w:t xml:space="preserve">The Republic of Moldova has established legal safeguards to ensure that mediation does not substitute access to justice for victims in cases of GBV. Law No. 9/2026 on </w:t>
      </w:r>
      <w:r w:rsidRPr="00C036AD">
        <w:lastRenderedPageBreak/>
        <w:t xml:space="preserve">Mediation and the Status of Mediators explicitly provides that disputes arising from DV cases cannot be settled through mediation. This prohibition ensures that victims are not subjected to pressure to reconcile with the perpetrator, and that such cases are examined by competent authorities, with the application of protection measures and accountability as provided by law. </w:t>
      </w:r>
    </w:p>
    <w:p w14:paraId="1A314CDA" w14:textId="59A81B26" w:rsidR="009E539F" w:rsidRDefault="00D17F33" w:rsidP="009E539F">
      <w:pPr>
        <w:pStyle w:val="H1G"/>
      </w:pPr>
      <w:r>
        <w:tab/>
      </w:r>
      <w:r>
        <w:tab/>
      </w:r>
      <w:r w:rsidR="009E539F" w:rsidRPr="001360C5">
        <w:t>Reply to paragraph</w:t>
      </w:r>
      <w:r w:rsidR="009E539F">
        <w:t xml:space="preserve"> 4(g)</w:t>
      </w:r>
    </w:p>
    <w:p w14:paraId="5897FE94" w14:textId="3AD545D0" w:rsidR="00C036AD" w:rsidRPr="00C036AD" w:rsidRDefault="00C036AD" w:rsidP="00BF62D8">
      <w:pPr>
        <w:pStyle w:val="SingleTxtG"/>
        <w:numPr>
          <w:ilvl w:val="0"/>
          <w:numId w:val="23"/>
        </w:numPr>
        <w:ind w:left="1134" w:firstLine="0"/>
      </w:pPr>
      <w:r w:rsidRPr="00C036AD">
        <w:t>Following the application submitted by Ms. Ciobanu, her old - age pension was recalculated effective 1 February 2022, to include in her contributory period the periods of care for a child with severe disabilities, namely from 1 January 1999 to 30 November 2011 and from 1 February 2012 to 22 February 2012. Through Law No. 155/2017, the Labour Code was amended to provide that part-time work arrangements can be established subsequent to the conclusion of the individual employment contract, upon the request of an employee who has children with disabilities.</w:t>
      </w:r>
    </w:p>
    <w:p w14:paraId="70DE0F53" w14:textId="77777777" w:rsidR="00C036AD" w:rsidRPr="00C036AD" w:rsidRDefault="00C036AD" w:rsidP="00BF62D8">
      <w:pPr>
        <w:pStyle w:val="SingleTxtG"/>
        <w:numPr>
          <w:ilvl w:val="0"/>
          <w:numId w:val="23"/>
        </w:numPr>
        <w:ind w:left="1134" w:firstLine="0"/>
        <w:rPr>
          <w:bCs/>
        </w:rPr>
      </w:pPr>
      <w:r w:rsidRPr="00C036AD">
        <w:rPr>
          <w:bCs/>
        </w:rPr>
        <w:t xml:space="preserve">The country has strengthened its systemic response to DV. The police now issue emergency restraining orders, using standardized risk assessments, while victims access state-guaranteed legal aid, shelters, and specialized services without mandatory law enforcement cooperation. The legal </w:t>
      </w:r>
      <w:r w:rsidRPr="00BF62D8">
        <w:t>framework</w:t>
      </w:r>
      <w:r w:rsidRPr="00C036AD">
        <w:rPr>
          <w:bCs/>
        </w:rPr>
        <w:t xml:space="preserve"> was enhanced by criminalizing stalking and digital violence, defining femicide, and extending protection orders from three to six months as of 2026. A lethal-case analysis mechanism was also established to address institutional shortcomings. The specialized protection network expanded to include 11 state-funded shelters, the Family Justice Center, the Ungheni Regional Service for sexual violence victims, and a 24/7 helpline (0 8008 8008). Backed by multidisciplinary teams and frontline training, these measures improved risk identification and prompt intervention. </w:t>
      </w:r>
      <w:r w:rsidRPr="00C036AD">
        <w:t>U</w:t>
      </w:r>
      <w:r w:rsidRPr="00C036AD">
        <w:rPr>
          <w:bCs/>
        </w:rPr>
        <w:t>nder the MoH auspices, 11 assistance units for victims of sexual violence were created in the emergency departments of hospitals strategically located geographically throughout the country in 11 medical institutions.</w:t>
      </w:r>
    </w:p>
    <w:p w14:paraId="79F216BC" w14:textId="5AEE3564" w:rsidR="009E539F" w:rsidRDefault="00D17F33" w:rsidP="009E539F">
      <w:pPr>
        <w:pStyle w:val="H1G"/>
      </w:pPr>
      <w:r>
        <w:tab/>
      </w:r>
      <w:r>
        <w:tab/>
      </w:r>
      <w:r w:rsidR="009E539F" w:rsidRPr="009E539F">
        <w:t xml:space="preserve">Reply to paragraph </w:t>
      </w:r>
      <w:r w:rsidR="009E539F">
        <w:t>5</w:t>
      </w:r>
      <w:r w:rsidR="009E539F" w:rsidRPr="009E539F">
        <w:t>(</w:t>
      </w:r>
      <w:r w:rsidR="009E539F">
        <w:t>a</w:t>
      </w:r>
      <w:r w:rsidR="009E539F" w:rsidRPr="009E539F">
        <w:t>)</w:t>
      </w:r>
    </w:p>
    <w:p w14:paraId="77FDC77A" w14:textId="05D0CD78" w:rsidR="00C036AD" w:rsidRPr="00C036AD" w:rsidRDefault="00C036AD" w:rsidP="00BF62D8">
      <w:pPr>
        <w:pStyle w:val="SingleTxtG"/>
        <w:numPr>
          <w:ilvl w:val="0"/>
          <w:numId w:val="23"/>
        </w:numPr>
        <w:ind w:left="1134" w:firstLine="0"/>
        <w:rPr>
          <w:bCs/>
        </w:rPr>
      </w:pPr>
      <w:r w:rsidRPr="00C036AD">
        <w:t xml:space="preserve">The Republic of Moldova has undertaken measures to clarify and expand institutional responsibilities regarding gender equality. Through Law No. 180/2024, amendments were enacted to the regulatory framework, including to Law No. 5/2006, introducing the obligation for private legal entities to designate an employee responsible for ensuring equal opportunities and treatment between women and men. For public institutions, the practical guide entitled </w:t>
      </w:r>
      <w:r w:rsidRPr="00C036AD">
        <w:rPr>
          <w:i/>
          <w:iCs/>
        </w:rPr>
        <w:t xml:space="preserve">„The Role and Responsibilities of Gender Units within Public Institutions” </w:t>
      </w:r>
      <w:r w:rsidRPr="00C036AD">
        <w:t>has been developed and is currently being finalized. The document clarifies the mandate, duties, and role of gender focal points/coordination groups in implementing national gender equality legislation and policies, including in sectoral planning, monitoring, and reporting.</w:t>
      </w:r>
    </w:p>
    <w:p w14:paraId="5947C257" w14:textId="667257E2" w:rsidR="009E539F" w:rsidRDefault="00D17F33" w:rsidP="009E539F">
      <w:pPr>
        <w:pStyle w:val="H1G"/>
      </w:pPr>
      <w:r>
        <w:tab/>
      </w:r>
      <w:r>
        <w:tab/>
      </w:r>
      <w:r w:rsidR="009E539F" w:rsidRPr="001360C5">
        <w:t>Reply to paragraph</w:t>
      </w:r>
      <w:r w:rsidR="009E539F">
        <w:t xml:space="preserve"> 5(b)</w:t>
      </w:r>
    </w:p>
    <w:p w14:paraId="264322E1" w14:textId="0DA28E55" w:rsidR="00C036AD" w:rsidRPr="00C036AD" w:rsidRDefault="00C036AD" w:rsidP="00BF62D8">
      <w:pPr>
        <w:pStyle w:val="SingleTxtG"/>
        <w:numPr>
          <w:ilvl w:val="0"/>
          <w:numId w:val="23"/>
        </w:numPr>
        <w:ind w:left="1134" w:firstLine="0"/>
        <w:rPr>
          <w:bCs/>
        </w:rPr>
      </w:pPr>
      <w:r w:rsidRPr="00C036AD">
        <w:t>The gender mainstreaming process in public administration has been supported through regular training programmes for civil servants. The Institute of Public Administration has integrated gender equality issues into its training and professional development programmes, including introductory courses for newly recruited civil servants, while the annual training plans for the 2021–2025 period have incorporated modules on gender equality and non - discrimination. Capacity - building efforts were further complemented by e-learning courses such as „Gender Equality for Civil Servants”, „Women, Peace and Security”, and „Sexual Harassment in the Workplace”. Within the internal affairs sector, the „Stefan cel Mare” Academy of MIA has integrated a specialized module on gender mainstreaming, thereby strengthening the application of the principle of equality within law enforcement agencies.</w:t>
      </w:r>
      <w:r w:rsidRPr="00C036AD">
        <w:rPr>
          <w:bCs/>
        </w:rPr>
        <w:t xml:space="preserve"> </w:t>
      </w:r>
    </w:p>
    <w:p w14:paraId="46053E84" w14:textId="2DD33389" w:rsidR="009E539F" w:rsidRDefault="00D17F33" w:rsidP="009E539F">
      <w:pPr>
        <w:pStyle w:val="H1G"/>
      </w:pPr>
      <w:r>
        <w:lastRenderedPageBreak/>
        <w:tab/>
      </w:r>
      <w:r>
        <w:tab/>
      </w:r>
      <w:r w:rsidR="009E539F" w:rsidRPr="001360C5">
        <w:t>Reply to paragraph</w:t>
      </w:r>
      <w:r w:rsidR="009E539F">
        <w:t xml:space="preserve"> 5(c)</w:t>
      </w:r>
    </w:p>
    <w:p w14:paraId="594A2DA4" w14:textId="5BDC8203" w:rsidR="00C036AD" w:rsidRPr="00C036AD" w:rsidRDefault="00C036AD" w:rsidP="00BF62D8">
      <w:pPr>
        <w:pStyle w:val="SingleTxtG"/>
        <w:numPr>
          <w:ilvl w:val="0"/>
          <w:numId w:val="23"/>
        </w:numPr>
        <w:ind w:left="1134" w:firstLine="0"/>
      </w:pPr>
      <w:bookmarkStart w:id="8" w:name="_Toc210633887"/>
      <w:r w:rsidRPr="00C036AD">
        <w:t>The Republic of Moldova have advanced the integration of GRB into the budgetary process. For the 2025 budget, the authorities responsible for implementing the PGE were advised to include gender - responsive objectives and indicators in their budget proposals. For pilot authorities, including the MLSP and the Ministry of Agriculture and Food Industry, the application of this approach was mandatory.  Based on the information submitted by the pilot authorities, the Explanatory Note to the draft state budget law for 2026 was supplemented with gender-responsive data. This stage has established the prerequisites for the gradual expansion of GRB and for the inclusion of the needs of women from vulnerable groups in budget planning processes.</w:t>
      </w:r>
    </w:p>
    <w:bookmarkEnd w:id="8"/>
    <w:p w14:paraId="62996A97" w14:textId="5AE5EB3A" w:rsidR="009E539F" w:rsidRDefault="00D17F33" w:rsidP="009E539F">
      <w:pPr>
        <w:pStyle w:val="H1G"/>
      </w:pPr>
      <w:r>
        <w:tab/>
      </w:r>
      <w:r>
        <w:tab/>
      </w:r>
      <w:r w:rsidR="009E539F" w:rsidRPr="009E539F">
        <w:t xml:space="preserve">Reply to paragraph </w:t>
      </w:r>
      <w:r w:rsidR="009E539F">
        <w:t>5</w:t>
      </w:r>
      <w:r w:rsidR="009E539F" w:rsidRPr="009E539F">
        <w:t>(</w:t>
      </w:r>
      <w:r w:rsidR="009E539F">
        <w:t>d</w:t>
      </w:r>
      <w:r w:rsidR="009E539F" w:rsidRPr="009E539F">
        <w:t>)</w:t>
      </w:r>
    </w:p>
    <w:p w14:paraId="787EFB59" w14:textId="3653242F" w:rsidR="00C036AD" w:rsidRPr="00C036AD" w:rsidRDefault="00C036AD" w:rsidP="00BF62D8">
      <w:pPr>
        <w:pStyle w:val="SingleTxtG"/>
        <w:numPr>
          <w:ilvl w:val="0"/>
          <w:numId w:val="23"/>
        </w:numPr>
        <w:ind w:left="1134" w:firstLine="0"/>
      </w:pPr>
      <w:r w:rsidRPr="00C036AD">
        <w:t>The methodological framework for GRB has been strengthened by updating the methodological toolkit on budget preparation, approval, and amendment, approved by the Ministry of Finance. The pilot ministries implementing GRB are required to develop explanatory notes for GRB planning and to ensure reporting on the GRB component during the financial reporting procedure.</w:t>
      </w:r>
    </w:p>
    <w:p w14:paraId="3A7D86BC" w14:textId="77777777" w:rsidR="00C036AD" w:rsidRPr="00C036AD" w:rsidRDefault="00C036AD" w:rsidP="00BF62D8">
      <w:pPr>
        <w:pStyle w:val="SingleTxtG"/>
        <w:numPr>
          <w:ilvl w:val="0"/>
          <w:numId w:val="23"/>
        </w:numPr>
        <w:ind w:left="1134" w:firstLine="0"/>
        <w:rPr>
          <w:bCs/>
        </w:rPr>
      </w:pPr>
      <w:r w:rsidRPr="00C036AD">
        <w:t>The monitoring compliance with CEDAW principles across all sectors is carried out on the basis of the set of measures for the implementation of the concluding observations and recommendations of the CEDAW Committee, thereby enabling the tracking of progress in mainstreaming gender equality into institutional policies, budgets, and reporting mechanisms.</w:t>
      </w:r>
      <w:r w:rsidRPr="00C036AD">
        <w:rPr>
          <w:bCs/>
        </w:rPr>
        <w:t xml:space="preserve"> </w:t>
      </w:r>
    </w:p>
    <w:p w14:paraId="05A22DA3" w14:textId="19ED3A01" w:rsidR="009E539F" w:rsidRDefault="00D17F33" w:rsidP="009E539F">
      <w:pPr>
        <w:pStyle w:val="H1G"/>
      </w:pPr>
      <w:r>
        <w:tab/>
      </w:r>
      <w:r>
        <w:tab/>
      </w:r>
      <w:r w:rsidR="009E539F" w:rsidRPr="001360C5">
        <w:t>Reply to paragraph</w:t>
      </w:r>
      <w:r w:rsidR="009E539F">
        <w:t xml:space="preserve"> 5(e)</w:t>
      </w:r>
    </w:p>
    <w:p w14:paraId="20990890" w14:textId="456C5E7A" w:rsidR="00C036AD" w:rsidRPr="00805DCF" w:rsidRDefault="00C036AD" w:rsidP="00BF62D8">
      <w:pPr>
        <w:pStyle w:val="SingleTxtG"/>
        <w:numPr>
          <w:ilvl w:val="0"/>
          <w:numId w:val="23"/>
        </w:numPr>
        <w:ind w:left="1134" w:firstLine="0"/>
        <w:rPr>
          <w:bCs/>
        </w:rPr>
      </w:pPr>
      <w:r w:rsidRPr="00C036AD">
        <w:t>The Department for Gender Equality Policies within the MLSP was institutionally strengthened in 2023 through the establishment of an additional managerial position and further enhanced in 2025 with an additional executive post. The Department periodically participates in thematic training sessions on gender equality, including the transposition of the EU acquis. Financial resources allocated to the national gender equality mechanism have increased steadily.</w:t>
      </w:r>
    </w:p>
    <w:tbl>
      <w:tblPr>
        <w:tblStyle w:val="TableGrid0"/>
        <w:tblW w:w="7370" w:type="dxa"/>
        <w:tblInd w:w="1134" w:type="dxa"/>
        <w:tblLayout w:type="fixed"/>
        <w:tblLook w:val="04A0" w:firstRow="1" w:lastRow="0" w:firstColumn="1" w:lastColumn="0" w:noHBand="0" w:noVBand="1"/>
      </w:tblPr>
      <w:tblGrid>
        <w:gridCol w:w="947"/>
        <w:gridCol w:w="3338"/>
        <w:gridCol w:w="3085"/>
      </w:tblGrid>
      <w:tr w:rsidR="00805DCF" w:rsidRPr="00805DCF" w14:paraId="01232A53" w14:textId="77777777" w:rsidTr="00805DCF">
        <w:trPr>
          <w:tblHeader/>
        </w:trPr>
        <w:tc>
          <w:tcPr>
            <w:tcW w:w="947" w:type="dxa"/>
            <w:tcBorders>
              <w:top w:val="single" w:sz="4" w:space="0" w:color="auto"/>
              <w:bottom w:val="single" w:sz="12" w:space="0" w:color="auto"/>
            </w:tcBorders>
            <w:vAlign w:val="bottom"/>
          </w:tcPr>
          <w:p w14:paraId="4C52FBFD" w14:textId="77777777" w:rsidR="00805DCF" w:rsidRPr="00805DCF" w:rsidRDefault="00805DCF" w:rsidP="00805DCF">
            <w:pPr>
              <w:suppressAutoHyphens w:val="0"/>
              <w:spacing w:before="80" w:after="80" w:line="200" w:lineRule="exact"/>
              <w:rPr>
                <w:rFonts w:eastAsia="Calibri"/>
                <w:i/>
                <w:kern w:val="0"/>
                <w:sz w:val="16"/>
                <w:szCs w:val="24"/>
                <w:lang w:val="en-CH"/>
              </w:rPr>
            </w:pPr>
            <w:r w:rsidRPr="00805DCF">
              <w:rPr>
                <w:i/>
                <w:kern w:val="0"/>
                <w:sz w:val="16"/>
                <w:szCs w:val="24"/>
                <w:lang w:val="en-CH"/>
              </w:rPr>
              <w:t>Year</w:t>
            </w:r>
          </w:p>
        </w:tc>
        <w:tc>
          <w:tcPr>
            <w:tcW w:w="3338" w:type="dxa"/>
            <w:tcBorders>
              <w:top w:val="single" w:sz="4" w:space="0" w:color="auto"/>
              <w:bottom w:val="single" w:sz="12" w:space="0" w:color="auto"/>
            </w:tcBorders>
            <w:vAlign w:val="bottom"/>
          </w:tcPr>
          <w:p w14:paraId="2699E5F0" w14:textId="77777777" w:rsidR="00805DCF" w:rsidRPr="00805DCF" w:rsidRDefault="00805DCF" w:rsidP="00805DCF">
            <w:pPr>
              <w:suppressAutoHyphens w:val="0"/>
              <w:spacing w:before="80" w:after="80" w:line="200" w:lineRule="exact"/>
              <w:jc w:val="right"/>
              <w:rPr>
                <w:rFonts w:eastAsia="Calibri"/>
                <w:i/>
                <w:kern w:val="0"/>
                <w:sz w:val="16"/>
                <w:szCs w:val="24"/>
                <w:lang w:val="en-CH"/>
              </w:rPr>
            </w:pPr>
            <w:r w:rsidRPr="00805DCF">
              <w:rPr>
                <w:i/>
                <w:kern w:val="0"/>
                <w:sz w:val="16"/>
                <w:szCs w:val="24"/>
                <w:lang w:val="en-CH"/>
              </w:rPr>
              <w:t>Allocation (thousand EUR)</w:t>
            </w:r>
          </w:p>
        </w:tc>
        <w:tc>
          <w:tcPr>
            <w:tcW w:w="3085" w:type="dxa"/>
            <w:tcBorders>
              <w:top w:val="single" w:sz="4" w:space="0" w:color="auto"/>
              <w:bottom w:val="single" w:sz="12" w:space="0" w:color="auto"/>
            </w:tcBorders>
            <w:vAlign w:val="bottom"/>
          </w:tcPr>
          <w:p w14:paraId="7916F789" w14:textId="77777777" w:rsidR="00805DCF" w:rsidRPr="00805DCF" w:rsidRDefault="00805DCF" w:rsidP="00805DCF">
            <w:pPr>
              <w:suppressAutoHyphens w:val="0"/>
              <w:spacing w:before="80" w:after="80" w:line="200" w:lineRule="exact"/>
              <w:jc w:val="right"/>
              <w:rPr>
                <w:rFonts w:eastAsia="Calibri"/>
                <w:i/>
                <w:kern w:val="0"/>
                <w:sz w:val="16"/>
                <w:szCs w:val="24"/>
                <w:lang w:val="en-CH"/>
              </w:rPr>
            </w:pPr>
            <w:r w:rsidRPr="00805DCF">
              <w:rPr>
                <w:i/>
                <w:kern w:val="0"/>
                <w:sz w:val="16"/>
                <w:szCs w:val="24"/>
                <w:lang w:val="en-CH"/>
              </w:rPr>
              <w:t>Percentage Increase</w:t>
            </w:r>
          </w:p>
        </w:tc>
      </w:tr>
      <w:tr w:rsidR="00805DCF" w:rsidRPr="00805DCF" w14:paraId="754BCF33" w14:textId="77777777" w:rsidTr="00805DCF">
        <w:tc>
          <w:tcPr>
            <w:tcW w:w="947" w:type="dxa"/>
            <w:tcBorders>
              <w:top w:val="single" w:sz="12" w:space="0" w:color="auto"/>
            </w:tcBorders>
          </w:tcPr>
          <w:p w14:paraId="3D1B66D4" w14:textId="77777777" w:rsidR="00805DCF" w:rsidRPr="00805DCF" w:rsidRDefault="00805DCF" w:rsidP="00805DCF">
            <w:pPr>
              <w:suppressAutoHyphens w:val="0"/>
              <w:spacing w:before="40" w:after="40" w:line="220" w:lineRule="exact"/>
              <w:rPr>
                <w:rFonts w:eastAsia="Calibri"/>
                <w:kern w:val="0"/>
                <w:sz w:val="18"/>
                <w:szCs w:val="24"/>
                <w:lang w:val="en-CH"/>
              </w:rPr>
            </w:pPr>
            <w:r w:rsidRPr="00805DCF">
              <w:rPr>
                <w:kern w:val="0"/>
                <w:sz w:val="18"/>
                <w:szCs w:val="24"/>
                <w:lang w:val="en-CH"/>
              </w:rPr>
              <w:t>2020</w:t>
            </w:r>
          </w:p>
        </w:tc>
        <w:tc>
          <w:tcPr>
            <w:tcW w:w="3338" w:type="dxa"/>
            <w:tcBorders>
              <w:top w:val="single" w:sz="12" w:space="0" w:color="auto"/>
            </w:tcBorders>
            <w:vAlign w:val="bottom"/>
          </w:tcPr>
          <w:p w14:paraId="5F44A117" w14:textId="77777777" w:rsidR="00805DCF" w:rsidRPr="00805DCF" w:rsidRDefault="00805DCF" w:rsidP="00805DCF">
            <w:pPr>
              <w:suppressAutoHyphens w:val="0"/>
              <w:spacing w:before="40" w:after="40" w:line="220" w:lineRule="exact"/>
              <w:jc w:val="right"/>
              <w:rPr>
                <w:rFonts w:eastAsia="Calibri"/>
                <w:kern w:val="0"/>
                <w:sz w:val="18"/>
                <w:szCs w:val="24"/>
                <w:lang w:val="en-CH"/>
              </w:rPr>
            </w:pPr>
            <w:r w:rsidRPr="00805DCF">
              <w:rPr>
                <w:kern w:val="0"/>
                <w:sz w:val="18"/>
                <w:szCs w:val="24"/>
                <w:lang w:val="en-CH"/>
              </w:rPr>
              <w:t>51.26</w:t>
            </w:r>
          </w:p>
        </w:tc>
        <w:tc>
          <w:tcPr>
            <w:tcW w:w="3085" w:type="dxa"/>
            <w:tcBorders>
              <w:top w:val="single" w:sz="12" w:space="0" w:color="auto"/>
            </w:tcBorders>
            <w:vAlign w:val="bottom"/>
          </w:tcPr>
          <w:p w14:paraId="66E4DEFF" w14:textId="77777777" w:rsidR="00805DCF" w:rsidRPr="00805DCF" w:rsidRDefault="00805DCF" w:rsidP="00805DCF">
            <w:pPr>
              <w:suppressAutoHyphens w:val="0"/>
              <w:spacing w:before="40" w:after="40" w:line="220" w:lineRule="exact"/>
              <w:jc w:val="right"/>
              <w:rPr>
                <w:rFonts w:eastAsia="Calibri"/>
                <w:kern w:val="0"/>
                <w:sz w:val="18"/>
                <w:szCs w:val="24"/>
                <w:lang w:val="en-CH"/>
              </w:rPr>
            </w:pPr>
            <w:r w:rsidRPr="00805DCF">
              <w:rPr>
                <w:kern w:val="0"/>
                <w:sz w:val="18"/>
                <w:szCs w:val="24"/>
                <w:lang w:val="en-CH"/>
              </w:rPr>
              <w:t>Baseline year</w:t>
            </w:r>
          </w:p>
        </w:tc>
      </w:tr>
      <w:tr w:rsidR="00805DCF" w:rsidRPr="00805DCF" w14:paraId="6127DDF0" w14:textId="77777777" w:rsidTr="00805DCF">
        <w:tc>
          <w:tcPr>
            <w:tcW w:w="947" w:type="dxa"/>
          </w:tcPr>
          <w:p w14:paraId="7858CD50" w14:textId="77777777" w:rsidR="00805DCF" w:rsidRPr="00805DCF" w:rsidRDefault="00805DCF" w:rsidP="00805DCF">
            <w:pPr>
              <w:suppressAutoHyphens w:val="0"/>
              <w:spacing w:before="40" w:after="40" w:line="220" w:lineRule="exact"/>
              <w:rPr>
                <w:rFonts w:eastAsia="Calibri"/>
                <w:kern w:val="0"/>
                <w:sz w:val="18"/>
                <w:szCs w:val="24"/>
                <w:lang w:val="en-CH"/>
              </w:rPr>
            </w:pPr>
            <w:r w:rsidRPr="00805DCF">
              <w:rPr>
                <w:kern w:val="0"/>
                <w:sz w:val="18"/>
                <w:szCs w:val="24"/>
                <w:lang w:val="en-CH"/>
              </w:rPr>
              <w:t>2024</w:t>
            </w:r>
          </w:p>
        </w:tc>
        <w:tc>
          <w:tcPr>
            <w:tcW w:w="3338" w:type="dxa"/>
            <w:vAlign w:val="bottom"/>
          </w:tcPr>
          <w:p w14:paraId="01C96496" w14:textId="77777777" w:rsidR="00805DCF" w:rsidRPr="00805DCF" w:rsidRDefault="00805DCF" w:rsidP="00805DCF">
            <w:pPr>
              <w:suppressAutoHyphens w:val="0"/>
              <w:spacing w:before="40" w:after="40" w:line="220" w:lineRule="exact"/>
              <w:jc w:val="right"/>
              <w:rPr>
                <w:rFonts w:eastAsia="Calibri"/>
                <w:kern w:val="0"/>
                <w:sz w:val="18"/>
                <w:szCs w:val="24"/>
                <w:lang w:val="en-CH"/>
              </w:rPr>
            </w:pPr>
            <w:r w:rsidRPr="00805DCF">
              <w:rPr>
                <w:kern w:val="0"/>
                <w:sz w:val="18"/>
                <w:szCs w:val="24"/>
                <w:lang w:val="en-CH"/>
              </w:rPr>
              <w:t>107.86</w:t>
            </w:r>
          </w:p>
        </w:tc>
        <w:tc>
          <w:tcPr>
            <w:tcW w:w="3085" w:type="dxa"/>
            <w:vAlign w:val="bottom"/>
          </w:tcPr>
          <w:p w14:paraId="26247EF9" w14:textId="77777777" w:rsidR="00805DCF" w:rsidRPr="00805DCF" w:rsidRDefault="00805DCF" w:rsidP="00805DCF">
            <w:pPr>
              <w:suppressAutoHyphens w:val="0"/>
              <w:spacing w:before="40" w:after="40" w:line="220" w:lineRule="exact"/>
              <w:jc w:val="right"/>
              <w:rPr>
                <w:rFonts w:eastAsia="Calibri"/>
                <w:kern w:val="0"/>
                <w:sz w:val="18"/>
                <w:szCs w:val="24"/>
                <w:lang w:val="en-CH"/>
              </w:rPr>
            </w:pPr>
            <w:r w:rsidRPr="00805DCF">
              <w:rPr>
                <w:kern w:val="0"/>
                <w:sz w:val="18"/>
                <w:szCs w:val="24"/>
                <w:lang w:val="en-CH"/>
              </w:rPr>
              <w:t>110.4%</w:t>
            </w:r>
          </w:p>
        </w:tc>
      </w:tr>
      <w:tr w:rsidR="00805DCF" w:rsidRPr="00805DCF" w14:paraId="6FB42196" w14:textId="77777777" w:rsidTr="00805DCF">
        <w:tc>
          <w:tcPr>
            <w:tcW w:w="947" w:type="dxa"/>
            <w:tcBorders>
              <w:bottom w:val="single" w:sz="12" w:space="0" w:color="auto"/>
            </w:tcBorders>
          </w:tcPr>
          <w:p w14:paraId="517A3BF8" w14:textId="77777777" w:rsidR="00805DCF" w:rsidRPr="00805DCF" w:rsidRDefault="00805DCF" w:rsidP="00805DCF">
            <w:pPr>
              <w:suppressAutoHyphens w:val="0"/>
              <w:spacing w:before="40" w:after="40" w:line="220" w:lineRule="exact"/>
              <w:rPr>
                <w:rFonts w:eastAsia="Calibri"/>
                <w:kern w:val="0"/>
                <w:sz w:val="18"/>
                <w:szCs w:val="24"/>
                <w:lang w:val="en-CH"/>
              </w:rPr>
            </w:pPr>
            <w:r w:rsidRPr="00805DCF">
              <w:rPr>
                <w:kern w:val="0"/>
                <w:sz w:val="18"/>
                <w:szCs w:val="24"/>
                <w:lang w:val="en-CH"/>
              </w:rPr>
              <w:t>2025</w:t>
            </w:r>
          </w:p>
        </w:tc>
        <w:tc>
          <w:tcPr>
            <w:tcW w:w="3338" w:type="dxa"/>
            <w:tcBorders>
              <w:bottom w:val="single" w:sz="12" w:space="0" w:color="auto"/>
            </w:tcBorders>
            <w:vAlign w:val="bottom"/>
          </w:tcPr>
          <w:p w14:paraId="595B75A1" w14:textId="77777777" w:rsidR="00805DCF" w:rsidRPr="00805DCF" w:rsidRDefault="00805DCF" w:rsidP="00805DCF">
            <w:pPr>
              <w:suppressAutoHyphens w:val="0"/>
              <w:spacing w:before="40" w:after="40" w:line="220" w:lineRule="exact"/>
              <w:jc w:val="right"/>
              <w:rPr>
                <w:rFonts w:eastAsia="Calibri"/>
                <w:kern w:val="0"/>
                <w:sz w:val="18"/>
                <w:szCs w:val="24"/>
                <w:lang w:val="en-CH"/>
              </w:rPr>
            </w:pPr>
            <w:r w:rsidRPr="00805DCF">
              <w:rPr>
                <w:kern w:val="0"/>
                <w:sz w:val="18"/>
                <w:szCs w:val="24"/>
                <w:lang w:val="en-CH"/>
              </w:rPr>
              <w:t>120.41</w:t>
            </w:r>
          </w:p>
        </w:tc>
        <w:tc>
          <w:tcPr>
            <w:tcW w:w="3085" w:type="dxa"/>
            <w:tcBorders>
              <w:bottom w:val="single" w:sz="12" w:space="0" w:color="auto"/>
            </w:tcBorders>
            <w:vAlign w:val="bottom"/>
          </w:tcPr>
          <w:p w14:paraId="24BC87D8" w14:textId="77777777" w:rsidR="00805DCF" w:rsidRPr="00805DCF" w:rsidRDefault="00805DCF" w:rsidP="00805DCF">
            <w:pPr>
              <w:suppressAutoHyphens w:val="0"/>
              <w:spacing w:before="40" w:after="40" w:line="220" w:lineRule="exact"/>
              <w:jc w:val="right"/>
              <w:rPr>
                <w:rFonts w:eastAsia="Calibri"/>
                <w:kern w:val="0"/>
                <w:sz w:val="18"/>
                <w:szCs w:val="24"/>
                <w:lang w:val="en-CH"/>
              </w:rPr>
            </w:pPr>
            <w:r w:rsidRPr="00805DCF">
              <w:rPr>
                <w:kern w:val="0"/>
                <w:sz w:val="18"/>
                <w:szCs w:val="24"/>
                <w:lang w:val="en-CH"/>
              </w:rPr>
              <w:t>134.9%</w:t>
            </w:r>
          </w:p>
        </w:tc>
      </w:tr>
    </w:tbl>
    <w:p w14:paraId="101E32F0" w14:textId="1E0B12CB" w:rsidR="009E539F" w:rsidRDefault="00D17F33" w:rsidP="009E539F">
      <w:pPr>
        <w:pStyle w:val="H1G"/>
      </w:pPr>
      <w:r>
        <w:tab/>
      </w:r>
      <w:r>
        <w:tab/>
      </w:r>
      <w:r w:rsidR="009E539F" w:rsidRPr="009E539F">
        <w:t xml:space="preserve">Reply to paragraph </w:t>
      </w:r>
      <w:r w:rsidR="009E539F">
        <w:t>5</w:t>
      </w:r>
      <w:r w:rsidR="009E539F" w:rsidRPr="009E539F">
        <w:t>(</w:t>
      </w:r>
      <w:r w:rsidR="009E539F">
        <w:t>f</w:t>
      </w:r>
      <w:r w:rsidR="009E539F" w:rsidRPr="009E539F">
        <w:t>)</w:t>
      </w:r>
    </w:p>
    <w:p w14:paraId="6B0C4868" w14:textId="3A9C1C25" w:rsidR="00C036AD" w:rsidRPr="00C036AD" w:rsidRDefault="00C036AD" w:rsidP="00BF62D8">
      <w:pPr>
        <w:pStyle w:val="SingleTxtG"/>
        <w:numPr>
          <w:ilvl w:val="0"/>
          <w:numId w:val="23"/>
        </w:numPr>
        <w:ind w:left="1134" w:firstLine="0"/>
      </w:pPr>
      <w:bookmarkStart w:id="9" w:name="_Toc210633890"/>
      <w:r w:rsidRPr="00C036AD">
        <w:t>Cooperation with NGO, including women's rights organizations and thematic associations, has been reinforced through consultative mechanisms, specialized committees, and policymaking and monitoring processes. The Civil Society Development Programme for the 2024–2027 period establishes the framework for enhancing cooperation with CSOs, diversifying funding sources, and building the capacities of the NGO sector. In 2024, there were 16,453 NGO registered working in the field of human rights promotion and defence, 191 of which specifically promoted women's rights. The National Human Rights Council, inter alia through the specialized committees coordinated by the MLSP, ensures the active involvement of state authorities, civil society, and development partners in monitoring the implementation of relevant national policies and international human rights treaties.</w:t>
      </w:r>
    </w:p>
    <w:p w14:paraId="2962868C" w14:textId="15821146" w:rsidR="009E539F" w:rsidRDefault="00D17F33" w:rsidP="009E539F">
      <w:pPr>
        <w:pStyle w:val="H1G"/>
      </w:pPr>
      <w:r>
        <w:lastRenderedPageBreak/>
        <w:tab/>
      </w:r>
      <w:r>
        <w:tab/>
      </w:r>
      <w:r w:rsidR="009E539F" w:rsidRPr="009E539F">
        <w:t xml:space="preserve">Reply to paragraph </w:t>
      </w:r>
      <w:r w:rsidR="009E539F">
        <w:t>5</w:t>
      </w:r>
      <w:r w:rsidR="009E539F" w:rsidRPr="009E539F">
        <w:t>(</w:t>
      </w:r>
      <w:r w:rsidR="009E539F">
        <w:t>g</w:t>
      </w:r>
      <w:r w:rsidR="009E539F" w:rsidRPr="009E539F">
        <w:t>)</w:t>
      </w:r>
    </w:p>
    <w:p w14:paraId="04F2E72A" w14:textId="526CFC12" w:rsidR="00C036AD" w:rsidRPr="00C036AD" w:rsidRDefault="00C036AD" w:rsidP="00BF62D8">
      <w:pPr>
        <w:pStyle w:val="SingleTxtG"/>
        <w:numPr>
          <w:ilvl w:val="0"/>
          <w:numId w:val="23"/>
        </w:numPr>
        <w:ind w:left="1134" w:firstLine="0"/>
      </w:pPr>
      <w:r w:rsidRPr="00C036AD">
        <w:t>The gender equality dimension is integrated into the EU accession process via the National Programme for 2025–2029. A major milestone was achieved through Law No. 180/2024, which successfully transposed Directive 2004/113/EC, strengthening the framework governing equal access of women and men to goods and services and Law No. 92/2026 for the amendment of certain normative acts which transpose Directive 2022/2381. The legislative procedures have been initiated to transpose also the Directives 2006/54/EC, 2010/41/EU, 79/7/EEC, and 2024/1385. For supporting harmonization and aligning with CEDAW standards, amendments to Laws No. 5/2006 and No. 121/2012 are under assessment to strengthen definitions of discrimination.</w:t>
      </w:r>
    </w:p>
    <w:bookmarkEnd w:id="9"/>
    <w:p w14:paraId="53DE4FEA" w14:textId="7C909D24" w:rsidR="009E539F" w:rsidRDefault="00D17F33" w:rsidP="009E539F">
      <w:pPr>
        <w:pStyle w:val="H1G"/>
      </w:pPr>
      <w:r>
        <w:tab/>
      </w:r>
      <w:r>
        <w:tab/>
      </w:r>
      <w:r w:rsidR="009E539F" w:rsidRPr="009E539F">
        <w:t xml:space="preserve">Reply to paragraph </w:t>
      </w:r>
      <w:r w:rsidR="009E539F">
        <w:t>6</w:t>
      </w:r>
      <w:r w:rsidR="009E539F" w:rsidRPr="009E539F">
        <w:t>(</w:t>
      </w:r>
      <w:r w:rsidR="009E539F">
        <w:t>a</w:t>
      </w:r>
      <w:r w:rsidR="009E539F" w:rsidRPr="009E539F">
        <w:t>)</w:t>
      </w:r>
    </w:p>
    <w:p w14:paraId="53AF3B56" w14:textId="256B83BC" w:rsidR="00C036AD" w:rsidRDefault="00C036AD" w:rsidP="00BF62D8">
      <w:pPr>
        <w:pStyle w:val="SingleTxtG"/>
        <w:numPr>
          <w:ilvl w:val="0"/>
          <w:numId w:val="23"/>
        </w:numPr>
        <w:ind w:left="1134" w:firstLine="0"/>
      </w:pPr>
      <w:r w:rsidRPr="00C036AD">
        <w:t>To ensure that the People's Advocate Office (Ombudsman) possesses the necessary human, technical, and financial resources for the effective fulfilment of its statutory mandate, staff salaries were increased by 30% in 2024 via Law No</w:t>
      </w:r>
      <w:hyperlink r:id="rId16" w:history="1">
        <w:r w:rsidRPr="00C036AD">
          <w:rPr>
            <w:rStyle w:val="Hyperlink"/>
          </w:rPr>
          <w:t>. 418/2023</w:t>
        </w:r>
      </w:hyperlink>
      <w:r w:rsidRPr="00C036AD">
        <w:t xml:space="preserve">, and by an additional 25% as of January 2025 via Law </w:t>
      </w:r>
      <w:hyperlink r:id="rId17" w:history="1">
        <w:r w:rsidRPr="00C036AD">
          <w:rPr>
            <w:rStyle w:val="Hyperlink"/>
          </w:rPr>
          <w:t>No. 305/2024</w:t>
        </w:r>
      </w:hyperlink>
      <w:r w:rsidRPr="00C036AD">
        <w:t xml:space="preserve"> through the upgrading of salary grades. Nevertheless, remuneration levels remain below the recommendations formulated by GANHRI and the Venice Commission, resulting in high staff turnover. Restructuring and renovation works for the headquarters of the Ombudsman are scheduled for the 2025–2027 period. Under the Medium-term budget Framework 2024–2026, budgetary allocations for mandate-related activities remained insufficient, with external funding covering 22.3% of the overall budget. Out of </w:t>
      </w:r>
      <w:hyperlink r:id="rId18" w:history="1">
        <w:r w:rsidRPr="00C036AD">
          <w:rPr>
            <w:rStyle w:val="Hyperlink"/>
          </w:rPr>
          <w:t>72 approved posts</w:t>
        </w:r>
      </w:hyperlink>
      <w:r w:rsidRPr="00C036AD">
        <w:t>, only 54 were budgeted and 46 remained occupied, notwithstanding the provisions of Parliament Decision No. 163/2024.</w:t>
      </w:r>
    </w:p>
    <w:p w14:paraId="0E256DB0" w14:textId="5D41B40B" w:rsidR="009E539F" w:rsidRPr="00C036AD" w:rsidRDefault="00D17F33" w:rsidP="009E539F">
      <w:pPr>
        <w:pStyle w:val="H1G"/>
      </w:pPr>
      <w:r>
        <w:tab/>
      </w:r>
      <w:r>
        <w:tab/>
      </w:r>
      <w:r w:rsidR="009E539F" w:rsidRPr="009E539F">
        <w:t xml:space="preserve">Reply to paragraph </w:t>
      </w:r>
      <w:r w:rsidR="009E539F">
        <w:t>6</w:t>
      </w:r>
      <w:r w:rsidR="009E539F" w:rsidRPr="009E539F">
        <w:t>(</w:t>
      </w:r>
      <w:r w:rsidR="009E539F">
        <w:t>b</w:t>
      </w:r>
      <w:r w:rsidR="009E539F" w:rsidRPr="009E539F">
        <w:t>)</w:t>
      </w:r>
    </w:p>
    <w:p w14:paraId="615C081B" w14:textId="3142246B" w:rsidR="00C036AD" w:rsidRPr="00C036AD" w:rsidRDefault="00C036AD" w:rsidP="00BF62D8">
      <w:pPr>
        <w:pStyle w:val="SingleTxtG"/>
        <w:numPr>
          <w:ilvl w:val="0"/>
          <w:numId w:val="23"/>
        </w:numPr>
        <w:ind w:left="1134" w:firstLine="0"/>
      </w:pPr>
      <w:r w:rsidRPr="00C036AD">
        <w:t xml:space="preserve">The inviolability of the Ombudsman is enshrined in Law No. 52/2014. However, Law No. 1/2023 restricted the Ombudsman's immunity, thereby compromising the functional independence of the institution. Although GANHRI recommended the removal of this limitation, the national authorities have yet to implement it. The </w:t>
      </w:r>
      <w:hyperlink r:id="rId19" w:history="1">
        <w:r w:rsidRPr="00C036AD">
          <w:rPr>
            <w:rStyle w:val="Hyperlink"/>
          </w:rPr>
          <w:t>Ombudsman</w:t>
        </w:r>
      </w:hyperlink>
      <w:r w:rsidRPr="00C036AD">
        <w:t xml:space="preserve"> has issued formal recommendations to public institutions urging the reinstatement of full immunity, the establishment of a sustainable funding mechanism, the comprehensive budgeting of all 72 approved posts, and the adjustment of salaries in alignment with standards set by GANHRI, the UN, and the Venice Commission. </w:t>
      </w:r>
    </w:p>
    <w:p w14:paraId="5F2AF998" w14:textId="1FD0575E" w:rsidR="009E539F" w:rsidRDefault="00D17F33" w:rsidP="009E539F">
      <w:pPr>
        <w:pStyle w:val="H1G"/>
      </w:pPr>
      <w:bookmarkStart w:id="10" w:name="_Toc210633895"/>
      <w:r>
        <w:tab/>
      </w:r>
      <w:r>
        <w:tab/>
      </w:r>
      <w:r w:rsidR="009E539F" w:rsidRPr="009E539F">
        <w:t xml:space="preserve">Reply to paragraph </w:t>
      </w:r>
      <w:r w:rsidR="009E539F">
        <w:t>7</w:t>
      </w:r>
      <w:r w:rsidR="009E539F" w:rsidRPr="009E539F">
        <w:t>(</w:t>
      </w:r>
      <w:r w:rsidR="009E539F">
        <w:t>a</w:t>
      </w:r>
      <w:r w:rsidR="009E539F" w:rsidRPr="009E539F">
        <w:t>)</w:t>
      </w:r>
    </w:p>
    <w:bookmarkEnd w:id="10"/>
    <w:p w14:paraId="4E1223BC" w14:textId="2F14483C" w:rsidR="00C036AD" w:rsidRPr="00C036AD" w:rsidRDefault="00C036AD" w:rsidP="00BF62D8">
      <w:pPr>
        <w:pStyle w:val="SingleTxtG"/>
        <w:numPr>
          <w:ilvl w:val="0"/>
          <w:numId w:val="23"/>
        </w:numPr>
        <w:ind w:left="1134" w:firstLine="0"/>
      </w:pPr>
      <w:r w:rsidRPr="00C036AD">
        <w:t xml:space="preserve">The authorities envisage to amend the legislation with the aim to ensure the equitable and sustainable representation of women and men within the Government, as well as in the appointment processes for senior leadership positions within the public service and the diplomatic service. This action is explicitly mandated under the </w:t>
      </w:r>
      <w:hyperlink r:id="rId20" w:history="1">
        <w:r w:rsidRPr="00C036AD">
          <w:rPr>
            <w:rStyle w:val="Hyperlink"/>
          </w:rPr>
          <w:t>PGE</w:t>
        </w:r>
      </w:hyperlink>
      <w:r w:rsidRPr="00C036AD">
        <w:t>.</w:t>
      </w:r>
    </w:p>
    <w:p w14:paraId="09F1AFF8" w14:textId="268FC5BB" w:rsidR="009E539F" w:rsidRDefault="00D17F33" w:rsidP="009E539F">
      <w:pPr>
        <w:pStyle w:val="H1G"/>
      </w:pPr>
      <w:bookmarkStart w:id="11" w:name="_Toc210633897"/>
      <w:r>
        <w:tab/>
      </w:r>
      <w:r>
        <w:tab/>
      </w:r>
      <w:r w:rsidR="009E539F" w:rsidRPr="001360C5">
        <w:t>Reply to paragraph</w:t>
      </w:r>
      <w:r w:rsidR="009E539F">
        <w:t xml:space="preserve"> 7(b)</w:t>
      </w:r>
    </w:p>
    <w:p w14:paraId="5CC97B32" w14:textId="24F1F6F7" w:rsidR="00C036AD" w:rsidRPr="00C036AD" w:rsidRDefault="00C036AD" w:rsidP="00BF62D8">
      <w:pPr>
        <w:pStyle w:val="SingleTxtG"/>
        <w:numPr>
          <w:ilvl w:val="0"/>
          <w:numId w:val="23"/>
        </w:numPr>
        <w:ind w:left="1134" w:firstLine="0"/>
      </w:pPr>
      <w:bookmarkStart w:id="12" w:name="_Toc210633898"/>
      <w:bookmarkEnd w:id="11"/>
      <w:r w:rsidRPr="00C036AD">
        <w:t xml:space="preserve">The MIA personnel underwent capacity-building and training on gender equality and prevention of sexual harassment. Targeted mentoring and leadership development programmes involved 30 participants, successfully strengthening institutional capacities and promoting women’s leadership. The AER concluded two bilateral memorandums of understanding with the „Vocea Romilor” Coalition and the National Association of Community Mediators, aimed at advancing public policy formulation and accelerating Roma inclusion. High-level public awareness initiatives, including an international forum in April 2025 and the „Roma Culture Week” hosted across more than ten localities, engaging public authorities and key decision-makers, thereby contributing to the elimination of systemic stereotypes and the promotion of social inclusion. </w:t>
      </w:r>
    </w:p>
    <w:p w14:paraId="047653EA" w14:textId="6F08DDC4" w:rsidR="009E539F" w:rsidRDefault="00D17F33" w:rsidP="009E539F">
      <w:pPr>
        <w:pStyle w:val="H1G"/>
      </w:pPr>
      <w:r>
        <w:lastRenderedPageBreak/>
        <w:tab/>
      </w:r>
      <w:r>
        <w:tab/>
      </w:r>
      <w:r w:rsidR="009E539F" w:rsidRPr="009E539F">
        <w:t xml:space="preserve">Reply to paragraph </w:t>
      </w:r>
      <w:r w:rsidR="009E539F">
        <w:t>7</w:t>
      </w:r>
      <w:r w:rsidR="009E539F" w:rsidRPr="009E539F">
        <w:t>(c)</w:t>
      </w:r>
    </w:p>
    <w:bookmarkEnd w:id="12"/>
    <w:p w14:paraId="388819E3" w14:textId="4F014218" w:rsidR="00C036AD" w:rsidRPr="00C036AD" w:rsidRDefault="00C036AD" w:rsidP="00BF62D8">
      <w:pPr>
        <w:pStyle w:val="SingleTxtG"/>
        <w:numPr>
          <w:ilvl w:val="0"/>
          <w:numId w:val="23"/>
        </w:numPr>
        <w:ind w:left="1134" w:firstLine="0"/>
        <w:rPr>
          <w:bCs/>
        </w:rPr>
      </w:pPr>
      <w:r w:rsidRPr="00C036AD">
        <w:t xml:space="preserve">In education, through the implementation of the </w:t>
      </w:r>
      <w:hyperlink r:id="rId21" w:history="1">
        <w:r w:rsidRPr="00C036AD">
          <w:rPr>
            <w:rStyle w:val="Hyperlink"/>
          </w:rPr>
          <w:t>Merit Scholarship Programme for Roma Children and Students</w:t>
        </w:r>
      </w:hyperlink>
      <w:r w:rsidRPr="00C036AD">
        <w:t>, which provides 120 monthly scholarships of 58.63 EUR in 2025, thereby stimulating academic performance and reducing educational disparities, particularly for Roma girls. Additionally, to increase enrolment rates and prevent school dropouts, universal free school meals for all children in grades I–IX and a one-time financial allowance of 49.11 EUR were introduced, effective 1 September 2025.</w:t>
      </w:r>
    </w:p>
    <w:p w14:paraId="5855E272" w14:textId="77777777" w:rsidR="00C036AD" w:rsidRDefault="00C036AD" w:rsidP="00BF62D8">
      <w:pPr>
        <w:pStyle w:val="SingleTxtG"/>
        <w:numPr>
          <w:ilvl w:val="0"/>
          <w:numId w:val="23"/>
        </w:numPr>
        <w:ind w:left="1134" w:firstLine="0"/>
      </w:pPr>
      <w:r w:rsidRPr="00C036AD">
        <w:t xml:space="preserve">In employment, the National Employment Agency organized targeted seminars, recruitment drives, and job fairs to facilitate equitable access to education and employment for job seekers, explicitly targeting marginalized groups such as Roma women, national minorities, rural women, elderly women, and women with disabilities. Available institutional provisions encompass labour market information and vocational counselling, career guidance, job mediation, pre-redundancy services, vocational training, employer subsidies, labour mobility support, and entrepreneurship grants. </w:t>
      </w:r>
    </w:p>
    <w:tbl>
      <w:tblPr>
        <w:tblStyle w:val="TableGrid10"/>
        <w:tblW w:w="7370" w:type="dxa"/>
        <w:tblInd w:w="1134" w:type="dxa"/>
        <w:tblLayout w:type="fixed"/>
        <w:tblLook w:val="04A0" w:firstRow="1" w:lastRow="0" w:firstColumn="1" w:lastColumn="0" w:noHBand="0" w:noVBand="1"/>
      </w:tblPr>
      <w:tblGrid>
        <w:gridCol w:w="4767"/>
        <w:gridCol w:w="1311"/>
        <w:gridCol w:w="1292"/>
      </w:tblGrid>
      <w:tr w:rsidR="00CF786D" w:rsidRPr="00CF786D" w14:paraId="09792419" w14:textId="77777777" w:rsidTr="00CF786D">
        <w:trPr>
          <w:tblHeader/>
        </w:trPr>
        <w:tc>
          <w:tcPr>
            <w:tcW w:w="4767" w:type="dxa"/>
            <w:tcBorders>
              <w:top w:val="single" w:sz="4" w:space="0" w:color="auto"/>
              <w:bottom w:val="single" w:sz="12" w:space="0" w:color="auto"/>
            </w:tcBorders>
            <w:vAlign w:val="bottom"/>
          </w:tcPr>
          <w:p w14:paraId="445AEE37" w14:textId="77777777" w:rsidR="00CF786D" w:rsidRPr="00CF786D" w:rsidRDefault="00CF786D" w:rsidP="00CF786D">
            <w:pPr>
              <w:suppressAutoHyphens w:val="0"/>
              <w:spacing w:before="80" w:after="80" w:line="200" w:lineRule="exact"/>
              <w:rPr>
                <w:rFonts w:eastAsia="Calibri"/>
                <w:i/>
                <w:kern w:val="0"/>
                <w:sz w:val="16"/>
                <w:szCs w:val="24"/>
                <w:lang w:val="en-CH"/>
              </w:rPr>
            </w:pPr>
            <w:r w:rsidRPr="00CF786D">
              <w:rPr>
                <w:i/>
                <w:kern w:val="0"/>
                <w:sz w:val="16"/>
                <w:szCs w:val="24"/>
                <w:lang w:val="en-CH"/>
              </w:rPr>
              <w:t>Categorie</w:t>
            </w:r>
          </w:p>
        </w:tc>
        <w:tc>
          <w:tcPr>
            <w:tcW w:w="1311" w:type="dxa"/>
            <w:tcBorders>
              <w:top w:val="single" w:sz="4" w:space="0" w:color="auto"/>
              <w:bottom w:val="single" w:sz="12" w:space="0" w:color="auto"/>
            </w:tcBorders>
            <w:vAlign w:val="bottom"/>
          </w:tcPr>
          <w:p w14:paraId="6F71911D" w14:textId="77777777" w:rsidR="00CF786D" w:rsidRPr="00CF786D" w:rsidRDefault="00CF786D" w:rsidP="00CF786D">
            <w:pPr>
              <w:suppressAutoHyphens w:val="0"/>
              <w:spacing w:before="80" w:after="80" w:line="200" w:lineRule="exact"/>
              <w:jc w:val="right"/>
              <w:rPr>
                <w:rFonts w:eastAsia="Calibri"/>
                <w:i/>
                <w:kern w:val="0"/>
                <w:sz w:val="16"/>
                <w:szCs w:val="24"/>
                <w:lang w:val="en-CH"/>
              </w:rPr>
            </w:pPr>
            <w:r w:rsidRPr="00CF786D">
              <w:rPr>
                <w:i/>
                <w:kern w:val="0"/>
                <w:sz w:val="16"/>
                <w:szCs w:val="24"/>
                <w:lang w:val="en-CH"/>
              </w:rPr>
              <w:t>2023</w:t>
            </w:r>
          </w:p>
        </w:tc>
        <w:tc>
          <w:tcPr>
            <w:tcW w:w="1292" w:type="dxa"/>
            <w:tcBorders>
              <w:top w:val="single" w:sz="4" w:space="0" w:color="auto"/>
              <w:bottom w:val="single" w:sz="12" w:space="0" w:color="auto"/>
            </w:tcBorders>
            <w:vAlign w:val="bottom"/>
          </w:tcPr>
          <w:p w14:paraId="72D8FD45" w14:textId="77777777" w:rsidR="00CF786D" w:rsidRPr="00CF786D" w:rsidRDefault="00CF786D" w:rsidP="00CF786D">
            <w:pPr>
              <w:suppressAutoHyphens w:val="0"/>
              <w:spacing w:before="80" w:after="80" w:line="200" w:lineRule="exact"/>
              <w:jc w:val="right"/>
              <w:rPr>
                <w:rFonts w:eastAsia="Calibri"/>
                <w:i/>
                <w:kern w:val="0"/>
                <w:sz w:val="16"/>
                <w:szCs w:val="24"/>
                <w:lang w:val="en-CH"/>
              </w:rPr>
            </w:pPr>
            <w:r w:rsidRPr="00CF786D">
              <w:rPr>
                <w:i/>
                <w:kern w:val="0"/>
                <w:sz w:val="16"/>
                <w:szCs w:val="24"/>
                <w:lang w:val="en-CH"/>
              </w:rPr>
              <w:t>2024</w:t>
            </w:r>
          </w:p>
        </w:tc>
      </w:tr>
      <w:tr w:rsidR="00CF786D" w:rsidRPr="00CF786D" w14:paraId="0F5D877E" w14:textId="77777777" w:rsidTr="00CF786D">
        <w:tc>
          <w:tcPr>
            <w:tcW w:w="4767" w:type="dxa"/>
            <w:tcBorders>
              <w:top w:val="single" w:sz="12" w:space="0" w:color="auto"/>
            </w:tcBorders>
          </w:tcPr>
          <w:p w14:paraId="076A9972"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Women belonging to national minorities (Roma)</w:t>
            </w:r>
          </w:p>
        </w:tc>
        <w:tc>
          <w:tcPr>
            <w:tcW w:w="1311" w:type="dxa"/>
            <w:tcBorders>
              <w:top w:val="single" w:sz="12" w:space="0" w:color="auto"/>
            </w:tcBorders>
            <w:vAlign w:val="bottom"/>
          </w:tcPr>
          <w:p w14:paraId="1F8D4D09"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8</w:t>
            </w:r>
          </w:p>
        </w:tc>
        <w:tc>
          <w:tcPr>
            <w:tcW w:w="1292" w:type="dxa"/>
            <w:tcBorders>
              <w:top w:val="single" w:sz="12" w:space="0" w:color="auto"/>
            </w:tcBorders>
            <w:vAlign w:val="bottom"/>
          </w:tcPr>
          <w:p w14:paraId="0AD1029A"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8</w:t>
            </w:r>
          </w:p>
        </w:tc>
      </w:tr>
      <w:tr w:rsidR="00CF786D" w:rsidRPr="00CF786D" w14:paraId="672190D5" w14:textId="77777777" w:rsidTr="00CF786D">
        <w:tc>
          <w:tcPr>
            <w:tcW w:w="4767" w:type="dxa"/>
          </w:tcPr>
          <w:p w14:paraId="1223B36F"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Women from rural area</w:t>
            </w:r>
          </w:p>
        </w:tc>
        <w:tc>
          <w:tcPr>
            <w:tcW w:w="1311" w:type="dxa"/>
            <w:vAlign w:val="bottom"/>
          </w:tcPr>
          <w:p w14:paraId="7EA767D0"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785</w:t>
            </w:r>
          </w:p>
        </w:tc>
        <w:tc>
          <w:tcPr>
            <w:tcW w:w="1292" w:type="dxa"/>
            <w:vAlign w:val="bottom"/>
          </w:tcPr>
          <w:p w14:paraId="77468321"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650</w:t>
            </w:r>
          </w:p>
        </w:tc>
      </w:tr>
      <w:tr w:rsidR="00CF786D" w:rsidRPr="00CF786D" w14:paraId="4EEA268B" w14:textId="77777777" w:rsidTr="00CF786D">
        <w:tc>
          <w:tcPr>
            <w:tcW w:w="4767" w:type="dxa"/>
          </w:tcPr>
          <w:p w14:paraId="0DBE215C"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Women aged 50 and over</w:t>
            </w:r>
          </w:p>
        </w:tc>
        <w:tc>
          <w:tcPr>
            <w:tcW w:w="1311" w:type="dxa"/>
            <w:vAlign w:val="bottom"/>
          </w:tcPr>
          <w:p w14:paraId="52128210"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291</w:t>
            </w:r>
          </w:p>
        </w:tc>
        <w:tc>
          <w:tcPr>
            <w:tcW w:w="1292" w:type="dxa"/>
            <w:vAlign w:val="bottom"/>
          </w:tcPr>
          <w:p w14:paraId="2B149022"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127</w:t>
            </w:r>
          </w:p>
        </w:tc>
      </w:tr>
      <w:tr w:rsidR="00CF786D" w:rsidRPr="00CF786D" w14:paraId="36FFA08B" w14:textId="77777777" w:rsidTr="00CF786D">
        <w:tc>
          <w:tcPr>
            <w:tcW w:w="4767" w:type="dxa"/>
          </w:tcPr>
          <w:p w14:paraId="07D57333"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Women with disabilities</w:t>
            </w:r>
          </w:p>
        </w:tc>
        <w:tc>
          <w:tcPr>
            <w:tcW w:w="1311" w:type="dxa"/>
            <w:vAlign w:val="bottom"/>
          </w:tcPr>
          <w:p w14:paraId="22B110B2"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57</w:t>
            </w:r>
          </w:p>
        </w:tc>
        <w:tc>
          <w:tcPr>
            <w:tcW w:w="1292" w:type="dxa"/>
            <w:vAlign w:val="bottom"/>
          </w:tcPr>
          <w:p w14:paraId="7DDA33BC"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41</w:t>
            </w:r>
          </w:p>
        </w:tc>
      </w:tr>
      <w:tr w:rsidR="00CF786D" w:rsidRPr="00CF786D" w14:paraId="11F22240" w14:textId="77777777" w:rsidTr="00CF786D">
        <w:tc>
          <w:tcPr>
            <w:tcW w:w="4767" w:type="dxa"/>
          </w:tcPr>
          <w:p w14:paraId="07BEC80B"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Total women, of which:</w:t>
            </w:r>
          </w:p>
        </w:tc>
        <w:tc>
          <w:tcPr>
            <w:tcW w:w="1311" w:type="dxa"/>
            <w:vAlign w:val="bottom"/>
          </w:tcPr>
          <w:p w14:paraId="3D0D15C7"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229</w:t>
            </w:r>
          </w:p>
        </w:tc>
        <w:tc>
          <w:tcPr>
            <w:tcW w:w="1292" w:type="dxa"/>
            <w:vAlign w:val="bottom"/>
          </w:tcPr>
          <w:p w14:paraId="3A094D95"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200</w:t>
            </w:r>
          </w:p>
        </w:tc>
      </w:tr>
      <w:tr w:rsidR="00CF786D" w:rsidRPr="00CF786D" w14:paraId="4CFA01AB" w14:textId="77777777" w:rsidTr="00CF786D">
        <w:tc>
          <w:tcPr>
            <w:tcW w:w="7370" w:type="dxa"/>
            <w:gridSpan w:val="3"/>
          </w:tcPr>
          <w:p w14:paraId="1118B1EB"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 xml:space="preserve">Persons who need additional support on the labour market, other categories (Law </w:t>
            </w:r>
          </w:p>
          <w:p w14:paraId="7B6E2E7A"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105/2018, art. 23 (3))</w:t>
            </w:r>
          </w:p>
        </w:tc>
      </w:tr>
      <w:tr w:rsidR="00CF786D" w:rsidRPr="00CF786D" w14:paraId="4B44A9DF" w14:textId="77777777" w:rsidTr="00CF786D">
        <w:tc>
          <w:tcPr>
            <w:tcW w:w="4767" w:type="dxa"/>
          </w:tcPr>
          <w:p w14:paraId="2E1EE6FF"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 Long-term unemployed women</w:t>
            </w:r>
          </w:p>
        </w:tc>
        <w:tc>
          <w:tcPr>
            <w:tcW w:w="1311" w:type="dxa"/>
            <w:vAlign w:val="bottom"/>
          </w:tcPr>
          <w:p w14:paraId="7290915C"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43</w:t>
            </w:r>
          </w:p>
        </w:tc>
        <w:tc>
          <w:tcPr>
            <w:tcW w:w="1292" w:type="dxa"/>
            <w:vAlign w:val="bottom"/>
          </w:tcPr>
          <w:p w14:paraId="2F2576A0"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25</w:t>
            </w:r>
          </w:p>
        </w:tc>
      </w:tr>
      <w:tr w:rsidR="00CF786D" w:rsidRPr="00CF786D" w14:paraId="4D891E80" w14:textId="77777777" w:rsidTr="00CF786D">
        <w:tc>
          <w:tcPr>
            <w:tcW w:w="4767" w:type="dxa"/>
          </w:tcPr>
          <w:p w14:paraId="2435B05F"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 Young women aged between 16 and 18 years witho</w:t>
            </w:r>
          </w:p>
        </w:tc>
        <w:tc>
          <w:tcPr>
            <w:tcW w:w="1311" w:type="dxa"/>
            <w:vAlign w:val="bottom"/>
          </w:tcPr>
          <w:p w14:paraId="3ABBF69E"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u</w:t>
            </w:r>
            <w:r w:rsidRPr="00CF786D">
              <w:rPr>
                <w:kern w:val="0"/>
                <w:sz w:val="18"/>
                <w:szCs w:val="24"/>
                <w:lang w:val="en-CH"/>
              </w:rPr>
              <w:tab/>
              <w:t>23</w:t>
            </w:r>
          </w:p>
        </w:tc>
        <w:tc>
          <w:tcPr>
            <w:tcW w:w="1292" w:type="dxa"/>
            <w:vAlign w:val="bottom"/>
          </w:tcPr>
          <w:p w14:paraId="57F0D786"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22</w:t>
            </w:r>
          </w:p>
        </w:tc>
      </w:tr>
      <w:tr w:rsidR="00CF786D" w:rsidRPr="00CF786D" w14:paraId="3B152699" w14:textId="77777777" w:rsidTr="00CF786D">
        <w:tc>
          <w:tcPr>
            <w:tcW w:w="4767" w:type="dxa"/>
          </w:tcPr>
          <w:p w14:paraId="2063E0C7"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 Women who do not have a profession / trade</w:t>
            </w:r>
          </w:p>
        </w:tc>
        <w:tc>
          <w:tcPr>
            <w:tcW w:w="1311" w:type="dxa"/>
            <w:vAlign w:val="bottom"/>
          </w:tcPr>
          <w:p w14:paraId="32B308B0"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161</w:t>
            </w:r>
          </w:p>
        </w:tc>
        <w:tc>
          <w:tcPr>
            <w:tcW w:w="1292" w:type="dxa"/>
            <w:vAlign w:val="bottom"/>
          </w:tcPr>
          <w:p w14:paraId="19610BFA"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152</w:t>
            </w:r>
          </w:p>
        </w:tc>
      </w:tr>
      <w:tr w:rsidR="00CF786D" w:rsidRPr="00CF786D" w14:paraId="611A5076" w14:textId="77777777" w:rsidTr="00CF786D">
        <w:tc>
          <w:tcPr>
            <w:tcW w:w="4767" w:type="dxa"/>
          </w:tcPr>
          <w:p w14:paraId="35769EF0"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kern w:val="0"/>
                <w:sz w:val="18"/>
                <w:szCs w:val="24"/>
                <w:lang w:val="en-CH"/>
              </w:rPr>
              <w:t>* Women released from detention</w:t>
            </w:r>
          </w:p>
        </w:tc>
        <w:tc>
          <w:tcPr>
            <w:tcW w:w="1311" w:type="dxa"/>
            <w:vAlign w:val="bottom"/>
          </w:tcPr>
          <w:p w14:paraId="22BC317C"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2</w:t>
            </w:r>
          </w:p>
        </w:tc>
        <w:tc>
          <w:tcPr>
            <w:tcW w:w="1292" w:type="dxa"/>
            <w:vAlign w:val="bottom"/>
          </w:tcPr>
          <w:p w14:paraId="28C322C9" w14:textId="77777777" w:rsidR="00CF786D" w:rsidRPr="00CF786D" w:rsidRDefault="00CF786D" w:rsidP="00CF786D">
            <w:pPr>
              <w:suppressAutoHyphens w:val="0"/>
              <w:spacing w:before="40" w:after="40" w:line="220" w:lineRule="exact"/>
              <w:jc w:val="right"/>
              <w:rPr>
                <w:rFonts w:eastAsia="Calibri"/>
                <w:kern w:val="0"/>
                <w:sz w:val="18"/>
                <w:szCs w:val="24"/>
                <w:lang w:val="en-CH"/>
              </w:rPr>
            </w:pPr>
            <w:r w:rsidRPr="00CF786D">
              <w:rPr>
                <w:kern w:val="0"/>
                <w:sz w:val="18"/>
                <w:szCs w:val="24"/>
                <w:lang w:val="en-CH"/>
              </w:rPr>
              <w:t>1</w:t>
            </w:r>
          </w:p>
        </w:tc>
      </w:tr>
      <w:tr w:rsidR="00CF786D" w:rsidRPr="00CF786D" w14:paraId="5802CB1B" w14:textId="77777777" w:rsidTr="00CF786D">
        <w:tc>
          <w:tcPr>
            <w:tcW w:w="7370" w:type="dxa"/>
            <w:gridSpan w:val="3"/>
            <w:tcBorders>
              <w:bottom w:val="single" w:sz="12" w:space="0" w:color="auto"/>
            </w:tcBorders>
          </w:tcPr>
          <w:p w14:paraId="498D97BB" w14:textId="77777777" w:rsidR="00CF786D" w:rsidRPr="00CF786D" w:rsidRDefault="00CF786D" w:rsidP="00CF786D">
            <w:pPr>
              <w:suppressAutoHyphens w:val="0"/>
              <w:spacing w:before="40" w:after="40" w:line="220" w:lineRule="exact"/>
              <w:rPr>
                <w:rFonts w:eastAsia="Calibri"/>
                <w:kern w:val="0"/>
                <w:sz w:val="18"/>
                <w:szCs w:val="24"/>
                <w:lang w:val="en-CH"/>
              </w:rPr>
            </w:pPr>
            <w:r w:rsidRPr="00CF786D">
              <w:rPr>
                <w:rFonts w:eastAsia="Arial"/>
                <w:kern w:val="0"/>
                <w:sz w:val="18"/>
                <w:szCs w:val="24"/>
                <w:lang w:val="en-CH"/>
              </w:rPr>
              <w:t>N</w:t>
            </w:r>
            <w:r w:rsidRPr="00CF786D">
              <w:rPr>
                <w:kern w:val="0"/>
                <w:sz w:val="18"/>
                <w:szCs w:val="24"/>
                <w:lang w:val="en-CH"/>
              </w:rPr>
              <w:t>ote: Data reflects intersectionality, as an individual woman may be classified under two or more vulnerable categories.</w:t>
            </w:r>
          </w:p>
        </w:tc>
      </w:tr>
    </w:tbl>
    <w:p w14:paraId="60C7095A" w14:textId="77777777" w:rsidR="00C036AD" w:rsidRPr="00C036AD" w:rsidRDefault="00C036AD" w:rsidP="00BF62D8">
      <w:pPr>
        <w:pStyle w:val="SingleTxtG"/>
        <w:numPr>
          <w:ilvl w:val="0"/>
          <w:numId w:val="23"/>
        </w:numPr>
        <w:ind w:left="1134" w:firstLine="0"/>
      </w:pPr>
      <w:r w:rsidRPr="00C036AD">
        <w:t>In decision-making processes, a mandatory 40% gender quota for both sexes on candidate lists was enshrined in the Electoral Code, applicable to general local, parliamentary, and new local elections.</w:t>
      </w:r>
      <w:bookmarkStart w:id="13" w:name="_Toc210633899"/>
    </w:p>
    <w:p w14:paraId="4236EE17" w14:textId="0E81FF37" w:rsidR="009E539F" w:rsidRDefault="009E539F" w:rsidP="009E539F">
      <w:pPr>
        <w:pStyle w:val="H1G"/>
      </w:pPr>
      <w:bookmarkStart w:id="14" w:name="_Toc210633900"/>
      <w:bookmarkEnd w:id="13"/>
      <w:r>
        <w:tab/>
      </w:r>
      <w:r>
        <w:tab/>
      </w:r>
      <w:r w:rsidRPr="009E539F">
        <w:t xml:space="preserve">Reply to paragraph </w:t>
      </w:r>
      <w:r>
        <w:t>8</w:t>
      </w:r>
      <w:r w:rsidRPr="009E539F">
        <w:t>(</w:t>
      </w:r>
      <w:r>
        <w:t>a</w:t>
      </w:r>
      <w:r w:rsidRPr="009E539F">
        <w:t>)</w:t>
      </w:r>
    </w:p>
    <w:bookmarkEnd w:id="14"/>
    <w:p w14:paraId="04305394" w14:textId="34E2B287" w:rsidR="00C036AD" w:rsidRPr="00C036AD" w:rsidRDefault="00C036AD" w:rsidP="00BF62D8">
      <w:pPr>
        <w:pStyle w:val="SingleTxtG"/>
        <w:numPr>
          <w:ilvl w:val="0"/>
          <w:numId w:val="23"/>
        </w:numPr>
        <w:ind w:left="1134" w:firstLine="0"/>
      </w:pPr>
      <w:r w:rsidRPr="00C036AD">
        <w:t xml:space="preserve">To prevent sexist language and promote gender-sensitive, inclusive language, normative acts and guidelines have been developed and updated to support the training of journalists and public officials, including discourse monitoring methodologies and regulations for audiovisual content. The Audiovisual Council continuously monitors television and radio broadcasts to protect human dignity, ensure gender equality, and </w:t>
      </w:r>
      <w:hyperlink r:id="rId22" w:history="1">
        <w:r w:rsidRPr="00C036AD">
          <w:rPr>
            <w:rStyle w:val="Hyperlink"/>
          </w:rPr>
          <w:t>combat sexism</w:t>
        </w:r>
      </w:hyperlink>
      <w:r w:rsidRPr="00C036AD">
        <w:t>, in accordance with legislative provisions prohibiting sexist advertising. Concurrently, the Journalist's Code of Ethics reinforces the commitment to non-discrimination and the continuous professional development of media personnel, thereby strengthening the capacity of the mass media to promote gender equality.</w:t>
      </w:r>
    </w:p>
    <w:p w14:paraId="1D0A3066" w14:textId="5C60D611" w:rsidR="009E539F" w:rsidRDefault="00D17F33" w:rsidP="009E539F">
      <w:pPr>
        <w:pStyle w:val="H1G"/>
      </w:pPr>
      <w:bookmarkStart w:id="15" w:name="_Toc210633902"/>
      <w:r>
        <w:tab/>
      </w:r>
      <w:r>
        <w:tab/>
      </w:r>
      <w:r w:rsidR="009E539F" w:rsidRPr="001360C5">
        <w:t>Reply to paragraph</w:t>
      </w:r>
      <w:r w:rsidR="009E539F">
        <w:t xml:space="preserve"> 8(b)</w:t>
      </w:r>
    </w:p>
    <w:p w14:paraId="07EFE93E" w14:textId="7DA8FBB9" w:rsidR="00C036AD" w:rsidRPr="00C036AD" w:rsidRDefault="00C036AD" w:rsidP="00BF62D8">
      <w:pPr>
        <w:pStyle w:val="SingleTxtG"/>
        <w:numPr>
          <w:ilvl w:val="0"/>
          <w:numId w:val="23"/>
        </w:numPr>
        <w:ind w:left="1134" w:firstLine="0"/>
      </w:pPr>
      <w:bookmarkStart w:id="16" w:name="_Toc210633903"/>
      <w:bookmarkEnd w:id="15"/>
      <w:r w:rsidRPr="00C036AD">
        <w:t xml:space="preserve">Public awareness-raising initiatives were conducted to address gender stereotypes and DV,  including high-level events: International Family Day, which engaged over 52,000 participants;  the official establishment of National Father's Day in 2025 to promote active fatherhood and shared parental responsibilities. The academic symposia and career fairs were organized, alongside with   inauguration of the first child - friendly space within the MIA infrastructure. Annual advocacy campaigns, including the „16 Days of Activism against </w:t>
      </w:r>
      <w:r w:rsidRPr="00C036AD">
        <w:lastRenderedPageBreak/>
        <w:t xml:space="preserve">GBV” and „Denim Day” were systematically sustained to prevent and combat VAW and DV. </w:t>
      </w:r>
    </w:p>
    <w:p w14:paraId="7EB5D444" w14:textId="69DAD318" w:rsidR="009E539F" w:rsidRDefault="00D17F33" w:rsidP="009E539F">
      <w:pPr>
        <w:pStyle w:val="H1G"/>
      </w:pPr>
      <w:r>
        <w:tab/>
      </w:r>
      <w:r>
        <w:tab/>
      </w:r>
      <w:r w:rsidR="009E539F" w:rsidRPr="001360C5">
        <w:t>Reply to paragraph</w:t>
      </w:r>
      <w:r w:rsidR="009E539F">
        <w:t xml:space="preserve"> 8(c)</w:t>
      </w:r>
    </w:p>
    <w:p w14:paraId="68269CE7" w14:textId="3AA11DAA" w:rsidR="00C036AD" w:rsidRPr="00C036AD" w:rsidRDefault="00C036AD" w:rsidP="00BF62D8">
      <w:pPr>
        <w:pStyle w:val="SingleTxtG"/>
        <w:numPr>
          <w:ilvl w:val="0"/>
          <w:numId w:val="23"/>
        </w:numPr>
        <w:ind w:left="1134" w:firstLine="0"/>
      </w:pPr>
      <w:bookmarkStart w:id="17" w:name="_Toc210633904"/>
      <w:bookmarkEnd w:id="16"/>
      <w:r w:rsidRPr="00C036AD">
        <w:t xml:space="preserve">Aiming at strengthening parental capacities and ensuring universal access to parenting education services, the National Platform for Parenting Education and the Promotion of Positive Parent-Child Relationships was launched in 2025. Supported by UNICEF and other international development partners, evidence-based programmes such as „Without Slapping and Abuse”, „12plus” and „CONECT” have enhanced parenting competencies. The digital platforms </w:t>
      </w:r>
      <w:r w:rsidRPr="00C036AD">
        <w:rPr>
          <w:i/>
          <w:iCs/>
        </w:rPr>
        <w:t>parinteste.md</w:t>
      </w:r>
      <w:r w:rsidRPr="00C036AD">
        <w:t xml:space="preserve"> and </w:t>
      </w:r>
      <w:r w:rsidRPr="00C036AD">
        <w:rPr>
          <w:i/>
          <w:iCs/>
        </w:rPr>
        <w:t>abilitare.md</w:t>
      </w:r>
      <w:r w:rsidRPr="00C036AD">
        <w:t xml:space="preserve"> provide accessible resources for parents and caregivers, including those raising children with disabilities. Child- and family-friendly spaces were established in four pilot localities, while the „PEACE” and „Mellow Parenting” interventions successfully reached over 250 families, 400 children, and approximately 1,200 parents. </w:t>
      </w:r>
    </w:p>
    <w:p w14:paraId="6280F49D" w14:textId="7E5B3288" w:rsidR="009E539F" w:rsidRDefault="00D17F33" w:rsidP="009E539F">
      <w:pPr>
        <w:pStyle w:val="H1G"/>
      </w:pPr>
      <w:r>
        <w:tab/>
      </w:r>
      <w:r>
        <w:tab/>
      </w:r>
      <w:r w:rsidR="009E539F" w:rsidRPr="001360C5">
        <w:t>Reply to paragraph</w:t>
      </w:r>
      <w:r w:rsidR="009E539F">
        <w:t xml:space="preserve"> 8(d)</w:t>
      </w:r>
    </w:p>
    <w:p w14:paraId="33C7ED0E" w14:textId="26F0B2EC" w:rsidR="00C036AD" w:rsidRPr="00C036AD" w:rsidRDefault="00C036AD" w:rsidP="00BF62D8">
      <w:pPr>
        <w:pStyle w:val="SingleTxtG"/>
        <w:numPr>
          <w:ilvl w:val="0"/>
          <w:numId w:val="23"/>
        </w:numPr>
        <w:ind w:left="1134" w:firstLine="0"/>
        <w:rPr>
          <w:bCs/>
        </w:rPr>
      </w:pPr>
      <w:bookmarkStart w:id="18" w:name="_Toc210633905"/>
      <w:bookmarkEnd w:id="17"/>
      <w:r w:rsidRPr="00C036AD">
        <w:t>In primary and secondary education, gender equality is systematically promoted through the mandatory curricula „Education for Society” and „Personal Development” as well as the elective course „Education for Gender Equity and Equal Opportunities”. These subjects address gender roles, stereotypes, family dynamics, non-violent communication, self-education, and democratic values, thereby mainstreaming non-discrimination and the deconstruction of stereotypes throughout lower -  and upper-secondary education cycles.</w:t>
      </w:r>
      <w:r w:rsidRPr="00C036AD">
        <w:rPr>
          <w:bCs/>
        </w:rPr>
        <w:t xml:space="preserve"> </w:t>
      </w:r>
      <w:r w:rsidRPr="00C036AD">
        <w:t xml:space="preserve">School textbooks have been systematically reviewed and reissued to eliminate discriminatory content: between 2018 and 2020, 68 textbook titles were published or revised, with 29 translated into Russian, and an additional 19 titles were evaluated in 2021 in accordance with MER Plan (Order No. 51/2021). Regulatory frameworks adopted in 2022 and 2023 (Order No. 300/2022 and GD No. 127/2023) introduce a mandatory „non-discriminatory character” criterion for the evaluation, selection, and procurement of textbooks. </w:t>
      </w:r>
    </w:p>
    <w:p w14:paraId="3857A47E" w14:textId="77777777" w:rsidR="00C036AD" w:rsidRPr="00C036AD" w:rsidRDefault="00C036AD" w:rsidP="00BF62D8">
      <w:pPr>
        <w:pStyle w:val="SingleTxtG"/>
        <w:numPr>
          <w:ilvl w:val="0"/>
          <w:numId w:val="23"/>
        </w:numPr>
        <w:ind w:left="1134" w:firstLine="0"/>
      </w:pPr>
      <w:r w:rsidRPr="00C036AD">
        <w:t xml:space="preserve">Teaching staff regularly benefit from continuous professional development to effectively deliver gender-sensitive content and prevent the perpetuation of stereotypes. Finally, the periodic curriculum reform (conducted every five years) alongside public consultations on new curricular frameworks ensure the sustained integration and reinforcement of the principles of equality and non - discrimination. </w:t>
      </w:r>
    </w:p>
    <w:p w14:paraId="02402CF5" w14:textId="42BB8B02" w:rsidR="00E70C0E" w:rsidRDefault="00D17F33" w:rsidP="00E70C0E">
      <w:pPr>
        <w:pStyle w:val="H1G"/>
      </w:pPr>
      <w:r>
        <w:tab/>
      </w:r>
      <w:r>
        <w:tab/>
      </w:r>
      <w:r w:rsidR="00E70C0E" w:rsidRPr="001360C5">
        <w:t>Reply to paragraph</w:t>
      </w:r>
      <w:r w:rsidR="00E70C0E">
        <w:t xml:space="preserve"> 8(e)</w:t>
      </w:r>
    </w:p>
    <w:p w14:paraId="762C0468" w14:textId="0F90C341" w:rsidR="00C036AD" w:rsidRPr="00C036AD" w:rsidRDefault="00C036AD" w:rsidP="00BF62D8">
      <w:pPr>
        <w:pStyle w:val="SingleTxtG"/>
        <w:numPr>
          <w:ilvl w:val="0"/>
          <w:numId w:val="23"/>
        </w:numPr>
        <w:ind w:left="1134" w:firstLine="0"/>
        <w:rPr>
          <w:bCs/>
        </w:rPr>
      </w:pPr>
      <w:bookmarkStart w:id="19" w:name="_Toc210633906"/>
      <w:bookmarkEnd w:id="18"/>
      <w:r w:rsidRPr="00C036AD">
        <w:t>The legislative framework protects the health, dignity, and bodily autonomy of all individuals, strictly prohibiting the practice of forced sterilization. Forced sterilization is outlawed under Law No. 263/2005 on the Rights and Responsibilities of the Patient. Article 9 guarantees equitable access to reproductive health and family planning services, while Article 13 mandates that any medical intervention requires the prior, free, and informed consent of the patient. In the absence of such consent, a medical decision may only be taken by a medical board exclusively for emergency, life-saving interventions.</w:t>
      </w:r>
    </w:p>
    <w:p w14:paraId="54FA30FA" w14:textId="70D72F94" w:rsidR="00E70C0E" w:rsidRDefault="00D17F33" w:rsidP="00E70C0E">
      <w:pPr>
        <w:pStyle w:val="H1G"/>
      </w:pPr>
      <w:bookmarkStart w:id="20" w:name="_Toc210633907"/>
      <w:bookmarkEnd w:id="19"/>
      <w:r>
        <w:tab/>
      </w:r>
      <w:r>
        <w:tab/>
      </w:r>
      <w:r w:rsidR="00E70C0E" w:rsidRPr="00E70C0E">
        <w:t xml:space="preserve">Reply to paragraph </w:t>
      </w:r>
      <w:r w:rsidR="00E70C0E">
        <w:t>9</w:t>
      </w:r>
      <w:r w:rsidR="00E70C0E" w:rsidRPr="00E70C0E">
        <w:t>(</w:t>
      </w:r>
      <w:r w:rsidR="00E70C0E">
        <w:t>a</w:t>
      </w:r>
      <w:r w:rsidR="00E70C0E" w:rsidRPr="00E70C0E">
        <w:t>)</w:t>
      </w:r>
    </w:p>
    <w:bookmarkEnd w:id="20"/>
    <w:p w14:paraId="735E9B16" w14:textId="02091410" w:rsidR="00C036AD" w:rsidRPr="00C036AD" w:rsidRDefault="00C036AD" w:rsidP="00BF62D8">
      <w:pPr>
        <w:pStyle w:val="SingleTxtG"/>
        <w:numPr>
          <w:ilvl w:val="0"/>
          <w:numId w:val="23"/>
        </w:numPr>
        <w:ind w:left="1134" w:firstLine="0"/>
        <w:rPr>
          <w:bCs/>
        </w:rPr>
      </w:pPr>
      <w:r w:rsidRPr="00C036AD">
        <w:t>The legislative initiative was successfully adopted as Law No. 252/2025, which introduces specific provisions on digital violence, thereby formally recognizing emerging forms of online abuse and aggression. This law establishes the comprehensive legal framework for the identification, prevention, and sanctioning of digital violence. It aims to protect survivors from cyber - harassment, intimidation, exploitation, and other aggressive behaviours perpetrated through digital technologies, while effectively aligning national legislation with technological advancements and evolving forms of social risk.</w:t>
      </w:r>
    </w:p>
    <w:p w14:paraId="430B92C5" w14:textId="381492D8" w:rsidR="00E70C0E" w:rsidRDefault="00D17F33" w:rsidP="00E70C0E">
      <w:pPr>
        <w:pStyle w:val="H1G"/>
      </w:pPr>
      <w:bookmarkStart w:id="21" w:name="_Toc210633909"/>
      <w:r>
        <w:lastRenderedPageBreak/>
        <w:tab/>
      </w:r>
      <w:r>
        <w:tab/>
      </w:r>
      <w:r w:rsidR="00E70C0E" w:rsidRPr="00E70C0E">
        <w:t>Reply to paragraph 9(</w:t>
      </w:r>
      <w:r w:rsidR="00E70C0E">
        <w:t>b</w:t>
      </w:r>
      <w:r w:rsidR="00E70C0E" w:rsidRPr="00E70C0E">
        <w:t>)</w:t>
      </w:r>
    </w:p>
    <w:bookmarkEnd w:id="21"/>
    <w:p w14:paraId="6B49DE27" w14:textId="46AFDB06" w:rsidR="00C036AD" w:rsidRDefault="00C036AD" w:rsidP="00BF62D8">
      <w:pPr>
        <w:pStyle w:val="SingleTxtG"/>
        <w:numPr>
          <w:ilvl w:val="0"/>
          <w:numId w:val="23"/>
        </w:numPr>
        <w:ind w:left="1134" w:firstLine="0"/>
      </w:pPr>
      <w:r w:rsidRPr="00C036AD">
        <w:t>Over the last three years, the prosecutors supervised and conducted criminal investigations as follows:</w:t>
      </w:r>
    </w:p>
    <w:tbl>
      <w:tblPr>
        <w:tblStyle w:val="TableGrid2"/>
        <w:tblW w:w="7370" w:type="dxa"/>
        <w:tblInd w:w="1134" w:type="dxa"/>
        <w:tblLayout w:type="fixed"/>
        <w:tblLook w:val="04A0" w:firstRow="1" w:lastRow="0" w:firstColumn="1" w:lastColumn="0" w:noHBand="0" w:noVBand="1"/>
      </w:tblPr>
      <w:tblGrid>
        <w:gridCol w:w="971"/>
        <w:gridCol w:w="6399"/>
      </w:tblGrid>
      <w:tr w:rsidR="003927E5" w:rsidRPr="003927E5" w14:paraId="3191AFED" w14:textId="77777777" w:rsidTr="003927E5">
        <w:trPr>
          <w:tblHeader/>
        </w:trPr>
        <w:tc>
          <w:tcPr>
            <w:tcW w:w="971" w:type="dxa"/>
            <w:tcBorders>
              <w:top w:val="single" w:sz="4" w:space="0" w:color="auto"/>
              <w:bottom w:val="single" w:sz="12" w:space="0" w:color="auto"/>
            </w:tcBorders>
            <w:vAlign w:val="bottom"/>
          </w:tcPr>
          <w:p w14:paraId="56160E44" w14:textId="77777777" w:rsidR="003927E5" w:rsidRPr="003927E5" w:rsidRDefault="003927E5" w:rsidP="003927E5">
            <w:pPr>
              <w:suppressAutoHyphens w:val="0"/>
              <w:spacing w:before="80" w:after="80" w:line="200" w:lineRule="exact"/>
              <w:rPr>
                <w:rFonts w:eastAsia="Calibri"/>
                <w:i/>
                <w:kern w:val="0"/>
                <w:sz w:val="16"/>
                <w:szCs w:val="24"/>
                <w:lang w:val="en-CH"/>
              </w:rPr>
            </w:pPr>
            <w:r w:rsidRPr="003927E5">
              <w:rPr>
                <w:i/>
                <w:kern w:val="0"/>
                <w:sz w:val="16"/>
                <w:szCs w:val="24"/>
                <w:lang w:val="en-CH"/>
              </w:rPr>
              <w:t>Year</w:t>
            </w:r>
          </w:p>
        </w:tc>
        <w:tc>
          <w:tcPr>
            <w:tcW w:w="6399" w:type="dxa"/>
            <w:tcBorders>
              <w:top w:val="single" w:sz="4" w:space="0" w:color="auto"/>
              <w:bottom w:val="single" w:sz="12" w:space="0" w:color="auto"/>
            </w:tcBorders>
            <w:vAlign w:val="bottom"/>
          </w:tcPr>
          <w:p w14:paraId="272E2D6F" w14:textId="77777777" w:rsidR="003927E5" w:rsidRPr="003927E5" w:rsidRDefault="003927E5" w:rsidP="003927E5">
            <w:pPr>
              <w:suppressAutoHyphens w:val="0"/>
              <w:spacing w:before="80" w:after="80" w:line="200" w:lineRule="exact"/>
              <w:jc w:val="right"/>
              <w:rPr>
                <w:rFonts w:eastAsia="Calibri"/>
                <w:i/>
                <w:kern w:val="0"/>
                <w:sz w:val="16"/>
                <w:szCs w:val="24"/>
                <w:lang w:val="en-CH"/>
              </w:rPr>
            </w:pPr>
            <w:r w:rsidRPr="003927E5">
              <w:rPr>
                <w:i/>
                <w:kern w:val="0"/>
                <w:sz w:val="16"/>
                <w:szCs w:val="24"/>
                <w:lang w:val="en-CH"/>
              </w:rPr>
              <w:t>Criminal cases that met the elements of the crime, provided for by Art. 201/1 CC – domestic violence, committed by a family member against another family member</w:t>
            </w:r>
          </w:p>
        </w:tc>
      </w:tr>
      <w:tr w:rsidR="003927E5" w:rsidRPr="003927E5" w14:paraId="7F0580A4" w14:textId="77777777" w:rsidTr="003927E5">
        <w:tc>
          <w:tcPr>
            <w:tcW w:w="971" w:type="dxa"/>
            <w:tcBorders>
              <w:top w:val="single" w:sz="12" w:space="0" w:color="auto"/>
            </w:tcBorders>
          </w:tcPr>
          <w:p w14:paraId="3D16DE35"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kern w:val="0"/>
                <w:sz w:val="18"/>
                <w:szCs w:val="24"/>
                <w:lang w:val="en-CH"/>
              </w:rPr>
              <w:t>2025</w:t>
            </w:r>
          </w:p>
        </w:tc>
        <w:tc>
          <w:tcPr>
            <w:tcW w:w="6399" w:type="dxa"/>
            <w:tcBorders>
              <w:top w:val="single" w:sz="12" w:space="0" w:color="auto"/>
            </w:tcBorders>
            <w:vAlign w:val="bottom"/>
          </w:tcPr>
          <w:p w14:paraId="31575931"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850</w:t>
            </w:r>
          </w:p>
        </w:tc>
      </w:tr>
      <w:tr w:rsidR="003927E5" w:rsidRPr="003927E5" w14:paraId="43D1AC53" w14:textId="77777777" w:rsidTr="003927E5">
        <w:tc>
          <w:tcPr>
            <w:tcW w:w="971" w:type="dxa"/>
          </w:tcPr>
          <w:p w14:paraId="11251D99"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kern w:val="0"/>
                <w:sz w:val="18"/>
                <w:szCs w:val="24"/>
                <w:lang w:val="en-CH"/>
              </w:rPr>
              <w:t>2024</w:t>
            </w:r>
          </w:p>
        </w:tc>
        <w:tc>
          <w:tcPr>
            <w:tcW w:w="6399" w:type="dxa"/>
            <w:vAlign w:val="bottom"/>
          </w:tcPr>
          <w:p w14:paraId="57ED4089"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967</w:t>
            </w:r>
          </w:p>
        </w:tc>
      </w:tr>
      <w:tr w:rsidR="003927E5" w:rsidRPr="003927E5" w14:paraId="4ABC10A4" w14:textId="77777777" w:rsidTr="003927E5">
        <w:tc>
          <w:tcPr>
            <w:tcW w:w="971" w:type="dxa"/>
            <w:tcBorders>
              <w:bottom w:val="single" w:sz="12" w:space="0" w:color="auto"/>
            </w:tcBorders>
          </w:tcPr>
          <w:p w14:paraId="5DCCBCD9"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kern w:val="0"/>
                <w:sz w:val="18"/>
                <w:szCs w:val="24"/>
                <w:lang w:val="en-CH"/>
              </w:rPr>
              <w:t>2023</w:t>
            </w:r>
          </w:p>
        </w:tc>
        <w:tc>
          <w:tcPr>
            <w:tcW w:w="6399" w:type="dxa"/>
            <w:tcBorders>
              <w:bottom w:val="single" w:sz="12" w:space="0" w:color="auto"/>
            </w:tcBorders>
            <w:vAlign w:val="bottom"/>
          </w:tcPr>
          <w:p w14:paraId="1275C2BA"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880</w:t>
            </w:r>
          </w:p>
        </w:tc>
      </w:tr>
    </w:tbl>
    <w:p w14:paraId="0227C0BE" w14:textId="77777777" w:rsidR="00C036AD" w:rsidRPr="00C036AD" w:rsidRDefault="00C036AD" w:rsidP="00C036AD">
      <w:pPr>
        <w:pStyle w:val="SingleTxtG"/>
      </w:pPr>
      <w:r w:rsidRPr="00C036AD">
        <w:t xml:space="preserve">At the same time, the criminal proceedings were initiated for the recorded cases: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7"/>
        <w:gridCol w:w="1681"/>
        <w:gridCol w:w="1681"/>
        <w:gridCol w:w="1681"/>
      </w:tblGrid>
      <w:tr w:rsidR="00C036AD" w:rsidRPr="000075DE" w14:paraId="63D7BEE9" w14:textId="77777777" w:rsidTr="00E70C0E">
        <w:trPr>
          <w:tblHeader/>
        </w:trPr>
        <w:tc>
          <w:tcPr>
            <w:tcW w:w="2327" w:type="dxa"/>
            <w:tcBorders>
              <w:top w:val="single" w:sz="4" w:space="0" w:color="auto"/>
              <w:bottom w:val="single" w:sz="12" w:space="0" w:color="auto"/>
            </w:tcBorders>
            <w:vAlign w:val="bottom"/>
          </w:tcPr>
          <w:p w14:paraId="5DC11120" w14:textId="77777777" w:rsidR="00C036AD" w:rsidRPr="000075DE" w:rsidRDefault="00C036AD" w:rsidP="000075DE">
            <w:pPr>
              <w:pStyle w:val="SingleTxtG"/>
              <w:tabs>
                <w:tab w:val="clear" w:pos="1701"/>
                <w:tab w:val="clear" w:pos="2268"/>
                <w:tab w:val="clear" w:pos="2835"/>
              </w:tabs>
              <w:suppressAutoHyphens w:val="0"/>
              <w:spacing w:before="80" w:after="80" w:line="200" w:lineRule="exact"/>
              <w:ind w:left="0" w:right="0"/>
              <w:jc w:val="left"/>
              <w:rPr>
                <w:bCs/>
                <w:i/>
                <w:sz w:val="16"/>
                <w:u w:val="single"/>
              </w:rPr>
            </w:pPr>
            <w:r w:rsidRPr="000075DE">
              <w:rPr>
                <w:bCs/>
                <w:i/>
                <w:sz w:val="16"/>
                <w:u w:val="single"/>
              </w:rPr>
              <w:t>Indicator/Category</w:t>
            </w:r>
          </w:p>
        </w:tc>
        <w:tc>
          <w:tcPr>
            <w:tcW w:w="1681" w:type="dxa"/>
            <w:tcBorders>
              <w:top w:val="single" w:sz="4" w:space="0" w:color="auto"/>
              <w:bottom w:val="single" w:sz="12" w:space="0" w:color="auto"/>
            </w:tcBorders>
            <w:vAlign w:val="bottom"/>
          </w:tcPr>
          <w:p w14:paraId="52BAD217" w14:textId="77777777" w:rsidR="00C036AD" w:rsidRPr="000075DE" w:rsidRDefault="00C036AD" w:rsidP="000075DE">
            <w:pPr>
              <w:pStyle w:val="SingleTxtG"/>
              <w:tabs>
                <w:tab w:val="clear" w:pos="1701"/>
                <w:tab w:val="clear" w:pos="2268"/>
                <w:tab w:val="clear" w:pos="2835"/>
              </w:tabs>
              <w:suppressAutoHyphens w:val="0"/>
              <w:spacing w:before="80" w:after="80" w:line="200" w:lineRule="exact"/>
              <w:ind w:left="0" w:right="0"/>
              <w:jc w:val="right"/>
              <w:rPr>
                <w:bCs/>
                <w:i/>
                <w:sz w:val="16"/>
                <w:u w:val="single"/>
              </w:rPr>
            </w:pPr>
            <w:r w:rsidRPr="000075DE">
              <w:rPr>
                <w:bCs/>
                <w:i/>
                <w:sz w:val="16"/>
                <w:u w:val="single"/>
              </w:rPr>
              <w:t>2023</w:t>
            </w:r>
          </w:p>
        </w:tc>
        <w:tc>
          <w:tcPr>
            <w:tcW w:w="1681" w:type="dxa"/>
            <w:tcBorders>
              <w:top w:val="single" w:sz="4" w:space="0" w:color="auto"/>
              <w:bottom w:val="single" w:sz="12" w:space="0" w:color="auto"/>
            </w:tcBorders>
            <w:vAlign w:val="bottom"/>
          </w:tcPr>
          <w:p w14:paraId="641A918C" w14:textId="77777777" w:rsidR="00C036AD" w:rsidRPr="000075DE" w:rsidRDefault="00C036AD" w:rsidP="000075DE">
            <w:pPr>
              <w:pStyle w:val="SingleTxtG"/>
              <w:tabs>
                <w:tab w:val="clear" w:pos="1701"/>
                <w:tab w:val="clear" w:pos="2268"/>
                <w:tab w:val="clear" w:pos="2835"/>
              </w:tabs>
              <w:suppressAutoHyphens w:val="0"/>
              <w:spacing w:before="80" w:after="80" w:line="200" w:lineRule="exact"/>
              <w:ind w:left="0" w:right="0"/>
              <w:jc w:val="right"/>
              <w:rPr>
                <w:bCs/>
                <w:i/>
                <w:sz w:val="16"/>
                <w:u w:val="single"/>
              </w:rPr>
            </w:pPr>
            <w:r w:rsidRPr="000075DE">
              <w:rPr>
                <w:bCs/>
                <w:i/>
                <w:sz w:val="16"/>
                <w:u w:val="single"/>
              </w:rPr>
              <w:t xml:space="preserve">2024 </w:t>
            </w:r>
          </w:p>
        </w:tc>
        <w:tc>
          <w:tcPr>
            <w:tcW w:w="1681" w:type="dxa"/>
            <w:tcBorders>
              <w:top w:val="single" w:sz="4" w:space="0" w:color="auto"/>
              <w:bottom w:val="single" w:sz="12" w:space="0" w:color="auto"/>
            </w:tcBorders>
            <w:vAlign w:val="bottom"/>
          </w:tcPr>
          <w:p w14:paraId="6A4E95DA" w14:textId="77777777" w:rsidR="00C036AD" w:rsidRPr="000075DE" w:rsidRDefault="00C036AD" w:rsidP="000075DE">
            <w:pPr>
              <w:pStyle w:val="SingleTxtG"/>
              <w:tabs>
                <w:tab w:val="clear" w:pos="1701"/>
                <w:tab w:val="clear" w:pos="2268"/>
                <w:tab w:val="clear" w:pos="2835"/>
              </w:tabs>
              <w:suppressAutoHyphens w:val="0"/>
              <w:spacing w:before="80" w:after="80" w:line="200" w:lineRule="exact"/>
              <w:ind w:left="0" w:right="0"/>
              <w:jc w:val="right"/>
              <w:rPr>
                <w:bCs/>
                <w:i/>
                <w:sz w:val="16"/>
                <w:u w:val="single"/>
              </w:rPr>
            </w:pPr>
            <w:r w:rsidRPr="000075DE">
              <w:rPr>
                <w:bCs/>
                <w:i/>
                <w:sz w:val="16"/>
                <w:u w:val="single"/>
              </w:rPr>
              <w:t>2025</w:t>
            </w:r>
          </w:p>
        </w:tc>
      </w:tr>
      <w:tr w:rsidR="00C036AD" w:rsidRPr="000075DE" w14:paraId="31AC17BD" w14:textId="77777777" w:rsidTr="00E70C0E">
        <w:tc>
          <w:tcPr>
            <w:tcW w:w="2327" w:type="dxa"/>
            <w:tcBorders>
              <w:top w:val="single" w:sz="12" w:space="0" w:color="auto"/>
            </w:tcBorders>
          </w:tcPr>
          <w:p w14:paraId="66C3CE01"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left"/>
              <w:rPr>
                <w:sz w:val="18"/>
                <w:u w:val="single"/>
              </w:rPr>
            </w:pPr>
            <w:r w:rsidRPr="000075DE">
              <w:rPr>
                <w:sz w:val="18"/>
                <w:u w:val="single"/>
              </w:rPr>
              <w:t>Cases for which criminal investigation was initiated</w:t>
            </w:r>
          </w:p>
        </w:tc>
        <w:tc>
          <w:tcPr>
            <w:tcW w:w="1681" w:type="dxa"/>
            <w:tcBorders>
              <w:top w:val="single" w:sz="12" w:space="0" w:color="auto"/>
            </w:tcBorders>
            <w:vAlign w:val="bottom"/>
          </w:tcPr>
          <w:p w14:paraId="00C2E2A5"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15,224</w:t>
            </w:r>
          </w:p>
        </w:tc>
        <w:tc>
          <w:tcPr>
            <w:tcW w:w="1681" w:type="dxa"/>
            <w:tcBorders>
              <w:top w:val="single" w:sz="12" w:space="0" w:color="auto"/>
            </w:tcBorders>
            <w:vAlign w:val="bottom"/>
          </w:tcPr>
          <w:p w14:paraId="4F7D8518"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15,976</w:t>
            </w:r>
          </w:p>
        </w:tc>
        <w:tc>
          <w:tcPr>
            <w:tcW w:w="1681" w:type="dxa"/>
            <w:tcBorders>
              <w:top w:val="single" w:sz="12" w:space="0" w:color="auto"/>
            </w:tcBorders>
            <w:vAlign w:val="bottom"/>
          </w:tcPr>
          <w:p w14:paraId="1D67C98E"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23,727</w:t>
            </w:r>
          </w:p>
        </w:tc>
      </w:tr>
      <w:tr w:rsidR="00C036AD" w:rsidRPr="000075DE" w14:paraId="22BE5A41" w14:textId="77777777" w:rsidTr="00E70C0E">
        <w:tc>
          <w:tcPr>
            <w:tcW w:w="2327" w:type="dxa"/>
          </w:tcPr>
          <w:p w14:paraId="32178E9E"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left"/>
              <w:rPr>
                <w:sz w:val="18"/>
                <w:u w:val="single"/>
              </w:rPr>
            </w:pPr>
            <w:r w:rsidRPr="000075DE">
              <w:rPr>
                <w:sz w:val="18"/>
                <w:u w:val="single"/>
              </w:rPr>
              <w:t xml:space="preserve">Criminal cases </w:t>
            </w:r>
          </w:p>
        </w:tc>
        <w:tc>
          <w:tcPr>
            <w:tcW w:w="1681" w:type="dxa"/>
            <w:vAlign w:val="bottom"/>
          </w:tcPr>
          <w:p w14:paraId="4CC71EE3"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1,510</w:t>
            </w:r>
          </w:p>
        </w:tc>
        <w:tc>
          <w:tcPr>
            <w:tcW w:w="1681" w:type="dxa"/>
            <w:vAlign w:val="bottom"/>
          </w:tcPr>
          <w:p w14:paraId="0DF8BBFD"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1,575</w:t>
            </w:r>
          </w:p>
        </w:tc>
        <w:tc>
          <w:tcPr>
            <w:tcW w:w="1681" w:type="dxa"/>
            <w:vAlign w:val="bottom"/>
          </w:tcPr>
          <w:p w14:paraId="1A50A45E"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1,336</w:t>
            </w:r>
          </w:p>
        </w:tc>
      </w:tr>
      <w:tr w:rsidR="00C036AD" w:rsidRPr="000075DE" w14:paraId="5D205F57" w14:textId="77777777" w:rsidTr="00E70C0E">
        <w:tc>
          <w:tcPr>
            <w:tcW w:w="2327" w:type="dxa"/>
            <w:tcBorders>
              <w:bottom w:val="single" w:sz="12" w:space="0" w:color="auto"/>
            </w:tcBorders>
          </w:tcPr>
          <w:p w14:paraId="7B993A9D"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left"/>
              <w:rPr>
                <w:sz w:val="18"/>
                <w:u w:val="single"/>
              </w:rPr>
            </w:pPr>
            <w:r w:rsidRPr="000075DE">
              <w:rPr>
                <w:sz w:val="18"/>
                <w:u w:val="single"/>
              </w:rPr>
              <w:t xml:space="preserve">Contravention cases </w:t>
            </w:r>
          </w:p>
        </w:tc>
        <w:tc>
          <w:tcPr>
            <w:tcW w:w="1681" w:type="dxa"/>
            <w:tcBorders>
              <w:bottom w:val="single" w:sz="12" w:space="0" w:color="auto"/>
            </w:tcBorders>
            <w:vAlign w:val="bottom"/>
          </w:tcPr>
          <w:p w14:paraId="406A926B"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1,719</w:t>
            </w:r>
          </w:p>
        </w:tc>
        <w:tc>
          <w:tcPr>
            <w:tcW w:w="1681" w:type="dxa"/>
            <w:tcBorders>
              <w:bottom w:val="single" w:sz="12" w:space="0" w:color="auto"/>
            </w:tcBorders>
            <w:vAlign w:val="bottom"/>
          </w:tcPr>
          <w:p w14:paraId="537FF69A"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1,741</w:t>
            </w:r>
          </w:p>
        </w:tc>
        <w:tc>
          <w:tcPr>
            <w:tcW w:w="1681" w:type="dxa"/>
            <w:tcBorders>
              <w:bottom w:val="single" w:sz="12" w:space="0" w:color="auto"/>
            </w:tcBorders>
            <w:vAlign w:val="bottom"/>
          </w:tcPr>
          <w:p w14:paraId="6F2442B7" w14:textId="77777777" w:rsidR="00C036AD" w:rsidRPr="000075DE" w:rsidRDefault="00C036AD" w:rsidP="000075DE">
            <w:pPr>
              <w:pStyle w:val="SingleTxtG"/>
              <w:tabs>
                <w:tab w:val="clear" w:pos="1701"/>
                <w:tab w:val="clear" w:pos="2268"/>
                <w:tab w:val="clear" w:pos="2835"/>
              </w:tabs>
              <w:suppressAutoHyphens w:val="0"/>
              <w:spacing w:before="40" w:after="40" w:line="220" w:lineRule="exact"/>
              <w:ind w:left="0" w:right="0"/>
              <w:jc w:val="right"/>
              <w:rPr>
                <w:sz w:val="18"/>
                <w:u w:val="single"/>
              </w:rPr>
            </w:pPr>
            <w:r w:rsidRPr="000075DE">
              <w:rPr>
                <w:sz w:val="18"/>
                <w:u w:val="single"/>
              </w:rPr>
              <w:t>1,872</w:t>
            </w:r>
          </w:p>
        </w:tc>
      </w:tr>
    </w:tbl>
    <w:p w14:paraId="57DF03F2" w14:textId="5456DE6F" w:rsidR="00E70C0E" w:rsidRDefault="00D17F33" w:rsidP="00E70C0E">
      <w:pPr>
        <w:pStyle w:val="H1G"/>
      </w:pPr>
      <w:bookmarkStart w:id="22" w:name="_Toc210633910"/>
      <w:r>
        <w:tab/>
      </w:r>
      <w:r>
        <w:tab/>
      </w:r>
      <w:r w:rsidR="00E70C0E" w:rsidRPr="00E70C0E">
        <w:t>Reply to paragraph 9(</w:t>
      </w:r>
      <w:r w:rsidR="00E70C0E">
        <w:t>c</w:t>
      </w:r>
      <w:r w:rsidR="00E70C0E" w:rsidRPr="00E70C0E">
        <w:t>)</w:t>
      </w:r>
    </w:p>
    <w:p w14:paraId="30B3B5DD" w14:textId="37FB4234" w:rsidR="00C036AD" w:rsidRPr="00C036AD" w:rsidRDefault="00C036AD" w:rsidP="00BF62D8">
      <w:pPr>
        <w:pStyle w:val="SingleTxtG"/>
        <w:numPr>
          <w:ilvl w:val="0"/>
          <w:numId w:val="23"/>
        </w:numPr>
        <w:ind w:left="1134" w:firstLine="0"/>
      </w:pPr>
      <w:bookmarkStart w:id="23" w:name="_Toc210633911"/>
      <w:bookmarkEnd w:id="22"/>
      <w:r w:rsidRPr="00C036AD">
        <w:t xml:space="preserve">To rectify legislative deficiencies and enhance rehabilitation and compensation mechanisms for victims of crime, amendments to Law No. 137/2016 was initiated to transpose Directive 2012/29/EU which is scheduled under the National Action Plan for the Accession of the Republic of Moldova to the EU (2024–2027). </w:t>
      </w:r>
    </w:p>
    <w:p w14:paraId="763E1AA9" w14:textId="53034324" w:rsidR="00E70C0E" w:rsidRDefault="00D17F33" w:rsidP="00E70C0E">
      <w:pPr>
        <w:pStyle w:val="H1G"/>
      </w:pPr>
      <w:r>
        <w:tab/>
      </w:r>
      <w:r>
        <w:tab/>
      </w:r>
      <w:r w:rsidR="00E70C0E" w:rsidRPr="00E70C0E">
        <w:t>Reply to paragraph 9(</w:t>
      </w:r>
      <w:r w:rsidR="00E70C0E">
        <w:t>d</w:t>
      </w:r>
      <w:r w:rsidR="00E70C0E" w:rsidRPr="00E70C0E">
        <w:t>)</w:t>
      </w:r>
    </w:p>
    <w:bookmarkEnd w:id="23"/>
    <w:p w14:paraId="40326A9C" w14:textId="11C0C64A" w:rsidR="00C036AD" w:rsidRPr="00C036AD" w:rsidRDefault="00C036AD" w:rsidP="00BF62D8">
      <w:pPr>
        <w:pStyle w:val="SingleTxtG"/>
        <w:numPr>
          <w:ilvl w:val="0"/>
          <w:numId w:val="23"/>
        </w:numPr>
        <w:ind w:left="1134" w:firstLine="0"/>
      </w:pPr>
      <w:r w:rsidRPr="00C036AD">
        <w:t xml:space="preserve">In the context of alignment with EU legislation and standards, as well as the implementation of the </w:t>
      </w:r>
      <w:hyperlink r:id="rId23" w:history="1">
        <w:r w:rsidRPr="00C036AD">
          <w:rPr>
            <w:rStyle w:val="Hyperlink"/>
          </w:rPr>
          <w:t>PVAW</w:t>
        </w:r>
      </w:hyperlink>
      <w:r w:rsidRPr="00C036AD">
        <w:t>, financial resources have been allocated to strengthen the network of specialized shelters for survivors of VAW and DV. For the 2025-2027 period, specific measures to this effect have been integrated into the Reform Agenda under the Growth Plan.</w:t>
      </w:r>
    </w:p>
    <w:p w14:paraId="77D69F99" w14:textId="3C38A572" w:rsidR="00E70C0E" w:rsidRDefault="00D17F33" w:rsidP="00E70C0E">
      <w:pPr>
        <w:pStyle w:val="H1G"/>
      </w:pPr>
      <w:bookmarkStart w:id="24" w:name="_Toc210633912"/>
      <w:r>
        <w:tab/>
      </w:r>
      <w:r>
        <w:tab/>
      </w:r>
      <w:r w:rsidR="00E70C0E" w:rsidRPr="00E70C0E">
        <w:t>Reply to paragraph 9(</w:t>
      </w:r>
      <w:r w:rsidR="00E70C0E">
        <w:t>e</w:t>
      </w:r>
      <w:r w:rsidR="00E70C0E" w:rsidRPr="00E70C0E">
        <w:t>)</w:t>
      </w:r>
    </w:p>
    <w:p w14:paraId="0ED0B2DA" w14:textId="493D7CBC" w:rsidR="00C036AD" w:rsidRPr="00C036AD" w:rsidRDefault="00C036AD" w:rsidP="00BF62D8">
      <w:pPr>
        <w:pStyle w:val="SingleTxtG"/>
        <w:numPr>
          <w:ilvl w:val="0"/>
          <w:numId w:val="23"/>
        </w:numPr>
        <w:ind w:left="1134" w:firstLine="0"/>
      </w:pPr>
      <w:bookmarkStart w:id="25" w:name="_Toc210633913"/>
      <w:bookmarkEnd w:id="24"/>
      <w:r w:rsidRPr="00C036AD">
        <w:t xml:space="preserve">Capacity-building efforts within the judiciary and law enforcement agencies focused on training personnel in gender-sensitive investigations related to cases of VAW. Continuous professional development plans were developed for judges, prosecutors, lawyers, and police officers, incorporating modules on human rights, the CEDAW framework, gender-responsive investigative techniques, victim protection, and evidence collection. Furthermore, methodological guidelines were approved and inter-institutional sessions were organized to ensure a coordinated, multi-agency, and efficient response. </w:t>
      </w:r>
    </w:p>
    <w:p w14:paraId="7BB2B12A" w14:textId="195C6A93" w:rsidR="00E70C0E" w:rsidRDefault="00D17F33" w:rsidP="00E70C0E">
      <w:pPr>
        <w:pStyle w:val="H1G"/>
      </w:pPr>
      <w:r>
        <w:tab/>
      </w:r>
      <w:r>
        <w:tab/>
      </w:r>
      <w:r w:rsidR="00E70C0E" w:rsidRPr="00E70C0E">
        <w:t>Reply to paragraph 9(</w:t>
      </w:r>
      <w:r w:rsidR="00E70C0E">
        <w:t>f</w:t>
      </w:r>
      <w:r w:rsidR="00E70C0E" w:rsidRPr="00E70C0E">
        <w:t>)</w:t>
      </w:r>
    </w:p>
    <w:bookmarkEnd w:id="25"/>
    <w:p w14:paraId="37FE55A0" w14:textId="3CCB1FB4" w:rsidR="00C036AD" w:rsidRPr="00C036AD" w:rsidRDefault="00C036AD" w:rsidP="00BF62D8">
      <w:pPr>
        <w:pStyle w:val="SingleTxtG"/>
        <w:numPr>
          <w:ilvl w:val="0"/>
          <w:numId w:val="23"/>
        </w:numPr>
        <w:ind w:left="1134" w:firstLine="0"/>
      </w:pPr>
      <w:r w:rsidRPr="00C036AD">
        <w:t xml:space="preserve">To implement </w:t>
      </w:r>
      <w:hyperlink r:id="rId24" w:history="1">
        <w:r w:rsidRPr="00C036AD">
          <w:rPr>
            <w:rStyle w:val="Hyperlink"/>
          </w:rPr>
          <w:t>GREVIO</w:t>
        </w:r>
      </w:hyperlink>
      <w:r w:rsidRPr="00C036AD">
        <w:t xml:space="preserve"> recommendations, the legislative framework was consolidated through the  Law No. 252/2025 and its implementation 2025-2028 Set of Measures, thereby aligning domestic regulations with the Istanbul Convention. </w:t>
      </w:r>
      <w:hyperlink r:id="rId25" w:history="1">
        <w:r w:rsidRPr="00C036AD">
          <w:rPr>
            <w:rStyle w:val="Hyperlink"/>
          </w:rPr>
          <w:t>The Registry for the Tracking of Perpetrators</w:t>
        </w:r>
      </w:hyperlink>
      <w:r w:rsidRPr="00C036AD">
        <w:t xml:space="preserve"> was approved, and the „VioData” System is being developed with disaggregated indicators to support evidence-based data collection and analysis. National legislation has formally introduced concepts such as </w:t>
      </w:r>
      <w:hyperlink r:id="rId26" w:history="1">
        <w:r w:rsidRPr="00C036AD">
          <w:rPr>
            <w:rStyle w:val="Hyperlink"/>
          </w:rPr>
          <w:t>femicide</w:t>
        </w:r>
      </w:hyperlink>
      <w:r w:rsidRPr="00C036AD">
        <w:t>, expanded the definition of psychological violence, and enhanced survivor protection. Furthermore, information sessions and national curricular frameworks promote prevention and efficient intervention in cases of GBV, aligning national mechanisms with Council of Europe standards.</w:t>
      </w:r>
    </w:p>
    <w:p w14:paraId="0842A96A" w14:textId="5BFC4A16" w:rsidR="00E70C0E" w:rsidRDefault="00D17F33" w:rsidP="00E70C0E">
      <w:pPr>
        <w:pStyle w:val="H1G"/>
      </w:pPr>
      <w:bookmarkStart w:id="26" w:name="_Toc210633914"/>
      <w:r>
        <w:lastRenderedPageBreak/>
        <w:tab/>
      </w:r>
      <w:r>
        <w:tab/>
      </w:r>
      <w:r w:rsidR="00E70C0E" w:rsidRPr="00E70C0E">
        <w:t>Reply to paragraph 9(</w:t>
      </w:r>
      <w:r w:rsidR="00E70C0E">
        <w:t>g</w:t>
      </w:r>
      <w:r w:rsidR="00E70C0E" w:rsidRPr="00E70C0E">
        <w:t>)</w:t>
      </w:r>
    </w:p>
    <w:bookmarkEnd w:id="26"/>
    <w:p w14:paraId="144DC54E" w14:textId="036B31BE" w:rsidR="00C036AD" w:rsidRPr="00C036AD" w:rsidRDefault="00C036AD" w:rsidP="00BF62D8">
      <w:pPr>
        <w:pStyle w:val="SingleTxtG"/>
        <w:numPr>
          <w:ilvl w:val="0"/>
          <w:numId w:val="23"/>
        </w:numPr>
        <w:ind w:left="1134" w:firstLine="0"/>
        <w:rPr>
          <w:bCs/>
        </w:rPr>
      </w:pPr>
      <w:r w:rsidRPr="00C036AD">
        <w:t>The authorities promoted the access to support shelters for women victims of GBV from the Transnistrian region, through cooperation with international partners and NGO from both banks of the Nistru River. In dialogue with relevant stakeholders, the necessity of accessible, confidential, inclusive, and victim-cantered services is continually advocated. Women from the Transnistrian region can access services available on the right bank, including specialized services, state-guaranteed legal aid, and referral mechanisms for social, legal, and psychological protection.</w:t>
      </w:r>
    </w:p>
    <w:p w14:paraId="6B3C0BD3" w14:textId="074327ED" w:rsidR="00E70C0E" w:rsidRDefault="00D17F33" w:rsidP="00E70C0E">
      <w:pPr>
        <w:pStyle w:val="H1G"/>
      </w:pPr>
      <w:bookmarkStart w:id="27" w:name="_Toc210633915"/>
      <w:r>
        <w:tab/>
      </w:r>
      <w:r>
        <w:tab/>
      </w:r>
      <w:r w:rsidR="00E70C0E" w:rsidRPr="00E70C0E">
        <w:t>Reply to paragraph 9(</w:t>
      </w:r>
      <w:r w:rsidR="00E70C0E">
        <w:t>h</w:t>
      </w:r>
      <w:r w:rsidR="00E70C0E" w:rsidRPr="00E70C0E">
        <w:t>)</w:t>
      </w:r>
    </w:p>
    <w:bookmarkEnd w:id="27"/>
    <w:p w14:paraId="677CE9C5" w14:textId="5C7BD4A1" w:rsidR="00C036AD" w:rsidRPr="00C036AD" w:rsidRDefault="00C036AD" w:rsidP="00BF62D8">
      <w:pPr>
        <w:pStyle w:val="SingleTxtG"/>
        <w:numPr>
          <w:ilvl w:val="0"/>
          <w:numId w:val="23"/>
        </w:numPr>
        <w:ind w:left="1134" w:firstLine="0"/>
      </w:pPr>
      <w:r w:rsidRPr="00C036AD">
        <w:t xml:space="preserve">Child protection against violence is ensured through </w:t>
      </w:r>
      <w:hyperlink r:id="rId27" w:history="1">
        <w:r w:rsidRPr="00C036AD">
          <w:rPr>
            <w:rStyle w:val="Hyperlink"/>
          </w:rPr>
          <w:t>multi-sectoral mechanisms</w:t>
        </w:r>
      </w:hyperlink>
      <w:r w:rsidRPr="00C036AD">
        <w:t xml:space="preserve"> involving public authorities, educational institutions, social and medical services, and law enforcement agencies, with mandatory referral to guardianship authorities within a maximum of 24 hours. The 24/7 Child Helpline (116 111), operational since 2014, recorded a total of 60,481 calls in 2025. Furthermore, the country's first Barnahus-type Center, established in Balti, provides integrated assistance; requests for specialized support increased from 78 cases in 2022 to 341 in 2025. To expand this infrastructure, a center was launched in Cahul in 2026, another planned to be opened in Chisinau by 2027. Data regarding reported incidents within </w:t>
      </w:r>
      <w:hyperlink r:id="rId28" w:history="1">
        <w:r w:rsidRPr="00C036AD">
          <w:rPr>
            <w:rStyle w:val="Hyperlink"/>
          </w:rPr>
          <w:t>technical vocational</w:t>
        </w:r>
      </w:hyperlink>
      <w:r w:rsidRPr="00C036AD">
        <w:t xml:space="preserve"> education and training (TVET) institutions are published on a semi-annual basis, while teaching staff participate in continuous professional development and prevention programs aimed at identifying and eliminating violence against children, further reinforced by public awareness campaigns. In 2025, the total number of reported suspected cases of violence and harassment within general education institutions included 2,407 girls.</w:t>
      </w:r>
    </w:p>
    <w:p w14:paraId="4E4086D9" w14:textId="03A8FAD6" w:rsidR="00E70C0E" w:rsidRDefault="00D17F33" w:rsidP="00E70C0E">
      <w:pPr>
        <w:pStyle w:val="H1G"/>
      </w:pPr>
      <w:bookmarkStart w:id="28" w:name="_Toc210633917"/>
      <w:r>
        <w:tab/>
      </w:r>
      <w:r>
        <w:tab/>
      </w:r>
      <w:r w:rsidR="00E70C0E" w:rsidRPr="00E70C0E">
        <w:t xml:space="preserve">Reply to paragraph </w:t>
      </w:r>
      <w:r w:rsidR="00E70C0E">
        <w:t>10</w:t>
      </w:r>
      <w:r w:rsidR="00E70C0E" w:rsidRPr="00E70C0E">
        <w:t>(a)</w:t>
      </w:r>
    </w:p>
    <w:p w14:paraId="1425D648" w14:textId="3ACC9434" w:rsidR="00C036AD" w:rsidRPr="00C036AD" w:rsidRDefault="00C036AD" w:rsidP="00BF62D8">
      <w:pPr>
        <w:pStyle w:val="SingleTxtG"/>
        <w:numPr>
          <w:ilvl w:val="0"/>
          <w:numId w:val="23"/>
        </w:numPr>
        <w:ind w:left="1134" w:firstLine="0"/>
      </w:pPr>
      <w:bookmarkStart w:id="29" w:name="_Toc210633919"/>
      <w:bookmarkEnd w:id="28"/>
      <w:r w:rsidRPr="00C036AD">
        <w:t>MER, MIA, and the Ombudsman ensure educational access for undocumented, refugee, and stateless children and women. Methodologies are being developed to recognize academic credentials from the Transnistrian region to support national integration. The NEA and the MSLP Protection provide specialized integration support for trafficking survivors and vulnerable groups-including Roma women, who receive 59.63 EUR monthly merit scholarships to encourage educational retention. Through the National Programme 2024–2028, the NEA offers counselling, subsidized employment, and training. In 2024, over 300 women and girls gained income-generating skills and financial support. </w:t>
      </w:r>
    </w:p>
    <w:p w14:paraId="73874A84" w14:textId="4853344E" w:rsidR="00E70C0E" w:rsidRDefault="00D17F33" w:rsidP="00E70C0E">
      <w:pPr>
        <w:pStyle w:val="H1G"/>
      </w:pPr>
      <w:r>
        <w:tab/>
      </w:r>
      <w:r>
        <w:tab/>
      </w:r>
      <w:r w:rsidR="00E70C0E" w:rsidRPr="00E70C0E">
        <w:t xml:space="preserve">Reply to paragraph </w:t>
      </w:r>
      <w:r w:rsidR="00E70C0E">
        <w:t>10</w:t>
      </w:r>
      <w:r w:rsidR="00E70C0E" w:rsidRPr="00E70C0E">
        <w:t>(</w:t>
      </w:r>
      <w:r w:rsidR="00E70C0E">
        <w:t>b</w:t>
      </w:r>
      <w:r w:rsidR="00E70C0E" w:rsidRPr="00E70C0E">
        <w:t>)</w:t>
      </w:r>
    </w:p>
    <w:p w14:paraId="5DE819BE" w14:textId="6A6ECEDC" w:rsidR="00C036AD" w:rsidRPr="00C036AD" w:rsidRDefault="00C036AD" w:rsidP="00BF62D8">
      <w:pPr>
        <w:pStyle w:val="SingleTxtG"/>
        <w:numPr>
          <w:ilvl w:val="0"/>
          <w:numId w:val="23"/>
        </w:numPr>
        <w:ind w:left="1134" w:firstLine="0"/>
      </w:pPr>
      <w:r w:rsidRPr="00C036AD">
        <w:t xml:space="preserve">As part of measures to decriminalize sex work, Article 89 of the Contravention Code was amended, reducing sanctions for individuals engaged in sex work while increasing penalties for buyers in order to curtail demand. National programmes were launched to promote gender equality, prevent violence, and enhance employment opportunities, specifically targeting women facing multiple and intersecting vulnerabilities. </w:t>
      </w:r>
    </w:p>
    <w:p w14:paraId="15DCD841" w14:textId="1B007CB6" w:rsidR="00E70C0E" w:rsidRDefault="00D17F33" w:rsidP="00E70C0E">
      <w:pPr>
        <w:pStyle w:val="H1G"/>
      </w:pPr>
      <w:bookmarkStart w:id="30" w:name="_Toc210633920"/>
      <w:bookmarkEnd w:id="29"/>
      <w:r>
        <w:tab/>
      </w:r>
      <w:r>
        <w:tab/>
      </w:r>
      <w:r w:rsidR="00E70C0E" w:rsidRPr="00E70C0E">
        <w:t xml:space="preserve">Reply to paragraph </w:t>
      </w:r>
      <w:r w:rsidR="00E70C0E">
        <w:t>10</w:t>
      </w:r>
      <w:r w:rsidR="00E70C0E" w:rsidRPr="00E70C0E">
        <w:t>(</w:t>
      </w:r>
      <w:r w:rsidR="00E70C0E">
        <w:t>c</w:t>
      </w:r>
      <w:r w:rsidR="00E70C0E" w:rsidRPr="00E70C0E">
        <w:t>)</w:t>
      </w:r>
    </w:p>
    <w:bookmarkEnd w:id="30"/>
    <w:p w14:paraId="57D3DD8B" w14:textId="19050496" w:rsidR="00C036AD" w:rsidRPr="00C036AD" w:rsidRDefault="00C036AD" w:rsidP="00BF62D8">
      <w:pPr>
        <w:pStyle w:val="SingleTxtG"/>
        <w:numPr>
          <w:ilvl w:val="0"/>
          <w:numId w:val="23"/>
        </w:numPr>
        <w:ind w:left="1134" w:firstLine="0"/>
        <w:rPr>
          <w:bCs/>
        </w:rPr>
      </w:pPr>
      <w:r w:rsidRPr="00C036AD">
        <w:t>Integrated measures have been implemented to combat the stigmatization and discrimination faced by women and girls engaged in sex work. These include the „Beyond Appearances” campaign and mentorship programmes for approximately 200 sex workers-developed in partnership with UNAIDS-alongside a Roadmap and a Theory of Change to protect their rights. In 2023, integrated services for survivors of sexual violence were established, including the Family Justice Center and a regional specialized service. These are complemented by 11 state - funded shelters and a toll-free helpline, ensuring equal access to protection, specialized assistance, and justice.</w:t>
      </w:r>
      <w:bookmarkStart w:id="31" w:name="_Toc210633921"/>
    </w:p>
    <w:p w14:paraId="6E37392C" w14:textId="7C021913" w:rsidR="00E70C0E" w:rsidRDefault="00D17F33" w:rsidP="00E70C0E">
      <w:pPr>
        <w:pStyle w:val="H1G"/>
      </w:pPr>
      <w:bookmarkStart w:id="32" w:name="_Toc210633922"/>
      <w:bookmarkEnd w:id="31"/>
      <w:r>
        <w:lastRenderedPageBreak/>
        <w:tab/>
      </w:r>
      <w:r>
        <w:tab/>
      </w:r>
      <w:r w:rsidR="00E70C0E" w:rsidRPr="00E70C0E">
        <w:t xml:space="preserve">Reply to paragraph </w:t>
      </w:r>
      <w:r w:rsidR="00E70C0E">
        <w:t>11</w:t>
      </w:r>
      <w:r w:rsidR="00E70C0E" w:rsidRPr="00E70C0E">
        <w:t>(a)</w:t>
      </w:r>
    </w:p>
    <w:p w14:paraId="3974A6DD" w14:textId="495021E7" w:rsidR="00C036AD" w:rsidRPr="00C036AD" w:rsidRDefault="00C036AD" w:rsidP="00BF62D8">
      <w:pPr>
        <w:pStyle w:val="SingleTxtG"/>
        <w:numPr>
          <w:ilvl w:val="0"/>
          <w:numId w:val="23"/>
        </w:numPr>
        <w:ind w:left="1134" w:firstLine="0"/>
      </w:pPr>
      <w:bookmarkStart w:id="33" w:name="_Toc210633924"/>
      <w:bookmarkEnd w:id="32"/>
      <w:r w:rsidRPr="00C036AD">
        <w:t xml:space="preserve">The AC enforces the regulatory legal framework regarding hate speech and discrimination, applying sanctions that range from fines between 1 976.08 and 4 940,20 EUR to the revocation of broadcasting licenses in cases of repeated violations. During the campaigns for the 2024 presidential elections and constitutional referendum, the AC monitored 19 media service providers and detected no instances of hate speech, subsequently rejecting two separate attempts to broadcast non - compliant promotional spots. Additionally, media and information literacy (mil) campaigns were carried out across social media platforms, and a new campaign was launched ahead of the 2025 parliamentary elections to strengthen information resilience and promote responsible voting practices. </w:t>
      </w:r>
    </w:p>
    <w:p w14:paraId="7DC22EA1" w14:textId="5B45D201" w:rsidR="00E70C0E" w:rsidRDefault="00D17F33" w:rsidP="00E70C0E">
      <w:pPr>
        <w:pStyle w:val="H1G"/>
      </w:pPr>
      <w:r>
        <w:tab/>
      </w:r>
      <w:r>
        <w:tab/>
      </w:r>
      <w:r w:rsidR="00E70C0E" w:rsidRPr="00E70C0E">
        <w:t>Reply to paragraph 11(</w:t>
      </w:r>
      <w:r w:rsidR="00E70C0E">
        <w:t>b</w:t>
      </w:r>
      <w:r w:rsidR="00E70C0E" w:rsidRPr="00E70C0E">
        <w:t>)</w:t>
      </w:r>
    </w:p>
    <w:bookmarkEnd w:id="33"/>
    <w:p w14:paraId="5FAB2E79" w14:textId="02C73BE9" w:rsidR="00C036AD" w:rsidRPr="00C036AD" w:rsidRDefault="00C036AD" w:rsidP="00BF62D8">
      <w:pPr>
        <w:pStyle w:val="SingleTxtG"/>
        <w:numPr>
          <w:ilvl w:val="0"/>
          <w:numId w:val="23"/>
        </w:numPr>
        <w:ind w:left="1134" w:firstLine="0"/>
      </w:pPr>
      <w:r w:rsidRPr="00C036AD">
        <w:t>Compliance with the 40% gender quota for both sexes on electoral lists is mandatory for general local, parliamentary, and new local elections; non - compliance may result in the refusal to register the electoral contestant. Political parties that receive allocations from the state budget are legally required to utilize at least 20% of these funds to promote the participation of women in political and electoral processes and must report periodically to the Central Electoral Commission on these expenditures. For 2024, political parties allocated 480.24 thousand EUR to promote and encourage women's participation; five political formations were formally issued warnings to comply with the legal provisions regarding the mandatory 20% allocation. These measures reflect the effective enforcement of the gender quota and the strategic utilization of public funds to strengthen women’s participation in politics and elections.</w:t>
      </w:r>
    </w:p>
    <w:p w14:paraId="6016D5BD" w14:textId="3FFD0653" w:rsidR="00E70C0E" w:rsidRDefault="00D17F33" w:rsidP="00C0790F">
      <w:pPr>
        <w:pStyle w:val="H1G"/>
      </w:pPr>
      <w:bookmarkStart w:id="34" w:name="_Toc210633925"/>
      <w:r>
        <w:tab/>
      </w:r>
      <w:r>
        <w:tab/>
      </w:r>
      <w:r w:rsidR="00C0790F" w:rsidRPr="00C0790F">
        <w:t>Reply to paragraph 11(</w:t>
      </w:r>
      <w:r w:rsidR="00C0790F">
        <w:t>c</w:t>
      </w:r>
      <w:r w:rsidR="00C0790F" w:rsidRPr="00C0790F">
        <w:t>)</w:t>
      </w:r>
    </w:p>
    <w:p w14:paraId="603C6312" w14:textId="320B7663" w:rsidR="00C036AD" w:rsidRPr="00C036AD" w:rsidRDefault="00C036AD" w:rsidP="00BF62D8">
      <w:pPr>
        <w:pStyle w:val="SingleTxtG"/>
        <w:numPr>
          <w:ilvl w:val="0"/>
          <w:numId w:val="23"/>
        </w:numPr>
        <w:ind w:left="1134" w:firstLine="0"/>
      </w:pPr>
      <w:bookmarkStart w:id="35" w:name="_Toc210633926"/>
      <w:bookmarkEnd w:id="34"/>
      <w:r w:rsidRPr="00C036AD">
        <w:t>Several networking events, training, and leadership programmes were organized for women in public administration and underrepresented groups, including within the framework of the Women's Leadership Academy. More than 1,000 participants strengthened their capacities in governance, decision-making processes, transparency, and political participation, with 95% reporting an increase in knowledge. Additionally, the programme trained 25 women as trainers in political participation, while 43 professionals from the diplomatic system attended training aimed at promoting an inclusive foreign policy. The access to interest-free loans for electoral campaigns facilitates women's engagement in political life and fosters their leadership.</w:t>
      </w:r>
    </w:p>
    <w:p w14:paraId="3FD93265" w14:textId="360E8273" w:rsidR="00C0790F" w:rsidRDefault="00D17F33" w:rsidP="00C0790F">
      <w:pPr>
        <w:pStyle w:val="H1G"/>
      </w:pPr>
      <w:bookmarkStart w:id="36" w:name="_Toc210633927"/>
      <w:bookmarkEnd w:id="35"/>
      <w:r>
        <w:tab/>
      </w:r>
      <w:r>
        <w:tab/>
      </w:r>
      <w:r w:rsidR="00C0790F" w:rsidRPr="00C0790F">
        <w:t xml:space="preserve">Reply to paragraph </w:t>
      </w:r>
      <w:r w:rsidR="00C0790F">
        <w:t>12</w:t>
      </w:r>
    </w:p>
    <w:bookmarkEnd w:id="36"/>
    <w:p w14:paraId="437F4A14" w14:textId="0C48B148" w:rsidR="00C036AD" w:rsidRPr="00C036AD" w:rsidRDefault="00C036AD" w:rsidP="00BF62D8">
      <w:pPr>
        <w:pStyle w:val="SingleTxtG"/>
        <w:numPr>
          <w:ilvl w:val="0"/>
          <w:numId w:val="23"/>
        </w:numPr>
        <w:ind w:left="1134" w:firstLine="0"/>
      </w:pPr>
      <w:r w:rsidRPr="00C036AD">
        <w:t xml:space="preserve">The executive approved the </w:t>
      </w:r>
      <w:hyperlink r:id="rId29" w:history="1">
        <w:r w:rsidRPr="00C036AD">
          <w:rPr>
            <w:rStyle w:val="Hyperlink"/>
          </w:rPr>
          <w:t>Instruction on the certification</w:t>
        </w:r>
      </w:hyperlink>
      <w:r w:rsidRPr="00C036AD">
        <w:t xml:space="preserve"> of civil status events occurred and recorded in the localities on the left bank of the Dniester River and Bender municipality. Under these regulatory provisions, medical certificates of birth issued in these localities constitute the legal basis for registering a person's birth in the civil status registries. Law No. 100/2001 on Civil Status Acts places the obligation to declare the birth of a child on both parents or one of them. If the parents cannot personally declare the birth, the parents' relatives, another authorized person, or the guardianship authority must make the respective declaration. For further details, see also responses under points 7 (c), 13 (b), (c), and 19 (b).</w:t>
      </w:r>
    </w:p>
    <w:p w14:paraId="66021B2C" w14:textId="125D28C3" w:rsidR="00C0790F" w:rsidRDefault="00D17F33" w:rsidP="00C0790F">
      <w:pPr>
        <w:pStyle w:val="H1G"/>
      </w:pPr>
      <w:bookmarkStart w:id="37" w:name="_Toc210633929"/>
      <w:r>
        <w:tab/>
      </w:r>
      <w:r>
        <w:tab/>
      </w:r>
      <w:r w:rsidR="00C0790F" w:rsidRPr="00C0790F">
        <w:t>Reply to paragraph 1</w:t>
      </w:r>
      <w:r w:rsidR="00C0790F">
        <w:t>3</w:t>
      </w:r>
      <w:r w:rsidR="00C0790F" w:rsidRPr="00C0790F">
        <w:t>(</w:t>
      </w:r>
      <w:r w:rsidR="00C0790F">
        <w:t>a</w:t>
      </w:r>
      <w:r w:rsidR="00C0790F" w:rsidRPr="00C0790F">
        <w:t>)</w:t>
      </w:r>
    </w:p>
    <w:bookmarkEnd w:id="37"/>
    <w:p w14:paraId="780C12F2" w14:textId="1E66C323" w:rsidR="00C036AD" w:rsidRPr="00C036AD" w:rsidRDefault="00C036AD" w:rsidP="00BF62D8">
      <w:pPr>
        <w:pStyle w:val="SingleTxtG"/>
        <w:numPr>
          <w:ilvl w:val="0"/>
          <w:numId w:val="23"/>
        </w:numPr>
        <w:ind w:left="1134" w:firstLine="0"/>
      </w:pPr>
      <w:r w:rsidRPr="00C036AD">
        <w:t>To promote women in STEM, authorities implemented concrete measures:</w:t>
      </w:r>
    </w:p>
    <w:p w14:paraId="023FB58B" w14:textId="77777777" w:rsidR="00C036AD" w:rsidRPr="00C036AD" w:rsidRDefault="00C036AD" w:rsidP="003927E5">
      <w:pPr>
        <w:pStyle w:val="Bullet1G"/>
      </w:pPr>
      <w:r w:rsidRPr="00C036AD">
        <w:t xml:space="preserve">Mainstreamed gender equality principles into educational policies, including the „Education Strategy 2030”; </w:t>
      </w:r>
    </w:p>
    <w:p w14:paraId="61245110" w14:textId="77777777" w:rsidR="00C036AD" w:rsidRPr="00C036AD" w:rsidRDefault="00C036AD" w:rsidP="003927E5">
      <w:pPr>
        <w:pStyle w:val="Bullet1G"/>
      </w:pPr>
      <w:r w:rsidRPr="00C036AD">
        <w:lastRenderedPageBreak/>
        <w:t>Revised the curriculum to combat stereotypes and promote female role models in underrepresented fields;</w:t>
      </w:r>
    </w:p>
    <w:p w14:paraId="4946BC2A" w14:textId="77777777" w:rsidR="00C036AD" w:rsidRPr="00C036AD" w:rsidRDefault="00C036AD" w:rsidP="003927E5">
      <w:pPr>
        <w:pStyle w:val="Bullet1G"/>
      </w:pPr>
      <w:r w:rsidRPr="00C036AD">
        <w:t>Trained teaching staff and school counsellors to provide equitable and gender - sensitive career guidance;</w:t>
      </w:r>
    </w:p>
    <w:p w14:paraId="39AD7093" w14:textId="77777777" w:rsidR="00C036AD" w:rsidRPr="00C036AD" w:rsidRDefault="00C036AD" w:rsidP="003927E5">
      <w:pPr>
        <w:pStyle w:val="Bullet1G"/>
      </w:pPr>
      <w:r w:rsidRPr="00C036AD">
        <w:t>Launched advocacy campaigns and targeted projects for girls-such as „Girls in IT” or „STEM Girls Moldova” in partnership with NGOs and the private sector-alongside the „</w:t>
      </w:r>
      <w:hyperlink r:id="rId30" w:history="1">
        <w:r w:rsidRPr="00C036AD">
          <w:rPr>
            <w:rStyle w:val="Hyperlink"/>
          </w:rPr>
          <w:t>Green Career Promotion Campaign for Young Women in Moldova</w:t>
        </w:r>
      </w:hyperlink>
      <w:r w:rsidRPr="00C036AD">
        <w:t>”, which encourages girls to pursue careers in engineering and green technologies;</w:t>
      </w:r>
    </w:p>
    <w:p w14:paraId="4DC47EA9" w14:textId="77777777" w:rsidR="00C036AD" w:rsidRPr="00C036AD" w:rsidRDefault="00C036AD" w:rsidP="003927E5">
      <w:pPr>
        <w:pStyle w:val="Bullet1G"/>
      </w:pPr>
      <w:r w:rsidRPr="00C036AD">
        <w:t>Provided scholarships, mentorship, and partnerships with academia and the business sector to support girls in choosing and developing careers in non - traditional fields;</w:t>
      </w:r>
    </w:p>
    <w:p w14:paraId="063BE946" w14:textId="77777777" w:rsidR="00C036AD" w:rsidRPr="00C036AD" w:rsidRDefault="00C036AD" w:rsidP="003927E5">
      <w:pPr>
        <w:pStyle w:val="Bullet1G"/>
      </w:pPr>
      <w:r w:rsidRPr="00C036AD">
        <w:t>Collected gender-disaggregated data to inform educational policies and evaluate progress.</w:t>
      </w:r>
    </w:p>
    <w:p w14:paraId="58A8CF86" w14:textId="77777777" w:rsidR="00C036AD" w:rsidRDefault="00C036AD" w:rsidP="00BF62D8">
      <w:pPr>
        <w:pStyle w:val="SingleTxtG"/>
        <w:numPr>
          <w:ilvl w:val="0"/>
          <w:numId w:val="23"/>
        </w:numPr>
        <w:ind w:left="1134" w:firstLine="0"/>
      </w:pPr>
      <w:r w:rsidRPr="00C036AD">
        <w:t>In the 2024-2025 academic year, women represented 58.5% of the total student enrolment in higher education, accounting for 66.4% in master’s programmes  and 55.2% in undergraduate programmes. During the admission process, admission committees actively encouraged candidates to apply for specialties traditionally dominated by either men or women.</w:t>
      </w:r>
    </w:p>
    <w:tbl>
      <w:tblPr>
        <w:tblStyle w:val="TableGrid3"/>
        <w:tblW w:w="7370" w:type="dxa"/>
        <w:tblInd w:w="1134" w:type="dxa"/>
        <w:tblLayout w:type="fixed"/>
        <w:tblLook w:val="04A0" w:firstRow="1" w:lastRow="0" w:firstColumn="1" w:lastColumn="0" w:noHBand="0" w:noVBand="1"/>
      </w:tblPr>
      <w:tblGrid>
        <w:gridCol w:w="3513"/>
        <w:gridCol w:w="1685"/>
        <w:gridCol w:w="2172"/>
      </w:tblGrid>
      <w:tr w:rsidR="003927E5" w:rsidRPr="003927E5" w14:paraId="4AAB86B7" w14:textId="77777777" w:rsidTr="003927E5">
        <w:trPr>
          <w:tblHeader/>
        </w:trPr>
        <w:tc>
          <w:tcPr>
            <w:tcW w:w="3513" w:type="dxa"/>
            <w:tcBorders>
              <w:top w:val="single" w:sz="4" w:space="0" w:color="auto"/>
              <w:bottom w:val="single" w:sz="12" w:space="0" w:color="auto"/>
            </w:tcBorders>
            <w:vAlign w:val="bottom"/>
          </w:tcPr>
          <w:p w14:paraId="42F65027" w14:textId="77777777" w:rsidR="003927E5" w:rsidRPr="003927E5" w:rsidRDefault="003927E5" w:rsidP="003927E5">
            <w:pPr>
              <w:suppressAutoHyphens w:val="0"/>
              <w:spacing w:before="80" w:after="80" w:line="200" w:lineRule="exact"/>
              <w:rPr>
                <w:rFonts w:eastAsia="Calibri"/>
                <w:i/>
                <w:kern w:val="0"/>
                <w:sz w:val="16"/>
                <w:szCs w:val="24"/>
                <w:lang w:val="en-CH"/>
              </w:rPr>
            </w:pPr>
            <w:r w:rsidRPr="003927E5">
              <w:rPr>
                <w:i/>
                <w:kern w:val="0"/>
                <w:sz w:val="16"/>
                <w:szCs w:val="24"/>
                <w:lang w:val="en-CH"/>
              </w:rPr>
              <w:t>University</w:t>
            </w:r>
          </w:p>
        </w:tc>
        <w:tc>
          <w:tcPr>
            <w:tcW w:w="1685" w:type="dxa"/>
            <w:tcBorders>
              <w:top w:val="single" w:sz="4" w:space="0" w:color="auto"/>
              <w:bottom w:val="single" w:sz="12" w:space="0" w:color="auto"/>
            </w:tcBorders>
            <w:vAlign w:val="bottom"/>
          </w:tcPr>
          <w:p w14:paraId="7E6DB15F" w14:textId="77777777" w:rsidR="003927E5" w:rsidRPr="003927E5" w:rsidRDefault="003927E5" w:rsidP="003927E5">
            <w:pPr>
              <w:suppressAutoHyphens w:val="0"/>
              <w:spacing w:before="80" w:after="80" w:line="200" w:lineRule="exact"/>
              <w:jc w:val="right"/>
              <w:rPr>
                <w:rFonts w:eastAsia="Calibri"/>
                <w:i/>
                <w:kern w:val="0"/>
                <w:sz w:val="16"/>
                <w:szCs w:val="24"/>
                <w:lang w:val="en-CH"/>
              </w:rPr>
            </w:pPr>
            <w:r w:rsidRPr="003927E5">
              <w:rPr>
                <w:i/>
                <w:kern w:val="0"/>
                <w:sz w:val="16"/>
                <w:szCs w:val="24"/>
                <w:lang w:val="en-CH"/>
              </w:rPr>
              <w:t>Female students out of total number</w:t>
            </w:r>
          </w:p>
        </w:tc>
        <w:tc>
          <w:tcPr>
            <w:tcW w:w="2172" w:type="dxa"/>
            <w:tcBorders>
              <w:top w:val="single" w:sz="4" w:space="0" w:color="auto"/>
              <w:bottom w:val="single" w:sz="12" w:space="0" w:color="auto"/>
            </w:tcBorders>
            <w:vAlign w:val="bottom"/>
          </w:tcPr>
          <w:p w14:paraId="513A751C" w14:textId="77777777" w:rsidR="003927E5" w:rsidRPr="003927E5" w:rsidRDefault="003927E5" w:rsidP="003927E5">
            <w:pPr>
              <w:suppressAutoHyphens w:val="0"/>
              <w:spacing w:before="80" w:after="80" w:line="200" w:lineRule="exact"/>
              <w:jc w:val="right"/>
              <w:rPr>
                <w:rFonts w:eastAsia="Calibri"/>
                <w:i/>
                <w:kern w:val="0"/>
                <w:sz w:val="16"/>
                <w:szCs w:val="24"/>
                <w:lang w:val="en-CH"/>
              </w:rPr>
            </w:pPr>
            <w:r w:rsidRPr="003927E5">
              <w:rPr>
                <w:i/>
                <w:kern w:val="0"/>
                <w:sz w:val="16"/>
                <w:szCs w:val="24"/>
                <w:lang w:val="en-CH"/>
              </w:rPr>
              <w:t>Share of female students out of total number</w:t>
            </w:r>
          </w:p>
        </w:tc>
      </w:tr>
      <w:tr w:rsidR="003927E5" w:rsidRPr="003927E5" w14:paraId="5937F826" w14:textId="77777777" w:rsidTr="003927E5">
        <w:tc>
          <w:tcPr>
            <w:tcW w:w="3513" w:type="dxa"/>
            <w:tcBorders>
              <w:top w:val="single" w:sz="12" w:space="0" w:color="auto"/>
            </w:tcBorders>
          </w:tcPr>
          <w:p w14:paraId="315C08A0"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kern w:val="0"/>
                <w:sz w:val="18"/>
                <w:szCs w:val="24"/>
                <w:lang w:val="en-CH"/>
              </w:rPr>
              <w:t>Technical University of Moldova</w:t>
            </w:r>
          </w:p>
        </w:tc>
        <w:tc>
          <w:tcPr>
            <w:tcW w:w="1685" w:type="dxa"/>
            <w:tcBorders>
              <w:top w:val="single" w:sz="12" w:space="0" w:color="auto"/>
            </w:tcBorders>
            <w:vAlign w:val="bottom"/>
          </w:tcPr>
          <w:p w14:paraId="32C3BC6A"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3,239</w:t>
            </w:r>
          </w:p>
        </w:tc>
        <w:tc>
          <w:tcPr>
            <w:tcW w:w="2172" w:type="dxa"/>
            <w:tcBorders>
              <w:top w:val="single" w:sz="12" w:space="0" w:color="auto"/>
            </w:tcBorders>
            <w:vAlign w:val="bottom"/>
          </w:tcPr>
          <w:p w14:paraId="1A2003A1"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33.5%</w:t>
            </w:r>
          </w:p>
        </w:tc>
      </w:tr>
      <w:tr w:rsidR="003927E5" w:rsidRPr="003927E5" w14:paraId="0778944C" w14:textId="77777777" w:rsidTr="003927E5">
        <w:tc>
          <w:tcPr>
            <w:tcW w:w="3513" w:type="dxa"/>
          </w:tcPr>
          <w:p w14:paraId="5337C0A4"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kern w:val="0"/>
                <w:sz w:val="18"/>
                <w:szCs w:val="24"/>
                <w:lang w:val="en-CH"/>
              </w:rPr>
              <w:t>Stefan cel Mare Academy of the Ministry of Internal Affairs</w:t>
            </w:r>
          </w:p>
        </w:tc>
        <w:tc>
          <w:tcPr>
            <w:tcW w:w="1685" w:type="dxa"/>
            <w:vAlign w:val="bottom"/>
          </w:tcPr>
          <w:p w14:paraId="1CE63091"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720</w:t>
            </w:r>
          </w:p>
        </w:tc>
        <w:tc>
          <w:tcPr>
            <w:tcW w:w="2172" w:type="dxa"/>
            <w:vAlign w:val="bottom"/>
          </w:tcPr>
          <w:p w14:paraId="45E1EE1C"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50.4%</w:t>
            </w:r>
          </w:p>
        </w:tc>
      </w:tr>
      <w:tr w:rsidR="003927E5" w:rsidRPr="003927E5" w14:paraId="1132EE2F" w14:textId="77777777" w:rsidTr="003927E5">
        <w:tc>
          <w:tcPr>
            <w:tcW w:w="3513" w:type="dxa"/>
            <w:tcBorders>
              <w:bottom w:val="single" w:sz="12" w:space="0" w:color="auto"/>
            </w:tcBorders>
          </w:tcPr>
          <w:p w14:paraId="37DDDF35"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kern w:val="0"/>
                <w:sz w:val="18"/>
                <w:szCs w:val="24"/>
                <w:lang w:val="en-CH"/>
              </w:rPr>
              <w:t>Military Academy of the Armed Forces</w:t>
            </w:r>
          </w:p>
        </w:tc>
        <w:tc>
          <w:tcPr>
            <w:tcW w:w="1685" w:type="dxa"/>
            <w:tcBorders>
              <w:bottom w:val="single" w:sz="12" w:space="0" w:color="auto"/>
            </w:tcBorders>
            <w:vAlign w:val="bottom"/>
          </w:tcPr>
          <w:p w14:paraId="55C8C58D"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25</w:t>
            </w:r>
          </w:p>
        </w:tc>
        <w:tc>
          <w:tcPr>
            <w:tcW w:w="2172" w:type="dxa"/>
            <w:tcBorders>
              <w:bottom w:val="single" w:sz="12" w:space="0" w:color="auto"/>
            </w:tcBorders>
            <w:vAlign w:val="bottom"/>
          </w:tcPr>
          <w:p w14:paraId="124F8F23"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22.3%</w:t>
            </w:r>
          </w:p>
        </w:tc>
      </w:tr>
    </w:tbl>
    <w:p w14:paraId="3E09F8F0" w14:textId="3D7DC849" w:rsidR="00C0790F" w:rsidRDefault="00D17F33" w:rsidP="00C0790F">
      <w:pPr>
        <w:pStyle w:val="H1G"/>
      </w:pPr>
      <w:bookmarkStart w:id="38" w:name="_Toc210633931"/>
      <w:r>
        <w:tab/>
      </w:r>
      <w:r>
        <w:tab/>
      </w:r>
      <w:r w:rsidR="00C0790F" w:rsidRPr="00C0790F">
        <w:t>Reply to paragraph 1</w:t>
      </w:r>
      <w:r w:rsidR="00C0790F">
        <w:t>3</w:t>
      </w:r>
      <w:r w:rsidR="00C0790F" w:rsidRPr="00C0790F">
        <w:t>(b)</w:t>
      </w:r>
    </w:p>
    <w:p w14:paraId="39B2B490" w14:textId="7915CB7D" w:rsidR="00C036AD" w:rsidRPr="00C036AD" w:rsidRDefault="00C036AD" w:rsidP="00BF62D8">
      <w:pPr>
        <w:pStyle w:val="SingleTxtG"/>
        <w:numPr>
          <w:ilvl w:val="0"/>
          <w:numId w:val="23"/>
        </w:numPr>
        <w:ind w:left="1134" w:firstLine="0"/>
      </w:pPr>
      <w:bookmarkStart w:id="39" w:name="_Toc210633932"/>
      <w:bookmarkEnd w:id="38"/>
      <w:r w:rsidRPr="00C036AD">
        <w:t>The law guarantees the right to education to all citizens without discrimination, including women and girls in rural areas and regions with special status. To support the reintegration of young mothers and prevent school dropout, the Republic of Moldova permits students to take national examinations under an external examination system, thereby providing a flexible and inclusive framework.</w:t>
      </w:r>
    </w:p>
    <w:p w14:paraId="17C5CE8F" w14:textId="77777777" w:rsidR="00C036AD" w:rsidRPr="00C036AD" w:rsidRDefault="00C036AD" w:rsidP="00BF62D8">
      <w:pPr>
        <w:pStyle w:val="SingleTxtG"/>
        <w:numPr>
          <w:ilvl w:val="0"/>
          <w:numId w:val="23"/>
        </w:numPr>
        <w:ind w:left="1134" w:firstLine="0"/>
      </w:pPr>
      <w:r w:rsidRPr="00C036AD">
        <w:t xml:space="preserve">The country supported the participation of Roma girls and young women in upper secondary, vocational-technical, and higher education through the </w:t>
      </w:r>
      <w:hyperlink r:id="rId31" w:history="1">
        <w:r w:rsidRPr="00C036AD">
          <w:rPr>
            <w:rStyle w:val="Hyperlink"/>
          </w:rPr>
          <w:t>Merit-Based Scholarship Programme</w:t>
        </w:r>
      </w:hyperlink>
      <w:r w:rsidRPr="00C036AD">
        <w:t>. Between 2023 and 2025, 147 Roma children and students, including 71 girls, benefited from scholarships amounting to 59.63 EUR. Furthermore, targeted information campaigns and thematic meetings actively promoted access to education and the participation of girls and young women in educational programmes.</w:t>
      </w:r>
    </w:p>
    <w:p w14:paraId="0EACCEE8" w14:textId="5747838A" w:rsidR="00C0790F" w:rsidRDefault="00D17F33" w:rsidP="00C0790F">
      <w:pPr>
        <w:pStyle w:val="H1G"/>
      </w:pPr>
      <w:r>
        <w:tab/>
      </w:r>
      <w:r>
        <w:tab/>
      </w:r>
      <w:r w:rsidR="00C0790F" w:rsidRPr="00C0790F">
        <w:t>Reply to paragraph 1</w:t>
      </w:r>
      <w:r w:rsidR="00C0790F">
        <w:t>3</w:t>
      </w:r>
      <w:r w:rsidR="00C0790F" w:rsidRPr="00C0790F">
        <w:t>(</w:t>
      </w:r>
      <w:r w:rsidR="00C0790F">
        <w:t>c</w:t>
      </w:r>
      <w:r w:rsidR="00C0790F" w:rsidRPr="00C0790F">
        <w:t>)</w:t>
      </w:r>
    </w:p>
    <w:p w14:paraId="6D327DBE" w14:textId="09CEE6A9" w:rsidR="00C036AD" w:rsidRPr="00C036AD" w:rsidRDefault="00C036AD" w:rsidP="00BF62D8">
      <w:pPr>
        <w:pStyle w:val="SingleTxtG"/>
        <w:numPr>
          <w:ilvl w:val="0"/>
          <w:numId w:val="23"/>
        </w:numPr>
        <w:ind w:left="1134" w:firstLine="0"/>
        <w:rPr>
          <w:bCs/>
        </w:rPr>
      </w:pPr>
      <w:bookmarkStart w:id="40" w:name="_Toc210633933"/>
      <w:bookmarkEnd w:id="39"/>
      <w:r w:rsidRPr="00C036AD">
        <w:t>Authorities and civil society partners implemented measures to mitigate school dropout and increase school retention rates, particularly among girls, through targeted awareness - raising activities for parents, community leaders, women, and girls regarding the importance of education, personal development, and career prospects.</w:t>
      </w:r>
    </w:p>
    <w:p w14:paraId="629A2FD3" w14:textId="77777777" w:rsidR="00C036AD" w:rsidRPr="00C036AD" w:rsidRDefault="00C036AD" w:rsidP="00BF62D8">
      <w:pPr>
        <w:pStyle w:val="SingleTxtG"/>
        <w:numPr>
          <w:ilvl w:val="0"/>
          <w:numId w:val="23"/>
        </w:numPr>
        <w:ind w:left="1134" w:firstLine="0"/>
      </w:pPr>
      <w:r w:rsidRPr="00C036AD">
        <w:t xml:space="preserve">In 2024-2025, stakeholder actions focused on preventing school dropout and boosting retention by sensitizing parents and communities. Notably, a pilot model launched by the „Diaconia” supported 50 children in maintaining their connection to the formal education system. To assist vulnerable Roma children, particularly girls, partners provided monthly scholarships, free school meals, and financial assistance. Currently, 1,645 Roma children are enrolled in primary and secondary education, a milestone that directly strengthens school participation and retention. </w:t>
      </w:r>
    </w:p>
    <w:p w14:paraId="2403620C" w14:textId="044C19D6" w:rsidR="00C0790F" w:rsidRDefault="00D17F33" w:rsidP="00C0790F">
      <w:pPr>
        <w:pStyle w:val="H1G"/>
      </w:pPr>
      <w:r>
        <w:lastRenderedPageBreak/>
        <w:tab/>
      </w:r>
      <w:r>
        <w:tab/>
      </w:r>
      <w:r w:rsidR="00C0790F" w:rsidRPr="00C0790F">
        <w:t>Reply to paragraph 1</w:t>
      </w:r>
      <w:r w:rsidR="00C0790F">
        <w:t>3</w:t>
      </w:r>
      <w:r w:rsidR="00C0790F" w:rsidRPr="00C0790F">
        <w:t>(</w:t>
      </w:r>
      <w:r w:rsidR="00C0790F">
        <w:t>d</w:t>
      </w:r>
      <w:r w:rsidR="00C0790F" w:rsidRPr="00C0790F">
        <w:t>)</w:t>
      </w:r>
    </w:p>
    <w:bookmarkEnd w:id="40"/>
    <w:p w14:paraId="674336A3" w14:textId="2A264AFB" w:rsidR="00C036AD" w:rsidRPr="00C036AD" w:rsidRDefault="00C036AD" w:rsidP="00BF62D8">
      <w:pPr>
        <w:pStyle w:val="SingleTxtG"/>
        <w:numPr>
          <w:ilvl w:val="0"/>
          <w:numId w:val="23"/>
        </w:numPr>
        <w:ind w:left="1134" w:firstLine="0"/>
      </w:pPr>
      <w:r w:rsidRPr="00C036AD">
        <w:t>Refugee children from Ukraine or other countries in conflict can benefit from psycho-pedagogical support if they have special needs. Refugees from Ukraine or other countries affected by conflict who hold temporary protection status can apply to the territorial structures of the Republican Center for Psycho-Pedagogical Assistance. These structures constitute the first step to access support for children with disabilities or special needs. According to data provided:</w:t>
      </w:r>
    </w:p>
    <w:p w14:paraId="1894074C" w14:textId="77777777" w:rsidR="00C036AD" w:rsidRDefault="00C036AD" w:rsidP="00BF62D8">
      <w:pPr>
        <w:pStyle w:val="SingleTxtG"/>
        <w:numPr>
          <w:ilvl w:val="0"/>
          <w:numId w:val="23"/>
        </w:numPr>
        <w:ind w:left="1134" w:firstLine="0"/>
      </w:pPr>
      <w:r w:rsidRPr="00C036AD">
        <w:t>In early childhood education institutions:</w:t>
      </w:r>
    </w:p>
    <w:tbl>
      <w:tblPr>
        <w:tblStyle w:val="TableGrid4"/>
        <w:tblW w:w="7370" w:type="dxa"/>
        <w:tblInd w:w="1134" w:type="dxa"/>
        <w:tblLayout w:type="fixed"/>
        <w:tblLook w:val="04A0" w:firstRow="1" w:lastRow="0" w:firstColumn="1" w:lastColumn="0" w:noHBand="0" w:noVBand="1"/>
      </w:tblPr>
      <w:tblGrid>
        <w:gridCol w:w="2027"/>
        <w:gridCol w:w="2092"/>
        <w:gridCol w:w="2146"/>
        <w:gridCol w:w="1105"/>
      </w:tblGrid>
      <w:tr w:rsidR="003927E5" w:rsidRPr="003927E5" w14:paraId="467AE5E8" w14:textId="77777777" w:rsidTr="003927E5">
        <w:trPr>
          <w:tblHeader/>
        </w:trPr>
        <w:tc>
          <w:tcPr>
            <w:tcW w:w="2027" w:type="dxa"/>
            <w:tcBorders>
              <w:top w:val="single" w:sz="4" w:space="0" w:color="auto"/>
              <w:bottom w:val="single" w:sz="12" w:space="0" w:color="auto"/>
            </w:tcBorders>
            <w:vAlign w:val="bottom"/>
          </w:tcPr>
          <w:p w14:paraId="2E0A555E" w14:textId="77777777" w:rsidR="003927E5" w:rsidRPr="003927E5" w:rsidRDefault="003927E5" w:rsidP="003927E5">
            <w:pPr>
              <w:suppressAutoHyphens w:val="0"/>
              <w:spacing w:before="80" w:after="80" w:line="200" w:lineRule="exact"/>
              <w:rPr>
                <w:rFonts w:eastAsia="Calibri"/>
                <w:i/>
                <w:kern w:val="0"/>
                <w:sz w:val="16"/>
                <w:szCs w:val="24"/>
                <w:lang w:val="en-CH"/>
              </w:rPr>
            </w:pPr>
            <w:r w:rsidRPr="003927E5">
              <w:rPr>
                <w:i/>
                <w:kern w:val="0"/>
                <w:sz w:val="16"/>
                <w:szCs w:val="24"/>
                <w:lang w:val="en-CH"/>
              </w:rPr>
              <w:t>Indicator category</w:t>
            </w:r>
          </w:p>
        </w:tc>
        <w:tc>
          <w:tcPr>
            <w:tcW w:w="2092" w:type="dxa"/>
            <w:tcBorders>
              <w:top w:val="single" w:sz="4" w:space="0" w:color="auto"/>
              <w:bottom w:val="single" w:sz="12" w:space="0" w:color="auto"/>
            </w:tcBorders>
            <w:vAlign w:val="bottom"/>
          </w:tcPr>
          <w:p w14:paraId="5D79D003" w14:textId="77777777" w:rsidR="003927E5" w:rsidRPr="003927E5" w:rsidRDefault="003927E5" w:rsidP="003927E5">
            <w:pPr>
              <w:suppressAutoHyphens w:val="0"/>
              <w:spacing w:before="80" w:after="80" w:line="200" w:lineRule="exact"/>
              <w:jc w:val="right"/>
              <w:rPr>
                <w:rFonts w:eastAsia="Calibri"/>
                <w:i/>
                <w:kern w:val="0"/>
                <w:sz w:val="16"/>
                <w:szCs w:val="24"/>
                <w:lang w:val="en-CH"/>
              </w:rPr>
            </w:pPr>
            <w:r w:rsidRPr="003927E5">
              <w:rPr>
                <w:i/>
                <w:kern w:val="0"/>
                <w:sz w:val="16"/>
                <w:szCs w:val="24"/>
                <w:lang w:val="en-CH"/>
              </w:rPr>
              <w:t>Subcategory</w:t>
            </w:r>
          </w:p>
        </w:tc>
        <w:tc>
          <w:tcPr>
            <w:tcW w:w="2146" w:type="dxa"/>
            <w:tcBorders>
              <w:top w:val="single" w:sz="4" w:space="0" w:color="auto"/>
              <w:bottom w:val="single" w:sz="12" w:space="0" w:color="auto"/>
            </w:tcBorders>
            <w:vAlign w:val="bottom"/>
          </w:tcPr>
          <w:p w14:paraId="252DED44" w14:textId="77777777" w:rsidR="003927E5" w:rsidRPr="003927E5" w:rsidRDefault="003927E5" w:rsidP="003927E5">
            <w:pPr>
              <w:suppressAutoHyphens w:val="0"/>
              <w:spacing w:before="80" w:after="80" w:line="200" w:lineRule="exact"/>
              <w:jc w:val="right"/>
              <w:rPr>
                <w:rFonts w:eastAsia="Calibri"/>
                <w:i/>
                <w:kern w:val="0"/>
                <w:sz w:val="16"/>
                <w:szCs w:val="24"/>
                <w:lang w:val="en-CH"/>
              </w:rPr>
            </w:pPr>
            <w:r w:rsidRPr="003927E5">
              <w:rPr>
                <w:i/>
                <w:kern w:val="0"/>
                <w:sz w:val="16"/>
                <w:szCs w:val="24"/>
                <w:lang w:val="en-CH"/>
              </w:rPr>
              <w:t xml:space="preserve">Number of children with special educational needs </w:t>
            </w:r>
          </w:p>
        </w:tc>
        <w:tc>
          <w:tcPr>
            <w:tcW w:w="1105" w:type="dxa"/>
            <w:tcBorders>
              <w:top w:val="single" w:sz="4" w:space="0" w:color="auto"/>
              <w:bottom w:val="single" w:sz="12" w:space="0" w:color="auto"/>
            </w:tcBorders>
            <w:vAlign w:val="bottom"/>
          </w:tcPr>
          <w:p w14:paraId="6DF40BF0" w14:textId="77777777" w:rsidR="003927E5" w:rsidRPr="003927E5" w:rsidRDefault="003927E5" w:rsidP="003927E5">
            <w:pPr>
              <w:suppressAutoHyphens w:val="0"/>
              <w:spacing w:before="80" w:after="80" w:line="200" w:lineRule="exact"/>
              <w:jc w:val="right"/>
              <w:rPr>
                <w:rFonts w:eastAsia="Calibri"/>
                <w:i/>
                <w:kern w:val="0"/>
                <w:sz w:val="16"/>
                <w:szCs w:val="24"/>
                <w:lang w:val="en-CH"/>
              </w:rPr>
            </w:pPr>
            <w:r w:rsidRPr="003927E5">
              <w:rPr>
                <w:i/>
                <w:kern w:val="0"/>
                <w:sz w:val="16"/>
                <w:szCs w:val="24"/>
                <w:lang w:val="en-CH"/>
              </w:rPr>
              <w:t xml:space="preserve">Share of children </w:t>
            </w:r>
          </w:p>
        </w:tc>
      </w:tr>
      <w:tr w:rsidR="003927E5" w:rsidRPr="003927E5" w14:paraId="716A8B2F" w14:textId="77777777" w:rsidTr="003927E5">
        <w:tc>
          <w:tcPr>
            <w:tcW w:w="2027" w:type="dxa"/>
            <w:tcBorders>
              <w:top w:val="single" w:sz="12" w:space="0" w:color="auto"/>
            </w:tcBorders>
          </w:tcPr>
          <w:p w14:paraId="73D2C886"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kern w:val="0"/>
                <w:sz w:val="18"/>
                <w:szCs w:val="24"/>
                <w:lang w:val="en-CH"/>
              </w:rPr>
              <w:t>Total Enrollment</w:t>
            </w:r>
          </w:p>
        </w:tc>
        <w:tc>
          <w:tcPr>
            <w:tcW w:w="2092" w:type="dxa"/>
            <w:tcBorders>
              <w:top w:val="single" w:sz="12" w:space="0" w:color="auto"/>
            </w:tcBorders>
            <w:vAlign w:val="bottom"/>
          </w:tcPr>
          <w:p w14:paraId="7863B550"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Children with special educational needs</w:t>
            </w:r>
          </w:p>
        </w:tc>
        <w:tc>
          <w:tcPr>
            <w:tcW w:w="2146" w:type="dxa"/>
            <w:tcBorders>
              <w:top w:val="single" w:sz="12" w:space="0" w:color="auto"/>
            </w:tcBorders>
            <w:vAlign w:val="bottom"/>
          </w:tcPr>
          <w:p w14:paraId="242FA8FD"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2,740</w:t>
            </w:r>
          </w:p>
        </w:tc>
        <w:tc>
          <w:tcPr>
            <w:tcW w:w="1105" w:type="dxa"/>
            <w:tcBorders>
              <w:top w:val="single" w:sz="12" w:space="0" w:color="auto"/>
            </w:tcBorders>
            <w:vAlign w:val="bottom"/>
          </w:tcPr>
          <w:p w14:paraId="5372AD2D"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100%</w:t>
            </w:r>
          </w:p>
        </w:tc>
      </w:tr>
      <w:tr w:rsidR="003927E5" w:rsidRPr="003927E5" w14:paraId="4C8EFF2E" w14:textId="77777777" w:rsidTr="003927E5">
        <w:tc>
          <w:tcPr>
            <w:tcW w:w="2027" w:type="dxa"/>
            <w:vMerge w:val="restart"/>
          </w:tcPr>
          <w:p w14:paraId="1F6A833C"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i/>
                <w:kern w:val="0"/>
                <w:sz w:val="18"/>
                <w:szCs w:val="24"/>
                <w:lang w:val="en-CH"/>
              </w:rPr>
              <w:t>Gender Distribution</w:t>
            </w:r>
          </w:p>
        </w:tc>
        <w:tc>
          <w:tcPr>
            <w:tcW w:w="2092" w:type="dxa"/>
            <w:vAlign w:val="bottom"/>
          </w:tcPr>
          <w:p w14:paraId="543963B2"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Boys</w:t>
            </w:r>
          </w:p>
        </w:tc>
        <w:tc>
          <w:tcPr>
            <w:tcW w:w="2146" w:type="dxa"/>
            <w:vAlign w:val="bottom"/>
          </w:tcPr>
          <w:p w14:paraId="38B287C5"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1,837</w:t>
            </w:r>
          </w:p>
        </w:tc>
        <w:tc>
          <w:tcPr>
            <w:tcW w:w="1105" w:type="dxa"/>
            <w:vAlign w:val="bottom"/>
          </w:tcPr>
          <w:p w14:paraId="340F5DD2"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67%</w:t>
            </w:r>
          </w:p>
        </w:tc>
      </w:tr>
      <w:tr w:rsidR="003927E5" w:rsidRPr="003927E5" w14:paraId="2A32D274" w14:textId="77777777" w:rsidTr="003927E5">
        <w:tc>
          <w:tcPr>
            <w:tcW w:w="2027" w:type="dxa"/>
            <w:vMerge/>
          </w:tcPr>
          <w:p w14:paraId="24E062E7" w14:textId="77777777" w:rsidR="003927E5" w:rsidRPr="003927E5" w:rsidRDefault="003927E5" w:rsidP="003927E5">
            <w:pPr>
              <w:suppressAutoHyphens w:val="0"/>
              <w:spacing w:before="40" w:after="40" w:line="220" w:lineRule="exact"/>
              <w:rPr>
                <w:rFonts w:eastAsia="Calibri"/>
                <w:kern w:val="0"/>
                <w:sz w:val="18"/>
                <w:szCs w:val="24"/>
                <w:lang w:val="en-CH"/>
              </w:rPr>
            </w:pPr>
          </w:p>
        </w:tc>
        <w:tc>
          <w:tcPr>
            <w:tcW w:w="2092" w:type="dxa"/>
            <w:vAlign w:val="bottom"/>
          </w:tcPr>
          <w:p w14:paraId="4F3EED91"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Girls</w:t>
            </w:r>
          </w:p>
        </w:tc>
        <w:tc>
          <w:tcPr>
            <w:tcW w:w="2146" w:type="dxa"/>
            <w:vAlign w:val="bottom"/>
          </w:tcPr>
          <w:p w14:paraId="3C2CAF9D"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903</w:t>
            </w:r>
          </w:p>
        </w:tc>
        <w:tc>
          <w:tcPr>
            <w:tcW w:w="1105" w:type="dxa"/>
            <w:vAlign w:val="bottom"/>
          </w:tcPr>
          <w:p w14:paraId="1959EF02"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33%</w:t>
            </w:r>
          </w:p>
        </w:tc>
      </w:tr>
      <w:tr w:rsidR="003927E5" w:rsidRPr="003927E5" w14:paraId="1D2378F9" w14:textId="77777777" w:rsidTr="003927E5">
        <w:tc>
          <w:tcPr>
            <w:tcW w:w="2027" w:type="dxa"/>
            <w:vMerge w:val="restart"/>
          </w:tcPr>
          <w:p w14:paraId="7AC084DA"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i/>
                <w:kern w:val="0"/>
                <w:sz w:val="18"/>
                <w:szCs w:val="24"/>
                <w:lang w:val="en-CH"/>
              </w:rPr>
              <w:t>Geographical Distribution</w:t>
            </w:r>
          </w:p>
        </w:tc>
        <w:tc>
          <w:tcPr>
            <w:tcW w:w="2092" w:type="dxa"/>
            <w:vAlign w:val="bottom"/>
          </w:tcPr>
          <w:p w14:paraId="46B5A1CC"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Urban Areas</w:t>
            </w:r>
          </w:p>
        </w:tc>
        <w:tc>
          <w:tcPr>
            <w:tcW w:w="2146" w:type="dxa"/>
            <w:vAlign w:val="bottom"/>
          </w:tcPr>
          <w:p w14:paraId="410CD9AA"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1,316</w:t>
            </w:r>
          </w:p>
        </w:tc>
        <w:tc>
          <w:tcPr>
            <w:tcW w:w="1105" w:type="dxa"/>
            <w:vAlign w:val="bottom"/>
          </w:tcPr>
          <w:p w14:paraId="25071E55"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48%</w:t>
            </w:r>
          </w:p>
        </w:tc>
      </w:tr>
      <w:tr w:rsidR="003927E5" w:rsidRPr="003927E5" w14:paraId="2E2AE3EB" w14:textId="77777777" w:rsidTr="003927E5">
        <w:tc>
          <w:tcPr>
            <w:tcW w:w="2027" w:type="dxa"/>
            <w:vMerge/>
          </w:tcPr>
          <w:p w14:paraId="74E4B6FB" w14:textId="77777777" w:rsidR="003927E5" w:rsidRPr="003927E5" w:rsidRDefault="003927E5" w:rsidP="003927E5">
            <w:pPr>
              <w:suppressAutoHyphens w:val="0"/>
              <w:spacing w:before="40" w:after="40" w:line="220" w:lineRule="exact"/>
              <w:rPr>
                <w:rFonts w:eastAsia="Calibri"/>
                <w:kern w:val="0"/>
                <w:sz w:val="18"/>
                <w:szCs w:val="24"/>
                <w:lang w:val="en-CH"/>
              </w:rPr>
            </w:pPr>
          </w:p>
        </w:tc>
        <w:tc>
          <w:tcPr>
            <w:tcW w:w="2092" w:type="dxa"/>
            <w:vAlign w:val="bottom"/>
          </w:tcPr>
          <w:p w14:paraId="054CA2D0"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Rural Areas</w:t>
            </w:r>
          </w:p>
        </w:tc>
        <w:tc>
          <w:tcPr>
            <w:tcW w:w="2146" w:type="dxa"/>
            <w:vAlign w:val="bottom"/>
          </w:tcPr>
          <w:p w14:paraId="680EC121"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1,424</w:t>
            </w:r>
          </w:p>
        </w:tc>
        <w:tc>
          <w:tcPr>
            <w:tcW w:w="1105" w:type="dxa"/>
            <w:vAlign w:val="bottom"/>
          </w:tcPr>
          <w:p w14:paraId="1913F857"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52%</w:t>
            </w:r>
          </w:p>
        </w:tc>
      </w:tr>
      <w:tr w:rsidR="003927E5" w:rsidRPr="003927E5" w14:paraId="37DC64EC" w14:textId="77777777" w:rsidTr="003927E5">
        <w:tc>
          <w:tcPr>
            <w:tcW w:w="2027" w:type="dxa"/>
            <w:tcBorders>
              <w:bottom w:val="single" w:sz="12" w:space="0" w:color="auto"/>
            </w:tcBorders>
          </w:tcPr>
          <w:p w14:paraId="3E767EB2" w14:textId="77777777" w:rsidR="003927E5" w:rsidRPr="003927E5" w:rsidRDefault="003927E5" w:rsidP="003927E5">
            <w:pPr>
              <w:suppressAutoHyphens w:val="0"/>
              <w:spacing w:before="40" w:after="40" w:line="220" w:lineRule="exact"/>
              <w:rPr>
                <w:rFonts w:eastAsia="Calibri"/>
                <w:kern w:val="0"/>
                <w:sz w:val="18"/>
                <w:szCs w:val="24"/>
                <w:lang w:val="en-CH"/>
              </w:rPr>
            </w:pPr>
            <w:r w:rsidRPr="003927E5">
              <w:rPr>
                <w:i/>
                <w:kern w:val="0"/>
                <w:sz w:val="18"/>
                <w:szCs w:val="24"/>
                <w:lang w:val="en-CH"/>
              </w:rPr>
              <w:t>Health Status</w:t>
            </w:r>
          </w:p>
        </w:tc>
        <w:tc>
          <w:tcPr>
            <w:tcW w:w="2092" w:type="dxa"/>
            <w:tcBorders>
              <w:bottom w:val="single" w:sz="12" w:space="0" w:color="auto"/>
            </w:tcBorders>
            <w:vAlign w:val="bottom"/>
          </w:tcPr>
          <w:p w14:paraId="62E741B6"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Children with Disabilities</w:t>
            </w:r>
          </w:p>
        </w:tc>
        <w:tc>
          <w:tcPr>
            <w:tcW w:w="2146" w:type="dxa"/>
            <w:tcBorders>
              <w:bottom w:val="single" w:sz="12" w:space="0" w:color="auto"/>
            </w:tcBorders>
            <w:vAlign w:val="bottom"/>
          </w:tcPr>
          <w:p w14:paraId="5CD0D528"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1,042</w:t>
            </w:r>
          </w:p>
        </w:tc>
        <w:tc>
          <w:tcPr>
            <w:tcW w:w="1105" w:type="dxa"/>
            <w:tcBorders>
              <w:bottom w:val="single" w:sz="12" w:space="0" w:color="auto"/>
            </w:tcBorders>
            <w:vAlign w:val="bottom"/>
          </w:tcPr>
          <w:p w14:paraId="528E4AE7" w14:textId="77777777" w:rsidR="003927E5" w:rsidRPr="003927E5" w:rsidRDefault="003927E5" w:rsidP="003927E5">
            <w:pPr>
              <w:suppressAutoHyphens w:val="0"/>
              <w:spacing w:before="40" w:after="40" w:line="220" w:lineRule="exact"/>
              <w:jc w:val="right"/>
              <w:rPr>
                <w:rFonts w:eastAsia="Calibri"/>
                <w:kern w:val="0"/>
                <w:sz w:val="18"/>
                <w:szCs w:val="24"/>
                <w:lang w:val="en-CH"/>
              </w:rPr>
            </w:pPr>
            <w:r w:rsidRPr="003927E5">
              <w:rPr>
                <w:kern w:val="0"/>
                <w:sz w:val="18"/>
                <w:szCs w:val="24"/>
                <w:lang w:val="en-CH"/>
              </w:rPr>
              <w:t>38%</w:t>
            </w:r>
          </w:p>
        </w:tc>
      </w:tr>
    </w:tbl>
    <w:p w14:paraId="31C8D18B" w14:textId="77777777" w:rsidR="00C036AD" w:rsidRDefault="00C036AD" w:rsidP="00C036AD">
      <w:pPr>
        <w:pStyle w:val="SingleTxtG"/>
      </w:pPr>
      <w:r w:rsidRPr="00C036AD">
        <w:t>In primary and general secondary education institutions:</w:t>
      </w:r>
    </w:p>
    <w:tbl>
      <w:tblPr>
        <w:tblStyle w:val="TableGrid0"/>
        <w:tblW w:w="7370" w:type="dxa"/>
        <w:tblInd w:w="1134" w:type="dxa"/>
        <w:tblLayout w:type="fixed"/>
        <w:tblLook w:val="04A0" w:firstRow="1" w:lastRow="0" w:firstColumn="1" w:lastColumn="0" w:noHBand="0" w:noVBand="1"/>
      </w:tblPr>
      <w:tblGrid>
        <w:gridCol w:w="1555"/>
        <w:gridCol w:w="2515"/>
        <w:gridCol w:w="2139"/>
        <w:gridCol w:w="1161"/>
      </w:tblGrid>
      <w:tr w:rsidR="00DB458D" w:rsidRPr="00DB458D" w14:paraId="420A7D48" w14:textId="77777777" w:rsidTr="00DB458D">
        <w:trPr>
          <w:tblHeader/>
        </w:trPr>
        <w:tc>
          <w:tcPr>
            <w:tcW w:w="1555" w:type="dxa"/>
            <w:tcBorders>
              <w:top w:val="single" w:sz="4" w:space="0" w:color="auto"/>
              <w:bottom w:val="single" w:sz="12" w:space="0" w:color="auto"/>
            </w:tcBorders>
            <w:vAlign w:val="bottom"/>
          </w:tcPr>
          <w:p w14:paraId="4BF1DA27" w14:textId="77777777" w:rsidR="00DB458D" w:rsidRPr="00DB458D" w:rsidRDefault="00DB458D" w:rsidP="00DB458D">
            <w:pPr>
              <w:spacing w:before="80" w:after="80" w:line="200" w:lineRule="exact"/>
              <w:ind w:right="113"/>
              <w:rPr>
                <w:i/>
                <w:kern w:val="0"/>
                <w:sz w:val="16"/>
              </w:rPr>
            </w:pPr>
            <w:r w:rsidRPr="00DB458D">
              <w:rPr>
                <w:i/>
                <w:kern w:val="0"/>
                <w:sz w:val="16"/>
              </w:rPr>
              <w:t>Indicator Category</w:t>
            </w:r>
          </w:p>
        </w:tc>
        <w:tc>
          <w:tcPr>
            <w:tcW w:w="2515" w:type="dxa"/>
            <w:tcBorders>
              <w:top w:val="single" w:sz="4" w:space="0" w:color="auto"/>
              <w:bottom w:val="single" w:sz="12" w:space="0" w:color="auto"/>
            </w:tcBorders>
            <w:vAlign w:val="bottom"/>
          </w:tcPr>
          <w:p w14:paraId="184AFACA" w14:textId="77777777" w:rsidR="00DB458D" w:rsidRPr="00DB458D" w:rsidRDefault="00DB458D" w:rsidP="00DB458D">
            <w:pPr>
              <w:spacing w:before="80" w:after="80" w:line="200" w:lineRule="exact"/>
              <w:ind w:right="113"/>
              <w:rPr>
                <w:i/>
                <w:kern w:val="0"/>
                <w:sz w:val="16"/>
              </w:rPr>
            </w:pPr>
            <w:r w:rsidRPr="00DB458D">
              <w:rPr>
                <w:i/>
                <w:kern w:val="0"/>
                <w:sz w:val="16"/>
              </w:rPr>
              <w:t>Subcategory</w:t>
            </w:r>
          </w:p>
        </w:tc>
        <w:tc>
          <w:tcPr>
            <w:tcW w:w="2139" w:type="dxa"/>
            <w:tcBorders>
              <w:top w:val="single" w:sz="4" w:space="0" w:color="auto"/>
              <w:bottom w:val="single" w:sz="12" w:space="0" w:color="auto"/>
            </w:tcBorders>
            <w:vAlign w:val="bottom"/>
          </w:tcPr>
          <w:p w14:paraId="0F83CB16" w14:textId="77777777" w:rsidR="00DB458D" w:rsidRPr="00DB458D" w:rsidRDefault="00DB458D" w:rsidP="00DB458D">
            <w:pPr>
              <w:spacing w:before="80" w:after="80" w:line="200" w:lineRule="exact"/>
              <w:ind w:right="113"/>
              <w:rPr>
                <w:i/>
                <w:kern w:val="0"/>
                <w:sz w:val="16"/>
              </w:rPr>
            </w:pPr>
            <w:r w:rsidRPr="00DB458D">
              <w:rPr>
                <w:i/>
                <w:kern w:val="0"/>
                <w:sz w:val="16"/>
              </w:rPr>
              <w:t xml:space="preserve">Number of children with special educational needs </w:t>
            </w:r>
          </w:p>
        </w:tc>
        <w:tc>
          <w:tcPr>
            <w:tcW w:w="1161" w:type="dxa"/>
            <w:tcBorders>
              <w:top w:val="single" w:sz="4" w:space="0" w:color="auto"/>
              <w:bottom w:val="single" w:sz="12" w:space="0" w:color="auto"/>
            </w:tcBorders>
            <w:vAlign w:val="bottom"/>
          </w:tcPr>
          <w:p w14:paraId="4E12CB35" w14:textId="77777777" w:rsidR="00DB458D" w:rsidRPr="00DB458D" w:rsidRDefault="00DB458D" w:rsidP="00DB458D">
            <w:pPr>
              <w:spacing w:before="80" w:after="80" w:line="200" w:lineRule="exact"/>
              <w:ind w:right="113"/>
              <w:rPr>
                <w:i/>
                <w:kern w:val="0"/>
                <w:sz w:val="16"/>
              </w:rPr>
            </w:pPr>
            <w:r w:rsidRPr="00DB458D">
              <w:rPr>
                <w:i/>
                <w:kern w:val="0"/>
                <w:sz w:val="16"/>
              </w:rPr>
              <w:t xml:space="preserve">Share of children </w:t>
            </w:r>
          </w:p>
        </w:tc>
      </w:tr>
      <w:tr w:rsidR="00DB458D" w:rsidRPr="00DB458D" w14:paraId="35F192B0" w14:textId="77777777" w:rsidTr="00DB458D">
        <w:trPr>
          <w:trHeight w:hRule="exact" w:val="113"/>
        </w:trPr>
        <w:tc>
          <w:tcPr>
            <w:tcW w:w="1555" w:type="dxa"/>
            <w:tcBorders>
              <w:top w:val="single" w:sz="12" w:space="0" w:color="auto"/>
            </w:tcBorders>
          </w:tcPr>
          <w:p w14:paraId="4C3AD729" w14:textId="77777777" w:rsidR="00DB458D" w:rsidRPr="00DB458D" w:rsidRDefault="00DB458D" w:rsidP="00DB458D">
            <w:pPr>
              <w:spacing w:before="40" w:after="120"/>
              <w:ind w:right="113"/>
              <w:rPr>
                <w:kern w:val="0"/>
              </w:rPr>
            </w:pPr>
          </w:p>
        </w:tc>
        <w:tc>
          <w:tcPr>
            <w:tcW w:w="2515" w:type="dxa"/>
            <w:tcBorders>
              <w:top w:val="single" w:sz="12" w:space="0" w:color="auto"/>
            </w:tcBorders>
          </w:tcPr>
          <w:p w14:paraId="085D2DD1" w14:textId="77777777" w:rsidR="00DB458D" w:rsidRPr="00DB458D" w:rsidRDefault="00DB458D" w:rsidP="00DB458D">
            <w:pPr>
              <w:spacing w:before="40" w:after="120"/>
              <w:ind w:right="113"/>
              <w:rPr>
                <w:kern w:val="0"/>
              </w:rPr>
            </w:pPr>
          </w:p>
        </w:tc>
        <w:tc>
          <w:tcPr>
            <w:tcW w:w="2139" w:type="dxa"/>
            <w:tcBorders>
              <w:top w:val="single" w:sz="12" w:space="0" w:color="auto"/>
            </w:tcBorders>
          </w:tcPr>
          <w:p w14:paraId="79B3704E" w14:textId="77777777" w:rsidR="00DB458D" w:rsidRPr="00DB458D" w:rsidRDefault="00DB458D" w:rsidP="00DB458D">
            <w:pPr>
              <w:spacing w:before="40" w:after="120"/>
              <w:ind w:right="113"/>
              <w:rPr>
                <w:kern w:val="0"/>
              </w:rPr>
            </w:pPr>
          </w:p>
        </w:tc>
        <w:tc>
          <w:tcPr>
            <w:tcW w:w="1161" w:type="dxa"/>
            <w:tcBorders>
              <w:top w:val="single" w:sz="12" w:space="0" w:color="auto"/>
            </w:tcBorders>
          </w:tcPr>
          <w:p w14:paraId="73E8682E" w14:textId="77777777" w:rsidR="00DB458D" w:rsidRPr="00DB458D" w:rsidRDefault="00DB458D" w:rsidP="00DB458D">
            <w:pPr>
              <w:spacing w:before="40" w:after="120"/>
              <w:ind w:right="113"/>
              <w:rPr>
                <w:kern w:val="0"/>
              </w:rPr>
            </w:pPr>
          </w:p>
        </w:tc>
      </w:tr>
      <w:tr w:rsidR="00DB458D" w:rsidRPr="00DB458D" w14:paraId="5688BC39" w14:textId="77777777" w:rsidTr="00DB458D">
        <w:tc>
          <w:tcPr>
            <w:tcW w:w="1555" w:type="dxa"/>
          </w:tcPr>
          <w:p w14:paraId="27750282" w14:textId="77777777" w:rsidR="00DB458D" w:rsidRPr="00DB458D" w:rsidRDefault="00DB458D" w:rsidP="00DB458D">
            <w:pPr>
              <w:spacing w:before="40" w:after="120"/>
              <w:ind w:right="113"/>
              <w:rPr>
                <w:kern w:val="0"/>
              </w:rPr>
            </w:pPr>
            <w:r w:rsidRPr="00DB458D">
              <w:rPr>
                <w:kern w:val="0"/>
              </w:rPr>
              <w:t>Total Enrollment</w:t>
            </w:r>
          </w:p>
        </w:tc>
        <w:tc>
          <w:tcPr>
            <w:tcW w:w="2515" w:type="dxa"/>
          </w:tcPr>
          <w:p w14:paraId="4EEDF66A" w14:textId="77777777" w:rsidR="00DB458D" w:rsidRPr="00DB458D" w:rsidRDefault="00DB458D" w:rsidP="00DB458D">
            <w:pPr>
              <w:spacing w:before="40" w:after="120"/>
              <w:ind w:right="113"/>
              <w:rPr>
                <w:kern w:val="0"/>
              </w:rPr>
            </w:pPr>
            <w:r w:rsidRPr="00DB458D">
              <w:rPr>
                <w:kern w:val="0"/>
              </w:rPr>
              <w:t xml:space="preserve">Students with special educational needs </w:t>
            </w:r>
          </w:p>
        </w:tc>
        <w:tc>
          <w:tcPr>
            <w:tcW w:w="2139" w:type="dxa"/>
          </w:tcPr>
          <w:p w14:paraId="1A131B66" w14:textId="77777777" w:rsidR="00DB458D" w:rsidRPr="00DB458D" w:rsidRDefault="00DB458D" w:rsidP="00DB458D">
            <w:pPr>
              <w:spacing w:before="40" w:after="120"/>
              <w:ind w:right="113"/>
              <w:rPr>
                <w:kern w:val="0"/>
              </w:rPr>
            </w:pPr>
            <w:r w:rsidRPr="00DB458D">
              <w:rPr>
                <w:kern w:val="0"/>
              </w:rPr>
              <w:t>12,950</w:t>
            </w:r>
          </w:p>
        </w:tc>
        <w:tc>
          <w:tcPr>
            <w:tcW w:w="1161" w:type="dxa"/>
          </w:tcPr>
          <w:p w14:paraId="6A0ED831" w14:textId="77777777" w:rsidR="00DB458D" w:rsidRPr="00DB458D" w:rsidRDefault="00DB458D" w:rsidP="00DB458D">
            <w:pPr>
              <w:spacing w:before="40" w:after="120"/>
              <w:ind w:right="113"/>
              <w:rPr>
                <w:kern w:val="0"/>
              </w:rPr>
            </w:pPr>
            <w:r w:rsidRPr="00DB458D">
              <w:rPr>
                <w:kern w:val="0"/>
              </w:rPr>
              <w:t>100%</w:t>
            </w:r>
          </w:p>
        </w:tc>
      </w:tr>
      <w:tr w:rsidR="00DB458D" w:rsidRPr="00DB458D" w14:paraId="6AFE42B4" w14:textId="77777777" w:rsidTr="00DB458D">
        <w:tc>
          <w:tcPr>
            <w:tcW w:w="1555" w:type="dxa"/>
            <w:vMerge w:val="restart"/>
          </w:tcPr>
          <w:p w14:paraId="56A9AA2D" w14:textId="77777777" w:rsidR="00DB458D" w:rsidRPr="00DB458D" w:rsidRDefault="00DB458D" w:rsidP="00DB458D">
            <w:pPr>
              <w:spacing w:before="40" w:after="120"/>
              <w:ind w:right="113"/>
              <w:rPr>
                <w:kern w:val="0"/>
              </w:rPr>
            </w:pPr>
            <w:r w:rsidRPr="00DB458D">
              <w:rPr>
                <w:i/>
                <w:kern w:val="0"/>
              </w:rPr>
              <w:t>Gender Distribution</w:t>
            </w:r>
          </w:p>
        </w:tc>
        <w:tc>
          <w:tcPr>
            <w:tcW w:w="2515" w:type="dxa"/>
          </w:tcPr>
          <w:p w14:paraId="45F26786" w14:textId="77777777" w:rsidR="00DB458D" w:rsidRPr="00DB458D" w:rsidRDefault="00DB458D" w:rsidP="00DB458D">
            <w:pPr>
              <w:spacing w:before="40" w:after="120"/>
              <w:ind w:right="113"/>
              <w:rPr>
                <w:kern w:val="0"/>
              </w:rPr>
            </w:pPr>
            <w:r w:rsidRPr="00DB458D">
              <w:rPr>
                <w:kern w:val="0"/>
              </w:rPr>
              <w:t>Boys</w:t>
            </w:r>
          </w:p>
        </w:tc>
        <w:tc>
          <w:tcPr>
            <w:tcW w:w="2139" w:type="dxa"/>
          </w:tcPr>
          <w:p w14:paraId="7F7A5E16" w14:textId="77777777" w:rsidR="00DB458D" w:rsidRPr="00DB458D" w:rsidRDefault="00DB458D" w:rsidP="00DB458D">
            <w:pPr>
              <w:spacing w:before="40" w:after="120"/>
              <w:ind w:right="113"/>
              <w:rPr>
                <w:kern w:val="0"/>
              </w:rPr>
            </w:pPr>
            <w:r w:rsidRPr="00DB458D">
              <w:rPr>
                <w:kern w:val="0"/>
              </w:rPr>
              <w:t>8,248</w:t>
            </w:r>
          </w:p>
        </w:tc>
        <w:tc>
          <w:tcPr>
            <w:tcW w:w="1161" w:type="dxa"/>
          </w:tcPr>
          <w:p w14:paraId="14786D1A" w14:textId="77777777" w:rsidR="00DB458D" w:rsidRPr="00DB458D" w:rsidRDefault="00DB458D" w:rsidP="00DB458D">
            <w:pPr>
              <w:spacing w:before="40" w:after="120"/>
              <w:ind w:right="113"/>
              <w:rPr>
                <w:kern w:val="0"/>
              </w:rPr>
            </w:pPr>
            <w:r w:rsidRPr="00DB458D">
              <w:rPr>
                <w:kern w:val="0"/>
              </w:rPr>
              <w:t>64%</w:t>
            </w:r>
          </w:p>
        </w:tc>
      </w:tr>
      <w:tr w:rsidR="00DB458D" w:rsidRPr="00DB458D" w14:paraId="51D4A7F0" w14:textId="77777777" w:rsidTr="00DB458D">
        <w:tc>
          <w:tcPr>
            <w:tcW w:w="1555" w:type="dxa"/>
            <w:vMerge/>
          </w:tcPr>
          <w:p w14:paraId="3751DF70" w14:textId="77777777" w:rsidR="00DB458D" w:rsidRPr="00DB458D" w:rsidRDefault="00DB458D" w:rsidP="00DB458D">
            <w:pPr>
              <w:spacing w:before="40" w:after="120"/>
              <w:ind w:right="113"/>
              <w:rPr>
                <w:kern w:val="0"/>
              </w:rPr>
            </w:pPr>
          </w:p>
        </w:tc>
        <w:tc>
          <w:tcPr>
            <w:tcW w:w="2515" w:type="dxa"/>
          </w:tcPr>
          <w:p w14:paraId="5AF5A2D4" w14:textId="77777777" w:rsidR="00DB458D" w:rsidRPr="00DB458D" w:rsidRDefault="00DB458D" w:rsidP="00DB458D">
            <w:pPr>
              <w:spacing w:before="40" w:after="120"/>
              <w:ind w:right="113"/>
              <w:rPr>
                <w:kern w:val="0"/>
              </w:rPr>
            </w:pPr>
            <w:r w:rsidRPr="00DB458D">
              <w:rPr>
                <w:kern w:val="0"/>
              </w:rPr>
              <w:t>Girls</w:t>
            </w:r>
          </w:p>
        </w:tc>
        <w:tc>
          <w:tcPr>
            <w:tcW w:w="2139" w:type="dxa"/>
          </w:tcPr>
          <w:p w14:paraId="1C74825F" w14:textId="77777777" w:rsidR="00DB458D" w:rsidRPr="00DB458D" w:rsidRDefault="00DB458D" w:rsidP="00DB458D">
            <w:pPr>
              <w:spacing w:before="40" w:after="120"/>
              <w:ind w:right="113"/>
              <w:rPr>
                <w:kern w:val="0"/>
              </w:rPr>
            </w:pPr>
            <w:r w:rsidRPr="00DB458D">
              <w:rPr>
                <w:kern w:val="0"/>
              </w:rPr>
              <w:t>4,702</w:t>
            </w:r>
          </w:p>
        </w:tc>
        <w:tc>
          <w:tcPr>
            <w:tcW w:w="1161" w:type="dxa"/>
          </w:tcPr>
          <w:p w14:paraId="3CBA4ACE" w14:textId="77777777" w:rsidR="00DB458D" w:rsidRPr="00DB458D" w:rsidRDefault="00DB458D" w:rsidP="00DB458D">
            <w:pPr>
              <w:spacing w:before="40" w:after="120"/>
              <w:ind w:right="113"/>
              <w:rPr>
                <w:kern w:val="0"/>
              </w:rPr>
            </w:pPr>
            <w:r w:rsidRPr="00DB458D">
              <w:rPr>
                <w:kern w:val="0"/>
              </w:rPr>
              <w:t>36%</w:t>
            </w:r>
          </w:p>
        </w:tc>
      </w:tr>
      <w:tr w:rsidR="00DB458D" w:rsidRPr="00DB458D" w14:paraId="387C8E8E" w14:textId="77777777" w:rsidTr="00DB458D">
        <w:tc>
          <w:tcPr>
            <w:tcW w:w="1555" w:type="dxa"/>
            <w:vMerge w:val="restart"/>
          </w:tcPr>
          <w:p w14:paraId="663B79A0" w14:textId="77777777" w:rsidR="00DB458D" w:rsidRPr="00DB458D" w:rsidRDefault="00DB458D" w:rsidP="00DB458D">
            <w:pPr>
              <w:spacing w:before="40" w:after="120"/>
              <w:ind w:right="113"/>
              <w:rPr>
                <w:kern w:val="0"/>
              </w:rPr>
            </w:pPr>
            <w:r w:rsidRPr="00DB458D">
              <w:rPr>
                <w:i/>
                <w:kern w:val="0"/>
              </w:rPr>
              <w:t xml:space="preserve">Geographical </w:t>
            </w:r>
          </w:p>
          <w:p w14:paraId="12B5EE5B" w14:textId="77777777" w:rsidR="00DB458D" w:rsidRPr="00DB458D" w:rsidRDefault="00DB458D" w:rsidP="00DB458D">
            <w:pPr>
              <w:spacing w:before="40" w:after="120"/>
              <w:ind w:right="113"/>
              <w:rPr>
                <w:kern w:val="0"/>
              </w:rPr>
            </w:pPr>
            <w:r w:rsidRPr="00DB458D">
              <w:rPr>
                <w:i/>
                <w:kern w:val="0"/>
              </w:rPr>
              <w:t>Distribution</w:t>
            </w:r>
          </w:p>
        </w:tc>
        <w:tc>
          <w:tcPr>
            <w:tcW w:w="2515" w:type="dxa"/>
          </w:tcPr>
          <w:p w14:paraId="6885DCDE" w14:textId="77777777" w:rsidR="00DB458D" w:rsidRPr="00DB458D" w:rsidRDefault="00DB458D" w:rsidP="00DB458D">
            <w:pPr>
              <w:spacing w:before="40" w:after="120"/>
              <w:ind w:right="113"/>
              <w:rPr>
                <w:kern w:val="0"/>
              </w:rPr>
            </w:pPr>
            <w:r w:rsidRPr="00DB458D">
              <w:rPr>
                <w:kern w:val="0"/>
              </w:rPr>
              <w:t>Urban Areas</w:t>
            </w:r>
          </w:p>
        </w:tc>
        <w:tc>
          <w:tcPr>
            <w:tcW w:w="2139" w:type="dxa"/>
          </w:tcPr>
          <w:p w14:paraId="7277193F" w14:textId="77777777" w:rsidR="00DB458D" w:rsidRPr="00DB458D" w:rsidRDefault="00DB458D" w:rsidP="00DB458D">
            <w:pPr>
              <w:spacing w:before="40" w:after="120"/>
              <w:ind w:right="113"/>
              <w:rPr>
                <w:kern w:val="0"/>
              </w:rPr>
            </w:pPr>
            <w:r w:rsidRPr="00DB458D">
              <w:rPr>
                <w:kern w:val="0"/>
              </w:rPr>
              <w:t>4,680</w:t>
            </w:r>
          </w:p>
        </w:tc>
        <w:tc>
          <w:tcPr>
            <w:tcW w:w="1161" w:type="dxa"/>
          </w:tcPr>
          <w:p w14:paraId="5E10759A" w14:textId="77777777" w:rsidR="00DB458D" w:rsidRPr="00DB458D" w:rsidRDefault="00DB458D" w:rsidP="00DB458D">
            <w:pPr>
              <w:spacing w:before="40" w:after="120"/>
              <w:ind w:right="113"/>
              <w:rPr>
                <w:kern w:val="0"/>
              </w:rPr>
            </w:pPr>
            <w:r w:rsidRPr="00DB458D">
              <w:rPr>
                <w:kern w:val="0"/>
              </w:rPr>
              <w:t>36%</w:t>
            </w:r>
          </w:p>
        </w:tc>
      </w:tr>
      <w:tr w:rsidR="00DB458D" w:rsidRPr="00DB458D" w14:paraId="48E6F16B" w14:textId="77777777" w:rsidTr="00DB458D">
        <w:tc>
          <w:tcPr>
            <w:tcW w:w="1555" w:type="dxa"/>
            <w:vMerge/>
          </w:tcPr>
          <w:p w14:paraId="1D75AFDC" w14:textId="77777777" w:rsidR="00DB458D" w:rsidRPr="00DB458D" w:rsidRDefault="00DB458D" w:rsidP="00DB458D">
            <w:pPr>
              <w:spacing w:before="40" w:after="120"/>
              <w:ind w:right="113"/>
              <w:rPr>
                <w:kern w:val="0"/>
              </w:rPr>
            </w:pPr>
          </w:p>
        </w:tc>
        <w:tc>
          <w:tcPr>
            <w:tcW w:w="2515" w:type="dxa"/>
          </w:tcPr>
          <w:p w14:paraId="46E84F55" w14:textId="77777777" w:rsidR="00DB458D" w:rsidRPr="00DB458D" w:rsidRDefault="00DB458D" w:rsidP="00DB458D">
            <w:pPr>
              <w:spacing w:before="40" w:after="120"/>
              <w:ind w:right="113"/>
              <w:rPr>
                <w:kern w:val="0"/>
              </w:rPr>
            </w:pPr>
            <w:r w:rsidRPr="00DB458D">
              <w:rPr>
                <w:kern w:val="0"/>
              </w:rPr>
              <w:t>Rural Areas</w:t>
            </w:r>
          </w:p>
        </w:tc>
        <w:tc>
          <w:tcPr>
            <w:tcW w:w="2139" w:type="dxa"/>
          </w:tcPr>
          <w:p w14:paraId="5938437F" w14:textId="77777777" w:rsidR="00DB458D" w:rsidRPr="00DB458D" w:rsidRDefault="00DB458D" w:rsidP="00DB458D">
            <w:pPr>
              <w:spacing w:before="40" w:after="120"/>
              <w:ind w:right="113"/>
              <w:rPr>
                <w:kern w:val="0"/>
              </w:rPr>
            </w:pPr>
            <w:r w:rsidRPr="00DB458D">
              <w:rPr>
                <w:kern w:val="0"/>
              </w:rPr>
              <w:t>8,270</w:t>
            </w:r>
          </w:p>
        </w:tc>
        <w:tc>
          <w:tcPr>
            <w:tcW w:w="1161" w:type="dxa"/>
          </w:tcPr>
          <w:p w14:paraId="5E825440" w14:textId="77777777" w:rsidR="00DB458D" w:rsidRPr="00DB458D" w:rsidRDefault="00DB458D" w:rsidP="00DB458D">
            <w:pPr>
              <w:spacing w:before="40" w:after="120"/>
              <w:ind w:right="113"/>
              <w:rPr>
                <w:kern w:val="0"/>
              </w:rPr>
            </w:pPr>
            <w:r w:rsidRPr="00DB458D">
              <w:rPr>
                <w:kern w:val="0"/>
              </w:rPr>
              <w:t>64%</w:t>
            </w:r>
          </w:p>
        </w:tc>
      </w:tr>
      <w:tr w:rsidR="00DB458D" w:rsidRPr="00DB458D" w14:paraId="0838F0E3" w14:textId="77777777" w:rsidTr="00DB458D">
        <w:tc>
          <w:tcPr>
            <w:tcW w:w="1555" w:type="dxa"/>
            <w:tcBorders>
              <w:bottom w:val="single" w:sz="12" w:space="0" w:color="auto"/>
            </w:tcBorders>
          </w:tcPr>
          <w:p w14:paraId="5EC86B5D" w14:textId="77777777" w:rsidR="00DB458D" w:rsidRPr="00DB458D" w:rsidRDefault="00DB458D" w:rsidP="00DB458D">
            <w:pPr>
              <w:spacing w:before="40" w:after="120"/>
              <w:ind w:right="113"/>
              <w:rPr>
                <w:kern w:val="0"/>
              </w:rPr>
            </w:pPr>
            <w:r w:rsidRPr="00DB458D">
              <w:rPr>
                <w:i/>
                <w:kern w:val="0"/>
              </w:rPr>
              <w:t>Health Status</w:t>
            </w:r>
          </w:p>
        </w:tc>
        <w:tc>
          <w:tcPr>
            <w:tcW w:w="2515" w:type="dxa"/>
            <w:tcBorders>
              <w:bottom w:val="single" w:sz="12" w:space="0" w:color="auto"/>
            </w:tcBorders>
          </w:tcPr>
          <w:p w14:paraId="49CBB24A" w14:textId="77777777" w:rsidR="00DB458D" w:rsidRPr="00DB458D" w:rsidRDefault="00DB458D" w:rsidP="00DB458D">
            <w:pPr>
              <w:spacing w:before="40" w:after="120"/>
              <w:ind w:right="113"/>
              <w:rPr>
                <w:kern w:val="0"/>
              </w:rPr>
            </w:pPr>
            <w:r w:rsidRPr="00DB458D">
              <w:rPr>
                <w:kern w:val="0"/>
              </w:rPr>
              <w:t>Students with Disabilities</w:t>
            </w:r>
          </w:p>
        </w:tc>
        <w:tc>
          <w:tcPr>
            <w:tcW w:w="2139" w:type="dxa"/>
            <w:tcBorders>
              <w:bottom w:val="single" w:sz="12" w:space="0" w:color="auto"/>
            </w:tcBorders>
          </w:tcPr>
          <w:p w14:paraId="2683A31E" w14:textId="77777777" w:rsidR="00DB458D" w:rsidRPr="00DB458D" w:rsidRDefault="00DB458D" w:rsidP="00DB458D">
            <w:pPr>
              <w:spacing w:before="40" w:after="120"/>
              <w:ind w:right="113"/>
              <w:rPr>
                <w:kern w:val="0"/>
              </w:rPr>
            </w:pPr>
            <w:r w:rsidRPr="00DB458D">
              <w:rPr>
                <w:kern w:val="0"/>
              </w:rPr>
              <w:t>3,691</w:t>
            </w:r>
          </w:p>
        </w:tc>
        <w:tc>
          <w:tcPr>
            <w:tcW w:w="1161" w:type="dxa"/>
            <w:tcBorders>
              <w:bottom w:val="single" w:sz="12" w:space="0" w:color="auto"/>
            </w:tcBorders>
          </w:tcPr>
          <w:p w14:paraId="23156E65" w14:textId="77777777" w:rsidR="00DB458D" w:rsidRPr="00DB458D" w:rsidRDefault="00DB458D" w:rsidP="00DB458D">
            <w:pPr>
              <w:spacing w:before="40" w:after="120"/>
              <w:ind w:right="113"/>
              <w:rPr>
                <w:kern w:val="0"/>
              </w:rPr>
            </w:pPr>
            <w:r w:rsidRPr="00DB458D">
              <w:rPr>
                <w:kern w:val="0"/>
              </w:rPr>
              <w:t>29%</w:t>
            </w:r>
          </w:p>
        </w:tc>
      </w:tr>
    </w:tbl>
    <w:p w14:paraId="5B21C9A2" w14:textId="77777777" w:rsidR="00C036AD" w:rsidRDefault="00C036AD" w:rsidP="00BF62D8">
      <w:pPr>
        <w:pStyle w:val="SingleTxtG"/>
        <w:numPr>
          <w:ilvl w:val="0"/>
          <w:numId w:val="23"/>
        </w:numPr>
        <w:ind w:left="1134" w:firstLine="0"/>
      </w:pPr>
      <w:r w:rsidRPr="00C036AD">
        <w:t>In vocational-technical education institutions:</w:t>
      </w:r>
    </w:p>
    <w:tbl>
      <w:tblPr>
        <w:tblStyle w:val="TableGrid0"/>
        <w:tblW w:w="7370" w:type="dxa"/>
        <w:tblInd w:w="1134" w:type="dxa"/>
        <w:tblLayout w:type="fixed"/>
        <w:tblLook w:val="04A0" w:firstRow="1" w:lastRow="0" w:firstColumn="1" w:lastColumn="0" w:noHBand="0" w:noVBand="1"/>
      </w:tblPr>
      <w:tblGrid>
        <w:gridCol w:w="1860"/>
        <w:gridCol w:w="1422"/>
        <w:gridCol w:w="736"/>
        <w:gridCol w:w="659"/>
        <w:gridCol w:w="1359"/>
        <w:gridCol w:w="1334"/>
      </w:tblGrid>
      <w:tr w:rsidR="00DB458D" w:rsidRPr="00DB458D" w14:paraId="6D9569E2" w14:textId="77777777" w:rsidTr="00DB458D">
        <w:trPr>
          <w:tblHeader/>
        </w:trPr>
        <w:tc>
          <w:tcPr>
            <w:tcW w:w="1860" w:type="dxa"/>
            <w:tcBorders>
              <w:top w:val="single" w:sz="4" w:space="0" w:color="auto"/>
              <w:bottom w:val="single" w:sz="12" w:space="0" w:color="auto"/>
            </w:tcBorders>
            <w:vAlign w:val="bottom"/>
          </w:tcPr>
          <w:p w14:paraId="6D91261B" w14:textId="77777777" w:rsidR="00DB458D" w:rsidRPr="00DB458D" w:rsidRDefault="00DB458D" w:rsidP="00DB458D">
            <w:pPr>
              <w:spacing w:before="80" w:after="80" w:line="200" w:lineRule="exact"/>
              <w:ind w:right="113"/>
              <w:rPr>
                <w:i/>
                <w:kern w:val="0"/>
                <w:sz w:val="16"/>
              </w:rPr>
            </w:pPr>
            <w:r w:rsidRPr="00DB458D">
              <w:rPr>
                <w:i/>
                <w:kern w:val="0"/>
                <w:sz w:val="16"/>
              </w:rPr>
              <w:t>Academic Year</w:t>
            </w:r>
          </w:p>
        </w:tc>
        <w:tc>
          <w:tcPr>
            <w:tcW w:w="1422" w:type="dxa"/>
            <w:tcBorders>
              <w:top w:val="single" w:sz="4" w:space="0" w:color="auto"/>
              <w:bottom w:val="single" w:sz="12" w:space="0" w:color="auto"/>
            </w:tcBorders>
            <w:vAlign w:val="bottom"/>
          </w:tcPr>
          <w:p w14:paraId="746FC960" w14:textId="77777777" w:rsidR="00DB458D" w:rsidRPr="00DB458D" w:rsidRDefault="00DB458D" w:rsidP="00DB458D">
            <w:pPr>
              <w:spacing w:before="80" w:after="80" w:line="200" w:lineRule="exact"/>
              <w:ind w:right="113"/>
              <w:rPr>
                <w:i/>
                <w:kern w:val="0"/>
                <w:sz w:val="16"/>
              </w:rPr>
            </w:pPr>
            <w:r w:rsidRPr="00DB458D">
              <w:rPr>
                <w:i/>
                <w:kern w:val="0"/>
                <w:sz w:val="16"/>
              </w:rPr>
              <w:t>Total students</w:t>
            </w:r>
          </w:p>
        </w:tc>
        <w:tc>
          <w:tcPr>
            <w:tcW w:w="736" w:type="dxa"/>
            <w:tcBorders>
              <w:top w:val="single" w:sz="4" w:space="0" w:color="auto"/>
              <w:bottom w:val="single" w:sz="12" w:space="0" w:color="auto"/>
            </w:tcBorders>
            <w:vAlign w:val="bottom"/>
          </w:tcPr>
          <w:p w14:paraId="7F8D538B" w14:textId="77777777" w:rsidR="00DB458D" w:rsidRPr="00DB458D" w:rsidRDefault="00DB458D" w:rsidP="00DB458D">
            <w:pPr>
              <w:spacing w:before="80" w:after="80" w:line="200" w:lineRule="exact"/>
              <w:ind w:right="113"/>
              <w:rPr>
                <w:i/>
                <w:kern w:val="0"/>
                <w:sz w:val="16"/>
              </w:rPr>
            </w:pPr>
            <w:r w:rsidRPr="00DB458D">
              <w:rPr>
                <w:i/>
                <w:kern w:val="0"/>
                <w:sz w:val="16"/>
              </w:rPr>
              <w:t>Boys</w:t>
            </w:r>
          </w:p>
        </w:tc>
        <w:tc>
          <w:tcPr>
            <w:tcW w:w="659" w:type="dxa"/>
            <w:tcBorders>
              <w:top w:val="single" w:sz="4" w:space="0" w:color="auto"/>
              <w:bottom w:val="single" w:sz="12" w:space="0" w:color="auto"/>
            </w:tcBorders>
            <w:vAlign w:val="bottom"/>
          </w:tcPr>
          <w:p w14:paraId="6BCAFC72" w14:textId="77777777" w:rsidR="00DB458D" w:rsidRPr="00DB458D" w:rsidRDefault="00DB458D" w:rsidP="00DB458D">
            <w:pPr>
              <w:spacing w:before="80" w:after="80" w:line="200" w:lineRule="exact"/>
              <w:ind w:right="113"/>
              <w:rPr>
                <w:i/>
                <w:kern w:val="0"/>
                <w:sz w:val="16"/>
              </w:rPr>
            </w:pPr>
            <w:r w:rsidRPr="00DB458D">
              <w:rPr>
                <w:i/>
                <w:kern w:val="0"/>
                <w:sz w:val="16"/>
              </w:rPr>
              <w:t>Girls</w:t>
            </w:r>
          </w:p>
        </w:tc>
        <w:tc>
          <w:tcPr>
            <w:tcW w:w="1359" w:type="dxa"/>
            <w:tcBorders>
              <w:top w:val="single" w:sz="4" w:space="0" w:color="auto"/>
              <w:bottom w:val="single" w:sz="12" w:space="0" w:color="auto"/>
            </w:tcBorders>
            <w:vAlign w:val="bottom"/>
          </w:tcPr>
          <w:p w14:paraId="6543927B" w14:textId="77777777" w:rsidR="00DB458D" w:rsidRPr="00DB458D" w:rsidRDefault="00DB458D" w:rsidP="00DB458D">
            <w:pPr>
              <w:spacing w:before="80" w:after="80" w:line="200" w:lineRule="exact"/>
              <w:ind w:right="113"/>
              <w:rPr>
                <w:i/>
                <w:kern w:val="0"/>
                <w:sz w:val="16"/>
              </w:rPr>
            </w:pPr>
            <w:r w:rsidRPr="00DB458D">
              <w:rPr>
                <w:i/>
                <w:kern w:val="0"/>
                <w:sz w:val="16"/>
              </w:rPr>
              <w:t>Boys Rate (%)</w:t>
            </w:r>
          </w:p>
        </w:tc>
        <w:tc>
          <w:tcPr>
            <w:tcW w:w="1334" w:type="dxa"/>
            <w:tcBorders>
              <w:top w:val="single" w:sz="4" w:space="0" w:color="auto"/>
              <w:bottom w:val="single" w:sz="12" w:space="0" w:color="auto"/>
            </w:tcBorders>
            <w:vAlign w:val="bottom"/>
          </w:tcPr>
          <w:p w14:paraId="6C575644" w14:textId="77777777" w:rsidR="00DB458D" w:rsidRPr="00DB458D" w:rsidRDefault="00DB458D" w:rsidP="00DB458D">
            <w:pPr>
              <w:spacing w:before="80" w:after="80" w:line="200" w:lineRule="exact"/>
              <w:ind w:right="113"/>
              <w:rPr>
                <w:i/>
                <w:kern w:val="0"/>
                <w:sz w:val="16"/>
              </w:rPr>
            </w:pPr>
            <w:r w:rsidRPr="00DB458D">
              <w:rPr>
                <w:i/>
                <w:kern w:val="0"/>
                <w:sz w:val="16"/>
              </w:rPr>
              <w:t>Girls Rate (%)</w:t>
            </w:r>
          </w:p>
        </w:tc>
      </w:tr>
      <w:tr w:rsidR="00DB458D" w:rsidRPr="00DB458D" w14:paraId="66CDEA88" w14:textId="77777777" w:rsidTr="00DB458D">
        <w:trPr>
          <w:trHeight w:hRule="exact" w:val="113"/>
        </w:trPr>
        <w:tc>
          <w:tcPr>
            <w:tcW w:w="1860" w:type="dxa"/>
            <w:tcBorders>
              <w:top w:val="single" w:sz="12" w:space="0" w:color="auto"/>
            </w:tcBorders>
          </w:tcPr>
          <w:p w14:paraId="6D2A571B" w14:textId="77777777" w:rsidR="00DB458D" w:rsidRPr="00DB458D" w:rsidRDefault="00DB458D" w:rsidP="00DB458D">
            <w:pPr>
              <w:spacing w:before="40" w:after="120"/>
              <w:ind w:right="113"/>
              <w:rPr>
                <w:kern w:val="0"/>
              </w:rPr>
            </w:pPr>
          </w:p>
        </w:tc>
        <w:tc>
          <w:tcPr>
            <w:tcW w:w="1422" w:type="dxa"/>
            <w:tcBorders>
              <w:top w:val="single" w:sz="12" w:space="0" w:color="auto"/>
            </w:tcBorders>
          </w:tcPr>
          <w:p w14:paraId="0C5C91E2" w14:textId="77777777" w:rsidR="00DB458D" w:rsidRPr="00DB458D" w:rsidRDefault="00DB458D" w:rsidP="00DB458D">
            <w:pPr>
              <w:spacing w:before="40" w:after="120"/>
              <w:ind w:right="113"/>
              <w:rPr>
                <w:kern w:val="0"/>
              </w:rPr>
            </w:pPr>
          </w:p>
        </w:tc>
        <w:tc>
          <w:tcPr>
            <w:tcW w:w="736" w:type="dxa"/>
            <w:tcBorders>
              <w:top w:val="single" w:sz="12" w:space="0" w:color="auto"/>
            </w:tcBorders>
          </w:tcPr>
          <w:p w14:paraId="5655544E" w14:textId="77777777" w:rsidR="00DB458D" w:rsidRPr="00DB458D" w:rsidRDefault="00DB458D" w:rsidP="00DB458D">
            <w:pPr>
              <w:spacing w:before="40" w:after="120"/>
              <w:ind w:right="113"/>
              <w:rPr>
                <w:kern w:val="0"/>
              </w:rPr>
            </w:pPr>
          </w:p>
        </w:tc>
        <w:tc>
          <w:tcPr>
            <w:tcW w:w="659" w:type="dxa"/>
            <w:tcBorders>
              <w:top w:val="single" w:sz="12" w:space="0" w:color="auto"/>
            </w:tcBorders>
          </w:tcPr>
          <w:p w14:paraId="22901FEF" w14:textId="77777777" w:rsidR="00DB458D" w:rsidRPr="00DB458D" w:rsidRDefault="00DB458D" w:rsidP="00DB458D">
            <w:pPr>
              <w:spacing w:before="40" w:after="120"/>
              <w:ind w:right="113"/>
              <w:rPr>
                <w:kern w:val="0"/>
              </w:rPr>
            </w:pPr>
          </w:p>
        </w:tc>
        <w:tc>
          <w:tcPr>
            <w:tcW w:w="1359" w:type="dxa"/>
            <w:tcBorders>
              <w:top w:val="single" w:sz="12" w:space="0" w:color="auto"/>
            </w:tcBorders>
          </w:tcPr>
          <w:p w14:paraId="0E25E75F" w14:textId="77777777" w:rsidR="00DB458D" w:rsidRPr="00DB458D" w:rsidRDefault="00DB458D" w:rsidP="00DB458D">
            <w:pPr>
              <w:spacing w:before="40" w:after="120"/>
              <w:ind w:right="113"/>
              <w:rPr>
                <w:kern w:val="0"/>
              </w:rPr>
            </w:pPr>
          </w:p>
        </w:tc>
        <w:tc>
          <w:tcPr>
            <w:tcW w:w="1334" w:type="dxa"/>
            <w:tcBorders>
              <w:top w:val="single" w:sz="12" w:space="0" w:color="auto"/>
            </w:tcBorders>
          </w:tcPr>
          <w:p w14:paraId="5F29EF4B" w14:textId="77777777" w:rsidR="00DB458D" w:rsidRPr="00DB458D" w:rsidRDefault="00DB458D" w:rsidP="00DB458D">
            <w:pPr>
              <w:spacing w:before="40" w:after="120"/>
              <w:ind w:right="113"/>
              <w:rPr>
                <w:kern w:val="0"/>
              </w:rPr>
            </w:pPr>
          </w:p>
        </w:tc>
      </w:tr>
      <w:tr w:rsidR="00DB458D" w:rsidRPr="00DB458D" w14:paraId="33B7DF7F" w14:textId="77777777" w:rsidTr="00DB458D">
        <w:tc>
          <w:tcPr>
            <w:tcW w:w="1860" w:type="dxa"/>
          </w:tcPr>
          <w:p w14:paraId="180BF49F" w14:textId="77777777" w:rsidR="00DB458D" w:rsidRPr="00DB458D" w:rsidRDefault="00DB458D" w:rsidP="00DB458D">
            <w:pPr>
              <w:spacing w:before="40" w:after="120"/>
              <w:ind w:right="113"/>
              <w:rPr>
                <w:kern w:val="0"/>
              </w:rPr>
            </w:pPr>
            <w:r w:rsidRPr="00DB458D">
              <w:rPr>
                <w:kern w:val="0"/>
              </w:rPr>
              <w:t>2023 - 2024</w:t>
            </w:r>
          </w:p>
        </w:tc>
        <w:tc>
          <w:tcPr>
            <w:tcW w:w="1422" w:type="dxa"/>
          </w:tcPr>
          <w:p w14:paraId="1DB4326F" w14:textId="77777777" w:rsidR="00DB458D" w:rsidRPr="00DB458D" w:rsidRDefault="00DB458D" w:rsidP="00DB458D">
            <w:pPr>
              <w:spacing w:before="40" w:after="120"/>
              <w:ind w:right="113"/>
              <w:rPr>
                <w:kern w:val="0"/>
              </w:rPr>
            </w:pPr>
            <w:r w:rsidRPr="00DB458D">
              <w:rPr>
                <w:kern w:val="0"/>
              </w:rPr>
              <w:t>507</w:t>
            </w:r>
          </w:p>
        </w:tc>
        <w:tc>
          <w:tcPr>
            <w:tcW w:w="736" w:type="dxa"/>
          </w:tcPr>
          <w:p w14:paraId="24FF886B" w14:textId="77777777" w:rsidR="00DB458D" w:rsidRPr="00DB458D" w:rsidRDefault="00DB458D" w:rsidP="00DB458D">
            <w:pPr>
              <w:spacing w:before="40" w:after="120"/>
              <w:ind w:right="113"/>
              <w:rPr>
                <w:kern w:val="0"/>
              </w:rPr>
            </w:pPr>
            <w:r w:rsidRPr="00DB458D">
              <w:rPr>
                <w:kern w:val="0"/>
              </w:rPr>
              <w:t>298</w:t>
            </w:r>
          </w:p>
        </w:tc>
        <w:tc>
          <w:tcPr>
            <w:tcW w:w="659" w:type="dxa"/>
          </w:tcPr>
          <w:p w14:paraId="7A213E45" w14:textId="77777777" w:rsidR="00DB458D" w:rsidRPr="00DB458D" w:rsidRDefault="00DB458D" w:rsidP="00DB458D">
            <w:pPr>
              <w:spacing w:before="40" w:after="120"/>
              <w:ind w:right="113"/>
              <w:rPr>
                <w:kern w:val="0"/>
              </w:rPr>
            </w:pPr>
            <w:r w:rsidRPr="00DB458D">
              <w:rPr>
                <w:kern w:val="0"/>
              </w:rPr>
              <w:t>209</w:t>
            </w:r>
          </w:p>
        </w:tc>
        <w:tc>
          <w:tcPr>
            <w:tcW w:w="1359" w:type="dxa"/>
          </w:tcPr>
          <w:p w14:paraId="685ECF41" w14:textId="77777777" w:rsidR="00DB458D" w:rsidRPr="00DB458D" w:rsidRDefault="00DB458D" w:rsidP="00DB458D">
            <w:pPr>
              <w:spacing w:before="40" w:after="120"/>
              <w:ind w:right="113"/>
              <w:rPr>
                <w:kern w:val="0"/>
              </w:rPr>
            </w:pPr>
            <w:r w:rsidRPr="00DB458D">
              <w:rPr>
                <w:kern w:val="0"/>
              </w:rPr>
              <w:t>58.8%</w:t>
            </w:r>
          </w:p>
        </w:tc>
        <w:tc>
          <w:tcPr>
            <w:tcW w:w="1334" w:type="dxa"/>
          </w:tcPr>
          <w:p w14:paraId="1841E9ED" w14:textId="77777777" w:rsidR="00DB458D" w:rsidRPr="00DB458D" w:rsidRDefault="00DB458D" w:rsidP="00DB458D">
            <w:pPr>
              <w:spacing w:before="40" w:after="120"/>
              <w:ind w:right="113"/>
              <w:rPr>
                <w:kern w:val="0"/>
              </w:rPr>
            </w:pPr>
            <w:r w:rsidRPr="00DB458D">
              <w:rPr>
                <w:kern w:val="0"/>
              </w:rPr>
              <w:t>41.2%</w:t>
            </w:r>
          </w:p>
        </w:tc>
      </w:tr>
      <w:tr w:rsidR="00DB458D" w:rsidRPr="00DB458D" w14:paraId="1C4C0A69" w14:textId="77777777" w:rsidTr="00DB458D">
        <w:tc>
          <w:tcPr>
            <w:tcW w:w="1860" w:type="dxa"/>
            <w:tcBorders>
              <w:bottom w:val="single" w:sz="12" w:space="0" w:color="auto"/>
            </w:tcBorders>
          </w:tcPr>
          <w:p w14:paraId="3005E008" w14:textId="77777777" w:rsidR="00DB458D" w:rsidRPr="00DB458D" w:rsidRDefault="00DB458D" w:rsidP="00DB458D">
            <w:pPr>
              <w:spacing w:before="40" w:after="120"/>
              <w:ind w:right="113"/>
              <w:rPr>
                <w:kern w:val="0"/>
              </w:rPr>
            </w:pPr>
            <w:r w:rsidRPr="00DB458D">
              <w:rPr>
                <w:kern w:val="0"/>
              </w:rPr>
              <w:t>2024 - 2025</w:t>
            </w:r>
          </w:p>
        </w:tc>
        <w:tc>
          <w:tcPr>
            <w:tcW w:w="1422" w:type="dxa"/>
            <w:tcBorders>
              <w:bottom w:val="single" w:sz="12" w:space="0" w:color="auto"/>
            </w:tcBorders>
          </w:tcPr>
          <w:p w14:paraId="6C706506" w14:textId="77777777" w:rsidR="00DB458D" w:rsidRPr="00DB458D" w:rsidRDefault="00DB458D" w:rsidP="00DB458D">
            <w:pPr>
              <w:spacing w:before="40" w:after="120"/>
              <w:ind w:right="113"/>
              <w:rPr>
                <w:kern w:val="0"/>
              </w:rPr>
            </w:pPr>
            <w:r w:rsidRPr="00DB458D">
              <w:rPr>
                <w:kern w:val="0"/>
              </w:rPr>
              <w:t>579</w:t>
            </w:r>
          </w:p>
        </w:tc>
        <w:tc>
          <w:tcPr>
            <w:tcW w:w="736" w:type="dxa"/>
            <w:tcBorders>
              <w:bottom w:val="single" w:sz="12" w:space="0" w:color="auto"/>
            </w:tcBorders>
          </w:tcPr>
          <w:p w14:paraId="2EE09A61" w14:textId="77777777" w:rsidR="00DB458D" w:rsidRPr="00DB458D" w:rsidRDefault="00DB458D" w:rsidP="00DB458D">
            <w:pPr>
              <w:spacing w:before="40" w:after="120"/>
              <w:ind w:right="113"/>
              <w:rPr>
                <w:kern w:val="0"/>
              </w:rPr>
            </w:pPr>
            <w:r w:rsidRPr="00DB458D">
              <w:rPr>
                <w:kern w:val="0"/>
              </w:rPr>
              <w:t>337</w:t>
            </w:r>
          </w:p>
        </w:tc>
        <w:tc>
          <w:tcPr>
            <w:tcW w:w="659" w:type="dxa"/>
            <w:tcBorders>
              <w:bottom w:val="single" w:sz="12" w:space="0" w:color="auto"/>
            </w:tcBorders>
          </w:tcPr>
          <w:p w14:paraId="798F572C" w14:textId="77777777" w:rsidR="00DB458D" w:rsidRPr="00DB458D" w:rsidRDefault="00DB458D" w:rsidP="00DB458D">
            <w:pPr>
              <w:spacing w:before="40" w:after="120"/>
              <w:ind w:right="113"/>
              <w:rPr>
                <w:kern w:val="0"/>
              </w:rPr>
            </w:pPr>
            <w:r w:rsidRPr="00DB458D">
              <w:rPr>
                <w:kern w:val="0"/>
              </w:rPr>
              <w:t>242</w:t>
            </w:r>
          </w:p>
        </w:tc>
        <w:tc>
          <w:tcPr>
            <w:tcW w:w="1359" w:type="dxa"/>
            <w:tcBorders>
              <w:bottom w:val="single" w:sz="12" w:space="0" w:color="auto"/>
            </w:tcBorders>
          </w:tcPr>
          <w:p w14:paraId="0B102E52" w14:textId="77777777" w:rsidR="00DB458D" w:rsidRPr="00DB458D" w:rsidRDefault="00DB458D" w:rsidP="00DB458D">
            <w:pPr>
              <w:spacing w:before="40" w:after="120"/>
              <w:ind w:right="113"/>
              <w:rPr>
                <w:kern w:val="0"/>
              </w:rPr>
            </w:pPr>
            <w:r w:rsidRPr="00DB458D">
              <w:rPr>
                <w:kern w:val="0"/>
              </w:rPr>
              <w:t>58.2%</w:t>
            </w:r>
          </w:p>
        </w:tc>
        <w:tc>
          <w:tcPr>
            <w:tcW w:w="1334" w:type="dxa"/>
            <w:tcBorders>
              <w:bottom w:val="single" w:sz="12" w:space="0" w:color="auto"/>
            </w:tcBorders>
          </w:tcPr>
          <w:p w14:paraId="06CDB2AB" w14:textId="77777777" w:rsidR="00DB458D" w:rsidRPr="00DB458D" w:rsidRDefault="00DB458D" w:rsidP="00DB458D">
            <w:pPr>
              <w:spacing w:before="40" w:after="120"/>
              <w:ind w:right="113"/>
              <w:rPr>
                <w:kern w:val="0"/>
              </w:rPr>
            </w:pPr>
            <w:r w:rsidRPr="00DB458D">
              <w:rPr>
                <w:kern w:val="0"/>
              </w:rPr>
              <w:t>41.8%</w:t>
            </w:r>
          </w:p>
        </w:tc>
      </w:tr>
    </w:tbl>
    <w:p w14:paraId="4941290F" w14:textId="77777777" w:rsidR="00C036AD" w:rsidRPr="00C036AD" w:rsidRDefault="00C036AD" w:rsidP="00BF62D8">
      <w:pPr>
        <w:pStyle w:val="SingleTxtG"/>
        <w:numPr>
          <w:ilvl w:val="0"/>
          <w:numId w:val="23"/>
        </w:numPr>
        <w:ind w:left="1134" w:firstLine="0"/>
      </w:pPr>
      <w:bookmarkStart w:id="41" w:name="_Toc210633934"/>
      <w:r w:rsidRPr="00C036AD">
        <w:t xml:space="preserve">Education constitutes a fundamental right for all children; however, those in situations of risk, such as Roma children, frequently encounter additional barriers to accessing quality schooling. During the 2023/2024 academic year, 49 Roma children and students benefited from special scholarships amounting to 59.63 EUR, with their number increasing to 94 in the 2024/2025 academic year. Furthermore, the MER provides support to 96 refugee Roma children-including 47 girls-to facilitate their access to education and social integration. </w:t>
      </w:r>
    </w:p>
    <w:p w14:paraId="0790EE2A" w14:textId="5219870E" w:rsidR="00C0790F" w:rsidRDefault="00D17F33" w:rsidP="00C0790F">
      <w:pPr>
        <w:pStyle w:val="H1G"/>
      </w:pPr>
      <w:r>
        <w:tab/>
      </w:r>
      <w:r>
        <w:tab/>
      </w:r>
      <w:r w:rsidR="00C0790F" w:rsidRPr="00C0790F">
        <w:t>Reply to paragraph 1</w:t>
      </w:r>
      <w:r w:rsidR="00C0790F">
        <w:t>3</w:t>
      </w:r>
      <w:r w:rsidR="00C0790F" w:rsidRPr="00C0790F">
        <w:t>(</w:t>
      </w:r>
      <w:r w:rsidR="00C0790F">
        <w:t>e</w:t>
      </w:r>
      <w:r w:rsidR="00C0790F" w:rsidRPr="00C0790F">
        <w:t>)</w:t>
      </w:r>
    </w:p>
    <w:p w14:paraId="64422858" w14:textId="063A8DF0" w:rsidR="00C036AD" w:rsidRPr="00C036AD" w:rsidRDefault="00C036AD" w:rsidP="00BF62D8">
      <w:pPr>
        <w:pStyle w:val="SingleTxtG"/>
        <w:numPr>
          <w:ilvl w:val="0"/>
          <w:numId w:val="23"/>
        </w:numPr>
        <w:ind w:left="1134" w:firstLine="0"/>
      </w:pPr>
      <w:bookmarkStart w:id="42" w:name="_Toc210633935"/>
      <w:bookmarkEnd w:id="41"/>
      <w:r w:rsidRPr="00C036AD">
        <w:t xml:space="preserve">Authorities and partners implemented measures of national scope to prevent and combat bullying and violence in schools, specifically safeguarding Roma girls and girls with disabilities. Between 2023 and 2025, more than 2,000 education professionals-including psychologists and teaching staff-strengthened their capacities through training and mentorship sessions focused on preventing bullying, with a dedicated focus on protecting Roma girls and girls with disabilities. The national campaign „Together, Free from Bullying” </w:t>
      </w:r>
      <w:r w:rsidRPr="00C036AD">
        <w:lastRenderedPageBreak/>
        <w:t>supported the enforcement of national methodologies, directly contributing to the creation of safe and inclusive school environments.</w:t>
      </w:r>
    </w:p>
    <w:p w14:paraId="06BB10AB" w14:textId="2DF2CDC6" w:rsidR="00C0790F" w:rsidRDefault="00D17F33" w:rsidP="00C0790F">
      <w:pPr>
        <w:pStyle w:val="H1G"/>
      </w:pPr>
      <w:r>
        <w:tab/>
      </w:r>
      <w:r>
        <w:tab/>
      </w:r>
      <w:r w:rsidR="00C0790F" w:rsidRPr="00C0790F">
        <w:t>Reply to paragraph 1</w:t>
      </w:r>
      <w:r w:rsidR="00C0790F">
        <w:t>3</w:t>
      </w:r>
      <w:r w:rsidR="00C0790F" w:rsidRPr="00C0790F">
        <w:t>(</w:t>
      </w:r>
      <w:r w:rsidR="00C0790F">
        <w:t>f</w:t>
      </w:r>
      <w:r w:rsidR="00C0790F" w:rsidRPr="00C0790F">
        <w:t>)</w:t>
      </w:r>
    </w:p>
    <w:p w14:paraId="3D390CC7" w14:textId="225B69DC" w:rsidR="00C036AD" w:rsidRPr="00C036AD" w:rsidRDefault="00C036AD" w:rsidP="00BF62D8">
      <w:pPr>
        <w:pStyle w:val="SingleTxtG"/>
        <w:numPr>
          <w:ilvl w:val="0"/>
          <w:numId w:val="23"/>
        </w:numPr>
        <w:ind w:left="1134" w:firstLine="0"/>
      </w:pPr>
      <w:bookmarkStart w:id="43" w:name="_Toc210633936"/>
      <w:bookmarkEnd w:id="42"/>
      <w:r w:rsidRPr="00C036AD">
        <w:t xml:space="preserve">Nearly 150 educational institutions across the country currently benefit from free access </w:t>
      </w:r>
      <w:hyperlink r:id="rId32" w:history="1">
        <w:r w:rsidRPr="00C036AD">
          <w:rPr>
            <w:rStyle w:val="Hyperlink"/>
          </w:rPr>
          <w:t>to menstrual hygiene products</w:t>
        </w:r>
      </w:hyperlink>
      <w:r w:rsidRPr="00C036AD">
        <w:t xml:space="preserve"> within schools through the implementation of the „EduLIFE School” Programme. Sanitary pad dispensers are installed directly in girls' restrooms, ensuring that female students no longer need to miss classes or seek products from peers or the school nurse, thereby promoting unhindered access to education and dignity.</w:t>
      </w:r>
      <w:bookmarkStart w:id="44" w:name="_Toc210633937"/>
      <w:bookmarkEnd w:id="43"/>
    </w:p>
    <w:p w14:paraId="2CE17BF5" w14:textId="0E2C01B6" w:rsidR="00C0790F" w:rsidRDefault="00D17F33" w:rsidP="00C0790F">
      <w:pPr>
        <w:pStyle w:val="H1G"/>
      </w:pPr>
      <w:r>
        <w:tab/>
      </w:r>
      <w:r>
        <w:tab/>
      </w:r>
      <w:r w:rsidR="00C0790F" w:rsidRPr="00C0790F">
        <w:t>Reply to paragraph 1</w:t>
      </w:r>
      <w:r w:rsidR="00C0790F">
        <w:t>4</w:t>
      </w:r>
      <w:r w:rsidR="00C0790F" w:rsidRPr="00C0790F">
        <w:t>(</w:t>
      </w:r>
      <w:r w:rsidR="00C0790F">
        <w:t>a</w:t>
      </w:r>
      <w:r w:rsidR="00C0790F" w:rsidRPr="00C0790F">
        <w:t>)</w:t>
      </w:r>
    </w:p>
    <w:bookmarkEnd w:id="44"/>
    <w:p w14:paraId="740E4305" w14:textId="41B0920F" w:rsidR="00C036AD" w:rsidRPr="00C036AD" w:rsidRDefault="00C036AD" w:rsidP="00BF62D8">
      <w:pPr>
        <w:pStyle w:val="SingleTxtG"/>
        <w:numPr>
          <w:ilvl w:val="0"/>
          <w:numId w:val="23"/>
        </w:numPr>
        <w:ind w:left="1134" w:firstLine="0"/>
      </w:pPr>
      <w:r w:rsidRPr="00C036AD">
        <w:t xml:space="preserve">Through </w:t>
      </w:r>
      <w:hyperlink r:id="rId33" w:history="1">
        <w:r w:rsidRPr="00C036AD">
          <w:rPr>
            <w:rStyle w:val="Hyperlink"/>
          </w:rPr>
          <w:t>Law No. 107/2022</w:t>
        </w:r>
      </w:hyperlink>
      <w:r w:rsidRPr="00C036AD">
        <w:t xml:space="preserve">, the legislature amended the Labor Code and the Law on Wages No. 847/2002 to guarantee equal pay for equal work and enhance gender pay gap transparency, in compliance with the Recommendations of the CEDAW Committee (2020). The regulatory framework requires employers to inform employees and their representatives annually regarding gender - disaggregated remuneration differentials across job categories, while granting employees the explicit right to request information on wage levels for equal work or work of equal value. In the </w:t>
      </w:r>
      <w:hyperlink r:id="rId34" w:history="1">
        <w:r w:rsidRPr="00C036AD">
          <w:rPr>
            <w:rStyle w:val="Hyperlink"/>
          </w:rPr>
          <w:t>public sector</w:t>
        </w:r>
      </w:hyperlink>
      <w:r w:rsidRPr="00C036AD">
        <w:t>, the unified wage system ensures equal treatment and equitable remuneration for work of equal value, utilizing job evaluations based on effort, working conditions, and level of responsibility.</w:t>
      </w:r>
    </w:p>
    <w:p w14:paraId="5EFC0DE2" w14:textId="4586C445" w:rsidR="00310006" w:rsidRDefault="00D17F33" w:rsidP="00310006">
      <w:pPr>
        <w:pStyle w:val="H1G"/>
      </w:pPr>
      <w:bookmarkStart w:id="45" w:name="_Toc210633939"/>
      <w:r>
        <w:tab/>
      </w:r>
      <w:r>
        <w:tab/>
      </w:r>
      <w:r w:rsidR="00310006" w:rsidRPr="00310006">
        <w:t>Reply to paragraph 1</w:t>
      </w:r>
      <w:r w:rsidR="00310006">
        <w:t>4</w:t>
      </w:r>
      <w:r w:rsidR="00310006" w:rsidRPr="00310006">
        <w:t>(b)</w:t>
      </w:r>
    </w:p>
    <w:bookmarkEnd w:id="45"/>
    <w:p w14:paraId="1A7E4BDD" w14:textId="71838C48" w:rsidR="00C036AD" w:rsidRPr="00C036AD" w:rsidRDefault="00C036AD" w:rsidP="00BF62D8">
      <w:pPr>
        <w:pStyle w:val="SingleTxtG"/>
        <w:numPr>
          <w:ilvl w:val="0"/>
          <w:numId w:val="23"/>
        </w:numPr>
        <w:ind w:left="1134" w:firstLine="0"/>
      </w:pPr>
      <w:r w:rsidRPr="00C036AD">
        <w:fldChar w:fldCharType="begin"/>
      </w:r>
      <w:r w:rsidRPr="00C036AD">
        <w:instrText>HYPERLINK "https://www.legis.md/cautare/getResults?doc_id=151092&amp;lang=ro"</w:instrText>
      </w:r>
      <w:r w:rsidRPr="00C036AD">
        <w:fldChar w:fldCharType="separate"/>
      </w:r>
      <w:r w:rsidRPr="00C036AD">
        <w:rPr>
          <w:rStyle w:val="Hyperlink"/>
        </w:rPr>
        <w:t>Legislation</w:t>
      </w:r>
      <w:r w:rsidRPr="00C036AD">
        <w:fldChar w:fldCharType="end"/>
      </w:r>
      <w:r w:rsidRPr="00C036AD">
        <w:t xml:space="preserve"> designates groups vulnerable to specific risks include pregnant women, postpartum women, breastfeeding mothers, individuals under the age of 18, and persons with limited functional capacities. Employers must protect these individuals against hazards that specifically impact them. Employers are required to adapt workplaces to safeguard groups vulnerable to specific risks and to clearly stipulate, within remote work contracts, the respective occupational safety and health (OSH) responsibilities of both the employer and the workers.</w:t>
      </w:r>
    </w:p>
    <w:p w14:paraId="3E926B87" w14:textId="327CC9C5" w:rsidR="00310006" w:rsidRDefault="00D17F33" w:rsidP="00310006">
      <w:pPr>
        <w:pStyle w:val="H1G"/>
      </w:pPr>
      <w:bookmarkStart w:id="46" w:name="_Toc210633940"/>
      <w:r>
        <w:tab/>
      </w:r>
      <w:r>
        <w:tab/>
      </w:r>
      <w:r w:rsidR="00310006" w:rsidRPr="00310006">
        <w:t>Reply to paragraph 1</w:t>
      </w:r>
      <w:r w:rsidR="00310006">
        <w:t>4</w:t>
      </w:r>
      <w:r w:rsidR="00310006" w:rsidRPr="00310006">
        <w:t>(</w:t>
      </w:r>
      <w:r w:rsidR="00310006">
        <w:t>c</w:t>
      </w:r>
      <w:r w:rsidR="00310006" w:rsidRPr="00310006">
        <w:t>)</w:t>
      </w:r>
    </w:p>
    <w:p w14:paraId="48512F85" w14:textId="42802308" w:rsidR="00C036AD" w:rsidRPr="00C036AD" w:rsidRDefault="00C036AD" w:rsidP="00BF62D8">
      <w:pPr>
        <w:pStyle w:val="SingleTxtG"/>
        <w:numPr>
          <w:ilvl w:val="0"/>
          <w:numId w:val="23"/>
        </w:numPr>
        <w:ind w:left="1134" w:firstLine="0"/>
      </w:pPr>
      <w:bookmarkStart w:id="47" w:name="_Toc210633941"/>
      <w:bookmarkEnd w:id="46"/>
      <w:r w:rsidRPr="00C036AD">
        <w:t>The Republic of Moldova strengthened sanctions against workplace harassment and discrimination, anchoring these measures in ILO Convention No. 190 (ratified via Law No. 440/2023) and the Istanbul Convention. The Contravention Code mandates fines for failing to implement measures that prevent discrimination and harassment (Article 55, (1), letters i), j)) and enforces sanctions explicitly for harassment (Article 70²), The Labor Code, as amended by Law No. 194/2025, prohibits all forms of workplace violence and harassment (Article 8¹), regulates reporting and disciplinary procedures (Article 8²), and classifies violence and harassment as severe breaches of employment obligations (Article 211¹). It also establishes the material liability of both employers and employees for damages resulting from harassment or violence (Article 331¹, Article 338¹). Collectively, these legal provisions clarify liability and ensure the effective protection of employees against violence and harassment.</w:t>
      </w:r>
    </w:p>
    <w:p w14:paraId="6A9EDCC7" w14:textId="7B9B623F" w:rsidR="00310006" w:rsidRDefault="00D17F33" w:rsidP="00310006">
      <w:pPr>
        <w:pStyle w:val="H1G"/>
      </w:pPr>
      <w:r>
        <w:tab/>
      </w:r>
      <w:r>
        <w:tab/>
      </w:r>
      <w:r w:rsidR="00310006" w:rsidRPr="00310006">
        <w:t>Reply to paragraph 1</w:t>
      </w:r>
      <w:r w:rsidR="00310006">
        <w:t>4</w:t>
      </w:r>
      <w:r w:rsidR="00310006" w:rsidRPr="00310006">
        <w:t>(</w:t>
      </w:r>
      <w:r w:rsidR="00310006">
        <w:t>d</w:t>
      </w:r>
      <w:r w:rsidR="00310006" w:rsidRPr="00310006">
        <w:t>)</w:t>
      </w:r>
    </w:p>
    <w:bookmarkEnd w:id="47"/>
    <w:p w14:paraId="1B4D6884" w14:textId="28F58950" w:rsidR="00C036AD" w:rsidRPr="00C036AD" w:rsidRDefault="00C036AD" w:rsidP="00BF62D8">
      <w:pPr>
        <w:pStyle w:val="SingleTxtG"/>
        <w:numPr>
          <w:ilvl w:val="0"/>
          <w:numId w:val="23"/>
        </w:numPr>
        <w:ind w:left="1134" w:firstLine="0"/>
      </w:pPr>
      <w:r w:rsidRPr="00C036AD">
        <w:t xml:space="preserve">Between 2021-2025, authorities conducted capacity-building for 338 prosecutors on equality and non-discrimination. Additionally, in 2024, the MIA hosted a seminar entitled „Gender-Based Sexual Harassment in the Workplace”. To institutionalize these standards, the Circular No. 5/11-534/2025 was adopted to strictly regulate the workplace conduct of civil servants and special status officers. Concurrently, is implemented public awareness campaigns focusing on the prevention of </w:t>
      </w:r>
      <w:hyperlink r:id="rId35" w:history="1">
        <w:r w:rsidRPr="00C036AD">
          <w:rPr>
            <w:rStyle w:val="Hyperlink"/>
          </w:rPr>
          <w:t>sexual harassment</w:t>
        </w:r>
      </w:hyperlink>
      <w:r w:rsidRPr="00C036AD">
        <w:t>.</w:t>
      </w:r>
    </w:p>
    <w:p w14:paraId="178FCE02" w14:textId="2A99349F" w:rsidR="00310006" w:rsidRDefault="00D17F33" w:rsidP="00310006">
      <w:pPr>
        <w:pStyle w:val="H1G"/>
      </w:pPr>
      <w:bookmarkStart w:id="48" w:name="_Toc210633942"/>
      <w:r>
        <w:lastRenderedPageBreak/>
        <w:tab/>
      </w:r>
      <w:r>
        <w:tab/>
      </w:r>
      <w:r w:rsidR="00310006" w:rsidRPr="00310006">
        <w:t>Reply to paragraph 1</w:t>
      </w:r>
      <w:r w:rsidR="00310006">
        <w:t>4</w:t>
      </w:r>
      <w:r w:rsidR="00310006" w:rsidRPr="00310006">
        <w:t>(</w:t>
      </w:r>
      <w:r w:rsidR="00310006">
        <w:t>e</w:t>
      </w:r>
      <w:r w:rsidR="00310006" w:rsidRPr="00310006">
        <w:t>)</w:t>
      </w:r>
    </w:p>
    <w:p w14:paraId="79E7F485" w14:textId="52499458" w:rsidR="00C036AD" w:rsidRPr="00C036AD" w:rsidRDefault="00C036AD" w:rsidP="00BF62D8">
      <w:pPr>
        <w:pStyle w:val="SingleTxtG"/>
        <w:numPr>
          <w:ilvl w:val="0"/>
          <w:numId w:val="23"/>
        </w:numPr>
        <w:ind w:left="1134" w:firstLine="0"/>
        <w:rPr>
          <w:bCs/>
        </w:rPr>
      </w:pPr>
      <w:bookmarkStart w:id="49" w:name="_Toc210633943"/>
      <w:bookmarkEnd w:id="48"/>
      <w:r w:rsidRPr="00C036AD">
        <w:t>The Republic of Moldova expanded childcare services for children under the age of three to support families and promote work-life balance. Between 2023-2025, authorities and development partners created more than 1,580 new places in nurseries, family–type childcare settings, and workplace nurseries, while successfully renovating 30 existing nursery groups. These measures are being implemented in accordance with domestic legislation and the National Programme on Childcare Services, thereby increasing the enrolment rate in early childhood care and education.</w:t>
      </w:r>
    </w:p>
    <w:p w14:paraId="529C9391" w14:textId="77777777" w:rsidR="00C036AD" w:rsidRPr="00C036AD" w:rsidRDefault="00C036AD" w:rsidP="00BF62D8">
      <w:pPr>
        <w:pStyle w:val="SingleTxtG"/>
        <w:numPr>
          <w:ilvl w:val="0"/>
          <w:numId w:val="23"/>
        </w:numPr>
        <w:ind w:left="1134" w:firstLine="0"/>
      </w:pPr>
      <w:r w:rsidRPr="00C036AD">
        <w:t>Concurrently, the National Trade Union Confederation established minimum standards for organizing childcare and supervision spaces within trade union units. Additionally, the institutionalization of „</w:t>
      </w:r>
      <w:hyperlink r:id="rId36" w:history="1">
        <w:r w:rsidRPr="00C036AD">
          <w:rPr>
            <w:rStyle w:val="Hyperlink"/>
          </w:rPr>
          <w:t>Fathers' Clubs”</w:t>
        </w:r>
      </w:hyperlink>
      <w:r w:rsidRPr="00C036AD">
        <w:t xml:space="preserve"> represents a highly successful practice aimed at fostering active paternal engagement in child - rearing and education.</w:t>
      </w:r>
    </w:p>
    <w:p w14:paraId="221E5521" w14:textId="3DDEEBA6" w:rsidR="00310006" w:rsidRDefault="00D17F33" w:rsidP="00310006">
      <w:pPr>
        <w:pStyle w:val="H1G"/>
      </w:pPr>
      <w:r>
        <w:tab/>
      </w:r>
      <w:r>
        <w:tab/>
      </w:r>
      <w:r w:rsidR="00310006" w:rsidRPr="00310006">
        <w:t>Reply to paragraph 1</w:t>
      </w:r>
      <w:r w:rsidR="00310006">
        <w:t>4</w:t>
      </w:r>
      <w:r w:rsidR="00310006" w:rsidRPr="00310006">
        <w:t>(</w:t>
      </w:r>
      <w:r w:rsidR="00310006">
        <w:t>f</w:t>
      </w:r>
      <w:r w:rsidR="00310006" w:rsidRPr="00310006">
        <w:t>)</w:t>
      </w:r>
    </w:p>
    <w:bookmarkEnd w:id="49"/>
    <w:p w14:paraId="3D0772A4" w14:textId="76D592A2" w:rsidR="00C036AD" w:rsidRPr="00C036AD" w:rsidRDefault="00C036AD" w:rsidP="00BF62D8">
      <w:pPr>
        <w:pStyle w:val="SingleTxtG"/>
        <w:numPr>
          <w:ilvl w:val="0"/>
          <w:numId w:val="23"/>
        </w:numPr>
        <w:ind w:left="1134" w:firstLine="0"/>
        <w:rPr>
          <w:bCs/>
        </w:rPr>
      </w:pPr>
      <w:r w:rsidRPr="00C036AD">
        <w:t>Self-employed legal professionals, independent medical practitioners, and freelancers are entitled to the full spectrum of social security benefits, including</w:t>
      </w:r>
      <w:hyperlink r:id="rId37" w:history="1">
        <w:r w:rsidRPr="00C036AD">
          <w:rPr>
            <w:rStyle w:val="Hyperlink"/>
          </w:rPr>
          <w:t xml:space="preserve"> maternity</w:t>
        </w:r>
      </w:hyperlink>
      <w:r w:rsidRPr="00C036AD">
        <w:t xml:space="preserve"> allowances and </w:t>
      </w:r>
      <w:hyperlink r:id="rId38" w:history="1">
        <w:r w:rsidRPr="00C036AD">
          <w:rPr>
            <w:rStyle w:val="Hyperlink"/>
          </w:rPr>
          <w:t>paternity</w:t>
        </w:r>
      </w:hyperlink>
      <w:r w:rsidRPr="00C036AD">
        <w:t xml:space="preserve"> benefits for fathers. Furthermore, individuals who suspend their professional activities to take maternity leave or childcare leave for children up to the age of three retain their status as </w:t>
      </w:r>
      <w:hyperlink r:id="rId39" w:history="1">
        <w:r w:rsidRPr="00C036AD">
          <w:rPr>
            <w:rStyle w:val="Hyperlink"/>
          </w:rPr>
          <w:t>insured persons</w:t>
        </w:r>
      </w:hyperlink>
      <w:r w:rsidRPr="00C036AD">
        <w:t xml:space="preserve">. Women entrepreneurs receive targeted consultancy services, financial support, and subsidies, while their right to </w:t>
      </w:r>
      <w:hyperlink r:id="rId40" w:history="1">
        <w:r w:rsidRPr="00C036AD">
          <w:rPr>
            <w:rStyle w:val="Hyperlink"/>
          </w:rPr>
          <w:t>maternity allowance</w:t>
        </w:r>
      </w:hyperlink>
      <w:r w:rsidRPr="00C036AD">
        <w:t xml:space="preserve"> remains fully guaranteed under domestic legislation. Currently, the Republic of Moldova is in the process of transposing Directive 2010/41/EU to ensure that all remaining categories of self - employed persons are granted the right to maternity leave.</w:t>
      </w:r>
      <w:bookmarkStart w:id="50" w:name="_Toc210633944"/>
    </w:p>
    <w:p w14:paraId="17129F8D" w14:textId="0FFC3A31" w:rsidR="00310006" w:rsidRDefault="00D17F33" w:rsidP="00310006">
      <w:pPr>
        <w:pStyle w:val="H1G"/>
      </w:pPr>
      <w:r>
        <w:tab/>
      </w:r>
      <w:r>
        <w:tab/>
      </w:r>
      <w:r w:rsidR="00310006" w:rsidRPr="00310006">
        <w:t>Reply to paragraph 1</w:t>
      </w:r>
      <w:r w:rsidR="00310006">
        <w:t>4</w:t>
      </w:r>
      <w:r w:rsidR="00310006" w:rsidRPr="00310006">
        <w:t>(</w:t>
      </w:r>
      <w:r w:rsidR="00310006">
        <w:t>g</w:t>
      </w:r>
      <w:r w:rsidR="00310006" w:rsidRPr="00310006">
        <w:t>)</w:t>
      </w:r>
    </w:p>
    <w:bookmarkEnd w:id="50"/>
    <w:p w14:paraId="7C5387A5" w14:textId="44250A90" w:rsidR="00C036AD" w:rsidRPr="00C036AD" w:rsidRDefault="00C036AD" w:rsidP="00BF62D8">
      <w:pPr>
        <w:pStyle w:val="SingleTxtG"/>
        <w:numPr>
          <w:ilvl w:val="0"/>
          <w:numId w:val="23"/>
        </w:numPr>
        <w:ind w:left="1134" w:firstLine="0"/>
        <w:rPr>
          <w:bCs/>
        </w:rPr>
      </w:pPr>
      <w:r w:rsidRPr="00C036AD">
        <w:t>In 2025, drafting amendments to the Labor Code, the topic was examined tripartite by the government, trade unions, and employers. Following the discussions, it was decided to maintain the current wording of Art. 86 para. (1) lit. y1) Labor Code, preventing misinterpretations in applying the rule, had the measure been explicitly defined as objectively and reasonably justified according to the pursued purpose.</w:t>
      </w:r>
    </w:p>
    <w:p w14:paraId="3100A58C" w14:textId="758696D5" w:rsidR="00310006" w:rsidRDefault="00D17F33" w:rsidP="00310006">
      <w:pPr>
        <w:pStyle w:val="H1G"/>
      </w:pPr>
      <w:bookmarkStart w:id="51" w:name="_Toc210633946"/>
      <w:r>
        <w:tab/>
      </w:r>
      <w:r>
        <w:tab/>
      </w:r>
      <w:r w:rsidR="00310006" w:rsidRPr="00310006">
        <w:t>Reply to paragraph 1</w:t>
      </w:r>
      <w:r w:rsidR="00310006">
        <w:t>5</w:t>
      </w:r>
      <w:r w:rsidR="00310006" w:rsidRPr="00310006">
        <w:t>(</w:t>
      </w:r>
      <w:r w:rsidR="00310006">
        <w:t>a</w:t>
      </w:r>
      <w:r w:rsidR="00310006" w:rsidRPr="00310006">
        <w:t>)</w:t>
      </w:r>
    </w:p>
    <w:bookmarkEnd w:id="51"/>
    <w:p w14:paraId="12CB2C61" w14:textId="7D4DC842" w:rsidR="00C036AD" w:rsidRPr="00C036AD" w:rsidRDefault="00C036AD" w:rsidP="00BF62D8">
      <w:pPr>
        <w:pStyle w:val="SingleTxtG"/>
        <w:numPr>
          <w:ilvl w:val="0"/>
          <w:numId w:val="23"/>
        </w:numPr>
        <w:ind w:left="1134" w:firstLine="0"/>
        <w:rPr>
          <w:bCs/>
        </w:rPr>
      </w:pPr>
      <w:r w:rsidRPr="00C036AD">
        <w:t xml:space="preserve">Over the past five years, the country strengthened the sustainability of its health workforce by promoting the employment and retention of medical personnel in rural and remote areas. Young medical professionals receive one-time allowance of 4 742,59 EUR during first three years of service. For undergraduate and residency graduates, </w:t>
      </w:r>
      <w:hyperlink r:id="rId41" w:history="1">
        <w:r w:rsidRPr="00C036AD">
          <w:rPr>
            <w:rStyle w:val="Hyperlink"/>
          </w:rPr>
          <w:t>this allowance was increased in 2024</w:t>
        </w:r>
      </w:hyperlink>
      <w:r w:rsidRPr="00C036AD">
        <w:t xml:space="preserve"> to 12 350,50 EUR distributed over their first five years. Additionally, since 2024, medical personnel residing outside their locality of employment receive commuting subsidies to cover transport expenses between their domicile and workplace, in accordance with government regulations. Combating corruption within the healthcare system is integrated into the actionable measures of the National Health Strategy „</w:t>
      </w:r>
      <w:hyperlink r:id="rId42" w:history="1">
        <w:r w:rsidRPr="00C036AD">
          <w:rPr>
            <w:rStyle w:val="Hyperlink"/>
          </w:rPr>
          <w:t>Health 2030</w:t>
        </w:r>
      </w:hyperlink>
      <w:r w:rsidRPr="00C036AD">
        <w:t xml:space="preserve">”. Under this framework, authorities organized thematic training sessions for medical personnel during the 2024-2025 period as part of the public awareness campaign „Integrity for Health”. In 2024, the </w:t>
      </w:r>
      <w:hyperlink r:id="rId43" w:history="1">
        <w:r w:rsidRPr="00C036AD">
          <w:rPr>
            <w:rStyle w:val="Hyperlink"/>
          </w:rPr>
          <w:t>Regulation</w:t>
        </w:r>
      </w:hyperlink>
      <w:r w:rsidRPr="00C036AD">
        <w:t xml:space="preserve"> on the recognition and equivalence of postgraduate credentials obtained abroad for access to and practice in the specialties of „Medicine”, „Dentistry” and „Pharmacy” was approved.</w:t>
      </w:r>
    </w:p>
    <w:p w14:paraId="11FA5166" w14:textId="30BDC1F4" w:rsidR="00310006" w:rsidRDefault="00D17F33" w:rsidP="00310006">
      <w:pPr>
        <w:pStyle w:val="H1G"/>
      </w:pPr>
      <w:bookmarkStart w:id="52" w:name="_Toc210633948"/>
      <w:r>
        <w:tab/>
      </w:r>
      <w:r>
        <w:tab/>
      </w:r>
      <w:r w:rsidR="00310006" w:rsidRPr="00310006">
        <w:t>Reply to paragraph 1</w:t>
      </w:r>
      <w:r w:rsidR="00310006">
        <w:t>5</w:t>
      </w:r>
      <w:r w:rsidR="00310006" w:rsidRPr="00310006">
        <w:t>(b)</w:t>
      </w:r>
    </w:p>
    <w:p w14:paraId="17CACA0E" w14:textId="1FF23D44" w:rsidR="00C036AD" w:rsidRPr="00C036AD" w:rsidRDefault="00C036AD" w:rsidP="00BF62D8">
      <w:pPr>
        <w:pStyle w:val="SingleTxtG"/>
        <w:numPr>
          <w:ilvl w:val="0"/>
          <w:numId w:val="23"/>
        </w:numPr>
        <w:ind w:left="1134" w:firstLine="0"/>
      </w:pPr>
      <w:bookmarkStart w:id="53" w:name="_Toc210633949"/>
      <w:bookmarkEnd w:id="52"/>
      <w:r w:rsidRPr="00C036AD">
        <w:t xml:space="preserve">The healthcare infrastructure and resource allocation were being enhanced to combat communicable and non-communicable diseases. For tuberculosis, phthisiopneumology consultations were integrated into primary healthcare, diagnostics were modernized using </w:t>
      </w:r>
      <w:r w:rsidRPr="00C036AD">
        <w:lastRenderedPageBreak/>
        <w:t xml:space="preserve">GeneXpert technology, and treatment monitoring was fully digitalized. The National Tuberculosis Response Programme (2022–2025) secured essential medicines and targeted support for vulnerable groups, transitioning into a gender-responsive 2026–2030 framework, while universal access to viral hepatitis diagnostics and treatment was also expanded. Regarding oncology and prevention, breast and cervical cancer screening programmes facilitated early detection for over 20,000 women. Furthermore, providing free HPV vaccines for children aged 9–14 successfully increased vaccination coverage for girls from 37,1% in 2021 to </w:t>
      </w:r>
      <w:hyperlink r:id="rId44" w:history="1">
        <w:r w:rsidRPr="00C036AD">
          <w:rPr>
            <w:rStyle w:val="Hyperlink"/>
          </w:rPr>
          <w:t>41,5% in 2024</w:t>
        </w:r>
      </w:hyperlink>
      <w:r w:rsidRPr="00C036AD">
        <w:t>. Finally, chemotherapy, palliative care, and dedicated radiotherapy transport are fully subsidized through the mandatory health insurance system, ensuring rapid, cost-free treatment initiation.</w:t>
      </w:r>
    </w:p>
    <w:p w14:paraId="7DE97B1A" w14:textId="28C79F38" w:rsidR="00310006" w:rsidRDefault="00D17F33" w:rsidP="00310006">
      <w:pPr>
        <w:pStyle w:val="H1G"/>
      </w:pPr>
      <w:r>
        <w:tab/>
      </w:r>
      <w:r>
        <w:tab/>
      </w:r>
      <w:r w:rsidR="00310006" w:rsidRPr="00310006">
        <w:t>Reply to paragraph 1</w:t>
      </w:r>
      <w:r w:rsidR="00310006">
        <w:t>5</w:t>
      </w:r>
      <w:r w:rsidR="00310006" w:rsidRPr="00310006">
        <w:t>(</w:t>
      </w:r>
      <w:r w:rsidR="00310006">
        <w:t>c</w:t>
      </w:r>
      <w:r w:rsidR="00310006" w:rsidRPr="00310006">
        <w:t>)</w:t>
      </w:r>
    </w:p>
    <w:bookmarkEnd w:id="53"/>
    <w:p w14:paraId="3F332451" w14:textId="37EFA57B" w:rsidR="00C036AD" w:rsidRPr="00C036AD" w:rsidRDefault="00C036AD" w:rsidP="00BF62D8">
      <w:pPr>
        <w:pStyle w:val="SingleTxtG"/>
        <w:numPr>
          <w:ilvl w:val="0"/>
          <w:numId w:val="23"/>
        </w:numPr>
        <w:ind w:left="1134" w:firstLine="0"/>
        <w:rPr>
          <w:bCs/>
        </w:rPr>
      </w:pPr>
      <w:r w:rsidRPr="00C036AD">
        <w:t>The authorities strengthened safe access to termination of pregnancy and post - abortion care services, including in rural areas, thereby contributing to the prevention of maternal mortality. In 2024, 80% of all pregnancy terminations were performed in accordance with World Health Organization guidelines-maintaining the baseline achieved in 2021 (80.4%) - utilizing safe methods such as vacuum aspiration or medical abortion. No abortion-related maternal deaths have been recorded in recent years.</w:t>
      </w:r>
    </w:p>
    <w:p w14:paraId="28051DEE" w14:textId="77777777" w:rsidR="00C036AD" w:rsidRPr="00C036AD" w:rsidRDefault="00C036AD" w:rsidP="00BF62D8">
      <w:pPr>
        <w:pStyle w:val="SingleTxtG"/>
        <w:numPr>
          <w:ilvl w:val="0"/>
          <w:numId w:val="23"/>
        </w:numPr>
        <w:ind w:left="1134" w:firstLine="0"/>
      </w:pPr>
      <w:r w:rsidRPr="00C036AD">
        <w:t xml:space="preserve">Safe abortion services are integrated into the essential health package and promoted through public awareness campaigns. Medical abortion is accessible up to 12 weeks of gestation across all primary healthcare centres, while vacuum aspiration is available in every district outpatient centre, aligned with the MoH standards currently undergoing updating. To ensure the availability and retention of medical personnel in rural areas, authorities established commuting subsidies, financial incentives, social housing, and professional </w:t>
      </w:r>
      <w:hyperlink r:id="rId45" w:history="1">
        <w:r w:rsidRPr="00C036AD">
          <w:rPr>
            <w:rStyle w:val="Hyperlink"/>
          </w:rPr>
          <w:t>development opportunities</w:t>
        </w:r>
      </w:hyperlink>
      <w:r w:rsidRPr="00C036AD">
        <w:t>.</w:t>
      </w:r>
    </w:p>
    <w:p w14:paraId="75189DA3" w14:textId="19C03791" w:rsidR="00310006" w:rsidRDefault="00D17F33" w:rsidP="00310006">
      <w:pPr>
        <w:pStyle w:val="H1G"/>
      </w:pPr>
      <w:bookmarkStart w:id="54" w:name="_Toc210633950"/>
      <w:r>
        <w:tab/>
      </w:r>
      <w:r>
        <w:tab/>
      </w:r>
      <w:r w:rsidR="00310006" w:rsidRPr="00310006">
        <w:t>Reply to paragraph 1</w:t>
      </w:r>
      <w:r w:rsidR="00310006">
        <w:t>5</w:t>
      </w:r>
      <w:r w:rsidR="00310006" w:rsidRPr="00310006">
        <w:t>(</w:t>
      </w:r>
      <w:r w:rsidR="00310006">
        <w:t>d</w:t>
      </w:r>
      <w:r w:rsidR="00310006" w:rsidRPr="00310006">
        <w:t>)</w:t>
      </w:r>
    </w:p>
    <w:p w14:paraId="01C636CA" w14:textId="5ECB1FC0" w:rsidR="00C036AD" w:rsidRPr="00C036AD" w:rsidRDefault="00C036AD" w:rsidP="00BF62D8">
      <w:pPr>
        <w:pStyle w:val="SingleTxtG"/>
        <w:numPr>
          <w:ilvl w:val="0"/>
          <w:numId w:val="23"/>
        </w:numPr>
        <w:ind w:left="1134" w:firstLine="0"/>
      </w:pPr>
      <w:bookmarkStart w:id="55" w:name="_Toc210633951"/>
      <w:bookmarkEnd w:id="54"/>
      <w:r w:rsidRPr="00C036AD">
        <w:t xml:space="preserve">The core components of the National Programme on Sexual and Reproductive Health and Rights are currently undergoing stakeholder consultations with relevant actors. The </w:t>
      </w:r>
      <w:hyperlink r:id="rId46" w:history="1">
        <w:r w:rsidRPr="00C036AD">
          <w:rPr>
            <w:rStyle w:val="Hyperlink"/>
          </w:rPr>
          <w:t>National Programme</w:t>
        </w:r>
      </w:hyperlink>
      <w:r w:rsidRPr="00C036AD">
        <w:t xml:space="preserve"> for the Prevention and Control of HIV/AIDS and Sexually Transmitted Infections for 2022-2025 integrates specific sexual and reproductive health components, dedicated to addressing the needs of the most vulnerable groups. </w:t>
      </w:r>
    </w:p>
    <w:p w14:paraId="1FB6E7FC" w14:textId="3E5D3899" w:rsidR="00310006" w:rsidRDefault="00D17F33" w:rsidP="00310006">
      <w:pPr>
        <w:pStyle w:val="H1G"/>
      </w:pPr>
      <w:r>
        <w:tab/>
      </w:r>
      <w:r>
        <w:tab/>
      </w:r>
      <w:r w:rsidR="00310006" w:rsidRPr="00310006">
        <w:t>Reply to paragraph 1</w:t>
      </w:r>
      <w:r w:rsidR="00310006">
        <w:t>5</w:t>
      </w:r>
      <w:r w:rsidR="00310006" w:rsidRPr="00310006">
        <w:t>(</w:t>
      </w:r>
      <w:r w:rsidR="00310006">
        <w:t>e</w:t>
      </w:r>
      <w:r w:rsidR="00310006" w:rsidRPr="00310006">
        <w:t>)</w:t>
      </w:r>
    </w:p>
    <w:p w14:paraId="6117F093" w14:textId="38A00B89" w:rsidR="00C036AD" w:rsidRPr="00C036AD" w:rsidRDefault="00C036AD" w:rsidP="00BF62D8">
      <w:pPr>
        <w:pStyle w:val="SingleTxtG"/>
        <w:numPr>
          <w:ilvl w:val="0"/>
          <w:numId w:val="23"/>
        </w:numPr>
        <w:ind w:left="1134" w:firstLine="0"/>
        <w:rPr>
          <w:bCs/>
        </w:rPr>
      </w:pPr>
      <w:bookmarkStart w:id="56" w:name="_Toc210633952"/>
      <w:bookmarkEnd w:id="55"/>
      <w:r w:rsidRPr="00C036AD">
        <w:t>Over the past five years, authorities and NGO implemented a series of initiatives aimed at increasing public awareness and knowledge regarding contraceptive methods, their proper usage, and the counselling services available within medical institutions. To this end, multimedia resources were produced for beneficiaries and widely disseminated across social media channels, as well as on LED screens within public and private primary healthcare institutions and the University Center for Simulation in Medical Training.</w:t>
      </w:r>
    </w:p>
    <w:p w14:paraId="6E752326" w14:textId="77777777" w:rsidR="00C036AD" w:rsidRPr="00C036AD" w:rsidRDefault="00C036AD" w:rsidP="00BF62D8">
      <w:pPr>
        <w:pStyle w:val="SingleTxtG"/>
        <w:numPr>
          <w:ilvl w:val="0"/>
          <w:numId w:val="23"/>
        </w:numPr>
        <w:ind w:left="1134" w:firstLine="0"/>
      </w:pPr>
      <w:r w:rsidRPr="00C036AD">
        <w:t>The relevant stakeholders published informative articles and organized webinars and live streams on family planning and contraceptive methods for the general population. These efforts were carried out through collaborative partnerships with the NGO „Youth Media Center”, the State University of Medicine and Pharmacy, and representatives of the „</w:t>
      </w:r>
      <w:hyperlink r:id="rId47" w:history="1">
        <w:r w:rsidRPr="00C036AD">
          <w:rPr>
            <w:rStyle w:val="Hyperlink"/>
          </w:rPr>
          <w:t>Gyneco.md</w:t>
        </w:r>
      </w:hyperlink>
      <w:r w:rsidRPr="00C036AD">
        <w:t xml:space="preserve">” platform. All youth aged 10 to 24, alongside socially vulnerable categories up to the age of 35, have full access to information on contraceptive methods, counselling services, and proper usage guidelines. These services are provided through primary healthcare networks and a nationwide network of 41 youth-friendly health centres distributed across the country. </w:t>
      </w:r>
    </w:p>
    <w:p w14:paraId="0BF2EC2F" w14:textId="556663FA" w:rsidR="00310006" w:rsidRDefault="00D17F33" w:rsidP="00310006">
      <w:pPr>
        <w:pStyle w:val="H1G"/>
      </w:pPr>
      <w:r>
        <w:lastRenderedPageBreak/>
        <w:tab/>
      </w:r>
      <w:r>
        <w:tab/>
      </w:r>
      <w:r w:rsidR="00310006" w:rsidRPr="00310006">
        <w:t>Reply to paragraph 1</w:t>
      </w:r>
      <w:r w:rsidR="00310006">
        <w:t>5</w:t>
      </w:r>
      <w:r w:rsidR="00310006" w:rsidRPr="00310006">
        <w:t>(</w:t>
      </w:r>
      <w:r w:rsidR="00310006">
        <w:t>f</w:t>
      </w:r>
      <w:r w:rsidR="00310006" w:rsidRPr="00310006">
        <w:t>)</w:t>
      </w:r>
    </w:p>
    <w:p w14:paraId="0478B880" w14:textId="5701503B" w:rsidR="00C036AD" w:rsidRPr="00C036AD" w:rsidRDefault="00C036AD" w:rsidP="00BF62D8">
      <w:pPr>
        <w:pStyle w:val="SingleTxtG"/>
        <w:numPr>
          <w:ilvl w:val="0"/>
          <w:numId w:val="23"/>
        </w:numPr>
        <w:ind w:left="1134" w:firstLine="0"/>
      </w:pPr>
      <w:bookmarkStart w:id="57" w:name="_Toc210633953"/>
      <w:bookmarkEnd w:id="56"/>
      <w:r w:rsidRPr="00C036AD">
        <w:t xml:space="preserve">Health education-including age-appropriate sexuality education-has been integrated into mandatory subjects, elective courses, and extracurricular activities, such as the module „Decisions for a Healthy Lifestyle” within technical and vocational education and training. Beginning in September 2025, the new national curriculum incorporates health education as a cross-cutting framework throughout general education, thereby fostering the development of students' core competencies and promoting the practical application of this knowledge. </w:t>
      </w:r>
    </w:p>
    <w:p w14:paraId="45861E39" w14:textId="7965866C" w:rsidR="00310006" w:rsidRDefault="00D17F33" w:rsidP="00310006">
      <w:pPr>
        <w:pStyle w:val="H1G"/>
      </w:pPr>
      <w:r>
        <w:tab/>
      </w:r>
      <w:r>
        <w:tab/>
      </w:r>
      <w:r w:rsidR="00310006" w:rsidRPr="00310006">
        <w:t>Reply to paragraph 1</w:t>
      </w:r>
      <w:r w:rsidR="00310006">
        <w:t>5</w:t>
      </w:r>
      <w:r w:rsidR="00310006" w:rsidRPr="00310006">
        <w:t>(</w:t>
      </w:r>
      <w:r w:rsidR="00310006">
        <w:t>g</w:t>
      </w:r>
      <w:r w:rsidR="00310006" w:rsidRPr="00310006">
        <w:t>)</w:t>
      </w:r>
    </w:p>
    <w:p w14:paraId="1D06CF66" w14:textId="01EB3541" w:rsidR="00C036AD" w:rsidRPr="00C036AD" w:rsidRDefault="00C036AD" w:rsidP="00BF62D8">
      <w:pPr>
        <w:pStyle w:val="SingleTxtG"/>
        <w:numPr>
          <w:ilvl w:val="0"/>
          <w:numId w:val="23"/>
        </w:numPr>
        <w:ind w:left="1134" w:firstLine="0"/>
      </w:pPr>
      <w:bookmarkStart w:id="58" w:name="_Toc210633954"/>
      <w:bookmarkEnd w:id="57"/>
      <w:r w:rsidRPr="00C036AD">
        <w:t>To eliminate the discrimination and stigma against women living with HIV, several public awareness campaigns and targeted programmes for vulnerable groups have been conducted, including for transgender women. The National Programme for the Prevention and Control of HIV/AIDS and Sexually Transmitted Infections 2022–2025 guaranteed free, anonymous access to testing and treatment, decentralizing services across 26 centres and expanding outreach via family physicians, pharmacies, and self-testing initiatives.</w:t>
      </w:r>
    </w:p>
    <w:p w14:paraId="294F3A3F" w14:textId="77777777" w:rsidR="00C036AD" w:rsidRPr="00C036AD" w:rsidRDefault="00C036AD" w:rsidP="00BF62D8">
      <w:pPr>
        <w:pStyle w:val="SingleTxtG"/>
        <w:numPr>
          <w:ilvl w:val="0"/>
          <w:numId w:val="23"/>
        </w:numPr>
        <w:ind w:left="1134" w:firstLine="0"/>
      </w:pPr>
      <w:r w:rsidRPr="00C036AD">
        <w:t>In 2025, key populations benefiting from testing services included over 7,7785 sex workers, 14 transgender individuals, and more than 2,126 women who inject drugs. In 2025, 10,139 individuals were receiving antiretroviral treatment, including 4,951women.</w:t>
      </w:r>
    </w:p>
    <w:p w14:paraId="5F7A5395" w14:textId="77777777" w:rsidR="00C036AD" w:rsidRDefault="00C036AD" w:rsidP="00BF62D8">
      <w:pPr>
        <w:pStyle w:val="SingleTxtG"/>
        <w:numPr>
          <w:ilvl w:val="0"/>
          <w:numId w:val="23"/>
        </w:numPr>
        <w:ind w:left="1134" w:firstLine="0"/>
      </w:pPr>
      <w:r w:rsidRPr="00C036AD">
        <w:t>Efforts regarding the prevention of mother-to-child transmission included testing and treatment in 2024 for 148 HIV-positive pregnant women, while 148 infants received antiretroviral prophylaxis and infant formula. Affected children and youth retain full access to education, treatment, and psychosocial support through Youth-Friendly Health Centres. Additionally, a peer-mentorship programme for women living with HIV supported approximately 300 beneficiaries, effectively reducing stigma and increasing adherence to treatment, thereby reflecting significant progress in the protection of women's rights and HIV control.</w:t>
      </w:r>
    </w:p>
    <w:p w14:paraId="424AB11A" w14:textId="04E08B45" w:rsidR="00411BD9" w:rsidRPr="00C036AD" w:rsidRDefault="00D17F33" w:rsidP="00411BD9">
      <w:pPr>
        <w:pStyle w:val="H1G"/>
      </w:pPr>
      <w:r>
        <w:tab/>
      </w:r>
      <w:r>
        <w:tab/>
      </w:r>
      <w:r w:rsidR="00411BD9" w:rsidRPr="00411BD9">
        <w:t>Reply to paragraph 1</w:t>
      </w:r>
      <w:r w:rsidR="00411BD9">
        <w:t>5</w:t>
      </w:r>
      <w:r w:rsidR="00411BD9" w:rsidRPr="00411BD9">
        <w:t>(</w:t>
      </w:r>
      <w:r w:rsidR="00411BD9">
        <w:t>h</w:t>
      </w:r>
      <w:r w:rsidR="00411BD9" w:rsidRPr="00411BD9">
        <w:t>)</w:t>
      </w:r>
    </w:p>
    <w:p w14:paraId="66943640" w14:textId="48D9A337" w:rsidR="00C036AD" w:rsidRPr="00C036AD" w:rsidRDefault="00C036AD" w:rsidP="00BF62D8">
      <w:pPr>
        <w:pStyle w:val="SingleTxtG"/>
        <w:numPr>
          <w:ilvl w:val="0"/>
          <w:numId w:val="23"/>
        </w:numPr>
        <w:ind w:left="1134" w:firstLine="0"/>
      </w:pPr>
      <w:bookmarkStart w:id="59" w:name="_Toc210633955"/>
      <w:bookmarkEnd w:id="58"/>
      <w:r w:rsidRPr="00C036AD">
        <w:t>Women survivors of trafficking in persons have access to comprehensive healthcare services through various specialized organizations and support helplines. The Anti-Trafficking Helpline provides free and confidential assistance. The shelter for victims of trafficking offers specialized medical and psychological care. These rights-based, trauma-informed interventions facilitate survivors' physical and mental rehabilitation and long-term social reintegration.</w:t>
      </w:r>
    </w:p>
    <w:p w14:paraId="4EA3EC8F" w14:textId="2F60FA3A" w:rsidR="00411BD9" w:rsidRDefault="00D17F33" w:rsidP="00411BD9">
      <w:pPr>
        <w:pStyle w:val="H1G"/>
      </w:pPr>
      <w:r>
        <w:tab/>
      </w:r>
      <w:r>
        <w:tab/>
      </w:r>
      <w:r w:rsidR="00411BD9" w:rsidRPr="00411BD9">
        <w:t>Reply to paragraph 1</w:t>
      </w:r>
      <w:r w:rsidR="00411BD9">
        <w:t>5</w:t>
      </w:r>
      <w:r w:rsidR="00411BD9" w:rsidRPr="00411BD9">
        <w:t>(</w:t>
      </w:r>
      <w:r w:rsidR="00411BD9">
        <w:t>i</w:t>
      </w:r>
      <w:r w:rsidR="00411BD9" w:rsidRPr="00411BD9">
        <w:t>)</w:t>
      </w:r>
    </w:p>
    <w:p w14:paraId="0A251568" w14:textId="2C0E44B0" w:rsidR="00C036AD" w:rsidRPr="00C036AD" w:rsidRDefault="00C036AD" w:rsidP="00BF62D8">
      <w:pPr>
        <w:pStyle w:val="SingleTxtG"/>
        <w:numPr>
          <w:ilvl w:val="0"/>
          <w:numId w:val="23"/>
        </w:numPr>
        <w:ind w:left="1134" w:firstLine="0"/>
      </w:pPr>
      <w:bookmarkStart w:id="60" w:name="_Toc210633956"/>
      <w:bookmarkEnd w:id="59"/>
      <w:r w:rsidRPr="00C036AD">
        <w:t>Equitable access to healthcare services is guaranteed by Law No. 411/1995 and the Single Programme of Mandatory Health Insurance, while Law No. 114/2024 expanded mental health and counselling access for vulnerable groups, including children, women, and older persons. At the community level, a network of 40 Community Mental Health Centres provides medical assistance, psychosocial rehabilitation, and family support. At the inpatient level, the Clinical, Bălți, and Orhei psychiatric hospitals guarantee specialized treatment and care, directly enhancing patients' wellbeing and social inclusion.</w:t>
      </w:r>
    </w:p>
    <w:p w14:paraId="49782199" w14:textId="75B98DE0" w:rsidR="00411BD9" w:rsidRDefault="00D17F33" w:rsidP="00411BD9">
      <w:pPr>
        <w:pStyle w:val="H1G"/>
      </w:pPr>
      <w:bookmarkStart w:id="61" w:name="_Toc210633957"/>
      <w:bookmarkEnd w:id="60"/>
      <w:r>
        <w:tab/>
      </w:r>
      <w:r>
        <w:tab/>
      </w:r>
      <w:r w:rsidR="00411BD9" w:rsidRPr="00411BD9">
        <w:t>Reply to paragraph 1</w:t>
      </w:r>
      <w:r w:rsidR="00411BD9">
        <w:t>6</w:t>
      </w:r>
      <w:r w:rsidR="00411BD9" w:rsidRPr="00411BD9">
        <w:t>(</w:t>
      </w:r>
      <w:r w:rsidR="00411BD9">
        <w:t>a</w:t>
      </w:r>
      <w:r w:rsidR="00411BD9" w:rsidRPr="00411BD9">
        <w:t>)</w:t>
      </w:r>
    </w:p>
    <w:bookmarkEnd w:id="61"/>
    <w:p w14:paraId="2A27F3C5" w14:textId="2A0A6714" w:rsidR="00C036AD" w:rsidRPr="00C036AD" w:rsidRDefault="00C036AD" w:rsidP="00BF62D8">
      <w:pPr>
        <w:pStyle w:val="SingleTxtG"/>
        <w:numPr>
          <w:ilvl w:val="0"/>
          <w:numId w:val="23"/>
        </w:numPr>
        <w:ind w:left="1134" w:firstLine="0"/>
        <w:rPr>
          <w:bCs/>
        </w:rPr>
      </w:pPr>
      <w:r w:rsidRPr="00C036AD">
        <w:t xml:space="preserve">Disadvantaged persons and households are entitled to social benefits and services without discrimination, in accordance with Law No. 547/2003. The primary social protection mechanism is the „Social Aid” programme, established in 2008, which provides targeted cash transfers based on a comprehensive assessment of household income, occupational status, and a proxy means - testing score evaluating family wellbeing. The programme ensures a </w:t>
      </w:r>
      <w:r w:rsidRPr="00C036AD">
        <w:lastRenderedPageBreak/>
        <w:t>guaranteed minimum monthly income, currently set at 86,41 EUR per adult and 89,86 EUR per child.</w:t>
      </w:r>
    </w:p>
    <w:p w14:paraId="59BF9D6A" w14:textId="77777777" w:rsidR="00C036AD" w:rsidRPr="00C036AD" w:rsidRDefault="00C036AD" w:rsidP="00BF62D8">
      <w:pPr>
        <w:pStyle w:val="SingleTxtG"/>
        <w:numPr>
          <w:ilvl w:val="0"/>
          <w:numId w:val="23"/>
        </w:numPr>
        <w:ind w:left="1134" w:firstLine="0"/>
      </w:pPr>
      <w:r w:rsidRPr="00C036AD">
        <w:t>The eligibility for social aid is determined strictly on economic criteria, regardless of gender, ethnicity, disability, or other personal characteristics. rural women, Roma women, women with disabilities, and women who act as primary caregivers for dependents qualify for this support under the exact same conditions as any other applicant. The social protection system guarantees equal treatment, applying the legal framework uniformly and impartially, in strict alignment with human rights principles and social equity.</w:t>
      </w:r>
    </w:p>
    <w:p w14:paraId="2706C4F9" w14:textId="77777777" w:rsidR="00C036AD" w:rsidRDefault="00C036AD" w:rsidP="00C036AD">
      <w:pPr>
        <w:pStyle w:val="SingleTxtG"/>
      </w:pPr>
      <w:r w:rsidRPr="00C036AD">
        <w:t>Statistical data regarding the implementation of the Social Aid Programme:</w:t>
      </w:r>
    </w:p>
    <w:tbl>
      <w:tblPr>
        <w:tblStyle w:val="TableGrid0"/>
        <w:tblW w:w="7370" w:type="dxa"/>
        <w:tblInd w:w="1134" w:type="dxa"/>
        <w:tblLayout w:type="fixed"/>
        <w:tblLook w:val="04A0" w:firstRow="1" w:lastRow="0" w:firstColumn="1" w:lastColumn="0" w:noHBand="0" w:noVBand="1"/>
      </w:tblPr>
      <w:tblGrid>
        <w:gridCol w:w="779"/>
        <w:gridCol w:w="2318"/>
        <w:gridCol w:w="2018"/>
        <w:gridCol w:w="2255"/>
      </w:tblGrid>
      <w:tr w:rsidR="00DB458D" w:rsidRPr="00DB458D" w14:paraId="7C1055B5" w14:textId="77777777" w:rsidTr="00DB458D">
        <w:trPr>
          <w:tblHeader/>
        </w:trPr>
        <w:tc>
          <w:tcPr>
            <w:tcW w:w="779" w:type="dxa"/>
            <w:tcBorders>
              <w:top w:val="single" w:sz="4" w:space="0" w:color="auto"/>
              <w:bottom w:val="single" w:sz="12" w:space="0" w:color="auto"/>
            </w:tcBorders>
            <w:vAlign w:val="bottom"/>
          </w:tcPr>
          <w:p w14:paraId="744E13A5" w14:textId="77777777" w:rsidR="00DB458D" w:rsidRPr="00DB458D" w:rsidRDefault="00DB458D" w:rsidP="00DB458D">
            <w:pPr>
              <w:spacing w:before="80" w:after="80" w:line="200" w:lineRule="exact"/>
              <w:ind w:right="113"/>
              <w:rPr>
                <w:i/>
                <w:kern w:val="0"/>
                <w:sz w:val="16"/>
              </w:rPr>
            </w:pPr>
            <w:r w:rsidRPr="00DB458D">
              <w:rPr>
                <w:i/>
                <w:kern w:val="0"/>
                <w:sz w:val="16"/>
              </w:rPr>
              <w:t>Year</w:t>
            </w:r>
          </w:p>
        </w:tc>
        <w:tc>
          <w:tcPr>
            <w:tcW w:w="2318" w:type="dxa"/>
            <w:tcBorders>
              <w:top w:val="single" w:sz="4" w:space="0" w:color="auto"/>
              <w:bottom w:val="single" w:sz="12" w:space="0" w:color="auto"/>
            </w:tcBorders>
            <w:vAlign w:val="bottom"/>
          </w:tcPr>
          <w:p w14:paraId="72549407" w14:textId="77777777" w:rsidR="00DB458D" w:rsidRPr="00DB458D" w:rsidRDefault="00DB458D" w:rsidP="00DB458D">
            <w:pPr>
              <w:spacing w:before="80" w:after="80" w:line="200" w:lineRule="exact"/>
              <w:ind w:right="113"/>
              <w:rPr>
                <w:i/>
                <w:kern w:val="0"/>
                <w:sz w:val="16"/>
              </w:rPr>
            </w:pPr>
            <w:r w:rsidRPr="00DB458D">
              <w:rPr>
                <w:i/>
                <w:kern w:val="0"/>
                <w:sz w:val="16"/>
              </w:rPr>
              <w:t>Number of payments received by households including women</w:t>
            </w:r>
          </w:p>
        </w:tc>
        <w:tc>
          <w:tcPr>
            <w:tcW w:w="2018" w:type="dxa"/>
            <w:tcBorders>
              <w:top w:val="single" w:sz="4" w:space="0" w:color="auto"/>
              <w:bottom w:val="single" w:sz="12" w:space="0" w:color="auto"/>
            </w:tcBorders>
            <w:vAlign w:val="bottom"/>
          </w:tcPr>
          <w:p w14:paraId="31BFD0BF" w14:textId="77777777" w:rsidR="00DB458D" w:rsidRPr="00DB458D" w:rsidRDefault="00DB458D" w:rsidP="00DB458D">
            <w:pPr>
              <w:spacing w:before="80" w:after="80" w:line="200" w:lineRule="exact"/>
              <w:ind w:right="113"/>
              <w:rPr>
                <w:i/>
                <w:kern w:val="0"/>
                <w:sz w:val="16"/>
              </w:rPr>
            </w:pPr>
            <w:r w:rsidRPr="00DB458D">
              <w:rPr>
                <w:i/>
                <w:kern w:val="0"/>
                <w:sz w:val="16"/>
              </w:rPr>
              <w:t>Share of women in total beneficiaries (%)</w:t>
            </w:r>
          </w:p>
        </w:tc>
        <w:tc>
          <w:tcPr>
            <w:tcW w:w="2255" w:type="dxa"/>
            <w:tcBorders>
              <w:top w:val="single" w:sz="4" w:space="0" w:color="auto"/>
              <w:bottom w:val="single" w:sz="12" w:space="0" w:color="auto"/>
            </w:tcBorders>
            <w:vAlign w:val="bottom"/>
          </w:tcPr>
          <w:p w14:paraId="26B80123" w14:textId="77777777" w:rsidR="00DB458D" w:rsidRPr="00DB458D" w:rsidRDefault="00DB458D" w:rsidP="00DB458D">
            <w:pPr>
              <w:spacing w:before="80" w:after="80" w:line="200" w:lineRule="exact"/>
              <w:ind w:right="113"/>
              <w:rPr>
                <w:i/>
                <w:kern w:val="0"/>
                <w:sz w:val="16"/>
              </w:rPr>
            </w:pPr>
            <w:r w:rsidRPr="00DB458D">
              <w:rPr>
                <w:i/>
                <w:kern w:val="0"/>
                <w:sz w:val="16"/>
              </w:rPr>
              <w:t>Number of female applicants</w:t>
            </w:r>
          </w:p>
        </w:tc>
      </w:tr>
      <w:tr w:rsidR="00DB458D" w:rsidRPr="00DB458D" w14:paraId="1DCB9D23" w14:textId="77777777" w:rsidTr="00DB458D">
        <w:trPr>
          <w:trHeight w:hRule="exact" w:val="113"/>
        </w:trPr>
        <w:tc>
          <w:tcPr>
            <w:tcW w:w="779" w:type="dxa"/>
            <w:tcBorders>
              <w:top w:val="single" w:sz="12" w:space="0" w:color="auto"/>
            </w:tcBorders>
          </w:tcPr>
          <w:p w14:paraId="50F97A12" w14:textId="77777777" w:rsidR="00DB458D" w:rsidRPr="00DB458D" w:rsidRDefault="00DB458D" w:rsidP="00DB458D">
            <w:pPr>
              <w:spacing w:before="40" w:after="120"/>
              <w:ind w:right="113"/>
              <w:rPr>
                <w:kern w:val="0"/>
              </w:rPr>
            </w:pPr>
          </w:p>
        </w:tc>
        <w:tc>
          <w:tcPr>
            <w:tcW w:w="2318" w:type="dxa"/>
            <w:tcBorders>
              <w:top w:val="single" w:sz="12" w:space="0" w:color="auto"/>
            </w:tcBorders>
          </w:tcPr>
          <w:p w14:paraId="0DCCE4E6" w14:textId="77777777" w:rsidR="00DB458D" w:rsidRPr="00DB458D" w:rsidRDefault="00DB458D" w:rsidP="00DB458D">
            <w:pPr>
              <w:spacing w:before="40" w:after="120"/>
              <w:ind w:right="113"/>
              <w:rPr>
                <w:kern w:val="0"/>
              </w:rPr>
            </w:pPr>
          </w:p>
        </w:tc>
        <w:tc>
          <w:tcPr>
            <w:tcW w:w="2018" w:type="dxa"/>
            <w:tcBorders>
              <w:top w:val="single" w:sz="12" w:space="0" w:color="auto"/>
            </w:tcBorders>
          </w:tcPr>
          <w:p w14:paraId="087615AA" w14:textId="77777777" w:rsidR="00DB458D" w:rsidRPr="00DB458D" w:rsidRDefault="00DB458D" w:rsidP="00DB458D">
            <w:pPr>
              <w:spacing w:before="40" w:after="120"/>
              <w:ind w:right="113"/>
              <w:rPr>
                <w:kern w:val="0"/>
              </w:rPr>
            </w:pPr>
          </w:p>
        </w:tc>
        <w:tc>
          <w:tcPr>
            <w:tcW w:w="2255" w:type="dxa"/>
            <w:tcBorders>
              <w:top w:val="single" w:sz="12" w:space="0" w:color="auto"/>
            </w:tcBorders>
          </w:tcPr>
          <w:p w14:paraId="3529C086" w14:textId="77777777" w:rsidR="00DB458D" w:rsidRPr="00DB458D" w:rsidRDefault="00DB458D" w:rsidP="00DB458D">
            <w:pPr>
              <w:spacing w:before="40" w:after="120"/>
              <w:ind w:right="113"/>
              <w:rPr>
                <w:kern w:val="0"/>
              </w:rPr>
            </w:pPr>
          </w:p>
        </w:tc>
      </w:tr>
      <w:tr w:rsidR="00DB458D" w:rsidRPr="00DB458D" w14:paraId="14F84E6F" w14:textId="77777777" w:rsidTr="00DB458D">
        <w:tc>
          <w:tcPr>
            <w:tcW w:w="779" w:type="dxa"/>
          </w:tcPr>
          <w:p w14:paraId="19B4F139" w14:textId="77777777" w:rsidR="00DB458D" w:rsidRPr="00DB458D" w:rsidRDefault="00DB458D" w:rsidP="00DB458D">
            <w:pPr>
              <w:spacing w:before="40" w:after="120"/>
              <w:ind w:right="113"/>
              <w:rPr>
                <w:kern w:val="0"/>
              </w:rPr>
            </w:pPr>
            <w:r w:rsidRPr="00DB458D">
              <w:rPr>
                <w:kern w:val="0"/>
              </w:rPr>
              <w:t>2023</w:t>
            </w:r>
          </w:p>
        </w:tc>
        <w:tc>
          <w:tcPr>
            <w:tcW w:w="2318" w:type="dxa"/>
          </w:tcPr>
          <w:p w14:paraId="4D96E3E9" w14:textId="77777777" w:rsidR="00DB458D" w:rsidRPr="00DB458D" w:rsidRDefault="00DB458D" w:rsidP="00DB458D">
            <w:pPr>
              <w:spacing w:before="40" w:after="120"/>
              <w:ind w:right="113"/>
              <w:rPr>
                <w:kern w:val="0"/>
              </w:rPr>
            </w:pPr>
            <w:r w:rsidRPr="00DB458D">
              <w:rPr>
                <w:kern w:val="0"/>
              </w:rPr>
              <w:t>41,993</w:t>
            </w:r>
          </w:p>
        </w:tc>
        <w:tc>
          <w:tcPr>
            <w:tcW w:w="2018" w:type="dxa"/>
          </w:tcPr>
          <w:p w14:paraId="30B23112" w14:textId="77777777" w:rsidR="00DB458D" w:rsidRPr="00DB458D" w:rsidRDefault="00DB458D" w:rsidP="00DB458D">
            <w:pPr>
              <w:spacing w:before="40" w:after="120"/>
              <w:ind w:right="113"/>
              <w:rPr>
                <w:kern w:val="0"/>
              </w:rPr>
            </w:pPr>
            <w:r w:rsidRPr="00DB458D">
              <w:rPr>
                <w:kern w:val="0"/>
              </w:rPr>
              <w:t>56</w:t>
            </w:r>
          </w:p>
        </w:tc>
        <w:tc>
          <w:tcPr>
            <w:tcW w:w="2255" w:type="dxa"/>
          </w:tcPr>
          <w:p w14:paraId="3F1147B2" w14:textId="77777777" w:rsidR="00DB458D" w:rsidRPr="00DB458D" w:rsidRDefault="00DB458D" w:rsidP="00DB458D">
            <w:pPr>
              <w:spacing w:before="40" w:after="120"/>
              <w:ind w:right="113"/>
              <w:rPr>
                <w:kern w:val="0"/>
              </w:rPr>
            </w:pPr>
            <w:r w:rsidRPr="00DB458D">
              <w:rPr>
                <w:kern w:val="0"/>
              </w:rPr>
              <w:t>21,977</w:t>
            </w:r>
          </w:p>
        </w:tc>
      </w:tr>
      <w:tr w:rsidR="00DB458D" w:rsidRPr="00DB458D" w14:paraId="31676E6B" w14:textId="77777777" w:rsidTr="00DB458D">
        <w:tc>
          <w:tcPr>
            <w:tcW w:w="779" w:type="dxa"/>
          </w:tcPr>
          <w:p w14:paraId="14E5B8D7" w14:textId="77777777" w:rsidR="00DB458D" w:rsidRPr="00DB458D" w:rsidRDefault="00DB458D" w:rsidP="00DB458D">
            <w:pPr>
              <w:spacing w:before="40" w:after="120"/>
              <w:ind w:right="113"/>
              <w:rPr>
                <w:kern w:val="0"/>
              </w:rPr>
            </w:pPr>
            <w:r w:rsidRPr="00DB458D">
              <w:rPr>
                <w:kern w:val="0"/>
              </w:rPr>
              <w:t>2024</w:t>
            </w:r>
          </w:p>
        </w:tc>
        <w:tc>
          <w:tcPr>
            <w:tcW w:w="2318" w:type="dxa"/>
          </w:tcPr>
          <w:p w14:paraId="4BF0D2A4" w14:textId="77777777" w:rsidR="00DB458D" w:rsidRPr="00DB458D" w:rsidRDefault="00DB458D" w:rsidP="00DB458D">
            <w:pPr>
              <w:spacing w:before="40" w:after="120"/>
              <w:ind w:right="113"/>
              <w:rPr>
                <w:kern w:val="0"/>
              </w:rPr>
            </w:pPr>
            <w:r w:rsidRPr="00DB458D">
              <w:rPr>
                <w:kern w:val="0"/>
              </w:rPr>
              <w:t>26,695</w:t>
            </w:r>
          </w:p>
        </w:tc>
        <w:tc>
          <w:tcPr>
            <w:tcW w:w="2018" w:type="dxa"/>
          </w:tcPr>
          <w:p w14:paraId="70CDC2CE" w14:textId="77777777" w:rsidR="00DB458D" w:rsidRPr="00DB458D" w:rsidRDefault="00DB458D" w:rsidP="00DB458D">
            <w:pPr>
              <w:spacing w:before="40" w:after="120"/>
              <w:ind w:right="113"/>
              <w:rPr>
                <w:kern w:val="0"/>
              </w:rPr>
            </w:pPr>
            <w:r w:rsidRPr="00DB458D">
              <w:rPr>
                <w:kern w:val="0"/>
              </w:rPr>
              <w:t>57</w:t>
            </w:r>
          </w:p>
        </w:tc>
        <w:tc>
          <w:tcPr>
            <w:tcW w:w="2255" w:type="dxa"/>
          </w:tcPr>
          <w:p w14:paraId="20B741E3" w14:textId="77777777" w:rsidR="00DB458D" w:rsidRPr="00DB458D" w:rsidRDefault="00DB458D" w:rsidP="00DB458D">
            <w:pPr>
              <w:spacing w:before="40" w:after="120"/>
              <w:ind w:right="113"/>
              <w:rPr>
                <w:kern w:val="0"/>
              </w:rPr>
            </w:pPr>
            <w:r w:rsidRPr="00DB458D">
              <w:rPr>
                <w:kern w:val="0"/>
              </w:rPr>
              <w:t>13,200</w:t>
            </w:r>
          </w:p>
        </w:tc>
      </w:tr>
      <w:tr w:rsidR="00DB458D" w:rsidRPr="00DB458D" w14:paraId="11057050" w14:textId="77777777" w:rsidTr="00DB458D">
        <w:tc>
          <w:tcPr>
            <w:tcW w:w="779" w:type="dxa"/>
            <w:tcBorders>
              <w:bottom w:val="single" w:sz="12" w:space="0" w:color="auto"/>
            </w:tcBorders>
          </w:tcPr>
          <w:p w14:paraId="6803C740" w14:textId="77777777" w:rsidR="00DB458D" w:rsidRPr="00DB458D" w:rsidRDefault="00DB458D" w:rsidP="00DB458D">
            <w:pPr>
              <w:spacing w:before="40" w:after="120"/>
              <w:ind w:right="113"/>
              <w:rPr>
                <w:kern w:val="0"/>
              </w:rPr>
            </w:pPr>
            <w:r w:rsidRPr="00DB458D">
              <w:rPr>
                <w:kern w:val="0"/>
              </w:rPr>
              <w:t>2025</w:t>
            </w:r>
          </w:p>
        </w:tc>
        <w:tc>
          <w:tcPr>
            <w:tcW w:w="2318" w:type="dxa"/>
            <w:tcBorders>
              <w:bottom w:val="single" w:sz="12" w:space="0" w:color="auto"/>
            </w:tcBorders>
          </w:tcPr>
          <w:p w14:paraId="73FFCDEB" w14:textId="77777777" w:rsidR="00DB458D" w:rsidRPr="00DB458D" w:rsidRDefault="00DB458D" w:rsidP="00DB458D">
            <w:pPr>
              <w:spacing w:before="40" w:after="120"/>
              <w:ind w:right="113"/>
              <w:rPr>
                <w:kern w:val="0"/>
              </w:rPr>
            </w:pPr>
            <w:r w:rsidRPr="00DB458D">
              <w:rPr>
                <w:kern w:val="0"/>
              </w:rPr>
              <w:t>23,204</w:t>
            </w:r>
          </w:p>
        </w:tc>
        <w:tc>
          <w:tcPr>
            <w:tcW w:w="2018" w:type="dxa"/>
            <w:tcBorders>
              <w:bottom w:val="single" w:sz="12" w:space="0" w:color="auto"/>
            </w:tcBorders>
          </w:tcPr>
          <w:p w14:paraId="378BB140" w14:textId="77777777" w:rsidR="00DB458D" w:rsidRPr="00DB458D" w:rsidRDefault="00DB458D" w:rsidP="00DB458D">
            <w:pPr>
              <w:spacing w:before="40" w:after="120"/>
              <w:ind w:right="113"/>
              <w:rPr>
                <w:kern w:val="0"/>
              </w:rPr>
            </w:pPr>
            <w:r w:rsidRPr="00DB458D">
              <w:rPr>
                <w:kern w:val="0"/>
              </w:rPr>
              <w:t>57</w:t>
            </w:r>
          </w:p>
        </w:tc>
        <w:tc>
          <w:tcPr>
            <w:tcW w:w="2255" w:type="dxa"/>
            <w:tcBorders>
              <w:bottom w:val="single" w:sz="12" w:space="0" w:color="auto"/>
            </w:tcBorders>
          </w:tcPr>
          <w:p w14:paraId="051BA7EA" w14:textId="77777777" w:rsidR="00DB458D" w:rsidRPr="00DB458D" w:rsidRDefault="00DB458D" w:rsidP="00DB458D">
            <w:pPr>
              <w:spacing w:before="40" w:after="120"/>
              <w:ind w:right="113"/>
              <w:rPr>
                <w:kern w:val="0"/>
              </w:rPr>
            </w:pPr>
            <w:r w:rsidRPr="00DB458D">
              <w:rPr>
                <w:kern w:val="0"/>
              </w:rPr>
              <w:t>10,763</w:t>
            </w:r>
          </w:p>
        </w:tc>
      </w:tr>
    </w:tbl>
    <w:p w14:paraId="4A021213" w14:textId="7B03D082" w:rsidR="007309FC" w:rsidRDefault="00C036AD" w:rsidP="007309FC">
      <w:pPr>
        <w:pStyle w:val="SingleTxtG"/>
        <w:numPr>
          <w:ilvl w:val="0"/>
          <w:numId w:val="23"/>
        </w:numPr>
        <w:ind w:left="1134" w:firstLine="0"/>
      </w:pPr>
      <w:r w:rsidRPr="00C036AD">
        <w:t xml:space="preserve">The country operates also the </w:t>
      </w:r>
      <w:hyperlink r:id="rId48" w:history="1">
        <w:r w:rsidRPr="00C036AD">
          <w:rPr>
            <w:rStyle w:val="Hyperlink"/>
          </w:rPr>
          <w:t>Family Support Service</w:t>
        </w:r>
      </w:hyperlink>
      <w:r w:rsidRPr="00C036AD">
        <w:t xml:space="preserve"> to mitigate risks and prevent the separation of children from their families. The service provides two types of assistance: primary family support (general guidance) and secondary family support (cash benefits). The financial assistance aimed at reducing risk factors and preventing family separation was granted to:</w:t>
      </w:r>
    </w:p>
    <w:tbl>
      <w:tblPr>
        <w:tblStyle w:val="TableGrid0"/>
        <w:tblW w:w="7370" w:type="dxa"/>
        <w:tblInd w:w="1134" w:type="dxa"/>
        <w:tblLayout w:type="fixed"/>
        <w:tblLook w:val="04A0" w:firstRow="1" w:lastRow="0" w:firstColumn="1" w:lastColumn="0" w:noHBand="0" w:noVBand="1"/>
      </w:tblPr>
      <w:tblGrid>
        <w:gridCol w:w="2440"/>
        <w:gridCol w:w="877"/>
        <w:gridCol w:w="872"/>
        <w:gridCol w:w="1528"/>
        <w:gridCol w:w="1653"/>
      </w:tblGrid>
      <w:tr w:rsidR="007309FC" w:rsidRPr="007309FC" w14:paraId="02EAC7C9" w14:textId="77777777" w:rsidTr="007309FC">
        <w:trPr>
          <w:tblHeader/>
        </w:trPr>
        <w:tc>
          <w:tcPr>
            <w:tcW w:w="7370" w:type="dxa"/>
            <w:gridSpan w:val="5"/>
            <w:tcBorders>
              <w:top w:val="single" w:sz="4" w:space="0" w:color="auto"/>
              <w:bottom w:val="single" w:sz="12" w:space="0" w:color="auto"/>
            </w:tcBorders>
            <w:vAlign w:val="bottom"/>
          </w:tcPr>
          <w:p w14:paraId="065195C1" w14:textId="77777777" w:rsidR="007309FC" w:rsidRPr="007309FC" w:rsidRDefault="007309FC" w:rsidP="007309FC">
            <w:pPr>
              <w:suppressAutoHyphens w:val="0"/>
              <w:spacing w:before="80" w:after="80" w:line="200" w:lineRule="exact"/>
              <w:rPr>
                <w:i/>
                <w:kern w:val="0"/>
                <w:sz w:val="16"/>
              </w:rPr>
            </w:pPr>
            <w:r w:rsidRPr="007309FC">
              <w:rPr>
                <w:i/>
                <w:kern w:val="0"/>
                <w:sz w:val="16"/>
              </w:rPr>
              <w:t>Social Support Service for Families with Children (financial assistance)</w:t>
            </w:r>
          </w:p>
        </w:tc>
      </w:tr>
      <w:tr w:rsidR="007309FC" w:rsidRPr="007309FC" w14:paraId="16831EF2" w14:textId="77777777" w:rsidTr="007309FC">
        <w:tc>
          <w:tcPr>
            <w:tcW w:w="7370" w:type="dxa"/>
            <w:gridSpan w:val="5"/>
            <w:tcBorders>
              <w:top w:val="single" w:sz="12" w:space="0" w:color="auto"/>
            </w:tcBorders>
          </w:tcPr>
          <w:p w14:paraId="482A36BF" w14:textId="77777777" w:rsidR="007309FC" w:rsidRPr="007309FC" w:rsidRDefault="007309FC" w:rsidP="007309FC">
            <w:pPr>
              <w:suppressAutoHyphens w:val="0"/>
              <w:spacing w:before="40" w:after="40" w:line="220" w:lineRule="exact"/>
              <w:rPr>
                <w:kern w:val="0"/>
                <w:sz w:val="18"/>
              </w:rPr>
            </w:pPr>
          </w:p>
        </w:tc>
      </w:tr>
      <w:tr w:rsidR="007309FC" w:rsidRPr="007309FC" w14:paraId="247C3C61" w14:textId="77777777" w:rsidTr="007309FC">
        <w:tc>
          <w:tcPr>
            <w:tcW w:w="2440" w:type="dxa"/>
          </w:tcPr>
          <w:p w14:paraId="03FF261E" w14:textId="77777777" w:rsidR="007309FC" w:rsidRPr="007309FC" w:rsidRDefault="007309FC" w:rsidP="007309FC">
            <w:pPr>
              <w:suppressAutoHyphens w:val="0"/>
              <w:spacing w:before="40" w:after="40" w:line="220" w:lineRule="exact"/>
              <w:rPr>
                <w:kern w:val="0"/>
                <w:sz w:val="18"/>
              </w:rPr>
            </w:pPr>
            <w:r w:rsidRPr="007309FC">
              <w:rPr>
                <w:kern w:val="0"/>
                <w:sz w:val="18"/>
              </w:rPr>
              <w:t>Period</w:t>
            </w:r>
          </w:p>
        </w:tc>
        <w:tc>
          <w:tcPr>
            <w:tcW w:w="877" w:type="dxa"/>
          </w:tcPr>
          <w:p w14:paraId="6E65F3F0" w14:textId="77777777" w:rsidR="007309FC" w:rsidRPr="007309FC" w:rsidRDefault="007309FC" w:rsidP="007309FC">
            <w:pPr>
              <w:suppressAutoHyphens w:val="0"/>
              <w:spacing w:before="40" w:after="40" w:line="220" w:lineRule="exact"/>
              <w:rPr>
                <w:kern w:val="0"/>
                <w:sz w:val="18"/>
              </w:rPr>
            </w:pPr>
            <w:r w:rsidRPr="007309FC">
              <w:rPr>
                <w:kern w:val="0"/>
                <w:sz w:val="18"/>
              </w:rPr>
              <w:t>children</w:t>
            </w:r>
          </w:p>
        </w:tc>
        <w:tc>
          <w:tcPr>
            <w:tcW w:w="872" w:type="dxa"/>
          </w:tcPr>
          <w:p w14:paraId="584C2102" w14:textId="77777777" w:rsidR="007309FC" w:rsidRPr="007309FC" w:rsidRDefault="007309FC" w:rsidP="007309FC">
            <w:pPr>
              <w:suppressAutoHyphens w:val="0"/>
              <w:spacing w:before="40" w:after="40" w:line="220" w:lineRule="exact"/>
              <w:rPr>
                <w:kern w:val="0"/>
                <w:sz w:val="18"/>
              </w:rPr>
            </w:pPr>
            <w:r w:rsidRPr="007309FC">
              <w:rPr>
                <w:kern w:val="0"/>
                <w:sz w:val="18"/>
              </w:rPr>
              <w:t>families</w:t>
            </w:r>
          </w:p>
        </w:tc>
        <w:tc>
          <w:tcPr>
            <w:tcW w:w="1528" w:type="dxa"/>
          </w:tcPr>
          <w:p w14:paraId="7B9B2AC1" w14:textId="77777777" w:rsidR="007309FC" w:rsidRPr="007309FC" w:rsidRDefault="007309FC" w:rsidP="007309FC">
            <w:pPr>
              <w:suppressAutoHyphens w:val="0"/>
              <w:spacing w:before="40" w:after="40" w:line="220" w:lineRule="exact"/>
              <w:rPr>
                <w:kern w:val="0"/>
                <w:sz w:val="18"/>
              </w:rPr>
            </w:pPr>
            <w:r w:rsidRPr="007309FC">
              <w:rPr>
                <w:kern w:val="0"/>
                <w:sz w:val="18"/>
              </w:rPr>
              <w:t>Ukrainian children</w:t>
            </w:r>
          </w:p>
        </w:tc>
        <w:tc>
          <w:tcPr>
            <w:tcW w:w="1653" w:type="dxa"/>
          </w:tcPr>
          <w:p w14:paraId="0AC436F0" w14:textId="77777777" w:rsidR="007309FC" w:rsidRPr="007309FC" w:rsidRDefault="007309FC" w:rsidP="007309FC">
            <w:pPr>
              <w:suppressAutoHyphens w:val="0"/>
              <w:spacing w:before="40" w:after="40" w:line="220" w:lineRule="exact"/>
              <w:rPr>
                <w:kern w:val="0"/>
                <w:sz w:val="18"/>
              </w:rPr>
            </w:pPr>
            <w:r w:rsidRPr="007309FC">
              <w:rPr>
                <w:kern w:val="0"/>
                <w:sz w:val="18"/>
              </w:rPr>
              <w:t>Amount (EUR)</w:t>
            </w:r>
          </w:p>
        </w:tc>
      </w:tr>
      <w:tr w:rsidR="007309FC" w:rsidRPr="007309FC" w14:paraId="16072785" w14:textId="77777777" w:rsidTr="007309FC">
        <w:tc>
          <w:tcPr>
            <w:tcW w:w="2440" w:type="dxa"/>
          </w:tcPr>
          <w:p w14:paraId="4D2508A3" w14:textId="77777777" w:rsidR="007309FC" w:rsidRPr="007309FC" w:rsidRDefault="007309FC" w:rsidP="007309FC">
            <w:pPr>
              <w:suppressAutoHyphens w:val="0"/>
              <w:spacing w:before="40" w:after="40" w:line="220" w:lineRule="exact"/>
              <w:rPr>
                <w:kern w:val="0"/>
                <w:sz w:val="18"/>
              </w:rPr>
            </w:pPr>
            <w:r w:rsidRPr="007309FC">
              <w:rPr>
                <w:kern w:val="0"/>
                <w:sz w:val="18"/>
              </w:rPr>
              <w:t>September 2022-September 2023</w:t>
            </w:r>
          </w:p>
        </w:tc>
        <w:tc>
          <w:tcPr>
            <w:tcW w:w="877" w:type="dxa"/>
          </w:tcPr>
          <w:p w14:paraId="20C94649" w14:textId="77777777" w:rsidR="007309FC" w:rsidRPr="007309FC" w:rsidRDefault="007309FC" w:rsidP="007309FC">
            <w:pPr>
              <w:suppressAutoHyphens w:val="0"/>
              <w:spacing w:before="40" w:after="40" w:line="220" w:lineRule="exact"/>
              <w:rPr>
                <w:kern w:val="0"/>
                <w:sz w:val="18"/>
              </w:rPr>
            </w:pPr>
            <w:r w:rsidRPr="007309FC">
              <w:rPr>
                <w:kern w:val="0"/>
                <w:sz w:val="18"/>
              </w:rPr>
              <w:t>34,187</w:t>
            </w:r>
          </w:p>
        </w:tc>
        <w:tc>
          <w:tcPr>
            <w:tcW w:w="872" w:type="dxa"/>
          </w:tcPr>
          <w:p w14:paraId="649A15AA" w14:textId="77777777" w:rsidR="007309FC" w:rsidRPr="007309FC" w:rsidRDefault="007309FC" w:rsidP="007309FC">
            <w:pPr>
              <w:suppressAutoHyphens w:val="0"/>
              <w:spacing w:before="40" w:after="40" w:line="220" w:lineRule="exact"/>
              <w:rPr>
                <w:kern w:val="0"/>
                <w:sz w:val="18"/>
              </w:rPr>
            </w:pPr>
            <w:r w:rsidRPr="007309FC">
              <w:rPr>
                <w:kern w:val="0"/>
                <w:sz w:val="18"/>
              </w:rPr>
              <w:t>14,176</w:t>
            </w:r>
          </w:p>
        </w:tc>
        <w:tc>
          <w:tcPr>
            <w:tcW w:w="1528" w:type="dxa"/>
          </w:tcPr>
          <w:p w14:paraId="063E0EFA" w14:textId="77777777" w:rsidR="007309FC" w:rsidRPr="007309FC" w:rsidRDefault="007309FC" w:rsidP="007309FC">
            <w:pPr>
              <w:suppressAutoHyphens w:val="0"/>
              <w:spacing w:before="40" w:after="40" w:line="220" w:lineRule="exact"/>
              <w:rPr>
                <w:kern w:val="0"/>
                <w:sz w:val="18"/>
              </w:rPr>
            </w:pPr>
            <w:r w:rsidRPr="007309FC">
              <w:rPr>
                <w:kern w:val="0"/>
                <w:sz w:val="18"/>
              </w:rPr>
              <w:t>436</w:t>
            </w:r>
          </w:p>
        </w:tc>
        <w:tc>
          <w:tcPr>
            <w:tcW w:w="1653" w:type="dxa"/>
          </w:tcPr>
          <w:p w14:paraId="15D135BC" w14:textId="77777777" w:rsidR="007309FC" w:rsidRPr="007309FC" w:rsidRDefault="007309FC" w:rsidP="007309FC">
            <w:pPr>
              <w:suppressAutoHyphens w:val="0"/>
              <w:spacing w:before="40" w:after="40" w:line="220" w:lineRule="exact"/>
              <w:rPr>
                <w:kern w:val="0"/>
                <w:sz w:val="18"/>
              </w:rPr>
            </w:pPr>
            <w:r w:rsidRPr="007309FC">
              <w:rPr>
                <w:kern w:val="0"/>
                <w:sz w:val="18"/>
              </w:rPr>
              <w:t>5,688,510</w:t>
            </w:r>
          </w:p>
        </w:tc>
      </w:tr>
      <w:tr w:rsidR="007309FC" w:rsidRPr="007309FC" w14:paraId="0DDC7D44" w14:textId="77777777" w:rsidTr="007309FC">
        <w:tc>
          <w:tcPr>
            <w:tcW w:w="2440" w:type="dxa"/>
          </w:tcPr>
          <w:p w14:paraId="2B83D1F7" w14:textId="77777777" w:rsidR="007309FC" w:rsidRPr="007309FC" w:rsidRDefault="007309FC" w:rsidP="007309FC">
            <w:pPr>
              <w:suppressAutoHyphens w:val="0"/>
              <w:spacing w:before="40" w:after="40" w:line="220" w:lineRule="exact"/>
              <w:rPr>
                <w:kern w:val="0"/>
                <w:sz w:val="18"/>
              </w:rPr>
            </w:pPr>
            <w:r w:rsidRPr="007309FC">
              <w:rPr>
                <w:kern w:val="0"/>
                <w:sz w:val="18"/>
              </w:rPr>
              <w:t>October-December 2023</w:t>
            </w:r>
          </w:p>
        </w:tc>
        <w:tc>
          <w:tcPr>
            <w:tcW w:w="877" w:type="dxa"/>
          </w:tcPr>
          <w:p w14:paraId="7B1AB07E" w14:textId="77777777" w:rsidR="007309FC" w:rsidRPr="007309FC" w:rsidRDefault="007309FC" w:rsidP="007309FC">
            <w:pPr>
              <w:suppressAutoHyphens w:val="0"/>
              <w:spacing w:before="40" w:after="40" w:line="220" w:lineRule="exact"/>
              <w:rPr>
                <w:kern w:val="0"/>
                <w:sz w:val="18"/>
              </w:rPr>
            </w:pPr>
            <w:r w:rsidRPr="007309FC">
              <w:rPr>
                <w:kern w:val="0"/>
                <w:sz w:val="18"/>
              </w:rPr>
              <w:t>3,314</w:t>
            </w:r>
          </w:p>
        </w:tc>
        <w:tc>
          <w:tcPr>
            <w:tcW w:w="872" w:type="dxa"/>
          </w:tcPr>
          <w:p w14:paraId="49F1C1B7" w14:textId="77777777" w:rsidR="007309FC" w:rsidRPr="007309FC" w:rsidRDefault="007309FC" w:rsidP="007309FC">
            <w:pPr>
              <w:suppressAutoHyphens w:val="0"/>
              <w:spacing w:before="40" w:after="40" w:line="220" w:lineRule="exact"/>
              <w:rPr>
                <w:kern w:val="0"/>
                <w:sz w:val="18"/>
              </w:rPr>
            </w:pPr>
            <w:r w:rsidRPr="007309FC">
              <w:rPr>
                <w:kern w:val="0"/>
                <w:sz w:val="18"/>
              </w:rPr>
              <w:t>1,47</w:t>
            </w:r>
          </w:p>
        </w:tc>
        <w:tc>
          <w:tcPr>
            <w:tcW w:w="1528" w:type="dxa"/>
          </w:tcPr>
          <w:p w14:paraId="5AA171B4" w14:textId="77777777" w:rsidR="007309FC" w:rsidRPr="007309FC" w:rsidRDefault="007309FC" w:rsidP="007309FC">
            <w:pPr>
              <w:suppressAutoHyphens w:val="0"/>
              <w:spacing w:before="40" w:after="40" w:line="220" w:lineRule="exact"/>
              <w:rPr>
                <w:kern w:val="0"/>
                <w:sz w:val="18"/>
              </w:rPr>
            </w:pPr>
            <w:r w:rsidRPr="007309FC">
              <w:rPr>
                <w:kern w:val="0"/>
                <w:sz w:val="18"/>
              </w:rPr>
              <w:t>45</w:t>
            </w:r>
          </w:p>
        </w:tc>
        <w:tc>
          <w:tcPr>
            <w:tcW w:w="1653" w:type="dxa"/>
          </w:tcPr>
          <w:p w14:paraId="7E93F9A0" w14:textId="77777777" w:rsidR="007309FC" w:rsidRPr="007309FC" w:rsidRDefault="007309FC" w:rsidP="007309FC">
            <w:pPr>
              <w:suppressAutoHyphens w:val="0"/>
              <w:spacing w:before="40" w:after="40" w:line="220" w:lineRule="exact"/>
              <w:rPr>
                <w:kern w:val="0"/>
                <w:sz w:val="18"/>
              </w:rPr>
            </w:pPr>
            <w:r w:rsidRPr="007309FC">
              <w:rPr>
                <w:kern w:val="0"/>
                <w:sz w:val="18"/>
              </w:rPr>
              <w:t>612,061</w:t>
            </w:r>
          </w:p>
        </w:tc>
      </w:tr>
      <w:tr w:rsidR="007309FC" w:rsidRPr="007309FC" w14:paraId="1CEC0716" w14:textId="77777777" w:rsidTr="007309FC">
        <w:tc>
          <w:tcPr>
            <w:tcW w:w="2440" w:type="dxa"/>
          </w:tcPr>
          <w:p w14:paraId="5EBE6335" w14:textId="77777777" w:rsidR="007309FC" w:rsidRPr="007309FC" w:rsidRDefault="007309FC" w:rsidP="007309FC">
            <w:pPr>
              <w:suppressAutoHyphens w:val="0"/>
              <w:spacing w:before="40" w:after="40" w:line="220" w:lineRule="exact"/>
              <w:rPr>
                <w:kern w:val="0"/>
                <w:sz w:val="18"/>
              </w:rPr>
            </w:pPr>
            <w:r w:rsidRPr="007309FC">
              <w:rPr>
                <w:kern w:val="0"/>
                <w:sz w:val="18"/>
              </w:rPr>
              <w:t>2024</w:t>
            </w:r>
          </w:p>
        </w:tc>
        <w:tc>
          <w:tcPr>
            <w:tcW w:w="877" w:type="dxa"/>
          </w:tcPr>
          <w:p w14:paraId="48F0C95C" w14:textId="77777777" w:rsidR="007309FC" w:rsidRPr="007309FC" w:rsidRDefault="007309FC" w:rsidP="007309FC">
            <w:pPr>
              <w:suppressAutoHyphens w:val="0"/>
              <w:spacing w:before="40" w:after="40" w:line="220" w:lineRule="exact"/>
              <w:rPr>
                <w:kern w:val="0"/>
                <w:sz w:val="18"/>
              </w:rPr>
            </w:pPr>
            <w:r w:rsidRPr="007309FC">
              <w:rPr>
                <w:kern w:val="0"/>
                <w:sz w:val="18"/>
              </w:rPr>
              <w:t>7,013</w:t>
            </w:r>
          </w:p>
        </w:tc>
        <w:tc>
          <w:tcPr>
            <w:tcW w:w="872" w:type="dxa"/>
          </w:tcPr>
          <w:p w14:paraId="5869B7D8" w14:textId="77777777" w:rsidR="007309FC" w:rsidRPr="007309FC" w:rsidRDefault="007309FC" w:rsidP="007309FC">
            <w:pPr>
              <w:suppressAutoHyphens w:val="0"/>
              <w:spacing w:before="40" w:after="40" w:line="220" w:lineRule="exact"/>
              <w:rPr>
                <w:kern w:val="0"/>
                <w:sz w:val="18"/>
              </w:rPr>
            </w:pPr>
            <w:r w:rsidRPr="007309FC">
              <w:rPr>
                <w:kern w:val="0"/>
                <w:sz w:val="18"/>
              </w:rPr>
              <w:t>3,158</w:t>
            </w:r>
          </w:p>
        </w:tc>
        <w:tc>
          <w:tcPr>
            <w:tcW w:w="1528" w:type="dxa"/>
          </w:tcPr>
          <w:p w14:paraId="6ABEC91C" w14:textId="77777777" w:rsidR="007309FC" w:rsidRPr="007309FC" w:rsidRDefault="007309FC" w:rsidP="007309FC">
            <w:pPr>
              <w:suppressAutoHyphens w:val="0"/>
              <w:spacing w:before="40" w:after="40" w:line="220" w:lineRule="exact"/>
              <w:rPr>
                <w:kern w:val="0"/>
                <w:sz w:val="18"/>
              </w:rPr>
            </w:pPr>
            <w:r w:rsidRPr="007309FC">
              <w:rPr>
                <w:kern w:val="0"/>
                <w:sz w:val="18"/>
              </w:rPr>
              <w:t>169</w:t>
            </w:r>
          </w:p>
        </w:tc>
        <w:tc>
          <w:tcPr>
            <w:tcW w:w="1653" w:type="dxa"/>
          </w:tcPr>
          <w:p w14:paraId="343629BD" w14:textId="77777777" w:rsidR="007309FC" w:rsidRPr="007309FC" w:rsidRDefault="007309FC" w:rsidP="007309FC">
            <w:pPr>
              <w:suppressAutoHyphens w:val="0"/>
              <w:spacing w:before="40" w:after="40" w:line="220" w:lineRule="exact"/>
              <w:rPr>
                <w:kern w:val="0"/>
                <w:sz w:val="18"/>
              </w:rPr>
            </w:pPr>
            <w:r w:rsidRPr="007309FC">
              <w:rPr>
                <w:kern w:val="0"/>
                <w:sz w:val="18"/>
              </w:rPr>
              <w:t>950,692</w:t>
            </w:r>
          </w:p>
        </w:tc>
      </w:tr>
      <w:tr w:rsidR="007309FC" w:rsidRPr="007309FC" w14:paraId="13C9C072" w14:textId="77777777" w:rsidTr="007309FC">
        <w:tc>
          <w:tcPr>
            <w:tcW w:w="2440" w:type="dxa"/>
          </w:tcPr>
          <w:p w14:paraId="25D89F26" w14:textId="77777777" w:rsidR="007309FC" w:rsidRPr="007309FC" w:rsidRDefault="007309FC" w:rsidP="007309FC">
            <w:pPr>
              <w:suppressAutoHyphens w:val="0"/>
              <w:spacing w:before="40" w:after="40" w:line="220" w:lineRule="exact"/>
              <w:rPr>
                <w:kern w:val="0"/>
                <w:sz w:val="18"/>
              </w:rPr>
            </w:pPr>
            <w:r w:rsidRPr="007309FC">
              <w:rPr>
                <w:kern w:val="0"/>
                <w:sz w:val="18"/>
              </w:rPr>
              <w:t>1st semester of 2025</w:t>
            </w:r>
          </w:p>
        </w:tc>
        <w:tc>
          <w:tcPr>
            <w:tcW w:w="877" w:type="dxa"/>
          </w:tcPr>
          <w:p w14:paraId="025E4B93" w14:textId="77777777" w:rsidR="007309FC" w:rsidRPr="007309FC" w:rsidRDefault="007309FC" w:rsidP="007309FC">
            <w:pPr>
              <w:suppressAutoHyphens w:val="0"/>
              <w:spacing w:before="40" w:after="40" w:line="220" w:lineRule="exact"/>
              <w:rPr>
                <w:kern w:val="0"/>
                <w:sz w:val="18"/>
              </w:rPr>
            </w:pPr>
            <w:r w:rsidRPr="007309FC">
              <w:rPr>
                <w:kern w:val="0"/>
                <w:sz w:val="18"/>
              </w:rPr>
              <w:t>4,125</w:t>
            </w:r>
          </w:p>
        </w:tc>
        <w:tc>
          <w:tcPr>
            <w:tcW w:w="872" w:type="dxa"/>
          </w:tcPr>
          <w:p w14:paraId="768606EA" w14:textId="77777777" w:rsidR="007309FC" w:rsidRPr="007309FC" w:rsidRDefault="007309FC" w:rsidP="007309FC">
            <w:pPr>
              <w:suppressAutoHyphens w:val="0"/>
              <w:spacing w:before="40" w:after="40" w:line="220" w:lineRule="exact"/>
              <w:rPr>
                <w:kern w:val="0"/>
                <w:sz w:val="18"/>
              </w:rPr>
            </w:pPr>
            <w:r w:rsidRPr="007309FC">
              <w:rPr>
                <w:kern w:val="0"/>
                <w:sz w:val="18"/>
              </w:rPr>
              <w:t>1,886</w:t>
            </w:r>
          </w:p>
        </w:tc>
        <w:tc>
          <w:tcPr>
            <w:tcW w:w="1528" w:type="dxa"/>
          </w:tcPr>
          <w:p w14:paraId="0EC427EA" w14:textId="77777777" w:rsidR="007309FC" w:rsidRPr="007309FC" w:rsidRDefault="007309FC" w:rsidP="007309FC">
            <w:pPr>
              <w:suppressAutoHyphens w:val="0"/>
              <w:spacing w:before="40" w:after="40" w:line="220" w:lineRule="exact"/>
              <w:rPr>
                <w:kern w:val="0"/>
                <w:sz w:val="18"/>
              </w:rPr>
            </w:pPr>
            <w:r w:rsidRPr="007309FC">
              <w:rPr>
                <w:kern w:val="0"/>
                <w:sz w:val="18"/>
              </w:rPr>
              <w:t>138</w:t>
            </w:r>
          </w:p>
        </w:tc>
        <w:tc>
          <w:tcPr>
            <w:tcW w:w="1653" w:type="dxa"/>
          </w:tcPr>
          <w:p w14:paraId="163BEB97" w14:textId="77777777" w:rsidR="007309FC" w:rsidRPr="007309FC" w:rsidRDefault="007309FC" w:rsidP="007309FC">
            <w:pPr>
              <w:suppressAutoHyphens w:val="0"/>
              <w:spacing w:before="40" w:after="40" w:line="220" w:lineRule="exact"/>
              <w:rPr>
                <w:kern w:val="0"/>
                <w:sz w:val="18"/>
              </w:rPr>
            </w:pPr>
            <w:r w:rsidRPr="007309FC">
              <w:rPr>
                <w:kern w:val="0"/>
                <w:sz w:val="18"/>
              </w:rPr>
              <w:t>741,612</w:t>
            </w:r>
          </w:p>
        </w:tc>
      </w:tr>
      <w:tr w:rsidR="007309FC" w:rsidRPr="007309FC" w14:paraId="0692F695" w14:textId="77777777" w:rsidTr="007309FC">
        <w:tc>
          <w:tcPr>
            <w:tcW w:w="2440" w:type="dxa"/>
          </w:tcPr>
          <w:p w14:paraId="3DE89EEB" w14:textId="77777777" w:rsidR="007309FC" w:rsidRPr="007309FC" w:rsidRDefault="007309FC" w:rsidP="007309FC">
            <w:pPr>
              <w:suppressAutoHyphens w:val="0"/>
              <w:spacing w:before="40" w:after="40" w:line="220" w:lineRule="exact"/>
              <w:rPr>
                <w:kern w:val="0"/>
                <w:sz w:val="18"/>
              </w:rPr>
            </w:pPr>
            <w:r w:rsidRPr="007309FC">
              <w:rPr>
                <w:kern w:val="0"/>
                <w:sz w:val="18"/>
              </w:rPr>
              <w:t>2nd semester of 2025</w:t>
            </w:r>
          </w:p>
        </w:tc>
        <w:tc>
          <w:tcPr>
            <w:tcW w:w="877" w:type="dxa"/>
          </w:tcPr>
          <w:p w14:paraId="20257E7B" w14:textId="77777777" w:rsidR="007309FC" w:rsidRPr="007309FC" w:rsidRDefault="007309FC" w:rsidP="007309FC">
            <w:pPr>
              <w:suppressAutoHyphens w:val="0"/>
              <w:spacing w:before="40" w:after="40" w:line="220" w:lineRule="exact"/>
              <w:rPr>
                <w:kern w:val="0"/>
                <w:sz w:val="18"/>
              </w:rPr>
            </w:pPr>
            <w:r w:rsidRPr="007309FC">
              <w:rPr>
                <w:kern w:val="0"/>
                <w:sz w:val="18"/>
              </w:rPr>
              <w:t>636</w:t>
            </w:r>
          </w:p>
        </w:tc>
        <w:tc>
          <w:tcPr>
            <w:tcW w:w="872" w:type="dxa"/>
          </w:tcPr>
          <w:p w14:paraId="5971F7BE" w14:textId="77777777" w:rsidR="007309FC" w:rsidRPr="007309FC" w:rsidRDefault="007309FC" w:rsidP="007309FC">
            <w:pPr>
              <w:suppressAutoHyphens w:val="0"/>
              <w:spacing w:before="40" w:after="40" w:line="220" w:lineRule="exact"/>
              <w:rPr>
                <w:kern w:val="0"/>
                <w:sz w:val="18"/>
              </w:rPr>
            </w:pPr>
            <w:r w:rsidRPr="007309FC">
              <w:rPr>
                <w:kern w:val="0"/>
                <w:sz w:val="18"/>
              </w:rPr>
              <w:t>294</w:t>
            </w:r>
          </w:p>
        </w:tc>
        <w:tc>
          <w:tcPr>
            <w:tcW w:w="1528" w:type="dxa"/>
          </w:tcPr>
          <w:p w14:paraId="043A23AC" w14:textId="77777777" w:rsidR="007309FC" w:rsidRPr="007309FC" w:rsidRDefault="007309FC" w:rsidP="007309FC">
            <w:pPr>
              <w:suppressAutoHyphens w:val="0"/>
              <w:spacing w:before="40" w:after="40" w:line="220" w:lineRule="exact"/>
              <w:rPr>
                <w:kern w:val="0"/>
                <w:sz w:val="18"/>
              </w:rPr>
            </w:pPr>
            <w:r w:rsidRPr="007309FC">
              <w:rPr>
                <w:kern w:val="0"/>
                <w:sz w:val="18"/>
              </w:rPr>
              <w:t>3</w:t>
            </w:r>
          </w:p>
        </w:tc>
        <w:tc>
          <w:tcPr>
            <w:tcW w:w="1653" w:type="dxa"/>
          </w:tcPr>
          <w:p w14:paraId="45772353" w14:textId="77777777" w:rsidR="007309FC" w:rsidRPr="007309FC" w:rsidRDefault="007309FC" w:rsidP="007309FC">
            <w:pPr>
              <w:suppressAutoHyphens w:val="0"/>
              <w:spacing w:before="40" w:after="40" w:line="220" w:lineRule="exact"/>
              <w:rPr>
                <w:kern w:val="0"/>
                <w:sz w:val="18"/>
              </w:rPr>
            </w:pPr>
            <w:r w:rsidRPr="007309FC">
              <w:rPr>
                <w:kern w:val="0"/>
                <w:sz w:val="18"/>
              </w:rPr>
              <w:t>114,803</w:t>
            </w:r>
          </w:p>
        </w:tc>
      </w:tr>
      <w:tr w:rsidR="007309FC" w:rsidRPr="007309FC" w14:paraId="58AE2BA8" w14:textId="77777777" w:rsidTr="007309FC">
        <w:tc>
          <w:tcPr>
            <w:tcW w:w="2440" w:type="dxa"/>
            <w:tcBorders>
              <w:bottom w:val="single" w:sz="12" w:space="0" w:color="auto"/>
            </w:tcBorders>
          </w:tcPr>
          <w:p w14:paraId="4F0A53EC" w14:textId="77777777" w:rsidR="007309FC" w:rsidRPr="007309FC" w:rsidRDefault="007309FC" w:rsidP="007309FC">
            <w:pPr>
              <w:suppressAutoHyphens w:val="0"/>
              <w:spacing w:before="40" w:after="40" w:line="220" w:lineRule="exact"/>
              <w:rPr>
                <w:kern w:val="0"/>
                <w:sz w:val="18"/>
              </w:rPr>
            </w:pPr>
            <w:r w:rsidRPr="007309FC">
              <w:rPr>
                <w:kern w:val="0"/>
                <w:sz w:val="18"/>
              </w:rPr>
              <w:t>Total</w:t>
            </w:r>
          </w:p>
        </w:tc>
        <w:tc>
          <w:tcPr>
            <w:tcW w:w="877" w:type="dxa"/>
            <w:tcBorders>
              <w:bottom w:val="single" w:sz="12" w:space="0" w:color="auto"/>
            </w:tcBorders>
          </w:tcPr>
          <w:p w14:paraId="5A425B80" w14:textId="77777777" w:rsidR="007309FC" w:rsidRPr="007309FC" w:rsidRDefault="007309FC" w:rsidP="007309FC">
            <w:pPr>
              <w:suppressAutoHyphens w:val="0"/>
              <w:spacing w:before="40" w:after="40" w:line="220" w:lineRule="exact"/>
              <w:rPr>
                <w:kern w:val="0"/>
                <w:sz w:val="18"/>
              </w:rPr>
            </w:pPr>
            <w:r w:rsidRPr="007309FC">
              <w:rPr>
                <w:kern w:val="0"/>
                <w:sz w:val="18"/>
              </w:rPr>
              <w:t>49,275</w:t>
            </w:r>
          </w:p>
        </w:tc>
        <w:tc>
          <w:tcPr>
            <w:tcW w:w="872" w:type="dxa"/>
            <w:tcBorders>
              <w:bottom w:val="single" w:sz="12" w:space="0" w:color="auto"/>
            </w:tcBorders>
          </w:tcPr>
          <w:p w14:paraId="3EBD2460" w14:textId="77777777" w:rsidR="007309FC" w:rsidRPr="007309FC" w:rsidRDefault="007309FC" w:rsidP="007309FC">
            <w:pPr>
              <w:suppressAutoHyphens w:val="0"/>
              <w:spacing w:before="40" w:after="40" w:line="220" w:lineRule="exact"/>
              <w:rPr>
                <w:kern w:val="0"/>
                <w:sz w:val="18"/>
              </w:rPr>
            </w:pPr>
            <w:r w:rsidRPr="007309FC">
              <w:rPr>
                <w:kern w:val="0"/>
                <w:sz w:val="18"/>
              </w:rPr>
              <w:t>20,984</w:t>
            </w:r>
          </w:p>
        </w:tc>
        <w:tc>
          <w:tcPr>
            <w:tcW w:w="1528" w:type="dxa"/>
            <w:tcBorders>
              <w:bottom w:val="single" w:sz="12" w:space="0" w:color="auto"/>
            </w:tcBorders>
          </w:tcPr>
          <w:p w14:paraId="79295FC5" w14:textId="77777777" w:rsidR="007309FC" w:rsidRPr="007309FC" w:rsidRDefault="007309FC" w:rsidP="007309FC">
            <w:pPr>
              <w:suppressAutoHyphens w:val="0"/>
              <w:spacing w:before="40" w:after="40" w:line="220" w:lineRule="exact"/>
              <w:rPr>
                <w:kern w:val="0"/>
                <w:sz w:val="18"/>
              </w:rPr>
            </w:pPr>
            <w:r w:rsidRPr="007309FC">
              <w:rPr>
                <w:kern w:val="0"/>
                <w:sz w:val="18"/>
              </w:rPr>
              <w:t>791</w:t>
            </w:r>
          </w:p>
        </w:tc>
        <w:tc>
          <w:tcPr>
            <w:tcW w:w="1653" w:type="dxa"/>
            <w:tcBorders>
              <w:bottom w:val="single" w:sz="12" w:space="0" w:color="auto"/>
            </w:tcBorders>
          </w:tcPr>
          <w:p w14:paraId="434C1428" w14:textId="77777777" w:rsidR="007309FC" w:rsidRPr="007309FC" w:rsidRDefault="007309FC" w:rsidP="007309FC">
            <w:pPr>
              <w:suppressAutoHyphens w:val="0"/>
              <w:spacing w:before="40" w:after="40" w:line="220" w:lineRule="exact"/>
              <w:rPr>
                <w:kern w:val="0"/>
                <w:sz w:val="18"/>
              </w:rPr>
            </w:pPr>
            <w:r w:rsidRPr="007309FC">
              <w:rPr>
                <w:kern w:val="0"/>
                <w:sz w:val="18"/>
              </w:rPr>
              <w:t>8,107,685</w:t>
            </w:r>
          </w:p>
        </w:tc>
      </w:tr>
    </w:tbl>
    <w:p w14:paraId="07A9DD2B" w14:textId="77777777" w:rsidR="00C036AD" w:rsidRPr="00C036AD" w:rsidRDefault="00C036AD" w:rsidP="00BF62D8">
      <w:pPr>
        <w:pStyle w:val="SingleTxtG"/>
        <w:numPr>
          <w:ilvl w:val="0"/>
          <w:numId w:val="23"/>
        </w:numPr>
        <w:ind w:left="1134" w:firstLine="0"/>
      </w:pPr>
      <w:r w:rsidRPr="00C036AD">
        <w:t>According to national legislation, all women with children are eligible for the allowances:</w:t>
      </w:r>
    </w:p>
    <w:p w14:paraId="1A967418" w14:textId="77777777" w:rsidR="00C036AD" w:rsidRPr="00C036AD" w:rsidRDefault="00C036AD" w:rsidP="007309FC">
      <w:pPr>
        <w:pStyle w:val="Bullet1G"/>
      </w:pPr>
      <w:bookmarkStart w:id="62" w:name="_Toc210633959"/>
      <w:r w:rsidRPr="00C036AD">
        <w:t>The single childbirth allowance amounted to 988,04 EUR in 2024, 1 054,74 EUR in 2025, and 1 081,21 EUR in 2026;</w:t>
      </w:r>
    </w:p>
    <w:p w14:paraId="18F07C69" w14:textId="77777777" w:rsidR="00C036AD" w:rsidRPr="00C036AD" w:rsidRDefault="00C036AD" w:rsidP="007309FC">
      <w:pPr>
        <w:pStyle w:val="Bullet1G"/>
      </w:pPr>
      <w:r w:rsidRPr="00C036AD">
        <w:t>Since October 1st, 2022, a monthly childcare allowance of 49,40 EUR is provided until the child reaches the age of 2.</w:t>
      </w:r>
    </w:p>
    <w:p w14:paraId="5CE18AC1" w14:textId="77777777" w:rsidR="00C036AD" w:rsidRPr="00C036AD" w:rsidRDefault="00C036AD" w:rsidP="007309FC">
      <w:pPr>
        <w:pStyle w:val="Bullet1G"/>
      </w:pPr>
      <w:r w:rsidRPr="00C036AD">
        <w:t>Concurrently, a monthly support allowance for multiple births is granted for each child until the age of 3, amounting to 24,70 EUR per month (representing 50% of the standard childcare allowance).</w:t>
      </w:r>
    </w:p>
    <w:p w14:paraId="6A109C70" w14:textId="3BBEF65F" w:rsidR="00411BD9" w:rsidRDefault="00411BD9" w:rsidP="00411BD9">
      <w:pPr>
        <w:pStyle w:val="H1G"/>
      </w:pPr>
      <w:r>
        <w:tab/>
      </w:r>
      <w:r>
        <w:tab/>
      </w:r>
      <w:r w:rsidRPr="00411BD9">
        <w:t>Reply to paragraph 1</w:t>
      </w:r>
      <w:r>
        <w:t>6</w:t>
      </w:r>
      <w:r w:rsidRPr="00411BD9">
        <w:t>(b)</w:t>
      </w:r>
    </w:p>
    <w:bookmarkEnd w:id="62"/>
    <w:p w14:paraId="15538DA1" w14:textId="555FA9A3" w:rsidR="00C036AD" w:rsidRPr="00C036AD" w:rsidRDefault="00C036AD" w:rsidP="00BF62D8">
      <w:pPr>
        <w:pStyle w:val="SingleTxtG"/>
        <w:numPr>
          <w:ilvl w:val="0"/>
          <w:numId w:val="23"/>
        </w:numPr>
        <w:ind w:left="1134" w:firstLine="0"/>
      </w:pPr>
      <w:r w:rsidRPr="00C036AD">
        <w:t>The ratification of the ILO Social Security (Minimum Standards) Convention, 1952 (No. 102) requires substantial financial resources. Consequently, the Republic of Moldova determined that ratification is currently unsustainable. However, the authorities aim to strengthen the sustainability of the social insurance budget to ensure that international obligations can be undertaken under conditions of fiscal balance and financial stability.</w:t>
      </w:r>
    </w:p>
    <w:p w14:paraId="64E57358" w14:textId="011A9B96" w:rsidR="00411BD9" w:rsidRDefault="00D17F33" w:rsidP="00411BD9">
      <w:pPr>
        <w:pStyle w:val="H1G"/>
      </w:pPr>
      <w:bookmarkStart w:id="63" w:name="_Toc210633961"/>
      <w:r>
        <w:lastRenderedPageBreak/>
        <w:tab/>
      </w:r>
      <w:r>
        <w:tab/>
      </w:r>
      <w:r w:rsidR="00411BD9" w:rsidRPr="00411BD9">
        <w:t>Reply to paragraph 1</w:t>
      </w:r>
      <w:r w:rsidR="00411BD9">
        <w:t>7</w:t>
      </w:r>
      <w:r w:rsidR="00411BD9" w:rsidRPr="00411BD9">
        <w:t>(</w:t>
      </w:r>
      <w:r w:rsidR="00411BD9">
        <w:t>a</w:t>
      </w:r>
      <w:r w:rsidR="00411BD9" w:rsidRPr="00411BD9">
        <w:t>)</w:t>
      </w:r>
    </w:p>
    <w:bookmarkEnd w:id="63"/>
    <w:p w14:paraId="1371250C" w14:textId="55932AA5" w:rsidR="00C036AD" w:rsidRPr="00C036AD" w:rsidRDefault="00C036AD" w:rsidP="00BF62D8">
      <w:pPr>
        <w:pStyle w:val="SingleTxtG"/>
        <w:numPr>
          <w:ilvl w:val="0"/>
          <w:numId w:val="23"/>
        </w:numPr>
        <w:ind w:left="1134" w:firstLine="0"/>
      </w:pPr>
      <w:r w:rsidRPr="00C036AD">
        <w:t xml:space="preserve">The authorities ensure effective access for rural women, including from the eastern districts and Bender municipality, to education, health, social protection, agriculture, justice, and sustainable energy. The equal right to education is guaranteed without discrimination through special facilities for students and graduates from these regions, including special enrolment quotas in </w:t>
      </w:r>
      <w:hyperlink r:id="rId49" w:history="1">
        <w:r w:rsidRPr="00C036AD">
          <w:rPr>
            <w:rStyle w:val="Hyperlink"/>
          </w:rPr>
          <w:t>technical vocational</w:t>
        </w:r>
      </w:hyperlink>
      <w:r w:rsidRPr="00C036AD">
        <w:t xml:space="preserve"> and </w:t>
      </w:r>
      <w:hyperlink r:id="rId50" w:history="1">
        <w:r w:rsidRPr="00C036AD">
          <w:rPr>
            <w:rStyle w:val="Hyperlink"/>
          </w:rPr>
          <w:t>higher education</w:t>
        </w:r>
      </w:hyperlink>
      <w:r w:rsidRPr="00C036AD">
        <w:t xml:space="preserve">, as well as free school meals for students in </w:t>
      </w:r>
      <w:hyperlink r:id="rId51" w:history="1">
        <w:r w:rsidRPr="00C036AD">
          <w:rPr>
            <w:rStyle w:val="Hyperlink"/>
          </w:rPr>
          <w:t>grades I–XII</w:t>
        </w:r>
      </w:hyperlink>
      <w:r w:rsidRPr="00C036AD">
        <w:t>, contributing to the reduction of inequalities and to social inclusion.</w:t>
      </w:r>
    </w:p>
    <w:p w14:paraId="7E43E9F8" w14:textId="77777777" w:rsidR="00C036AD" w:rsidRDefault="00C036AD" w:rsidP="00BF62D8">
      <w:pPr>
        <w:pStyle w:val="SingleTxtG"/>
        <w:numPr>
          <w:ilvl w:val="0"/>
          <w:numId w:val="23"/>
        </w:numPr>
        <w:ind w:left="1134" w:firstLine="0"/>
      </w:pPr>
      <w:r w:rsidRPr="00C036AD">
        <w:t>In agriculture sector, women farmers benefit from a 10% increase in subsidies through the National Fund for Agricultural and Rural Development, with amounts up to 24,701 EUR per beneficiary, which led to an increase in women-led businesses in 2024 compared to 2023.</w:t>
      </w:r>
    </w:p>
    <w:tbl>
      <w:tblPr>
        <w:tblStyle w:val="TableGrid5"/>
        <w:tblW w:w="7370" w:type="dxa"/>
        <w:tblInd w:w="1134" w:type="dxa"/>
        <w:tblLayout w:type="fixed"/>
        <w:tblLook w:val="04A0" w:firstRow="1" w:lastRow="0" w:firstColumn="1" w:lastColumn="0" w:noHBand="0" w:noVBand="1"/>
      </w:tblPr>
      <w:tblGrid>
        <w:gridCol w:w="1840"/>
        <w:gridCol w:w="1601"/>
        <w:gridCol w:w="1326"/>
        <w:gridCol w:w="1531"/>
        <w:gridCol w:w="1072"/>
      </w:tblGrid>
      <w:tr w:rsidR="00F644E8" w:rsidRPr="00F644E8" w14:paraId="52E8B6F5" w14:textId="77777777" w:rsidTr="00F644E8">
        <w:trPr>
          <w:tblHeader/>
        </w:trPr>
        <w:tc>
          <w:tcPr>
            <w:tcW w:w="1840" w:type="dxa"/>
            <w:vMerge w:val="restart"/>
            <w:tcBorders>
              <w:top w:val="single" w:sz="4" w:space="0" w:color="auto"/>
              <w:bottom w:val="single" w:sz="12" w:space="0" w:color="auto"/>
            </w:tcBorders>
            <w:vAlign w:val="bottom"/>
          </w:tcPr>
          <w:p w14:paraId="479F0255" w14:textId="77777777" w:rsidR="00F644E8" w:rsidRPr="00F644E8" w:rsidRDefault="00F644E8" w:rsidP="00F644E8">
            <w:pPr>
              <w:suppressAutoHyphens w:val="0"/>
              <w:spacing w:before="80" w:after="80" w:line="200" w:lineRule="exact"/>
              <w:rPr>
                <w:rFonts w:eastAsia="Calibri"/>
                <w:i/>
                <w:kern w:val="0"/>
                <w:sz w:val="16"/>
                <w:szCs w:val="24"/>
                <w:lang w:val="en-CH"/>
              </w:rPr>
            </w:pPr>
            <w:r w:rsidRPr="00F644E8">
              <w:rPr>
                <w:i/>
                <w:kern w:val="0"/>
                <w:sz w:val="16"/>
                <w:szCs w:val="24"/>
                <w:lang w:val="en-CH"/>
              </w:rPr>
              <w:t>Measure</w:t>
            </w:r>
          </w:p>
        </w:tc>
        <w:tc>
          <w:tcPr>
            <w:tcW w:w="1601" w:type="dxa"/>
            <w:tcBorders>
              <w:top w:val="single" w:sz="4" w:space="0" w:color="auto"/>
              <w:bottom w:val="single" w:sz="12" w:space="0" w:color="auto"/>
            </w:tcBorders>
            <w:vAlign w:val="bottom"/>
          </w:tcPr>
          <w:p w14:paraId="3A294687" w14:textId="77777777" w:rsidR="00F644E8" w:rsidRPr="00F644E8" w:rsidRDefault="00F644E8" w:rsidP="00F644E8">
            <w:pPr>
              <w:suppressAutoHyphens w:val="0"/>
              <w:spacing w:before="80" w:after="80" w:line="200" w:lineRule="exact"/>
              <w:jc w:val="right"/>
              <w:rPr>
                <w:rFonts w:eastAsia="Calibri"/>
                <w:i/>
                <w:kern w:val="0"/>
                <w:sz w:val="16"/>
                <w:szCs w:val="24"/>
                <w:lang w:val="en-CH"/>
              </w:rPr>
            </w:pPr>
            <w:r w:rsidRPr="00F644E8">
              <w:rPr>
                <w:i/>
                <w:kern w:val="0"/>
                <w:sz w:val="16"/>
                <w:szCs w:val="24"/>
                <w:lang w:val="en-CH"/>
              </w:rPr>
              <w:t xml:space="preserve">Number of businesses </w:t>
            </w:r>
          </w:p>
          <w:p w14:paraId="5C83861A" w14:textId="77777777" w:rsidR="00F644E8" w:rsidRPr="00F644E8" w:rsidRDefault="00F644E8" w:rsidP="00F644E8">
            <w:pPr>
              <w:suppressAutoHyphens w:val="0"/>
              <w:spacing w:before="80" w:after="80" w:line="200" w:lineRule="exact"/>
              <w:jc w:val="right"/>
              <w:rPr>
                <w:rFonts w:eastAsia="Calibri"/>
                <w:i/>
                <w:kern w:val="0"/>
                <w:sz w:val="16"/>
                <w:szCs w:val="24"/>
                <w:lang w:val="en-CH"/>
              </w:rPr>
            </w:pPr>
            <w:r w:rsidRPr="00F644E8">
              <w:rPr>
                <w:i/>
                <w:kern w:val="0"/>
                <w:sz w:val="16"/>
                <w:szCs w:val="24"/>
                <w:lang w:val="en-CH"/>
              </w:rPr>
              <w:t>managed by female farmers</w:t>
            </w:r>
          </w:p>
        </w:tc>
        <w:tc>
          <w:tcPr>
            <w:tcW w:w="1326" w:type="dxa"/>
            <w:tcBorders>
              <w:top w:val="single" w:sz="4" w:space="0" w:color="auto"/>
              <w:bottom w:val="single" w:sz="12" w:space="0" w:color="auto"/>
            </w:tcBorders>
            <w:vAlign w:val="bottom"/>
          </w:tcPr>
          <w:p w14:paraId="3CBC8437" w14:textId="77777777" w:rsidR="00F644E8" w:rsidRPr="00F644E8" w:rsidRDefault="00F644E8" w:rsidP="00F644E8">
            <w:pPr>
              <w:suppressAutoHyphens w:val="0"/>
              <w:spacing w:before="80" w:after="80" w:line="200" w:lineRule="exact"/>
              <w:jc w:val="right"/>
              <w:rPr>
                <w:rFonts w:eastAsia="Calibri"/>
                <w:i/>
                <w:kern w:val="0"/>
                <w:sz w:val="16"/>
                <w:szCs w:val="24"/>
                <w:lang w:val="en-CH"/>
              </w:rPr>
            </w:pPr>
            <w:r w:rsidRPr="00F644E8">
              <w:rPr>
                <w:i/>
                <w:kern w:val="0"/>
                <w:sz w:val="16"/>
                <w:szCs w:val="24"/>
                <w:lang w:val="en-CH"/>
              </w:rPr>
              <w:t xml:space="preserve">Paid amount (EUR) </w:t>
            </w:r>
          </w:p>
        </w:tc>
        <w:tc>
          <w:tcPr>
            <w:tcW w:w="1531" w:type="dxa"/>
            <w:tcBorders>
              <w:top w:val="single" w:sz="4" w:space="0" w:color="auto"/>
              <w:bottom w:val="single" w:sz="12" w:space="0" w:color="auto"/>
            </w:tcBorders>
            <w:vAlign w:val="bottom"/>
          </w:tcPr>
          <w:p w14:paraId="2728F39F" w14:textId="77777777" w:rsidR="00F644E8" w:rsidRPr="00F644E8" w:rsidRDefault="00F644E8" w:rsidP="00F644E8">
            <w:pPr>
              <w:suppressAutoHyphens w:val="0"/>
              <w:spacing w:before="80" w:after="80" w:line="200" w:lineRule="exact"/>
              <w:jc w:val="right"/>
              <w:rPr>
                <w:rFonts w:eastAsia="Calibri"/>
                <w:i/>
                <w:kern w:val="0"/>
                <w:sz w:val="16"/>
                <w:szCs w:val="24"/>
                <w:lang w:val="en-CH"/>
              </w:rPr>
            </w:pPr>
            <w:r w:rsidRPr="00F644E8">
              <w:rPr>
                <w:i/>
                <w:kern w:val="0"/>
                <w:sz w:val="16"/>
                <w:szCs w:val="24"/>
                <w:lang w:val="en-CH"/>
              </w:rPr>
              <w:t xml:space="preserve">Noumber of businesses </w:t>
            </w:r>
          </w:p>
          <w:p w14:paraId="6916D2BB" w14:textId="77777777" w:rsidR="00F644E8" w:rsidRPr="00F644E8" w:rsidRDefault="00F644E8" w:rsidP="00F644E8">
            <w:pPr>
              <w:suppressAutoHyphens w:val="0"/>
              <w:spacing w:before="80" w:after="80" w:line="200" w:lineRule="exact"/>
              <w:jc w:val="right"/>
              <w:rPr>
                <w:rFonts w:eastAsia="Calibri"/>
                <w:i/>
                <w:kern w:val="0"/>
                <w:sz w:val="16"/>
                <w:szCs w:val="24"/>
                <w:lang w:val="en-CH"/>
              </w:rPr>
            </w:pPr>
            <w:r w:rsidRPr="00F644E8">
              <w:rPr>
                <w:i/>
                <w:kern w:val="0"/>
                <w:sz w:val="16"/>
                <w:szCs w:val="24"/>
                <w:lang w:val="en-CH"/>
              </w:rPr>
              <w:t xml:space="preserve">managed by female farmers </w:t>
            </w:r>
          </w:p>
        </w:tc>
        <w:tc>
          <w:tcPr>
            <w:tcW w:w="1072" w:type="dxa"/>
            <w:tcBorders>
              <w:top w:val="single" w:sz="4" w:space="0" w:color="auto"/>
              <w:bottom w:val="single" w:sz="12" w:space="0" w:color="auto"/>
            </w:tcBorders>
            <w:vAlign w:val="bottom"/>
          </w:tcPr>
          <w:p w14:paraId="2B9F4413" w14:textId="77777777" w:rsidR="00F644E8" w:rsidRPr="00F644E8" w:rsidRDefault="00F644E8" w:rsidP="00F644E8">
            <w:pPr>
              <w:suppressAutoHyphens w:val="0"/>
              <w:spacing w:before="80" w:after="80" w:line="200" w:lineRule="exact"/>
              <w:jc w:val="right"/>
              <w:rPr>
                <w:rFonts w:eastAsia="Calibri"/>
                <w:i/>
                <w:kern w:val="0"/>
                <w:sz w:val="16"/>
                <w:szCs w:val="24"/>
                <w:lang w:val="en-CH"/>
              </w:rPr>
            </w:pPr>
            <w:r w:rsidRPr="00F644E8">
              <w:rPr>
                <w:i/>
                <w:kern w:val="0"/>
                <w:sz w:val="16"/>
                <w:szCs w:val="24"/>
                <w:lang w:val="en-CH"/>
              </w:rPr>
              <w:t xml:space="preserve">Paid amount </w:t>
            </w:r>
          </w:p>
          <w:p w14:paraId="18035536" w14:textId="77777777" w:rsidR="00F644E8" w:rsidRPr="00F644E8" w:rsidRDefault="00F644E8" w:rsidP="00F644E8">
            <w:pPr>
              <w:suppressAutoHyphens w:val="0"/>
              <w:spacing w:before="80" w:after="80" w:line="200" w:lineRule="exact"/>
              <w:jc w:val="right"/>
              <w:rPr>
                <w:rFonts w:eastAsia="Calibri"/>
                <w:i/>
                <w:kern w:val="0"/>
                <w:sz w:val="16"/>
                <w:szCs w:val="24"/>
                <w:lang w:val="en-CH"/>
              </w:rPr>
            </w:pPr>
            <w:r w:rsidRPr="00F644E8">
              <w:rPr>
                <w:i/>
                <w:kern w:val="0"/>
                <w:sz w:val="16"/>
                <w:szCs w:val="24"/>
                <w:lang w:val="en-CH"/>
              </w:rPr>
              <w:t>(EUR)</w:t>
            </w:r>
          </w:p>
        </w:tc>
      </w:tr>
      <w:tr w:rsidR="00F644E8" w:rsidRPr="00F644E8" w14:paraId="7DA072CB" w14:textId="77777777" w:rsidTr="00F644E8">
        <w:trPr>
          <w:tblHeader/>
        </w:trPr>
        <w:tc>
          <w:tcPr>
            <w:tcW w:w="1840" w:type="dxa"/>
            <w:vMerge/>
            <w:tcBorders>
              <w:top w:val="single" w:sz="12" w:space="0" w:color="auto"/>
            </w:tcBorders>
            <w:vAlign w:val="bottom"/>
          </w:tcPr>
          <w:p w14:paraId="44BFB3A3" w14:textId="77777777" w:rsidR="00F644E8" w:rsidRPr="00F644E8" w:rsidRDefault="00F644E8" w:rsidP="00F644E8">
            <w:pPr>
              <w:suppressAutoHyphens w:val="0"/>
              <w:spacing w:before="40" w:after="40" w:line="220" w:lineRule="exact"/>
              <w:rPr>
                <w:rFonts w:eastAsia="Calibri"/>
                <w:kern w:val="0"/>
                <w:sz w:val="18"/>
                <w:szCs w:val="24"/>
                <w:lang w:val="en-CH"/>
              </w:rPr>
            </w:pPr>
          </w:p>
        </w:tc>
        <w:tc>
          <w:tcPr>
            <w:tcW w:w="2927" w:type="dxa"/>
            <w:gridSpan w:val="2"/>
            <w:tcBorders>
              <w:top w:val="single" w:sz="12" w:space="0" w:color="auto"/>
            </w:tcBorders>
            <w:vAlign w:val="bottom"/>
          </w:tcPr>
          <w:p w14:paraId="095B5DDE"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2023</w:t>
            </w:r>
          </w:p>
        </w:tc>
        <w:tc>
          <w:tcPr>
            <w:tcW w:w="2603" w:type="dxa"/>
            <w:gridSpan w:val="2"/>
            <w:tcBorders>
              <w:top w:val="single" w:sz="12" w:space="0" w:color="auto"/>
            </w:tcBorders>
            <w:vAlign w:val="bottom"/>
          </w:tcPr>
          <w:p w14:paraId="112CC579"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2024</w:t>
            </w:r>
          </w:p>
        </w:tc>
      </w:tr>
      <w:tr w:rsidR="00F644E8" w:rsidRPr="00F644E8" w14:paraId="4A62E9F1" w14:textId="77777777" w:rsidTr="00F644E8">
        <w:tc>
          <w:tcPr>
            <w:tcW w:w="1840" w:type="dxa"/>
          </w:tcPr>
          <w:p w14:paraId="0F60CCA9" w14:textId="77777777" w:rsidR="00F644E8" w:rsidRPr="00F644E8" w:rsidRDefault="00F644E8" w:rsidP="00F644E8">
            <w:pPr>
              <w:suppressAutoHyphens w:val="0"/>
              <w:spacing w:before="40" w:after="40" w:line="220" w:lineRule="exact"/>
              <w:rPr>
                <w:rFonts w:eastAsia="Calibri"/>
                <w:kern w:val="0"/>
                <w:sz w:val="18"/>
                <w:szCs w:val="24"/>
                <w:lang w:val="en-CH"/>
              </w:rPr>
            </w:pPr>
            <w:r w:rsidRPr="00F644E8">
              <w:rPr>
                <w:kern w:val="0"/>
                <w:sz w:val="18"/>
                <w:szCs w:val="24"/>
                <w:lang w:val="en-CH"/>
              </w:rPr>
              <w:t>Complementary payments</w:t>
            </w:r>
          </w:p>
        </w:tc>
        <w:tc>
          <w:tcPr>
            <w:tcW w:w="1601" w:type="dxa"/>
            <w:vAlign w:val="bottom"/>
          </w:tcPr>
          <w:p w14:paraId="0F982D10"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722</w:t>
            </w:r>
          </w:p>
        </w:tc>
        <w:tc>
          <w:tcPr>
            <w:tcW w:w="1326" w:type="dxa"/>
            <w:vAlign w:val="bottom"/>
          </w:tcPr>
          <w:p w14:paraId="5C058518"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4,049,988</w:t>
            </w:r>
          </w:p>
        </w:tc>
        <w:tc>
          <w:tcPr>
            <w:tcW w:w="1531" w:type="dxa"/>
            <w:vAlign w:val="bottom"/>
          </w:tcPr>
          <w:p w14:paraId="5ACFD218"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954</w:t>
            </w:r>
          </w:p>
        </w:tc>
        <w:tc>
          <w:tcPr>
            <w:tcW w:w="1072" w:type="dxa"/>
            <w:vAlign w:val="bottom"/>
          </w:tcPr>
          <w:p w14:paraId="71BBBD87"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5,743,475</w:t>
            </w:r>
          </w:p>
        </w:tc>
      </w:tr>
      <w:tr w:rsidR="00F644E8" w:rsidRPr="00F644E8" w14:paraId="67AAED5D" w14:textId="77777777" w:rsidTr="00F644E8">
        <w:tc>
          <w:tcPr>
            <w:tcW w:w="1840" w:type="dxa"/>
          </w:tcPr>
          <w:p w14:paraId="4FB58CCE" w14:textId="77777777" w:rsidR="00F644E8" w:rsidRPr="00F644E8" w:rsidRDefault="00F644E8" w:rsidP="00F644E8">
            <w:pPr>
              <w:suppressAutoHyphens w:val="0"/>
              <w:spacing w:before="40" w:after="40" w:line="220" w:lineRule="exact"/>
              <w:rPr>
                <w:rFonts w:eastAsia="Calibri"/>
                <w:kern w:val="0"/>
                <w:sz w:val="18"/>
                <w:szCs w:val="24"/>
                <w:lang w:val="en-CH"/>
              </w:rPr>
            </w:pPr>
            <w:r w:rsidRPr="00F644E8">
              <w:rPr>
                <w:kern w:val="0"/>
                <w:sz w:val="18"/>
                <w:szCs w:val="24"/>
                <w:lang w:val="en-CH"/>
              </w:rPr>
              <w:t>Post-investment payments</w:t>
            </w:r>
          </w:p>
        </w:tc>
        <w:tc>
          <w:tcPr>
            <w:tcW w:w="1601" w:type="dxa"/>
            <w:vAlign w:val="bottom"/>
          </w:tcPr>
          <w:p w14:paraId="02E794E7"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525</w:t>
            </w:r>
          </w:p>
        </w:tc>
        <w:tc>
          <w:tcPr>
            <w:tcW w:w="1326" w:type="dxa"/>
            <w:vAlign w:val="bottom"/>
          </w:tcPr>
          <w:p w14:paraId="09482223"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10,950,229</w:t>
            </w:r>
          </w:p>
        </w:tc>
        <w:tc>
          <w:tcPr>
            <w:tcW w:w="1531" w:type="dxa"/>
            <w:vAlign w:val="bottom"/>
          </w:tcPr>
          <w:p w14:paraId="2F523F62"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651</w:t>
            </w:r>
          </w:p>
        </w:tc>
        <w:tc>
          <w:tcPr>
            <w:tcW w:w="1072" w:type="dxa"/>
            <w:vAlign w:val="bottom"/>
          </w:tcPr>
          <w:p w14:paraId="01565296"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1,091,065</w:t>
            </w:r>
          </w:p>
        </w:tc>
      </w:tr>
      <w:tr w:rsidR="00F644E8" w:rsidRPr="00F644E8" w14:paraId="1A4FACC1" w14:textId="77777777" w:rsidTr="00F644E8">
        <w:tc>
          <w:tcPr>
            <w:tcW w:w="1840" w:type="dxa"/>
          </w:tcPr>
          <w:p w14:paraId="2360F912" w14:textId="77777777" w:rsidR="00F644E8" w:rsidRPr="00F644E8" w:rsidRDefault="00F644E8" w:rsidP="00F644E8">
            <w:pPr>
              <w:suppressAutoHyphens w:val="0"/>
              <w:spacing w:before="40" w:after="40" w:line="220" w:lineRule="exact"/>
              <w:rPr>
                <w:rFonts w:eastAsia="Calibri"/>
                <w:kern w:val="0"/>
                <w:sz w:val="18"/>
                <w:szCs w:val="24"/>
                <w:lang w:val="en-CH"/>
              </w:rPr>
            </w:pPr>
            <w:r w:rsidRPr="00F644E8">
              <w:rPr>
                <w:kern w:val="0"/>
                <w:sz w:val="18"/>
                <w:szCs w:val="24"/>
                <w:lang w:val="en-CH"/>
              </w:rPr>
              <w:t>Advance payments</w:t>
            </w:r>
          </w:p>
        </w:tc>
        <w:tc>
          <w:tcPr>
            <w:tcW w:w="1601" w:type="dxa"/>
            <w:vAlign w:val="bottom"/>
          </w:tcPr>
          <w:p w14:paraId="5A3FDA90"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49</w:t>
            </w:r>
          </w:p>
        </w:tc>
        <w:tc>
          <w:tcPr>
            <w:tcW w:w="1326" w:type="dxa"/>
            <w:vAlign w:val="bottom"/>
          </w:tcPr>
          <w:p w14:paraId="5EB0BAE6"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2,155,533</w:t>
            </w:r>
          </w:p>
        </w:tc>
        <w:tc>
          <w:tcPr>
            <w:tcW w:w="1531" w:type="dxa"/>
            <w:vAlign w:val="bottom"/>
          </w:tcPr>
          <w:p w14:paraId="3CFEFBAC"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52</w:t>
            </w:r>
          </w:p>
        </w:tc>
        <w:tc>
          <w:tcPr>
            <w:tcW w:w="1072" w:type="dxa"/>
            <w:vAlign w:val="bottom"/>
          </w:tcPr>
          <w:p w14:paraId="1D09C177"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2,094,602</w:t>
            </w:r>
          </w:p>
        </w:tc>
      </w:tr>
      <w:tr w:rsidR="00F644E8" w:rsidRPr="00F644E8" w14:paraId="07CA469A" w14:textId="77777777" w:rsidTr="00F644E8">
        <w:tc>
          <w:tcPr>
            <w:tcW w:w="1840" w:type="dxa"/>
            <w:tcBorders>
              <w:bottom w:val="single" w:sz="12" w:space="0" w:color="auto"/>
            </w:tcBorders>
          </w:tcPr>
          <w:p w14:paraId="7DA31644" w14:textId="77777777" w:rsidR="00F644E8" w:rsidRPr="00F644E8" w:rsidRDefault="00F644E8" w:rsidP="00F644E8">
            <w:pPr>
              <w:suppressAutoHyphens w:val="0"/>
              <w:spacing w:before="40" w:after="40" w:line="220" w:lineRule="exact"/>
              <w:rPr>
                <w:rFonts w:eastAsia="Calibri"/>
                <w:kern w:val="0"/>
                <w:sz w:val="18"/>
                <w:szCs w:val="24"/>
                <w:lang w:val="en-CH"/>
              </w:rPr>
            </w:pPr>
            <w:r w:rsidRPr="00F644E8">
              <w:rPr>
                <w:kern w:val="0"/>
                <w:sz w:val="18"/>
                <w:szCs w:val="24"/>
                <w:lang w:val="en-CH"/>
              </w:rPr>
              <w:t xml:space="preserve">Direct payments </w:t>
            </w:r>
          </w:p>
          <w:p w14:paraId="749A2AB5" w14:textId="77777777" w:rsidR="00F644E8" w:rsidRPr="00F644E8" w:rsidRDefault="00F644E8" w:rsidP="00F644E8">
            <w:pPr>
              <w:suppressAutoHyphens w:val="0"/>
              <w:spacing w:before="40" w:after="40" w:line="220" w:lineRule="exact"/>
              <w:rPr>
                <w:rFonts w:eastAsia="Calibri"/>
                <w:kern w:val="0"/>
                <w:sz w:val="18"/>
                <w:szCs w:val="24"/>
                <w:lang w:val="en-CH"/>
              </w:rPr>
            </w:pPr>
            <w:r w:rsidRPr="00F644E8">
              <w:rPr>
                <w:kern w:val="0"/>
                <w:sz w:val="18"/>
                <w:szCs w:val="24"/>
                <w:lang w:val="en-CH"/>
              </w:rPr>
              <w:t>(zootechnic sector)</w:t>
            </w:r>
          </w:p>
        </w:tc>
        <w:tc>
          <w:tcPr>
            <w:tcW w:w="1601" w:type="dxa"/>
            <w:tcBorders>
              <w:bottom w:val="single" w:sz="12" w:space="0" w:color="auto"/>
            </w:tcBorders>
            <w:vAlign w:val="bottom"/>
          </w:tcPr>
          <w:p w14:paraId="59655345"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134</w:t>
            </w:r>
          </w:p>
        </w:tc>
        <w:tc>
          <w:tcPr>
            <w:tcW w:w="1326" w:type="dxa"/>
            <w:tcBorders>
              <w:bottom w:val="single" w:sz="12" w:space="0" w:color="auto"/>
            </w:tcBorders>
            <w:vAlign w:val="bottom"/>
          </w:tcPr>
          <w:p w14:paraId="1F385F1A"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1,642,253</w:t>
            </w:r>
          </w:p>
        </w:tc>
        <w:tc>
          <w:tcPr>
            <w:tcW w:w="1531" w:type="dxa"/>
            <w:tcBorders>
              <w:bottom w:val="single" w:sz="12" w:space="0" w:color="auto"/>
            </w:tcBorders>
            <w:vAlign w:val="bottom"/>
          </w:tcPr>
          <w:p w14:paraId="50A5248A"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159</w:t>
            </w:r>
          </w:p>
        </w:tc>
        <w:tc>
          <w:tcPr>
            <w:tcW w:w="1072" w:type="dxa"/>
            <w:tcBorders>
              <w:bottom w:val="single" w:sz="12" w:space="0" w:color="auto"/>
            </w:tcBorders>
            <w:vAlign w:val="bottom"/>
          </w:tcPr>
          <w:p w14:paraId="6A778F88" w14:textId="77777777" w:rsidR="00F644E8" w:rsidRPr="00F644E8" w:rsidRDefault="00F644E8" w:rsidP="00F644E8">
            <w:pPr>
              <w:suppressAutoHyphens w:val="0"/>
              <w:spacing w:before="40" w:after="40" w:line="220" w:lineRule="exact"/>
              <w:jc w:val="right"/>
              <w:rPr>
                <w:rFonts w:eastAsia="Calibri"/>
                <w:kern w:val="0"/>
                <w:sz w:val="18"/>
                <w:szCs w:val="24"/>
                <w:lang w:val="en-CH"/>
              </w:rPr>
            </w:pPr>
            <w:r w:rsidRPr="00F644E8">
              <w:rPr>
                <w:kern w:val="0"/>
                <w:sz w:val="18"/>
                <w:szCs w:val="24"/>
                <w:lang w:val="en-CH"/>
              </w:rPr>
              <w:t>1,745,449</w:t>
            </w:r>
          </w:p>
        </w:tc>
      </w:tr>
    </w:tbl>
    <w:p w14:paraId="116BBB1C" w14:textId="77777777" w:rsidR="00C036AD" w:rsidRPr="00C036AD" w:rsidRDefault="00C036AD" w:rsidP="00BF62D8">
      <w:pPr>
        <w:pStyle w:val="SingleTxtG"/>
        <w:numPr>
          <w:ilvl w:val="0"/>
          <w:numId w:val="23"/>
        </w:numPr>
        <w:ind w:left="1134" w:firstLine="0"/>
      </w:pPr>
      <w:bookmarkStart w:id="64" w:name="_Toc210633963"/>
      <w:r w:rsidRPr="00C036AD">
        <w:t xml:space="preserve">Overall, 2025 advance financing opportunities, the annual ceiling per applicant does not exceed 197,608 EUR, while young farmers, women farmers, returning migrants, and smallholders (peasant farms) are benefiting from increased </w:t>
      </w:r>
      <w:hyperlink r:id="rId52" w:history="1">
        <w:r w:rsidRPr="00C036AD">
          <w:rPr>
            <w:rStyle w:val="Hyperlink"/>
          </w:rPr>
          <w:t>subsidies</w:t>
        </w:r>
      </w:hyperlink>
      <w:r w:rsidRPr="00C036AD">
        <w:t xml:space="preserve"> for certain measures among the seven subsidy categories. To ensure qualified medical personnel in rural areas, healthcare professionals receive commuting subsidies, financial incentives, social housing, and professional development opportunities, guaranteeing continuous access to healthcare services for the rural population.</w:t>
      </w:r>
    </w:p>
    <w:p w14:paraId="2FD45FFE" w14:textId="77777777" w:rsidR="00C036AD" w:rsidRPr="00C036AD" w:rsidRDefault="00C036AD" w:rsidP="00BF62D8">
      <w:pPr>
        <w:pStyle w:val="SingleTxtG"/>
        <w:numPr>
          <w:ilvl w:val="0"/>
          <w:numId w:val="23"/>
        </w:numPr>
        <w:ind w:left="1134" w:firstLine="0"/>
      </w:pPr>
      <w:r w:rsidRPr="00C036AD">
        <w:t xml:space="preserve">The country facilitates also the access of rural women to sustainable energy through the renovation of public buildings (schools, health centres, community halls), the deployment of decentralized renewable energy systems such as solar photovoltaic panels, and the involvement of rural women in developing and implementing local Sustainable Energy and Climate Action Plans. Concurrently, mechanisms such as mobile legal aid teams and the paralegal network provide the necessary support and information to facilitate rural women's effective access to justice and their fundamental rights. </w:t>
      </w:r>
    </w:p>
    <w:p w14:paraId="564CA137" w14:textId="56A6AB84" w:rsidR="00411BD9" w:rsidRDefault="00D17F33" w:rsidP="00411BD9">
      <w:pPr>
        <w:pStyle w:val="H1G"/>
      </w:pPr>
      <w:r>
        <w:tab/>
      </w:r>
      <w:r>
        <w:tab/>
      </w:r>
      <w:r w:rsidR="00411BD9" w:rsidRPr="00411BD9">
        <w:t>Reply to paragraph 1</w:t>
      </w:r>
      <w:r w:rsidR="00411BD9">
        <w:t>7</w:t>
      </w:r>
      <w:r w:rsidR="00411BD9" w:rsidRPr="00411BD9">
        <w:t>(b)</w:t>
      </w:r>
    </w:p>
    <w:bookmarkEnd w:id="64"/>
    <w:p w14:paraId="429B5550" w14:textId="7AA59FD6" w:rsidR="00C036AD" w:rsidRPr="00C036AD" w:rsidRDefault="00C036AD" w:rsidP="00BF62D8">
      <w:pPr>
        <w:pStyle w:val="SingleTxtG"/>
        <w:numPr>
          <w:ilvl w:val="0"/>
          <w:numId w:val="23"/>
        </w:numPr>
        <w:ind w:left="1134" w:firstLine="0"/>
        <w:rPr>
          <w:bCs/>
        </w:rPr>
      </w:pPr>
      <w:r w:rsidRPr="00C036AD">
        <w:t xml:space="preserve">To increase the number of women entrepreneurs and improve economic performance, the Government approved the </w:t>
      </w:r>
      <w:hyperlink r:id="rId53" w:history="1">
        <w:r w:rsidRPr="00C036AD">
          <w:rPr>
            <w:rStyle w:val="Hyperlink"/>
          </w:rPr>
          <w:t>Women's Entrepreneurship Support Programme</w:t>
        </w:r>
      </w:hyperlink>
      <w:r w:rsidRPr="00C036AD">
        <w:t xml:space="preserve">, providing 180 women with non-repayable financing of approximately 2.68 million EUR, generating estimated investments of 4.49 million EUR, with 27% operating in rural areas. Through the „Women's Climate Resilience” programme (2024-2028), the Ministry of Energy supports rural women in establishing and leading green businesses and energy cooperatives by providing tailored training, financial assistance, and technical support. </w:t>
      </w:r>
    </w:p>
    <w:p w14:paraId="5C24B8F3" w14:textId="77777777" w:rsidR="00C036AD" w:rsidRPr="00C036AD" w:rsidRDefault="00C036AD" w:rsidP="00BF62D8">
      <w:pPr>
        <w:pStyle w:val="SingleTxtG"/>
        <w:numPr>
          <w:ilvl w:val="0"/>
          <w:numId w:val="23"/>
        </w:numPr>
        <w:ind w:left="1134" w:firstLine="0"/>
      </w:pPr>
      <w:r w:rsidRPr="00C036AD">
        <w:t xml:space="preserve">There is support for local initiatives for job creation and unemployment reduction, subsidies provided up to 65% of the project cost, capped at 20 average monthly salaries, with beneficiaries </w:t>
      </w:r>
      <w:hyperlink r:id="rId54" w:history="1">
        <w:r w:rsidRPr="00C036AD">
          <w:rPr>
            <w:rStyle w:val="Hyperlink"/>
          </w:rPr>
          <w:t>covering the remaining 35</w:t>
        </w:r>
      </w:hyperlink>
      <w:r w:rsidRPr="00C036AD">
        <w:t>%.</w:t>
      </w:r>
    </w:p>
    <w:p w14:paraId="60B63C08" w14:textId="7A5CE284" w:rsidR="00411BD9" w:rsidRDefault="00D17F33" w:rsidP="00411BD9">
      <w:pPr>
        <w:pStyle w:val="H1G"/>
      </w:pPr>
      <w:bookmarkStart w:id="65" w:name="_Toc210633964"/>
      <w:r>
        <w:lastRenderedPageBreak/>
        <w:tab/>
      </w:r>
      <w:r>
        <w:tab/>
      </w:r>
      <w:r w:rsidR="00411BD9" w:rsidRPr="00411BD9">
        <w:t>Reply to paragraph 1</w:t>
      </w:r>
      <w:r w:rsidR="00411BD9">
        <w:t>7</w:t>
      </w:r>
      <w:r w:rsidR="00411BD9" w:rsidRPr="00411BD9">
        <w:t>(</w:t>
      </w:r>
      <w:r w:rsidR="00411BD9">
        <w:t>c</w:t>
      </w:r>
      <w:r w:rsidR="00411BD9" w:rsidRPr="00411BD9">
        <w:t>)</w:t>
      </w:r>
    </w:p>
    <w:bookmarkEnd w:id="65"/>
    <w:p w14:paraId="0C5912EE" w14:textId="2000734F" w:rsidR="00C036AD" w:rsidRPr="00C036AD" w:rsidRDefault="00C036AD" w:rsidP="00BF62D8">
      <w:pPr>
        <w:pStyle w:val="SingleTxtG"/>
        <w:numPr>
          <w:ilvl w:val="0"/>
          <w:numId w:val="23"/>
        </w:numPr>
        <w:ind w:left="1134" w:firstLine="0"/>
      </w:pPr>
      <w:r w:rsidRPr="00C036AD">
        <w:t xml:space="preserve">Safe abortion services are included in the essential package of health services that must be guaranteed under all circumstances, including in situations of crisis or health emergencies. To ensure universal access to safe termination of pregnancy services, the </w:t>
      </w:r>
      <w:hyperlink r:id="rId55" w:history="1">
        <w:r w:rsidRPr="00C036AD">
          <w:rPr>
            <w:rStyle w:val="Hyperlink"/>
          </w:rPr>
          <w:t>Standard</w:t>
        </w:r>
      </w:hyperlink>
      <w:r w:rsidRPr="00C036AD">
        <w:t xml:space="preserve"> on Safe Termination of Pregnancy was updated in 2026.</w:t>
      </w:r>
    </w:p>
    <w:p w14:paraId="5A3EF5BF" w14:textId="1567C1D1" w:rsidR="00411BD9" w:rsidRDefault="00D17F33" w:rsidP="00411BD9">
      <w:pPr>
        <w:pStyle w:val="H1G"/>
      </w:pPr>
      <w:bookmarkStart w:id="66" w:name="_Toc210633965"/>
      <w:r>
        <w:tab/>
      </w:r>
      <w:r>
        <w:tab/>
      </w:r>
      <w:r w:rsidR="00411BD9" w:rsidRPr="00411BD9">
        <w:t xml:space="preserve">Reply to paragraph </w:t>
      </w:r>
      <w:r w:rsidR="00411BD9">
        <w:t>18</w:t>
      </w:r>
    </w:p>
    <w:p w14:paraId="0E14197B" w14:textId="58F0536A" w:rsidR="00C036AD" w:rsidRPr="00C036AD" w:rsidRDefault="00C036AD" w:rsidP="00BF62D8">
      <w:pPr>
        <w:pStyle w:val="SingleTxtG"/>
        <w:numPr>
          <w:ilvl w:val="0"/>
          <w:numId w:val="23"/>
        </w:numPr>
        <w:ind w:left="1134" w:firstLine="0"/>
      </w:pPr>
      <w:bookmarkStart w:id="67" w:name="_Toc210633966"/>
      <w:bookmarkEnd w:id="66"/>
      <w:r w:rsidRPr="00C036AD">
        <w:t>Concrete measures were undertaken to reduce the pension gap between women and men, including for rural women in agricultural and non-agricultural sectors, by fully recognizing contributions and non -contributory periods, such as childcare, military service, or care for persons with disabilities. The pension system incorporates both insured income and these periods, thereby valuing unpaid work-which is particularly relevant for rural women. Concurrently, the 2017 reform, enacted through Law No. 290/2016, eliminated gender and economic sector discrimination by equalizing the retirement age, contribution periods, and calculation formulas, ensuring the pension reflects paid contributions and the duration of service without discrimination based on sex or field of employment.</w:t>
      </w:r>
    </w:p>
    <w:p w14:paraId="0D39F013" w14:textId="6DF04B5E" w:rsidR="00F82FFF" w:rsidRDefault="00D17F33" w:rsidP="00F82FFF">
      <w:pPr>
        <w:pStyle w:val="H1G"/>
      </w:pPr>
      <w:bookmarkStart w:id="68" w:name="_Toc210633967"/>
      <w:bookmarkEnd w:id="67"/>
      <w:r>
        <w:tab/>
      </w:r>
      <w:r>
        <w:tab/>
      </w:r>
      <w:r w:rsidR="00F82FFF" w:rsidRPr="00F82FFF">
        <w:t>Reply to paragraph 1</w:t>
      </w:r>
      <w:r w:rsidR="00F82FFF">
        <w:t>9</w:t>
      </w:r>
      <w:r w:rsidR="00F82FFF" w:rsidRPr="00F82FFF">
        <w:t>(</w:t>
      </w:r>
      <w:r w:rsidR="00F82FFF">
        <w:t>a</w:t>
      </w:r>
      <w:r w:rsidR="00F82FFF" w:rsidRPr="00F82FFF">
        <w:t>)</w:t>
      </w:r>
    </w:p>
    <w:p w14:paraId="20182CA7" w14:textId="7CA3C772" w:rsidR="00C036AD" w:rsidRPr="00C036AD" w:rsidRDefault="00C036AD" w:rsidP="00BF62D8">
      <w:pPr>
        <w:pStyle w:val="SingleTxtG"/>
        <w:numPr>
          <w:ilvl w:val="0"/>
          <w:numId w:val="23"/>
        </w:numPr>
        <w:ind w:left="1134" w:firstLine="0"/>
      </w:pPr>
      <w:bookmarkStart w:id="69" w:name="_Toc210633969"/>
      <w:bookmarkEnd w:id="68"/>
      <w:r w:rsidRPr="00C036AD">
        <w:t>Following the amendments introduced by Law No. 66/2017, persons who were previously deprived of or limited in their legal capacity have acquired full legal capacity, and previously established guardianships and curatorships were terminated by operation of law. The current framework provides for contractual and judicial support measures based on proportional assistance and respect for the individual's will and preferences, rather than substitute decision-making.</w:t>
      </w:r>
    </w:p>
    <w:p w14:paraId="5A75D8E9" w14:textId="77777777" w:rsidR="00C036AD" w:rsidRPr="00C036AD" w:rsidRDefault="00C036AD" w:rsidP="00BF62D8">
      <w:pPr>
        <w:pStyle w:val="SingleTxtG"/>
        <w:numPr>
          <w:ilvl w:val="0"/>
          <w:numId w:val="23"/>
        </w:numPr>
        <w:ind w:left="1134" w:firstLine="0"/>
      </w:pPr>
      <w:r w:rsidRPr="00C036AD">
        <w:t>Deinstitutionalization has progressed through the expansion of community-based and independent living support services. Currently, there are 28 protected housing units, 18 community homes, 33 mobile teams, 5 Respiro (respite care) services, alongside personal assistance services, foster care for adults, and day-care centres for persons with disabilities. These services facilitate the transition from institutional care to community-based living, including for women with psychosocial and intellectual disabilities.</w:t>
      </w:r>
    </w:p>
    <w:p w14:paraId="41F4CE31" w14:textId="77777777" w:rsidR="00C036AD" w:rsidRPr="00C036AD" w:rsidRDefault="00C036AD" w:rsidP="00BF62D8">
      <w:pPr>
        <w:pStyle w:val="SingleTxtG"/>
        <w:numPr>
          <w:ilvl w:val="0"/>
          <w:numId w:val="23"/>
        </w:numPr>
        <w:ind w:left="1134" w:firstLine="0"/>
      </w:pPr>
      <w:r w:rsidRPr="00C036AD">
        <w:t>In 2024, the Matrix of Statistical Indicators on Persons with Disabilities was approved to enhance policy monitoring and the collection of disaggregated data on disability, including by sex and age.</w:t>
      </w:r>
    </w:p>
    <w:p w14:paraId="6797107B" w14:textId="77777777" w:rsidR="00C036AD" w:rsidRPr="00C036AD" w:rsidRDefault="00C036AD" w:rsidP="00BF62D8">
      <w:pPr>
        <w:pStyle w:val="SingleTxtG"/>
        <w:numPr>
          <w:ilvl w:val="0"/>
          <w:numId w:val="23"/>
        </w:numPr>
        <w:ind w:left="1134" w:firstLine="0"/>
      </w:pPr>
      <w:r w:rsidRPr="00C036AD">
        <w:t>In 2026, the MSLP initiated the drafting of the new National Programme for the Social Inclusion of Persons with Disabilities for the 2026–2030 period, with deinstitutionalization designated as a primary priority area.</w:t>
      </w:r>
    </w:p>
    <w:p w14:paraId="49B7E7FC" w14:textId="2381FA96" w:rsidR="00F82FFF" w:rsidRDefault="00D17F33" w:rsidP="00F82FFF">
      <w:pPr>
        <w:pStyle w:val="H1G"/>
      </w:pPr>
      <w:r>
        <w:tab/>
      </w:r>
      <w:r>
        <w:tab/>
      </w:r>
      <w:r w:rsidR="00F82FFF" w:rsidRPr="00F82FFF">
        <w:t>Reply to paragraph 1</w:t>
      </w:r>
      <w:r w:rsidR="00F82FFF">
        <w:t>9</w:t>
      </w:r>
      <w:r w:rsidR="00F82FFF" w:rsidRPr="00F82FFF">
        <w:t>(b)</w:t>
      </w:r>
    </w:p>
    <w:p w14:paraId="67DE6FBC" w14:textId="7EA7809C" w:rsidR="00C036AD" w:rsidRPr="00C036AD" w:rsidRDefault="00C036AD" w:rsidP="00BF62D8">
      <w:pPr>
        <w:pStyle w:val="SingleTxtG"/>
        <w:numPr>
          <w:ilvl w:val="0"/>
          <w:numId w:val="23"/>
        </w:numPr>
        <w:ind w:left="1134" w:firstLine="0"/>
      </w:pPr>
      <w:bookmarkStart w:id="70" w:name="_Toc210633970"/>
      <w:bookmarkEnd w:id="69"/>
      <w:r w:rsidRPr="00C036AD">
        <w:t>During the 2022–2025 period, the AER supported the implementation of 18 local action plans for Roma inclusion, strengthened the Coordinating Council by including Roma NGO, and signed memoranda of understanding with the „Voice of the Roma” Coalition and the National Association of Community Mediators. The capacities of Roma leaders were enhanced through targeted training, while public events-including the Roma Culture Week, the International Forum, and Holocaust commemoration activities-actively promoted anti - discrimination and social inclusion.</w:t>
      </w:r>
    </w:p>
    <w:p w14:paraId="2B57CD22" w14:textId="77777777" w:rsidR="00C036AD" w:rsidRPr="00C036AD" w:rsidRDefault="00C036AD" w:rsidP="00BF62D8">
      <w:pPr>
        <w:pStyle w:val="SingleTxtG"/>
        <w:numPr>
          <w:ilvl w:val="0"/>
          <w:numId w:val="23"/>
        </w:numPr>
        <w:ind w:left="1134" w:firstLine="0"/>
      </w:pPr>
      <w:r w:rsidRPr="00C036AD">
        <w:t>In education field, 147 Roma children and students benefited from merit-based scholarships. The institution of community mediators was reinforced, with 51 active posts across 45 localities, increased salaries, and an annual evaluation mechanism in place. These measures contributed to improving the access of Roma women and girls to education, public services, and institutional communication with public authorities.</w:t>
      </w:r>
    </w:p>
    <w:p w14:paraId="638C997C" w14:textId="77777777" w:rsidR="00C036AD" w:rsidRPr="00C036AD" w:rsidRDefault="00C036AD" w:rsidP="00BF62D8">
      <w:pPr>
        <w:pStyle w:val="SingleTxtG"/>
        <w:numPr>
          <w:ilvl w:val="0"/>
          <w:numId w:val="23"/>
        </w:numPr>
        <w:ind w:left="1134" w:firstLine="0"/>
      </w:pPr>
      <w:r w:rsidRPr="00C036AD">
        <w:lastRenderedPageBreak/>
        <w:t>Through the implementation of inclusion programmes, the transition of women and girls with disabilities from residential care to independent living was facilitated by developing standardized community-based services such as „Protected Housing”, „Community Homes”, „Personal Assistance”, and „Mobile Teams”. Within reproductive healthcare, their access was expanded by equipping medical facilities with tools adapted for women with reduced mobility and training multidisciplinary medical teams on obtaining free, prior, and informed consent. The draft GD on the approval of the new National Programme for the Social Inclusion of Persons with Disabilities for the 2026–2030 period is currently undergoing the inter - institutional review and consultation process.</w:t>
      </w:r>
    </w:p>
    <w:p w14:paraId="05C4E402" w14:textId="0CFBB69F" w:rsidR="00F82FFF" w:rsidRDefault="00D17F33" w:rsidP="00F82FFF">
      <w:pPr>
        <w:pStyle w:val="H1G"/>
      </w:pPr>
      <w:r>
        <w:tab/>
      </w:r>
      <w:r>
        <w:tab/>
      </w:r>
      <w:r w:rsidR="00F82FFF" w:rsidRPr="00F82FFF">
        <w:t>Reply to paragraph 1</w:t>
      </w:r>
      <w:r w:rsidR="00F82FFF">
        <w:t>9</w:t>
      </w:r>
      <w:r w:rsidR="00F82FFF" w:rsidRPr="00F82FFF">
        <w:t>(</w:t>
      </w:r>
      <w:r w:rsidR="00F82FFF">
        <w:t>c</w:t>
      </w:r>
      <w:r w:rsidR="00F82FFF" w:rsidRPr="00F82FFF">
        <w:t>)</w:t>
      </w:r>
    </w:p>
    <w:p w14:paraId="414EDEB5" w14:textId="492D0DB1" w:rsidR="00C036AD" w:rsidRPr="00C036AD" w:rsidRDefault="00C036AD" w:rsidP="00BF62D8">
      <w:pPr>
        <w:pStyle w:val="SingleTxtG"/>
        <w:numPr>
          <w:ilvl w:val="0"/>
          <w:numId w:val="23"/>
        </w:numPr>
        <w:ind w:left="1134" w:firstLine="0"/>
      </w:pPr>
      <w:bookmarkStart w:id="71" w:name="_Toc210633971"/>
      <w:bookmarkEnd w:id="70"/>
      <w:r w:rsidRPr="00C036AD">
        <w:t xml:space="preserve">Women and girls with disabilities are protected through general anti-discrimination and violence prevention frameworks. The </w:t>
      </w:r>
      <w:hyperlink r:id="rId56" w:history="1">
        <w:r w:rsidRPr="00C036AD">
          <w:rPr>
            <w:rStyle w:val="Hyperlink"/>
          </w:rPr>
          <w:t>National Programme</w:t>
        </w:r>
      </w:hyperlink>
      <w:r w:rsidRPr="00C036AD">
        <w:t xml:space="preserve"> on Deinstitutionalization (2018–2026) monitor human rights in institutions and enhance community-based independent living services (e.g., Protected Housing, Personal Assistance, Mobile Teams). To improve evidence-based protection, the </w:t>
      </w:r>
      <w:hyperlink r:id="rId57" w:history="1">
        <w:r w:rsidRPr="00C036AD">
          <w:rPr>
            <w:rStyle w:val="Hyperlink"/>
          </w:rPr>
          <w:t>Matrix of Statistical Indicators</w:t>
        </w:r>
      </w:hyperlink>
      <w:r w:rsidRPr="00C036AD">
        <w:t xml:space="preserve"> was approved. Residential facilities are systematically monitored. Under Laws No. 60/2012 and No. 52/2014, the Ombudsman independently monitors facilities, ensures secure access to justice through uncensored complaints, and protects women against intersectional discrimination, abuse, and non-consensual medical procedures.</w:t>
      </w:r>
    </w:p>
    <w:p w14:paraId="0CE11FD5" w14:textId="77777777" w:rsidR="00C036AD" w:rsidRPr="00C036AD" w:rsidRDefault="00C036AD" w:rsidP="00BF62D8">
      <w:pPr>
        <w:pStyle w:val="SingleTxtG"/>
        <w:numPr>
          <w:ilvl w:val="0"/>
          <w:numId w:val="23"/>
        </w:numPr>
        <w:ind w:left="1134" w:firstLine="0"/>
      </w:pPr>
      <w:r w:rsidRPr="00C036AD">
        <w:t>In education, mobile teams, assistive technologies, and anti-bullying methodologies facilitate early identification of violence against girls with disabilities. In healthcare, patient rights legislation strictly guarantees free, prior, and informed consent. The State funds free, confidential helplines–including Service 0800 10808 for disability rights violations and the 24/7 Helpline 0 8008 8008 for GBV support.</w:t>
      </w:r>
    </w:p>
    <w:p w14:paraId="47171B7D" w14:textId="35A9B838" w:rsidR="00F82FFF" w:rsidRDefault="00D17F33" w:rsidP="00F82FFF">
      <w:pPr>
        <w:pStyle w:val="H1G"/>
      </w:pPr>
      <w:r>
        <w:tab/>
      </w:r>
      <w:r>
        <w:tab/>
      </w:r>
      <w:r w:rsidR="00F82FFF" w:rsidRPr="00F82FFF">
        <w:t>Reply to paragraph 1</w:t>
      </w:r>
      <w:r w:rsidR="00F82FFF">
        <w:t>9</w:t>
      </w:r>
      <w:r w:rsidR="00F82FFF" w:rsidRPr="00F82FFF">
        <w:t>(</w:t>
      </w:r>
      <w:r w:rsidR="00F82FFF">
        <w:t>d</w:t>
      </w:r>
      <w:r w:rsidR="00F82FFF" w:rsidRPr="00F82FFF">
        <w:t>)</w:t>
      </w:r>
    </w:p>
    <w:p w14:paraId="09A11593" w14:textId="02CF5497" w:rsidR="00C036AD" w:rsidRPr="00C036AD" w:rsidRDefault="00C036AD" w:rsidP="00BF62D8">
      <w:pPr>
        <w:pStyle w:val="SingleTxtG"/>
        <w:numPr>
          <w:ilvl w:val="0"/>
          <w:numId w:val="23"/>
        </w:numPr>
        <w:ind w:left="1134" w:firstLine="0"/>
        <w:rPr>
          <w:bCs/>
        </w:rPr>
      </w:pPr>
      <w:bookmarkStart w:id="72" w:name="_Toc210633972"/>
      <w:bookmarkEnd w:id="71"/>
      <w:r w:rsidRPr="00C036AD">
        <w:t>The country ensures detention conditions aligned with the Bangkok Rules, tailored to the needs of women, mothers with children, and persons with disabilities. Female detainees receive balanced nutrition, hygiene products, free medical care, specialized treatment, legal assistance, and educational or psychological programmes. Within modernized penitentiaries upgraded via international partnerships, residential and medical wings have been rehabilitated.</w:t>
      </w:r>
    </w:p>
    <w:p w14:paraId="03C550DE" w14:textId="77777777" w:rsidR="00C036AD" w:rsidRPr="00C036AD" w:rsidRDefault="00C036AD" w:rsidP="00BF62D8">
      <w:pPr>
        <w:pStyle w:val="SingleTxtG"/>
        <w:numPr>
          <w:ilvl w:val="0"/>
          <w:numId w:val="23"/>
        </w:numPr>
        <w:ind w:left="1134" w:firstLine="0"/>
      </w:pPr>
      <w:r w:rsidRPr="00C036AD">
        <w:t>Women in police custody have immediate access to independent medical examinations and are escorted and searched exclusively by female personnel. Furthermore, pregnant women receive enhanced nutritional rations, and all women are guaranteed confidential legal and medical services, safeguarding their human dignity and privacy.</w:t>
      </w:r>
    </w:p>
    <w:p w14:paraId="7A12469A" w14:textId="4F3B84B4" w:rsidR="00F82FFF" w:rsidRDefault="00D17F33" w:rsidP="00F82FFF">
      <w:pPr>
        <w:pStyle w:val="H1G"/>
      </w:pPr>
      <w:bookmarkStart w:id="73" w:name="_Toc210633973"/>
      <w:bookmarkEnd w:id="72"/>
      <w:r>
        <w:tab/>
      </w:r>
      <w:r>
        <w:tab/>
      </w:r>
      <w:r w:rsidR="00F82FFF" w:rsidRPr="00F82FFF">
        <w:t xml:space="preserve">Reply to paragraph </w:t>
      </w:r>
      <w:r w:rsidR="00F82FFF">
        <w:t>20</w:t>
      </w:r>
    </w:p>
    <w:p w14:paraId="43BC0B6C" w14:textId="7FBD26C0" w:rsidR="00C036AD" w:rsidRPr="00C036AD" w:rsidRDefault="00C036AD" w:rsidP="00BF62D8">
      <w:pPr>
        <w:pStyle w:val="SingleTxtG"/>
        <w:numPr>
          <w:ilvl w:val="0"/>
          <w:numId w:val="23"/>
        </w:numPr>
        <w:ind w:left="1134" w:firstLine="0"/>
      </w:pPr>
      <w:bookmarkStart w:id="74" w:name="_Toc210633974"/>
      <w:bookmarkEnd w:id="73"/>
      <w:r w:rsidRPr="00C036AD">
        <w:t>The Integrated National Energy and Climate Plan for 2025–2030 mainstreams gender perspective by promoting women's participation in decision-making processes, mitigating energy poverty, and directing energy efficiency measures toward households and public services with a social impact. The initiative „Resilient Communities through Women's Empowerment”, implemented by the UNDP from 2024 to 2028 with the support of Sweden and Norway, has a budget of approximately EUR 7.5 million. It targets 25 communities, 80 households, 25 agricultural enterprises led or managed by women, and 12 rural incubators and energy cooperatives led by women. These targeted measures contribute to reducing the vulnerability of rural women and enhancing their meaningful participation in the green transition.</w:t>
      </w:r>
      <w:bookmarkStart w:id="75" w:name="_Toc210633975"/>
      <w:bookmarkEnd w:id="74"/>
    </w:p>
    <w:p w14:paraId="20CC1E21" w14:textId="058C42E9" w:rsidR="00352506" w:rsidRDefault="00D17F33" w:rsidP="00352506">
      <w:pPr>
        <w:pStyle w:val="H1G"/>
      </w:pPr>
      <w:r>
        <w:lastRenderedPageBreak/>
        <w:tab/>
      </w:r>
      <w:r>
        <w:tab/>
      </w:r>
      <w:r w:rsidR="00352506" w:rsidRPr="00352506">
        <w:t xml:space="preserve">Reply to paragraph </w:t>
      </w:r>
      <w:r w:rsidR="00352506">
        <w:t>2</w:t>
      </w:r>
      <w:r w:rsidR="00352506" w:rsidRPr="00352506">
        <w:t>1(</w:t>
      </w:r>
      <w:r w:rsidR="00352506">
        <w:t>a</w:t>
      </w:r>
      <w:r w:rsidR="00352506" w:rsidRPr="00352506">
        <w:t>)</w:t>
      </w:r>
    </w:p>
    <w:bookmarkEnd w:id="75"/>
    <w:p w14:paraId="7A70C12F" w14:textId="4AAE16DE" w:rsidR="00C036AD" w:rsidRPr="00C036AD" w:rsidRDefault="00C036AD" w:rsidP="00BF62D8">
      <w:pPr>
        <w:pStyle w:val="SingleTxtG"/>
        <w:numPr>
          <w:ilvl w:val="0"/>
          <w:numId w:val="23"/>
        </w:numPr>
        <w:ind w:left="1134" w:firstLine="0"/>
        <w:rPr>
          <w:bCs/>
        </w:rPr>
      </w:pPr>
      <w:r w:rsidRPr="00C036AD">
        <w:t>The Family Code establishes the minimum legal age for marriage at 18 years. Currently, the legislation permits the reduction of the marital age to no less than 16 years only under well-founded circumstances, subject to the approval of the local guardianship authority and the consent of the parents. The necessity of eliminating this exception remains under review in the context of alignment with international standards on child protection and the prevention of early marriage.</w:t>
      </w:r>
    </w:p>
    <w:p w14:paraId="52B02D25" w14:textId="77777777" w:rsidR="00C036AD" w:rsidRPr="00C036AD" w:rsidRDefault="00C036AD" w:rsidP="00BF62D8">
      <w:pPr>
        <w:pStyle w:val="SingleTxtG"/>
        <w:numPr>
          <w:ilvl w:val="0"/>
          <w:numId w:val="23"/>
        </w:numPr>
        <w:ind w:left="1134" w:firstLine="0"/>
      </w:pPr>
      <w:r w:rsidRPr="00C036AD">
        <w:t>In parallel, authorities have conducted awareness-raising activities within Roma communities, including through cooperation with community mediators and Roma NGO, regarding the negative impacts of early marriage on the health, education, economic autonomy, and social participation of girls. Article 14 of the Family Code stipulates that the minimum marital age is 18 years. The exception allowing for the reduction of the marital age, which cannot be lower than 16 years, is granted solely for well-founded reasons, subject to the authorization of the local guardianship authority and the consent of the minor's parents.</w:t>
      </w:r>
      <w:bookmarkStart w:id="76" w:name="_Toc210633977"/>
    </w:p>
    <w:p w14:paraId="5807F290" w14:textId="4739385B" w:rsidR="00352506" w:rsidRDefault="00352506" w:rsidP="00352506">
      <w:pPr>
        <w:pStyle w:val="H1G"/>
      </w:pPr>
      <w:r>
        <w:tab/>
      </w:r>
      <w:r>
        <w:tab/>
      </w:r>
      <w:r w:rsidRPr="00352506">
        <w:t xml:space="preserve">Reply to paragraph </w:t>
      </w:r>
      <w:r>
        <w:t>2</w:t>
      </w:r>
      <w:r w:rsidRPr="00352506">
        <w:t>1(b)</w:t>
      </w:r>
    </w:p>
    <w:p w14:paraId="3FBA7A83" w14:textId="37043AF7" w:rsidR="00C036AD" w:rsidRPr="00C036AD" w:rsidRDefault="00C036AD" w:rsidP="00BF62D8">
      <w:pPr>
        <w:pStyle w:val="SingleTxtG"/>
        <w:numPr>
          <w:ilvl w:val="0"/>
          <w:numId w:val="23"/>
        </w:numPr>
        <w:ind w:left="1134" w:firstLine="0"/>
      </w:pPr>
      <w:bookmarkStart w:id="77" w:name="_Toc210633978"/>
      <w:bookmarkEnd w:id="76"/>
      <w:r w:rsidRPr="00C036AD">
        <w:t>Through the legal capacity reform enacted by Law No. 66/2017, individuals who were previously deprived of or limited in their legal capacity acquired full legal capacity, and prior guardianship and curatorship were terminated by law. The current framework does not impose an absolute ban on marriage for persons with psychosocial and/or intellectual disabilities.</w:t>
      </w:r>
    </w:p>
    <w:p w14:paraId="059070A7" w14:textId="77777777" w:rsidR="00C036AD" w:rsidRPr="00C036AD" w:rsidRDefault="00C036AD" w:rsidP="00BF62D8">
      <w:pPr>
        <w:pStyle w:val="SingleTxtG"/>
        <w:numPr>
          <w:ilvl w:val="0"/>
          <w:numId w:val="23"/>
        </w:numPr>
        <w:ind w:left="1134" w:firstLine="0"/>
      </w:pPr>
      <w:r w:rsidRPr="00C036AD">
        <w:t xml:space="preserve">The Family Code and the Civil Code provide procedural safeguards for entering into marriage by persons placed under judicial protection measures. The marriage of a person under curatorship is permitted upon their own volition, unless the court has explicitly required the approval of the curator or the authorization of the guardianship authority. For a person under tutelage, marriage may be authorized by the family council or the guardianship authority, following a hearing with the future spouses. These provisions aim to safeguard free and informed consent, without automatically excluding the right to marriage and family life. </w:t>
      </w:r>
    </w:p>
    <w:p w14:paraId="54B4CAA4" w14:textId="30F3E2B9" w:rsidR="00352506" w:rsidRDefault="00D17F33" w:rsidP="00352506">
      <w:pPr>
        <w:pStyle w:val="H1G"/>
      </w:pPr>
      <w:r>
        <w:tab/>
      </w:r>
      <w:r>
        <w:tab/>
      </w:r>
      <w:r w:rsidR="00352506" w:rsidRPr="00352506">
        <w:t xml:space="preserve">Reply to paragraph </w:t>
      </w:r>
      <w:r w:rsidR="00352506">
        <w:t>2</w:t>
      </w:r>
      <w:r w:rsidR="00352506" w:rsidRPr="00352506">
        <w:t>1(</w:t>
      </w:r>
      <w:r w:rsidR="00352506">
        <w:t>c</w:t>
      </w:r>
      <w:r w:rsidR="00352506" w:rsidRPr="00352506">
        <w:t>)</w:t>
      </w:r>
    </w:p>
    <w:bookmarkEnd w:id="77"/>
    <w:p w14:paraId="20E87139" w14:textId="7A5ECF59" w:rsidR="00C036AD" w:rsidRPr="00C036AD" w:rsidRDefault="00C036AD" w:rsidP="00BF62D8">
      <w:pPr>
        <w:pStyle w:val="SingleTxtG"/>
        <w:numPr>
          <w:ilvl w:val="0"/>
          <w:numId w:val="23"/>
        </w:numPr>
        <w:ind w:left="1134" w:firstLine="0"/>
      </w:pPr>
      <w:r w:rsidRPr="00C036AD">
        <w:t xml:space="preserve">The provisions regarding mandatory judicial mediation have been repealed from the Code of Civil Procedure. Currently, there is no legal obligation to undergo mediation in divorce proceedings, including in cases involving DV. Mediation can only take place upon the voluntary request of the parties, and the legal framework governing mediation explicitly excludes its application in cases of domestic and GBV. </w:t>
      </w:r>
    </w:p>
    <w:p w14:paraId="5A428110" w14:textId="16A75D0E" w:rsidR="00352506" w:rsidRDefault="00D17F33" w:rsidP="00352506">
      <w:pPr>
        <w:pStyle w:val="H1G"/>
      </w:pPr>
      <w:r>
        <w:tab/>
      </w:r>
      <w:r>
        <w:tab/>
      </w:r>
      <w:r w:rsidR="00352506" w:rsidRPr="00352506">
        <w:t xml:space="preserve">Reply to paragraph </w:t>
      </w:r>
      <w:r w:rsidR="00352506">
        <w:t>2</w:t>
      </w:r>
      <w:r w:rsidR="00352506" w:rsidRPr="00352506">
        <w:t>1(</w:t>
      </w:r>
      <w:r w:rsidR="00352506">
        <w:t>d</w:t>
      </w:r>
      <w:r w:rsidR="00352506" w:rsidRPr="00352506">
        <w:t>)</w:t>
      </w:r>
    </w:p>
    <w:p w14:paraId="5A1559EF" w14:textId="01E439C0" w:rsidR="00C036AD" w:rsidRPr="00C036AD" w:rsidRDefault="00C036AD" w:rsidP="00BF62D8">
      <w:pPr>
        <w:pStyle w:val="SingleTxtG"/>
        <w:numPr>
          <w:ilvl w:val="0"/>
          <w:numId w:val="23"/>
        </w:numPr>
        <w:ind w:left="1134" w:firstLine="0"/>
      </w:pPr>
      <w:bookmarkStart w:id="78" w:name="_Toc210633979"/>
      <w:r w:rsidRPr="00C036AD">
        <w:t xml:space="preserve">The statutory framework governing inheritance was revised through Law No. 251/2025. The rules regarding the acceptance and waiver of inheritance have been streamlined, and the surviving spouse has been reintegrated into the first class of legal heirs, thereby strengthening the economic protection of widows and ensuring their equitable access to family patrimony and assets. </w:t>
      </w:r>
    </w:p>
    <w:p w14:paraId="6BC07ACA" w14:textId="6122E138" w:rsidR="00352506" w:rsidRDefault="00D17F33" w:rsidP="00352506">
      <w:pPr>
        <w:pStyle w:val="H1G"/>
      </w:pPr>
      <w:r>
        <w:tab/>
      </w:r>
      <w:r>
        <w:tab/>
      </w:r>
      <w:r w:rsidR="00352506" w:rsidRPr="00352506">
        <w:t xml:space="preserve">Reply to paragraph </w:t>
      </w:r>
      <w:r w:rsidR="00352506">
        <w:t>2</w:t>
      </w:r>
      <w:r w:rsidR="00352506" w:rsidRPr="00352506">
        <w:t>1(</w:t>
      </w:r>
      <w:r w:rsidR="00352506">
        <w:t>e</w:t>
      </w:r>
      <w:r w:rsidR="00352506" w:rsidRPr="00352506">
        <w:t>)</w:t>
      </w:r>
    </w:p>
    <w:bookmarkEnd w:id="78"/>
    <w:p w14:paraId="00281240" w14:textId="1027758F" w:rsidR="00C036AD" w:rsidRPr="00C036AD" w:rsidRDefault="00C036AD" w:rsidP="00BF62D8">
      <w:pPr>
        <w:pStyle w:val="SingleTxtG"/>
        <w:numPr>
          <w:ilvl w:val="0"/>
          <w:numId w:val="23"/>
        </w:numPr>
        <w:ind w:left="1134" w:firstLine="0"/>
        <w:rPr>
          <w:bCs/>
        </w:rPr>
      </w:pPr>
      <w:r w:rsidRPr="00C036AD">
        <w:t>The Republic of Moldova recognizes legal effects only for marriages registered in accordance with the law. To prevent situations where women in unregistered unions are left without economic protection, the authorities conduct awareness-raising activities within Roma communities-including through community mediators and Roma NGO–on the importance of marriage registration and its legal consequences regarding property rights, inheritance, social protection, and the rights of the child.</w:t>
      </w:r>
    </w:p>
    <w:p w14:paraId="2F717B32" w14:textId="001122A0" w:rsidR="00352506" w:rsidRDefault="00D17F33" w:rsidP="00352506">
      <w:pPr>
        <w:pStyle w:val="H1G"/>
      </w:pPr>
      <w:bookmarkStart w:id="79" w:name="_Toc210633981"/>
      <w:r>
        <w:lastRenderedPageBreak/>
        <w:tab/>
      </w:r>
      <w:r>
        <w:tab/>
      </w:r>
      <w:r w:rsidR="00352506" w:rsidRPr="00352506">
        <w:t xml:space="preserve">Reply to paragraph </w:t>
      </w:r>
      <w:r w:rsidR="00352506">
        <w:t>22</w:t>
      </w:r>
    </w:p>
    <w:bookmarkEnd w:id="79"/>
    <w:p w14:paraId="6309603C" w14:textId="55F0F9C7" w:rsidR="00C036AD" w:rsidRPr="00C036AD" w:rsidRDefault="00C036AD" w:rsidP="00F644E8">
      <w:pPr>
        <w:pStyle w:val="SingleTxtG"/>
        <w:numPr>
          <w:ilvl w:val="0"/>
          <w:numId w:val="23"/>
        </w:numPr>
        <w:ind w:left="1134" w:firstLine="0"/>
        <w:rPr>
          <w:bCs/>
        </w:rPr>
      </w:pPr>
      <w:r w:rsidRPr="00C036AD">
        <w:t xml:space="preserve">The Republic of Moldova has strengthened the availability of disaggregated data through </w:t>
      </w:r>
      <w:hyperlink r:id="rId58" w:history="1">
        <w:r w:rsidRPr="00C036AD">
          <w:rPr>
            <w:rStyle w:val="Hyperlink"/>
          </w:rPr>
          <w:t>NBS</w:t>
        </w:r>
      </w:hyperlink>
      <w:r w:rsidRPr="00C036AD">
        <w:t>, which regularly publishes indicators disaggregated by sex, age, disability, place of residence, and other available criteria, covering sectors such as education, healthcare, social protection, employment, living standards, and territorial statistics. Data are disseminated through statistical press releases and publications, the Statbank database, the GenderPulse platform, and the National SDG Reporting platform. The NBS publishes specialized products relevant to intersectional</w:t>
      </w:r>
      <w:hyperlink r:id="rId59" w:history="1">
        <w:r w:rsidRPr="00C036AD">
          <w:rPr>
            <w:rStyle w:val="Hyperlink"/>
          </w:rPr>
          <w:t xml:space="preserve"> analysis</w:t>
        </w:r>
      </w:hyperlink>
      <w:r w:rsidRPr="00C036AD">
        <w:t>.</w:t>
      </w:r>
      <w:bookmarkEnd w:id="0"/>
      <w:r w:rsidRPr="00C036AD">
        <w:t xml:space="preserve"> </w:t>
      </w:r>
      <w:hyperlink r:id="rId60" w:history="1">
        <w:r w:rsidRPr="00C036AD">
          <w:rPr>
            <w:rStyle w:val="Hyperlink"/>
          </w:rPr>
          <w:t>Statistical Portrait of Women and Men</w:t>
        </w:r>
      </w:hyperlink>
      <w:r w:rsidRPr="00C036AD">
        <w:t>”, „</w:t>
      </w:r>
      <w:hyperlink r:id="rId61" w:history="1">
        <w:r w:rsidRPr="00C036AD">
          <w:rPr>
            <w:rStyle w:val="Hyperlink"/>
          </w:rPr>
          <w:t>The Situation of Children</w:t>
        </w:r>
      </w:hyperlink>
      <w:r w:rsidRPr="00C036AD">
        <w:t>”, „</w:t>
      </w:r>
      <w:hyperlink r:id="rId62" w:history="1">
        <w:r w:rsidRPr="00C036AD">
          <w:rPr>
            <w:rStyle w:val="Hyperlink"/>
          </w:rPr>
          <w:t>Youth in the Republic of Moldova</w:t>
        </w:r>
      </w:hyperlink>
      <w:r w:rsidRPr="00C036AD">
        <w:t>”, „</w:t>
      </w:r>
      <w:hyperlink r:id="rId63" w:history="1">
        <w:r w:rsidRPr="00C036AD">
          <w:rPr>
            <w:rStyle w:val="Hyperlink"/>
          </w:rPr>
          <w:t>NEET</w:t>
        </w:r>
      </w:hyperlink>
      <w:r w:rsidRPr="00C036AD">
        <w:t xml:space="preserve"> Youth”, „</w:t>
      </w:r>
      <w:hyperlink r:id="rId64" w:history="1">
        <w:r w:rsidRPr="00C036AD">
          <w:rPr>
            <w:rStyle w:val="Hyperlink"/>
          </w:rPr>
          <w:t>The Elderly in the Republic of Moldova</w:t>
        </w:r>
      </w:hyperlink>
      <w:r w:rsidRPr="00C036AD">
        <w:t>”, and „</w:t>
      </w:r>
      <w:hyperlink r:id="rId65" w:history="1">
        <w:r w:rsidRPr="00C036AD">
          <w:rPr>
            <w:rStyle w:val="Hyperlink"/>
          </w:rPr>
          <w:t>The Situation of Persons with Disabilities</w:t>
        </w:r>
      </w:hyperlink>
      <w:r w:rsidRPr="00C036AD">
        <w:t xml:space="preserve">”. </w:t>
      </w:r>
      <w:hyperlink r:id="rId66" w:history="1">
        <w:r w:rsidRPr="00C036AD">
          <w:rPr>
            <w:rStyle w:val="Hyperlink"/>
          </w:rPr>
          <w:t>The GenderPulse</w:t>
        </w:r>
      </w:hyperlink>
      <w:r w:rsidRPr="00C036AD">
        <w:t xml:space="preserve"> platform, enables the interactive visualization of gender - sensitive indicators.</w:t>
      </w:r>
      <w:r w:rsidRPr="00C036AD">
        <w:rPr>
          <w:bCs/>
        </w:rPr>
        <w:t xml:space="preserve"> The Study „</w:t>
      </w:r>
      <w:hyperlink r:id="rId67" w:history="1">
        <w:r w:rsidRPr="00C036AD">
          <w:rPr>
            <w:rStyle w:val="Hyperlink"/>
            <w:bCs/>
          </w:rPr>
          <w:t>Men and Gender Equality in the Republic of Moldova (IMAGES-2)</w:t>
        </w:r>
      </w:hyperlink>
      <w:r w:rsidRPr="00C036AD">
        <w:rPr>
          <w:bCs/>
        </w:rPr>
        <w:t>” was published in 2024.</w:t>
      </w:r>
    </w:p>
    <w:p w14:paraId="0111F92C" w14:textId="77777777" w:rsidR="00C036AD" w:rsidRDefault="00C036AD" w:rsidP="00F644E8">
      <w:pPr>
        <w:pStyle w:val="SingleTxtG"/>
        <w:numPr>
          <w:ilvl w:val="0"/>
          <w:numId w:val="23"/>
        </w:numPr>
        <w:ind w:left="1134" w:firstLine="0"/>
      </w:pPr>
      <w:r w:rsidRPr="00C036AD">
        <w:t xml:space="preserve">The Cooperation with NGO partners, academia, and specialized organizations has supported the development of gender data tools, the mainstreaming of </w:t>
      </w:r>
      <w:hyperlink r:id="rId68" w:history="1">
        <w:r w:rsidRPr="00C036AD">
          <w:rPr>
            <w:rStyle w:val="Hyperlink"/>
          </w:rPr>
          <w:t>SDG indicators</w:t>
        </w:r>
      </w:hyperlink>
      <w:r w:rsidRPr="00C036AD">
        <w:t xml:space="preserve">, and thematic research on gender equality, VAW, women's political and public participation, the </w:t>
      </w:r>
      <w:hyperlink r:id="rId69" w:history="1">
        <w:r w:rsidRPr="00C036AD">
          <w:rPr>
            <w:rStyle w:val="Hyperlink"/>
          </w:rPr>
          <w:t>labour market,</w:t>
        </w:r>
      </w:hyperlink>
      <w:r w:rsidRPr="00C036AD">
        <w:t xml:space="preserve"> and vulnerable groups. </w:t>
      </w:r>
    </w:p>
    <w:p w14:paraId="6728CE97" w14:textId="26F24120" w:rsidR="00F644E8" w:rsidRPr="00F644E8" w:rsidRDefault="00F644E8" w:rsidP="00F644E8">
      <w:pPr>
        <w:pStyle w:val="SingleTxtG"/>
        <w:jc w:val="center"/>
        <w:rPr>
          <w:u w:val="single"/>
        </w:rPr>
      </w:pPr>
      <w:r>
        <w:rPr>
          <w:u w:val="single"/>
        </w:rPr>
        <w:tab/>
      </w:r>
      <w:r>
        <w:rPr>
          <w:u w:val="single"/>
        </w:rPr>
        <w:tab/>
      </w:r>
      <w:r>
        <w:rPr>
          <w:u w:val="single"/>
        </w:rPr>
        <w:tab/>
      </w:r>
    </w:p>
    <w:sectPr w:rsidR="00F644E8" w:rsidRPr="00F644E8">
      <w:headerReference w:type="even" r:id="rId70"/>
      <w:headerReference w:type="default" r:id="rId71"/>
      <w:footerReference w:type="even" r:id="rId72"/>
      <w:footerReference w:type="default" r:id="rId73"/>
      <w:footerReference w:type="first" r:id="rId7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8BAD1" w14:textId="77777777" w:rsidR="00411837" w:rsidRDefault="00411837">
      <w:pPr>
        <w:spacing w:line="240" w:lineRule="auto"/>
      </w:pPr>
    </w:p>
  </w:endnote>
  <w:endnote w:type="continuationSeparator" w:id="0">
    <w:p w14:paraId="5E224E2F" w14:textId="77777777" w:rsidR="00411837" w:rsidRDefault="00411837">
      <w:pPr>
        <w:pStyle w:val="Footer"/>
      </w:pPr>
    </w:p>
  </w:endnote>
  <w:endnote w:type="continuationNotice" w:id="1">
    <w:p w14:paraId="536AF8D1" w14:textId="77777777" w:rsidR="00411837" w:rsidRDefault="004118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892CC" w14:textId="77777777" w:rsidR="00F52D57" w:rsidRDefault="00430F6D">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E7B5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45018" w14:textId="77777777" w:rsidR="00F52D57" w:rsidRDefault="0055439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40357" w14:textId="77777777" w:rsidR="00F52D57" w:rsidRDefault="00430F6D">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5F6E8668" wp14:editId="2E2728DC">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733EC" w14:paraId="0D77E61F" w14:textId="77777777">
      <w:tc>
        <w:tcPr>
          <w:tcW w:w="1848" w:type="dxa"/>
          <w:vAlign w:val="bottom"/>
        </w:tcPr>
        <w:p w14:paraId="3770DC79" w14:textId="77777777" w:rsidR="00F52D57" w:rsidRDefault="00430F6D">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2F575B09" wp14:editId="454C3D50">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7FC6ECD0" w14:textId="77777777" w:rsidR="00F52D57" w:rsidRDefault="00F52D57">
          <w:pPr>
            <w:kinsoku w:val="0"/>
            <w:overflowPunct w:val="0"/>
            <w:autoSpaceDE w:val="0"/>
            <w:autoSpaceDN w:val="0"/>
            <w:adjustRightInd w:val="0"/>
            <w:snapToGrid w:val="0"/>
            <w:spacing w:line="240" w:lineRule="auto"/>
            <w:jc w:val="right"/>
            <w:rPr>
              <w:rFonts w:eastAsiaTheme="minorHAnsi"/>
              <w:sz w:val="16"/>
              <w:lang w:val="fr-CH"/>
            </w:rPr>
          </w:pPr>
        </w:p>
      </w:tc>
    </w:tr>
  </w:tbl>
  <w:p w14:paraId="4BC3DECB" w14:textId="77777777" w:rsidR="00F52D57" w:rsidRDefault="00F5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CF59F" w14:textId="77777777" w:rsidR="00411837" w:rsidRDefault="00411837">
      <w:pPr>
        <w:pStyle w:val="Footer"/>
        <w:tabs>
          <w:tab w:val="right" w:pos="2155"/>
        </w:tabs>
        <w:spacing w:after="80" w:line="240" w:lineRule="atLeast"/>
        <w:ind w:left="680"/>
        <w:rPr>
          <w:u w:val="single"/>
        </w:rPr>
      </w:pPr>
      <w:r>
        <w:rPr>
          <w:u w:val="single"/>
        </w:rPr>
        <w:tab/>
      </w:r>
    </w:p>
  </w:footnote>
  <w:footnote w:type="continuationSeparator" w:id="0">
    <w:p w14:paraId="433194D6" w14:textId="77777777" w:rsidR="00411837" w:rsidRDefault="00411837">
      <w:pPr>
        <w:pStyle w:val="Footer"/>
        <w:tabs>
          <w:tab w:val="right" w:pos="2155"/>
        </w:tabs>
        <w:spacing w:after="80" w:line="240" w:lineRule="atLeast"/>
        <w:ind w:left="680"/>
        <w:rPr>
          <w:u w:val="single"/>
        </w:rPr>
      </w:pPr>
      <w:r>
        <w:rPr>
          <w:u w:val="single"/>
        </w:rPr>
        <w:tab/>
      </w:r>
    </w:p>
  </w:footnote>
  <w:footnote w:type="continuationNotice" w:id="1">
    <w:p w14:paraId="6D28DD11" w14:textId="77777777" w:rsidR="00411837" w:rsidRDefault="00411837">
      <w:pPr>
        <w:spacing w:line="240" w:lineRule="auto"/>
        <w:rPr>
          <w:sz w:val="2"/>
          <w:szCs w:val="2"/>
        </w:rPr>
      </w:pPr>
    </w:p>
  </w:footnote>
  <w:footnote w:id="2">
    <w:p w14:paraId="1438D410" w14:textId="77777777" w:rsidR="00F52D57" w:rsidRDefault="00430F6D">
      <w:pPr>
        <w:pStyle w:val="FootnoteText"/>
      </w:pPr>
      <w:r>
        <w:tab/>
      </w:r>
      <w:r>
        <w:rPr>
          <w:rStyle w:val="FootnoteReference"/>
          <w:sz w:val="20"/>
          <w:vertAlign w:val="baseline"/>
        </w:rPr>
        <w:t>*</w:t>
      </w:r>
      <w:r>
        <w:rPr>
          <w:sz w:val="20"/>
        </w:rPr>
        <w:tab/>
      </w:r>
      <w:r>
        <w:t>The present document is being issued without formal editing.</w:t>
      </w:r>
    </w:p>
  </w:footnote>
  <w:footnote w:id="3">
    <w:p w14:paraId="562B211B" w14:textId="081FDC44" w:rsidR="00F644E8" w:rsidRPr="00F644E8" w:rsidRDefault="00F644E8">
      <w:pPr>
        <w:pStyle w:val="FootnoteText"/>
      </w:pPr>
      <w:r>
        <w:rPr>
          <w:rStyle w:val="FootnoteReference"/>
        </w:rPr>
        <w:tab/>
      </w:r>
      <w:r w:rsidRPr="00F644E8">
        <w:rPr>
          <w:rStyle w:val="FootnoteReference"/>
          <w:sz w:val="20"/>
          <w:vertAlign w:val="baseline"/>
        </w:rPr>
        <w:t>**</w:t>
      </w:r>
      <w:r>
        <w:rPr>
          <w:rStyle w:val="FootnoteReference"/>
          <w:sz w:val="20"/>
          <w:vertAlign w:val="baseline"/>
        </w:rPr>
        <w:tab/>
      </w:r>
      <w:r w:rsidRPr="00F644E8">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1E5F" w14:textId="77777777" w:rsidR="00F52D57" w:rsidRDefault="00554397">
    <w:pPr>
      <w:pStyle w:val="Header"/>
    </w:pPr>
    <w:r>
      <w:t>CEDAW/C/MDA/RQ/7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61FDC" w14:textId="77777777" w:rsidR="00F52D57" w:rsidRDefault="00554397">
    <w:pPr>
      <w:pStyle w:val="Header"/>
      <w:jc w:val="right"/>
    </w:pPr>
    <w:r>
      <w:t>CEDAW/C/MDA/RQ/7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8349D"/>
    <w:multiLevelType w:val="hybridMultilevel"/>
    <w:tmpl w:val="BDB8F6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6836DC5"/>
    <w:multiLevelType w:val="hybridMultilevel"/>
    <w:tmpl w:val="D77E7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5FFA78D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1C4431A" w:tentative="1">
      <w:start w:val="1"/>
      <w:numFmt w:val="lowerLetter"/>
      <w:lvlText w:val="%2."/>
      <w:lvlJc w:val="left"/>
      <w:pPr>
        <w:tabs>
          <w:tab w:val="num" w:pos="1440"/>
        </w:tabs>
        <w:ind w:left="1440" w:hanging="360"/>
      </w:pPr>
    </w:lvl>
    <w:lvl w:ilvl="2" w:tplc="977269D6" w:tentative="1">
      <w:start w:val="1"/>
      <w:numFmt w:val="lowerRoman"/>
      <w:lvlText w:val="%3."/>
      <w:lvlJc w:val="right"/>
      <w:pPr>
        <w:tabs>
          <w:tab w:val="num" w:pos="2160"/>
        </w:tabs>
        <w:ind w:left="2160" w:hanging="180"/>
      </w:pPr>
    </w:lvl>
    <w:lvl w:ilvl="3" w:tplc="D436CF36" w:tentative="1">
      <w:start w:val="1"/>
      <w:numFmt w:val="decimal"/>
      <w:lvlText w:val="%4."/>
      <w:lvlJc w:val="left"/>
      <w:pPr>
        <w:tabs>
          <w:tab w:val="num" w:pos="2880"/>
        </w:tabs>
        <w:ind w:left="2880" w:hanging="360"/>
      </w:pPr>
    </w:lvl>
    <w:lvl w:ilvl="4" w:tplc="CF06AA74" w:tentative="1">
      <w:start w:val="1"/>
      <w:numFmt w:val="lowerLetter"/>
      <w:lvlText w:val="%5."/>
      <w:lvlJc w:val="left"/>
      <w:pPr>
        <w:tabs>
          <w:tab w:val="num" w:pos="3600"/>
        </w:tabs>
        <w:ind w:left="3600" w:hanging="360"/>
      </w:pPr>
    </w:lvl>
    <w:lvl w:ilvl="5" w:tplc="D00E468A" w:tentative="1">
      <w:start w:val="1"/>
      <w:numFmt w:val="lowerRoman"/>
      <w:lvlText w:val="%6."/>
      <w:lvlJc w:val="right"/>
      <w:pPr>
        <w:tabs>
          <w:tab w:val="num" w:pos="4320"/>
        </w:tabs>
        <w:ind w:left="4320" w:hanging="180"/>
      </w:pPr>
    </w:lvl>
    <w:lvl w:ilvl="6" w:tplc="845E7D16" w:tentative="1">
      <w:start w:val="1"/>
      <w:numFmt w:val="decimal"/>
      <w:lvlText w:val="%7."/>
      <w:lvlJc w:val="left"/>
      <w:pPr>
        <w:tabs>
          <w:tab w:val="num" w:pos="5040"/>
        </w:tabs>
        <w:ind w:left="5040" w:hanging="360"/>
      </w:pPr>
    </w:lvl>
    <w:lvl w:ilvl="7" w:tplc="1D86F2AE" w:tentative="1">
      <w:start w:val="1"/>
      <w:numFmt w:val="lowerLetter"/>
      <w:lvlText w:val="%8."/>
      <w:lvlJc w:val="left"/>
      <w:pPr>
        <w:tabs>
          <w:tab w:val="num" w:pos="5760"/>
        </w:tabs>
        <w:ind w:left="5760" w:hanging="360"/>
      </w:pPr>
    </w:lvl>
    <w:lvl w:ilvl="8" w:tplc="A5D8BD2E" w:tentative="1">
      <w:start w:val="1"/>
      <w:numFmt w:val="lowerRoman"/>
      <w:lvlText w:val="%9."/>
      <w:lvlJc w:val="right"/>
      <w:pPr>
        <w:tabs>
          <w:tab w:val="num" w:pos="6480"/>
        </w:tabs>
        <w:ind w:left="6480" w:hanging="180"/>
      </w:pPr>
    </w:lvl>
  </w:abstractNum>
  <w:abstractNum w:abstractNumId="13" w15:restartNumberingAfterBreak="0">
    <w:nsid w:val="3A0D46C6"/>
    <w:multiLevelType w:val="hybridMultilevel"/>
    <w:tmpl w:val="5600A59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3ACF4EB2"/>
    <w:multiLevelType w:val="hybridMultilevel"/>
    <w:tmpl w:val="CB6C816A"/>
    <w:lvl w:ilvl="0" w:tplc="305EF036">
      <w:start w:val="1"/>
      <w:numFmt w:val="bullet"/>
      <w:pStyle w:val="Bullet2G"/>
      <w:lvlText w:val="•"/>
      <w:lvlJc w:val="left"/>
      <w:pPr>
        <w:tabs>
          <w:tab w:val="num" w:pos="2268"/>
        </w:tabs>
        <w:ind w:left="2268" w:hanging="170"/>
      </w:pPr>
      <w:rPr>
        <w:rFonts w:ascii="Times New Roman" w:hAnsi="Times New Roman" w:cs="Times New Roman" w:hint="default"/>
      </w:rPr>
    </w:lvl>
    <w:lvl w:ilvl="1" w:tplc="D8B2DED0" w:tentative="1">
      <w:start w:val="1"/>
      <w:numFmt w:val="bullet"/>
      <w:lvlText w:val="o"/>
      <w:lvlJc w:val="left"/>
      <w:pPr>
        <w:tabs>
          <w:tab w:val="num" w:pos="3708"/>
        </w:tabs>
        <w:ind w:left="3708" w:hanging="360"/>
      </w:pPr>
      <w:rPr>
        <w:rFonts w:ascii="Courier New" w:hAnsi="Courier New" w:hint="default"/>
      </w:rPr>
    </w:lvl>
    <w:lvl w:ilvl="2" w:tplc="91E46C5A" w:tentative="1">
      <w:start w:val="1"/>
      <w:numFmt w:val="bullet"/>
      <w:lvlText w:val=""/>
      <w:lvlJc w:val="left"/>
      <w:pPr>
        <w:tabs>
          <w:tab w:val="num" w:pos="4428"/>
        </w:tabs>
        <w:ind w:left="4428" w:hanging="360"/>
      </w:pPr>
      <w:rPr>
        <w:rFonts w:ascii="Wingdings" w:hAnsi="Wingdings" w:hint="default"/>
      </w:rPr>
    </w:lvl>
    <w:lvl w:ilvl="3" w:tplc="119E5962" w:tentative="1">
      <w:start w:val="1"/>
      <w:numFmt w:val="bullet"/>
      <w:lvlText w:val=""/>
      <w:lvlJc w:val="left"/>
      <w:pPr>
        <w:tabs>
          <w:tab w:val="num" w:pos="5148"/>
        </w:tabs>
        <w:ind w:left="5148" w:hanging="360"/>
      </w:pPr>
      <w:rPr>
        <w:rFonts w:ascii="Symbol" w:hAnsi="Symbol" w:hint="default"/>
      </w:rPr>
    </w:lvl>
    <w:lvl w:ilvl="4" w:tplc="A148B668" w:tentative="1">
      <w:start w:val="1"/>
      <w:numFmt w:val="bullet"/>
      <w:lvlText w:val="o"/>
      <w:lvlJc w:val="left"/>
      <w:pPr>
        <w:tabs>
          <w:tab w:val="num" w:pos="5868"/>
        </w:tabs>
        <w:ind w:left="5868" w:hanging="360"/>
      </w:pPr>
      <w:rPr>
        <w:rFonts w:ascii="Courier New" w:hAnsi="Courier New" w:hint="default"/>
      </w:rPr>
    </w:lvl>
    <w:lvl w:ilvl="5" w:tplc="2DAEC372" w:tentative="1">
      <w:start w:val="1"/>
      <w:numFmt w:val="bullet"/>
      <w:lvlText w:val=""/>
      <w:lvlJc w:val="left"/>
      <w:pPr>
        <w:tabs>
          <w:tab w:val="num" w:pos="6588"/>
        </w:tabs>
        <w:ind w:left="6588" w:hanging="360"/>
      </w:pPr>
      <w:rPr>
        <w:rFonts w:ascii="Wingdings" w:hAnsi="Wingdings" w:hint="default"/>
      </w:rPr>
    </w:lvl>
    <w:lvl w:ilvl="6" w:tplc="86A28448" w:tentative="1">
      <w:start w:val="1"/>
      <w:numFmt w:val="bullet"/>
      <w:lvlText w:val=""/>
      <w:lvlJc w:val="left"/>
      <w:pPr>
        <w:tabs>
          <w:tab w:val="num" w:pos="7308"/>
        </w:tabs>
        <w:ind w:left="7308" w:hanging="360"/>
      </w:pPr>
      <w:rPr>
        <w:rFonts w:ascii="Symbol" w:hAnsi="Symbol" w:hint="default"/>
      </w:rPr>
    </w:lvl>
    <w:lvl w:ilvl="7" w:tplc="5BB22BBA" w:tentative="1">
      <w:start w:val="1"/>
      <w:numFmt w:val="bullet"/>
      <w:lvlText w:val="o"/>
      <w:lvlJc w:val="left"/>
      <w:pPr>
        <w:tabs>
          <w:tab w:val="num" w:pos="8028"/>
        </w:tabs>
        <w:ind w:left="8028" w:hanging="360"/>
      </w:pPr>
      <w:rPr>
        <w:rFonts w:ascii="Courier New" w:hAnsi="Courier New" w:hint="default"/>
      </w:rPr>
    </w:lvl>
    <w:lvl w:ilvl="8" w:tplc="C84EEF3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BC896F6">
      <w:start w:val="1"/>
      <w:numFmt w:val="bullet"/>
      <w:pStyle w:val="Bullet1G"/>
      <w:lvlText w:val="•"/>
      <w:lvlJc w:val="left"/>
      <w:pPr>
        <w:tabs>
          <w:tab w:val="num" w:pos="1701"/>
        </w:tabs>
        <w:ind w:left="1701" w:hanging="170"/>
      </w:pPr>
      <w:rPr>
        <w:rFonts w:ascii="Times New Roman" w:hAnsi="Times New Roman" w:cs="Times New Roman" w:hint="default"/>
      </w:rPr>
    </w:lvl>
    <w:lvl w:ilvl="1" w:tplc="F6861744" w:tentative="1">
      <w:start w:val="1"/>
      <w:numFmt w:val="bullet"/>
      <w:lvlText w:val="o"/>
      <w:lvlJc w:val="left"/>
      <w:pPr>
        <w:tabs>
          <w:tab w:val="num" w:pos="3141"/>
        </w:tabs>
        <w:ind w:left="3141" w:hanging="360"/>
      </w:pPr>
      <w:rPr>
        <w:rFonts w:ascii="Courier New" w:hAnsi="Courier New" w:hint="default"/>
      </w:rPr>
    </w:lvl>
    <w:lvl w:ilvl="2" w:tplc="0EC04060" w:tentative="1">
      <w:start w:val="1"/>
      <w:numFmt w:val="bullet"/>
      <w:lvlText w:val=""/>
      <w:lvlJc w:val="left"/>
      <w:pPr>
        <w:tabs>
          <w:tab w:val="num" w:pos="3861"/>
        </w:tabs>
        <w:ind w:left="3861" w:hanging="360"/>
      </w:pPr>
      <w:rPr>
        <w:rFonts w:ascii="Wingdings" w:hAnsi="Wingdings" w:hint="default"/>
      </w:rPr>
    </w:lvl>
    <w:lvl w:ilvl="3" w:tplc="FE70ABD0" w:tentative="1">
      <w:start w:val="1"/>
      <w:numFmt w:val="bullet"/>
      <w:lvlText w:val=""/>
      <w:lvlJc w:val="left"/>
      <w:pPr>
        <w:tabs>
          <w:tab w:val="num" w:pos="4581"/>
        </w:tabs>
        <w:ind w:left="4581" w:hanging="360"/>
      </w:pPr>
      <w:rPr>
        <w:rFonts w:ascii="Symbol" w:hAnsi="Symbol" w:hint="default"/>
      </w:rPr>
    </w:lvl>
    <w:lvl w:ilvl="4" w:tplc="D8B41EFE" w:tentative="1">
      <w:start w:val="1"/>
      <w:numFmt w:val="bullet"/>
      <w:lvlText w:val="o"/>
      <w:lvlJc w:val="left"/>
      <w:pPr>
        <w:tabs>
          <w:tab w:val="num" w:pos="5301"/>
        </w:tabs>
        <w:ind w:left="5301" w:hanging="360"/>
      </w:pPr>
      <w:rPr>
        <w:rFonts w:ascii="Courier New" w:hAnsi="Courier New" w:hint="default"/>
      </w:rPr>
    </w:lvl>
    <w:lvl w:ilvl="5" w:tplc="3A728B5A" w:tentative="1">
      <w:start w:val="1"/>
      <w:numFmt w:val="bullet"/>
      <w:lvlText w:val=""/>
      <w:lvlJc w:val="left"/>
      <w:pPr>
        <w:tabs>
          <w:tab w:val="num" w:pos="6021"/>
        </w:tabs>
        <w:ind w:left="6021" w:hanging="360"/>
      </w:pPr>
      <w:rPr>
        <w:rFonts w:ascii="Wingdings" w:hAnsi="Wingdings" w:hint="default"/>
      </w:rPr>
    </w:lvl>
    <w:lvl w:ilvl="6" w:tplc="836E94C6" w:tentative="1">
      <w:start w:val="1"/>
      <w:numFmt w:val="bullet"/>
      <w:lvlText w:val=""/>
      <w:lvlJc w:val="left"/>
      <w:pPr>
        <w:tabs>
          <w:tab w:val="num" w:pos="6741"/>
        </w:tabs>
        <w:ind w:left="6741" w:hanging="360"/>
      </w:pPr>
      <w:rPr>
        <w:rFonts w:ascii="Symbol" w:hAnsi="Symbol" w:hint="default"/>
      </w:rPr>
    </w:lvl>
    <w:lvl w:ilvl="7" w:tplc="DE62E00C" w:tentative="1">
      <w:start w:val="1"/>
      <w:numFmt w:val="bullet"/>
      <w:lvlText w:val="o"/>
      <w:lvlJc w:val="left"/>
      <w:pPr>
        <w:tabs>
          <w:tab w:val="num" w:pos="7461"/>
        </w:tabs>
        <w:ind w:left="7461" w:hanging="360"/>
      </w:pPr>
      <w:rPr>
        <w:rFonts w:ascii="Courier New" w:hAnsi="Courier New" w:hint="default"/>
      </w:rPr>
    </w:lvl>
    <w:lvl w:ilvl="8" w:tplc="DE10974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873473">
    <w:abstractNumId w:val="18"/>
  </w:num>
  <w:num w:numId="2" w16cid:durableId="1639148252">
    <w:abstractNumId w:val="14"/>
  </w:num>
  <w:num w:numId="3" w16cid:durableId="1020274132">
    <w:abstractNumId w:val="12"/>
  </w:num>
  <w:num w:numId="4" w16cid:durableId="24445367">
    <w:abstractNumId w:val="8"/>
  </w:num>
  <w:num w:numId="5" w16cid:durableId="1553345292">
    <w:abstractNumId w:val="3"/>
  </w:num>
  <w:num w:numId="6" w16cid:durableId="1788743405">
    <w:abstractNumId w:val="2"/>
  </w:num>
  <w:num w:numId="7" w16cid:durableId="255291001">
    <w:abstractNumId w:val="1"/>
  </w:num>
  <w:num w:numId="8" w16cid:durableId="97721935">
    <w:abstractNumId w:val="0"/>
  </w:num>
  <w:num w:numId="9" w16cid:durableId="1817068890">
    <w:abstractNumId w:val="9"/>
  </w:num>
  <w:num w:numId="10" w16cid:durableId="582839462">
    <w:abstractNumId w:val="7"/>
  </w:num>
  <w:num w:numId="11" w16cid:durableId="939609705">
    <w:abstractNumId w:val="6"/>
  </w:num>
  <w:num w:numId="12" w16cid:durableId="2030371987">
    <w:abstractNumId w:val="5"/>
  </w:num>
  <w:num w:numId="13" w16cid:durableId="1958414311">
    <w:abstractNumId w:val="4"/>
  </w:num>
  <w:num w:numId="14" w16cid:durableId="1735856110">
    <w:abstractNumId w:val="18"/>
  </w:num>
  <w:num w:numId="15" w16cid:durableId="143204055">
    <w:abstractNumId w:val="14"/>
  </w:num>
  <w:num w:numId="16" w16cid:durableId="1186283377">
    <w:abstractNumId w:val="12"/>
  </w:num>
  <w:num w:numId="17" w16cid:durableId="22172573">
    <w:abstractNumId w:val="15"/>
  </w:num>
  <w:num w:numId="18" w16cid:durableId="1438327482">
    <w:abstractNumId w:val="17"/>
  </w:num>
  <w:num w:numId="19" w16cid:durableId="2033072462">
    <w:abstractNumId w:val="16"/>
  </w:num>
  <w:num w:numId="20" w16cid:durableId="781387913">
    <w:abstractNumId w:val="19"/>
  </w:num>
  <w:num w:numId="21" w16cid:durableId="1820725505">
    <w:abstractNumId w:val="11"/>
  </w:num>
  <w:num w:numId="22" w16cid:durableId="557546509">
    <w:abstractNumId w:val="10"/>
  </w:num>
  <w:num w:numId="23" w16cid:durableId="11597282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D57"/>
    <w:rsid w:val="000075DE"/>
    <w:rsid w:val="000B1B4C"/>
    <w:rsid w:val="001360C5"/>
    <w:rsid w:val="00140DEF"/>
    <w:rsid w:val="00187E87"/>
    <w:rsid w:val="001E1F39"/>
    <w:rsid w:val="00235208"/>
    <w:rsid w:val="00262BB1"/>
    <w:rsid w:val="002C7AC5"/>
    <w:rsid w:val="002E18BB"/>
    <w:rsid w:val="00304E58"/>
    <w:rsid w:val="00310006"/>
    <w:rsid w:val="00352506"/>
    <w:rsid w:val="003927E5"/>
    <w:rsid w:val="003E4F85"/>
    <w:rsid w:val="00411837"/>
    <w:rsid w:val="00411BD9"/>
    <w:rsid w:val="00430F6D"/>
    <w:rsid w:val="00493A4C"/>
    <w:rsid w:val="004E7B57"/>
    <w:rsid w:val="00554397"/>
    <w:rsid w:val="006972F0"/>
    <w:rsid w:val="006E2045"/>
    <w:rsid w:val="00706FF1"/>
    <w:rsid w:val="007309FC"/>
    <w:rsid w:val="007B41A6"/>
    <w:rsid w:val="007E04E1"/>
    <w:rsid w:val="00805DCF"/>
    <w:rsid w:val="0097123B"/>
    <w:rsid w:val="009733EC"/>
    <w:rsid w:val="009A0E4B"/>
    <w:rsid w:val="009E539F"/>
    <w:rsid w:val="00A0737F"/>
    <w:rsid w:val="00B1277C"/>
    <w:rsid w:val="00B15DCE"/>
    <w:rsid w:val="00B257F9"/>
    <w:rsid w:val="00B3662C"/>
    <w:rsid w:val="00BC54B6"/>
    <w:rsid w:val="00BF62D8"/>
    <w:rsid w:val="00C036AD"/>
    <w:rsid w:val="00C0790F"/>
    <w:rsid w:val="00C1668A"/>
    <w:rsid w:val="00C21184"/>
    <w:rsid w:val="00C408E8"/>
    <w:rsid w:val="00C44149"/>
    <w:rsid w:val="00C73623"/>
    <w:rsid w:val="00CD5652"/>
    <w:rsid w:val="00CF786D"/>
    <w:rsid w:val="00D17F33"/>
    <w:rsid w:val="00DB458D"/>
    <w:rsid w:val="00E656F6"/>
    <w:rsid w:val="00E70C0E"/>
    <w:rsid w:val="00EE4351"/>
    <w:rsid w:val="00F52D57"/>
    <w:rsid w:val="00F644E8"/>
    <w:rsid w:val="00F82FFF"/>
    <w:rsid w:val="00FA25CE"/>
    <w:rsid w:val="00FC016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77A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036AD"/>
    <w:rPr>
      <w:color w:val="605E5C"/>
      <w:shd w:val="clear" w:color="auto" w:fill="E1DFDD"/>
    </w:rPr>
  </w:style>
  <w:style w:type="table" w:customStyle="1" w:styleId="TableGrid0">
    <w:name w:val="TableGrid"/>
    <w:rsid w:val="00805DCF"/>
    <w:pPr>
      <w:spacing w:after="0" w:line="240" w:lineRule="auto"/>
    </w:pPr>
    <w:rPr>
      <w:rFonts w:eastAsia="DengXian"/>
      <w:kern w:val="2"/>
      <w:sz w:val="24"/>
      <w:szCs w:val="24"/>
      <w:lang w:val="en-CH" w:eastAsia="zh-CN"/>
      <w14:ligatures w14:val="standardContextual"/>
    </w:rPr>
    <w:tblPr>
      <w:tblCellMar>
        <w:top w:w="0" w:type="dxa"/>
        <w:left w:w="0" w:type="dxa"/>
        <w:bottom w:w="0" w:type="dxa"/>
        <w:right w:w="0" w:type="dxa"/>
      </w:tblCellMar>
    </w:tblPr>
  </w:style>
  <w:style w:type="table" w:customStyle="1" w:styleId="TableGrid10">
    <w:name w:val="TableGrid1"/>
    <w:rsid w:val="00CF786D"/>
    <w:pPr>
      <w:spacing w:after="0" w:line="240" w:lineRule="auto"/>
    </w:pPr>
    <w:rPr>
      <w:rFonts w:eastAsia="DengXian"/>
      <w:kern w:val="2"/>
      <w:sz w:val="24"/>
      <w:szCs w:val="24"/>
      <w:lang w:val="en-CH" w:eastAsia="zh-CN"/>
      <w14:ligatures w14:val="standardContextual"/>
    </w:rPr>
    <w:tblPr>
      <w:tblCellMar>
        <w:top w:w="0" w:type="dxa"/>
        <w:left w:w="0" w:type="dxa"/>
        <w:bottom w:w="0" w:type="dxa"/>
        <w:right w:w="0" w:type="dxa"/>
      </w:tblCellMar>
    </w:tblPr>
  </w:style>
  <w:style w:type="table" w:customStyle="1" w:styleId="TableGrid2">
    <w:name w:val="TableGrid2"/>
    <w:rsid w:val="003927E5"/>
    <w:pPr>
      <w:spacing w:after="0" w:line="240" w:lineRule="auto"/>
    </w:pPr>
    <w:rPr>
      <w:rFonts w:eastAsia="DengXian"/>
      <w:kern w:val="2"/>
      <w:sz w:val="24"/>
      <w:szCs w:val="24"/>
      <w:lang w:val="en-CH" w:eastAsia="zh-CN"/>
      <w14:ligatures w14:val="standardContextual"/>
    </w:rPr>
    <w:tblPr>
      <w:tblCellMar>
        <w:top w:w="0" w:type="dxa"/>
        <w:left w:w="0" w:type="dxa"/>
        <w:bottom w:w="0" w:type="dxa"/>
        <w:right w:w="0" w:type="dxa"/>
      </w:tblCellMar>
    </w:tblPr>
  </w:style>
  <w:style w:type="table" w:customStyle="1" w:styleId="TableGrid3">
    <w:name w:val="TableGrid3"/>
    <w:rsid w:val="003927E5"/>
    <w:pPr>
      <w:spacing w:after="0" w:line="240" w:lineRule="auto"/>
    </w:pPr>
    <w:rPr>
      <w:rFonts w:eastAsia="DengXian"/>
      <w:kern w:val="2"/>
      <w:sz w:val="24"/>
      <w:szCs w:val="24"/>
      <w:lang w:val="en-CH" w:eastAsia="zh-CN"/>
      <w14:ligatures w14:val="standardContextual"/>
    </w:rPr>
    <w:tblPr>
      <w:tblCellMar>
        <w:top w:w="0" w:type="dxa"/>
        <w:left w:w="0" w:type="dxa"/>
        <w:bottom w:w="0" w:type="dxa"/>
        <w:right w:w="0" w:type="dxa"/>
      </w:tblCellMar>
    </w:tblPr>
  </w:style>
  <w:style w:type="table" w:customStyle="1" w:styleId="TableGrid4">
    <w:name w:val="TableGrid4"/>
    <w:rsid w:val="003927E5"/>
    <w:pPr>
      <w:spacing w:after="0" w:line="240" w:lineRule="auto"/>
    </w:pPr>
    <w:rPr>
      <w:rFonts w:eastAsia="DengXian"/>
      <w:kern w:val="2"/>
      <w:sz w:val="24"/>
      <w:szCs w:val="24"/>
      <w:lang w:val="en-CH" w:eastAsia="zh-CN"/>
      <w14:ligatures w14:val="standardContextual"/>
    </w:rPr>
    <w:tblPr>
      <w:tblCellMar>
        <w:top w:w="0" w:type="dxa"/>
        <w:left w:w="0" w:type="dxa"/>
        <w:bottom w:w="0" w:type="dxa"/>
        <w:right w:w="0" w:type="dxa"/>
      </w:tblCellMar>
    </w:tblPr>
  </w:style>
  <w:style w:type="paragraph" w:styleId="ListParagraph">
    <w:name w:val="List Paragraph"/>
    <w:basedOn w:val="Normal"/>
    <w:uiPriority w:val="34"/>
    <w:semiHidden/>
    <w:qFormat/>
    <w:rsid w:val="00DB458D"/>
    <w:pPr>
      <w:ind w:left="720"/>
      <w:contextualSpacing/>
    </w:pPr>
  </w:style>
  <w:style w:type="table" w:customStyle="1" w:styleId="TableGrid5">
    <w:name w:val="TableGrid5"/>
    <w:rsid w:val="00F644E8"/>
    <w:pPr>
      <w:spacing w:after="0" w:line="240" w:lineRule="auto"/>
    </w:pPr>
    <w:rPr>
      <w:rFonts w:eastAsia="DengXian"/>
      <w:kern w:val="2"/>
      <w:sz w:val="24"/>
      <w:szCs w:val="24"/>
      <w:lang w:val="en-CH" w:eastAsia="zh-CN"/>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md/cautare/getResults?doc_id=142865&amp;lang=ro" TargetMode="External"/><Relationship Id="rId21" Type="http://schemas.openxmlformats.org/officeDocument/2006/relationships/hyperlink" Target="https://www.legis.md/cautare/getResults?doc_id=139701&amp;lang=ro" TargetMode="External"/><Relationship Id="rId42" Type="http://schemas.openxmlformats.org/officeDocument/2006/relationships/hyperlink" Target="https://www.legis.md/cautare/getResults?doc_id=138493&amp;lang=ro" TargetMode="External"/><Relationship Id="rId47" Type="http://schemas.openxmlformats.org/officeDocument/2006/relationships/hyperlink" Target="https://www.instagram.com/gyneco.md/" TargetMode="External"/><Relationship Id="rId63" Type="http://schemas.openxmlformats.org/officeDocument/2006/relationships/hyperlink" Target="https://statistica.gov.md/ro/forta-de-munca-ocuparea-si-somajul-in-anul-2025-9430_62388.html" TargetMode="External"/><Relationship Id="rId68" Type="http://schemas.openxmlformats.org/officeDocument/2006/relationships/hyperlink" Target="https://statistica.gov.md/ro/obiectivele-de-dezvoltare-durabila-183.html" TargetMode="External"/><Relationship Id="rId2" Type="http://schemas.openxmlformats.org/officeDocument/2006/relationships/customXml" Target="../customXml/item2.xml"/><Relationship Id="rId16" Type="http://schemas.openxmlformats.org/officeDocument/2006/relationships/hyperlink" Target="https://www.legis.md/cautare/getResults?doc_id=140974&amp;lang=ro" TargetMode="External"/><Relationship Id="rId29" Type="http://schemas.openxmlformats.org/officeDocument/2006/relationships/hyperlink" Target="https://www.legis.md/cautare/getResults?doc_id=114695&amp;lang=ro" TargetMode="External"/><Relationship Id="rId11" Type="http://schemas.openxmlformats.org/officeDocument/2006/relationships/hyperlink" Target="https://mec.gov.md/ro/content/sustinerea-copiilor-si-tinerilor-din-ucraina" TargetMode="External"/><Relationship Id="rId24" Type="http://schemas.openxmlformats.org/officeDocument/2006/relationships/hyperlink" Target="https://social.gov.md/wp-content/uploads/2025/01/Set-de-masuri-GREVIO_publicare.pdf" TargetMode="External"/><Relationship Id="rId32" Type="http://schemas.openxmlformats.org/officeDocument/2006/relationships/hyperlink" Target="https://moldova.un.org/ro/286781-elevele-din-aproape-150-de-%C8%99coli-din-%C3%AEntreaga-%C8%9Bar%C4%83-au-acces-gratuit-la-absorbante-chiar-%C3%AEn" TargetMode="External"/><Relationship Id="rId37" Type="http://schemas.openxmlformats.org/officeDocument/2006/relationships/hyperlink" Target="https://www.legis.md/cautare/getResults?doc_id=124566&amp;lang=ro" TargetMode="External"/><Relationship Id="rId40" Type="http://schemas.openxmlformats.org/officeDocument/2006/relationships/hyperlink" Target="https://www.legis.md/cautare/getResults?doc_id=150415&amp;lang=ro" TargetMode="External"/><Relationship Id="rId45" Type="http://schemas.openxmlformats.org/officeDocument/2006/relationships/hyperlink" Target="https://www.legis.md/cautare/getResults?doc_id=145483&amp;lang=ro" TargetMode="External"/><Relationship Id="rId53" Type="http://schemas.openxmlformats.org/officeDocument/2006/relationships/hyperlink" Target="https://www.legis.md/cautare/getResults?doc_id=147442&amp;lang=ro" TargetMode="External"/><Relationship Id="rId58" Type="http://schemas.openxmlformats.org/officeDocument/2006/relationships/hyperlink" Target="https://statistica.gov.md/ro/statistic_indicator_details/28" TargetMode="External"/><Relationship Id="rId66" Type="http://schemas.openxmlformats.org/officeDocument/2006/relationships/hyperlink" Target="https://genderpulse.md/" TargetMode="External"/><Relationship Id="rId74" Type="http://schemas.openxmlformats.org/officeDocument/2006/relationships/footer" Target="footer3.xml"/><Relationship Id="rId5" Type="http://schemas.openxmlformats.org/officeDocument/2006/relationships/styles" Target="styles.xml"/><Relationship Id="rId61" Type="http://schemas.openxmlformats.org/officeDocument/2006/relationships/hyperlink" Target="https://statistica.gov.md/ro/situatia-copiilor-in-republica-moldova-in-anul-2025-9578_62470.html" TargetMode="External"/><Relationship Id="rId19" Type="http://schemas.openxmlformats.org/officeDocument/2006/relationships/hyperlink" Target="https://ombudsman.md/post-document/raport-anual-privind-respectarea-drepturilor-si-libertatilor-omului-in-republicamoldova-in-anul-2024/" TargetMode="External"/><Relationship Id="rId14" Type="http://schemas.openxmlformats.org/officeDocument/2006/relationships/hyperlink" Target="https://www.eviolenta.md/%20" TargetMode="External"/><Relationship Id="rId22" Type="http://schemas.openxmlformats.org/officeDocument/2006/relationships/hyperlink" Target="https://www.legis.md/cautare/getResults?doc_id=150222&amp;lang=ro" TargetMode="External"/><Relationship Id="rId27" Type="http://schemas.openxmlformats.org/officeDocument/2006/relationships/hyperlink" Target="https://www.legis.md/cautare/getResults?doc_id=144703&amp;lang=ro" TargetMode="External"/><Relationship Id="rId30" Type="http://schemas.openxmlformats.org/officeDocument/2006/relationships/hyperlink" Target="https://www.youtube.com/playlist?list=PLu55aAZdaNv3WWS43FOVGun7GB6N6GNFg" TargetMode="External"/><Relationship Id="rId35" Type="http://schemas.openxmlformats.org/officeDocument/2006/relationships/hyperlink" Target="https://moldova.un.org/en/291194-ilo-convention-no-190-eliminating-violence-and-harassment-world-work-comes-force-republic" TargetMode="External"/><Relationship Id="rId43" Type="http://schemas.openxmlformats.org/officeDocument/2006/relationships/hyperlink" Target="https://ms.gov.md/wp-content/uploads/2024/08/Ordin-nr.703-din-26.08.2024-echivalare-%C8%99i-recunos%C8%99tere.pdf" TargetMode="External"/><Relationship Id="rId48" Type="http://schemas.openxmlformats.org/officeDocument/2006/relationships/hyperlink" Target="https://www.legis.md/cautare/getResults?doc_id=152254&amp;lang=ro" TargetMode="External"/><Relationship Id="rId56" Type="http://schemas.openxmlformats.org/officeDocument/2006/relationships/hyperlink" Target="https://www.legis.md/cautare/getResults?doc_id=109067&amp;lang=ro" TargetMode="External"/><Relationship Id="rId64" Type="http://schemas.openxmlformats.org/officeDocument/2006/relationships/hyperlink" Target="https://statistica.gov.md/ro/varstnicii-in-republica-moldova-in-anul-2024-9578_62003.html" TargetMode="External"/><Relationship Id="rId69" Type="http://schemas.openxmlformats.org/officeDocument/2006/relationships/hyperlink" Target="https://statistica.gov.md/ro/forta-de-munca-in-republica-moldova-ocupare-si-somaj-editiile-2008-2024-9670_59510.html" TargetMode="External"/><Relationship Id="rId8" Type="http://schemas.openxmlformats.org/officeDocument/2006/relationships/footnotes" Target="footnotes.xml"/><Relationship Id="rId51" Type="http://schemas.openxmlformats.org/officeDocument/2006/relationships/hyperlink" Target="https://www.legis.md/cautare/getResults?doc_id=148766&amp;lang=ro"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app.powerbi.com/view?r=eyJrIjoiOTk0ZjVhM2UtZTQzNC00MzA3LThiYjMtYmNkZjVlN2VkYzhjIiwidCI6ImU1YzM3OTgxLTY2NjQtNDEzNC04YTBjLTY1NDNkMmFmODBiZSIsImMiOjh9" TargetMode="External"/><Relationship Id="rId17" Type="http://schemas.openxmlformats.org/officeDocument/2006/relationships/hyperlink" Target="https://www.legis.md/cautare/getResults?doc_id=146549&amp;lang=ro" TargetMode="External"/><Relationship Id="rId25" Type="http://schemas.openxmlformats.org/officeDocument/2006/relationships/hyperlink" Target="https://www.legis.md/cautare/getResults?doc_id=146258&amp;lang=ro" TargetMode="External"/><Relationship Id="rId33" Type="http://schemas.openxmlformats.org/officeDocument/2006/relationships/hyperlink" Target="https://www.legis.md/cautare/getResults?doc_id=131234&amp;lang=ro" TargetMode="External"/><Relationship Id="rId38" Type="http://schemas.openxmlformats.org/officeDocument/2006/relationships/hyperlink" Target="https://www.legis.md/cautare/getResults?doc_id=138657&amp;lang=ro" TargetMode="External"/><Relationship Id="rId46" Type="http://schemas.openxmlformats.org/officeDocument/2006/relationships/hyperlink" Target="https://www.legis.md/cautare/getResults?doc_id=130469&amp;lang=ro" TargetMode="External"/><Relationship Id="rId59" Type="http://schemas.openxmlformats.org/officeDocument/2006/relationships/hyperlink" Target="https://statistica.gov.md/ro/publications" TargetMode="External"/><Relationship Id="rId67" Type="http://schemas.openxmlformats.org/officeDocument/2006/relationships/hyperlink" Target="https://moldova.un.org/sites/default/files/2024-12/barbatii-si-egalitatea-de-gen-in-rm-images-2024.pdf" TargetMode="External"/><Relationship Id="rId20" Type="http://schemas.openxmlformats.org/officeDocument/2006/relationships/hyperlink" Target="https://www.legis.md/cautare/getResults?doc_id=137409&amp;lang=ro" TargetMode="External"/><Relationship Id="rId41" Type="http://schemas.openxmlformats.org/officeDocument/2006/relationships/hyperlink" Target="https://www.legis.md/cautare/getResults?doc_id=145591&amp;lang=ro" TargetMode="External"/><Relationship Id="rId54" Type="http://schemas.openxmlformats.org/officeDocument/2006/relationships/hyperlink" Target="https://www.legis.md/cautare/getResults?doc_id=132386&amp;lang=ro" TargetMode="External"/><Relationship Id="rId62" Type="http://schemas.openxmlformats.org/officeDocument/2006/relationships/hyperlink" Target="https://statistica.gov.md/ro/situatia-copiilor-in-republica-moldova-in-anul-2025-9578_62470.html" TargetMode="External"/><Relationship Id="rId70" Type="http://schemas.openxmlformats.org/officeDocument/2006/relationships/header" Target="header1.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accesibilitate.infonet.md/" TargetMode="External"/><Relationship Id="rId23" Type="http://schemas.openxmlformats.org/officeDocument/2006/relationships/hyperlink" Target="https://www.legis.md/cautare/getResults?doc_id=140367&amp;lang=ro" TargetMode="External"/><Relationship Id="rId28" Type="http://schemas.openxmlformats.org/officeDocument/2006/relationships/hyperlink" Target="https://mec.gov.md/ro/content/prevenirea-si-combaterea-violentei-0" TargetMode="External"/><Relationship Id="rId36" Type="http://schemas.openxmlformats.org/officeDocument/2006/relationships/hyperlink" Target="https://moldova.unfpa.org/ro/news/sprijin-%C8%99i-solidaritate-experien%C8%9Be-din-clubul-ta%C8%9Bilor" TargetMode="External"/><Relationship Id="rId49" Type="http://schemas.openxmlformats.org/officeDocument/2006/relationships/hyperlink" Target="https://www.legis.md/cautare/getResults?doc_id=143955&amp;lang=ro" TargetMode="External"/><Relationship Id="rId57" Type="http://schemas.openxmlformats.org/officeDocument/2006/relationships/hyperlink" Target="https://www.legis.md/cautare/getResults?doc_id=143753&amp;lang=ro" TargetMode="External"/><Relationship Id="rId10" Type="http://schemas.openxmlformats.org/officeDocument/2006/relationships/hyperlink" Target="https://www.legis.md/cautare/getResults?doc_id=139550&amp;lang=ro" TargetMode="External"/><Relationship Id="rId31" Type="http://schemas.openxmlformats.org/officeDocument/2006/relationships/hyperlink" Target="https://www.legis.md/cautare/getResults?doc_id=139701&amp;lang=ro" TargetMode="External"/><Relationship Id="rId44" Type="http://schemas.openxmlformats.org/officeDocument/2006/relationships/hyperlink" Target="https://ms.gov.md/wp-content/uploads/2026/04/Raport-realizarea-PN-BNT_anul-2025_MS.pdf" TargetMode="External"/><Relationship Id="rId52" Type="http://schemas.openxmlformats.org/officeDocument/2006/relationships/hyperlink" Target="https://www.legis.md/cautare/getResults?doc_id=144198&amp;lang=ro" TargetMode="External"/><Relationship Id="rId60" Type="http://schemas.openxmlformats.org/officeDocument/2006/relationships/hyperlink" Target="https://statistica.gov.md/ro/portretul-statistic-al-femeilor-si-barbatilor-in-republica-moldova-9617_61689.html" TargetMode="External"/><Relationship Id="rId65" Type="http://schemas.openxmlformats.org/officeDocument/2006/relationships/hyperlink" Target="https://statistica.gov.md/ro/persoanele-cu-dizabilitati-in-republica-moldova-in-anul-2024-9460_62109.html" TargetMode="External"/><Relationship Id="rId73"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yperlink" Target="https://www.legis.md/cautare/getResults?doc_id=135503&amp;lang=ro" TargetMode="External"/><Relationship Id="rId39" Type="http://schemas.openxmlformats.org/officeDocument/2006/relationships/hyperlink" Target="https://www.legis.md/cautare/getResults?doc_id=140194&amp;lang=ro" TargetMode="External"/><Relationship Id="rId34" Type="http://schemas.openxmlformats.org/officeDocument/2006/relationships/hyperlink" Target="https://www.legis.md/cautare/getResults?doc_id=150343&amp;lang=ro" TargetMode="External"/><Relationship Id="rId50" Type="http://schemas.openxmlformats.org/officeDocument/2006/relationships/hyperlink" Target="https://www.legis.md/cautare/getResults?doc_id=145421&amp;lang=ro" TargetMode="External"/><Relationship Id="rId55" Type="http://schemas.openxmlformats.org/officeDocument/2006/relationships/hyperlink" Target="https://ms.gov.md/wp-content/uploads/2026/05/Protocol-clinic-standardizat-%C3%8Entreruperea-sarcinii-%C3%AEn-condi%C8%9Bii-de-siguran%C8%9B%C4%83-aprobat-prin-Ordinul-MS-nr.412-din-22.05.2026-.pdf" TargetMode="External"/><Relationship Id="rId76"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rgbClr val="000000">
                    <a:lumMod val="65000"/>
                    <a:lumOff val="35000"/>
                  </a:srgbClr>
                </a:solidFill>
                <a:latin typeface="+mn-lt"/>
                <a:ea typeface="+mn-ea"/>
                <a:cs typeface="+mn-cs"/>
              </a:defRPr>
            </a:pPr>
            <a:r>
              <a:rPr lang="en-US" sz="1200" b="1" i="0" u="none" strike="noStrike" baseline="0">
                <a:solidFill>
                  <a:sysClr val="windowText" lastClr="000000"/>
                </a:solidFill>
                <a:latin typeface="Times New Roman" panose="02020603050405020304" pitchFamily="18" charset="0"/>
                <a:cs typeface="Times New Roman" panose="02020603050405020304" pitchFamily="18" charset="0"/>
              </a:rPr>
              <a:t>Dynamics of reports to the police regarding conflicts within family relationships (2023 - 2025)</a:t>
            </a:r>
            <a:endParaRPr lang="en-US" sz="12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rgbClr val="000000">
                  <a:lumMod val="65000"/>
                  <a:lumOff val="35000"/>
                </a:srgbClr>
              </a:solidFill>
              <a:latin typeface="+mn-lt"/>
              <a:ea typeface="+mn-ea"/>
              <a:cs typeface="+mn-cs"/>
            </a:defRPr>
          </a:pPr>
          <a:endParaRPr lang="en-US"/>
        </a:p>
      </c:txPr>
    </c:title>
    <c:autoTitleDeleted val="0"/>
    <c:plotArea>
      <c:layout/>
      <c:barChart>
        <c:barDir val="col"/>
        <c:grouping val="clustered"/>
        <c:varyColors val="0"/>
        <c:ser>
          <c:idx val="0"/>
          <c:order val="0"/>
          <c:tx>
            <c:strRef>
              <c:f>Sheet11!$B$1</c:f>
              <c:strCache>
                <c:ptCount val="1"/>
                <c:pt idx="0">
                  <c:v>Valoare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Sheet11!$A$2:$A$4</c:f>
              <c:numCache>
                <c:formatCode>General</c:formatCode>
                <c:ptCount val="3"/>
                <c:pt idx="0">
                  <c:v>2023</c:v>
                </c:pt>
                <c:pt idx="1">
                  <c:v>2024</c:v>
                </c:pt>
                <c:pt idx="2">
                  <c:v>2025</c:v>
                </c:pt>
              </c:numCache>
            </c:numRef>
          </c:cat>
          <c:val>
            <c:numRef>
              <c:f>Sheet11!$B$2:$B$4</c:f>
              <c:numCache>
                <c:formatCode>General</c:formatCode>
                <c:ptCount val="3"/>
                <c:pt idx="0">
                  <c:v>15224</c:v>
                </c:pt>
                <c:pt idx="1">
                  <c:v>15976</c:v>
                </c:pt>
                <c:pt idx="2">
                  <c:v>23727</c:v>
                </c:pt>
              </c:numCache>
            </c:numRef>
          </c:val>
          <c:extLst>
            <c:ext xmlns:c16="http://schemas.microsoft.com/office/drawing/2014/chart" uri="{C3380CC4-5D6E-409C-BE32-E72D297353CC}">
              <c16:uniqueId val="{00000000-A0BF-4CF3-81B0-89519C16347A}"/>
            </c:ext>
          </c:extLst>
        </c:ser>
        <c:dLbls>
          <c:dLblPos val="outEnd"/>
          <c:showLegendKey val="0"/>
          <c:showVal val="1"/>
          <c:showCatName val="0"/>
          <c:showSerName val="0"/>
          <c:showPercent val="0"/>
          <c:showBubbleSize val="0"/>
        </c:dLbls>
        <c:gapWidth val="219"/>
        <c:overlap val="-27"/>
        <c:axId val="1103537680"/>
        <c:axId val="1103554480"/>
      </c:barChart>
      <c:catAx>
        <c:axId val="110353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03554480"/>
        <c:crosses val="autoZero"/>
        <c:auto val="1"/>
        <c:lblAlgn val="ctr"/>
        <c:lblOffset val="100"/>
        <c:noMultiLvlLbl val="0"/>
      </c:catAx>
      <c:valAx>
        <c:axId val="110355448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103537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2026-04-23T15:34:33+00:00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4750D3-33C6-4F2B-83DD-E4832AE2DA58}">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269D5BBC-CE91-47BD-9BA5-6C2F766CC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72D50-0EDF-4090-8CE7-2B6418610227}">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11937</Words>
  <Characters>68046</Characters>
  <Application>Microsoft Office Word</Application>
  <DocSecurity>0</DocSecurity>
  <Lines>567</Lines>
  <Paragraphs>159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CEDAW/C/MDA/RQ/7</vt:lpstr>
      <vt:lpstr/>
      <vt:lpstr/>
    </vt:vector>
  </TitlesOfParts>
  <Company>DCM</Company>
  <LinksUpToDate>false</LinksUpToDate>
  <CharactersWithSpaces>79824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CEDAW/C/MDA/RQ/7</dc:title>
  <dc:creator>Gloria</dc:creator>
  <cp:lastModifiedBy>Jamila Devi Seerathun</cp:lastModifiedBy>
  <cp:revision>3</cp:revision>
  <cp:lastPrinted>2017-04-21T12:16:00Z</cp:lastPrinted>
  <dcterms:created xsi:type="dcterms:W3CDTF">2026-07-10T06:19:00Z</dcterms:created>
  <dcterms:modified xsi:type="dcterms:W3CDTF">2026-07-10T06:19:00Z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Consideration of reports submitted by States parties under article 18 of the Convention on the Elimination of All Forms of Discrimination against Women</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the Republic of Moldova</vt:lpwstr>
  </property>
  <property fmtid="{D5CDD505-2E9C-101B-9397-08002B2CF9AE}" pid="9" name="countw">
    <vt:lpwstr>the Republic of Moldova</vt:lpwstr>
  </property>
  <property fmtid="{D5CDD505-2E9C-101B-9397-08002B2CF9AE}" pid="10" name="countwd">
    <vt:lpwstr>the Republic of Moldova</vt:lpwstr>
  </property>
  <property fmtid="{D5CDD505-2E9C-101B-9397-08002B2CF9AE}" pid="11" name="date">
    <vt:lpwstr>1 July 2026</vt:lpwstr>
  </property>
  <property fmtid="{D5CDD505-2E9C-101B-9397-08002B2CF9AE}" pid="12" name="Date-Generated">
    <vt:filetime>2026-04-23T15:31:55Z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 </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159400</vt:r8>
  </property>
  <property fmtid="{D5CDD505-2E9C-101B-9397-08002B2CF9AE}" pid="22" name="Org">
    <vt:lpwstr>OHCHR</vt:lpwstr>
  </property>
  <property fmtid="{D5CDD505-2E9C-101B-9397-08002B2CF9AE}" pid="23" name="prep">
    <vt:lpwstr>seventh periodic report of the Republic of Moldova</vt:lpwstr>
  </property>
  <property fmtid="{D5CDD505-2E9C-101B-9397-08002B2CF9AE}" pid="24" name="preps">
    <vt:lpwstr>seventh periodic report of the Republic of Moldova</vt:lpwstr>
  </property>
  <property fmtid="{D5CDD505-2E9C-101B-9397-08002B2CF9AE}" pid="25" name="prepw">
    <vt:lpwstr>seventh periodic report</vt:lpwstr>
  </property>
  <property fmtid="{D5CDD505-2E9C-101B-9397-08002B2CF9AE}" pid="26" name="prepwc">
    <vt:lpwstr>Seventh periodic report </vt:lpwstr>
  </property>
  <property fmtid="{D5CDD505-2E9C-101B-9397-08002B2CF9AE}" pid="27" name="prepws">
    <vt:lpwstr>seventh periodic report</vt:lpwstr>
  </property>
  <property fmtid="{D5CDD505-2E9C-101B-9397-08002B2CF9AE}" pid="28" name="sdate">
    <vt:lpwstr>5-30 October 2026</vt:lpwstr>
  </property>
  <property fmtid="{D5CDD505-2E9C-101B-9397-08002B2CF9AE}" pid="29" name="sloca">
    <vt:lpwstr>[Location]</vt:lpwstr>
  </property>
  <property fmtid="{D5CDD505-2E9C-101B-9397-08002B2CF9AE}" pid="30" name="snum">
    <vt:lpwstr>Ninety-third</vt:lpwstr>
  </property>
  <property fmtid="{D5CDD505-2E9C-101B-9397-08002B2CF9AE}" pid="31" name="stitle">
    <vt:lpwstr>[Title]</vt:lpwstr>
  </property>
  <property fmtid="{D5CDD505-2E9C-101B-9397-08002B2CF9AE}" pid="32" name="sym1">
    <vt:lpwstr>C/MDA/RQ/7</vt:lpwstr>
  </property>
  <property fmtid="{D5CDD505-2E9C-101B-9397-08002B2CF9AE}" pid="33" name="symh">
    <vt:lpwstr>CEDAW/C/MDA/RQ/7</vt:lpwstr>
  </property>
  <property fmtid="{D5CDD505-2E9C-101B-9397-08002B2CF9AE}" pid="34" name="Title">
    <vt:lpwstr>CEDAW/C/MDA/RQ/7</vt:lpwstr>
  </property>
  <property fmtid="{D5CDD505-2E9C-101B-9397-08002B2CF9AE}" pid="35" name="tlang">
    <vt:lpwstr/>
  </property>
  <property fmtid="{D5CDD505-2E9C-101B-9397-08002B2CF9AE}" pid="36" name="virs">
    <vt:lpwstr>English, French and Spanish only</vt:lpwstr>
  </property>
</Properties>
</file>